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247E1" w14:textId="77777777" w:rsidR="00197F2E" w:rsidRPr="0007270D" w:rsidRDefault="008606A0" w:rsidP="00241A68">
      <w:pPr>
        <w:pStyle w:val="Heading1"/>
      </w:pPr>
      <w:bookmarkStart w:id="0" w:name="_top"/>
      <w:bookmarkEnd w:id="0"/>
      <w:r w:rsidRPr="0007270D">
        <w:t xml:space="preserve">Guideline </w:t>
      </w:r>
      <w:r w:rsidRPr="00241A68">
        <w:rPr>
          <w:b w:val="0"/>
          <w:bCs w:val="0"/>
        </w:rPr>
        <w:t xml:space="preserve">| </w:t>
      </w:r>
      <w:r w:rsidR="00481A6C" w:rsidRPr="00241A68">
        <w:rPr>
          <w:b w:val="0"/>
          <w:bCs w:val="0"/>
        </w:rPr>
        <w:t>Canberra Health Services</w:t>
      </w:r>
    </w:p>
    <w:p w14:paraId="2ADC6BA4" w14:textId="51F39AEB" w:rsidR="00197F2E" w:rsidRDefault="00E90C94" w:rsidP="00197F2E">
      <w:pPr>
        <w:pStyle w:val="Heading2"/>
      </w:pPr>
      <w:r>
        <w:t>Penicillin Allergy Oral Challenge in Adults</w:t>
      </w:r>
      <w:r w:rsidR="00197F2E">
        <w:rPr>
          <w:rStyle w:val="Heading2Char"/>
        </w:rPr>
        <w:t xml:space="preserve"> </w:t>
      </w:r>
    </w:p>
    <w:p w14:paraId="651A3171" w14:textId="03D8A293" w:rsidR="00CA4FDE" w:rsidRPr="00C34A10" w:rsidRDefault="00E31596" w:rsidP="00C34A10">
      <w:pPr>
        <w:pStyle w:val="BodyCopy"/>
        <w:spacing w:before="0" w:line="240" w:lineRule="auto"/>
        <w:rPr>
          <w:color w:val="575757" w:themeColor="text2"/>
        </w:rPr>
      </w:pPr>
      <w:r w:rsidRPr="00197F2E">
        <w:t>CHS</w:t>
      </w:r>
      <w:bookmarkStart w:id="1" w:name="_Hlk157074578"/>
      <w:r w:rsidR="00D955C8">
        <w:t>25/148</w:t>
      </w:r>
    </w:p>
    <w:sdt>
      <w:sdtPr>
        <w:rPr>
          <w:sz w:val="32"/>
        </w:rPr>
        <w:id w:val="-1206019646"/>
        <w:docPartObj>
          <w:docPartGallery w:val="Table of Contents"/>
          <w:docPartUnique/>
        </w:docPartObj>
      </w:sdtPr>
      <w:sdtEndPr>
        <w:rPr>
          <w:noProof/>
        </w:rPr>
      </w:sdtEndPr>
      <w:sdtContent>
        <w:p w14:paraId="38E7A51A" w14:textId="77777777" w:rsidR="00A731B8" w:rsidRPr="000E7683" w:rsidRDefault="00A731B8">
          <w:pPr>
            <w:pStyle w:val="TOCHeading"/>
            <w:rPr>
              <w:rStyle w:val="Heading3Char"/>
              <w:b/>
              <w:bCs w:val="0"/>
            </w:rPr>
          </w:pPr>
          <w:r w:rsidRPr="007B1A7B">
            <w:rPr>
              <w:rStyle w:val="Heading3Char"/>
              <w:b/>
              <w:bCs w:val="0"/>
            </w:rPr>
            <w:t>Contents</w:t>
          </w:r>
        </w:p>
        <w:p w14:paraId="4B9A4F87" w14:textId="0535AA72" w:rsidR="007F5346" w:rsidRDefault="00A621FE">
          <w:pPr>
            <w:pStyle w:val="TOC1"/>
            <w:rPr>
              <w:rFonts w:asciiTheme="minorHAnsi" w:eastAsiaTheme="minorEastAsia" w:hAnsiTheme="minorHAnsi" w:cstheme="minorBidi"/>
              <w:color w:val="auto"/>
              <w:kern w:val="2"/>
              <w14:ligatures w14:val="standardContextual"/>
            </w:rPr>
          </w:pPr>
          <w:r>
            <w:rPr>
              <w:rFonts w:cs="Times New Roman"/>
              <w:b/>
            </w:rPr>
            <w:fldChar w:fldCharType="begin"/>
          </w:r>
          <w:r>
            <w:rPr>
              <w:rFonts w:cs="Times New Roman"/>
              <w:b/>
            </w:rPr>
            <w:instrText xml:space="preserve"> TOC \h \z \u \t "Heading 4,1" </w:instrText>
          </w:r>
          <w:r>
            <w:rPr>
              <w:rFonts w:cs="Times New Roman"/>
              <w:b/>
            </w:rPr>
            <w:fldChar w:fldCharType="separate"/>
          </w:r>
          <w:hyperlink w:anchor="_Toc194319233" w:history="1">
            <w:r w:rsidR="007F5346" w:rsidRPr="00AB7019">
              <w:rPr>
                <w:rStyle w:val="Hyperlink"/>
              </w:rPr>
              <w:t>Guideline statement</w:t>
            </w:r>
            <w:r w:rsidR="007F5346">
              <w:rPr>
                <w:webHidden/>
              </w:rPr>
              <w:tab/>
            </w:r>
            <w:r w:rsidR="007F5346">
              <w:rPr>
                <w:webHidden/>
              </w:rPr>
              <w:fldChar w:fldCharType="begin"/>
            </w:r>
            <w:r w:rsidR="007F5346">
              <w:rPr>
                <w:webHidden/>
              </w:rPr>
              <w:instrText xml:space="preserve"> PAGEREF _Toc194319233 \h </w:instrText>
            </w:r>
            <w:r w:rsidR="007F5346">
              <w:rPr>
                <w:webHidden/>
              </w:rPr>
            </w:r>
            <w:r w:rsidR="007F5346">
              <w:rPr>
                <w:webHidden/>
              </w:rPr>
              <w:fldChar w:fldCharType="separate"/>
            </w:r>
            <w:r w:rsidR="007F5346">
              <w:rPr>
                <w:webHidden/>
              </w:rPr>
              <w:t>2</w:t>
            </w:r>
            <w:r w:rsidR="007F5346">
              <w:rPr>
                <w:webHidden/>
              </w:rPr>
              <w:fldChar w:fldCharType="end"/>
            </w:r>
          </w:hyperlink>
        </w:p>
        <w:p w14:paraId="79E9CDCC" w14:textId="47B9C9E3" w:rsidR="007F5346" w:rsidRDefault="007F5346">
          <w:pPr>
            <w:pStyle w:val="TOC1"/>
            <w:rPr>
              <w:rFonts w:asciiTheme="minorHAnsi" w:eastAsiaTheme="minorEastAsia" w:hAnsiTheme="minorHAnsi" w:cstheme="minorBidi"/>
              <w:color w:val="auto"/>
              <w:kern w:val="2"/>
              <w14:ligatures w14:val="standardContextual"/>
            </w:rPr>
          </w:pPr>
          <w:hyperlink w:anchor="_Toc194319234" w:history="1">
            <w:r w:rsidRPr="00AB7019">
              <w:rPr>
                <w:rStyle w:val="Hyperlink"/>
              </w:rPr>
              <w:t>Scope</w:t>
            </w:r>
            <w:r>
              <w:rPr>
                <w:webHidden/>
              </w:rPr>
              <w:tab/>
            </w:r>
            <w:r>
              <w:rPr>
                <w:webHidden/>
              </w:rPr>
              <w:fldChar w:fldCharType="begin"/>
            </w:r>
            <w:r>
              <w:rPr>
                <w:webHidden/>
              </w:rPr>
              <w:instrText xml:space="preserve"> PAGEREF _Toc194319234 \h </w:instrText>
            </w:r>
            <w:r>
              <w:rPr>
                <w:webHidden/>
              </w:rPr>
            </w:r>
            <w:r>
              <w:rPr>
                <w:webHidden/>
              </w:rPr>
              <w:fldChar w:fldCharType="separate"/>
            </w:r>
            <w:r>
              <w:rPr>
                <w:webHidden/>
              </w:rPr>
              <w:t>2</w:t>
            </w:r>
            <w:r>
              <w:rPr>
                <w:webHidden/>
              </w:rPr>
              <w:fldChar w:fldCharType="end"/>
            </w:r>
          </w:hyperlink>
        </w:p>
        <w:p w14:paraId="1989108F" w14:textId="05F5AB67" w:rsidR="007F5346" w:rsidRDefault="007F5346">
          <w:pPr>
            <w:pStyle w:val="TOC1"/>
            <w:rPr>
              <w:rFonts w:asciiTheme="minorHAnsi" w:eastAsiaTheme="minorEastAsia" w:hAnsiTheme="minorHAnsi" w:cstheme="minorBidi"/>
              <w:color w:val="auto"/>
              <w:kern w:val="2"/>
              <w14:ligatures w14:val="standardContextual"/>
            </w:rPr>
          </w:pPr>
          <w:hyperlink w:anchor="_Toc194319235" w:history="1">
            <w:r w:rsidRPr="00AB7019">
              <w:rPr>
                <w:rStyle w:val="Hyperlink"/>
              </w:rPr>
              <w:t>Section 1 – Adverse drug reactions to antibiotics</w:t>
            </w:r>
            <w:r>
              <w:rPr>
                <w:webHidden/>
              </w:rPr>
              <w:tab/>
            </w:r>
            <w:r>
              <w:rPr>
                <w:webHidden/>
              </w:rPr>
              <w:fldChar w:fldCharType="begin"/>
            </w:r>
            <w:r>
              <w:rPr>
                <w:webHidden/>
              </w:rPr>
              <w:instrText xml:space="preserve"> PAGEREF _Toc194319235 \h </w:instrText>
            </w:r>
            <w:r>
              <w:rPr>
                <w:webHidden/>
              </w:rPr>
            </w:r>
            <w:r>
              <w:rPr>
                <w:webHidden/>
              </w:rPr>
              <w:fldChar w:fldCharType="separate"/>
            </w:r>
            <w:r>
              <w:rPr>
                <w:webHidden/>
              </w:rPr>
              <w:t>3</w:t>
            </w:r>
            <w:r>
              <w:rPr>
                <w:webHidden/>
              </w:rPr>
              <w:fldChar w:fldCharType="end"/>
            </w:r>
          </w:hyperlink>
        </w:p>
        <w:p w14:paraId="3A4D04C2" w14:textId="590E8F09" w:rsidR="007F5346" w:rsidRDefault="007F5346">
          <w:pPr>
            <w:pStyle w:val="TOC1"/>
            <w:rPr>
              <w:rFonts w:asciiTheme="minorHAnsi" w:eastAsiaTheme="minorEastAsia" w:hAnsiTheme="minorHAnsi" w:cstheme="minorBidi"/>
              <w:color w:val="auto"/>
              <w:kern w:val="2"/>
              <w14:ligatures w14:val="standardContextual"/>
            </w:rPr>
          </w:pPr>
          <w:hyperlink w:anchor="_Toc194319236" w:history="1">
            <w:r w:rsidRPr="00AB7019">
              <w:rPr>
                <w:rStyle w:val="Hyperlink"/>
              </w:rPr>
              <w:t>Section 2 – Assessment</w:t>
            </w:r>
            <w:r>
              <w:rPr>
                <w:webHidden/>
              </w:rPr>
              <w:tab/>
            </w:r>
            <w:r>
              <w:rPr>
                <w:webHidden/>
              </w:rPr>
              <w:fldChar w:fldCharType="begin"/>
            </w:r>
            <w:r>
              <w:rPr>
                <w:webHidden/>
              </w:rPr>
              <w:instrText xml:space="preserve"> PAGEREF _Toc194319236 \h </w:instrText>
            </w:r>
            <w:r>
              <w:rPr>
                <w:webHidden/>
              </w:rPr>
            </w:r>
            <w:r>
              <w:rPr>
                <w:webHidden/>
              </w:rPr>
              <w:fldChar w:fldCharType="separate"/>
            </w:r>
            <w:r>
              <w:rPr>
                <w:webHidden/>
              </w:rPr>
              <w:t>4</w:t>
            </w:r>
            <w:r>
              <w:rPr>
                <w:webHidden/>
              </w:rPr>
              <w:fldChar w:fldCharType="end"/>
            </w:r>
          </w:hyperlink>
        </w:p>
        <w:p w14:paraId="37BC52E7" w14:textId="419A0D9B" w:rsidR="007F5346" w:rsidRDefault="007F5346">
          <w:pPr>
            <w:pStyle w:val="TOC1"/>
            <w:rPr>
              <w:rFonts w:asciiTheme="minorHAnsi" w:eastAsiaTheme="minorEastAsia" w:hAnsiTheme="minorHAnsi" w:cstheme="minorBidi"/>
              <w:color w:val="auto"/>
              <w:kern w:val="2"/>
              <w14:ligatures w14:val="standardContextual"/>
            </w:rPr>
          </w:pPr>
          <w:hyperlink w:anchor="_Toc194319237" w:history="1">
            <w:r w:rsidRPr="00AB7019">
              <w:rPr>
                <w:rStyle w:val="Hyperlink"/>
              </w:rPr>
              <w:t>Section 3 – Patient selection for direct oral challenge</w:t>
            </w:r>
            <w:r>
              <w:rPr>
                <w:webHidden/>
              </w:rPr>
              <w:tab/>
            </w:r>
            <w:r>
              <w:rPr>
                <w:webHidden/>
              </w:rPr>
              <w:fldChar w:fldCharType="begin"/>
            </w:r>
            <w:r>
              <w:rPr>
                <w:webHidden/>
              </w:rPr>
              <w:instrText xml:space="preserve"> PAGEREF _Toc194319237 \h </w:instrText>
            </w:r>
            <w:r>
              <w:rPr>
                <w:webHidden/>
              </w:rPr>
            </w:r>
            <w:r>
              <w:rPr>
                <w:webHidden/>
              </w:rPr>
              <w:fldChar w:fldCharType="separate"/>
            </w:r>
            <w:r>
              <w:rPr>
                <w:webHidden/>
              </w:rPr>
              <w:t>5</w:t>
            </w:r>
            <w:r>
              <w:rPr>
                <w:webHidden/>
              </w:rPr>
              <w:fldChar w:fldCharType="end"/>
            </w:r>
          </w:hyperlink>
        </w:p>
        <w:p w14:paraId="4EC54C3F" w14:textId="61B8E469" w:rsidR="007F5346" w:rsidRDefault="007F5346">
          <w:pPr>
            <w:pStyle w:val="TOC1"/>
            <w:rPr>
              <w:rFonts w:asciiTheme="minorHAnsi" w:eastAsiaTheme="minorEastAsia" w:hAnsiTheme="minorHAnsi" w:cstheme="minorBidi"/>
              <w:color w:val="auto"/>
              <w:kern w:val="2"/>
              <w14:ligatures w14:val="standardContextual"/>
            </w:rPr>
          </w:pPr>
          <w:hyperlink w:anchor="_Toc194319238" w:history="1">
            <w:r w:rsidRPr="00AB7019">
              <w:rPr>
                <w:rStyle w:val="Hyperlink"/>
              </w:rPr>
              <w:t>Section 4 – Further guidance on clinical history and workup for patients with penicillin allergic reaction</w:t>
            </w:r>
            <w:r>
              <w:rPr>
                <w:webHidden/>
              </w:rPr>
              <w:tab/>
            </w:r>
            <w:r>
              <w:rPr>
                <w:webHidden/>
              </w:rPr>
              <w:fldChar w:fldCharType="begin"/>
            </w:r>
            <w:r>
              <w:rPr>
                <w:webHidden/>
              </w:rPr>
              <w:instrText xml:space="preserve"> PAGEREF _Toc194319238 \h </w:instrText>
            </w:r>
            <w:r>
              <w:rPr>
                <w:webHidden/>
              </w:rPr>
            </w:r>
            <w:r>
              <w:rPr>
                <w:webHidden/>
              </w:rPr>
              <w:fldChar w:fldCharType="separate"/>
            </w:r>
            <w:r>
              <w:rPr>
                <w:webHidden/>
              </w:rPr>
              <w:t>6</w:t>
            </w:r>
            <w:r>
              <w:rPr>
                <w:webHidden/>
              </w:rPr>
              <w:fldChar w:fldCharType="end"/>
            </w:r>
          </w:hyperlink>
        </w:p>
        <w:p w14:paraId="020AEF0C" w14:textId="7ED08C34" w:rsidR="007F5346" w:rsidRDefault="007F5346">
          <w:pPr>
            <w:pStyle w:val="TOC1"/>
            <w:rPr>
              <w:rFonts w:asciiTheme="minorHAnsi" w:eastAsiaTheme="minorEastAsia" w:hAnsiTheme="minorHAnsi" w:cstheme="minorBidi"/>
              <w:color w:val="auto"/>
              <w:kern w:val="2"/>
              <w14:ligatures w14:val="standardContextual"/>
            </w:rPr>
          </w:pPr>
          <w:hyperlink w:anchor="_Toc194319239" w:history="1">
            <w:r w:rsidRPr="00AB7019">
              <w:rPr>
                <w:rStyle w:val="Hyperlink"/>
              </w:rPr>
              <w:t>Section 5 – Oral Drug Challenge Process</w:t>
            </w:r>
            <w:r>
              <w:rPr>
                <w:webHidden/>
              </w:rPr>
              <w:tab/>
            </w:r>
            <w:r>
              <w:rPr>
                <w:webHidden/>
              </w:rPr>
              <w:fldChar w:fldCharType="begin"/>
            </w:r>
            <w:r>
              <w:rPr>
                <w:webHidden/>
              </w:rPr>
              <w:instrText xml:space="preserve"> PAGEREF _Toc194319239 \h </w:instrText>
            </w:r>
            <w:r>
              <w:rPr>
                <w:webHidden/>
              </w:rPr>
            </w:r>
            <w:r>
              <w:rPr>
                <w:webHidden/>
              </w:rPr>
              <w:fldChar w:fldCharType="separate"/>
            </w:r>
            <w:r>
              <w:rPr>
                <w:webHidden/>
              </w:rPr>
              <w:t>7</w:t>
            </w:r>
            <w:r>
              <w:rPr>
                <w:webHidden/>
              </w:rPr>
              <w:fldChar w:fldCharType="end"/>
            </w:r>
          </w:hyperlink>
        </w:p>
        <w:p w14:paraId="788150E2" w14:textId="434CFFC2" w:rsidR="007F5346" w:rsidRDefault="007F5346">
          <w:pPr>
            <w:pStyle w:val="TOC1"/>
            <w:rPr>
              <w:rFonts w:asciiTheme="minorHAnsi" w:eastAsiaTheme="minorEastAsia" w:hAnsiTheme="minorHAnsi" w:cstheme="minorBidi"/>
              <w:color w:val="auto"/>
              <w:kern w:val="2"/>
              <w14:ligatures w14:val="standardContextual"/>
            </w:rPr>
          </w:pPr>
          <w:hyperlink w:anchor="_Toc194319240" w:history="1">
            <w:r w:rsidRPr="00AB7019">
              <w:rPr>
                <w:rStyle w:val="Hyperlink"/>
              </w:rPr>
              <w:t>Evaluation</w:t>
            </w:r>
            <w:r>
              <w:rPr>
                <w:webHidden/>
              </w:rPr>
              <w:tab/>
            </w:r>
            <w:r>
              <w:rPr>
                <w:webHidden/>
              </w:rPr>
              <w:fldChar w:fldCharType="begin"/>
            </w:r>
            <w:r>
              <w:rPr>
                <w:webHidden/>
              </w:rPr>
              <w:instrText xml:space="preserve"> PAGEREF _Toc194319240 \h </w:instrText>
            </w:r>
            <w:r>
              <w:rPr>
                <w:webHidden/>
              </w:rPr>
            </w:r>
            <w:r>
              <w:rPr>
                <w:webHidden/>
              </w:rPr>
              <w:fldChar w:fldCharType="separate"/>
            </w:r>
            <w:r>
              <w:rPr>
                <w:webHidden/>
              </w:rPr>
              <w:t>9</w:t>
            </w:r>
            <w:r>
              <w:rPr>
                <w:webHidden/>
              </w:rPr>
              <w:fldChar w:fldCharType="end"/>
            </w:r>
          </w:hyperlink>
        </w:p>
        <w:p w14:paraId="1408F0C8" w14:textId="1D9E31F1" w:rsidR="007F5346" w:rsidRDefault="007F5346">
          <w:pPr>
            <w:pStyle w:val="TOC1"/>
            <w:rPr>
              <w:rFonts w:asciiTheme="minorHAnsi" w:eastAsiaTheme="minorEastAsia" w:hAnsiTheme="minorHAnsi" w:cstheme="minorBidi"/>
              <w:color w:val="auto"/>
              <w:kern w:val="2"/>
              <w14:ligatures w14:val="standardContextual"/>
            </w:rPr>
          </w:pPr>
          <w:hyperlink w:anchor="_Toc194319241" w:history="1">
            <w:r w:rsidRPr="00AB7019">
              <w:rPr>
                <w:rStyle w:val="Hyperlink"/>
              </w:rPr>
              <w:t>Related policies, procedures, guidelines and legislation</w:t>
            </w:r>
            <w:r>
              <w:rPr>
                <w:webHidden/>
              </w:rPr>
              <w:tab/>
            </w:r>
            <w:r>
              <w:rPr>
                <w:webHidden/>
              </w:rPr>
              <w:fldChar w:fldCharType="begin"/>
            </w:r>
            <w:r>
              <w:rPr>
                <w:webHidden/>
              </w:rPr>
              <w:instrText xml:space="preserve"> PAGEREF _Toc194319241 \h </w:instrText>
            </w:r>
            <w:r>
              <w:rPr>
                <w:webHidden/>
              </w:rPr>
            </w:r>
            <w:r>
              <w:rPr>
                <w:webHidden/>
              </w:rPr>
              <w:fldChar w:fldCharType="separate"/>
            </w:r>
            <w:r>
              <w:rPr>
                <w:webHidden/>
              </w:rPr>
              <w:t>10</w:t>
            </w:r>
            <w:r>
              <w:rPr>
                <w:webHidden/>
              </w:rPr>
              <w:fldChar w:fldCharType="end"/>
            </w:r>
          </w:hyperlink>
        </w:p>
        <w:p w14:paraId="3609EAD2" w14:textId="75810DAB" w:rsidR="007F5346" w:rsidRDefault="007F5346">
          <w:pPr>
            <w:pStyle w:val="TOC1"/>
            <w:rPr>
              <w:rFonts w:asciiTheme="minorHAnsi" w:eastAsiaTheme="minorEastAsia" w:hAnsiTheme="minorHAnsi" w:cstheme="minorBidi"/>
              <w:color w:val="auto"/>
              <w:kern w:val="2"/>
              <w14:ligatures w14:val="standardContextual"/>
            </w:rPr>
          </w:pPr>
          <w:hyperlink w:anchor="_Toc194319242" w:history="1">
            <w:r w:rsidRPr="00AB7019">
              <w:rPr>
                <w:rStyle w:val="Hyperlink"/>
              </w:rPr>
              <w:t>References</w:t>
            </w:r>
            <w:r>
              <w:rPr>
                <w:webHidden/>
              </w:rPr>
              <w:tab/>
            </w:r>
            <w:r>
              <w:rPr>
                <w:webHidden/>
              </w:rPr>
              <w:fldChar w:fldCharType="begin"/>
            </w:r>
            <w:r>
              <w:rPr>
                <w:webHidden/>
              </w:rPr>
              <w:instrText xml:space="preserve"> PAGEREF _Toc194319242 \h </w:instrText>
            </w:r>
            <w:r>
              <w:rPr>
                <w:webHidden/>
              </w:rPr>
            </w:r>
            <w:r>
              <w:rPr>
                <w:webHidden/>
              </w:rPr>
              <w:fldChar w:fldCharType="separate"/>
            </w:r>
            <w:r>
              <w:rPr>
                <w:webHidden/>
              </w:rPr>
              <w:t>10</w:t>
            </w:r>
            <w:r>
              <w:rPr>
                <w:webHidden/>
              </w:rPr>
              <w:fldChar w:fldCharType="end"/>
            </w:r>
          </w:hyperlink>
        </w:p>
        <w:p w14:paraId="35823CAD" w14:textId="60D43C6B" w:rsidR="007F5346" w:rsidRDefault="007F5346">
          <w:pPr>
            <w:pStyle w:val="TOC1"/>
            <w:rPr>
              <w:rFonts w:asciiTheme="minorHAnsi" w:eastAsiaTheme="minorEastAsia" w:hAnsiTheme="minorHAnsi" w:cstheme="minorBidi"/>
              <w:color w:val="auto"/>
              <w:kern w:val="2"/>
              <w14:ligatures w14:val="standardContextual"/>
            </w:rPr>
          </w:pPr>
          <w:hyperlink w:anchor="_Toc194319243" w:history="1">
            <w:r w:rsidRPr="00AB7019">
              <w:rPr>
                <w:rStyle w:val="Hyperlink"/>
              </w:rPr>
              <w:t>Definition of terms</w:t>
            </w:r>
            <w:r>
              <w:rPr>
                <w:webHidden/>
              </w:rPr>
              <w:tab/>
            </w:r>
            <w:r>
              <w:rPr>
                <w:webHidden/>
              </w:rPr>
              <w:fldChar w:fldCharType="begin"/>
            </w:r>
            <w:r>
              <w:rPr>
                <w:webHidden/>
              </w:rPr>
              <w:instrText xml:space="preserve"> PAGEREF _Toc194319243 \h </w:instrText>
            </w:r>
            <w:r>
              <w:rPr>
                <w:webHidden/>
              </w:rPr>
            </w:r>
            <w:r>
              <w:rPr>
                <w:webHidden/>
              </w:rPr>
              <w:fldChar w:fldCharType="separate"/>
            </w:r>
            <w:r>
              <w:rPr>
                <w:webHidden/>
              </w:rPr>
              <w:t>12</w:t>
            </w:r>
            <w:r>
              <w:rPr>
                <w:webHidden/>
              </w:rPr>
              <w:fldChar w:fldCharType="end"/>
            </w:r>
          </w:hyperlink>
        </w:p>
        <w:p w14:paraId="605E9023" w14:textId="21E8ACA9" w:rsidR="007F5346" w:rsidRDefault="007F5346">
          <w:pPr>
            <w:pStyle w:val="TOC1"/>
            <w:rPr>
              <w:rFonts w:asciiTheme="minorHAnsi" w:eastAsiaTheme="minorEastAsia" w:hAnsiTheme="minorHAnsi" w:cstheme="minorBidi"/>
              <w:color w:val="auto"/>
              <w:kern w:val="2"/>
              <w14:ligatures w14:val="standardContextual"/>
            </w:rPr>
          </w:pPr>
          <w:hyperlink w:anchor="_Toc194319244" w:history="1">
            <w:r w:rsidRPr="00AB7019">
              <w:rPr>
                <w:rStyle w:val="Hyperlink"/>
              </w:rPr>
              <w:t>Search terms</w:t>
            </w:r>
            <w:r>
              <w:rPr>
                <w:webHidden/>
              </w:rPr>
              <w:tab/>
            </w:r>
            <w:r>
              <w:rPr>
                <w:webHidden/>
              </w:rPr>
              <w:fldChar w:fldCharType="begin"/>
            </w:r>
            <w:r>
              <w:rPr>
                <w:webHidden/>
              </w:rPr>
              <w:instrText xml:space="preserve"> PAGEREF _Toc194319244 \h </w:instrText>
            </w:r>
            <w:r>
              <w:rPr>
                <w:webHidden/>
              </w:rPr>
            </w:r>
            <w:r>
              <w:rPr>
                <w:webHidden/>
              </w:rPr>
              <w:fldChar w:fldCharType="separate"/>
            </w:r>
            <w:r>
              <w:rPr>
                <w:webHidden/>
              </w:rPr>
              <w:t>12</w:t>
            </w:r>
            <w:r>
              <w:rPr>
                <w:webHidden/>
              </w:rPr>
              <w:fldChar w:fldCharType="end"/>
            </w:r>
          </w:hyperlink>
        </w:p>
        <w:p w14:paraId="26CC8002" w14:textId="2FD62C5F" w:rsidR="007F5346" w:rsidRDefault="007F5346">
          <w:pPr>
            <w:pStyle w:val="TOC1"/>
            <w:rPr>
              <w:rFonts w:asciiTheme="minorHAnsi" w:eastAsiaTheme="minorEastAsia" w:hAnsiTheme="minorHAnsi" w:cstheme="minorBidi"/>
              <w:color w:val="auto"/>
              <w:kern w:val="2"/>
              <w14:ligatures w14:val="standardContextual"/>
            </w:rPr>
          </w:pPr>
          <w:hyperlink w:anchor="_Toc194319245" w:history="1">
            <w:r w:rsidRPr="00AB7019">
              <w:rPr>
                <w:rStyle w:val="Hyperlink"/>
              </w:rPr>
              <w:t>Attachments</w:t>
            </w:r>
            <w:r>
              <w:rPr>
                <w:webHidden/>
              </w:rPr>
              <w:tab/>
            </w:r>
            <w:r>
              <w:rPr>
                <w:webHidden/>
              </w:rPr>
              <w:fldChar w:fldCharType="begin"/>
            </w:r>
            <w:r>
              <w:rPr>
                <w:webHidden/>
              </w:rPr>
              <w:instrText xml:space="preserve"> PAGEREF _Toc194319245 \h </w:instrText>
            </w:r>
            <w:r>
              <w:rPr>
                <w:webHidden/>
              </w:rPr>
            </w:r>
            <w:r>
              <w:rPr>
                <w:webHidden/>
              </w:rPr>
              <w:fldChar w:fldCharType="separate"/>
            </w:r>
            <w:r>
              <w:rPr>
                <w:webHidden/>
              </w:rPr>
              <w:t>13</w:t>
            </w:r>
            <w:r>
              <w:rPr>
                <w:webHidden/>
              </w:rPr>
              <w:fldChar w:fldCharType="end"/>
            </w:r>
          </w:hyperlink>
        </w:p>
        <w:p w14:paraId="0E5798C8" w14:textId="325122F3" w:rsidR="007F5346" w:rsidRDefault="007F5346">
          <w:pPr>
            <w:pStyle w:val="TOC1"/>
            <w:rPr>
              <w:rFonts w:asciiTheme="minorHAnsi" w:eastAsiaTheme="minorEastAsia" w:hAnsiTheme="minorHAnsi" w:cstheme="minorBidi"/>
              <w:color w:val="auto"/>
              <w:kern w:val="2"/>
              <w14:ligatures w14:val="standardContextual"/>
            </w:rPr>
          </w:pPr>
          <w:hyperlink w:anchor="_Toc194319246" w:history="1">
            <w:r w:rsidRPr="00AB7019">
              <w:rPr>
                <w:rStyle w:val="Hyperlink"/>
              </w:rPr>
              <w:t>Attachment 1 – PEN-FAST allergy assessment tool</w:t>
            </w:r>
            <w:r>
              <w:rPr>
                <w:webHidden/>
              </w:rPr>
              <w:tab/>
            </w:r>
            <w:r>
              <w:rPr>
                <w:webHidden/>
              </w:rPr>
              <w:fldChar w:fldCharType="begin"/>
            </w:r>
            <w:r>
              <w:rPr>
                <w:webHidden/>
              </w:rPr>
              <w:instrText xml:space="preserve"> PAGEREF _Toc194319246 \h </w:instrText>
            </w:r>
            <w:r>
              <w:rPr>
                <w:webHidden/>
              </w:rPr>
            </w:r>
            <w:r>
              <w:rPr>
                <w:webHidden/>
              </w:rPr>
              <w:fldChar w:fldCharType="separate"/>
            </w:r>
            <w:r>
              <w:rPr>
                <w:webHidden/>
              </w:rPr>
              <w:t>15</w:t>
            </w:r>
            <w:r>
              <w:rPr>
                <w:webHidden/>
              </w:rPr>
              <w:fldChar w:fldCharType="end"/>
            </w:r>
          </w:hyperlink>
        </w:p>
        <w:p w14:paraId="518CF225" w14:textId="5D3BBCA4" w:rsidR="007F5346" w:rsidRDefault="007F5346">
          <w:pPr>
            <w:pStyle w:val="TOC1"/>
            <w:rPr>
              <w:rFonts w:asciiTheme="minorHAnsi" w:eastAsiaTheme="minorEastAsia" w:hAnsiTheme="minorHAnsi" w:cstheme="minorBidi"/>
              <w:color w:val="auto"/>
              <w:kern w:val="2"/>
              <w14:ligatures w14:val="standardContextual"/>
            </w:rPr>
          </w:pPr>
          <w:hyperlink w:anchor="_Toc194319247" w:history="1">
            <w:r w:rsidRPr="00AB7019">
              <w:rPr>
                <w:rStyle w:val="Hyperlink"/>
              </w:rPr>
              <w:t>Attachment 2 – Results and recommendations letter to receiving doctor</w:t>
            </w:r>
            <w:r>
              <w:rPr>
                <w:webHidden/>
              </w:rPr>
              <w:tab/>
            </w:r>
            <w:r>
              <w:rPr>
                <w:webHidden/>
              </w:rPr>
              <w:fldChar w:fldCharType="begin"/>
            </w:r>
            <w:r>
              <w:rPr>
                <w:webHidden/>
              </w:rPr>
              <w:instrText xml:space="preserve"> PAGEREF _Toc194319247 \h </w:instrText>
            </w:r>
            <w:r>
              <w:rPr>
                <w:webHidden/>
              </w:rPr>
            </w:r>
            <w:r>
              <w:rPr>
                <w:webHidden/>
              </w:rPr>
              <w:fldChar w:fldCharType="separate"/>
            </w:r>
            <w:r>
              <w:rPr>
                <w:webHidden/>
              </w:rPr>
              <w:t>16</w:t>
            </w:r>
            <w:r>
              <w:rPr>
                <w:webHidden/>
              </w:rPr>
              <w:fldChar w:fldCharType="end"/>
            </w:r>
          </w:hyperlink>
        </w:p>
        <w:p w14:paraId="273245D7" w14:textId="56E867D0" w:rsidR="007F5346" w:rsidRDefault="007F5346">
          <w:pPr>
            <w:pStyle w:val="TOC1"/>
            <w:rPr>
              <w:rFonts w:asciiTheme="minorHAnsi" w:eastAsiaTheme="minorEastAsia" w:hAnsiTheme="minorHAnsi" w:cstheme="minorBidi"/>
              <w:color w:val="auto"/>
              <w:kern w:val="2"/>
              <w14:ligatures w14:val="standardContextual"/>
            </w:rPr>
          </w:pPr>
          <w:hyperlink w:anchor="_Toc194319248" w:history="1">
            <w:r w:rsidRPr="00AB7019">
              <w:rPr>
                <w:rStyle w:val="Hyperlink"/>
              </w:rPr>
              <w:t>Attachment 3 - How to copy the ACT Adverse Drug Reaction Reporting Committee (ADRRC) secretariat into the correspondence</w:t>
            </w:r>
            <w:r>
              <w:rPr>
                <w:webHidden/>
              </w:rPr>
              <w:tab/>
            </w:r>
            <w:r>
              <w:rPr>
                <w:webHidden/>
              </w:rPr>
              <w:fldChar w:fldCharType="begin"/>
            </w:r>
            <w:r>
              <w:rPr>
                <w:webHidden/>
              </w:rPr>
              <w:instrText xml:space="preserve"> PAGEREF _Toc194319248 \h </w:instrText>
            </w:r>
            <w:r>
              <w:rPr>
                <w:webHidden/>
              </w:rPr>
            </w:r>
            <w:r>
              <w:rPr>
                <w:webHidden/>
              </w:rPr>
              <w:fldChar w:fldCharType="separate"/>
            </w:r>
            <w:r>
              <w:rPr>
                <w:webHidden/>
              </w:rPr>
              <w:t>17</w:t>
            </w:r>
            <w:r>
              <w:rPr>
                <w:webHidden/>
              </w:rPr>
              <w:fldChar w:fldCharType="end"/>
            </w:r>
          </w:hyperlink>
        </w:p>
        <w:p w14:paraId="4EAE1F1F" w14:textId="00F55654" w:rsidR="007F5346" w:rsidRDefault="007F5346">
          <w:pPr>
            <w:pStyle w:val="TOC1"/>
            <w:rPr>
              <w:rFonts w:asciiTheme="minorHAnsi" w:eastAsiaTheme="minorEastAsia" w:hAnsiTheme="minorHAnsi" w:cstheme="minorBidi"/>
              <w:color w:val="auto"/>
              <w:kern w:val="2"/>
              <w14:ligatures w14:val="standardContextual"/>
            </w:rPr>
          </w:pPr>
          <w:hyperlink w:anchor="_Toc194319249" w:history="1">
            <w:r w:rsidRPr="00AB7019">
              <w:rPr>
                <w:rStyle w:val="Hyperlink"/>
              </w:rPr>
              <w:t>Attachment 4 – Step by step guide to de-label penicillin allergy on Digital Health Record (DHR)</w:t>
            </w:r>
            <w:r>
              <w:rPr>
                <w:webHidden/>
              </w:rPr>
              <w:tab/>
            </w:r>
            <w:r>
              <w:rPr>
                <w:webHidden/>
              </w:rPr>
              <w:fldChar w:fldCharType="begin"/>
            </w:r>
            <w:r>
              <w:rPr>
                <w:webHidden/>
              </w:rPr>
              <w:instrText xml:space="preserve"> PAGEREF _Toc194319249 \h </w:instrText>
            </w:r>
            <w:r>
              <w:rPr>
                <w:webHidden/>
              </w:rPr>
            </w:r>
            <w:r>
              <w:rPr>
                <w:webHidden/>
              </w:rPr>
              <w:fldChar w:fldCharType="separate"/>
            </w:r>
            <w:r>
              <w:rPr>
                <w:webHidden/>
              </w:rPr>
              <w:t>18</w:t>
            </w:r>
            <w:r>
              <w:rPr>
                <w:webHidden/>
              </w:rPr>
              <w:fldChar w:fldCharType="end"/>
            </w:r>
          </w:hyperlink>
        </w:p>
        <w:p w14:paraId="07FA3A7B" w14:textId="08ECD62F" w:rsidR="00481A6C" w:rsidRDefault="00A621FE" w:rsidP="00481A6C">
          <w:pPr>
            <w:pStyle w:val="TOCHeading2"/>
          </w:pPr>
          <w:r>
            <w:rPr>
              <w:rFonts w:eastAsia="Calibri" w:cs="Times New Roman"/>
              <w:b w:val="0"/>
              <w:noProof/>
              <w:color w:val="000000" w:themeColor="text1"/>
              <w:sz w:val="24"/>
              <w:szCs w:val="24"/>
              <w:lang w:eastAsia="en-AU"/>
            </w:rPr>
            <w:fldChar w:fldCharType="end"/>
          </w:r>
        </w:p>
      </w:sdtContent>
    </w:sdt>
    <w:p w14:paraId="25A2483E" w14:textId="77777777" w:rsidR="00FE46F1" w:rsidRDefault="00FE46F1">
      <w:pPr>
        <w:spacing w:before="0" w:after="0" w:line="240" w:lineRule="auto"/>
        <w:rPr>
          <w:rFonts w:eastAsia="Times New Roman"/>
          <w:b/>
          <w:color w:val="FFFFFF" w:themeColor="background1"/>
          <w:szCs w:val="80"/>
          <w:lang w:eastAsia="en-US"/>
        </w:rPr>
      </w:pPr>
    </w:p>
    <w:p w14:paraId="5DBA37E8" w14:textId="77777777" w:rsidR="00201AF6" w:rsidRDefault="00201AF6">
      <w:pPr>
        <w:spacing w:before="0" w:after="0" w:line="240" w:lineRule="auto"/>
        <w:rPr>
          <w:rFonts w:eastAsia="Times New Roman"/>
          <w:b/>
          <w:bCs/>
          <w:iCs/>
          <w:color w:val="FFFFFF" w:themeColor="background1"/>
          <w:lang w:eastAsia="en-US"/>
        </w:rPr>
      </w:pPr>
      <w:r>
        <w:br w:type="page"/>
      </w:r>
    </w:p>
    <w:p w14:paraId="4BFFA0C3" w14:textId="4A49140E" w:rsidR="0078367D" w:rsidRPr="00036249" w:rsidRDefault="0078367D" w:rsidP="00036249">
      <w:pPr>
        <w:pStyle w:val="Heading4"/>
      </w:pPr>
      <w:bookmarkStart w:id="2" w:name="_Toc194319233"/>
      <w:r w:rsidRPr="00036249">
        <w:lastRenderedPageBreak/>
        <w:t>Guideline statement</w:t>
      </w:r>
      <w:bookmarkEnd w:id="2"/>
      <w:r w:rsidR="009746B1" w:rsidRPr="00036249">
        <w:t xml:space="preserve"> </w:t>
      </w:r>
    </w:p>
    <w:p w14:paraId="7EBEDA0F" w14:textId="77777777" w:rsidR="00A6051F" w:rsidRDefault="00A6051F" w:rsidP="00DA5524">
      <w:pPr>
        <w:pStyle w:val="Heading5"/>
        <w:rPr>
          <w:rStyle w:val="Heading5Char"/>
          <w:b/>
          <w:bCs/>
          <w:iCs/>
        </w:rPr>
      </w:pPr>
      <w:r w:rsidRPr="00A6051F">
        <w:rPr>
          <w:rStyle w:val="Heading5Char"/>
          <w:b/>
          <w:bCs/>
          <w:iCs/>
        </w:rPr>
        <w:t>Backgro</w:t>
      </w:r>
      <w:r>
        <w:rPr>
          <w:rStyle w:val="Heading5Char"/>
          <w:b/>
          <w:bCs/>
          <w:iCs/>
        </w:rPr>
        <w:t>und</w:t>
      </w:r>
    </w:p>
    <w:p w14:paraId="571D31BE" w14:textId="77777777" w:rsidR="00E90C94" w:rsidRPr="00E90C94" w:rsidRDefault="00E90C94" w:rsidP="00E90C94">
      <w:pPr>
        <w:pStyle w:val="BodyCopy"/>
        <w:rPr>
          <w:rFonts w:eastAsiaTheme="majorEastAsia"/>
        </w:rPr>
      </w:pPr>
      <w:r w:rsidRPr="00E90C94">
        <w:rPr>
          <w:rFonts w:eastAsiaTheme="majorEastAsia"/>
        </w:rPr>
        <w:t>In Australian hospitals, 18%–25% of inpatients are reported to have a documented antibiotic allergy (8.9% toward penicillin alone).</w:t>
      </w:r>
      <w:r w:rsidRPr="00E90C94">
        <w:rPr>
          <w:rFonts w:eastAsiaTheme="majorEastAsia"/>
          <w:vertAlign w:val="superscript"/>
        </w:rPr>
        <w:t>1-4</w:t>
      </w:r>
      <w:r w:rsidRPr="00E90C94">
        <w:rPr>
          <w:rFonts w:eastAsiaTheme="majorEastAsia"/>
        </w:rPr>
        <w:t xml:space="preserve"> A local audit reported that 12.6% of the inpatient discharges at Canberra Hospital between 1 December 2022 to 1 December 2023 had a documented allergy to beta-lactam antibiotic.</w:t>
      </w:r>
      <w:r w:rsidRPr="00E90C94">
        <w:rPr>
          <w:rFonts w:eastAsiaTheme="majorEastAsia"/>
          <w:vertAlign w:val="superscript"/>
        </w:rPr>
        <w:t xml:space="preserve">5 </w:t>
      </w:r>
      <w:r w:rsidRPr="00E90C94">
        <w:rPr>
          <w:rFonts w:eastAsiaTheme="majorEastAsia"/>
        </w:rPr>
        <w:t>A high proportion of these penicillin allergy ‘labels’ are false labels and reflect either a Type A (non-immune-mediated) reaction, an unknown reaction or were preceded by a viral illness.</w:t>
      </w:r>
      <w:r w:rsidRPr="00E90C94">
        <w:rPr>
          <w:rFonts w:eastAsiaTheme="majorEastAsia"/>
          <w:vertAlign w:val="superscript"/>
        </w:rPr>
        <w:t>6-8</w:t>
      </w:r>
      <w:r w:rsidRPr="00E90C94">
        <w:rPr>
          <w:rFonts w:eastAsiaTheme="majorEastAsia"/>
        </w:rPr>
        <w:t xml:space="preserve"> </w:t>
      </w:r>
    </w:p>
    <w:p w14:paraId="160A270F" w14:textId="77777777" w:rsidR="00E90C94" w:rsidRPr="00E90C94" w:rsidRDefault="00E90C94" w:rsidP="00E90C94">
      <w:pPr>
        <w:pStyle w:val="BodyCopy"/>
        <w:rPr>
          <w:rFonts w:eastAsiaTheme="majorEastAsia"/>
        </w:rPr>
      </w:pPr>
      <w:r w:rsidRPr="00E90C94">
        <w:rPr>
          <w:rFonts w:eastAsiaTheme="majorEastAsia"/>
        </w:rPr>
        <w:t>Patients with antibiotic allergy labels (AAL) have increased hospital length of stay (LOS)</w:t>
      </w:r>
      <w:r w:rsidRPr="00E90C94">
        <w:rPr>
          <w:rFonts w:eastAsiaTheme="majorEastAsia"/>
          <w:vertAlign w:val="superscript"/>
        </w:rPr>
        <w:t>9</w:t>
      </w:r>
      <w:r w:rsidRPr="00E90C94">
        <w:rPr>
          <w:rFonts w:eastAsiaTheme="majorEastAsia"/>
        </w:rPr>
        <w:t>, are more likely to be treated with potentially less effective</w:t>
      </w:r>
      <w:r w:rsidRPr="00E90C94">
        <w:rPr>
          <w:rFonts w:eastAsiaTheme="majorEastAsia"/>
          <w:vertAlign w:val="superscript"/>
        </w:rPr>
        <w:t>10-12</w:t>
      </w:r>
      <w:r w:rsidRPr="00E90C94">
        <w:rPr>
          <w:rFonts w:eastAsiaTheme="majorEastAsia"/>
        </w:rPr>
        <w:t xml:space="preserve"> or more costly</w:t>
      </w:r>
      <w:r w:rsidRPr="00E90C94">
        <w:rPr>
          <w:rFonts w:eastAsiaTheme="majorEastAsia"/>
          <w:vertAlign w:val="superscript"/>
        </w:rPr>
        <w:t>9,13</w:t>
      </w:r>
      <w:r w:rsidRPr="00E90C94">
        <w:rPr>
          <w:rFonts w:eastAsiaTheme="majorEastAsia"/>
        </w:rPr>
        <w:t xml:space="preserve"> second-line antibiotics, have higher hospital readmission rates and treatment-related adverse events and experience excess patient mortality.</w:t>
      </w:r>
      <w:r w:rsidRPr="00E90C94">
        <w:rPr>
          <w:rFonts w:eastAsiaTheme="majorEastAsia"/>
          <w:vertAlign w:val="superscript"/>
        </w:rPr>
        <w:t xml:space="preserve">14 </w:t>
      </w:r>
      <w:r w:rsidRPr="00E90C94">
        <w:rPr>
          <w:rFonts w:eastAsiaTheme="majorEastAsia"/>
        </w:rPr>
        <w:t xml:space="preserve">Patients with a penicillin AAL have also been demonstrated to have an increased prevalence of </w:t>
      </w:r>
      <w:r w:rsidRPr="00E90C94">
        <w:rPr>
          <w:rFonts w:eastAsiaTheme="majorEastAsia"/>
          <w:i/>
        </w:rPr>
        <w:t>Clostridioides difficile</w:t>
      </w:r>
      <w:r w:rsidRPr="00E90C94">
        <w:rPr>
          <w:rFonts w:eastAsiaTheme="majorEastAsia"/>
        </w:rPr>
        <w:t xml:space="preserve">, methicillin resistant </w:t>
      </w:r>
      <w:r w:rsidRPr="00E90C94">
        <w:rPr>
          <w:rFonts w:eastAsiaTheme="majorEastAsia"/>
          <w:i/>
        </w:rPr>
        <w:t>Staphylococcus aureus</w:t>
      </w:r>
      <w:r w:rsidRPr="00E90C94">
        <w:rPr>
          <w:rFonts w:eastAsiaTheme="majorEastAsia"/>
        </w:rPr>
        <w:t xml:space="preserve"> and vancomycin resistant </w:t>
      </w:r>
      <w:r w:rsidRPr="00E90C94">
        <w:rPr>
          <w:rFonts w:eastAsiaTheme="majorEastAsia"/>
          <w:i/>
        </w:rPr>
        <w:t>Enterococcus</w:t>
      </w:r>
      <w:r w:rsidRPr="00E90C94">
        <w:rPr>
          <w:rFonts w:eastAsiaTheme="majorEastAsia"/>
        </w:rPr>
        <w:t xml:space="preserve"> infections.</w:t>
      </w:r>
      <w:r w:rsidRPr="00E90C94">
        <w:rPr>
          <w:rFonts w:eastAsiaTheme="majorEastAsia"/>
          <w:vertAlign w:val="superscript"/>
        </w:rPr>
        <w:t>15-16</w:t>
      </w:r>
      <w:r w:rsidRPr="00E90C94">
        <w:rPr>
          <w:rFonts w:eastAsiaTheme="majorEastAsia"/>
        </w:rPr>
        <w:t xml:space="preserve"> </w:t>
      </w:r>
    </w:p>
    <w:p w14:paraId="1E89268B" w14:textId="77777777" w:rsidR="00E90C94" w:rsidRPr="00E90C94" w:rsidRDefault="00E90C94" w:rsidP="00E90C94">
      <w:pPr>
        <w:pStyle w:val="BodyCopy"/>
        <w:rPr>
          <w:rFonts w:eastAsiaTheme="majorEastAsia"/>
          <w:vertAlign w:val="superscript"/>
        </w:rPr>
      </w:pPr>
      <w:r w:rsidRPr="00E90C94">
        <w:rPr>
          <w:rFonts w:eastAsiaTheme="majorEastAsia"/>
        </w:rPr>
        <w:t>Penicillin allergy is the most frequently encountered drug allergy, with an estimated 10% of the global population affected.</w:t>
      </w:r>
      <w:r w:rsidRPr="00E90C94">
        <w:rPr>
          <w:rFonts w:eastAsiaTheme="majorEastAsia"/>
          <w:vertAlign w:val="superscript"/>
        </w:rPr>
        <w:t>18</w:t>
      </w:r>
      <w:r w:rsidRPr="00E90C94">
        <w:rPr>
          <w:rFonts w:eastAsiaTheme="majorEastAsia"/>
        </w:rPr>
        <w:t xml:space="preserve"> It has been demonstrated that more than 90% of patients labelled as having a penicillin allergy would be able to tolerate penicillins following appropriate assessment and allergy testing (direct oral challenge or skin testing).</w:t>
      </w:r>
      <w:r w:rsidRPr="00E90C94">
        <w:rPr>
          <w:rFonts w:eastAsiaTheme="majorEastAsia"/>
          <w:vertAlign w:val="superscript"/>
        </w:rPr>
        <w:t>19-20</w:t>
      </w:r>
    </w:p>
    <w:p w14:paraId="0E986FE6" w14:textId="7DDE12A9" w:rsidR="00E90C94" w:rsidRPr="00E90C94" w:rsidRDefault="00E90C94" w:rsidP="00E90C94">
      <w:pPr>
        <w:pStyle w:val="BodyCopy"/>
        <w:rPr>
          <w:rFonts w:eastAsiaTheme="majorEastAsia"/>
        </w:rPr>
      </w:pPr>
      <w:r>
        <w:rPr>
          <w:rStyle w:val="Heading5Char"/>
          <w:bCs/>
          <w:iCs/>
        </w:rPr>
        <w:t>Key Objective</w:t>
      </w:r>
      <w:r w:rsidRPr="00E90C94">
        <w:rPr>
          <w:rFonts w:eastAsiaTheme="majorEastAsia"/>
          <w:i/>
        </w:rPr>
        <w:br/>
      </w:r>
      <w:r w:rsidRPr="00E90C94">
        <w:rPr>
          <w:rFonts w:eastAsiaTheme="majorEastAsia"/>
        </w:rPr>
        <w:t xml:space="preserve">The key objective of this document is to provide guidance on the assessment of penicillin antibiotic allergy. This includes the identification of appropriate patients to have a direct oral challenge and guidance on test doses. </w:t>
      </w:r>
    </w:p>
    <w:p w14:paraId="6C216FAD" w14:textId="77777777" w:rsidR="00DA5524" w:rsidRPr="00DA5524" w:rsidRDefault="00DA5524" w:rsidP="00DA5524">
      <w:pPr>
        <w:pStyle w:val="Heading5"/>
      </w:pPr>
      <w:r w:rsidRPr="00DA5524">
        <w:t>Alerts</w:t>
      </w:r>
    </w:p>
    <w:p w14:paraId="3ECB659F" w14:textId="399771AD" w:rsidR="00E90C94" w:rsidRDefault="00E90C94" w:rsidP="00481A6C">
      <w:pPr>
        <w:pStyle w:val="BodyCopy"/>
        <w:rPr>
          <w:rFonts w:eastAsiaTheme="majorEastAsia"/>
        </w:rPr>
      </w:pPr>
      <w:r w:rsidRPr="00E90C94">
        <w:rPr>
          <w:rFonts w:eastAsiaTheme="majorEastAsia"/>
        </w:rPr>
        <w:t xml:space="preserve">The most </w:t>
      </w:r>
      <w:r w:rsidR="006D266D">
        <w:rPr>
          <w:rFonts w:eastAsiaTheme="majorEastAsia"/>
        </w:rPr>
        <w:t>serious</w:t>
      </w:r>
      <w:r w:rsidR="006D266D" w:rsidRPr="00E90C94">
        <w:rPr>
          <w:rFonts w:eastAsiaTheme="majorEastAsia"/>
        </w:rPr>
        <w:t xml:space="preserve"> </w:t>
      </w:r>
      <w:r w:rsidRPr="00E90C94">
        <w:rPr>
          <w:rFonts w:eastAsiaTheme="majorEastAsia"/>
        </w:rPr>
        <w:t xml:space="preserve">penicillin allergic hypersensitivity reactions are Stevens-Johnson syndrome (SJS) and toxic epidermal necrolysis (TEN). </w:t>
      </w:r>
      <w:r w:rsidR="006D266D">
        <w:rPr>
          <w:rFonts w:eastAsiaTheme="majorEastAsia"/>
        </w:rPr>
        <w:t>D</w:t>
      </w:r>
      <w:r w:rsidRPr="00E90C94">
        <w:rPr>
          <w:rFonts w:eastAsiaTheme="majorEastAsia"/>
        </w:rPr>
        <w:t>o not proceed with direct oral challenge if patient provides a history of blistering skin rash with mucosal (oral and genital) involvement.</w:t>
      </w:r>
    </w:p>
    <w:p w14:paraId="2554C751" w14:textId="21EDE733" w:rsidR="00481A6C" w:rsidRDefault="00481A6C" w:rsidP="00481A6C">
      <w:pPr>
        <w:pStyle w:val="BodyCopy"/>
        <w:rPr>
          <w:rStyle w:val="Hyperlink"/>
          <w:iCs w:val="0"/>
        </w:rPr>
      </w:pPr>
      <w:hyperlink w:anchor="_top" w:history="1">
        <w:r w:rsidRPr="00481A6C">
          <w:rPr>
            <w:rStyle w:val="Hyperlink"/>
            <w:iCs w:val="0"/>
          </w:rPr>
          <w:t>Back to Contents</w:t>
        </w:r>
      </w:hyperlink>
    </w:p>
    <w:p w14:paraId="406F365B" w14:textId="77777777" w:rsidR="0078367D" w:rsidRPr="00AC2EDE" w:rsidRDefault="0078367D" w:rsidP="00197F2E">
      <w:pPr>
        <w:pStyle w:val="Heading4"/>
      </w:pPr>
      <w:bookmarkStart w:id="3" w:name="_Toc194319234"/>
      <w:r w:rsidRPr="00AC2EDE">
        <w:rPr>
          <w:rStyle w:val="Hyperlink"/>
          <w:color w:val="FFFFFF" w:themeColor="background1"/>
          <w:u w:val="none"/>
        </w:rPr>
        <w:t>Scope</w:t>
      </w:r>
      <w:bookmarkEnd w:id="3"/>
    </w:p>
    <w:p w14:paraId="189CA7CE" w14:textId="366A4DF0" w:rsidR="00E90C94" w:rsidRPr="00305F14" w:rsidRDefault="00E90C94" w:rsidP="00E90C94">
      <w:pPr>
        <w:pStyle w:val="BodyCopy"/>
      </w:pPr>
      <w:r w:rsidRPr="00305F14">
        <w:t xml:space="preserve">This document applies to all CHS </w:t>
      </w:r>
      <w:r w:rsidR="00A6662E">
        <w:t xml:space="preserve">Network </w:t>
      </w:r>
      <w:r w:rsidRPr="00305F14">
        <w:t>team members working within their scope of practice, including:</w:t>
      </w:r>
    </w:p>
    <w:p w14:paraId="4CDE5A15" w14:textId="55D24E1D" w:rsidR="00E90C94" w:rsidRDefault="00E90C94" w:rsidP="00E90C94">
      <w:pPr>
        <w:pStyle w:val="Bullet"/>
      </w:pPr>
      <w:r w:rsidRPr="00305F14">
        <w:t xml:space="preserve">Medical </w:t>
      </w:r>
      <w:r>
        <w:t>officers</w:t>
      </w:r>
    </w:p>
    <w:p w14:paraId="0932C614" w14:textId="59B46BEB" w:rsidR="00E90C94" w:rsidRPr="00305F14" w:rsidRDefault="00E90C94" w:rsidP="00E90C94">
      <w:pPr>
        <w:pStyle w:val="Bullet"/>
      </w:pPr>
      <w:r w:rsidRPr="00305F14">
        <w:t>Pharmacists</w:t>
      </w:r>
    </w:p>
    <w:p w14:paraId="7BE596B3" w14:textId="1827BF5B" w:rsidR="00E90C94" w:rsidRPr="00305F14" w:rsidRDefault="00E90C94" w:rsidP="00E90C94">
      <w:pPr>
        <w:pStyle w:val="Bullet"/>
      </w:pPr>
      <w:r w:rsidRPr="00305F14">
        <w:t>Registered Nurses and Midwives</w:t>
      </w:r>
    </w:p>
    <w:p w14:paraId="31D33C07" w14:textId="2DB7028B" w:rsidR="00E90C94" w:rsidRDefault="00E90C94" w:rsidP="00E90C94">
      <w:pPr>
        <w:pStyle w:val="Bullet"/>
      </w:pPr>
      <w:r w:rsidRPr="00305F14">
        <w:t>Enrolled Nurses</w:t>
      </w:r>
    </w:p>
    <w:p w14:paraId="08335552" w14:textId="344DA6C9" w:rsidR="00481A6C" w:rsidRDefault="00A6662E" w:rsidP="00481A6C">
      <w:pPr>
        <w:pStyle w:val="BodyCopy"/>
        <w:rPr>
          <w:iCs w:val="0"/>
        </w:rPr>
      </w:pPr>
      <w:r>
        <w:lastRenderedPageBreak/>
        <w:t xml:space="preserve">CHS Network includes CHS Network includes the inpatient facilities at Canberra Hospital, Clare Holland House, North Canberra Hospital, and University of Canberra Hospital and </w:t>
      </w:r>
      <w:r w:rsidR="000E1FC3">
        <w:t>community-based</w:t>
      </w:r>
      <w:r>
        <w:t xml:space="preserve"> services.</w:t>
      </w:r>
      <w:r w:rsidR="00481A6C">
        <w:br/>
      </w:r>
      <w:r w:rsidR="00481A6C">
        <w:br/>
      </w:r>
      <w:hyperlink w:anchor="_top" w:history="1">
        <w:r w:rsidR="00481A6C" w:rsidRPr="00481A6C">
          <w:rPr>
            <w:rStyle w:val="Hyperlink"/>
            <w:iCs w:val="0"/>
          </w:rPr>
          <w:t>Back to Contents</w:t>
        </w:r>
      </w:hyperlink>
    </w:p>
    <w:p w14:paraId="6CBBA65C" w14:textId="781EA040" w:rsidR="00481A6C" w:rsidRDefault="0078367D" w:rsidP="00E90C94">
      <w:pPr>
        <w:pStyle w:val="Heading4"/>
      </w:pPr>
      <w:bookmarkStart w:id="4" w:name="_Toc194319235"/>
      <w:r>
        <w:t xml:space="preserve">Section 1 </w:t>
      </w:r>
      <w:r w:rsidR="00E90C94">
        <w:t>–</w:t>
      </w:r>
      <w:r>
        <w:t xml:space="preserve"> </w:t>
      </w:r>
      <w:r w:rsidR="00E90C94">
        <w:t>Adverse drug reactions to antibiotics</w:t>
      </w:r>
      <w:bookmarkEnd w:id="4"/>
      <w:r w:rsidR="00481A6C">
        <w:t xml:space="preserve"> </w:t>
      </w:r>
    </w:p>
    <w:p w14:paraId="29E5F1EA" w14:textId="77777777" w:rsidR="00E90C94" w:rsidRPr="00E90C94" w:rsidRDefault="00E90C94" w:rsidP="00E90C94">
      <w:pPr>
        <w:pStyle w:val="BodyCopy"/>
      </w:pPr>
      <w:r w:rsidRPr="00E90C94">
        <w:t>Adverse drug reactions to antibiotics can be divided into two broad categories:</w:t>
      </w:r>
    </w:p>
    <w:p w14:paraId="757E6F61" w14:textId="77777777" w:rsidR="00E90C94" w:rsidRPr="00E90C94" w:rsidRDefault="00E90C94" w:rsidP="00C2309D">
      <w:pPr>
        <w:pStyle w:val="Bullet"/>
        <w:rPr>
          <w:lang w:val="en-US"/>
        </w:rPr>
      </w:pPr>
      <w:r w:rsidRPr="00E90C94">
        <w:t xml:space="preserve">Type A reactions: </w:t>
      </w:r>
      <w:r w:rsidRPr="00E90C94">
        <w:rPr>
          <w:lang w:val="en-US"/>
        </w:rPr>
        <w:t>Non-immune mediated – for example, cytopenia, increased serum creatinine and gastrointestinal intolerance.</w:t>
      </w:r>
    </w:p>
    <w:p w14:paraId="0E83C01F" w14:textId="77777777" w:rsidR="00E90C94" w:rsidRPr="00E90C94" w:rsidRDefault="00E90C94" w:rsidP="00C2309D">
      <w:pPr>
        <w:pStyle w:val="Bullet"/>
        <w:rPr>
          <w:lang w:val="en-US"/>
        </w:rPr>
      </w:pPr>
      <w:r w:rsidRPr="00E90C94">
        <w:rPr>
          <w:lang w:val="en-US"/>
        </w:rPr>
        <w:t>Type B reactions: Immune-mediated – for example, rash, anaphylaxis, urticaria, angioedema, acute interstitial nephritis and severe cutaneous adverse reaction (SCAR). SCAR refers to a distinct group of diagnoses including Stevens-Johnson syndrome (SJS), toxic epidermal necrolysis (TEN), drug reaction with eosinophilia and systemic symptoms (DRESS) and acute generalised erythematous pustulosis (AGEP).</w:t>
      </w:r>
    </w:p>
    <w:p w14:paraId="6F6E1DAE" w14:textId="77777777" w:rsidR="00E90C94" w:rsidRPr="00E90C94" w:rsidRDefault="00E90C94" w:rsidP="00E90C94">
      <w:pPr>
        <w:pStyle w:val="BodyCopy"/>
      </w:pPr>
      <w:r w:rsidRPr="00E90C94">
        <w:t>For immune mediated reactions, the World Allergy Organization (WAO) has recommended categorizing immunologic drug reactions based on the timing of the appearance of symptoms.</w:t>
      </w:r>
      <w:r w:rsidRPr="00E90C94">
        <w:rPr>
          <w:vertAlign w:val="superscript"/>
        </w:rPr>
        <w:t>17</w:t>
      </w:r>
      <w:r w:rsidRPr="00E90C94">
        <w:t xml:space="preserve"> This system defines two general types of reactions: </w:t>
      </w:r>
    </w:p>
    <w:p w14:paraId="6E7593CB" w14:textId="05FC24AB" w:rsidR="00E90C94" w:rsidRPr="00E90C94" w:rsidRDefault="00E90C94" w:rsidP="00C2309D">
      <w:pPr>
        <w:pStyle w:val="Bullet"/>
      </w:pPr>
      <w:r w:rsidRPr="00E90C94">
        <w:t>Immediate reactions – classically begin within one hour of the initial dose in a course or within one hour of the last administered dose. Symptoms may appear slightly later if the drug was administered orally or taken with food so that absorption is slowed. When allergic sensitisation first develops, the initial symptoms may appear during the latter days of treatment (i.e. not following the first dose of the course) but usually within one hour of the last administered dose and then escalate rapidly. Immediate reactions to penicillins are often immunoglobulin E (IgE)-mediated, and signs and symptoms reflect widespread activation of mast cells.</w:t>
      </w:r>
    </w:p>
    <w:p w14:paraId="2FB3CF0E" w14:textId="06699B70" w:rsidR="00E90C94" w:rsidRPr="00E90C94" w:rsidRDefault="00E90C94" w:rsidP="00C2309D">
      <w:pPr>
        <w:pStyle w:val="Bullet"/>
      </w:pPr>
      <w:r w:rsidRPr="00E90C94">
        <w:t xml:space="preserve">Delayed (non-immediate) reactions – usually appear after more than one dose of the drug and typically after days of treatment. For example, delayed cutaneous maculopapular eruptions to amoxicillin classically start on day 7 to 10 of treatment and may even begin </w:t>
      </w:r>
      <w:r w:rsidR="00B059C4">
        <w:t>one</w:t>
      </w:r>
      <w:r w:rsidRPr="00E90C94">
        <w:t xml:space="preserve"> to </w:t>
      </w:r>
      <w:r w:rsidR="00B059C4">
        <w:t>three</w:t>
      </w:r>
      <w:r w:rsidRPr="00E90C94">
        <w:t xml:space="preserve"> days after treatment has ceased. The symptoms typically begin several hours after the last administered dose, although the timing relative to the last administered dose is variable. However, symptoms should not begin within one hour of the initial dose of a medication. There are different mechanisms underlying various forms of delayed reactions, but they are not IgE-mediated.</w:t>
      </w:r>
    </w:p>
    <w:p w14:paraId="201B0CC0" w14:textId="77777777" w:rsidR="00E90C94" w:rsidRPr="00E90C94" w:rsidRDefault="00E90C94" w:rsidP="00E90C94">
      <w:pPr>
        <w:pStyle w:val="BodyCopy"/>
      </w:pPr>
      <w:r w:rsidRPr="00E90C94">
        <w:t>Although this classification is helpful in many cases, patients often do not recall the timing with which symptoms began, and not all drug reactions can be temporally classified.</w:t>
      </w:r>
    </w:p>
    <w:p w14:paraId="468D51B1" w14:textId="78CD5C9E" w:rsidR="00E90C94" w:rsidRPr="00E90C94" w:rsidRDefault="00E90C94" w:rsidP="00E90C94">
      <w:pPr>
        <w:pStyle w:val="BodyCopy"/>
      </w:pPr>
      <w:r w:rsidRPr="00E90C94">
        <w:t xml:space="preserve">De-labelling or taking away false penicillin allergy labels facilitates optimal healthcare, both in hospital and in the community, reduces antibiotic costs and supports the principles of </w:t>
      </w:r>
      <w:r w:rsidRPr="00E90C94">
        <w:lastRenderedPageBreak/>
        <w:t>antimicrobial stewardship (AMS). Patients assessed to be at low risk of clinically significant allergy (PEN-FAST score of 0-1</w:t>
      </w:r>
      <w:r w:rsidR="001A5E8F">
        <w:t>, see Definition of Terms</w:t>
      </w:r>
      <w:r w:rsidRPr="00E90C94">
        <w:t>) may undergo the direct oral antibiotic challenge, negating the need for specialised skin prick allergy testing. This approach has been shown to be effective and safe.</w:t>
      </w:r>
      <w:r w:rsidRPr="00E90C94">
        <w:rPr>
          <w:vertAlign w:val="superscript"/>
        </w:rPr>
        <w:t>21</w:t>
      </w:r>
    </w:p>
    <w:p w14:paraId="6BC0206F" w14:textId="77777777" w:rsidR="00481A6C" w:rsidRPr="00481A6C" w:rsidRDefault="00481A6C" w:rsidP="005C5F49">
      <w:pPr>
        <w:pStyle w:val="BodyCopy"/>
        <w:spacing w:before="240"/>
      </w:pPr>
      <w:hyperlink w:anchor="_top" w:history="1">
        <w:r w:rsidRPr="00481A6C">
          <w:rPr>
            <w:rStyle w:val="Hyperlink"/>
            <w:iCs w:val="0"/>
          </w:rPr>
          <w:t>Back to Contents</w:t>
        </w:r>
      </w:hyperlink>
    </w:p>
    <w:p w14:paraId="44A921A2" w14:textId="0869E6A2" w:rsidR="0078367D" w:rsidRDefault="0078367D" w:rsidP="00A6051F">
      <w:pPr>
        <w:pStyle w:val="Heading4"/>
      </w:pPr>
      <w:bookmarkStart w:id="5" w:name="_Toc194319236"/>
      <w:r>
        <w:t xml:space="preserve">Section 2 </w:t>
      </w:r>
      <w:r w:rsidR="0063769A">
        <w:t xml:space="preserve">– </w:t>
      </w:r>
      <w:r w:rsidR="00E90C94">
        <w:t>Assessment</w:t>
      </w:r>
      <w:bookmarkEnd w:id="5"/>
    </w:p>
    <w:p w14:paraId="3461B5CC" w14:textId="7A9EB113" w:rsidR="00E90C94" w:rsidRPr="00E90C94" w:rsidRDefault="00E90C94" w:rsidP="00E90C94">
      <w:pPr>
        <w:pStyle w:val="BodyCopy"/>
        <w:rPr>
          <w:lang w:val="en-US"/>
        </w:rPr>
      </w:pPr>
      <w:r w:rsidRPr="00E90C94">
        <w:rPr>
          <w:lang w:val="en-US"/>
        </w:rPr>
        <w:t xml:space="preserve">All patients require a detailed allergy history </w:t>
      </w:r>
      <w:r w:rsidR="006D266D">
        <w:rPr>
          <w:lang w:val="en-US"/>
        </w:rPr>
        <w:t xml:space="preserve">to be taken </w:t>
      </w:r>
      <w:r w:rsidRPr="00E90C94">
        <w:rPr>
          <w:lang w:val="en-US"/>
        </w:rPr>
        <w:t>by a medical officer or pharmacist, including the:</w:t>
      </w:r>
    </w:p>
    <w:p w14:paraId="23880F94" w14:textId="77777777" w:rsidR="00E90C94" w:rsidRPr="00E90C94" w:rsidRDefault="00E90C94" w:rsidP="00C2309D">
      <w:pPr>
        <w:pStyle w:val="Bullet"/>
      </w:pPr>
      <w:r w:rsidRPr="00E90C94">
        <w:t xml:space="preserve">date of reaction </w:t>
      </w:r>
    </w:p>
    <w:p w14:paraId="35CA6AA5" w14:textId="77777777" w:rsidR="00E90C94" w:rsidRPr="00E90C94" w:rsidRDefault="00E90C94" w:rsidP="00C2309D">
      <w:pPr>
        <w:pStyle w:val="Bullet"/>
      </w:pPr>
      <w:r w:rsidRPr="00E90C94">
        <w:t xml:space="preserve">specific drug which caused the reaction </w:t>
      </w:r>
    </w:p>
    <w:p w14:paraId="316A1987" w14:textId="77777777" w:rsidR="00E90C94" w:rsidRPr="00E90C94" w:rsidRDefault="00E90C94" w:rsidP="00C2309D">
      <w:pPr>
        <w:pStyle w:val="Bullet"/>
      </w:pPr>
      <w:r w:rsidRPr="00E90C94">
        <w:t>route of administration of the drug</w:t>
      </w:r>
    </w:p>
    <w:p w14:paraId="4E6224DC" w14:textId="77777777" w:rsidR="00E90C94" w:rsidRPr="00E90C94" w:rsidRDefault="00E90C94" w:rsidP="00C2309D">
      <w:pPr>
        <w:pStyle w:val="Bullet"/>
      </w:pPr>
      <w:r w:rsidRPr="00E90C94">
        <w:t xml:space="preserve">indication for the drug at the time of reaction </w:t>
      </w:r>
    </w:p>
    <w:p w14:paraId="262CFD71" w14:textId="77777777" w:rsidR="00E90C94" w:rsidRPr="00E90C94" w:rsidRDefault="00E90C94" w:rsidP="00C2309D">
      <w:pPr>
        <w:pStyle w:val="Bullet"/>
      </w:pPr>
      <w:r w:rsidRPr="00E90C94">
        <w:t>details of reaction</w:t>
      </w:r>
    </w:p>
    <w:p w14:paraId="270392A6" w14:textId="77777777" w:rsidR="00E90C94" w:rsidRPr="00E90C94" w:rsidRDefault="00E90C94" w:rsidP="00C2309D">
      <w:pPr>
        <w:pStyle w:val="Bullet"/>
      </w:pPr>
      <w:r w:rsidRPr="00E90C94">
        <w:t xml:space="preserve">whether medical treatment was required at time of allergy </w:t>
      </w:r>
    </w:p>
    <w:p w14:paraId="4F1D9F6E" w14:textId="77777777" w:rsidR="00E90C94" w:rsidRPr="00E90C94" w:rsidRDefault="00E90C94" w:rsidP="00C2309D">
      <w:pPr>
        <w:pStyle w:val="Bullet"/>
      </w:pPr>
      <w:r w:rsidRPr="00E90C94">
        <w:t>how long the reaction persisted for</w:t>
      </w:r>
    </w:p>
    <w:p w14:paraId="3E7A107C" w14:textId="77777777" w:rsidR="00E90C94" w:rsidRPr="00E90C94" w:rsidRDefault="00E90C94" w:rsidP="00C2309D">
      <w:pPr>
        <w:pStyle w:val="Bullet"/>
      </w:pPr>
      <w:r w:rsidRPr="00E90C94">
        <w:t>other penicillins or beta lactams the patient has tolerated since the reaction (if previous reactions were penicillin based).</w:t>
      </w:r>
    </w:p>
    <w:p w14:paraId="6BD7307F" w14:textId="77777777" w:rsidR="00E90C94" w:rsidRPr="00E90C94" w:rsidRDefault="00E90C94" w:rsidP="00E90C94">
      <w:pPr>
        <w:pStyle w:val="BodyCopy"/>
      </w:pPr>
      <w:r w:rsidRPr="00E90C94">
        <w:t xml:space="preserve">The medical officer or pharmacist who has taken the history should document the responses to the above in the patient’s clinical record. Ideally, this information should be confirmed by contacting the general practitioner (GP) or reviewing the patient’s clinical records of the original reaction. Previously tolerated antibiotics should be confirmed with the patient’s community pharmacy or GP records. </w:t>
      </w:r>
    </w:p>
    <w:p w14:paraId="396C74F8" w14:textId="77777777" w:rsidR="00E90C94" w:rsidRPr="00E90C94" w:rsidRDefault="00E90C94" w:rsidP="00E90C94">
      <w:pPr>
        <w:pStyle w:val="BodyCopy"/>
      </w:pPr>
      <w:r w:rsidRPr="00E90C94">
        <w:t xml:space="preserve">Depending on the level of risk, patients with penicillin allergy may: </w:t>
      </w:r>
    </w:p>
    <w:p w14:paraId="10D01940" w14:textId="77777777" w:rsidR="00E90C94" w:rsidRPr="00E90C94" w:rsidRDefault="00E90C94" w:rsidP="00C2309D">
      <w:pPr>
        <w:pStyle w:val="Bullet"/>
      </w:pPr>
      <w:r w:rsidRPr="00E90C94">
        <w:t>progress to oral drug challenge</w:t>
      </w:r>
    </w:p>
    <w:p w14:paraId="1A6566D9" w14:textId="77777777" w:rsidR="00E90C94" w:rsidRPr="00E90C94" w:rsidRDefault="00E90C94" w:rsidP="00C2309D">
      <w:pPr>
        <w:pStyle w:val="Bullet"/>
      </w:pPr>
      <w:r w:rsidRPr="00E90C94">
        <w:t>be referred to Immunology for skin prick testing</w:t>
      </w:r>
    </w:p>
    <w:p w14:paraId="61005386" w14:textId="2918A987" w:rsidR="00E90C94" w:rsidRPr="00E90C94" w:rsidRDefault="00E90C94" w:rsidP="00C2309D">
      <w:pPr>
        <w:pStyle w:val="Bullet"/>
      </w:pPr>
      <w:r w:rsidRPr="00E90C94">
        <w:t xml:space="preserve">have their allergy documented as severe with a contraindication to rechallenge in the future. </w:t>
      </w:r>
    </w:p>
    <w:p w14:paraId="64912D7E" w14:textId="77777777" w:rsidR="00E90C94" w:rsidRPr="00E90C94" w:rsidRDefault="00E90C94" w:rsidP="00E90C94">
      <w:pPr>
        <w:pStyle w:val="Heading5"/>
        <w:rPr>
          <w:rFonts w:eastAsia="Times New Roman"/>
        </w:rPr>
      </w:pPr>
      <w:r w:rsidRPr="00E90C94">
        <w:rPr>
          <w:rFonts w:eastAsia="Times New Roman"/>
        </w:rPr>
        <w:t>Cross reactivity</w:t>
      </w:r>
    </w:p>
    <w:p w14:paraId="308B379B" w14:textId="77777777" w:rsidR="00E90C94" w:rsidRPr="00E90C94" w:rsidRDefault="00E90C94" w:rsidP="00E90C94">
      <w:pPr>
        <w:pStyle w:val="BodyCopy"/>
      </w:pPr>
      <w:r w:rsidRPr="00E90C94">
        <w:t xml:space="preserve">Assessment of appropriateness of cephalosporins and carbapenems in patients with a penicillin allergy can be undertaken based on reaction details, other tolerated medications and side chain profiles of the drugs involved. </w:t>
      </w:r>
    </w:p>
    <w:p w14:paraId="67E1004F" w14:textId="77777777" w:rsidR="00E90C94" w:rsidRPr="00E90C94" w:rsidRDefault="00E90C94" w:rsidP="00E90C94">
      <w:pPr>
        <w:pStyle w:val="BodyCopy"/>
      </w:pPr>
      <w:r w:rsidRPr="00E90C94">
        <w:t>Beta-lactam antibiotics have a basic chemical structure of a beta-lactam ring and side chains (most commonly the R1 and R2 side chains). Beta-lactam antibiotics include penicillins, cephalosporins, carbapenems and monobactams. Cephalosporins have both R1 and R2 side chains while penicillins only have R1.</w:t>
      </w:r>
    </w:p>
    <w:p w14:paraId="3DD5D015" w14:textId="77777777" w:rsidR="00E90C94" w:rsidRPr="00E90C94" w:rsidRDefault="00E90C94" w:rsidP="00E90C94">
      <w:pPr>
        <w:pStyle w:val="BodyCopy"/>
      </w:pPr>
      <w:r w:rsidRPr="00E90C94">
        <w:lastRenderedPageBreak/>
        <w:t>The overall cross-reactivity between penicillins and cephalosporins that do not share the same side chains is estimated at</w:t>
      </w:r>
      <w:r w:rsidRPr="001A5E8F">
        <w:rPr>
          <w:bCs w:val="0"/>
        </w:rPr>
        <w:t xml:space="preserve"> &lt;2%.</w:t>
      </w:r>
      <w:r w:rsidRPr="00E90C94">
        <w:t xml:space="preserve"> It is thought to be generally safe to give a third- or fourth-generation cephalosporin or carbapenems in patients with PEN-FAST score of 0-1 (see Attachment 1).</w:t>
      </w:r>
    </w:p>
    <w:p w14:paraId="68B42F31" w14:textId="3FDBE9BF" w:rsidR="00E90C94" w:rsidRPr="00E90C94" w:rsidRDefault="00E90C94" w:rsidP="00E90C94">
      <w:pPr>
        <w:pStyle w:val="BodyCopy"/>
      </w:pPr>
      <w:r w:rsidRPr="00E90C94">
        <w:t>Clinically relevant cross-reactivity:</w:t>
      </w:r>
    </w:p>
    <w:p w14:paraId="638363A9" w14:textId="77777777" w:rsidR="00E90C94" w:rsidRPr="00E90C94" w:rsidRDefault="00E90C94" w:rsidP="00E90C94">
      <w:pPr>
        <w:pStyle w:val="Bullet"/>
      </w:pPr>
      <w:r w:rsidRPr="00E90C94">
        <w:t>Similar side chains – penicillins (R1): penicillin VK and penicillin G</w:t>
      </w:r>
    </w:p>
    <w:p w14:paraId="429323B6" w14:textId="77777777" w:rsidR="00E90C94" w:rsidRPr="00E90C94" w:rsidRDefault="00E90C94" w:rsidP="00E90C94">
      <w:pPr>
        <w:pStyle w:val="Bullet"/>
      </w:pPr>
      <w:r w:rsidRPr="00E90C94">
        <w:t>Shared side chains – penicillins and cephalosporins (R1): amoxicillin, ampicillin, cefalexin, cefaclor</w:t>
      </w:r>
    </w:p>
    <w:p w14:paraId="21CDC460" w14:textId="77777777" w:rsidR="00E90C94" w:rsidRPr="00E90C94" w:rsidRDefault="00E90C94" w:rsidP="00E90C94">
      <w:pPr>
        <w:pStyle w:val="Bullet"/>
      </w:pPr>
      <w:r w:rsidRPr="00E90C94">
        <w:t xml:space="preserve">Shared side chains – cephalosporins (R1): cefalexin, cefaclor; cefepime, ceftriaxone, cefotaxime; ceftazidime, aztreonam </w:t>
      </w:r>
    </w:p>
    <w:p w14:paraId="6DF366BF" w14:textId="77777777" w:rsidR="00E90C94" w:rsidRPr="00E90C94" w:rsidRDefault="00E90C94" w:rsidP="00E90C94">
      <w:pPr>
        <w:pStyle w:val="Bullet"/>
      </w:pPr>
      <w:r w:rsidRPr="00E90C94">
        <w:t>No shared side chains – penicillins and cephalosporins (R1): cefazolin</w:t>
      </w:r>
    </w:p>
    <w:p w14:paraId="7D90AC32" w14:textId="72A3130F" w:rsidR="00E90C94" w:rsidRDefault="00E90C94" w:rsidP="0091462B">
      <w:pPr>
        <w:pStyle w:val="BodyCopy"/>
      </w:pPr>
      <w:r w:rsidRPr="00E90C94">
        <w:t>Note that cross-reactivity among these drugs is up to 30% in European studies.</w:t>
      </w:r>
      <w:r w:rsidRPr="00E90C94">
        <w:rPr>
          <w:vertAlign w:val="superscript"/>
        </w:rPr>
        <w:t>22-23</w:t>
      </w:r>
    </w:p>
    <w:p w14:paraId="5FD0DDDE" w14:textId="489EDD51" w:rsidR="00481A6C" w:rsidRDefault="00481A6C" w:rsidP="0091462B">
      <w:pPr>
        <w:pStyle w:val="BodyCopy"/>
      </w:pPr>
      <w:hyperlink w:anchor="_top" w:history="1">
        <w:r w:rsidRPr="00481A6C">
          <w:rPr>
            <w:rStyle w:val="Hyperlink"/>
            <w:iCs w:val="0"/>
          </w:rPr>
          <w:t>Back to Contents</w:t>
        </w:r>
      </w:hyperlink>
    </w:p>
    <w:p w14:paraId="6ADC7738" w14:textId="18DE767A" w:rsidR="0078367D" w:rsidRDefault="0078367D" w:rsidP="00A6051F">
      <w:pPr>
        <w:pStyle w:val="Heading4"/>
      </w:pPr>
      <w:bookmarkStart w:id="6" w:name="_Toc194319237"/>
      <w:r w:rsidRPr="0078367D">
        <w:t xml:space="preserve">Section </w:t>
      </w:r>
      <w:r w:rsidR="00E90C94">
        <w:t>3</w:t>
      </w:r>
      <w:r w:rsidRPr="0078367D">
        <w:t xml:space="preserve"> </w:t>
      </w:r>
      <w:r w:rsidR="00E90C94">
        <w:t>–</w:t>
      </w:r>
      <w:r w:rsidRPr="0078367D">
        <w:t xml:space="preserve"> </w:t>
      </w:r>
      <w:r w:rsidR="00E90C94">
        <w:t xml:space="preserve">Patient </w:t>
      </w:r>
      <w:r w:rsidR="00DC4E6C">
        <w:t>s</w:t>
      </w:r>
      <w:r w:rsidR="00E90C94">
        <w:t xml:space="preserve">election for </w:t>
      </w:r>
      <w:r w:rsidR="00DC4E6C">
        <w:t>d</w:t>
      </w:r>
      <w:r w:rsidR="00E90C94">
        <w:t xml:space="preserve">irect </w:t>
      </w:r>
      <w:r w:rsidR="00DC4E6C">
        <w:t>o</w:t>
      </w:r>
      <w:r w:rsidR="00E90C94">
        <w:t xml:space="preserve">ral </w:t>
      </w:r>
      <w:r w:rsidR="00DC4E6C">
        <w:t>c</w:t>
      </w:r>
      <w:r w:rsidR="00E90C94">
        <w:t>hallenge</w:t>
      </w:r>
      <w:bookmarkEnd w:id="6"/>
    </w:p>
    <w:p w14:paraId="4DE597F2" w14:textId="77777777" w:rsidR="00DC4E6C" w:rsidRPr="00DC4E6C" w:rsidRDefault="00DC4E6C" w:rsidP="00DC4E6C">
      <w:pPr>
        <w:pStyle w:val="Heading5"/>
        <w:rPr>
          <w:rFonts w:eastAsia="Times New Roman"/>
        </w:rPr>
      </w:pPr>
      <w:r w:rsidRPr="00DC4E6C">
        <w:rPr>
          <w:rFonts w:eastAsia="Times New Roman"/>
        </w:rPr>
        <w:t xml:space="preserve">Inclusion criteria (patients who are suitable for oral challenge): </w:t>
      </w:r>
    </w:p>
    <w:p w14:paraId="7C02EF89" w14:textId="77777777" w:rsidR="00DC4E6C" w:rsidRPr="00DC4E6C" w:rsidRDefault="00DC4E6C" w:rsidP="00C2309D">
      <w:pPr>
        <w:pStyle w:val="Bullet"/>
      </w:pPr>
      <w:r w:rsidRPr="00DC4E6C">
        <w:t>Medically stable</w:t>
      </w:r>
    </w:p>
    <w:p w14:paraId="17AC45B2" w14:textId="77777777" w:rsidR="00DC4E6C" w:rsidRPr="00DC4E6C" w:rsidRDefault="00DC4E6C" w:rsidP="00C2309D">
      <w:pPr>
        <w:pStyle w:val="Bullet"/>
      </w:pPr>
      <w:r w:rsidRPr="00DC4E6C">
        <w:t>Age &gt;16 years</w:t>
      </w:r>
    </w:p>
    <w:p w14:paraId="11FE364E" w14:textId="01F0CD53" w:rsidR="00DC4E6C" w:rsidRPr="00DC4E6C" w:rsidRDefault="00DC4E6C" w:rsidP="00C2309D">
      <w:pPr>
        <w:pStyle w:val="Bullet"/>
      </w:pPr>
      <w:r w:rsidRPr="00DC4E6C">
        <w:t xml:space="preserve">PEN-FAST score of 0-1 (according to PEN-FAST allergy assessment tool (see </w:t>
      </w:r>
      <w:r w:rsidR="001A5E8F">
        <w:t>Attachment 1</w:t>
      </w:r>
      <w:r w:rsidRPr="00DC4E6C">
        <w:t xml:space="preserve">). </w:t>
      </w:r>
    </w:p>
    <w:p w14:paraId="6075FAC4" w14:textId="77777777" w:rsidR="00DC4E6C" w:rsidRPr="00DC4E6C" w:rsidRDefault="00DC4E6C" w:rsidP="00DC4E6C">
      <w:pPr>
        <w:pStyle w:val="Heading5"/>
        <w:rPr>
          <w:rFonts w:eastAsia="Times New Roman"/>
        </w:rPr>
      </w:pPr>
      <w:r w:rsidRPr="00DC4E6C">
        <w:rPr>
          <w:rFonts w:eastAsia="Times New Roman"/>
        </w:rPr>
        <w:t>Exclusion criteria (patients who are unsuitable for direct oral challenge):</w:t>
      </w:r>
    </w:p>
    <w:p w14:paraId="29222665" w14:textId="77777777" w:rsidR="00DC4E6C" w:rsidRPr="00DC4E6C" w:rsidRDefault="00DC4E6C" w:rsidP="00DC4E6C">
      <w:pPr>
        <w:pStyle w:val="BodyCopy"/>
      </w:pPr>
      <w:r w:rsidRPr="00DC4E6C">
        <w:t>The patient is not suitable for oral antibiotic challenge if their reaction is listed below. In this case an alternative antibiotic should be selected. If other options are contraindicated, please contact the Infectious Diseases (ID) team via switch for advice.</w:t>
      </w:r>
    </w:p>
    <w:p w14:paraId="1E27A777" w14:textId="77777777" w:rsidR="00DC4E6C" w:rsidRPr="00DC4E6C" w:rsidRDefault="00DC4E6C" w:rsidP="00DC4E6C">
      <w:pPr>
        <w:pStyle w:val="Bullet"/>
      </w:pPr>
      <w:r w:rsidRPr="00DC4E6C">
        <w:t xml:space="preserve">Severe cutaneous adverse reactions (SCARs): </w:t>
      </w:r>
    </w:p>
    <w:p w14:paraId="7250519A" w14:textId="77777777" w:rsidR="00DC4E6C" w:rsidRPr="00DC4E6C" w:rsidRDefault="00DC4E6C" w:rsidP="00DC4E6C">
      <w:pPr>
        <w:pStyle w:val="Bullet"/>
        <w:numPr>
          <w:ilvl w:val="1"/>
          <w:numId w:val="1"/>
        </w:numPr>
      </w:pPr>
      <w:r w:rsidRPr="00DC4E6C">
        <w:t xml:space="preserve">Acute generalised exanthematous pustulosis (AGEP) </w:t>
      </w:r>
    </w:p>
    <w:p w14:paraId="0E5764D4" w14:textId="77777777" w:rsidR="00DC4E6C" w:rsidRPr="00DC4E6C" w:rsidRDefault="00DC4E6C" w:rsidP="00DC4E6C">
      <w:pPr>
        <w:pStyle w:val="Bullet"/>
        <w:numPr>
          <w:ilvl w:val="1"/>
          <w:numId w:val="1"/>
        </w:numPr>
      </w:pPr>
      <w:r w:rsidRPr="00DC4E6C">
        <w:t xml:space="preserve">Drug-induced hypersensitivity syndrome  </w:t>
      </w:r>
    </w:p>
    <w:p w14:paraId="49C3D170" w14:textId="77777777" w:rsidR="00DC4E6C" w:rsidRPr="00DC4E6C" w:rsidRDefault="00DC4E6C" w:rsidP="00DC4E6C">
      <w:pPr>
        <w:pStyle w:val="Bullet"/>
        <w:numPr>
          <w:ilvl w:val="1"/>
          <w:numId w:val="1"/>
        </w:numPr>
      </w:pPr>
      <w:r w:rsidRPr="00DC4E6C">
        <w:t>Drug reaction with eosinophilia and systemic symptoms (DRESS)</w:t>
      </w:r>
    </w:p>
    <w:p w14:paraId="784686E8" w14:textId="6FB5BF19" w:rsidR="00DC4E6C" w:rsidRPr="00DC4E6C" w:rsidRDefault="00DC4E6C" w:rsidP="00DC4E6C">
      <w:pPr>
        <w:pStyle w:val="Bullet"/>
        <w:numPr>
          <w:ilvl w:val="1"/>
          <w:numId w:val="1"/>
        </w:numPr>
      </w:pPr>
      <w:r w:rsidRPr="00DC4E6C">
        <w:t>Severe bullous exanthems e.g. Stevens-Johnson syndrome (SJS), toxic epidermal necrolysis (TEN)</w:t>
      </w:r>
      <w:r w:rsidR="001A5E8F">
        <w:t>.</w:t>
      </w:r>
    </w:p>
    <w:p w14:paraId="44B26E96" w14:textId="77777777" w:rsidR="00DC4E6C" w:rsidRPr="00DC4E6C" w:rsidRDefault="00DC4E6C" w:rsidP="00DC4E6C">
      <w:pPr>
        <w:pStyle w:val="Bullet"/>
      </w:pPr>
      <w:r w:rsidRPr="00DC4E6C">
        <w:t xml:space="preserve">Severe non-cutaneous adverse reactions (not suitable for oral rechallenge): </w:t>
      </w:r>
    </w:p>
    <w:p w14:paraId="0C495786" w14:textId="77777777" w:rsidR="00DC4E6C" w:rsidRPr="00DC4E6C" w:rsidRDefault="00DC4E6C" w:rsidP="00DC4E6C">
      <w:pPr>
        <w:pStyle w:val="Bullet"/>
        <w:numPr>
          <w:ilvl w:val="1"/>
          <w:numId w:val="1"/>
        </w:numPr>
      </w:pPr>
      <w:r w:rsidRPr="00DC4E6C">
        <w:t xml:space="preserve">Pneumonitis </w:t>
      </w:r>
    </w:p>
    <w:p w14:paraId="74AF59C9" w14:textId="77777777" w:rsidR="00DC4E6C" w:rsidRPr="00DC4E6C" w:rsidRDefault="00DC4E6C" w:rsidP="00DC4E6C">
      <w:pPr>
        <w:pStyle w:val="Bullet"/>
        <w:numPr>
          <w:ilvl w:val="1"/>
          <w:numId w:val="1"/>
        </w:numPr>
      </w:pPr>
      <w:r w:rsidRPr="00DC4E6C">
        <w:t>Serum sickness</w:t>
      </w:r>
    </w:p>
    <w:p w14:paraId="0614775F" w14:textId="77777777" w:rsidR="00DC4E6C" w:rsidRPr="00DC4E6C" w:rsidRDefault="00DC4E6C" w:rsidP="00DC4E6C">
      <w:pPr>
        <w:pStyle w:val="Bullet"/>
        <w:numPr>
          <w:ilvl w:val="1"/>
          <w:numId w:val="1"/>
        </w:numPr>
      </w:pPr>
      <w:r w:rsidRPr="00DC4E6C">
        <w:t xml:space="preserve">Acute interstitial nephritis </w:t>
      </w:r>
    </w:p>
    <w:p w14:paraId="5A343B05" w14:textId="77777777" w:rsidR="00DC4E6C" w:rsidRPr="00DC4E6C" w:rsidRDefault="00DC4E6C" w:rsidP="00DC4E6C">
      <w:pPr>
        <w:pStyle w:val="Bullet"/>
        <w:numPr>
          <w:ilvl w:val="1"/>
          <w:numId w:val="1"/>
        </w:numPr>
      </w:pPr>
      <w:r w:rsidRPr="00DC4E6C">
        <w:t>Drug-induced cytopenia</w:t>
      </w:r>
    </w:p>
    <w:p w14:paraId="20C921E9" w14:textId="77777777" w:rsidR="00DC4E6C" w:rsidRPr="00DC4E6C" w:rsidRDefault="00DC4E6C" w:rsidP="00DC4E6C">
      <w:pPr>
        <w:pStyle w:val="Bullet"/>
        <w:numPr>
          <w:ilvl w:val="1"/>
          <w:numId w:val="1"/>
        </w:numPr>
      </w:pPr>
      <w:r w:rsidRPr="00DC4E6C">
        <w:t xml:space="preserve">Haemolytic anaemia </w:t>
      </w:r>
    </w:p>
    <w:p w14:paraId="5F269B1E" w14:textId="2A710849" w:rsidR="00DC4E6C" w:rsidRPr="00DC4E6C" w:rsidRDefault="00DC4E6C" w:rsidP="00DC4E6C">
      <w:pPr>
        <w:pStyle w:val="Bullet"/>
        <w:numPr>
          <w:ilvl w:val="1"/>
          <w:numId w:val="1"/>
        </w:numPr>
      </w:pPr>
      <w:r w:rsidRPr="00DC4E6C">
        <w:lastRenderedPageBreak/>
        <w:t>Small vessel vasculitis</w:t>
      </w:r>
      <w:r w:rsidR="001A5E8F">
        <w:t>.</w:t>
      </w:r>
    </w:p>
    <w:p w14:paraId="6719C5EE" w14:textId="77777777" w:rsidR="00DC4E6C" w:rsidRPr="00DC4E6C" w:rsidRDefault="00DC4E6C" w:rsidP="00DC4E6C">
      <w:pPr>
        <w:pStyle w:val="Bullet"/>
      </w:pPr>
      <w:r w:rsidRPr="00DC4E6C">
        <w:t>Anaphylaxis or other immune-mediated IgE hypersensitivity reaction (angioedema, wheezing, shortness of breath, laryngeal oedema, hypotension, urticaria). These reactions typically occur from two minutes to two hours after exposure to the drug.</w:t>
      </w:r>
    </w:p>
    <w:p w14:paraId="62CB3B36" w14:textId="77777777" w:rsidR="00DC4E6C" w:rsidRPr="00DC4E6C" w:rsidRDefault="00DC4E6C" w:rsidP="00DC4E6C">
      <w:pPr>
        <w:pStyle w:val="Bullet"/>
      </w:pPr>
      <w:r w:rsidRPr="00DC4E6C">
        <w:t>Medically unstable patients, including haemodynamic instability.</w:t>
      </w:r>
    </w:p>
    <w:p w14:paraId="32A26C02" w14:textId="71479E0D" w:rsidR="00DC4E6C" w:rsidRPr="00DC4E6C" w:rsidRDefault="00DC4E6C" w:rsidP="00DC4E6C">
      <w:pPr>
        <w:pStyle w:val="Bullet"/>
      </w:pPr>
      <w:r w:rsidRPr="00DC4E6C">
        <w:t>Allergy history not able to be determined (i.e</w:t>
      </w:r>
      <w:r w:rsidR="001A5E8F">
        <w:t xml:space="preserve">. </w:t>
      </w:r>
      <w:r w:rsidRPr="00DC4E6C">
        <w:t>Intubated patient or patients with cognitive impairment without sufficient co-lateral history)</w:t>
      </w:r>
    </w:p>
    <w:p w14:paraId="1C1654B5" w14:textId="77777777" w:rsidR="00DC4E6C" w:rsidRPr="00DC4E6C" w:rsidRDefault="00DC4E6C" w:rsidP="00DC4E6C">
      <w:pPr>
        <w:pStyle w:val="Heading5"/>
        <w:rPr>
          <w:rFonts w:eastAsia="Times New Roman"/>
        </w:rPr>
      </w:pPr>
      <w:r w:rsidRPr="00DC4E6C">
        <w:rPr>
          <w:rFonts w:eastAsia="Times New Roman"/>
        </w:rPr>
        <w:t xml:space="preserve">Relative contraindications </w:t>
      </w:r>
    </w:p>
    <w:p w14:paraId="1FBC5E46" w14:textId="5B7341F2" w:rsidR="00DC4E6C" w:rsidRPr="00DC4E6C" w:rsidRDefault="00DC4E6C" w:rsidP="00DC4E6C">
      <w:pPr>
        <w:pStyle w:val="BodyCopy"/>
      </w:pPr>
      <w:r w:rsidRPr="00DC4E6C">
        <w:t>Contact ID team to discuss if test dose procedure is appropriate if the patient:</w:t>
      </w:r>
    </w:p>
    <w:p w14:paraId="187977F4" w14:textId="77777777" w:rsidR="00DC4E6C" w:rsidRPr="00DC4E6C" w:rsidRDefault="00DC4E6C" w:rsidP="00C2309D">
      <w:pPr>
        <w:pStyle w:val="Bullet"/>
      </w:pPr>
      <w:r w:rsidRPr="00DC4E6C">
        <w:t xml:space="preserve">is pregnant </w:t>
      </w:r>
    </w:p>
    <w:p w14:paraId="06FB7AED" w14:textId="77777777" w:rsidR="00DC4E6C" w:rsidRPr="00DC4E6C" w:rsidRDefault="00DC4E6C" w:rsidP="00C2309D">
      <w:pPr>
        <w:pStyle w:val="Bullet"/>
      </w:pPr>
      <w:r w:rsidRPr="00DC4E6C">
        <w:t>has been/is admitted to Intensive Care Unit (ICU) admission during current episode</w:t>
      </w:r>
    </w:p>
    <w:p w14:paraId="4C1F578D" w14:textId="5DFB635E" w:rsidR="00DC4E6C" w:rsidRPr="00DC4E6C" w:rsidRDefault="00DC4E6C" w:rsidP="00C2309D">
      <w:pPr>
        <w:pStyle w:val="Bullet"/>
      </w:pPr>
      <w:r w:rsidRPr="00DC4E6C">
        <w:t>is currently prescribed prednisolone ≥ 25mg daily or equivalent.</w:t>
      </w:r>
    </w:p>
    <w:p w14:paraId="696E9BE7" w14:textId="77777777" w:rsidR="00DC4E6C" w:rsidRPr="00DC4E6C" w:rsidRDefault="00DC4E6C" w:rsidP="00DC4E6C">
      <w:pPr>
        <w:pStyle w:val="BodyCopy"/>
        <w:pBdr>
          <w:top w:val="single" w:sz="4" w:space="1" w:color="auto"/>
          <w:left w:val="single" w:sz="4" w:space="4" w:color="auto"/>
          <w:bottom w:val="single" w:sz="4" w:space="1" w:color="auto"/>
          <w:right w:val="single" w:sz="4" w:space="4" w:color="auto"/>
        </w:pBdr>
      </w:pPr>
      <w:r w:rsidRPr="00DC4E6C">
        <w:rPr>
          <w:b/>
          <w:bCs w:val="0"/>
        </w:rPr>
        <w:t>Note</w:t>
      </w:r>
      <w:r w:rsidRPr="00DC4E6C">
        <w:t>:</w:t>
      </w:r>
    </w:p>
    <w:p w14:paraId="535FEB65" w14:textId="77777777" w:rsidR="00DC4E6C" w:rsidRPr="00DC4E6C" w:rsidRDefault="00DC4E6C" w:rsidP="00DC4E6C">
      <w:pPr>
        <w:pStyle w:val="Bullet"/>
        <w:pBdr>
          <w:top w:val="single" w:sz="4" w:space="1" w:color="auto"/>
          <w:left w:val="single" w:sz="4" w:space="4" w:color="auto"/>
          <w:bottom w:val="single" w:sz="4" w:space="1" w:color="auto"/>
          <w:right w:val="single" w:sz="4" w:space="4" w:color="auto"/>
        </w:pBdr>
      </w:pPr>
      <w:r w:rsidRPr="00DC4E6C">
        <w:t>Non-allergic adverse drug reactions (e.g. nausea and vomiting, metallic taste in mouth) should not preclude the use of beta-lactams but do require patient counselling. If appropriate, medications for symptomatic relief may be charted, e.g. antiemetics.</w:t>
      </w:r>
    </w:p>
    <w:p w14:paraId="6F2BD598" w14:textId="1BF26F00" w:rsidR="00DC4E6C" w:rsidRPr="00481A6C" w:rsidRDefault="00DC4E6C" w:rsidP="00481A6C">
      <w:pPr>
        <w:pStyle w:val="Bullet"/>
        <w:pBdr>
          <w:top w:val="single" w:sz="4" w:space="1" w:color="auto"/>
          <w:left w:val="single" w:sz="4" w:space="4" w:color="auto"/>
          <w:bottom w:val="single" w:sz="4" w:space="1" w:color="auto"/>
          <w:right w:val="single" w:sz="4" w:space="4" w:color="auto"/>
        </w:pBdr>
      </w:pPr>
      <w:r w:rsidRPr="00DC4E6C">
        <w:t xml:space="preserve">Penicillin allergy is not hereditary – a family history of penicillin allergy does not preclude the usage of beta lactams in a patient who has not had an allergic reaction. </w:t>
      </w:r>
    </w:p>
    <w:p w14:paraId="124EF410" w14:textId="77777777" w:rsidR="00481A6C" w:rsidRDefault="00481A6C" w:rsidP="0091462B">
      <w:pPr>
        <w:pStyle w:val="BodyCopy"/>
        <w:rPr>
          <w:rStyle w:val="Hyperlink"/>
          <w:iCs w:val="0"/>
        </w:rPr>
      </w:pPr>
      <w:hyperlink w:anchor="_top" w:history="1">
        <w:r w:rsidRPr="00481A6C">
          <w:rPr>
            <w:rStyle w:val="Hyperlink"/>
            <w:iCs w:val="0"/>
          </w:rPr>
          <w:t>Back to Contents</w:t>
        </w:r>
      </w:hyperlink>
    </w:p>
    <w:p w14:paraId="1D8D02E6" w14:textId="5DD7101E" w:rsidR="00E90C94" w:rsidRDefault="00E90C94" w:rsidP="00DC4E6C">
      <w:pPr>
        <w:pStyle w:val="Heading4"/>
      </w:pPr>
      <w:bookmarkStart w:id="7" w:name="_Toc194319238"/>
      <w:r w:rsidRPr="0078367D">
        <w:t xml:space="preserve">Section </w:t>
      </w:r>
      <w:r>
        <w:t>4</w:t>
      </w:r>
      <w:r w:rsidRPr="0078367D">
        <w:t xml:space="preserve"> </w:t>
      </w:r>
      <w:r>
        <w:t>–</w:t>
      </w:r>
      <w:r w:rsidRPr="0078367D">
        <w:t xml:space="preserve"> </w:t>
      </w:r>
      <w:r>
        <w:t xml:space="preserve">Further </w:t>
      </w:r>
      <w:r w:rsidR="00DC4E6C">
        <w:t>g</w:t>
      </w:r>
      <w:r>
        <w:t xml:space="preserve">uidance on </w:t>
      </w:r>
      <w:r w:rsidR="00DC4E6C">
        <w:t>c</w:t>
      </w:r>
      <w:r>
        <w:t xml:space="preserve">linical </w:t>
      </w:r>
      <w:r w:rsidR="00DC4E6C">
        <w:t>h</w:t>
      </w:r>
      <w:r>
        <w:t>istory</w:t>
      </w:r>
      <w:r w:rsidR="00DC4E6C">
        <w:t xml:space="preserve"> and workup for patients with penicillin allergic reaction</w:t>
      </w:r>
      <w:bookmarkEnd w:id="7"/>
    </w:p>
    <w:p w14:paraId="383AB9A9" w14:textId="77777777" w:rsidR="00DC4E6C" w:rsidRPr="00DC4E6C" w:rsidRDefault="00DC4E6C" w:rsidP="00DC4E6C">
      <w:pPr>
        <w:pStyle w:val="BodyCopy"/>
      </w:pPr>
      <w:r w:rsidRPr="00DC4E6C">
        <w:t xml:space="preserve">Clinical history should include the following considerations: </w:t>
      </w:r>
    </w:p>
    <w:p w14:paraId="3FF16BAD" w14:textId="77777777" w:rsidR="00DC4E6C" w:rsidRPr="00DC4E6C" w:rsidRDefault="00DC4E6C" w:rsidP="00DC4E6C">
      <w:pPr>
        <w:pStyle w:val="Bullet"/>
      </w:pPr>
      <w:r w:rsidRPr="00DC4E6C">
        <w:t xml:space="preserve">Was the patient's past reaction allergic in nature? </w:t>
      </w:r>
    </w:p>
    <w:p w14:paraId="2BBC992D" w14:textId="77777777" w:rsidR="00DC4E6C" w:rsidRPr="00DC4E6C" w:rsidRDefault="00DC4E6C" w:rsidP="00DC4E6C">
      <w:pPr>
        <w:pStyle w:val="Bullet"/>
        <w:numPr>
          <w:ilvl w:val="1"/>
          <w:numId w:val="1"/>
        </w:numPr>
      </w:pPr>
      <w:r w:rsidRPr="00DC4E6C">
        <w:t xml:space="preserve">Isolated nausea or diarrhea, yeast vaginitis, or other known side effects of antibiotics are not allergic reactions. No further evaluation is needed if the reaction is clearly not allergic. </w:t>
      </w:r>
    </w:p>
    <w:p w14:paraId="7D4D1834" w14:textId="77777777" w:rsidR="00DC4E6C" w:rsidRPr="00DC4E6C" w:rsidRDefault="00DC4E6C" w:rsidP="00DC4E6C">
      <w:pPr>
        <w:pStyle w:val="Bullet"/>
        <w:numPr>
          <w:ilvl w:val="1"/>
          <w:numId w:val="1"/>
        </w:numPr>
      </w:pPr>
      <w:r w:rsidRPr="00DC4E6C">
        <w:t>Another common scenario is the patient who has never actually taken penicillin but is empirically avoiding it because one or more family members has penicillin allergy. Such patients may receive penicillins.</w:t>
      </w:r>
    </w:p>
    <w:p w14:paraId="11A68053" w14:textId="77777777" w:rsidR="00DC4E6C" w:rsidRPr="00DC4E6C" w:rsidRDefault="00DC4E6C" w:rsidP="007744E3">
      <w:pPr>
        <w:pStyle w:val="Bullet"/>
      </w:pPr>
      <w:r w:rsidRPr="00DC4E6C">
        <w:t>If the reaction was allergic in nature, what type of reaction did the patient likely experience? What precise signs and symptoms does the patient recall? What was the timing of onset of the reaction, both from the precipitating dose, as well as from the initiation of that course of therapy? Do the symptoms and timing of the event suggest an immediate or a delayed reaction?</w:t>
      </w:r>
    </w:p>
    <w:p w14:paraId="3B95A653" w14:textId="77777777" w:rsidR="00DC4E6C" w:rsidRPr="00DC4E6C" w:rsidRDefault="00DC4E6C" w:rsidP="007744E3">
      <w:pPr>
        <w:pStyle w:val="Bullet"/>
      </w:pPr>
      <w:r w:rsidRPr="00DC4E6C">
        <w:lastRenderedPageBreak/>
        <w:t>It is difficult to classify a patient's past reaction as immediate or delayed in many cases, and caution is warranted. Patients can sometimes provide a reasonably detailed history if the reaction was in the recent past. The medical record should be reviewed to see if details about the reaction were recorded. However, if the reaction occurred years ago and few details are available, it is prudent not to make assumptions about the nature of it. This is a common scenario, particularly in adults. If the history is too vague to categorise, the medical officer should consider referral to immunology services for allergy evaluation via standard internal referral processes.</w:t>
      </w:r>
    </w:p>
    <w:p w14:paraId="771AA480" w14:textId="77777777" w:rsidR="00DC4E6C" w:rsidRPr="00DC4E6C" w:rsidRDefault="00DC4E6C" w:rsidP="007744E3">
      <w:pPr>
        <w:pStyle w:val="Bullet"/>
      </w:pPr>
      <w:r w:rsidRPr="00DC4E6C">
        <w:t xml:space="preserve">Is there any information in the history to suggest that a severe drug reaction took place? </w:t>
      </w:r>
    </w:p>
    <w:p w14:paraId="5425C759" w14:textId="77777777" w:rsidR="00DC4E6C" w:rsidRPr="00DC4E6C" w:rsidRDefault="00DC4E6C" w:rsidP="007744E3">
      <w:pPr>
        <w:pStyle w:val="Bullet"/>
        <w:numPr>
          <w:ilvl w:val="1"/>
          <w:numId w:val="1"/>
        </w:numPr>
      </w:pPr>
      <w:r w:rsidRPr="00DC4E6C">
        <w:t xml:space="preserve">Severe reactions include anaphylaxis and Stevens-Johnson syndrome/toxic epidermal necrolysis. </w:t>
      </w:r>
    </w:p>
    <w:p w14:paraId="593011B4" w14:textId="521CE7BB" w:rsidR="00DC4E6C" w:rsidRPr="00481A6C" w:rsidRDefault="00DC4E6C" w:rsidP="00E90C94">
      <w:pPr>
        <w:pStyle w:val="Bullet"/>
        <w:numPr>
          <w:ilvl w:val="1"/>
          <w:numId w:val="1"/>
        </w:numPr>
      </w:pPr>
      <w:r w:rsidRPr="00DC4E6C">
        <w:t>Patients who use specific phrases, such as "anaphylaxis" or "nearly died," report emergency department visits or hospitalisations, or describe blistering or peeling of the skin or mucous membranes or organ damage in association with prior drug reactions, must be taken very seriously and should be referred to an allergist for further evaluation and education about avoidance.</w:t>
      </w:r>
    </w:p>
    <w:p w14:paraId="5C0B51BB" w14:textId="45B4FA16" w:rsidR="00E90C94" w:rsidRDefault="00E90C94" w:rsidP="00E90C94">
      <w:pPr>
        <w:pStyle w:val="BodyCopy"/>
        <w:rPr>
          <w:rStyle w:val="Hyperlink"/>
          <w:iCs w:val="0"/>
        </w:rPr>
      </w:pPr>
      <w:hyperlink w:anchor="_top" w:history="1">
        <w:r w:rsidRPr="00481A6C">
          <w:rPr>
            <w:rStyle w:val="Hyperlink"/>
            <w:iCs w:val="0"/>
          </w:rPr>
          <w:t>Back to Contents</w:t>
        </w:r>
      </w:hyperlink>
    </w:p>
    <w:p w14:paraId="645C6B1D" w14:textId="23A4BE25" w:rsidR="00E90C94" w:rsidRDefault="00E90C94" w:rsidP="00E90C94">
      <w:pPr>
        <w:pStyle w:val="Heading4"/>
      </w:pPr>
      <w:bookmarkStart w:id="8" w:name="_Toc194319239"/>
      <w:r w:rsidRPr="0078367D">
        <w:t xml:space="preserve">Section </w:t>
      </w:r>
      <w:r>
        <w:t>5</w:t>
      </w:r>
      <w:r w:rsidRPr="0078367D">
        <w:t xml:space="preserve"> </w:t>
      </w:r>
      <w:r>
        <w:t>–</w:t>
      </w:r>
      <w:r w:rsidRPr="0078367D">
        <w:t xml:space="preserve"> </w:t>
      </w:r>
      <w:r>
        <w:t>Oral Drug Challenge Process</w:t>
      </w:r>
      <w:bookmarkEnd w:id="8"/>
    </w:p>
    <w:p w14:paraId="081752D3" w14:textId="77777777" w:rsidR="007744E3" w:rsidRPr="00B13039" w:rsidRDefault="007744E3" w:rsidP="007744E3">
      <w:pPr>
        <w:pStyle w:val="BodyCopy"/>
      </w:pPr>
      <w:r>
        <w:t>A d</w:t>
      </w:r>
      <w:r w:rsidRPr="00B13039">
        <w:t xml:space="preserve">rug challenge should be undertaken during ‘normal business hours’ </w:t>
      </w:r>
      <w:r>
        <w:t xml:space="preserve">by a medical officer or pharmacist </w:t>
      </w:r>
      <w:r w:rsidRPr="00B13039">
        <w:t>on weekdays only, when staffing is at a maximum.</w:t>
      </w:r>
      <w:r>
        <w:t xml:space="preserve"> </w:t>
      </w:r>
      <w:r w:rsidRPr="00B13039">
        <w:t xml:space="preserve">This should be conducted in an area that is easily accessible for emergency response teams. </w:t>
      </w:r>
    </w:p>
    <w:p w14:paraId="01D124C0" w14:textId="5E530A89" w:rsidR="007744E3" w:rsidRPr="00B13039" w:rsidRDefault="007744E3" w:rsidP="007744E3">
      <w:pPr>
        <w:pStyle w:val="BodyCopy"/>
      </w:pPr>
      <w:r w:rsidRPr="000D0285">
        <w:rPr>
          <w:bCs w:val="0"/>
        </w:rPr>
        <w:t>Informed patient consent must be documented</w:t>
      </w:r>
      <w:r w:rsidRPr="00B13039">
        <w:t xml:space="preserve"> in the patient</w:t>
      </w:r>
      <w:r w:rsidR="000D0285">
        <w:t>’</w:t>
      </w:r>
      <w:r w:rsidRPr="00B13039">
        <w:t xml:space="preserve">s medical records prior to a drug challenge occurring. This </w:t>
      </w:r>
      <w:r w:rsidR="000D0285">
        <w:t xml:space="preserve">process of seeking </w:t>
      </w:r>
      <w:r w:rsidRPr="00B13039">
        <w:t xml:space="preserve">consent can be performed by the treating team, or the ID/AMS teams if workload permit. </w:t>
      </w:r>
      <w:r>
        <w:t xml:space="preserve">See </w:t>
      </w:r>
      <w:r w:rsidRPr="00A6128A">
        <w:rPr>
          <w:i/>
          <w:iCs w:val="0"/>
        </w:rPr>
        <w:t>Consent for Healthcare Treatment Guideline</w:t>
      </w:r>
      <w:r>
        <w:t xml:space="preserve"> on the CHS Policy and Guidance Documents Register. </w:t>
      </w:r>
    </w:p>
    <w:p w14:paraId="4F7B80C9" w14:textId="77777777" w:rsidR="007744E3" w:rsidRPr="00B13039" w:rsidRDefault="007744E3" w:rsidP="007744E3">
      <w:pPr>
        <w:pStyle w:val="BodyCopy"/>
      </w:pPr>
      <w:r w:rsidRPr="00B13039">
        <w:t xml:space="preserve">Ideally patients should be challenged with the drug that caused the initial allergic reaction. </w:t>
      </w:r>
    </w:p>
    <w:p w14:paraId="50089136" w14:textId="77777777" w:rsidR="007744E3" w:rsidRPr="00B13039" w:rsidRDefault="007744E3" w:rsidP="007744E3">
      <w:pPr>
        <w:pStyle w:val="BodyCopy"/>
      </w:pPr>
      <w:r w:rsidRPr="00B13039">
        <w:t>Prior to 1970, phenoxymethylpenicillin was the main penicillin available, after 1970 there were additional penicillins on the market, including amoxicillin and flucloxacillin, so a thorough history is imperative to determine the most likely causative agent. If the causative drug is not known, use the most likely agent based on when the reaction occurred.</w:t>
      </w:r>
    </w:p>
    <w:p w14:paraId="73B7AE90" w14:textId="77777777" w:rsidR="007744E3" w:rsidRPr="00B13039" w:rsidRDefault="007744E3" w:rsidP="007744E3">
      <w:pPr>
        <w:pStyle w:val="BodyCopy"/>
      </w:pPr>
      <w:r w:rsidRPr="00B13039">
        <w:t>If there is urgent clinical need, a patient may be challenged with an alternative penicillin to the causative agent</w:t>
      </w:r>
      <w:r>
        <w:t xml:space="preserve">. If </w:t>
      </w:r>
      <w:r w:rsidRPr="00B13039">
        <w:t>this is the case the original allergy cannot be de</w:t>
      </w:r>
      <w:r>
        <w:t>-</w:t>
      </w:r>
      <w:r w:rsidRPr="00B13039">
        <w:t>labelled. When a patient tolerates an alternative beta lactam drug, the original allergy label should be amended to include the agent and the date that it was tolerated.</w:t>
      </w:r>
    </w:p>
    <w:p w14:paraId="7F8DD220" w14:textId="77777777" w:rsidR="0091223C" w:rsidRPr="00B13039" w:rsidRDefault="0091223C" w:rsidP="0091223C">
      <w:pPr>
        <w:pStyle w:val="Heading5"/>
      </w:pPr>
      <w:r w:rsidRPr="00B13039">
        <w:lastRenderedPageBreak/>
        <w:t>Consumer engagement</w:t>
      </w:r>
    </w:p>
    <w:p w14:paraId="7EC3026B" w14:textId="77777777" w:rsidR="0091223C" w:rsidRPr="00B13039" w:rsidRDefault="0091223C" w:rsidP="0091223C">
      <w:pPr>
        <w:pStyle w:val="BodyCopy"/>
      </w:pPr>
      <w:r w:rsidRPr="00B13039">
        <w:t xml:space="preserve">Discussion with patient must be undertaken before </w:t>
      </w:r>
      <w:r>
        <w:t xml:space="preserve">direct oral penicillin challenge </w:t>
      </w:r>
      <w:r w:rsidRPr="00B13039">
        <w:t>test dose, with patient</w:t>
      </w:r>
      <w:r>
        <w:t>’s</w:t>
      </w:r>
      <w:r w:rsidRPr="00B13039">
        <w:t xml:space="preserve"> approval after understanding process and risk.</w:t>
      </w:r>
      <w:r>
        <w:t xml:space="preserve"> </w:t>
      </w:r>
      <w:r w:rsidRPr="00B13039">
        <w:t xml:space="preserve">Document this discussion and patient approval in the </w:t>
      </w:r>
      <w:r>
        <w:t>patient’s clinical record</w:t>
      </w:r>
      <w:r w:rsidRPr="00B13039">
        <w:t>.</w:t>
      </w:r>
    </w:p>
    <w:p w14:paraId="4EB7FD4D" w14:textId="137A37F3" w:rsidR="001626D2" w:rsidRDefault="0091223C" w:rsidP="00C2309D">
      <w:pPr>
        <w:pStyle w:val="BodyCopy"/>
      </w:pPr>
      <w:r w:rsidRPr="00B13039">
        <w:t xml:space="preserve">Patients and family members are to be encouraged and given the opportunity to ask questions, clarify information and identify goals of care during communication processes. Staff are responsible for providing information in a way that is understandable and that meets patient’s needs and are to use perception checking techniques to ensure patient and family’s understanding of discussions. </w:t>
      </w:r>
    </w:p>
    <w:p w14:paraId="68B0C45E" w14:textId="7E1A36DF" w:rsidR="007744E3" w:rsidRPr="00B13039" w:rsidRDefault="007744E3" w:rsidP="007744E3">
      <w:pPr>
        <w:pStyle w:val="Heading5"/>
      </w:pPr>
      <w:r w:rsidRPr="00B13039">
        <w:t>Process</w:t>
      </w:r>
    </w:p>
    <w:p w14:paraId="606A464E" w14:textId="77777777" w:rsidR="007744E3" w:rsidRPr="00B13039" w:rsidRDefault="007744E3" w:rsidP="007744E3">
      <w:pPr>
        <w:pStyle w:val="Numberedlist"/>
      </w:pPr>
      <w:r>
        <w:t>The medical officer or pharmacist should e</w:t>
      </w:r>
      <w:r w:rsidRPr="00B13039">
        <w:t>nsure patient meets criteria for an oral drug challenge outlined above.</w:t>
      </w:r>
    </w:p>
    <w:p w14:paraId="6817F759" w14:textId="0E018F12" w:rsidR="007744E3" w:rsidRPr="00B13039" w:rsidRDefault="007744E3" w:rsidP="007744E3">
      <w:pPr>
        <w:pStyle w:val="Numberedlist"/>
      </w:pPr>
      <w:r>
        <w:t xml:space="preserve">The medical officer or pharmacist should </w:t>
      </w:r>
      <w:r w:rsidR="00521605">
        <w:t xml:space="preserve">seek the patient’s informed </w:t>
      </w:r>
      <w:r>
        <w:t>c</w:t>
      </w:r>
      <w:r w:rsidRPr="00B13039">
        <w:t xml:space="preserve">onsent and document clearly in the </w:t>
      </w:r>
      <w:r>
        <w:t>patient’s clinical record</w:t>
      </w:r>
      <w:r w:rsidRPr="00B13039">
        <w:t xml:space="preserve">. </w:t>
      </w:r>
    </w:p>
    <w:p w14:paraId="7A790970" w14:textId="4E889671" w:rsidR="007744E3" w:rsidRPr="00B13039" w:rsidRDefault="007744E3" w:rsidP="007744E3">
      <w:pPr>
        <w:pStyle w:val="Numberedlist"/>
      </w:pPr>
      <w:r>
        <w:t>The medical officer c</w:t>
      </w:r>
      <w:r w:rsidRPr="00B13039">
        <w:t>hart</w:t>
      </w:r>
      <w:r>
        <w:t>s/prescribes</w:t>
      </w:r>
      <w:r w:rsidRPr="00B13039">
        <w:t xml:space="preserve"> a stat dose </w:t>
      </w:r>
      <w:r w:rsidR="0034027F">
        <w:t xml:space="preserve">(of one of the following options) </w:t>
      </w:r>
      <w:r w:rsidRPr="00B13039">
        <w:t>for the oral challenge antibiotic according to the causative agent (if known):</w:t>
      </w:r>
    </w:p>
    <w:p w14:paraId="106C1469" w14:textId="77777777" w:rsidR="007744E3" w:rsidRPr="00B13039" w:rsidRDefault="007744E3" w:rsidP="007744E3">
      <w:pPr>
        <w:pStyle w:val="Bullet"/>
        <w:numPr>
          <w:ilvl w:val="1"/>
          <w:numId w:val="1"/>
        </w:numPr>
      </w:pPr>
      <w:r w:rsidRPr="00B13039">
        <w:t>Phenoxymethylpenicillin 250mg capsule</w:t>
      </w:r>
    </w:p>
    <w:p w14:paraId="1D57CA67" w14:textId="77777777" w:rsidR="007744E3" w:rsidRPr="00B13039" w:rsidRDefault="007744E3" w:rsidP="007744E3">
      <w:pPr>
        <w:pStyle w:val="Bullet"/>
        <w:numPr>
          <w:ilvl w:val="1"/>
          <w:numId w:val="1"/>
        </w:numPr>
      </w:pPr>
      <w:r w:rsidRPr="00B13039">
        <w:t xml:space="preserve">Amoxicillin 250mg capsule </w:t>
      </w:r>
      <w:r w:rsidRPr="00A6128A">
        <w:rPr>
          <w:iCs/>
        </w:rPr>
        <w:t>(if unclear which agent was responsible recommend using amoxicillin)</w:t>
      </w:r>
    </w:p>
    <w:p w14:paraId="4BFC851E" w14:textId="77777777" w:rsidR="007744E3" w:rsidRPr="00B13039" w:rsidRDefault="007744E3" w:rsidP="007744E3">
      <w:pPr>
        <w:pStyle w:val="Bullet"/>
        <w:numPr>
          <w:ilvl w:val="1"/>
          <w:numId w:val="1"/>
        </w:numPr>
      </w:pPr>
      <w:r w:rsidRPr="00B13039">
        <w:t xml:space="preserve">Dicloxacillin/Flucloxacillin 250mg capsule </w:t>
      </w:r>
    </w:p>
    <w:p w14:paraId="318BB67A" w14:textId="77777777" w:rsidR="007744E3" w:rsidRPr="00B13039" w:rsidRDefault="007744E3" w:rsidP="007744E3">
      <w:pPr>
        <w:pStyle w:val="Bullet"/>
        <w:numPr>
          <w:ilvl w:val="1"/>
          <w:numId w:val="1"/>
        </w:numPr>
      </w:pPr>
      <w:r w:rsidRPr="00B13039">
        <w:t>Amoxicillin 500mg/Clavulanic acid 125mg (should only be challenged with this if has successfully tolerated amoxicillin challenge first)</w:t>
      </w:r>
    </w:p>
    <w:p w14:paraId="57E43358" w14:textId="493FAF7B" w:rsidR="007744E3" w:rsidRPr="00B13039" w:rsidRDefault="007744E3" w:rsidP="007744E3">
      <w:pPr>
        <w:pStyle w:val="Numberedlist"/>
      </w:pPr>
      <w:r>
        <w:t xml:space="preserve">The nursing staff </w:t>
      </w:r>
      <w:r w:rsidR="000D0285">
        <w:t xml:space="preserve">are </w:t>
      </w:r>
      <w:r>
        <w:t>to p</w:t>
      </w:r>
      <w:r w:rsidRPr="00B13039">
        <w:t>erform a set of routine observations immediately prior to the drug challenge (heart rate, blood pressure, oxygen saturations, respiratory rate).</w:t>
      </w:r>
    </w:p>
    <w:p w14:paraId="6892ACAE" w14:textId="0D86B15D" w:rsidR="007744E3" w:rsidRPr="00B13039" w:rsidRDefault="007744E3" w:rsidP="007744E3">
      <w:pPr>
        <w:pStyle w:val="Numberedlist"/>
      </w:pPr>
      <w:r>
        <w:t xml:space="preserve">The nursing staff </w:t>
      </w:r>
      <w:r w:rsidR="000D0285">
        <w:t xml:space="preserve">are </w:t>
      </w:r>
      <w:r>
        <w:t>to a</w:t>
      </w:r>
      <w:r w:rsidRPr="00B13039">
        <w:t xml:space="preserve">dminister the </w:t>
      </w:r>
      <w:r>
        <w:t xml:space="preserve">prescribed </w:t>
      </w:r>
      <w:r w:rsidRPr="00B13039">
        <w:t>oral test dose.</w:t>
      </w:r>
    </w:p>
    <w:p w14:paraId="5DF776C3" w14:textId="77777777" w:rsidR="007744E3" w:rsidRPr="00B13039" w:rsidRDefault="007744E3" w:rsidP="007744E3">
      <w:pPr>
        <w:pStyle w:val="Numberedlist"/>
      </w:pPr>
      <w:r>
        <w:t>The nursing staff should p</w:t>
      </w:r>
      <w:r w:rsidRPr="00B13039">
        <w:t>erform a set of observations every 30 minutes post dose for one hour.</w:t>
      </w:r>
    </w:p>
    <w:p w14:paraId="7993F1BA" w14:textId="77777777" w:rsidR="007744E3" w:rsidRPr="00B13039" w:rsidRDefault="007744E3" w:rsidP="007744E3">
      <w:pPr>
        <w:pStyle w:val="Numberedlist"/>
      </w:pPr>
      <w:r w:rsidRPr="00B13039">
        <w:t>If no evidence of reaction,</w:t>
      </w:r>
      <w:r>
        <w:t xml:space="preserve"> the medical officer or pharmacist</w:t>
      </w:r>
      <w:r w:rsidRPr="00B13039">
        <w:t xml:space="preserve"> </w:t>
      </w:r>
      <w:r>
        <w:t xml:space="preserve">who performed the assessment and direct oral challenge </w:t>
      </w:r>
      <w:r w:rsidRPr="00B13039">
        <w:t>update</w:t>
      </w:r>
      <w:r>
        <w:t>s</w:t>
      </w:r>
      <w:r w:rsidRPr="00B13039">
        <w:t xml:space="preserve"> the allergy status. Best practice is to amend the initial allergy with the results of the oral challenge. </w:t>
      </w:r>
      <w:r>
        <w:t>I</w:t>
      </w:r>
      <w:r w:rsidRPr="00B13039">
        <w:t>nformation for the GP, previous hospital (if transferred from another facility), and letter for the patient</w:t>
      </w:r>
      <w:r>
        <w:t xml:space="preserve"> should also be included</w:t>
      </w:r>
      <w:r w:rsidRPr="00B13039">
        <w:t>.</w:t>
      </w:r>
    </w:p>
    <w:p w14:paraId="3BAD5313" w14:textId="31C3D66B" w:rsidR="007744E3" w:rsidRPr="00B13039" w:rsidRDefault="007744E3" w:rsidP="007744E3">
      <w:pPr>
        <w:pStyle w:val="Numberedlist"/>
      </w:pPr>
      <w:r>
        <w:t>The medical officer or pharmacist</w:t>
      </w:r>
      <w:r w:rsidRPr="00B13039">
        <w:t xml:space="preserve"> </w:t>
      </w:r>
      <w:r>
        <w:t>who performed the assessment and direct oral challenge</w:t>
      </w:r>
      <w:r w:rsidRPr="00B13039">
        <w:t xml:space="preserve"> </w:t>
      </w:r>
      <w:r w:rsidR="000D0285">
        <w:t>are to advise the</w:t>
      </w:r>
      <w:r w:rsidRPr="00B13039">
        <w:t xml:space="preserve"> patient to monitor themselves closely for three days after the challenge is completed, and to seek medical care if allergy symptoms develop.</w:t>
      </w:r>
    </w:p>
    <w:p w14:paraId="0358C5F7" w14:textId="2B0CA192" w:rsidR="007744E3" w:rsidRPr="00B13039" w:rsidRDefault="007744E3" w:rsidP="007744E3">
      <w:pPr>
        <w:pStyle w:val="Numberedlist"/>
      </w:pPr>
      <w:r>
        <w:t xml:space="preserve">The medical officer or pharmacist who performed the assessment and direct oral challenge </w:t>
      </w:r>
      <w:r w:rsidR="000D0285">
        <w:t xml:space="preserve">is to </w:t>
      </w:r>
      <w:r>
        <w:t xml:space="preserve">complete correspondence (on all patients regardless of outcomes) by </w:t>
      </w:r>
      <w:r>
        <w:lastRenderedPageBreak/>
        <w:t xml:space="preserve">using letter template (Attachment 2) and </w:t>
      </w:r>
      <w:r w:rsidR="00D967E1">
        <w:t xml:space="preserve">provide a </w:t>
      </w:r>
      <w:r>
        <w:t>copy to patient and ACT Adverse Drug Reaction Reporting Committee (ADRRC).</w:t>
      </w:r>
    </w:p>
    <w:p w14:paraId="7FAF41D5" w14:textId="1ED0549E" w:rsidR="007744E3" w:rsidRPr="00925B93" w:rsidRDefault="007744E3" w:rsidP="007744E3">
      <w:pPr>
        <w:pStyle w:val="Numberedlist"/>
      </w:pPr>
      <w:r>
        <w:t xml:space="preserve">Refer to Attachment </w:t>
      </w:r>
      <w:r w:rsidR="00625B67">
        <w:t>3</w:t>
      </w:r>
      <w:r>
        <w:t xml:space="preserve"> around ‘How to copy the ACT Adverse Drug Reaction Reporting Committee (ADRRC) secretariat into the correspondence.’</w:t>
      </w:r>
    </w:p>
    <w:p w14:paraId="017D95EC" w14:textId="69250F2D" w:rsidR="007744E3" w:rsidRPr="00925B93" w:rsidRDefault="007744E3" w:rsidP="007744E3">
      <w:pPr>
        <w:pStyle w:val="Numberedlist"/>
      </w:pPr>
      <w:r>
        <w:t>The medical officer or pharmacist</w:t>
      </w:r>
      <w:r w:rsidRPr="00B13039">
        <w:t xml:space="preserve"> </w:t>
      </w:r>
      <w:r>
        <w:t>who performed the assessment and direct oral challenge</w:t>
      </w:r>
      <w:r w:rsidRPr="00925B93">
        <w:t xml:space="preserve"> </w:t>
      </w:r>
      <w:r>
        <w:t>d</w:t>
      </w:r>
      <w:r w:rsidRPr="00925B93">
        <w:t>e</w:t>
      </w:r>
      <w:r>
        <w:t>-</w:t>
      </w:r>
      <w:r w:rsidRPr="00925B93">
        <w:t>label</w:t>
      </w:r>
      <w:r>
        <w:t>s</w:t>
      </w:r>
      <w:r w:rsidRPr="00925B93">
        <w:t xml:space="preserve"> the patient’s penicillin allergy on EPIC if oral challenge was successful. Please refer to Attachment </w:t>
      </w:r>
      <w:r w:rsidR="007174E3">
        <w:t>4</w:t>
      </w:r>
      <w:r w:rsidRPr="00925B93">
        <w:t xml:space="preserve"> </w:t>
      </w:r>
      <w:r w:rsidRPr="00A6128A">
        <w:t>‘Step by step guide to de</w:t>
      </w:r>
      <w:r>
        <w:t>-</w:t>
      </w:r>
      <w:r w:rsidRPr="00A6128A">
        <w:t xml:space="preserve">label penicillin allergy on </w:t>
      </w:r>
      <w:r w:rsidR="007372FB">
        <w:t>Digital Health Record (DHR)’</w:t>
      </w:r>
      <w:r w:rsidRPr="00925B93">
        <w:t>.</w:t>
      </w:r>
    </w:p>
    <w:p w14:paraId="49ED36DB" w14:textId="77777777" w:rsidR="007744E3" w:rsidRPr="00B13039" w:rsidRDefault="007744E3" w:rsidP="007744E3">
      <w:pPr>
        <w:pStyle w:val="BodyCopy"/>
      </w:pPr>
      <w:r w:rsidRPr="00B13039">
        <w:t xml:space="preserve">If ongoing therapy is required and the patient has successfully tolerated the test dose procedure, the continuing treatment can be prescribed to start after an appropriate dose interval according to appropriate dosing regimens. </w:t>
      </w:r>
    </w:p>
    <w:p w14:paraId="2C5E4B46" w14:textId="77777777" w:rsidR="007744E3" w:rsidRPr="00B13039" w:rsidRDefault="007744E3" w:rsidP="007744E3">
      <w:pPr>
        <w:pStyle w:val="Heading5"/>
      </w:pPr>
      <w:bookmarkStart w:id="9" w:name="_Toc169006109"/>
      <w:bookmarkStart w:id="10" w:name="_Toc170206160"/>
      <w:r w:rsidRPr="00B13039">
        <w:t>Adverse reactions</w:t>
      </w:r>
      <w:bookmarkEnd w:id="9"/>
      <w:bookmarkEnd w:id="10"/>
    </w:p>
    <w:p w14:paraId="387A87F5" w14:textId="77777777" w:rsidR="007744E3" w:rsidRPr="00B13039" w:rsidRDefault="007744E3" w:rsidP="007744E3">
      <w:pPr>
        <w:pStyle w:val="BodyCopy"/>
      </w:pPr>
      <w:r w:rsidRPr="00B13039">
        <w:t xml:space="preserve">A medical officer should be aware and able to attend if needed during the test dose procedure. </w:t>
      </w:r>
    </w:p>
    <w:p w14:paraId="4FBE9F70" w14:textId="77777777" w:rsidR="007744E3" w:rsidRPr="00A6128A" w:rsidRDefault="007744E3" w:rsidP="007744E3">
      <w:pPr>
        <w:pStyle w:val="BodyCopy"/>
        <w:pBdr>
          <w:top w:val="single" w:sz="4" w:space="1" w:color="auto"/>
          <w:left w:val="single" w:sz="4" w:space="4" w:color="auto"/>
          <w:bottom w:val="single" w:sz="4" w:space="1" w:color="auto"/>
          <w:right w:val="single" w:sz="4" w:space="4" w:color="auto"/>
        </w:pBdr>
        <w:rPr>
          <w:b/>
        </w:rPr>
      </w:pPr>
      <w:r w:rsidRPr="00A6128A">
        <w:rPr>
          <w:b/>
        </w:rPr>
        <w:t xml:space="preserve">Alert: </w:t>
      </w:r>
    </w:p>
    <w:p w14:paraId="5EF778EE" w14:textId="77777777" w:rsidR="007744E3" w:rsidRPr="00925B93" w:rsidRDefault="007744E3" w:rsidP="007744E3">
      <w:pPr>
        <w:pStyle w:val="BodyCopy"/>
        <w:pBdr>
          <w:top w:val="single" w:sz="4" w:space="1" w:color="auto"/>
          <w:left w:val="single" w:sz="4" w:space="4" w:color="auto"/>
          <w:bottom w:val="single" w:sz="4" w:space="1" w:color="auto"/>
          <w:right w:val="single" w:sz="4" w:space="4" w:color="auto"/>
        </w:pBdr>
        <w:rPr>
          <w:iCs w:val="0"/>
        </w:rPr>
      </w:pPr>
      <w:r w:rsidRPr="00B13039">
        <w:t>Ensure the following are available on the ward</w:t>
      </w:r>
      <w:r>
        <w:t xml:space="preserve"> r</w:t>
      </w:r>
      <w:r w:rsidRPr="00A6128A">
        <w:rPr>
          <w:iCs w:val="0"/>
        </w:rPr>
        <w:t>eady to be prescribed for anaphylaxis</w:t>
      </w:r>
      <w:r>
        <w:rPr>
          <w:iCs w:val="0"/>
        </w:rPr>
        <w:t>,</w:t>
      </w:r>
      <w:r w:rsidRPr="00A6128A">
        <w:rPr>
          <w:iCs w:val="0"/>
        </w:rPr>
        <w:t xml:space="preserve"> as per </w:t>
      </w:r>
      <w:r>
        <w:rPr>
          <w:i/>
        </w:rPr>
        <w:t xml:space="preserve">Management of Anaphylaxis in Adults and Children Guideline </w:t>
      </w:r>
      <w:r>
        <w:rPr>
          <w:iCs w:val="0"/>
        </w:rPr>
        <w:t>located on the CHS Policy and Guidance Documents Register:</w:t>
      </w:r>
    </w:p>
    <w:p w14:paraId="56E73C38" w14:textId="77777777" w:rsidR="007744E3" w:rsidRPr="00B13039" w:rsidRDefault="007744E3" w:rsidP="007744E3">
      <w:pPr>
        <w:pStyle w:val="Bullet"/>
        <w:pBdr>
          <w:top w:val="single" w:sz="4" w:space="1" w:color="auto"/>
          <w:left w:val="single" w:sz="4" w:space="4" w:color="auto"/>
          <w:bottom w:val="single" w:sz="4" w:space="1" w:color="auto"/>
          <w:right w:val="single" w:sz="4" w:space="4" w:color="auto"/>
        </w:pBdr>
      </w:pPr>
      <w:r w:rsidRPr="00B13039">
        <w:t>adrenaline 1:1,000 (minimum of three 1mL ampoules)</w:t>
      </w:r>
    </w:p>
    <w:p w14:paraId="7FFE108C" w14:textId="01ECA7D7" w:rsidR="007744E3" w:rsidRPr="00B13039" w:rsidRDefault="007744E3" w:rsidP="007744E3">
      <w:pPr>
        <w:pStyle w:val="Bullet"/>
        <w:pBdr>
          <w:top w:val="single" w:sz="4" w:space="1" w:color="auto"/>
          <w:left w:val="single" w:sz="4" w:space="4" w:color="auto"/>
          <w:bottom w:val="single" w:sz="4" w:space="1" w:color="auto"/>
          <w:right w:val="single" w:sz="4" w:space="4" w:color="auto"/>
        </w:pBdr>
      </w:pPr>
      <w:r w:rsidRPr="00B13039">
        <w:t>minimum of three 1 ml syringes and 25 mm length needles (for intramuscular injection)</w:t>
      </w:r>
      <w:r w:rsidR="00D967E1">
        <w:t>.</w:t>
      </w:r>
    </w:p>
    <w:p w14:paraId="50CDD3C1" w14:textId="77777777" w:rsidR="007744E3" w:rsidRPr="00B13039" w:rsidRDefault="007744E3" w:rsidP="007744E3">
      <w:pPr>
        <w:pStyle w:val="Bullet"/>
        <w:numPr>
          <w:ilvl w:val="0"/>
          <w:numId w:val="0"/>
        </w:numPr>
        <w:pBdr>
          <w:top w:val="single" w:sz="4" w:space="1" w:color="auto"/>
          <w:left w:val="single" w:sz="4" w:space="4" w:color="auto"/>
          <w:bottom w:val="single" w:sz="4" w:space="1" w:color="auto"/>
          <w:right w:val="single" w:sz="4" w:space="4" w:color="auto"/>
        </w:pBdr>
      </w:pPr>
    </w:p>
    <w:p w14:paraId="03416790" w14:textId="77777777" w:rsidR="007744E3" w:rsidRDefault="007744E3" w:rsidP="007744E3">
      <w:pPr>
        <w:pStyle w:val="BodyCopy"/>
        <w:pBdr>
          <w:top w:val="single" w:sz="4" w:space="1" w:color="auto"/>
          <w:left w:val="single" w:sz="4" w:space="4" w:color="auto"/>
          <w:bottom w:val="single" w:sz="4" w:space="1" w:color="auto"/>
          <w:right w:val="single" w:sz="4" w:space="4" w:color="auto"/>
        </w:pBdr>
      </w:pPr>
      <w:r w:rsidRPr="00B13039">
        <w:t xml:space="preserve">If a patient develops signs or symptoms of an allergic response, either locally or systemically with dyspnoea, anxiety, chest tightness, itching, nausea, vomiting, sneezing, coughing, flushing, abdominal pain, hives or facial oedema, notify the medical officer immediately. </w:t>
      </w:r>
    </w:p>
    <w:p w14:paraId="3BE17454" w14:textId="299D9210" w:rsidR="007744E3" w:rsidRPr="007744E3" w:rsidRDefault="007744E3" w:rsidP="007744E3">
      <w:pPr>
        <w:pStyle w:val="BodyCopy"/>
        <w:pBdr>
          <w:top w:val="single" w:sz="4" w:space="1" w:color="auto"/>
          <w:left w:val="single" w:sz="4" w:space="4" w:color="auto"/>
          <w:bottom w:val="single" w:sz="4" w:space="1" w:color="auto"/>
          <w:right w:val="single" w:sz="4" w:space="4" w:color="auto"/>
        </w:pBdr>
        <w:rPr>
          <w:iCs w:val="0"/>
        </w:rPr>
      </w:pPr>
      <w:r w:rsidRPr="00B13039">
        <w:t xml:space="preserve">Manage as directed by </w:t>
      </w:r>
      <w:r>
        <w:rPr>
          <w:i/>
        </w:rPr>
        <w:t xml:space="preserve">Management of Anaphylaxis in Adults and Children Guideline </w:t>
      </w:r>
      <w:r>
        <w:rPr>
          <w:iCs w:val="0"/>
        </w:rPr>
        <w:t>located on the CHS Policy and Guidance Documents Register.</w:t>
      </w:r>
      <w:r w:rsidRPr="00925B93" w:rsidDel="00925B93">
        <w:rPr>
          <w:iCs w:val="0"/>
        </w:rPr>
        <w:t xml:space="preserve"> </w:t>
      </w:r>
      <w:r w:rsidRPr="00D967E1">
        <w:rPr>
          <w:bCs w:val="0"/>
          <w:iCs w:val="0"/>
        </w:rPr>
        <w:t>If needed</w:t>
      </w:r>
      <w:r w:rsidRPr="00925B93">
        <w:rPr>
          <w:iCs w:val="0"/>
        </w:rPr>
        <w:t xml:space="preserve"> initiate a </w:t>
      </w:r>
      <w:r w:rsidR="00D967E1">
        <w:rPr>
          <w:iCs w:val="0"/>
        </w:rPr>
        <w:t>C</w:t>
      </w:r>
      <w:r w:rsidRPr="00925B93">
        <w:rPr>
          <w:iCs w:val="0"/>
        </w:rPr>
        <w:t xml:space="preserve">ode </w:t>
      </w:r>
      <w:r w:rsidR="00D967E1">
        <w:rPr>
          <w:iCs w:val="0"/>
        </w:rPr>
        <w:t>B</w:t>
      </w:r>
      <w:r w:rsidRPr="00925B93">
        <w:rPr>
          <w:iCs w:val="0"/>
        </w:rPr>
        <w:t>lue.</w:t>
      </w:r>
      <w:bookmarkStart w:id="11" w:name="_Toc169006110"/>
      <w:bookmarkStart w:id="12" w:name="_Toc170206161"/>
    </w:p>
    <w:bookmarkEnd w:id="11"/>
    <w:bookmarkEnd w:id="12"/>
    <w:p w14:paraId="69B54E1E" w14:textId="419DDA16" w:rsidR="00E90C94" w:rsidRDefault="00E90C94" w:rsidP="00E90C94">
      <w:pPr>
        <w:pStyle w:val="BodyCopy"/>
      </w:pPr>
      <w:r>
        <w:fldChar w:fldCharType="begin"/>
      </w:r>
      <w:r>
        <w:instrText>HYPERLINK \l "_top"</w:instrText>
      </w:r>
      <w:r>
        <w:fldChar w:fldCharType="separate"/>
      </w:r>
      <w:r w:rsidRPr="00481A6C">
        <w:rPr>
          <w:rStyle w:val="Hyperlink"/>
          <w:iCs w:val="0"/>
        </w:rPr>
        <w:t>Back to Contents</w:t>
      </w:r>
      <w:r>
        <w:fldChar w:fldCharType="end"/>
      </w:r>
    </w:p>
    <w:p w14:paraId="79F5B39F" w14:textId="77777777" w:rsidR="0078367D" w:rsidRDefault="0078367D" w:rsidP="00A6051F">
      <w:pPr>
        <w:pStyle w:val="Heading4"/>
      </w:pPr>
      <w:bookmarkStart w:id="13" w:name="_Toc176348490"/>
      <w:bookmarkStart w:id="14" w:name="_Toc194319240"/>
      <w:r>
        <w:t>Evaluation</w:t>
      </w:r>
      <w:bookmarkStart w:id="15" w:name="_Hlk43366294"/>
      <w:bookmarkEnd w:id="13"/>
      <w:bookmarkEnd w:id="14"/>
    </w:p>
    <w:p w14:paraId="1F54937C" w14:textId="68D0AE8A" w:rsidR="00531C53" w:rsidRPr="00C2309D" w:rsidRDefault="00531C53" w:rsidP="00C34A10">
      <w:pPr>
        <w:pStyle w:val="Heading5"/>
        <w:rPr>
          <w:b w:val="0"/>
          <w:bCs w:val="0"/>
          <w:color w:val="auto"/>
        </w:rPr>
      </w:pPr>
      <w:bookmarkStart w:id="16" w:name="_Hlk170467190"/>
      <w:bookmarkEnd w:id="15"/>
      <w:r w:rsidRPr="00C2309D">
        <w:rPr>
          <w:b w:val="0"/>
          <w:bCs w:val="0"/>
          <w:color w:val="auto"/>
        </w:rPr>
        <w:lastRenderedPageBreak/>
        <w:t xml:space="preserve">A 12-month </w:t>
      </w:r>
      <w:r w:rsidR="00FA538A" w:rsidRPr="00C2309D">
        <w:rPr>
          <w:b w:val="0"/>
          <w:bCs w:val="0"/>
          <w:color w:val="auto"/>
        </w:rPr>
        <w:t xml:space="preserve">evaluation will be conducted based on the outcome and measures </w:t>
      </w:r>
      <w:r w:rsidR="008D451B" w:rsidRPr="00C2309D">
        <w:rPr>
          <w:b w:val="0"/>
          <w:bCs w:val="0"/>
          <w:color w:val="auto"/>
        </w:rPr>
        <w:t>parameters below:</w:t>
      </w:r>
    </w:p>
    <w:p w14:paraId="36EF23C9" w14:textId="58ADD1C0" w:rsidR="00481A6C" w:rsidRDefault="00481A6C" w:rsidP="00C34A10">
      <w:pPr>
        <w:pStyle w:val="Heading5"/>
      </w:pPr>
      <w:r w:rsidRPr="00C34A10">
        <w:t>Outcome</w:t>
      </w:r>
    </w:p>
    <w:p w14:paraId="0A7450B1" w14:textId="23851BD2" w:rsidR="00E90C94" w:rsidRPr="00E90C94" w:rsidRDefault="00E90C94" w:rsidP="00E90C94">
      <w:pPr>
        <w:pStyle w:val="Bullet"/>
      </w:pPr>
      <w:bookmarkStart w:id="17" w:name="_Hlk170467240"/>
      <w:bookmarkEnd w:id="16"/>
      <w:r w:rsidRPr="00E90C94">
        <w:t xml:space="preserve">Significant proportion of ‘penicillin allergic’ patients at </w:t>
      </w:r>
      <w:r>
        <w:t>t</w:t>
      </w:r>
      <w:r w:rsidRPr="00E90C94">
        <w:t>he Canberra Hospital were inaccurately labelled or have low risk penicillin allergy and could be safely de-labelled by a combination of history and direct oral challenge.</w:t>
      </w:r>
    </w:p>
    <w:p w14:paraId="2B48553E" w14:textId="4488FDE9" w:rsidR="00E90C94" w:rsidRPr="00E90C94" w:rsidRDefault="00E90C94" w:rsidP="00E90C94">
      <w:pPr>
        <w:pStyle w:val="Bullet"/>
      </w:pPr>
      <w:r w:rsidRPr="00E90C94">
        <w:t>Improved guideline compliant antibiotic prescribing.</w:t>
      </w:r>
    </w:p>
    <w:p w14:paraId="10FAF52E" w14:textId="5681BD71" w:rsidR="00E90C94" w:rsidRPr="00E90C94" w:rsidRDefault="00E90C94" w:rsidP="00E90C94">
      <w:pPr>
        <w:pStyle w:val="Bullet"/>
      </w:pPr>
      <w:r w:rsidRPr="00E90C94">
        <w:t>Reduction in development multidrug-resistant organisms such as methicillin resistant Staphylococcus aureus (MRSA) and vancomycin resistant Enterococcus (VRE)</w:t>
      </w:r>
    </w:p>
    <w:p w14:paraId="069CAE65" w14:textId="4A4D842C" w:rsidR="00E90C94" w:rsidRPr="00E90C94" w:rsidRDefault="00E90C94" w:rsidP="00E90C94">
      <w:pPr>
        <w:pStyle w:val="Bullet"/>
      </w:pPr>
      <w:r w:rsidRPr="00E90C94">
        <w:t>Shorter length of hospital stay.</w:t>
      </w:r>
    </w:p>
    <w:p w14:paraId="46883858" w14:textId="77777777" w:rsidR="00481A6C" w:rsidRPr="00C34A10" w:rsidRDefault="00C34A10" w:rsidP="00C34A10">
      <w:pPr>
        <w:pStyle w:val="Heading5"/>
      </w:pPr>
      <w:r>
        <w:t>Measures</w:t>
      </w:r>
    </w:p>
    <w:bookmarkEnd w:id="17"/>
    <w:p w14:paraId="55219A54" w14:textId="77777777" w:rsidR="00E90C94" w:rsidRPr="00E90C94" w:rsidRDefault="00E90C94" w:rsidP="00E90C94">
      <w:pPr>
        <w:pStyle w:val="Bullet"/>
      </w:pPr>
      <w:r w:rsidRPr="00E90C94">
        <w:t>De-labelling Rate: Outcomes of patients who undergo direct oral penicillin challenge will be reported to the ACT ADRRC.</w:t>
      </w:r>
    </w:p>
    <w:p w14:paraId="052A6D13" w14:textId="1CF9436F" w:rsidR="00E90C94" w:rsidRPr="00E90C94" w:rsidRDefault="00E90C94" w:rsidP="00E90C94">
      <w:pPr>
        <w:pStyle w:val="Bullet"/>
      </w:pPr>
      <w:r w:rsidRPr="00E90C94">
        <w:t>Antibiotic utilisation data.</w:t>
      </w:r>
    </w:p>
    <w:p w14:paraId="47A71C3D" w14:textId="219CC813" w:rsidR="00E90C94" w:rsidRPr="00E90C94" w:rsidRDefault="00E90C94" w:rsidP="00E90C94">
      <w:pPr>
        <w:pStyle w:val="Bullet"/>
      </w:pPr>
      <w:r w:rsidRPr="00E90C94">
        <w:t>Incidence of adverse drug reactions (ADRs) in patients receiving direct oral penicillin challenge.</w:t>
      </w:r>
    </w:p>
    <w:p w14:paraId="70F31BAF" w14:textId="16B45713" w:rsidR="00E90C94" w:rsidRPr="00E90C94" w:rsidRDefault="00E90C94" w:rsidP="00E90C94">
      <w:pPr>
        <w:pStyle w:val="Bullet"/>
      </w:pPr>
      <w:r w:rsidRPr="00E90C94">
        <w:t xml:space="preserve">Antimicrobial resistance trends. </w:t>
      </w:r>
    </w:p>
    <w:p w14:paraId="792F95E5" w14:textId="77777777" w:rsidR="00481A6C" w:rsidRDefault="00481A6C" w:rsidP="002D7682">
      <w:pPr>
        <w:pStyle w:val="BodyCopy"/>
        <w:spacing w:after="120"/>
        <w:rPr>
          <w:rStyle w:val="Hyperlink"/>
          <w:iCs w:val="0"/>
        </w:rPr>
      </w:pPr>
      <w:hyperlink w:anchor="_top" w:history="1">
        <w:r w:rsidRPr="00481A6C">
          <w:rPr>
            <w:rStyle w:val="Hyperlink"/>
            <w:iCs w:val="0"/>
          </w:rPr>
          <w:t>Back to Contents</w:t>
        </w:r>
      </w:hyperlink>
    </w:p>
    <w:p w14:paraId="319659AB" w14:textId="77777777" w:rsidR="00A6051F" w:rsidRDefault="00A6051F" w:rsidP="00A6051F">
      <w:pPr>
        <w:pStyle w:val="Heading4"/>
      </w:pPr>
      <w:bookmarkStart w:id="18" w:name="_Toc194319241"/>
      <w:r>
        <w:t>Related policies, procedures, guidelines and legislation</w:t>
      </w:r>
      <w:bookmarkEnd w:id="18"/>
    </w:p>
    <w:p w14:paraId="03024F21" w14:textId="77777777" w:rsidR="00481A6C" w:rsidRPr="00A66966" w:rsidRDefault="00481A6C" w:rsidP="00A6051F">
      <w:pPr>
        <w:pStyle w:val="Heading5"/>
      </w:pPr>
      <w:r w:rsidRPr="00A66966">
        <w:t>Policies</w:t>
      </w:r>
    </w:p>
    <w:p w14:paraId="0AA2668E" w14:textId="77777777" w:rsidR="00997834" w:rsidRDefault="00997834" w:rsidP="00997834">
      <w:pPr>
        <w:pStyle w:val="Bullet"/>
        <w:numPr>
          <w:ilvl w:val="0"/>
          <w:numId w:val="26"/>
        </w:numPr>
      </w:pPr>
      <w:r>
        <w:t>Nursing and Midwifery Board of Australia (NMBA) Requirements for Practice</w:t>
      </w:r>
    </w:p>
    <w:p w14:paraId="7CF680DB" w14:textId="20D83CA4" w:rsidR="00E90C94" w:rsidRDefault="00E90C94" w:rsidP="004E5FA6">
      <w:pPr>
        <w:pStyle w:val="Bullet"/>
      </w:pPr>
      <w:r w:rsidRPr="000C3CAC">
        <w:t>Preventing and Controlling Healthcare Associated Infections</w:t>
      </w:r>
    </w:p>
    <w:p w14:paraId="13450698" w14:textId="77777777" w:rsidR="00481A6C" w:rsidRDefault="00481A6C" w:rsidP="00A6051F">
      <w:pPr>
        <w:pStyle w:val="Heading5"/>
      </w:pPr>
      <w:r>
        <w:t>Procedures</w:t>
      </w:r>
    </w:p>
    <w:p w14:paraId="5A1AB7BF" w14:textId="77777777" w:rsidR="00481A6C" w:rsidRPr="000E7683" w:rsidRDefault="00635114" w:rsidP="000E7683">
      <w:pPr>
        <w:pStyle w:val="Bullet"/>
      </w:pPr>
      <w:r>
        <w:t>Infection Prevention and Control</w:t>
      </w:r>
    </w:p>
    <w:p w14:paraId="4E07F05E" w14:textId="32640423" w:rsidR="00481A6C" w:rsidRDefault="00481A6C" w:rsidP="000E7683">
      <w:pPr>
        <w:pStyle w:val="Bullet"/>
      </w:pPr>
      <w:r w:rsidRPr="000E7683">
        <w:t xml:space="preserve">Patient Identification and </w:t>
      </w:r>
      <w:r w:rsidR="004E5FA6">
        <w:t xml:space="preserve">Health Care Activity </w:t>
      </w:r>
      <w:r w:rsidRPr="000E7683">
        <w:t xml:space="preserve">Matching </w:t>
      </w:r>
    </w:p>
    <w:p w14:paraId="36D20D6A" w14:textId="2117FABF" w:rsidR="004E5FA6" w:rsidRPr="000E7683" w:rsidRDefault="004E5FA6" w:rsidP="000E7683">
      <w:pPr>
        <w:pStyle w:val="Bullet"/>
      </w:pPr>
      <w:r>
        <w:t>Antimicrobial Stewardship</w:t>
      </w:r>
    </w:p>
    <w:p w14:paraId="219D1D5E" w14:textId="77777777" w:rsidR="00481A6C" w:rsidRDefault="00481A6C" w:rsidP="00A6051F">
      <w:pPr>
        <w:pStyle w:val="Heading5"/>
      </w:pPr>
      <w:r>
        <w:t xml:space="preserve">Guidelines </w:t>
      </w:r>
    </w:p>
    <w:p w14:paraId="237C631C" w14:textId="77777777" w:rsidR="009746B1" w:rsidRDefault="009746B1" w:rsidP="009746B1">
      <w:pPr>
        <w:pStyle w:val="Bullet"/>
      </w:pPr>
      <w:r>
        <w:t>Consent for Healthcare Treatment</w:t>
      </w:r>
    </w:p>
    <w:p w14:paraId="7EC7E298" w14:textId="77777777" w:rsidR="004E5FA6" w:rsidRDefault="004E5FA6" w:rsidP="004E5FA6">
      <w:pPr>
        <w:pStyle w:val="Bullet"/>
        <w:rPr>
          <w:lang w:eastAsia="en-US"/>
        </w:rPr>
      </w:pPr>
      <w:r w:rsidRPr="00FD14FD">
        <w:rPr>
          <w:lang w:eastAsia="en-US"/>
        </w:rPr>
        <w:t>Management of Anaphylaxis in Adults and Children</w:t>
      </w:r>
    </w:p>
    <w:p w14:paraId="75F2F958" w14:textId="77777777" w:rsidR="00481A6C" w:rsidRDefault="00481A6C" w:rsidP="00A6051F">
      <w:pPr>
        <w:pStyle w:val="Heading5"/>
      </w:pPr>
      <w:r>
        <w:t>Legislation</w:t>
      </w:r>
    </w:p>
    <w:p w14:paraId="05548C73" w14:textId="77777777" w:rsidR="00481A6C" w:rsidRPr="000E7683" w:rsidRDefault="00481A6C" w:rsidP="000E7683">
      <w:pPr>
        <w:pStyle w:val="Bullet"/>
      </w:pPr>
      <w:r w:rsidRPr="00FE46F1">
        <w:rPr>
          <w:i/>
          <w:iCs/>
        </w:rPr>
        <w:t>Health Records (Privacy and Access) Act</w:t>
      </w:r>
      <w:r w:rsidRPr="000E7683">
        <w:t xml:space="preserve"> 1997</w:t>
      </w:r>
    </w:p>
    <w:p w14:paraId="179CC569" w14:textId="77777777" w:rsidR="00481A6C" w:rsidRPr="000E7683" w:rsidRDefault="00481A6C" w:rsidP="000E7683">
      <w:pPr>
        <w:pStyle w:val="Bullet"/>
      </w:pPr>
      <w:r w:rsidRPr="00FE46F1">
        <w:rPr>
          <w:i/>
          <w:iCs/>
        </w:rPr>
        <w:t>Human Rights Act</w:t>
      </w:r>
      <w:r w:rsidRPr="000E7683">
        <w:t xml:space="preserve"> 2004</w:t>
      </w:r>
    </w:p>
    <w:p w14:paraId="744E185F" w14:textId="77777777" w:rsidR="00481A6C" w:rsidRPr="000E7683" w:rsidRDefault="00481A6C" w:rsidP="000E7683">
      <w:pPr>
        <w:pStyle w:val="Bullet"/>
      </w:pPr>
      <w:r w:rsidRPr="00FE46F1">
        <w:rPr>
          <w:i/>
          <w:iCs/>
        </w:rPr>
        <w:t>Work Health and Safety Act</w:t>
      </w:r>
      <w:r w:rsidRPr="000E7683">
        <w:t xml:space="preserve"> 2011</w:t>
      </w:r>
    </w:p>
    <w:p w14:paraId="7309DC6F" w14:textId="77777777" w:rsidR="00481A6C" w:rsidRPr="000E7683" w:rsidRDefault="00481A6C" w:rsidP="000E7683">
      <w:pPr>
        <w:pStyle w:val="Bullet"/>
      </w:pPr>
      <w:r w:rsidRPr="00FE46F1">
        <w:rPr>
          <w:i/>
          <w:iCs/>
        </w:rPr>
        <w:lastRenderedPageBreak/>
        <w:t>Carers Recognition Act</w:t>
      </w:r>
      <w:r w:rsidRPr="000E7683">
        <w:t xml:space="preserve"> 2021</w:t>
      </w:r>
    </w:p>
    <w:p w14:paraId="5C5A8C21" w14:textId="77777777" w:rsidR="00481A6C" w:rsidRDefault="00481A6C" w:rsidP="00A6051F">
      <w:pPr>
        <w:pStyle w:val="Heading5"/>
      </w:pPr>
      <w:r>
        <w:t>Other</w:t>
      </w:r>
    </w:p>
    <w:p w14:paraId="18BEA6EE" w14:textId="77777777" w:rsidR="000E7683" w:rsidRDefault="00481A6C" w:rsidP="00A66966">
      <w:pPr>
        <w:pStyle w:val="Bullet"/>
      </w:pPr>
      <w:r w:rsidRPr="00A66966">
        <w:t>Australian</w:t>
      </w:r>
      <w:r w:rsidRPr="000E7683">
        <w:t xml:space="preserve"> Charter of Healthcare Right</w:t>
      </w:r>
      <w:r w:rsidR="00280C5D" w:rsidRPr="000E7683">
        <w:t>s</w:t>
      </w:r>
    </w:p>
    <w:p w14:paraId="6516C33D" w14:textId="77777777" w:rsidR="000E7683" w:rsidRPr="000E7683" w:rsidRDefault="000E7683" w:rsidP="002D7682">
      <w:pPr>
        <w:pStyle w:val="BodyCopy"/>
      </w:pPr>
      <w:hyperlink w:anchor="_top" w:history="1">
        <w:r w:rsidRPr="004A7A7F">
          <w:rPr>
            <w:rStyle w:val="Hyperlink"/>
          </w:rPr>
          <w:t>Back to Contents</w:t>
        </w:r>
      </w:hyperlink>
    </w:p>
    <w:p w14:paraId="354CDFA4" w14:textId="77777777" w:rsidR="0078367D" w:rsidRPr="0078367D" w:rsidRDefault="0078367D" w:rsidP="00A6051F">
      <w:pPr>
        <w:pStyle w:val="Heading4"/>
      </w:pPr>
      <w:bookmarkStart w:id="19" w:name="_Toc194319242"/>
      <w:r w:rsidRPr="0078367D">
        <w:t>References</w:t>
      </w:r>
      <w:bookmarkEnd w:id="19"/>
    </w:p>
    <w:p w14:paraId="1605C48C" w14:textId="77777777" w:rsidR="004E5FA6" w:rsidRPr="00B57FFA" w:rsidRDefault="004E5FA6" w:rsidP="004E5FA6">
      <w:pPr>
        <w:pStyle w:val="Bullet"/>
        <w:numPr>
          <w:ilvl w:val="0"/>
          <w:numId w:val="29"/>
        </w:numPr>
        <w:rPr>
          <w:lang w:eastAsia="en-US"/>
        </w:rPr>
      </w:pPr>
      <w:r w:rsidRPr="00B57FFA">
        <w:rPr>
          <w:lang w:eastAsia="en-US"/>
        </w:rPr>
        <w:t>Chen JR, Khan DA. Evaluation of penicillin allergy in the hospitalized patient: opportunities for antimicrobial stewardship. Curr Allergy Asthma Rep 2017; 17: 40.</w:t>
      </w:r>
    </w:p>
    <w:p w14:paraId="7651EAB9" w14:textId="77777777" w:rsidR="004E5FA6" w:rsidRPr="00B57FFA" w:rsidRDefault="004E5FA6" w:rsidP="004E5FA6">
      <w:pPr>
        <w:pStyle w:val="Bullet"/>
        <w:numPr>
          <w:ilvl w:val="0"/>
          <w:numId w:val="29"/>
        </w:numPr>
        <w:rPr>
          <w:lang w:eastAsia="en-US"/>
        </w:rPr>
      </w:pPr>
      <w:r w:rsidRPr="00B57FFA">
        <w:rPr>
          <w:lang w:eastAsia="en-US"/>
        </w:rPr>
        <w:t>Trubiano JA, Thursky KA, Stewardson AJ et al. Impact of an integrated antibiotic allergy testing program on antimicrobial stewardship: a multicentre evaluation. Clin Infect Dis 2017; 65: 166–74.</w:t>
      </w:r>
    </w:p>
    <w:p w14:paraId="3FA6C06E" w14:textId="77777777" w:rsidR="004E5FA6" w:rsidRPr="00B57FFA" w:rsidRDefault="004E5FA6" w:rsidP="004E5FA6">
      <w:pPr>
        <w:pStyle w:val="Bullet"/>
        <w:numPr>
          <w:ilvl w:val="0"/>
          <w:numId w:val="29"/>
        </w:numPr>
        <w:rPr>
          <w:lang w:eastAsia="en-US"/>
        </w:rPr>
      </w:pPr>
      <w:r w:rsidRPr="00B57FFA">
        <w:rPr>
          <w:lang w:eastAsia="en-US"/>
        </w:rPr>
        <w:t>Macy E, Contreras R. Health care use and serious infection prevalence associated with penicillin “allergy” in hospitalized patients: a cohort study. J Allergy Clin Immunol 2014; 133: 790–6.</w:t>
      </w:r>
    </w:p>
    <w:p w14:paraId="7B31144C" w14:textId="77777777" w:rsidR="004E5FA6" w:rsidRPr="00B57FFA" w:rsidRDefault="004E5FA6" w:rsidP="004E5FA6">
      <w:pPr>
        <w:pStyle w:val="Bullet"/>
        <w:numPr>
          <w:ilvl w:val="0"/>
          <w:numId w:val="29"/>
        </w:numPr>
        <w:rPr>
          <w:lang w:eastAsia="en-US"/>
        </w:rPr>
      </w:pPr>
      <w:r w:rsidRPr="00B57FFA">
        <w:rPr>
          <w:lang w:eastAsia="en-US"/>
        </w:rPr>
        <w:t>Trubiano JA, Chen C, Cheng AC et al. Antimicrobial allergy ‘labels’ drive inappropriate antimicrobial prescribing: lessons for stewardship. J Antimicrob Chemother 2016; 71: 1715–22.</w:t>
      </w:r>
    </w:p>
    <w:p w14:paraId="24E4ADBC" w14:textId="77777777" w:rsidR="004E5FA6" w:rsidRPr="00B57FFA" w:rsidRDefault="004E5FA6" w:rsidP="004E5FA6">
      <w:pPr>
        <w:pStyle w:val="Bullet"/>
        <w:numPr>
          <w:ilvl w:val="0"/>
          <w:numId w:val="29"/>
        </w:numPr>
        <w:rPr>
          <w:lang w:eastAsia="en-US"/>
        </w:rPr>
      </w:pPr>
      <w:r w:rsidRPr="00B57FFA">
        <w:rPr>
          <w:lang w:eastAsia="en-US"/>
        </w:rPr>
        <w:t>Implications for patients with a Beta-lactam allergy - Canberra Hospital 2022-2023. Lance, A, Chiong, F, Marr I. ASID ASM 2024, Wellington, NZ. (unpublished data)</w:t>
      </w:r>
    </w:p>
    <w:p w14:paraId="73E9BE2A" w14:textId="77777777" w:rsidR="004E5FA6" w:rsidRPr="00B57FFA" w:rsidRDefault="004E5FA6" w:rsidP="004E5FA6">
      <w:pPr>
        <w:pStyle w:val="Bullet"/>
        <w:numPr>
          <w:ilvl w:val="0"/>
          <w:numId w:val="29"/>
        </w:numPr>
        <w:rPr>
          <w:lang w:eastAsia="en-US"/>
        </w:rPr>
      </w:pPr>
      <w:r w:rsidRPr="00B57FFA">
        <w:rPr>
          <w:lang w:eastAsia="en-US"/>
        </w:rPr>
        <w:t>Sousa-Pinto B, Cardoso-Fernandes A, Arau´jo L et al. Clinical and economic burden of hospitalizations with registration of penicillin allergy. Ann Allergy Asthma Immunol 2018; 120: 190–4.e2. utic guidelines</w:t>
      </w:r>
    </w:p>
    <w:p w14:paraId="69314C4A" w14:textId="77777777" w:rsidR="004E5FA6" w:rsidRPr="00B57FFA" w:rsidRDefault="004E5FA6" w:rsidP="004E5FA6">
      <w:pPr>
        <w:pStyle w:val="Bullet"/>
        <w:numPr>
          <w:ilvl w:val="0"/>
          <w:numId w:val="29"/>
        </w:numPr>
        <w:rPr>
          <w:lang w:eastAsia="en-US"/>
        </w:rPr>
      </w:pPr>
      <w:r w:rsidRPr="00B57FFA">
        <w:rPr>
          <w:lang w:eastAsia="en-US"/>
        </w:rPr>
        <w:t>Trubiano JA, Pai Mangalore R, Baey YWet al. Old but not forgotten: antibiotic allergies in General Medicine (theAGMStudy). Med J Aust 2016; 204: 273.</w:t>
      </w:r>
    </w:p>
    <w:p w14:paraId="2348969D" w14:textId="77777777" w:rsidR="004E5FA6" w:rsidRPr="00B57FFA" w:rsidRDefault="004E5FA6" w:rsidP="004E5FA6">
      <w:pPr>
        <w:pStyle w:val="Bullet"/>
        <w:numPr>
          <w:ilvl w:val="0"/>
          <w:numId w:val="29"/>
        </w:numPr>
        <w:rPr>
          <w:lang w:eastAsia="en-US"/>
        </w:rPr>
      </w:pPr>
      <w:r w:rsidRPr="00B57FFA">
        <w:rPr>
          <w:lang w:eastAsia="en-US"/>
        </w:rPr>
        <w:t>Rawlins MD. Textbook of Adverse Drug Reactions. Oxford, UK: Oxford University Press, 1977.</w:t>
      </w:r>
    </w:p>
    <w:p w14:paraId="32C6D5CF" w14:textId="77777777" w:rsidR="004E5FA6" w:rsidRPr="00B57FFA" w:rsidRDefault="004E5FA6" w:rsidP="004E5FA6">
      <w:pPr>
        <w:pStyle w:val="Bullet"/>
        <w:numPr>
          <w:ilvl w:val="0"/>
          <w:numId w:val="29"/>
        </w:numPr>
        <w:rPr>
          <w:lang w:eastAsia="en-US"/>
        </w:rPr>
      </w:pPr>
      <w:r w:rsidRPr="00B57FFA">
        <w:rPr>
          <w:lang w:eastAsia="en-US"/>
        </w:rPr>
        <w:t>Macy E, Contreras R. Healthcare use and serious infection prevalence associated with penicillin “allergy” in hospitalized patients: a cohort study. J Allergy Clin Immunol 2014; 133: 790–6.</w:t>
      </w:r>
    </w:p>
    <w:p w14:paraId="110538B3" w14:textId="77777777" w:rsidR="004E5FA6" w:rsidRPr="00B57FFA" w:rsidRDefault="004E5FA6" w:rsidP="004E5FA6">
      <w:pPr>
        <w:pStyle w:val="Bullet"/>
        <w:numPr>
          <w:ilvl w:val="0"/>
          <w:numId w:val="29"/>
        </w:numPr>
        <w:rPr>
          <w:lang w:eastAsia="en-US"/>
        </w:rPr>
      </w:pPr>
      <w:r w:rsidRPr="00B57FFA">
        <w:rPr>
          <w:lang w:eastAsia="en-US"/>
        </w:rPr>
        <w:t>Mandell L, Wunderlink R, Anzueto A et al. Infectious Diseases Society of American/American Thoracic Society consensus guidelines on the management of community-acquired pneumonia in adults. Clin Infect Dis 2007; 44 Suppl 2: S27–72.</w:t>
      </w:r>
    </w:p>
    <w:p w14:paraId="105CDDFB" w14:textId="77777777" w:rsidR="004E5FA6" w:rsidRPr="00B57FFA" w:rsidRDefault="004E5FA6" w:rsidP="004E5FA6">
      <w:pPr>
        <w:pStyle w:val="Bullet"/>
        <w:numPr>
          <w:ilvl w:val="0"/>
          <w:numId w:val="29"/>
        </w:numPr>
        <w:rPr>
          <w:lang w:eastAsia="en-US"/>
        </w:rPr>
      </w:pPr>
      <w:r w:rsidRPr="00B57FFA">
        <w:rPr>
          <w:lang w:eastAsia="en-US"/>
        </w:rPr>
        <w:t>Tunkel A, Hartman B, Kaplan S et al. Practice guidelines for the management of bacterial meningitis. Clin Infect Dis 2004; 39: 1267–84.</w:t>
      </w:r>
    </w:p>
    <w:p w14:paraId="55BCAD70" w14:textId="77777777" w:rsidR="004E5FA6" w:rsidRPr="00B57FFA" w:rsidRDefault="004E5FA6" w:rsidP="004E5FA6">
      <w:pPr>
        <w:pStyle w:val="Bullet"/>
        <w:numPr>
          <w:ilvl w:val="0"/>
          <w:numId w:val="29"/>
        </w:numPr>
        <w:rPr>
          <w:lang w:eastAsia="en-US"/>
        </w:rPr>
      </w:pPr>
      <w:r w:rsidRPr="00B57FFA">
        <w:rPr>
          <w:lang w:eastAsia="en-US"/>
        </w:rPr>
        <w:t>McDanel JS, Perencevich EN, Diekema DJ et al. Comparative effectiveness of b-lactams versus vancomycin for the treatment of methicillin-susceptible Staphylococcus aureus bloodstream infections among 122 hospitals. Clin Infect Dis 2015; 61: 361–7.</w:t>
      </w:r>
    </w:p>
    <w:p w14:paraId="425697ED" w14:textId="77777777" w:rsidR="004E5FA6" w:rsidRPr="00B57FFA" w:rsidRDefault="004E5FA6" w:rsidP="004E5FA6">
      <w:pPr>
        <w:pStyle w:val="Bullet"/>
        <w:numPr>
          <w:ilvl w:val="0"/>
          <w:numId w:val="29"/>
        </w:numPr>
        <w:rPr>
          <w:lang w:eastAsia="en-US"/>
        </w:rPr>
      </w:pPr>
      <w:r w:rsidRPr="00B57FFA">
        <w:rPr>
          <w:lang w:eastAsia="en-US"/>
        </w:rPr>
        <w:lastRenderedPageBreak/>
        <w:t>Sade K, Holtzer I, Levo Y et al. The economic burden of antibiotic treatment of penicillin-allergic patients in internal medicine wards of a general tertiary care hospital. Clin Exp Allergy 2003; 33: 501–6.</w:t>
      </w:r>
    </w:p>
    <w:p w14:paraId="0F0F2AB4" w14:textId="77777777" w:rsidR="004E5FA6" w:rsidRPr="00B57FFA" w:rsidRDefault="004E5FA6" w:rsidP="004E5FA6">
      <w:pPr>
        <w:pStyle w:val="Bullet"/>
        <w:numPr>
          <w:ilvl w:val="0"/>
          <w:numId w:val="29"/>
        </w:numPr>
        <w:rPr>
          <w:lang w:eastAsia="en-US"/>
        </w:rPr>
      </w:pPr>
      <w:r w:rsidRPr="00B57FFA">
        <w:rPr>
          <w:lang w:eastAsia="en-US"/>
        </w:rPr>
        <w:t>MacFadden DR, LaDelfa A, Leen J et al. Impact of reported b-lactam allergy on inpatient outcomes: a multicentre prospective cohort study. Clin Infect Dis 2016; 63: 904–10.</w:t>
      </w:r>
    </w:p>
    <w:p w14:paraId="53E5F96E" w14:textId="77777777" w:rsidR="004E5FA6" w:rsidRPr="00B57FFA" w:rsidRDefault="004E5FA6" w:rsidP="004E5FA6">
      <w:pPr>
        <w:pStyle w:val="Bullet"/>
        <w:numPr>
          <w:ilvl w:val="0"/>
          <w:numId w:val="29"/>
        </w:numPr>
        <w:rPr>
          <w:lang w:eastAsia="en-US"/>
        </w:rPr>
      </w:pPr>
      <w:r w:rsidRPr="00B57FFA">
        <w:rPr>
          <w:lang w:eastAsia="en-US"/>
        </w:rPr>
        <w:t>Martinez JA, Ruthazer R, Hansjonsten K et al. Role of environmental contamination as a risk factor for acquisition of vancomycin-resistant enterococci in patients treated in a medical intensive care unit. Arch Intern Med 2003; 163: 1905–12.</w:t>
      </w:r>
    </w:p>
    <w:p w14:paraId="389EDA16" w14:textId="77777777" w:rsidR="004E5FA6" w:rsidRPr="00B57FFA" w:rsidRDefault="004E5FA6" w:rsidP="004E5FA6">
      <w:pPr>
        <w:pStyle w:val="Bullet"/>
        <w:numPr>
          <w:ilvl w:val="0"/>
          <w:numId w:val="29"/>
        </w:numPr>
        <w:rPr>
          <w:lang w:eastAsia="en-US"/>
        </w:rPr>
      </w:pPr>
      <w:r w:rsidRPr="00B57FFA">
        <w:rPr>
          <w:lang w:eastAsia="en-US"/>
        </w:rPr>
        <w:t>Blumenthal KG, Lu N, Zhang Y et al. Risk of methicillin resistant Staphylococcus aureus and Clostridium difficile in patientswith a documented penicillin allergy: population based matched cohort study. BMJ 2018; 361:k2400.</w:t>
      </w:r>
    </w:p>
    <w:p w14:paraId="412151C3" w14:textId="77777777" w:rsidR="004E5FA6" w:rsidRPr="00B57FFA" w:rsidRDefault="004E5FA6" w:rsidP="004E5FA6">
      <w:pPr>
        <w:pStyle w:val="Bullet"/>
        <w:numPr>
          <w:ilvl w:val="0"/>
          <w:numId w:val="29"/>
        </w:numPr>
        <w:rPr>
          <w:lang w:eastAsia="en-US"/>
        </w:rPr>
      </w:pPr>
      <w:r w:rsidRPr="00B57FFA">
        <w:rPr>
          <w:lang w:eastAsia="en-US"/>
        </w:rPr>
        <w:t>Demoly P, Adkinson NF, Brockow K, et al. International Consensus on drug allergy. Allergy 2014; 69:420.</w:t>
      </w:r>
    </w:p>
    <w:p w14:paraId="364A8287" w14:textId="77777777" w:rsidR="004E5FA6" w:rsidRPr="00B57FFA" w:rsidRDefault="004E5FA6" w:rsidP="004E5FA6">
      <w:pPr>
        <w:pStyle w:val="Bullet"/>
        <w:numPr>
          <w:ilvl w:val="0"/>
          <w:numId w:val="29"/>
        </w:numPr>
        <w:rPr>
          <w:lang w:eastAsia="en-US"/>
        </w:rPr>
      </w:pPr>
      <w:r w:rsidRPr="00B57FFA">
        <w:rPr>
          <w:lang w:eastAsia="en-US"/>
        </w:rPr>
        <w:t>Blumenthal KG, Peter JG, Trubiano JA, Phillips EJ. Antibiotic allergy. Lancet 2019; 393:183–98.</w:t>
      </w:r>
    </w:p>
    <w:p w14:paraId="637E42F7" w14:textId="77777777" w:rsidR="004E5FA6" w:rsidRPr="00B57FFA" w:rsidRDefault="004E5FA6" w:rsidP="004E5FA6">
      <w:pPr>
        <w:pStyle w:val="Bullet"/>
        <w:numPr>
          <w:ilvl w:val="0"/>
          <w:numId w:val="29"/>
        </w:numPr>
        <w:rPr>
          <w:lang w:eastAsia="en-US"/>
        </w:rPr>
      </w:pPr>
      <w:r w:rsidRPr="00B57FFA">
        <w:rPr>
          <w:lang w:eastAsia="en-US"/>
        </w:rPr>
        <w:t>Trubiano JA, Adkinson NF, Phillips EJ. Penicillin allergy is not necessarily forever. JAMA 2017; 318:82–3.</w:t>
      </w:r>
    </w:p>
    <w:p w14:paraId="7DDBFA55" w14:textId="77777777" w:rsidR="004E5FA6" w:rsidRPr="00B57FFA" w:rsidRDefault="004E5FA6" w:rsidP="004E5FA6">
      <w:pPr>
        <w:pStyle w:val="Bullet"/>
        <w:numPr>
          <w:ilvl w:val="0"/>
          <w:numId w:val="29"/>
        </w:numPr>
        <w:rPr>
          <w:lang w:eastAsia="en-US"/>
        </w:rPr>
      </w:pPr>
      <w:r w:rsidRPr="00B57FFA">
        <w:rPr>
          <w:lang w:eastAsia="en-US"/>
        </w:rPr>
        <w:t>Trubiano J, Phillips E. Antimicrobial stewardship’s new weapon? A review of antibiotic allergy and pathways to “de-labeling.” Curr Opin Infect Dis 2013; 26:526–37.</w:t>
      </w:r>
    </w:p>
    <w:p w14:paraId="7B1F91B3" w14:textId="77777777" w:rsidR="004E5FA6" w:rsidRPr="00B57FFA" w:rsidRDefault="004E5FA6" w:rsidP="004E5FA6">
      <w:pPr>
        <w:pStyle w:val="Bullet"/>
        <w:numPr>
          <w:ilvl w:val="0"/>
          <w:numId w:val="29"/>
        </w:numPr>
        <w:rPr>
          <w:lang w:eastAsia="en-US"/>
        </w:rPr>
      </w:pPr>
      <w:r w:rsidRPr="00B57FFA">
        <w:rPr>
          <w:lang w:eastAsia="en-US"/>
        </w:rPr>
        <w:t>Copaescu AM, Vogrin S, James F</w:t>
      </w:r>
      <w:r>
        <w:rPr>
          <w:lang w:eastAsia="en-US"/>
        </w:rPr>
        <w:t xml:space="preserve"> et al</w:t>
      </w:r>
      <w:r w:rsidRPr="00B57FFA">
        <w:rPr>
          <w:lang w:eastAsia="en-US"/>
        </w:rPr>
        <w:t>. Efficacy of a Clinical Decision Rule to Enable Direct Oral Challenge in Patients With Low-Risk Penicillin Allergy: The PALACE Randomized Clinical Trial. JAMA Intern Med. 2023 Sep 1;183(9):944-952.</w:t>
      </w:r>
    </w:p>
    <w:p w14:paraId="052585EE" w14:textId="77777777" w:rsidR="004E5FA6" w:rsidRPr="00B57FFA" w:rsidRDefault="004E5FA6" w:rsidP="004E5FA6">
      <w:pPr>
        <w:pStyle w:val="Bullet"/>
        <w:numPr>
          <w:ilvl w:val="0"/>
          <w:numId w:val="29"/>
        </w:numPr>
        <w:rPr>
          <w:lang w:eastAsia="en-US"/>
        </w:rPr>
      </w:pPr>
      <w:r w:rsidRPr="00B57FFA">
        <w:rPr>
          <w:lang w:eastAsia="en-US"/>
        </w:rPr>
        <w:t>Phillips E, Knowles SR, Weber EA, Blackburn D. Cephalexin tolerated despite delayed aminopenicillin reactions. Allergy. 2001;56(8):790.</w:t>
      </w:r>
    </w:p>
    <w:p w14:paraId="0B8F9F5B" w14:textId="77777777" w:rsidR="004E5FA6" w:rsidRPr="00B57FFA" w:rsidRDefault="004E5FA6" w:rsidP="004E5FA6">
      <w:pPr>
        <w:pStyle w:val="Bullet"/>
        <w:numPr>
          <w:ilvl w:val="0"/>
          <w:numId w:val="29"/>
        </w:numPr>
        <w:rPr>
          <w:lang w:eastAsia="en-US"/>
        </w:rPr>
      </w:pPr>
      <w:r w:rsidRPr="00B57FFA">
        <w:rPr>
          <w:lang w:eastAsia="en-US"/>
        </w:rPr>
        <w:t>Romano A, Gaeta F, Valluzzi RL, Maggioletti M, Caruso C, Quaratino D. Cross-reactivity and tolerability of aztreonam and cephalosporins in subjects with a T cell-mediated hypersensitivity to penicillins. J Allergy Clin Immunol. 2016;138(1):179–186.</w:t>
      </w:r>
    </w:p>
    <w:p w14:paraId="1FE119C3" w14:textId="77777777" w:rsidR="004E5FA6" w:rsidRPr="00B57FFA" w:rsidRDefault="004E5FA6" w:rsidP="004E5FA6">
      <w:pPr>
        <w:pStyle w:val="Bullet"/>
        <w:numPr>
          <w:ilvl w:val="0"/>
          <w:numId w:val="29"/>
        </w:numPr>
        <w:rPr>
          <w:lang w:eastAsia="en-US"/>
        </w:rPr>
      </w:pPr>
      <w:r w:rsidRPr="00B57FFA">
        <w:rPr>
          <w:lang w:eastAsia="en-US"/>
        </w:rPr>
        <w:t>Austin Health Antibiotic Allergy Oral Challenge guideline.</w:t>
      </w:r>
    </w:p>
    <w:p w14:paraId="19A60E0E" w14:textId="77777777" w:rsidR="004E5FA6" w:rsidRPr="00B57FFA" w:rsidRDefault="004E5FA6" w:rsidP="004E5FA6">
      <w:pPr>
        <w:pStyle w:val="Bullet"/>
        <w:numPr>
          <w:ilvl w:val="0"/>
          <w:numId w:val="29"/>
        </w:numPr>
        <w:rPr>
          <w:lang w:eastAsia="en-US"/>
        </w:rPr>
      </w:pPr>
      <w:r w:rsidRPr="00B57FFA">
        <w:rPr>
          <w:lang w:eastAsia="en-US"/>
        </w:rPr>
        <w:t>NT Health Antibiotic Allergy Oral Challenge guideline.</w:t>
      </w:r>
    </w:p>
    <w:p w14:paraId="18733EF6" w14:textId="77777777" w:rsidR="00280C5D" w:rsidRDefault="00280C5D" w:rsidP="002D7682">
      <w:pPr>
        <w:pStyle w:val="Bullet"/>
        <w:numPr>
          <w:ilvl w:val="0"/>
          <w:numId w:val="0"/>
        </w:numPr>
        <w:tabs>
          <w:tab w:val="clear" w:pos="425"/>
        </w:tabs>
        <w:spacing w:after="240"/>
        <w:ind w:left="357" w:hanging="357"/>
        <w:rPr>
          <w:lang w:eastAsia="en-US"/>
        </w:rPr>
      </w:pPr>
      <w:hyperlink w:anchor="_top" w:history="1">
        <w:r w:rsidRPr="004A7A7F">
          <w:rPr>
            <w:rStyle w:val="Hyperlink"/>
          </w:rPr>
          <w:t>Back to Contents</w:t>
        </w:r>
      </w:hyperlink>
    </w:p>
    <w:p w14:paraId="184331E5" w14:textId="6A9E28DC" w:rsidR="0078367D" w:rsidRDefault="0078367D" w:rsidP="00A6051F">
      <w:pPr>
        <w:pStyle w:val="Heading4"/>
      </w:pPr>
      <w:bookmarkStart w:id="20" w:name="_Toc194319243"/>
      <w:r>
        <w:t>Definition of terms</w:t>
      </w:r>
      <w:bookmarkEnd w:id="20"/>
      <w:r>
        <w:t xml:space="preserve"> </w:t>
      </w:r>
    </w:p>
    <w:p w14:paraId="78504042" w14:textId="0AD1EFAC" w:rsidR="004E5FA6" w:rsidRPr="0057143B" w:rsidRDefault="004E5FA6" w:rsidP="004E5FA6">
      <w:pPr>
        <w:pStyle w:val="BodyCopy"/>
        <w:rPr>
          <w:b/>
          <w:bCs w:val="0"/>
          <w:iCs w:val="0"/>
        </w:rPr>
      </w:pPr>
      <w:r w:rsidRPr="0057143B">
        <w:rPr>
          <w:b/>
          <w:bCs w:val="0"/>
          <w:iCs w:val="0"/>
        </w:rPr>
        <w:t>PEN-FAST:</w:t>
      </w:r>
    </w:p>
    <w:p w14:paraId="39BE10FF" w14:textId="77777777" w:rsidR="004E5FA6" w:rsidRDefault="004E5FA6" w:rsidP="004E5FA6">
      <w:pPr>
        <w:pStyle w:val="BodyCopy"/>
        <w:spacing w:before="0" w:after="0"/>
        <w:rPr>
          <w:iCs w:val="0"/>
        </w:rPr>
      </w:pPr>
      <w:r w:rsidRPr="00A6128A">
        <w:rPr>
          <w:b/>
          <w:bCs w:val="0"/>
          <w:iCs w:val="0"/>
        </w:rPr>
        <w:t>P</w:t>
      </w:r>
      <w:r w:rsidRPr="00CC60A0">
        <w:rPr>
          <w:iCs w:val="0"/>
        </w:rPr>
        <w:t>en</w:t>
      </w:r>
      <w:r>
        <w:rPr>
          <w:iCs w:val="0"/>
        </w:rPr>
        <w:t>icillin allergy?</w:t>
      </w:r>
    </w:p>
    <w:p w14:paraId="4B9EEB91" w14:textId="77777777" w:rsidR="004E5FA6" w:rsidRDefault="004E5FA6" w:rsidP="004E5FA6">
      <w:pPr>
        <w:pStyle w:val="BodyCopy"/>
        <w:spacing w:before="0" w:after="0"/>
        <w:rPr>
          <w:iCs w:val="0"/>
        </w:rPr>
      </w:pPr>
      <w:r w:rsidRPr="00A6128A">
        <w:rPr>
          <w:b/>
          <w:bCs w:val="0"/>
          <w:iCs w:val="0"/>
        </w:rPr>
        <w:t>F</w:t>
      </w:r>
      <w:r>
        <w:rPr>
          <w:iCs w:val="0"/>
        </w:rPr>
        <w:t>ive years or less since reaction?</w:t>
      </w:r>
    </w:p>
    <w:p w14:paraId="2ABFE6DB" w14:textId="77777777" w:rsidR="004E5FA6" w:rsidRDefault="004E5FA6" w:rsidP="004E5FA6">
      <w:pPr>
        <w:pStyle w:val="BodyCopy"/>
        <w:spacing w:before="0" w:after="0"/>
        <w:rPr>
          <w:iCs w:val="0"/>
        </w:rPr>
      </w:pPr>
      <w:r w:rsidRPr="00A6128A">
        <w:rPr>
          <w:b/>
          <w:bCs w:val="0"/>
          <w:iCs w:val="0"/>
        </w:rPr>
        <w:t>A</w:t>
      </w:r>
      <w:r>
        <w:rPr>
          <w:iCs w:val="0"/>
        </w:rPr>
        <w:t>naphylaxis/Angioedema?</w:t>
      </w:r>
    </w:p>
    <w:p w14:paraId="1F08167C" w14:textId="77777777" w:rsidR="004E5FA6" w:rsidRDefault="004E5FA6" w:rsidP="004E5FA6">
      <w:pPr>
        <w:pStyle w:val="BodyCopy"/>
        <w:spacing w:before="0" w:after="0"/>
        <w:rPr>
          <w:iCs w:val="0"/>
        </w:rPr>
      </w:pPr>
      <w:r w:rsidRPr="00A6128A">
        <w:rPr>
          <w:b/>
          <w:bCs w:val="0"/>
          <w:iCs w:val="0"/>
        </w:rPr>
        <w:t>S</w:t>
      </w:r>
      <w:r>
        <w:rPr>
          <w:iCs w:val="0"/>
        </w:rPr>
        <w:t>evere cutaneous adverse reaction?</w:t>
      </w:r>
    </w:p>
    <w:p w14:paraId="14534BFF" w14:textId="77777777" w:rsidR="004E5FA6" w:rsidRDefault="004E5FA6" w:rsidP="004E5FA6">
      <w:pPr>
        <w:pStyle w:val="BodyCopy"/>
        <w:spacing w:before="0" w:after="0"/>
        <w:rPr>
          <w:iCs w:val="0"/>
        </w:rPr>
      </w:pPr>
      <w:r w:rsidRPr="00A6128A">
        <w:rPr>
          <w:b/>
          <w:bCs w:val="0"/>
          <w:iCs w:val="0"/>
        </w:rPr>
        <w:t>T</w:t>
      </w:r>
      <w:r>
        <w:rPr>
          <w:iCs w:val="0"/>
        </w:rPr>
        <w:t>reatment required for reaction?</w:t>
      </w:r>
    </w:p>
    <w:p w14:paraId="5A972AE9" w14:textId="77777777" w:rsidR="004E5FA6" w:rsidRDefault="004E5FA6" w:rsidP="004E5FA6">
      <w:pPr>
        <w:pStyle w:val="BodyCopy"/>
        <w:spacing w:before="0" w:after="0"/>
        <w:rPr>
          <w:iCs w:val="0"/>
        </w:rPr>
      </w:pPr>
    </w:p>
    <w:p w14:paraId="64DDDF74" w14:textId="62B86459" w:rsidR="00280C5D" w:rsidRPr="004E5FA6" w:rsidRDefault="004E5FA6" w:rsidP="00280C5D">
      <w:pPr>
        <w:pStyle w:val="BodyCopy"/>
        <w:rPr>
          <w:iCs w:val="0"/>
        </w:rPr>
      </w:pPr>
      <w:r w:rsidRPr="0057143B">
        <w:rPr>
          <w:b/>
          <w:bCs w:val="0"/>
          <w:iCs w:val="0"/>
        </w:rPr>
        <w:lastRenderedPageBreak/>
        <w:t>Stevens-Johnson syndrome (SJS) and toxic epidermal necrolysis (TEN):</w:t>
      </w:r>
      <w:r>
        <w:rPr>
          <w:iCs w:val="0"/>
        </w:rPr>
        <w:t xml:space="preserve"> </w:t>
      </w:r>
      <w:r w:rsidRPr="00305F14">
        <w:rPr>
          <w:iCs w:val="0"/>
        </w:rPr>
        <w:t xml:space="preserve">rare, severe mucocutaneous reactions triggered, in most cases, by medications and characterized by extensive necrosis and detachment of the epidermis. SJS/TEN begins with </w:t>
      </w:r>
      <w:r w:rsidR="0048016B">
        <w:rPr>
          <w:iCs w:val="0"/>
        </w:rPr>
        <w:t xml:space="preserve">initial symptoms </w:t>
      </w:r>
      <w:r w:rsidRPr="00305F14">
        <w:rPr>
          <w:iCs w:val="0"/>
        </w:rPr>
        <w:t>of fever and influenza-like symptoms one to three days before the development of mucocutaneous and skin lesions. The cutaneous eruption typically starts with ill-defined, coalescing, erythematous macules with atypical target lesions</w:t>
      </w:r>
      <w:r>
        <w:rPr>
          <w:iCs w:val="0"/>
        </w:rPr>
        <w:t>. As t</w:t>
      </w:r>
      <w:r w:rsidRPr="00305F14">
        <w:rPr>
          <w:iCs w:val="0"/>
        </w:rPr>
        <w:t>he disease progresses, vesicles and bullae form, and within days the skin begins to slough. Mucosal involvement occurs in approximately 90 percent of cases of SJS/TEN and can precede or follow the skin eruption. </w:t>
      </w:r>
    </w:p>
    <w:p w14:paraId="2ED24700" w14:textId="77777777" w:rsidR="00280C5D" w:rsidRDefault="00280C5D" w:rsidP="002D7682">
      <w:pPr>
        <w:pStyle w:val="BodyCopy"/>
      </w:pPr>
      <w:hyperlink w:anchor="_top" w:history="1">
        <w:r w:rsidRPr="00481A6C">
          <w:rPr>
            <w:rStyle w:val="Hyperlink"/>
            <w:iCs w:val="0"/>
          </w:rPr>
          <w:t>Back to Contents</w:t>
        </w:r>
      </w:hyperlink>
    </w:p>
    <w:p w14:paraId="53FA8704" w14:textId="77777777" w:rsidR="0078367D" w:rsidRDefault="0078367D" w:rsidP="00A6051F">
      <w:pPr>
        <w:pStyle w:val="Heading4"/>
      </w:pPr>
      <w:bookmarkStart w:id="21" w:name="_Toc194319244"/>
      <w:r>
        <w:t>Search terms</w:t>
      </w:r>
      <w:bookmarkEnd w:id="21"/>
    </w:p>
    <w:p w14:paraId="3B2EA6DD" w14:textId="77777777" w:rsidR="004E5FA6" w:rsidRDefault="004E5FA6" w:rsidP="002D7682">
      <w:pPr>
        <w:pStyle w:val="Bullet"/>
        <w:numPr>
          <w:ilvl w:val="0"/>
          <w:numId w:val="0"/>
        </w:numPr>
        <w:spacing w:after="240"/>
      </w:pPr>
      <w:r>
        <w:rPr>
          <w:lang w:eastAsia="en-US"/>
        </w:rPr>
        <w:t>PEN-FAST, Penicillin allergy, antibiotic allergy, cross reactivity, direct oral antibiotic challenge</w:t>
      </w:r>
      <w:r>
        <w:t xml:space="preserve"> </w:t>
      </w:r>
    </w:p>
    <w:p w14:paraId="0CE60C47" w14:textId="77777777" w:rsidR="004E5FA6" w:rsidRDefault="004E5FA6" w:rsidP="002D7682">
      <w:pPr>
        <w:pStyle w:val="Bullet"/>
        <w:numPr>
          <w:ilvl w:val="0"/>
          <w:numId w:val="0"/>
        </w:numPr>
        <w:spacing w:after="240"/>
      </w:pPr>
    </w:p>
    <w:p w14:paraId="0F431434" w14:textId="07C43305" w:rsidR="00280C5D" w:rsidRDefault="00280C5D" w:rsidP="002D7682">
      <w:pPr>
        <w:pStyle w:val="Bullet"/>
        <w:numPr>
          <w:ilvl w:val="0"/>
          <w:numId w:val="0"/>
        </w:numPr>
        <w:spacing w:after="240"/>
        <w:rPr>
          <w:lang w:eastAsia="en-US"/>
        </w:rPr>
      </w:pPr>
      <w:hyperlink w:anchor="_top" w:history="1">
        <w:r w:rsidRPr="00481A6C">
          <w:rPr>
            <w:rStyle w:val="Hyperlink"/>
          </w:rPr>
          <w:t>Back to Contents</w:t>
        </w:r>
      </w:hyperlink>
    </w:p>
    <w:p w14:paraId="1B6ABB1A" w14:textId="4D456E88" w:rsidR="0078367D" w:rsidRPr="009A5010" w:rsidRDefault="0078367D" w:rsidP="00A6051F">
      <w:pPr>
        <w:pStyle w:val="Heading4"/>
      </w:pPr>
      <w:bookmarkStart w:id="22" w:name="_Toc194319245"/>
      <w:r>
        <w:t>Attachments</w:t>
      </w:r>
      <w:bookmarkEnd w:id="22"/>
      <w:r w:rsidR="009746B1">
        <w:t xml:space="preserve"> </w:t>
      </w:r>
    </w:p>
    <w:p w14:paraId="46E33D2C" w14:textId="77777777" w:rsidR="007744E3" w:rsidRPr="007744E3" w:rsidRDefault="007744E3" w:rsidP="007744E3">
      <w:pPr>
        <w:pStyle w:val="BodyCopy"/>
        <w:rPr>
          <w:rStyle w:val="Bold"/>
          <w:b w:val="0"/>
          <w:bCs/>
        </w:rPr>
      </w:pPr>
      <w:r w:rsidRPr="007744E3">
        <w:rPr>
          <w:rStyle w:val="Bold"/>
          <w:b w:val="0"/>
          <w:bCs/>
        </w:rPr>
        <w:t xml:space="preserve">Attachment 1: PEN-FAST allergy assessment tool </w:t>
      </w:r>
    </w:p>
    <w:p w14:paraId="16AEA7A4" w14:textId="004A4895" w:rsidR="007744E3" w:rsidRDefault="007744E3" w:rsidP="007744E3">
      <w:pPr>
        <w:pStyle w:val="BodyCopy"/>
        <w:rPr>
          <w:rStyle w:val="Bold"/>
          <w:b w:val="0"/>
          <w:bCs/>
        </w:rPr>
      </w:pPr>
      <w:r w:rsidRPr="007744E3">
        <w:rPr>
          <w:rStyle w:val="Bold"/>
          <w:b w:val="0"/>
          <w:bCs/>
        </w:rPr>
        <w:t xml:space="preserve">Attachment 2: Results and </w:t>
      </w:r>
      <w:r>
        <w:rPr>
          <w:rStyle w:val="Bold"/>
          <w:b w:val="0"/>
          <w:bCs/>
        </w:rPr>
        <w:t>r</w:t>
      </w:r>
      <w:r w:rsidRPr="007744E3">
        <w:rPr>
          <w:rStyle w:val="Bold"/>
          <w:b w:val="0"/>
          <w:bCs/>
        </w:rPr>
        <w:t>ecommendations</w:t>
      </w:r>
      <w:r>
        <w:rPr>
          <w:rStyle w:val="Bold"/>
          <w:b w:val="0"/>
          <w:bCs/>
        </w:rPr>
        <w:t xml:space="preserve"> l</w:t>
      </w:r>
      <w:r w:rsidRPr="007744E3">
        <w:rPr>
          <w:rStyle w:val="Bold"/>
          <w:b w:val="0"/>
          <w:bCs/>
        </w:rPr>
        <w:t xml:space="preserve">etter to </w:t>
      </w:r>
      <w:r>
        <w:rPr>
          <w:rStyle w:val="Bold"/>
          <w:b w:val="0"/>
          <w:bCs/>
        </w:rPr>
        <w:t>r</w:t>
      </w:r>
      <w:r w:rsidRPr="007744E3">
        <w:rPr>
          <w:rStyle w:val="Bold"/>
          <w:b w:val="0"/>
          <w:bCs/>
        </w:rPr>
        <w:t xml:space="preserve">eceiving </w:t>
      </w:r>
      <w:r>
        <w:rPr>
          <w:rStyle w:val="Bold"/>
          <w:b w:val="0"/>
          <w:bCs/>
        </w:rPr>
        <w:t>d</w:t>
      </w:r>
      <w:r w:rsidRPr="007744E3">
        <w:rPr>
          <w:rStyle w:val="Bold"/>
          <w:b w:val="0"/>
          <w:bCs/>
        </w:rPr>
        <w:t xml:space="preserve">octor </w:t>
      </w:r>
    </w:p>
    <w:p w14:paraId="1D1A65EC" w14:textId="72413193" w:rsidR="007157AA" w:rsidRDefault="007157AA" w:rsidP="007744E3">
      <w:pPr>
        <w:pStyle w:val="BodyCopy"/>
        <w:rPr>
          <w:rStyle w:val="Bold"/>
          <w:b w:val="0"/>
          <w:bCs/>
        </w:rPr>
      </w:pPr>
      <w:r w:rsidRPr="007157AA">
        <w:rPr>
          <w:rStyle w:val="Bold"/>
          <w:b w:val="0"/>
          <w:bCs/>
        </w:rPr>
        <w:t>Attachment 3 - How to copy the ACT Adverse Drug Reaction Reporting Committee (ADRRC) secretariat into the correspondence</w:t>
      </w:r>
      <w:r>
        <w:rPr>
          <w:rStyle w:val="Bold"/>
          <w:b w:val="0"/>
          <w:bCs/>
        </w:rPr>
        <w:t>.</w:t>
      </w:r>
    </w:p>
    <w:p w14:paraId="11A38BF6" w14:textId="26883339" w:rsidR="00625B67" w:rsidRPr="007744E3" w:rsidRDefault="00625B67" w:rsidP="007744E3">
      <w:pPr>
        <w:pStyle w:val="BodyCopy"/>
        <w:rPr>
          <w:rStyle w:val="Bold"/>
          <w:b w:val="0"/>
          <w:bCs/>
        </w:rPr>
      </w:pPr>
      <w:r w:rsidRPr="007174E3">
        <w:t>Attachment 4 – Step by step guide to de-label penicillin allergy on DHR</w:t>
      </w:r>
    </w:p>
    <w:p w14:paraId="3113941B" w14:textId="77777777" w:rsidR="007B1A7B" w:rsidRDefault="002D7682" w:rsidP="002D7682">
      <w:pPr>
        <w:pStyle w:val="Bullet"/>
        <w:numPr>
          <w:ilvl w:val="0"/>
          <w:numId w:val="0"/>
        </w:numPr>
        <w:spacing w:after="240"/>
        <w:rPr>
          <w:rStyle w:val="Hyperlink"/>
        </w:rPr>
      </w:pPr>
      <w:hyperlink w:anchor="_top" w:history="1">
        <w:r w:rsidRPr="00481A6C">
          <w:rPr>
            <w:rStyle w:val="Hyperlink"/>
          </w:rPr>
          <w:t>Back to Contents</w:t>
        </w:r>
      </w:hyperlink>
    </w:p>
    <w:p w14:paraId="57259471" w14:textId="77777777" w:rsidR="007B1A7B" w:rsidRDefault="007B1A7B">
      <w:pPr>
        <w:spacing w:before="0" w:after="0" w:line="240" w:lineRule="auto"/>
        <w:rPr>
          <w:rStyle w:val="Hyperlink"/>
          <w:rFonts w:eastAsia="Times New Roman"/>
        </w:rPr>
      </w:pPr>
      <w:r>
        <w:rPr>
          <w:rStyle w:val="Hyperlink"/>
        </w:rPr>
        <w:br w:type="page"/>
      </w:r>
    </w:p>
    <w:p w14:paraId="57BC9B93" w14:textId="77777777" w:rsidR="009A5010" w:rsidRPr="001F3ED6" w:rsidRDefault="00280C5D" w:rsidP="001F3ED6">
      <w:pPr>
        <w:pStyle w:val="BodyCopy"/>
        <w:rPr>
          <w:rStyle w:val="Bold"/>
        </w:rPr>
      </w:pPr>
      <w:r w:rsidRPr="001F3ED6">
        <w:rPr>
          <w:rStyle w:val="Bold"/>
        </w:rPr>
        <w:lastRenderedPageBreak/>
        <w:t>For Policy Team to complete:</w:t>
      </w:r>
    </w:p>
    <w:tbl>
      <w:tblPr>
        <w:tblStyle w:val="CHSTable"/>
        <w:tblW w:w="0" w:type="auto"/>
        <w:tblLook w:val="0420" w:firstRow="1" w:lastRow="0" w:firstColumn="0" w:lastColumn="0" w:noHBand="0" w:noVBand="1"/>
      </w:tblPr>
      <w:tblGrid>
        <w:gridCol w:w="2476"/>
        <w:gridCol w:w="2477"/>
        <w:gridCol w:w="2555"/>
        <w:gridCol w:w="2403"/>
      </w:tblGrid>
      <w:tr w:rsidR="00280C5D" w14:paraId="11EE5782" w14:textId="77777777" w:rsidTr="003B0E72">
        <w:trPr>
          <w:cnfStyle w:val="100000000000" w:firstRow="1" w:lastRow="0" w:firstColumn="0" w:lastColumn="0" w:oddVBand="0" w:evenVBand="0" w:oddHBand="0" w:evenHBand="0" w:firstRowFirstColumn="0" w:firstRowLastColumn="0" w:lastRowFirstColumn="0" w:lastRowLastColumn="0"/>
        </w:trPr>
        <w:tc>
          <w:tcPr>
            <w:tcW w:w="2476" w:type="dxa"/>
          </w:tcPr>
          <w:p w14:paraId="79A93F26" w14:textId="77777777" w:rsidR="00280C5D" w:rsidRDefault="00280C5D" w:rsidP="003B0E72">
            <w:pPr>
              <w:pStyle w:val="Tableheader"/>
            </w:pPr>
            <w:r>
              <w:t>Date amended</w:t>
            </w:r>
          </w:p>
        </w:tc>
        <w:tc>
          <w:tcPr>
            <w:tcW w:w="2477" w:type="dxa"/>
          </w:tcPr>
          <w:p w14:paraId="6CE89275" w14:textId="77777777" w:rsidR="00280C5D" w:rsidRDefault="00280C5D" w:rsidP="003B0E72">
            <w:pPr>
              <w:pStyle w:val="Tableheader"/>
            </w:pPr>
            <w:r>
              <w:t>Section amended</w:t>
            </w:r>
          </w:p>
        </w:tc>
        <w:tc>
          <w:tcPr>
            <w:tcW w:w="2555" w:type="dxa"/>
          </w:tcPr>
          <w:p w14:paraId="314783DF" w14:textId="77777777" w:rsidR="00280C5D" w:rsidRDefault="00280C5D" w:rsidP="003B0E72">
            <w:pPr>
              <w:pStyle w:val="Tableheader"/>
            </w:pPr>
            <w:r>
              <w:t>Divisional approval</w:t>
            </w:r>
          </w:p>
        </w:tc>
        <w:tc>
          <w:tcPr>
            <w:tcW w:w="2403" w:type="dxa"/>
          </w:tcPr>
          <w:p w14:paraId="1F9AD51C" w14:textId="77777777" w:rsidR="00280C5D" w:rsidRDefault="00280C5D" w:rsidP="003B0E72">
            <w:pPr>
              <w:pStyle w:val="Tableheader"/>
            </w:pPr>
            <w:r>
              <w:t>Final approval</w:t>
            </w:r>
          </w:p>
        </w:tc>
      </w:tr>
      <w:tr w:rsidR="00280C5D" w14:paraId="1C16E66B" w14:textId="77777777" w:rsidTr="003B0E72">
        <w:tc>
          <w:tcPr>
            <w:tcW w:w="2476" w:type="dxa"/>
          </w:tcPr>
          <w:p w14:paraId="7F9FE2E0" w14:textId="4EA53644" w:rsidR="00280C5D" w:rsidRDefault="00D955C8" w:rsidP="003B0E72">
            <w:pPr>
              <w:pStyle w:val="Tablebody"/>
              <w:rPr>
                <w:lang w:eastAsia="en-US"/>
              </w:rPr>
            </w:pPr>
            <w:r>
              <w:rPr>
                <w:lang w:eastAsia="en-US"/>
              </w:rPr>
              <w:t>03/04/2025</w:t>
            </w:r>
          </w:p>
        </w:tc>
        <w:tc>
          <w:tcPr>
            <w:tcW w:w="2477" w:type="dxa"/>
          </w:tcPr>
          <w:p w14:paraId="33CFA49C" w14:textId="6E4C0913" w:rsidR="00280C5D" w:rsidRDefault="00D955C8" w:rsidP="003B0E72">
            <w:pPr>
              <w:pStyle w:val="Tablebody"/>
              <w:rPr>
                <w:lang w:eastAsia="en-US"/>
              </w:rPr>
            </w:pPr>
            <w:r>
              <w:rPr>
                <w:lang w:eastAsia="en-US"/>
              </w:rPr>
              <w:t>New document</w:t>
            </w:r>
          </w:p>
        </w:tc>
        <w:tc>
          <w:tcPr>
            <w:tcW w:w="2555" w:type="dxa"/>
          </w:tcPr>
          <w:p w14:paraId="3FEACA9D" w14:textId="27CCF1C9" w:rsidR="00280C5D" w:rsidRDefault="00D955C8" w:rsidP="003B0E72">
            <w:pPr>
              <w:pStyle w:val="Tablebody"/>
              <w:rPr>
                <w:lang w:eastAsia="en-US"/>
              </w:rPr>
            </w:pPr>
            <w:r>
              <w:rPr>
                <w:lang w:eastAsia="en-US"/>
              </w:rPr>
              <w:t>Rebekah Ogilvie, ED Medicine</w:t>
            </w:r>
          </w:p>
        </w:tc>
        <w:tc>
          <w:tcPr>
            <w:tcW w:w="2403" w:type="dxa"/>
          </w:tcPr>
          <w:p w14:paraId="2D6BCFFD" w14:textId="6703720C" w:rsidR="00280C5D" w:rsidRDefault="00D955C8" w:rsidP="003B0E72">
            <w:pPr>
              <w:pStyle w:val="Tablebody"/>
              <w:rPr>
                <w:lang w:eastAsia="en-US"/>
              </w:rPr>
            </w:pPr>
            <w:r>
              <w:rPr>
                <w:lang w:eastAsia="en-US"/>
              </w:rPr>
              <w:t>CHS Policy Document Review Panel</w:t>
            </w:r>
          </w:p>
        </w:tc>
      </w:tr>
      <w:tr w:rsidR="00280C5D" w14:paraId="0B3E6B27" w14:textId="77777777" w:rsidTr="003B0E72">
        <w:tc>
          <w:tcPr>
            <w:tcW w:w="2476" w:type="dxa"/>
          </w:tcPr>
          <w:p w14:paraId="3592519E" w14:textId="77777777" w:rsidR="00280C5D" w:rsidRDefault="00280C5D" w:rsidP="003B0E72">
            <w:pPr>
              <w:pStyle w:val="Tablebody"/>
              <w:rPr>
                <w:lang w:eastAsia="en-US"/>
              </w:rPr>
            </w:pPr>
          </w:p>
        </w:tc>
        <w:tc>
          <w:tcPr>
            <w:tcW w:w="2477" w:type="dxa"/>
          </w:tcPr>
          <w:p w14:paraId="4951DD76" w14:textId="77777777" w:rsidR="00280C5D" w:rsidRDefault="00280C5D" w:rsidP="003B0E72">
            <w:pPr>
              <w:pStyle w:val="Tablebody"/>
              <w:rPr>
                <w:lang w:eastAsia="en-US"/>
              </w:rPr>
            </w:pPr>
          </w:p>
        </w:tc>
        <w:tc>
          <w:tcPr>
            <w:tcW w:w="2555" w:type="dxa"/>
          </w:tcPr>
          <w:p w14:paraId="64A9C125" w14:textId="77777777" w:rsidR="00280C5D" w:rsidRDefault="00280C5D" w:rsidP="003B0E72">
            <w:pPr>
              <w:pStyle w:val="Tablebody"/>
              <w:rPr>
                <w:lang w:eastAsia="en-US"/>
              </w:rPr>
            </w:pPr>
          </w:p>
        </w:tc>
        <w:tc>
          <w:tcPr>
            <w:tcW w:w="2403" w:type="dxa"/>
          </w:tcPr>
          <w:p w14:paraId="5F639B01" w14:textId="77777777" w:rsidR="00280C5D" w:rsidRDefault="00280C5D" w:rsidP="003B0E72">
            <w:pPr>
              <w:pStyle w:val="Tablebody"/>
              <w:rPr>
                <w:lang w:eastAsia="en-US"/>
              </w:rPr>
            </w:pPr>
          </w:p>
        </w:tc>
      </w:tr>
    </w:tbl>
    <w:p w14:paraId="74A17F52" w14:textId="77777777" w:rsidR="00280C5D" w:rsidRDefault="00280C5D" w:rsidP="00A6051F">
      <w:pPr>
        <w:spacing w:after="120"/>
        <w:rPr>
          <w:lang w:eastAsia="en-US"/>
        </w:rPr>
      </w:pPr>
      <w:r>
        <w:rPr>
          <w:lang w:eastAsia="en-US"/>
        </w:rPr>
        <w:t>This document supersedes the following:</w:t>
      </w:r>
    </w:p>
    <w:tbl>
      <w:tblPr>
        <w:tblStyle w:val="CHSTable"/>
        <w:tblW w:w="10201" w:type="dxa"/>
        <w:tblLook w:val="0420" w:firstRow="1" w:lastRow="0" w:firstColumn="0" w:lastColumn="0" w:noHBand="0" w:noVBand="1"/>
      </w:tblPr>
      <w:tblGrid>
        <w:gridCol w:w="2548"/>
        <w:gridCol w:w="7653"/>
      </w:tblGrid>
      <w:tr w:rsidR="00280C5D" w14:paraId="68F0709A" w14:textId="77777777" w:rsidTr="003B0E72">
        <w:trPr>
          <w:cnfStyle w:val="100000000000" w:firstRow="1" w:lastRow="0" w:firstColumn="0" w:lastColumn="0" w:oddVBand="0" w:evenVBand="0" w:oddHBand="0" w:evenHBand="0" w:firstRowFirstColumn="0" w:firstRowLastColumn="0" w:lastRowFirstColumn="0" w:lastRowLastColumn="0"/>
        </w:trPr>
        <w:tc>
          <w:tcPr>
            <w:tcW w:w="2548" w:type="dxa"/>
          </w:tcPr>
          <w:p w14:paraId="729E69EB" w14:textId="77777777" w:rsidR="00280C5D" w:rsidRDefault="00280C5D" w:rsidP="003B0E72">
            <w:pPr>
              <w:pStyle w:val="Tableheader"/>
            </w:pPr>
            <w:r>
              <w:t>Document number</w:t>
            </w:r>
          </w:p>
        </w:tc>
        <w:tc>
          <w:tcPr>
            <w:tcW w:w="7653" w:type="dxa"/>
          </w:tcPr>
          <w:p w14:paraId="42524366" w14:textId="77777777" w:rsidR="00280C5D" w:rsidRDefault="00280C5D" w:rsidP="003B0E72">
            <w:pPr>
              <w:pStyle w:val="Tableheader"/>
            </w:pPr>
            <w:r>
              <w:t>Document name</w:t>
            </w:r>
          </w:p>
        </w:tc>
      </w:tr>
      <w:tr w:rsidR="00280C5D" w14:paraId="5CE2AC01" w14:textId="77777777" w:rsidTr="003B0E72">
        <w:tc>
          <w:tcPr>
            <w:tcW w:w="2548" w:type="dxa"/>
          </w:tcPr>
          <w:p w14:paraId="6B1CA7E6" w14:textId="77777777" w:rsidR="00280C5D" w:rsidRDefault="00280C5D" w:rsidP="003B0E72">
            <w:pPr>
              <w:pStyle w:val="Tablebody"/>
              <w:rPr>
                <w:lang w:eastAsia="en-US"/>
              </w:rPr>
            </w:pPr>
          </w:p>
        </w:tc>
        <w:tc>
          <w:tcPr>
            <w:tcW w:w="7653" w:type="dxa"/>
          </w:tcPr>
          <w:p w14:paraId="4562083B" w14:textId="77777777" w:rsidR="00280C5D" w:rsidRDefault="00280C5D" w:rsidP="003B0E72">
            <w:pPr>
              <w:pStyle w:val="Tablebody"/>
              <w:rPr>
                <w:lang w:eastAsia="en-US"/>
              </w:rPr>
            </w:pPr>
          </w:p>
        </w:tc>
      </w:tr>
      <w:tr w:rsidR="00280C5D" w14:paraId="03913CBD" w14:textId="77777777" w:rsidTr="003B0E72">
        <w:tc>
          <w:tcPr>
            <w:tcW w:w="2548" w:type="dxa"/>
          </w:tcPr>
          <w:p w14:paraId="7EED83C4" w14:textId="77777777" w:rsidR="00280C5D" w:rsidRDefault="00280C5D" w:rsidP="003B0E72">
            <w:pPr>
              <w:pStyle w:val="Tablebody"/>
              <w:rPr>
                <w:lang w:eastAsia="en-US"/>
              </w:rPr>
            </w:pPr>
          </w:p>
        </w:tc>
        <w:tc>
          <w:tcPr>
            <w:tcW w:w="7653" w:type="dxa"/>
          </w:tcPr>
          <w:p w14:paraId="78E4FB7F" w14:textId="77777777" w:rsidR="00280C5D" w:rsidRDefault="00280C5D" w:rsidP="003B0E72">
            <w:pPr>
              <w:pStyle w:val="Tablebody"/>
              <w:rPr>
                <w:lang w:eastAsia="en-US"/>
              </w:rPr>
            </w:pPr>
          </w:p>
        </w:tc>
      </w:tr>
    </w:tbl>
    <w:p w14:paraId="75D3CD0A" w14:textId="77777777" w:rsidR="00280C5D" w:rsidRPr="001F3ED6" w:rsidRDefault="00280C5D" w:rsidP="001F3ED6">
      <w:pPr>
        <w:pStyle w:val="BodyCopy"/>
        <w:rPr>
          <w:rStyle w:val="Bold"/>
        </w:rPr>
      </w:pPr>
      <w:r w:rsidRPr="001F3ED6">
        <w:rPr>
          <w:rStyle w:val="Bold"/>
        </w:rPr>
        <w:t>Disclaimer</w:t>
      </w:r>
    </w:p>
    <w:p w14:paraId="596DE32E" w14:textId="77777777" w:rsidR="00280C5D" w:rsidRDefault="00280C5D" w:rsidP="00280C5D">
      <w:pPr>
        <w:rPr>
          <w:lang w:eastAsia="en-US"/>
        </w:rPr>
      </w:pPr>
      <w:r w:rsidRPr="00481A6C">
        <w:rPr>
          <w:lang w:eastAsia="en-US"/>
        </w:rPr>
        <w:t>This document has been developed by Canberra Health Services specifically for its own use.  Use of this document and any reliance on the information contained therein by any third party is at his or her own risk and Canberra Health Services assumes no responsibility whatsoever.</w:t>
      </w:r>
    </w:p>
    <w:p w14:paraId="67B140F0" w14:textId="77777777" w:rsidR="00280C5D" w:rsidRDefault="00280C5D" w:rsidP="00280C5D">
      <w:pPr>
        <w:pStyle w:val="Bullet"/>
        <w:numPr>
          <w:ilvl w:val="0"/>
          <w:numId w:val="0"/>
        </w:numPr>
        <w:rPr>
          <w:rStyle w:val="Hyperlink"/>
        </w:rPr>
      </w:pPr>
      <w:hyperlink w:anchor="_top" w:history="1">
        <w:r w:rsidRPr="00481A6C">
          <w:rPr>
            <w:rStyle w:val="Hyperlink"/>
          </w:rPr>
          <w:t>Back to Contents</w:t>
        </w:r>
      </w:hyperlink>
    </w:p>
    <w:p w14:paraId="1615203D" w14:textId="77777777" w:rsidR="00280C5D" w:rsidRDefault="00280C5D" w:rsidP="00280C5D">
      <w:pPr>
        <w:pStyle w:val="Bullet"/>
        <w:numPr>
          <w:ilvl w:val="0"/>
          <w:numId w:val="0"/>
        </w:numPr>
        <w:rPr>
          <w:rStyle w:val="Hyperlink"/>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4F3EE"/>
        <w:tblLook w:val="04A0" w:firstRow="1" w:lastRow="0" w:firstColumn="1" w:lastColumn="0" w:noHBand="0" w:noVBand="1"/>
        <w:tblCaption w:val="Table  title"/>
        <w:tblDescription w:val="Table description."/>
      </w:tblPr>
      <w:tblGrid>
        <w:gridCol w:w="5271"/>
        <w:gridCol w:w="4650"/>
      </w:tblGrid>
      <w:tr w:rsidR="00280C5D" w14:paraId="2245C930" w14:textId="77777777" w:rsidTr="003B0E72">
        <w:tc>
          <w:tcPr>
            <w:tcW w:w="5529" w:type="dxa"/>
            <w:shd w:val="clear" w:color="auto" w:fill="F4F3EE"/>
            <w:tcMar>
              <w:top w:w="142" w:type="dxa"/>
              <w:left w:w="170" w:type="dxa"/>
              <w:bottom w:w="142" w:type="dxa"/>
              <w:right w:w="170" w:type="dxa"/>
            </w:tcMar>
          </w:tcPr>
          <w:bookmarkStart w:id="23" w:name="_Hlk160027189" w:displacedByCustomXml="next"/>
          <w:sdt>
            <w:sdtPr>
              <w:rPr>
                <w:color w:val="auto"/>
                <w:u w:val="single"/>
              </w:rPr>
              <w:id w:val="643171884"/>
              <w:placeholder>
                <w:docPart w:val="6334DB3A582B4A469CC6D6E2B7A3FA02"/>
              </w:placeholder>
            </w:sdtPr>
            <w:sdtEndPr>
              <w:rPr>
                <w:color w:val="000000" w:themeColor="text1"/>
                <w:u w:val="none"/>
              </w:rPr>
            </w:sdtEndPr>
            <w:sdtContent>
              <w:p w14:paraId="438290F6" w14:textId="77777777" w:rsidR="00280C5D" w:rsidRPr="00350211" w:rsidRDefault="00280C5D" w:rsidP="003B0E72">
                <w:pPr>
                  <w:pStyle w:val="Bottomblocktext"/>
                  <w:rPr>
                    <w:b/>
                    <w:bCs w:val="0"/>
                    <w:sz w:val="20"/>
                    <w:szCs w:val="20"/>
                  </w:rPr>
                </w:pPr>
                <w:r>
                  <w:rPr>
                    <w:noProof/>
                    <w:sz w:val="20"/>
                    <w:szCs w:val="20"/>
                  </w:rPr>
                  <w:drawing>
                    <wp:inline distT="0" distB="0" distL="0" distR="0" wp14:anchorId="22E09598" wp14:editId="1CD7A6F0">
                      <wp:extent cx="282575" cy="285750"/>
                      <wp:effectExtent l="0" t="0" r="3175" b="0"/>
                      <wp:docPr id="16" name="Picture 16"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11"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Acknowledgement of Country</w:t>
                </w:r>
                <w:r>
                  <w:rPr>
                    <w:b/>
                    <w:bCs w:val="0"/>
                    <w:sz w:val="20"/>
                    <w:szCs w:val="20"/>
                  </w:rPr>
                  <w:t xml:space="preserve"> </w:t>
                </w:r>
              </w:p>
              <w:p w14:paraId="03000E2E" w14:textId="77777777" w:rsidR="00280C5D" w:rsidRDefault="00280C5D" w:rsidP="003B0E72">
                <w:pPr>
                  <w:pStyle w:val="Bottomblocktext"/>
                  <w:rPr>
                    <w:sz w:val="20"/>
                    <w:szCs w:val="20"/>
                  </w:rPr>
                </w:pPr>
                <w:r w:rsidRPr="00350211">
                  <w:rPr>
                    <w:sz w:val="20"/>
                    <w:szCs w:val="20"/>
                  </w:rPr>
                  <w:t>Canberra Health Services acknowledges the Ngunnawal people as traditional custodians of the ACT and recognises any other people or families with connection to the lands of the ACT and region. We acknowledge and respect their continuing culture and contribution to the life of this region.</w:t>
                </w:r>
              </w:p>
              <w:p w14:paraId="342CA1E6" w14:textId="77777777" w:rsidR="00280C5D" w:rsidRPr="00350211" w:rsidRDefault="00280C5D" w:rsidP="003B0E72">
                <w:pPr>
                  <w:pStyle w:val="Bottomblocktext"/>
                </w:pPr>
                <w:r w:rsidRPr="00AF532B">
                  <w:t>© Australian Capital Territory, C</w:t>
                </w:r>
                <w:r w:rsidRPr="003F6C0E">
                  <w:t>anberra 20</w:t>
                </w:r>
                <w:sdt>
                  <w:sdtPr>
                    <w:alias w:val="Year selector"/>
                    <w:tag w:val="Year selector"/>
                    <w:id w:val="1385675321"/>
                    <w:placeholder>
                      <w:docPart w:val="D986F8D02844422EB52722B89F8010E9"/>
                    </w:placeholder>
                    <w:dropDownList>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dropDownList>
                  </w:sdtPr>
                  <w:sdtEndPr/>
                  <w:sdtContent>
                    <w:r w:rsidRPr="003F6C0E">
                      <w:t>24</w:t>
                    </w:r>
                  </w:sdtContent>
                </w:sdt>
              </w:p>
            </w:sdtContent>
          </w:sdt>
        </w:tc>
        <w:sdt>
          <w:sdtPr>
            <w:id w:val="637692764"/>
            <w:placeholder>
              <w:docPart w:val="5A75895B249E4B228134EA088CEBB953"/>
            </w:placeholder>
            <w:showingPlcHdr/>
          </w:sdtPr>
          <w:sdtEndPr/>
          <w:sdtContent>
            <w:tc>
              <w:tcPr>
                <w:tcW w:w="4665" w:type="dxa"/>
                <w:shd w:val="clear" w:color="auto" w:fill="F4F3EE"/>
                <w:tcMar>
                  <w:top w:w="142" w:type="dxa"/>
                  <w:left w:w="170" w:type="dxa"/>
                  <w:bottom w:w="142" w:type="dxa"/>
                  <w:right w:w="170" w:type="dxa"/>
                </w:tcMar>
              </w:tcPr>
              <w:p w14:paraId="2F4BCE53" w14:textId="77777777" w:rsidR="00280C5D" w:rsidRPr="00F26C97" w:rsidRDefault="00280C5D" w:rsidP="003B0E72">
                <w:pPr>
                  <w:pStyle w:val="Bottomblocktext"/>
                  <w:rPr>
                    <w:b/>
                    <w:bCs w:val="0"/>
                    <w:sz w:val="20"/>
                    <w:szCs w:val="20"/>
                  </w:rPr>
                </w:pPr>
                <w:r>
                  <w:rPr>
                    <w:b/>
                    <w:bCs w:val="0"/>
                    <w:noProof/>
                    <w:sz w:val="20"/>
                    <w:szCs w:val="20"/>
                  </w:rPr>
                  <w:drawing>
                    <wp:inline distT="0" distB="0" distL="0" distR="0" wp14:anchorId="182BF9F1" wp14:editId="6A20413B">
                      <wp:extent cx="338275" cy="331065"/>
                      <wp:effectExtent l="0" t="0" r="5080" b="0"/>
                      <wp:docPr id="17" name="Picture 17"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12"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7273547D" wp14:editId="4D7D3A5E">
                      <wp:extent cx="143919" cy="139700"/>
                      <wp:effectExtent l="0" t="0" r="8890" b="0"/>
                      <wp:docPr id="18" name="Picture 18"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13"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14:paraId="0A370180" w14:textId="77777777" w:rsidR="00280C5D" w:rsidRPr="00F26C97" w:rsidRDefault="00280C5D" w:rsidP="003B0E72">
                <w:pPr>
                  <w:pStyle w:val="Bottomblocktext"/>
                  <w:rPr>
                    <w:b/>
                    <w:bCs w:val="0"/>
                    <w:sz w:val="20"/>
                    <w:szCs w:val="20"/>
                  </w:rPr>
                </w:pPr>
                <w:r>
                  <w:rPr>
                    <w:b/>
                    <w:bCs w:val="0"/>
                    <w:noProof/>
                    <w:sz w:val="20"/>
                    <w:szCs w:val="20"/>
                  </w:rPr>
                  <w:drawing>
                    <wp:inline distT="0" distB="0" distL="0" distR="0" wp14:anchorId="583504D5" wp14:editId="050753AC">
                      <wp:extent cx="326104" cy="323850"/>
                      <wp:effectExtent l="0" t="0" r="0" b="0"/>
                      <wp:docPr id="19" name="Picture 19"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14"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05219D5E" wp14:editId="759ED53E">
                      <wp:extent cx="143919" cy="139700"/>
                      <wp:effectExtent l="0" t="0" r="8890" b="0"/>
                      <wp:docPr id="20" name="Picture 20"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13"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14:paraId="7B413994" w14:textId="77777777" w:rsidR="00280C5D" w:rsidRDefault="00280C5D" w:rsidP="003B0E72">
                <w:pPr>
                  <w:pStyle w:val="Bottomblocktext"/>
                  <w:rPr>
                    <w:sz w:val="20"/>
                    <w:szCs w:val="20"/>
                  </w:rPr>
                </w:pPr>
                <w:hyperlink r:id="rId15" w:history="1">
                  <w:r w:rsidRPr="00350211">
                    <w:rPr>
                      <w:rStyle w:val="Hyperlink"/>
                      <w:sz w:val="20"/>
                      <w:szCs w:val="20"/>
                    </w:rPr>
                    <w:t>canberrahealthservices.act.gov.au/accessibility</w:t>
                  </w:r>
                </w:hyperlink>
              </w:p>
              <w:p w14:paraId="104AD7CF" w14:textId="77777777" w:rsidR="00280C5D" w:rsidRDefault="00280C5D" w:rsidP="003B0E72">
                <w:pPr>
                  <w:pStyle w:val="Bottomblocktext"/>
                </w:pPr>
                <w:r>
                  <w:rPr>
                    <w:b/>
                    <w:bCs w:val="0"/>
                    <w:noProof/>
                  </w:rPr>
                  <w:drawing>
                    <wp:inline distT="0" distB="0" distL="0" distR="0" wp14:anchorId="6967B145" wp14:editId="4A0886BF">
                      <wp:extent cx="1323833" cy="309418"/>
                      <wp:effectExtent l="0" t="0" r="0" b="0"/>
                      <wp:docPr id="21" name="Picture 21"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16"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tc>
          </w:sdtContent>
        </w:sdt>
      </w:tr>
      <w:bookmarkEnd w:id="1"/>
      <w:bookmarkEnd w:id="23"/>
    </w:tbl>
    <w:p w14:paraId="6A43F79F" w14:textId="77777777" w:rsidR="00201AF6" w:rsidRDefault="00201AF6" w:rsidP="000E7683">
      <w:pPr>
        <w:rPr>
          <w:lang w:eastAsia="en-US"/>
        </w:rPr>
      </w:pPr>
    </w:p>
    <w:p w14:paraId="4C7F9003" w14:textId="77777777" w:rsidR="00201AF6" w:rsidRDefault="00201AF6">
      <w:pPr>
        <w:spacing w:before="0" w:after="0" w:line="240" w:lineRule="auto"/>
        <w:rPr>
          <w:lang w:eastAsia="en-US"/>
        </w:rPr>
      </w:pPr>
      <w:r>
        <w:rPr>
          <w:lang w:eastAsia="en-US"/>
        </w:rPr>
        <w:br w:type="page"/>
      </w:r>
    </w:p>
    <w:p w14:paraId="54C4A997" w14:textId="676B4092" w:rsidR="004A7A7F" w:rsidRDefault="00201AF6" w:rsidP="00201AF6">
      <w:pPr>
        <w:pStyle w:val="Heading4"/>
      </w:pPr>
      <w:bookmarkStart w:id="24" w:name="_Toc194319246"/>
      <w:r>
        <w:lastRenderedPageBreak/>
        <w:t>Attachment 1</w:t>
      </w:r>
      <w:r w:rsidR="00CC60A0">
        <w:t xml:space="preserve"> – </w:t>
      </w:r>
      <w:r w:rsidR="007744E3">
        <w:t>PEN-FAST allergy assessment tool</w:t>
      </w:r>
      <w:bookmarkEnd w:id="24"/>
    </w:p>
    <w:p w14:paraId="46292E84" w14:textId="678072E7" w:rsidR="00201AF6" w:rsidRDefault="007744E3" w:rsidP="00201AF6">
      <w:pPr>
        <w:pStyle w:val="BodyCopy"/>
      </w:pPr>
      <w:r>
        <w:rPr>
          <w:b/>
          <w:bCs w:val="0"/>
          <w:noProof/>
          <w:lang w:eastAsia="en-US"/>
        </w:rPr>
        <w:drawing>
          <wp:inline distT="0" distB="0" distL="0" distR="0" wp14:anchorId="638AEBD2" wp14:editId="6385BF4A">
            <wp:extent cx="6229985" cy="807847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29985" cy="8078470"/>
                    </a:xfrm>
                    <a:prstGeom prst="rect">
                      <a:avLst/>
                    </a:prstGeom>
                    <a:noFill/>
                  </pic:spPr>
                </pic:pic>
              </a:graphicData>
            </a:graphic>
          </wp:inline>
        </w:drawing>
      </w:r>
    </w:p>
    <w:p w14:paraId="34EA5C5D" w14:textId="14A6105F" w:rsidR="007744E3" w:rsidRDefault="00A513AA" w:rsidP="00A513AA">
      <w:pPr>
        <w:pStyle w:val="Bullet"/>
        <w:numPr>
          <w:ilvl w:val="0"/>
          <w:numId w:val="0"/>
        </w:numPr>
        <w:rPr>
          <w:rStyle w:val="Hyperlink"/>
        </w:rPr>
      </w:pPr>
      <w:hyperlink w:anchor="_top" w:history="1">
        <w:r w:rsidRPr="00481A6C">
          <w:rPr>
            <w:rStyle w:val="Hyperlink"/>
          </w:rPr>
          <w:t>Back to Contents</w:t>
        </w:r>
      </w:hyperlink>
    </w:p>
    <w:p w14:paraId="41CEBCD7" w14:textId="77777777" w:rsidR="007744E3" w:rsidRDefault="007744E3">
      <w:pPr>
        <w:spacing w:before="0" w:after="0" w:line="240" w:lineRule="auto"/>
        <w:rPr>
          <w:rStyle w:val="Hyperlink"/>
          <w:rFonts w:eastAsia="Times New Roman"/>
        </w:rPr>
      </w:pPr>
      <w:r>
        <w:rPr>
          <w:rStyle w:val="Hyperlink"/>
        </w:rPr>
        <w:lastRenderedPageBreak/>
        <w:br w:type="page"/>
      </w:r>
    </w:p>
    <w:p w14:paraId="2AA688EA" w14:textId="3A2DC2E0" w:rsidR="007744E3" w:rsidRDefault="007744E3" w:rsidP="007744E3">
      <w:pPr>
        <w:pStyle w:val="Heading4"/>
      </w:pPr>
      <w:bookmarkStart w:id="25" w:name="_Toc194319247"/>
      <w:r>
        <w:lastRenderedPageBreak/>
        <w:t>Attachment 2</w:t>
      </w:r>
      <w:r w:rsidR="00CC60A0">
        <w:t xml:space="preserve"> – </w:t>
      </w:r>
      <w:r>
        <w:t>Results and recommendations letter to receiving doctor</w:t>
      </w:r>
      <w:bookmarkEnd w:id="25"/>
      <w:r>
        <w:t xml:space="preserve"> </w:t>
      </w:r>
    </w:p>
    <w:p w14:paraId="65446E1C" w14:textId="77777777" w:rsidR="001225C8" w:rsidRPr="0097280C" w:rsidRDefault="001225C8" w:rsidP="001225C8">
      <w:pPr>
        <w:spacing w:before="0" w:after="0" w:line="240" w:lineRule="auto"/>
        <w:ind w:left="5040" w:right="95" w:firstLine="720"/>
        <w:rPr>
          <w:rFonts w:ascii="Calibri" w:eastAsia="Times New Roman" w:hAnsi="Calibri" w:cs="Times New Roman"/>
          <w:color w:val="auto"/>
          <w:szCs w:val="20"/>
          <w:lang w:eastAsia="en-US"/>
        </w:rPr>
      </w:pPr>
      <w:r w:rsidRPr="0097280C">
        <w:rPr>
          <w:rFonts w:ascii="Calibri" w:eastAsia="Times New Roman" w:hAnsi="Calibri" w:cs="Times New Roman"/>
          <w:noProof/>
          <w:color w:val="242424"/>
          <w:szCs w:val="20"/>
        </w:rPr>
        <w:drawing>
          <wp:inline distT="0" distB="0" distL="0" distR="0" wp14:anchorId="1A4931E1" wp14:editId="050B33B9">
            <wp:extent cx="2543175" cy="104586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1"/>
                    <pic:cNvPicPr>
                      <a:picLocks noChangeAspect="1" noChangeArrowheads="1"/>
                    </pic:cNvPicPr>
                  </pic:nvPicPr>
                  <pic:blipFill>
                    <a:blip r:embed="rId18" r:link="rId19" cstate="print">
                      <a:extLst>
                        <a:ext uri="{28A0092B-C50C-407E-A947-70E740481C1C}">
                          <a14:useLocalDpi xmlns:a14="http://schemas.microsoft.com/office/drawing/2010/main" val="0"/>
                        </a:ext>
                      </a:extLst>
                    </a:blip>
                    <a:srcRect/>
                    <a:stretch>
                      <a:fillRect/>
                    </a:stretch>
                  </pic:blipFill>
                  <pic:spPr bwMode="auto">
                    <a:xfrm>
                      <a:off x="0" y="0"/>
                      <a:ext cx="2552420" cy="1049664"/>
                    </a:xfrm>
                    <a:prstGeom prst="rect">
                      <a:avLst/>
                    </a:prstGeom>
                    <a:noFill/>
                    <a:ln>
                      <a:noFill/>
                    </a:ln>
                  </pic:spPr>
                </pic:pic>
              </a:graphicData>
            </a:graphic>
          </wp:inline>
        </w:drawing>
      </w:r>
    </w:p>
    <w:p w14:paraId="0D41241B" w14:textId="77777777" w:rsidR="001225C8" w:rsidRPr="0097280C" w:rsidRDefault="001225C8" w:rsidP="001225C8">
      <w:pPr>
        <w:spacing w:before="0" w:after="0" w:line="240" w:lineRule="auto"/>
        <w:ind w:right="95"/>
        <w:textAlignment w:val="baseline"/>
        <w:rPr>
          <w:rFonts w:ascii="Calibri" w:eastAsia="Times New Roman" w:hAnsi="Calibri"/>
          <w:b/>
          <w:iCs/>
          <w:color w:val="auto"/>
          <w:sz w:val="28"/>
          <w:szCs w:val="20"/>
        </w:rPr>
      </w:pPr>
      <w:r w:rsidRPr="0097280C">
        <w:rPr>
          <w:rFonts w:ascii="Calibri" w:eastAsia="Times New Roman" w:hAnsi="Calibri" w:cs="Calibri"/>
          <w:color w:val="auto"/>
          <w:sz w:val="20"/>
          <w:szCs w:val="20"/>
        </w:rPr>
        <w:t>​​</w:t>
      </w:r>
    </w:p>
    <w:p w14:paraId="1712E3EC" w14:textId="77777777" w:rsidR="001225C8" w:rsidRPr="0097280C" w:rsidRDefault="001225C8" w:rsidP="001225C8">
      <w:pPr>
        <w:spacing w:before="0" w:after="0" w:line="240" w:lineRule="auto"/>
        <w:ind w:right="95"/>
        <w:textAlignment w:val="baseline"/>
        <w:rPr>
          <w:rFonts w:ascii="Segoe UI" w:eastAsia="Times New Roman" w:hAnsi="Segoe UI" w:cs="Segoe UI"/>
          <w:color w:val="auto"/>
          <w:sz w:val="22"/>
          <w:szCs w:val="22"/>
        </w:rPr>
      </w:pPr>
      <w:r w:rsidRPr="0097280C">
        <w:rPr>
          <w:rFonts w:ascii="Calibri" w:eastAsia="Times New Roman" w:hAnsi="Calibri" w:cs="Calibri"/>
          <w:color w:val="808080"/>
          <w:sz w:val="22"/>
          <w:szCs w:val="22"/>
        </w:rPr>
        <w:t>Enter receiving Doctor</w:t>
      </w:r>
      <w:r w:rsidRPr="0097280C">
        <w:rPr>
          <w:rFonts w:ascii="Calibri" w:eastAsia="Times New Roman" w:hAnsi="Calibri" w:cs="Calibri"/>
          <w:color w:val="auto"/>
          <w:sz w:val="22"/>
          <w:szCs w:val="22"/>
        </w:rPr>
        <w:t>​ </w:t>
      </w:r>
    </w:p>
    <w:p w14:paraId="4ABE8C7B" w14:textId="77777777" w:rsidR="001225C8" w:rsidRPr="0097280C" w:rsidRDefault="001225C8" w:rsidP="001225C8">
      <w:pPr>
        <w:spacing w:before="0" w:after="0" w:line="240" w:lineRule="auto"/>
        <w:ind w:right="95"/>
        <w:textAlignment w:val="baseline"/>
        <w:rPr>
          <w:rFonts w:ascii="Calibri" w:eastAsia="Times New Roman" w:hAnsi="Calibri" w:cs="Calibri"/>
          <w:color w:val="808080"/>
          <w:sz w:val="22"/>
          <w:szCs w:val="22"/>
        </w:rPr>
      </w:pPr>
      <w:r w:rsidRPr="0097280C">
        <w:rPr>
          <w:rFonts w:ascii="Calibri" w:eastAsia="Times New Roman" w:hAnsi="Calibri" w:cs="Calibri"/>
          <w:color w:val="auto"/>
          <w:sz w:val="22"/>
          <w:szCs w:val="22"/>
        </w:rPr>
        <w:t>​​</w:t>
      </w:r>
      <w:r w:rsidRPr="0097280C">
        <w:rPr>
          <w:rFonts w:ascii="Calibri" w:eastAsia="Times New Roman" w:hAnsi="Calibri" w:cs="Calibri"/>
          <w:color w:val="808080"/>
          <w:sz w:val="22"/>
          <w:szCs w:val="22"/>
        </w:rPr>
        <w:t>Enter receiving doctor address</w:t>
      </w:r>
      <w:r w:rsidRPr="0097280C">
        <w:rPr>
          <w:rFonts w:ascii="Calibri" w:eastAsia="Times New Roman" w:hAnsi="Calibri" w:cs="Calibri"/>
          <w:color w:val="auto"/>
          <w:sz w:val="22"/>
          <w:szCs w:val="22"/>
        </w:rPr>
        <w:t>​</w:t>
      </w:r>
      <w:r w:rsidRPr="0097280C">
        <w:rPr>
          <w:rFonts w:ascii="Calibri" w:eastAsia="Times New Roman" w:hAnsi="Calibri" w:cs="Calibri"/>
          <w:color w:val="808080"/>
          <w:sz w:val="22"/>
          <w:szCs w:val="22"/>
        </w:rPr>
        <w:t> </w:t>
      </w:r>
    </w:p>
    <w:p w14:paraId="0B2029EC" w14:textId="77777777" w:rsidR="001225C8" w:rsidRPr="0097280C" w:rsidRDefault="001225C8" w:rsidP="001225C8">
      <w:pPr>
        <w:spacing w:before="0" w:after="0" w:line="240" w:lineRule="auto"/>
        <w:ind w:right="95"/>
        <w:textAlignment w:val="baseline"/>
        <w:rPr>
          <w:rFonts w:ascii="Segoe UI" w:eastAsia="Times New Roman" w:hAnsi="Segoe UI" w:cs="Segoe UI"/>
          <w:color w:val="auto"/>
          <w:sz w:val="22"/>
          <w:szCs w:val="22"/>
        </w:rPr>
      </w:pPr>
    </w:p>
    <w:p w14:paraId="6BF4F10A" w14:textId="77777777" w:rsidR="001225C8" w:rsidRPr="0097280C" w:rsidRDefault="001225C8" w:rsidP="001225C8">
      <w:pPr>
        <w:spacing w:before="0" w:line="240" w:lineRule="auto"/>
        <w:ind w:right="95"/>
        <w:textAlignment w:val="baseline"/>
        <w:rPr>
          <w:rFonts w:ascii="Segoe UI" w:eastAsia="Times New Roman" w:hAnsi="Segoe UI" w:cs="Segoe UI"/>
          <w:color w:val="auto"/>
          <w:sz w:val="22"/>
          <w:szCs w:val="22"/>
        </w:rPr>
      </w:pPr>
      <w:r w:rsidRPr="0097280C">
        <w:rPr>
          <w:rFonts w:ascii="Calibri" w:eastAsia="Times New Roman" w:hAnsi="Calibri" w:cs="Calibri"/>
          <w:color w:val="auto"/>
          <w:sz w:val="22"/>
          <w:szCs w:val="22"/>
        </w:rPr>
        <w:t>Dear Doctor,  </w:t>
      </w:r>
    </w:p>
    <w:p w14:paraId="2ECFF037" w14:textId="77777777" w:rsidR="001225C8" w:rsidRPr="0097280C" w:rsidRDefault="001225C8" w:rsidP="001225C8">
      <w:pPr>
        <w:spacing w:before="0" w:after="0" w:line="240" w:lineRule="auto"/>
        <w:ind w:right="95" w:firstLine="720"/>
        <w:textAlignment w:val="baseline"/>
        <w:rPr>
          <w:rFonts w:ascii="Segoe UI" w:eastAsia="Times New Roman" w:hAnsi="Segoe UI" w:cs="Segoe UI"/>
          <w:color w:val="auto"/>
          <w:sz w:val="22"/>
          <w:szCs w:val="22"/>
        </w:rPr>
      </w:pPr>
      <w:r w:rsidRPr="0097280C">
        <w:rPr>
          <w:rFonts w:ascii="Calibri" w:eastAsia="Times New Roman" w:hAnsi="Calibri" w:cs="Calibri"/>
          <w:b/>
          <w:bCs/>
          <w:color w:val="auto"/>
          <w:sz w:val="22"/>
          <w:szCs w:val="22"/>
        </w:rPr>
        <w:t>RE: ​</w:t>
      </w:r>
      <w:r w:rsidRPr="0097280C">
        <w:rPr>
          <w:rFonts w:ascii="Calibri" w:eastAsia="Times New Roman" w:hAnsi="Calibri" w:cs="Calibri"/>
          <w:color w:val="808080"/>
          <w:sz w:val="22"/>
          <w:szCs w:val="22"/>
        </w:rPr>
        <w:t>Patient Name</w:t>
      </w:r>
      <w:r w:rsidRPr="0097280C">
        <w:rPr>
          <w:rFonts w:ascii="Calibri" w:eastAsia="Times New Roman" w:hAnsi="Calibri" w:cs="Calibri"/>
          <w:b/>
          <w:bCs/>
          <w:color w:val="auto"/>
          <w:sz w:val="22"/>
          <w:szCs w:val="22"/>
        </w:rPr>
        <w:t>​ ​</w:t>
      </w:r>
      <w:r w:rsidRPr="0097280C">
        <w:rPr>
          <w:rFonts w:ascii="Calibri" w:eastAsia="Times New Roman" w:hAnsi="Calibri" w:cs="Calibri"/>
          <w:color w:val="808080"/>
          <w:sz w:val="22"/>
          <w:szCs w:val="22"/>
        </w:rPr>
        <w:t>File/UR Number</w:t>
      </w:r>
      <w:r w:rsidRPr="0097280C">
        <w:rPr>
          <w:rFonts w:ascii="Calibri" w:eastAsia="Times New Roman" w:hAnsi="Calibri" w:cs="Calibri"/>
          <w:b/>
          <w:bCs/>
          <w:color w:val="auto"/>
          <w:sz w:val="22"/>
          <w:szCs w:val="22"/>
        </w:rPr>
        <w:t>​</w:t>
      </w:r>
      <w:r w:rsidRPr="0097280C">
        <w:rPr>
          <w:rFonts w:ascii="Calibri" w:eastAsia="Times New Roman" w:hAnsi="Calibri" w:cs="Calibri"/>
          <w:color w:val="auto"/>
          <w:sz w:val="22"/>
          <w:szCs w:val="22"/>
        </w:rPr>
        <w:t> </w:t>
      </w:r>
    </w:p>
    <w:p w14:paraId="7A3F30E3" w14:textId="77777777" w:rsidR="001225C8" w:rsidRPr="0097280C" w:rsidRDefault="001225C8" w:rsidP="001225C8">
      <w:pPr>
        <w:spacing w:before="0" w:after="0" w:line="240" w:lineRule="auto"/>
        <w:ind w:right="95" w:firstLine="720"/>
        <w:textAlignment w:val="baseline"/>
        <w:rPr>
          <w:rFonts w:ascii="Segoe UI" w:eastAsia="Times New Roman" w:hAnsi="Segoe UI" w:cs="Segoe UI"/>
          <w:color w:val="auto"/>
          <w:sz w:val="22"/>
          <w:szCs w:val="22"/>
        </w:rPr>
      </w:pPr>
      <w:r w:rsidRPr="0097280C">
        <w:rPr>
          <w:rFonts w:ascii="Calibri" w:eastAsia="Times New Roman" w:hAnsi="Calibri" w:cs="Calibri"/>
          <w:color w:val="auto"/>
          <w:sz w:val="22"/>
          <w:szCs w:val="22"/>
        </w:rPr>
        <w:t>​​</w:t>
      </w:r>
      <w:r w:rsidRPr="0097280C">
        <w:rPr>
          <w:rFonts w:ascii="Calibri" w:eastAsia="Times New Roman" w:hAnsi="Calibri" w:cs="Calibri"/>
          <w:color w:val="808080"/>
          <w:sz w:val="22"/>
          <w:szCs w:val="22"/>
        </w:rPr>
        <w:t>Select date of Birth</w:t>
      </w:r>
      <w:r w:rsidRPr="0097280C">
        <w:rPr>
          <w:rFonts w:ascii="Calibri" w:eastAsia="Times New Roman" w:hAnsi="Calibri" w:cs="Calibri"/>
          <w:color w:val="auto"/>
          <w:sz w:val="22"/>
          <w:szCs w:val="22"/>
        </w:rPr>
        <w:t>​ </w:t>
      </w:r>
    </w:p>
    <w:p w14:paraId="65437C88" w14:textId="77777777" w:rsidR="001225C8" w:rsidRPr="0097280C" w:rsidRDefault="001225C8" w:rsidP="001225C8">
      <w:pPr>
        <w:spacing w:before="0" w:after="0" w:line="240" w:lineRule="auto"/>
        <w:ind w:right="95" w:firstLine="720"/>
        <w:textAlignment w:val="baseline"/>
        <w:rPr>
          <w:rFonts w:ascii="Calibri" w:eastAsia="Times New Roman" w:hAnsi="Calibri" w:cs="Calibri"/>
          <w:color w:val="auto"/>
          <w:sz w:val="22"/>
          <w:szCs w:val="22"/>
        </w:rPr>
      </w:pPr>
      <w:r w:rsidRPr="0097280C">
        <w:rPr>
          <w:rFonts w:ascii="Calibri" w:eastAsia="Times New Roman" w:hAnsi="Calibri" w:cs="Calibri"/>
          <w:color w:val="auto"/>
          <w:sz w:val="22"/>
          <w:szCs w:val="22"/>
        </w:rPr>
        <w:t>​​</w:t>
      </w:r>
      <w:r w:rsidRPr="0097280C">
        <w:rPr>
          <w:rFonts w:ascii="Calibri" w:eastAsia="Times New Roman" w:hAnsi="Calibri" w:cs="Calibri"/>
          <w:color w:val="808080"/>
          <w:sz w:val="22"/>
          <w:szCs w:val="22"/>
        </w:rPr>
        <w:t>Select Date of Review</w:t>
      </w:r>
      <w:r w:rsidRPr="0097280C">
        <w:rPr>
          <w:rFonts w:ascii="Calibri" w:eastAsia="Times New Roman" w:hAnsi="Calibri" w:cs="Calibri"/>
          <w:color w:val="auto"/>
          <w:sz w:val="22"/>
          <w:szCs w:val="22"/>
        </w:rPr>
        <w:t>​ </w:t>
      </w:r>
    </w:p>
    <w:p w14:paraId="690D6836" w14:textId="77777777" w:rsidR="001225C8" w:rsidRPr="0097280C" w:rsidRDefault="001225C8" w:rsidP="001225C8">
      <w:pPr>
        <w:spacing w:before="0" w:after="0" w:line="240" w:lineRule="auto"/>
        <w:ind w:right="95" w:firstLine="720"/>
        <w:textAlignment w:val="baseline"/>
        <w:rPr>
          <w:rFonts w:ascii="Segoe UI" w:eastAsia="Times New Roman" w:hAnsi="Segoe UI" w:cs="Segoe UI"/>
          <w:color w:val="auto"/>
          <w:sz w:val="22"/>
          <w:szCs w:val="22"/>
        </w:rPr>
      </w:pPr>
    </w:p>
    <w:p w14:paraId="4263D4A8" w14:textId="77777777" w:rsidR="001225C8" w:rsidRPr="0097280C" w:rsidRDefault="001225C8" w:rsidP="001225C8">
      <w:pPr>
        <w:spacing w:before="0" w:line="240" w:lineRule="auto"/>
        <w:ind w:right="95"/>
        <w:textAlignment w:val="baseline"/>
        <w:rPr>
          <w:rFonts w:ascii="Segoe UI" w:eastAsia="Times New Roman" w:hAnsi="Segoe UI" w:cs="Segoe UI"/>
          <w:color w:val="auto"/>
          <w:sz w:val="22"/>
          <w:szCs w:val="22"/>
        </w:rPr>
      </w:pPr>
      <w:r w:rsidRPr="0097280C">
        <w:rPr>
          <w:rFonts w:ascii="Calibri" w:eastAsia="Times New Roman" w:hAnsi="Calibri" w:cs="Calibri"/>
          <w:color w:val="auto"/>
          <w:sz w:val="22"/>
          <w:szCs w:val="22"/>
        </w:rPr>
        <w:t>I reviewed ​</w:t>
      </w:r>
      <w:r w:rsidRPr="0097280C">
        <w:rPr>
          <w:rFonts w:ascii="Calibri" w:eastAsia="Times New Roman" w:hAnsi="Calibri" w:cs="Calibri"/>
          <w:color w:val="808080"/>
          <w:sz w:val="22"/>
          <w:szCs w:val="22"/>
        </w:rPr>
        <w:t>Patient Name</w:t>
      </w:r>
      <w:r w:rsidRPr="0097280C">
        <w:rPr>
          <w:rFonts w:ascii="Calibri" w:eastAsia="Times New Roman" w:hAnsi="Calibri" w:cs="Calibri"/>
          <w:color w:val="auto"/>
          <w:sz w:val="22"/>
          <w:szCs w:val="22"/>
        </w:rPr>
        <w:t>​  and their antibiotic allergy label(s) on referral from the Unit at ​</w:t>
      </w:r>
      <w:r w:rsidRPr="0097280C">
        <w:rPr>
          <w:rFonts w:ascii="Calibri" w:eastAsia="Times New Roman" w:hAnsi="Calibri" w:cs="Calibri"/>
          <w:color w:val="808080"/>
          <w:sz w:val="22"/>
          <w:szCs w:val="22"/>
        </w:rPr>
        <w:t>Hospital / Organisation</w:t>
      </w:r>
      <w:r w:rsidRPr="0097280C">
        <w:rPr>
          <w:rFonts w:ascii="Calibri" w:eastAsia="Times New Roman" w:hAnsi="Calibri" w:cs="Calibri"/>
          <w:color w:val="auto"/>
          <w:sz w:val="22"/>
          <w:szCs w:val="22"/>
        </w:rPr>
        <w:t>​. ​</w:t>
      </w:r>
      <w:r w:rsidRPr="0097280C">
        <w:rPr>
          <w:rFonts w:ascii="Calibri" w:eastAsia="Times New Roman" w:hAnsi="Calibri" w:cs="Calibri"/>
          <w:color w:val="808080"/>
          <w:sz w:val="22"/>
          <w:szCs w:val="22"/>
        </w:rPr>
        <w:t>Patient Name</w:t>
      </w:r>
      <w:r w:rsidRPr="0097280C">
        <w:rPr>
          <w:rFonts w:ascii="Calibri" w:eastAsia="Times New Roman" w:hAnsi="Calibri" w:cs="Calibri"/>
          <w:color w:val="auto"/>
          <w:sz w:val="22"/>
          <w:szCs w:val="22"/>
        </w:rPr>
        <w:t>​ describes a history of ​</w:t>
      </w:r>
      <w:r w:rsidRPr="0097280C">
        <w:rPr>
          <w:rFonts w:ascii="Calibri" w:eastAsia="Times New Roman" w:hAnsi="Calibri" w:cs="Calibri"/>
          <w:color w:val="808080"/>
          <w:sz w:val="22"/>
          <w:szCs w:val="22"/>
        </w:rPr>
        <w:t>Reaction</w:t>
      </w:r>
      <w:r w:rsidRPr="0097280C">
        <w:rPr>
          <w:rFonts w:ascii="Calibri" w:eastAsia="Times New Roman" w:hAnsi="Calibri" w:cs="Calibri"/>
          <w:color w:val="auto"/>
          <w:sz w:val="22"/>
          <w:szCs w:val="22"/>
        </w:rPr>
        <w:t>​ following the use of ​</w:t>
      </w:r>
      <w:r w:rsidRPr="0097280C">
        <w:rPr>
          <w:rFonts w:ascii="Calibri" w:eastAsia="Times New Roman" w:hAnsi="Calibri" w:cs="Calibri"/>
          <w:color w:val="808080"/>
          <w:sz w:val="22"/>
          <w:szCs w:val="22"/>
        </w:rPr>
        <w:t>Antibiotic Agent/Class</w:t>
      </w:r>
      <w:r w:rsidRPr="0097280C">
        <w:rPr>
          <w:rFonts w:ascii="Calibri" w:eastAsia="Times New Roman" w:hAnsi="Calibri" w:cs="Calibri"/>
          <w:color w:val="auto"/>
          <w:sz w:val="22"/>
          <w:szCs w:val="22"/>
        </w:rPr>
        <w:t>​.  </w:t>
      </w:r>
    </w:p>
    <w:p w14:paraId="0AE2003C" w14:textId="77777777" w:rsidR="001225C8" w:rsidRPr="0097280C" w:rsidRDefault="001225C8" w:rsidP="001225C8">
      <w:pPr>
        <w:spacing w:before="0" w:line="240" w:lineRule="auto"/>
        <w:ind w:right="95"/>
        <w:textAlignment w:val="baseline"/>
        <w:rPr>
          <w:rFonts w:ascii="Segoe UI" w:eastAsia="Times New Roman" w:hAnsi="Segoe UI" w:cs="Segoe UI"/>
          <w:color w:val="auto"/>
          <w:sz w:val="22"/>
          <w:szCs w:val="22"/>
        </w:rPr>
      </w:pPr>
      <w:r w:rsidRPr="0097280C">
        <w:rPr>
          <w:rFonts w:ascii="Calibri" w:eastAsia="Times New Roman" w:hAnsi="Calibri" w:cs="Calibri"/>
          <w:color w:val="auto"/>
          <w:sz w:val="22"/>
          <w:szCs w:val="22"/>
        </w:rPr>
        <w:t>​​</w:t>
      </w:r>
      <w:r w:rsidRPr="0097280C">
        <w:rPr>
          <w:rFonts w:ascii="Calibri" w:eastAsia="Times New Roman" w:hAnsi="Calibri" w:cs="Calibri"/>
          <w:color w:val="808080"/>
          <w:sz w:val="22"/>
          <w:szCs w:val="22"/>
        </w:rPr>
        <w:t>Patient Name</w:t>
      </w:r>
      <w:r w:rsidRPr="0097280C">
        <w:rPr>
          <w:rFonts w:ascii="Calibri" w:eastAsia="Times New Roman" w:hAnsi="Calibri" w:cs="Calibri"/>
          <w:color w:val="auto"/>
          <w:sz w:val="22"/>
          <w:szCs w:val="22"/>
        </w:rPr>
        <w:t>​ underwent an antibiotic allergy assessment and was deemed appropriate for ​</w:t>
      </w:r>
      <w:r w:rsidRPr="0097280C">
        <w:rPr>
          <w:rFonts w:ascii="Calibri" w:eastAsia="Times New Roman" w:hAnsi="Calibri" w:cs="Calibri"/>
          <w:color w:val="808080"/>
          <w:sz w:val="22"/>
          <w:szCs w:val="22"/>
        </w:rPr>
        <w:t>Choose an item</w:t>
      </w:r>
      <w:r w:rsidRPr="0097280C">
        <w:rPr>
          <w:rFonts w:ascii="Calibri" w:eastAsia="Times New Roman" w:hAnsi="Calibri" w:cs="Calibri"/>
          <w:color w:val="auto"/>
          <w:sz w:val="22"/>
          <w:szCs w:val="22"/>
        </w:rPr>
        <w:t>​. </w:t>
      </w:r>
    </w:p>
    <w:p w14:paraId="1B2FB10D" w14:textId="77777777" w:rsidR="001225C8" w:rsidRPr="0097280C" w:rsidRDefault="001225C8" w:rsidP="001225C8">
      <w:pPr>
        <w:spacing w:before="0" w:line="240" w:lineRule="auto"/>
        <w:ind w:right="95"/>
        <w:textAlignment w:val="baseline"/>
        <w:rPr>
          <w:rFonts w:ascii="Segoe UI" w:eastAsia="Times New Roman" w:hAnsi="Segoe UI" w:cs="Segoe UI"/>
          <w:color w:val="auto"/>
          <w:sz w:val="22"/>
          <w:szCs w:val="22"/>
        </w:rPr>
      </w:pPr>
      <w:r w:rsidRPr="0097280C">
        <w:rPr>
          <w:rFonts w:ascii="Calibri" w:eastAsia="Times New Roman" w:hAnsi="Calibri" w:cs="Calibri"/>
          <w:b/>
          <w:bCs/>
          <w:i/>
          <w:iCs/>
          <w:color w:val="auto"/>
          <w:sz w:val="22"/>
          <w:szCs w:val="22"/>
        </w:rPr>
        <w:t>Antibiotic Allergy Testing Results – </w:t>
      </w:r>
      <w:r w:rsidRPr="0097280C">
        <w:rPr>
          <w:rFonts w:ascii="Calibri" w:eastAsia="Times New Roman" w:hAnsi="Calibri" w:cs="Calibri"/>
          <w:color w:val="auto"/>
          <w:sz w:val="22"/>
          <w:szCs w:val="22"/>
        </w:rPr>
        <w:t> </w:t>
      </w:r>
    </w:p>
    <w:p w14:paraId="0FA7FC7E" w14:textId="77777777" w:rsidR="001225C8" w:rsidRPr="0097280C" w:rsidRDefault="001225C8" w:rsidP="001225C8">
      <w:pPr>
        <w:spacing w:before="0" w:line="240" w:lineRule="auto"/>
        <w:ind w:right="95"/>
        <w:textAlignment w:val="baseline"/>
        <w:rPr>
          <w:rFonts w:ascii="Segoe UI" w:eastAsia="Times New Roman" w:hAnsi="Segoe UI" w:cs="Segoe UI"/>
          <w:color w:val="auto"/>
          <w:sz w:val="22"/>
          <w:szCs w:val="22"/>
        </w:rPr>
      </w:pPr>
      <w:r w:rsidRPr="0097280C">
        <w:rPr>
          <w:rFonts w:ascii="Calibri" w:eastAsia="Times New Roman" w:hAnsi="Calibri" w:cs="Calibri"/>
          <w:i/>
          <w:iCs/>
          <w:color w:val="auto"/>
          <w:sz w:val="22"/>
          <w:szCs w:val="22"/>
        </w:rPr>
        <w:t xml:space="preserve">Oral Challenge: </w:t>
      </w:r>
      <w:r w:rsidRPr="0097280C">
        <w:rPr>
          <w:rFonts w:ascii="Calibri" w:eastAsia="Times New Roman" w:hAnsi="Calibri" w:cs="Calibri"/>
          <w:color w:val="auto"/>
          <w:sz w:val="22"/>
          <w:szCs w:val="22"/>
        </w:rPr>
        <w:t>​</w:t>
      </w:r>
      <w:r w:rsidRPr="0097280C">
        <w:rPr>
          <w:rFonts w:ascii="Calibri" w:eastAsia="Times New Roman" w:hAnsi="Calibri" w:cs="Calibri"/>
          <w:color w:val="808080"/>
          <w:sz w:val="22"/>
          <w:szCs w:val="22"/>
        </w:rPr>
        <w:t>Choose an item.</w:t>
      </w:r>
      <w:r w:rsidRPr="0097280C">
        <w:rPr>
          <w:rFonts w:ascii="Calibri" w:eastAsia="Times New Roman" w:hAnsi="Calibri" w:cs="Calibri"/>
          <w:color w:val="auto"/>
          <w:sz w:val="22"/>
          <w:szCs w:val="22"/>
        </w:rPr>
        <w:t>​ to ​</w:t>
      </w:r>
      <w:r w:rsidRPr="0097280C">
        <w:rPr>
          <w:rFonts w:ascii="Calibri" w:eastAsia="Times New Roman" w:hAnsi="Calibri" w:cs="Calibri"/>
          <w:color w:val="808080"/>
          <w:sz w:val="22"/>
          <w:szCs w:val="22"/>
        </w:rPr>
        <w:t>Antibiotic Agent/Class/Not applicable</w:t>
      </w:r>
      <w:r w:rsidRPr="0097280C">
        <w:rPr>
          <w:rFonts w:ascii="Calibri" w:eastAsia="Times New Roman" w:hAnsi="Calibri" w:cs="Calibri"/>
          <w:color w:val="auto"/>
          <w:sz w:val="22"/>
          <w:szCs w:val="22"/>
        </w:rPr>
        <w:t>​ </w:t>
      </w:r>
    </w:p>
    <w:p w14:paraId="3A8E2D2A" w14:textId="77777777" w:rsidR="001225C8" w:rsidRPr="0097280C" w:rsidRDefault="001225C8" w:rsidP="001225C8">
      <w:pPr>
        <w:spacing w:before="0" w:line="240" w:lineRule="auto"/>
        <w:ind w:right="95"/>
        <w:textAlignment w:val="baseline"/>
        <w:rPr>
          <w:rFonts w:ascii="Segoe UI" w:eastAsia="Times New Roman" w:hAnsi="Segoe UI" w:cs="Segoe UI"/>
          <w:color w:val="auto"/>
          <w:sz w:val="22"/>
          <w:szCs w:val="22"/>
        </w:rPr>
      </w:pPr>
      <w:r w:rsidRPr="0097280C">
        <w:rPr>
          <w:rFonts w:ascii="Calibri" w:eastAsia="Times New Roman" w:hAnsi="Calibri" w:cs="Calibri"/>
          <w:b/>
          <w:bCs/>
          <w:i/>
          <w:iCs/>
          <w:color w:val="auto"/>
          <w:sz w:val="22"/>
          <w:szCs w:val="22"/>
        </w:rPr>
        <w:t xml:space="preserve">Antibiotic Allergies – </w:t>
      </w:r>
      <w:r w:rsidRPr="0097280C">
        <w:rPr>
          <w:rFonts w:ascii="Calibri" w:eastAsia="Times New Roman" w:hAnsi="Calibri" w:cs="Calibri"/>
          <w:color w:val="auto"/>
          <w:sz w:val="22"/>
          <w:szCs w:val="22"/>
        </w:rPr>
        <w:t>​</w:t>
      </w:r>
      <w:r w:rsidRPr="0097280C">
        <w:rPr>
          <w:rFonts w:ascii="Calibri" w:eastAsia="Times New Roman" w:hAnsi="Calibri" w:cs="Calibri"/>
          <w:color w:val="808080"/>
          <w:sz w:val="22"/>
          <w:szCs w:val="22"/>
        </w:rPr>
        <w:t>Document remaining antibiotic allergies and reactions, including any not yet tested</w:t>
      </w:r>
      <w:r w:rsidRPr="0097280C">
        <w:rPr>
          <w:rFonts w:ascii="Calibri" w:eastAsia="Times New Roman" w:hAnsi="Calibri" w:cs="Calibri"/>
          <w:color w:val="auto"/>
          <w:sz w:val="22"/>
          <w:szCs w:val="22"/>
        </w:rPr>
        <w:t>​ </w:t>
      </w:r>
    </w:p>
    <w:p w14:paraId="7B67715B" w14:textId="77777777" w:rsidR="001225C8" w:rsidRPr="0097280C" w:rsidRDefault="001225C8" w:rsidP="001225C8">
      <w:pPr>
        <w:spacing w:before="0" w:line="240" w:lineRule="auto"/>
        <w:ind w:right="95"/>
        <w:textAlignment w:val="baseline"/>
        <w:rPr>
          <w:rFonts w:ascii="Segoe UI" w:eastAsia="Times New Roman" w:hAnsi="Segoe UI" w:cs="Segoe UI"/>
          <w:color w:val="auto"/>
          <w:sz w:val="22"/>
          <w:szCs w:val="22"/>
        </w:rPr>
      </w:pPr>
      <w:r w:rsidRPr="0097280C">
        <w:rPr>
          <w:rFonts w:ascii="Calibri" w:eastAsia="Times New Roman" w:hAnsi="Calibri" w:cs="Calibri"/>
          <w:b/>
          <w:bCs/>
          <w:i/>
          <w:iCs/>
          <w:color w:val="auto"/>
          <w:sz w:val="22"/>
          <w:szCs w:val="22"/>
        </w:rPr>
        <w:t xml:space="preserve">Recommendations - </w:t>
      </w:r>
      <w:r w:rsidRPr="0097280C">
        <w:rPr>
          <w:rFonts w:ascii="Calibri" w:eastAsia="Times New Roman" w:hAnsi="Calibri" w:cs="Calibri"/>
          <w:color w:val="auto"/>
          <w:sz w:val="22"/>
          <w:szCs w:val="22"/>
        </w:rPr>
        <w:t>​</w:t>
      </w:r>
      <w:r w:rsidRPr="0097280C">
        <w:rPr>
          <w:rFonts w:ascii="Calibri" w:eastAsia="Times New Roman" w:hAnsi="Calibri" w:cs="Calibri"/>
          <w:color w:val="808080"/>
          <w:sz w:val="22"/>
          <w:szCs w:val="22"/>
        </w:rPr>
        <w:t>Patient Name</w:t>
      </w:r>
      <w:r w:rsidRPr="0097280C">
        <w:rPr>
          <w:rFonts w:ascii="Calibri" w:eastAsia="Times New Roman" w:hAnsi="Calibri" w:cs="Calibri"/>
          <w:color w:val="auto"/>
          <w:sz w:val="22"/>
          <w:szCs w:val="22"/>
        </w:rPr>
        <w:t>​ is free to have ​</w:t>
      </w:r>
      <w:r w:rsidRPr="0097280C">
        <w:rPr>
          <w:rFonts w:ascii="Calibri" w:eastAsia="Times New Roman" w:hAnsi="Calibri" w:cs="Calibri"/>
          <w:color w:val="808080"/>
          <w:sz w:val="22"/>
          <w:szCs w:val="22"/>
        </w:rPr>
        <w:t>Antibiotic Agent/Class</w:t>
      </w:r>
      <w:r w:rsidRPr="0097280C">
        <w:rPr>
          <w:rFonts w:ascii="Calibri" w:eastAsia="Times New Roman" w:hAnsi="Calibri" w:cs="Calibri"/>
          <w:color w:val="auto"/>
          <w:sz w:val="22"/>
          <w:szCs w:val="22"/>
        </w:rPr>
        <w:t>​. ​</w:t>
      </w:r>
      <w:r w:rsidRPr="0097280C">
        <w:rPr>
          <w:rFonts w:ascii="Calibri" w:eastAsia="Times New Roman" w:hAnsi="Calibri" w:cs="Calibri"/>
          <w:color w:val="808080"/>
          <w:sz w:val="22"/>
          <w:szCs w:val="22"/>
        </w:rPr>
        <w:t>Patient Name</w:t>
      </w:r>
      <w:r w:rsidRPr="0097280C">
        <w:rPr>
          <w:rFonts w:ascii="Calibri" w:eastAsia="Times New Roman" w:hAnsi="Calibri" w:cs="Calibri"/>
          <w:color w:val="auto"/>
          <w:sz w:val="22"/>
          <w:szCs w:val="22"/>
        </w:rPr>
        <w:t>​ should avoid ​</w:t>
      </w:r>
      <w:r w:rsidRPr="0097280C">
        <w:rPr>
          <w:rFonts w:ascii="Calibri" w:eastAsia="Times New Roman" w:hAnsi="Calibri" w:cs="Calibri"/>
          <w:color w:val="808080"/>
          <w:sz w:val="22"/>
          <w:szCs w:val="22"/>
        </w:rPr>
        <w:t>Antibiotic Agent/Class</w:t>
      </w:r>
      <w:r w:rsidRPr="0097280C">
        <w:rPr>
          <w:rFonts w:ascii="Calibri" w:eastAsia="Times New Roman" w:hAnsi="Calibri" w:cs="Calibri"/>
          <w:color w:val="auto"/>
          <w:sz w:val="22"/>
          <w:szCs w:val="22"/>
        </w:rPr>
        <w:t>​. </w:t>
      </w:r>
    </w:p>
    <w:p w14:paraId="4A74ACBD" w14:textId="77777777" w:rsidR="001225C8" w:rsidRPr="0097280C" w:rsidRDefault="001225C8" w:rsidP="001225C8">
      <w:pPr>
        <w:spacing w:before="0" w:line="240" w:lineRule="auto"/>
        <w:ind w:right="95"/>
        <w:textAlignment w:val="baseline"/>
        <w:rPr>
          <w:rFonts w:ascii="Segoe UI" w:eastAsia="Times New Roman" w:hAnsi="Segoe UI" w:cs="Segoe UI"/>
          <w:color w:val="auto"/>
          <w:sz w:val="22"/>
          <w:szCs w:val="22"/>
        </w:rPr>
      </w:pPr>
      <w:r w:rsidRPr="0097280C">
        <w:rPr>
          <w:rFonts w:ascii="Calibri" w:eastAsia="Times New Roman" w:hAnsi="Calibri" w:cs="Calibri"/>
          <w:color w:val="auto"/>
          <w:sz w:val="22"/>
          <w:szCs w:val="22"/>
        </w:rPr>
        <w:t>​​</w:t>
      </w:r>
      <w:r w:rsidRPr="0097280C">
        <w:rPr>
          <w:rFonts w:ascii="Calibri" w:eastAsia="Times New Roman" w:hAnsi="Calibri" w:cs="Calibri"/>
          <w:color w:val="808080"/>
          <w:sz w:val="22"/>
          <w:szCs w:val="22"/>
        </w:rPr>
        <w:t>Patient Name</w:t>
      </w:r>
      <w:r w:rsidRPr="0097280C">
        <w:rPr>
          <w:rFonts w:ascii="Calibri" w:eastAsia="Times New Roman" w:hAnsi="Calibri" w:cs="Calibri"/>
          <w:color w:val="auto"/>
          <w:sz w:val="22"/>
          <w:szCs w:val="22"/>
        </w:rPr>
        <w:t>​ has been advised of their antibiotic allergy assessment results and has been provided with an updated Antibiotic Allergy Alert Card.  </w:t>
      </w:r>
    </w:p>
    <w:p w14:paraId="7913B216" w14:textId="77777777" w:rsidR="001225C8" w:rsidRPr="0097280C" w:rsidRDefault="001225C8" w:rsidP="001225C8">
      <w:pPr>
        <w:spacing w:before="0" w:line="240" w:lineRule="auto"/>
        <w:ind w:right="95"/>
        <w:textAlignment w:val="baseline"/>
        <w:rPr>
          <w:rFonts w:ascii="Segoe UI" w:eastAsia="Times New Roman" w:hAnsi="Segoe UI" w:cs="Segoe UI"/>
          <w:color w:val="auto"/>
          <w:sz w:val="22"/>
          <w:szCs w:val="22"/>
        </w:rPr>
      </w:pPr>
      <w:r w:rsidRPr="0097280C">
        <w:rPr>
          <w:rFonts w:ascii="Calibri" w:eastAsia="Times New Roman" w:hAnsi="Calibri" w:cs="Calibri"/>
          <w:color w:val="auto"/>
          <w:sz w:val="22"/>
          <w:szCs w:val="22"/>
        </w:rPr>
        <w:t>Please update your medical records for ​</w:t>
      </w:r>
      <w:r w:rsidRPr="0097280C">
        <w:rPr>
          <w:rFonts w:ascii="Calibri" w:eastAsia="Times New Roman" w:hAnsi="Calibri" w:cs="Calibri"/>
          <w:color w:val="808080"/>
          <w:sz w:val="22"/>
          <w:szCs w:val="22"/>
        </w:rPr>
        <w:t>Patient Name</w:t>
      </w:r>
      <w:r w:rsidRPr="0097280C">
        <w:rPr>
          <w:rFonts w:ascii="Calibri" w:eastAsia="Times New Roman" w:hAnsi="Calibri" w:cs="Calibri"/>
          <w:color w:val="auto"/>
          <w:sz w:val="22"/>
          <w:szCs w:val="22"/>
        </w:rPr>
        <w:t>​ accordingly. </w:t>
      </w:r>
    </w:p>
    <w:p w14:paraId="03A3F79F" w14:textId="77777777" w:rsidR="001225C8" w:rsidRPr="0097280C" w:rsidRDefault="001225C8" w:rsidP="001225C8">
      <w:pPr>
        <w:spacing w:before="0" w:line="240" w:lineRule="auto"/>
        <w:ind w:right="95"/>
        <w:textAlignment w:val="baseline"/>
        <w:rPr>
          <w:rFonts w:ascii="Segoe UI" w:eastAsia="Times New Roman" w:hAnsi="Segoe UI" w:cs="Segoe UI"/>
          <w:color w:val="auto"/>
          <w:sz w:val="22"/>
          <w:szCs w:val="22"/>
        </w:rPr>
      </w:pPr>
      <w:r w:rsidRPr="0097280C">
        <w:rPr>
          <w:rFonts w:ascii="Calibri" w:eastAsia="Times New Roman" w:hAnsi="Calibri" w:cs="Calibri"/>
          <w:color w:val="auto"/>
          <w:sz w:val="22"/>
          <w:szCs w:val="22"/>
        </w:rPr>
        <w:t>Yours Sincerely, </w:t>
      </w:r>
    </w:p>
    <w:p w14:paraId="445F4B87" w14:textId="77777777" w:rsidR="001225C8" w:rsidRPr="0097280C" w:rsidRDefault="001225C8" w:rsidP="001225C8">
      <w:pPr>
        <w:spacing w:before="0" w:after="0" w:line="240" w:lineRule="auto"/>
        <w:ind w:right="95"/>
        <w:textAlignment w:val="baseline"/>
        <w:rPr>
          <w:rFonts w:ascii="Segoe UI" w:eastAsia="Times New Roman" w:hAnsi="Segoe UI" w:cs="Segoe UI"/>
          <w:color w:val="auto"/>
          <w:sz w:val="22"/>
          <w:szCs w:val="22"/>
        </w:rPr>
      </w:pPr>
      <w:r w:rsidRPr="0097280C">
        <w:rPr>
          <w:rFonts w:ascii="Calibri" w:eastAsia="Times New Roman" w:hAnsi="Calibri" w:cs="Calibri"/>
          <w:color w:val="auto"/>
          <w:sz w:val="22"/>
          <w:szCs w:val="22"/>
        </w:rPr>
        <w:t>​​</w:t>
      </w:r>
      <w:r w:rsidRPr="0097280C">
        <w:rPr>
          <w:rFonts w:ascii="Calibri" w:eastAsia="Times New Roman" w:hAnsi="Calibri" w:cs="Calibri"/>
          <w:color w:val="808080"/>
          <w:sz w:val="22"/>
          <w:szCs w:val="22"/>
        </w:rPr>
        <w:t>Name</w:t>
      </w:r>
      <w:r w:rsidRPr="0097280C">
        <w:rPr>
          <w:rFonts w:ascii="Calibri" w:eastAsia="Times New Roman" w:hAnsi="Calibri" w:cs="Calibri"/>
          <w:color w:val="auto"/>
          <w:sz w:val="22"/>
          <w:szCs w:val="22"/>
        </w:rPr>
        <w:t>​ </w:t>
      </w:r>
    </w:p>
    <w:p w14:paraId="16E15FCC" w14:textId="77777777" w:rsidR="001225C8" w:rsidRPr="0097280C" w:rsidRDefault="001225C8" w:rsidP="001225C8">
      <w:pPr>
        <w:spacing w:before="0" w:after="0" w:line="240" w:lineRule="auto"/>
        <w:ind w:right="95"/>
        <w:textAlignment w:val="baseline"/>
        <w:rPr>
          <w:rFonts w:ascii="Segoe UI" w:eastAsia="Times New Roman" w:hAnsi="Segoe UI" w:cs="Segoe UI"/>
          <w:color w:val="auto"/>
          <w:sz w:val="22"/>
          <w:szCs w:val="22"/>
        </w:rPr>
      </w:pPr>
      <w:r w:rsidRPr="0097280C">
        <w:rPr>
          <w:rFonts w:ascii="Calibri" w:eastAsia="Times New Roman" w:hAnsi="Calibri" w:cs="Calibri"/>
          <w:color w:val="auto"/>
          <w:sz w:val="22"/>
          <w:szCs w:val="22"/>
        </w:rPr>
        <w:t>​​</w:t>
      </w:r>
      <w:r w:rsidRPr="0097280C">
        <w:rPr>
          <w:rFonts w:ascii="Calibri" w:eastAsia="Times New Roman" w:hAnsi="Calibri" w:cs="Calibri"/>
          <w:color w:val="808080"/>
          <w:sz w:val="22"/>
          <w:szCs w:val="22"/>
        </w:rPr>
        <w:t>Designation</w:t>
      </w:r>
      <w:r w:rsidRPr="0097280C">
        <w:rPr>
          <w:rFonts w:ascii="Calibri" w:eastAsia="Times New Roman" w:hAnsi="Calibri" w:cs="Calibri"/>
          <w:color w:val="auto"/>
          <w:sz w:val="22"/>
          <w:szCs w:val="22"/>
        </w:rPr>
        <w:t>​ </w:t>
      </w:r>
    </w:p>
    <w:p w14:paraId="5F24E236" w14:textId="77777777" w:rsidR="001225C8" w:rsidRPr="0097280C" w:rsidRDefault="001225C8" w:rsidP="001225C8">
      <w:pPr>
        <w:spacing w:before="0" w:after="0" w:line="240" w:lineRule="auto"/>
        <w:ind w:right="95"/>
        <w:textAlignment w:val="baseline"/>
        <w:rPr>
          <w:rFonts w:ascii="Calibri" w:eastAsia="Times New Roman" w:hAnsi="Calibri" w:cs="Calibri"/>
          <w:color w:val="auto"/>
          <w:sz w:val="22"/>
          <w:szCs w:val="22"/>
        </w:rPr>
      </w:pPr>
      <w:r w:rsidRPr="0097280C">
        <w:rPr>
          <w:rFonts w:ascii="Calibri" w:eastAsia="Times New Roman" w:hAnsi="Calibri" w:cs="Calibri"/>
          <w:color w:val="auto"/>
          <w:sz w:val="22"/>
          <w:szCs w:val="22"/>
        </w:rPr>
        <w:t>​​</w:t>
      </w:r>
      <w:r w:rsidRPr="0097280C">
        <w:rPr>
          <w:rFonts w:ascii="Calibri" w:eastAsia="Times New Roman" w:hAnsi="Calibri" w:cs="Calibri"/>
          <w:color w:val="808080"/>
          <w:sz w:val="22"/>
          <w:szCs w:val="22"/>
        </w:rPr>
        <w:t>Organisation</w:t>
      </w:r>
      <w:r w:rsidRPr="0097280C">
        <w:rPr>
          <w:rFonts w:ascii="Calibri" w:eastAsia="Times New Roman" w:hAnsi="Calibri" w:cs="Calibri"/>
          <w:color w:val="auto"/>
          <w:sz w:val="22"/>
          <w:szCs w:val="22"/>
        </w:rPr>
        <w:t>​ </w:t>
      </w:r>
    </w:p>
    <w:p w14:paraId="250707F0" w14:textId="77777777" w:rsidR="001225C8" w:rsidRPr="0097280C" w:rsidRDefault="001225C8" w:rsidP="001225C8">
      <w:pPr>
        <w:spacing w:before="0" w:after="0" w:line="240" w:lineRule="auto"/>
        <w:ind w:right="95"/>
        <w:textAlignment w:val="baseline"/>
        <w:rPr>
          <w:rFonts w:ascii="Segoe UI" w:eastAsia="Times New Roman" w:hAnsi="Segoe UI" w:cs="Segoe UI"/>
          <w:color w:val="auto"/>
          <w:sz w:val="22"/>
          <w:szCs w:val="22"/>
        </w:rPr>
      </w:pPr>
    </w:p>
    <w:p w14:paraId="19C83F42" w14:textId="77777777" w:rsidR="001225C8" w:rsidRPr="0097280C" w:rsidRDefault="001225C8" w:rsidP="001225C8">
      <w:pPr>
        <w:spacing w:before="0" w:after="0" w:line="240" w:lineRule="auto"/>
        <w:ind w:right="95"/>
        <w:textAlignment w:val="baseline"/>
        <w:rPr>
          <w:rFonts w:ascii="Calibri" w:eastAsia="Times New Roman" w:hAnsi="Calibri" w:cs="Calibri"/>
          <w:color w:val="auto"/>
          <w:sz w:val="22"/>
          <w:szCs w:val="22"/>
        </w:rPr>
      </w:pPr>
      <w:r w:rsidRPr="0097280C">
        <w:rPr>
          <w:rFonts w:ascii="Calibri" w:eastAsia="Times New Roman" w:hAnsi="Calibri" w:cs="Calibri"/>
          <w:color w:val="auto"/>
          <w:sz w:val="22"/>
          <w:szCs w:val="22"/>
        </w:rPr>
        <w:t>Copy: ​</w:t>
      </w:r>
      <w:r w:rsidRPr="0097280C">
        <w:rPr>
          <w:rFonts w:ascii="Calibri" w:eastAsia="Times New Roman" w:hAnsi="Calibri" w:cs="Calibri"/>
          <w:color w:val="808080"/>
          <w:sz w:val="22"/>
          <w:szCs w:val="22"/>
        </w:rPr>
        <w:t>Patient Name</w:t>
      </w:r>
      <w:r w:rsidRPr="0097280C">
        <w:rPr>
          <w:rFonts w:ascii="Calibri" w:eastAsia="Times New Roman" w:hAnsi="Calibri" w:cs="Calibri"/>
          <w:color w:val="auto"/>
          <w:sz w:val="22"/>
          <w:szCs w:val="22"/>
        </w:rPr>
        <w:t>​</w:t>
      </w:r>
    </w:p>
    <w:p w14:paraId="322F7BE1" w14:textId="77777777" w:rsidR="001225C8" w:rsidRPr="0097280C" w:rsidRDefault="001225C8" w:rsidP="001225C8">
      <w:pPr>
        <w:spacing w:before="0" w:after="0" w:line="240" w:lineRule="auto"/>
        <w:ind w:right="95"/>
        <w:textAlignment w:val="baseline"/>
        <w:rPr>
          <w:rFonts w:ascii="Calibri" w:eastAsia="Times New Roman" w:hAnsi="Calibri" w:cs="Calibri"/>
          <w:color w:val="auto"/>
          <w:sz w:val="22"/>
          <w:szCs w:val="22"/>
        </w:rPr>
      </w:pPr>
      <w:r w:rsidRPr="0097280C">
        <w:rPr>
          <w:rFonts w:ascii="Calibri" w:eastAsia="Times New Roman" w:hAnsi="Calibri" w:cs="Calibri"/>
          <w:color w:val="auto"/>
          <w:sz w:val="22"/>
          <w:szCs w:val="22"/>
        </w:rPr>
        <w:t xml:space="preserve">           ADRRC</w:t>
      </w:r>
    </w:p>
    <w:p w14:paraId="62B0235A" w14:textId="77777777" w:rsidR="001225C8" w:rsidRDefault="001225C8" w:rsidP="001225C8">
      <w:pPr>
        <w:pStyle w:val="Bullet"/>
        <w:numPr>
          <w:ilvl w:val="0"/>
          <w:numId w:val="0"/>
        </w:numPr>
      </w:pPr>
    </w:p>
    <w:p w14:paraId="23A4F969" w14:textId="6DA9E828" w:rsidR="007744E3" w:rsidRDefault="007744E3" w:rsidP="007744E3">
      <w:pPr>
        <w:pStyle w:val="BodyCopy"/>
      </w:pPr>
      <w:r>
        <w:t>.</w:t>
      </w:r>
    </w:p>
    <w:p w14:paraId="0B00FE19" w14:textId="04CD89F7" w:rsidR="001225C8" w:rsidRDefault="007744E3" w:rsidP="007744E3">
      <w:pPr>
        <w:pStyle w:val="Bullet"/>
        <w:numPr>
          <w:ilvl w:val="0"/>
          <w:numId w:val="0"/>
        </w:numPr>
        <w:rPr>
          <w:rStyle w:val="Hyperlink"/>
        </w:rPr>
      </w:pPr>
      <w:hyperlink w:anchor="_top" w:history="1">
        <w:r w:rsidRPr="00481A6C">
          <w:rPr>
            <w:rStyle w:val="Hyperlink"/>
          </w:rPr>
          <w:t>Back to Contents</w:t>
        </w:r>
      </w:hyperlink>
    </w:p>
    <w:p w14:paraId="5DF6BBB1" w14:textId="1144A0BB" w:rsidR="001225C8" w:rsidRDefault="001225C8">
      <w:pPr>
        <w:spacing w:before="0" w:after="0" w:line="240" w:lineRule="auto"/>
        <w:rPr>
          <w:rStyle w:val="Hyperlink"/>
          <w:rFonts w:eastAsia="Times New Roman"/>
        </w:rPr>
      </w:pPr>
      <w:r>
        <w:rPr>
          <w:rStyle w:val="Hyperlink"/>
        </w:rPr>
        <w:br w:type="page"/>
      </w:r>
    </w:p>
    <w:p w14:paraId="30A11303" w14:textId="15C9E101" w:rsidR="007744E3" w:rsidRDefault="007744E3" w:rsidP="007744E3">
      <w:pPr>
        <w:pStyle w:val="Heading4"/>
      </w:pPr>
      <w:bookmarkStart w:id="26" w:name="_Toc194319248"/>
      <w:r>
        <w:lastRenderedPageBreak/>
        <w:t xml:space="preserve">Attachment </w:t>
      </w:r>
      <w:r w:rsidR="007157AA">
        <w:t>3</w:t>
      </w:r>
      <w:r>
        <w:t xml:space="preserve"> </w:t>
      </w:r>
      <w:r w:rsidR="005636D7">
        <w:t xml:space="preserve">- </w:t>
      </w:r>
      <w:r>
        <w:t>How to copy the ACT Adverse Drug Reaction Reporting Committee (ADRRC) secretariat into the correspondence</w:t>
      </w:r>
      <w:bookmarkEnd w:id="26"/>
      <w:r>
        <w:t xml:space="preserve"> </w:t>
      </w:r>
    </w:p>
    <w:p w14:paraId="126F7082" w14:textId="0E0A58FF" w:rsidR="00F72DCC" w:rsidRDefault="00F72DCC" w:rsidP="00F72DCC">
      <w:pPr>
        <w:ind w:left="-5"/>
      </w:pPr>
      <w:r>
        <w:t xml:space="preserve">There is a function in DHR to allow for letters to be copied to the ACT Adverse Drug Reaction Reporting Committee (ADRRC) secretariat if required. </w:t>
      </w:r>
      <w:r>
        <w:rPr>
          <w:rFonts w:cs="Calibri"/>
        </w:rPr>
        <w:t xml:space="preserve"> </w:t>
      </w:r>
    </w:p>
    <w:p w14:paraId="583BE07E" w14:textId="77777777" w:rsidR="00F72DCC" w:rsidRDefault="00F72DCC" w:rsidP="00F72DCC">
      <w:pPr>
        <w:ind w:left="-5"/>
      </w:pPr>
      <w:r>
        <w:t xml:space="preserve">To do so, type in ‘ADRRC’ as a recipient into the Cc section of the letter, then select ‘Rx ACT ADRRC’. </w:t>
      </w:r>
      <w:r>
        <w:rPr>
          <w:rFonts w:cs="Calibri"/>
        </w:rPr>
        <w:t xml:space="preserve"> </w:t>
      </w:r>
    </w:p>
    <w:p w14:paraId="0C203757" w14:textId="0CD4C925" w:rsidR="00F72DCC" w:rsidRDefault="00F72DCC" w:rsidP="00F72DCC">
      <w:pPr>
        <w:ind w:left="-5"/>
        <w:rPr>
          <w:rFonts w:cs="Calibri"/>
        </w:rPr>
      </w:pPr>
      <w:r>
        <w:t>This will send an electronic version of the letter to a virtual inbox in DHR for action by the ADRRC secretariat.</w:t>
      </w:r>
      <w:r>
        <w:rPr>
          <w:rFonts w:cs="Calibri"/>
        </w:rPr>
        <w:t xml:space="preserve"> </w:t>
      </w:r>
    </w:p>
    <w:p w14:paraId="4AC3E916" w14:textId="77777777" w:rsidR="000C37D2" w:rsidRDefault="000C37D2" w:rsidP="000C37D2">
      <w:pPr>
        <w:ind w:left="-5"/>
      </w:pPr>
      <w:r>
        <w:rPr>
          <w:rFonts w:cs="Calibri"/>
        </w:rPr>
        <w:t xml:space="preserve">Contact </w:t>
      </w:r>
      <w:hyperlink r:id="rId20" w:history="1">
        <w:r w:rsidRPr="00081280">
          <w:rPr>
            <w:rStyle w:val="Hyperlink"/>
            <w:rFonts w:cs="Calibri"/>
          </w:rPr>
          <w:t>medicinesinformation@act.gov.au</w:t>
        </w:r>
      </w:hyperlink>
      <w:r>
        <w:rPr>
          <w:rFonts w:cs="Calibri"/>
        </w:rPr>
        <w:t xml:space="preserve"> or dial extension x43333 for further support as needed. </w:t>
      </w:r>
    </w:p>
    <w:p w14:paraId="26D3271A" w14:textId="2325A395" w:rsidR="00C2309D" w:rsidRDefault="007744E3" w:rsidP="007744E3">
      <w:pPr>
        <w:pStyle w:val="Bullet"/>
        <w:numPr>
          <w:ilvl w:val="0"/>
          <w:numId w:val="0"/>
        </w:numPr>
      </w:pPr>
      <w:hyperlink w:anchor="_top" w:history="1">
        <w:r w:rsidRPr="00481A6C">
          <w:rPr>
            <w:rStyle w:val="Hyperlink"/>
          </w:rPr>
          <w:t>Back to Contents</w:t>
        </w:r>
      </w:hyperlink>
    </w:p>
    <w:p w14:paraId="76016244" w14:textId="77777777" w:rsidR="00C2309D" w:rsidRDefault="00C2309D">
      <w:pPr>
        <w:spacing w:before="0" w:after="0" w:line="240" w:lineRule="auto"/>
        <w:rPr>
          <w:rFonts w:eastAsia="Times New Roman"/>
        </w:rPr>
      </w:pPr>
      <w:r>
        <w:br w:type="page"/>
      </w:r>
    </w:p>
    <w:p w14:paraId="71075303" w14:textId="5624C6A7" w:rsidR="00034534" w:rsidRDefault="00034534" w:rsidP="00034534">
      <w:pPr>
        <w:pStyle w:val="Heading4"/>
      </w:pPr>
      <w:bookmarkStart w:id="27" w:name="_Toc189495036"/>
      <w:bookmarkStart w:id="28" w:name="_Toc194319249"/>
      <w:r>
        <w:lastRenderedPageBreak/>
        <w:t xml:space="preserve">Attachment 4 – Step by step guide to de-label penicillin allergy on </w:t>
      </w:r>
      <w:r w:rsidR="007372FB">
        <w:t>Digital Health Record (</w:t>
      </w:r>
      <w:r>
        <w:t>DHR</w:t>
      </w:r>
      <w:bookmarkEnd w:id="27"/>
      <w:r w:rsidR="007372FB">
        <w:t>)</w:t>
      </w:r>
      <w:bookmarkEnd w:id="28"/>
    </w:p>
    <w:p w14:paraId="6C5DE5F4" w14:textId="77777777" w:rsidR="00C2309D" w:rsidRDefault="00C2309D" w:rsidP="00C2309D">
      <w:pPr>
        <w:pStyle w:val="ListParagraph"/>
        <w:spacing w:before="0" w:after="0" w:line="240" w:lineRule="auto"/>
        <w:ind w:left="360" w:right="95"/>
      </w:pPr>
    </w:p>
    <w:p w14:paraId="41089E6A" w14:textId="35DFF8F0" w:rsidR="00034534" w:rsidRDefault="00034534" w:rsidP="00C2309D">
      <w:pPr>
        <w:pStyle w:val="ListParagraph"/>
        <w:numPr>
          <w:ilvl w:val="0"/>
          <w:numId w:val="30"/>
        </w:numPr>
        <w:spacing w:before="0" w:after="0" w:line="240" w:lineRule="auto"/>
        <w:ind w:left="360" w:right="95"/>
      </w:pPr>
      <w:r>
        <w:t>Click on allergies in left side bar.</w:t>
      </w:r>
    </w:p>
    <w:p w14:paraId="1BC2D977" w14:textId="77777777" w:rsidR="00034534" w:rsidRDefault="00034534" w:rsidP="00C2309D">
      <w:pPr>
        <w:pStyle w:val="ListParagraph"/>
        <w:spacing w:before="0" w:after="0" w:line="240" w:lineRule="auto"/>
        <w:ind w:left="360" w:right="95"/>
      </w:pPr>
    </w:p>
    <w:p w14:paraId="03D95695" w14:textId="168CB8EE" w:rsidR="00034534" w:rsidRDefault="00034534" w:rsidP="00C2309D">
      <w:pPr>
        <w:pStyle w:val="ListParagraph"/>
        <w:numPr>
          <w:ilvl w:val="0"/>
          <w:numId w:val="30"/>
        </w:numPr>
        <w:spacing w:before="0" w:after="0" w:line="240" w:lineRule="auto"/>
        <w:ind w:left="360" w:right="95"/>
      </w:pPr>
      <w:r>
        <w:t>Click on allergy that is to be de-labelled</w:t>
      </w:r>
      <w:r w:rsidR="00C2309D">
        <w:t>.</w:t>
      </w:r>
    </w:p>
    <w:p w14:paraId="0F351E55" w14:textId="77777777" w:rsidR="00034534" w:rsidRDefault="00034534" w:rsidP="00C2309D">
      <w:pPr>
        <w:pStyle w:val="ListParagraph"/>
        <w:spacing w:before="0" w:after="0" w:line="240" w:lineRule="auto"/>
        <w:ind w:left="360" w:right="95"/>
      </w:pPr>
    </w:p>
    <w:p w14:paraId="059A907E" w14:textId="694BA884" w:rsidR="00034534" w:rsidRDefault="00034534" w:rsidP="00C2309D">
      <w:pPr>
        <w:pStyle w:val="ListParagraph"/>
        <w:numPr>
          <w:ilvl w:val="0"/>
          <w:numId w:val="30"/>
        </w:numPr>
        <w:spacing w:before="0" w:after="0" w:line="240" w:lineRule="auto"/>
        <w:ind w:left="360" w:right="95"/>
      </w:pPr>
      <w:r>
        <w:t>Click Delete</w:t>
      </w:r>
      <w:r w:rsidR="00C2309D">
        <w:t>.</w:t>
      </w:r>
    </w:p>
    <w:p w14:paraId="5D426598" w14:textId="77777777" w:rsidR="00034534" w:rsidRDefault="00034534" w:rsidP="00C2309D">
      <w:pPr>
        <w:spacing w:before="0" w:after="0" w:line="240" w:lineRule="auto"/>
        <w:ind w:right="95"/>
      </w:pPr>
    </w:p>
    <w:p w14:paraId="15A5E601" w14:textId="5BE5E968" w:rsidR="00034534" w:rsidRDefault="00034534" w:rsidP="00C2309D">
      <w:pPr>
        <w:pStyle w:val="ListParagraph"/>
        <w:numPr>
          <w:ilvl w:val="0"/>
          <w:numId w:val="30"/>
        </w:numPr>
        <w:spacing w:before="0" w:after="0" w:line="240" w:lineRule="auto"/>
        <w:ind w:left="360" w:right="95"/>
      </w:pPr>
      <w:r>
        <w:t>Type in deletion reason as “No Longer Clinically significant” with information about PENFAST score and details on the antibiotic oral challenge -</w:t>
      </w:r>
      <w:r w:rsidR="007372FB">
        <w:t xml:space="preserve"> </w:t>
      </w:r>
      <w:r>
        <w:t>i.e. ‘’Patient subsequently passed direct oral challenge with (insert name of drug here e.g. amoxicillin) on xxxx(date)”</w:t>
      </w:r>
    </w:p>
    <w:p w14:paraId="4378777C" w14:textId="77777777" w:rsidR="00C2309D" w:rsidRDefault="00C2309D" w:rsidP="00C2309D">
      <w:pPr>
        <w:pStyle w:val="Bullet"/>
        <w:numPr>
          <w:ilvl w:val="0"/>
          <w:numId w:val="0"/>
        </w:numPr>
        <w:ind w:left="360" w:hanging="360"/>
      </w:pPr>
    </w:p>
    <w:p w14:paraId="3C1B6D86" w14:textId="0F657CFC" w:rsidR="00C2309D" w:rsidRDefault="00C2309D" w:rsidP="00C2309D">
      <w:pPr>
        <w:pStyle w:val="Bullet"/>
        <w:numPr>
          <w:ilvl w:val="0"/>
          <w:numId w:val="0"/>
        </w:numPr>
        <w:ind w:left="360" w:hanging="360"/>
      </w:pPr>
      <w:hyperlink w:anchor="_top" w:history="1">
        <w:r w:rsidRPr="00481A6C">
          <w:rPr>
            <w:rStyle w:val="Hyperlink"/>
          </w:rPr>
          <w:t>Back to Contents</w:t>
        </w:r>
      </w:hyperlink>
    </w:p>
    <w:p w14:paraId="664CF006" w14:textId="77777777" w:rsidR="007744E3" w:rsidRDefault="007744E3" w:rsidP="00201AF6">
      <w:pPr>
        <w:pStyle w:val="BodyCopy"/>
      </w:pPr>
    </w:p>
    <w:sectPr w:rsidR="007744E3" w:rsidSect="0007270D">
      <w:footerReference w:type="default" r:id="rId21"/>
      <w:headerReference w:type="first" r:id="rId22"/>
      <w:footerReference w:type="first" r:id="rId23"/>
      <w:pgSz w:w="11906" w:h="16838" w:code="9"/>
      <w:pgMar w:top="970" w:right="1134" w:bottom="1134" w:left="851" w:header="284" w:footer="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C5CBF" w14:textId="77777777" w:rsidR="00853F9E" w:rsidRDefault="00853F9E" w:rsidP="00225769">
      <w:pPr>
        <w:spacing w:after="0" w:line="240" w:lineRule="auto"/>
      </w:pPr>
      <w:r>
        <w:separator/>
      </w:r>
    </w:p>
    <w:p w14:paraId="67BEE6B9" w14:textId="77777777" w:rsidR="00853F9E" w:rsidRDefault="00853F9E"/>
    <w:p w14:paraId="21A63128" w14:textId="77777777" w:rsidR="00853F9E" w:rsidRDefault="00853F9E"/>
    <w:p w14:paraId="7FB89F39" w14:textId="77777777" w:rsidR="00853F9E" w:rsidRDefault="00853F9E"/>
    <w:p w14:paraId="68C149C9" w14:textId="77777777" w:rsidR="00853F9E" w:rsidRDefault="00853F9E"/>
    <w:p w14:paraId="5A389C6E" w14:textId="77777777" w:rsidR="00853F9E" w:rsidRDefault="00853F9E"/>
    <w:p w14:paraId="48D5FDD4" w14:textId="77777777" w:rsidR="00853F9E" w:rsidRDefault="00853F9E"/>
  </w:endnote>
  <w:endnote w:type="continuationSeparator" w:id="0">
    <w:p w14:paraId="098F63A1" w14:textId="77777777" w:rsidR="00853F9E" w:rsidRDefault="00853F9E" w:rsidP="00225769">
      <w:pPr>
        <w:spacing w:after="0" w:line="240" w:lineRule="auto"/>
      </w:pPr>
      <w:r>
        <w:continuationSeparator/>
      </w:r>
    </w:p>
    <w:p w14:paraId="5CEDD1DB" w14:textId="77777777" w:rsidR="00853F9E" w:rsidRDefault="00853F9E"/>
    <w:p w14:paraId="2A98AB82" w14:textId="77777777" w:rsidR="00853F9E" w:rsidRDefault="00853F9E"/>
    <w:p w14:paraId="3DF851C0" w14:textId="77777777" w:rsidR="00853F9E" w:rsidRDefault="00853F9E"/>
    <w:p w14:paraId="7A64FD13" w14:textId="77777777" w:rsidR="00853F9E" w:rsidRDefault="00853F9E"/>
    <w:p w14:paraId="0F4DC94D" w14:textId="77777777" w:rsidR="00853F9E" w:rsidRDefault="00853F9E"/>
    <w:p w14:paraId="36304B24" w14:textId="77777777" w:rsidR="00853F9E" w:rsidRDefault="00853F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279"/>
      <w:gridCol w:w="1557"/>
    </w:tblGrid>
    <w:tr w:rsidR="00481A6C" w:rsidRPr="006B62B4" w14:paraId="2D8F107E" w14:textId="77777777" w:rsidTr="003B0E72">
      <w:trPr>
        <w:jc w:val="center"/>
      </w:trPr>
      <w:tc>
        <w:tcPr>
          <w:tcW w:w="1515" w:type="dxa"/>
        </w:tcPr>
        <w:p w14:paraId="06044631" w14:textId="77777777" w:rsidR="00481A6C" w:rsidRPr="006B62B4" w:rsidRDefault="00481A6C" w:rsidP="00481A6C">
          <w:pPr>
            <w:pStyle w:val="Footer"/>
            <w:jc w:val="center"/>
            <w:rPr>
              <w:b/>
              <w:bCs/>
              <w:iCs/>
              <w:sz w:val="20"/>
              <w:szCs w:val="20"/>
            </w:rPr>
          </w:pPr>
          <w:r w:rsidRPr="006B62B4">
            <w:rPr>
              <w:b/>
              <w:bCs/>
              <w:iCs/>
              <w:sz w:val="20"/>
              <w:szCs w:val="20"/>
            </w:rPr>
            <w:t>Doc Number</w:t>
          </w:r>
        </w:p>
      </w:tc>
      <w:tc>
        <w:tcPr>
          <w:tcW w:w="965" w:type="dxa"/>
        </w:tcPr>
        <w:p w14:paraId="6D05699D" w14:textId="77777777" w:rsidR="00481A6C" w:rsidRPr="006B62B4" w:rsidRDefault="00481A6C" w:rsidP="00481A6C">
          <w:pPr>
            <w:pStyle w:val="Footer"/>
            <w:jc w:val="center"/>
            <w:rPr>
              <w:b/>
              <w:bCs/>
              <w:iCs/>
              <w:sz w:val="20"/>
              <w:szCs w:val="20"/>
            </w:rPr>
          </w:pPr>
          <w:r w:rsidRPr="006B62B4">
            <w:rPr>
              <w:b/>
              <w:bCs/>
              <w:iCs/>
              <w:sz w:val="20"/>
              <w:szCs w:val="20"/>
            </w:rPr>
            <w:t>Version</w:t>
          </w:r>
        </w:p>
      </w:tc>
      <w:tc>
        <w:tcPr>
          <w:tcW w:w="1552" w:type="dxa"/>
        </w:tcPr>
        <w:p w14:paraId="03B1A57F" w14:textId="77777777" w:rsidR="00481A6C" w:rsidRPr="006B62B4" w:rsidRDefault="00481A6C" w:rsidP="00481A6C">
          <w:pPr>
            <w:pStyle w:val="Footer"/>
            <w:jc w:val="center"/>
            <w:rPr>
              <w:b/>
              <w:bCs/>
              <w:iCs/>
              <w:sz w:val="20"/>
              <w:szCs w:val="20"/>
            </w:rPr>
          </w:pPr>
          <w:r w:rsidRPr="006B62B4">
            <w:rPr>
              <w:b/>
              <w:bCs/>
              <w:iCs/>
              <w:sz w:val="20"/>
              <w:szCs w:val="20"/>
            </w:rPr>
            <w:t>Issued</w:t>
          </w:r>
        </w:p>
      </w:tc>
      <w:tc>
        <w:tcPr>
          <w:tcW w:w="1456" w:type="dxa"/>
        </w:tcPr>
        <w:p w14:paraId="5126BD8C" w14:textId="77777777" w:rsidR="00481A6C" w:rsidRPr="006B62B4" w:rsidRDefault="00481A6C" w:rsidP="00481A6C">
          <w:pPr>
            <w:pStyle w:val="Footer"/>
            <w:jc w:val="center"/>
            <w:rPr>
              <w:b/>
              <w:bCs/>
              <w:iCs/>
              <w:sz w:val="20"/>
              <w:szCs w:val="20"/>
            </w:rPr>
          </w:pPr>
          <w:r w:rsidRPr="006B62B4">
            <w:rPr>
              <w:b/>
              <w:bCs/>
              <w:iCs/>
              <w:sz w:val="20"/>
              <w:szCs w:val="20"/>
            </w:rPr>
            <w:t>Review Date</w:t>
          </w:r>
        </w:p>
      </w:tc>
      <w:tc>
        <w:tcPr>
          <w:tcW w:w="1746" w:type="dxa"/>
        </w:tcPr>
        <w:p w14:paraId="5642777A" w14:textId="77777777" w:rsidR="00481A6C" w:rsidRPr="006B62B4" w:rsidRDefault="00481A6C" w:rsidP="00481A6C">
          <w:pPr>
            <w:pStyle w:val="Footer"/>
            <w:jc w:val="center"/>
            <w:rPr>
              <w:b/>
              <w:bCs/>
              <w:iCs/>
              <w:sz w:val="20"/>
              <w:szCs w:val="20"/>
            </w:rPr>
          </w:pPr>
          <w:r w:rsidRPr="006B62B4">
            <w:rPr>
              <w:b/>
              <w:bCs/>
              <w:iCs/>
              <w:sz w:val="20"/>
              <w:szCs w:val="20"/>
            </w:rPr>
            <w:t xml:space="preserve">Area </w:t>
          </w:r>
        </w:p>
      </w:tc>
      <w:tc>
        <w:tcPr>
          <w:tcW w:w="1836" w:type="dxa"/>
          <w:gridSpan w:val="2"/>
        </w:tcPr>
        <w:p w14:paraId="4EEE786F" w14:textId="77777777" w:rsidR="00481A6C" w:rsidRPr="006B62B4" w:rsidRDefault="00481A6C" w:rsidP="00481A6C">
          <w:pPr>
            <w:pStyle w:val="Footer"/>
            <w:jc w:val="center"/>
            <w:rPr>
              <w:b/>
              <w:bCs/>
              <w:iCs/>
              <w:sz w:val="20"/>
              <w:szCs w:val="20"/>
            </w:rPr>
          </w:pPr>
          <w:r w:rsidRPr="006B62B4">
            <w:rPr>
              <w:b/>
              <w:bCs/>
              <w:iCs/>
              <w:sz w:val="20"/>
              <w:szCs w:val="20"/>
            </w:rPr>
            <w:t>Page</w:t>
          </w:r>
        </w:p>
      </w:tc>
    </w:tr>
    <w:tr w:rsidR="00D955C8" w:rsidRPr="006B62B4" w14:paraId="20786BB7" w14:textId="77777777" w:rsidTr="00D955C8">
      <w:trPr>
        <w:jc w:val="center"/>
      </w:trPr>
      <w:tc>
        <w:tcPr>
          <w:tcW w:w="1515" w:type="dxa"/>
        </w:tcPr>
        <w:p w14:paraId="64788744" w14:textId="602EF2F3" w:rsidR="00D955C8" w:rsidRPr="00954F7B" w:rsidRDefault="00D955C8" w:rsidP="00D955C8">
          <w:pPr>
            <w:pStyle w:val="Footer"/>
            <w:jc w:val="center"/>
            <w:rPr>
              <w:bCs/>
              <w:iCs/>
              <w:sz w:val="20"/>
              <w:szCs w:val="20"/>
            </w:rPr>
          </w:pPr>
          <w:r>
            <w:rPr>
              <w:bCs/>
              <w:iCs/>
              <w:sz w:val="20"/>
              <w:szCs w:val="20"/>
            </w:rPr>
            <w:t>CHS25/148</w:t>
          </w:r>
        </w:p>
      </w:tc>
      <w:tc>
        <w:tcPr>
          <w:tcW w:w="965" w:type="dxa"/>
        </w:tcPr>
        <w:p w14:paraId="7EEA1F34" w14:textId="0C29D1CF" w:rsidR="00D955C8" w:rsidRPr="00954F7B" w:rsidRDefault="00D955C8" w:rsidP="00D955C8">
          <w:pPr>
            <w:pStyle w:val="Footer"/>
            <w:jc w:val="center"/>
            <w:rPr>
              <w:bCs/>
              <w:iCs/>
              <w:sz w:val="20"/>
              <w:szCs w:val="20"/>
            </w:rPr>
          </w:pPr>
          <w:r>
            <w:rPr>
              <w:bCs/>
              <w:iCs/>
              <w:sz w:val="20"/>
              <w:szCs w:val="20"/>
            </w:rPr>
            <w:t>1</w:t>
          </w:r>
        </w:p>
      </w:tc>
      <w:tc>
        <w:tcPr>
          <w:tcW w:w="1552" w:type="dxa"/>
        </w:tcPr>
        <w:p w14:paraId="76BC167B" w14:textId="536664EA" w:rsidR="00D955C8" w:rsidRPr="00954F7B" w:rsidRDefault="00D955C8" w:rsidP="00D955C8">
          <w:pPr>
            <w:pStyle w:val="Footer"/>
            <w:jc w:val="center"/>
            <w:rPr>
              <w:bCs/>
              <w:iCs/>
              <w:sz w:val="20"/>
              <w:szCs w:val="20"/>
            </w:rPr>
          </w:pPr>
          <w:r>
            <w:rPr>
              <w:bCs/>
              <w:iCs/>
              <w:sz w:val="20"/>
              <w:szCs w:val="20"/>
            </w:rPr>
            <w:t>03/04/2025</w:t>
          </w:r>
        </w:p>
      </w:tc>
      <w:tc>
        <w:tcPr>
          <w:tcW w:w="1456" w:type="dxa"/>
        </w:tcPr>
        <w:p w14:paraId="28B771FC" w14:textId="4892509B" w:rsidR="00D955C8" w:rsidRPr="00954F7B" w:rsidRDefault="00D955C8" w:rsidP="00D955C8">
          <w:pPr>
            <w:pStyle w:val="Footer"/>
            <w:jc w:val="center"/>
            <w:rPr>
              <w:bCs/>
              <w:iCs/>
              <w:sz w:val="20"/>
              <w:szCs w:val="20"/>
            </w:rPr>
          </w:pPr>
          <w:r>
            <w:rPr>
              <w:bCs/>
              <w:iCs/>
              <w:sz w:val="20"/>
              <w:szCs w:val="20"/>
            </w:rPr>
            <w:t>01/03/2028</w:t>
          </w:r>
        </w:p>
      </w:tc>
      <w:tc>
        <w:tcPr>
          <w:tcW w:w="2025" w:type="dxa"/>
          <w:gridSpan w:val="2"/>
        </w:tcPr>
        <w:p w14:paraId="209C896B" w14:textId="02B1D07F" w:rsidR="00D955C8" w:rsidRPr="00954F7B" w:rsidRDefault="00D955C8" w:rsidP="00D955C8">
          <w:pPr>
            <w:pStyle w:val="Footer"/>
            <w:jc w:val="center"/>
            <w:rPr>
              <w:bCs/>
              <w:iCs/>
              <w:sz w:val="20"/>
              <w:szCs w:val="20"/>
            </w:rPr>
          </w:pPr>
          <w:r>
            <w:rPr>
              <w:bCs/>
              <w:iCs/>
              <w:sz w:val="20"/>
              <w:szCs w:val="20"/>
            </w:rPr>
            <w:t xml:space="preserve">Medicine – Infectious Diseases </w:t>
          </w:r>
        </w:p>
      </w:tc>
      <w:tc>
        <w:tcPr>
          <w:tcW w:w="1557" w:type="dxa"/>
        </w:tcPr>
        <w:p w14:paraId="3050A28B" w14:textId="77777777" w:rsidR="00D955C8" w:rsidRPr="00954F7B" w:rsidRDefault="00D955C8" w:rsidP="00D955C8">
          <w:pPr>
            <w:pStyle w:val="Footer"/>
            <w:jc w:val="center"/>
            <w:rPr>
              <w:bCs/>
              <w:iCs/>
              <w:sz w:val="20"/>
              <w:szCs w:val="20"/>
            </w:rPr>
          </w:pPr>
          <w:r w:rsidRPr="00954F7B">
            <w:rPr>
              <w:rStyle w:val="PageNumber"/>
              <w:bCs/>
              <w:iCs/>
              <w:sz w:val="20"/>
              <w:szCs w:val="20"/>
            </w:rPr>
            <w:fldChar w:fldCharType="begin"/>
          </w:r>
          <w:r w:rsidRPr="00954F7B">
            <w:rPr>
              <w:rStyle w:val="PageNumber"/>
              <w:bCs/>
              <w:iCs/>
              <w:sz w:val="20"/>
              <w:szCs w:val="20"/>
            </w:rPr>
            <w:instrText xml:space="preserve"> PAGE </w:instrText>
          </w:r>
          <w:r w:rsidRPr="00954F7B">
            <w:rPr>
              <w:rStyle w:val="PageNumber"/>
              <w:bCs/>
              <w:iCs/>
              <w:sz w:val="20"/>
              <w:szCs w:val="20"/>
            </w:rPr>
            <w:fldChar w:fldCharType="separate"/>
          </w:r>
          <w:r>
            <w:rPr>
              <w:rStyle w:val="PageNumber"/>
              <w:bCs/>
              <w:iCs/>
              <w:sz w:val="20"/>
              <w:szCs w:val="20"/>
            </w:rPr>
            <w:t>3</w:t>
          </w:r>
          <w:r w:rsidRPr="00954F7B">
            <w:rPr>
              <w:rStyle w:val="PageNumber"/>
              <w:bCs/>
              <w:iCs/>
              <w:sz w:val="20"/>
              <w:szCs w:val="20"/>
            </w:rPr>
            <w:fldChar w:fldCharType="end"/>
          </w:r>
          <w:r w:rsidRPr="00954F7B">
            <w:rPr>
              <w:rStyle w:val="PageNumber"/>
              <w:bCs/>
              <w:iCs/>
              <w:sz w:val="20"/>
              <w:szCs w:val="20"/>
            </w:rPr>
            <w:t xml:space="preserve"> of </w:t>
          </w:r>
          <w:r w:rsidRPr="00954F7B">
            <w:rPr>
              <w:rStyle w:val="PageNumber"/>
              <w:bCs/>
              <w:iCs/>
              <w:sz w:val="20"/>
              <w:szCs w:val="20"/>
            </w:rPr>
            <w:fldChar w:fldCharType="begin"/>
          </w:r>
          <w:r w:rsidRPr="00954F7B">
            <w:rPr>
              <w:rStyle w:val="PageNumber"/>
              <w:bCs/>
              <w:iCs/>
              <w:sz w:val="20"/>
              <w:szCs w:val="20"/>
            </w:rPr>
            <w:instrText xml:space="preserve"> NUMPAGES </w:instrText>
          </w:r>
          <w:r w:rsidRPr="00954F7B">
            <w:rPr>
              <w:rStyle w:val="PageNumber"/>
              <w:bCs/>
              <w:iCs/>
              <w:sz w:val="20"/>
              <w:szCs w:val="20"/>
            </w:rPr>
            <w:fldChar w:fldCharType="separate"/>
          </w:r>
          <w:r>
            <w:rPr>
              <w:rStyle w:val="PageNumber"/>
              <w:bCs/>
              <w:iCs/>
              <w:sz w:val="20"/>
              <w:szCs w:val="20"/>
            </w:rPr>
            <w:t>4</w:t>
          </w:r>
          <w:r w:rsidRPr="00954F7B">
            <w:rPr>
              <w:rStyle w:val="PageNumber"/>
              <w:bCs/>
              <w:iCs/>
              <w:sz w:val="20"/>
              <w:szCs w:val="20"/>
            </w:rPr>
            <w:fldChar w:fldCharType="end"/>
          </w:r>
        </w:p>
      </w:tc>
    </w:tr>
  </w:tbl>
  <w:p w14:paraId="46C90E51" w14:textId="77777777" w:rsidR="005C71BC" w:rsidRPr="00481A6C" w:rsidRDefault="00481A6C" w:rsidP="00481A6C">
    <w:pPr>
      <w:pStyle w:val="Footer"/>
      <w:ind w:left="567"/>
    </w:pPr>
    <w:r w:rsidRPr="006B62B4">
      <w:rPr>
        <w:iCs/>
        <w:sz w:val="16"/>
        <w:szCs w:val="16"/>
      </w:rPr>
      <w:t>Do not refer to a paper-based copy of this policy document. The most current version can be found on the CHS Policy Register</w:t>
    </w:r>
    <w:r>
      <w:rPr>
        <w:iCs/>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8A3DD8" w:rsidRPr="006B62B4" w14:paraId="0DDB4912" w14:textId="77777777" w:rsidTr="008E1ED9">
      <w:trPr>
        <w:jc w:val="center"/>
      </w:trPr>
      <w:tc>
        <w:tcPr>
          <w:tcW w:w="1515" w:type="dxa"/>
        </w:tcPr>
        <w:p w14:paraId="68ED7E5C" w14:textId="77777777" w:rsidR="008A3DD8" w:rsidRPr="006B62B4" w:rsidRDefault="008A3DD8" w:rsidP="008A3DD8">
          <w:pPr>
            <w:pStyle w:val="Footer"/>
            <w:jc w:val="center"/>
            <w:rPr>
              <w:b/>
              <w:bCs/>
              <w:iCs/>
              <w:sz w:val="20"/>
              <w:szCs w:val="20"/>
            </w:rPr>
          </w:pPr>
          <w:r>
            <w:rPr>
              <w:b/>
              <w:bCs/>
              <w:iCs/>
              <w:sz w:val="20"/>
              <w:szCs w:val="20"/>
            </w:rPr>
            <w:t xml:space="preserve"> </w:t>
          </w:r>
          <w:r w:rsidRPr="006B62B4">
            <w:rPr>
              <w:b/>
              <w:bCs/>
              <w:iCs/>
              <w:sz w:val="20"/>
              <w:szCs w:val="20"/>
            </w:rPr>
            <w:t>Doc Number</w:t>
          </w:r>
        </w:p>
      </w:tc>
      <w:tc>
        <w:tcPr>
          <w:tcW w:w="965" w:type="dxa"/>
        </w:tcPr>
        <w:p w14:paraId="7A157DA4" w14:textId="77777777" w:rsidR="008A3DD8" w:rsidRPr="006B62B4" w:rsidRDefault="008A3DD8" w:rsidP="008A3DD8">
          <w:pPr>
            <w:pStyle w:val="Footer"/>
            <w:jc w:val="center"/>
            <w:rPr>
              <w:b/>
              <w:bCs/>
              <w:iCs/>
              <w:sz w:val="20"/>
              <w:szCs w:val="20"/>
            </w:rPr>
          </w:pPr>
          <w:r w:rsidRPr="006B62B4">
            <w:rPr>
              <w:b/>
              <w:bCs/>
              <w:iCs/>
              <w:sz w:val="20"/>
              <w:szCs w:val="20"/>
            </w:rPr>
            <w:t>Version</w:t>
          </w:r>
        </w:p>
      </w:tc>
      <w:tc>
        <w:tcPr>
          <w:tcW w:w="1552" w:type="dxa"/>
        </w:tcPr>
        <w:p w14:paraId="2581F4D7" w14:textId="77777777" w:rsidR="008A3DD8" w:rsidRPr="006B62B4" w:rsidRDefault="008A3DD8" w:rsidP="008A3DD8">
          <w:pPr>
            <w:pStyle w:val="Footer"/>
            <w:jc w:val="center"/>
            <w:rPr>
              <w:b/>
              <w:bCs/>
              <w:iCs/>
              <w:sz w:val="20"/>
              <w:szCs w:val="20"/>
            </w:rPr>
          </w:pPr>
          <w:r w:rsidRPr="006B62B4">
            <w:rPr>
              <w:b/>
              <w:bCs/>
              <w:iCs/>
              <w:sz w:val="20"/>
              <w:szCs w:val="20"/>
            </w:rPr>
            <w:t>Issued</w:t>
          </w:r>
        </w:p>
      </w:tc>
      <w:tc>
        <w:tcPr>
          <w:tcW w:w="1456" w:type="dxa"/>
        </w:tcPr>
        <w:p w14:paraId="059AA41E" w14:textId="77777777" w:rsidR="008A3DD8" w:rsidRPr="006B62B4" w:rsidRDefault="008A3DD8" w:rsidP="008A3DD8">
          <w:pPr>
            <w:pStyle w:val="Footer"/>
            <w:jc w:val="center"/>
            <w:rPr>
              <w:b/>
              <w:bCs/>
              <w:iCs/>
              <w:sz w:val="20"/>
              <w:szCs w:val="20"/>
            </w:rPr>
          </w:pPr>
          <w:r w:rsidRPr="006B62B4">
            <w:rPr>
              <w:b/>
              <w:bCs/>
              <w:iCs/>
              <w:sz w:val="20"/>
              <w:szCs w:val="20"/>
            </w:rPr>
            <w:t>Review Date</w:t>
          </w:r>
        </w:p>
      </w:tc>
      <w:tc>
        <w:tcPr>
          <w:tcW w:w="1746" w:type="dxa"/>
        </w:tcPr>
        <w:p w14:paraId="1896B55E" w14:textId="77777777" w:rsidR="008A3DD8" w:rsidRPr="006B62B4" w:rsidRDefault="008A3DD8" w:rsidP="008A3DD8">
          <w:pPr>
            <w:pStyle w:val="Footer"/>
            <w:jc w:val="center"/>
            <w:rPr>
              <w:b/>
              <w:bCs/>
              <w:iCs/>
              <w:sz w:val="20"/>
              <w:szCs w:val="20"/>
            </w:rPr>
          </w:pPr>
          <w:r w:rsidRPr="006B62B4">
            <w:rPr>
              <w:b/>
              <w:bCs/>
              <w:iCs/>
              <w:sz w:val="20"/>
              <w:szCs w:val="20"/>
            </w:rPr>
            <w:t xml:space="preserve">Area </w:t>
          </w:r>
        </w:p>
      </w:tc>
      <w:tc>
        <w:tcPr>
          <w:tcW w:w="1836" w:type="dxa"/>
        </w:tcPr>
        <w:p w14:paraId="68B89FE7" w14:textId="77777777" w:rsidR="008A3DD8" w:rsidRPr="006B62B4" w:rsidRDefault="008A3DD8" w:rsidP="008A3DD8">
          <w:pPr>
            <w:pStyle w:val="Footer"/>
            <w:jc w:val="center"/>
            <w:rPr>
              <w:b/>
              <w:bCs/>
              <w:iCs/>
              <w:sz w:val="20"/>
              <w:szCs w:val="20"/>
            </w:rPr>
          </w:pPr>
          <w:r w:rsidRPr="006B62B4">
            <w:rPr>
              <w:b/>
              <w:bCs/>
              <w:iCs/>
              <w:sz w:val="20"/>
              <w:szCs w:val="20"/>
            </w:rPr>
            <w:t>Page</w:t>
          </w:r>
        </w:p>
      </w:tc>
    </w:tr>
    <w:tr w:rsidR="008A3DD8" w:rsidRPr="006B62B4" w14:paraId="1B0C4039" w14:textId="77777777" w:rsidTr="008E1ED9">
      <w:trPr>
        <w:jc w:val="center"/>
      </w:trPr>
      <w:tc>
        <w:tcPr>
          <w:tcW w:w="1515" w:type="dxa"/>
        </w:tcPr>
        <w:p w14:paraId="308EFD73" w14:textId="52C86119" w:rsidR="008A3DD8" w:rsidRPr="00954F7B" w:rsidRDefault="00D955C8" w:rsidP="008A3DD8">
          <w:pPr>
            <w:pStyle w:val="Footer"/>
            <w:jc w:val="center"/>
            <w:rPr>
              <w:bCs/>
              <w:iCs/>
              <w:sz w:val="20"/>
              <w:szCs w:val="20"/>
            </w:rPr>
          </w:pPr>
          <w:r>
            <w:rPr>
              <w:bCs/>
              <w:iCs/>
              <w:sz w:val="20"/>
              <w:szCs w:val="20"/>
            </w:rPr>
            <w:t>CHS25/148</w:t>
          </w:r>
        </w:p>
      </w:tc>
      <w:tc>
        <w:tcPr>
          <w:tcW w:w="965" w:type="dxa"/>
        </w:tcPr>
        <w:p w14:paraId="789DEA4F" w14:textId="3559892A" w:rsidR="008A3DD8" w:rsidRPr="00954F7B" w:rsidRDefault="00D955C8" w:rsidP="008A3DD8">
          <w:pPr>
            <w:pStyle w:val="Footer"/>
            <w:jc w:val="center"/>
            <w:rPr>
              <w:bCs/>
              <w:iCs/>
              <w:sz w:val="20"/>
              <w:szCs w:val="20"/>
            </w:rPr>
          </w:pPr>
          <w:r>
            <w:rPr>
              <w:bCs/>
              <w:iCs/>
              <w:sz w:val="20"/>
              <w:szCs w:val="20"/>
            </w:rPr>
            <w:t>1</w:t>
          </w:r>
        </w:p>
      </w:tc>
      <w:tc>
        <w:tcPr>
          <w:tcW w:w="1552" w:type="dxa"/>
        </w:tcPr>
        <w:p w14:paraId="5D32C81E" w14:textId="02BF8AF2" w:rsidR="008A3DD8" w:rsidRPr="00954F7B" w:rsidRDefault="00D955C8" w:rsidP="008A3DD8">
          <w:pPr>
            <w:pStyle w:val="Footer"/>
            <w:jc w:val="center"/>
            <w:rPr>
              <w:bCs/>
              <w:iCs/>
              <w:sz w:val="20"/>
              <w:szCs w:val="20"/>
            </w:rPr>
          </w:pPr>
          <w:r>
            <w:rPr>
              <w:bCs/>
              <w:iCs/>
              <w:sz w:val="20"/>
              <w:szCs w:val="20"/>
            </w:rPr>
            <w:t>03/04/2025</w:t>
          </w:r>
        </w:p>
      </w:tc>
      <w:tc>
        <w:tcPr>
          <w:tcW w:w="1456" w:type="dxa"/>
        </w:tcPr>
        <w:p w14:paraId="003404A3" w14:textId="131E17F4" w:rsidR="008A3DD8" w:rsidRPr="00954F7B" w:rsidRDefault="00D955C8" w:rsidP="008A3DD8">
          <w:pPr>
            <w:pStyle w:val="Footer"/>
            <w:jc w:val="center"/>
            <w:rPr>
              <w:bCs/>
              <w:iCs/>
              <w:sz w:val="20"/>
              <w:szCs w:val="20"/>
            </w:rPr>
          </w:pPr>
          <w:r>
            <w:rPr>
              <w:bCs/>
              <w:iCs/>
              <w:sz w:val="20"/>
              <w:szCs w:val="20"/>
            </w:rPr>
            <w:t>01/03/2028</w:t>
          </w:r>
        </w:p>
      </w:tc>
      <w:tc>
        <w:tcPr>
          <w:tcW w:w="1746" w:type="dxa"/>
        </w:tcPr>
        <w:p w14:paraId="66A29D9B" w14:textId="62A0F683" w:rsidR="008A3DD8" w:rsidRPr="00954F7B" w:rsidRDefault="00D955C8" w:rsidP="008A3DD8">
          <w:pPr>
            <w:pStyle w:val="Footer"/>
            <w:jc w:val="center"/>
            <w:rPr>
              <w:bCs/>
              <w:iCs/>
              <w:sz w:val="20"/>
              <w:szCs w:val="20"/>
            </w:rPr>
          </w:pPr>
          <w:r>
            <w:rPr>
              <w:bCs/>
              <w:iCs/>
              <w:sz w:val="20"/>
              <w:szCs w:val="20"/>
            </w:rPr>
            <w:t xml:space="preserve">Medicine – Infectious Diseases </w:t>
          </w:r>
        </w:p>
      </w:tc>
      <w:tc>
        <w:tcPr>
          <w:tcW w:w="1836" w:type="dxa"/>
        </w:tcPr>
        <w:p w14:paraId="07852C97" w14:textId="77777777" w:rsidR="008A3DD8" w:rsidRPr="00954F7B" w:rsidRDefault="008A3DD8" w:rsidP="008A3DD8">
          <w:pPr>
            <w:pStyle w:val="Footer"/>
            <w:jc w:val="center"/>
            <w:rPr>
              <w:bCs/>
              <w:iCs/>
              <w:sz w:val="20"/>
              <w:szCs w:val="20"/>
            </w:rPr>
          </w:pPr>
          <w:r w:rsidRPr="00954F7B">
            <w:rPr>
              <w:rStyle w:val="PageNumber"/>
              <w:bCs/>
              <w:iCs/>
              <w:sz w:val="20"/>
              <w:szCs w:val="20"/>
            </w:rPr>
            <w:fldChar w:fldCharType="begin"/>
          </w:r>
          <w:r w:rsidRPr="00954F7B">
            <w:rPr>
              <w:rStyle w:val="PageNumber"/>
              <w:bCs/>
              <w:iCs/>
              <w:sz w:val="20"/>
              <w:szCs w:val="20"/>
            </w:rPr>
            <w:instrText xml:space="preserve"> PAGE </w:instrText>
          </w:r>
          <w:r w:rsidRPr="00954F7B">
            <w:rPr>
              <w:rStyle w:val="PageNumber"/>
              <w:bCs/>
              <w:iCs/>
              <w:sz w:val="20"/>
              <w:szCs w:val="20"/>
            </w:rPr>
            <w:fldChar w:fldCharType="separate"/>
          </w:r>
          <w:r>
            <w:rPr>
              <w:rStyle w:val="PageNumber"/>
              <w:bCs/>
              <w:iCs/>
              <w:sz w:val="20"/>
              <w:szCs w:val="20"/>
            </w:rPr>
            <w:t>2</w:t>
          </w:r>
          <w:r w:rsidRPr="00954F7B">
            <w:rPr>
              <w:rStyle w:val="PageNumber"/>
              <w:bCs/>
              <w:iCs/>
              <w:sz w:val="20"/>
              <w:szCs w:val="20"/>
            </w:rPr>
            <w:fldChar w:fldCharType="end"/>
          </w:r>
          <w:r w:rsidRPr="00954F7B">
            <w:rPr>
              <w:rStyle w:val="PageNumber"/>
              <w:bCs/>
              <w:iCs/>
              <w:sz w:val="20"/>
              <w:szCs w:val="20"/>
            </w:rPr>
            <w:t xml:space="preserve"> of </w:t>
          </w:r>
          <w:r w:rsidRPr="00954F7B">
            <w:rPr>
              <w:rStyle w:val="PageNumber"/>
              <w:bCs/>
              <w:iCs/>
              <w:sz w:val="20"/>
              <w:szCs w:val="20"/>
            </w:rPr>
            <w:fldChar w:fldCharType="begin"/>
          </w:r>
          <w:r w:rsidRPr="00954F7B">
            <w:rPr>
              <w:rStyle w:val="PageNumber"/>
              <w:bCs/>
              <w:iCs/>
              <w:sz w:val="20"/>
              <w:szCs w:val="20"/>
            </w:rPr>
            <w:instrText xml:space="preserve"> NUMPAGES </w:instrText>
          </w:r>
          <w:r w:rsidRPr="00954F7B">
            <w:rPr>
              <w:rStyle w:val="PageNumber"/>
              <w:bCs/>
              <w:iCs/>
              <w:sz w:val="20"/>
              <w:szCs w:val="20"/>
            </w:rPr>
            <w:fldChar w:fldCharType="separate"/>
          </w:r>
          <w:r>
            <w:rPr>
              <w:rStyle w:val="PageNumber"/>
              <w:bCs/>
              <w:iCs/>
              <w:sz w:val="20"/>
              <w:szCs w:val="20"/>
            </w:rPr>
            <w:t>5</w:t>
          </w:r>
          <w:r w:rsidRPr="00954F7B">
            <w:rPr>
              <w:rStyle w:val="PageNumber"/>
              <w:bCs/>
              <w:iCs/>
              <w:sz w:val="20"/>
              <w:szCs w:val="20"/>
            </w:rPr>
            <w:fldChar w:fldCharType="end"/>
          </w:r>
        </w:p>
      </w:tc>
    </w:tr>
  </w:tbl>
  <w:p w14:paraId="40089A5B" w14:textId="77777777" w:rsidR="005C71BC" w:rsidRDefault="008A3DD8" w:rsidP="008A3DD8">
    <w:pPr>
      <w:pStyle w:val="Footer"/>
      <w:ind w:left="567"/>
    </w:pPr>
    <w:r w:rsidRPr="006B62B4">
      <w:rPr>
        <w:iCs/>
        <w:sz w:val="16"/>
        <w:szCs w:val="16"/>
      </w:rPr>
      <w:t>Do not refer to a paper-based copy of this policy document. The most current version can be found on the CHS Policy Register</w:t>
    </w:r>
    <w:r>
      <w:rPr>
        <w:iCs/>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786CA" w14:textId="77777777" w:rsidR="00853F9E" w:rsidRDefault="00853F9E" w:rsidP="009D493B">
      <w:pPr>
        <w:spacing w:after="0" w:line="240" w:lineRule="auto"/>
      </w:pPr>
      <w:r>
        <w:separator/>
      </w:r>
    </w:p>
  </w:footnote>
  <w:footnote w:type="continuationSeparator" w:id="0">
    <w:p w14:paraId="763DDDB6" w14:textId="77777777" w:rsidR="00853F9E" w:rsidRDefault="00853F9E" w:rsidP="00A9080B">
      <w:pPr>
        <w:spacing w:after="0" w:line="240" w:lineRule="auto"/>
      </w:pPr>
      <w:r>
        <w:continuationSeparator/>
      </w:r>
    </w:p>
    <w:p w14:paraId="3E6F75B2" w14:textId="77777777" w:rsidR="00853F9E" w:rsidRDefault="00853F9E"/>
    <w:p w14:paraId="5502FAC4" w14:textId="77777777" w:rsidR="00853F9E" w:rsidRDefault="00853F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D67D3" w14:textId="77777777" w:rsidR="008A3DD8" w:rsidRDefault="008A3DD8">
    <w:pPr>
      <w:pStyle w:val="Header"/>
    </w:pPr>
    <w:r w:rsidRPr="00324CF9">
      <w:rPr>
        <w:noProof/>
      </w:rPr>
      <w:drawing>
        <wp:inline distT="0" distB="0" distL="0" distR="0" wp14:anchorId="45BF36C2" wp14:editId="53A48ECF">
          <wp:extent cx="3360385" cy="972000"/>
          <wp:effectExtent l="0" t="0" r="0"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l="6856" t="16657" r="-5763" b="1643"/>
                  <a:stretch/>
                </pic:blipFill>
                <pic:spPr bwMode="auto">
                  <a:xfrm>
                    <a:off x="0" y="0"/>
                    <a:ext cx="3386087" cy="97943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42134"/>
    <w:multiLevelType w:val="hybridMultilevel"/>
    <w:tmpl w:val="F55C8A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 w15:restartNumberingAfterBreak="0">
    <w:nsid w:val="028B3F45"/>
    <w:multiLevelType w:val="hybridMultilevel"/>
    <w:tmpl w:val="F5D6D12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9215F3E"/>
    <w:multiLevelType w:val="hybridMultilevel"/>
    <w:tmpl w:val="23F4AE8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2AC0AB2"/>
    <w:multiLevelType w:val="hybridMultilevel"/>
    <w:tmpl w:val="FBCA1C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5516622"/>
    <w:multiLevelType w:val="hybridMultilevel"/>
    <w:tmpl w:val="D89EC5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63234E9"/>
    <w:multiLevelType w:val="hybridMultilevel"/>
    <w:tmpl w:val="2EC23B4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6" w15:restartNumberingAfterBreak="0">
    <w:nsid w:val="167426C9"/>
    <w:multiLevelType w:val="multilevel"/>
    <w:tmpl w:val="D27A0A94"/>
    <w:lvl w:ilvl="0">
      <w:start w:val="1"/>
      <w:numFmt w:val="bullet"/>
      <w:lvlText w:val=""/>
      <w:lvlJc w:val="left"/>
      <w:pPr>
        <w:ind w:left="360" w:hanging="360"/>
      </w:pPr>
      <w:rPr>
        <w:rFonts w:ascii="Wingdings" w:hAnsi="Wingdings" w:hint="default"/>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7" w15:restartNumberingAfterBreak="0">
    <w:nsid w:val="18B047D8"/>
    <w:multiLevelType w:val="hybridMultilevel"/>
    <w:tmpl w:val="20D4B8F4"/>
    <w:lvl w:ilvl="0" w:tplc="ED9E8D48">
      <w:start w:val="1"/>
      <w:numFmt w:val="bullet"/>
      <w:pStyle w:val="Tablebullet2"/>
      <w:lvlText w:val="-"/>
      <w:lvlJc w:val="left"/>
      <w:pPr>
        <w:ind w:left="7448" w:hanging="360"/>
      </w:pPr>
      <w:rPr>
        <w:rFonts w:ascii="Courier New" w:hAnsi="Courier New" w:hint="default"/>
      </w:rPr>
    </w:lvl>
    <w:lvl w:ilvl="1" w:tplc="0C090003" w:tentative="1">
      <w:start w:val="1"/>
      <w:numFmt w:val="bullet"/>
      <w:lvlText w:val="o"/>
      <w:lvlJc w:val="left"/>
      <w:pPr>
        <w:ind w:left="2046" w:hanging="360"/>
      </w:pPr>
      <w:rPr>
        <w:rFonts w:ascii="Courier New" w:hAnsi="Courier New" w:cs="Courier New" w:hint="default"/>
      </w:rPr>
    </w:lvl>
    <w:lvl w:ilvl="2" w:tplc="0C090005" w:tentative="1">
      <w:start w:val="1"/>
      <w:numFmt w:val="bullet"/>
      <w:lvlText w:val=""/>
      <w:lvlJc w:val="left"/>
      <w:pPr>
        <w:ind w:left="2766" w:hanging="360"/>
      </w:pPr>
      <w:rPr>
        <w:rFonts w:ascii="Wingdings" w:hAnsi="Wingdings" w:hint="default"/>
      </w:rPr>
    </w:lvl>
    <w:lvl w:ilvl="3" w:tplc="0C090001" w:tentative="1">
      <w:start w:val="1"/>
      <w:numFmt w:val="bullet"/>
      <w:lvlText w:val=""/>
      <w:lvlJc w:val="left"/>
      <w:pPr>
        <w:ind w:left="3486" w:hanging="360"/>
      </w:pPr>
      <w:rPr>
        <w:rFonts w:ascii="Symbol" w:hAnsi="Symbol" w:hint="default"/>
      </w:rPr>
    </w:lvl>
    <w:lvl w:ilvl="4" w:tplc="0C090003" w:tentative="1">
      <w:start w:val="1"/>
      <w:numFmt w:val="bullet"/>
      <w:lvlText w:val="o"/>
      <w:lvlJc w:val="left"/>
      <w:pPr>
        <w:ind w:left="4206" w:hanging="360"/>
      </w:pPr>
      <w:rPr>
        <w:rFonts w:ascii="Courier New" w:hAnsi="Courier New" w:cs="Courier New" w:hint="default"/>
      </w:rPr>
    </w:lvl>
    <w:lvl w:ilvl="5" w:tplc="0C090005" w:tentative="1">
      <w:start w:val="1"/>
      <w:numFmt w:val="bullet"/>
      <w:lvlText w:val=""/>
      <w:lvlJc w:val="left"/>
      <w:pPr>
        <w:ind w:left="4926" w:hanging="360"/>
      </w:pPr>
      <w:rPr>
        <w:rFonts w:ascii="Wingdings" w:hAnsi="Wingdings" w:hint="default"/>
      </w:rPr>
    </w:lvl>
    <w:lvl w:ilvl="6" w:tplc="0C090001" w:tentative="1">
      <w:start w:val="1"/>
      <w:numFmt w:val="bullet"/>
      <w:lvlText w:val=""/>
      <w:lvlJc w:val="left"/>
      <w:pPr>
        <w:ind w:left="5646" w:hanging="360"/>
      </w:pPr>
      <w:rPr>
        <w:rFonts w:ascii="Symbol" w:hAnsi="Symbol" w:hint="default"/>
      </w:rPr>
    </w:lvl>
    <w:lvl w:ilvl="7" w:tplc="0C090003" w:tentative="1">
      <w:start w:val="1"/>
      <w:numFmt w:val="bullet"/>
      <w:lvlText w:val="o"/>
      <w:lvlJc w:val="left"/>
      <w:pPr>
        <w:ind w:left="6366" w:hanging="360"/>
      </w:pPr>
      <w:rPr>
        <w:rFonts w:ascii="Courier New" w:hAnsi="Courier New" w:cs="Courier New" w:hint="default"/>
      </w:rPr>
    </w:lvl>
    <w:lvl w:ilvl="8" w:tplc="0C090005" w:tentative="1">
      <w:start w:val="1"/>
      <w:numFmt w:val="bullet"/>
      <w:lvlText w:val=""/>
      <w:lvlJc w:val="left"/>
      <w:pPr>
        <w:ind w:left="7086" w:hanging="360"/>
      </w:pPr>
      <w:rPr>
        <w:rFonts w:ascii="Wingdings" w:hAnsi="Wingdings" w:hint="default"/>
      </w:rPr>
    </w:lvl>
  </w:abstractNum>
  <w:abstractNum w:abstractNumId="8" w15:restartNumberingAfterBreak="0">
    <w:nsid w:val="1ADB01B8"/>
    <w:multiLevelType w:val="multilevel"/>
    <w:tmpl w:val="23BE857E"/>
    <w:lvl w:ilvl="0">
      <w:start w:val="1"/>
      <w:numFmt w:val="bullet"/>
      <w:lvlText w:val=""/>
      <w:lvlJc w:val="left"/>
      <w:pPr>
        <w:ind w:left="360" w:hanging="360"/>
      </w:pPr>
      <w:rPr>
        <w:rFonts w:ascii="Wingdings" w:hAnsi="Wingdings" w:hint="default"/>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9" w15:restartNumberingAfterBreak="0">
    <w:nsid w:val="220F418A"/>
    <w:multiLevelType w:val="multilevel"/>
    <w:tmpl w:val="13F4FC1E"/>
    <w:lvl w:ilvl="0">
      <w:start w:val="1"/>
      <w:numFmt w:val="bullet"/>
      <w:pStyle w:val="Bullet"/>
      <w:lvlText w:val=""/>
      <w:lvlJc w:val="left"/>
      <w:pPr>
        <w:ind w:left="360" w:hanging="360"/>
      </w:pPr>
      <w:rPr>
        <w:rFonts w:ascii="Symbol" w:hAnsi="Symbol" w:hint="default"/>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10" w15:restartNumberingAfterBreak="0">
    <w:nsid w:val="35CD2D06"/>
    <w:multiLevelType w:val="hybridMultilevel"/>
    <w:tmpl w:val="D19600FA"/>
    <w:lvl w:ilvl="0" w:tplc="E4762A46">
      <w:start w:val="1"/>
      <w:numFmt w:val="decimal"/>
      <w:pStyle w:val="Tabletitle-numbered"/>
      <w:lvlText w:val="Table %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9AE0E99"/>
    <w:multiLevelType w:val="multilevel"/>
    <w:tmpl w:val="059A3EDA"/>
    <w:lvl w:ilvl="0">
      <w:start w:val="1"/>
      <w:numFmt w:val="bullet"/>
      <w:lvlText w:val=""/>
      <w:lvlJc w:val="left"/>
      <w:pPr>
        <w:ind w:left="360" w:hanging="360"/>
      </w:pPr>
      <w:rPr>
        <w:rFonts w:ascii="Wingdings" w:hAnsi="Wingdings" w:hint="default"/>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12" w15:restartNumberingAfterBreak="0">
    <w:nsid w:val="3C973852"/>
    <w:multiLevelType w:val="hybridMultilevel"/>
    <w:tmpl w:val="AC04BE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F9A499E"/>
    <w:multiLevelType w:val="hybridMultilevel"/>
    <w:tmpl w:val="05A4D758"/>
    <w:lvl w:ilvl="0" w:tplc="09F2CE36">
      <w:start w:val="1"/>
      <w:numFmt w:val="lowerLetter"/>
      <w:pStyle w:val="AlphaList"/>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FB3691D"/>
    <w:multiLevelType w:val="hybridMultilevel"/>
    <w:tmpl w:val="3ED4D976"/>
    <w:lvl w:ilvl="0" w:tplc="17D0EBC2">
      <w:start w:val="1"/>
      <w:numFmt w:val="lowerRoman"/>
      <w:pStyle w:val="Romanlist"/>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500502F"/>
    <w:multiLevelType w:val="hybridMultilevel"/>
    <w:tmpl w:val="E29E57D4"/>
    <w:lvl w:ilvl="0" w:tplc="D668E1EC">
      <w:start w:val="1"/>
      <w:numFmt w:val="decimal"/>
      <w:pStyle w:val="Figuretitle-numbered"/>
      <w:lvlText w:val="Figure %1."/>
      <w:lvlJc w:val="left"/>
      <w:pPr>
        <w:ind w:left="360" w:hanging="360"/>
      </w:pPr>
      <w:rPr>
        <w:rFonts w:hint="default"/>
      </w:rPr>
    </w:lvl>
    <w:lvl w:ilvl="1" w:tplc="0C090019" w:tentative="1">
      <w:start w:val="1"/>
      <w:numFmt w:val="lowerLetter"/>
      <w:lvlText w:val="%2."/>
      <w:lvlJc w:val="left"/>
      <w:pPr>
        <w:ind w:left="1441" w:hanging="360"/>
      </w:pPr>
    </w:lvl>
    <w:lvl w:ilvl="2" w:tplc="0C09001B" w:tentative="1">
      <w:start w:val="1"/>
      <w:numFmt w:val="lowerRoman"/>
      <w:lvlText w:val="%3."/>
      <w:lvlJc w:val="right"/>
      <w:pPr>
        <w:ind w:left="2161" w:hanging="180"/>
      </w:pPr>
    </w:lvl>
    <w:lvl w:ilvl="3" w:tplc="0C09000F" w:tentative="1">
      <w:start w:val="1"/>
      <w:numFmt w:val="decimal"/>
      <w:lvlText w:val="%4."/>
      <w:lvlJc w:val="left"/>
      <w:pPr>
        <w:ind w:left="2881" w:hanging="360"/>
      </w:pPr>
    </w:lvl>
    <w:lvl w:ilvl="4" w:tplc="0C090019" w:tentative="1">
      <w:start w:val="1"/>
      <w:numFmt w:val="lowerLetter"/>
      <w:lvlText w:val="%5."/>
      <w:lvlJc w:val="left"/>
      <w:pPr>
        <w:ind w:left="3601" w:hanging="360"/>
      </w:pPr>
    </w:lvl>
    <w:lvl w:ilvl="5" w:tplc="0C09001B" w:tentative="1">
      <w:start w:val="1"/>
      <w:numFmt w:val="lowerRoman"/>
      <w:lvlText w:val="%6."/>
      <w:lvlJc w:val="right"/>
      <w:pPr>
        <w:ind w:left="4321" w:hanging="180"/>
      </w:pPr>
    </w:lvl>
    <w:lvl w:ilvl="6" w:tplc="0C09000F" w:tentative="1">
      <w:start w:val="1"/>
      <w:numFmt w:val="decimal"/>
      <w:lvlText w:val="%7."/>
      <w:lvlJc w:val="left"/>
      <w:pPr>
        <w:ind w:left="5041" w:hanging="360"/>
      </w:pPr>
    </w:lvl>
    <w:lvl w:ilvl="7" w:tplc="0C090019" w:tentative="1">
      <w:start w:val="1"/>
      <w:numFmt w:val="lowerLetter"/>
      <w:lvlText w:val="%8."/>
      <w:lvlJc w:val="left"/>
      <w:pPr>
        <w:ind w:left="5761" w:hanging="360"/>
      </w:pPr>
    </w:lvl>
    <w:lvl w:ilvl="8" w:tplc="0C09001B" w:tentative="1">
      <w:start w:val="1"/>
      <w:numFmt w:val="lowerRoman"/>
      <w:lvlText w:val="%9."/>
      <w:lvlJc w:val="right"/>
      <w:pPr>
        <w:ind w:left="6481" w:hanging="180"/>
      </w:pPr>
    </w:lvl>
  </w:abstractNum>
  <w:abstractNum w:abstractNumId="16"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7C63291"/>
    <w:multiLevelType w:val="multilevel"/>
    <w:tmpl w:val="1DFEE884"/>
    <w:lvl w:ilvl="0">
      <w:start w:val="1"/>
      <w:numFmt w:val="lowerLetter"/>
      <w:lvlText w:val="%1)"/>
      <w:lvlJc w:val="left"/>
      <w:pPr>
        <w:ind w:left="425" w:hanging="425"/>
      </w:pPr>
      <w:rPr>
        <w:rFonts w:hint="default"/>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18" w15:restartNumberingAfterBreak="0">
    <w:nsid w:val="4F5E05BE"/>
    <w:multiLevelType w:val="multilevel"/>
    <w:tmpl w:val="4626AD0C"/>
    <w:lvl w:ilvl="0">
      <w:start w:val="1"/>
      <w:numFmt w:val="bullet"/>
      <w:lvlText w:val=""/>
      <w:lvlJc w:val="left"/>
      <w:pPr>
        <w:ind w:left="360" w:hanging="360"/>
      </w:pPr>
      <w:rPr>
        <w:rFonts w:ascii="Wingdings" w:hAnsi="Wingdings" w:hint="default"/>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19" w15:restartNumberingAfterBreak="0">
    <w:nsid w:val="509A72FA"/>
    <w:multiLevelType w:val="multilevel"/>
    <w:tmpl w:val="682A8452"/>
    <w:lvl w:ilvl="0">
      <w:start w:val="1"/>
      <w:numFmt w:val="bullet"/>
      <w:lvlText w:val=""/>
      <w:lvlJc w:val="left"/>
      <w:pPr>
        <w:ind w:left="360" w:hanging="360"/>
      </w:pPr>
      <w:rPr>
        <w:rFonts w:ascii="Wingdings" w:hAnsi="Wingdings" w:hint="default"/>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20" w15:restartNumberingAfterBreak="0">
    <w:nsid w:val="5D3468A6"/>
    <w:multiLevelType w:val="multilevel"/>
    <w:tmpl w:val="9C9EE8CE"/>
    <w:lvl w:ilvl="0">
      <w:start w:val="1"/>
      <w:numFmt w:val="bullet"/>
      <w:lvlText w:val=""/>
      <w:lvlJc w:val="left"/>
      <w:pPr>
        <w:ind w:left="360" w:hanging="360"/>
      </w:pPr>
      <w:rPr>
        <w:rFonts w:ascii="Wingdings" w:hAnsi="Wingdings" w:hint="default"/>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21" w15:restartNumberingAfterBreak="0">
    <w:nsid w:val="668E2FA2"/>
    <w:multiLevelType w:val="multilevel"/>
    <w:tmpl w:val="A1329452"/>
    <w:lvl w:ilvl="0">
      <w:start w:val="1"/>
      <w:numFmt w:val="decimal"/>
      <w:pStyle w:val="Numberedlist"/>
      <w:lvlText w:val="%1."/>
      <w:lvlJc w:val="left"/>
      <w:pPr>
        <w:ind w:left="425" w:hanging="425"/>
      </w:pPr>
      <w:rPr>
        <w:rFonts w:hint="default"/>
      </w:rPr>
    </w:lvl>
    <w:lvl w:ilvl="1">
      <w:start w:val="1"/>
      <w:numFmt w:val="decimal"/>
      <w:lvlText w:val="%1.%2."/>
      <w:lvlJc w:val="left"/>
      <w:pPr>
        <w:ind w:left="1021" w:hanging="596"/>
      </w:pPr>
      <w:rPr>
        <w:rFonts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22" w15:restartNumberingAfterBreak="0">
    <w:nsid w:val="752E3034"/>
    <w:multiLevelType w:val="hybridMultilevel"/>
    <w:tmpl w:val="6CB25D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648431774">
    <w:abstractNumId w:val="9"/>
  </w:num>
  <w:num w:numId="2" w16cid:durableId="842209657">
    <w:abstractNumId w:val="7"/>
  </w:num>
  <w:num w:numId="3" w16cid:durableId="660542573">
    <w:abstractNumId w:val="21"/>
  </w:num>
  <w:num w:numId="4" w16cid:durableId="1971085616">
    <w:abstractNumId w:val="13"/>
  </w:num>
  <w:num w:numId="5" w16cid:durableId="252517802">
    <w:abstractNumId w:val="14"/>
  </w:num>
  <w:num w:numId="6" w16cid:durableId="420297118">
    <w:abstractNumId w:val="17"/>
  </w:num>
  <w:num w:numId="7" w16cid:durableId="35338807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16466022">
    <w:abstractNumId w:val="13"/>
    <w:lvlOverride w:ilvl="0">
      <w:startOverride w:val="1"/>
    </w:lvlOverride>
  </w:num>
  <w:num w:numId="9" w16cid:durableId="1747920389">
    <w:abstractNumId w:val="14"/>
    <w:lvlOverride w:ilvl="0">
      <w:startOverride w:val="1"/>
    </w:lvlOverride>
  </w:num>
  <w:num w:numId="10" w16cid:durableId="1001813381">
    <w:abstractNumId w:val="13"/>
    <w:lvlOverride w:ilvl="0">
      <w:startOverride w:val="1"/>
    </w:lvlOverride>
  </w:num>
  <w:num w:numId="11" w16cid:durableId="1103450744">
    <w:abstractNumId w:val="14"/>
    <w:lvlOverride w:ilvl="0">
      <w:startOverride w:val="1"/>
    </w:lvlOverride>
  </w:num>
  <w:num w:numId="12" w16cid:durableId="1549294228">
    <w:abstractNumId w:val="13"/>
    <w:lvlOverride w:ilvl="0">
      <w:startOverride w:val="1"/>
    </w:lvlOverride>
  </w:num>
  <w:num w:numId="13" w16cid:durableId="87585497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45462943">
    <w:abstractNumId w:val="14"/>
    <w:lvlOverride w:ilvl="0">
      <w:startOverride w:val="1"/>
    </w:lvlOverride>
  </w:num>
  <w:num w:numId="15" w16cid:durableId="124645395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58952063">
    <w:abstractNumId w:val="21"/>
  </w:num>
  <w:num w:numId="17" w16cid:durableId="4341297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81904122">
    <w:abstractNumId w:val="10"/>
  </w:num>
  <w:num w:numId="19" w16cid:durableId="836698820">
    <w:abstractNumId w:val="15"/>
  </w:num>
  <w:num w:numId="20" w16cid:durableId="40280384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01174775">
    <w:abstractNumId w:val="16"/>
  </w:num>
  <w:num w:numId="22" w16cid:durableId="200242115">
    <w:abstractNumId w:val="0"/>
  </w:num>
  <w:num w:numId="23" w16cid:durableId="585068731">
    <w:abstractNumId w:val="5"/>
  </w:num>
  <w:num w:numId="24" w16cid:durableId="1431437445">
    <w:abstractNumId w:val="4"/>
  </w:num>
  <w:num w:numId="25" w16cid:durableId="507214046">
    <w:abstractNumId w:val="12"/>
  </w:num>
  <w:num w:numId="26" w16cid:durableId="753861848">
    <w:abstractNumId w:val="9"/>
  </w:num>
  <w:num w:numId="27" w16cid:durableId="1278412413">
    <w:abstractNumId w:val="2"/>
  </w:num>
  <w:num w:numId="28" w16cid:durableId="1243873560">
    <w:abstractNumId w:val="3"/>
  </w:num>
  <w:num w:numId="29" w16cid:durableId="964694373">
    <w:abstractNumId w:val="1"/>
  </w:num>
  <w:num w:numId="30" w16cid:durableId="912542180">
    <w:abstractNumId w:val="22"/>
  </w:num>
  <w:num w:numId="31" w16cid:durableId="1910340770">
    <w:abstractNumId w:val="18"/>
  </w:num>
  <w:num w:numId="32" w16cid:durableId="1947274031">
    <w:abstractNumId w:val="20"/>
  </w:num>
  <w:num w:numId="33" w16cid:durableId="357895415">
    <w:abstractNumId w:val="8"/>
  </w:num>
  <w:num w:numId="34" w16cid:durableId="398484495">
    <w:abstractNumId w:val="6"/>
  </w:num>
  <w:num w:numId="35" w16cid:durableId="999381482">
    <w:abstractNumId w:val="19"/>
  </w:num>
  <w:num w:numId="36" w16cid:durableId="1005281829">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style="mso-width-relative:margin;mso-height-relative:margin"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779"/>
    <w:rsid w:val="00000822"/>
    <w:rsid w:val="000015F1"/>
    <w:rsid w:val="00003728"/>
    <w:rsid w:val="00004B91"/>
    <w:rsid w:val="00006344"/>
    <w:rsid w:val="000068B9"/>
    <w:rsid w:val="000115AB"/>
    <w:rsid w:val="00012DA7"/>
    <w:rsid w:val="00014646"/>
    <w:rsid w:val="0001473F"/>
    <w:rsid w:val="00014D0A"/>
    <w:rsid w:val="00015018"/>
    <w:rsid w:val="000246D6"/>
    <w:rsid w:val="00025C12"/>
    <w:rsid w:val="00034534"/>
    <w:rsid w:val="000347FB"/>
    <w:rsid w:val="00035A11"/>
    <w:rsid w:val="00036249"/>
    <w:rsid w:val="00041D05"/>
    <w:rsid w:val="00042268"/>
    <w:rsid w:val="00043534"/>
    <w:rsid w:val="00046D4C"/>
    <w:rsid w:val="00047707"/>
    <w:rsid w:val="00050A6B"/>
    <w:rsid w:val="000513FD"/>
    <w:rsid w:val="00052D11"/>
    <w:rsid w:val="00053BD7"/>
    <w:rsid w:val="00053CC3"/>
    <w:rsid w:val="00053D2F"/>
    <w:rsid w:val="0005461D"/>
    <w:rsid w:val="0005626F"/>
    <w:rsid w:val="0005685E"/>
    <w:rsid w:val="000570A6"/>
    <w:rsid w:val="00061582"/>
    <w:rsid w:val="000707E9"/>
    <w:rsid w:val="00070945"/>
    <w:rsid w:val="000717BA"/>
    <w:rsid w:val="0007270D"/>
    <w:rsid w:val="00075506"/>
    <w:rsid w:val="00075ACB"/>
    <w:rsid w:val="00080F06"/>
    <w:rsid w:val="00080FC2"/>
    <w:rsid w:val="000825CF"/>
    <w:rsid w:val="00082C60"/>
    <w:rsid w:val="00082EB1"/>
    <w:rsid w:val="00083D66"/>
    <w:rsid w:val="000848B6"/>
    <w:rsid w:val="000858DB"/>
    <w:rsid w:val="000905E4"/>
    <w:rsid w:val="0009157D"/>
    <w:rsid w:val="00096D01"/>
    <w:rsid w:val="00097F70"/>
    <w:rsid w:val="000A0C18"/>
    <w:rsid w:val="000A3AA0"/>
    <w:rsid w:val="000A3F9B"/>
    <w:rsid w:val="000A4C7E"/>
    <w:rsid w:val="000A6268"/>
    <w:rsid w:val="000B04DE"/>
    <w:rsid w:val="000B4346"/>
    <w:rsid w:val="000B4DF9"/>
    <w:rsid w:val="000B6A88"/>
    <w:rsid w:val="000C36A3"/>
    <w:rsid w:val="000C37D2"/>
    <w:rsid w:val="000C3973"/>
    <w:rsid w:val="000C48B1"/>
    <w:rsid w:val="000C57C6"/>
    <w:rsid w:val="000C6231"/>
    <w:rsid w:val="000C76AA"/>
    <w:rsid w:val="000D0285"/>
    <w:rsid w:val="000D0A42"/>
    <w:rsid w:val="000D713F"/>
    <w:rsid w:val="000D742A"/>
    <w:rsid w:val="000E058F"/>
    <w:rsid w:val="000E07C3"/>
    <w:rsid w:val="000E0CC1"/>
    <w:rsid w:val="000E1D08"/>
    <w:rsid w:val="000E1FC3"/>
    <w:rsid w:val="000E5739"/>
    <w:rsid w:val="000E7683"/>
    <w:rsid w:val="000E77F0"/>
    <w:rsid w:val="000F1EB3"/>
    <w:rsid w:val="000F288B"/>
    <w:rsid w:val="000F300A"/>
    <w:rsid w:val="000F3A4B"/>
    <w:rsid w:val="000F5C20"/>
    <w:rsid w:val="000F79EA"/>
    <w:rsid w:val="0010164B"/>
    <w:rsid w:val="00107118"/>
    <w:rsid w:val="00110D97"/>
    <w:rsid w:val="00112DAD"/>
    <w:rsid w:val="001171E4"/>
    <w:rsid w:val="0012007C"/>
    <w:rsid w:val="00120E2E"/>
    <w:rsid w:val="00121181"/>
    <w:rsid w:val="00122329"/>
    <w:rsid w:val="001225C8"/>
    <w:rsid w:val="001232C3"/>
    <w:rsid w:val="00124B00"/>
    <w:rsid w:val="00126471"/>
    <w:rsid w:val="00126ADF"/>
    <w:rsid w:val="00126BEE"/>
    <w:rsid w:val="00127D91"/>
    <w:rsid w:val="001324A3"/>
    <w:rsid w:val="00135EF0"/>
    <w:rsid w:val="0013675B"/>
    <w:rsid w:val="00136C50"/>
    <w:rsid w:val="00137347"/>
    <w:rsid w:val="00141ACD"/>
    <w:rsid w:val="00143C66"/>
    <w:rsid w:val="00144A90"/>
    <w:rsid w:val="00154D8C"/>
    <w:rsid w:val="001575C5"/>
    <w:rsid w:val="001600FA"/>
    <w:rsid w:val="001616DD"/>
    <w:rsid w:val="00161AE4"/>
    <w:rsid w:val="00161FDC"/>
    <w:rsid w:val="001626D2"/>
    <w:rsid w:val="00164201"/>
    <w:rsid w:val="00164AA5"/>
    <w:rsid w:val="00166052"/>
    <w:rsid w:val="001660FE"/>
    <w:rsid w:val="00167C17"/>
    <w:rsid w:val="0017051B"/>
    <w:rsid w:val="00173EDD"/>
    <w:rsid w:val="00174ECE"/>
    <w:rsid w:val="00175212"/>
    <w:rsid w:val="00175FF8"/>
    <w:rsid w:val="001767CA"/>
    <w:rsid w:val="00181504"/>
    <w:rsid w:val="00181729"/>
    <w:rsid w:val="001819E4"/>
    <w:rsid w:val="00183E97"/>
    <w:rsid w:val="00184284"/>
    <w:rsid w:val="00184480"/>
    <w:rsid w:val="00184D6D"/>
    <w:rsid w:val="00184F59"/>
    <w:rsid w:val="00185C37"/>
    <w:rsid w:val="00186FB7"/>
    <w:rsid w:val="00187537"/>
    <w:rsid w:val="00191413"/>
    <w:rsid w:val="0019193E"/>
    <w:rsid w:val="00192C70"/>
    <w:rsid w:val="001935B4"/>
    <w:rsid w:val="00193907"/>
    <w:rsid w:val="00195EFB"/>
    <w:rsid w:val="00197F2E"/>
    <w:rsid w:val="001A0124"/>
    <w:rsid w:val="001A1DD6"/>
    <w:rsid w:val="001A2273"/>
    <w:rsid w:val="001A5E8F"/>
    <w:rsid w:val="001B0DC3"/>
    <w:rsid w:val="001B1A6A"/>
    <w:rsid w:val="001B3430"/>
    <w:rsid w:val="001C0F5C"/>
    <w:rsid w:val="001C108E"/>
    <w:rsid w:val="001C223C"/>
    <w:rsid w:val="001C24A7"/>
    <w:rsid w:val="001C263F"/>
    <w:rsid w:val="001C5958"/>
    <w:rsid w:val="001C7FDF"/>
    <w:rsid w:val="001D12A9"/>
    <w:rsid w:val="001D140D"/>
    <w:rsid w:val="001D150B"/>
    <w:rsid w:val="001D195F"/>
    <w:rsid w:val="001D780B"/>
    <w:rsid w:val="001D7907"/>
    <w:rsid w:val="001E0BEA"/>
    <w:rsid w:val="001E0BED"/>
    <w:rsid w:val="001E2C6F"/>
    <w:rsid w:val="001E30A5"/>
    <w:rsid w:val="001E3D5B"/>
    <w:rsid w:val="001E4A13"/>
    <w:rsid w:val="001E4EF9"/>
    <w:rsid w:val="001E579B"/>
    <w:rsid w:val="001E5FF2"/>
    <w:rsid w:val="001E626E"/>
    <w:rsid w:val="001E6796"/>
    <w:rsid w:val="001E7077"/>
    <w:rsid w:val="001E7A17"/>
    <w:rsid w:val="001F0765"/>
    <w:rsid w:val="001F26B1"/>
    <w:rsid w:val="001F29F4"/>
    <w:rsid w:val="001F3ED6"/>
    <w:rsid w:val="001F4369"/>
    <w:rsid w:val="001F49DF"/>
    <w:rsid w:val="001F5AE3"/>
    <w:rsid w:val="001F656A"/>
    <w:rsid w:val="001F68D1"/>
    <w:rsid w:val="001F6D1A"/>
    <w:rsid w:val="001F6E03"/>
    <w:rsid w:val="002012D2"/>
    <w:rsid w:val="00201AF6"/>
    <w:rsid w:val="0020360D"/>
    <w:rsid w:val="0020612C"/>
    <w:rsid w:val="00211BFA"/>
    <w:rsid w:val="00212F1D"/>
    <w:rsid w:val="002140AE"/>
    <w:rsid w:val="0022138F"/>
    <w:rsid w:val="00225769"/>
    <w:rsid w:val="00225E3B"/>
    <w:rsid w:val="00227104"/>
    <w:rsid w:val="00230054"/>
    <w:rsid w:val="0023668B"/>
    <w:rsid w:val="00240DC9"/>
    <w:rsid w:val="00241A68"/>
    <w:rsid w:val="00242601"/>
    <w:rsid w:val="002427B0"/>
    <w:rsid w:val="00244149"/>
    <w:rsid w:val="00245BF4"/>
    <w:rsid w:val="00246EDC"/>
    <w:rsid w:val="00247BAF"/>
    <w:rsid w:val="00251D96"/>
    <w:rsid w:val="00253A48"/>
    <w:rsid w:val="00253EC8"/>
    <w:rsid w:val="0025483C"/>
    <w:rsid w:val="00256701"/>
    <w:rsid w:val="0026085A"/>
    <w:rsid w:val="002700D3"/>
    <w:rsid w:val="0027262B"/>
    <w:rsid w:val="00274308"/>
    <w:rsid w:val="00280051"/>
    <w:rsid w:val="00280C5D"/>
    <w:rsid w:val="00281798"/>
    <w:rsid w:val="00281830"/>
    <w:rsid w:val="002827C4"/>
    <w:rsid w:val="00284D13"/>
    <w:rsid w:val="00292A6B"/>
    <w:rsid w:val="00293B6B"/>
    <w:rsid w:val="00294B76"/>
    <w:rsid w:val="00294F1A"/>
    <w:rsid w:val="00295D79"/>
    <w:rsid w:val="0029655B"/>
    <w:rsid w:val="002A0163"/>
    <w:rsid w:val="002A295E"/>
    <w:rsid w:val="002B2713"/>
    <w:rsid w:val="002B3511"/>
    <w:rsid w:val="002B3D19"/>
    <w:rsid w:val="002B3F13"/>
    <w:rsid w:val="002B434C"/>
    <w:rsid w:val="002B5D29"/>
    <w:rsid w:val="002C39F9"/>
    <w:rsid w:val="002C4B62"/>
    <w:rsid w:val="002C58B8"/>
    <w:rsid w:val="002C7500"/>
    <w:rsid w:val="002C75BC"/>
    <w:rsid w:val="002D1CA0"/>
    <w:rsid w:val="002D22CF"/>
    <w:rsid w:val="002D4BB3"/>
    <w:rsid w:val="002D56A1"/>
    <w:rsid w:val="002D59A9"/>
    <w:rsid w:val="002D5A00"/>
    <w:rsid w:val="002D7682"/>
    <w:rsid w:val="002E1E63"/>
    <w:rsid w:val="002E1FA1"/>
    <w:rsid w:val="002E63E1"/>
    <w:rsid w:val="002E6515"/>
    <w:rsid w:val="002E6517"/>
    <w:rsid w:val="002E6687"/>
    <w:rsid w:val="002F2A26"/>
    <w:rsid w:val="002F6957"/>
    <w:rsid w:val="002F6CB3"/>
    <w:rsid w:val="002F7DE5"/>
    <w:rsid w:val="002F7DF1"/>
    <w:rsid w:val="003007EA"/>
    <w:rsid w:val="003027B6"/>
    <w:rsid w:val="00306981"/>
    <w:rsid w:val="00307FDA"/>
    <w:rsid w:val="0031196F"/>
    <w:rsid w:val="00312B51"/>
    <w:rsid w:val="00312C39"/>
    <w:rsid w:val="00314716"/>
    <w:rsid w:val="00316881"/>
    <w:rsid w:val="00317020"/>
    <w:rsid w:val="00317101"/>
    <w:rsid w:val="003172CB"/>
    <w:rsid w:val="00317F10"/>
    <w:rsid w:val="003217E1"/>
    <w:rsid w:val="003218C1"/>
    <w:rsid w:val="0032423A"/>
    <w:rsid w:val="003244F1"/>
    <w:rsid w:val="003247E9"/>
    <w:rsid w:val="00330349"/>
    <w:rsid w:val="003303F9"/>
    <w:rsid w:val="00330A1E"/>
    <w:rsid w:val="00331E2B"/>
    <w:rsid w:val="003321DE"/>
    <w:rsid w:val="00333A73"/>
    <w:rsid w:val="00334700"/>
    <w:rsid w:val="003352BA"/>
    <w:rsid w:val="003366C8"/>
    <w:rsid w:val="0033770B"/>
    <w:rsid w:val="0034027F"/>
    <w:rsid w:val="0034072B"/>
    <w:rsid w:val="003412E9"/>
    <w:rsid w:val="00342839"/>
    <w:rsid w:val="00343A44"/>
    <w:rsid w:val="003444DC"/>
    <w:rsid w:val="00350211"/>
    <w:rsid w:val="003518BF"/>
    <w:rsid w:val="00352DA1"/>
    <w:rsid w:val="0035392C"/>
    <w:rsid w:val="00354558"/>
    <w:rsid w:val="00363564"/>
    <w:rsid w:val="0036465D"/>
    <w:rsid w:val="00372477"/>
    <w:rsid w:val="00372544"/>
    <w:rsid w:val="0037341B"/>
    <w:rsid w:val="00376B5F"/>
    <w:rsid w:val="00377AD9"/>
    <w:rsid w:val="00377BB1"/>
    <w:rsid w:val="00380288"/>
    <w:rsid w:val="003817A2"/>
    <w:rsid w:val="00385359"/>
    <w:rsid w:val="00385468"/>
    <w:rsid w:val="00390CE7"/>
    <w:rsid w:val="00390DAE"/>
    <w:rsid w:val="00393C42"/>
    <w:rsid w:val="00393C61"/>
    <w:rsid w:val="00393FF3"/>
    <w:rsid w:val="0039618C"/>
    <w:rsid w:val="0039633A"/>
    <w:rsid w:val="00396B90"/>
    <w:rsid w:val="003A0BC9"/>
    <w:rsid w:val="003A0D26"/>
    <w:rsid w:val="003A21CD"/>
    <w:rsid w:val="003A2A9E"/>
    <w:rsid w:val="003A40A7"/>
    <w:rsid w:val="003A55FF"/>
    <w:rsid w:val="003A5ADA"/>
    <w:rsid w:val="003A6511"/>
    <w:rsid w:val="003B28A5"/>
    <w:rsid w:val="003B3F9A"/>
    <w:rsid w:val="003B57A1"/>
    <w:rsid w:val="003B661D"/>
    <w:rsid w:val="003B720D"/>
    <w:rsid w:val="003B760C"/>
    <w:rsid w:val="003C218A"/>
    <w:rsid w:val="003C4430"/>
    <w:rsid w:val="003C5F3E"/>
    <w:rsid w:val="003C7810"/>
    <w:rsid w:val="003D10DD"/>
    <w:rsid w:val="003D1C0C"/>
    <w:rsid w:val="003D3B16"/>
    <w:rsid w:val="003D60E0"/>
    <w:rsid w:val="003D709B"/>
    <w:rsid w:val="003D7463"/>
    <w:rsid w:val="003E0103"/>
    <w:rsid w:val="003E0A22"/>
    <w:rsid w:val="003E727F"/>
    <w:rsid w:val="003E7D3D"/>
    <w:rsid w:val="003F01DF"/>
    <w:rsid w:val="003F2C18"/>
    <w:rsid w:val="003F6C0E"/>
    <w:rsid w:val="00407C75"/>
    <w:rsid w:val="00411B14"/>
    <w:rsid w:val="00412C91"/>
    <w:rsid w:val="004132C5"/>
    <w:rsid w:val="00414064"/>
    <w:rsid w:val="00415DFF"/>
    <w:rsid w:val="00417745"/>
    <w:rsid w:val="00423CA6"/>
    <w:rsid w:val="00430454"/>
    <w:rsid w:val="004326A8"/>
    <w:rsid w:val="004328A4"/>
    <w:rsid w:val="00436B86"/>
    <w:rsid w:val="0043706A"/>
    <w:rsid w:val="004401B0"/>
    <w:rsid w:val="00441154"/>
    <w:rsid w:val="00441D90"/>
    <w:rsid w:val="00442224"/>
    <w:rsid w:val="004444EE"/>
    <w:rsid w:val="0044611A"/>
    <w:rsid w:val="004524CF"/>
    <w:rsid w:val="00452582"/>
    <w:rsid w:val="00454812"/>
    <w:rsid w:val="004549FE"/>
    <w:rsid w:val="00454D38"/>
    <w:rsid w:val="00455C81"/>
    <w:rsid w:val="00457272"/>
    <w:rsid w:val="00457DCC"/>
    <w:rsid w:val="004617E1"/>
    <w:rsid w:val="00461A18"/>
    <w:rsid w:val="00462060"/>
    <w:rsid w:val="00463C1A"/>
    <w:rsid w:val="00463EEC"/>
    <w:rsid w:val="004640FF"/>
    <w:rsid w:val="00464779"/>
    <w:rsid w:val="00465490"/>
    <w:rsid w:val="00473FD3"/>
    <w:rsid w:val="00474746"/>
    <w:rsid w:val="00474A6A"/>
    <w:rsid w:val="00475AAB"/>
    <w:rsid w:val="00477432"/>
    <w:rsid w:val="0048016B"/>
    <w:rsid w:val="00480537"/>
    <w:rsid w:val="00480DA2"/>
    <w:rsid w:val="00481A6C"/>
    <w:rsid w:val="0048389D"/>
    <w:rsid w:val="00483CAB"/>
    <w:rsid w:val="00486165"/>
    <w:rsid w:val="0049014C"/>
    <w:rsid w:val="00491A66"/>
    <w:rsid w:val="00492356"/>
    <w:rsid w:val="00495278"/>
    <w:rsid w:val="004957A2"/>
    <w:rsid w:val="004A0201"/>
    <w:rsid w:val="004A178D"/>
    <w:rsid w:val="004A1C33"/>
    <w:rsid w:val="004A7A7F"/>
    <w:rsid w:val="004B031B"/>
    <w:rsid w:val="004B474F"/>
    <w:rsid w:val="004C221A"/>
    <w:rsid w:val="004C39F8"/>
    <w:rsid w:val="004C416A"/>
    <w:rsid w:val="004C55B7"/>
    <w:rsid w:val="004C5D35"/>
    <w:rsid w:val="004D0A68"/>
    <w:rsid w:val="004D20BF"/>
    <w:rsid w:val="004D2C70"/>
    <w:rsid w:val="004D31D0"/>
    <w:rsid w:val="004D31F1"/>
    <w:rsid w:val="004D4286"/>
    <w:rsid w:val="004D4733"/>
    <w:rsid w:val="004D4B45"/>
    <w:rsid w:val="004D6C3E"/>
    <w:rsid w:val="004D7B29"/>
    <w:rsid w:val="004E14DE"/>
    <w:rsid w:val="004E2562"/>
    <w:rsid w:val="004E2E2F"/>
    <w:rsid w:val="004E5FA6"/>
    <w:rsid w:val="004E7CE8"/>
    <w:rsid w:val="004F1BEF"/>
    <w:rsid w:val="004F2430"/>
    <w:rsid w:val="004F2B91"/>
    <w:rsid w:val="004F3034"/>
    <w:rsid w:val="004F435E"/>
    <w:rsid w:val="004F7FE9"/>
    <w:rsid w:val="00506D24"/>
    <w:rsid w:val="005077D2"/>
    <w:rsid w:val="005118F6"/>
    <w:rsid w:val="0051350A"/>
    <w:rsid w:val="00517604"/>
    <w:rsid w:val="00517DA5"/>
    <w:rsid w:val="00517FA4"/>
    <w:rsid w:val="00521605"/>
    <w:rsid w:val="005216E4"/>
    <w:rsid w:val="00525801"/>
    <w:rsid w:val="00530642"/>
    <w:rsid w:val="00530F88"/>
    <w:rsid w:val="00531C53"/>
    <w:rsid w:val="00532B1C"/>
    <w:rsid w:val="00532EB9"/>
    <w:rsid w:val="00533388"/>
    <w:rsid w:val="00534E1F"/>
    <w:rsid w:val="00537269"/>
    <w:rsid w:val="005412CE"/>
    <w:rsid w:val="005443C8"/>
    <w:rsid w:val="0054683B"/>
    <w:rsid w:val="00552527"/>
    <w:rsid w:val="005558E1"/>
    <w:rsid w:val="005564A4"/>
    <w:rsid w:val="0055674C"/>
    <w:rsid w:val="005606CB"/>
    <w:rsid w:val="00563265"/>
    <w:rsid w:val="005636D7"/>
    <w:rsid w:val="00563FD8"/>
    <w:rsid w:val="00564817"/>
    <w:rsid w:val="0056512E"/>
    <w:rsid w:val="0056561D"/>
    <w:rsid w:val="005706E9"/>
    <w:rsid w:val="00570849"/>
    <w:rsid w:val="0057158C"/>
    <w:rsid w:val="00575447"/>
    <w:rsid w:val="00576416"/>
    <w:rsid w:val="005778BD"/>
    <w:rsid w:val="00577C65"/>
    <w:rsid w:val="00581121"/>
    <w:rsid w:val="00583C26"/>
    <w:rsid w:val="005840B8"/>
    <w:rsid w:val="005867DF"/>
    <w:rsid w:val="005900D8"/>
    <w:rsid w:val="005916F1"/>
    <w:rsid w:val="00592081"/>
    <w:rsid w:val="005A0348"/>
    <w:rsid w:val="005A1FA3"/>
    <w:rsid w:val="005A27C0"/>
    <w:rsid w:val="005A4691"/>
    <w:rsid w:val="005A74FF"/>
    <w:rsid w:val="005A7C67"/>
    <w:rsid w:val="005B194A"/>
    <w:rsid w:val="005B234E"/>
    <w:rsid w:val="005B2771"/>
    <w:rsid w:val="005B3D8A"/>
    <w:rsid w:val="005B3EC2"/>
    <w:rsid w:val="005C1D68"/>
    <w:rsid w:val="005C58FA"/>
    <w:rsid w:val="005C5F49"/>
    <w:rsid w:val="005C71BC"/>
    <w:rsid w:val="005D2629"/>
    <w:rsid w:val="005D4A78"/>
    <w:rsid w:val="005D54F1"/>
    <w:rsid w:val="005D5820"/>
    <w:rsid w:val="005E03EB"/>
    <w:rsid w:val="005E3D07"/>
    <w:rsid w:val="005E6B49"/>
    <w:rsid w:val="005E7252"/>
    <w:rsid w:val="005E7AA8"/>
    <w:rsid w:val="005F02C2"/>
    <w:rsid w:val="005F70F7"/>
    <w:rsid w:val="005F797F"/>
    <w:rsid w:val="006046D3"/>
    <w:rsid w:val="00605E3B"/>
    <w:rsid w:val="006065E8"/>
    <w:rsid w:val="00607B4C"/>
    <w:rsid w:val="00610940"/>
    <w:rsid w:val="006155F0"/>
    <w:rsid w:val="0061614B"/>
    <w:rsid w:val="00616766"/>
    <w:rsid w:val="00620386"/>
    <w:rsid w:val="006253B6"/>
    <w:rsid w:val="00625A15"/>
    <w:rsid w:val="00625B67"/>
    <w:rsid w:val="00627BD8"/>
    <w:rsid w:val="0063178C"/>
    <w:rsid w:val="006349C4"/>
    <w:rsid w:val="00635114"/>
    <w:rsid w:val="00636177"/>
    <w:rsid w:val="006361D0"/>
    <w:rsid w:val="0063769A"/>
    <w:rsid w:val="00637BE8"/>
    <w:rsid w:val="00637C90"/>
    <w:rsid w:val="00637D76"/>
    <w:rsid w:val="006408BF"/>
    <w:rsid w:val="00640A07"/>
    <w:rsid w:val="0064271E"/>
    <w:rsid w:val="006431FF"/>
    <w:rsid w:val="0064333A"/>
    <w:rsid w:val="00644F89"/>
    <w:rsid w:val="006553EC"/>
    <w:rsid w:val="00655674"/>
    <w:rsid w:val="00656027"/>
    <w:rsid w:val="00656746"/>
    <w:rsid w:val="006623D2"/>
    <w:rsid w:val="0067005A"/>
    <w:rsid w:val="00680130"/>
    <w:rsid w:val="006824E0"/>
    <w:rsid w:val="00684A68"/>
    <w:rsid w:val="00685883"/>
    <w:rsid w:val="00691C90"/>
    <w:rsid w:val="00692458"/>
    <w:rsid w:val="00692574"/>
    <w:rsid w:val="0069388D"/>
    <w:rsid w:val="006A0160"/>
    <w:rsid w:val="006A31AB"/>
    <w:rsid w:val="006A5215"/>
    <w:rsid w:val="006B18B2"/>
    <w:rsid w:val="006B3640"/>
    <w:rsid w:val="006B61AC"/>
    <w:rsid w:val="006B6C90"/>
    <w:rsid w:val="006B7CA7"/>
    <w:rsid w:val="006C1521"/>
    <w:rsid w:val="006C39B7"/>
    <w:rsid w:val="006C3C89"/>
    <w:rsid w:val="006C4E7E"/>
    <w:rsid w:val="006C7001"/>
    <w:rsid w:val="006C7362"/>
    <w:rsid w:val="006C7A30"/>
    <w:rsid w:val="006D11DF"/>
    <w:rsid w:val="006D2547"/>
    <w:rsid w:val="006D266D"/>
    <w:rsid w:val="006D3EF5"/>
    <w:rsid w:val="006D47A7"/>
    <w:rsid w:val="006E0951"/>
    <w:rsid w:val="006E10A6"/>
    <w:rsid w:val="006E4456"/>
    <w:rsid w:val="006E462E"/>
    <w:rsid w:val="006E5856"/>
    <w:rsid w:val="006E71A5"/>
    <w:rsid w:val="006E73F9"/>
    <w:rsid w:val="006F0585"/>
    <w:rsid w:val="006F47AA"/>
    <w:rsid w:val="006F73C8"/>
    <w:rsid w:val="00700549"/>
    <w:rsid w:val="00700B1E"/>
    <w:rsid w:val="00700B46"/>
    <w:rsid w:val="00702088"/>
    <w:rsid w:val="00702564"/>
    <w:rsid w:val="007033DE"/>
    <w:rsid w:val="00703CCF"/>
    <w:rsid w:val="00705460"/>
    <w:rsid w:val="00712F00"/>
    <w:rsid w:val="007157AA"/>
    <w:rsid w:val="007174E3"/>
    <w:rsid w:val="00721B04"/>
    <w:rsid w:val="00721E2A"/>
    <w:rsid w:val="00724D61"/>
    <w:rsid w:val="007277AF"/>
    <w:rsid w:val="00735CAA"/>
    <w:rsid w:val="0073719C"/>
    <w:rsid w:val="007372FB"/>
    <w:rsid w:val="00742E09"/>
    <w:rsid w:val="00745452"/>
    <w:rsid w:val="00745956"/>
    <w:rsid w:val="00746818"/>
    <w:rsid w:val="00747FC4"/>
    <w:rsid w:val="00752457"/>
    <w:rsid w:val="0075311C"/>
    <w:rsid w:val="0075415F"/>
    <w:rsid w:val="00754898"/>
    <w:rsid w:val="00754A51"/>
    <w:rsid w:val="00760169"/>
    <w:rsid w:val="007606B4"/>
    <w:rsid w:val="00760845"/>
    <w:rsid w:val="007640E0"/>
    <w:rsid w:val="00765EC2"/>
    <w:rsid w:val="00766E67"/>
    <w:rsid w:val="007678AC"/>
    <w:rsid w:val="00770769"/>
    <w:rsid w:val="0077225F"/>
    <w:rsid w:val="00774042"/>
    <w:rsid w:val="007741B9"/>
    <w:rsid w:val="007744E3"/>
    <w:rsid w:val="00774FDE"/>
    <w:rsid w:val="00775D89"/>
    <w:rsid w:val="00777EE3"/>
    <w:rsid w:val="007812CF"/>
    <w:rsid w:val="0078367D"/>
    <w:rsid w:val="00784D38"/>
    <w:rsid w:val="00785234"/>
    <w:rsid w:val="00794435"/>
    <w:rsid w:val="00794ACF"/>
    <w:rsid w:val="007A1603"/>
    <w:rsid w:val="007A682A"/>
    <w:rsid w:val="007A7F29"/>
    <w:rsid w:val="007B03DA"/>
    <w:rsid w:val="007B1A7B"/>
    <w:rsid w:val="007B3138"/>
    <w:rsid w:val="007B40DC"/>
    <w:rsid w:val="007B6F78"/>
    <w:rsid w:val="007B75F4"/>
    <w:rsid w:val="007C10BA"/>
    <w:rsid w:val="007C2324"/>
    <w:rsid w:val="007C2806"/>
    <w:rsid w:val="007C4267"/>
    <w:rsid w:val="007C5C1B"/>
    <w:rsid w:val="007D3448"/>
    <w:rsid w:val="007E04CD"/>
    <w:rsid w:val="007E4E9A"/>
    <w:rsid w:val="007E6EE6"/>
    <w:rsid w:val="007F29F8"/>
    <w:rsid w:val="007F2D82"/>
    <w:rsid w:val="007F43F2"/>
    <w:rsid w:val="007F48B2"/>
    <w:rsid w:val="007F4EF0"/>
    <w:rsid w:val="007F5346"/>
    <w:rsid w:val="007F5CFF"/>
    <w:rsid w:val="0081013E"/>
    <w:rsid w:val="00810C0D"/>
    <w:rsid w:val="008113B4"/>
    <w:rsid w:val="008114F0"/>
    <w:rsid w:val="00814D74"/>
    <w:rsid w:val="00814DE5"/>
    <w:rsid w:val="00820942"/>
    <w:rsid w:val="008248D1"/>
    <w:rsid w:val="0082586A"/>
    <w:rsid w:val="008261B4"/>
    <w:rsid w:val="00827EDE"/>
    <w:rsid w:val="00832EAB"/>
    <w:rsid w:val="008358B4"/>
    <w:rsid w:val="00842EF4"/>
    <w:rsid w:val="00843D15"/>
    <w:rsid w:val="00845AA0"/>
    <w:rsid w:val="008510FF"/>
    <w:rsid w:val="008530BE"/>
    <w:rsid w:val="00853F9E"/>
    <w:rsid w:val="008540FA"/>
    <w:rsid w:val="008606A0"/>
    <w:rsid w:val="00861E1B"/>
    <w:rsid w:val="00863446"/>
    <w:rsid w:val="00863E4E"/>
    <w:rsid w:val="00867895"/>
    <w:rsid w:val="00875FE9"/>
    <w:rsid w:val="0087684F"/>
    <w:rsid w:val="00876CAC"/>
    <w:rsid w:val="00885A76"/>
    <w:rsid w:val="00886079"/>
    <w:rsid w:val="00891F34"/>
    <w:rsid w:val="00895C04"/>
    <w:rsid w:val="008970B7"/>
    <w:rsid w:val="008A0530"/>
    <w:rsid w:val="008A1B21"/>
    <w:rsid w:val="008A3DD8"/>
    <w:rsid w:val="008A3F85"/>
    <w:rsid w:val="008A47BD"/>
    <w:rsid w:val="008A51E8"/>
    <w:rsid w:val="008B0AC9"/>
    <w:rsid w:val="008B0F37"/>
    <w:rsid w:val="008B55D2"/>
    <w:rsid w:val="008B5C21"/>
    <w:rsid w:val="008B791D"/>
    <w:rsid w:val="008C1C7C"/>
    <w:rsid w:val="008C208A"/>
    <w:rsid w:val="008C6861"/>
    <w:rsid w:val="008D0538"/>
    <w:rsid w:val="008D0D9A"/>
    <w:rsid w:val="008D2CA8"/>
    <w:rsid w:val="008D451B"/>
    <w:rsid w:val="008D4AA6"/>
    <w:rsid w:val="008E0CD4"/>
    <w:rsid w:val="008E2267"/>
    <w:rsid w:val="008E6827"/>
    <w:rsid w:val="008F0F03"/>
    <w:rsid w:val="008F1341"/>
    <w:rsid w:val="008F2CF5"/>
    <w:rsid w:val="008F3034"/>
    <w:rsid w:val="008F3194"/>
    <w:rsid w:val="008F5E84"/>
    <w:rsid w:val="008F65FF"/>
    <w:rsid w:val="00901E01"/>
    <w:rsid w:val="009039FB"/>
    <w:rsid w:val="00904BC8"/>
    <w:rsid w:val="00906D5B"/>
    <w:rsid w:val="00907133"/>
    <w:rsid w:val="009071E8"/>
    <w:rsid w:val="009118F6"/>
    <w:rsid w:val="00911EB8"/>
    <w:rsid w:val="00912168"/>
    <w:rsid w:val="0091223C"/>
    <w:rsid w:val="009139C7"/>
    <w:rsid w:val="00913CAC"/>
    <w:rsid w:val="0091437D"/>
    <w:rsid w:val="0091462B"/>
    <w:rsid w:val="009149B8"/>
    <w:rsid w:val="0091550B"/>
    <w:rsid w:val="0091658D"/>
    <w:rsid w:val="00917142"/>
    <w:rsid w:val="00920EF6"/>
    <w:rsid w:val="00921C0B"/>
    <w:rsid w:val="00921FF8"/>
    <w:rsid w:val="00922A50"/>
    <w:rsid w:val="00923EC8"/>
    <w:rsid w:val="00925F13"/>
    <w:rsid w:val="00926417"/>
    <w:rsid w:val="009277AD"/>
    <w:rsid w:val="009306ED"/>
    <w:rsid w:val="00932D30"/>
    <w:rsid w:val="00933BFA"/>
    <w:rsid w:val="009369C2"/>
    <w:rsid w:val="00936C28"/>
    <w:rsid w:val="00936DC9"/>
    <w:rsid w:val="00936E45"/>
    <w:rsid w:val="00936F4C"/>
    <w:rsid w:val="0093796A"/>
    <w:rsid w:val="00940816"/>
    <w:rsid w:val="00942585"/>
    <w:rsid w:val="0094333E"/>
    <w:rsid w:val="009448F7"/>
    <w:rsid w:val="00945A1D"/>
    <w:rsid w:val="00945CC4"/>
    <w:rsid w:val="00946533"/>
    <w:rsid w:val="00947A11"/>
    <w:rsid w:val="0095050A"/>
    <w:rsid w:val="0095266F"/>
    <w:rsid w:val="00953E59"/>
    <w:rsid w:val="0095533A"/>
    <w:rsid w:val="0095646B"/>
    <w:rsid w:val="00957565"/>
    <w:rsid w:val="00957A99"/>
    <w:rsid w:val="00964D8D"/>
    <w:rsid w:val="00964EDA"/>
    <w:rsid w:val="00965A01"/>
    <w:rsid w:val="00965EA8"/>
    <w:rsid w:val="0096731B"/>
    <w:rsid w:val="0096785D"/>
    <w:rsid w:val="00970842"/>
    <w:rsid w:val="00971125"/>
    <w:rsid w:val="00971F4F"/>
    <w:rsid w:val="00972D70"/>
    <w:rsid w:val="0097363B"/>
    <w:rsid w:val="009746B1"/>
    <w:rsid w:val="00975A13"/>
    <w:rsid w:val="009778E0"/>
    <w:rsid w:val="00977BFB"/>
    <w:rsid w:val="00982385"/>
    <w:rsid w:val="00982810"/>
    <w:rsid w:val="009903CC"/>
    <w:rsid w:val="00995B1B"/>
    <w:rsid w:val="00997834"/>
    <w:rsid w:val="009A1396"/>
    <w:rsid w:val="009A2981"/>
    <w:rsid w:val="009A336D"/>
    <w:rsid w:val="009A5010"/>
    <w:rsid w:val="009A63B5"/>
    <w:rsid w:val="009A7037"/>
    <w:rsid w:val="009C11CF"/>
    <w:rsid w:val="009C13FA"/>
    <w:rsid w:val="009C2AED"/>
    <w:rsid w:val="009C3490"/>
    <w:rsid w:val="009C3BB0"/>
    <w:rsid w:val="009C575D"/>
    <w:rsid w:val="009C72D3"/>
    <w:rsid w:val="009D1FC0"/>
    <w:rsid w:val="009D2863"/>
    <w:rsid w:val="009D4238"/>
    <w:rsid w:val="009D493B"/>
    <w:rsid w:val="009D5E09"/>
    <w:rsid w:val="009D5EE5"/>
    <w:rsid w:val="009D5F1E"/>
    <w:rsid w:val="009D7580"/>
    <w:rsid w:val="009E00C4"/>
    <w:rsid w:val="009E0C7A"/>
    <w:rsid w:val="009E0E38"/>
    <w:rsid w:val="009E31CD"/>
    <w:rsid w:val="009E53F4"/>
    <w:rsid w:val="009E59FA"/>
    <w:rsid w:val="009F72C8"/>
    <w:rsid w:val="00A006D5"/>
    <w:rsid w:val="00A01509"/>
    <w:rsid w:val="00A02651"/>
    <w:rsid w:val="00A0337B"/>
    <w:rsid w:val="00A035E4"/>
    <w:rsid w:val="00A03809"/>
    <w:rsid w:val="00A0459A"/>
    <w:rsid w:val="00A07C43"/>
    <w:rsid w:val="00A116EA"/>
    <w:rsid w:val="00A11739"/>
    <w:rsid w:val="00A14311"/>
    <w:rsid w:val="00A1579B"/>
    <w:rsid w:val="00A20CEA"/>
    <w:rsid w:val="00A24C42"/>
    <w:rsid w:val="00A2629A"/>
    <w:rsid w:val="00A26F1E"/>
    <w:rsid w:val="00A272D4"/>
    <w:rsid w:val="00A2737A"/>
    <w:rsid w:val="00A303C6"/>
    <w:rsid w:val="00A31E06"/>
    <w:rsid w:val="00A32873"/>
    <w:rsid w:val="00A32B6F"/>
    <w:rsid w:val="00A333F2"/>
    <w:rsid w:val="00A34EAB"/>
    <w:rsid w:val="00A41E01"/>
    <w:rsid w:val="00A435C8"/>
    <w:rsid w:val="00A45D6C"/>
    <w:rsid w:val="00A470E3"/>
    <w:rsid w:val="00A513AA"/>
    <w:rsid w:val="00A563BC"/>
    <w:rsid w:val="00A6051F"/>
    <w:rsid w:val="00A60EED"/>
    <w:rsid w:val="00A621FE"/>
    <w:rsid w:val="00A6232E"/>
    <w:rsid w:val="00A64430"/>
    <w:rsid w:val="00A65C0A"/>
    <w:rsid w:val="00A6662E"/>
    <w:rsid w:val="00A66966"/>
    <w:rsid w:val="00A721C0"/>
    <w:rsid w:val="00A7294C"/>
    <w:rsid w:val="00A731B8"/>
    <w:rsid w:val="00A7517C"/>
    <w:rsid w:val="00A7585F"/>
    <w:rsid w:val="00A774B1"/>
    <w:rsid w:val="00A84013"/>
    <w:rsid w:val="00A84E3E"/>
    <w:rsid w:val="00A856B1"/>
    <w:rsid w:val="00A875F3"/>
    <w:rsid w:val="00A9080B"/>
    <w:rsid w:val="00A90E16"/>
    <w:rsid w:val="00A933DA"/>
    <w:rsid w:val="00A94E61"/>
    <w:rsid w:val="00A957B0"/>
    <w:rsid w:val="00A96564"/>
    <w:rsid w:val="00A96CD8"/>
    <w:rsid w:val="00A979FD"/>
    <w:rsid w:val="00AA15EB"/>
    <w:rsid w:val="00AA2D7A"/>
    <w:rsid w:val="00AA2E86"/>
    <w:rsid w:val="00AA3549"/>
    <w:rsid w:val="00AA5307"/>
    <w:rsid w:val="00AA7BBC"/>
    <w:rsid w:val="00AB3BAC"/>
    <w:rsid w:val="00AB4AD3"/>
    <w:rsid w:val="00AC0797"/>
    <w:rsid w:val="00AC2EDE"/>
    <w:rsid w:val="00AC53AF"/>
    <w:rsid w:val="00AD2DC7"/>
    <w:rsid w:val="00AD4F9D"/>
    <w:rsid w:val="00AD628A"/>
    <w:rsid w:val="00AE05E1"/>
    <w:rsid w:val="00AE0AC0"/>
    <w:rsid w:val="00AE2123"/>
    <w:rsid w:val="00AE486F"/>
    <w:rsid w:val="00AE59E5"/>
    <w:rsid w:val="00AE629D"/>
    <w:rsid w:val="00AE6938"/>
    <w:rsid w:val="00AE6DBC"/>
    <w:rsid w:val="00AF0A65"/>
    <w:rsid w:val="00AF223D"/>
    <w:rsid w:val="00AF22E7"/>
    <w:rsid w:val="00AF3F61"/>
    <w:rsid w:val="00AF532B"/>
    <w:rsid w:val="00AF5C4F"/>
    <w:rsid w:val="00AF62FB"/>
    <w:rsid w:val="00AF67A9"/>
    <w:rsid w:val="00B024D9"/>
    <w:rsid w:val="00B03FFF"/>
    <w:rsid w:val="00B0502D"/>
    <w:rsid w:val="00B058EF"/>
    <w:rsid w:val="00B059C4"/>
    <w:rsid w:val="00B07F75"/>
    <w:rsid w:val="00B10AB7"/>
    <w:rsid w:val="00B1151B"/>
    <w:rsid w:val="00B170A2"/>
    <w:rsid w:val="00B17F72"/>
    <w:rsid w:val="00B203FF"/>
    <w:rsid w:val="00B22277"/>
    <w:rsid w:val="00B22944"/>
    <w:rsid w:val="00B2758D"/>
    <w:rsid w:val="00B30482"/>
    <w:rsid w:val="00B31526"/>
    <w:rsid w:val="00B3226B"/>
    <w:rsid w:val="00B326A7"/>
    <w:rsid w:val="00B33322"/>
    <w:rsid w:val="00B33F30"/>
    <w:rsid w:val="00B33FA0"/>
    <w:rsid w:val="00B34124"/>
    <w:rsid w:val="00B3418C"/>
    <w:rsid w:val="00B34980"/>
    <w:rsid w:val="00B36C89"/>
    <w:rsid w:val="00B41CEE"/>
    <w:rsid w:val="00B420B6"/>
    <w:rsid w:val="00B450AD"/>
    <w:rsid w:val="00B46790"/>
    <w:rsid w:val="00B47F44"/>
    <w:rsid w:val="00B500E8"/>
    <w:rsid w:val="00B506B5"/>
    <w:rsid w:val="00B52163"/>
    <w:rsid w:val="00B55EF6"/>
    <w:rsid w:val="00B61582"/>
    <w:rsid w:val="00B6217E"/>
    <w:rsid w:val="00B625F2"/>
    <w:rsid w:val="00B627C5"/>
    <w:rsid w:val="00B64367"/>
    <w:rsid w:val="00B64C8C"/>
    <w:rsid w:val="00B65F91"/>
    <w:rsid w:val="00B6769D"/>
    <w:rsid w:val="00B6772A"/>
    <w:rsid w:val="00B83559"/>
    <w:rsid w:val="00B853F1"/>
    <w:rsid w:val="00B86A43"/>
    <w:rsid w:val="00B91976"/>
    <w:rsid w:val="00B919BE"/>
    <w:rsid w:val="00B92CED"/>
    <w:rsid w:val="00B94117"/>
    <w:rsid w:val="00B968C2"/>
    <w:rsid w:val="00BA028D"/>
    <w:rsid w:val="00BA1722"/>
    <w:rsid w:val="00BA3E7C"/>
    <w:rsid w:val="00BA62AA"/>
    <w:rsid w:val="00BA6C5D"/>
    <w:rsid w:val="00BA6DD4"/>
    <w:rsid w:val="00BB1636"/>
    <w:rsid w:val="00BB1B98"/>
    <w:rsid w:val="00BB5826"/>
    <w:rsid w:val="00BB5BAF"/>
    <w:rsid w:val="00BB6801"/>
    <w:rsid w:val="00BB7B1F"/>
    <w:rsid w:val="00BC12C5"/>
    <w:rsid w:val="00BC4D26"/>
    <w:rsid w:val="00BC5518"/>
    <w:rsid w:val="00BD054F"/>
    <w:rsid w:val="00BD078D"/>
    <w:rsid w:val="00BD429D"/>
    <w:rsid w:val="00BD44A9"/>
    <w:rsid w:val="00BD67A6"/>
    <w:rsid w:val="00BD6D69"/>
    <w:rsid w:val="00BE1539"/>
    <w:rsid w:val="00BE4EDA"/>
    <w:rsid w:val="00BF27FA"/>
    <w:rsid w:val="00BF35EB"/>
    <w:rsid w:val="00BF36A0"/>
    <w:rsid w:val="00BF3884"/>
    <w:rsid w:val="00BF52DE"/>
    <w:rsid w:val="00BF6116"/>
    <w:rsid w:val="00C00318"/>
    <w:rsid w:val="00C01BE9"/>
    <w:rsid w:val="00C034D3"/>
    <w:rsid w:val="00C049CA"/>
    <w:rsid w:val="00C055ED"/>
    <w:rsid w:val="00C07276"/>
    <w:rsid w:val="00C11030"/>
    <w:rsid w:val="00C111B1"/>
    <w:rsid w:val="00C11E48"/>
    <w:rsid w:val="00C12554"/>
    <w:rsid w:val="00C15F4D"/>
    <w:rsid w:val="00C202F8"/>
    <w:rsid w:val="00C20D92"/>
    <w:rsid w:val="00C221C1"/>
    <w:rsid w:val="00C2309D"/>
    <w:rsid w:val="00C24670"/>
    <w:rsid w:val="00C247EA"/>
    <w:rsid w:val="00C25557"/>
    <w:rsid w:val="00C32FD3"/>
    <w:rsid w:val="00C3347F"/>
    <w:rsid w:val="00C338D7"/>
    <w:rsid w:val="00C33B14"/>
    <w:rsid w:val="00C34A10"/>
    <w:rsid w:val="00C34F92"/>
    <w:rsid w:val="00C35B7A"/>
    <w:rsid w:val="00C36B93"/>
    <w:rsid w:val="00C36F3E"/>
    <w:rsid w:val="00C37A4C"/>
    <w:rsid w:val="00C40538"/>
    <w:rsid w:val="00C43EF4"/>
    <w:rsid w:val="00C4612C"/>
    <w:rsid w:val="00C47732"/>
    <w:rsid w:val="00C50963"/>
    <w:rsid w:val="00C50BD6"/>
    <w:rsid w:val="00C50FA2"/>
    <w:rsid w:val="00C51E26"/>
    <w:rsid w:val="00C54D16"/>
    <w:rsid w:val="00C55135"/>
    <w:rsid w:val="00C57A55"/>
    <w:rsid w:val="00C62A0C"/>
    <w:rsid w:val="00C635E2"/>
    <w:rsid w:val="00C704CF"/>
    <w:rsid w:val="00C724D0"/>
    <w:rsid w:val="00C72507"/>
    <w:rsid w:val="00C74397"/>
    <w:rsid w:val="00C74A04"/>
    <w:rsid w:val="00C76E2D"/>
    <w:rsid w:val="00C76FFF"/>
    <w:rsid w:val="00C77386"/>
    <w:rsid w:val="00C80421"/>
    <w:rsid w:val="00C818BB"/>
    <w:rsid w:val="00C81DFC"/>
    <w:rsid w:val="00C82214"/>
    <w:rsid w:val="00C84E28"/>
    <w:rsid w:val="00C84F08"/>
    <w:rsid w:val="00C90647"/>
    <w:rsid w:val="00C91310"/>
    <w:rsid w:val="00CA0192"/>
    <w:rsid w:val="00CA43F1"/>
    <w:rsid w:val="00CA4FDE"/>
    <w:rsid w:val="00CA70E7"/>
    <w:rsid w:val="00CB228A"/>
    <w:rsid w:val="00CB2E17"/>
    <w:rsid w:val="00CB3056"/>
    <w:rsid w:val="00CB3987"/>
    <w:rsid w:val="00CB7E08"/>
    <w:rsid w:val="00CC4F4F"/>
    <w:rsid w:val="00CC5AD8"/>
    <w:rsid w:val="00CC60A0"/>
    <w:rsid w:val="00CD434F"/>
    <w:rsid w:val="00CE1D90"/>
    <w:rsid w:val="00CE2446"/>
    <w:rsid w:val="00CE5F47"/>
    <w:rsid w:val="00CE6986"/>
    <w:rsid w:val="00CE78F5"/>
    <w:rsid w:val="00CF24D4"/>
    <w:rsid w:val="00CF3925"/>
    <w:rsid w:val="00D01536"/>
    <w:rsid w:val="00D027B9"/>
    <w:rsid w:val="00D0489B"/>
    <w:rsid w:val="00D052B4"/>
    <w:rsid w:val="00D07A8B"/>
    <w:rsid w:val="00D10F72"/>
    <w:rsid w:val="00D17891"/>
    <w:rsid w:val="00D206E0"/>
    <w:rsid w:val="00D223CA"/>
    <w:rsid w:val="00D228B8"/>
    <w:rsid w:val="00D25E0F"/>
    <w:rsid w:val="00D27637"/>
    <w:rsid w:val="00D30343"/>
    <w:rsid w:val="00D3635A"/>
    <w:rsid w:val="00D36920"/>
    <w:rsid w:val="00D36B09"/>
    <w:rsid w:val="00D434D3"/>
    <w:rsid w:val="00D4358F"/>
    <w:rsid w:val="00D443D7"/>
    <w:rsid w:val="00D5188B"/>
    <w:rsid w:val="00D520E7"/>
    <w:rsid w:val="00D53C66"/>
    <w:rsid w:val="00D56DA0"/>
    <w:rsid w:val="00D62793"/>
    <w:rsid w:val="00D627BE"/>
    <w:rsid w:val="00D6578B"/>
    <w:rsid w:val="00D65905"/>
    <w:rsid w:val="00D67E6B"/>
    <w:rsid w:val="00D71B35"/>
    <w:rsid w:val="00D74DFD"/>
    <w:rsid w:val="00D770C8"/>
    <w:rsid w:val="00D80302"/>
    <w:rsid w:val="00D81A2D"/>
    <w:rsid w:val="00D81CB0"/>
    <w:rsid w:val="00D82211"/>
    <w:rsid w:val="00D8365B"/>
    <w:rsid w:val="00D8559E"/>
    <w:rsid w:val="00D863DB"/>
    <w:rsid w:val="00D87671"/>
    <w:rsid w:val="00D90346"/>
    <w:rsid w:val="00D92132"/>
    <w:rsid w:val="00D92CE7"/>
    <w:rsid w:val="00D931B6"/>
    <w:rsid w:val="00D955C8"/>
    <w:rsid w:val="00D95849"/>
    <w:rsid w:val="00D9595A"/>
    <w:rsid w:val="00D967DA"/>
    <w:rsid w:val="00D967E1"/>
    <w:rsid w:val="00D96A05"/>
    <w:rsid w:val="00D96ACC"/>
    <w:rsid w:val="00D974FB"/>
    <w:rsid w:val="00DA031B"/>
    <w:rsid w:val="00DA48F8"/>
    <w:rsid w:val="00DA5524"/>
    <w:rsid w:val="00DA60A4"/>
    <w:rsid w:val="00DB0295"/>
    <w:rsid w:val="00DB207B"/>
    <w:rsid w:val="00DB3285"/>
    <w:rsid w:val="00DB5138"/>
    <w:rsid w:val="00DB6108"/>
    <w:rsid w:val="00DC008F"/>
    <w:rsid w:val="00DC018C"/>
    <w:rsid w:val="00DC4E6C"/>
    <w:rsid w:val="00DD4464"/>
    <w:rsid w:val="00DD6074"/>
    <w:rsid w:val="00DD693A"/>
    <w:rsid w:val="00DE125D"/>
    <w:rsid w:val="00DE5620"/>
    <w:rsid w:val="00DE5C6B"/>
    <w:rsid w:val="00DE6056"/>
    <w:rsid w:val="00DE6090"/>
    <w:rsid w:val="00DF1CBC"/>
    <w:rsid w:val="00DF3EFE"/>
    <w:rsid w:val="00E02685"/>
    <w:rsid w:val="00E0642F"/>
    <w:rsid w:val="00E104DF"/>
    <w:rsid w:val="00E105E5"/>
    <w:rsid w:val="00E17DC5"/>
    <w:rsid w:val="00E21634"/>
    <w:rsid w:val="00E25BA6"/>
    <w:rsid w:val="00E27141"/>
    <w:rsid w:val="00E272E4"/>
    <w:rsid w:val="00E31382"/>
    <w:rsid w:val="00E31596"/>
    <w:rsid w:val="00E3510F"/>
    <w:rsid w:val="00E3663A"/>
    <w:rsid w:val="00E367AD"/>
    <w:rsid w:val="00E3733D"/>
    <w:rsid w:val="00E3783E"/>
    <w:rsid w:val="00E40792"/>
    <w:rsid w:val="00E41BFA"/>
    <w:rsid w:val="00E43DCB"/>
    <w:rsid w:val="00E45226"/>
    <w:rsid w:val="00E45436"/>
    <w:rsid w:val="00E47EAF"/>
    <w:rsid w:val="00E55664"/>
    <w:rsid w:val="00E563D9"/>
    <w:rsid w:val="00E56F2D"/>
    <w:rsid w:val="00E5710E"/>
    <w:rsid w:val="00E63F4F"/>
    <w:rsid w:val="00E64DA3"/>
    <w:rsid w:val="00E679F9"/>
    <w:rsid w:val="00E7101C"/>
    <w:rsid w:val="00E710F2"/>
    <w:rsid w:val="00E72731"/>
    <w:rsid w:val="00E73A87"/>
    <w:rsid w:val="00E759C9"/>
    <w:rsid w:val="00E76C52"/>
    <w:rsid w:val="00E80B1C"/>
    <w:rsid w:val="00E870E4"/>
    <w:rsid w:val="00E8796B"/>
    <w:rsid w:val="00E90C07"/>
    <w:rsid w:val="00E90C94"/>
    <w:rsid w:val="00E93F27"/>
    <w:rsid w:val="00E94350"/>
    <w:rsid w:val="00E97B77"/>
    <w:rsid w:val="00EA060C"/>
    <w:rsid w:val="00EA4041"/>
    <w:rsid w:val="00EA4C6B"/>
    <w:rsid w:val="00EA7109"/>
    <w:rsid w:val="00EB103A"/>
    <w:rsid w:val="00EB256E"/>
    <w:rsid w:val="00EB26B6"/>
    <w:rsid w:val="00EB44CD"/>
    <w:rsid w:val="00EB70EE"/>
    <w:rsid w:val="00EC0190"/>
    <w:rsid w:val="00EC3146"/>
    <w:rsid w:val="00EC4BB0"/>
    <w:rsid w:val="00EC4C64"/>
    <w:rsid w:val="00EC7202"/>
    <w:rsid w:val="00ED2843"/>
    <w:rsid w:val="00ED2DE6"/>
    <w:rsid w:val="00ED4AAB"/>
    <w:rsid w:val="00EE285A"/>
    <w:rsid w:val="00EE3372"/>
    <w:rsid w:val="00EE5549"/>
    <w:rsid w:val="00EE5A45"/>
    <w:rsid w:val="00EE6F7A"/>
    <w:rsid w:val="00EF1F94"/>
    <w:rsid w:val="00EF273A"/>
    <w:rsid w:val="00EF46D9"/>
    <w:rsid w:val="00EF6148"/>
    <w:rsid w:val="00EF7E3E"/>
    <w:rsid w:val="00F03A6B"/>
    <w:rsid w:val="00F04F4D"/>
    <w:rsid w:val="00F071B9"/>
    <w:rsid w:val="00F07604"/>
    <w:rsid w:val="00F109DA"/>
    <w:rsid w:val="00F122F6"/>
    <w:rsid w:val="00F14625"/>
    <w:rsid w:val="00F15189"/>
    <w:rsid w:val="00F1598A"/>
    <w:rsid w:val="00F20F66"/>
    <w:rsid w:val="00F21E51"/>
    <w:rsid w:val="00F25056"/>
    <w:rsid w:val="00F26716"/>
    <w:rsid w:val="00F26C97"/>
    <w:rsid w:val="00F30FA6"/>
    <w:rsid w:val="00F3287A"/>
    <w:rsid w:val="00F34BCF"/>
    <w:rsid w:val="00F351DC"/>
    <w:rsid w:val="00F3576A"/>
    <w:rsid w:val="00F35EB0"/>
    <w:rsid w:val="00F373D8"/>
    <w:rsid w:val="00F41308"/>
    <w:rsid w:val="00F41387"/>
    <w:rsid w:val="00F4308C"/>
    <w:rsid w:val="00F43818"/>
    <w:rsid w:val="00F43B50"/>
    <w:rsid w:val="00F44AAE"/>
    <w:rsid w:val="00F4545C"/>
    <w:rsid w:val="00F53EE8"/>
    <w:rsid w:val="00F545A8"/>
    <w:rsid w:val="00F5475F"/>
    <w:rsid w:val="00F54857"/>
    <w:rsid w:val="00F5666F"/>
    <w:rsid w:val="00F56E41"/>
    <w:rsid w:val="00F571EC"/>
    <w:rsid w:val="00F57ABE"/>
    <w:rsid w:val="00F60B1B"/>
    <w:rsid w:val="00F622D7"/>
    <w:rsid w:val="00F658A9"/>
    <w:rsid w:val="00F71652"/>
    <w:rsid w:val="00F72DCC"/>
    <w:rsid w:val="00F74407"/>
    <w:rsid w:val="00F764BE"/>
    <w:rsid w:val="00F77117"/>
    <w:rsid w:val="00F826D8"/>
    <w:rsid w:val="00F84AF1"/>
    <w:rsid w:val="00F86E9A"/>
    <w:rsid w:val="00F879C4"/>
    <w:rsid w:val="00F87D53"/>
    <w:rsid w:val="00F9196B"/>
    <w:rsid w:val="00F942C6"/>
    <w:rsid w:val="00F94451"/>
    <w:rsid w:val="00F9448A"/>
    <w:rsid w:val="00F947D6"/>
    <w:rsid w:val="00F94CDC"/>
    <w:rsid w:val="00F9579E"/>
    <w:rsid w:val="00F961BE"/>
    <w:rsid w:val="00FA029F"/>
    <w:rsid w:val="00FA16AF"/>
    <w:rsid w:val="00FA4E6F"/>
    <w:rsid w:val="00FA538A"/>
    <w:rsid w:val="00FA5C1A"/>
    <w:rsid w:val="00FA6EFF"/>
    <w:rsid w:val="00FB0F2E"/>
    <w:rsid w:val="00FB3E04"/>
    <w:rsid w:val="00FB4F23"/>
    <w:rsid w:val="00FB7092"/>
    <w:rsid w:val="00FC1860"/>
    <w:rsid w:val="00FC1B7F"/>
    <w:rsid w:val="00FC1F3B"/>
    <w:rsid w:val="00FC4A8E"/>
    <w:rsid w:val="00FC5688"/>
    <w:rsid w:val="00FD13BC"/>
    <w:rsid w:val="00FD3169"/>
    <w:rsid w:val="00FD4961"/>
    <w:rsid w:val="00FD7976"/>
    <w:rsid w:val="00FE0686"/>
    <w:rsid w:val="00FE46F1"/>
    <w:rsid w:val="00FE4B4E"/>
    <w:rsid w:val="00FE5081"/>
    <w:rsid w:val="00FE70A6"/>
    <w:rsid w:val="00FE7FF1"/>
    <w:rsid w:val="00FF0FE9"/>
    <w:rsid w:val="00FF248A"/>
    <w:rsid w:val="00FF3F96"/>
    <w:rsid w:val="00FF55B2"/>
    <w:rsid w:val="00FF674A"/>
    <w:rsid w:val="00FF680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f" fillcolor="white" stroke="f">
      <v:fill color="white" on="f"/>
      <v:stroke on="f"/>
    </o:shapedefaults>
    <o:shapelayout v:ext="edit">
      <o:idmap v:ext="edit" data="2"/>
    </o:shapelayout>
  </w:shapeDefaults>
  <w:decimalSymbol w:val="."/>
  <w:listSeparator w:val=","/>
  <w14:docId w14:val="1C12C4EA"/>
  <w15:docId w15:val="{CD9541DF-746E-4AF4-B7F5-8357D4BEE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color w:val="000000" w:themeColor="text1"/>
        <w:sz w:val="24"/>
        <w:szCs w:val="24"/>
        <w:lang w:val="en-AU" w:eastAsia="en-AU"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locked="1"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
    <w:rsid w:val="00241A68"/>
    <w:pPr>
      <w:spacing w:before="120" w:after="240" w:line="276" w:lineRule="auto"/>
    </w:pPr>
  </w:style>
  <w:style w:type="paragraph" w:styleId="Heading1">
    <w:name w:val="heading 1"/>
    <w:basedOn w:val="Header"/>
    <w:next w:val="Normal"/>
    <w:link w:val="Heading1Char"/>
    <w:qFormat/>
    <w:rsid w:val="00036249"/>
    <w:pPr>
      <w:outlineLvl w:val="0"/>
    </w:pPr>
    <w:rPr>
      <w:b/>
      <w:bCs/>
      <w:sz w:val="40"/>
      <w:szCs w:val="40"/>
    </w:rPr>
  </w:style>
  <w:style w:type="paragraph" w:styleId="Heading2">
    <w:name w:val="heading 2"/>
    <w:basedOn w:val="Header"/>
    <w:next w:val="BodyCopy"/>
    <w:link w:val="Heading2Char"/>
    <w:unhideWhenUsed/>
    <w:qFormat/>
    <w:rsid w:val="00197F2E"/>
    <w:pPr>
      <w:outlineLvl w:val="1"/>
    </w:pPr>
    <w:rPr>
      <w:sz w:val="32"/>
    </w:rPr>
  </w:style>
  <w:style w:type="paragraph" w:styleId="Heading3">
    <w:name w:val="heading 3"/>
    <w:basedOn w:val="Heading2"/>
    <w:next w:val="BodyCopy"/>
    <w:link w:val="Heading3Char"/>
    <w:autoRedefine/>
    <w:unhideWhenUsed/>
    <w:qFormat/>
    <w:rsid w:val="007B1A7B"/>
    <w:pPr>
      <w:tabs>
        <w:tab w:val="center" w:leader="hyphen" w:pos="4513"/>
      </w:tabs>
      <w:spacing w:after="120" w:line="360" w:lineRule="exact"/>
      <w:outlineLvl w:val="2"/>
    </w:pPr>
    <w:rPr>
      <w:b/>
      <w:bCs/>
      <w:iCs/>
      <w:sz w:val="28"/>
      <w:szCs w:val="36"/>
    </w:rPr>
  </w:style>
  <w:style w:type="paragraph" w:styleId="Heading4">
    <w:name w:val="heading 4"/>
    <w:basedOn w:val="BodyCopy"/>
    <w:next w:val="BodyCopy"/>
    <w:link w:val="Heading4Char"/>
    <w:autoRedefine/>
    <w:unhideWhenUsed/>
    <w:qFormat/>
    <w:locked/>
    <w:rsid w:val="00C34A10"/>
    <w:pPr>
      <w:shd w:val="clear" w:color="auto" w:fill="3D2262" w:themeFill="accent1"/>
      <w:spacing w:before="0" w:after="120" w:line="460" w:lineRule="exact"/>
      <w:outlineLvl w:val="3"/>
    </w:pPr>
    <w:rPr>
      <w:b/>
      <w:color w:val="FFFFFF" w:themeColor="background1"/>
      <w:lang w:eastAsia="en-US"/>
    </w:rPr>
  </w:style>
  <w:style w:type="paragraph" w:styleId="Heading5">
    <w:name w:val="heading 5"/>
    <w:basedOn w:val="Heading6"/>
    <w:next w:val="BodyCopy"/>
    <w:link w:val="Heading5Char"/>
    <w:unhideWhenUsed/>
    <w:qFormat/>
    <w:locked/>
    <w:rsid w:val="00A6051F"/>
    <w:pPr>
      <w:spacing w:before="100" w:beforeAutospacing="1" w:line="300" w:lineRule="exact"/>
      <w:outlineLvl w:val="4"/>
    </w:pPr>
    <w:rPr>
      <w:b/>
      <w:bCs/>
      <w:iCs/>
      <w:color w:val="3D2262" w:themeColor="accent1"/>
      <w:szCs w:val="36"/>
    </w:rPr>
  </w:style>
  <w:style w:type="paragraph" w:styleId="Heading6">
    <w:name w:val="heading 6"/>
    <w:basedOn w:val="BodyText"/>
    <w:next w:val="BodyCopy"/>
    <w:link w:val="Heading6Char"/>
    <w:unhideWhenUsed/>
    <w:qFormat/>
    <w:locked/>
    <w:rsid w:val="009A5010"/>
    <w:pPr>
      <w:keepNext/>
      <w:keepLines/>
      <w:outlineLvl w:val="5"/>
    </w:pPr>
    <w:rPr>
      <w:rFonts w:eastAsiaTheme="majorEastAsia" w:cstheme="majorBidi"/>
      <w:color w:val="6E3894" w:themeColor="accent2"/>
    </w:rPr>
  </w:style>
  <w:style w:type="paragraph" w:styleId="Heading7">
    <w:name w:val="heading 7"/>
    <w:basedOn w:val="BodyText"/>
    <w:next w:val="BodyCopy"/>
    <w:link w:val="Heading7Char"/>
    <w:unhideWhenUsed/>
    <w:qFormat/>
    <w:locked/>
    <w:rsid w:val="00197F2E"/>
    <w:pPr>
      <w:keepNext/>
      <w:keepLines/>
      <w:spacing w:before="0" w:after="0" w:line="240" w:lineRule="auto"/>
      <w:outlineLvl w:val="6"/>
    </w:pPr>
    <w:rPr>
      <w:rFonts w:asciiTheme="majorHAnsi" w:eastAsiaTheme="majorEastAsia" w:hAnsiTheme="majorHAnsi" w:cstheme="majorBidi"/>
      <w:b/>
      <w:iCs/>
    </w:rPr>
  </w:style>
  <w:style w:type="paragraph" w:styleId="Heading8">
    <w:name w:val="heading 8"/>
    <w:basedOn w:val="Normal"/>
    <w:next w:val="Normal"/>
    <w:link w:val="Heading8Char"/>
    <w:unhideWhenUsed/>
    <w:rsid w:val="00E0642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rsid w:val="00E0642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57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5769"/>
    <w:rPr>
      <w:rFonts w:ascii="Tahoma" w:hAnsi="Tahoma" w:cs="Tahoma"/>
      <w:sz w:val="16"/>
      <w:szCs w:val="16"/>
    </w:rPr>
  </w:style>
  <w:style w:type="paragraph" w:styleId="Header">
    <w:name w:val="header"/>
    <w:basedOn w:val="Normal"/>
    <w:link w:val="HeaderChar"/>
    <w:uiPriority w:val="99"/>
    <w:unhideWhenUsed/>
    <w:rsid w:val="00EB26B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B26B6"/>
  </w:style>
  <w:style w:type="paragraph" w:styleId="Footer">
    <w:name w:val="footer"/>
    <w:basedOn w:val="Normal"/>
    <w:link w:val="FooterChar"/>
    <w:uiPriority w:val="99"/>
    <w:unhideWhenUsed/>
    <w:rsid w:val="002B434C"/>
    <w:pPr>
      <w:tabs>
        <w:tab w:val="left" w:pos="709"/>
        <w:tab w:val="right" w:pos="14629"/>
      </w:tabs>
      <w:spacing w:before="100" w:beforeAutospacing="1" w:after="100" w:afterAutospacing="1" w:line="300" w:lineRule="atLeast"/>
    </w:pPr>
    <w:rPr>
      <w:sz w:val="18"/>
    </w:rPr>
  </w:style>
  <w:style w:type="character" w:customStyle="1" w:styleId="FooterChar">
    <w:name w:val="Footer Char"/>
    <w:basedOn w:val="DefaultParagraphFont"/>
    <w:link w:val="Footer"/>
    <w:uiPriority w:val="99"/>
    <w:rsid w:val="002B434C"/>
    <w:rPr>
      <w:sz w:val="18"/>
    </w:rPr>
  </w:style>
  <w:style w:type="character" w:customStyle="1" w:styleId="Heading1Char">
    <w:name w:val="Heading 1 Char"/>
    <w:basedOn w:val="DefaultParagraphFont"/>
    <w:link w:val="Heading1"/>
    <w:rsid w:val="00241A68"/>
    <w:rPr>
      <w:b/>
      <w:bCs/>
      <w:sz w:val="40"/>
      <w:szCs w:val="40"/>
    </w:rPr>
  </w:style>
  <w:style w:type="character" w:customStyle="1" w:styleId="Heading2Char">
    <w:name w:val="Heading 2 Char"/>
    <w:basedOn w:val="DefaultParagraphFont"/>
    <w:link w:val="Heading2"/>
    <w:rsid w:val="00197F2E"/>
    <w:rPr>
      <w:sz w:val="32"/>
    </w:rPr>
  </w:style>
  <w:style w:type="character" w:customStyle="1" w:styleId="Heading3Char">
    <w:name w:val="Heading 3 Char"/>
    <w:basedOn w:val="DefaultParagraphFont"/>
    <w:link w:val="Heading3"/>
    <w:rsid w:val="007B1A7B"/>
    <w:rPr>
      <w:b/>
      <w:bCs/>
      <w:iCs/>
      <w:sz w:val="28"/>
      <w:szCs w:val="36"/>
    </w:rPr>
  </w:style>
  <w:style w:type="paragraph" w:customStyle="1" w:styleId="Bullet">
    <w:name w:val="Bullet"/>
    <w:basedOn w:val="BodyCopy"/>
    <w:uiPriority w:val="1"/>
    <w:qFormat/>
    <w:rsid w:val="0095646B"/>
    <w:pPr>
      <w:numPr>
        <w:numId w:val="1"/>
      </w:numPr>
      <w:tabs>
        <w:tab w:val="left" w:pos="425"/>
      </w:tabs>
      <w:spacing w:after="120" w:line="300" w:lineRule="auto"/>
      <w:contextualSpacing/>
    </w:pPr>
    <w:rPr>
      <w:bCs w:val="0"/>
      <w:iCs w:val="0"/>
    </w:rPr>
  </w:style>
  <w:style w:type="paragraph" w:customStyle="1" w:styleId="Tablebody">
    <w:name w:val="Table body"/>
    <w:basedOn w:val="Normal"/>
    <w:uiPriority w:val="4"/>
    <w:qFormat/>
    <w:rsid w:val="00533388"/>
    <w:pPr>
      <w:spacing w:before="0" w:after="0" w:line="300" w:lineRule="exact"/>
    </w:pPr>
    <w:rPr>
      <w:rFonts w:eastAsia="Times New Roman"/>
      <w:bCs/>
      <w:iCs/>
      <w:lang w:val="en-US"/>
    </w:rPr>
  </w:style>
  <w:style w:type="paragraph" w:customStyle="1" w:styleId="Tablebullet1">
    <w:name w:val="Table bullet 1"/>
    <w:basedOn w:val="Bullet"/>
    <w:uiPriority w:val="3"/>
    <w:qFormat/>
    <w:rsid w:val="00FE46F1"/>
    <w:pPr>
      <w:spacing w:after="0" w:line="280" w:lineRule="exact"/>
      <w:ind w:left="357" w:hanging="357"/>
    </w:pPr>
    <w:rPr>
      <w:lang w:val="en-US"/>
    </w:rPr>
  </w:style>
  <w:style w:type="paragraph" w:customStyle="1" w:styleId="Tablebullet2">
    <w:name w:val="Table bullet 2"/>
    <w:basedOn w:val="Normal"/>
    <w:uiPriority w:val="3"/>
    <w:qFormat/>
    <w:rsid w:val="00E3663A"/>
    <w:pPr>
      <w:numPr>
        <w:numId w:val="2"/>
      </w:numPr>
      <w:tabs>
        <w:tab w:val="left" w:pos="425"/>
      </w:tabs>
      <w:spacing w:before="0" w:after="0" w:line="280" w:lineRule="exact"/>
      <w:ind w:left="850" w:right="-425" w:hanging="425"/>
      <w:contextualSpacing/>
    </w:pPr>
    <w:rPr>
      <w:rFonts w:eastAsia="Times New Roman"/>
      <w:bCs/>
      <w:iCs/>
      <w:lang w:val="en-US"/>
    </w:rPr>
  </w:style>
  <w:style w:type="paragraph" w:customStyle="1" w:styleId="Tableheader-white">
    <w:name w:val="Table header - white"/>
    <w:next w:val="Tablebody"/>
    <w:uiPriority w:val="3"/>
    <w:rsid w:val="00533388"/>
    <w:pPr>
      <w:spacing w:line="300" w:lineRule="exact"/>
    </w:pPr>
    <w:rPr>
      <w:rFonts w:eastAsia="Times New Roman"/>
      <w:b/>
      <w:bCs/>
      <w:iCs/>
      <w:color w:val="FFFFFF" w:themeColor="background1"/>
      <w:lang w:val="en-US" w:eastAsia="en-US"/>
    </w:rPr>
  </w:style>
  <w:style w:type="table" w:styleId="TableGrid">
    <w:name w:val="Table Grid"/>
    <w:basedOn w:val="TableNormal"/>
    <w:uiPriority w:val="59"/>
    <w:locked/>
    <w:rsid w:val="002F2A26"/>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63F4F"/>
    <w:rPr>
      <w:color w:val="auto"/>
      <w:u w:val="single"/>
    </w:rPr>
  </w:style>
  <w:style w:type="character" w:customStyle="1" w:styleId="Heading4Char">
    <w:name w:val="Heading 4 Char"/>
    <w:basedOn w:val="DefaultParagraphFont"/>
    <w:link w:val="Heading4"/>
    <w:rsid w:val="00C34A10"/>
    <w:rPr>
      <w:rFonts w:eastAsia="Times New Roman"/>
      <w:b/>
      <w:bCs/>
      <w:iCs/>
      <w:color w:val="FFFFFF" w:themeColor="background1"/>
      <w:shd w:val="clear" w:color="auto" w:fill="3D2262" w:themeFill="accent1"/>
      <w:lang w:eastAsia="en-US"/>
    </w:rPr>
  </w:style>
  <w:style w:type="paragraph" w:customStyle="1" w:styleId="TOC-Figures">
    <w:name w:val="TOC - Figures"/>
    <w:basedOn w:val="TOC-Tables"/>
    <w:uiPriority w:val="3"/>
    <w:rsid w:val="00D01536"/>
    <w:pPr>
      <w:tabs>
        <w:tab w:val="clear" w:pos="1134"/>
        <w:tab w:val="left" w:pos="1418"/>
      </w:tabs>
    </w:pPr>
  </w:style>
  <w:style w:type="paragraph" w:styleId="TOC1">
    <w:name w:val="toc 1"/>
    <w:basedOn w:val="Normal"/>
    <w:next w:val="Normal"/>
    <w:autoRedefine/>
    <w:uiPriority w:val="39"/>
    <w:unhideWhenUsed/>
    <w:rsid w:val="00E7101C"/>
    <w:pPr>
      <w:tabs>
        <w:tab w:val="right" w:leader="dot" w:pos="10206"/>
      </w:tabs>
      <w:spacing w:before="0" w:after="120" w:line="300" w:lineRule="atLeast"/>
    </w:pPr>
    <w:rPr>
      <w:noProof/>
    </w:rPr>
  </w:style>
  <w:style w:type="paragraph" w:styleId="CommentSubject">
    <w:name w:val="annotation subject"/>
    <w:basedOn w:val="Normal"/>
    <w:next w:val="Normal"/>
    <w:link w:val="CommentSubjectChar"/>
    <w:uiPriority w:val="99"/>
    <w:semiHidden/>
    <w:unhideWhenUsed/>
    <w:rsid w:val="000905E4"/>
    <w:rPr>
      <w:b/>
      <w:bCs/>
    </w:rPr>
  </w:style>
  <w:style w:type="character" w:customStyle="1" w:styleId="CommentSubjectChar">
    <w:name w:val="Comment Subject Char"/>
    <w:basedOn w:val="DefaultParagraphFont"/>
    <w:link w:val="CommentSubject"/>
    <w:uiPriority w:val="99"/>
    <w:semiHidden/>
    <w:rsid w:val="000905E4"/>
    <w:rPr>
      <w:rFonts w:eastAsia="Times New Roman"/>
      <w:b/>
      <w:bCs/>
      <w:lang w:val="en-US" w:eastAsia="en-US" w:bidi="en-US"/>
    </w:rPr>
  </w:style>
  <w:style w:type="character" w:customStyle="1" w:styleId="Heading5Char">
    <w:name w:val="Heading 5 Char"/>
    <w:basedOn w:val="DefaultParagraphFont"/>
    <w:link w:val="Heading5"/>
    <w:rsid w:val="00DA5524"/>
    <w:rPr>
      <w:rFonts w:eastAsiaTheme="majorEastAsia" w:cstheme="majorBidi"/>
      <w:b/>
      <w:bCs/>
      <w:iCs/>
      <w:color w:val="3D2262" w:themeColor="accent1"/>
      <w:szCs w:val="36"/>
    </w:rPr>
  </w:style>
  <w:style w:type="paragraph" w:styleId="TOCHeading">
    <w:name w:val="TOC Heading"/>
    <w:next w:val="Normal"/>
    <w:uiPriority w:val="39"/>
    <w:unhideWhenUsed/>
    <w:rsid w:val="00280051"/>
    <w:pPr>
      <w:spacing w:after="360"/>
    </w:pPr>
    <w:rPr>
      <w:rFonts w:eastAsia="Times New Roman"/>
      <w:b/>
      <w:color w:val="000000"/>
      <w:sz w:val="40"/>
      <w:szCs w:val="80"/>
      <w:lang w:eastAsia="en-US"/>
    </w:rPr>
  </w:style>
  <w:style w:type="paragraph" w:customStyle="1" w:styleId="BodyCopy">
    <w:name w:val="Body Copy"/>
    <w:basedOn w:val="Normal"/>
    <w:uiPriority w:val="1"/>
    <w:qFormat/>
    <w:rsid w:val="00533388"/>
    <w:rPr>
      <w:rFonts w:eastAsia="Times New Roman"/>
      <w:bCs/>
      <w:iCs/>
    </w:rPr>
  </w:style>
  <w:style w:type="paragraph" w:customStyle="1" w:styleId="ABbottomtext">
    <w:name w:val="AB bottom text"/>
    <w:basedOn w:val="Normal"/>
    <w:uiPriority w:val="99"/>
    <w:rsid w:val="000905E4"/>
    <w:pPr>
      <w:suppressAutoHyphens/>
      <w:autoSpaceDE w:val="0"/>
      <w:autoSpaceDN w:val="0"/>
      <w:adjustRightInd w:val="0"/>
      <w:spacing w:before="113" w:after="57" w:line="200" w:lineRule="atLeast"/>
      <w:textAlignment w:val="center"/>
    </w:pPr>
    <w:rPr>
      <w:rFonts w:cs="Montserrat SemiBold"/>
      <w:bCs/>
      <w:spacing w:val="-1"/>
      <w:sz w:val="16"/>
      <w:szCs w:val="16"/>
      <w:lang w:val="en-US"/>
    </w:rPr>
  </w:style>
  <w:style w:type="paragraph" w:customStyle="1" w:styleId="Tabletitle-numbered">
    <w:name w:val="Table title - numbered"/>
    <w:uiPriority w:val="2"/>
    <w:qFormat/>
    <w:rsid w:val="009C72D3"/>
    <w:pPr>
      <w:widowControl w:val="0"/>
      <w:numPr>
        <w:numId w:val="18"/>
      </w:numPr>
      <w:spacing w:before="100" w:beforeAutospacing="1" w:after="120" w:line="280" w:lineRule="exact"/>
      <w:ind w:left="993" w:hanging="992"/>
    </w:pPr>
    <w:rPr>
      <w:rFonts w:eastAsia="Times New Roman"/>
      <w:b/>
      <w:bCs/>
      <w:iCs/>
      <w:lang w:val="en-US" w:eastAsia="en-US"/>
    </w:rPr>
  </w:style>
  <w:style w:type="table" w:customStyle="1" w:styleId="CHSTable">
    <w:name w:val="CHS Table"/>
    <w:basedOn w:val="TableNormal"/>
    <w:uiPriority w:val="99"/>
    <w:rsid w:val="001C223C"/>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themeColor="background1"/>
      </w:rPr>
      <w:tblPr/>
      <w:tcPr>
        <w:shd w:val="clear" w:color="auto" w:fill="6E3894" w:themeFill="accent2"/>
      </w:tcPr>
    </w:tblStylePr>
    <w:tblStylePr w:type="firstCol">
      <w:rPr>
        <w:rFonts w:ascii="Arial" w:hAnsi="Arial"/>
        <w:color w:val="FFFFFF" w:themeColor="background1"/>
      </w:rPr>
      <w:tblPr/>
      <w:tcPr>
        <w:shd w:val="clear" w:color="auto" w:fill="3D2262" w:themeFill="accent1"/>
      </w:tcPr>
    </w:tblStylePr>
    <w:tblStylePr w:type="lastCol">
      <w:pPr>
        <w:wordWrap/>
        <w:jc w:val="left"/>
      </w:pPr>
      <w:tblPr/>
      <w:tcPr>
        <w:shd w:val="clear" w:color="auto" w:fill="3D2262" w:themeFill="accent1"/>
      </w:tcPr>
    </w:tblStylePr>
  </w:style>
  <w:style w:type="character" w:customStyle="1" w:styleId="Bold">
    <w:name w:val="Bold"/>
    <w:uiPriority w:val="1"/>
    <w:qFormat/>
    <w:rsid w:val="00C049CA"/>
    <w:rPr>
      <w:b/>
      <w:bCs/>
    </w:rPr>
  </w:style>
  <w:style w:type="character" w:customStyle="1" w:styleId="Heading6Char">
    <w:name w:val="Heading 6 Char"/>
    <w:basedOn w:val="DefaultParagraphFont"/>
    <w:link w:val="Heading6"/>
    <w:rsid w:val="009A5010"/>
    <w:rPr>
      <w:rFonts w:eastAsiaTheme="majorEastAsia" w:cstheme="majorBidi"/>
      <w:color w:val="6E3894" w:themeColor="accent2"/>
    </w:rPr>
  </w:style>
  <w:style w:type="character" w:styleId="PlaceholderText">
    <w:name w:val="Placeholder Text"/>
    <w:basedOn w:val="DefaultParagraphFont"/>
    <w:uiPriority w:val="99"/>
    <w:semiHidden/>
    <w:rsid w:val="00AF532B"/>
    <w:rPr>
      <w:color w:val="808080"/>
    </w:rPr>
  </w:style>
  <w:style w:type="character" w:styleId="UnresolvedMention">
    <w:name w:val="Unresolved Mention"/>
    <w:basedOn w:val="DefaultParagraphFont"/>
    <w:uiPriority w:val="99"/>
    <w:semiHidden/>
    <w:unhideWhenUsed/>
    <w:rsid w:val="00E63F4F"/>
    <w:rPr>
      <w:color w:val="605E5C"/>
      <w:shd w:val="clear" w:color="auto" w:fill="E1DFDD"/>
    </w:rPr>
  </w:style>
  <w:style w:type="table" w:styleId="PlainTable3">
    <w:name w:val="Plain Table 3"/>
    <w:basedOn w:val="TableNormal"/>
    <w:uiPriority w:val="43"/>
    <w:locked/>
    <w:rsid w:val="00154D8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SecondaryHeader">
    <w:name w:val="Secondary Header"/>
    <w:basedOn w:val="Header"/>
    <w:uiPriority w:val="3"/>
    <w:rsid w:val="00530642"/>
    <w:pPr>
      <w:spacing w:after="120"/>
    </w:pPr>
    <w:rPr>
      <w:b/>
    </w:rPr>
  </w:style>
  <w:style w:type="table" w:styleId="PlainTable4">
    <w:name w:val="Plain Table 4"/>
    <w:basedOn w:val="TableNormal"/>
    <w:uiPriority w:val="44"/>
    <w:locked/>
    <w:rsid w:val="008C1C7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locked/>
    <w:rsid w:val="008C1C7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3">
    <w:name w:val="Grid Table 1 Light Accent 3"/>
    <w:basedOn w:val="TableNormal"/>
    <w:uiPriority w:val="46"/>
    <w:locked/>
    <w:rsid w:val="008C1C7C"/>
    <w:tblPr>
      <w:tblStyleRowBandSize w:val="1"/>
      <w:tblStyleColBandSize w:val="1"/>
      <w:tblBorders>
        <w:top w:val="single" w:sz="4" w:space="0" w:color="7BFFF3" w:themeColor="accent3" w:themeTint="66"/>
        <w:left w:val="single" w:sz="4" w:space="0" w:color="7BFFF3" w:themeColor="accent3" w:themeTint="66"/>
        <w:bottom w:val="single" w:sz="4" w:space="0" w:color="7BFFF3" w:themeColor="accent3" w:themeTint="66"/>
        <w:right w:val="single" w:sz="4" w:space="0" w:color="7BFFF3" w:themeColor="accent3" w:themeTint="66"/>
        <w:insideH w:val="single" w:sz="4" w:space="0" w:color="7BFFF3" w:themeColor="accent3" w:themeTint="66"/>
        <w:insideV w:val="single" w:sz="4" w:space="0" w:color="7BFFF3" w:themeColor="accent3" w:themeTint="66"/>
      </w:tblBorders>
    </w:tblPr>
    <w:tblStylePr w:type="firstRow">
      <w:rPr>
        <w:b/>
        <w:bCs/>
      </w:rPr>
      <w:tblPr/>
      <w:tcPr>
        <w:tcBorders>
          <w:bottom w:val="single" w:sz="12" w:space="0" w:color="39FFED" w:themeColor="accent3" w:themeTint="99"/>
        </w:tcBorders>
      </w:tcPr>
    </w:tblStylePr>
    <w:tblStylePr w:type="lastRow">
      <w:rPr>
        <w:b/>
        <w:bCs/>
      </w:rPr>
      <w:tblPr/>
      <w:tcPr>
        <w:tcBorders>
          <w:top w:val="double" w:sz="2" w:space="0" w:color="39FFE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8C1C7C"/>
    <w:tblPr>
      <w:tblStyleRowBandSize w:val="1"/>
      <w:tblStyleColBandSize w:val="1"/>
      <w:tblBorders>
        <w:top w:val="single" w:sz="4" w:space="0" w:color="A7E6F5" w:themeColor="accent4" w:themeTint="66"/>
        <w:left w:val="single" w:sz="4" w:space="0" w:color="A7E6F5" w:themeColor="accent4" w:themeTint="66"/>
        <w:bottom w:val="single" w:sz="4" w:space="0" w:color="A7E6F5" w:themeColor="accent4" w:themeTint="66"/>
        <w:right w:val="single" w:sz="4" w:space="0" w:color="A7E6F5" w:themeColor="accent4" w:themeTint="66"/>
        <w:insideH w:val="single" w:sz="4" w:space="0" w:color="A7E6F5" w:themeColor="accent4" w:themeTint="66"/>
        <w:insideV w:val="single" w:sz="4" w:space="0" w:color="A7E6F5" w:themeColor="accent4" w:themeTint="66"/>
      </w:tblBorders>
    </w:tblPr>
    <w:tblStylePr w:type="firstRow">
      <w:rPr>
        <w:b/>
        <w:bCs/>
      </w:rPr>
      <w:tblPr/>
      <w:tcPr>
        <w:tcBorders>
          <w:bottom w:val="single" w:sz="12" w:space="0" w:color="7BDAF1" w:themeColor="accent4" w:themeTint="99"/>
        </w:tcBorders>
      </w:tcPr>
    </w:tblStylePr>
    <w:tblStylePr w:type="lastRow">
      <w:rPr>
        <w:b/>
        <w:bCs/>
      </w:rPr>
      <w:tblPr/>
      <w:tcPr>
        <w:tcBorders>
          <w:top w:val="double" w:sz="2" w:space="0" w:color="7BDAF1"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locked/>
    <w:rsid w:val="008C1C7C"/>
    <w:tblPr>
      <w:tblStyleRowBandSize w:val="1"/>
      <w:tblStyleColBandSize w:val="1"/>
      <w:tblBorders>
        <w:top w:val="single" w:sz="4" w:space="0" w:color="F9C6DA" w:themeColor="accent5" w:themeTint="66"/>
        <w:left w:val="single" w:sz="4" w:space="0" w:color="F9C6DA" w:themeColor="accent5" w:themeTint="66"/>
        <w:bottom w:val="single" w:sz="4" w:space="0" w:color="F9C6DA" w:themeColor="accent5" w:themeTint="66"/>
        <w:right w:val="single" w:sz="4" w:space="0" w:color="F9C6DA" w:themeColor="accent5" w:themeTint="66"/>
        <w:insideH w:val="single" w:sz="4" w:space="0" w:color="F9C6DA" w:themeColor="accent5" w:themeTint="66"/>
        <w:insideV w:val="single" w:sz="4" w:space="0" w:color="F9C6DA" w:themeColor="accent5" w:themeTint="66"/>
      </w:tblBorders>
    </w:tblPr>
    <w:tblStylePr w:type="firstRow">
      <w:rPr>
        <w:b/>
        <w:bCs/>
      </w:rPr>
      <w:tblPr/>
      <w:tcPr>
        <w:tcBorders>
          <w:bottom w:val="single" w:sz="12" w:space="0" w:color="F6AAC8" w:themeColor="accent5" w:themeTint="99"/>
        </w:tcBorders>
      </w:tcPr>
    </w:tblStylePr>
    <w:tblStylePr w:type="lastRow">
      <w:rPr>
        <w:b/>
        <w:bCs/>
      </w:rPr>
      <w:tblPr/>
      <w:tcPr>
        <w:tcBorders>
          <w:top w:val="double" w:sz="2" w:space="0" w:color="F6AAC8" w:themeColor="accent5" w:themeTint="99"/>
        </w:tcBorders>
      </w:tcPr>
    </w:tblStylePr>
    <w:tblStylePr w:type="firstCol">
      <w:rPr>
        <w:b/>
        <w:bCs/>
      </w:rPr>
    </w:tblStylePr>
    <w:tblStylePr w:type="lastCol">
      <w:rPr>
        <w:b/>
        <w:bCs/>
      </w:rPr>
    </w:tblStylePr>
  </w:style>
  <w:style w:type="table" w:styleId="GridTable4-Accent6">
    <w:name w:val="Grid Table 4 Accent 6"/>
    <w:basedOn w:val="TableNormal"/>
    <w:uiPriority w:val="49"/>
    <w:locked/>
    <w:rsid w:val="00230054"/>
    <w:tblPr>
      <w:tblStyleRowBandSize w:val="1"/>
      <w:tblStyleColBandSize w:val="1"/>
      <w:tblBorders>
        <w:top w:val="single" w:sz="4" w:space="0" w:color="F8AE9C" w:themeColor="accent6" w:themeTint="99"/>
        <w:left w:val="single" w:sz="4" w:space="0" w:color="F8AE9C" w:themeColor="accent6" w:themeTint="99"/>
        <w:bottom w:val="single" w:sz="4" w:space="0" w:color="F8AE9C" w:themeColor="accent6" w:themeTint="99"/>
        <w:right w:val="single" w:sz="4" w:space="0" w:color="F8AE9C" w:themeColor="accent6" w:themeTint="99"/>
        <w:insideH w:val="single" w:sz="4" w:space="0" w:color="F8AE9C" w:themeColor="accent6" w:themeTint="99"/>
        <w:insideV w:val="single" w:sz="4" w:space="0" w:color="F8AE9C" w:themeColor="accent6" w:themeTint="99"/>
      </w:tblBorders>
    </w:tblPr>
    <w:tcPr>
      <w:shd w:val="clear" w:color="auto" w:fill="auto"/>
    </w:tcPr>
    <w:tblStylePr w:type="firstRow">
      <w:rPr>
        <w:rFonts w:ascii="Arial" w:hAnsi="Arial"/>
        <w:b/>
        <w:bCs/>
        <w:color w:val="auto"/>
        <w:sz w:val="24"/>
      </w:rPr>
      <w:tblPr/>
      <w:tcPr>
        <w:tcBorders>
          <w:top w:val="single" w:sz="4" w:space="0" w:color="F47A5C" w:themeColor="accent6"/>
          <w:left w:val="single" w:sz="4" w:space="0" w:color="F47A5C" w:themeColor="accent6"/>
          <w:bottom w:val="single" w:sz="4" w:space="0" w:color="F47A5C" w:themeColor="accent6"/>
          <w:right w:val="single" w:sz="4" w:space="0" w:color="F47A5C" w:themeColor="accent6"/>
          <w:insideH w:val="nil"/>
          <w:insideV w:val="nil"/>
        </w:tcBorders>
        <w:shd w:val="clear" w:color="auto" w:fill="F47A5C" w:themeFill="accent6"/>
      </w:tcPr>
    </w:tblStylePr>
    <w:tblStylePr w:type="lastRow">
      <w:rPr>
        <w:b/>
        <w:bCs/>
      </w:rPr>
      <w:tblPr/>
      <w:tcPr>
        <w:tcBorders>
          <w:top w:val="double" w:sz="4" w:space="0" w:color="F47A5C" w:themeColor="accent6"/>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6">
    <w:name w:val="List Table 1 Light Accent 6"/>
    <w:basedOn w:val="TableNormal"/>
    <w:uiPriority w:val="46"/>
    <w:locked/>
    <w:rsid w:val="00230054"/>
    <w:tblPr>
      <w:tblStyleRowBandSize w:val="1"/>
      <w:tblStyleColBandSize w:val="1"/>
    </w:tblPr>
    <w:tblStylePr w:type="firstRow">
      <w:rPr>
        <w:b/>
        <w:bCs/>
      </w:rPr>
      <w:tblPr/>
      <w:tcPr>
        <w:tcBorders>
          <w:bottom w:val="single" w:sz="4" w:space="0" w:color="F8AE9C" w:themeColor="accent6" w:themeTint="99"/>
        </w:tcBorders>
      </w:tcPr>
    </w:tblStylePr>
    <w:tblStylePr w:type="lastRow">
      <w:rPr>
        <w:b/>
        <w:bCs/>
      </w:rPr>
      <w:tblPr/>
      <w:tcPr>
        <w:tcBorders>
          <w:top w:val="single" w:sz="4" w:space="0" w:color="F8AE9C" w:themeColor="accent6" w:themeTint="99"/>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1">
    <w:name w:val="List Table 1 Light Accent 1"/>
    <w:basedOn w:val="TableNormal"/>
    <w:uiPriority w:val="46"/>
    <w:locked/>
    <w:rsid w:val="00F071B9"/>
    <w:tblPr>
      <w:tblStyleRowBandSize w:val="1"/>
      <w:tblStyleColBandSize w:val="1"/>
    </w:tblPr>
    <w:tblStylePr w:type="firstRow">
      <w:rPr>
        <w:b/>
        <w:bCs/>
      </w:rPr>
      <w:tblPr/>
      <w:tcPr>
        <w:tcBorders>
          <w:bottom w:val="single" w:sz="4" w:space="0" w:color="8456C4" w:themeColor="accent1" w:themeTint="99"/>
        </w:tcBorders>
      </w:tcPr>
    </w:tblStylePr>
    <w:tblStylePr w:type="lastRow">
      <w:rPr>
        <w:b/>
        <w:bCs/>
      </w:rPr>
      <w:tblPr/>
      <w:tcPr>
        <w:tcBorders>
          <w:top w:val="single" w:sz="4" w:space="0" w:color="8456C4" w:themeColor="accent1" w:themeTint="99"/>
        </w:tcBorders>
      </w:tcPr>
    </w:tblStylePr>
    <w:tblStylePr w:type="firstCol">
      <w:rPr>
        <w:b/>
        <w:bCs/>
      </w:rPr>
    </w:tblStylePr>
    <w:tblStylePr w:type="lastCol">
      <w:rPr>
        <w:b/>
        <w:bCs/>
      </w:rPr>
    </w:tblStylePr>
    <w:tblStylePr w:type="band1Vert">
      <w:tblPr/>
      <w:tcPr>
        <w:shd w:val="clear" w:color="auto" w:fill="D6C6EB" w:themeFill="accent1" w:themeFillTint="33"/>
      </w:tcPr>
    </w:tblStylePr>
    <w:tblStylePr w:type="band1Horz">
      <w:tblPr/>
      <w:tcPr>
        <w:shd w:val="clear" w:color="auto" w:fill="D6C6EB" w:themeFill="accent1" w:themeFillTint="33"/>
      </w:tcPr>
    </w:tblStylePr>
  </w:style>
  <w:style w:type="paragraph" w:customStyle="1" w:styleId="Bottomblocktext">
    <w:name w:val="Bottom block text"/>
    <w:basedOn w:val="Normal"/>
    <w:uiPriority w:val="99"/>
    <w:rsid w:val="00537269"/>
    <w:pPr>
      <w:keepNext/>
      <w:keepLines/>
      <w:suppressAutoHyphens/>
      <w:autoSpaceDE w:val="0"/>
      <w:autoSpaceDN w:val="0"/>
      <w:adjustRightInd w:val="0"/>
      <w:spacing w:before="113" w:after="57" w:line="200" w:lineRule="atLeast"/>
      <w:textAlignment w:val="center"/>
    </w:pPr>
    <w:rPr>
      <w:rFonts w:cs="Montserrat SemiBold"/>
      <w:bCs/>
      <w:spacing w:val="-1"/>
      <w:sz w:val="16"/>
      <w:szCs w:val="16"/>
      <w:lang w:val="en-US"/>
    </w:rPr>
  </w:style>
  <w:style w:type="character" w:styleId="FollowedHyperlink">
    <w:name w:val="FollowedHyperlink"/>
    <w:basedOn w:val="DefaultParagraphFont"/>
    <w:uiPriority w:val="99"/>
    <w:semiHidden/>
    <w:unhideWhenUsed/>
    <w:rsid w:val="0027262B"/>
    <w:rPr>
      <w:color w:val="575757" w:themeColor="followedHyperlink"/>
      <w:u w:val="single"/>
    </w:rPr>
  </w:style>
  <w:style w:type="paragraph" w:customStyle="1" w:styleId="Numberedlist">
    <w:name w:val="Numbered list"/>
    <w:basedOn w:val="Bullet"/>
    <w:uiPriority w:val="3"/>
    <w:qFormat/>
    <w:rsid w:val="00B83559"/>
    <w:pPr>
      <w:numPr>
        <w:numId w:val="16"/>
      </w:numPr>
    </w:pPr>
  </w:style>
  <w:style w:type="character" w:styleId="CommentReference">
    <w:name w:val="annotation reference"/>
    <w:basedOn w:val="DefaultParagraphFont"/>
    <w:semiHidden/>
    <w:unhideWhenUsed/>
    <w:rsid w:val="00C50963"/>
    <w:rPr>
      <w:sz w:val="16"/>
      <w:szCs w:val="16"/>
    </w:rPr>
  </w:style>
  <w:style w:type="table" w:customStyle="1" w:styleId="CHSTable03">
    <w:name w:val="CHS Table 03"/>
    <w:basedOn w:val="TableNormal"/>
    <w:uiPriority w:val="99"/>
    <w:rsid w:val="00530642"/>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Pr>
    <w:tblStylePr w:type="firstRow">
      <w:pPr>
        <w:wordWrap/>
        <w:jc w:val="left"/>
      </w:pPr>
      <w:tblPr/>
      <w:trPr>
        <w:tblHeader/>
      </w:trPr>
      <w:tcPr>
        <w:shd w:val="clear" w:color="auto" w:fill="3D1063"/>
      </w:tcPr>
    </w:tblStylePr>
    <w:tblStylePr w:type="lastRow">
      <w:rPr>
        <w:color w:val="FFFFFF"/>
      </w:rPr>
      <w:tblPr/>
      <w:tcPr>
        <w:shd w:val="clear" w:color="auto" w:fill="6E3894"/>
      </w:tcPr>
    </w:tblStylePr>
    <w:tblStylePr w:type="firstCol">
      <w:rPr>
        <w:rFonts w:ascii="Arial" w:hAnsi="Arial"/>
        <w:color w:val="FFFFFF"/>
      </w:rPr>
      <w:tblPr/>
      <w:tcPr>
        <w:shd w:val="clear" w:color="auto" w:fill="3D2262"/>
      </w:tcPr>
    </w:tblStylePr>
    <w:tblStylePr w:type="lastCol">
      <w:pPr>
        <w:wordWrap/>
        <w:jc w:val="left"/>
      </w:pPr>
      <w:tblPr/>
      <w:tcPr>
        <w:shd w:val="clear" w:color="auto" w:fill="3D2262"/>
      </w:tcPr>
    </w:tblStylePr>
  </w:style>
  <w:style w:type="table" w:customStyle="1" w:styleId="CHSTable02">
    <w:name w:val="CHS Table 02"/>
    <w:basedOn w:val="TableNormal"/>
    <w:uiPriority w:val="99"/>
    <w:rsid w:val="00C84F08"/>
    <w:tblPr>
      <w:tblStyleRowBandSize w:val="1"/>
      <w:tblBorders>
        <w:bottom w:val="single" w:sz="4"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rPr>
      <w:tblPr/>
      <w:tcPr>
        <w:shd w:val="clear" w:color="auto" w:fill="6E3894"/>
      </w:tcPr>
    </w:tblStylePr>
    <w:tblStylePr w:type="firstCol">
      <w:rPr>
        <w:rFonts w:ascii="Arial" w:hAnsi="Arial"/>
        <w:color w:val="FFFFFF"/>
      </w:rPr>
      <w:tblPr/>
      <w:tcPr>
        <w:shd w:val="clear" w:color="auto" w:fill="3D2262"/>
      </w:tcPr>
    </w:tblStylePr>
    <w:tblStylePr w:type="lastCol">
      <w:pPr>
        <w:wordWrap/>
        <w:jc w:val="left"/>
      </w:pPr>
      <w:tblPr/>
      <w:tcPr>
        <w:shd w:val="clear" w:color="auto" w:fill="3D2262"/>
      </w:tcPr>
    </w:tblStylePr>
    <w:tblStylePr w:type="band2Horz">
      <w:tblPr/>
      <w:tcPr>
        <w:shd w:val="clear" w:color="auto" w:fill="D9D9D9"/>
      </w:tcPr>
    </w:tblStylePr>
  </w:style>
  <w:style w:type="paragraph" w:customStyle="1" w:styleId="Figuretitle-numbered">
    <w:name w:val="Figure title - numbered"/>
    <w:basedOn w:val="Tabletitle-numbered"/>
    <w:uiPriority w:val="2"/>
    <w:rsid w:val="009C72D3"/>
    <w:pPr>
      <w:numPr>
        <w:numId w:val="19"/>
      </w:numPr>
      <w:ind w:left="1134" w:hanging="1134"/>
    </w:pPr>
  </w:style>
  <w:style w:type="character" w:customStyle="1" w:styleId="Heading7Char">
    <w:name w:val="Heading 7 Char"/>
    <w:basedOn w:val="DefaultParagraphFont"/>
    <w:link w:val="Heading7"/>
    <w:rsid w:val="002140AE"/>
    <w:rPr>
      <w:rFonts w:asciiTheme="majorHAnsi" w:eastAsiaTheme="majorEastAsia" w:hAnsiTheme="majorHAnsi" w:cstheme="majorBidi"/>
      <w:b/>
      <w:iCs/>
    </w:rPr>
  </w:style>
  <w:style w:type="character" w:customStyle="1" w:styleId="Heading8Char">
    <w:name w:val="Heading 8 Char"/>
    <w:basedOn w:val="DefaultParagraphFont"/>
    <w:link w:val="Heading8"/>
    <w:rsid w:val="00C36B9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36B93"/>
    <w:rPr>
      <w:rFonts w:asciiTheme="majorHAnsi" w:eastAsiaTheme="majorEastAsia" w:hAnsiTheme="majorHAnsi" w:cstheme="majorBidi"/>
      <w:i/>
      <w:iCs/>
      <w:color w:val="272727" w:themeColor="text1" w:themeTint="D8"/>
      <w:sz w:val="21"/>
      <w:szCs w:val="21"/>
    </w:rPr>
  </w:style>
  <w:style w:type="paragraph" w:customStyle="1" w:styleId="NotesCaptionCitationSource">
    <w:name w:val="Notes/Caption/Citation/Source"/>
    <w:basedOn w:val="BodyCopy"/>
    <w:uiPriority w:val="3"/>
    <w:qFormat/>
    <w:rsid w:val="008A47BD"/>
    <w:pPr>
      <w:keepLines/>
      <w:spacing w:before="60" w:after="120" w:line="240" w:lineRule="auto"/>
    </w:pPr>
    <w:rPr>
      <w:sz w:val="18"/>
    </w:rPr>
  </w:style>
  <w:style w:type="paragraph" w:customStyle="1" w:styleId="AlphaList">
    <w:name w:val="Alpha List"/>
    <w:basedOn w:val="Numberedlist"/>
    <w:next w:val="BodyCopy"/>
    <w:uiPriority w:val="3"/>
    <w:qFormat/>
    <w:rsid w:val="00BA6DD4"/>
    <w:pPr>
      <w:numPr>
        <w:numId w:val="4"/>
      </w:numPr>
    </w:pPr>
    <w:rPr>
      <w:color w:val="000000"/>
    </w:rPr>
  </w:style>
  <w:style w:type="paragraph" w:customStyle="1" w:styleId="Romanlist">
    <w:name w:val="Roman list"/>
    <w:basedOn w:val="AlphaList"/>
    <w:uiPriority w:val="3"/>
    <w:qFormat/>
    <w:rsid w:val="00BA6DD4"/>
    <w:pPr>
      <w:numPr>
        <w:numId w:val="5"/>
      </w:numPr>
    </w:pPr>
  </w:style>
  <w:style w:type="paragraph" w:customStyle="1" w:styleId="Tableheader-black">
    <w:name w:val="Table header - black"/>
    <w:basedOn w:val="Tableheader-white"/>
    <w:uiPriority w:val="3"/>
    <w:qFormat/>
    <w:rsid w:val="00C84F08"/>
    <w:rPr>
      <w:color w:val="000000" w:themeColor="text1"/>
    </w:rPr>
  </w:style>
  <w:style w:type="paragraph" w:customStyle="1" w:styleId="TOC-Tables">
    <w:name w:val="TOC - Tables"/>
    <w:basedOn w:val="TOC1"/>
    <w:uiPriority w:val="3"/>
    <w:rsid w:val="00411B14"/>
    <w:pPr>
      <w:tabs>
        <w:tab w:val="left" w:pos="1134"/>
      </w:tabs>
      <w:ind w:left="1134" w:hanging="1134"/>
    </w:pPr>
  </w:style>
  <w:style w:type="paragraph" w:styleId="Subtitle">
    <w:name w:val="Subtitle"/>
    <w:basedOn w:val="BodyCopy"/>
    <w:next w:val="BodyCopy"/>
    <w:link w:val="SubtitleChar"/>
    <w:uiPriority w:val="11"/>
    <w:locked/>
    <w:rsid w:val="00936DC9"/>
    <w:pPr>
      <w:numPr>
        <w:ilvl w:val="1"/>
      </w:numPr>
      <w:spacing w:after="360"/>
      <w:ind w:right="1134"/>
    </w:pPr>
    <w:rPr>
      <w:rFonts w:eastAsiaTheme="minorEastAsia" w:cstheme="minorBidi"/>
      <w:sz w:val="36"/>
      <w:szCs w:val="36"/>
      <w:lang w:eastAsia="en-US"/>
    </w:rPr>
  </w:style>
  <w:style w:type="character" w:customStyle="1" w:styleId="SubtitleChar">
    <w:name w:val="Subtitle Char"/>
    <w:basedOn w:val="DefaultParagraphFont"/>
    <w:link w:val="Subtitle"/>
    <w:uiPriority w:val="11"/>
    <w:rsid w:val="00936DC9"/>
    <w:rPr>
      <w:rFonts w:eastAsiaTheme="minorEastAsia" w:cstheme="minorBidi"/>
      <w:bCs/>
      <w:iCs/>
      <w:color w:val="000000" w:themeColor="text1"/>
      <w:sz w:val="36"/>
      <w:szCs w:val="36"/>
      <w:lang w:eastAsia="en-US"/>
    </w:rPr>
  </w:style>
  <w:style w:type="paragraph" w:customStyle="1" w:styleId="Reportyeardate">
    <w:name w:val="Report year/date"/>
    <w:basedOn w:val="BodyCopy"/>
    <w:uiPriority w:val="3"/>
    <w:rsid w:val="00A435C8"/>
    <w:pPr>
      <w:spacing w:after="840"/>
    </w:pPr>
    <w:rPr>
      <w:lang w:eastAsia="en-US"/>
    </w:rPr>
  </w:style>
  <w:style w:type="paragraph" w:styleId="EndnoteText">
    <w:name w:val="endnote text"/>
    <w:basedOn w:val="Normal"/>
    <w:link w:val="EndnoteTextChar"/>
    <w:uiPriority w:val="99"/>
    <w:semiHidden/>
    <w:unhideWhenUsed/>
    <w:rsid w:val="00B86A43"/>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B86A43"/>
    <w:rPr>
      <w:sz w:val="20"/>
      <w:szCs w:val="20"/>
    </w:rPr>
  </w:style>
  <w:style w:type="paragraph" w:styleId="BodyText">
    <w:name w:val="Body Text"/>
    <w:basedOn w:val="Normal"/>
    <w:link w:val="BodyTextChar"/>
    <w:semiHidden/>
    <w:unhideWhenUsed/>
    <w:rsid w:val="008F3194"/>
    <w:pPr>
      <w:spacing w:after="120"/>
    </w:pPr>
  </w:style>
  <w:style w:type="character" w:customStyle="1" w:styleId="BodyTextChar">
    <w:name w:val="Body Text Char"/>
    <w:basedOn w:val="DefaultParagraphFont"/>
    <w:link w:val="BodyText"/>
    <w:semiHidden/>
    <w:rsid w:val="008F3194"/>
  </w:style>
  <w:style w:type="paragraph" w:customStyle="1" w:styleId="TOCHeading2">
    <w:name w:val="TOC Heading 2"/>
    <w:basedOn w:val="TOCHeading"/>
    <w:uiPriority w:val="3"/>
    <w:rsid w:val="00CA4FDE"/>
    <w:pPr>
      <w:spacing w:after="240"/>
    </w:pPr>
    <w:rPr>
      <w:sz w:val="32"/>
    </w:rPr>
  </w:style>
  <w:style w:type="paragraph" w:styleId="TableofFigures">
    <w:name w:val="table of figures"/>
    <w:basedOn w:val="Normal"/>
    <w:uiPriority w:val="99"/>
    <w:unhideWhenUsed/>
    <w:rsid w:val="004E2E2F"/>
    <w:pPr>
      <w:tabs>
        <w:tab w:val="right" w:leader="dot" w:pos="10206"/>
      </w:tabs>
      <w:spacing w:after="0"/>
    </w:pPr>
  </w:style>
  <w:style w:type="character" w:styleId="EndnoteReference">
    <w:name w:val="endnote reference"/>
    <w:basedOn w:val="DefaultParagraphFont"/>
    <w:uiPriority w:val="99"/>
    <w:semiHidden/>
    <w:unhideWhenUsed/>
    <w:rsid w:val="00B86A43"/>
    <w:rPr>
      <w:vertAlign w:val="superscript"/>
    </w:rPr>
  </w:style>
  <w:style w:type="paragraph" w:styleId="FootnoteText">
    <w:name w:val="footnote text"/>
    <w:basedOn w:val="Normal"/>
    <w:link w:val="FootnoteTextChar"/>
    <w:uiPriority w:val="99"/>
    <w:unhideWhenUsed/>
    <w:rsid w:val="00480537"/>
    <w:pPr>
      <w:spacing w:before="0" w:after="0" w:line="240" w:lineRule="auto"/>
    </w:pPr>
    <w:rPr>
      <w:sz w:val="20"/>
      <w:szCs w:val="20"/>
    </w:rPr>
  </w:style>
  <w:style w:type="character" w:customStyle="1" w:styleId="FootnoteTextChar">
    <w:name w:val="Footnote Text Char"/>
    <w:basedOn w:val="DefaultParagraphFont"/>
    <w:link w:val="FootnoteText"/>
    <w:uiPriority w:val="99"/>
    <w:rsid w:val="00480537"/>
    <w:rPr>
      <w:sz w:val="20"/>
      <w:szCs w:val="20"/>
    </w:rPr>
  </w:style>
  <w:style w:type="character" w:styleId="FootnoteReference">
    <w:name w:val="footnote reference"/>
    <w:basedOn w:val="DefaultParagraphFont"/>
    <w:uiPriority w:val="99"/>
    <w:semiHidden/>
    <w:unhideWhenUsed/>
    <w:rsid w:val="00B86A43"/>
    <w:rPr>
      <w:vertAlign w:val="superscript"/>
    </w:rPr>
  </w:style>
  <w:style w:type="character" w:customStyle="1" w:styleId="Instructionaltext">
    <w:name w:val="Instructional text"/>
    <w:basedOn w:val="DefaultParagraphFont"/>
    <w:uiPriority w:val="3"/>
    <w:rsid w:val="001F68D1"/>
    <w:rPr>
      <w:color w:val="575757"/>
    </w:rPr>
  </w:style>
  <w:style w:type="paragraph" w:styleId="CommentText">
    <w:name w:val="annotation text"/>
    <w:basedOn w:val="Normal"/>
    <w:link w:val="CommentTextChar"/>
    <w:unhideWhenUsed/>
    <w:rsid w:val="00CA4FDE"/>
    <w:pPr>
      <w:spacing w:line="240" w:lineRule="auto"/>
    </w:pPr>
    <w:rPr>
      <w:sz w:val="20"/>
      <w:szCs w:val="20"/>
    </w:rPr>
  </w:style>
  <w:style w:type="character" w:customStyle="1" w:styleId="CommentTextChar">
    <w:name w:val="Comment Text Char"/>
    <w:basedOn w:val="DefaultParagraphFont"/>
    <w:link w:val="CommentText"/>
    <w:rsid w:val="00CA4FDE"/>
    <w:rPr>
      <w:sz w:val="20"/>
      <w:szCs w:val="20"/>
    </w:rPr>
  </w:style>
  <w:style w:type="paragraph" w:styleId="TOC2">
    <w:name w:val="toc 2"/>
    <w:basedOn w:val="Normal"/>
    <w:next w:val="Normal"/>
    <w:autoRedefine/>
    <w:uiPriority w:val="39"/>
    <w:unhideWhenUsed/>
    <w:rsid w:val="001C24A7"/>
    <w:pPr>
      <w:tabs>
        <w:tab w:val="right" w:leader="dot" w:pos="9911"/>
      </w:tabs>
      <w:spacing w:after="100"/>
      <w:ind w:left="240"/>
    </w:pPr>
  </w:style>
  <w:style w:type="paragraph" w:styleId="TOC3">
    <w:name w:val="toc 3"/>
    <w:aliases w:val="TOC 3 - Tables and Figures"/>
    <w:basedOn w:val="Normal"/>
    <w:next w:val="Normal"/>
    <w:autoRedefine/>
    <w:uiPriority w:val="39"/>
    <w:unhideWhenUsed/>
    <w:rsid w:val="00E7101C"/>
    <w:pPr>
      <w:tabs>
        <w:tab w:val="left" w:pos="1134"/>
        <w:tab w:val="right" w:leader="dot" w:pos="10206"/>
      </w:tabs>
      <w:spacing w:before="0" w:after="0" w:line="360" w:lineRule="auto"/>
      <w:ind w:left="680"/>
    </w:pPr>
  </w:style>
  <w:style w:type="character" w:styleId="PageNumber">
    <w:name w:val="page number"/>
    <w:basedOn w:val="DefaultParagraphFont"/>
    <w:uiPriority w:val="99"/>
    <w:rsid w:val="00481A6C"/>
    <w:rPr>
      <w:rFonts w:cs="Times New Roman"/>
    </w:rPr>
  </w:style>
  <w:style w:type="paragraph" w:customStyle="1" w:styleId="Tableheader">
    <w:name w:val="Table header"/>
    <w:basedOn w:val="BodyCopy"/>
    <w:next w:val="Tablebody"/>
    <w:uiPriority w:val="3"/>
    <w:qFormat/>
    <w:rsid w:val="00481A6C"/>
    <w:pPr>
      <w:spacing w:before="0" w:after="0" w:line="300" w:lineRule="exact"/>
    </w:pPr>
    <w:rPr>
      <w:b/>
      <w:bCs w:val="0"/>
      <w:iCs w:val="0"/>
      <w:color w:val="FFFFFF" w:themeColor="background1"/>
      <w:lang w:val="en-US" w:eastAsia="en-US"/>
    </w:rPr>
  </w:style>
  <w:style w:type="paragraph" w:styleId="Revision">
    <w:name w:val="Revision"/>
    <w:hidden/>
    <w:uiPriority w:val="99"/>
    <w:semiHidden/>
    <w:rsid w:val="00913CAC"/>
  </w:style>
  <w:style w:type="paragraph" w:styleId="TOC4">
    <w:name w:val="toc 4"/>
    <w:basedOn w:val="Normal"/>
    <w:next w:val="Normal"/>
    <w:autoRedefine/>
    <w:uiPriority w:val="39"/>
    <w:unhideWhenUsed/>
    <w:rsid w:val="009C575D"/>
    <w:pPr>
      <w:spacing w:after="100"/>
      <w:ind w:left="720"/>
    </w:pPr>
  </w:style>
  <w:style w:type="paragraph" w:styleId="TOC5">
    <w:name w:val="toc 5"/>
    <w:basedOn w:val="Normal"/>
    <w:next w:val="Normal"/>
    <w:autoRedefine/>
    <w:uiPriority w:val="39"/>
    <w:unhideWhenUsed/>
    <w:rsid w:val="009C575D"/>
    <w:pPr>
      <w:spacing w:after="100"/>
      <w:ind w:left="960"/>
    </w:pPr>
  </w:style>
  <w:style w:type="paragraph" w:styleId="TOC6">
    <w:name w:val="toc 6"/>
    <w:basedOn w:val="Normal"/>
    <w:next w:val="Normal"/>
    <w:autoRedefine/>
    <w:uiPriority w:val="39"/>
    <w:unhideWhenUsed/>
    <w:rsid w:val="009C575D"/>
    <w:pPr>
      <w:spacing w:after="100"/>
      <w:ind w:left="1200"/>
    </w:pPr>
  </w:style>
  <w:style w:type="paragraph" w:styleId="TOC7">
    <w:name w:val="toc 7"/>
    <w:basedOn w:val="Normal"/>
    <w:next w:val="Normal"/>
    <w:autoRedefine/>
    <w:uiPriority w:val="39"/>
    <w:unhideWhenUsed/>
    <w:rsid w:val="009C575D"/>
    <w:pPr>
      <w:spacing w:after="100"/>
      <w:ind w:left="1440"/>
    </w:pPr>
  </w:style>
  <w:style w:type="paragraph" w:styleId="TOC9">
    <w:name w:val="toc 9"/>
    <w:basedOn w:val="Normal"/>
    <w:next w:val="Normal"/>
    <w:autoRedefine/>
    <w:uiPriority w:val="39"/>
    <w:semiHidden/>
    <w:unhideWhenUsed/>
    <w:rsid w:val="001C24A7"/>
    <w:pPr>
      <w:spacing w:after="100"/>
      <w:ind w:left="1920"/>
    </w:pPr>
  </w:style>
  <w:style w:type="paragraph" w:styleId="ListParagraph">
    <w:name w:val="List Paragraph"/>
    <w:aliases w:val="Recommendation,List Paragraph1,List Paragraph11,FooterText,numbered,Paragraphe de liste1,Bulletr List Paragraph,列出段落,列出段落1,Listeafsnit1,Parágrafo da Lista1,List Paragraph2,List Paragraph21,リスト段落1,Párrafo de lista1,Bullet list,L,Dot pt,列出段"/>
    <w:basedOn w:val="Normal"/>
    <w:link w:val="ListParagraphChar"/>
    <w:uiPriority w:val="34"/>
    <w:qFormat/>
    <w:locked/>
    <w:rsid w:val="001225C8"/>
    <w:pPr>
      <w:ind w:left="720"/>
      <w:contextualSpacing/>
    </w:pPr>
  </w:style>
  <w:style w:type="character" w:customStyle="1" w:styleId="ListParagraphChar">
    <w:name w:val="List Paragraph Char"/>
    <w:aliases w:val="Recommendation Char,List Paragraph1 Char,List Paragraph11 Char,FooterText Char,numbered Char,Paragraphe de liste1 Char,Bulletr List Paragraph Char,列出段落 Char,列出段落1 Char,Listeafsnit1 Char,Parágrafo da Lista1 Char,List Paragraph2 Char"/>
    <w:basedOn w:val="DefaultParagraphFont"/>
    <w:link w:val="ListParagraph"/>
    <w:uiPriority w:val="34"/>
    <w:locked/>
    <w:rsid w:val="001225C8"/>
  </w:style>
  <w:style w:type="paragraph" w:customStyle="1" w:styleId="xmsolistparagraph">
    <w:name w:val="x_msolistparagraph"/>
    <w:basedOn w:val="Normal"/>
    <w:rsid w:val="001225C8"/>
    <w:pPr>
      <w:spacing w:before="0" w:after="0" w:line="240" w:lineRule="auto"/>
      <w:ind w:left="720"/>
    </w:pPr>
    <w:rPr>
      <w:rFonts w:ascii="Calibri" w:eastAsiaTheme="minorHAnsi" w:hAnsi="Calibri" w:cs="Calibr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871002">
      <w:bodyDiv w:val="1"/>
      <w:marLeft w:val="0"/>
      <w:marRight w:val="0"/>
      <w:marTop w:val="0"/>
      <w:marBottom w:val="0"/>
      <w:divBdr>
        <w:top w:val="none" w:sz="0" w:space="0" w:color="auto"/>
        <w:left w:val="none" w:sz="0" w:space="0" w:color="auto"/>
        <w:bottom w:val="none" w:sz="0" w:space="0" w:color="auto"/>
        <w:right w:val="none" w:sz="0" w:space="0" w:color="auto"/>
      </w:divBdr>
    </w:div>
    <w:div w:id="1558517122">
      <w:bodyDiv w:val="1"/>
      <w:marLeft w:val="0"/>
      <w:marRight w:val="0"/>
      <w:marTop w:val="0"/>
      <w:marBottom w:val="0"/>
      <w:divBdr>
        <w:top w:val="none" w:sz="0" w:space="0" w:color="auto"/>
        <w:left w:val="none" w:sz="0" w:space="0" w:color="auto"/>
        <w:bottom w:val="none" w:sz="0" w:space="0" w:color="auto"/>
        <w:right w:val="none" w:sz="0" w:space="0" w:color="auto"/>
      </w:divBdr>
    </w:div>
    <w:div w:id="1962606795">
      <w:bodyDiv w:val="1"/>
      <w:marLeft w:val="0"/>
      <w:marRight w:val="0"/>
      <w:marTop w:val="0"/>
      <w:marBottom w:val="0"/>
      <w:divBdr>
        <w:top w:val="none" w:sz="0" w:space="0" w:color="auto"/>
        <w:left w:val="none" w:sz="0" w:space="0" w:color="auto"/>
        <w:bottom w:val="none" w:sz="0" w:space="0" w:color="auto"/>
        <w:right w:val="none" w:sz="0" w:space="0" w:color="auto"/>
      </w:divBdr>
    </w:div>
    <w:div w:id="2105879888">
      <w:bodyDiv w:val="1"/>
      <w:marLeft w:val="0"/>
      <w:marRight w:val="0"/>
      <w:marTop w:val="0"/>
      <w:marBottom w:val="0"/>
      <w:divBdr>
        <w:top w:val="none" w:sz="0" w:space="0" w:color="auto"/>
        <w:left w:val="none" w:sz="0" w:space="0" w:color="auto"/>
        <w:bottom w:val="none" w:sz="0" w:space="0" w:color="auto"/>
        <w:right w:val="none" w:sz="0" w:space="0" w:color="auto"/>
      </w:divBdr>
    </w:div>
    <w:div w:id="2123454322">
      <w:bodyDiv w:val="1"/>
      <w:marLeft w:val="0"/>
      <w:marRight w:val="0"/>
      <w:marTop w:val="0"/>
      <w:marBottom w:val="0"/>
      <w:divBdr>
        <w:top w:val="none" w:sz="0" w:space="0" w:color="auto"/>
        <w:left w:val="none" w:sz="0" w:space="0" w:color="auto"/>
        <w:bottom w:val="none" w:sz="0" w:space="0" w:color="auto"/>
        <w:right w:val="none" w:sz="0" w:space="0" w:color="auto"/>
      </w:divBdr>
    </w:div>
    <w:div w:id="214233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mailto:medicinesinformation@act.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canberrahealthservices.act.gov.au/accessibility"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about:blan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glossary/_rels/document.xml.rels><?xml version="1.0" encoding="UTF-8" standalone="yes"?>
<Relationships xmlns="http://schemas.openxmlformats.org/package/2006/relationships"><Relationship Id="rId8" Type="http://schemas.openxmlformats.org/officeDocument/2006/relationships/hyperlink" Target="https://www.canberrahealthservices.act.gov.au/accessibility" TargetMode="External"/><Relationship Id="rId3" Type="http://schemas.openxmlformats.org/officeDocument/2006/relationships/webSettings" Target="webSettings.xml"/><Relationship Id="rId7" Type="http://schemas.openxmlformats.org/officeDocument/2006/relationships/image" Target="../media/image1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1.png"/><Relationship Id="rId5" Type="http://schemas.openxmlformats.org/officeDocument/2006/relationships/image" Target="../media/image10.png"/><Relationship Id="rId10" Type="http://schemas.openxmlformats.org/officeDocument/2006/relationships/fontTable" Target="fontTable.xml"/><Relationship Id="rId4" Type="http://schemas.openxmlformats.org/officeDocument/2006/relationships/image" Target="../media/image9.png"/><Relationship Id="rId9" Type="http://schemas.openxmlformats.org/officeDocument/2006/relationships/image" Target="../media/image13.png"/></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334DB3A582B4A469CC6D6E2B7A3FA02"/>
        <w:category>
          <w:name w:val="General"/>
          <w:gallery w:val="placeholder"/>
        </w:category>
        <w:types>
          <w:type w:val="bbPlcHdr"/>
        </w:types>
        <w:behaviors>
          <w:behavior w:val="content"/>
        </w:behaviors>
        <w:guid w:val="{75F1C3AA-08E4-4B24-B5A9-474A166C9E20}"/>
      </w:docPartPr>
      <w:docPartBody>
        <w:p w:rsidR="00F527E1" w:rsidRDefault="00F527E1">
          <w:pPr>
            <w:pStyle w:val="6334DB3A582B4A469CC6D6E2B7A3FA02"/>
          </w:pPr>
          <w:r>
            <w:rPr>
              <w:noProof/>
              <w:sz w:val="20"/>
              <w:szCs w:val="20"/>
            </w:rPr>
            <w:drawing>
              <wp:inline distT="0" distB="0" distL="0" distR="0" wp14:anchorId="222B3A2D" wp14:editId="222B3A2E">
                <wp:extent cx="282575" cy="285750"/>
                <wp:effectExtent l="0" t="0" r="3175" b="0"/>
                <wp:docPr id="7" name="Picture 1"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4"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sz w:val="20"/>
              <w:szCs w:val="20"/>
            </w:rPr>
            <w:t>Acknowledgement of Country</w:t>
          </w:r>
        </w:p>
      </w:docPartBody>
    </w:docPart>
    <w:docPart>
      <w:docPartPr>
        <w:name w:val="D986F8D02844422EB52722B89F8010E9"/>
        <w:category>
          <w:name w:val="General"/>
          <w:gallery w:val="placeholder"/>
        </w:category>
        <w:types>
          <w:type w:val="bbPlcHdr"/>
        </w:types>
        <w:behaviors>
          <w:behavior w:val="content"/>
        </w:behaviors>
        <w:guid w:val="{CB4A744F-3FB8-45A7-BACC-A4CA7BFD1E03}"/>
      </w:docPartPr>
      <w:docPartBody>
        <w:p w:rsidR="00F527E1" w:rsidRDefault="00F527E1">
          <w:pPr>
            <w:pStyle w:val="D986F8D02844422EB52722B89F8010E9"/>
          </w:pPr>
          <w:r w:rsidRPr="00EE29F8">
            <w:rPr>
              <w:rStyle w:val="PlaceholderText"/>
            </w:rPr>
            <w:t>Choose an item.</w:t>
          </w:r>
        </w:p>
      </w:docPartBody>
    </w:docPart>
    <w:docPart>
      <w:docPartPr>
        <w:name w:val="5A75895B249E4B228134EA088CEBB953"/>
        <w:category>
          <w:name w:val="General"/>
          <w:gallery w:val="placeholder"/>
        </w:category>
        <w:types>
          <w:type w:val="bbPlcHdr"/>
        </w:types>
        <w:behaviors>
          <w:behavior w:val="content"/>
        </w:behaviors>
        <w:guid w:val="{77229FC1-8405-46AA-BCC9-1D4107E75E03}"/>
      </w:docPartPr>
      <w:docPartBody>
        <w:p w:rsidR="00F527E1" w:rsidRPr="00F26C97" w:rsidRDefault="00F527E1" w:rsidP="003B0E72">
          <w:pPr>
            <w:pStyle w:val="Bottomblocktext"/>
            <w:rPr>
              <w:b/>
              <w:bCs w:val="0"/>
              <w:sz w:val="20"/>
              <w:szCs w:val="20"/>
            </w:rPr>
          </w:pPr>
          <w:r>
            <w:rPr>
              <w:b/>
              <w:bCs w:val="0"/>
              <w:noProof/>
              <w:sz w:val="20"/>
              <w:szCs w:val="20"/>
            </w:rPr>
            <w:drawing>
              <wp:inline distT="0" distB="0" distL="0" distR="0" wp14:anchorId="222B3A2F" wp14:editId="222B3A30">
                <wp:extent cx="338275" cy="331065"/>
                <wp:effectExtent l="0" t="0" r="5080" b="0"/>
                <wp:docPr id="17" name="Picture 1"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5"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222B3A31" wp14:editId="222B3A32">
                <wp:extent cx="143919" cy="139700"/>
                <wp:effectExtent l="0" t="0" r="8890" b="0"/>
                <wp:docPr id="18" name="Picture 2"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rsidR="00F527E1" w:rsidRPr="00F26C97" w:rsidRDefault="00F527E1" w:rsidP="003B0E72">
          <w:pPr>
            <w:pStyle w:val="Bottomblocktext"/>
            <w:rPr>
              <w:b/>
              <w:bCs w:val="0"/>
              <w:sz w:val="20"/>
              <w:szCs w:val="20"/>
            </w:rPr>
          </w:pPr>
          <w:r>
            <w:rPr>
              <w:b/>
              <w:bCs w:val="0"/>
              <w:noProof/>
              <w:sz w:val="20"/>
              <w:szCs w:val="20"/>
            </w:rPr>
            <w:drawing>
              <wp:inline distT="0" distB="0" distL="0" distR="0" wp14:anchorId="222B3A33" wp14:editId="222B3A34">
                <wp:extent cx="326104" cy="323850"/>
                <wp:effectExtent l="0" t="0" r="0" b="0"/>
                <wp:docPr id="19" name="Picture 3"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7"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222B3A35" wp14:editId="222B3A36">
                <wp:extent cx="143919" cy="139700"/>
                <wp:effectExtent l="0" t="0" r="8890" b="0"/>
                <wp:docPr id="20" name="Picture 4"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rsidR="00F527E1" w:rsidRDefault="00F527E1" w:rsidP="003B0E72">
          <w:pPr>
            <w:pStyle w:val="Bottomblocktext"/>
            <w:rPr>
              <w:sz w:val="20"/>
              <w:szCs w:val="20"/>
            </w:rPr>
          </w:pPr>
          <w:hyperlink r:id="rId8" w:history="1">
            <w:r w:rsidRPr="00350211">
              <w:rPr>
                <w:rStyle w:val="Hyperlink"/>
                <w:sz w:val="20"/>
                <w:szCs w:val="20"/>
              </w:rPr>
              <w:t>canberrahealthservices.act.gov.au/accessibility</w:t>
            </w:r>
          </w:hyperlink>
        </w:p>
        <w:p w:rsidR="00F527E1" w:rsidRDefault="00F527E1">
          <w:pPr>
            <w:pStyle w:val="5A75895B249E4B228134EA088CEBB953"/>
          </w:pPr>
          <w:r>
            <w:rPr>
              <w:b/>
              <w:bCs/>
              <w:noProof/>
            </w:rPr>
            <w:drawing>
              <wp:inline distT="0" distB="0" distL="0" distR="0" wp14:anchorId="222B3A37" wp14:editId="222B3A38">
                <wp:extent cx="1323833" cy="309418"/>
                <wp:effectExtent l="0" t="0" r="0" b="0"/>
                <wp:docPr id="21" name="Picture 5"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9"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7E1"/>
    <w:rsid w:val="0000364B"/>
    <w:rsid w:val="0021353D"/>
    <w:rsid w:val="002C4B62"/>
    <w:rsid w:val="007C4065"/>
    <w:rsid w:val="007C4267"/>
    <w:rsid w:val="00A67BB1"/>
    <w:rsid w:val="00A7585F"/>
    <w:rsid w:val="00AA7BBC"/>
    <w:rsid w:val="00B919BE"/>
    <w:rsid w:val="00BD67A6"/>
    <w:rsid w:val="00E3783E"/>
    <w:rsid w:val="00F265EA"/>
    <w:rsid w:val="00F527E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334DB3A582B4A469CC6D6E2B7A3FA02">
    <w:name w:val="6334DB3A582B4A469CC6D6E2B7A3FA02"/>
  </w:style>
  <w:style w:type="character" w:styleId="PlaceholderText">
    <w:name w:val="Placeholder Text"/>
    <w:basedOn w:val="DefaultParagraphFont"/>
    <w:uiPriority w:val="99"/>
    <w:semiHidden/>
    <w:rPr>
      <w:color w:val="808080"/>
    </w:rPr>
  </w:style>
  <w:style w:type="paragraph" w:customStyle="1" w:styleId="D986F8D02844422EB52722B89F8010E9">
    <w:name w:val="D986F8D02844422EB52722B89F8010E9"/>
  </w:style>
  <w:style w:type="character" w:styleId="Hyperlink">
    <w:name w:val="Hyperlink"/>
    <w:uiPriority w:val="99"/>
    <w:rPr>
      <w:color w:val="auto"/>
      <w:u w:val="single"/>
    </w:rPr>
  </w:style>
  <w:style w:type="paragraph" w:customStyle="1" w:styleId="Bottomblocktext">
    <w:name w:val="Bottom block text"/>
    <w:basedOn w:val="Normal"/>
    <w:uiPriority w:val="99"/>
    <w:pPr>
      <w:keepNext/>
      <w:keepLines/>
      <w:suppressAutoHyphens/>
      <w:autoSpaceDE w:val="0"/>
      <w:autoSpaceDN w:val="0"/>
      <w:adjustRightInd w:val="0"/>
      <w:spacing w:before="113" w:after="57" w:line="200" w:lineRule="atLeast"/>
      <w:textAlignment w:val="center"/>
    </w:pPr>
    <w:rPr>
      <w:rFonts w:ascii="Arial" w:eastAsia="Calibri" w:hAnsi="Arial" w:cs="Montserrat SemiBold"/>
      <w:bCs/>
      <w:color w:val="000000" w:themeColor="text1"/>
      <w:spacing w:val="-1"/>
      <w:kern w:val="0"/>
      <w:sz w:val="16"/>
      <w:szCs w:val="16"/>
      <w:lang w:val="en-US"/>
      <w14:ligatures w14:val="none"/>
    </w:rPr>
  </w:style>
  <w:style w:type="paragraph" w:customStyle="1" w:styleId="5A75895B249E4B228134EA088CEBB953">
    <w:name w:val="5A75895B249E4B228134EA088CEBB9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HS - NEW BRAND">
      <a:dk1>
        <a:srgbClr val="000000"/>
      </a:dk1>
      <a:lt1>
        <a:srgbClr val="FFFFFF"/>
      </a:lt1>
      <a:dk2>
        <a:srgbClr val="575757"/>
      </a:dk2>
      <a:lt2>
        <a:srgbClr val="F4F3EE"/>
      </a:lt2>
      <a:accent1>
        <a:srgbClr val="3D2262"/>
      </a:accent1>
      <a:accent2>
        <a:srgbClr val="6E3894"/>
      </a:accent2>
      <a:accent3>
        <a:srgbClr val="00B5A5"/>
      </a:accent3>
      <a:accent4>
        <a:srgbClr val="24C2E8"/>
      </a:accent4>
      <a:accent5>
        <a:srgbClr val="F172A4"/>
      </a:accent5>
      <a:accent6>
        <a:srgbClr val="F47A5C"/>
      </a:accent6>
      <a:hlink>
        <a:srgbClr val="002677"/>
      </a:hlink>
      <a:folHlink>
        <a:srgbClr val="575757"/>
      </a:folHlink>
    </a:clrScheme>
    <a:fontScheme name="CHS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2025-03-20T13:00:00+00:00</Approval_x0020_Date>
    <Review_x0020_Date xmlns="690b2128-8961-48af-a473-22c34a9accba">2028-02-29T13:00:00+00:00</Review_x0020_Date>
    <TaxCatchAll xmlns="c0239a80-7f07-4ed7-82c3-24ad7d76ada5">
      <Value>436</Value>
      <Value>417</Value>
      <Value>416</Value>
      <Value>415</Value>
    </TaxCatchAll>
    <Version_x0020_Number xmlns="690b2128-8961-48af-a473-22c34a9accba">1</Version_x0020_Number>
    <Notes0 xmlns="690b2128-8961-48af-a473-22c34a9accba" xsi:nil="true"/>
    <Key_x0020_Words xmlns="690b2128-8961-48af-a473-22c34a9accba">PEN-FAST, Penicillin allergy, antibiotic allergy, cross reactivity, direct oral antibiotic challenge </Key_x0020_Words>
    <Type_x0020_of_x0020_Document xmlns="690b2128-8961-48af-a473-22c34a9accba">Guideline</Type_x0020_of_x0020_Document>
    <Approval_x0020_Name_x007c_Committee xmlns="690b2128-8961-48af-a473-22c34a9accba">Policy Document Review Panel</Approval_x0020_Name_x007c_Committee>
    <Status xmlns="690b2128-8961-48af-a473-22c34a9accba">Approved</Status>
    <New_x0020_Applies_x0020_To xmlns="690b2128-8961-48af-a473-22c34a9accba">Canberra Health Services</New_x0020_Applies_x0020_To>
    <Replaces_x003a_ xmlns="690b2128-8961-48af-a473-22c34a9accba" xsi:nil="true"/>
    <ISD_x0020_Submitted xmlns="690b2128-8961-48af-a473-22c34a9accba">Not Required</ISD_x0020_Submitted>
    <Risk_x0020_Rating xmlns="690b2128-8961-48af-a473-22c34a9accba">High</Risk_x0020_Rating>
    <Description0 xmlns="690b2128-8961-48af-a473-22c34a9accba">The key objective of this document is to provide guidance on the assessment of penicillin an-tibiotic allergy. This includes the identification of appropriate patients to have a direct oral challenge and guidance on test doses. </Description0>
    <Display_x0020_on_x0020_Internet xmlns="690b2128-8961-48af-a473-22c34a9accba">true</Display_x0020_on_x0020_Internet>
    <Related_x0020_Documents xmlns="690b2128-8961-48af-a473-22c34a9accba" xsi:nil="true"/>
    <Decision_x0020_Number xmlns="690b2128-8961-48af-a473-22c34a9accba">CHS25/148</Decision_x0020_Number>
    <RelatedPolicies_x002c_ProceduresGuidelines xmlns="690b2128-8961-48af-a473-22c34a9accba">
      <Value>17800</Value>
      <Value>15920</Value>
      <Value>17468</Value>
      <Value>17628</Value>
      <Value>15944</Value>
      <Value>17246</Value>
      <Value>16466</Value>
    </RelatedPolicies_x002c_ProceduresGuidelines>
    <k0794e393e1f41c2810d090eedba34a0 xmlns="690b2128-8961-48af-a473-22c34a9accba">
      <Terms xmlns="http://schemas.microsoft.com/office/infopath/2007/PartnerControls">
        <TermInfo xmlns="http://schemas.microsoft.com/office/infopath/2007/PartnerControls">
          <TermName xmlns="http://schemas.microsoft.com/office/infopath/2007/PartnerControls">Health Records (Privacy and Access) Act 1997 (Territory)</TermName>
          <TermId xmlns="http://schemas.microsoft.com/office/infopath/2007/PartnerControls">d07d1347-0355-417c-badf-2bae9c7c0e3b</TermId>
        </TermInfo>
        <TermInfo xmlns="http://schemas.microsoft.com/office/infopath/2007/PartnerControls">
          <TermName xmlns="http://schemas.microsoft.com/office/infopath/2007/PartnerControls">Human Rights Act 2004 (Territory)</TermName>
          <TermId xmlns="http://schemas.microsoft.com/office/infopath/2007/PartnerControls">bbb6fb4a-2117-4ff9-8364-021a762deae2</TermId>
        </TermInfo>
        <TermInfo xmlns="http://schemas.microsoft.com/office/infopath/2007/PartnerControls">
          <TermName xmlns="http://schemas.microsoft.com/office/infopath/2007/PartnerControls">Work Health and Safety Act 2011 (Territory)</TermName>
          <TermId xmlns="http://schemas.microsoft.com/office/infopath/2007/PartnerControls">ff017976-c7e7-4dc1-b890-63352415bc5e</TermId>
        </TermInfo>
        <TermInfo xmlns="http://schemas.microsoft.com/office/infopath/2007/PartnerControls">
          <TermName xmlns="http://schemas.microsoft.com/office/infopath/2007/PartnerControls">Carer Recognition Act 2010 (Cth)</TermName>
          <TermId xmlns="http://schemas.microsoft.com/office/infopath/2007/PartnerControls">7e399963-a120-4fa2-8773-c52cd2bc7b82</TermId>
        </TermInfo>
      </Terms>
    </k0794e393e1f41c2810d090eedba34a0>
    <New_x0020_Owner xmlns="690b2128-8961-48af-a473-22c34a9accba">Medicine - Infectious Diseases</New_x0020_Owner>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7" ma:contentTypeDescription="Create a new document." ma:contentTypeScope="" ma:versionID="05af2175577faed1011103b1ec98c947">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89ebead5bf43af608b2c21a91bc85e93"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ISD_x0020_Submitted" minOccurs="0"/>
                <xsd:element ref="ns2:k0794e393e1f41c2810d090eedba34a0" minOccurs="0"/>
                <xsd:element ref="ns2:RelatedPolicies_x002c_ProceduresGuidelin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Physiotherapists"/>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Maternity"/>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NCH)"/>
              <xsd:enumeration value="North Canberra Hospital (NCH) - Corporate &amp; Finance - Corporate"/>
              <xsd:enumeration value="North Canberra Hospital (NCH) - Corporate &amp; Finance - Finance"/>
              <xsd:enumeration value="North Canberra Hospital (NCH) - Corporate &amp; Finance - Infrastructure"/>
              <xsd:enumeration value="North Canberra Hospital (NCH) - Corporate &amp; Finance - Clinical Support Services"/>
              <xsd:enumeration value="North Canberra Hospital (NCH) - Corporate &amp; Finance - Digital Health and IT"/>
              <xsd:enumeration value="North Canberra Hospital (NCH) - Critical Care - ICU/CCU"/>
              <xsd:enumeration value="North Canberra Hospital (NCH) - Critical Care - Emergency Department"/>
              <xsd:enumeration value="North Canberra Hospital (NCH) - People &amp; Culture - HR"/>
              <xsd:enumeration value="North Canberra Hospital (NCH) - People &amp; Culture - WHS"/>
              <xsd:enumeration value="North Canberra Hospital (NCH) - People &amp; Culture - L&amp;D"/>
              <xsd:enumeration value="North Canberra Hospital (NCH) - People &amp; Culture - Payroll"/>
              <xsd:enumeration value="North Canberra Hospital (NCH) - People &amp; Culture - Volunteer Services"/>
              <xsd:enumeration value="North Canberra Hospital (NCH) - People &amp; Culture - Security"/>
              <xsd:enumeration value="North Canberra Hospital (NCH) - People &amp; Culture - Injury Management"/>
              <xsd:enumeration value="North Canberra Hospital (NCH) - Nursing &amp; Midwifery - IPC"/>
              <xsd:enumeration value="North Canberra Hospital (NCH) - Nursing &amp; Midwifery - Patient Flow"/>
              <xsd:enumeration value="North Canberra Hospital (NCH) - Nursing &amp; Midwifery - Quality &amp; Safety"/>
              <xsd:enumeration value="North Canberra Hospital (NCH) - Nursing &amp; Midwifery - Professional Functions"/>
              <xsd:enumeration value="North Canberra Hospital (NCH) - Nursing &amp; Midwifery - Clinical L&amp;D"/>
              <xsd:enumeration value="North Canberra Hospital (NCH) - Women &amp; Children"/>
              <xsd:enumeration value="North Canberra Hospital (NCH) - Allied Health &amp; Palliative Care - Allied Health"/>
              <xsd:enumeration value="North Canberra Hospital (NCH) - Allied Health &amp; Palliative Care - Pharmacy"/>
              <xsd:enumeration value="North Canberra Hospital (NCH) - Allied Health &amp; Palliative Care - Palliative Care"/>
              <xsd:enumeration value="North Canberra Hospital (NCH) - Allied Health &amp; Palliative Care - Aboriginal &amp; Torres Strait Islander Liaison Service"/>
              <xsd:enumeration value="North Canberra Hospital (NCH) - Allied Health &amp; Palliative Care - Medical Imaging"/>
              <xsd:enumeration value="North Canberra Hospital (NCH) - Allied Health &amp; Palliative Care - Pastoral Care"/>
              <xsd:enumeration value="North Canberra Hospital (NCH) - Medical &amp; Mental Health - Medical"/>
              <xsd:enumeration value="North Canberra Hospital (NCH) - Medical &amp; Mental Health - Mental Health"/>
              <xsd:enumeration value="North Canberra Hospital (NCH) - Medical Services - Ambulatory Care"/>
              <xsd:enumeration value="North Canberra Hospital (NCH) - Medical Services - Medical Administration"/>
              <xsd:enumeration value="North Canberra Hospital (NCH) - Medical Services - Clinical Governance"/>
              <xsd:enumeration value="North Canberra Hospital (NCH) - Medical Services - Credentialling &amp; Scope of Practice"/>
              <xsd:enumeration value="North Canberra Hospital (NCH) - Medical Services - Research &amp; Innovation"/>
              <xsd:enumeration value="North Canberra Hospital (NCH) - Medical Services - Medical Education &amp; Training"/>
              <xsd:enumeration value="North Canberra Hospital (NCH) - Surgical Division - Perioperative Suite"/>
              <xsd:enumeration value="North Canberra Hospital (NCH) - Surgical Division - Surgical Inpatient"/>
              <xsd:enumeration value="North Canberra Hospital (NCH) - Surgical Division - ICU/CCU"/>
              <xsd:enumeration value="North Canberra Hospital (NCH) - Surgical Division - Preadmission"/>
              <xsd:enumeration value="North Canberra Hospital (NCH) - Surgical Division - Anaesthetics/Acute Pain Service"/>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enumeration value="Decision Support Unit, Health Information Servic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ISD_x0020_Submitted" ma:index="38" nillable="true" ma:displayName="ISD Submitted" ma:default="Not Required" ma:format="Dropdown" ma:internalName="ISD_x0020_Submitted">
      <xsd:simpleType>
        <xsd:restriction base="dms:Choice">
          <xsd:enumeration value="Yes"/>
          <xsd:enumeration value="Not Required"/>
        </xsd:restriction>
      </xsd:simpleType>
    </xsd:element>
    <xsd:element name="k0794e393e1f41c2810d090eedba34a0" ma:index="40" nillable="true" ma:taxonomy="true" ma:internalName="k0794e393e1f41c2810d090eedba34a0" ma:taxonomyFieldName="Related_x0020_Legislation_x0020__x0026__x0020_Guidelines" ma:displayName="Related Legislation" ma:default="" ma:fieldId="{40794e39-3e1f-41c2-810d-090eedba34a0}" ma:taxonomyMulti="true" ma:sspId="a32ba9fb-117d-4a5c-9dda-ba27611682cc" ma:termSetId="49344749-ac97-47db-a832-94a6952cd0d1" ma:anchorId="00000000-0000-0000-0000-000000000000" ma:open="false" ma:isKeyword="false">
      <xsd:complexType>
        <xsd:sequence>
          <xsd:element ref="pc:Terms" minOccurs="0" maxOccurs="1"/>
        </xsd:sequence>
      </xsd:complexType>
    </xsd:element>
    <xsd:element name="RelatedPolicies_x002c_ProceduresGuidelines" ma:index="41" nillable="true" ma:displayName="Related Policies, Procedures, Guidelines and Industry Standards" ma:format="Dropdown" ma:list="690b2128-8961-48af-a473-22c34a9accba" ma:internalName="RelatedPolicies_x002c_ProceduresGuidelines" ma:showField="Title">
      <xsd:complexType>
        <xsd:complexContent>
          <xsd:extension base="dms:MultiChoiceLookup">
            <xsd:sequence>
              <xsd:element name="Value" type="dms:Lookup" maxOccurs="unbounded" minOccurs="0" nillable="true"/>
            </xsd:sequence>
          </xsd:extension>
        </xsd:complexContent>
      </xsd:complex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F479F7-317B-462B-AD66-D0950C922A81}">
  <ds:schemaRefs>
    <ds:schemaRef ds:uri="http://schemas.microsoft.com/office/2006/metadata/properties"/>
    <ds:schemaRef ds:uri="http://schemas.microsoft.com/office/infopath/2007/PartnerControls"/>
    <ds:schemaRef ds:uri="0c8e588b-9c83-49d3-a6c8-a54de8f95e6a"/>
  </ds:schemaRefs>
</ds:datastoreItem>
</file>

<file path=customXml/itemProps2.xml><?xml version="1.0" encoding="utf-8"?>
<ds:datastoreItem xmlns:ds="http://schemas.openxmlformats.org/officeDocument/2006/customXml" ds:itemID="{D8E1157F-4ED9-4DA3-BFF5-2EAEF6DD5D3A}">
  <ds:schemaRefs>
    <ds:schemaRef ds:uri="http://schemas.openxmlformats.org/officeDocument/2006/bibliography"/>
  </ds:schemaRefs>
</ds:datastoreItem>
</file>

<file path=customXml/itemProps3.xml><?xml version="1.0" encoding="utf-8"?>
<ds:datastoreItem xmlns:ds="http://schemas.openxmlformats.org/officeDocument/2006/customXml" ds:itemID="{11B23D7B-FDE7-4250-853E-E9D29D697981}"/>
</file>

<file path=customXml/itemProps4.xml><?xml version="1.0" encoding="utf-8"?>
<ds:datastoreItem xmlns:ds="http://schemas.openxmlformats.org/officeDocument/2006/customXml" ds:itemID="{B2AA44A3-6D18-4ED3-A200-2EEC34EF0E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19</Pages>
  <Words>4764</Words>
  <Characters>26300</Characters>
  <Application>Microsoft Office Word</Application>
  <DocSecurity>0</DocSecurity>
  <Lines>597</Lines>
  <Paragraphs>425</Paragraphs>
  <ScaleCrop>false</ScaleCrop>
  <HeadingPairs>
    <vt:vector size="2" baseType="variant">
      <vt:variant>
        <vt:lpstr>Title</vt:lpstr>
      </vt:variant>
      <vt:variant>
        <vt:i4>1</vt:i4>
      </vt:variant>
    </vt:vector>
  </HeadingPairs>
  <TitlesOfParts>
    <vt:vector size="1" baseType="lpstr">
      <vt:lpstr>CHS Report Template</vt:lpstr>
    </vt:vector>
  </TitlesOfParts>
  <Company>Canberra Health Services</Company>
  <LinksUpToDate>false</LinksUpToDate>
  <CharactersWithSpaces>30639</CharactersWithSpaces>
  <SharedDoc>false</SharedDoc>
  <HLinks>
    <vt:vector size="144" baseType="variant">
      <vt:variant>
        <vt:i4>6291572</vt:i4>
      </vt:variant>
      <vt:variant>
        <vt:i4>132</vt:i4>
      </vt:variant>
      <vt:variant>
        <vt:i4>0</vt:i4>
      </vt:variant>
      <vt:variant>
        <vt:i4>5</vt:i4>
      </vt:variant>
      <vt:variant>
        <vt:lpwstr>http://www.health.act.gov.au/accessibility</vt:lpwstr>
      </vt:variant>
      <vt:variant>
        <vt:lpwstr/>
      </vt:variant>
      <vt:variant>
        <vt:i4>5898256</vt:i4>
      </vt:variant>
      <vt:variant>
        <vt:i4>129</vt:i4>
      </vt:variant>
      <vt:variant>
        <vt:i4>0</vt:i4>
      </vt:variant>
      <vt:variant>
        <vt:i4>5</vt:i4>
      </vt:variant>
      <vt:variant>
        <vt:lpwstr>mailto:Belle.thompson.act.gov.au</vt:lpwstr>
      </vt:variant>
      <vt:variant>
        <vt:lpwstr/>
      </vt:variant>
      <vt:variant>
        <vt:i4>327718</vt:i4>
      </vt:variant>
      <vt:variant>
        <vt:i4>126</vt:i4>
      </vt:variant>
      <vt:variant>
        <vt:i4>0</vt:i4>
      </vt:variant>
      <vt:variant>
        <vt:i4>5</vt:i4>
      </vt:variant>
      <vt:variant>
        <vt:lpwstr>mailto:Rachel.hawes@act.gov.au</vt:lpwstr>
      </vt:variant>
      <vt:variant>
        <vt:lpwstr/>
      </vt:variant>
      <vt:variant>
        <vt:i4>5046397</vt:i4>
      </vt:variant>
      <vt:variant>
        <vt:i4>123</vt:i4>
      </vt:variant>
      <vt:variant>
        <vt:i4>0</vt:i4>
      </vt:variant>
      <vt:variant>
        <vt:i4>5</vt:i4>
      </vt:variant>
      <vt:variant>
        <vt:lpwstr>mailto:CSF@health.act.gov.au</vt:lpwstr>
      </vt:variant>
      <vt:variant>
        <vt:lpwstr/>
      </vt:variant>
      <vt:variant>
        <vt:i4>1900602</vt:i4>
      </vt:variant>
      <vt:variant>
        <vt:i4>116</vt:i4>
      </vt:variant>
      <vt:variant>
        <vt:i4>0</vt:i4>
      </vt:variant>
      <vt:variant>
        <vt:i4>5</vt:i4>
      </vt:variant>
      <vt:variant>
        <vt:lpwstr/>
      </vt:variant>
      <vt:variant>
        <vt:lpwstr>_Toc474498311</vt:lpwstr>
      </vt:variant>
      <vt:variant>
        <vt:i4>1835066</vt:i4>
      </vt:variant>
      <vt:variant>
        <vt:i4>110</vt:i4>
      </vt:variant>
      <vt:variant>
        <vt:i4>0</vt:i4>
      </vt:variant>
      <vt:variant>
        <vt:i4>5</vt:i4>
      </vt:variant>
      <vt:variant>
        <vt:lpwstr/>
      </vt:variant>
      <vt:variant>
        <vt:lpwstr>_Toc474498305</vt:lpwstr>
      </vt:variant>
      <vt:variant>
        <vt:i4>1835066</vt:i4>
      </vt:variant>
      <vt:variant>
        <vt:i4>104</vt:i4>
      </vt:variant>
      <vt:variant>
        <vt:i4>0</vt:i4>
      </vt:variant>
      <vt:variant>
        <vt:i4>5</vt:i4>
      </vt:variant>
      <vt:variant>
        <vt:lpwstr/>
      </vt:variant>
      <vt:variant>
        <vt:lpwstr>_Toc474498304</vt:lpwstr>
      </vt:variant>
      <vt:variant>
        <vt:i4>1835066</vt:i4>
      </vt:variant>
      <vt:variant>
        <vt:i4>98</vt:i4>
      </vt:variant>
      <vt:variant>
        <vt:i4>0</vt:i4>
      </vt:variant>
      <vt:variant>
        <vt:i4>5</vt:i4>
      </vt:variant>
      <vt:variant>
        <vt:lpwstr/>
      </vt:variant>
      <vt:variant>
        <vt:lpwstr>_Toc474498303</vt:lpwstr>
      </vt:variant>
      <vt:variant>
        <vt:i4>1835066</vt:i4>
      </vt:variant>
      <vt:variant>
        <vt:i4>92</vt:i4>
      </vt:variant>
      <vt:variant>
        <vt:i4>0</vt:i4>
      </vt:variant>
      <vt:variant>
        <vt:i4>5</vt:i4>
      </vt:variant>
      <vt:variant>
        <vt:lpwstr/>
      </vt:variant>
      <vt:variant>
        <vt:lpwstr>_Toc474498302</vt:lpwstr>
      </vt:variant>
      <vt:variant>
        <vt:i4>1835066</vt:i4>
      </vt:variant>
      <vt:variant>
        <vt:i4>86</vt:i4>
      </vt:variant>
      <vt:variant>
        <vt:i4>0</vt:i4>
      </vt:variant>
      <vt:variant>
        <vt:i4>5</vt:i4>
      </vt:variant>
      <vt:variant>
        <vt:lpwstr/>
      </vt:variant>
      <vt:variant>
        <vt:lpwstr>_Toc474498301</vt:lpwstr>
      </vt:variant>
      <vt:variant>
        <vt:i4>1835066</vt:i4>
      </vt:variant>
      <vt:variant>
        <vt:i4>80</vt:i4>
      </vt:variant>
      <vt:variant>
        <vt:i4>0</vt:i4>
      </vt:variant>
      <vt:variant>
        <vt:i4>5</vt:i4>
      </vt:variant>
      <vt:variant>
        <vt:lpwstr/>
      </vt:variant>
      <vt:variant>
        <vt:lpwstr>_Toc474498300</vt:lpwstr>
      </vt:variant>
      <vt:variant>
        <vt:i4>1376315</vt:i4>
      </vt:variant>
      <vt:variant>
        <vt:i4>74</vt:i4>
      </vt:variant>
      <vt:variant>
        <vt:i4>0</vt:i4>
      </vt:variant>
      <vt:variant>
        <vt:i4>5</vt:i4>
      </vt:variant>
      <vt:variant>
        <vt:lpwstr/>
      </vt:variant>
      <vt:variant>
        <vt:lpwstr>_Toc474498299</vt:lpwstr>
      </vt:variant>
      <vt:variant>
        <vt:i4>1376315</vt:i4>
      </vt:variant>
      <vt:variant>
        <vt:i4>68</vt:i4>
      </vt:variant>
      <vt:variant>
        <vt:i4>0</vt:i4>
      </vt:variant>
      <vt:variant>
        <vt:i4>5</vt:i4>
      </vt:variant>
      <vt:variant>
        <vt:lpwstr/>
      </vt:variant>
      <vt:variant>
        <vt:lpwstr>_Toc474498298</vt:lpwstr>
      </vt:variant>
      <vt:variant>
        <vt:i4>1376315</vt:i4>
      </vt:variant>
      <vt:variant>
        <vt:i4>62</vt:i4>
      </vt:variant>
      <vt:variant>
        <vt:i4>0</vt:i4>
      </vt:variant>
      <vt:variant>
        <vt:i4>5</vt:i4>
      </vt:variant>
      <vt:variant>
        <vt:lpwstr/>
      </vt:variant>
      <vt:variant>
        <vt:lpwstr>_Toc474498297</vt:lpwstr>
      </vt:variant>
      <vt:variant>
        <vt:i4>1376315</vt:i4>
      </vt:variant>
      <vt:variant>
        <vt:i4>56</vt:i4>
      </vt:variant>
      <vt:variant>
        <vt:i4>0</vt:i4>
      </vt:variant>
      <vt:variant>
        <vt:i4>5</vt:i4>
      </vt:variant>
      <vt:variant>
        <vt:lpwstr/>
      </vt:variant>
      <vt:variant>
        <vt:lpwstr>_Toc474498296</vt:lpwstr>
      </vt:variant>
      <vt:variant>
        <vt:i4>1376315</vt:i4>
      </vt:variant>
      <vt:variant>
        <vt:i4>50</vt:i4>
      </vt:variant>
      <vt:variant>
        <vt:i4>0</vt:i4>
      </vt:variant>
      <vt:variant>
        <vt:i4>5</vt:i4>
      </vt:variant>
      <vt:variant>
        <vt:lpwstr/>
      </vt:variant>
      <vt:variant>
        <vt:lpwstr>_Toc474498295</vt:lpwstr>
      </vt:variant>
      <vt:variant>
        <vt:i4>1376315</vt:i4>
      </vt:variant>
      <vt:variant>
        <vt:i4>44</vt:i4>
      </vt:variant>
      <vt:variant>
        <vt:i4>0</vt:i4>
      </vt:variant>
      <vt:variant>
        <vt:i4>5</vt:i4>
      </vt:variant>
      <vt:variant>
        <vt:lpwstr/>
      </vt:variant>
      <vt:variant>
        <vt:lpwstr>_Toc474498294</vt:lpwstr>
      </vt:variant>
      <vt:variant>
        <vt:i4>1376315</vt:i4>
      </vt:variant>
      <vt:variant>
        <vt:i4>38</vt:i4>
      </vt:variant>
      <vt:variant>
        <vt:i4>0</vt:i4>
      </vt:variant>
      <vt:variant>
        <vt:i4>5</vt:i4>
      </vt:variant>
      <vt:variant>
        <vt:lpwstr/>
      </vt:variant>
      <vt:variant>
        <vt:lpwstr>_Toc474498293</vt:lpwstr>
      </vt:variant>
      <vt:variant>
        <vt:i4>1376315</vt:i4>
      </vt:variant>
      <vt:variant>
        <vt:i4>32</vt:i4>
      </vt:variant>
      <vt:variant>
        <vt:i4>0</vt:i4>
      </vt:variant>
      <vt:variant>
        <vt:i4>5</vt:i4>
      </vt:variant>
      <vt:variant>
        <vt:lpwstr/>
      </vt:variant>
      <vt:variant>
        <vt:lpwstr>_Toc474498292</vt:lpwstr>
      </vt:variant>
      <vt:variant>
        <vt:i4>1376315</vt:i4>
      </vt:variant>
      <vt:variant>
        <vt:i4>26</vt:i4>
      </vt:variant>
      <vt:variant>
        <vt:i4>0</vt:i4>
      </vt:variant>
      <vt:variant>
        <vt:i4>5</vt:i4>
      </vt:variant>
      <vt:variant>
        <vt:lpwstr/>
      </vt:variant>
      <vt:variant>
        <vt:lpwstr>_Toc474498291</vt:lpwstr>
      </vt:variant>
      <vt:variant>
        <vt:i4>1376315</vt:i4>
      </vt:variant>
      <vt:variant>
        <vt:i4>20</vt:i4>
      </vt:variant>
      <vt:variant>
        <vt:i4>0</vt:i4>
      </vt:variant>
      <vt:variant>
        <vt:i4>5</vt:i4>
      </vt:variant>
      <vt:variant>
        <vt:lpwstr/>
      </vt:variant>
      <vt:variant>
        <vt:lpwstr>_Toc474498290</vt:lpwstr>
      </vt:variant>
      <vt:variant>
        <vt:i4>1310779</vt:i4>
      </vt:variant>
      <vt:variant>
        <vt:i4>14</vt:i4>
      </vt:variant>
      <vt:variant>
        <vt:i4>0</vt:i4>
      </vt:variant>
      <vt:variant>
        <vt:i4>5</vt:i4>
      </vt:variant>
      <vt:variant>
        <vt:lpwstr/>
      </vt:variant>
      <vt:variant>
        <vt:lpwstr>_Toc474498289</vt:lpwstr>
      </vt:variant>
      <vt:variant>
        <vt:i4>1310779</vt:i4>
      </vt:variant>
      <vt:variant>
        <vt:i4>8</vt:i4>
      </vt:variant>
      <vt:variant>
        <vt:i4>0</vt:i4>
      </vt:variant>
      <vt:variant>
        <vt:i4>5</vt:i4>
      </vt:variant>
      <vt:variant>
        <vt:lpwstr/>
      </vt:variant>
      <vt:variant>
        <vt:lpwstr>_Toc474498288</vt:lpwstr>
      </vt:variant>
      <vt:variant>
        <vt:i4>1310779</vt:i4>
      </vt:variant>
      <vt:variant>
        <vt:i4>2</vt:i4>
      </vt:variant>
      <vt:variant>
        <vt:i4>0</vt:i4>
      </vt:variant>
      <vt:variant>
        <vt:i4>5</vt:i4>
      </vt:variant>
      <vt:variant>
        <vt:lpwstr/>
      </vt:variant>
      <vt:variant>
        <vt:lpwstr>_Toc474498285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Penicillin Allergy Oral Challenge in Adults</dc:title>
  <dc:creator>Moran, Elizabeth (Health)</dc:creator>
  <cp:lastModifiedBy>Rusanov, Zoia</cp:lastModifiedBy>
  <cp:revision>5</cp:revision>
  <cp:lastPrinted>2017-05-22T07:29:00Z</cp:lastPrinted>
  <dcterms:created xsi:type="dcterms:W3CDTF">2025-03-31T02:12:00Z</dcterms:created>
  <dcterms:modified xsi:type="dcterms:W3CDTF">2025-04-03T03:15:00Z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2024-04-16T03:17:13Z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964bf178-7723-4565-81c7-196b73e2d694</vt:lpwstr>
  </property>
  <property fmtid="{D5CDD505-2E9C-101B-9397-08002B2CF9AE}" pid="8" name="MSIP_Label_69af8531-eb46-4968-8cb3-105d2f5ea87e_ContentBits">
    <vt:lpwstr>0</vt:lpwstr>
  </property>
  <property fmtid="{D5CDD505-2E9C-101B-9397-08002B2CF9AE}" pid="9" name="ContentTypeId">
    <vt:lpwstr>0x0101002046B23B19A8774893278BE755DCE152</vt:lpwstr>
  </property>
  <property fmtid="{D5CDD505-2E9C-101B-9397-08002B2CF9AE}" pid="10" name="Related Legislation &amp; Guidelines">
    <vt:lpwstr>415;#Health Records (Privacy and Access) Act 1997 (Territory)|d07d1347-0355-417c-badf-2bae9c7c0e3b;#416;#Human Rights Act 2004 (Territory)|bbb6fb4a-2117-4ff9-8364-021a762deae2;#417;#Work Health and Safety Act 2011 (Territory)|ff017976-c7e7-4dc1-b890-63352415bc5e;#436;#Carer Recognition Act 2010 (Cth)|7e399963-a120-4fa2-8773-c52cd2bc7b82</vt:lpwstr>
  </property>
  <property fmtid="{D5CDD505-2E9C-101B-9397-08002B2CF9AE}" pid="11" name="Related_x0020_Legislation_x0020__x0026__x0020_Guidelines">
    <vt:lpwstr>415;#Health Records (Privacy and Access) Act 1997 (Territory)|d07d1347-0355-417c-badf-2bae9c7c0e3b;#416;#Human Rights Act 2004 (Territory)|bbb6fb4a-2117-4ff9-8364-021a762deae2;#417;#Work Health and Safety Act 2011 (Territory)|ff017976-c7e7-4dc1-b890-63352415bc5e;#436;#Carer Recognition Act 2010 (Cth)|7e399963-a120-4fa2-8773-c52cd2bc7b82</vt:lpwstr>
  </property>
</Properties>
</file>