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C340"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44163954" w14:textId="11DF81C6" w:rsidR="0047238D" w:rsidRPr="00E30F1D" w:rsidRDefault="0047238D" w:rsidP="0047238D">
      <w:pPr>
        <w:rPr>
          <w:sz w:val="32"/>
          <w:szCs w:val="32"/>
        </w:rPr>
      </w:pPr>
      <w:r w:rsidRPr="00E30F1D">
        <w:rPr>
          <w:sz w:val="32"/>
          <w:szCs w:val="32"/>
        </w:rPr>
        <w:t>O</w:t>
      </w:r>
      <w:r w:rsidR="00EC1C34" w:rsidRPr="00E30F1D">
        <w:rPr>
          <w:sz w:val="32"/>
          <w:szCs w:val="32"/>
        </w:rPr>
        <w:t xml:space="preserve">ral Penicillin Desensitisation Protocol for Pregnant </w:t>
      </w:r>
      <w:r w:rsidR="009B1561" w:rsidRPr="00E30F1D">
        <w:rPr>
          <w:sz w:val="32"/>
          <w:szCs w:val="32"/>
        </w:rPr>
        <w:t>P</w:t>
      </w:r>
      <w:r w:rsidR="009B1561">
        <w:rPr>
          <w:sz w:val="32"/>
          <w:szCs w:val="32"/>
        </w:rPr>
        <w:t>atients</w:t>
      </w:r>
      <w:r w:rsidR="009B1561" w:rsidRPr="00E30F1D">
        <w:rPr>
          <w:sz w:val="32"/>
          <w:szCs w:val="32"/>
        </w:rPr>
        <w:t xml:space="preserve"> </w:t>
      </w:r>
      <w:r w:rsidR="00EC1C34" w:rsidRPr="00E30F1D">
        <w:rPr>
          <w:sz w:val="32"/>
          <w:szCs w:val="32"/>
        </w:rPr>
        <w:t>with Syphilis Infection</w:t>
      </w:r>
    </w:p>
    <w:p w14:paraId="23A22582" w14:textId="7D06B93F" w:rsidR="00CA4FDE" w:rsidRDefault="00E31596" w:rsidP="00C34A10">
      <w:pPr>
        <w:pStyle w:val="BodyCopy"/>
        <w:spacing w:before="0" w:line="240" w:lineRule="auto"/>
        <w:rPr>
          <w:color w:val="575757" w:themeColor="text2"/>
          <w:sz w:val="20"/>
          <w:szCs w:val="20"/>
        </w:rPr>
      </w:pPr>
      <w:r w:rsidRPr="00197F2E">
        <w:t>CHS</w:t>
      </w:r>
      <w:r w:rsidR="006B1002">
        <w:t>25/366</w:t>
      </w:r>
      <w:bookmarkStart w:id="0" w:name="_Hlk157074578"/>
    </w:p>
    <w:sdt>
      <w:sdtPr>
        <w:rPr>
          <w:rFonts w:eastAsia="Times New Roman"/>
          <w:b/>
          <w:bCs/>
          <w:color w:val="000000"/>
          <w:sz w:val="32"/>
          <w:szCs w:val="32"/>
          <w:lang w:eastAsia="en-US"/>
        </w:rPr>
        <w:id w:val="-1970349504"/>
        <w:docPartObj>
          <w:docPartGallery w:val="Table of Contents"/>
          <w:docPartUnique/>
        </w:docPartObj>
      </w:sdtPr>
      <w:sdtEndPr>
        <w:rPr>
          <w:noProof/>
          <w:color w:val="000000" w:themeColor="text1"/>
        </w:rPr>
      </w:sdtEndPr>
      <w:sdtContent>
        <w:p w14:paraId="22CAD8DC" w14:textId="77777777" w:rsidR="00E30F1D" w:rsidRPr="00E30F1D" w:rsidRDefault="00E30F1D" w:rsidP="00E30F1D">
          <w:pPr>
            <w:spacing w:before="0" w:after="360" w:line="240" w:lineRule="auto"/>
            <w:rPr>
              <w:rFonts w:eastAsia="Times New Roman"/>
              <w:b/>
              <w:iCs/>
              <w:color w:val="000000"/>
              <w:sz w:val="28"/>
              <w:szCs w:val="36"/>
              <w:lang w:eastAsia="en-US"/>
            </w:rPr>
          </w:pPr>
          <w:r w:rsidRPr="00E30F1D">
            <w:rPr>
              <w:rFonts w:eastAsia="Times New Roman"/>
              <w:b/>
              <w:iCs/>
              <w:color w:val="000000"/>
              <w:sz w:val="28"/>
              <w:szCs w:val="36"/>
              <w:lang w:eastAsia="en-US"/>
            </w:rPr>
            <w:t>Contents</w:t>
          </w:r>
        </w:p>
        <w:p w14:paraId="525E0988" w14:textId="21D37342" w:rsidR="00265390" w:rsidRDefault="00E30F1D">
          <w:pPr>
            <w:pStyle w:val="TOC1"/>
            <w:rPr>
              <w:rFonts w:asciiTheme="minorHAnsi" w:eastAsiaTheme="minorEastAsia" w:hAnsiTheme="minorHAnsi" w:cstheme="minorBidi"/>
              <w:color w:val="auto"/>
              <w:kern w:val="2"/>
              <w14:ligatures w14:val="standardContextual"/>
            </w:rPr>
          </w:pPr>
          <w:r w:rsidRPr="00E30F1D">
            <w:rPr>
              <w:rFonts w:cs="Times New Roman"/>
              <w:b/>
            </w:rPr>
            <w:fldChar w:fldCharType="begin"/>
          </w:r>
          <w:r w:rsidRPr="00E30F1D">
            <w:rPr>
              <w:rFonts w:cs="Times New Roman"/>
              <w:b/>
            </w:rPr>
            <w:instrText xml:space="preserve"> TOC \h \z \u \t "Heading 4,1" </w:instrText>
          </w:r>
          <w:r w:rsidRPr="00E30F1D">
            <w:rPr>
              <w:rFonts w:cs="Times New Roman"/>
              <w:b/>
            </w:rPr>
            <w:fldChar w:fldCharType="separate"/>
          </w:r>
          <w:hyperlink w:anchor="_Toc207966943" w:history="1">
            <w:r w:rsidR="00265390" w:rsidRPr="00F16EB9">
              <w:rPr>
                <w:rStyle w:val="Hyperlink"/>
              </w:rPr>
              <w:t>Purpose</w:t>
            </w:r>
            <w:r w:rsidR="00265390">
              <w:rPr>
                <w:webHidden/>
              </w:rPr>
              <w:tab/>
            </w:r>
            <w:r w:rsidR="00265390">
              <w:rPr>
                <w:webHidden/>
              </w:rPr>
              <w:fldChar w:fldCharType="begin"/>
            </w:r>
            <w:r w:rsidR="00265390">
              <w:rPr>
                <w:webHidden/>
              </w:rPr>
              <w:instrText xml:space="preserve"> PAGEREF _Toc207966943 \h </w:instrText>
            </w:r>
            <w:r w:rsidR="00265390">
              <w:rPr>
                <w:webHidden/>
              </w:rPr>
            </w:r>
            <w:r w:rsidR="00265390">
              <w:rPr>
                <w:webHidden/>
              </w:rPr>
              <w:fldChar w:fldCharType="separate"/>
            </w:r>
            <w:r w:rsidR="00265390">
              <w:rPr>
                <w:webHidden/>
              </w:rPr>
              <w:t>2</w:t>
            </w:r>
            <w:r w:rsidR="00265390">
              <w:rPr>
                <w:webHidden/>
              </w:rPr>
              <w:fldChar w:fldCharType="end"/>
            </w:r>
          </w:hyperlink>
        </w:p>
        <w:p w14:paraId="7CA090CD" w14:textId="4566D7C5" w:rsidR="00265390" w:rsidRDefault="00265390">
          <w:pPr>
            <w:pStyle w:val="TOC1"/>
            <w:rPr>
              <w:rFonts w:asciiTheme="minorHAnsi" w:eastAsiaTheme="minorEastAsia" w:hAnsiTheme="minorHAnsi" w:cstheme="minorBidi"/>
              <w:color w:val="auto"/>
              <w:kern w:val="2"/>
              <w14:ligatures w14:val="standardContextual"/>
            </w:rPr>
          </w:pPr>
          <w:hyperlink w:anchor="_Toc207966944" w:history="1">
            <w:r w:rsidRPr="00F16EB9">
              <w:rPr>
                <w:rStyle w:val="Hyperlink"/>
              </w:rPr>
              <w:t>Scope</w:t>
            </w:r>
            <w:r>
              <w:rPr>
                <w:webHidden/>
              </w:rPr>
              <w:tab/>
            </w:r>
            <w:r>
              <w:rPr>
                <w:webHidden/>
              </w:rPr>
              <w:fldChar w:fldCharType="begin"/>
            </w:r>
            <w:r>
              <w:rPr>
                <w:webHidden/>
              </w:rPr>
              <w:instrText xml:space="preserve"> PAGEREF _Toc207966944 \h </w:instrText>
            </w:r>
            <w:r>
              <w:rPr>
                <w:webHidden/>
              </w:rPr>
            </w:r>
            <w:r>
              <w:rPr>
                <w:webHidden/>
              </w:rPr>
              <w:fldChar w:fldCharType="separate"/>
            </w:r>
            <w:r>
              <w:rPr>
                <w:webHidden/>
              </w:rPr>
              <w:t>2</w:t>
            </w:r>
            <w:r>
              <w:rPr>
                <w:webHidden/>
              </w:rPr>
              <w:fldChar w:fldCharType="end"/>
            </w:r>
          </w:hyperlink>
        </w:p>
        <w:p w14:paraId="36E005FA" w14:textId="17065A1A" w:rsidR="00265390" w:rsidRDefault="00265390">
          <w:pPr>
            <w:pStyle w:val="TOC1"/>
            <w:rPr>
              <w:rFonts w:asciiTheme="minorHAnsi" w:eastAsiaTheme="minorEastAsia" w:hAnsiTheme="minorHAnsi" w:cstheme="minorBidi"/>
              <w:color w:val="auto"/>
              <w:kern w:val="2"/>
              <w14:ligatures w14:val="standardContextual"/>
            </w:rPr>
          </w:pPr>
          <w:hyperlink w:anchor="_Toc207966945" w:history="1">
            <w:r w:rsidRPr="00F16EB9">
              <w:rPr>
                <w:rStyle w:val="Hyperlink"/>
              </w:rPr>
              <w:t>Section 1 - Prior to desensitisation</w:t>
            </w:r>
            <w:r>
              <w:rPr>
                <w:webHidden/>
              </w:rPr>
              <w:tab/>
            </w:r>
            <w:r>
              <w:rPr>
                <w:webHidden/>
              </w:rPr>
              <w:fldChar w:fldCharType="begin"/>
            </w:r>
            <w:r>
              <w:rPr>
                <w:webHidden/>
              </w:rPr>
              <w:instrText xml:space="preserve"> PAGEREF _Toc207966945 \h </w:instrText>
            </w:r>
            <w:r>
              <w:rPr>
                <w:webHidden/>
              </w:rPr>
            </w:r>
            <w:r>
              <w:rPr>
                <w:webHidden/>
              </w:rPr>
              <w:fldChar w:fldCharType="separate"/>
            </w:r>
            <w:r>
              <w:rPr>
                <w:webHidden/>
              </w:rPr>
              <w:t>2</w:t>
            </w:r>
            <w:r>
              <w:rPr>
                <w:webHidden/>
              </w:rPr>
              <w:fldChar w:fldCharType="end"/>
            </w:r>
          </w:hyperlink>
        </w:p>
        <w:p w14:paraId="4B522B40" w14:textId="543B4E9E" w:rsidR="00265390" w:rsidRDefault="00265390">
          <w:pPr>
            <w:pStyle w:val="TOC1"/>
            <w:rPr>
              <w:rFonts w:asciiTheme="minorHAnsi" w:eastAsiaTheme="minorEastAsia" w:hAnsiTheme="minorHAnsi" w:cstheme="minorBidi"/>
              <w:color w:val="auto"/>
              <w:kern w:val="2"/>
              <w14:ligatures w14:val="standardContextual"/>
            </w:rPr>
          </w:pPr>
          <w:hyperlink w:anchor="_Toc207966946" w:history="1">
            <w:r w:rsidRPr="00F16EB9">
              <w:rPr>
                <w:rStyle w:val="Hyperlink"/>
              </w:rPr>
              <w:t>Section 2 - Setting of desensitisation</w:t>
            </w:r>
            <w:r>
              <w:rPr>
                <w:webHidden/>
              </w:rPr>
              <w:tab/>
            </w:r>
            <w:r>
              <w:rPr>
                <w:webHidden/>
              </w:rPr>
              <w:fldChar w:fldCharType="begin"/>
            </w:r>
            <w:r>
              <w:rPr>
                <w:webHidden/>
              </w:rPr>
              <w:instrText xml:space="preserve"> PAGEREF _Toc207966946 \h </w:instrText>
            </w:r>
            <w:r>
              <w:rPr>
                <w:webHidden/>
              </w:rPr>
            </w:r>
            <w:r>
              <w:rPr>
                <w:webHidden/>
              </w:rPr>
              <w:fldChar w:fldCharType="separate"/>
            </w:r>
            <w:r>
              <w:rPr>
                <w:webHidden/>
              </w:rPr>
              <w:t>3</w:t>
            </w:r>
            <w:r>
              <w:rPr>
                <w:webHidden/>
              </w:rPr>
              <w:fldChar w:fldCharType="end"/>
            </w:r>
          </w:hyperlink>
        </w:p>
        <w:p w14:paraId="2A521184" w14:textId="011258C2" w:rsidR="00265390" w:rsidRDefault="00265390">
          <w:pPr>
            <w:pStyle w:val="TOC1"/>
            <w:rPr>
              <w:rFonts w:asciiTheme="minorHAnsi" w:eastAsiaTheme="minorEastAsia" w:hAnsiTheme="minorHAnsi" w:cstheme="minorBidi"/>
              <w:color w:val="auto"/>
              <w:kern w:val="2"/>
              <w14:ligatures w14:val="standardContextual"/>
            </w:rPr>
          </w:pPr>
          <w:hyperlink w:anchor="_Toc207966947" w:history="1">
            <w:r w:rsidRPr="00F16EB9">
              <w:rPr>
                <w:rStyle w:val="Hyperlink"/>
              </w:rPr>
              <w:t>Section 3 - Patient counselling</w:t>
            </w:r>
            <w:r>
              <w:rPr>
                <w:webHidden/>
              </w:rPr>
              <w:tab/>
            </w:r>
            <w:r>
              <w:rPr>
                <w:webHidden/>
              </w:rPr>
              <w:fldChar w:fldCharType="begin"/>
            </w:r>
            <w:r>
              <w:rPr>
                <w:webHidden/>
              </w:rPr>
              <w:instrText xml:space="preserve"> PAGEREF _Toc207966947 \h </w:instrText>
            </w:r>
            <w:r>
              <w:rPr>
                <w:webHidden/>
              </w:rPr>
            </w:r>
            <w:r>
              <w:rPr>
                <w:webHidden/>
              </w:rPr>
              <w:fldChar w:fldCharType="separate"/>
            </w:r>
            <w:r>
              <w:rPr>
                <w:webHidden/>
              </w:rPr>
              <w:t>3</w:t>
            </w:r>
            <w:r>
              <w:rPr>
                <w:webHidden/>
              </w:rPr>
              <w:fldChar w:fldCharType="end"/>
            </w:r>
          </w:hyperlink>
        </w:p>
        <w:p w14:paraId="2976B192" w14:textId="36A20652" w:rsidR="00265390" w:rsidRDefault="00265390">
          <w:pPr>
            <w:pStyle w:val="TOC1"/>
            <w:rPr>
              <w:rFonts w:asciiTheme="minorHAnsi" w:eastAsiaTheme="minorEastAsia" w:hAnsiTheme="minorHAnsi" w:cstheme="minorBidi"/>
              <w:color w:val="auto"/>
              <w:kern w:val="2"/>
              <w14:ligatures w14:val="standardContextual"/>
            </w:rPr>
          </w:pPr>
          <w:hyperlink w:anchor="_Toc207966948" w:history="1">
            <w:r w:rsidRPr="00F16EB9">
              <w:rPr>
                <w:rStyle w:val="Hyperlink"/>
              </w:rPr>
              <w:t>Section 4 - Timing of presentation</w:t>
            </w:r>
            <w:r>
              <w:rPr>
                <w:webHidden/>
              </w:rPr>
              <w:tab/>
            </w:r>
            <w:r>
              <w:rPr>
                <w:webHidden/>
              </w:rPr>
              <w:fldChar w:fldCharType="begin"/>
            </w:r>
            <w:r>
              <w:rPr>
                <w:webHidden/>
              </w:rPr>
              <w:instrText xml:space="preserve"> PAGEREF _Toc207966948 \h </w:instrText>
            </w:r>
            <w:r>
              <w:rPr>
                <w:webHidden/>
              </w:rPr>
            </w:r>
            <w:r>
              <w:rPr>
                <w:webHidden/>
              </w:rPr>
              <w:fldChar w:fldCharType="separate"/>
            </w:r>
            <w:r>
              <w:rPr>
                <w:webHidden/>
              </w:rPr>
              <w:t>3</w:t>
            </w:r>
            <w:r>
              <w:rPr>
                <w:webHidden/>
              </w:rPr>
              <w:fldChar w:fldCharType="end"/>
            </w:r>
          </w:hyperlink>
        </w:p>
        <w:p w14:paraId="498705DB" w14:textId="29B91AB5" w:rsidR="00265390" w:rsidRDefault="00265390">
          <w:pPr>
            <w:pStyle w:val="TOC1"/>
            <w:rPr>
              <w:rFonts w:asciiTheme="minorHAnsi" w:eastAsiaTheme="minorEastAsia" w:hAnsiTheme="minorHAnsi" w:cstheme="minorBidi"/>
              <w:color w:val="auto"/>
              <w:kern w:val="2"/>
              <w14:ligatures w14:val="standardContextual"/>
            </w:rPr>
          </w:pPr>
          <w:hyperlink w:anchor="_Toc207966949" w:history="1">
            <w:r w:rsidRPr="00F16EB9">
              <w:rPr>
                <w:rStyle w:val="Hyperlink"/>
              </w:rPr>
              <w:t>Section 5 - Desensitisation protocol and procedure</w:t>
            </w:r>
            <w:r>
              <w:rPr>
                <w:webHidden/>
              </w:rPr>
              <w:tab/>
            </w:r>
            <w:r>
              <w:rPr>
                <w:webHidden/>
              </w:rPr>
              <w:fldChar w:fldCharType="begin"/>
            </w:r>
            <w:r>
              <w:rPr>
                <w:webHidden/>
              </w:rPr>
              <w:instrText xml:space="preserve"> PAGEREF _Toc207966949 \h </w:instrText>
            </w:r>
            <w:r>
              <w:rPr>
                <w:webHidden/>
              </w:rPr>
            </w:r>
            <w:r>
              <w:rPr>
                <w:webHidden/>
              </w:rPr>
              <w:fldChar w:fldCharType="separate"/>
            </w:r>
            <w:r>
              <w:rPr>
                <w:webHidden/>
              </w:rPr>
              <w:t>5</w:t>
            </w:r>
            <w:r>
              <w:rPr>
                <w:webHidden/>
              </w:rPr>
              <w:fldChar w:fldCharType="end"/>
            </w:r>
          </w:hyperlink>
        </w:p>
        <w:p w14:paraId="5BF877E7" w14:textId="3765EC0F" w:rsidR="00265390" w:rsidRDefault="00265390">
          <w:pPr>
            <w:pStyle w:val="TOC1"/>
            <w:rPr>
              <w:rFonts w:asciiTheme="minorHAnsi" w:eastAsiaTheme="minorEastAsia" w:hAnsiTheme="minorHAnsi" w:cstheme="minorBidi"/>
              <w:color w:val="auto"/>
              <w:kern w:val="2"/>
              <w14:ligatures w14:val="standardContextual"/>
            </w:rPr>
          </w:pPr>
          <w:hyperlink w:anchor="_Toc207966950" w:history="1">
            <w:r w:rsidRPr="00F16EB9">
              <w:rPr>
                <w:rStyle w:val="Hyperlink"/>
              </w:rPr>
              <w:t>Section 6 - Following desensitisation &amp; treatment</w:t>
            </w:r>
            <w:r>
              <w:rPr>
                <w:webHidden/>
              </w:rPr>
              <w:tab/>
            </w:r>
            <w:r>
              <w:rPr>
                <w:webHidden/>
              </w:rPr>
              <w:fldChar w:fldCharType="begin"/>
            </w:r>
            <w:r>
              <w:rPr>
                <w:webHidden/>
              </w:rPr>
              <w:instrText xml:space="preserve"> PAGEREF _Toc207966950 \h </w:instrText>
            </w:r>
            <w:r>
              <w:rPr>
                <w:webHidden/>
              </w:rPr>
            </w:r>
            <w:r>
              <w:rPr>
                <w:webHidden/>
              </w:rPr>
              <w:fldChar w:fldCharType="separate"/>
            </w:r>
            <w:r>
              <w:rPr>
                <w:webHidden/>
              </w:rPr>
              <w:t>7</w:t>
            </w:r>
            <w:r>
              <w:rPr>
                <w:webHidden/>
              </w:rPr>
              <w:fldChar w:fldCharType="end"/>
            </w:r>
          </w:hyperlink>
        </w:p>
        <w:p w14:paraId="661CAE7C" w14:textId="7D110622" w:rsidR="00265390" w:rsidRDefault="00265390">
          <w:pPr>
            <w:pStyle w:val="TOC1"/>
            <w:rPr>
              <w:rFonts w:asciiTheme="minorHAnsi" w:eastAsiaTheme="minorEastAsia" w:hAnsiTheme="minorHAnsi" w:cstheme="minorBidi"/>
              <w:color w:val="auto"/>
              <w:kern w:val="2"/>
              <w14:ligatures w14:val="standardContextual"/>
            </w:rPr>
          </w:pPr>
          <w:hyperlink w:anchor="_Toc207966951" w:history="1">
            <w:r w:rsidRPr="00F16EB9">
              <w:rPr>
                <w:rStyle w:val="Hyperlink"/>
              </w:rPr>
              <w:t>Section 7 - Contact details</w:t>
            </w:r>
            <w:r>
              <w:rPr>
                <w:webHidden/>
              </w:rPr>
              <w:tab/>
            </w:r>
            <w:r>
              <w:rPr>
                <w:webHidden/>
              </w:rPr>
              <w:fldChar w:fldCharType="begin"/>
            </w:r>
            <w:r>
              <w:rPr>
                <w:webHidden/>
              </w:rPr>
              <w:instrText xml:space="preserve"> PAGEREF _Toc207966951 \h </w:instrText>
            </w:r>
            <w:r>
              <w:rPr>
                <w:webHidden/>
              </w:rPr>
            </w:r>
            <w:r>
              <w:rPr>
                <w:webHidden/>
              </w:rPr>
              <w:fldChar w:fldCharType="separate"/>
            </w:r>
            <w:r>
              <w:rPr>
                <w:webHidden/>
              </w:rPr>
              <w:t>8</w:t>
            </w:r>
            <w:r>
              <w:rPr>
                <w:webHidden/>
              </w:rPr>
              <w:fldChar w:fldCharType="end"/>
            </w:r>
          </w:hyperlink>
        </w:p>
        <w:p w14:paraId="755EB584" w14:textId="5C80F93C" w:rsidR="00265390" w:rsidRDefault="00265390">
          <w:pPr>
            <w:pStyle w:val="TOC1"/>
            <w:rPr>
              <w:rFonts w:asciiTheme="minorHAnsi" w:eastAsiaTheme="minorEastAsia" w:hAnsiTheme="minorHAnsi" w:cstheme="minorBidi"/>
              <w:color w:val="auto"/>
              <w:kern w:val="2"/>
              <w14:ligatures w14:val="standardContextual"/>
            </w:rPr>
          </w:pPr>
          <w:hyperlink w:anchor="_Toc207966952" w:history="1">
            <w:r w:rsidRPr="00F16EB9">
              <w:rPr>
                <w:rStyle w:val="Hyperlink"/>
              </w:rPr>
              <w:t>Evaluation</w:t>
            </w:r>
            <w:r>
              <w:rPr>
                <w:webHidden/>
              </w:rPr>
              <w:tab/>
            </w:r>
            <w:r>
              <w:rPr>
                <w:webHidden/>
              </w:rPr>
              <w:fldChar w:fldCharType="begin"/>
            </w:r>
            <w:r>
              <w:rPr>
                <w:webHidden/>
              </w:rPr>
              <w:instrText xml:space="preserve"> PAGEREF _Toc207966952 \h </w:instrText>
            </w:r>
            <w:r>
              <w:rPr>
                <w:webHidden/>
              </w:rPr>
            </w:r>
            <w:r>
              <w:rPr>
                <w:webHidden/>
              </w:rPr>
              <w:fldChar w:fldCharType="separate"/>
            </w:r>
            <w:r>
              <w:rPr>
                <w:webHidden/>
              </w:rPr>
              <w:t>8</w:t>
            </w:r>
            <w:r>
              <w:rPr>
                <w:webHidden/>
              </w:rPr>
              <w:fldChar w:fldCharType="end"/>
            </w:r>
          </w:hyperlink>
        </w:p>
        <w:p w14:paraId="4D668D6D" w14:textId="4FA10030" w:rsidR="00265390" w:rsidRDefault="00265390">
          <w:pPr>
            <w:pStyle w:val="TOC1"/>
            <w:rPr>
              <w:rFonts w:asciiTheme="minorHAnsi" w:eastAsiaTheme="minorEastAsia" w:hAnsiTheme="minorHAnsi" w:cstheme="minorBidi"/>
              <w:color w:val="auto"/>
              <w:kern w:val="2"/>
              <w14:ligatures w14:val="standardContextual"/>
            </w:rPr>
          </w:pPr>
          <w:hyperlink w:anchor="_Toc207966953" w:history="1">
            <w:r w:rsidRPr="00F16EB9">
              <w:rPr>
                <w:rStyle w:val="Hyperlink"/>
              </w:rPr>
              <w:t>Related policies, procedures, guidelines and legislation</w:t>
            </w:r>
            <w:r>
              <w:rPr>
                <w:webHidden/>
              </w:rPr>
              <w:tab/>
            </w:r>
            <w:r>
              <w:rPr>
                <w:webHidden/>
              </w:rPr>
              <w:fldChar w:fldCharType="begin"/>
            </w:r>
            <w:r>
              <w:rPr>
                <w:webHidden/>
              </w:rPr>
              <w:instrText xml:space="preserve"> PAGEREF _Toc207966953 \h </w:instrText>
            </w:r>
            <w:r>
              <w:rPr>
                <w:webHidden/>
              </w:rPr>
            </w:r>
            <w:r>
              <w:rPr>
                <w:webHidden/>
              </w:rPr>
              <w:fldChar w:fldCharType="separate"/>
            </w:r>
            <w:r>
              <w:rPr>
                <w:webHidden/>
              </w:rPr>
              <w:t>9</w:t>
            </w:r>
            <w:r>
              <w:rPr>
                <w:webHidden/>
              </w:rPr>
              <w:fldChar w:fldCharType="end"/>
            </w:r>
          </w:hyperlink>
        </w:p>
        <w:p w14:paraId="724C6DD4" w14:textId="4FAC3A78" w:rsidR="00265390" w:rsidRDefault="00265390">
          <w:pPr>
            <w:pStyle w:val="TOC1"/>
            <w:rPr>
              <w:rFonts w:asciiTheme="minorHAnsi" w:eastAsiaTheme="minorEastAsia" w:hAnsiTheme="minorHAnsi" w:cstheme="minorBidi"/>
              <w:color w:val="auto"/>
              <w:kern w:val="2"/>
              <w14:ligatures w14:val="standardContextual"/>
            </w:rPr>
          </w:pPr>
          <w:hyperlink w:anchor="_Toc207966954" w:history="1">
            <w:r w:rsidRPr="00F16EB9">
              <w:rPr>
                <w:rStyle w:val="Hyperlink"/>
              </w:rPr>
              <w:t>References</w:t>
            </w:r>
            <w:r>
              <w:rPr>
                <w:webHidden/>
              </w:rPr>
              <w:tab/>
            </w:r>
            <w:r>
              <w:rPr>
                <w:webHidden/>
              </w:rPr>
              <w:fldChar w:fldCharType="begin"/>
            </w:r>
            <w:r>
              <w:rPr>
                <w:webHidden/>
              </w:rPr>
              <w:instrText xml:space="preserve"> PAGEREF _Toc207966954 \h </w:instrText>
            </w:r>
            <w:r>
              <w:rPr>
                <w:webHidden/>
              </w:rPr>
            </w:r>
            <w:r>
              <w:rPr>
                <w:webHidden/>
              </w:rPr>
              <w:fldChar w:fldCharType="separate"/>
            </w:r>
            <w:r>
              <w:rPr>
                <w:webHidden/>
              </w:rPr>
              <w:t>9</w:t>
            </w:r>
            <w:r>
              <w:rPr>
                <w:webHidden/>
              </w:rPr>
              <w:fldChar w:fldCharType="end"/>
            </w:r>
          </w:hyperlink>
        </w:p>
        <w:p w14:paraId="791E590B" w14:textId="0644C49E" w:rsidR="00265390" w:rsidRDefault="00265390">
          <w:pPr>
            <w:pStyle w:val="TOC1"/>
            <w:rPr>
              <w:rFonts w:asciiTheme="minorHAnsi" w:eastAsiaTheme="minorEastAsia" w:hAnsiTheme="minorHAnsi" w:cstheme="minorBidi"/>
              <w:color w:val="auto"/>
              <w:kern w:val="2"/>
              <w14:ligatures w14:val="standardContextual"/>
            </w:rPr>
          </w:pPr>
          <w:hyperlink w:anchor="_Toc207966955" w:history="1">
            <w:r w:rsidRPr="00F16EB9">
              <w:rPr>
                <w:rStyle w:val="Hyperlink"/>
              </w:rPr>
              <w:t>Search terms</w:t>
            </w:r>
            <w:r>
              <w:rPr>
                <w:webHidden/>
              </w:rPr>
              <w:tab/>
            </w:r>
            <w:r>
              <w:rPr>
                <w:webHidden/>
              </w:rPr>
              <w:fldChar w:fldCharType="begin"/>
            </w:r>
            <w:r>
              <w:rPr>
                <w:webHidden/>
              </w:rPr>
              <w:instrText xml:space="preserve"> PAGEREF _Toc207966955 \h </w:instrText>
            </w:r>
            <w:r>
              <w:rPr>
                <w:webHidden/>
              </w:rPr>
            </w:r>
            <w:r>
              <w:rPr>
                <w:webHidden/>
              </w:rPr>
              <w:fldChar w:fldCharType="separate"/>
            </w:r>
            <w:r>
              <w:rPr>
                <w:webHidden/>
              </w:rPr>
              <w:t>10</w:t>
            </w:r>
            <w:r>
              <w:rPr>
                <w:webHidden/>
              </w:rPr>
              <w:fldChar w:fldCharType="end"/>
            </w:r>
          </w:hyperlink>
        </w:p>
        <w:p w14:paraId="1C4B0517" w14:textId="4AC46222" w:rsidR="00265390" w:rsidRDefault="00265390">
          <w:pPr>
            <w:pStyle w:val="TOC1"/>
            <w:rPr>
              <w:rFonts w:asciiTheme="minorHAnsi" w:eastAsiaTheme="minorEastAsia" w:hAnsiTheme="minorHAnsi" w:cstheme="minorBidi"/>
              <w:color w:val="auto"/>
              <w:kern w:val="2"/>
              <w14:ligatures w14:val="standardContextual"/>
            </w:rPr>
          </w:pPr>
          <w:hyperlink w:anchor="_Toc207966956" w:history="1">
            <w:r w:rsidRPr="00F16EB9">
              <w:rPr>
                <w:rStyle w:val="Hyperlink"/>
              </w:rPr>
              <w:t>Attachments</w:t>
            </w:r>
            <w:r>
              <w:rPr>
                <w:webHidden/>
              </w:rPr>
              <w:tab/>
            </w:r>
            <w:r>
              <w:rPr>
                <w:webHidden/>
              </w:rPr>
              <w:fldChar w:fldCharType="begin"/>
            </w:r>
            <w:r>
              <w:rPr>
                <w:webHidden/>
              </w:rPr>
              <w:instrText xml:space="preserve"> PAGEREF _Toc207966956 \h </w:instrText>
            </w:r>
            <w:r>
              <w:rPr>
                <w:webHidden/>
              </w:rPr>
            </w:r>
            <w:r>
              <w:rPr>
                <w:webHidden/>
              </w:rPr>
              <w:fldChar w:fldCharType="separate"/>
            </w:r>
            <w:r>
              <w:rPr>
                <w:webHidden/>
              </w:rPr>
              <w:t>10</w:t>
            </w:r>
            <w:r>
              <w:rPr>
                <w:webHidden/>
              </w:rPr>
              <w:fldChar w:fldCharType="end"/>
            </w:r>
          </w:hyperlink>
        </w:p>
        <w:p w14:paraId="050F1435" w14:textId="68860BAE" w:rsidR="00265390" w:rsidRDefault="00265390">
          <w:pPr>
            <w:pStyle w:val="TOC1"/>
            <w:rPr>
              <w:rFonts w:asciiTheme="minorHAnsi" w:eastAsiaTheme="minorEastAsia" w:hAnsiTheme="minorHAnsi" w:cstheme="minorBidi"/>
              <w:color w:val="auto"/>
              <w:kern w:val="2"/>
              <w14:ligatures w14:val="standardContextual"/>
            </w:rPr>
          </w:pPr>
          <w:hyperlink w:anchor="_Toc207966957" w:history="1">
            <w:r w:rsidRPr="00F16EB9">
              <w:rPr>
                <w:rStyle w:val="Hyperlink"/>
              </w:rPr>
              <w:t>Attachment 1 – Information about patient and nature of allergy</w:t>
            </w:r>
            <w:r>
              <w:rPr>
                <w:webHidden/>
              </w:rPr>
              <w:tab/>
            </w:r>
            <w:r>
              <w:rPr>
                <w:webHidden/>
              </w:rPr>
              <w:fldChar w:fldCharType="begin"/>
            </w:r>
            <w:r>
              <w:rPr>
                <w:webHidden/>
              </w:rPr>
              <w:instrText xml:space="preserve"> PAGEREF _Toc207966957 \h </w:instrText>
            </w:r>
            <w:r>
              <w:rPr>
                <w:webHidden/>
              </w:rPr>
            </w:r>
            <w:r>
              <w:rPr>
                <w:webHidden/>
              </w:rPr>
              <w:fldChar w:fldCharType="separate"/>
            </w:r>
            <w:r>
              <w:rPr>
                <w:webHidden/>
              </w:rPr>
              <w:t>12</w:t>
            </w:r>
            <w:r>
              <w:rPr>
                <w:webHidden/>
              </w:rPr>
              <w:fldChar w:fldCharType="end"/>
            </w:r>
          </w:hyperlink>
        </w:p>
        <w:p w14:paraId="6453CB49" w14:textId="2E86E85B" w:rsidR="00E30F1D" w:rsidRPr="00E30F1D" w:rsidRDefault="00E30F1D" w:rsidP="00E30F1D">
          <w:pPr>
            <w:spacing w:before="0" w:line="240" w:lineRule="auto"/>
            <w:rPr>
              <w:rFonts w:eastAsia="Times New Roman"/>
              <w:b/>
              <w:noProof/>
              <w:color w:val="000000"/>
              <w:sz w:val="32"/>
              <w:szCs w:val="80"/>
              <w:lang w:eastAsia="en-US"/>
            </w:rPr>
          </w:pPr>
          <w:r w:rsidRPr="00E30F1D">
            <w:rPr>
              <w:rFonts w:cs="Times New Roman"/>
              <w:noProof/>
            </w:rPr>
            <w:fldChar w:fldCharType="end"/>
          </w:r>
        </w:p>
      </w:sdtContent>
    </w:sdt>
    <w:p w14:paraId="5126CC5B" w14:textId="587AA615" w:rsidR="00E30F1D" w:rsidRDefault="00E30F1D">
      <w:pPr>
        <w:spacing w:before="0" w:after="0" w:line="240" w:lineRule="auto"/>
        <w:rPr>
          <w:rFonts w:eastAsia="Times New Roman"/>
          <w:bCs/>
          <w:iCs/>
          <w:color w:val="575757" w:themeColor="text2"/>
          <w:sz w:val="20"/>
          <w:szCs w:val="20"/>
        </w:rPr>
      </w:pPr>
      <w:r>
        <w:rPr>
          <w:color w:val="575757" w:themeColor="text2"/>
          <w:sz w:val="20"/>
          <w:szCs w:val="20"/>
        </w:rPr>
        <w:br w:type="page"/>
      </w:r>
    </w:p>
    <w:p w14:paraId="74426A76" w14:textId="77777777" w:rsidR="00E30F1D" w:rsidRPr="00C34A10" w:rsidRDefault="00E30F1D" w:rsidP="00C34A10">
      <w:pPr>
        <w:pStyle w:val="BodyCopy"/>
        <w:spacing w:before="0" w:line="240" w:lineRule="auto"/>
        <w:rPr>
          <w:color w:val="575757" w:themeColor="text2"/>
        </w:rPr>
      </w:pPr>
    </w:p>
    <w:p w14:paraId="61129C3D" w14:textId="79789B4B" w:rsidR="00201AF6" w:rsidRDefault="00201AF6">
      <w:pPr>
        <w:spacing w:before="0" w:after="0" w:line="240" w:lineRule="auto"/>
        <w:rPr>
          <w:rFonts w:eastAsia="Times New Roman"/>
          <w:b/>
          <w:bCs/>
          <w:iCs/>
          <w:color w:val="FFFFFF" w:themeColor="background1"/>
          <w:lang w:eastAsia="en-US"/>
        </w:rPr>
      </w:pPr>
    </w:p>
    <w:p w14:paraId="2200B970" w14:textId="77777777" w:rsidR="0078367D" w:rsidRPr="00036249" w:rsidRDefault="003254E1" w:rsidP="00036249">
      <w:pPr>
        <w:pStyle w:val="Heading4"/>
      </w:pPr>
      <w:bookmarkStart w:id="1" w:name="_Toc207966943"/>
      <w:r>
        <w:t>Purpose</w:t>
      </w:r>
      <w:bookmarkEnd w:id="1"/>
      <w:r w:rsidR="009746B1" w:rsidRPr="00036249">
        <w:t xml:space="preserve"> </w:t>
      </w:r>
    </w:p>
    <w:p w14:paraId="10D6B909" w14:textId="5845035D" w:rsidR="003254E1" w:rsidRPr="00BA236B" w:rsidRDefault="003254E1" w:rsidP="003254E1">
      <w:pPr>
        <w:pStyle w:val="BodyCopy"/>
      </w:pPr>
      <w:r w:rsidRPr="00BA236B">
        <w:t xml:space="preserve">The purpose of this procedure is to provide clinicians with information on the safe and effective </w:t>
      </w:r>
      <w:r w:rsidR="0047238D">
        <w:t>oral penicillin desensitisation</w:t>
      </w:r>
      <w:r w:rsidRPr="00BA236B">
        <w:t xml:space="preserve"> of </w:t>
      </w:r>
      <w:r w:rsidR="0047238D">
        <w:t xml:space="preserve">pregnant </w:t>
      </w:r>
      <w:r w:rsidRPr="00BA236B">
        <w:t xml:space="preserve">patients </w:t>
      </w:r>
      <w:r w:rsidR="0047238D">
        <w:t xml:space="preserve">with penicillin allergy who do not have alternative treatment for syphilis infection. </w:t>
      </w:r>
    </w:p>
    <w:p w14:paraId="18853C5A" w14:textId="77777777" w:rsidR="003254E1" w:rsidRPr="00BA236B" w:rsidRDefault="003254E1" w:rsidP="003254E1">
      <w:pPr>
        <w:pStyle w:val="BodyCopy"/>
      </w:pPr>
      <w:r w:rsidRPr="00BA236B">
        <w:t xml:space="preserve">This procedure provides clinicians with best practice information for assessment and management of patients and for educating and supporting patients and their </w:t>
      </w:r>
      <w:proofErr w:type="spellStart"/>
      <w:r w:rsidRPr="00BA236B">
        <w:t>carers</w:t>
      </w:r>
      <w:proofErr w:type="spellEnd"/>
      <w:r w:rsidRPr="00BA236B">
        <w:t xml:space="preserve">.  </w:t>
      </w:r>
    </w:p>
    <w:p w14:paraId="4A69175F"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3CB266B6" w14:textId="77777777" w:rsidR="003254E1" w:rsidRDefault="003254E1" w:rsidP="003254E1">
      <w:pPr>
        <w:pStyle w:val="Heading4"/>
      </w:pPr>
      <w:bookmarkStart w:id="2" w:name="_Toc207966944"/>
      <w:r>
        <w:t>Scope</w:t>
      </w:r>
      <w:bookmarkEnd w:id="2"/>
    </w:p>
    <w:p w14:paraId="231B2DBC" w14:textId="300A9F82" w:rsidR="003254E1" w:rsidRDefault="003254E1" w:rsidP="003254E1">
      <w:pPr>
        <w:pStyle w:val="BodyCopy"/>
      </w:pPr>
      <w:r>
        <w:t xml:space="preserve">This document applies to the following </w:t>
      </w:r>
      <w:r w:rsidR="001536D2">
        <w:t xml:space="preserve">Canberra Health Services (CHS) </w:t>
      </w:r>
      <w:r>
        <w:t>staff working within their scope of practice</w:t>
      </w:r>
      <w:r w:rsidR="00C13472">
        <w:t xml:space="preserve"> </w:t>
      </w:r>
      <w:r w:rsidR="001536D2">
        <w:t>at Canberra Hospital</w:t>
      </w:r>
      <w:r>
        <w:t>:</w:t>
      </w:r>
    </w:p>
    <w:p w14:paraId="64B64210" w14:textId="77777777" w:rsidR="003254E1" w:rsidRPr="00BA236B" w:rsidRDefault="003254E1" w:rsidP="003254E1">
      <w:pPr>
        <w:pStyle w:val="Bullet"/>
      </w:pPr>
      <w:r w:rsidRPr="00BA236B">
        <w:t>Medical Officers</w:t>
      </w:r>
    </w:p>
    <w:p w14:paraId="3F114591" w14:textId="77777777" w:rsidR="003254E1" w:rsidRPr="00BA236B" w:rsidRDefault="003254E1" w:rsidP="003254E1">
      <w:pPr>
        <w:pStyle w:val="Bullet"/>
      </w:pPr>
      <w:r w:rsidRPr="00BA236B">
        <w:t xml:space="preserve">Nurses and Midwives  </w:t>
      </w:r>
    </w:p>
    <w:p w14:paraId="3554D738" w14:textId="1D69BEBF" w:rsidR="001D06A8" w:rsidRDefault="003254E1" w:rsidP="001D06A8">
      <w:pPr>
        <w:pStyle w:val="Bullet"/>
      </w:pPr>
      <w:r w:rsidRPr="00BA236B">
        <w:t>Student</w:t>
      </w:r>
      <w:r w:rsidR="000D1F50">
        <w:t>s</w:t>
      </w:r>
      <w:r w:rsidRPr="00BA236B">
        <w:t xml:space="preserve"> under direct supervision.</w:t>
      </w:r>
    </w:p>
    <w:p w14:paraId="055431DF" w14:textId="50DACF42" w:rsidR="001D06A8" w:rsidRPr="00BA236B" w:rsidRDefault="001D06A8" w:rsidP="001D06A8">
      <w:pPr>
        <w:pStyle w:val="BodyCopy"/>
      </w:pPr>
      <w:r>
        <w:t>This procedure applies to pregnant patients with a known penicillin allergy who require treatment for syphilis infection.</w:t>
      </w:r>
    </w:p>
    <w:p w14:paraId="563FE09C"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6B98A419" w14:textId="79D7E38A" w:rsidR="0078367D" w:rsidRDefault="001D06A8" w:rsidP="00197F2E">
      <w:pPr>
        <w:pStyle w:val="Heading4"/>
      </w:pPr>
      <w:bookmarkStart w:id="3" w:name="_Toc207966945"/>
      <w:r>
        <w:t xml:space="preserve">Section 1 - </w:t>
      </w:r>
      <w:r w:rsidR="0047238D">
        <w:t>Prior to desensitisation</w:t>
      </w:r>
      <w:bookmarkEnd w:id="3"/>
    </w:p>
    <w:p w14:paraId="59DC54B5" w14:textId="19B3DFA3" w:rsidR="0047238D" w:rsidRPr="00076E1E" w:rsidRDefault="0047238D" w:rsidP="009B1561">
      <w:pPr>
        <w:pStyle w:val="BodyCopy"/>
      </w:pPr>
      <w:r w:rsidRPr="00076E1E">
        <w:t xml:space="preserve">A thorough patient history needs to be obtained to clarify details about type, timing, duration and severity of their previous reaction </w:t>
      </w:r>
      <w:r w:rsidR="009B1561">
        <w:t xml:space="preserve">to penicillin </w:t>
      </w:r>
      <w:r w:rsidRPr="00076E1E">
        <w:t>and identify any contraindications to desensitisation.</w:t>
      </w:r>
    </w:p>
    <w:p w14:paraId="74AA86E2" w14:textId="682591E5" w:rsidR="0047238D" w:rsidRPr="00076E1E" w:rsidRDefault="0047238D" w:rsidP="009B1561">
      <w:pPr>
        <w:pStyle w:val="BodyCopy"/>
      </w:pPr>
      <w:r w:rsidRPr="00076E1E">
        <w:t>Desensitisation is</w:t>
      </w:r>
      <w:r w:rsidR="00CD1CC8">
        <w:t xml:space="preserve"> </w:t>
      </w:r>
      <w:r w:rsidRPr="00076E1E">
        <w:rPr>
          <w:b/>
        </w:rPr>
        <w:t>contraindicated</w:t>
      </w:r>
      <w:r w:rsidR="00CD1CC8">
        <w:t xml:space="preserve"> </w:t>
      </w:r>
      <w:r w:rsidRPr="00076E1E">
        <w:t>in patients with a history of</w:t>
      </w:r>
      <w:r w:rsidR="00CD1CC8">
        <w:t xml:space="preserve"> </w:t>
      </w:r>
      <w:r w:rsidRPr="00076E1E">
        <w:rPr>
          <w:b/>
        </w:rPr>
        <w:t>delayed severe</w:t>
      </w:r>
      <w:r w:rsidR="00CD1CC8">
        <w:t xml:space="preserve"> </w:t>
      </w:r>
      <w:r w:rsidRPr="00076E1E">
        <w:t>immune-mediated hypersensitivity, including:</w:t>
      </w:r>
    </w:p>
    <w:p w14:paraId="4D0571DB" w14:textId="77777777" w:rsidR="0047238D" w:rsidRPr="00076E1E" w:rsidRDefault="0047238D" w:rsidP="009B1561">
      <w:pPr>
        <w:pStyle w:val="Numberedlist"/>
      </w:pPr>
      <w:r w:rsidRPr="00076E1E">
        <w:t>drug rash with eosinophilia and systemic symptoms (DRESS)</w:t>
      </w:r>
    </w:p>
    <w:p w14:paraId="64EDABCF" w14:textId="15B6099D" w:rsidR="0047238D" w:rsidRPr="00076E1E" w:rsidRDefault="0047238D" w:rsidP="009B1561">
      <w:pPr>
        <w:pStyle w:val="Numberedlist"/>
      </w:pPr>
      <w:r w:rsidRPr="00076E1E">
        <w:t>Stevens–Johnson syndrome/toxic epidermal necrolysis (SJS/TEN)</w:t>
      </w:r>
    </w:p>
    <w:p w14:paraId="0CE50875" w14:textId="77777777" w:rsidR="0047238D" w:rsidRPr="00076E1E" w:rsidRDefault="0047238D" w:rsidP="009B1561">
      <w:pPr>
        <w:pStyle w:val="Numberedlist"/>
      </w:pPr>
      <w:r w:rsidRPr="00076E1E">
        <w:t xml:space="preserve">acute generalised </w:t>
      </w:r>
      <w:proofErr w:type="spellStart"/>
      <w:r w:rsidRPr="00076E1E">
        <w:t>exanthematous</w:t>
      </w:r>
      <w:proofErr w:type="spellEnd"/>
      <w:r w:rsidRPr="00076E1E">
        <w:t xml:space="preserve"> pustulosis (AGEP)</w:t>
      </w:r>
    </w:p>
    <w:p w14:paraId="49822554" w14:textId="77777777" w:rsidR="0047238D" w:rsidRPr="00076E1E" w:rsidRDefault="0047238D" w:rsidP="009B1561">
      <w:pPr>
        <w:pStyle w:val="Numberedlist"/>
      </w:pPr>
      <w:r w:rsidRPr="00076E1E">
        <w:t>acute interstitial nephritis</w:t>
      </w:r>
    </w:p>
    <w:p w14:paraId="20DEE388" w14:textId="77777777" w:rsidR="0047238D" w:rsidRPr="00076E1E" w:rsidRDefault="0047238D" w:rsidP="009B1561">
      <w:pPr>
        <w:pStyle w:val="Numberedlist"/>
      </w:pPr>
      <w:r w:rsidRPr="00076E1E">
        <w:t>drug-induced liver injury</w:t>
      </w:r>
    </w:p>
    <w:p w14:paraId="21CB8DFB" w14:textId="77777777" w:rsidR="0047238D" w:rsidRPr="00076E1E" w:rsidRDefault="0047238D" w:rsidP="009B1561">
      <w:pPr>
        <w:pStyle w:val="Numberedlist"/>
      </w:pPr>
      <w:r w:rsidRPr="00076E1E">
        <w:t>haemolytic anaemia.</w:t>
      </w:r>
    </w:p>
    <w:p w14:paraId="1912AB28" w14:textId="77777777" w:rsidR="0047238D" w:rsidRPr="00076E1E" w:rsidRDefault="0047238D" w:rsidP="009B1561">
      <w:pPr>
        <w:pStyle w:val="BodyCopy"/>
      </w:pPr>
      <w:r w:rsidRPr="00076E1E">
        <w:t>When desensitisation to penicillin is contraindicated, assess for other antibiotic allergy including cephalosporin and seek expert advice on alternative management options.</w:t>
      </w:r>
    </w:p>
    <w:p w14:paraId="440E4CB1" w14:textId="240F4427" w:rsidR="0047238D" w:rsidRPr="00076E1E" w:rsidRDefault="0047238D" w:rsidP="009B1561">
      <w:pPr>
        <w:pStyle w:val="BodyCopy"/>
      </w:pPr>
      <w:r>
        <w:lastRenderedPageBreak/>
        <w:t xml:space="preserve">When desensitisation is indicated, a dating ultrasound scan should be </w:t>
      </w:r>
      <w:r w:rsidR="43D2DC67">
        <w:t>performed,</w:t>
      </w:r>
      <w:r>
        <w:t xml:space="preserve"> if </w:t>
      </w:r>
      <w:r w:rsidR="4C1DA695">
        <w:t>possible,</w:t>
      </w:r>
      <w:r>
        <w:t xml:space="preserve"> prior to the procedure, unless already available, to confirm dates and viability.  </w:t>
      </w:r>
    </w:p>
    <w:p w14:paraId="73A0FE89" w14:textId="77777777" w:rsidR="0047238D" w:rsidRPr="00076E1E" w:rsidRDefault="0047238D" w:rsidP="009B1561">
      <w:pPr>
        <w:pStyle w:val="BodyCopy"/>
      </w:pPr>
      <w:r w:rsidRPr="00076E1E">
        <w:t>Once the patient is confirmed as needing penicillin desensitisation and a procedure date is set, the hospital pharmacy should be notified and supplied the protocol to ensure medications are available without delay on the day of the procedure.</w:t>
      </w:r>
    </w:p>
    <w:p w14:paraId="0251BE9E"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150A55CB" w14:textId="081A77E1" w:rsidR="0078367D" w:rsidRDefault="001D06A8" w:rsidP="001D06A8">
      <w:pPr>
        <w:pStyle w:val="Heading4"/>
      </w:pPr>
      <w:bookmarkStart w:id="4" w:name="_Toc207966946"/>
      <w:r>
        <w:t xml:space="preserve">Section 2 - </w:t>
      </w:r>
      <w:r w:rsidR="0047238D">
        <w:t xml:space="preserve">Setting of </w:t>
      </w:r>
      <w:proofErr w:type="gramStart"/>
      <w:r w:rsidR="0047238D" w:rsidRPr="001D06A8">
        <w:t>desensitisation</w:t>
      </w:r>
      <w:bookmarkEnd w:id="4"/>
      <w:proofErr w:type="gramEnd"/>
    </w:p>
    <w:p w14:paraId="488A0E89" w14:textId="77777777" w:rsidR="0047238D" w:rsidRPr="00AA543A" w:rsidRDefault="0047238D" w:rsidP="009B1561">
      <w:pPr>
        <w:pStyle w:val="BodyCopy"/>
      </w:pPr>
      <w:r w:rsidRPr="00AA543A">
        <w:t xml:space="preserve">Desensitisation should be performed in a hospital setting, ideally in </w:t>
      </w:r>
      <w:r w:rsidR="005D6B64" w:rsidRPr="00AA543A">
        <w:t>hospital in the home (</w:t>
      </w:r>
      <w:r w:rsidRPr="00AA543A">
        <w:t>HITH</w:t>
      </w:r>
      <w:r w:rsidR="005D6B64" w:rsidRPr="00AA543A">
        <w:t>)</w:t>
      </w:r>
      <w:r w:rsidRPr="00AA543A">
        <w:t>, where the patient can be closely monitored and resources to manage anaphylaxis and threatened airway are available, including experienced staff, intravenous access, medications and equipment. In cases of severe anaphylaxis, desensitisation can be considered in the intensive care unit.</w:t>
      </w:r>
    </w:p>
    <w:p w14:paraId="735C7AAE" w14:textId="77777777" w:rsidR="0047238D" w:rsidRPr="00AA543A" w:rsidRDefault="0047238D" w:rsidP="009B1561">
      <w:pPr>
        <w:pStyle w:val="BodyCopy"/>
      </w:pPr>
      <w:r w:rsidRPr="00AA543A">
        <w:t>It should be noted that the oral desensitisation process and first intended penicillin treatment dose administration can take up to 6</w:t>
      </w:r>
      <w:r w:rsidR="00BE1192" w:rsidRPr="00AA543A">
        <w:t xml:space="preserve"> </w:t>
      </w:r>
      <w:r w:rsidRPr="00AA543A">
        <w:t>hours.</w:t>
      </w:r>
    </w:p>
    <w:p w14:paraId="3DDB480B" w14:textId="77777777" w:rsidR="00481A6C" w:rsidRDefault="00481A6C" w:rsidP="0091462B">
      <w:pPr>
        <w:pStyle w:val="BodyCopy"/>
      </w:pPr>
      <w:hyperlink w:anchor="_top" w:history="1">
        <w:r w:rsidRPr="00481A6C">
          <w:rPr>
            <w:rStyle w:val="Hyperlink"/>
            <w:iCs w:val="0"/>
          </w:rPr>
          <w:t>Back to Contents</w:t>
        </w:r>
      </w:hyperlink>
    </w:p>
    <w:p w14:paraId="715815F4" w14:textId="2C0B6E9F" w:rsidR="0078367D" w:rsidRDefault="001D06A8" w:rsidP="00A6051F">
      <w:pPr>
        <w:pStyle w:val="Heading4"/>
      </w:pPr>
      <w:bookmarkStart w:id="5" w:name="_Toc207966947"/>
      <w:bookmarkStart w:id="6" w:name="_Hlk43366294"/>
      <w:r>
        <w:t xml:space="preserve">Section </w:t>
      </w:r>
      <w:r w:rsidR="002D142F">
        <w:t>3</w:t>
      </w:r>
      <w:r>
        <w:t xml:space="preserve"> - </w:t>
      </w:r>
      <w:r w:rsidR="0047238D">
        <w:t>Patient counselling</w:t>
      </w:r>
      <w:bookmarkEnd w:id="5"/>
      <w:r w:rsidR="0047238D">
        <w:t xml:space="preserve"> </w:t>
      </w:r>
    </w:p>
    <w:bookmarkEnd w:id="6"/>
    <w:p w14:paraId="5B4F2B66" w14:textId="5D39FEEA" w:rsidR="0047238D" w:rsidRPr="00783219" w:rsidRDefault="0047238D" w:rsidP="009B1561">
      <w:pPr>
        <w:pStyle w:val="BodyCopy"/>
      </w:pPr>
      <w:r w:rsidRPr="00783219">
        <w:t xml:space="preserve">Patients should have the opportunity to discuss the indications for desensitisation, process of desensitisation, potential adverse events including anaphylaxis (3% </w:t>
      </w:r>
      <w:r w:rsidR="004E5625">
        <w:t xml:space="preserve">of </w:t>
      </w:r>
      <w:r w:rsidRPr="00783219">
        <w:t>which could lead to premature delivery) and risk of f</w:t>
      </w:r>
      <w:r w:rsidR="00995A9A" w:rsidRPr="00783219">
        <w:t>o</w:t>
      </w:r>
      <w:r w:rsidRPr="00783219">
        <w:t>etal loss and give informed consent. To support primary teams, the Immunology team should be consulted early in the process once the patient has been identified as potentially requiring desensitisation.</w:t>
      </w:r>
    </w:p>
    <w:p w14:paraId="05556D47" w14:textId="77777777" w:rsidR="0047238D" w:rsidRPr="00783219" w:rsidRDefault="0047238D" w:rsidP="009B1561">
      <w:pPr>
        <w:pStyle w:val="BodyCopy"/>
      </w:pPr>
      <w:r w:rsidRPr="00783219">
        <w:t xml:space="preserve">Patient should also be aware that the effect of desensitisation is temporary and once their course of therapy has been completed that they are still allergic to penicillin. A successful desensitisation process does not de-label the patient regarding their penicillin allergy. This should be made clear as a medication alert in the patient’s hospital clinical notes on </w:t>
      </w:r>
      <w:r w:rsidR="004A7BE3" w:rsidRPr="00783219">
        <w:t>the Digital Health Record (</w:t>
      </w:r>
      <w:r w:rsidRPr="00783219">
        <w:t>DHR</w:t>
      </w:r>
      <w:r w:rsidR="004A7BE3" w:rsidRPr="00783219">
        <w:t>)</w:t>
      </w:r>
      <w:r w:rsidRPr="00783219">
        <w:t xml:space="preserve"> </w:t>
      </w:r>
      <w:proofErr w:type="gramStart"/>
      <w:r w:rsidRPr="00783219">
        <w:t>and also</w:t>
      </w:r>
      <w:proofErr w:type="gramEnd"/>
      <w:r w:rsidRPr="00783219">
        <w:t xml:space="preserve"> in their discharge summary to the </w:t>
      </w:r>
      <w:r w:rsidR="0077597B" w:rsidRPr="00783219">
        <w:t>general practitioner (</w:t>
      </w:r>
      <w:r w:rsidRPr="00783219">
        <w:t>GP</w:t>
      </w:r>
      <w:r w:rsidR="0077597B" w:rsidRPr="00783219">
        <w:t>)</w:t>
      </w:r>
      <w:r w:rsidRPr="00783219">
        <w:t xml:space="preserve"> and other relevant specialists on discharge from HITH.  </w:t>
      </w:r>
    </w:p>
    <w:p w14:paraId="394DDE83" w14:textId="77777777" w:rsidR="0047238D" w:rsidRPr="00783219" w:rsidRDefault="0047238D" w:rsidP="009B1561">
      <w:pPr>
        <w:pStyle w:val="BodyCopy"/>
      </w:pPr>
      <w:r w:rsidRPr="00783219">
        <w:t xml:space="preserve">If further treatment with penicillin is indicated during pregnancy, the Immunology team should be consulted again in relation to repeat desensitisation. </w:t>
      </w:r>
    </w:p>
    <w:p w14:paraId="7B5E1763" w14:textId="77777777" w:rsidR="00481A6C" w:rsidRDefault="00481A6C" w:rsidP="002D7682">
      <w:pPr>
        <w:pStyle w:val="BodyCopy"/>
        <w:spacing w:after="120"/>
      </w:pPr>
      <w:hyperlink w:anchor="_top" w:history="1">
        <w:r w:rsidRPr="00481A6C">
          <w:rPr>
            <w:rStyle w:val="Hyperlink"/>
            <w:iCs w:val="0"/>
          </w:rPr>
          <w:t>Back to Contents</w:t>
        </w:r>
      </w:hyperlink>
    </w:p>
    <w:p w14:paraId="63B41BF6" w14:textId="0D5676F5" w:rsidR="0047238D" w:rsidRDefault="001D06A8" w:rsidP="0047238D">
      <w:pPr>
        <w:pStyle w:val="Heading4"/>
      </w:pPr>
      <w:bookmarkStart w:id="7" w:name="_Toc207966948"/>
      <w:r>
        <w:t xml:space="preserve">Section </w:t>
      </w:r>
      <w:r w:rsidR="002D142F">
        <w:t>4</w:t>
      </w:r>
      <w:r>
        <w:t xml:space="preserve"> - </w:t>
      </w:r>
      <w:r w:rsidR="0047238D">
        <w:t>Timing of presentation</w:t>
      </w:r>
      <w:bookmarkEnd w:id="7"/>
    </w:p>
    <w:p w14:paraId="44D9D794" w14:textId="15967A91" w:rsidR="0047238D" w:rsidRPr="00783219" w:rsidRDefault="0047238D" w:rsidP="009B1561">
      <w:pPr>
        <w:pStyle w:val="BodyCopy"/>
      </w:pPr>
      <w:r w:rsidRPr="00783219">
        <w:t>To plan desensitisation and treatment</w:t>
      </w:r>
      <w:r w:rsidR="004E5625">
        <w:t>,</w:t>
      </w:r>
      <w:r w:rsidRPr="00783219">
        <w:t xml:space="preserve"> clinicians need to take into consideration the stage of pregnancy and stage of syphilis infection</w:t>
      </w:r>
      <w:r w:rsidR="007B116F">
        <w:t xml:space="preserve"> (see Table 1)</w:t>
      </w:r>
      <w:r w:rsidRPr="00783219">
        <w:t xml:space="preserve">. </w:t>
      </w:r>
    </w:p>
    <w:p w14:paraId="7430200E" w14:textId="77777777" w:rsidR="0047238D" w:rsidRPr="00783219" w:rsidRDefault="0047238D" w:rsidP="009B1561">
      <w:pPr>
        <w:pStyle w:val="BodyCopy"/>
      </w:pPr>
      <w:r w:rsidRPr="00783219">
        <w:lastRenderedPageBreak/>
        <w:t xml:space="preserve">Staging of the syphilis infection is crucial and provides an indication of infectivity. This can be done with the help of the sexual health specialists at </w:t>
      </w:r>
      <w:r w:rsidR="00DF7B26" w:rsidRPr="00783219">
        <w:t>Canberra Sexual Health Centre (</w:t>
      </w:r>
      <w:r w:rsidRPr="00783219">
        <w:t>CSHC</w:t>
      </w:r>
      <w:r w:rsidR="00DF7B26" w:rsidRPr="00783219">
        <w:t>)</w:t>
      </w:r>
      <w:r w:rsidRPr="00783219">
        <w:t xml:space="preserve">. </w:t>
      </w:r>
    </w:p>
    <w:p w14:paraId="777297B6" w14:textId="06F968F2" w:rsidR="00F3737D" w:rsidRDefault="0047238D" w:rsidP="00265390">
      <w:pPr>
        <w:pStyle w:val="BodyCopy"/>
        <w:rPr>
          <w:b/>
          <w:bCs w:val="0"/>
        </w:rPr>
      </w:pPr>
      <w:r w:rsidRPr="00783219">
        <w:t>Once a patient has been identified as possibly requiring desensitisation, both on</w:t>
      </w:r>
      <w:r w:rsidR="006B3634" w:rsidRPr="00783219">
        <w:t>-</w:t>
      </w:r>
      <w:r w:rsidRPr="00783219">
        <w:t xml:space="preserve">call Immunology and HITH teams should be consulted to make prompt arrangements for patients to undergo appropriate review and procedure. During out of hours or holiday periods the on-call consultants for each team should be contacted directly to minimise delays. </w:t>
      </w:r>
    </w:p>
    <w:p w14:paraId="4C77174A" w14:textId="524335C5" w:rsidR="0047238D" w:rsidRPr="00783219" w:rsidRDefault="0047238D" w:rsidP="00791698">
      <w:pPr>
        <w:pStyle w:val="Tableheader-black"/>
      </w:pPr>
      <w:r w:rsidRPr="00783219">
        <w:t>Table1: Management strategies according to stage of pregnancy and stage of syphilis infection</w:t>
      </w:r>
    </w:p>
    <w:tbl>
      <w:tblPr>
        <w:tblStyle w:val="CHSTable03"/>
        <w:tblW w:w="0" w:type="auto"/>
        <w:tblLook w:val="04A0" w:firstRow="1" w:lastRow="0" w:firstColumn="1" w:lastColumn="0" w:noHBand="0" w:noVBand="1"/>
      </w:tblPr>
      <w:tblGrid>
        <w:gridCol w:w="1306"/>
        <w:gridCol w:w="2249"/>
        <w:gridCol w:w="2097"/>
        <w:gridCol w:w="2097"/>
        <w:gridCol w:w="2162"/>
      </w:tblGrid>
      <w:tr w:rsidR="0047238D" w:rsidRPr="00CB7B1D" w14:paraId="29F7DA80" w14:textId="77777777" w:rsidTr="2762EA6A">
        <w:trPr>
          <w:cnfStyle w:val="100000000000" w:firstRow="1" w:lastRow="0" w:firstColumn="0" w:lastColumn="0" w:oddVBand="0" w:evenVBand="0" w:oddHBand="0" w:evenHBand="0" w:firstRowFirstColumn="0" w:firstRowLastColumn="0" w:lastRowFirstColumn="0" w:lastRowLastColumn="0"/>
          <w:trHeight w:val="2248"/>
        </w:trPr>
        <w:tc>
          <w:tcPr>
            <w:cnfStyle w:val="001000000000" w:firstRow="0" w:lastRow="0" w:firstColumn="1" w:lastColumn="0" w:oddVBand="0" w:evenVBand="0" w:oddHBand="0" w:evenHBand="0" w:firstRowFirstColumn="0" w:firstRowLastColumn="0" w:lastRowFirstColumn="0" w:lastRowLastColumn="0"/>
            <w:tcW w:w="0" w:type="auto"/>
          </w:tcPr>
          <w:p w14:paraId="0FC559D0" w14:textId="77777777" w:rsidR="0047238D" w:rsidRPr="00783219" w:rsidRDefault="0047238D" w:rsidP="005C5FE8">
            <w:pPr>
              <w:rPr>
                <w:b/>
                <w:bCs/>
              </w:rPr>
            </w:pPr>
          </w:p>
        </w:tc>
        <w:tc>
          <w:tcPr>
            <w:tcW w:w="0" w:type="auto"/>
          </w:tcPr>
          <w:p w14:paraId="21133191" w14:textId="77777777" w:rsidR="0047238D" w:rsidRPr="00791698"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91698">
              <w:rPr>
                <w:b/>
                <w:bCs/>
                <w:color w:val="FFFFFF" w:themeColor="background1"/>
              </w:rPr>
              <w:t xml:space="preserve">Symptomatic syphilis – primary or secondary </w:t>
            </w:r>
          </w:p>
        </w:tc>
        <w:tc>
          <w:tcPr>
            <w:tcW w:w="0" w:type="auto"/>
          </w:tcPr>
          <w:p w14:paraId="78615992" w14:textId="77777777" w:rsidR="0047238D" w:rsidRPr="00791698"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91698">
              <w:rPr>
                <w:b/>
                <w:bCs/>
                <w:color w:val="FFFFFF" w:themeColor="background1"/>
              </w:rPr>
              <w:t xml:space="preserve">Early asymptomatic /latent syphilis </w:t>
            </w:r>
          </w:p>
          <w:p w14:paraId="49B62455" w14:textId="77777777" w:rsidR="0047238D" w:rsidRPr="00791698"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91698">
              <w:rPr>
                <w:b/>
                <w:bCs/>
                <w:color w:val="FFFFFF" w:themeColor="background1"/>
              </w:rPr>
              <w:t>&lt; 2 years duration</w:t>
            </w:r>
          </w:p>
        </w:tc>
        <w:tc>
          <w:tcPr>
            <w:tcW w:w="0" w:type="auto"/>
          </w:tcPr>
          <w:p w14:paraId="6B9CB91A" w14:textId="77777777" w:rsidR="0047238D" w:rsidRPr="00791698"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91698">
              <w:rPr>
                <w:b/>
                <w:bCs/>
                <w:color w:val="FFFFFF" w:themeColor="background1"/>
              </w:rPr>
              <w:t xml:space="preserve">Late syphilis &gt; 2 years or unknown duration </w:t>
            </w:r>
          </w:p>
        </w:tc>
        <w:tc>
          <w:tcPr>
            <w:tcW w:w="0" w:type="auto"/>
          </w:tcPr>
          <w:p w14:paraId="76760DAF" w14:textId="77777777" w:rsidR="0047238D" w:rsidRPr="00791698"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791698">
              <w:rPr>
                <w:b/>
                <w:bCs/>
                <w:color w:val="FFFFFF" w:themeColor="background1"/>
              </w:rPr>
              <w:t xml:space="preserve">Neurosyphilis </w:t>
            </w:r>
          </w:p>
        </w:tc>
      </w:tr>
      <w:tr w:rsidR="0047238D" w:rsidRPr="00CB7B1D" w14:paraId="6D54037A" w14:textId="77777777" w:rsidTr="2762EA6A">
        <w:tc>
          <w:tcPr>
            <w:cnfStyle w:val="001000000000" w:firstRow="0" w:lastRow="0" w:firstColumn="1" w:lastColumn="0" w:oddVBand="0" w:evenVBand="0" w:oddHBand="0" w:evenHBand="0" w:firstRowFirstColumn="0" w:firstRowLastColumn="0" w:lastRowFirstColumn="0" w:lastRowLastColumn="0"/>
            <w:tcW w:w="0" w:type="auto"/>
          </w:tcPr>
          <w:p w14:paraId="248637F1" w14:textId="77777777" w:rsidR="0047238D" w:rsidRPr="008E5F87" w:rsidRDefault="0047238D" w:rsidP="005C5FE8">
            <w:pPr>
              <w:rPr>
                <w:b/>
                <w:bCs/>
              </w:rPr>
            </w:pPr>
            <w:r w:rsidRPr="008E5F87">
              <w:rPr>
                <w:b/>
                <w:bCs/>
              </w:rPr>
              <w:t>1</w:t>
            </w:r>
            <w:r w:rsidRPr="008E5F87">
              <w:rPr>
                <w:b/>
                <w:bCs/>
                <w:vertAlign w:val="superscript"/>
              </w:rPr>
              <w:t>st</w:t>
            </w:r>
            <w:r w:rsidRPr="008E5F87">
              <w:rPr>
                <w:b/>
                <w:bCs/>
              </w:rPr>
              <w:t xml:space="preserve"> or 2</w:t>
            </w:r>
            <w:r w:rsidRPr="008E5F87">
              <w:rPr>
                <w:b/>
                <w:bCs/>
                <w:vertAlign w:val="superscript"/>
              </w:rPr>
              <w:t>nd</w:t>
            </w:r>
            <w:r w:rsidRPr="008E5F87">
              <w:rPr>
                <w:b/>
                <w:bCs/>
              </w:rPr>
              <w:t xml:space="preserve"> trimester</w:t>
            </w:r>
          </w:p>
        </w:tc>
        <w:tc>
          <w:tcPr>
            <w:tcW w:w="0" w:type="auto"/>
          </w:tcPr>
          <w:p w14:paraId="4C1CF16A" w14:textId="287F0B46"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t xml:space="preserve">Desensitise and treat urgently ideally within 48 hours to reduce risk of transmission to </w:t>
            </w:r>
            <w:r w:rsidR="04A1C029">
              <w:t>foetus</w:t>
            </w:r>
            <w:r>
              <w:t xml:space="preserve"> </w:t>
            </w:r>
          </w:p>
          <w:p w14:paraId="0D6659AF" w14:textId="6EFB34A5"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w:t>
            </w:r>
            <w:r w:rsidR="00615D44">
              <w:t xml:space="preserve"> </w:t>
            </w:r>
            <w:r w:rsidR="00615D44" w:rsidRPr="00783219">
              <w:t>intramuscular</w:t>
            </w:r>
            <w:r w:rsidRPr="00783219">
              <w:t xml:space="preserve"> </w:t>
            </w:r>
            <w:r w:rsidR="00615D44">
              <w:t>(</w:t>
            </w:r>
            <w:r w:rsidRPr="00783219">
              <w:t>IM</w:t>
            </w:r>
            <w:r w:rsidR="00615D44">
              <w:t>)</w:t>
            </w:r>
            <w:r w:rsidRPr="00783219">
              <w:t xml:space="preserve"> is usually the medicine</w:t>
            </w:r>
            <w:r w:rsidR="00970202" w:rsidRPr="00783219">
              <w:t xml:space="preserve"> </w:t>
            </w:r>
            <w:r w:rsidRPr="00783219">
              <w:t>of choice</w:t>
            </w:r>
          </w:p>
        </w:tc>
        <w:tc>
          <w:tcPr>
            <w:tcW w:w="0" w:type="auto"/>
          </w:tcPr>
          <w:p w14:paraId="2A8B50D0"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 xml:space="preserve">Desensitise and treat within 14 days </w:t>
            </w:r>
          </w:p>
          <w:p w14:paraId="3DA804EB" w14:textId="77777777"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 IM is usually the medicine of choice</w:t>
            </w:r>
          </w:p>
        </w:tc>
        <w:tc>
          <w:tcPr>
            <w:tcW w:w="0" w:type="auto"/>
          </w:tcPr>
          <w:p w14:paraId="71D17E8A"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Desensitise and treat within 21 days</w:t>
            </w:r>
          </w:p>
          <w:p w14:paraId="0CF065CD" w14:textId="77777777"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 IM is usually the medicine of choice</w:t>
            </w:r>
          </w:p>
        </w:tc>
        <w:tc>
          <w:tcPr>
            <w:tcW w:w="0" w:type="auto"/>
          </w:tcPr>
          <w:p w14:paraId="7D7E3213" w14:textId="5F0502E8"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 xml:space="preserve">Special case: requires </w:t>
            </w:r>
            <w:r w:rsidR="00615D44">
              <w:t>intravenous (</w:t>
            </w:r>
            <w:r w:rsidRPr="00783219">
              <w:t>IV</w:t>
            </w:r>
            <w:r w:rsidR="00615D44">
              <w:t>)</w:t>
            </w:r>
            <w:r w:rsidRPr="00783219">
              <w:t xml:space="preserve"> benzylpenicillin after desensitisation </w:t>
            </w:r>
          </w:p>
        </w:tc>
      </w:tr>
      <w:tr w:rsidR="0047238D" w:rsidRPr="00CB7B1D" w14:paraId="70606387" w14:textId="77777777" w:rsidTr="2762EA6A">
        <w:tc>
          <w:tcPr>
            <w:cnfStyle w:val="001000000000" w:firstRow="0" w:lastRow="0" w:firstColumn="1" w:lastColumn="0" w:oddVBand="0" w:evenVBand="0" w:oddHBand="0" w:evenHBand="0" w:firstRowFirstColumn="0" w:firstRowLastColumn="0" w:lastRowFirstColumn="0" w:lastRowLastColumn="0"/>
            <w:tcW w:w="0" w:type="auto"/>
          </w:tcPr>
          <w:p w14:paraId="4B1653D5" w14:textId="77777777" w:rsidR="0047238D" w:rsidRPr="008E5F87" w:rsidRDefault="0047238D" w:rsidP="005C5FE8">
            <w:pPr>
              <w:rPr>
                <w:b/>
                <w:bCs/>
              </w:rPr>
            </w:pPr>
            <w:r w:rsidRPr="008E5F87">
              <w:rPr>
                <w:b/>
                <w:bCs/>
              </w:rPr>
              <w:t>3</w:t>
            </w:r>
            <w:r w:rsidRPr="008E5F87">
              <w:rPr>
                <w:b/>
                <w:bCs/>
                <w:vertAlign w:val="superscript"/>
              </w:rPr>
              <w:t>rd</w:t>
            </w:r>
            <w:r w:rsidRPr="008E5F87">
              <w:rPr>
                <w:b/>
                <w:bCs/>
              </w:rPr>
              <w:t xml:space="preserve"> trimester</w:t>
            </w:r>
          </w:p>
        </w:tc>
        <w:tc>
          <w:tcPr>
            <w:tcW w:w="0" w:type="auto"/>
          </w:tcPr>
          <w:p w14:paraId="329AFD9A"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Desensitise and treat as soon as possible</w:t>
            </w:r>
          </w:p>
          <w:p w14:paraId="7EFFD402" w14:textId="77777777"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 IM is usually the medicine of choice</w:t>
            </w:r>
          </w:p>
        </w:tc>
        <w:tc>
          <w:tcPr>
            <w:tcW w:w="0" w:type="auto"/>
          </w:tcPr>
          <w:p w14:paraId="3775537A"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Desensitise and treat as soon as possible</w:t>
            </w:r>
          </w:p>
          <w:p w14:paraId="2B1047D0" w14:textId="77777777"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 IM is usually the medicine of choice</w:t>
            </w:r>
          </w:p>
        </w:tc>
        <w:tc>
          <w:tcPr>
            <w:tcW w:w="0" w:type="auto"/>
          </w:tcPr>
          <w:p w14:paraId="2A9FBDE5"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Desensitise and treat as soon as possible</w:t>
            </w:r>
          </w:p>
          <w:p w14:paraId="4D44D108" w14:textId="77777777" w:rsidR="007E2B0D" w:rsidRPr="00783219" w:rsidRDefault="007E2B0D" w:rsidP="005C5FE8">
            <w:pPr>
              <w:cnfStyle w:val="000000000000" w:firstRow="0" w:lastRow="0" w:firstColumn="0" w:lastColumn="0" w:oddVBand="0" w:evenVBand="0" w:oddHBand="0" w:evenHBand="0" w:firstRowFirstColumn="0" w:firstRowLastColumn="0" w:lastRowFirstColumn="0" w:lastRowLastColumn="0"/>
            </w:pPr>
            <w:r w:rsidRPr="00783219">
              <w:t>Benzathine benzylpenicillin IM is usually the medicine of choice</w:t>
            </w:r>
          </w:p>
        </w:tc>
        <w:tc>
          <w:tcPr>
            <w:tcW w:w="0" w:type="auto"/>
          </w:tcPr>
          <w:p w14:paraId="64140DC0"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Special case: requires admission for IV benzylpenicillin after desensitisation</w:t>
            </w:r>
          </w:p>
        </w:tc>
      </w:tr>
    </w:tbl>
    <w:p w14:paraId="4051D0B2" w14:textId="77777777" w:rsidR="00685674" w:rsidRPr="00481A6C" w:rsidRDefault="00685674" w:rsidP="00685674">
      <w:pPr>
        <w:pStyle w:val="BodyCopy"/>
        <w:spacing w:before="240"/>
      </w:pPr>
      <w:hyperlink w:anchor="_top" w:history="1">
        <w:r w:rsidRPr="00481A6C">
          <w:rPr>
            <w:rStyle w:val="Hyperlink"/>
            <w:iCs w:val="0"/>
          </w:rPr>
          <w:t>Back to Contents</w:t>
        </w:r>
      </w:hyperlink>
    </w:p>
    <w:p w14:paraId="22B2FA79" w14:textId="5319BCE6" w:rsidR="0047238D" w:rsidRDefault="001D06A8" w:rsidP="0047238D">
      <w:pPr>
        <w:pStyle w:val="Heading4"/>
      </w:pPr>
      <w:bookmarkStart w:id="8" w:name="_Toc207966949"/>
      <w:r>
        <w:lastRenderedPageBreak/>
        <w:t xml:space="preserve">Section </w:t>
      </w:r>
      <w:r w:rsidR="002D142F">
        <w:t>5</w:t>
      </w:r>
      <w:r>
        <w:t xml:space="preserve"> - </w:t>
      </w:r>
      <w:r w:rsidR="0047238D">
        <w:t>Desensitisation protocol</w:t>
      </w:r>
      <w:r w:rsidR="002D142F">
        <w:t xml:space="preserve"> and procedure</w:t>
      </w:r>
      <w:bookmarkEnd w:id="8"/>
    </w:p>
    <w:p w14:paraId="4B3C460B" w14:textId="1DB4D6FC" w:rsidR="003B5FB9" w:rsidRDefault="003B5FB9" w:rsidP="003B5FB9">
      <w:pPr>
        <w:pStyle w:val="Heading5"/>
      </w:pPr>
      <w:r>
        <w:t>Desensitisation protocol</w:t>
      </w:r>
    </w:p>
    <w:p w14:paraId="473FAC27" w14:textId="3FB2D904" w:rsidR="0047238D" w:rsidRPr="00783219" w:rsidRDefault="003B5FB9" w:rsidP="009B1561">
      <w:pPr>
        <w:pStyle w:val="BodyCopy"/>
      </w:pPr>
      <w:r>
        <w:t>Table 2 details</w:t>
      </w:r>
      <w:r w:rsidR="0047238D" w:rsidRPr="00783219">
        <w:t xml:space="preserve"> the CHS oral phenoxymethylpenicillin desensitisation protocol for pregnant persons</w:t>
      </w:r>
      <w:r w:rsidR="00B8635B" w:rsidRPr="00783219">
        <w:t xml:space="preserve"> with </w:t>
      </w:r>
      <w:r w:rsidR="00417634" w:rsidRPr="00783219">
        <w:t>allergy</w:t>
      </w:r>
      <w:r w:rsidR="00B8635B" w:rsidRPr="00783219">
        <w:t xml:space="preserve"> to penicillin </w:t>
      </w:r>
      <w:r w:rsidR="0047238D" w:rsidRPr="00783219">
        <w:t>who need to receive oral</w:t>
      </w:r>
      <w:r w:rsidR="00FF1546" w:rsidRPr="00783219">
        <w:t xml:space="preserve"> phenoxymethylpenicillin</w:t>
      </w:r>
      <w:r w:rsidR="0047238D" w:rsidRPr="00783219">
        <w:t>, intramuscular</w:t>
      </w:r>
      <w:r w:rsidR="00FF1546" w:rsidRPr="00783219">
        <w:t xml:space="preserve"> benzathine benzylpenicillin, </w:t>
      </w:r>
      <w:r w:rsidR="0047238D" w:rsidRPr="00783219">
        <w:t xml:space="preserve">or intravenous </w:t>
      </w:r>
      <w:r w:rsidR="00FF1546" w:rsidRPr="00783219">
        <w:t>benzylpenicillin</w:t>
      </w:r>
      <w:r w:rsidR="00597F8F" w:rsidRPr="00783219">
        <w:t xml:space="preserve"> </w:t>
      </w:r>
      <w:r w:rsidR="0047238D" w:rsidRPr="00783219">
        <w:t>treatments</w:t>
      </w:r>
      <w:r>
        <w:t>.</w:t>
      </w:r>
    </w:p>
    <w:p w14:paraId="70BC36D9" w14:textId="77777777" w:rsidR="0047238D" w:rsidRPr="00783219" w:rsidRDefault="0047238D" w:rsidP="00615D44">
      <w:pPr>
        <w:pStyle w:val="Tableheader-black"/>
      </w:pPr>
      <w:r w:rsidRPr="00783219">
        <w:t xml:space="preserve">Table 2: Oral desensitisation protocol </w:t>
      </w:r>
    </w:p>
    <w:tbl>
      <w:tblPr>
        <w:tblStyle w:val="CHSTable03"/>
        <w:tblW w:w="9823" w:type="dxa"/>
        <w:tblLook w:val="04A0" w:firstRow="1" w:lastRow="0" w:firstColumn="1" w:lastColumn="0" w:noHBand="0" w:noVBand="1"/>
      </w:tblPr>
      <w:tblGrid>
        <w:gridCol w:w="1294"/>
        <w:gridCol w:w="4880"/>
        <w:gridCol w:w="1171"/>
        <w:gridCol w:w="918"/>
        <w:gridCol w:w="1560"/>
      </w:tblGrid>
      <w:tr w:rsidR="00CC6B8E" w:rsidRPr="00CB7B1D" w14:paraId="3FC272C3" w14:textId="77777777" w:rsidTr="0094217E">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296" w:type="dxa"/>
            <w:tcBorders>
              <w:bottom w:val="single" w:sz="4" w:space="0" w:color="auto"/>
            </w:tcBorders>
            <w:hideMark/>
          </w:tcPr>
          <w:p w14:paraId="7F910522" w14:textId="5E4D6143" w:rsidR="0047238D" w:rsidRPr="00783219" w:rsidRDefault="0047238D" w:rsidP="005C5FE8">
            <w:pPr>
              <w:rPr>
                <w:b/>
                <w:bCs/>
              </w:rPr>
            </w:pPr>
            <w:r w:rsidRPr="00783219">
              <w:rPr>
                <w:b/>
                <w:bCs/>
              </w:rPr>
              <w:t>Step</w:t>
            </w:r>
            <w:r w:rsidR="00615D44">
              <w:rPr>
                <w:b/>
                <w:bCs/>
              </w:rPr>
              <w:t>s</w:t>
            </w:r>
            <w:r w:rsidRPr="00783219">
              <w:rPr>
                <w:b/>
                <w:bCs/>
              </w:rPr>
              <w:t xml:space="preserve"> (at 15-minute intervals)</w:t>
            </w:r>
          </w:p>
        </w:tc>
        <w:tc>
          <w:tcPr>
            <w:tcW w:w="4054" w:type="dxa"/>
            <w:tcBorders>
              <w:bottom w:val="single" w:sz="4" w:space="0" w:color="auto"/>
            </w:tcBorders>
            <w:hideMark/>
          </w:tcPr>
          <w:p w14:paraId="797EF58A" w14:textId="6496836E" w:rsidR="0047238D" w:rsidRPr="0052463B"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2463B">
              <w:rPr>
                <w:b/>
                <w:bCs/>
                <w:color w:val="FFFFFF" w:themeColor="background1"/>
              </w:rPr>
              <w:t>Phenoxymethylpenicillin suspension (mg/mL)</w:t>
            </w:r>
          </w:p>
        </w:tc>
        <w:tc>
          <w:tcPr>
            <w:tcW w:w="1325" w:type="dxa"/>
            <w:tcBorders>
              <w:bottom w:val="single" w:sz="4" w:space="0" w:color="auto"/>
            </w:tcBorders>
            <w:hideMark/>
          </w:tcPr>
          <w:p w14:paraId="169EA9A5" w14:textId="77777777" w:rsidR="0047238D" w:rsidRPr="0052463B"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2463B">
              <w:rPr>
                <w:b/>
                <w:bCs/>
                <w:color w:val="FFFFFF" w:themeColor="background1"/>
              </w:rPr>
              <w:t>Volume (mL)</w:t>
            </w:r>
          </w:p>
        </w:tc>
        <w:tc>
          <w:tcPr>
            <w:tcW w:w="0" w:type="auto"/>
            <w:tcBorders>
              <w:bottom w:val="single" w:sz="4" w:space="0" w:color="auto"/>
            </w:tcBorders>
            <w:hideMark/>
          </w:tcPr>
          <w:p w14:paraId="5FDED1D1" w14:textId="77777777" w:rsidR="0047238D" w:rsidRPr="0052463B"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2463B">
              <w:rPr>
                <w:b/>
                <w:bCs/>
                <w:color w:val="FFFFFF" w:themeColor="background1"/>
              </w:rPr>
              <w:t>Dose (mg)</w:t>
            </w:r>
          </w:p>
        </w:tc>
        <w:tc>
          <w:tcPr>
            <w:tcW w:w="0" w:type="auto"/>
            <w:tcBorders>
              <w:bottom w:val="single" w:sz="4" w:space="0" w:color="auto"/>
            </w:tcBorders>
            <w:hideMark/>
          </w:tcPr>
          <w:p w14:paraId="02242595" w14:textId="77777777" w:rsidR="0047238D" w:rsidRPr="0052463B" w:rsidRDefault="0047238D" w:rsidP="005C5FE8">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52463B">
              <w:rPr>
                <w:b/>
                <w:bCs/>
                <w:color w:val="FFFFFF" w:themeColor="background1"/>
              </w:rPr>
              <w:t>Cumulative dose (mg)</w:t>
            </w:r>
          </w:p>
        </w:tc>
      </w:tr>
      <w:tr w:rsidR="0094217E" w:rsidRPr="00CB7B1D" w14:paraId="3E9E78F5" w14:textId="77777777" w:rsidTr="0094217E">
        <w:trPr>
          <w:trHeight w:val="823"/>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left w:val="single" w:sz="4" w:space="0" w:color="auto"/>
              <w:bottom w:val="single" w:sz="4" w:space="0" w:color="auto"/>
              <w:right w:val="nil"/>
            </w:tcBorders>
            <w:shd w:val="clear" w:color="auto" w:fill="3D2262" w:themeFill="accent1"/>
          </w:tcPr>
          <w:p w14:paraId="36B48EB5" w14:textId="77777777" w:rsidR="006D4665" w:rsidRPr="00783219" w:rsidRDefault="006D4665" w:rsidP="005C5FE8">
            <w:pPr>
              <w:rPr>
                <w:b/>
                <w:bCs/>
              </w:rPr>
            </w:pPr>
          </w:p>
        </w:tc>
        <w:tc>
          <w:tcPr>
            <w:tcW w:w="4054" w:type="dxa"/>
            <w:tcBorders>
              <w:top w:val="single" w:sz="4" w:space="0" w:color="auto"/>
              <w:left w:val="nil"/>
              <w:bottom w:val="single" w:sz="4" w:space="0" w:color="auto"/>
              <w:right w:val="nil"/>
            </w:tcBorders>
            <w:shd w:val="clear" w:color="auto" w:fill="3D2262" w:themeFill="accent1"/>
          </w:tcPr>
          <w:p w14:paraId="47D390A4" w14:textId="026DDC58" w:rsidR="006D4665" w:rsidRPr="0052463B" w:rsidRDefault="006D4665" w:rsidP="005C5FE8">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6D4665">
              <w:rPr>
                <w:color w:val="FFFFFF" w:themeColor="background1"/>
              </w:rPr>
              <w:t>Solution C (phenoxymethylpenicillin suspension 0.5 mg/mL)</w:t>
            </w:r>
          </w:p>
        </w:tc>
        <w:tc>
          <w:tcPr>
            <w:tcW w:w="1325" w:type="dxa"/>
            <w:tcBorders>
              <w:top w:val="single" w:sz="4" w:space="0" w:color="auto"/>
              <w:left w:val="nil"/>
              <w:bottom w:val="single" w:sz="4" w:space="0" w:color="auto"/>
              <w:right w:val="nil"/>
            </w:tcBorders>
            <w:shd w:val="clear" w:color="auto" w:fill="3D2262" w:themeFill="accent1"/>
          </w:tcPr>
          <w:p w14:paraId="1A60CA15" w14:textId="77777777" w:rsidR="006D4665" w:rsidRPr="0052463B" w:rsidRDefault="006D4665" w:rsidP="005C5FE8">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0" w:type="auto"/>
            <w:tcBorders>
              <w:top w:val="single" w:sz="4" w:space="0" w:color="auto"/>
              <w:left w:val="nil"/>
              <w:bottom w:val="single" w:sz="4" w:space="0" w:color="auto"/>
              <w:right w:val="nil"/>
            </w:tcBorders>
            <w:shd w:val="clear" w:color="auto" w:fill="3D2262" w:themeFill="accent1"/>
          </w:tcPr>
          <w:p w14:paraId="0E354DB1" w14:textId="77777777" w:rsidR="006D4665" w:rsidRPr="0052463B" w:rsidRDefault="006D4665" w:rsidP="005C5FE8">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0" w:type="auto"/>
            <w:tcBorders>
              <w:top w:val="single" w:sz="4" w:space="0" w:color="auto"/>
              <w:left w:val="nil"/>
              <w:bottom w:val="single" w:sz="4" w:space="0" w:color="auto"/>
              <w:right w:val="single" w:sz="4" w:space="0" w:color="auto"/>
            </w:tcBorders>
            <w:shd w:val="clear" w:color="auto" w:fill="3D2262" w:themeFill="accent1"/>
          </w:tcPr>
          <w:p w14:paraId="2DF22C69" w14:textId="77777777" w:rsidR="006D4665" w:rsidRPr="0052463B" w:rsidRDefault="006D4665" w:rsidP="005C5FE8">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CC6B8E" w:rsidRPr="00CB7B1D" w14:paraId="7D9890D5" w14:textId="77777777" w:rsidTr="0094217E">
        <w:trPr>
          <w:trHeight w:val="821"/>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tcBorders>
            <w:hideMark/>
          </w:tcPr>
          <w:p w14:paraId="3125B71C" w14:textId="77777777" w:rsidR="0047238D" w:rsidRPr="00783219" w:rsidRDefault="0047238D" w:rsidP="005C5FE8">
            <w:r w:rsidRPr="00783219">
              <w:t>1</w:t>
            </w:r>
          </w:p>
        </w:tc>
        <w:tc>
          <w:tcPr>
            <w:tcW w:w="4054" w:type="dxa"/>
            <w:tcBorders>
              <w:top w:val="single" w:sz="4" w:space="0" w:color="auto"/>
            </w:tcBorders>
            <w:hideMark/>
          </w:tcPr>
          <w:p w14:paraId="0EEE7FE5"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tcBorders>
              <w:top w:val="single" w:sz="4" w:space="0" w:color="auto"/>
            </w:tcBorders>
            <w:hideMark/>
          </w:tcPr>
          <w:p w14:paraId="6EAD3C0C"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0.1</w:t>
            </w:r>
            <w:r w:rsidR="006317BC" w:rsidRPr="00783219">
              <w:t xml:space="preserve"> mL</w:t>
            </w:r>
          </w:p>
        </w:tc>
        <w:tc>
          <w:tcPr>
            <w:tcW w:w="0" w:type="auto"/>
            <w:tcBorders>
              <w:top w:val="single" w:sz="4" w:space="0" w:color="auto"/>
            </w:tcBorders>
            <w:hideMark/>
          </w:tcPr>
          <w:p w14:paraId="06E5799F"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0.05</w:t>
            </w:r>
            <w:r w:rsidR="008D5D64" w:rsidRPr="00783219">
              <w:t xml:space="preserve"> mg</w:t>
            </w:r>
          </w:p>
        </w:tc>
        <w:tc>
          <w:tcPr>
            <w:tcW w:w="0" w:type="auto"/>
            <w:tcBorders>
              <w:top w:val="single" w:sz="4" w:space="0" w:color="auto"/>
            </w:tcBorders>
            <w:hideMark/>
          </w:tcPr>
          <w:p w14:paraId="2C77738C"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0.05</w:t>
            </w:r>
            <w:r w:rsidR="008D5D64" w:rsidRPr="00783219">
              <w:t xml:space="preserve"> mg</w:t>
            </w:r>
          </w:p>
        </w:tc>
      </w:tr>
      <w:tr w:rsidR="00CC6B8E" w:rsidRPr="00CB7B1D" w14:paraId="461AADB3"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hideMark/>
          </w:tcPr>
          <w:p w14:paraId="60F92673" w14:textId="77777777" w:rsidR="0047238D" w:rsidRPr="00783219" w:rsidRDefault="0047238D" w:rsidP="005C5FE8">
            <w:r w:rsidRPr="00783219">
              <w:t>2</w:t>
            </w:r>
          </w:p>
        </w:tc>
        <w:tc>
          <w:tcPr>
            <w:tcW w:w="4054" w:type="dxa"/>
            <w:hideMark/>
          </w:tcPr>
          <w:p w14:paraId="5144F958"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hideMark/>
          </w:tcPr>
          <w:p w14:paraId="5E1E9090"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0.2</w:t>
            </w:r>
            <w:r w:rsidR="006317BC" w:rsidRPr="00783219">
              <w:t xml:space="preserve"> mL</w:t>
            </w:r>
          </w:p>
        </w:tc>
        <w:tc>
          <w:tcPr>
            <w:tcW w:w="0" w:type="auto"/>
            <w:hideMark/>
          </w:tcPr>
          <w:p w14:paraId="559CDE38"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0.1</w:t>
            </w:r>
            <w:r w:rsidR="008D5D64" w:rsidRPr="00783219">
              <w:t xml:space="preserve"> mg</w:t>
            </w:r>
          </w:p>
        </w:tc>
        <w:tc>
          <w:tcPr>
            <w:tcW w:w="0" w:type="auto"/>
            <w:hideMark/>
          </w:tcPr>
          <w:p w14:paraId="7E05F87C"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0.15</w:t>
            </w:r>
            <w:r w:rsidR="008D5D64" w:rsidRPr="00783219">
              <w:t xml:space="preserve"> mg</w:t>
            </w:r>
          </w:p>
        </w:tc>
      </w:tr>
      <w:tr w:rsidR="00CC6B8E" w:rsidRPr="00CB7B1D" w14:paraId="5E54B754"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hideMark/>
          </w:tcPr>
          <w:p w14:paraId="08868139" w14:textId="77777777" w:rsidR="0047238D" w:rsidRPr="00783219" w:rsidRDefault="0047238D" w:rsidP="005C5FE8">
            <w:r w:rsidRPr="00783219">
              <w:t>3</w:t>
            </w:r>
          </w:p>
        </w:tc>
        <w:tc>
          <w:tcPr>
            <w:tcW w:w="4054" w:type="dxa"/>
            <w:hideMark/>
          </w:tcPr>
          <w:p w14:paraId="2B182F57"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hideMark/>
          </w:tcPr>
          <w:p w14:paraId="59DCE8F5"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0.4</w:t>
            </w:r>
            <w:r w:rsidR="006317BC" w:rsidRPr="00783219">
              <w:t xml:space="preserve"> mL</w:t>
            </w:r>
          </w:p>
        </w:tc>
        <w:tc>
          <w:tcPr>
            <w:tcW w:w="0" w:type="auto"/>
            <w:hideMark/>
          </w:tcPr>
          <w:p w14:paraId="0AE1DC5E"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0.2</w:t>
            </w:r>
            <w:r w:rsidR="008D5D64" w:rsidRPr="00783219">
              <w:t xml:space="preserve"> mg</w:t>
            </w:r>
          </w:p>
        </w:tc>
        <w:tc>
          <w:tcPr>
            <w:tcW w:w="0" w:type="auto"/>
            <w:hideMark/>
          </w:tcPr>
          <w:p w14:paraId="15CFC211"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0.35</w:t>
            </w:r>
            <w:r w:rsidR="008D5D64" w:rsidRPr="00783219">
              <w:t xml:space="preserve"> mg</w:t>
            </w:r>
          </w:p>
        </w:tc>
      </w:tr>
      <w:tr w:rsidR="00CC6B8E" w:rsidRPr="00CB7B1D" w14:paraId="5FC9352B"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hideMark/>
          </w:tcPr>
          <w:p w14:paraId="7309F159" w14:textId="77777777" w:rsidR="0047238D" w:rsidRPr="00783219" w:rsidRDefault="0047238D" w:rsidP="005C5FE8">
            <w:r w:rsidRPr="00783219">
              <w:t>4</w:t>
            </w:r>
          </w:p>
        </w:tc>
        <w:tc>
          <w:tcPr>
            <w:tcW w:w="4054" w:type="dxa"/>
            <w:hideMark/>
          </w:tcPr>
          <w:p w14:paraId="5F7CC962"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hideMark/>
          </w:tcPr>
          <w:p w14:paraId="51469DBA"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0.8</w:t>
            </w:r>
            <w:r w:rsidR="006317BC" w:rsidRPr="00783219">
              <w:t xml:space="preserve"> mL</w:t>
            </w:r>
          </w:p>
        </w:tc>
        <w:tc>
          <w:tcPr>
            <w:tcW w:w="0" w:type="auto"/>
            <w:hideMark/>
          </w:tcPr>
          <w:p w14:paraId="1D1DBC58"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0.4</w:t>
            </w:r>
            <w:r w:rsidR="008D5D64" w:rsidRPr="00783219">
              <w:t xml:space="preserve"> mg</w:t>
            </w:r>
          </w:p>
        </w:tc>
        <w:tc>
          <w:tcPr>
            <w:tcW w:w="0" w:type="auto"/>
            <w:hideMark/>
          </w:tcPr>
          <w:p w14:paraId="18CF324B"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0.75</w:t>
            </w:r>
            <w:r w:rsidR="008D5D64" w:rsidRPr="00783219">
              <w:t xml:space="preserve"> mg</w:t>
            </w:r>
          </w:p>
        </w:tc>
      </w:tr>
      <w:tr w:rsidR="00CC6B8E" w:rsidRPr="00CB7B1D" w14:paraId="71E6EAE8"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hideMark/>
          </w:tcPr>
          <w:p w14:paraId="4509AF3A" w14:textId="77777777" w:rsidR="0047238D" w:rsidRPr="00783219" w:rsidRDefault="0047238D" w:rsidP="005C5FE8">
            <w:r w:rsidRPr="00783219">
              <w:t>5</w:t>
            </w:r>
          </w:p>
        </w:tc>
        <w:tc>
          <w:tcPr>
            <w:tcW w:w="4054" w:type="dxa"/>
            <w:hideMark/>
          </w:tcPr>
          <w:p w14:paraId="1F942089"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hideMark/>
          </w:tcPr>
          <w:p w14:paraId="10B0E0CB"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1.6</w:t>
            </w:r>
            <w:r w:rsidR="006317BC" w:rsidRPr="00783219">
              <w:t xml:space="preserve"> mL</w:t>
            </w:r>
          </w:p>
        </w:tc>
        <w:tc>
          <w:tcPr>
            <w:tcW w:w="0" w:type="auto"/>
            <w:hideMark/>
          </w:tcPr>
          <w:p w14:paraId="6CAC87FC"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0.8</w:t>
            </w:r>
            <w:r w:rsidR="008D5D64" w:rsidRPr="00783219">
              <w:t xml:space="preserve"> mg</w:t>
            </w:r>
          </w:p>
        </w:tc>
        <w:tc>
          <w:tcPr>
            <w:tcW w:w="0" w:type="auto"/>
            <w:hideMark/>
          </w:tcPr>
          <w:p w14:paraId="31E9D040"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1.55</w:t>
            </w:r>
            <w:r w:rsidR="008D5D64" w:rsidRPr="00783219">
              <w:t xml:space="preserve"> mg</w:t>
            </w:r>
          </w:p>
        </w:tc>
      </w:tr>
      <w:tr w:rsidR="00CC6B8E" w:rsidRPr="00CB7B1D" w14:paraId="1E7B5483"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hideMark/>
          </w:tcPr>
          <w:p w14:paraId="42CEC74F" w14:textId="77777777" w:rsidR="0047238D" w:rsidRPr="00783219" w:rsidRDefault="0047238D" w:rsidP="005C5FE8">
            <w:r w:rsidRPr="00783219">
              <w:t>6</w:t>
            </w:r>
          </w:p>
        </w:tc>
        <w:tc>
          <w:tcPr>
            <w:tcW w:w="4054" w:type="dxa"/>
            <w:hideMark/>
          </w:tcPr>
          <w:p w14:paraId="11C0F373"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hideMark/>
          </w:tcPr>
          <w:p w14:paraId="32483CC6"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3.2</w:t>
            </w:r>
            <w:r w:rsidR="006317BC" w:rsidRPr="00783219">
              <w:t xml:space="preserve"> mL</w:t>
            </w:r>
          </w:p>
        </w:tc>
        <w:tc>
          <w:tcPr>
            <w:tcW w:w="0" w:type="auto"/>
            <w:hideMark/>
          </w:tcPr>
          <w:p w14:paraId="18504209"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1.6</w:t>
            </w:r>
            <w:r w:rsidR="008D5D64" w:rsidRPr="00783219">
              <w:t xml:space="preserve"> mg</w:t>
            </w:r>
          </w:p>
        </w:tc>
        <w:tc>
          <w:tcPr>
            <w:tcW w:w="0" w:type="auto"/>
            <w:hideMark/>
          </w:tcPr>
          <w:p w14:paraId="5A021F65"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3.15</w:t>
            </w:r>
            <w:r w:rsidR="008D5D64" w:rsidRPr="00783219">
              <w:t xml:space="preserve"> mg</w:t>
            </w:r>
          </w:p>
        </w:tc>
      </w:tr>
      <w:tr w:rsidR="00CC6B8E" w:rsidRPr="00CB7B1D" w14:paraId="3B67A1DE"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tcBorders>
              <w:bottom w:val="single" w:sz="4" w:space="0" w:color="auto"/>
            </w:tcBorders>
            <w:hideMark/>
          </w:tcPr>
          <w:p w14:paraId="7C65F1DD" w14:textId="77777777" w:rsidR="0047238D" w:rsidRPr="00783219" w:rsidRDefault="0047238D" w:rsidP="005C5FE8">
            <w:r w:rsidRPr="00783219">
              <w:lastRenderedPageBreak/>
              <w:t>7</w:t>
            </w:r>
          </w:p>
        </w:tc>
        <w:tc>
          <w:tcPr>
            <w:tcW w:w="4054" w:type="dxa"/>
            <w:tcBorders>
              <w:bottom w:val="single" w:sz="4" w:space="0" w:color="auto"/>
            </w:tcBorders>
            <w:hideMark/>
          </w:tcPr>
          <w:p w14:paraId="6DFCA80A"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0.5</w:t>
            </w:r>
            <w:r w:rsidR="006317BC" w:rsidRPr="00783219">
              <w:t xml:space="preserve"> mg/mL</w:t>
            </w:r>
          </w:p>
        </w:tc>
        <w:tc>
          <w:tcPr>
            <w:tcW w:w="1325" w:type="dxa"/>
            <w:tcBorders>
              <w:bottom w:val="single" w:sz="4" w:space="0" w:color="auto"/>
            </w:tcBorders>
            <w:hideMark/>
          </w:tcPr>
          <w:p w14:paraId="10C7721C"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6.4</w:t>
            </w:r>
            <w:r w:rsidR="008D5D64" w:rsidRPr="00783219">
              <w:t xml:space="preserve"> mL</w:t>
            </w:r>
          </w:p>
        </w:tc>
        <w:tc>
          <w:tcPr>
            <w:tcW w:w="0" w:type="auto"/>
            <w:tcBorders>
              <w:bottom w:val="single" w:sz="4" w:space="0" w:color="auto"/>
            </w:tcBorders>
            <w:hideMark/>
          </w:tcPr>
          <w:p w14:paraId="4E7153FE"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3.2</w:t>
            </w:r>
            <w:r w:rsidR="008D5D64" w:rsidRPr="00783219">
              <w:t xml:space="preserve"> mg</w:t>
            </w:r>
          </w:p>
        </w:tc>
        <w:tc>
          <w:tcPr>
            <w:tcW w:w="0" w:type="auto"/>
            <w:tcBorders>
              <w:bottom w:val="single" w:sz="4" w:space="0" w:color="auto"/>
            </w:tcBorders>
            <w:hideMark/>
          </w:tcPr>
          <w:p w14:paraId="6CB01D79" w14:textId="77777777" w:rsidR="0047238D" w:rsidRPr="00783219" w:rsidRDefault="0047238D" w:rsidP="005C5FE8">
            <w:pPr>
              <w:cnfStyle w:val="000000000000" w:firstRow="0" w:lastRow="0" w:firstColumn="0" w:lastColumn="0" w:oddVBand="0" w:evenVBand="0" w:oddHBand="0" w:evenHBand="0" w:firstRowFirstColumn="0" w:firstRowLastColumn="0" w:lastRowFirstColumn="0" w:lastRowLastColumn="0"/>
            </w:pPr>
            <w:r w:rsidRPr="00783219">
              <w:t>6.35</w:t>
            </w:r>
            <w:r w:rsidR="008D5D64" w:rsidRPr="00783219">
              <w:t xml:space="preserve"> mg</w:t>
            </w:r>
          </w:p>
        </w:tc>
      </w:tr>
      <w:tr w:rsidR="0094217E" w:rsidRPr="00CB7B1D" w14:paraId="502C104A"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left w:val="single" w:sz="4" w:space="0" w:color="auto"/>
              <w:bottom w:val="single" w:sz="4" w:space="0" w:color="auto"/>
              <w:right w:val="nil"/>
            </w:tcBorders>
            <w:shd w:val="clear" w:color="auto" w:fill="3D2262" w:themeFill="accent1"/>
          </w:tcPr>
          <w:p w14:paraId="76DE8BF8" w14:textId="77777777" w:rsidR="00D161B3" w:rsidRPr="00D161B3" w:rsidRDefault="00D161B3" w:rsidP="00D161B3">
            <w:pPr>
              <w:rPr>
                <w:color w:val="FFFFFF" w:themeColor="background1"/>
              </w:rPr>
            </w:pPr>
          </w:p>
        </w:tc>
        <w:tc>
          <w:tcPr>
            <w:tcW w:w="4054" w:type="dxa"/>
            <w:tcBorders>
              <w:top w:val="single" w:sz="4" w:space="0" w:color="auto"/>
              <w:left w:val="nil"/>
              <w:bottom w:val="single" w:sz="4" w:space="0" w:color="auto"/>
              <w:right w:val="nil"/>
            </w:tcBorders>
            <w:shd w:val="clear" w:color="auto" w:fill="3D2262" w:themeFill="accent1"/>
          </w:tcPr>
          <w:p w14:paraId="52ACA2DA" w14:textId="57FC3FB1" w:rsidR="00D161B3" w:rsidRPr="00D161B3" w:rsidRDefault="00D161B3" w:rsidP="00D161B3">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D161B3">
              <w:rPr>
                <w:color w:val="FFFFFF" w:themeColor="background1"/>
              </w:rPr>
              <w:t>Solution B (phenoxymethylpenicillin suspension 5 mg/mL)</w:t>
            </w:r>
          </w:p>
        </w:tc>
        <w:tc>
          <w:tcPr>
            <w:tcW w:w="1325" w:type="dxa"/>
            <w:tcBorders>
              <w:top w:val="single" w:sz="4" w:space="0" w:color="auto"/>
              <w:left w:val="nil"/>
              <w:bottom w:val="single" w:sz="4" w:space="0" w:color="auto"/>
              <w:right w:val="nil"/>
            </w:tcBorders>
            <w:shd w:val="clear" w:color="auto" w:fill="3D2262" w:themeFill="accent1"/>
          </w:tcPr>
          <w:p w14:paraId="43F0657A" w14:textId="77777777" w:rsidR="00D161B3" w:rsidRPr="00D161B3" w:rsidRDefault="00D161B3" w:rsidP="00D161B3">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nil"/>
            </w:tcBorders>
            <w:shd w:val="clear" w:color="auto" w:fill="3D2262" w:themeFill="accent1"/>
          </w:tcPr>
          <w:p w14:paraId="7871E2D1" w14:textId="77777777" w:rsidR="00D161B3" w:rsidRPr="00D161B3" w:rsidRDefault="00D161B3" w:rsidP="00D161B3">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single" w:sz="4" w:space="0" w:color="auto"/>
            </w:tcBorders>
            <w:shd w:val="clear" w:color="auto" w:fill="3D2262" w:themeFill="accent1"/>
          </w:tcPr>
          <w:p w14:paraId="4417628A" w14:textId="77777777" w:rsidR="00D161B3" w:rsidRPr="00D161B3" w:rsidRDefault="00D161B3" w:rsidP="00D161B3">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CC6B8E" w:rsidRPr="00CB7B1D" w14:paraId="273FC93F"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tcBorders>
            <w:hideMark/>
          </w:tcPr>
          <w:p w14:paraId="51062C26" w14:textId="77777777" w:rsidR="00D161B3" w:rsidRPr="00783219" w:rsidRDefault="00D161B3" w:rsidP="00D161B3">
            <w:r w:rsidRPr="00783219">
              <w:t>8</w:t>
            </w:r>
          </w:p>
        </w:tc>
        <w:tc>
          <w:tcPr>
            <w:tcW w:w="4054" w:type="dxa"/>
            <w:tcBorders>
              <w:top w:val="single" w:sz="4" w:space="0" w:color="auto"/>
            </w:tcBorders>
            <w:hideMark/>
          </w:tcPr>
          <w:p w14:paraId="74D8889D" w14:textId="6CD9F4A9"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5 mg/mL</w:t>
            </w:r>
          </w:p>
        </w:tc>
        <w:tc>
          <w:tcPr>
            <w:tcW w:w="1325" w:type="dxa"/>
            <w:tcBorders>
              <w:top w:val="single" w:sz="4" w:space="0" w:color="auto"/>
            </w:tcBorders>
            <w:hideMark/>
          </w:tcPr>
          <w:p w14:paraId="31FDF4EF"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1.2 mL</w:t>
            </w:r>
          </w:p>
        </w:tc>
        <w:tc>
          <w:tcPr>
            <w:tcW w:w="0" w:type="auto"/>
            <w:tcBorders>
              <w:top w:val="single" w:sz="4" w:space="0" w:color="auto"/>
            </w:tcBorders>
            <w:hideMark/>
          </w:tcPr>
          <w:p w14:paraId="76AA3F13"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6 mg</w:t>
            </w:r>
          </w:p>
        </w:tc>
        <w:tc>
          <w:tcPr>
            <w:tcW w:w="0" w:type="auto"/>
            <w:tcBorders>
              <w:top w:val="single" w:sz="4" w:space="0" w:color="auto"/>
            </w:tcBorders>
            <w:hideMark/>
          </w:tcPr>
          <w:p w14:paraId="7C42BC53"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12.35 mg</w:t>
            </w:r>
          </w:p>
        </w:tc>
      </w:tr>
      <w:tr w:rsidR="00CC6B8E" w:rsidRPr="00CB7B1D" w14:paraId="23B4BA9B"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hideMark/>
          </w:tcPr>
          <w:p w14:paraId="55182A8F" w14:textId="77777777" w:rsidR="00D161B3" w:rsidRPr="00783219" w:rsidRDefault="00D161B3" w:rsidP="00D161B3">
            <w:r w:rsidRPr="00783219">
              <w:t>9</w:t>
            </w:r>
          </w:p>
        </w:tc>
        <w:tc>
          <w:tcPr>
            <w:tcW w:w="4054" w:type="dxa"/>
            <w:hideMark/>
          </w:tcPr>
          <w:p w14:paraId="1B25A464" w14:textId="4BF1FAEE"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5 mg/mL</w:t>
            </w:r>
          </w:p>
        </w:tc>
        <w:tc>
          <w:tcPr>
            <w:tcW w:w="1325" w:type="dxa"/>
            <w:hideMark/>
          </w:tcPr>
          <w:p w14:paraId="0E204E26"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2.4 mL</w:t>
            </w:r>
          </w:p>
        </w:tc>
        <w:tc>
          <w:tcPr>
            <w:tcW w:w="0" w:type="auto"/>
            <w:hideMark/>
          </w:tcPr>
          <w:p w14:paraId="0862B5AA"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12 mg</w:t>
            </w:r>
          </w:p>
        </w:tc>
        <w:tc>
          <w:tcPr>
            <w:tcW w:w="0" w:type="auto"/>
            <w:hideMark/>
          </w:tcPr>
          <w:p w14:paraId="4DDFF487"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24.35 mg</w:t>
            </w:r>
          </w:p>
        </w:tc>
      </w:tr>
      <w:tr w:rsidR="00CC6B8E" w:rsidRPr="00CB7B1D" w14:paraId="32FDB99C"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tcBorders>
              <w:bottom w:val="single" w:sz="4" w:space="0" w:color="auto"/>
            </w:tcBorders>
            <w:hideMark/>
          </w:tcPr>
          <w:p w14:paraId="6767A4CC" w14:textId="77777777" w:rsidR="00D161B3" w:rsidRPr="00783219" w:rsidRDefault="00D161B3" w:rsidP="00D161B3">
            <w:r w:rsidRPr="00783219">
              <w:t>10</w:t>
            </w:r>
          </w:p>
        </w:tc>
        <w:tc>
          <w:tcPr>
            <w:tcW w:w="4054" w:type="dxa"/>
            <w:tcBorders>
              <w:bottom w:val="single" w:sz="4" w:space="0" w:color="auto"/>
            </w:tcBorders>
            <w:hideMark/>
          </w:tcPr>
          <w:p w14:paraId="0E2A13CF" w14:textId="6C53FB3F"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5 mg/mL</w:t>
            </w:r>
          </w:p>
        </w:tc>
        <w:tc>
          <w:tcPr>
            <w:tcW w:w="1325" w:type="dxa"/>
            <w:tcBorders>
              <w:bottom w:val="single" w:sz="4" w:space="0" w:color="auto"/>
            </w:tcBorders>
            <w:hideMark/>
          </w:tcPr>
          <w:p w14:paraId="7F469CAD"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4.8 mL</w:t>
            </w:r>
          </w:p>
        </w:tc>
        <w:tc>
          <w:tcPr>
            <w:tcW w:w="0" w:type="auto"/>
            <w:tcBorders>
              <w:bottom w:val="single" w:sz="4" w:space="0" w:color="auto"/>
            </w:tcBorders>
            <w:hideMark/>
          </w:tcPr>
          <w:p w14:paraId="52F586B1"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24 mg</w:t>
            </w:r>
          </w:p>
        </w:tc>
        <w:tc>
          <w:tcPr>
            <w:tcW w:w="0" w:type="auto"/>
            <w:tcBorders>
              <w:bottom w:val="single" w:sz="4" w:space="0" w:color="auto"/>
            </w:tcBorders>
            <w:hideMark/>
          </w:tcPr>
          <w:p w14:paraId="303D193B" w14:textId="77777777" w:rsidR="00D161B3" w:rsidRPr="00783219" w:rsidRDefault="00D161B3" w:rsidP="00D161B3">
            <w:pPr>
              <w:cnfStyle w:val="000000000000" w:firstRow="0" w:lastRow="0" w:firstColumn="0" w:lastColumn="0" w:oddVBand="0" w:evenVBand="0" w:oddHBand="0" w:evenHBand="0" w:firstRowFirstColumn="0" w:firstRowLastColumn="0" w:lastRowFirstColumn="0" w:lastRowLastColumn="0"/>
            </w:pPr>
            <w:r w:rsidRPr="00783219">
              <w:t>48.35 mg</w:t>
            </w:r>
          </w:p>
        </w:tc>
      </w:tr>
      <w:tr w:rsidR="00CC6B8E" w:rsidRPr="00CB7B1D" w14:paraId="60383C81"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left w:val="single" w:sz="4" w:space="0" w:color="auto"/>
              <w:bottom w:val="single" w:sz="4" w:space="0" w:color="auto"/>
              <w:right w:val="nil"/>
            </w:tcBorders>
            <w:shd w:val="clear" w:color="auto" w:fill="3D2262" w:themeFill="accent1"/>
          </w:tcPr>
          <w:p w14:paraId="1E59D8B4" w14:textId="7021B7D6" w:rsidR="00CC6B8E" w:rsidRPr="00CC6B8E" w:rsidRDefault="00CC6B8E" w:rsidP="00CC6B8E">
            <w:pPr>
              <w:rPr>
                <w:color w:val="FFFFFF" w:themeColor="background1"/>
              </w:rPr>
            </w:pPr>
          </w:p>
        </w:tc>
        <w:tc>
          <w:tcPr>
            <w:tcW w:w="4054" w:type="dxa"/>
            <w:tcBorders>
              <w:top w:val="single" w:sz="4" w:space="0" w:color="auto"/>
              <w:left w:val="nil"/>
              <w:bottom w:val="single" w:sz="4" w:space="0" w:color="auto"/>
              <w:right w:val="nil"/>
            </w:tcBorders>
            <w:shd w:val="clear" w:color="auto" w:fill="3D2262" w:themeFill="accent1"/>
          </w:tcPr>
          <w:p w14:paraId="77DB2A7C" w14:textId="79001FA0" w:rsidR="00CC6B8E" w:rsidRPr="00CC6B8E" w:rsidRDefault="00CC6B8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CC6B8E">
              <w:rPr>
                <w:color w:val="FFFFFF" w:themeColor="background1"/>
              </w:rPr>
              <w:t>Solution A (phenoxymethylpenicillin suspension 50 mg/mL, proprietary product)</w:t>
            </w:r>
          </w:p>
        </w:tc>
        <w:tc>
          <w:tcPr>
            <w:tcW w:w="1325" w:type="dxa"/>
            <w:tcBorders>
              <w:top w:val="single" w:sz="4" w:space="0" w:color="auto"/>
              <w:left w:val="nil"/>
              <w:bottom w:val="single" w:sz="4" w:space="0" w:color="auto"/>
              <w:right w:val="nil"/>
            </w:tcBorders>
            <w:shd w:val="clear" w:color="auto" w:fill="3D2262" w:themeFill="accent1"/>
          </w:tcPr>
          <w:p w14:paraId="2DF9C09F" w14:textId="7200E8C0" w:rsidR="00CC6B8E" w:rsidRPr="00CC6B8E" w:rsidRDefault="00CC6B8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nil"/>
            </w:tcBorders>
            <w:shd w:val="clear" w:color="auto" w:fill="3D2262" w:themeFill="accent1"/>
          </w:tcPr>
          <w:p w14:paraId="615F6B0D" w14:textId="22ECD054" w:rsidR="00CC6B8E" w:rsidRPr="00CC6B8E" w:rsidRDefault="00CC6B8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single" w:sz="4" w:space="0" w:color="auto"/>
            </w:tcBorders>
            <w:shd w:val="clear" w:color="auto" w:fill="3D2262" w:themeFill="accent1"/>
          </w:tcPr>
          <w:p w14:paraId="249AC304" w14:textId="403DEE54" w:rsidR="00CC6B8E" w:rsidRPr="00CC6B8E" w:rsidRDefault="00CC6B8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CC6B8E" w:rsidRPr="00CB7B1D" w14:paraId="6ACE5727"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tcBorders>
          </w:tcPr>
          <w:p w14:paraId="678BAA28" w14:textId="79E12040" w:rsidR="00CC6B8E" w:rsidRPr="00783219" w:rsidRDefault="00CC6B8E" w:rsidP="00CC6B8E">
            <w:r w:rsidRPr="00783219">
              <w:t>11</w:t>
            </w:r>
          </w:p>
        </w:tc>
        <w:tc>
          <w:tcPr>
            <w:tcW w:w="4054" w:type="dxa"/>
            <w:tcBorders>
              <w:top w:val="single" w:sz="4" w:space="0" w:color="auto"/>
            </w:tcBorders>
          </w:tcPr>
          <w:p w14:paraId="740BB74A" w14:textId="4C9F3953"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50 mg/mL</w:t>
            </w:r>
          </w:p>
        </w:tc>
        <w:tc>
          <w:tcPr>
            <w:tcW w:w="1325" w:type="dxa"/>
            <w:tcBorders>
              <w:top w:val="single" w:sz="4" w:space="0" w:color="auto"/>
            </w:tcBorders>
          </w:tcPr>
          <w:p w14:paraId="00838E45" w14:textId="13670B95"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1 mL</w:t>
            </w:r>
          </w:p>
        </w:tc>
        <w:tc>
          <w:tcPr>
            <w:tcW w:w="0" w:type="auto"/>
            <w:tcBorders>
              <w:top w:val="single" w:sz="4" w:space="0" w:color="auto"/>
            </w:tcBorders>
          </w:tcPr>
          <w:p w14:paraId="51F58E42" w14:textId="7334123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50 mg</w:t>
            </w:r>
          </w:p>
        </w:tc>
        <w:tc>
          <w:tcPr>
            <w:tcW w:w="0" w:type="auto"/>
            <w:tcBorders>
              <w:top w:val="single" w:sz="4" w:space="0" w:color="auto"/>
            </w:tcBorders>
          </w:tcPr>
          <w:p w14:paraId="545F65B9" w14:textId="2FABC5F0"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98.35 mg</w:t>
            </w:r>
          </w:p>
        </w:tc>
      </w:tr>
      <w:tr w:rsidR="00CC6B8E" w:rsidRPr="00CB7B1D" w14:paraId="33BC1D27"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hideMark/>
          </w:tcPr>
          <w:p w14:paraId="687608B6" w14:textId="77777777" w:rsidR="00CC6B8E" w:rsidRPr="00783219" w:rsidRDefault="00CC6B8E" w:rsidP="00CC6B8E">
            <w:r w:rsidRPr="00783219">
              <w:t>12</w:t>
            </w:r>
          </w:p>
        </w:tc>
        <w:tc>
          <w:tcPr>
            <w:tcW w:w="4054" w:type="dxa"/>
            <w:hideMark/>
          </w:tcPr>
          <w:p w14:paraId="133924E2"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50 mg/mL</w:t>
            </w:r>
          </w:p>
        </w:tc>
        <w:tc>
          <w:tcPr>
            <w:tcW w:w="1325" w:type="dxa"/>
            <w:hideMark/>
          </w:tcPr>
          <w:p w14:paraId="1248A1C2"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2 mL</w:t>
            </w:r>
          </w:p>
        </w:tc>
        <w:tc>
          <w:tcPr>
            <w:tcW w:w="0" w:type="auto"/>
            <w:hideMark/>
          </w:tcPr>
          <w:p w14:paraId="07725709"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100 mg</w:t>
            </w:r>
          </w:p>
        </w:tc>
        <w:tc>
          <w:tcPr>
            <w:tcW w:w="0" w:type="auto"/>
            <w:hideMark/>
          </w:tcPr>
          <w:p w14:paraId="4881B9A7"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198.35 mg</w:t>
            </w:r>
          </w:p>
        </w:tc>
      </w:tr>
      <w:tr w:rsidR="00CC6B8E" w:rsidRPr="00CB7B1D" w14:paraId="597C3191" w14:textId="77777777" w:rsidTr="0094217E">
        <w:trPr>
          <w:trHeight w:val="269"/>
        </w:trPr>
        <w:tc>
          <w:tcPr>
            <w:cnfStyle w:val="001000000000" w:firstRow="0" w:lastRow="0" w:firstColumn="1" w:lastColumn="0" w:oddVBand="0" w:evenVBand="0" w:oddHBand="0" w:evenHBand="0" w:firstRowFirstColumn="0" w:firstRowLastColumn="0" w:lastRowFirstColumn="0" w:lastRowLastColumn="0"/>
            <w:tcW w:w="1296" w:type="dxa"/>
            <w:hideMark/>
          </w:tcPr>
          <w:p w14:paraId="52B720B5" w14:textId="77777777" w:rsidR="00CC6B8E" w:rsidRPr="00783219" w:rsidRDefault="00CC6B8E" w:rsidP="00CC6B8E">
            <w:r w:rsidRPr="00783219">
              <w:t>13</w:t>
            </w:r>
          </w:p>
        </w:tc>
        <w:tc>
          <w:tcPr>
            <w:tcW w:w="4054" w:type="dxa"/>
            <w:hideMark/>
          </w:tcPr>
          <w:p w14:paraId="566E9ACA"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50 mg/mL</w:t>
            </w:r>
          </w:p>
        </w:tc>
        <w:tc>
          <w:tcPr>
            <w:tcW w:w="1325" w:type="dxa"/>
            <w:hideMark/>
          </w:tcPr>
          <w:p w14:paraId="6C352BD2"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4 mL</w:t>
            </w:r>
          </w:p>
        </w:tc>
        <w:tc>
          <w:tcPr>
            <w:tcW w:w="0" w:type="auto"/>
            <w:hideMark/>
          </w:tcPr>
          <w:p w14:paraId="4EDEFB78"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200 mg</w:t>
            </w:r>
          </w:p>
        </w:tc>
        <w:tc>
          <w:tcPr>
            <w:tcW w:w="0" w:type="auto"/>
            <w:hideMark/>
          </w:tcPr>
          <w:p w14:paraId="5B61FEE3"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398.35 mg</w:t>
            </w:r>
          </w:p>
        </w:tc>
      </w:tr>
      <w:tr w:rsidR="00CC6B8E" w:rsidRPr="00CB7B1D" w14:paraId="6450CF33" w14:textId="77777777" w:rsidTr="0094217E">
        <w:trPr>
          <w:trHeight w:val="284"/>
        </w:trPr>
        <w:tc>
          <w:tcPr>
            <w:cnfStyle w:val="001000000000" w:firstRow="0" w:lastRow="0" w:firstColumn="1" w:lastColumn="0" w:oddVBand="0" w:evenVBand="0" w:oddHBand="0" w:evenHBand="0" w:firstRowFirstColumn="0" w:firstRowLastColumn="0" w:lastRowFirstColumn="0" w:lastRowLastColumn="0"/>
            <w:tcW w:w="1296" w:type="dxa"/>
            <w:tcBorders>
              <w:bottom w:val="single" w:sz="4" w:space="0" w:color="auto"/>
            </w:tcBorders>
            <w:hideMark/>
          </w:tcPr>
          <w:p w14:paraId="0C865F1F" w14:textId="77777777" w:rsidR="00CC6B8E" w:rsidRPr="00783219" w:rsidRDefault="00CC6B8E" w:rsidP="00CC6B8E">
            <w:r w:rsidRPr="00783219">
              <w:t>14</w:t>
            </w:r>
          </w:p>
        </w:tc>
        <w:tc>
          <w:tcPr>
            <w:tcW w:w="4054" w:type="dxa"/>
            <w:tcBorders>
              <w:bottom w:val="single" w:sz="4" w:space="0" w:color="auto"/>
            </w:tcBorders>
            <w:hideMark/>
          </w:tcPr>
          <w:p w14:paraId="19FBDAC4"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50 mg/mL</w:t>
            </w:r>
          </w:p>
        </w:tc>
        <w:tc>
          <w:tcPr>
            <w:tcW w:w="1325" w:type="dxa"/>
            <w:tcBorders>
              <w:bottom w:val="single" w:sz="4" w:space="0" w:color="auto"/>
            </w:tcBorders>
            <w:hideMark/>
          </w:tcPr>
          <w:p w14:paraId="6E045503"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8 mL</w:t>
            </w:r>
          </w:p>
        </w:tc>
        <w:tc>
          <w:tcPr>
            <w:tcW w:w="0" w:type="auto"/>
            <w:tcBorders>
              <w:bottom w:val="single" w:sz="4" w:space="0" w:color="auto"/>
            </w:tcBorders>
            <w:hideMark/>
          </w:tcPr>
          <w:p w14:paraId="373E3CB1"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400 mg</w:t>
            </w:r>
          </w:p>
        </w:tc>
        <w:tc>
          <w:tcPr>
            <w:tcW w:w="0" w:type="auto"/>
            <w:tcBorders>
              <w:bottom w:val="single" w:sz="4" w:space="0" w:color="auto"/>
            </w:tcBorders>
            <w:hideMark/>
          </w:tcPr>
          <w:p w14:paraId="69AB1BA7" w14:textId="77777777" w:rsidR="00CC6B8E" w:rsidRPr="00783219" w:rsidRDefault="00CC6B8E" w:rsidP="00CC6B8E">
            <w:pPr>
              <w:cnfStyle w:val="000000000000" w:firstRow="0" w:lastRow="0" w:firstColumn="0" w:lastColumn="0" w:oddVBand="0" w:evenVBand="0" w:oddHBand="0" w:evenHBand="0" w:firstRowFirstColumn="0" w:firstRowLastColumn="0" w:lastRowFirstColumn="0" w:lastRowLastColumn="0"/>
            </w:pPr>
            <w:r w:rsidRPr="00783219">
              <w:t>798.35 mg</w:t>
            </w:r>
          </w:p>
        </w:tc>
      </w:tr>
      <w:tr w:rsidR="0094217E" w:rsidRPr="00CB7B1D" w14:paraId="6A4675C7" w14:textId="77777777" w:rsidTr="00C24155">
        <w:trPr>
          <w:trHeight w:val="284"/>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left w:val="single" w:sz="4" w:space="0" w:color="auto"/>
              <w:bottom w:val="single" w:sz="4" w:space="0" w:color="auto"/>
              <w:right w:val="nil"/>
            </w:tcBorders>
            <w:shd w:val="clear" w:color="auto" w:fill="3D2262" w:themeFill="accent1"/>
          </w:tcPr>
          <w:p w14:paraId="081CBEEA" w14:textId="52B81B5E" w:rsidR="0094217E" w:rsidRPr="0094217E" w:rsidRDefault="0094217E" w:rsidP="00CC6B8E">
            <w:pPr>
              <w:rPr>
                <w:color w:val="FFFFFF" w:themeColor="background1"/>
              </w:rPr>
            </w:pPr>
          </w:p>
        </w:tc>
        <w:tc>
          <w:tcPr>
            <w:tcW w:w="4054" w:type="dxa"/>
            <w:tcBorders>
              <w:top w:val="single" w:sz="4" w:space="0" w:color="auto"/>
              <w:left w:val="nil"/>
              <w:bottom w:val="single" w:sz="4" w:space="0" w:color="auto"/>
              <w:right w:val="single" w:sz="4" w:space="0" w:color="auto"/>
            </w:tcBorders>
            <w:shd w:val="clear" w:color="auto" w:fill="3D2262" w:themeFill="accent1"/>
          </w:tcPr>
          <w:p w14:paraId="761D1406" w14:textId="0FC7CD4A" w:rsidR="0094217E" w:rsidRPr="0094217E" w:rsidRDefault="0094217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94217E">
              <w:rPr>
                <w:color w:val="FFFFFF" w:themeColor="background1"/>
              </w:rPr>
              <w:t>If tolerated proceed to Step 15 after 30 minutes of observation</w:t>
            </w:r>
          </w:p>
        </w:tc>
        <w:tc>
          <w:tcPr>
            <w:tcW w:w="1325" w:type="dxa"/>
            <w:tcBorders>
              <w:top w:val="single" w:sz="4" w:space="0" w:color="auto"/>
              <w:left w:val="nil"/>
              <w:bottom w:val="single" w:sz="4" w:space="0" w:color="auto"/>
              <w:right w:val="single" w:sz="4" w:space="0" w:color="auto"/>
            </w:tcBorders>
            <w:shd w:val="clear" w:color="auto" w:fill="3D2262" w:themeFill="accent1"/>
          </w:tcPr>
          <w:p w14:paraId="54962A88" w14:textId="77777777" w:rsidR="0094217E" w:rsidRPr="0094217E" w:rsidRDefault="0094217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single" w:sz="4" w:space="0" w:color="auto"/>
            </w:tcBorders>
            <w:shd w:val="clear" w:color="auto" w:fill="3D2262" w:themeFill="accent1"/>
          </w:tcPr>
          <w:p w14:paraId="1FEA8318" w14:textId="77777777" w:rsidR="0094217E" w:rsidRPr="0094217E" w:rsidRDefault="0094217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0" w:type="auto"/>
            <w:tcBorders>
              <w:top w:val="single" w:sz="4" w:space="0" w:color="auto"/>
              <w:left w:val="nil"/>
              <w:bottom w:val="single" w:sz="4" w:space="0" w:color="auto"/>
              <w:right w:val="single" w:sz="4" w:space="0" w:color="auto"/>
            </w:tcBorders>
            <w:shd w:val="clear" w:color="auto" w:fill="3D2262" w:themeFill="accent1"/>
          </w:tcPr>
          <w:p w14:paraId="51D4C2EA" w14:textId="1EE396F2" w:rsidR="0094217E" w:rsidRPr="0094217E" w:rsidRDefault="0094217E" w:rsidP="00CC6B8E">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94217E" w:rsidRPr="00CB7B1D" w14:paraId="31AB8871" w14:textId="77777777" w:rsidTr="00C24155">
        <w:trPr>
          <w:trHeight w:val="284"/>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auto"/>
              <w:right w:val="single" w:sz="4" w:space="0" w:color="auto"/>
            </w:tcBorders>
          </w:tcPr>
          <w:p w14:paraId="29CF6D9F" w14:textId="78D253AF" w:rsidR="0094217E" w:rsidRPr="00783219" w:rsidRDefault="0094217E" w:rsidP="00CC6B8E">
            <w:r w:rsidRPr="00783219">
              <w:lastRenderedPageBreak/>
              <w:t>15</w:t>
            </w:r>
          </w:p>
        </w:tc>
        <w:tc>
          <w:tcPr>
            <w:tcW w:w="0" w:type="auto"/>
            <w:tcBorders>
              <w:top w:val="single" w:sz="4" w:space="0" w:color="auto"/>
              <w:left w:val="single" w:sz="4" w:space="0" w:color="auto"/>
              <w:bottom w:val="single" w:sz="4" w:space="0" w:color="auto"/>
              <w:right w:val="nil"/>
            </w:tcBorders>
          </w:tcPr>
          <w:p w14:paraId="1F7E18B7" w14:textId="77777777" w:rsidR="0094217E" w:rsidRPr="00783219" w:rsidRDefault="0094217E" w:rsidP="00CC6B8E">
            <w:pPr>
              <w:cnfStyle w:val="000000000000" w:firstRow="0" w:lastRow="0" w:firstColumn="0" w:lastColumn="0" w:oddVBand="0" w:evenVBand="0" w:oddHBand="0" w:evenHBand="0" w:firstRowFirstColumn="0" w:firstRowLastColumn="0" w:lastRowFirstColumn="0" w:lastRowLastColumn="0"/>
            </w:pPr>
            <w:r w:rsidRPr="00783219">
              <w:t>Administer the form and dose of penicillin intended for treatment – this should be specified clearly in the clinical documentation</w:t>
            </w:r>
          </w:p>
        </w:tc>
        <w:tc>
          <w:tcPr>
            <w:tcW w:w="1540" w:type="dxa"/>
            <w:tcBorders>
              <w:top w:val="single" w:sz="4" w:space="0" w:color="auto"/>
              <w:left w:val="nil"/>
              <w:bottom w:val="single" w:sz="4" w:space="0" w:color="auto"/>
              <w:right w:val="nil"/>
            </w:tcBorders>
          </w:tcPr>
          <w:p w14:paraId="4386EFB5" w14:textId="77777777" w:rsidR="0094217E" w:rsidRPr="00783219" w:rsidRDefault="0094217E" w:rsidP="00CC6B8E">
            <w:pPr>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left w:val="nil"/>
              <w:bottom w:val="single" w:sz="4" w:space="0" w:color="auto"/>
              <w:right w:val="nil"/>
            </w:tcBorders>
          </w:tcPr>
          <w:p w14:paraId="2AA6DAAE" w14:textId="77777777" w:rsidR="0094217E" w:rsidRPr="00783219" w:rsidRDefault="0094217E" w:rsidP="00CC6B8E">
            <w:pPr>
              <w:cnfStyle w:val="000000000000" w:firstRow="0" w:lastRow="0" w:firstColumn="0" w:lastColumn="0" w:oddVBand="0" w:evenVBand="0" w:oddHBand="0" w:evenHBand="0" w:firstRowFirstColumn="0" w:firstRowLastColumn="0" w:lastRowFirstColumn="0" w:lastRowLastColumn="0"/>
            </w:pPr>
          </w:p>
        </w:tc>
        <w:tc>
          <w:tcPr>
            <w:tcW w:w="1748" w:type="dxa"/>
            <w:tcBorders>
              <w:top w:val="single" w:sz="4" w:space="0" w:color="auto"/>
              <w:left w:val="nil"/>
              <w:bottom w:val="single" w:sz="4" w:space="0" w:color="auto"/>
              <w:right w:val="single" w:sz="4" w:space="0" w:color="auto"/>
            </w:tcBorders>
          </w:tcPr>
          <w:p w14:paraId="15AD3A8A" w14:textId="16719C19" w:rsidR="0094217E" w:rsidRPr="00783219" w:rsidRDefault="0094217E" w:rsidP="00CC6B8E">
            <w:pPr>
              <w:cnfStyle w:val="000000000000" w:firstRow="0" w:lastRow="0" w:firstColumn="0" w:lastColumn="0" w:oddVBand="0" w:evenVBand="0" w:oddHBand="0" w:evenHBand="0" w:firstRowFirstColumn="0" w:firstRowLastColumn="0" w:lastRowFirstColumn="0" w:lastRowLastColumn="0"/>
            </w:pPr>
          </w:p>
        </w:tc>
      </w:tr>
    </w:tbl>
    <w:p w14:paraId="735945A7" w14:textId="29AC0FF6" w:rsidR="005D01CE" w:rsidRPr="005D01CE" w:rsidRDefault="005D01CE" w:rsidP="009B1561">
      <w:pPr>
        <w:pStyle w:val="Heading5"/>
        <w:rPr>
          <w:lang w:eastAsia="en-US"/>
        </w:rPr>
      </w:pPr>
      <w:r w:rsidRPr="2762EA6A">
        <w:rPr>
          <w:lang w:eastAsia="en-US"/>
        </w:rPr>
        <w:t>Procedure</w:t>
      </w:r>
    </w:p>
    <w:p w14:paraId="05269F2B" w14:textId="36C66314" w:rsidR="00970202" w:rsidRPr="002363FD" w:rsidRDefault="0047238D" w:rsidP="009B1561">
      <w:pPr>
        <w:pStyle w:val="Bullet"/>
      </w:pPr>
      <w:r w:rsidRPr="002363FD">
        <w:t>Obtain written informed consent from the patient</w:t>
      </w:r>
      <w:r w:rsidR="00615D44">
        <w:t>.</w:t>
      </w:r>
    </w:p>
    <w:p w14:paraId="6FFE1440" w14:textId="73D3D319" w:rsidR="0047238D" w:rsidRPr="002363FD" w:rsidRDefault="0047238D" w:rsidP="009B1561">
      <w:pPr>
        <w:pStyle w:val="Bullet"/>
      </w:pPr>
      <w:r w:rsidRPr="002363FD">
        <w:t>Insert IV cannula before commencement of the procedure</w:t>
      </w:r>
      <w:r w:rsidR="00615D44">
        <w:t>.</w:t>
      </w:r>
    </w:p>
    <w:p w14:paraId="015BBEC2" w14:textId="2056684F" w:rsidR="006D6C5B" w:rsidRPr="002363FD" w:rsidRDefault="006D6C5B" w:rsidP="009B1561">
      <w:pPr>
        <w:pStyle w:val="Bullet"/>
      </w:pPr>
      <w:r w:rsidRPr="002363FD">
        <w:t>Chart required medications</w:t>
      </w:r>
      <w:r w:rsidR="00615D44">
        <w:t>.</w:t>
      </w:r>
    </w:p>
    <w:p w14:paraId="37B1D458" w14:textId="2C4B7757" w:rsidR="0047238D" w:rsidRPr="002363FD" w:rsidRDefault="0047238D" w:rsidP="009B1561">
      <w:pPr>
        <w:pStyle w:val="Bullet"/>
      </w:pPr>
      <w:r w:rsidRPr="002363FD">
        <w:t>The patient must remain under constant observation</w:t>
      </w:r>
      <w:r w:rsidR="002D142F">
        <w:t>.</w:t>
      </w:r>
    </w:p>
    <w:p w14:paraId="3C2C12D4" w14:textId="161CF882" w:rsidR="0047238D" w:rsidRPr="002363FD" w:rsidRDefault="0047238D" w:rsidP="009B1561">
      <w:pPr>
        <w:pStyle w:val="Bullet"/>
      </w:pPr>
      <w:r w:rsidRPr="002363FD">
        <w:t>Baseline observations and then</w:t>
      </w:r>
      <w:r w:rsidR="00CC35BB" w:rsidRPr="002363FD">
        <w:t xml:space="preserve"> every </w:t>
      </w:r>
      <w:r w:rsidRPr="002363FD">
        <w:t>15 minute</w:t>
      </w:r>
      <w:r w:rsidR="00CC35BB" w:rsidRPr="002363FD">
        <w:t>s</w:t>
      </w:r>
      <w:r w:rsidR="00177C58" w:rsidRPr="002363FD">
        <w:t>:</w:t>
      </w:r>
    </w:p>
    <w:p w14:paraId="01DB32AD" w14:textId="1B153078" w:rsidR="0047238D" w:rsidRPr="002363FD" w:rsidRDefault="002D142F" w:rsidP="009B1561">
      <w:pPr>
        <w:pStyle w:val="Bullet"/>
        <w:numPr>
          <w:ilvl w:val="1"/>
          <w:numId w:val="1"/>
        </w:numPr>
      </w:pPr>
      <w:r>
        <w:t>h</w:t>
      </w:r>
      <w:r w:rsidR="003A1376" w:rsidRPr="002363FD">
        <w:t>eart rate</w:t>
      </w:r>
      <w:r w:rsidR="0047238D" w:rsidRPr="002363FD">
        <w:t xml:space="preserve">, </w:t>
      </w:r>
      <w:r w:rsidR="003A1376" w:rsidRPr="002363FD">
        <w:t>respiratory rate</w:t>
      </w:r>
      <w:r>
        <w:t xml:space="preserve">, </w:t>
      </w:r>
      <w:r w:rsidR="003A1376" w:rsidRPr="002363FD">
        <w:t>blood pressure</w:t>
      </w:r>
      <w:r>
        <w:t>, o</w:t>
      </w:r>
      <w:r w:rsidR="0047238D" w:rsidRPr="002363FD">
        <w:t xml:space="preserve">ximetry and </w:t>
      </w:r>
      <w:r>
        <w:t>p</w:t>
      </w:r>
      <w:r w:rsidR="0047238D" w:rsidRPr="002363FD">
        <w:t xml:space="preserve">eak </w:t>
      </w:r>
      <w:r>
        <w:t>f</w:t>
      </w:r>
      <w:r w:rsidR="0047238D" w:rsidRPr="002363FD">
        <w:t>low</w:t>
      </w:r>
    </w:p>
    <w:p w14:paraId="487E7F81" w14:textId="3BF11F53" w:rsidR="0047238D" w:rsidRPr="002363FD" w:rsidRDefault="002D142F" w:rsidP="009B1561">
      <w:pPr>
        <w:pStyle w:val="Bullet"/>
        <w:numPr>
          <w:ilvl w:val="1"/>
          <w:numId w:val="1"/>
        </w:numPr>
      </w:pPr>
      <w:r>
        <w:t>o</w:t>
      </w:r>
      <w:r w:rsidR="0047238D" w:rsidRPr="002363FD">
        <w:t xml:space="preserve">bserve for signs and symptoms suggestive of an allergic reaction: e.g. flushing, nasal congestion, pruritus, restlessness, light-headedness, urticarial rash or </w:t>
      </w:r>
      <w:proofErr w:type="spellStart"/>
      <w:r w:rsidR="0047238D" w:rsidRPr="002363FD">
        <w:t>oro</w:t>
      </w:r>
      <w:proofErr w:type="spellEnd"/>
      <w:r w:rsidR="0047238D" w:rsidRPr="002363FD">
        <w:t>-mucosal swelling, signs of upper airway obstruction – hoarseness, stridor, lower airway obstruction – shortness of breath, chest tightness, audible wheeze, abdominal cramping, diarrhea, hypotension</w:t>
      </w:r>
      <w:r w:rsidR="00615D44">
        <w:t>.</w:t>
      </w:r>
    </w:p>
    <w:p w14:paraId="37EE4172" w14:textId="77777777" w:rsidR="0047238D" w:rsidRDefault="0047238D" w:rsidP="009B1561">
      <w:pPr>
        <w:pStyle w:val="BodyCopy"/>
      </w:pPr>
      <w:r w:rsidRPr="002363FD">
        <w:t>Monitoring including blood pressure measurements, spirometry and pulse oximetry should be performed more frequently if there are any concerns that an individual has an evolving allergic reaction.</w:t>
      </w:r>
    </w:p>
    <w:p w14:paraId="15915179" w14:textId="3BD4868D" w:rsidR="009D3A11" w:rsidRPr="002363FD" w:rsidRDefault="009D3A11" w:rsidP="009D3A11">
      <w:pPr>
        <w:pStyle w:val="BodyCopy"/>
      </w:pPr>
      <w:r>
        <w:t xml:space="preserve">A Digital Health Record (DHR) </w:t>
      </w:r>
      <w:proofErr w:type="spellStart"/>
      <w:r>
        <w:t>smartphrase</w:t>
      </w:r>
      <w:proofErr w:type="spellEnd"/>
      <w:r>
        <w:t xml:space="preserve"> under </w:t>
      </w:r>
      <w:r w:rsidRPr="00CB7B1D">
        <w:t xml:space="preserve">PENDESENSPREG </w:t>
      </w:r>
      <w:r>
        <w:t>(see Attachment 1) can be utilised within the DHR to clearly document the desensitisation process.</w:t>
      </w:r>
    </w:p>
    <w:p w14:paraId="21DA2E23" w14:textId="4EE4E6A7" w:rsidR="0052463B" w:rsidRDefault="0052463B" w:rsidP="0052463B">
      <w:pPr>
        <w:pStyle w:val="Heading5"/>
      </w:pPr>
      <w:r w:rsidRPr="0052463B">
        <w:t>Management of reactions during desensitisation</w:t>
      </w:r>
    </w:p>
    <w:p w14:paraId="6F3527BF" w14:textId="7834EFA3" w:rsidR="0052463B" w:rsidRPr="00AA543A" w:rsidRDefault="0052463B" w:rsidP="0052463B">
      <w:pPr>
        <w:pStyle w:val="BodyCopy"/>
      </w:pPr>
      <w:r w:rsidRPr="00AA543A">
        <w:t>HITH and immunology teams’ advice is required if hypersensitivity reactions occur during desensitisation.</w:t>
      </w:r>
    </w:p>
    <w:p w14:paraId="4A517420" w14:textId="77777777" w:rsidR="0047238D" w:rsidRPr="002363FD" w:rsidRDefault="0047238D" w:rsidP="009B1561">
      <w:pPr>
        <w:pStyle w:val="BodyCopy"/>
      </w:pPr>
      <w:r w:rsidRPr="002363FD">
        <w:t>The procedure must be terminated, and the allergic reaction treated with emergency medications if at any stage, there is objective evidence of an allergic reaction:</w:t>
      </w:r>
    </w:p>
    <w:p w14:paraId="31E0D4EE" w14:textId="0515B4DF" w:rsidR="0047238D" w:rsidRPr="002363FD" w:rsidRDefault="009D3A11" w:rsidP="009D3A11">
      <w:pPr>
        <w:pStyle w:val="Bullet"/>
      </w:pPr>
      <w:r>
        <w:t>F</w:t>
      </w:r>
      <w:r w:rsidRPr="009D3A11">
        <w:t xml:space="preserve">orced Expiratory Volume (1st second of expired breath) </w:t>
      </w:r>
      <w:r>
        <w:t>(</w:t>
      </w:r>
      <w:r w:rsidR="0047238D" w:rsidRPr="002363FD">
        <w:t>FEV1</w:t>
      </w:r>
      <w:r>
        <w:t xml:space="preserve">) </w:t>
      </w:r>
      <w:r w:rsidR="0047238D" w:rsidRPr="002363FD">
        <w:t xml:space="preserve">drops by 20% </w:t>
      </w:r>
      <w:r>
        <w:t xml:space="preserve">or more from the </w:t>
      </w:r>
      <w:r w:rsidR="0047238D" w:rsidRPr="002363FD">
        <w:t>baseline reading</w:t>
      </w:r>
    </w:p>
    <w:p w14:paraId="1955781E" w14:textId="1F3AF34F" w:rsidR="0047238D" w:rsidRPr="002363FD" w:rsidRDefault="009D3A11" w:rsidP="009D3A11">
      <w:pPr>
        <w:pStyle w:val="Bullet"/>
      </w:pPr>
      <w:r>
        <w:t>b</w:t>
      </w:r>
      <w:r w:rsidR="0047238D" w:rsidRPr="002363FD">
        <w:t xml:space="preserve">lood pressure drops by 15-20mmHg </w:t>
      </w:r>
      <w:r w:rsidR="002D142F">
        <w:t>or more</w:t>
      </w:r>
    </w:p>
    <w:p w14:paraId="7EEDDF93" w14:textId="75C9775A" w:rsidR="0047238D" w:rsidRPr="002363FD" w:rsidRDefault="009D3A11" w:rsidP="009D3A11">
      <w:pPr>
        <w:pStyle w:val="Bullet"/>
      </w:pPr>
      <w:r>
        <w:t>t</w:t>
      </w:r>
      <w:r w:rsidR="0047238D" w:rsidRPr="002363FD">
        <w:t>he patient develops</w:t>
      </w:r>
      <w:r>
        <w:t>:</w:t>
      </w:r>
      <w:r w:rsidR="0047238D" w:rsidRPr="002363FD">
        <w:t xml:space="preserve"> </w:t>
      </w:r>
    </w:p>
    <w:p w14:paraId="06A711F4" w14:textId="2880612D" w:rsidR="0047238D" w:rsidRPr="002363FD" w:rsidRDefault="009D3A11" w:rsidP="009D3A11">
      <w:pPr>
        <w:pStyle w:val="Bullet"/>
        <w:numPr>
          <w:ilvl w:val="1"/>
          <w:numId w:val="1"/>
        </w:numPr>
      </w:pPr>
      <w:r>
        <w:lastRenderedPageBreak/>
        <w:t>p</w:t>
      </w:r>
      <w:r w:rsidR="0047238D" w:rsidRPr="002363FD">
        <w:t>ruritus, urticaria or mucosal angioedema</w:t>
      </w:r>
    </w:p>
    <w:p w14:paraId="52686161" w14:textId="47CA820E" w:rsidR="0047238D" w:rsidRPr="002363FD" w:rsidRDefault="009D3A11" w:rsidP="009D3A11">
      <w:pPr>
        <w:pStyle w:val="Bullet"/>
        <w:numPr>
          <w:ilvl w:val="1"/>
          <w:numId w:val="1"/>
        </w:numPr>
      </w:pPr>
      <w:r>
        <w:t>w</w:t>
      </w:r>
      <w:r w:rsidR="0047238D" w:rsidRPr="002363FD">
        <w:t>heeze, stridor, hoarseness of voice</w:t>
      </w:r>
    </w:p>
    <w:p w14:paraId="096CB8BB" w14:textId="0810D46B" w:rsidR="0047238D" w:rsidRPr="002363FD" w:rsidRDefault="009D3A11" w:rsidP="009D3A11">
      <w:pPr>
        <w:pStyle w:val="Bullet"/>
        <w:numPr>
          <w:ilvl w:val="1"/>
          <w:numId w:val="1"/>
        </w:numPr>
      </w:pPr>
      <w:r>
        <w:t>h</w:t>
      </w:r>
      <w:r w:rsidR="0047238D" w:rsidRPr="002363FD">
        <w:t>ypotension</w:t>
      </w:r>
    </w:p>
    <w:p w14:paraId="79B7169A" w14:textId="5E1BB9C2" w:rsidR="00BC3630" w:rsidRDefault="009D3A11" w:rsidP="009D3A11">
      <w:pPr>
        <w:pStyle w:val="Bullet"/>
        <w:numPr>
          <w:ilvl w:val="1"/>
          <w:numId w:val="1"/>
        </w:numPr>
      </w:pPr>
      <w:r>
        <w:t>a</w:t>
      </w:r>
      <w:r w:rsidR="0047238D" w:rsidRPr="002363FD">
        <w:t>bdominal pain, diarrhoea or vomiting</w:t>
      </w:r>
      <w:r>
        <w:t>.</w:t>
      </w:r>
    </w:p>
    <w:p w14:paraId="0381B112" w14:textId="77777777" w:rsidR="0052463B" w:rsidRPr="00AA543A" w:rsidRDefault="0052463B" w:rsidP="0052463B">
      <w:pPr>
        <w:pStyle w:val="BodyCopy"/>
      </w:pPr>
      <w:r w:rsidRPr="00AA543A">
        <w:rPr>
          <w:b/>
        </w:rPr>
        <w:t>Minor reactions</w:t>
      </w:r>
      <w:r>
        <w:rPr>
          <w:b/>
        </w:rPr>
        <w:t xml:space="preserve"> </w:t>
      </w:r>
      <w:r w:rsidRPr="00AA543A">
        <w:t>(e.g. itch, urticaria, rash or rhinorrhoea) - suspend the desensitisation protocol and discuss with the Immunology team for further advice. It may be possible to repeat the same dose until it is tolerated, or the dose can be escalated more slowly. Supportive treatment (e.g. antihistamine such as loratadine, oral corticosteroid, salbutamol) may be required.</w:t>
      </w:r>
    </w:p>
    <w:p w14:paraId="2172B74A" w14:textId="1C0C29E1" w:rsidR="0052463B" w:rsidRPr="00AA543A" w:rsidRDefault="0052463B" w:rsidP="0052463B">
      <w:pPr>
        <w:pStyle w:val="BodyCopy"/>
      </w:pPr>
      <w:r w:rsidRPr="2762EA6A">
        <w:rPr>
          <w:b/>
        </w:rPr>
        <w:t>Life-threatening reactions</w:t>
      </w:r>
      <w:r>
        <w:t xml:space="preserve"> (e.g. anaphylaxis, bronchospasm, angioedema, hypotension) – stop the desensitisation protocol and manage patient’s symptoms.</w:t>
      </w:r>
      <w:r w:rsidR="00B20D5F">
        <w:t xml:space="preserve"> Call a MET (2222) based on the patient’s clinical status.</w:t>
      </w:r>
      <w:r w:rsidR="67BCEA40">
        <w:t xml:space="preserve"> </w:t>
      </w:r>
      <w:r>
        <w:t xml:space="preserve">Discuss with the Immunology team for further advice. It may be possible to resume desensitisation once the patient is clinically stable starting at a reduced dose. </w:t>
      </w:r>
    </w:p>
    <w:p w14:paraId="7FEB0EB3" w14:textId="77777777" w:rsidR="0047238D" w:rsidRDefault="0047238D" w:rsidP="009B1561">
      <w:pPr>
        <w:pStyle w:val="BodyCopy"/>
      </w:pPr>
      <w:r w:rsidRPr="002363FD">
        <w:t>If patient develops an allergic reaction which potentiates premature labour (&lt;32 weeks of pregnancy), the patient should be referred for an antenatal consult with Neonatology team to discuss delivery of a premature infant and risks associated with prematurity.</w:t>
      </w:r>
    </w:p>
    <w:p w14:paraId="0C15CD8B" w14:textId="77777777" w:rsidR="00685674" w:rsidRPr="00481A6C" w:rsidRDefault="00685674" w:rsidP="00685674">
      <w:pPr>
        <w:pStyle w:val="BodyCopy"/>
        <w:spacing w:before="240"/>
      </w:pPr>
      <w:hyperlink w:anchor="_top" w:history="1">
        <w:r w:rsidRPr="00481A6C">
          <w:rPr>
            <w:rStyle w:val="Hyperlink"/>
            <w:iCs w:val="0"/>
          </w:rPr>
          <w:t>Back to Contents</w:t>
        </w:r>
      </w:hyperlink>
    </w:p>
    <w:p w14:paraId="7676F635" w14:textId="77777777" w:rsidR="006B2AB3" w:rsidRDefault="006B2AB3">
      <w:pPr>
        <w:spacing w:before="0" w:after="0" w:line="240" w:lineRule="auto"/>
        <w:rPr>
          <w:rFonts w:eastAsia="Times New Roman"/>
          <w:b/>
          <w:bCs/>
          <w:iCs/>
          <w:color w:val="FFFFFF" w:themeColor="background1"/>
          <w:lang w:eastAsia="en-US"/>
        </w:rPr>
      </w:pPr>
      <w:bookmarkStart w:id="9" w:name="_Toc207966950"/>
      <w:r>
        <w:br w:type="page"/>
      </w:r>
    </w:p>
    <w:p w14:paraId="779FD37F" w14:textId="19AF55B0" w:rsidR="0047238D" w:rsidRDefault="001D06A8" w:rsidP="0047238D">
      <w:pPr>
        <w:pStyle w:val="Heading4"/>
      </w:pPr>
      <w:r>
        <w:lastRenderedPageBreak/>
        <w:t xml:space="preserve">Section </w:t>
      </w:r>
      <w:r w:rsidR="002D142F">
        <w:t>6</w:t>
      </w:r>
      <w:r>
        <w:t xml:space="preserve"> - </w:t>
      </w:r>
      <w:r w:rsidR="0047238D">
        <w:t>Following desensitisation &amp; treatment</w:t>
      </w:r>
      <w:bookmarkEnd w:id="9"/>
    </w:p>
    <w:p w14:paraId="4981B3AF" w14:textId="1A52103C" w:rsidR="0047238D" w:rsidRPr="00DE59BC" w:rsidRDefault="0047238D" w:rsidP="009B1561">
      <w:pPr>
        <w:pStyle w:val="BodyCopy"/>
      </w:pPr>
      <w:r w:rsidRPr="00DE59BC">
        <w:t xml:space="preserve">Once desensitisation has been completed patient </w:t>
      </w:r>
      <w:r w:rsidR="00A017FE">
        <w:t>should be</w:t>
      </w:r>
      <w:r w:rsidRPr="00DE59BC">
        <w:t xml:space="preserve"> observed for 30 minutes; if no further reaction occurs, they can be administered the intended form and dose of penicillin: oral,</w:t>
      </w:r>
      <w:r w:rsidR="00AE4729" w:rsidRPr="00DE59BC">
        <w:t xml:space="preserve"> </w:t>
      </w:r>
      <w:r w:rsidRPr="00DE59BC">
        <w:t>IV or IM for treatment. Provide antibiotic therapy with the required prescribed drug at the standard prescribed dosage for the specific indication. This should be clearly documented in the patient notes.</w:t>
      </w:r>
    </w:p>
    <w:p w14:paraId="0FD726DB" w14:textId="77777777" w:rsidR="0047238D" w:rsidRPr="00DE59BC" w:rsidRDefault="0047238D" w:rsidP="009B1561">
      <w:pPr>
        <w:pStyle w:val="BodyCopy"/>
      </w:pPr>
      <w:r w:rsidRPr="00DE59BC">
        <w:t xml:space="preserve">Patient should then be observed and closely monitored for at least two hours following the administration of penicillin. </w:t>
      </w:r>
    </w:p>
    <w:p w14:paraId="4BFA50B6" w14:textId="7FCCC1C9" w:rsidR="0047238D" w:rsidRDefault="0047238D" w:rsidP="009B1561">
      <w:pPr>
        <w:pStyle w:val="BodyCopy"/>
      </w:pPr>
      <w:r w:rsidRPr="00DE59BC">
        <w:t xml:space="preserve">For patients requiring </w:t>
      </w:r>
      <w:r w:rsidR="006D6C5B" w:rsidRPr="00DE59BC">
        <w:t xml:space="preserve">weekly </w:t>
      </w:r>
      <w:r w:rsidRPr="00DE59BC">
        <w:t xml:space="preserve">IM benzathine penicillin </w:t>
      </w:r>
      <w:r w:rsidR="006D6C5B" w:rsidRPr="00DE59BC">
        <w:t>for 3 treatments courses</w:t>
      </w:r>
      <w:r w:rsidR="00970202" w:rsidRPr="00DE59BC">
        <w:t xml:space="preserve"> </w:t>
      </w:r>
      <w:r w:rsidR="00841DF8" w:rsidRPr="00DE59BC">
        <w:t xml:space="preserve">please consult immunology </w:t>
      </w:r>
      <w:r w:rsidR="00685674">
        <w:t xml:space="preserve">as to </w:t>
      </w:r>
      <w:r w:rsidR="00F37C48" w:rsidRPr="00DE59BC">
        <w:t>whether</w:t>
      </w:r>
      <w:r w:rsidR="00841DF8" w:rsidRPr="00DE59BC">
        <w:t xml:space="preserve"> </w:t>
      </w:r>
      <w:r w:rsidR="00E679A2" w:rsidRPr="00DE59BC">
        <w:t xml:space="preserve">oral </w:t>
      </w:r>
      <w:r w:rsidR="00841DF8" w:rsidRPr="00DE59BC">
        <w:t xml:space="preserve">desensitisation should be </w:t>
      </w:r>
      <w:r w:rsidRPr="00DE59BC">
        <w:t>repeated before the second and third IM doses.</w:t>
      </w:r>
    </w:p>
    <w:p w14:paraId="5F5ACBB3" w14:textId="77777777" w:rsidR="00685674" w:rsidRPr="00481A6C" w:rsidRDefault="00685674" w:rsidP="00685674">
      <w:pPr>
        <w:pStyle w:val="BodyCopy"/>
        <w:spacing w:before="240"/>
      </w:pPr>
      <w:hyperlink w:anchor="_top" w:history="1">
        <w:r w:rsidRPr="00481A6C">
          <w:rPr>
            <w:rStyle w:val="Hyperlink"/>
            <w:iCs w:val="0"/>
          </w:rPr>
          <w:t>Back to Contents</w:t>
        </w:r>
      </w:hyperlink>
    </w:p>
    <w:p w14:paraId="5CF735F3" w14:textId="0BE3B0F4" w:rsidR="0047238D" w:rsidRDefault="001D06A8" w:rsidP="0047238D">
      <w:pPr>
        <w:pStyle w:val="Heading4"/>
      </w:pPr>
      <w:bookmarkStart w:id="10" w:name="_Toc207966951"/>
      <w:r>
        <w:t xml:space="preserve">Section </w:t>
      </w:r>
      <w:r w:rsidR="002D142F">
        <w:t>7</w:t>
      </w:r>
      <w:r>
        <w:t xml:space="preserve"> - </w:t>
      </w:r>
      <w:r w:rsidR="0047238D">
        <w:t>Contact details</w:t>
      </w:r>
      <w:bookmarkEnd w:id="10"/>
    </w:p>
    <w:p w14:paraId="68CEC264" w14:textId="77777777" w:rsidR="00685674" w:rsidRDefault="00685674" w:rsidP="00C57094">
      <w:pPr>
        <w:pStyle w:val="Heading5"/>
        <w:rPr>
          <w:rStyle w:val="Hyperlink"/>
          <w:color w:val="000000" w:themeColor="text1"/>
          <w:u w:val="none"/>
        </w:rPr>
      </w:pPr>
      <w:r w:rsidRPr="00685674">
        <w:rPr>
          <w:rStyle w:val="Hyperlink"/>
          <w:color w:val="3D2262" w:themeColor="accent1"/>
          <w:u w:val="none"/>
        </w:rPr>
        <w:t>Immunology Team</w:t>
      </w:r>
    </w:p>
    <w:p w14:paraId="255BD316" w14:textId="23EB6B7E" w:rsidR="00685674" w:rsidRPr="00685674" w:rsidRDefault="00C57094" w:rsidP="008A1665">
      <w:pPr>
        <w:pStyle w:val="Bullet"/>
        <w:rPr>
          <w:rStyle w:val="Hyperlink"/>
          <w:color w:val="000000" w:themeColor="text1"/>
          <w:u w:val="none"/>
        </w:rPr>
      </w:pPr>
      <w:r>
        <w:t>Contact o</w:t>
      </w:r>
      <w:r w:rsidR="00685674" w:rsidRPr="00DE59BC">
        <w:t>n-call Immunology registrar or consultant via hospital switchboard</w:t>
      </w:r>
      <w:r>
        <w:t xml:space="preserve"> (</w:t>
      </w:r>
      <w:r w:rsidRPr="00C57094">
        <w:t>02 5124 0000</w:t>
      </w:r>
      <w:r>
        <w:t>).</w:t>
      </w:r>
    </w:p>
    <w:p w14:paraId="5F047687" w14:textId="77777777" w:rsidR="00685674" w:rsidRDefault="00685674" w:rsidP="00C57094">
      <w:pPr>
        <w:pStyle w:val="Heading5"/>
        <w:rPr>
          <w:rStyle w:val="Hyperlink"/>
          <w:color w:val="000000" w:themeColor="text1"/>
          <w:u w:val="none"/>
        </w:rPr>
      </w:pPr>
      <w:r w:rsidRPr="00685674">
        <w:rPr>
          <w:rStyle w:val="Hyperlink"/>
          <w:color w:val="3D2262" w:themeColor="accent1"/>
          <w:u w:val="none"/>
        </w:rPr>
        <w:t>Hospital in the home (HITH)</w:t>
      </w:r>
    </w:p>
    <w:p w14:paraId="3FA341FE" w14:textId="2C5976D1" w:rsidR="00C57094" w:rsidRPr="00DE59BC" w:rsidRDefault="00C57094" w:rsidP="008A1665">
      <w:pPr>
        <w:pStyle w:val="Bullet"/>
        <w:rPr>
          <w:lang w:val="en-GB"/>
        </w:rPr>
      </w:pPr>
      <w:r w:rsidRPr="00DE59BC">
        <w:rPr>
          <w:lang w:val="en-GB"/>
        </w:rPr>
        <w:t>HITH CNC</w:t>
      </w:r>
      <w:r>
        <w:rPr>
          <w:lang w:val="en-GB"/>
        </w:rPr>
        <w:t>: ph.</w:t>
      </w:r>
      <w:r w:rsidR="008A1665">
        <w:rPr>
          <w:lang w:val="en-GB"/>
        </w:rPr>
        <w:t xml:space="preserve"> </w:t>
      </w:r>
      <w:r w:rsidRPr="00DE59BC">
        <w:rPr>
          <w:lang w:val="en-GB"/>
        </w:rPr>
        <w:t>0468 516421</w:t>
      </w:r>
    </w:p>
    <w:p w14:paraId="0896D3CA" w14:textId="1D2B9756" w:rsidR="00C57094" w:rsidRPr="00DE59BC" w:rsidRDefault="00C57094" w:rsidP="008A1665">
      <w:pPr>
        <w:pStyle w:val="Bullet"/>
        <w:rPr>
          <w:lang w:val="en-GB"/>
        </w:rPr>
      </w:pPr>
      <w:r w:rsidRPr="00DE59BC">
        <w:rPr>
          <w:lang w:val="en-GB"/>
        </w:rPr>
        <w:t>HITH Clinical Care Coordinator</w:t>
      </w:r>
      <w:r>
        <w:rPr>
          <w:lang w:val="en-GB"/>
        </w:rPr>
        <w:t>: ph.</w:t>
      </w:r>
      <w:r w:rsidR="008A1665">
        <w:rPr>
          <w:lang w:val="en-GB"/>
        </w:rPr>
        <w:t xml:space="preserve"> </w:t>
      </w:r>
      <w:r w:rsidRPr="00DE59BC">
        <w:rPr>
          <w:lang w:val="en-GB"/>
        </w:rPr>
        <w:t>0481 475714</w:t>
      </w:r>
    </w:p>
    <w:p w14:paraId="1D479885" w14:textId="7F2FE8B8" w:rsidR="00C57094" w:rsidRPr="00DE59BC" w:rsidRDefault="00C57094" w:rsidP="008A1665">
      <w:pPr>
        <w:pStyle w:val="Bullet"/>
        <w:rPr>
          <w:lang w:val="en-GB"/>
        </w:rPr>
      </w:pPr>
      <w:r w:rsidRPr="00DE59BC">
        <w:rPr>
          <w:lang w:val="en-GB"/>
        </w:rPr>
        <w:t>HITH registrar</w:t>
      </w:r>
      <w:r>
        <w:rPr>
          <w:lang w:val="en-GB"/>
        </w:rPr>
        <w:t>:</w:t>
      </w:r>
      <w:r w:rsidRPr="00DE59BC">
        <w:rPr>
          <w:lang w:val="en-GB"/>
        </w:rPr>
        <w:t xml:space="preserve"> </w:t>
      </w:r>
      <w:r>
        <w:rPr>
          <w:lang w:val="en-GB"/>
        </w:rPr>
        <w:t>ph.</w:t>
      </w:r>
      <w:r w:rsidR="008A1665">
        <w:rPr>
          <w:lang w:val="en-GB"/>
        </w:rPr>
        <w:t xml:space="preserve"> </w:t>
      </w:r>
      <w:r w:rsidRPr="00DE59BC">
        <w:rPr>
          <w:lang w:val="en-GB"/>
        </w:rPr>
        <w:t>0481 003745</w:t>
      </w:r>
    </w:p>
    <w:p w14:paraId="58C961B2" w14:textId="0C97E419" w:rsidR="00685674" w:rsidRPr="00685674" w:rsidRDefault="00C57094" w:rsidP="008A1665">
      <w:pPr>
        <w:pStyle w:val="Bullet"/>
        <w:rPr>
          <w:rStyle w:val="Hyperlink"/>
          <w:color w:val="000000" w:themeColor="text1"/>
          <w:u w:val="none"/>
        </w:rPr>
      </w:pPr>
      <w:r>
        <w:rPr>
          <w:lang w:val="en-GB"/>
        </w:rPr>
        <w:t xml:space="preserve">Reception: </w:t>
      </w:r>
      <w:r w:rsidR="008A1665">
        <w:rPr>
          <w:lang w:val="en-GB"/>
        </w:rPr>
        <w:t>ph.</w:t>
      </w:r>
      <w:r w:rsidR="008A1665" w:rsidRPr="00DE59BC">
        <w:rPr>
          <w:lang w:val="en-GB"/>
        </w:rPr>
        <w:t xml:space="preserve"> (</w:t>
      </w:r>
      <w:r w:rsidRPr="00DE59BC">
        <w:rPr>
          <w:lang w:val="en-GB"/>
        </w:rPr>
        <w:t xml:space="preserve">02) 5124 4172 </w:t>
      </w:r>
    </w:p>
    <w:p w14:paraId="49441114" w14:textId="77777777" w:rsidR="00685674" w:rsidRDefault="00685674" w:rsidP="00C57094">
      <w:pPr>
        <w:pStyle w:val="Heading5"/>
        <w:rPr>
          <w:rStyle w:val="Hyperlink"/>
          <w:color w:val="000000" w:themeColor="text1"/>
          <w:u w:val="none"/>
        </w:rPr>
      </w:pPr>
      <w:r w:rsidRPr="00685674">
        <w:rPr>
          <w:rStyle w:val="Hyperlink"/>
          <w:color w:val="3D2262" w:themeColor="accent1"/>
          <w:u w:val="none"/>
        </w:rPr>
        <w:t>Sexual Health Team</w:t>
      </w:r>
    </w:p>
    <w:p w14:paraId="7E241857" w14:textId="17F2D937" w:rsidR="00C57094" w:rsidRPr="00DE59BC" w:rsidRDefault="00C57094" w:rsidP="008A1665">
      <w:pPr>
        <w:pStyle w:val="Bullet"/>
      </w:pPr>
      <w:r w:rsidRPr="00DE59BC">
        <w:t xml:space="preserve">Canberra Sexual Health </w:t>
      </w:r>
      <w:r w:rsidR="008A1665">
        <w:t>Centre</w:t>
      </w:r>
      <w:r>
        <w:t xml:space="preserve">: </w:t>
      </w:r>
      <w:r w:rsidR="008A1665">
        <w:rPr>
          <w:lang w:val="en-GB"/>
        </w:rPr>
        <w:t>ph. 5124 2184</w:t>
      </w:r>
      <w:r w:rsidR="008A1665">
        <w:t xml:space="preserve"> </w:t>
      </w:r>
    </w:p>
    <w:p w14:paraId="1B197B02" w14:textId="04AB3843" w:rsidR="00685674" w:rsidRPr="00685674" w:rsidRDefault="00C57094" w:rsidP="008A1665">
      <w:pPr>
        <w:pStyle w:val="Bullet"/>
        <w:rPr>
          <w:rStyle w:val="Hyperlink"/>
          <w:color w:val="000000" w:themeColor="text1"/>
          <w:u w:val="none"/>
        </w:rPr>
      </w:pPr>
      <w:r w:rsidRPr="00DE59BC">
        <w:t xml:space="preserve">Out of hours: </w:t>
      </w:r>
      <w:r>
        <w:t xml:space="preserve">contact </w:t>
      </w:r>
      <w:r w:rsidRPr="00DE59BC">
        <w:t>switchboard</w:t>
      </w:r>
      <w:r>
        <w:t>.</w:t>
      </w:r>
    </w:p>
    <w:p w14:paraId="7E497755" w14:textId="535005A7" w:rsidR="00685674" w:rsidRDefault="00685674" w:rsidP="00C57094">
      <w:pPr>
        <w:pStyle w:val="Heading5"/>
        <w:rPr>
          <w:rStyle w:val="Hyperlink"/>
          <w:color w:val="000000" w:themeColor="text1"/>
          <w:u w:val="none"/>
        </w:rPr>
      </w:pPr>
      <w:r w:rsidRPr="00685674">
        <w:rPr>
          <w:rStyle w:val="Hyperlink"/>
          <w:color w:val="3D2262" w:themeColor="accent1"/>
          <w:u w:val="none"/>
        </w:rPr>
        <w:t>Pharmacy department, Canberra Hospital</w:t>
      </w:r>
    </w:p>
    <w:p w14:paraId="597CA5BF" w14:textId="6DAD5C1D" w:rsidR="00685674" w:rsidRPr="00DE59BC" w:rsidRDefault="00685674" w:rsidP="00C57094">
      <w:pPr>
        <w:pStyle w:val="Bullet"/>
      </w:pPr>
      <w:r w:rsidRPr="00DE59BC">
        <w:t xml:space="preserve">HITH Pharmacist: </w:t>
      </w:r>
      <w:r w:rsidR="008A1665">
        <w:rPr>
          <w:lang w:val="en-GB"/>
        </w:rPr>
        <w:t xml:space="preserve">ph. </w:t>
      </w:r>
      <w:r w:rsidRPr="00DE59BC">
        <w:t>0435 248 729 (business hours)</w:t>
      </w:r>
    </w:p>
    <w:p w14:paraId="3A617B42" w14:textId="65BDDA90" w:rsidR="00685674" w:rsidRDefault="00685674" w:rsidP="00C57094">
      <w:pPr>
        <w:pStyle w:val="Bullet"/>
        <w:rPr>
          <w:rStyle w:val="Hyperlink"/>
          <w:color w:val="000000" w:themeColor="text1"/>
          <w:u w:val="none"/>
        </w:rPr>
      </w:pPr>
      <w:r w:rsidRPr="00DE59BC">
        <w:t xml:space="preserve">Main Pharmacy: </w:t>
      </w:r>
      <w:r w:rsidR="008A1665">
        <w:rPr>
          <w:lang w:val="en-GB"/>
        </w:rPr>
        <w:t>ph.</w:t>
      </w:r>
      <w:r w:rsidRPr="00DE59BC">
        <w:t xml:space="preserve"> 5124 2121 (08:30-19:00 business days</w:t>
      </w:r>
      <w:r w:rsidR="00C57094">
        <w:t xml:space="preserve">, </w:t>
      </w:r>
      <w:r w:rsidRPr="00DE59BC">
        <w:t>09:00-17:00 weekends and public holidays)</w:t>
      </w:r>
      <w:r w:rsidR="00C57094">
        <w:t>.</w:t>
      </w:r>
    </w:p>
    <w:p w14:paraId="790BFA2B" w14:textId="77777777" w:rsidR="00685674" w:rsidRDefault="00685674" w:rsidP="00685674">
      <w:pPr>
        <w:pStyle w:val="BodyCopy"/>
        <w:spacing w:before="240"/>
      </w:pPr>
      <w:hyperlink w:anchor="_top" w:history="1">
        <w:r w:rsidRPr="00481A6C">
          <w:rPr>
            <w:rStyle w:val="Hyperlink"/>
            <w:iCs w:val="0"/>
          </w:rPr>
          <w:t>Back to Contents</w:t>
        </w:r>
      </w:hyperlink>
    </w:p>
    <w:p w14:paraId="16FC4C7A" w14:textId="77777777" w:rsidR="006B2AB3" w:rsidRDefault="006B2AB3">
      <w:pPr>
        <w:spacing w:before="0" w:after="0" w:line="240" w:lineRule="auto"/>
        <w:rPr>
          <w:rFonts w:eastAsia="Times New Roman"/>
          <w:b/>
          <w:bCs/>
          <w:iCs/>
          <w:color w:val="FFFFFF" w:themeColor="background1"/>
          <w:lang w:eastAsia="en-US"/>
        </w:rPr>
      </w:pPr>
      <w:bookmarkStart w:id="11" w:name="_Toc207966952"/>
      <w:r>
        <w:br w:type="page"/>
      </w:r>
    </w:p>
    <w:p w14:paraId="3032834D" w14:textId="4AD98CD3" w:rsidR="008A1665" w:rsidRDefault="008A1665" w:rsidP="008A1665">
      <w:pPr>
        <w:pStyle w:val="Heading4"/>
      </w:pPr>
      <w:r>
        <w:lastRenderedPageBreak/>
        <w:t>Evaluation</w:t>
      </w:r>
      <w:bookmarkEnd w:id="11"/>
    </w:p>
    <w:p w14:paraId="1CE3F917" w14:textId="77777777" w:rsidR="008A1665" w:rsidRDefault="008A1665" w:rsidP="008A1665">
      <w:pPr>
        <w:pStyle w:val="Heading5"/>
      </w:pPr>
      <w:r>
        <w:t>Outcome</w:t>
      </w:r>
    </w:p>
    <w:p w14:paraId="70D7B235" w14:textId="77777777" w:rsidR="008A1665" w:rsidRDefault="008A1665" w:rsidP="008A1665">
      <w:pPr>
        <w:pStyle w:val="Bullet"/>
      </w:pPr>
      <w:r>
        <w:t>Timely multidisciplinary input into time sensitive medical issue</w:t>
      </w:r>
    </w:p>
    <w:p w14:paraId="1DDC86B4" w14:textId="52BF55C2" w:rsidR="008A1665" w:rsidRDefault="008A1665" w:rsidP="008A1665">
      <w:pPr>
        <w:pStyle w:val="Bullet"/>
      </w:pPr>
      <w:r>
        <w:t>Reduction in morbidity from desensitisation procedure</w:t>
      </w:r>
      <w:r w:rsidR="002D142F">
        <w:t>.</w:t>
      </w:r>
    </w:p>
    <w:p w14:paraId="30286D26" w14:textId="77777777" w:rsidR="008A1665" w:rsidRDefault="008A1665" w:rsidP="008A1665">
      <w:pPr>
        <w:pStyle w:val="Heading5"/>
      </w:pPr>
      <w:r>
        <w:t>Measures</w:t>
      </w:r>
    </w:p>
    <w:p w14:paraId="19F028C4" w14:textId="77777777" w:rsidR="008A1665" w:rsidRDefault="008A1665" w:rsidP="008A1665">
      <w:pPr>
        <w:pStyle w:val="Bullet"/>
      </w:pPr>
      <w:r>
        <w:t>Staff reporting of compliance to procedure</w:t>
      </w:r>
    </w:p>
    <w:p w14:paraId="2D58B880" w14:textId="5CCA2A23" w:rsidR="008A1665" w:rsidRPr="000E7683" w:rsidRDefault="008A1665" w:rsidP="008A1665">
      <w:pPr>
        <w:pStyle w:val="Bullet"/>
        <w:spacing w:after="240" w:line="276" w:lineRule="auto"/>
      </w:pPr>
      <w:r>
        <w:t>Review and reporting of allergic reaction outcomes</w:t>
      </w:r>
      <w:r w:rsidR="002D142F">
        <w:t>.</w:t>
      </w:r>
    </w:p>
    <w:p w14:paraId="74EBEC0F" w14:textId="77777777" w:rsidR="008A1665" w:rsidRDefault="008A1665" w:rsidP="008A1665">
      <w:pPr>
        <w:pStyle w:val="Bullet"/>
        <w:numPr>
          <w:ilvl w:val="0"/>
          <w:numId w:val="0"/>
        </w:numPr>
      </w:pPr>
    </w:p>
    <w:p w14:paraId="69D35891" w14:textId="19CC023F" w:rsidR="008A1665" w:rsidRPr="00481A6C" w:rsidRDefault="008A1665" w:rsidP="008A1665">
      <w:pPr>
        <w:pStyle w:val="Bullet"/>
        <w:numPr>
          <w:ilvl w:val="0"/>
          <w:numId w:val="0"/>
        </w:numPr>
      </w:pPr>
      <w:hyperlink w:anchor="_top" w:history="1">
        <w:r w:rsidRPr="00481A6C">
          <w:rPr>
            <w:rStyle w:val="Hyperlink"/>
          </w:rPr>
          <w:t>Back to Contents</w:t>
        </w:r>
      </w:hyperlink>
    </w:p>
    <w:p w14:paraId="747C18B5" w14:textId="77777777" w:rsidR="00A6051F" w:rsidRDefault="00A6051F" w:rsidP="00A6051F">
      <w:pPr>
        <w:pStyle w:val="Heading4"/>
      </w:pPr>
      <w:bookmarkStart w:id="12" w:name="_Toc207966953"/>
      <w:r>
        <w:t>Related policies, procedures, guidelines and legislation</w:t>
      </w:r>
      <w:bookmarkEnd w:id="12"/>
    </w:p>
    <w:p w14:paraId="50298F60" w14:textId="24826F32" w:rsidR="008A1665" w:rsidRDefault="008A1665" w:rsidP="00A6051F">
      <w:pPr>
        <w:pStyle w:val="Heading5"/>
      </w:pPr>
      <w:r>
        <w:t>Policies</w:t>
      </w:r>
    </w:p>
    <w:p w14:paraId="3B02F7E2" w14:textId="18AC31DC" w:rsidR="008A1665" w:rsidRPr="008A1665" w:rsidRDefault="008A1665" w:rsidP="008A1665">
      <w:pPr>
        <w:pStyle w:val="Bullet"/>
        <w:spacing w:after="240" w:line="276" w:lineRule="auto"/>
        <w:ind w:left="357" w:hanging="357"/>
      </w:pPr>
      <w:r>
        <w:t>Clinical Records Management</w:t>
      </w:r>
    </w:p>
    <w:p w14:paraId="57CCDB40" w14:textId="656AE03E" w:rsidR="00481A6C" w:rsidRDefault="00481A6C" w:rsidP="00A6051F">
      <w:pPr>
        <w:pStyle w:val="Heading5"/>
      </w:pPr>
      <w:r>
        <w:t>Procedures</w:t>
      </w:r>
    </w:p>
    <w:p w14:paraId="1CD5BC6F" w14:textId="77777777" w:rsidR="007A53A5" w:rsidRDefault="007A53A5" w:rsidP="00DE59BC">
      <w:pPr>
        <w:pStyle w:val="Bullet"/>
        <w:spacing w:after="240" w:line="276" w:lineRule="auto"/>
        <w:ind w:left="357" w:hanging="357"/>
      </w:pPr>
      <w:r>
        <w:t>Canberra Sexual Health Centre</w:t>
      </w:r>
    </w:p>
    <w:p w14:paraId="33616260" w14:textId="5F60BA3E" w:rsidR="008A1665" w:rsidRDefault="008A1665" w:rsidP="00DE59BC">
      <w:pPr>
        <w:pStyle w:val="Bullet"/>
        <w:spacing w:after="240" w:line="276" w:lineRule="auto"/>
        <w:ind w:left="357" w:hanging="357"/>
      </w:pPr>
      <w:r>
        <w:t>Clinical Records Management</w:t>
      </w:r>
    </w:p>
    <w:p w14:paraId="69041E0F" w14:textId="3C480E82" w:rsidR="00481A6C" w:rsidRPr="000E7683" w:rsidRDefault="00635114" w:rsidP="00DE59BC">
      <w:pPr>
        <w:pStyle w:val="Bullet"/>
        <w:spacing w:after="240" w:line="276" w:lineRule="auto"/>
        <w:ind w:left="357" w:hanging="357"/>
      </w:pPr>
      <w:r>
        <w:t>Infection Prevention and Control</w:t>
      </w:r>
    </w:p>
    <w:p w14:paraId="5E02104C" w14:textId="2F46701E" w:rsidR="00481A6C" w:rsidRPr="000E7683" w:rsidRDefault="00481A6C" w:rsidP="00DE59BC">
      <w:pPr>
        <w:pStyle w:val="Bullet"/>
        <w:spacing w:after="240" w:line="276" w:lineRule="auto"/>
        <w:ind w:left="357" w:hanging="357"/>
      </w:pPr>
      <w:r w:rsidRPr="000E7683">
        <w:t xml:space="preserve">Patient Identification and </w:t>
      </w:r>
      <w:r w:rsidR="008A1665">
        <w:t>Health Care Activity</w:t>
      </w:r>
      <w:r w:rsidRPr="000E7683">
        <w:t xml:space="preserve"> Matching </w:t>
      </w:r>
    </w:p>
    <w:p w14:paraId="10380E33" w14:textId="77777777" w:rsidR="00481A6C" w:rsidRDefault="00481A6C" w:rsidP="00A6051F">
      <w:pPr>
        <w:pStyle w:val="Heading5"/>
      </w:pPr>
      <w:r>
        <w:t xml:space="preserve">Guidelines </w:t>
      </w:r>
    </w:p>
    <w:p w14:paraId="01874555" w14:textId="7712D716" w:rsidR="007A53A5" w:rsidRDefault="007A53A5" w:rsidP="00DE59BC">
      <w:pPr>
        <w:pStyle w:val="Bullet"/>
        <w:spacing w:after="240" w:line="276" w:lineRule="auto"/>
        <w:ind w:left="357" w:hanging="357"/>
      </w:pPr>
      <w:r>
        <w:t>Australian Sexually Transmitted Infections - Management</w:t>
      </w:r>
    </w:p>
    <w:p w14:paraId="51858528" w14:textId="7FBC9AB0" w:rsidR="009746B1" w:rsidRDefault="009746B1" w:rsidP="00DE59BC">
      <w:pPr>
        <w:pStyle w:val="Bullet"/>
        <w:spacing w:after="240" w:line="276" w:lineRule="auto"/>
        <w:ind w:left="357" w:hanging="357"/>
      </w:pPr>
      <w:r>
        <w:t>Consent for Healthcare Treatment</w:t>
      </w:r>
    </w:p>
    <w:p w14:paraId="5C808C51" w14:textId="77777777" w:rsidR="00F3737D" w:rsidRDefault="00F3737D" w:rsidP="00F3737D">
      <w:pPr>
        <w:pStyle w:val="Heading5"/>
      </w:pPr>
      <w:r>
        <w:t>Legislation</w:t>
      </w:r>
    </w:p>
    <w:p w14:paraId="4A93D5D1" w14:textId="77777777" w:rsidR="00F3737D" w:rsidRPr="000E7683" w:rsidRDefault="00F3737D" w:rsidP="00F3737D">
      <w:pPr>
        <w:pStyle w:val="Bullet"/>
      </w:pPr>
      <w:r w:rsidRPr="00FE46F1">
        <w:rPr>
          <w:i/>
          <w:iCs/>
        </w:rPr>
        <w:t>Health Records (Privacy and Access) Act</w:t>
      </w:r>
      <w:r w:rsidRPr="000E7683">
        <w:t xml:space="preserve"> 1997</w:t>
      </w:r>
    </w:p>
    <w:p w14:paraId="247E9D53" w14:textId="77777777" w:rsidR="00F3737D" w:rsidRPr="000E7683" w:rsidRDefault="00F3737D" w:rsidP="00F3737D">
      <w:pPr>
        <w:pStyle w:val="Bullet"/>
      </w:pPr>
      <w:r w:rsidRPr="00FE46F1">
        <w:rPr>
          <w:i/>
          <w:iCs/>
        </w:rPr>
        <w:t>Human Rights Act</w:t>
      </w:r>
      <w:r w:rsidRPr="000E7683">
        <w:t xml:space="preserve"> 2004</w:t>
      </w:r>
    </w:p>
    <w:p w14:paraId="2866504C" w14:textId="77777777" w:rsidR="00F3737D" w:rsidRPr="000E7683" w:rsidRDefault="00F3737D" w:rsidP="00F3737D">
      <w:pPr>
        <w:pStyle w:val="Bullet"/>
      </w:pPr>
      <w:r w:rsidRPr="00FE46F1">
        <w:rPr>
          <w:i/>
          <w:iCs/>
        </w:rPr>
        <w:t>Work Health and Safety Act</w:t>
      </w:r>
      <w:r w:rsidRPr="000E7683">
        <w:t xml:space="preserve"> 2011</w:t>
      </w:r>
    </w:p>
    <w:p w14:paraId="78233099" w14:textId="77777777" w:rsidR="00F3737D" w:rsidRPr="000E7683" w:rsidRDefault="00F3737D" w:rsidP="00F3737D">
      <w:pPr>
        <w:pStyle w:val="Bullet"/>
      </w:pPr>
      <w:r w:rsidRPr="00FE46F1">
        <w:rPr>
          <w:i/>
          <w:iCs/>
        </w:rPr>
        <w:t>Carers Recognition Act</w:t>
      </w:r>
      <w:r w:rsidRPr="000E7683">
        <w:t xml:space="preserve"> 2021</w:t>
      </w:r>
    </w:p>
    <w:p w14:paraId="790C583D" w14:textId="77777777" w:rsidR="00F3737D" w:rsidRDefault="00F3737D" w:rsidP="00F3737D">
      <w:pPr>
        <w:pStyle w:val="Heading5"/>
      </w:pPr>
      <w:r>
        <w:t>Other</w:t>
      </w:r>
    </w:p>
    <w:p w14:paraId="0A522614" w14:textId="5624C85A" w:rsidR="00BC3630" w:rsidRDefault="00F3737D" w:rsidP="002D7682">
      <w:pPr>
        <w:pStyle w:val="Bullet"/>
      </w:pPr>
      <w:r w:rsidRPr="00A66966">
        <w:t>Australian</w:t>
      </w:r>
      <w:r w:rsidRPr="000E7683">
        <w:t xml:space="preserve"> Charter of Healthcare Rights</w:t>
      </w:r>
    </w:p>
    <w:p w14:paraId="0C8B78E1" w14:textId="77777777" w:rsidR="000E7683" w:rsidRDefault="000E7683" w:rsidP="002D7682">
      <w:pPr>
        <w:pStyle w:val="BodyCopy"/>
      </w:pPr>
      <w:hyperlink w:anchor="_top" w:history="1">
        <w:r w:rsidRPr="004A7A7F">
          <w:rPr>
            <w:rStyle w:val="Hyperlink"/>
          </w:rPr>
          <w:t>Back to Contents</w:t>
        </w:r>
      </w:hyperlink>
    </w:p>
    <w:p w14:paraId="523023AE" w14:textId="77777777" w:rsidR="0078367D" w:rsidRPr="0078367D" w:rsidRDefault="0078367D" w:rsidP="00A6051F">
      <w:pPr>
        <w:pStyle w:val="Heading4"/>
      </w:pPr>
      <w:bookmarkStart w:id="13" w:name="_Toc207966954"/>
      <w:r w:rsidRPr="0078367D">
        <w:t>References</w:t>
      </w:r>
      <w:bookmarkEnd w:id="13"/>
    </w:p>
    <w:p w14:paraId="1BD5B0DD" w14:textId="77777777" w:rsidR="0047238D" w:rsidRPr="00DE59BC" w:rsidRDefault="0047238D" w:rsidP="00DE59BC">
      <w:pPr>
        <w:pStyle w:val="ListParagraph"/>
        <w:numPr>
          <w:ilvl w:val="0"/>
          <w:numId w:val="31"/>
        </w:numPr>
        <w:spacing w:after="240" w:line="276" w:lineRule="auto"/>
        <w:ind w:left="425" w:hanging="567"/>
        <w:rPr>
          <w:rFonts w:ascii="Arial" w:hAnsi="Arial" w:cs="Arial"/>
        </w:rPr>
      </w:pPr>
      <w:r w:rsidRPr="00DE59BC">
        <w:rPr>
          <w:rFonts w:ascii="Arial" w:hAnsi="Arial" w:cs="Arial"/>
        </w:rPr>
        <w:t xml:space="preserve">Carlea et al. Desensitization therapy in pregnant women with syphilis reporting allergy to penicillin: A case series. </w:t>
      </w:r>
      <w:proofErr w:type="spellStart"/>
      <w:r w:rsidRPr="00DE59BC">
        <w:rPr>
          <w:rFonts w:ascii="Arial" w:hAnsi="Arial" w:cs="Arial"/>
        </w:rPr>
        <w:t>Eur</w:t>
      </w:r>
      <w:proofErr w:type="spellEnd"/>
      <w:r w:rsidRPr="00DE59BC">
        <w:rPr>
          <w:rFonts w:ascii="Arial" w:hAnsi="Arial" w:cs="Arial"/>
        </w:rPr>
        <w:t xml:space="preserve"> J Obstetrics and Gynaecology 2024; 302: 388–390</w:t>
      </w:r>
    </w:p>
    <w:p w14:paraId="6FEEE247" w14:textId="77777777" w:rsidR="0047238D" w:rsidRPr="00DE59BC" w:rsidRDefault="0047238D" w:rsidP="00DE59BC">
      <w:pPr>
        <w:pStyle w:val="ListParagraph"/>
        <w:numPr>
          <w:ilvl w:val="0"/>
          <w:numId w:val="31"/>
        </w:numPr>
        <w:spacing w:after="240" w:line="276" w:lineRule="auto"/>
        <w:ind w:left="425" w:hanging="567"/>
        <w:rPr>
          <w:rFonts w:ascii="Arial" w:hAnsi="Arial" w:cs="Arial"/>
        </w:rPr>
      </w:pPr>
      <w:r w:rsidRPr="00DE59BC">
        <w:rPr>
          <w:rFonts w:ascii="Arial" w:hAnsi="Arial" w:cs="Arial"/>
        </w:rPr>
        <w:lastRenderedPageBreak/>
        <w:t xml:space="preserve">Dalle et al. Oral Desensitization to Penicillin for the Treatment of Pregnant Women with syphilis: A successful program. Rev Bras </w:t>
      </w:r>
      <w:proofErr w:type="spellStart"/>
      <w:r w:rsidRPr="00DE59BC">
        <w:rPr>
          <w:rFonts w:ascii="Arial" w:hAnsi="Arial" w:cs="Arial"/>
        </w:rPr>
        <w:t>Ginecol</w:t>
      </w:r>
      <w:proofErr w:type="spellEnd"/>
      <w:r w:rsidRPr="00DE59BC">
        <w:rPr>
          <w:rFonts w:ascii="Arial" w:hAnsi="Arial" w:cs="Arial"/>
        </w:rPr>
        <w:t xml:space="preserve"> </w:t>
      </w:r>
      <w:proofErr w:type="spellStart"/>
      <w:r w:rsidRPr="00DE59BC">
        <w:rPr>
          <w:rFonts w:ascii="Arial" w:hAnsi="Arial" w:cs="Arial"/>
        </w:rPr>
        <w:t>Obstet</w:t>
      </w:r>
      <w:proofErr w:type="spellEnd"/>
      <w:r w:rsidRPr="00DE59BC">
        <w:rPr>
          <w:rFonts w:ascii="Arial" w:hAnsi="Arial" w:cs="Arial"/>
        </w:rPr>
        <w:t xml:space="preserve"> 2017;8;31, 40(1) 43-46</w:t>
      </w:r>
    </w:p>
    <w:p w14:paraId="3A6BAF63" w14:textId="77777777" w:rsidR="0047238D" w:rsidRPr="00DE59BC" w:rsidRDefault="0047238D" w:rsidP="00DE59BC">
      <w:pPr>
        <w:pStyle w:val="ListParagraph"/>
        <w:numPr>
          <w:ilvl w:val="0"/>
          <w:numId w:val="31"/>
        </w:numPr>
        <w:spacing w:after="240" w:line="276" w:lineRule="auto"/>
        <w:ind w:left="425" w:hanging="567"/>
        <w:rPr>
          <w:rFonts w:ascii="Arial" w:hAnsi="Arial" w:cs="Arial"/>
        </w:rPr>
      </w:pPr>
      <w:r w:rsidRPr="00DE59BC">
        <w:rPr>
          <w:rFonts w:ascii="Arial" w:hAnsi="Arial" w:cs="Arial"/>
        </w:rPr>
        <w:t>Pham et al. Penicillin desensitization: Treatment of syphilis in pregnancy in penicillin-allergic patients. AAAI 2017;118,5, 537-541</w:t>
      </w:r>
    </w:p>
    <w:p w14:paraId="50342A87" w14:textId="77777777" w:rsidR="0047238D" w:rsidRPr="00DE59BC" w:rsidRDefault="0047238D" w:rsidP="00DE59BC">
      <w:pPr>
        <w:pStyle w:val="ListParagraph"/>
        <w:numPr>
          <w:ilvl w:val="0"/>
          <w:numId w:val="31"/>
        </w:numPr>
        <w:spacing w:after="240" w:line="276" w:lineRule="auto"/>
        <w:ind w:left="425" w:hanging="567"/>
        <w:rPr>
          <w:rFonts w:ascii="Arial" w:hAnsi="Arial" w:cs="Arial"/>
        </w:rPr>
      </w:pPr>
      <w:r w:rsidRPr="00DE59BC">
        <w:rPr>
          <w:rFonts w:ascii="Arial" w:hAnsi="Arial" w:cs="Arial"/>
        </w:rPr>
        <w:t xml:space="preserve">Wendel et al. Penicillin allergy and desensitization in serious infections during pregnancy NEJM </w:t>
      </w:r>
      <w:proofErr w:type="gramStart"/>
      <w:r w:rsidRPr="00DE59BC">
        <w:rPr>
          <w:rFonts w:ascii="Arial" w:hAnsi="Arial" w:cs="Arial"/>
        </w:rPr>
        <w:t>1985;312:1229</w:t>
      </w:r>
      <w:proofErr w:type="gramEnd"/>
      <w:r w:rsidRPr="00DE59BC">
        <w:rPr>
          <w:rFonts w:ascii="Arial" w:hAnsi="Arial" w:cs="Arial"/>
        </w:rPr>
        <w:t>-1232</w:t>
      </w:r>
    </w:p>
    <w:p w14:paraId="7C505468" w14:textId="77777777" w:rsidR="0047238D" w:rsidRPr="00DE59BC" w:rsidRDefault="0047238D" w:rsidP="00DE59BC">
      <w:pPr>
        <w:pStyle w:val="ListParagraph"/>
        <w:numPr>
          <w:ilvl w:val="0"/>
          <w:numId w:val="31"/>
        </w:numPr>
        <w:spacing w:after="240" w:line="276" w:lineRule="auto"/>
        <w:ind w:left="425" w:hanging="567"/>
        <w:rPr>
          <w:rFonts w:ascii="Arial" w:hAnsi="Arial" w:cs="Arial"/>
        </w:rPr>
      </w:pPr>
      <w:r w:rsidRPr="00DE59BC">
        <w:rPr>
          <w:rFonts w:ascii="Arial" w:hAnsi="Arial" w:cs="Arial"/>
          <w:lang w:val="en-US"/>
        </w:rPr>
        <w:t xml:space="preserve">Antimicrobial desensitization protocols [published 2019 April]. In: Therapeutic Guidelines. Melbourne: Therapeutic Guidelines Limited </w:t>
      </w:r>
    </w:p>
    <w:p w14:paraId="30C3120B" w14:textId="50136793" w:rsidR="0047238D" w:rsidRPr="00DE59BC" w:rsidRDefault="00A017FE" w:rsidP="00DE59BC">
      <w:pPr>
        <w:pStyle w:val="ListParagraph"/>
        <w:numPr>
          <w:ilvl w:val="0"/>
          <w:numId w:val="31"/>
        </w:numPr>
        <w:spacing w:after="240" w:line="276" w:lineRule="auto"/>
        <w:ind w:left="425" w:hanging="567"/>
        <w:rPr>
          <w:rFonts w:ascii="Arial" w:hAnsi="Arial" w:cs="Arial"/>
        </w:rPr>
      </w:pPr>
      <w:r>
        <w:rPr>
          <w:rFonts w:ascii="Arial" w:hAnsi="Arial" w:cs="Arial"/>
          <w:lang w:val="en-US"/>
        </w:rPr>
        <w:t xml:space="preserve">Syphilis in pregnancy and congenital syphilis [published 2025 March]. In: Therapeutic Guidelines. Melbourne: Therapeutic Guidelines Limited </w:t>
      </w:r>
      <w:r w:rsidR="0047238D" w:rsidRPr="00DE59BC">
        <w:rPr>
          <w:rFonts w:ascii="Arial" w:hAnsi="Arial" w:cs="Arial"/>
          <w:lang w:val="en-US"/>
        </w:rPr>
        <w:t>I</w:t>
      </w:r>
    </w:p>
    <w:p w14:paraId="4697F801" w14:textId="77777777"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4F120731" w14:textId="77777777" w:rsidR="0078367D" w:rsidRDefault="0078367D" w:rsidP="00A6051F">
      <w:pPr>
        <w:pStyle w:val="Heading4"/>
      </w:pPr>
      <w:bookmarkStart w:id="14" w:name="_Toc207966955"/>
      <w:r>
        <w:t>Search terms</w:t>
      </w:r>
      <w:bookmarkEnd w:id="14"/>
    </w:p>
    <w:p w14:paraId="01AAD1EC" w14:textId="643AD1D0" w:rsidR="00280C5D" w:rsidRDefault="00BC3630" w:rsidP="0078367D">
      <w:pPr>
        <w:pStyle w:val="BodyCopy"/>
        <w:rPr>
          <w:lang w:eastAsia="en-US"/>
        </w:rPr>
      </w:pPr>
      <w:r>
        <w:rPr>
          <w:lang w:eastAsia="en-US"/>
        </w:rPr>
        <w:t>Penicillin allergy, penicillin desensitisation, syphilis</w:t>
      </w:r>
      <w:r w:rsidR="009B1561">
        <w:rPr>
          <w:lang w:eastAsia="en-US"/>
        </w:rPr>
        <w:t>, pregnancy, pregnant</w:t>
      </w:r>
    </w:p>
    <w:p w14:paraId="11440C86" w14:textId="77777777" w:rsidR="00280C5D" w:rsidRDefault="00280C5D" w:rsidP="002D7682">
      <w:pPr>
        <w:pStyle w:val="Bullet"/>
        <w:numPr>
          <w:ilvl w:val="0"/>
          <w:numId w:val="0"/>
        </w:numPr>
        <w:spacing w:after="240"/>
      </w:pPr>
      <w:hyperlink w:anchor="_top" w:history="1">
        <w:r w:rsidRPr="00481A6C">
          <w:rPr>
            <w:rStyle w:val="Hyperlink"/>
          </w:rPr>
          <w:t>Back to Contents</w:t>
        </w:r>
      </w:hyperlink>
    </w:p>
    <w:p w14:paraId="429D41A8" w14:textId="77777777" w:rsidR="003203FE" w:rsidRDefault="003203FE" w:rsidP="002D7682">
      <w:pPr>
        <w:pStyle w:val="Bullet"/>
        <w:numPr>
          <w:ilvl w:val="0"/>
          <w:numId w:val="0"/>
        </w:numPr>
        <w:spacing w:after="240"/>
        <w:rPr>
          <w:lang w:eastAsia="en-US"/>
        </w:rPr>
      </w:pPr>
    </w:p>
    <w:p w14:paraId="37232ABC" w14:textId="06AE6121" w:rsidR="00E572A8" w:rsidRPr="009A5010" w:rsidRDefault="00E572A8" w:rsidP="00E572A8">
      <w:pPr>
        <w:pStyle w:val="Heading4"/>
      </w:pPr>
      <w:bookmarkStart w:id="15" w:name="_Toc207966956"/>
      <w:bookmarkStart w:id="16" w:name="_Toc176425617"/>
      <w:r>
        <w:t>Attachments</w:t>
      </w:r>
      <w:bookmarkEnd w:id="15"/>
      <w:r>
        <w:t xml:space="preserve"> </w:t>
      </w:r>
      <w:bookmarkEnd w:id="16"/>
    </w:p>
    <w:p w14:paraId="1D8CC0B6" w14:textId="6A7C403B" w:rsidR="00E572A8" w:rsidRDefault="00E572A8" w:rsidP="00E572A8">
      <w:pPr>
        <w:pStyle w:val="Heading7"/>
      </w:pPr>
      <w:r>
        <w:rPr>
          <w:lang w:eastAsia="en-US"/>
        </w:rPr>
        <w:t>Attachment 1 -</w:t>
      </w:r>
      <w:r w:rsidRPr="00E572A8">
        <w:t xml:space="preserve"> </w:t>
      </w:r>
      <w:r>
        <w:t>Information about patient and nature of allergy</w:t>
      </w:r>
    </w:p>
    <w:p w14:paraId="250E28D0" w14:textId="3BC9BEFD" w:rsidR="00E572A8" w:rsidRDefault="00E572A8" w:rsidP="00E572A8">
      <w:pPr>
        <w:pStyle w:val="Heading7"/>
        <w:rPr>
          <w:lang w:eastAsia="en-US"/>
        </w:rPr>
      </w:pPr>
    </w:p>
    <w:p w14:paraId="67E93F4B" w14:textId="4374904C" w:rsidR="00E572A8" w:rsidRPr="00265390" w:rsidRDefault="00E572A8" w:rsidP="00265390">
      <w:pPr>
        <w:pStyle w:val="Bullet"/>
        <w:numPr>
          <w:ilvl w:val="0"/>
          <w:numId w:val="0"/>
        </w:numPr>
        <w:spacing w:after="240"/>
        <w:rPr>
          <w:rStyle w:val="Bold"/>
          <w:b w:val="0"/>
          <w:bCs w:val="0"/>
          <w:color w:val="auto"/>
          <w:u w:val="single"/>
        </w:rPr>
      </w:pPr>
      <w:hyperlink w:anchor="_top" w:history="1">
        <w:r w:rsidRPr="00481A6C">
          <w:rPr>
            <w:rStyle w:val="Hyperlink"/>
          </w:rPr>
          <w:t>Back to Contents</w:t>
        </w:r>
      </w:hyperlink>
    </w:p>
    <w:p w14:paraId="0344CA21" w14:textId="77777777" w:rsidR="00265390" w:rsidRDefault="00265390">
      <w:pPr>
        <w:spacing w:before="0" w:after="0" w:line="240" w:lineRule="auto"/>
        <w:rPr>
          <w:rStyle w:val="Bold"/>
          <w:rFonts w:eastAsia="Times New Roman"/>
          <w:bCs w:val="0"/>
          <w:iCs/>
        </w:rPr>
      </w:pPr>
      <w:r>
        <w:rPr>
          <w:rStyle w:val="Bold"/>
        </w:rPr>
        <w:br w:type="page"/>
      </w:r>
    </w:p>
    <w:p w14:paraId="6AF80A7B" w14:textId="69D09DDB"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45292EE5"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48B70ECA" w14:textId="77777777" w:rsidR="00280C5D" w:rsidRDefault="00280C5D" w:rsidP="003B0E72">
            <w:pPr>
              <w:pStyle w:val="Tableheader"/>
            </w:pPr>
            <w:r>
              <w:t>Date amended</w:t>
            </w:r>
          </w:p>
        </w:tc>
        <w:tc>
          <w:tcPr>
            <w:tcW w:w="2477" w:type="dxa"/>
          </w:tcPr>
          <w:p w14:paraId="31BF29D5" w14:textId="77777777" w:rsidR="00280C5D" w:rsidRDefault="00280C5D" w:rsidP="003B0E72">
            <w:pPr>
              <w:pStyle w:val="Tableheader"/>
            </w:pPr>
            <w:r>
              <w:t>Section amended</w:t>
            </w:r>
          </w:p>
        </w:tc>
        <w:tc>
          <w:tcPr>
            <w:tcW w:w="2555" w:type="dxa"/>
          </w:tcPr>
          <w:p w14:paraId="0DB4B10A" w14:textId="77777777" w:rsidR="00280C5D" w:rsidRDefault="00280C5D" w:rsidP="003B0E72">
            <w:pPr>
              <w:pStyle w:val="Tableheader"/>
            </w:pPr>
            <w:r>
              <w:t>Divisional approval</w:t>
            </w:r>
          </w:p>
        </w:tc>
        <w:tc>
          <w:tcPr>
            <w:tcW w:w="2403" w:type="dxa"/>
          </w:tcPr>
          <w:p w14:paraId="67F88C3F" w14:textId="77777777" w:rsidR="00280C5D" w:rsidRDefault="00280C5D" w:rsidP="003B0E72">
            <w:pPr>
              <w:pStyle w:val="Tableheader"/>
            </w:pPr>
            <w:r>
              <w:t>Final approval</w:t>
            </w:r>
          </w:p>
        </w:tc>
      </w:tr>
      <w:tr w:rsidR="00280C5D" w14:paraId="7CDEC3DF" w14:textId="77777777" w:rsidTr="003B0E72">
        <w:tc>
          <w:tcPr>
            <w:tcW w:w="2476" w:type="dxa"/>
          </w:tcPr>
          <w:p w14:paraId="57F8D125" w14:textId="0D68BDF3" w:rsidR="00280C5D" w:rsidRDefault="006B1002" w:rsidP="003B0E72">
            <w:pPr>
              <w:pStyle w:val="Tablebody"/>
              <w:rPr>
                <w:lang w:eastAsia="en-US"/>
              </w:rPr>
            </w:pPr>
            <w:r>
              <w:rPr>
                <w:lang w:eastAsia="en-US"/>
              </w:rPr>
              <w:t>3 November 2025</w:t>
            </w:r>
          </w:p>
        </w:tc>
        <w:tc>
          <w:tcPr>
            <w:tcW w:w="2477" w:type="dxa"/>
          </w:tcPr>
          <w:p w14:paraId="7F7C5CFE" w14:textId="0B53C4ED" w:rsidR="00280C5D" w:rsidRDefault="006B1002" w:rsidP="003B0E72">
            <w:pPr>
              <w:pStyle w:val="Tablebody"/>
              <w:rPr>
                <w:lang w:eastAsia="en-US"/>
              </w:rPr>
            </w:pPr>
            <w:r>
              <w:rPr>
                <w:lang w:eastAsia="en-US"/>
              </w:rPr>
              <w:t>New document</w:t>
            </w:r>
          </w:p>
        </w:tc>
        <w:tc>
          <w:tcPr>
            <w:tcW w:w="2555" w:type="dxa"/>
          </w:tcPr>
          <w:p w14:paraId="61087355" w14:textId="28591CAC" w:rsidR="00280C5D" w:rsidRDefault="006B1002" w:rsidP="003B0E72">
            <w:pPr>
              <w:pStyle w:val="Tablebody"/>
              <w:rPr>
                <w:lang w:eastAsia="en-US"/>
              </w:rPr>
            </w:pPr>
            <w:r>
              <w:rPr>
                <w:lang w:eastAsia="en-US"/>
              </w:rPr>
              <w:t>Melissa O’Brien, ED CAS</w:t>
            </w:r>
          </w:p>
        </w:tc>
        <w:tc>
          <w:tcPr>
            <w:tcW w:w="2403" w:type="dxa"/>
          </w:tcPr>
          <w:p w14:paraId="1C3D75D9" w14:textId="7DD7AF3D" w:rsidR="00280C5D" w:rsidRDefault="006B1002" w:rsidP="003B0E72">
            <w:pPr>
              <w:pStyle w:val="Tablebody"/>
              <w:rPr>
                <w:lang w:eastAsia="en-US"/>
              </w:rPr>
            </w:pPr>
            <w:r>
              <w:rPr>
                <w:lang w:eastAsia="en-US"/>
              </w:rPr>
              <w:t>CHS Policy Document Review Panel</w:t>
            </w:r>
          </w:p>
        </w:tc>
      </w:tr>
      <w:tr w:rsidR="00280C5D" w14:paraId="6DF4B126" w14:textId="77777777" w:rsidTr="003B0E72">
        <w:tc>
          <w:tcPr>
            <w:tcW w:w="2476" w:type="dxa"/>
          </w:tcPr>
          <w:p w14:paraId="090D2B24" w14:textId="23F6A45E" w:rsidR="00280C5D" w:rsidRDefault="0086236C" w:rsidP="003B0E72">
            <w:pPr>
              <w:pStyle w:val="Tablebody"/>
              <w:rPr>
                <w:lang w:eastAsia="en-US"/>
              </w:rPr>
            </w:pPr>
            <w:r>
              <w:rPr>
                <w:lang w:eastAsia="en-US"/>
              </w:rPr>
              <w:t>27 January 2026</w:t>
            </w:r>
          </w:p>
        </w:tc>
        <w:tc>
          <w:tcPr>
            <w:tcW w:w="2477" w:type="dxa"/>
          </w:tcPr>
          <w:p w14:paraId="593CB18F" w14:textId="2379C092" w:rsidR="00280C5D" w:rsidRDefault="0086236C" w:rsidP="003B0E72">
            <w:pPr>
              <w:pStyle w:val="Tablebody"/>
              <w:rPr>
                <w:lang w:eastAsia="en-US"/>
              </w:rPr>
            </w:pPr>
            <w:r>
              <w:rPr>
                <w:lang w:eastAsia="en-US"/>
              </w:rPr>
              <w:t>Minor formatting changes made to meet accessibility requirements</w:t>
            </w:r>
          </w:p>
        </w:tc>
        <w:tc>
          <w:tcPr>
            <w:tcW w:w="2555" w:type="dxa"/>
          </w:tcPr>
          <w:p w14:paraId="08749E9C" w14:textId="38A1CF8E" w:rsidR="00280C5D" w:rsidRDefault="0086236C" w:rsidP="003B0E72">
            <w:pPr>
              <w:pStyle w:val="Tablebody"/>
              <w:rPr>
                <w:lang w:eastAsia="en-US"/>
              </w:rPr>
            </w:pPr>
            <w:r>
              <w:rPr>
                <w:lang w:eastAsia="en-US"/>
              </w:rPr>
              <w:t>CHS Policy and Consumer Handouts Team</w:t>
            </w:r>
          </w:p>
        </w:tc>
        <w:tc>
          <w:tcPr>
            <w:tcW w:w="2403" w:type="dxa"/>
          </w:tcPr>
          <w:p w14:paraId="7CF56A1C" w14:textId="6444F6E8" w:rsidR="00280C5D" w:rsidRDefault="0086236C" w:rsidP="003B0E72">
            <w:pPr>
              <w:pStyle w:val="Tablebody"/>
              <w:rPr>
                <w:lang w:eastAsia="en-US"/>
              </w:rPr>
            </w:pPr>
            <w:r>
              <w:rPr>
                <w:lang w:eastAsia="en-US"/>
              </w:rPr>
              <w:t>CHS Policy and Consumer Handouts Team</w:t>
            </w:r>
          </w:p>
        </w:tc>
      </w:tr>
    </w:tbl>
    <w:p w14:paraId="5F3CFE1B"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66F06E18"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1ED4307" w14:textId="77777777" w:rsidR="00280C5D" w:rsidRDefault="00280C5D" w:rsidP="003B0E72">
            <w:pPr>
              <w:pStyle w:val="Tableheader"/>
            </w:pPr>
            <w:r>
              <w:t>Document number</w:t>
            </w:r>
          </w:p>
        </w:tc>
        <w:tc>
          <w:tcPr>
            <w:tcW w:w="7653" w:type="dxa"/>
          </w:tcPr>
          <w:p w14:paraId="463128A0" w14:textId="77777777" w:rsidR="00280C5D" w:rsidRDefault="00280C5D" w:rsidP="003B0E72">
            <w:pPr>
              <w:pStyle w:val="Tableheader"/>
            </w:pPr>
            <w:r>
              <w:t>Document name</w:t>
            </w:r>
          </w:p>
        </w:tc>
      </w:tr>
      <w:tr w:rsidR="00280C5D" w14:paraId="1F70D07F" w14:textId="77777777" w:rsidTr="003B0E72">
        <w:tc>
          <w:tcPr>
            <w:tcW w:w="2548" w:type="dxa"/>
          </w:tcPr>
          <w:p w14:paraId="30BC851B" w14:textId="77777777" w:rsidR="00280C5D" w:rsidRDefault="00280C5D" w:rsidP="003B0E72">
            <w:pPr>
              <w:pStyle w:val="Tablebody"/>
              <w:rPr>
                <w:lang w:eastAsia="en-US"/>
              </w:rPr>
            </w:pPr>
          </w:p>
        </w:tc>
        <w:tc>
          <w:tcPr>
            <w:tcW w:w="7653" w:type="dxa"/>
          </w:tcPr>
          <w:p w14:paraId="4B4B3659" w14:textId="77777777" w:rsidR="00280C5D" w:rsidRDefault="00280C5D" w:rsidP="003B0E72">
            <w:pPr>
              <w:pStyle w:val="Tablebody"/>
              <w:rPr>
                <w:lang w:eastAsia="en-US"/>
              </w:rPr>
            </w:pPr>
          </w:p>
        </w:tc>
      </w:tr>
      <w:tr w:rsidR="00280C5D" w14:paraId="78F558BE" w14:textId="77777777" w:rsidTr="003B0E72">
        <w:tc>
          <w:tcPr>
            <w:tcW w:w="2548" w:type="dxa"/>
          </w:tcPr>
          <w:p w14:paraId="45FB5BA6" w14:textId="77777777" w:rsidR="00280C5D" w:rsidRDefault="00280C5D" w:rsidP="003B0E72">
            <w:pPr>
              <w:pStyle w:val="Tablebody"/>
              <w:rPr>
                <w:lang w:eastAsia="en-US"/>
              </w:rPr>
            </w:pPr>
          </w:p>
        </w:tc>
        <w:tc>
          <w:tcPr>
            <w:tcW w:w="7653" w:type="dxa"/>
          </w:tcPr>
          <w:p w14:paraId="56F7BC08" w14:textId="77777777" w:rsidR="00280C5D" w:rsidRDefault="00280C5D" w:rsidP="003B0E72">
            <w:pPr>
              <w:pStyle w:val="Tablebody"/>
              <w:rPr>
                <w:lang w:eastAsia="en-US"/>
              </w:rPr>
            </w:pPr>
          </w:p>
        </w:tc>
      </w:tr>
    </w:tbl>
    <w:p w14:paraId="775A690E" w14:textId="77777777" w:rsidR="00280C5D" w:rsidRPr="001F3ED6" w:rsidRDefault="00280C5D" w:rsidP="001F3ED6">
      <w:pPr>
        <w:pStyle w:val="BodyCopy"/>
        <w:rPr>
          <w:rStyle w:val="Bold"/>
        </w:rPr>
      </w:pPr>
      <w:r w:rsidRPr="001F3ED6">
        <w:rPr>
          <w:rStyle w:val="Bold"/>
        </w:rPr>
        <w:t>Disclaimer</w:t>
      </w:r>
    </w:p>
    <w:p w14:paraId="627D3DFD" w14:textId="77777777" w:rsidR="00280C5D" w:rsidRDefault="00280C5D" w:rsidP="00DE59BC">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9BFEF25"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53464F48"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345973B" w14:textId="77777777" w:rsidTr="003B0E72">
        <w:tc>
          <w:tcPr>
            <w:tcW w:w="5529" w:type="dxa"/>
            <w:shd w:val="clear" w:color="auto" w:fill="F4F3EE"/>
            <w:tcMar>
              <w:top w:w="142" w:type="dxa"/>
              <w:left w:w="170" w:type="dxa"/>
              <w:bottom w:w="142" w:type="dxa"/>
              <w:right w:w="170" w:type="dxa"/>
            </w:tcMar>
          </w:tcPr>
          <w:bookmarkStart w:id="17" w:name="_Hlk160027189" w:displacedByCustomXml="next"/>
          <w:sdt>
            <w:sdtPr>
              <w:rPr>
                <w:color w:val="auto"/>
                <w:u w:val="single"/>
              </w:rPr>
              <w:id w:val="643171884"/>
              <w:placeholder>
                <w:docPart w:val="7954C238D5884D799F483A947846C688"/>
              </w:placeholder>
            </w:sdtPr>
            <w:sdtEndPr>
              <w:rPr>
                <w:color w:val="000000" w:themeColor="text1"/>
                <w:u w:val="none"/>
              </w:rPr>
            </w:sdtEndPr>
            <w:sdtContent>
              <w:p w14:paraId="4B5C6C46" w14:textId="77777777" w:rsidR="00280C5D" w:rsidRPr="00350211" w:rsidRDefault="00280C5D" w:rsidP="003B0E72">
                <w:pPr>
                  <w:pStyle w:val="Bottomblocktext"/>
                  <w:rPr>
                    <w:b/>
                    <w:bCs w:val="0"/>
                    <w:sz w:val="20"/>
                    <w:szCs w:val="20"/>
                  </w:rPr>
                </w:pPr>
                <w:r>
                  <w:rPr>
                    <w:noProof/>
                    <w:sz w:val="20"/>
                    <w:szCs w:val="20"/>
                  </w:rPr>
                  <w:drawing>
                    <wp:inline distT="0" distB="0" distL="0" distR="0" wp14:anchorId="56F369FC" wp14:editId="5335D1F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1"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3B2A195"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6ED9709"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1D75F4BEAB6E46EDAA60D41721ED08A7"/>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07D43C06FEDA4D4E9992E79B10A4A650"/>
            </w:placeholder>
            <w:showingPlcHdr/>
          </w:sdtPr>
          <w:sdtEndPr/>
          <w:sdtContent>
            <w:tc>
              <w:tcPr>
                <w:tcW w:w="4665" w:type="dxa"/>
                <w:shd w:val="clear" w:color="auto" w:fill="F4F3EE"/>
                <w:tcMar>
                  <w:top w:w="142" w:type="dxa"/>
                  <w:left w:w="170" w:type="dxa"/>
                  <w:bottom w:w="142" w:type="dxa"/>
                  <w:right w:w="170" w:type="dxa"/>
                </w:tcMar>
              </w:tcPr>
              <w:p w14:paraId="43C8202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52C506BC" wp14:editId="6BA04CD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2"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FB189B5" wp14:editId="58FCD34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F86DAAC"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641FB45" wp14:editId="5C5173E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4"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BD89693" wp14:editId="7F15529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3"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37FFC83" w14:textId="77777777" w:rsidR="00280C5D" w:rsidRDefault="00280C5D" w:rsidP="003B0E72">
                <w:pPr>
                  <w:pStyle w:val="Bottomblocktext"/>
                  <w:rPr>
                    <w:sz w:val="20"/>
                    <w:szCs w:val="20"/>
                  </w:rPr>
                </w:pPr>
                <w:hyperlink r:id="rId15" w:history="1">
                  <w:r w:rsidRPr="00350211">
                    <w:rPr>
                      <w:rStyle w:val="Hyperlink"/>
                      <w:sz w:val="20"/>
                      <w:szCs w:val="20"/>
                    </w:rPr>
                    <w:t>canberrahealthservices.act.gov.au/accessibility</w:t>
                  </w:r>
                </w:hyperlink>
              </w:p>
              <w:p w14:paraId="0006E32B" w14:textId="77777777" w:rsidR="00280C5D" w:rsidRDefault="00280C5D" w:rsidP="003B0E72">
                <w:pPr>
                  <w:pStyle w:val="Bottomblocktext"/>
                </w:pPr>
                <w:r>
                  <w:rPr>
                    <w:b/>
                    <w:bCs w:val="0"/>
                    <w:noProof/>
                  </w:rPr>
                  <w:drawing>
                    <wp:inline distT="0" distB="0" distL="0" distR="0" wp14:anchorId="700DD50C" wp14:editId="5DB3331B">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6"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7"/>
    </w:tbl>
    <w:p w14:paraId="5F80BC3F" w14:textId="50523E8B" w:rsidR="00201AF6" w:rsidRDefault="00201AF6">
      <w:pPr>
        <w:spacing w:before="0" w:after="0" w:line="240" w:lineRule="auto"/>
        <w:rPr>
          <w:lang w:eastAsia="en-US"/>
        </w:rPr>
      </w:pPr>
    </w:p>
    <w:p w14:paraId="76BE3E94" w14:textId="77777777" w:rsidR="00E572A8" w:rsidRDefault="00E572A8">
      <w:pPr>
        <w:spacing w:before="0" w:after="0" w:line="240" w:lineRule="auto"/>
        <w:rPr>
          <w:rFonts w:eastAsia="Times New Roman"/>
          <w:b/>
          <w:bCs/>
          <w:iCs/>
          <w:color w:val="FFFFFF" w:themeColor="background1"/>
          <w:lang w:eastAsia="en-US"/>
        </w:rPr>
      </w:pPr>
      <w:bookmarkStart w:id="18" w:name="_Hlk201821527"/>
      <w:r>
        <w:br w:type="page"/>
      </w:r>
    </w:p>
    <w:p w14:paraId="68C29B5E" w14:textId="4082D8A6" w:rsidR="004A7A7F" w:rsidRDefault="00201AF6" w:rsidP="00201AF6">
      <w:pPr>
        <w:pStyle w:val="Heading4"/>
      </w:pPr>
      <w:bookmarkStart w:id="19" w:name="_Toc207966957"/>
      <w:r>
        <w:lastRenderedPageBreak/>
        <w:t xml:space="preserve">Attachment 1 </w:t>
      </w:r>
      <w:r w:rsidR="00E97586">
        <w:t>– Information about patient and nature of allergy</w:t>
      </w:r>
      <w:bookmarkEnd w:id="19"/>
    </w:p>
    <w:bookmarkEnd w:id="18"/>
    <w:p w14:paraId="7AF75DB3" w14:textId="2ECAD60A" w:rsidR="003203FE" w:rsidRPr="00CB7B1D" w:rsidRDefault="003203FE" w:rsidP="009B1561">
      <w:pPr>
        <w:pStyle w:val="BodyCopy"/>
      </w:pPr>
      <w:r w:rsidRPr="00CB7B1D">
        <w:t xml:space="preserve">Collect the following information and document in </w:t>
      </w:r>
      <w:r w:rsidR="00E572A8">
        <w:t xml:space="preserve">the </w:t>
      </w:r>
      <w:r w:rsidRPr="00CB7B1D">
        <w:t>DHR</w:t>
      </w:r>
      <w:r w:rsidR="00E572A8">
        <w:t>.</w:t>
      </w:r>
    </w:p>
    <w:p w14:paraId="7ED296D5" w14:textId="498EF4DA" w:rsidR="003203FE" w:rsidRPr="00CB7B1D" w:rsidRDefault="003203FE" w:rsidP="009B1561">
      <w:pPr>
        <w:pStyle w:val="BodyCopy"/>
      </w:pPr>
      <w:r w:rsidRPr="00CB7B1D">
        <w:t xml:space="preserve">The below table and desensitisation protocol can be found under </w:t>
      </w:r>
      <w:r w:rsidR="00E572A8">
        <w:t xml:space="preserve">the </w:t>
      </w:r>
      <w:proofErr w:type="spellStart"/>
      <w:r w:rsidR="00E572A8">
        <w:t>smartphrase</w:t>
      </w:r>
      <w:proofErr w:type="spellEnd"/>
      <w:r w:rsidR="00E572A8">
        <w:t xml:space="preserve"> </w:t>
      </w:r>
      <w:r w:rsidRPr="00CB7B1D">
        <w:t>PENDESENSPREG</w:t>
      </w:r>
      <w:r w:rsidR="00E572A8">
        <w:t>.</w:t>
      </w:r>
    </w:p>
    <w:p w14:paraId="6FF15E7D" w14:textId="46D41C7C" w:rsidR="003203FE" w:rsidRPr="0005651F" w:rsidRDefault="003203FE" w:rsidP="00E572A8">
      <w:pPr>
        <w:pStyle w:val="Heading5"/>
      </w:pPr>
      <w:r w:rsidRPr="0005651F">
        <w:t>Oral penicillin desensitisation of pregnant persons procedure document</w:t>
      </w:r>
      <w:r w:rsidR="00AA469D">
        <w:t>ation</w:t>
      </w:r>
    </w:p>
    <w:tbl>
      <w:tblPr>
        <w:tblW w:w="0" w:type="auto"/>
        <w:tblInd w:w="-5" w:type="dxa"/>
        <w:tblLayout w:type="fixed"/>
        <w:tblCellMar>
          <w:left w:w="105" w:type="dxa"/>
          <w:right w:w="105" w:type="dxa"/>
        </w:tblCellMar>
        <w:tblLook w:val="0000" w:firstRow="0" w:lastRow="0" w:firstColumn="0" w:lastColumn="0" w:noHBand="0" w:noVBand="0"/>
      </w:tblPr>
      <w:tblGrid>
        <w:gridCol w:w="1980"/>
        <w:gridCol w:w="7036"/>
      </w:tblGrid>
      <w:tr w:rsidR="003203FE" w:rsidRPr="0005651F" w14:paraId="285A9F44" w14:textId="77777777" w:rsidTr="00FA6A0E">
        <w:trPr>
          <w:trHeight w:val="360"/>
        </w:trPr>
        <w:tc>
          <w:tcPr>
            <w:tcW w:w="1980" w:type="dxa"/>
            <w:tcBorders>
              <w:top w:val="single" w:sz="4" w:space="0" w:color="auto"/>
              <w:left w:val="single" w:sz="4" w:space="0" w:color="auto"/>
              <w:bottom w:val="single" w:sz="4" w:space="0" w:color="auto"/>
              <w:right w:val="single" w:sz="4" w:space="0" w:color="auto"/>
            </w:tcBorders>
          </w:tcPr>
          <w:p w14:paraId="19C2DE05" w14:textId="77777777" w:rsidR="003203FE" w:rsidRPr="0005651F" w:rsidRDefault="003203FE" w:rsidP="00E97586">
            <w:pPr>
              <w:pStyle w:val="Heading3"/>
            </w:pPr>
            <w:r w:rsidRPr="0005651F">
              <w:t>Name of patient</w:t>
            </w:r>
          </w:p>
        </w:tc>
        <w:tc>
          <w:tcPr>
            <w:tcW w:w="7036" w:type="dxa"/>
            <w:tcBorders>
              <w:top w:val="single" w:sz="4" w:space="0" w:color="auto"/>
              <w:left w:val="single" w:sz="4" w:space="0" w:color="auto"/>
              <w:bottom w:val="single" w:sz="4" w:space="0" w:color="auto"/>
              <w:right w:val="single" w:sz="4" w:space="0" w:color="auto"/>
            </w:tcBorders>
          </w:tcPr>
          <w:p w14:paraId="63CC1BFD" w14:textId="77777777" w:rsidR="003203FE" w:rsidRPr="0005651F" w:rsidRDefault="003203FE" w:rsidP="00E97586">
            <w:pPr>
              <w:pStyle w:val="Heading3"/>
            </w:pPr>
          </w:p>
        </w:tc>
      </w:tr>
      <w:tr w:rsidR="003203FE" w:rsidRPr="0005651F" w14:paraId="7DA06B35" w14:textId="77777777" w:rsidTr="00FA6A0E">
        <w:trPr>
          <w:trHeight w:val="375"/>
        </w:trPr>
        <w:tc>
          <w:tcPr>
            <w:tcW w:w="1980" w:type="dxa"/>
            <w:tcBorders>
              <w:top w:val="single" w:sz="4" w:space="0" w:color="auto"/>
              <w:left w:val="single" w:sz="4" w:space="0" w:color="auto"/>
              <w:bottom w:val="single" w:sz="4" w:space="0" w:color="auto"/>
              <w:right w:val="single" w:sz="4" w:space="0" w:color="auto"/>
            </w:tcBorders>
          </w:tcPr>
          <w:p w14:paraId="379CABD3" w14:textId="77777777" w:rsidR="003203FE" w:rsidRPr="0005651F" w:rsidRDefault="003203FE" w:rsidP="00E97586">
            <w:pPr>
              <w:pStyle w:val="Heading3"/>
            </w:pPr>
            <w:proofErr w:type="spellStart"/>
            <w:r w:rsidRPr="0005651F">
              <w:t>DoB</w:t>
            </w:r>
            <w:proofErr w:type="spellEnd"/>
          </w:p>
        </w:tc>
        <w:tc>
          <w:tcPr>
            <w:tcW w:w="7036" w:type="dxa"/>
            <w:tcBorders>
              <w:top w:val="single" w:sz="4" w:space="0" w:color="auto"/>
              <w:left w:val="single" w:sz="4" w:space="0" w:color="auto"/>
              <w:bottom w:val="single" w:sz="4" w:space="0" w:color="auto"/>
              <w:right w:val="single" w:sz="4" w:space="0" w:color="auto"/>
            </w:tcBorders>
          </w:tcPr>
          <w:p w14:paraId="1078995E" w14:textId="77777777" w:rsidR="003203FE" w:rsidRPr="0005651F" w:rsidRDefault="003203FE" w:rsidP="00E97586">
            <w:pPr>
              <w:pStyle w:val="Heading3"/>
            </w:pPr>
          </w:p>
        </w:tc>
      </w:tr>
      <w:tr w:rsidR="003203FE" w:rsidRPr="0005651F" w14:paraId="3C367688" w14:textId="77777777" w:rsidTr="00FA6A0E">
        <w:trPr>
          <w:trHeight w:val="360"/>
        </w:trPr>
        <w:tc>
          <w:tcPr>
            <w:tcW w:w="1980" w:type="dxa"/>
            <w:tcBorders>
              <w:top w:val="single" w:sz="4" w:space="0" w:color="auto"/>
              <w:left w:val="single" w:sz="4" w:space="0" w:color="auto"/>
              <w:bottom w:val="single" w:sz="4" w:space="0" w:color="auto"/>
              <w:right w:val="single" w:sz="4" w:space="0" w:color="auto"/>
            </w:tcBorders>
          </w:tcPr>
          <w:p w14:paraId="0E3DDC13" w14:textId="77777777" w:rsidR="003203FE" w:rsidRPr="0005651F" w:rsidRDefault="003203FE" w:rsidP="00E97586">
            <w:pPr>
              <w:pStyle w:val="Heading3"/>
            </w:pPr>
            <w:r w:rsidRPr="0005651F">
              <w:t>MRN</w:t>
            </w:r>
          </w:p>
        </w:tc>
        <w:tc>
          <w:tcPr>
            <w:tcW w:w="7036" w:type="dxa"/>
            <w:tcBorders>
              <w:top w:val="single" w:sz="4" w:space="0" w:color="auto"/>
              <w:left w:val="single" w:sz="4" w:space="0" w:color="auto"/>
              <w:bottom w:val="single" w:sz="4" w:space="0" w:color="auto"/>
              <w:right w:val="single" w:sz="4" w:space="0" w:color="auto"/>
            </w:tcBorders>
          </w:tcPr>
          <w:p w14:paraId="76307647" w14:textId="77777777" w:rsidR="003203FE" w:rsidRPr="0005651F" w:rsidRDefault="003203FE" w:rsidP="00E97586">
            <w:pPr>
              <w:pStyle w:val="Heading3"/>
            </w:pPr>
          </w:p>
        </w:tc>
      </w:tr>
      <w:tr w:rsidR="003203FE" w:rsidRPr="0005651F" w14:paraId="15EAE257" w14:textId="77777777" w:rsidTr="00FA6A0E">
        <w:trPr>
          <w:trHeight w:val="360"/>
        </w:trPr>
        <w:tc>
          <w:tcPr>
            <w:tcW w:w="1980" w:type="dxa"/>
            <w:tcBorders>
              <w:top w:val="single" w:sz="4" w:space="0" w:color="auto"/>
              <w:left w:val="single" w:sz="4" w:space="0" w:color="auto"/>
              <w:bottom w:val="single" w:sz="4" w:space="0" w:color="auto"/>
              <w:right w:val="single" w:sz="4" w:space="0" w:color="auto"/>
            </w:tcBorders>
          </w:tcPr>
          <w:p w14:paraId="106E1940" w14:textId="77777777" w:rsidR="003203FE" w:rsidRPr="0005651F" w:rsidRDefault="003203FE" w:rsidP="00E97586">
            <w:pPr>
              <w:pStyle w:val="Heading3"/>
            </w:pPr>
            <w:r w:rsidRPr="0005651F">
              <w:t>Pregnancy info</w:t>
            </w:r>
          </w:p>
        </w:tc>
        <w:tc>
          <w:tcPr>
            <w:tcW w:w="7036" w:type="dxa"/>
            <w:tcBorders>
              <w:top w:val="single" w:sz="4" w:space="0" w:color="auto"/>
              <w:left w:val="single" w:sz="4" w:space="0" w:color="auto"/>
              <w:bottom w:val="single" w:sz="4" w:space="0" w:color="auto"/>
              <w:right w:val="single" w:sz="4" w:space="0" w:color="auto"/>
            </w:tcBorders>
          </w:tcPr>
          <w:p w14:paraId="6ACB578E" w14:textId="77777777" w:rsidR="003203FE" w:rsidRPr="0005651F" w:rsidRDefault="003203FE" w:rsidP="00E97586">
            <w:pPr>
              <w:pStyle w:val="Heading3"/>
            </w:pPr>
          </w:p>
        </w:tc>
      </w:tr>
    </w:tbl>
    <w:p w14:paraId="6EF9F1E7" w14:textId="77777777" w:rsidR="003203FE" w:rsidRPr="0005651F" w:rsidRDefault="003203FE" w:rsidP="00E97586">
      <w:pPr>
        <w:pStyle w:val="Heading3"/>
      </w:pPr>
    </w:p>
    <w:tbl>
      <w:tblPr>
        <w:tblW w:w="0" w:type="auto"/>
        <w:tblInd w:w="-5" w:type="dxa"/>
        <w:tblLayout w:type="fixed"/>
        <w:tblCellMar>
          <w:left w:w="105" w:type="dxa"/>
          <w:right w:w="105" w:type="dxa"/>
        </w:tblCellMar>
        <w:tblLook w:val="0000" w:firstRow="0" w:lastRow="0" w:firstColumn="0" w:lastColumn="0" w:noHBand="0" w:noVBand="0"/>
      </w:tblPr>
      <w:tblGrid>
        <w:gridCol w:w="1980"/>
        <w:gridCol w:w="7036"/>
      </w:tblGrid>
      <w:tr w:rsidR="003203FE" w:rsidRPr="0005651F" w14:paraId="101DFF9B" w14:textId="77777777" w:rsidTr="00FA6A0E">
        <w:trPr>
          <w:trHeight w:val="345"/>
        </w:trPr>
        <w:tc>
          <w:tcPr>
            <w:tcW w:w="1980" w:type="dxa"/>
            <w:tcBorders>
              <w:top w:val="single" w:sz="4" w:space="0" w:color="auto"/>
              <w:left w:val="single" w:sz="4" w:space="0" w:color="auto"/>
              <w:bottom w:val="single" w:sz="4" w:space="0" w:color="auto"/>
              <w:right w:val="single" w:sz="4" w:space="0" w:color="auto"/>
            </w:tcBorders>
          </w:tcPr>
          <w:p w14:paraId="05C22402" w14:textId="77777777" w:rsidR="003203FE" w:rsidRPr="0005651F" w:rsidRDefault="003203FE" w:rsidP="00E97586">
            <w:pPr>
              <w:pStyle w:val="Heading3"/>
            </w:pPr>
            <w:r w:rsidRPr="0005651F">
              <w:t>Name of primary consultant</w:t>
            </w:r>
          </w:p>
        </w:tc>
        <w:tc>
          <w:tcPr>
            <w:tcW w:w="7036" w:type="dxa"/>
            <w:tcBorders>
              <w:top w:val="single" w:sz="4" w:space="0" w:color="auto"/>
              <w:left w:val="single" w:sz="4" w:space="0" w:color="auto"/>
              <w:bottom w:val="single" w:sz="4" w:space="0" w:color="auto"/>
              <w:right w:val="single" w:sz="4" w:space="0" w:color="auto"/>
            </w:tcBorders>
          </w:tcPr>
          <w:p w14:paraId="03EC0239" w14:textId="77777777" w:rsidR="003203FE" w:rsidRPr="0005651F" w:rsidRDefault="003203FE" w:rsidP="00E97586">
            <w:pPr>
              <w:pStyle w:val="Heading3"/>
            </w:pPr>
          </w:p>
        </w:tc>
      </w:tr>
      <w:tr w:rsidR="003203FE" w:rsidRPr="0005651F" w14:paraId="19E7D098" w14:textId="77777777" w:rsidTr="00FA6A0E">
        <w:trPr>
          <w:trHeight w:val="345"/>
        </w:trPr>
        <w:tc>
          <w:tcPr>
            <w:tcW w:w="1980" w:type="dxa"/>
            <w:tcBorders>
              <w:top w:val="single" w:sz="4" w:space="0" w:color="auto"/>
              <w:left w:val="single" w:sz="4" w:space="0" w:color="auto"/>
              <w:bottom w:val="single" w:sz="4" w:space="0" w:color="auto"/>
              <w:right w:val="single" w:sz="4" w:space="0" w:color="auto"/>
            </w:tcBorders>
          </w:tcPr>
          <w:p w14:paraId="69E387F1" w14:textId="77777777" w:rsidR="003203FE" w:rsidRPr="0005651F" w:rsidRDefault="003203FE" w:rsidP="00E97586">
            <w:pPr>
              <w:pStyle w:val="Heading3"/>
            </w:pPr>
            <w:r w:rsidRPr="0005651F">
              <w:t>Name of Immunologist involved</w:t>
            </w:r>
          </w:p>
        </w:tc>
        <w:tc>
          <w:tcPr>
            <w:tcW w:w="7036" w:type="dxa"/>
            <w:tcBorders>
              <w:top w:val="single" w:sz="4" w:space="0" w:color="auto"/>
              <w:left w:val="single" w:sz="4" w:space="0" w:color="auto"/>
              <w:bottom w:val="single" w:sz="4" w:space="0" w:color="auto"/>
              <w:right w:val="single" w:sz="4" w:space="0" w:color="auto"/>
            </w:tcBorders>
          </w:tcPr>
          <w:p w14:paraId="58E30FF3" w14:textId="77777777" w:rsidR="003203FE" w:rsidRPr="0005651F" w:rsidRDefault="003203FE" w:rsidP="00E97586">
            <w:pPr>
              <w:pStyle w:val="Heading3"/>
            </w:pPr>
          </w:p>
        </w:tc>
      </w:tr>
    </w:tbl>
    <w:p w14:paraId="6D3A1F99" w14:textId="77777777" w:rsidR="003203FE" w:rsidRPr="0005651F" w:rsidRDefault="003203FE" w:rsidP="00E97586">
      <w:pPr>
        <w:pStyle w:val="Heading3"/>
      </w:pPr>
    </w:p>
    <w:tbl>
      <w:tblPr>
        <w:tblW w:w="0" w:type="auto"/>
        <w:tblInd w:w="-5" w:type="dxa"/>
        <w:tblLayout w:type="fixed"/>
        <w:tblCellMar>
          <w:left w:w="105" w:type="dxa"/>
          <w:right w:w="105" w:type="dxa"/>
        </w:tblCellMar>
        <w:tblLook w:val="0000" w:firstRow="0" w:lastRow="0" w:firstColumn="0" w:lastColumn="0" w:noHBand="0" w:noVBand="0"/>
      </w:tblPr>
      <w:tblGrid>
        <w:gridCol w:w="1980"/>
        <w:gridCol w:w="7036"/>
      </w:tblGrid>
      <w:tr w:rsidR="003203FE" w:rsidRPr="0005651F" w14:paraId="2DD5C9DC" w14:textId="77777777" w:rsidTr="00FA6A0E">
        <w:trPr>
          <w:trHeight w:val="600"/>
        </w:trPr>
        <w:tc>
          <w:tcPr>
            <w:tcW w:w="1980" w:type="dxa"/>
            <w:tcBorders>
              <w:top w:val="single" w:sz="4" w:space="0" w:color="auto"/>
              <w:left w:val="single" w:sz="4" w:space="0" w:color="auto"/>
              <w:bottom w:val="single" w:sz="4" w:space="0" w:color="auto"/>
              <w:right w:val="single" w:sz="4" w:space="0" w:color="auto"/>
            </w:tcBorders>
          </w:tcPr>
          <w:p w14:paraId="69DB1C40" w14:textId="77777777" w:rsidR="003203FE" w:rsidRPr="0005651F" w:rsidRDefault="003203FE" w:rsidP="00E97586">
            <w:pPr>
              <w:pStyle w:val="Heading3"/>
            </w:pPr>
            <w:r w:rsidRPr="0005651F">
              <w:t>Patient's age at time of reaction</w:t>
            </w:r>
          </w:p>
          <w:p w14:paraId="15D7C434" w14:textId="77777777" w:rsidR="003203FE" w:rsidRPr="0005651F" w:rsidRDefault="003203FE" w:rsidP="00E97586">
            <w:pPr>
              <w:pStyle w:val="Heading3"/>
            </w:pPr>
          </w:p>
        </w:tc>
        <w:tc>
          <w:tcPr>
            <w:tcW w:w="7036" w:type="dxa"/>
            <w:tcBorders>
              <w:top w:val="single" w:sz="4" w:space="0" w:color="auto"/>
              <w:left w:val="single" w:sz="4" w:space="0" w:color="auto"/>
              <w:bottom w:val="single" w:sz="4" w:space="0" w:color="auto"/>
              <w:right w:val="single" w:sz="4" w:space="0" w:color="auto"/>
            </w:tcBorders>
          </w:tcPr>
          <w:p w14:paraId="118EC986" w14:textId="77777777" w:rsidR="003203FE" w:rsidRPr="0005651F" w:rsidRDefault="003203FE" w:rsidP="00E97586">
            <w:pPr>
              <w:pStyle w:val="Heading3"/>
            </w:pPr>
          </w:p>
        </w:tc>
      </w:tr>
      <w:tr w:rsidR="003203FE" w:rsidRPr="0005651F" w14:paraId="2A7BB489" w14:textId="77777777" w:rsidTr="00FA6A0E">
        <w:trPr>
          <w:trHeight w:val="990"/>
        </w:trPr>
        <w:tc>
          <w:tcPr>
            <w:tcW w:w="1980" w:type="dxa"/>
            <w:tcBorders>
              <w:top w:val="single" w:sz="4" w:space="0" w:color="auto"/>
              <w:left w:val="single" w:sz="4" w:space="0" w:color="auto"/>
              <w:bottom w:val="single" w:sz="4" w:space="0" w:color="auto"/>
              <w:right w:val="single" w:sz="4" w:space="0" w:color="auto"/>
            </w:tcBorders>
          </w:tcPr>
          <w:p w14:paraId="7DADCEE4" w14:textId="77777777" w:rsidR="003203FE" w:rsidRPr="0005651F" w:rsidRDefault="003203FE" w:rsidP="00E97586">
            <w:pPr>
              <w:pStyle w:val="Heading3"/>
            </w:pPr>
            <w:r w:rsidRPr="0005651F">
              <w:t>Nature of reaction</w:t>
            </w:r>
          </w:p>
        </w:tc>
        <w:tc>
          <w:tcPr>
            <w:tcW w:w="7036" w:type="dxa"/>
            <w:tcBorders>
              <w:top w:val="single" w:sz="4" w:space="0" w:color="auto"/>
              <w:left w:val="single" w:sz="4" w:space="0" w:color="auto"/>
              <w:bottom w:val="single" w:sz="4" w:space="0" w:color="auto"/>
              <w:right w:val="single" w:sz="4" w:space="0" w:color="auto"/>
            </w:tcBorders>
          </w:tcPr>
          <w:p w14:paraId="0FE6F618" w14:textId="77777777" w:rsidR="003203FE" w:rsidRPr="0005651F" w:rsidRDefault="003203FE" w:rsidP="00E97586">
            <w:pPr>
              <w:pStyle w:val="Heading3"/>
            </w:pPr>
          </w:p>
        </w:tc>
      </w:tr>
      <w:tr w:rsidR="003203FE" w:rsidRPr="0005651F" w14:paraId="32B87871" w14:textId="77777777" w:rsidTr="00FA6A0E">
        <w:trPr>
          <w:trHeight w:val="690"/>
        </w:trPr>
        <w:tc>
          <w:tcPr>
            <w:tcW w:w="1980" w:type="dxa"/>
            <w:tcBorders>
              <w:top w:val="single" w:sz="4" w:space="0" w:color="auto"/>
              <w:left w:val="single" w:sz="4" w:space="0" w:color="auto"/>
              <w:bottom w:val="single" w:sz="4" w:space="0" w:color="auto"/>
              <w:right w:val="single" w:sz="4" w:space="0" w:color="auto"/>
            </w:tcBorders>
          </w:tcPr>
          <w:p w14:paraId="66C9BFFD" w14:textId="77777777" w:rsidR="003203FE" w:rsidRPr="0005651F" w:rsidRDefault="003203FE" w:rsidP="00E97586">
            <w:pPr>
              <w:pStyle w:val="Heading3"/>
            </w:pPr>
            <w:r w:rsidRPr="0005651F">
              <w:t>Indication for penicillin treatment</w:t>
            </w:r>
          </w:p>
          <w:p w14:paraId="64D72D0B" w14:textId="77777777" w:rsidR="003203FE" w:rsidRPr="0005651F" w:rsidRDefault="003203FE" w:rsidP="00E97586">
            <w:pPr>
              <w:pStyle w:val="Heading3"/>
            </w:pPr>
          </w:p>
        </w:tc>
        <w:tc>
          <w:tcPr>
            <w:tcW w:w="7036" w:type="dxa"/>
            <w:tcBorders>
              <w:top w:val="single" w:sz="4" w:space="0" w:color="auto"/>
              <w:left w:val="single" w:sz="4" w:space="0" w:color="auto"/>
              <w:bottom w:val="single" w:sz="4" w:space="0" w:color="auto"/>
              <w:right w:val="single" w:sz="4" w:space="0" w:color="auto"/>
            </w:tcBorders>
          </w:tcPr>
          <w:p w14:paraId="2DE7DA8F" w14:textId="77777777" w:rsidR="003203FE" w:rsidRPr="0005651F" w:rsidRDefault="003203FE" w:rsidP="00E97586">
            <w:pPr>
              <w:pStyle w:val="Heading3"/>
            </w:pPr>
          </w:p>
        </w:tc>
      </w:tr>
      <w:tr w:rsidR="003203FE" w:rsidRPr="0005651F" w14:paraId="110DC8E6" w14:textId="77777777" w:rsidTr="00FA6A0E">
        <w:trPr>
          <w:trHeight w:val="975"/>
        </w:trPr>
        <w:tc>
          <w:tcPr>
            <w:tcW w:w="1980" w:type="dxa"/>
            <w:tcBorders>
              <w:top w:val="single" w:sz="4" w:space="0" w:color="auto"/>
              <w:left w:val="single" w:sz="4" w:space="0" w:color="auto"/>
              <w:bottom w:val="single" w:sz="4" w:space="0" w:color="auto"/>
              <w:right w:val="single" w:sz="4" w:space="0" w:color="auto"/>
            </w:tcBorders>
          </w:tcPr>
          <w:p w14:paraId="69F14E61" w14:textId="77777777" w:rsidR="003203FE" w:rsidRPr="0005651F" w:rsidRDefault="003203FE" w:rsidP="00E97586">
            <w:pPr>
              <w:pStyle w:val="Heading3"/>
            </w:pPr>
            <w:r w:rsidRPr="0005651F">
              <w:t>Intended form and dose of penicillin for treatment</w:t>
            </w:r>
          </w:p>
        </w:tc>
        <w:tc>
          <w:tcPr>
            <w:tcW w:w="7036" w:type="dxa"/>
            <w:tcBorders>
              <w:top w:val="single" w:sz="4" w:space="0" w:color="auto"/>
              <w:left w:val="single" w:sz="4" w:space="0" w:color="auto"/>
              <w:bottom w:val="single" w:sz="4" w:space="0" w:color="auto"/>
              <w:right w:val="single" w:sz="4" w:space="0" w:color="auto"/>
            </w:tcBorders>
          </w:tcPr>
          <w:p w14:paraId="6958DC71" w14:textId="77777777" w:rsidR="003203FE" w:rsidRPr="0005651F" w:rsidRDefault="003203FE" w:rsidP="00E97586">
            <w:pPr>
              <w:pStyle w:val="Heading3"/>
            </w:pPr>
          </w:p>
        </w:tc>
      </w:tr>
      <w:tr w:rsidR="003203FE" w:rsidRPr="0005651F" w14:paraId="19478A32" w14:textId="77777777" w:rsidTr="00FA6A0E">
        <w:trPr>
          <w:trHeight w:val="975"/>
        </w:trPr>
        <w:tc>
          <w:tcPr>
            <w:tcW w:w="1980" w:type="dxa"/>
            <w:tcBorders>
              <w:top w:val="single" w:sz="4" w:space="0" w:color="auto"/>
              <w:left w:val="single" w:sz="4" w:space="0" w:color="auto"/>
              <w:bottom w:val="single" w:sz="4" w:space="0" w:color="auto"/>
              <w:right w:val="single" w:sz="4" w:space="0" w:color="auto"/>
            </w:tcBorders>
          </w:tcPr>
          <w:p w14:paraId="58E0DDF8" w14:textId="77777777" w:rsidR="003203FE" w:rsidRPr="0005651F" w:rsidRDefault="003203FE" w:rsidP="00E97586">
            <w:pPr>
              <w:pStyle w:val="Heading3"/>
            </w:pPr>
            <w:r w:rsidRPr="0005651F">
              <w:lastRenderedPageBreak/>
              <w:t>Date of planned desensitization</w:t>
            </w:r>
          </w:p>
        </w:tc>
        <w:tc>
          <w:tcPr>
            <w:tcW w:w="7036" w:type="dxa"/>
            <w:tcBorders>
              <w:top w:val="single" w:sz="4" w:space="0" w:color="auto"/>
              <w:left w:val="single" w:sz="4" w:space="0" w:color="auto"/>
              <w:bottom w:val="single" w:sz="4" w:space="0" w:color="auto"/>
              <w:right w:val="single" w:sz="4" w:space="0" w:color="auto"/>
            </w:tcBorders>
          </w:tcPr>
          <w:p w14:paraId="45B058B2" w14:textId="77777777" w:rsidR="003203FE" w:rsidRPr="0005651F" w:rsidRDefault="003203FE" w:rsidP="00E97586">
            <w:pPr>
              <w:pStyle w:val="Heading3"/>
            </w:pPr>
          </w:p>
        </w:tc>
      </w:tr>
    </w:tbl>
    <w:p w14:paraId="7BC0BECD" w14:textId="77777777" w:rsidR="003203FE" w:rsidRDefault="003203FE" w:rsidP="003203FE">
      <w:pPr>
        <w:pStyle w:val="BodyCopy"/>
      </w:pPr>
    </w:p>
    <w:tbl>
      <w:tblPr>
        <w:tblW w:w="0" w:type="auto"/>
        <w:tblInd w:w="-5" w:type="dxa"/>
        <w:tblLayout w:type="fixed"/>
        <w:tblCellMar>
          <w:left w:w="0" w:type="dxa"/>
          <w:right w:w="0" w:type="dxa"/>
        </w:tblCellMar>
        <w:tblLook w:val="0000" w:firstRow="0" w:lastRow="0" w:firstColumn="0" w:lastColumn="0" w:noHBand="0" w:noVBand="0"/>
      </w:tblPr>
      <w:tblGrid>
        <w:gridCol w:w="1980"/>
        <w:gridCol w:w="7036"/>
      </w:tblGrid>
      <w:tr w:rsidR="003203FE" w:rsidRPr="0005651F" w14:paraId="631CC2DA" w14:textId="77777777" w:rsidTr="00FA6A0E">
        <w:trPr>
          <w:trHeight w:val="975"/>
        </w:trPr>
        <w:tc>
          <w:tcPr>
            <w:tcW w:w="1980" w:type="dxa"/>
            <w:tcBorders>
              <w:top w:val="single" w:sz="4" w:space="0" w:color="auto"/>
              <w:left w:val="single" w:sz="4" w:space="0" w:color="auto"/>
              <w:bottom w:val="single" w:sz="4" w:space="0" w:color="auto"/>
              <w:right w:val="single" w:sz="4" w:space="0" w:color="auto"/>
            </w:tcBorders>
          </w:tcPr>
          <w:p w14:paraId="318072C0" w14:textId="77777777" w:rsidR="003203FE" w:rsidRPr="0005651F" w:rsidRDefault="003203FE" w:rsidP="00E97586">
            <w:pPr>
              <w:pStyle w:val="Heading3"/>
            </w:pPr>
            <w:r w:rsidRPr="0005651F">
              <w:t>Ensure consent has been signed and documented</w:t>
            </w:r>
          </w:p>
        </w:tc>
        <w:tc>
          <w:tcPr>
            <w:tcW w:w="7036" w:type="dxa"/>
            <w:tcBorders>
              <w:top w:val="single" w:sz="4" w:space="0" w:color="auto"/>
              <w:left w:val="single" w:sz="4" w:space="0" w:color="auto"/>
              <w:bottom w:val="single" w:sz="4" w:space="0" w:color="auto"/>
              <w:right w:val="single" w:sz="4" w:space="0" w:color="auto"/>
            </w:tcBorders>
          </w:tcPr>
          <w:p w14:paraId="27BEF07D" w14:textId="77777777" w:rsidR="003203FE" w:rsidRPr="0005651F" w:rsidRDefault="003203FE" w:rsidP="00E97586">
            <w:pPr>
              <w:pStyle w:val="Heading3"/>
            </w:pPr>
          </w:p>
        </w:tc>
      </w:tr>
      <w:tr w:rsidR="003203FE" w:rsidRPr="0005651F" w14:paraId="6A0D0F5C" w14:textId="77777777" w:rsidTr="00FA6A0E">
        <w:trPr>
          <w:trHeight w:val="975"/>
        </w:trPr>
        <w:tc>
          <w:tcPr>
            <w:tcW w:w="1980" w:type="dxa"/>
            <w:tcBorders>
              <w:top w:val="single" w:sz="4" w:space="0" w:color="auto"/>
              <w:left w:val="single" w:sz="4" w:space="0" w:color="auto"/>
              <w:bottom w:val="single" w:sz="4" w:space="0" w:color="auto"/>
              <w:right w:val="single" w:sz="4" w:space="0" w:color="auto"/>
            </w:tcBorders>
          </w:tcPr>
          <w:p w14:paraId="616BFE0F" w14:textId="77777777" w:rsidR="003203FE" w:rsidRPr="0005651F" w:rsidRDefault="003203FE" w:rsidP="00E97586">
            <w:pPr>
              <w:pStyle w:val="Heading3"/>
            </w:pPr>
            <w:r w:rsidRPr="0005651F">
              <w:t>Follow up plans</w:t>
            </w:r>
          </w:p>
        </w:tc>
        <w:tc>
          <w:tcPr>
            <w:tcW w:w="7036" w:type="dxa"/>
            <w:tcBorders>
              <w:top w:val="single" w:sz="4" w:space="0" w:color="auto"/>
              <w:left w:val="single" w:sz="4" w:space="0" w:color="auto"/>
              <w:bottom w:val="single" w:sz="4" w:space="0" w:color="auto"/>
              <w:right w:val="single" w:sz="4" w:space="0" w:color="auto"/>
            </w:tcBorders>
          </w:tcPr>
          <w:p w14:paraId="06FE6FA0" w14:textId="77777777" w:rsidR="003203FE" w:rsidRPr="0005651F" w:rsidRDefault="003203FE" w:rsidP="00E97586">
            <w:pPr>
              <w:pStyle w:val="Heading3"/>
            </w:pPr>
          </w:p>
        </w:tc>
      </w:tr>
    </w:tbl>
    <w:p w14:paraId="12132C25" w14:textId="77777777" w:rsidR="003203FE" w:rsidRPr="0005651F" w:rsidRDefault="003203FE" w:rsidP="00E97586">
      <w:pPr>
        <w:pStyle w:val="Heading3"/>
      </w:pPr>
      <w:r w:rsidRPr="0005651F">
        <w:t xml:space="preserve"> </w:t>
      </w:r>
    </w:p>
    <w:p w14:paraId="04913441" w14:textId="77777777" w:rsidR="003203FE" w:rsidRDefault="003203FE" w:rsidP="003203FE">
      <w:pPr>
        <w:pStyle w:val="Bullet"/>
        <w:numPr>
          <w:ilvl w:val="0"/>
          <w:numId w:val="0"/>
        </w:numPr>
        <w:spacing w:after="240"/>
        <w:rPr>
          <w:rStyle w:val="Hyperlink"/>
        </w:rPr>
      </w:pPr>
      <w:hyperlink w:anchor="_top" w:history="1">
        <w:r w:rsidRPr="00481A6C">
          <w:rPr>
            <w:rStyle w:val="Hyperlink"/>
          </w:rPr>
          <w:t>Back to Contents</w:t>
        </w:r>
      </w:hyperlink>
    </w:p>
    <w:p w14:paraId="75624B65" w14:textId="77777777" w:rsidR="00A513AA" w:rsidRDefault="00A513AA" w:rsidP="00201AF6">
      <w:pPr>
        <w:pStyle w:val="BodyCopy"/>
      </w:pPr>
    </w:p>
    <w:sectPr w:rsidR="00A513AA" w:rsidSect="0007270D">
      <w:footerReference w:type="default" r:id="rId17"/>
      <w:headerReference w:type="first" r:id="rId18"/>
      <w:footerReference w:type="first" r:id="rId19"/>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226D" w14:textId="77777777" w:rsidR="00A91E2A" w:rsidRDefault="00A91E2A" w:rsidP="00225769">
      <w:pPr>
        <w:spacing w:after="0" w:line="240" w:lineRule="auto"/>
      </w:pPr>
      <w:r>
        <w:separator/>
      </w:r>
    </w:p>
    <w:p w14:paraId="358386D1" w14:textId="77777777" w:rsidR="00A91E2A" w:rsidRDefault="00A91E2A"/>
    <w:p w14:paraId="11D7C3E4" w14:textId="77777777" w:rsidR="00A91E2A" w:rsidRDefault="00A91E2A"/>
    <w:p w14:paraId="1D82ABA4" w14:textId="77777777" w:rsidR="00A91E2A" w:rsidRDefault="00A91E2A"/>
    <w:p w14:paraId="38FF73B1" w14:textId="77777777" w:rsidR="00A91E2A" w:rsidRDefault="00A91E2A"/>
    <w:p w14:paraId="3B062139" w14:textId="77777777" w:rsidR="00A91E2A" w:rsidRDefault="00A91E2A"/>
    <w:p w14:paraId="75354BF7" w14:textId="77777777" w:rsidR="00A91E2A" w:rsidRDefault="00A91E2A"/>
  </w:endnote>
  <w:endnote w:type="continuationSeparator" w:id="0">
    <w:p w14:paraId="39FF5F6F" w14:textId="77777777" w:rsidR="00A91E2A" w:rsidRDefault="00A91E2A" w:rsidP="00225769">
      <w:pPr>
        <w:spacing w:after="0" w:line="240" w:lineRule="auto"/>
      </w:pPr>
      <w:r>
        <w:continuationSeparator/>
      </w:r>
    </w:p>
    <w:p w14:paraId="14FD08AF" w14:textId="77777777" w:rsidR="00A91E2A" w:rsidRDefault="00A91E2A"/>
    <w:p w14:paraId="4A42CF81" w14:textId="77777777" w:rsidR="00A91E2A" w:rsidRDefault="00A91E2A"/>
    <w:p w14:paraId="001F6EF8" w14:textId="77777777" w:rsidR="00A91E2A" w:rsidRDefault="00A91E2A"/>
    <w:p w14:paraId="50F0D12C" w14:textId="77777777" w:rsidR="00A91E2A" w:rsidRDefault="00A91E2A"/>
    <w:p w14:paraId="41955DDA" w14:textId="77777777" w:rsidR="00A91E2A" w:rsidRDefault="00A91E2A"/>
    <w:p w14:paraId="1A3E4665" w14:textId="77777777" w:rsidR="00A91E2A" w:rsidRDefault="00A91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481A6C" w:rsidRPr="006B62B4" w14:paraId="103CEF58" w14:textId="77777777" w:rsidTr="006B1002">
      <w:trPr>
        <w:jc w:val="center"/>
      </w:trPr>
      <w:tc>
        <w:tcPr>
          <w:tcW w:w="1515" w:type="dxa"/>
        </w:tcPr>
        <w:p w14:paraId="605BD5E8"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E2A0D0F"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E43C1E0"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3871AEE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450" w:type="dxa"/>
        </w:tcPr>
        <w:p w14:paraId="7C4EB4FE"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132" w:type="dxa"/>
        </w:tcPr>
        <w:p w14:paraId="72826A82"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6B1002" w:rsidRPr="006B62B4" w14:paraId="31B7AC0B" w14:textId="77777777" w:rsidTr="006B1002">
      <w:trPr>
        <w:jc w:val="center"/>
      </w:trPr>
      <w:tc>
        <w:tcPr>
          <w:tcW w:w="1515" w:type="dxa"/>
        </w:tcPr>
        <w:p w14:paraId="0CB6CF06" w14:textId="190C13A0" w:rsidR="006B1002" w:rsidRPr="00954F7B" w:rsidRDefault="006B1002" w:rsidP="006B1002">
          <w:pPr>
            <w:pStyle w:val="Footer"/>
            <w:jc w:val="center"/>
            <w:rPr>
              <w:bCs/>
              <w:iCs/>
              <w:sz w:val="20"/>
              <w:szCs w:val="20"/>
            </w:rPr>
          </w:pPr>
          <w:r>
            <w:rPr>
              <w:bCs/>
              <w:iCs/>
              <w:sz w:val="20"/>
              <w:szCs w:val="20"/>
            </w:rPr>
            <w:t>CHS25/366</w:t>
          </w:r>
        </w:p>
      </w:tc>
      <w:tc>
        <w:tcPr>
          <w:tcW w:w="965" w:type="dxa"/>
        </w:tcPr>
        <w:p w14:paraId="5C30DAAA" w14:textId="2D52CAD7" w:rsidR="006B1002" w:rsidRPr="00954F7B" w:rsidRDefault="006B1002" w:rsidP="006B1002">
          <w:pPr>
            <w:pStyle w:val="Footer"/>
            <w:jc w:val="center"/>
            <w:rPr>
              <w:bCs/>
              <w:iCs/>
              <w:sz w:val="20"/>
              <w:szCs w:val="20"/>
            </w:rPr>
          </w:pPr>
          <w:r>
            <w:rPr>
              <w:bCs/>
              <w:iCs/>
              <w:sz w:val="20"/>
              <w:szCs w:val="20"/>
            </w:rPr>
            <w:t>1</w:t>
          </w:r>
        </w:p>
      </w:tc>
      <w:tc>
        <w:tcPr>
          <w:tcW w:w="1552" w:type="dxa"/>
        </w:tcPr>
        <w:p w14:paraId="5941A285" w14:textId="12E602DF" w:rsidR="006B1002" w:rsidRPr="00954F7B" w:rsidRDefault="006B1002" w:rsidP="006B1002">
          <w:pPr>
            <w:pStyle w:val="Footer"/>
            <w:jc w:val="center"/>
            <w:rPr>
              <w:bCs/>
              <w:iCs/>
              <w:sz w:val="20"/>
              <w:szCs w:val="20"/>
            </w:rPr>
          </w:pPr>
          <w:r>
            <w:rPr>
              <w:bCs/>
              <w:iCs/>
              <w:sz w:val="20"/>
              <w:szCs w:val="20"/>
            </w:rPr>
            <w:t>03/11/2025</w:t>
          </w:r>
        </w:p>
      </w:tc>
      <w:tc>
        <w:tcPr>
          <w:tcW w:w="1456" w:type="dxa"/>
        </w:tcPr>
        <w:p w14:paraId="46049E56" w14:textId="7629D34E" w:rsidR="006B1002" w:rsidRPr="00954F7B" w:rsidRDefault="006B1002" w:rsidP="006B1002">
          <w:pPr>
            <w:pStyle w:val="Footer"/>
            <w:jc w:val="center"/>
            <w:rPr>
              <w:bCs/>
              <w:iCs/>
              <w:sz w:val="20"/>
              <w:szCs w:val="20"/>
            </w:rPr>
          </w:pPr>
          <w:r>
            <w:rPr>
              <w:bCs/>
              <w:iCs/>
              <w:sz w:val="20"/>
              <w:szCs w:val="20"/>
            </w:rPr>
            <w:t>01/10/2028</w:t>
          </w:r>
        </w:p>
      </w:tc>
      <w:tc>
        <w:tcPr>
          <w:tcW w:w="2450" w:type="dxa"/>
        </w:tcPr>
        <w:p w14:paraId="3A3B10CD" w14:textId="30B7A7D0" w:rsidR="006B1002" w:rsidRPr="00954F7B" w:rsidRDefault="006B1002" w:rsidP="006B1002">
          <w:pPr>
            <w:pStyle w:val="Footer"/>
            <w:jc w:val="center"/>
            <w:rPr>
              <w:bCs/>
              <w:iCs/>
              <w:sz w:val="20"/>
              <w:szCs w:val="20"/>
            </w:rPr>
          </w:pPr>
          <w:r>
            <w:rPr>
              <w:bCs/>
              <w:iCs/>
              <w:sz w:val="20"/>
              <w:szCs w:val="20"/>
            </w:rPr>
            <w:t>CAS - Immunology</w:t>
          </w:r>
        </w:p>
      </w:tc>
      <w:tc>
        <w:tcPr>
          <w:tcW w:w="1132" w:type="dxa"/>
        </w:tcPr>
        <w:p w14:paraId="07004DDC" w14:textId="77777777" w:rsidR="006B1002" w:rsidRPr="00954F7B" w:rsidRDefault="006B1002" w:rsidP="006B100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6E4FE18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025"/>
      <w:gridCol w:w="1557"/>
    </w:tblGrid>
    <w:tr w:rsidR="008A3DD8" w:rsidRPr="006B62B4" w14:paraId="64CFE474" w14:textId="77777777" w:rsidTr="006B1002">
      <w:trPr>
        <w:jc w:val="center"/>
      </w:trPr>
      <w:tc>
        <w:tcPr>
          <w:tcW w:w="1515" w:type="dxa"/>
        </w:tcPr>
        <w:p w14:paraId="2B7321C9"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AE3D629"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19BE14D"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41F0AE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025" w:type="dxa"/>
        </w:tcPr>
        <w:p w14:paraId="55F342FF"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557" w:type="dxa"/>
        </w:tcPr>
        <w:p w14:paraId="705E181C"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2E7BAA5B" w14:textId="77777777" w:rsidTr="006B1002">
      <w:trPr>
        <w:jc w:val="center"/>
      </w:trPr>
      <w:tc>
        <w:tcPr>
          <w:tcW w:w="1515" w:type="dxa"/>
        </w:tcPr>
        <w:p w14:paraId="167C20C4" w14:textId="771A74A1" w:rsidR="008A3DD8" w:rsidRPr="00954F7B" w:rsidRDefault="006B1002" w:rsidP="008A3DD8">
          <w:pPr>
            <w:pStyle w:val="Footer"/>
            <w:jc w:val="center"/>
            <w:rPr>
              <w:bCs/>
              <w:iCs/>
              <w:sz w:val="20"/>
              <w:szCs w:val="20"/>
            </w:rPr>
          </w:pPr>
          <w:r>
            <w:rPr>
              <w:bCs/>
              <w:iCs/>
              <w:sz w:val="20"/>
              <w:szCs w:val="20"/>
            </w:rPr>
            <w:t>CHS25/366</w:t>
          </w:r>
        </w:p>
      </w:tc>
      <w:tc>
        <w:tcPr>
          <w:tcW w:w="965" w:type="dxa"/>
        </w:tcPr>
        <w:p w14:paraId="3301C4E3" w14:textId="10295EEF" w:rsidR="008A3DD8" w:rsidRPr="00954F7B" w:rsidRDefault="006B1002" w:rsidP="008A3DD8">
          <w:pPr>
            <w:pStyle w:val="Footer"/>
            <w:jc w:val="center"/>
            <w:rPr>
              <w:bCs/>
              <w:iCs/>
              <w:sz w:val="20"/>
              <w:szCs w:val="20"/>
            </w:rPr>
          </w:pPr>
          <w:r>
            <w:rPr>
              <w:bCs/>
              <w:iCs/>
              <w:sz w:val="20"/>
              <w:szCs w:val="20"/>
            </w:rPr>
            <w:t>1</w:t>
          </w:r>
        </w:p>
      </w:tc>
      <w:tc>
        <w:tcPr>
          <w:tcW w:w="1552" w:type="dxa"/>
        </w:tcPr>
        <w:p w14:paraId="65EB0F74" w14:textId="6278C85D" w:rsidR="008A3DD8" w:rsidRPr="00954F7B" w:rsidRDefault="006B1002" w:rsidP="008A3DD8">
          <w:pPr>
            <w:pStyle w:val="Footer"/>
            <w:jc w:val="center"/>
            <w:rPr>
              <w:bCs/>
              <w:iCs/>
              <w:sz w:val="20"/>
              <w:szCs w:val="20"/>
            </w:rPr>
          </w:pPr>
          <w:r>
            <w:rPr>
              <w:bCs/>
              <w:iCs/>
              <w:sz w:val="20"/>
              <w:szCs w:val="20"/>
            </w:rPr>
            <w:t>03/11/2025</w:t>
          </w:r>
        </w:p>
      </w:tc>
      <w:tc>
        <w:tcPr>
          <w:tcW w:w="1456" w:type="dxa"/>
        </w:tcPr>
        <w:p w14:paraId="05BCD0ED" w14:textId="6EE1CC58" w:rsidR="008A3DD8" w:rsidRPr="00954F7B" w:rsidRDefault="006B1002" w:rsidP="008A3DD8">
          <w:pPr>
            <w:pStyle w:val="Footer"/>
            <w:jc w:val="center"/>
            <w:rPr>
              <w:bCs/>
              <w:iCs/>
              <w:sz w:val="20"/>
              <w:szCs w:val="20"/>
            </w:rPr>
          </w:pPr>
          <w:r>
            <w:rPr>
              <w:bCs/>
              <w:iCs/>
              <w:sz w:val="20"/>
              <w:szCs w:val="20"/>
            </w:rPr>
            <w:t>01/10/2028</w:t>
          </w:r>
        </w:p>
      </w:tc>
      <w:tc>
        <w:tcPr>
          <w:tcW w:w="2025" w:type="dxa"/>
        </w:tcPr>
        <w:p w14:paraId="37A7CA46" w14:textId="2483D320" w:rsidR="008A3DD8" w:rsidRPr="00954F7B" w:rsidRDefault="006B1002" w:rsidP="008A3DD8">
          <w:pPr>
            <w:pStyle w:val="Footer"/>
            <w:jc w:val="center"/>
            <w:rPr>
              <w:bCs/>
              <w:iCs/>
              <w:sz w:val="20"/>
              <w:szCs w:val="20"/>
            </w:rPr>
          </w:pPr>
          <w:r>
            <w:rPr>
              <w:bCs/>
              <w:iCs/>
              <w:sz w:val="20"/>
              <w:szCs w:val="20"/>
            </w:rPr>
            <w:t>CAS - Immunology</w:t>
          </w:r>
        </w:p>
      </w:tc>
      <w:tc>
        <w:tcPr>
          <w:tcW w:w="1557" w:type="dxa"/>
        </w:tcPr>
        <w:p w14:paraId="3B079F6B"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594340C5"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40B8" w14:textId="77777777" w:rsidR="00A91E2A" w:rsidRDefault="00A91E2A" w:rsidP="009D493B">
      <w:pPr>
        <w:spacing w:after="0" w:line="240" w:lineRule="auto"/>
      </w:pPr>
      <w:r>
        <w:separator/>
      </w:r>
    </w:p>
  </w:footnote>
  <w:footnote w:type="continuationSeparator" w:id="0">
    <w:p w14:paraId="07333882" w14:textId="77777777" w:rsidR="00A91E2A" w:rsidRDefault="00A91E2A" w:rsidP="00A9080B">
      <w:pPr>
        <w:spacing w:after="0" w:line="240" w:lineRule="auto"/>
      </w:pPr>
      <w:r>
        <w:continuationSeparator/>
      </w:r>
    </w:p>
    <w:p w14:paraId="530B7CD0" w14:textId="77777777" w:rsidR="00A91E2A" w:rsidRDefault="00A91E2A"/>
    <w:p w14:paraId="7AC00A21" w14:textId="77777777" w:rsidR="00A91E2A" w:rsidRDefault="00A91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1659" w14:textId="77777777" w:rsidR="008A3DD8" w:rsidRDefault="008A3DD8">
    <w:pPr>
      <w:pStyle w:val="Header"/>
    </w:pPr>
    <w:r w:rsidRPr="00324CF9">
      <w:rPr>
        <w:noProof/>
      </w:rPr>
      <w:drawing>
        <wp:inline distT="0" distB="0" distL="0" distR="0" wp14:anchorId="0FA6FB2A" wp14:editId="13FE3AB3">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69B5D78"/>
    <w:multiLevelType w:val="hybridMultilevel"/>
    <w:tmpl w:val="CF8A7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26DD3854"/>
    <w:multiLevelType w:val="hybridMultilevel"/>
    <w:tmpl w:val="BF863278"/>
    <w:lvl w:ilvl="0" w:tplc="FFFFFFFF">
      <w:start w:val="1"/>
      <w:numFmt w:val="bullet"/>
      <w:lvlText w:val=""/>
      <w:lvlJc w:val="left"/>
      <w:pPr>
        <w:tabs>
          <w:tab w:val="num" w:pos="380"/>
        </w:tabs>
        <w:ind w:left="380" w:hanging="380"/>
      </w:pPr>
      <w:rPr>
        <w:rFonts w:ascii="Symbol" w:hAnsi="Symbol" w:hint="default"/>
      </w:rPr>
    </w:lvl>
    <w:lvl w:ilvl="1" w:tplc="AB4611A4">
      <w:start w:val="1"/>
      <w:numFmt w:val="bullet"/>
      <w:lvlText w:val="-"/>
      <w:lvlJc w:val="left"/>
      <w:pPr>
        <w:ind w:left="1083" w:hanging="360"/>
      </w:pPr>
      <w:rPr>
        <w:rFonts w:ascii="Arial" w:hAnsi="Arial" w:hint="default"/>
        <w:sz w:val="24"/>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4F7DC5"/>
    <w:multiLevelType w:val="hybridMultilevel"/>
    <w:tmpl w:val="8E70C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3"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60D4031B"/>
    <w:multiLevelType w:val="multilevel"/>
    <w:tmpl w:val="82D477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6D02474A"/>
    <w:multiLevelType w:val="multilevel"/>
    <w:tmpl w:val="9E7C6C96"/>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C7ACC"/>
    <w:multiLevelType w:val="hybridMultilevel"/>
    <w:tmpl w:val="60006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DD4986"/>
    <w:multiLevelType w:val="hybridMultilevel"/>
    <w:tmpl w:val="AACCEC3E"/>
    <w:lvl w:ilvl="0" w:tplc="972045FE">
      <w:start w:val="1"/>
      <w:numFmt w:val="bullet"/>
      <w:lvlText w:val=""/>
      <w:lvlJc w:val="left"/>
      <w:pPr>
        <w:tabs>
          <w:tab w:val="num" w:pos="380"/>
        </w:tabs>
        <w:ind w:left="380" w:hanging="380"/>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num w:numId="1" w16cid:durableId="1648431774">
    <w:abstractNumId w:val="5"/>
  </w:num>
  <w:num w:numId="2" w16cid:durableId="842209657">
    <w:abstractNumId w:val="4"/>
  </w:num>
  <w:num w:numId="3" w16cid:durableId="660542573">
    <w:abstractNumId w:val="16"/>
  </w:num>
  <w:num w:numId="4" w16cid:durableId="1971085616">
    <w:abstractNumId w:val="10"/>
  </w:num>
  <w:num w:numId="5" w16cid:durableId="252517802">
    <w:abstractNumId w:val="11"/>
  </w:num>
  <w:num w:numId="6" w16cid:durableId="420297118">
    <w:abstractNumId w:val="14"/>
  </w:num>
  <w:num w:numId="7" w16cid:durableId="353388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0"/>
    <w:lvlOverride w:ilvl="0">
      <w:startOverride w:val="1"/>
    </w:lvlOverride>
  </w:num>
  <w:num w:numId="9" w16cid:durableId="1747920389">
    <w:abstractNumId w:val="11"/>
    <w:lvlOverride w:ilvl="0">
      <w:startOverride w:val="1"/>
    </w:lvlOverride>
  </w:num>
  <w:num w:numId="10" w16cid:durableId="1001813381">
    <w:abstractNumId w:val="10"/>
    <w:lvlOverride w:ilvl="0">
      <w:startOverride w:val="1"/>
    </w:lvlOverride>
  </w:num>
  <w:num w:numId="11" w16cid:durableId="1103450744">
    <w:abstractNumId w:val="11"/>
    <w:lvlOverride w:ilvl="0">
      <w:startOverride w:val="1"/>
    </w:lvlOverride>
  </w:num>
  <w:num w:numId="12" w16cid:durableId="1549294228">
    <w:abstractNumId w:val="10"/>
    <w:lvlOverride w:ilvl="0">
      <w:startOverride w:val="1"/>
    </w:lvlOverride>
  </w:num>
  <w:num w:numId="13" w16cid:durableId="87585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1"/>
    <w:lvlOverride w:ilvl="0">
      <w:startOverride w:val="1"/>
    </w:lvlOverride>
  </w:num>
  <w:num w:numId="15" w16cid:durableId="1246453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6"/>
  </w:num>
  <w:num w:numId="17" w16cid:durableId="43412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7"/>
  </w:num>
  <w:num w:numId="19" w16cid:durableId="836698820">
    <w:abstractNumId w:val="12"/>
  </w:num>
  <w:num w:numId="20" w16cid:durableId="402803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3"/>
  </w:num>
  <w:num w:numId="22" w16cid:durableId="200242115">
    <w:abstractNumId w:val="0"/>
  </w:num>
  <w:num w:numId="23" w16cid:durableId="585068731">
    <w:abstractNumId w:val="2"/>
  </w:num>
  <w:num w:numId="24" w16cid:durableId="1431437445">
    <w:abstractNumId w:val="1"/>
  </w:num>
  <w:num w:numId="25" w16cid:durableId="507214046">
    <w:abstractNumId w:val="8"/>
  </w:num>
  <w:num w:numId="26" w16cid:durableId="913591473">
    <w:abstractNumId w:val="5"/>
  </w:num>
  <w:num w:numId="27" w16cid:durableId="1930577406">
    <w:abstractNumId w:val="15"/>
  </w:num>
  <w:num w:numId="28" w16cid:durableId="1236164791">
    <w:abstractNumId w:val="19"/>
  </w:num>
  <w:num w:numId="29" w16cid:durableId="749040322">
    <w:abstractNumId w:val="9"/>
  </w:num>
  <w:num w:numId="30" w16cid:durableId="168100936">
    <w:abstractNumId w:val="18"/>
  </w:num>
  <w:num w:numId="31" w16cid:durableId="874001523">
    <w:abstractNumId w:val="3"/>
  </w:num>
  <w:num w:numId="32" w16cid:durableId="654916900">
    <w:abstractNumId w:val="17"/>
  </w:num>
  <w:num w:numId="33" w16cid:durableId="85033616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02"/>
    <w:rsid w:val="00000822"/>
    <w:rsid w:val="00003728"/>
    <w:rsid w:val="00004B91"/>
    <w:rsid w:val="00006344"/>
    <w:rsid w:val="000068B9"/>
    <w:rsid w:val="000115AB"/>
    <w:rsid w:val="00012DA7"/>
    <w:rsid w:val="000137BA"/>
    <w:rsid w:val="00014646"/>
    <w:rsid w:val="0001473F"/>
    <w:rsid w:val="00014D0A"/>
    <w:rsid w:val="00015018"/>
    <w:rsid w:val="000246D6"/>
    <w:rsid w:val="000253DE"/>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42CB"/>
    <w:rsid w:val="00075506"/>
    <w:rsid w:val="00076E1E"/>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A6C68"/>
    <w:rsid w:val="000B04DE"/>
    <w:rsid w:val="000B4346"/>
    <w:rsid w:val="000B4DF9"/>
    <w:rsid w:val="000B6A88"/>
    <w:rsid w:val="000C1A43"/>
    <w:rsid w:val="000C36A3"/>
    <w:rsid w:val="000C3973"/>
    <w:rsid w:val="000C43EE"/>
    <w:rsid w:val="000C48B1"/>
    <w:rsid w:val="000C57C6"/>
    <w:rsid w:val="000C76AA"/>
    <w:rsid w:val="000D0A42"/>
    <w:rsid w:val="000D1F50"/>
    <w:rsid w:val="000D713F"/>
    <w:rsid w:val="000D742A"/>
    <w:rsid w:val="000E058F"/>
    <w:rsid w:val="000E07C3"/>
    <w:rsid w:val="000E1D08"/>
    <w:rsid w:val="000E5739"/>
    <w:rsid w:val="000E5D11"/>
    <w:rsid w:val="000E7683"/>
    <w:rsid w:val="000E77F0"/>
    <w:rsid w:val="000F1EB3"/>
    <w:rsid w:val="000F288B"/>
    <w:rsid w:val="000F300A"/>
    <w:rsid w:val="000F3A4B"/>
    <w:rsid w:val="000F5401"/>
    <w:rsid w:val="000F5C20"/>
    <w:rsid w:val="000F7166"/>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6EED"/>
    <w:rsid w:val="00127D91"/>
    <w:rsid w:val="001324A3"/>
    <w:rsid w:val="00135EF0"/>
    <w:rsid w:val="0013675B"/>
    <w:rsid w:val="00136C50"/>
    <w:rsid w:val="00137347"/>
    <w:rsid w:val="00143C66"/>
    <w:rsid w:val="00144A90"/>
    <w:rsid w:val="001536D2"/>
    <w:rsid w:val="00154D8C"/>
    <w:rsid w:val="001575C5"/>
    <w:rsid w:val="001600FA"/>
    <w:rsid w:val="001616DD"/>
    <w:rsid w:val="00161AE4"/>
    <w:rsid w:val="00161FDC"/>
    <w:rsid w:val="00164AA5"/>
    <w:rsid w:val="00166052"/>
    <w:rsid w:val="001660FE"/>
    <w:rsid w:val="001665A9"/>
    <w:rsid w:val="00167C17"/>
    <w:rsid w:val="0017051B"/>
    <w:rsid w:val="00173EDD"/>
    <w:rsid w:val="00174ECE"/>
    <w:rsid w:val="00175212"/>
    <w:rsid w:val="00175FF8"/>
    <w:rsid w:val="001767CA"/>
    <w:rsid w:val="00177C58"/>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06A8"/>
    <w:rsid w:val="001D12A9"/>
    <w:rsid w:val="001D140D"/>
    <w:rsid w:val="001D150B"/>
    <w:rsid w:val="001D195F"/>
    <w:rsid w:val="001D4A71"/>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7AE"/>
    <w:rsid w:val="001F68D1"/>
    <w:rsid w:val="001F6D1A"/>
    <w:rsid w:val="001F6E03"/>
    <w:rsid w:val="001FE046"/>
    <w:rsid w:val="002012D2"/>
    <w:rsid w:val="00201AF6"/>
    <w:rsid w:val="0020360D"/>
    <w:rsid w:val="0020612C"/>
    <w:rsid w:val="00211BFA"/>
    <w:rsid w:val="00212F1D"/>
    <w:rsid w:val="002140AE"/>
    <w:rsid w:val="0022138F"/>
    <w:rsid w:val="00225769"/>
    <w:rsid w:val="00225E3B"/>
    <w:rsid w:val="00227104"/>
    <w:rsid w:val="00230054"/>
    <w:rsid w:val="00233F8C"/>
    <w:rsid w:val="002363FD"/>
    <w:rsid w:val="0023668B"/>
    <w:rsid w:val="002400C4"/>
    <w:rsid w:val="00240DC9"/>
    <w:rsid w:val="00241A68"/>
    <w:rsid w:val="00242601"/>
    <w:rsid w:val="002427B0"/>
    <w:rsid w:val="00242BD0"/>
    <w:rsid w:val="00244149"/>
    <w:rsid w:val="00245BF4"/>
    <w:rsid w:val="00246EDC"/>
    <w:rsid w:val="00247BAF"/>
    <w:rsid w:val="00251D96"/>
    <w:rsid w:val="00253A48"/>
    <w:rsid w:val="00253EC8"/>
    <w:rsid w:val="0025483C"/>
    <w:rsid w:val="00256701"/>
    <w:rsid w:val="0026085A"/>
    <w:rsid w:val="00265390"/>
    <w:rsid w:val="002700D3"/>
    <w:rsid w:val="0027262B"/>
    <w:rsid w:val="00274308"/>
    <w:rsid w:val="00280051"/>
    <w:rsid w:val="00280C5D"/>
    <w:rsid w:val="00281798"/>
    <w:rsid w:val="00281830"/>
    <w:rsid w:val="002827C4"/>
    <w:rsid w:val="00282C3F"/>
    <w:rsid w:val="00284D13"/>
    <w:rsid w:val="00287648"/>
    <w:rsid w:val="00292A6B"/>
    <w:rsid w:val="00293B6B"/>
    <w:rsid w:val="00294B76"/>
    <w:rsid w:val="00294F1A"/>
    <w:rsid w:val="00295D79"/>
    <w:rsid w:val="0029655B"/>
    <w:rsid w:val="002A0163"/>
    <w:rsid w:val="002A295E"/>
    <w:rsid w:val="002B1B2F"/>
    <w:rsid w:val="002B2713"/>
    <w:rsid w:val="002B3511"/>
    <w:rsid w:val="002B3D19"/>
    <w:rsid w:val="002B3F13"/>
    <w:rsid w:val="002B434C"/>
    <w:rsid w:val="002B5D29"/>
    <w:rsid w:val="002C39F9"/>
    <w:rsid w:val="002C58B8"/>
    <w:rsid w:val="002C7500"/>
    <w:rsid w:val="002C75BC"/>
    <w:rsid w:val="002D142F"/>
    <w:rsid w:val="002D1CA0"/>
    <w:rsid w:val="002D22CF"/>
    <w:rsid w:val="002D4BB3"/>
    <w:rsid w:val="002D56A1"/>
    <w:rsid w:val="002D59A9"/>
    <w:rsid w:val="002D5A00"/>
    <w:rsid w:val="002D7682"/>
    <w:rsid w:val="002E1E63"/>
    <w:rsid w:val="002E1FA1"/>
    <w:rsid w:val="002E63E1"/>
    <w:rsid w:val="002E6515"/>
    <w:rsid w:val="002E6517"/>
    <w:rsid w:val="002E6687"/>
    <w:rsid w:val="002F1B43"/>
    <w:rsid w:val="002F2A26"/>
    <w:rsid w:val="002F6957"/>
    <w:rsid w:val="002F6CB3"/>
    <w:rsid w:val="002F7089"/>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03FE"/>
    <w:rsid w:val="003217E1"/>
    <w:rsid w:val="003218C1"/>
    <w:rsid w:val="0032423A"/>
    <w:rsid w:val="003247E9"/>
    <w:rsid w:val="003254E1"/>
    <w:rsid w:val="00330349"/>
    <w:rsid w:val="003303F9"/>
    <w:rsid w:val="00330A1E"/>
    <w:rsid w:val="003317AF"/>
    <w:rsid w:val="00331E2B"/>
    <w:rsid w:val="003321DE"/>
    <w:rsid w:val="00333A73"/>
    <w:rsid w:val="00334700"/>
    <w:rsid w:val="003352BA"/>
    <w:rsid w:val="003366C8"/>
    <w:rsid w:val="0033770B"/>
    <w:rsid w:val="0034072B"/>
    <w:rsid w:val="003412E9"/>
    <w:rsid w:val="00342839"/>
    <w:rsid w:val="00343092"/>
    <w:rsid w:val="00343A44"/>
    <w:rsid w:val="003444DC"/>
    <w:rsid w:val="00350211"/>
    <w:rsid w:val="003518BF"/>
    <w:rsid w:val="00352DA1"/>
    <w:rsid w:val="0035392C"/>
    <w:rsid w:val="00354558"/>
    <w:rsid w:val="00363564"/>
    <w:rsid w:val="0036465D"/>
    <w:rsid w:val="0036643A"/>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1376"/>
    <w:rsid w:val="003A21CD"/>
    <w:rsid w:val="003A2A9E"/>
    <w:rsid w:val="003A40A7"/>
    <w:rsid w:val="003A55FF"/>
    <w:rsid w:val="003A5ADA"/>
    <w:rsid w:val="003A6511"/>
    <w:rsid w:val="003B28A5"/>
    <w:rsid w:val="003B3F9A"/>
    <w:rsid w:val="003B57A1"/>
    <w:rsid w:val="003B5FB9"/>
    <w:rsid w:val="003B661D"/>
    <w:rsid w:val="003B720D"/>
    <w:rsid w:val="003B760C"/>
    <w:rsid w:val="003C218A"/>
    <w:rsid w:val="003C4430"/>
    <w:rsid w:val="003C5F3E"/>
    <w:rsid w:val="003C7810"/>
    <w:rsid w:val="003D10DD"/>
    <w:rsid w:val="003D1233"/>
    <w:rsid w:val="003D1C0C"/>
    <w:rsid w:val="003D3B16"/>
    <w:rsid w:val="003D60E0"/>
    <w:rsid w:val="003D709B"/>
    <w:rsid w:val="003D7463"/>
    <w:rsid w:val="003D7C23"/>
    <w:rsid w:val="003E0103"/>
    <w:rsid w:val="003E0A22"/>
    <w:rsid w:val="003E408B"/>
    <w:rsid w:val="003E727F"/>
    <w:rsid w:val="003E7D3D"/>
    <w:rsid w:val="003F01DF"/>
    <w:rsid w:val="003F2C18"/>
    <w:rsid w:val="003F47E6"/>
    <w:rsid w:val="003F5246"/>
    <w:rsid w:val="003F6C0E"/>
    <w:rsid w:val="00407C75"/>
    <w:rsid w:val="00411B14"/>
    <w:rsid w:val="00412C91"/>
    <w:rsid w:val="004132C5"/>
    <w:rsid w:val="00414064"/>
    <w:rsid w:val="00415DFF"/>
    <w:rsid w:val="00417634"/>
    <w:rsid w:val="00417745"/>
    <w:rsid w:val="00421465"/>
    <w:rsid w:val="00423CA6"/>
    <w:rsid w:val="00430454"/>
    <w:rsid w:val="004326A8"/>
    <w:rsid w:val="004328A4"/>
    <w:rsid w:val="00436B86"/>
    <w:rsid w:val="0043706A"/>
    <w:rsid w:val="004401B0"/>
    <w:rsid w:val="00441154"/>
    <w:rsid w:val="00441D90"/>
    <w:rsid w:val="00442224"/>
    <w:rsid w:val="004444EE"/>
    <w:rsid w:val="0044611A"/>
    <w:rsid w:val="00447D9A"/>
    <w:rsid w:val="004524CF"/>
    <w:rsid w:val="0045255E"/>
    <w:rsid w:val="00452582"/>
    <w:rsid w:val="00454812"/>
    <w:rsid w:val="004549FE"/>
    <w:rsid w:val="00454D38"/>
    <w:rsid w:val="00455A8A"/>
    <w:rsid w:val="00455C81"/>
    <w:rsid w:val="00457272"/>
    <w:rsid w:val="00457D10"/>
    <w:rsid w:val="00457DCC"/>
    <w:rsid w:val="00461A18"/>
    <w:rsid w:val="00462060"/>
    <w:rsid w:val="00463C1A"/>
    <w:rsid w:val="00463EEC"/>
    <w:rsid w:val="004640FF"/>
    <w:rsid w:val="00465490"/>
    <w:rsid w:val="0047238D"/>
    <w:rsid w:val="00473FD3"/>
    <w:rsid w:val="00474746"/>
    <w:rsid w:val="00474A6A"/>
    <w:rsid w:val="00475AAB"/>
    <w:rsid w:val="00477432"/>
    <w:rsid w:val="00480537"/>
    <w:rsid w:val="00480DA2"/>
    <w:rsid w:val="00481A6C"/>
    <w:rsid w:val="0048389D"/>
    <w:rsid w:val="00486165"/>
    <w:rsid w:val="0049014C"/>
    <w:rsid w:val="00492356"/>
    <w:rsid w:val="0049418C"/>
    <w:rsid w:val="004957A2"/>
    <w:rsid w:val="004A0201"/>
    <w:rsid w:val="004A178D"/>
    <w:rsid w:val="004A1C33"/>
    <w:rsid w:val="004A7A7F"/>
    <w:rsid w:val="004A7BE3"/>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12D"/>
    <w:rsid w:val="004D7B29"/>
    <w:rsid w:val="004E14DE"/>
    <w:rsid w:val="004E2562"/>
    <w:rsid w:val="004E2E2F"/>
    <w:rsid w:val="004E5625"/>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463B"/>
    <w:rsid w:val="00525801"/>
    <w:rsid w:val="00527134"/>
    <w:rsid w:val="00530642"/>
    <w:rsid w:val="00530F88"/>
    <w:rsid w:val="00532B1C"/>
    <w:rsid w:val="00532EB9"/>
    <w:rsid w:val="00533388"/>
    <w:rsid w:val="00534E1F"/>
    <w:rsid w:val="00536888"/>
    <w:rsid w:val="00537269"/>
    <w:rsid w:val="005412CE"/>
    <w:rsid w:val="005443C8"/>
    <w:rsid w:val="0054683B"/>
    <w:rsid w:val="00546DE0"/>
    <w:rsid w:val="00551CC2"/>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97F8F"/>
    <w:rsid w:val="005A0348"/>
    <w:rsid w:val="005A1FA3"/>
    <w:rsid w:val="005A27C0"/>
    <w:rsid w:val="005A4691"/>
    <w:rsid w:val="005A74FF"/>
    <w:rsid w:val="005A7C67"/>
    <w:rsid w:val="005B194A"/>
    <w:rsid w:val="005B234E"/>
    <w:rsid w:val="005B270F"/>
    <w:rsid w:val="005B3D8A"/>
    <w:rsid w:val="005B3EC2"/>
    <w:rsid w:val="005B57EF"/>
    <w:rsid w:val="005C1D68"/>
    <w:rsid w:val="005C320A"/>
    <w:rsid w:val="005C58FA"/>
    <w:rsid w:val="005C5F49"/>
    <w:rsid w:val="005C71BC"/>
    <w:rsid w:val="005D01CE"/>
    <w:rsid w:val="005D2629"/>
    <w:rsid w:val="005D4A78"/>
    <w:rsid w:val="005D4D81"/>
    <w:rsid w:val="005D54F1"/>
    <w:rsid w:val="005D5820"/>
    <w:rsid w:val="005D6B64"/>
    <w:rsid w:val="005E03EB"/>
    <w:rsid w:val="005E3D07"/>
    <w:rsid w:val="005E6B49"/>
    <w:rsid w:val="005E7252"/>
    <w:rsid w:val="005E7AA8"/>
    <w:rsid w:val="005F02C2"/>
    <w:rsid w:val="005F70F7"/>
    <w:rsid w:val="005F797F"/>
    <w:rsid w:val="006046D3"/>
    <w:rsid w:val="00605E3B"/>
    <w:rsid w:val="006065E8"/>
    <w:rsid w:val="00607B4C"/>
    <w:rsid w:val="00610940"/>
    <w:rsid w:val="0061234F"/>
    <w:rsid w:val="006155F0"/>
    <w:rsid w:val="00615D44"/>
    <w:rsid w:val="00616766"/>
    <w:rsid w:val="00620386"/>
    <w:rsid w:val="006253B6"/>
    <w:rsid w:val="00625A15"/>
    <w:rsid w:val="00627BD8"/>
    <w:rsid w:val="0063178C"/>
    <w:rsid w:val="006317BC"/>
    <w:rsid w:val="006349C4"/>
    <w:rsid w:val="00635114"/>
    <w:rsid w:val="00636177"/>
    <w:rsid w:val="006361D0"/>
    <w:rsid w:val="00637BE8"/>
    <w:rsid w:val="00637C90"/>
    <w:rsid w:val="00637D76"/>
    <w:rsid w:val="006408BF"/>
    <w:rsid w:val="00640A07"/>
    <w:rsid w:val="00641F90"/>
    <w:rsid w:val="0064271E"/>
    <w:rsid w:val="006431FF"/>
    <w:rsid w:val="0064333A"/>
    <w:rsid w:val="00644F89"/>
    <w:rsid w:val="006553EC"/>
    <w:rsid w:val="00655674"/>
    <w:rsid w:val="00656027"/>
    <w:rsid w:val="00656746"/>
    <w:rsid w:val="006623D2"/>
    <w:rsid w:val="0067005A"/>
    <w:rsid w:val="00680130"/>
    <w:rsid w:val="006818DD"/>
    <w:rsid w:val="006824E0"/>
    <w:rsid w:val="00684A68"/>
    <w:rsid w:val="00685674"/>
    <w:rsid w:val="00685883"/>
    <w:rsid w:val="00691C90"/>
    <w:rsid w:val="00692458"/>
    <w:rsid w:val="0069388D"/>
    <w:rsid w:val="006A0160"/>
    <w:rsid w:val="006A0C64"/>
    <w:rsid w:val="006A31AB"/>
    <w:rsid w:val="006A5215"/>
    <w:rsid w:val="006B1002"/>
    <w:rsid w:val="006B18B2"/>
    <w:rsid w:val="006B2AB3"/>
    <w:rsid w:val="006B3634"/>
    <w:rsid w:val="006B3640"/>
    <w:rsid w:val="006B61AC"/>
    <w:rsid w:val="006B6C90"/>
    <w:rsid w:val="006B7CA7"/>
    <w:rsid w:val="006C0039"/>
    <w:rsid w:val="006C1521"/>
    <w:rsid w:val="006C2413"/>
    <w:rsid w:val="006C39B7"/>
    <w:rsid w:val="006C3C89"/>
    <w:rsid w:val="006C4E7E"/>
    <w:rsid w:val="006C7001"/>
    <w:rsid w:val="006C7362"/>
    <w:rsid w:val="006D11DF"/>
    <w:rsid w:val="006D2547"/>
    <w:rsid w:val="006D3EF5"/>
    <w:rsid w:val="006D4665"/>
    <w:rsid w:val="006D47A7"/>
    <w:rsid w:val="006D6C5B"/>
    <w:rsid w:val="006E0951"/>
    <w:rsid w:val="006E10A6"/>
    <w:rsid w:val="006E4456"/>
    <w:rsid w:val="006E462E"/>
    <w:rsid w:val="006E5856"/>
    <w:rsid w:val="006E5A5B"/>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552"/>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97B"/>
    <w:rsid w:val="00775D89"/>
    <w:rsid w:val="00777EE3"/>
    <w:rsid w:val="007812CF"/>
    <w:rsid w:val="00783219"/>
    <w:rsid w:val="0078367D"/>
    <w:rsid w:val="00784CA8"/>
    <w:rsid w:val="00784D38"/>
    <w:rsid w:val="00785234"/>
    <w:rsid w:val="00791698"/>
    <w:rsid w:val="0079252E"/>
    <w:rsid w:val="00794435"/>
    <w:rsid w:val="00794ACF"/>
    <w:rsid w:val="007A1603"/>
    <w:rsid w:val="007A53A5"/>
    <w:rsid w:val="007A682A"/>
    <w:rsid w:val="007A7F29"/>
    <w:rsid w:val="007B03DA"/>
    <w:rsid w:val="007B116F"/>
    <w:rsid w:val="007B1A7B"/>
    <w:rsid w:val="007B3138"/>
    <w:rsid w:val="007B40DC"/>
    <w:rsid w:val="007B6F78"/>
    <w:rsid w:val="007B75F4"/>
    <w:rsid w:val="007C10BA"/>
    <w:rsid w:val="007C2324"/>
    <w:rsid w:val="007C2806"/>
    <w:rsid w:val="007C5C1B"/>
    <w:rsid w:val="007D3448"/>
    <w:rsid w:val="007D629F"/>
    <w:rsid w:val="007E04CD"/>
    <w:rsid w:val="007E2B0D"/>
    <w:rsid w:val="007E4E9A"/>
    <w:rsid w:val="007E6EE6"/>
    <w:rsid w:val="007F2861"/>
    <w:rsid w:val="007F29F8"/>
    <w:rsid w:val="007F2D82"/>
    <w:rsid w:val="007F43F2"/>
    <w:rsid w:val="007F48B2"/>
    <w:rsid w:val="007F4EF0"/>
    <w:rsid w:val="007F5CFF"/>
    <w:rsid w:val="00803EF0"/>
    <w:rsid w:val="0081013E"/>
    <w:rsid w:val="00810C0D"/>
    <w:rsid w:val="008113B4"/>
    <w:rsid w:val="008114F0"/>
    <w:rsid w:val="00814D74"/>
    <w:rsid w:val="00814DE5"/>
    <w:rsid w:val="00820942"/>
    <w:rsid w:val="008248D1"/>
    <w:rsid w:val="0082586A"/>
    <w:rsid w:val="008261B4"/>
    <w:rsid w:val="00827EDE"/>
    <w:rsid w:val="00832EAB"/>
    <w:rsid w:val="008358B4"/>
    <w:rsid w:val="00841DF8"/>
    <w:rsid w:val="00842EF4"/>
    <w:rsid w:val="00843D15"/>
    <w:rsid w:val="00845AA0"/>
    <w:rsid w:val="008510FF"/>
    <w:rsid w:val="008530BE"/>
    <w:rsid w:val="008540FA"/>
    <w:rsid w:val="008606A0"/>
    <w:rsid w:val="00861E1B"/>
    <w:rsid w:val="0086236C"/>
    <w:rsid w:val="00863446"/>
    <w:rsid w:val="00863E4E"/>
    <w:rsid w:val="00867895"/>
    <w:rsid w:val="00875FE9"/>
    <w:rsid w:val="0087684F"/>
    <w:rsid w:val="00876CAC"/>
    <w:rsid w:val="00885A76"/>
    <w:rsid w:val="00886079"/>
    <w:rsid w:val="00887B49"/>
    <w:rsid w:val="00891D00"/>
    <w:rsid w:val="00891F34"/>
    <w:rsid w:val="00895C04"/>
    <w:rsid w:val="008970B7"/>
    <w:rsid w:val="008A0530"/>
    <w:rsid w:val="008A1144"/>
    <w:rsid w:val="008A1665"/>
    <w:rsid w:val="008A1B21"/>
    <w:rsid w:val="008A3DD8"/>
    <w:rsid w:val="008A3F85"/>
    <w:rsid w:val="008A47BD"/>
    <w:rsid w:val="008A51E8"/>
    <w:rsid w:val="008A54D3"/>
    <w:rsid w:val="008B0AC9"/>
    <w:rsid w:val="008B0F37"/>
    <w:rsid w:val="008B55D2"/>
    <w:rsid w:val="008B5C21"/>
    <w:rsid w:val="008B791D"/>
    <w:rsid w:val="008C1C7C"/>
    <w:rsid w:val="008C208A"/>
    <w:rsid w:val="008D0538"/>
    <w:rsid w:val="008D0D9A"/>
    <w:rsid w:val="008D1672"/>
    <w:rsid w:val="008D2CA8"/>
    <w:rsid w:val="008D4AA6"/>
    <w:rsid w:val="008D5D64"/>
    <w:rsid w:val="008D75FF"/>
    <w:rsid w:val="008E019B"/>
    <w:rsid w:val="008E0CD4"/>
    <w:rsid w:val="008E2267"/>
    <w:rsid w:val="008E5F87"/>
    <w:rsid w:val="008E6827"/>
    <w:rsid w:val="008E728D"/>
    <w:rsid w:val="008F0F03"/>
    <w:rsid w:val="008F1341"/>
    <w:rsid w:val="008F2CF5"/>
    <w:rsid w:val="008F3034"/>
    <w:rsid w:val="008F3194"/>
    <w:rsid w:val="008F5E84"/>
    <w:rsid w:val="008F65FF"/>
    <w:rsid w:val="00901E01"/>
    <w:rsid w:val="00902082"/>
    <w:rsid w:val="0090433C"/>
    <w:rsid w:val="00904BC8"/>
    <w:rsid w:val="00906D5B"/>
    <w:rsid w:val="00907133"/>
    <w:rsid w:val="009071E8"/>
    <w:rsid w:val="00910809"/>
    <w:rsid w:val="00911324"/>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1D9"/>
    <w:rsid w:val="00932D30"/>
    <w:rsid w:val="00933BFA"/>
    <w:rsid w:val="009369C2"/>
    <w:rsid w:val="00936C28"/>
    <w:rsid w:val="00936DC9"/>
    <w:rsid w:val="00936E45"/>
    <w:rsid w:val="00936F4C"/>
    <w:rsid w:val="0093796A"/>
    <w:rsid w:val="00940816"/>
    <w:rsid w:val="0094217E"/>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202"/>
    <w:rsid w:val="00970842"/>
    <w:rsid w:val="00971125"/>
    <w:rsid w:val="00971F4F"/>
    <w:rsid w:val="00972D70"/>
    <w:rsid w:val="0097363B"/>
    <w:rsid w:val="009746B1"/>
    <w:rsid w:val="00975A13"/>
    <w:rsid w:val="00977BFB"/>
    <w:rsid w:val="00982385"/>
    <w:rsid w:val="00982810"/>
    <w:rsid w:val="009903CC"/>
    <w:rsid w:val="00995A9A"/>
    <w:rsid w:val="00995B1B"/>
    <w:rsid w:val="00997DA5"/>
    <w:rsid w:val="009A12D2"/>
    <w:rsid w:val="009A1396"/>
    <w:rsid w:val="009A186E"/>
    <w:rsid w:val="009A2981"/>
    <w:rsid w:val="009A336D"/>
    <w:rsid w:val="009A5010"/>
    <w:rsid w:val="009A63B5"/>
    <w:rsid w:val="009A7037"/>
    <w:rsid w:val="009B1561"/>
    <w:rsid w:val="009B2DCC"/>
    <w:rsid w:val="009C11CF"/>
    <w:rsid w:val="009C13FA"/>
    <w:rsid w:val="009C2AED"/>
    <w:rsid w:val="009C3490"/>
    <w:rsid w:val="009C3BB0"/>
    <w:rsid w:val="009C575D"/>
    <w:rsid w:val="009C72D3"/>
    <w:rsid w:val="009D1FC0"/>
    <w:rsid w:val="009D2863"/>
    <w:rsid w:val="009D3A11"/>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17FE"/>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57D16"/>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1E2A"/>
    <w:rsid w:val="00A94E61"/>
    <w:rsid w:val="00A957B0"/>
    <w:rsid w:val="00A96564"/>
    <w:rsid w:val="00A96CD8"/>
    <w:rsid w:val="00A979FD"/>
    <w:rsid w:val="00AA15EB"/>
    <w:rsid w:val="00AA2D7A"/>
    <w:rsid w:val="00AA2E86"/>
    <w:rsid w:val="00AA3549"/>
    <w:rsid w:val="00AA469D"/>
    <w:rsid w:val="00AA5307"/>
    <w:rsid w:val="00AA543A"/>
    <w:rsid w:val="00AB3BAC"/>
    <w:rsid w:val="00AB4AD3"/>
    <w:rsid w:val="00AC0797"/>
    <w:rsid w:val="00AC163A"/>
    <w:rsid w:val="00AC2874"/>
    <w:rsid w:val="00AC2EDE"/>
    <w:rsid w:val="00AC53AF"/>
    <w:rsid w:val="00AD4F9D"/>
    <w:rsid w:val="00AD628A"/>
    <w:rsid w:val="00AE05E1"/>
    <w:rsid w:val="00AE0AC0"/>
    <w:rsid w:val="00AE2123"/>
    <w:rsid w:val="00AE4729"/>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4A9E"/>
    <w:rsid w:val="00B0502D"/>
    <w:rsid w:val="00B058EF"/>
    <w:rsid w:val="00B07F75"/>
    <w:rsid w:val="00B10AB7"/>
    <w:rsid w:val="00B1151B"/>
    <w:rsid w:val="00B170A2"/>
    <w:rsid w:val="00B17F72"/>
    <w:rsid w:val="00B203FF"/>
    <w:rsid w:val="00B20D5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35B"/>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3630"/>
    <w:rsid w:val="00BC4D26"/>
    <w:rsid w:val="00BC5518"/>
    <w:rsid w:val="00BD054F"/>
    <w:rsid w:val="00BD078D"/>
    <w:rsid w:val="00BD0881"/>
    <w:rsid w:val="00BD4101"/>
    <w:rsid w:val="00BD429D"/>
    <w:rsid w:val="00BD44A9"/>
    <w:rsid w:val="00BD6D69"/>
    <w:rsid w:val="00BE1192"/>
    <w:rsid w:val="00BE1539"/>
    <w:rsid w:val="00BE4EDA"/>
    <w:rsid w:val="00BE5060"/>
    <w:rsid w:val="00BE624C"/>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3472"/>
    <w:rsid w:val="00C15F4D"/>
    <w:rsid w:val="00C202F8"/>
    <w:rsid w:val="00C20D92"/>
    <w:rsid w:val="00C221C1"/>
    <w:rsid w:val="00C24155"/>
    <w:rsid w:val="00C24670"/>
    <w:rsid w:val="00C247EA"/>
    <w:rsid w:val="00C25557"/>
    <w:rsid w:val="00C32FD3"/>
    <w:rsid w:val="00C3347F"/>
    <w:rsid w:val="00C338D7"/>
    <w:rsid w:val="00C33B14"/>
    <w:rsid w:val="00C34A10"/>
    <w:rsid w:val="00C34F92"/>
    <w:rsid w:val="00C36B93"/>
    <w:rsid w:val="00C36F3E"/>
    <w:rsid w:val="00C3798F"/>
    <w:rsid w:val="00C37A4C"/>
    <w:rsid w:val="00C40538"/>
    <w:rsid w:val="00C43EF4"/>
    <w:rsid w:val="00C459AA"/>
    <w:rsid w:val="00C4612C"/>
    <w:rsid w:val="00C47732"/>
    <w:rsid w:val="00C50963"/>
    <w:rsid w:val="00C50BD6"/>
    <w:rsid w:val="00C50FA2"/>
    <w:rsid w:val="00C51E26"/>
    <w:rsid w:val="00C54D16"/>
    <w:rsid w:val="00C55135"/>
    <w:rsid w:val="00C57094"/>
    <w:rsid w:val="00C57A55"/>
    <w:rsid w:val="00C62A0C"/>
    <w:rsid w:val="00C635E2"/>
    <w:rsid w:val="00C662C1"/>
    <w:rsid w:val="00C704CF"/>
    <w:rsid w:val="00C724D0"/>
    <w:rsid w:val="00C72507"/>
    <w:rsid w:val="00C74397"/>
    <w:rsid w:val="00C74A04"/>
    <w:rsid w:val="00C7648E"/>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35BB"/>
    <w:rsid w:val="00CC4F4F"/>
    <w:rsid w:val="00CC5AD8"/>
    <w:rsid w:val="00CC6B8E"/>
    <w:rsid w:val="00CD1CC8"/>
    <w:rsid w:val="00CD434F"/>
    <w:rsid w:val="00CE1D90"/>
    <w:rsid w:val="00CE2446"/>
    <w:rsid w:val="00CE5F47"/>
    <w:rsid w:val="00CE6986"/>
    <w:rsid w:val="00CE78F5"/>
    <w:rsid w:val="00CF24D4"/>
    <w:rsid w:val="00CF3925"/>
    <w:rsid w:val="00D01536"/>
    <w:rsid w:val="00D01B80"/>
    <w:rsid w:val="00D027B9"/>
    <w:rsid w:val="00D0489B"/>
    <w:rsid w:val="00D052B4"/>
    <w:rsid w:val="00D07A8B"/>
    <w:rsid w:val="00D10F72"/>
    <w:rsid w:val="00D161B3"/>
    <w:rsid w:val="00D17891"/>
    <w:rsid w:val="00D206E0"/>
    <w:rsid w:val="00D223CA"/>
    <w:rsid w:val="00D228B8"/>
    <w:rsid w:val="00D25E0F"/>
    <w:rsid w:val="00D26B1D"/>
    <w:rsid w:val="00D27637"/>
    <w:rsid w:val="00D30343"/>
    <w:rsid w:val="00D3635A"/>
    <w:rsid w:val="00D36920"/>
    <w:rsid w:val="00D36B09"/>
    <w:rsid w:val="00D434D3"/>
    <w:rsid w:val="00D4358F"/>
    <w:rsid w:val="00D443D7"/>
    <w:rsid w:val="00D5188B"/>
    <w:rsid w:val="00D520E7"/>
    <w:rsid w:val="00D535CC"/>
    <w:rsid w:val="00D53C66"/>
    <w:rsid w:val="00D56DA0"/>
    <w:rsid w:val="00D609A1"/>
    <w:rsid w:val="00D62793"/>
    <w:rsid w:val="00D627BE"/>
    <w:rsid w:val="00D63F2D"/>
    <w:rsid w:val="00D6578B"/>
    <w:rsid w:val="00D65905"/>
    <w:rsid w:val="00D67E6B"/>
    <w:rsid w:val="00D71B35"/>
    <w:rsid w:val="00D7362F"/>
    <w:rsid w:val="00D74DFD"/>
    <w:rsid w:val="00D770C8"/>
    <w:rsid w:val="00D80302"/>
    <w:rsid w:val="00D81A2D"/>
    <w:rsid w:val="00D81CB0"/>
    <w:rsid w:val="00D82211"/>
    <w:rsid w:val="00D8294B"/>
    <w:rsid w:val="00D8365B"/>
    <w:rsid w:val="00D8559E"/>
    <w:rsid w:val="00D863DB"/>
    <w:rsid w:val="00D87671"/>
    <w:rsid w:val="00D90346"/>
    <w:rsid w:val="00D92132"/>
    <w:rsid w:val="00D92CE7"/>
    <w:rsid w:val="00D931B6"/>
    <w:rsid w:val="00D95849"/>
    <w:rsid w:val="00D9595A"/>
    <w:rsid w:val="00D967DA"/>
    <w:rsid w:val="00D96A05"/>
    <w:rsid w:val="00D96ACC"/>
    <w:rsid w:val="00D96F65"/>
    <w:rsid w:val="00D974FB"/>
    <w:rsid w:val="00DA031B"/>
    <w:rsid w:val="00DA1145"/>
    <w:rsid w:val="00DA2EFA"/>
    <w:rsid w:val="00DA48F8"/>
    <w:rsid w:val="00DA5524"/>
    <w:rsid w:val="00DA60A4"/>
    <w:rsid w:val="00DB0295"/>
    <w:rsid w:val="00DB207B"/>
    <w:rsid w:val="00DB3285"/>
    <w:rsid w:val="00DB3D5C"/>
    <w:rsid w:val="00DB5138"/>
    <w:rsid w:val="00DB6108"/>
    <w:rsid w:val="00DC008F"/>
    <w:rsid w:val="00DD4278"/>
    <w:rsid w:val="00DD4464"/>
    <w:rsid w:val="00DD6074"/>
    <w:rsid w:val="00DD693A"/>
    <w:rsid w:val="00DE125D"/>
    <w:rsid w:val="00DE5620"/>
    <w:rsid w:val="00DE59BC"/>
    <w:rsid w:val="00DE5C6B"/>
    <w:rsid w:val="00DE6056"/>
    <w:rsid w:val="00DE6090"/>
    <w:rsid w:val="00DF1CBC"/>
    <w:rsid w:val="00DF3EFE"/>
    <w:rsid w:val="00DF79CF"/>
    <w:rsid w:val="00DF7B26"/>
    <w:rsid w:val="00E02685"/>
    <w:rsid w:val="00E0642F"/>
    <w:rsid w:val="00E104DF"/>
    <w:rsid w:val="00E17DC5"/>
    <w:rsid w:val="00E21634"/>
    <w:rsid w:val="00E25BA6"/>
    <w:rsid w:val="00E27141"/>
    <w:rsid w:val="00E272E4"/>
    <w:rsid w:val="00E30F1D"/>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572A8"/>
    <w:rsid w:val="00E63941"/>
    <w:rsid w:val="00E63F4F"/>
    <w:rsid w:val="00E64DA3"/>
    <w:rsid w:val="00E679A2"/>
    <w:rsid w:val="00E679F9"/>
    <w:rsid w:val="00E7101C"/>
    <w:rsid w:val="00E710F2"/>
    <w:rsid w:val="00E72731"/>
    <w:rsid w:val="00E73A87"/>
    <w:rsid w:val="00E76C52"/>
    <w:rsid w:val="00E80B1C"/>
    <w:rsid w:val="00E870E4"/>
    <w:rsid w:val="00E8796B"/>
    <w:rsid w:val="00E90C07"/>
    <w:rsid w:val="00E93F27"/>
    <w:rsid w:val="00E94350"/>
    <w:rsid w:val="00E97586"/>
    <w:rsid w:val="00E97B77"/>
    <w:rsid w:val="00EA060C"/>
    <w:rsid w:val="00EA4041"/>
    <w:rsid w:val="00EA4C6B"/>
    <w:rsid w:val="00EA7109"/>
    <w:rsid w:val="00EB103A"/>
    <w:rsid w:val="00EB256E"/>
    <w:rsid w:val="00EB26B6"/>
    <w:rsid w:val="00EB44CD"/>
    <w:rsid w:val="00EB70EE"/>
    <w:rsid w:val="00EC0190"/>
    <w:rsid w:val="00EC1C34"/>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0D1B"/>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7D"/>
    <w:rsid w:val="00F373D8"/>
    <w:rsid w:val="00F37C48"/>
    <w:rsid w:val="00F4114C"/>
    <w:rsid w:val="00F41308"/>
    <w:rsid w:val="00F41387"/>
    <w:rsid w:val="00F4308C"/>
    <w:rsid w:val="00F43818"/>
    <w:rsid w:val="00F43B50"/>
    <w:rsid w:val="00F44AAE"/>
    <w:rsid w:val="00F4545C"/>
    <w:rsid w:val="00F5122B"/>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21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C6691"/>
    <w:rsid w:val="00FD13BC"/>
    <w:rsid w:val="00FD3169"/>
    <w:rsid w:val="00FD4961"/>
    <w:rsid w:val="00FD7976"/>
    <w:rsid w:val="00FE0686"/>
    <w:rsid w:val="00FE46F1"/>
    <w:rsid w:val="00FE5081"/>
    <w:rsid w:val="00FE70A6"/>
    <w:rsid w:val="00FE7FF1"/>
    <w:rsid w:val="00FF0FE9"/>
    <w:rsid w:val="00FF1546"/>
    <w:rsid w:val="00FF248A"/>
    <w:rsid w:val="00FF3F96"/>
    <w:rsid w:val="00FF55B2"/>
    <w:rsid w:val="00FF674A"/>
    <w:rsid w:val="00FF680D"/>
    <w:rsid w:val="04A1C029"/>
    <w:rsid w:val="2762EA6A"/>
    <w:rsid w:val="347EB0A1"/>
    <w:rsid w:val="43D2DC67"/>
    <w:rsid w:val="47296DE3"/>
    <w:rsid w:val="48010C45"/>
    <w:rsid w:val="48F9C88C"/>
    <w:rsid w:val="4C1DA695"/>
    <w:rsid w:val="67BCEA40"/>
    <w:rsid w:val="6BCB37B0"/>
    <w:rsid w:val="6F6C6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76FD404"/>
  <w15:docId w15:val="{417AD132-EDAF-4B0B-A64E-8CCF8DD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E97586"/>
    <w:pPr>
      <w:tabs>
        <w:tab w:val="center" w:leader="hyphen" w:pos="4513"/>
      </w:tabs>
      <w:spacing w:after="120" w:line="360" w:lineRule="exact"/>
      <w:outlineLvl w:val="2"/>
    </w:pPr>
    <w:rPr>
      <w:iCs/>
      <w:sz w:val="24"/>
    </w:rPr>
  </w:style>
  <w:style w:type="paragraph" w:styleId="Heading4">
    <w:name w:val="heading 4"/>
    <w:basedOn w:val="BodyCopy"/>
    <w:next w:val="BodyCopy"/>
    <w:link w:val="Heading4Char"/>
    <w:autoRedefine/>
    <w:unhideWhenUsed/>
    <w:qFormat/>
    <w:locked/>
    <w:rsid w:val="001D06A8"/>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E97586"/>
    <w:rPr>
      <w:iC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1D06A8"/>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47238D"/>
    <w:pPr>
      <w:spacing w:after="120" w:line="240"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nberrahealthservices.act.gov.au/accessibilit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54C238D5884D799F483A947846C688"/>
        <w:category>
          <w:name w:val="General"/>
          <w:gallery w:val="placeholder"/>
        </w:category>
        <w:types>
          <w:type w:val="bbPlcHdr"/>
        </w:types>
        <w:behaviors>
          <w:behavior w:val="content"/>
        </w:behaviors>
        <w:guid w:val="{2DF5534B-C4EC-41B1-AD67-FD2FB3B5BB91}"/>
      </w:docPartPr>
      <w:docPartBody>
        <w:p w:rsidR="000F5401" w:rsidRDefault="000F5401">
          <w:pPr>
            <w:pStyle w:val="7954C238D5884D799F483A947846C688"/>
          </w:pPr>
          <w:r>
            <w:rPr>
              <w:noProof/>
              <w:sz w:val="20"/>
              <w:szCs w:val="20"/>
            </w:rPr>
            <w:drawing>
              <wp:inline distT="0" distB="0" distL="0" distR="0" wp14:anchorId="445D832E" wp14:editId="445D832F">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1D75F4BEAB6E46EDAA60D41721ED08A7"/>
        <w:category>
          <w:name w:val="General"/>
          <w:gallery w:val="placeholder"/>
        </w:category>
        <w:types>
          <w:type w:val="bbPlcHdr"/>
        </w:types>
        <w:behaviors>
          <w:behavior w:val="content"/>
        </w:behaviors>
        <w:guid w:val="{01BA404D-A1CB-4FC8-991A-6D0A86E96166}"/>
      </w:docPartPr>
      <w:docPartBody>
        <w:p w:rsidR="000F5401" w:rsidRDefault="000F5401">
          <w:pPr>
            <w:pStyle w:val="1D75F4BEAB6E46EDAA60D41721ED08A7"/>
          </w:pPr>
          <w:r w:rsidRPr="00EE29F8">
            <w:rPr>
              <w:rStyle w:val="PlaceholderText"/>
            </w:rPr>
            <w:t>Choose an item.</w:t>
          </w:r>
        </w:p>
      </w:docPartBody>
    </w:docPart>
    <w:docPart>
      <w:docPartPr>
        <w:name w:val="07D43C06FEDA4D4E9992E79B10A4A650"/>
        <w:category>
          <w:name w:val="General"/>
          <w:gallery w:val="placeholder"/>
        </w:category>
        <w:types>
          <w:type w:val="bbPlcHdr"/>
        </w:types>
        <w:behaviors>
          <w:behavior w:val="content"/>
        </w:behaviors>
        <w:guid w:val="{0CA3E246-8EDE-4A90-A654-B708299F7E5A}"/>
      </w:docPartPr>
      <w:docPartBody>
        <w:p w:rsidR="000F5401" w:rsidRPr="00F26C97" w:rsidRDefault="000F5401" w:rsidP="003B0E72">
          <w:pPr>
            <w:pStyle w:val="Bottomblocktext"/>
            <w:rPr>
              <w:b/>
              <w:bCs w:val="0"/>
              <w:sz w:val="20"/>
              <w:szCs w:val="20"/>
            </w:rPr>
          </w:pPr>
          <w:r>
            <w:rPr>
              <w:b/>
              <w:bCs w:val="0"/>
              <w:noProof/>
              <w:sz w:val="20"/>
              <w:szCs w:val="20"/>
            </w:rPr>
            <w:drawing>
              <wp:inline distT="0" distB="0" distL="0" distR="0" wp14:anchorId="445D8330" wp14:editId="445D8331">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45D8332" wp14:editId="445D8333">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F5401" w:rsidRPr="00F26C97" w:rsidRDefault="000F5401" w:rsidP="003B0E72">
          <w:pPr>
            <w:pStyle w:val="Bottomblocktext"/>
            <w:rPr>
              <w:b/>
              <w:bCs w:val="0"/>
              <w:sz w:val="20"/>
              <w:szCs w:val="20"/>
            </w:rPr>
          </w:pPr>
          <w:r>
            <w:rPr>
              <w:b/>
              <w:bCs w:val="0"/>
              <w:noProof/>
              <w:sz w:val="20"/>
              <w:szCs w:val="20"/>
            </w:rPr>
            <w:drawing>
              <wp:inline distT="0" distB="0" distL="0" distR="0" wp14:anchorId="445D8334" wp14:editId="445D8335">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45D8336" wp14:editId="445D8337">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F5401" w:rsidRDefault="000F5401" w:rsidP="003B0E72">
          <w:pPr>
            <w:pStyle w:val="Bottomblocktext"/>
            <w:rPr>
              <w:sz w:val="20"/>
              <w:szCs w:val="20"/>
            </w:rPr>
          </w:pPr>
          <w:hyperlink r:id="rId8" w:history="1">
            <w:r w:rsidRPr="00350211">
              <w:rPr>
                <w:rStyle w:val="Hyperlink"/>
                <w:sz w:val="20"/>
                <w:szCs w:val="20"/>
              </w:rPr>
              <w:t>canberrahealthservices.act.gov.au/accessibility</w:t>
            </w:r>
          </w:hyperlink>
        </w:p>
        <w:p w:rsidR="000F5401" w:rsidRDefault="000F5401">
          <w:pPr>
            <w:pStyle w:val="07D43C06FEDA4D4E9992E79B10A4A650"/>
          </w:pPr>
          <w:r>
            <w:rPr>
              <w:b/>
              <w:bCs/>
              <w:noProof/>
            </w:rPr>
            <w:drawing>
              <wp:inline distT="0" distB="0" distL="0" distR="0" wp14:anchorId="445D8338" wp14:editId="445D8339">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01"/>
    <w:rsid w:val="000F5401"/>
    <w:rsid w:val="000F6957"/>
    <w:rsid w:val="001665A9"/>
    <w:rsid w:val="001D4A71"/>
    <w:rsid w:val="002164B7"/>
    <w:rsid w:val="00233F8C"/>
    <w:rsid w:val="002400C4"/>
    <w:rsid w:val="002F7089"/>
    <w:rsid w:val="003317AF"/>
    <w:rsid w:val="0036643A"/>
    <w:rsid w:val="003F5246"/>
    <w:rsid w:val="00455A8A"/>
    <w:rsid w:val="004D712D"/>
    <w:rsid w:val="006E5A5B"/>
    <w:rsid w:val="008A54D3"/>
    <w:rsid w:val="008D75FF"/>
    <w:rsid w:val="009321D9"/>
    <w:rsid w:val="009412B6"/>
    <w:rsid w:val="00A57D16"/>
    <w:rsid w:val="00AC163A"/>
    <w:rsid w:val="00AC2874"/>
    <w:rsid w:val="00B04A9E"/>
    <w:rsid w:val="00B73A42"/>
    <w:rsid w:val="00BD4101"/>
    <w:rsid w:val="00D535CC"/>
    <w:rsid w:val="00DD4278"/>
    <w:rsid w:val="00E63941"/>
    <w:rsid w:val="00EF7791"/>
    <w:rsid w:val="00F4114C"/>
    <w:rsid w:val="00F512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4C238D5884D799F483A947846C688">
    <w:name w:val="7954C238D5884D799F483A947846C688"/>
  </w:style>
  <w:style w:type="character" w:styleId="PlaceholderText">
    <w:name w:val="Placeholder Text"/>
    <w:basedOn w:val="DefaultParagraphFont"/>
    <w:uiPriority w:val="99"/>
    <w:semiHidden/>
    <w:rPr>
      <w:color w:val="808080"/>
    </w:rPr>
  </w:style>
  <w:style w:type="paragraph" w:customStyle="1" w:styleId="1D75F4BEAB6E46EDAA60D41721ED08A7">
    <w:name w:val="1D75F4BEAB6E46EDAA60D41721ED08A7"/>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07D43C06FEDA4D4E9992E79B10A4A650">
    <w:name w:val="07D43C06FEDA4D4E9992E79B10A4A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2025-09-23T14:00:00+00:00</Approval_x0020_Date>
    <Review_x0020_Date xmlns="690b2128-8961-48af-a473-22c34a9accba">2028-09-30T14:00:00+00:00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Penicillin allergy, penicillin desensitisation, syphilis, pregnancy, pregnant</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purpose of this procedure is to provide clinicians with information on the safe and effective oral penicillin desensitisation of pregnant patients with penicillin allergy who do not have alternative treatment for syphilis infection. </Description0>
    <Display_x0020_on_x0020_Internet xmlns="690b2128-8961-48af-a473-22c34a9accba">true</Display_x0020_on_x0020_Internet>
    <Related_x0020_Documents xmlns="690b2128-8961-48af-a473-22c34a9accba" xsi:nil="true"/>
    <Decision_x0020_Number xmlns="690b2128-8961-48af-a473-22c34a9accba">CHS25/366</Decision_x0020_Number>
    <RelatedPolicies_x002c_ProceduresGuidelines xmlns="690b2128-8961-48af-a473-22c34a9accba">
      <Value>16465</Value>
      <Value>17556</Value>
      <Value>16472</Value>
      <Value>17468</Value>
      <Value>17628</Value>
      <Value>17307</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Cancer and Ambulatory Support (CAS) - Immunology</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8EBB2-5F75-48DC-8362-488B6128A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D31C7-F0C5-4BE7-B097-E7113C00DA13}">
  <ds:schemaRefs>
    <ds:schemaRef ds:uri="http://www.w3.org/XML/1998/namespace"/>
    <ds:schemaRef ds:uri="690b2128-8961-48af-a473-22c34a9accba"/>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c0239a80-7f07-4ed7-82c3-24ad7d76ada5"/>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Penicillin Desensitisation Protocol for Pregnant Patients with Syphilis Infection</dc:title>
  <dc:creator>Ahn, Yeri (Health)</dc:creator>
  <cp:lastModifiedBy>Rusanov, Zoia</cp:lastModifiedBy>
  <cp:revision>13</cp:revision>
  <cp:lastPrinted>2025-07-30T01:27:00Z</cp:lastPrinted>
  <dcterms:created xsi:type="dcterms:W3CDTF">2025-10-28T23:24:00Z</dcterms:created>
  <dcterms:modified xsi:type="dcterms:W3CDTF">2026-01-27T06:05:00Z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