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086829D1" w14:textId="03FBB043" w:rsidR="009A534C" w:rsidRPr="00DA3910" w:rsidRDefault="009A534C" w:rsidP="009A534C">
      <w:pPr>
        <w:rPr>
          <w:rFonts w:cs="Arial"/>
          <w:b/>
          <w:sz w:val="40"/>
          <w:szCs w:val="40"/>
        </w:rPr>
      </w:pPr>
      <w:r>
        <w:rPr>
          <w:rFonts w:cs="Arial"/>
          <w:b/>
          <w:sz w:val="40"/>
          <w:szCs w:val="40"/>
        </w:rPr>
        <w:t>Guideline</w:t>
      </w:r>
    </w:p>
    <w:p w14:paraId="086829D2" w14:textId="6AAE64FF" w:rsidR="009A534C" w:rsidRPr="002A3A3A" w:rsidRDefault="002A3A3A" w:rsidP="009A534C">
      <w:pPr>
        <w:rPr>
          <w:rFonts w:cs="Arial"/>
          <w:b/>
          <w:iCs/>
          <w:sz w:val="36"/>
          <w:szCs w:val="36"/>
        </w:rPr>
      </w:pPr>
      <w:r w:rsidRPr="002A3A3A">
        <w:rPr>
          <w:rFonts w:cs="Arial"/>
          <w:b/>
          <w:iCs/>
          <w:sz w:val="36"/>
          <w:szCs w:val="36"/>
        </w:rPr>
        <w:t>Employer Nominated Permanent Residency</w:t>
      </w:r>
      <w:r w:rsidR="0039642B">
        <w:rPr>
          <w:rFonts w:cs="Arial"/>
          <w:b/>
          <w:iCs/>
          <w:sz w:val="36"/>
          <w:szCs w:val="36"/>
        </w:rPr>
        <w:t xml:space="preserve"> – </w:t>
      </w:r>
      <w:r w:rsidR="00AC7E68">
        <w:rPr>
          <w:rFonts w:cs="Arial"/>
          <w:b/>
          <w:iCs/>
          <w:sz w:val="36"/>
          <w:szCs w:val="36"/>
        </w:rPr>
        <w:t>Medical Practitioners</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138683285"/>
            <w:r w:rsidRPr="00CD1C0E">
              <w:t>Contents</w:t>
            </w:r>
            <w:bookmarkEnd w:id="0"/>
            <w:bookmarkEnd w:id="1"/>
            <w:bookmarkEnd w:id="2"/>
            <w:bookmarkEnd w:id="3"/>
          </w:p>
        </w:tc>
      </w:tr>
    </w:tbl>
    <w:p w14:paraId="086829D5" w14:textId="77777777" w:rsidR="009A534C" w:rsidRDefault="009A534C" w:rsidP="00C13D33"/>
    <w:p w14:paraId="268E271F" w14:textId="3B7BAFE3" w:rsidR="003C12ED" w:rsidRDefault="00A063FE">
      <w:pPr>
        <w:pStyle w:val="TOC1"/>
        <w:tabs>
          <w:tab w:val="right" w:leader="dot" w:pos="9060"/>
        </w:tabs>
        <w:rPr>
          <w:rFonts w:eastAsiaTheme="minorEastAsia" w:cstheme="minorBidi"/>
          <w:noProof/>
          <w:sz w:val="22"/>
          <w:szCs w:val="22"/>
          <w:lang w:eastAsia="en-AU"/>
        </w:rPr>
      </w:pPr>
      <w:r>
        <w:rPr>
          <w:rFonts w:cs="Arial"/>
          <w:b/>
          <w:sz w:val="36"/>
          <w:szCs w:val="36"/>
        </w:rPr>
        <w:fldChar w:fldCharType="begin"/>
      </w:r>
      <w:r w:rsidR="005743AC">
        <w:rPr>
          <w:rFonts w:cs="Arial"/>
          <w:b/>
          <w:sz w:val="36"/>
          <w:szCs w:val="36"/>
        </w:rPr>
        <w:instrText xml:space="preserve"> TOC \h \z \t "Heading 1,1" </w:instrText>
      </w:r>
      <w:r>
        <w:rPr>
          <w:rFonts w:cs="Arial"/>
          <w:b/>
          <w:sz w:val="36"/>
          <w:szCs w:val="36"/>
        </w:rPr>
        <w:fldChar w:fldCharType="separate"/>
      </w:r>
      <w:hyperlink w:anchor="_Toc138683285" w:history="1">
        <w:r w:rsidR="003C12ED" w:rsidRPr="007108C8">
          <w:rPr>
            <w:rStyle w:val="Hyperlink"/>
            <w:noProof/>
          </w:rPr>
          <w:t>Contents</w:t>
        </w:r>
        <w:r w:rsidR="003C12ED">
          <w:rPr>
            <w:noProof/>
            <w:webHidden/>
          </w:rPr>
          <w:tab/>
        </w:r>
        <w:r w:rsidR="003C12ED">
          <w:rPr>
            <w:noProof/>
            <w:webHidden/>
          </w:rPr>
          <w:fldChar w:fldCharType="begin"/>
        </w:r>
        <w:r w:rsidR="003C12ED">
          <w:rPr>
            <w:noProof/>
            <w:webHidden/>
          </w:rPr>
          <w:instrText xml:space="preserve"> PAGEREF _Toc138683285 \h </w:instrText>
        </w:r>
        <w:r w:rsidR="003C12ED">
          <w:rPr>
            <w:noProof/>
            <w:webHidden/>
          </w:rPr>
        </w:r>
        <w:r w:rsidR="003C12ED">
          <w:rPr>
            <w:noProof/>
            <w:webHidden/>
          </w:rPr>
          <w:fldChar w:fldCharType="separate"/>
        </w:r>
        <w:r w:rsidR="003C12ED">
          <w:rPr>
            <w:noProof/>
            <w:webHidden/>
          </w:rPr>
          <w:t>1</w:t>
        </w:r>
        <w:r w:rsidR="003C12ED">
          <w:rPr>
            <w:noProof/>
            <w:webHidden/>
          </w:rPr>
          <w:fldChar w:fldCharType="end"/>
        </w:r>
      </w:hyperlink>
    </w:p>
    <w:p w14:paraId="367FA3CF" w14:textId="29B7C313" w:rsidR="003C12ED" w:rsidRDefault="003C12ED">
      <w:pPr>
        <w:pStyle w:val="TOC1"/>
        <w:tabs>
          <w:tab w:val="right" w:leader="dot" w:pos="9060"/>
        </w:tabs>
        <w:rPr>
          <w:rFonts w:eastAsiaTheme="minorEastAsia" w:cstheme="minorBidi"/>
          <w:noProof/>
          <w:sz w:val="22"/>
          <w:szCs w:val="22"/>
          <w:lang w:eastAsia="en-AU"/>
        </w:rPr>
      </w:pPr>
      <w:hyperlink w:anchor="_Toc138683286" w:history="1">
        <w:r w:rsidRPr="007108C8">
          <w:rPr>
            <w:rStyle w:val="Hyperlink"/>
            <w:noProof/>
          </w:rPr>
          <w:t>Guideline Statement</w:t>
        </w:r>
        <w:r>
          <w:rPr>
            <w:noProof/>
            <w:webHidden/>
          </w:rPr>
          <w:tab/>
        </w:r>
        <w:r>
          <w:rPr>
            <w:noProof/>
            <w:webHidden/>
          </w:rPr>
          <w:fldChar w:fldCharType="begin"/>
        </w:r>
        <w:r>
          <w:rPr>
            <w:noProof/>
            <w:webHidden/>
          </w:rPr>
          <w:instrText xml:space="preserve"> PAGEREF _Toc138683286 \h </w:instrText>
        </w:r>
        <w:r>
          <w:rPr>
            <w:noProof/>
            <w:webHidden/>
          </w:rPr>
        </w:r>
        <w:r>
          <w:rPr>
            <w:noProof/>
            <w:webHidden/>
          </w:rPr>
          <w:fldChar w:fldCharType="separate"/>
        </w:r>
        <w:r>
          <w:rPr>
            <w:noProof/>
            <w:webHidden/>
          </w:rPr>
          <w:t>2</w:t>
        </w:r>
        <w:r>
          <w:rPr>
            <w:noProof/>
            <w:webHidden/>
          </w:rPr>
          <w:fldChar w:fldCharType="end"/>
        </w:r>
      </w:hyperlink>
    </w:p>
    <w:p w14:paraId="59BC03FB" w14:textId="1847FE27" w:rsidR="003C12ED" w:rsidRDefault="003C12ED">
      <w:pPr>
        <w:pStyle w:val="TOC1"/>
        <w:tabs>
          <w:tab w:val="right" w:leader="dot" w:pos="9060"/>
        </w:tabs>
        <w:rPr>
          <w:rFonts w:eastAsiaTheme="minorEastAsia" w:cstheme="minorBidi"/>
          <w:noProof/>
          <w:sz w:val="22"/>
          <w:szCs w:val="22"/>
          <w:lang w:eastAsia="en-AU"/>
        </w:rPr>
      </w:pPr>
      <w:hyperlink w:anchor="_Toc138683287" w:history="1">
        <w:r w:rsidRPr="007108C8">
          <w:rPr>
            <w:rStyle w:val="Hyperlink"/>
            <w:noProof/>
          </w:rPr>
          <w:t>Scope</w:t>
        </w:r>
        <w:r>
          <w:rPr>
            <w:noProof/>
            <w:webHidden/>
          </w:rPr>
          <w:tab/>
        </w:r>
        <w:r>
          <w:rPr>
            <w:noProof/>
            <w:webHidden/>
          </w:rPr>
          <w:fldChar w:fldCharType="begin"/>
        </w:r>
        <w:r>
          <w:rPr>
            <w:noProof/>
            <w:webHidden/>
          </w:rPr>
          <w:instrText xml:space="preserve"> PAGEREF _Toc138683287 \h </w:instrText>
        </w:r>
        <w:r>
          <w:rPr>
            <w:noProof/>
            <w:webHidden/>
          </w:rPr>
        </w:r>
        <w:r>
          <w:rPr>
            <w:noProof/>
            <w:webHidden/>
          </w:rPr>
          <w:fldChar w:fldCharType="separate"/>
        </w:r>
        <w:r>
          <w:rPr>
            <w:noProof/>
            <w:webHidden/>
          </w:rPr>
          <w:t>2</w:t>
        </w:r>
        <w:r>
          <w:rPr>
            <w:noProof/>
            <w:webHidden/>
          </w:rPr>
          <w:fldChar w:fldCharType="end"/>
        </w:r>
      </w:hyperlink>
    </w:p>
    <w:p w14:paraId="1CF18E7A" w14:textId="6CF52827" w:rsidR="003C12ED" w:rsidRDefault="003C12ED">
      <w:pPr>
        <w:pStyle w:val="TOC1"/>
        <w:tabs>
          <w:tab w:val="right" w:leader="dot" w:pos="9060"/>
        </w:tabs>
        <w:rPr>
          <w:rFonts w:eastAsiaTheme="minorEastAsia" w:cstheme="minorBidi"/>
          <w:noProof/>
          <w:sz w:val="22"/>
          <w:szCs w:val="22"/>
          <w:lang w:eastAsia="en-AU"/>
        </w:rPr>
      </w:pPr>
      <w:hyperlink w:anchor="_Toc138683288" w:history="1">
        <w:r w:rsidRPr="007108C8">
          <w:rPr>
            <w:rStyle w:val="Hyperlink"/>
            <w:noProof/>
          </w:rPr>
          <w:t>Section 1 – Pathway to Permanent Residency</w:t>
        </w:r>
        <w:r>
          <w:rPr>
            <w:noProof/>
            <w:webHidden/>
          </w:rPr>
          <w:tab/>
        </w:r>
        <w:r>
          <w:rPr>
            <w:noProof/>
            <w:webHidden/>
          </w:rPr>
          <w:fldChar w:fldCharType="begin"/>
        </w:r>
        <w:r>
          <w:rPr>
            <w:noProof/>
            <w:webHidden/>
          </w:rPr>
          <w:instrText xml:space="preserve"> PAGEREF _Toc138683288 \h </w:instrText>
        </w:r>
        <w:r>
          <w:rPr>
            <w:noProof/>
            <w:webHidden/>
          </w:rPr>
        </w:r>
        <w:r>
          <w:rPr>
            <w:noProof/>
            <w:webHidden/>
          </w:rPr>
          <w:fldChar w:fldCharType="separate"/>
        </w:r>
        <w:r>
          <w:rPr>
            <w:noProof/>
            <w:webHidden/>
          </w:rPr>
          <w:t>2</w:t>
        </w:r>
        <w:r>
          <w:rPr>
            <w:noProof/>
            <w:webHidden/>
          </w:rPr>
          <w:fldChar w:fldCharType="end"/>
        </w:r>
      </w:hyperlink>
    </w:p>
    <w:p w14:paraId="79F38D13" w14:textId="0317D3F6" w:rsidR="003C12ED" w:rsidRDefault="003C12ED">
      <w:pPr>
        <w:pStyle w:val="TOC1"/>
        <w:tabs>
          <w:tab w:val="right" w:leader="dot" w:pos="9060"/>
        </w:tabs>
        <w:rPr>
          <w:rFonts w:eastAsiaTheme="minorEastAsia" w:cstheme="minorBidi"/>
          <w:noProof/>
          <w:sz w:val="22"/>
          <w:szCs w:val="22"/>
          <w:lang w:eastAsia="en-AU"/>
        </w:rPr>
      </w:pPr>
      <w:hyperlink w:anchor="_Toc138683289" w:history="1">
        <w:r w:rsidRPr="007108C8">
          <w:rPr>
            <w:rStyle w:val="Hyperlink"/>
            <w:noProof/>
          </w:rPr>
          <w:t>Section 2 – Recommended Eligibility Criteria</w:t>
        </w:r>
        <w:r>
          <w:rPr>
            <w:noProof/>
            <w:webHidden/>
          </w:rPr>
          <w:tab/>
        </w:r>
        <w:r>
          <w:rPr>
            <w:noProof/>
            <w:webHidden/>
          </w:rPr>
          <w:fldChar w:fldCharType="begin"/>
        </w:r>
        <w:r>
          <w:rPr>
            <w:noProof/>
            <w:webHidden/>
          </w:rPr>
          <w:instrText xml:space="preserve"> PAGEREF _Toc138683289 \h </w:instrText>
        </w:r>
        <w:r>
          <w:rPr>
            <w:noProof/>
            <w:webHidden/>
          </w:rPr>
        </w:r>
        <w:r>
          <w:rPr>
            <w:noProof/>
            <w:webHidden/>
          </w:rPr>
          <w:fldChar w:fldCharType="separate"/>
        </w:r>
        <w:r>
          <w:rPr>
            <w:noProof/>
            <w:webHidden/>
          </w:rPr>
          <w:t>3</w:t>
        </w:r>
        <w:r>
          <w:rPr>
            <w:noProof/>
            <w:webHidden/>
          </w:rPr>
          <w:fldChar w:fldCharType="end"/>
        </w:r>
      </w:hyperlink>
    </w:p>
    <w:p w14:paraId="0F77F8EF" w14:textId="3430DF8F" w:rsidR="003C12ED" w:rsidRDefault="003C12ED">
      <w:pPr>
        <w:pStyle w:val="TOC1"/>
        <w:tabs>
          <w:tab w:val="right" w:leader="dot" w:pos="9060"/>
        </w:tabs>
        <w:rPr>
          <w:rFonts w:eastAsiaTheme="minorEastAsia" w:cstheme="minorBidi"/>
          <w:noProof/>
          <w:sz w:val="22"/>
          <w:szCs w:val="22"/>
          <w:lang w:eastAsia="en-AU"/>
        </w:rPr>
      </w:pPr>
      <w:hyperlink w:anchor="_Toc138683290" w:history="1">
        <w:r w:rsidRPr="007108C8">
          <w:rPr>
            <w:rStyle w:val="Hyperlink"/>
            <w:noProof/>
          </w:rPr>
          <w:t>Section 3 – Application and Approval Process</w:t>
        </w:r>
        <w:r>
          <w:rPr>
            <w:noProof/>
            <w:webHidden/>
          </w:rPr>
          <w:tab/>
        </w:r>
        <w:r>
          <w:rPr>
            <w:noProof/>
            <w:webHidden/>
          </w:rPr>
          <w:fldChar w:fldCharType="begin"/>
        </w:r>
        <w:r>
          <w:rPr>
            <w:noProof/>
            <w:webHidden/>
          </w:rPr>
          <w:instrText xml:space="preserve"> PAGEREF _Toc138683290 \h </w:instrText>
        </w:r>
        <w:r>
          <w:rPr>
            <w:noProof/>
            <w:webHidden/>
          </w:rPr>
        </w:r>
        <w:r>
          <w:rPr>
            <w:noProof/>
            <w:webHidden/>
          </w:rPr>
          <w:fldChar w:fldCharType="separate"/>
        </w:r>
        <w:r>
          <w:rPr>
            <w:noProof/>
            <w:webHidden/>
          </w:rPr>
          <w:t>3</w:t>
        </w:r>
        <w:r>
          <w:rPr>
            <w:noProof/>
            <w:webHidden/>
          </w:rPr>
          <w:fldChar w:fldCharType="end"/>
        </w:r>
      </w:hyperlink>
    </w:p>
    <w:p w14:paraId="08959303" w14:textId="70956522" w:rsidR="003C12ED" w:rsidRDefault="003C12ED">
      <w:pPr>
        <w:pStyle w:val="TOC1"/>
        <w:tabs>
          <w:tab w:val="right" w:leader="dot" w:pos="9060"/>
        </w:tabs>
        <w:rPr>
          <w:rFonts w:eastAsiaTheme="minorEastAsia" w:cstheme="minorBidi"/>
          <w:noProof/>
          <w:sz w:val="22"/>
          <w:szCs w:val="22"/>
          <w:lang w:eastAsia="en-AU"/>
        </w:rPr>
      </w:pPr>
      <w:hyperlink w:anchor="_Toc138683291" w:history="1">
        <w:r w:rsidRPr="007108C8">
          <w:rPr>
            <w:rStyle w:val="Hyperlink"/>
            <w:noProof/>
          </w:rPr>
          <w:t>Section 4 – Cost Allocation</w:t>
        </w:r>
        <w:r>
          <w:rPr>
            <w:noProof/>
            <w:webHidden/>
          </w:rPr>
          <w:tab/>
        </w:r>
        <w:r>
          <w:rPr>
            <w:noProof/>
            <w:webHidden/>
          </w:rPr>
          <w:fldChar w:fldCharType="begin"/>
        </w:r>
        <w:r>
          <w:rPr>
            <w:noProof/>
            <w:webHidden/>
          </w:rPr>
          <w:instrText xml:space="preserve"> PAGEREF _Toc138683291 \h </w:instrText>
        </w:r>
        <w:r>
          <w:rPr>
            <w:noProof/>
            <w:webHidden/>
          </w:rPr>
        </w:r>
        <w:r>
          <w:rPr>
            <w:noProof/>
            <w:webHidden/>
          </w:rPr>
          <w:fldChar w:fldCharType="separate"/>
        </w:r>
        <w:r>
          <w:rPr>
            <w:noProof/>
            <w:webHidden/>
          </w:rPr>
          <w:t>4</w:t>
        </w:r>
        <w:r>
          <w:rPr>
            <w:noProof/>
            <w:webHidden/>
          </w:rPr>
          <w:fldChar w:fldCharType="end"/>
        </w:r>
      </w:hyperlink>
    </w:p>
    <w:p w14:paraId="6D3597AE" w14:textId="3C86FC59" w:rsidR="003C12ED" w:rsidRDefault="003C12ED">
      <w:pPr>
        <w:pStyle w:val="TOC1"/>
        <w:tabs>
          <w:tab w:val="right" w:leader="dot" w:pos="9060"/>
        </w:tabs>
        <w:rPr>
          <w:rFonts w:eastAsiaTheme="minorEastAsia" w:cstheme="minorBidi"/>
          <w:noProof/>
          <w:sz w:val="22"/>
          <w:szCs w:val="22"/>
          <w:lang w:eastAsia="en-AU"/>
        </w:rPr>
      </w:pPr>
      <w:hyperlink w:anchor="_Toc138683292" w:history="1">
        <w:r w:rsidRPr="007108C8">
          <w:rPr>
            <w:rStyle w:val="Hyperlink"/>
            <w:noProof/>
          </w:rPr>
          <w:t>Evaluation</w:t>
        </w:r>
        <w:r>
          <w:rPr>
            <w:noProof/>
            <w:webHidden/>
          </w:rPr>
          <w:tab/>
        </w:r>
        <w:r>
          <w:rPr>
            <w:noProof/>
            <w:webHidden/>
          </w:rPr>
          <w:fldChar w:fldCharType="begin"/>
        </w:r>
        <w:r>
          <w:rPr>
            <w:noProof/>
            <w:webHidden/>
          </w:rPr>
          <w:instrText xml:space="preserve"> PAGEREF _Toc138683292 \h </w:instrText>
        </w:r>
        <w:r>
          <w:rPr>
            <w:noProof/>
            <w:webHidden/>
          </w:rPr>
        </w:r>
        <w:r>
          <w:rPr>
            <w:noProof/>
            <w:webHidden/>
          </w:rPr>
          <w:fldChar w:fldCharType="separate"/>
        </w:r>
        <w:r>
          <w:rPr>
            <w:noProof/>
            <w:webHidden/>
          </w:rPr>
          <w:t>5</w:t>
        </w:r>
        <w:r>
          <w:rPr>
            <w:noProof/>
            <w:webHidden/>
          </w:rPr>
          <w:fldChar w:fldCharType="end"/>
        </w:r>
      </w:hyperlink>
    </w:p>
    <w:p w14:paraId="3C08D3E4" w14:textId="7FBE6802" w:rsidR="003C12ED" w:rsidRDefault="003C12ED">
      <w:pPr>
        <w:pStyle w:val="TOC1"/>
        <w:tabs>
          <w:tab w:val="right" w:leader="dot" w:pos="9060"/>
        </w:tabs>
        <w:rPr>
          <w:rFonts w:eastAsiaTheme="minorEastAsia" w:cstheme="minorBidi"/>
          <w:noProof/>
          <w:sz w:val="22"/>
          <w:szCs w:val="22"/>
          <w:lang w:eastAsia="en-AU"/>
        </w:rPr>
      </w:pPr>
      <w:hyperlink w:anchor="_Toc138683293" w:history="1">
        <w:r w:rsidRPr="007108C8">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_Toc138683293 \h </w:instrText>
        </w:r>
        <w:r>
          <w:rPr>
            <w:noProof/>
            <w:webHidden/>
          </w:rPr>
        </w:r>
        <w:r>
          <w:rPr>
            <w:noProof/>
            <w:webHidden/>
          </w:rPr>
          <w:fldChar w:fldCharType="separate"/>
        </w:r>
        <w:r>
          <w:rPr>
            <w:noProof/>
            <w:webHidden/>
          </w:rPr>
          <w:t>6</w:t>
        </w:r>
        <w:r>
          <w:rPr>
            <w:noProof/>
            <w:webHidden/>
          </w:rPr>
          <w:fldChar w:fldCharType="end"/>
        </w:r>
      </w:hyperlink>
    </w:p>
    <w:p w14:paraId="39B59809" w14:textId="3B103F69" w:rsidR="003C12ED" w:rsidRDefault="003C12ED">
      <w:pPr>
        <w:pStyle w:val="TOC1"/>
        <w:tabs>
          <w:tab w:val="right" w:leader="dot" w:pos="9060"/>
        </w:tabs>
        <w:rPr>
          <w:rFonts w:eastAsiaTheme="minorEastAsia" w:cstheme="minorBidi"/>
          <w:noProof/>
          <w:sz w:val="22"/>
          <w:szCs w:val="22"/>
          <w:lang w:eastAsia="en-AU"/>
        </w:rPr>
      </w:pPr>
      <w:hyperlink w:anchor="_Toc138683294" w:history="1">
        <w:r w:rsidRPr="007108C8">
          <w:rPr>
            <w:rStyle w:val="Hyperlink"/>
            <w:noProof/>
          </w:rPr>
          <w:t>Definition of Terms</w:t>
        </w:r>
        <w:r>
          <w:rPr>
            <w:noProof/>
            <w:webHidden/>
          </w:rPr>
          <w:tab/>
        </w:r>
        <w:r>
          <w:rPr>
            <w:noProof/>
            <w:webHidden/>
          </w:rPr>
          <w:fldChar w:fldCharType="begin"/>
        </w:r>
        <w:r>
          <w:rPr>
            <w:noProof/>
            <w:webHidden/>
          </w:rPr>
          <w:instrText xml:space="preserve"> PAGEREF _Toc138683294 \h </w:instrText>
        </w:r>
        <w:r>
          <w:rPr>
            <w:noProof/>
            <w:webHidden/>
          </w:rPr>
        </w:r>
        <w:r>
          <w:rPr>
            <w:noProof/>
            <w:webHidden/>
          </w:rPr>
          <w:fldChar w:fldCharType="separate"/>
        </w:r>
        <w:r>
          <w:rPr>
            <w:noProof/>
            <w:webHidden/>
          </w:rPr>
          <w:t>6</w:t>
        </w:r>
        <w:r>
          <w:rPr>
            <w:noProof/>
            <w:webHidden/>
          </w:rPr>
          <w:fldChar w:fldCharType="end"/>
        </w:r>
      </w:hyperlink>
    </w:p>
    <w:p w14:paraId="069672AE" w14:textId="3B013753" w:rsidR="003C12ED" w:rsidRDefault="003C12ED">
      <w:pPr>
        <w:pStyle w:val="TOC1"/>
        <w:tabs>
          <w:tab w:val="right" w:leader="dot" w:pos="9060"/>
        </w:tabs>
        <w:rPr>
          <w:rFonts w:eastAsiaTheme="minorEastAsia" w:cstheme="minorBidi"/>
          <w:noProof/>
          <w:sz w:val="22"/>
          <w:szCs w:val="22"/>
          <w:lang w:eastAsia="en-AU"/>
        </w:rPr>
      </w:pPr>
      <w:hyperlink w:anchor="_Toc138683295" w:history="1">
        <w:r w:rsidRPr="007108C8">
          <w:rPr>
            <w:rStyle w:val="Hyperlink"/>
            <w:noProof/>
          </w:rPr>
          <w:t>Search Terms</w:t>
        </w:r>
        <w:r>
          <w:rPr>
            <w:noProof/>
            <w:webHidden/>
          </w:rPr>
          <w:tab/>
        </w:r>
        <w:r>
          <w:rPr>
            <w:noProof/>
            <w:webHidden/>
          </w:rPr>
          <w:fldChar w:fldCharType="begin"/>
        </w:r>
        <w:r>
          <w:rPr>
            <w:noProof/>
            <w:webHidden/>
          </w:rPr>
          <w:instrText xml:space="preserve"> PAGEREF _Toc138683295 \h </w:instrText>
        </w:r>
        <w:r>
          <w:rPr>
            <w:noProof/>
            <w:webHidden/>
          </w:rPr>
        </w:r>
        <w:r>
          <w:rPr>
            <w:noProof/>
            <w:webHidden/>
          </w:rPr>
          <w:fldChar w:fldCharType="separate"/>
        </w:r>
        <w:r>
          <w:rPr>
            <w:noProof/>
            <w:webHidden/>
          </w:rPr>
          <w:t>7</w:t>
        </w:r>
        <w:r>
          <w:rPr>
            <w:noProof/>
            <w:webHidden/>
          </w:rPr>
          <w:fldChar w:fldCharType="end"/>
        </w:r>
      </w:hyperlink>
    </w:p>
    <w:p w14:paraId="54BA35C8" w14:textId="343F0C3B" w:rsidR="003C12ED" w:rsidRDefault="003C12ED">
      <w:pPr>
        <w:pStyle w:val="TOC1"/>
        <w:tabs>
          <w:tab w:val="right" w:leader="dot" w:pos="9060"/>
        </w:tabs>
        <w:rPr>
          <w:rFonts w:eastAsiaTheme="minorEastAsia" w:cstheme="minorBidi"/>
          <w:noProof/>
          <w:sz w:val="22"/>
          <w:szCs w:val="22"/>
          <w:lang w:eastAsia="en-AU"/>
        </w:rPr>
      </w:pPr>
      <w:hyperlink w:anchor="_Toc138683296" w:history="1">
        <w:r w:rsidRPr="007108C8">
          <w:rPr>
            <w:rStyle w:val="Hyperlink"/>
            <w:noProof/>
          </w:rPr>
          <w:t>Attachments</w:t>
        </w:r>
        <w:r>
          <w:rPr>
            <w:noProof/>
            <w:webHidden/>
          </w:rPr>
          <w:tab/>
        </w:r>
        <w:r>
          <w:rPr>
            <w:noProof/>
            <w:webHidden/>
          </w:rPr>
          <w:fldChar w:fldCharType="begin"/>
        </w:r>
        <w:r>
          <w:rPr>
            <w:noProof/>
            <w:webHidden/>
          </w:rPr>
          <w:instrText xml:space="preserve"> PAGEREF _Toc138683296 \h </w:instrText>
        </w:r>
        <w:r>
          <w:rPr>
            <w:noProof/>
            <w:webHidden/>
          </w:rPr>
        </w:r>
        <w:r>
          <w:rPr>
            <w:noProof/>
            <w:webHidden/>
          </w:rPr>
          <w:fldChar w:fldCharType="separate"/>
        </w:r>
        <w:r>
          <w:rPr>
            <w:noProof/>
            <w:webHidden/>
          </w:rPr>
          <w:t>7</w:t>
        </w:r>
        <w:r>
          <w:rPr>
            <w:noProof/>
            <w:webHidden/>
          </w:rPr>
          <w:fldChar w:fldCharType="end"/>
        </w:r>
      </w:hyperlink>
    </w:p>
    <w:p w14:paraId="086829E2" w14:textId="06AE18D2" w:rsidR="009A534C" w:rsidRDefault="00A063FE" w:rsidP="006743DB">
      <w:r>
        <w:fldChar w:fldCharType="end"/>
      </w:r>
    </w:p>
    <w:p w14:paraId="086829E3" w14:textId="1195DD0A"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4" w:name="_Toc138683286"/>
            <w:r>
              <w:lastRenderedPageBreak/>
              <w:t>Guideline Statement</w:t>
            </w:r>
            <w:bookmarkEnd w:id="4"/>
          </w:p>
        </w:tc>
      </w:tr>
    </w:tbl>
    <w:p w14:paraId="086829E8" w14:textId="77777777" w:rsidR="00B10F87" w:rsidRDefault="00B10F87" w:rsidP="00C13D33">
      <w:pPr>
        <w:rPr>
          <w:rFonts w:cs="Arial"/>
          <w:b/>
          <w:szCs w:val="24"/>
        </w:rPr>
      </w:pPr>
    </w:p>
    <w:p w14:paraId="086829E9" w14:textId="77777777" w:rsidR="00010E74" w:rsidRDefault="00010E74" w:rsidP="00C13D33">
      <w:pPr>
        <w:pStyle w:val="Heading2"/>
      </w:pPr>
      <w:r>
        <w:t>Background</w:t>
      </w:r>
    </w:p>
    <w:p w14:paraId="086829EA" w14:textId="63A96B4D" w:rsidR="00010E74" w:rsidRPr="00470A29" w:rsidRDefault="002A3A3A" w:rsidP="00C13D33">
      <w:pPr>
        <w:rPr>
          <w:iCs/>
        </w:rPr>
      </w:pPr>
      <w:r w:rsidRPr="00470A29">
        <w:rPr>
          <w:iCs/>
        </w:rPr>
        <w:t>Offering a clear pathway to Australian Permanent Residency for</w:t>
      </w:r>
      <w:r w:rsidR="00BC173F">
        <w:rPr>
          <w:iCs/>
        </w:rPr>
        <w:t xml:space="preserve"> new</w:t>
      </w:r>
      <w:r w:rsidRPr="00470A29">
        <w:rPr>
          <w:iCs/>
        </w:rPr>
        <w:t xml:space="preserve"> </w:t>
      </w:r>
      <w:r w:rsidR="00FE3285">
        <w:rPr>
          <w:iCs/>
        </w:rPr>
        <w:t xml:space="preserve">international </w:t>
      </w:r>
      <w:r w:rsidR="00AC7E68">
        <w:rPr>
          <w:iCs/>
        </w:rPr>
        <w:t>Medical Practitioner</w:t>
      </w:r>
      <w:r w:rsidR="0039642B">
        <w:rPr>
          <w:iCs/>
        </w:rPr>
        <w:t xml:space="preserve"> </w:t>
      </w:r>
      <w:r w:rsidR="00C458FB">
        <w:rPr>
          <w:iCs/>
        </w:rPr>
        <w:t>hires</w:t>
      </w:r>
      <w:r w:rsidRPr="00470A29">
        <w:rPr>
          <w:iCs/>
        </w:rPr>
        <w:t xml:space="preserve"> along with existing </w:t>
      </w:r>
      <w:r w:rsidR="00AC7E68">
        <w:rPr>
          <w:iCs/>
        </w:rPr>
        <w:t>Medical Practitioners</w:t>
      </w:r>
      <w:r w:rsidRPr="00470A29">
        <w:rPr>
          <w:iCs/>
        </w:rPr>
        <w:t xml:space="preserve"> on temporary working visas is an important strategy for both talent acquisition and retention.</w:t>
      </w:r>
    </w:p>
    <w:p w14:paraId="42F2BCA6" w14:textId="753C0458" w:rsidR="002A3A3A" w:rsidRPr="00470A29" w:rsidRDefault="002A3A3A" w:rsidP="00C13D33">
      <w:pPr>
        <w:rPr>
          <w:iCs/>
        </w:rPr>
      </w:pPr>
    </w:p>
    <w:p w14:paraId="1A7F8E38" w14:textId="75864AFA" w:rsidR="002A3A3A" w:rsidRPr="00470A29" w:rsidRDefault="002A3A3A" w:rsidP="00C13D33">
      <w:pPr>
        <w:rPr>
          <w:iCs/>
        </w:rPr>
      </w:pPr>
      <w:r w:rsidRPr="00470A29">
        <w:rPr>
          <w:iCs/>
        </w:rPr>
        <w:t xml:space="preserve">This guideline will provide Delegates with a framework and process </w:t>
      </w:r>
      <w:r w:rsidR="00C458FB">
        <w:rPr>
          <w:iCs/>
        </w:rPr>
        <w:t>for</w:t>
      </w:r>
      <w:r w:rsidRPr="00470A29">
        <w:rPr>
          <w:iCs/>
        </w:rPr>
        <w:t xml:space="preserve"> Employer Nominated Permanent Residency visa application requests from staff or managers for existing staff on temporary working visas.</w:t>
      </w:r>
    </w:p>
    <w:p w14:paraId="086829EB" w14:textId="77777777" w:rsidR="00010E74" w:rsidRPr="00010E74" w:rsidRDefault="00010E74" w:rsidP="00C13D33">
      <w:pPr>
        <w:rPr>
          <w:i/>
        </w:rPr>
      </w:pPr>
    </w:p>
    <w:p w14:paraId="086829EC" w14:textId="77777777" w:rsidR="00010E74" w:rsidRDefault="00010E74" w:rsidP="00C13D33">
      <w:pPr>
        <w:pStyle w:val="Heading2"/>
      </w:pPr>
      <w:r>
        <w:t>Key Objective</w:t>
      </w:r>
    </w:p>
    <w:p w14:paraId="086829ED" w14:textId="3BF74923" w:rsidR="00010E74" w:rsidRPr="00470A29" w:rsidRDefault="002A3A3A" w:rsidP="00C13D33">
      <w:pPr>
        <w:rPr>
          <w:iCs/>
        </w:rPr>
      </w:pPr>
      <w:r w:rsidRPr="00470A29">
        <w:rPr>
          <w:iCs/>
        </w:rPr>
        <w:t xml:space="preserve">This guideline will ensure a consistent approach to approving and processing Employer Nominated Permanent Residency visas </w:t>
      </w:r>
      <w:r w:rsidR="0039642B">
        <w:rPr>
          <w:iCs/>
        </w:rPr>
        <w:t xml:space="preserve">for </w:t>
      </w:r>
      <w:r w:rsidR="00AC7E68">
        <w:rPr>
          <w:iCs/>
        </w:rPr>
        <w:t>Medical Practitioners</w:t>
      </w:r>
      <w:r w:rsidR="0039642B">
        <w:rPr>
          <w:iCs/>
        </w:rPr>
        <w:t xml:space="preserve"> </w:t>
      </w:r>
      <w:r w:rsidRPr="00470A29">
        <w:rPr>
          <w:iCs/>
        </w:rPr>
        <w:t>across Canberra Health Services</w:t>
      </w:r>
      <w:r w:rsidR="00882064">
        <w:rPr>
          <w:iCs/>
        </w:rPr>
        <w:t xml:space="preserve"> (CHS)</w:t>
      </w:r>
      <w:r w:rsidRPr="00470A29">
        <w:rPr>
          <w:iCs/>
        </w:rPr>
        <w:t>.</w:t>
      </w:r>
    </w:p>
    <w:p w14:paraId="086829F1" w14:textId="77777777" w:rsidR="00010E74" w:rsidRDefault="00010E74" w:rsidP="00C13D33"/>
    <w:p w14:paraId="086829F2" w14:textId="77777777" w:rsidR="0098579F" w:rsidRDefault="003C12ED" w:rsidP="00C13D33">
      <w:pPr>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5" w:name="_Toc138683287"/>
            <w:r>
              <w:t>Scope</w:t>
            </w:r>
            <w:bookmarkEnd w:id="5"/>
          </w:p>
        </w:tc>
      </w:tr>
    </w:tbl>
    <w:p w14:paraId="086829F5" w14:textId="77777777" w:rsidR="0098579F" w:rsidRDefault="0098579F" w:rsidP="0098579F"/>
    <w:p w14:paraId="74768413" w14:textId="18BDA859" w:rsidR="002A3A3A" w:rsidRPr="00470A29" w:rsidRDefault="002A3A3A" w:rsidP="0098579F">
      <w:pPr>
        <w:rPr>
          <w:rFonts w:cs="Arial"/>
          <w:iCs/>
          <w:szCs w:val="24"/>
        </w:rPr>
      </w:pPr>
      <w:r w:rsidRPr="00470A29">
        <w:rPr>
          <w:rFonts w:cs="Arial"/>
          <w:iCs/>
          <w:szCs w:val="24"/>
        </w:rPr>
        <w:t>This guideline applies to</w:t>
      </w:r>
      <w:r w:rsidR="0039642B">
        <w:rPr>
          <w:rFonts w:cs="Arial"/>
          <w:iCs/>
          <w:szCs w:val="24"/>
        </w:rPr>
        <w:t xml:space="preserve"> </w:t>
      </w:r>
      <w:r w:rsidR="007E22BC">
        <w:rPr>
          <w:rFonts w:cs="Arial"/>
          <w:iCs/>
          <w:szCs w:val="24"/>
        </w:rPr>
        <w:t>Medical Practitioners</w:t>
      </w:r>
      <w:r w:rsidR="002362EB">
        <w:rPr>
          <w:rFonts w:cs="Arial"/>
          <w:iCs/>
          <w:szCs w:val="24"/>
        </w:rPr>
        <w:t xml:space="preserve"> including both Junior Medical Officers and Senior Medical Practitioners</w:t>
      </w:r>
      <w:r w:rsidRPr="00470A29">
        <w:rPr>
          <w:rFonts w:cs="Arial"/>
          <w:iCs/>
          <w:szCs w:val="24"/>
        </w:rPr>
        <w:t xml:space="preserve"> currently</w:t>
      </w:r>
      <w:r w:rsidR="00882064">
        <w:rPr>
          <w:rFonts w:cs="Arial"/>
          <w:iCs/>
          <w:szCs w:val="24"/>
        </w:rPr>
        <w:t xml:space="preserve"> employed by CHS</w:t>
      </w:r>
      <w:r w:rsidRPr="00470A29">
        <w:rPr>
          <w:rFonts w:cs="Arial"/>
          <w:iCs/>
          <w:szCs w:val="24"/>
        </w:rPr>
        <w:t xml:space="preserve"> holding a temporary working visa who are eligible for </w:t>
      </w:r>
      <w:r w:rsidR="00470A29" w:rsidRPr="00470A29">
        <w:rPr>
          <w:rFonts w:cs="Arial"/>
          <w:iCs/>
          <w:szCs w:val="24"/>
        </w:rPr>
        <w:t>an</w:t>
      </w:r>
      <w:r w:rsidRPr="00470A29">
        <w:rPr>
          <w:rFonts w:cs="Arial"/>
          <w:iCs/>
          <w:szCs w:val="24"/>
        </w:rPr>
        <w:t xml:space="preserve"> Employer Nominated Permanent Residency visa.</w:t>
      </w:r>
    </w:p>
    <w:p w14:paraId="086829FE" w14:textId="77777777" w:rsidR="00C13D33" w:rsidRDefault="00C13D33" w:rsidP="00C13D33">
      <w:pPr>
        <w:rPr>
          <w:rFonts w:cs="Arial"/>
          <w:szCs w:val="24"/>
        </w:rPr>
      </w:pPr>
    </w:p>
    <w:p w14:paraId="086829FF" w14:textId="77777777" w:rsidR="00C13D33" w:rsidRPr="00032890" w:rsidRDefault="003C12ED" w:rsidP="009A534C">
      <w:pPr>
        <w:jc w:val="right"/>
        <w:rPr>
          <w:rFonts w:cs="Arial"/>
          <w:szCs w:val="24"/>
        </w:rPr>
      </w:pPr>
      <w:hyperlink w:anchor="Contents" w:history="1">
        <w:r w:rsidR="00C13D33"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1" w14:textId="77777777" w:rsidTr="008E74FD">
        <w:trPr>
          <w:cantSplit/>
          <w:trHeight w:val="285"/>
        </w:trPr>
        <w:tc>
          <w:tcPr>
            <w:tcW w:w="9158" w:type="dxa"/>
            <w:shd w:val="clear" w:color="auto" w:fill="D9D9D9" w:themeFill="background1" w:themeFillShade="D9"/>
          </w:tcPr>
          <w:p w14:paraId="08682A00" w14:textId="335AC8AA" w:rsidR="009A534C" w:rsidRPr="00C76688" w:rsidRDefault="009A534C" w:rsidP="00B10F87">
            <w:pPr>
              <w:pStyle w:val="Heading1"/>
            </w:pPr>
            <w:bookmarkStart w:id="6" w:name="_Toc389473278"/>
            <w:bookmarkStart w:id="7" w:name="_Toc393203334"/>
            <w:bookmarkStart w:id="8" w:name="_Toc138683288"/>
            <w:r w:rsidRPr="00C76688">
              <w:t>Section 1 –</w:t>
            </w:r>
            <w:r>
              <w:t xml:space="preserve"> </w:t>
            </w:r>
            <w:bookmarkEnd w:id="6"/>
            <w:bookmarkEnd w:id="7"/>
            <w:r w:rsidR="002A3A3A">
              <w:t>Pathway to Permanent Residency</w:t>
            </w:r>
            <w:bookmarkEnd w:id="8"/>
          </w:p>
        </w:tc>
      </w:tr>
    </w:tbl>
    <w:p w14:paraId="08682A02" w14:textId="77777777" w:rsidR="009A534C" w:rsidRDefault="009A534C" w:rsidP="009A534C">
      <w:pPr>
        <w:outlineLvl w:val="0"/>
        <w:rPr>
          <w:szCs w:val="24"/>
        </w:rPr>
      </w:pPr>
    </w:p>
    <w:p w14:paraId="08682A05" w14:textId="14D6DC8C" w:rsidR="00C13D33" w:rsidRPr="00470A29" w:rsidRDefault="002A3A3A" w:rsidP="009A534C">
      <w:pPr>
        <w:rPr>
          <w:rFonts w:cs="Arial"/>
          <w:iCs/>
          <w:szCs w:val="24"/>
        </w:rPr>
      </w:pPr>
      <w:r w:rsidRPr="00470A29">
        <w:rPr>
          <w:rFonts w:cs="Arial"/>
          <w:iCs/>
          <w:szCs w:val="24"/>
        </w:rPr>
        <w:t xml:space="preserve">International </w:t>
      </w:r>
      <w:r w:rsidR="0039642B">
        <w:rPr>
          <w:rFonts w:cs="Arial"/>
          <w:iCs/>
          <w:szCs w:val="24"/>
        </w:rPr>
        <w:t>Medical Graduates (IMGs)</w:t>
      </w:r>
      <w:r w:rsidRPr="00470A29">
        <w:rPr>
          <w:rFonts w:cs="Arial"/>
          <w:iCs/>
          <w:szCs w:val="24"/>
        </w:rPr>
        <w:t xml:space="preserve"> </w:t>
      </w:r>
      <w:r w:rsidR="007B7397">
        <w:rPr>
          <w:rFonts w:cs="Arial"/>
          <w:iCs/>
          <w:szCs w:val="24"/>
        </w:rPr>
        <w:t xml:space="preserve">who are merit selected for a </w:t>
      </w:r>
      <w:r w:rsidR="007E22BC">
        <w:rPr>
          <w:rFonts w:cs="Arial"/>
          <w:iCs/>
          <w:szCs w:val="24"/>
        </w:rPr>
        <w:t>Medical Practitioner</w:t>
      </w:r>
      <w:r w:rsidR="007B7397">
        <w:rPr>
          <w:rFonts w:cs="Arial"/>
          <w:iCs/>
          <w:szCs w:val="24"/>
        </w:rPr>
        <w:t xml:space="preserve"> </w:t>
      </w:r>
      <w:r w:rsidR="00882064">
        <w:rPr>
          <w:rFonts w:cs="Arial"/>
          <w:iCs/>
          <w:szCs w:val="24"/>
        </w:rPr>
        <w:t>position</w:t>
      </w:r>
      <w:r w:rsidR="007B7397">
        <w:rPr>
          <w:rFonts w:cs="Arial"/>
          <w:iCs/>
          <w:szCs w:val="24"/>
        </w:rPr>
        <w:t xml:space="preserve"> at CHS </w:t>
      </w:r>
      <w:r w:rsidRPr="00470A29">
        <w:rPr>
          <w:rFonts w:cs="Arial"/>
          <w:iCs/>
          <w:szCs w:val="24"/>
        </w:rPr>
        <w:t xml:space="preserve">who do not </w:t>
      </w:r>
      <w:r w:rsidR="00132806">
        <w:rPr>
          <w:rFonts w:cs="Arial"/>
          <w:iCs/>
          <w:szCs w:val="24"/>
        </w:rPr>
        <w:t xml:space="preserve">have </w:t>
      </w:r>
      <w:r w:rsidR="002362EB">
        <w:rPr>
          <w:rFonts w:cs="Arial"/>
          <w:iCs/>
          <w:szCs w:val="24"/>
        </w:rPr>
        <w:t>working rights in</w:t>
      </w:r>
      <w:r w:rsidRPr="00470A29">
        <w:rPr>
          <w:rFonts w:cs="Arial"/>
          <w:iCs/>
          <w:szCs w:val="24"/>
        </w:rPr>
        <w:t xml:space="preserve"> Australia (</w:t>
      </w:r>
      <w:proofErr w:type="gramStart"/>
      <w:r w:rsidRPr="00470A29">
        <w:rPr>
          <w:rFonts w:cs="Arial"/>
          <w:iCs/>
          <w:szCs w:val="24"/>
        </w:rPr>
        <w:t>i.e.</w:t>
      </w:r>
      <w:proofErr w:type="gramEnd"/>
      <w:r w:rsidRPr="00470A29">
        <w:rPr>
          <w:rFonts w:cs="Arial"/>
          <w:iCs/>
          <w:szCs w:val="24"/>
        </w:rPr>
        <w:t xml:space="preserve"> </w:t>
      </w:r>
      <w:r w:rsidR="00326ED0" w:rsidRPr="00470A29">
        <w:rPr>
          <w:rFonts w:cs="Arial"/>
          <w:iCs/>
          <w:szCs w:val="24"/>
        </w:rPr>
        <w:t xml:space="preserve">those who are not Australian Citizens, Australian Permanent Residents or New Zealand Citizens/Permanent </w:t>
      </w:r>
      <w:r w:rsidR="00470A29" w:rsidRPr="00470A29">
        <w:rPr>
          <w:rFonts w:cs="Arial"/>
          <w:iCs/>
          <w:szCs w:val="24"/>
        </w:rPr>
        <w:t>Residents</w:t>
      </w:r>
      <w:r w:rsidR="00326ED0" w:rsidRPr="00470A29">
        <w:rPr>
          <w:rFonts w:cs="Arial"/>
          <w:iCs/>
          <w:szCs w:val="24"/>
        </w:rPr>
        <w:t xml:space="preserve">) will be provided support by CHS to obtain the appropriate temporary working visa. In </w:t>
      </w:r>
      <w:r w:rsidR="00470A29" w:rsidRPr="00470A29">
        <w:rPr>
          <w:rFonts w:cs="Arial"/>
          <w:iCs/>
          <w:szCs w:val="24"/>
        </w:rPr>
        <w:t>most</w:t>
      </w:r>
      <w:r w:rsidR="00326ED0" w:rsidRPr="00470A29">
        <w:rPr>
          <w:rFonts w:cs="Arial"/>
          <w:iCs/>
          <w:szCs w:val="24"/>
        </w:rPr>
        <w:t xml:space="preserve"> cases, this will be a </w:t>
      </w:r>
      <w:hyperlink r:id="rId11" w:history="1">
        <w:r w:rsidR="00326ED0" w:rsidRPr="007171A3">
          <w:rPr>
            <w:rStyle w:val="Hyperlink"/>
            <w:rFonts w:cs="Arial"/>
            <w:iCs/>
            <w:szCs w:val="24"/>
          </w:rPr>
          <w:t>Temporary Skill Shortage (Subclass 482) visa</w:t>
        </w:r>
      </w:hyperlink>
      <w:r w:rsidR="00326ED0" w:rsidRPr="00470A29">
        <w:rPr>
          <w:rFonts w:cs="Arial"/>
          <w:iCs/>
          <w:szCs w:val="24"/>
        </w:rPr>
        <w:t xml:space="preserve"> under either the Short-Term or Medium-Term Stream depending on the </w:t>
      </w:r>
      <w:hyperlink r:id="rId12" w:history="1">
        <w:r w:rsidR="00326ED0" w:rsidRPr="007171A3">
          <w:rPr>
            <w:rStyle w:val="Hyperlink"/>
            <w:rFonts w:cs="Arial"/>
            <w:iCs/>
            <w:szCs w:val="24"/>
          </w:rPr>
          <w:t>nominated ANZSCO occupation</w:t>
        </w:r>
      </w:hyperlink>
      <w:r w:rsidR="00326ED0" w:rsidRPr="00470A29">
        <w:rPr>
          <w:rFonts w:cs="Arial"/>
          <w:iCs/>
          <w:szCs w:val="24"/>
        </w:rPr>
        <w:t>.</w:t>
      </w:r>
    </w:p>
    <w:p w14:paraId="6A9C4BF9" w14:textId="091B8A7E" w:rsidR="00326ED0" w:rsidRPr="00470A29" w:rsidRDefault="00326ED0" w:rsidP="009A534C">
      <w:pPr>
        <w:rPr>
          <w:rFonts w:cs="Arial"/>
          <w:iCs/>
          <w:szCs w:val="24"/>
        </w:rPr>
      </w:pPr>
    </w:p>
    <w:p w14:paraId="579F5C17" w14:textId="53EF5C92" w:rsidR="009A5072" w:rsidRDefault="007E22BC" w:rsidP="009A534C">
      <w:pPr>
        <w:rPr>
          <w:rFonts w:cs="Arial"/>
          <w:iCs/>
          <w:szCs w:val="24"/>
        </w:rPr>
      </w:pPr>
      <w:r>
        <w:rPr>
          <w:rFonts w:cs="Arial"/>
          <w:iCs/>
          <w:szCs w:val="24"/>
        </w:rPr>
        <w:t>Medical Practitioners</w:t>
      </w:r>
      <w:r w:rsidR="009A5072">
        <w:rPr>
          <w:rFonts w:cs="Arial"/>
          <w:iCs/>
          <w:szCs w:val="24"/>
        </w:rPr>
        <w:t xml:space="preserve"> </w:t>
      </w:r>
      <w:r w:rsidR="007B7397">
        <w:rPr>
          <w:rFonts w:cs="Arial"/>
          <w:iCs/>
          <w:szCs w:val="24"/>
        </w:rPr>
        <w:t xml:space="preserve">employed under a </w:t>
      </w:r>
      <w:r w:rsidR="00326ED0" w:rsidRPr="00470A29">
        <w:rPr>
          <w:rFonts w:cs="Arial"/>
          <w:iCs/>
          <w:szCs w:val="24"/>
        </w:rPr>
        <w:t xml:space="preserve">subclass 482 visa on the Medium-Term Stream </w:t>
      </w:r>
      <w:r w:rsidR="007B7397">
        <w:rPr>
          <w:rFonts w:cs="Arial"/>
          <w:iCs/>
          <w:szCs w:val="24"/>
        </w:rPr>
        <w:t>may</w:t>
      </w:r>
      <w:r w:rsidR="007B7397" w:rsidRPr="00470A29">
        <w:rPr>
          <w:rFonts w:cs="Arial"/>
          <w:iCs/>
          <w:szCs w:val="24"/>
        </w:rPr>
        <w:t xml:space="preserve"> </w:t>
      </w:r>
      <w:r w:rsidR="00326ED0" w:rsidRPr="00470A29">
        <w:rPr>
          <w:rFonts w:cs="Arial"/>
          <w:iCs/>
          <w:szCs w:val="24"/>
        </w:rPr>
        <w:t xml:space="preserve">be eligible for </w:t>
      </w:r>
      <w:r w:rsidR="007B7397" w:rsidRPr="00470A29">
        <w:rPr>
          <w:rFonts w:cs="Arial"/>
          <w:iCs/>
          <w:szCs w:val="24"/>
        </w:rPr>
        <w:t>an</w:t>
      </w:r>
      <w:r w:rsidR="00326ED0" w:rsidRPr="00470A29">
        <w:rPr>
          <w:rFonts w:cs="Arial"/>
          <w:iCs/>
          <w:szCs w:val="24"/>
        </w:rPr>
        <w:t xml:space="preserve"> </w:t>
      </w:r>
      <w:hyperlink r:id="rId13" w:history="1">
        <w:r w:rsidR="00326ED0" w:rsidRPr="007171A3">
          <w:rPr>
            <w:rStyle w:val="Hyperlink"/>
            <w:rFonts w:cs="Arial"/>
            <w:iCs/>
            <w:szCs w:val="24"/>
          </w:rPr>
          <w:t>Employer Nomination Scheme (Subclass 186) Permanent Visa</w:t>
        </w:r>
      </w:hyperlink>
      <w:r w:rsidR="00326ED0" w:rsidRPr="00470A29">
        <w:rPr>
          <w:rFonts w:cs="Arial"/>
          <w:iCs/>
          <w:szCs w:val="24"/>
        </w:rPr>
        <w:t xml:space="preserve"> </w:t>
      </w:r>
      <w:r w:rsidR="009A5072">
        <w:rPr>
          <w:rFonts w:cs="Arial"/>
          <w:iCs/>
          <w:szCs w:val="24"/>
        </w:rPr>
        <w:t>under the following streams:</w:t>
      </w:r>
    </w:p>
    <w:p w14:paraId="5900855B" w14:textId="77777777" w:rsidR="009A5072" w:rsidRPr="009A5072" w:rsidRDefault="009A5072" w:rsidP="009A534C">
      <w:pPr>
        <w:rPr>
          <w:rFonts w:cs="Arial"/>
          <w:b/>
          <w:bCs/>
          <w:iCs/>
          <w:szCs w:val="24"/>
        </w:rPr>
      </w:pPr>
    </w:p>
    <w:tbl>
      <w:tblPr>
        <w:tblStyle w:val="TableGrid"/>
        <w:tblW w:w="0" w:type="auto"/>
        <w:tblLook w:val="04A0" w:firstRow="1" w:lastRow="0" w:firstColumn="1" w:lastColumn="0" w:noHBand="0" w:noVBand="1"/>
      </w:tblPr>
      <w:tblGrid>
        <w:gridCol w:w="4530"/>
        <w:gridCol w:w="4530"/>
      </w:tblGrid>
      <w:tr w:rsidR="009A5072" w:rsidRPr="009A5072" w14:paraId="1A50570A" w14:textId="77777777" w:rsidTr="009A5072">
        <w:tc>
          <w:tcPr>
            <w:tcW w:w="4530" w:type="dxa"/>
          </w:tcPr>
          <w:p w14:paraId="23ECCE45" w14:textId="0F6491F5" w:rsidR="009A5072" w:rsidRPr="009A5072" w:rsidRDefault="009A5072" w:rsidP="009A534C">
            <w:pPr>
              <w:rPr>
                <w:rFonts w:cs="Arial"/>
                <w:b/>
                <w:bCs/>
                <w:iCs/>
                <w:szCs w:val="24"/>
              </w:rPr>
            </w:pPr>
            <w:r w:rsidRPr="009A5072">
              <w:rPr>
                <w:rFonts w:cs="Arial"/>
                <w:b/>
                <w:bCs/>
                <w:iCs/>
                <w:szCs w:val="24"/>
              </w:rPr>
              <w:t>Stream</w:t>
            </w:r>
          </w:p>
        </w:tc>
        <w:tc>
          <w:tcPr>
            <w:tcW w:w="4530" w:type="dxa"/>
          </w:tcPr>
          <w:p w14:paraId="4EB1E94F" w14:textId="6384E75E" w:rsidR="009A5072" w:rsidRPr="009A5072" w:rsidRDefault="009A5072" w:rsidP="009A534C">
            <w:pPr>
              <w:rPr>
                <w:rFonts w:cs="Arial"/>
                <w:b/>
                <w:bCs/>
                <w:iCs/>
                <w:szCs w:val="24"/>
              </w:rPr>
            </w:pPr>
            <w:r w:rsidRPr="009A5072">
              <w:rPr>
                <w:rFonts w:cs="Arial"/>
                <w:b/>
                <w:bCs/>
                <w:iCs/>
                <w:szCs w:val="24"/>
              </w:rPr>
              <w:t>Key Eligibility</w:t>
            </w:r>
          </w:p>
        </w:tc>
      </w:tr>
      <w:tr w:rsidR="009A5072" w14:paraId="5746FB5A" w14:textId="77777777" w:rsidTr="009A5072">
        <w:tc>
          <w:tcPr>
            <w:tcW w:w="4530" w:type="dxa"/>
          </w:tcPr>
          <w:p w14:paraId="1727DE39" w14:textId="28BC13D2" w:rsidR="009A5072" w:rsidRDefault="009A5072" w:rsidP="009A534C">
            <w:pPr>
              <w:rPr>
                <w:rFonts w:cs="Arial"/>
                <w:iCs/>
                <w:szCs w:val="24"/>
              </w:rPr>
            </w:pPr>
            <w:r>
              <w:rPr>
                <w:rFonts w:cs="Arial"/>
                <w:iCs/>
                <w:szCs w:val="24"/>
              </w:rPr>
              <w:t>Temporary Residence Transition stream</w:t>
            </w:r>
          </w:p>
        </w:tc>
        <w:tc>
          <w:tcPr>
            <w:tcW w:w="4530" w:type="dxa"/>
          </w:tcPr>
          <w:p w14:paraId="0F1260E6" w14:textId="41A964EB" w:rsidR="009A5072" w:rsidRDefault="009A5072" w:rsidP="009A5072">
            <w:pPr>
              <w:pStyle w:val="ListParagraph"/>
              <w:numPr>
                <w:ilvl w:val="0"/>
                <w:numId w:val="17"/>
              </w:numPr>
              <w:rPr>
                <w:rFonts w:cs="Arial"/>
                <w:iCs/>
                <w:szCs w:val="24"/>
              </w:rPr>
            </w:pPr>
            <w:r>
              <w:rPr>
                <w:rFonts w:cs="Arial"/>
                <w:iCs/>
                <w:szCs w:val="24"/>
              </w:rPr>
              <w:t>Complete</w:t>
            </w:r>
            <w:r w:rsidR="00BC173F">
              <w:rPr>
                <w:rFonts w:cs="Arial"/>
                <w:iCs/>
                <w:szCs w:val="24"/>
              </w:rPr>
              <w:t>d</w:t>
            </w:r>
            <w:r>
              <w:rPr>
                <w:rFonts w:cs="Arial"/>
                <w:iCs/>
                <w:szCs w:val="24"/>
              </w:rPr>
              <w:t xml:space="preserve"> three years of full-time (1FTE) employment with the same </w:t>
            </w:r>
            <w:r>
              <w:rPr>
                <w:rFonts w:cs="Arial"/>
                <w:iCs/>
                <w:szCs w:val="24"/>
              </w:rPr>
              <w:lastRenderedPageBreak/>
              <w:t xml:space="preserve">employer who nominated the applicants subclass 482 </w:t>
            </w:r>
            <w:proofErr w:type="gramStart"/>
            <w:r>
              <w:rPr>
                <w:rFonts w:cs="Arial"/>
                <w:iCs/>
                <w:szCs w:val="24"/>
              </w:rPr>
              <w:t>visa</w:t>
            </w:r>
            <w:proofErr w:type="gramEnd"/>
          </w:p>
          <w:p w14:paraId="6F84DE09" w14:textId="628F1340" w:rsidR="009A5072" w:rsidRPr="009A5072" w:rsidRDefault="009A5072" w:rsidP="009A5072">
            <w:pPr>
              <w:pStyle w:val="ListParagraph"/>
              <w:numPr>
                <w:ilvl w:val="0"/>
                <w:numId w:val="17"/>
              </w:numPr>
              <w:rPr>
                <w:rFonts w:cs="Arial"/>
                <w:iCs/>
                <w:szCs w:val="24"/>
              </w:rPr>
            </w:pPr>
            <w:r>
              <w:rPr>
                <w:rFonts w:cs="Arial"/>
                <w:iCs/>
                <w:szCs w:val="24"/>
              </w:rPr>
              <w:t>Usually under 45 years of age (exemptions apply)</w:t>
            </w:r>
          </w:p>
        </w:tc>
      </w:tr>
      <w:tr w:rsidR="009A5072" w14:paraId="097C85D1" w14:textId="77777777" w:rsidTr="009A5072">
        <w:tc>
          <w:tcPr>
            <w:tcW w:w="4530" w:type="dxa"/>
          </w:tcPr>
          <w:p w14:paraId="59257DBE" w14:textId="0BCAF91E" w:rsidR="009A5072" w:rsidRDefault="009A5072" w:rsidP="009A534C">
            <w:pPr>
              <w:rPr>
                <w:rFonts w:cs="Arial"/>
                <w:iCs/>
                <w:szCs w:val="24"/>
              </w:rPr>
            </w:pPr>
            <w:r>
              <w:rPr>
                <w:rFonts w:cs="Arial"/>
                <w:iCs/>
                <w:szCs w:val="24"/>
              </w:rPr>
              <w:lastRenderedPageBreak/>
              <w:t>Direct Entry Stream</w:t>
            </w:r>
          </w:p>
        </w:tc>
        <w:tc>
          <w:tcPr>
            <w:tcW w:w="4530" w:type="dxa"/>
          </w:tcPr>
          <w:p w14:paraId="7BA96DFC" w14:textId="20BF36C4" w:rsidR="009A5072" w:rsidRDefault="009A5072" w:rsidP="009A5072">
            <w:pPr>
              <w:pStyle w:val="ListParagraph"/>
              <w:numPr>
                <w:ilvl w:val="0"/>
                <w:numId w:val="18"/>
              </w:numPr>
              <w:rPr>
                <w:rFonts w:cs="Arial"/>
                <w:iCs/>
                <w:szCs w:val="24"/>
              </w:rPr>
            </w:pPr>
            <w:r>
              <w:rPr>
                <w:rFonts w:cs="Arial"/>
                <w:iCs/>
                <w:szCs w:val="24"/>
              </w:rPr>
              <w:t xml:space="preserve">Occupation must be on the relevant list of eligible skilled occupations </w:t>
            </w:r>
            <w:r w:rsidR="00AC7E68">
              <w:rPr>
                <w:rFonts w:cs="Arial"/>
                <w:iCs/>
                <w:szCs w:val="24"/>
              </w:rPr>
              <w:t>–</w:t>
            </w:r>
            <w:r>
              <w:rPr>
                <w:rFonts w:cs="Arial"/>
                <w:iCs/>
                <w:szCs w:val="24"/>
              </w:rPr>
              <w:t xml:space="preserve"> </w:t>
            </w:r>
            <w:r w:rsidRPr="009A5072">
              <w:rPr>
                <w:rFonts w:cs="Arial"/>
                <w:iCs/>
                <w:szCs w:val="24"/>
              </w:rPr>
              <w:t>Medium and Long-term Strategic Skills List (MLTSSL)</w:t>
            </w:r>
          </w:p>
          <w:p w14:paraId="2F96C448" w14:textId="77777777" w:rsidR="009A5072" w:rsidRDefault="009A5072" w:rsidP="009A5072">
            <w:pPr>
              <w:pStyle w:val="ListParagraph"/>
              <w:numPr>
                <w:ilvl w:val="0"/>
                <w:numId w:val="18"/>
              </w:numPr>
              <w:rPr>
                <w:rFonts w:cs="Arial"/>
                <w:iCs/>
                <w:szCs w:val="24"/>
              </w:rPr>
            </w:pPr>
            <w:r>
              <w:rPr>
                <w:rFonts w:cs="Arial"/>
                <w:iCs/>
                <w:szCs w:val="24"/>
              </w:rPr>
              <w:t>At least 3 years of relevant work experience in their occupation</w:t>
            </w:r>
          </w:p>
          <w:p w14:paraId="0E55B7E5" w14:textId="45F4CDCE" w:rsidR="009A5072" w:rsidRPr="009A5072" w:rsidRDefault="009A5072" w:rsidP="009A5072">
            <w:pPr>
              <w:pStyle w:val="ListParagraph"/>
              <w:numPr>
                <w:ilvl w:val="0"/>
                <w:numId w:val="18"/>
              </w:numPr>
              <w:rPr>
                <w:rFonts w:cs="Arial"/>
                <w:iCs/>
                <w:szCs w:val="24"/>
              </w:rPr>
            </w:pPr>
            <w:r>
              <w:rPr>
                <w:rFonts w:cs="Arial"/>
                <w:iCs/>
                <w:szCs w:val="24"/>
              </w:rPr>
              <w:t>Usually under 45 years of age (exemptions apply)</w:t>
            </w:r>
          </w:p>
        </w:tc>
      </w:tr>
    </w:tbl>
    <w:p w14:paraId="5EF087CD" w14:textId="77777777" w:rsidR="009A5072" w:rsidRDefault="009A5072" w:rsidP="009A534C">
      <w:pPr>
        <w:rPr>
          <w:rFonts w:cs="Arial"/>
          <w:iCs/>
          <w:szCs w:val="24"/>
        </w:rPr>
      </w:pPr>
    </w:p>
    <w:p w14:paraId="08682A07" w14:textId="77777777" w:rsidR="009A534C" w:rsidRPr="00DA3910" w:rsidRDefault="003C12ED"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9" w14:textId="77777777" w:rsidTr="008E74FD">
        <w:trPr>
          <w:cantSplit/>
          <w:trHeight w:val="285"/>
        </w:trPr>
        <w:tc>
          <w:tcPr>
            <w:tcW w:w="9158" w:type="dxa"/>
            <w:shd w:val="clear" w:color="auto" w:fill="D9D9D9" w:themeFill="background1" w:themeFillShade="D9"/>
          </w:tcPr>
          <w:p w14:paraId="08682A08" w14:textId="3E9160F6" w:rsidR="009A534C" w:rsidRPr="00C76688" w:rsidRDefault="009A534C" w:rsidP="00010E74">
            <w:pPr>
              <w:pStyle w:val="Heading1"/>
            </w:pPr>
            <w:bookmarkStart w:id="9" w:name="_Toc389473281"/>
            <w:bookmarkStart w:id="10" w:name="_Toc393203337"/>
            <w:bookmarkStart w:id="11" w:name="_Toc138683289"/>
            <w:r w:rsidRPr="00C76688">
              <w:t xml:space="preserve">Section 2 – </w:t>
            </w:r>
            <w:bookmarkEnd w:id="9"/>
            <w:bookmarkEnd w:id="10"/>
            <w:r w:rsidR="00593109">
              <w:t xml:space="preserve">Recommended Eligibility </w:t>
            </w:r>
            <w:r w:rsidR="002A3A3A">
              <w:t>Criteria</w:t>
            </w:r>
            <w:bookmarkEnd w:id="11"/>
          </w:p>
        </w:tc>
      </w:tr>
    </w:tbl>
    <w:p w14:paraId="08682A0E" w14:textId="1285B9EE" w:rsidR="00C13D33" w:rsidRDefault="00C13D33" w:rsidP="00D54ED5">
      <w:pPr>
        <w:rPr>
          <w:rFonts w:cs="Arial"/>
          <w:i/>
          <w:szCs w:val="24"/>
        </w:rPr>
      </w:pPr>
    </w:p>
    <w:p w14:paraId="2F3AAAB1" w14:textId="1A916F8E" w:rsidR="00326ED0" w:rsidRPr="00470A29" w:rsidRDefault="00326ED0" w:rsidP="00D54ED5">
      <w:pPr>
        <w:rPr>
          <w:rFonts w:cs="Arial"/>
          <w:iCs/>
          <w:szCs w:val="24"/>
        </w:rPr>
      </w:pPr>
      <w:r w:rsidRPr="00470A29">
        <w:rPr>
          <w:rFonts w:cs="Arial"/>
          <w:iCs/>
          <w:szCs w:val="24"/>
        </w:rPr>
        <w:t xml:space="preserve">People and Culture recommends that requests for Employer Nominated Permanent Residency nominations by existing staff or their managers be considered if they meet the following criteria, however, approval may be obtained with justification if some or all </w:t>
      </w:r>
      <w:r w:rsidR="00FE3285">
        <w:rPr>
          <w:rFonts w:cs="Arial"/>
          <w:iCs/>
          <w:szCs w:val="24"/>
        </w:rPr>
        <w:t>the criteria</w:t>
      </w:r>
      <w:r w:rsidR="007B7397">
        <w:rPr>
          <w:rFonts w:cs="Arial"/>
          <w:iCs/>
          <w:szCs w:val="24"/>
        </w:rPr>
        <w:t xml:space="preserve"> are not yet met</w:t>
      </w:r>
      <w:r w:rsidR="00FE3285">
        <w:rPr>
          <w:rFonts w:cs="Arial"/>
          <w:iCs/>
          <w:szCs w:val="24"/>
        </w:rPr>
        <w:t>.</w:t>
      </w:r>
    </w:p>
    <w:p w14:paraId="145D77B8" w14:textId="60C67CD2" w:rsidR="00326ED0" w:rsidRPr="00470A29" w:rsidRDefault="00326ED0" w:rsidP="00D54ED5">
      <w:pPr>
        <w:rPr>
          <w:rFonts w:cs="Arial"/>
          <w:iCs/>
          <w:szCs w:val="24"/>
        </w:rPr>
      </w:pPr>
    </w:p>
    <w:p w14:paraId="39AF8039" w14:textId="62A4BBFE" w:rsidR="00326ED0" w:rsidRPr="00470A29" w:rsidRDefault="00326ED0" w:rsidP="00326ED0">
      <w:pPr>
        <w:pStyle w:val="ListParagraph"/>
        <w:numPr>
          <w:ilvl w:val="0"/>
          <w:numId w:val="13"/>
        </w:numPr>
        <w:rPr>
          <w:rFonts w:cs="Arial"/>
          <w:iCs/>
          <w:szCs w:val="24"/>
        </w:rPr>
      </w:pPr>
      <w:r w:rsidRPr="00470A29">
        <w:rPr>
          <w:rFonts w:cs="Arial"/>
          <w:iCs/>
          <w:szCs w:val="24"/>
        </w:rPr>
        <w:t xml:space="preserve">The </w:t>
      </w:r>
      <w:r w:rsidR="007E22BC">
        <w:rPr>
          <w:rFonts w:cs="Arial"/>
          <w:iCs/>
          <w:szCs w:val="24"/>
        </w:rPr>
        <w:t>Medical Practitioner</w:t>
      </w:r>
      <w:r w:rsidRPr="00470A29">
        <w:rPr>
          <w:rFonts w:cs="Arial"/>
          <w:iCs/>
          <w:szCs w:val="24"/>
        </w:rPr>
        <w:t xml:space="preserve"> has served a minimum of 3 years of </w:t>
      </w:r>
      <w:r w:rsidR="008B0C3C">
        <w:rPr>
          <w:rFonts w:cs="Arial"/>
          <w:iCs/>
          <w:szCs w:val="24"/>
        </w:rPr>
        <w:t>full-time</w:t>
      </w:r>
      <w:r w:rsidR="00BC173F">
        <w:rPr>
          <w:rFonts w:cs="Arial"/>
          <w:iCs/>
          <w:szCs w:val="24"/>
        </w:rPr>
        <w:t xml:space="preserve"> (1FTE)</w:t>
      </w:r>
      <w:r w:rsidR="008B0C3C">
        <w:rPr>
          <w:rFonts w:cs="Arial"/>
          <w:iCs/>
          <w:szCs w:val="24"/>
        </w:rPr>
        <w:t xml:space="preserve"> continuous </w:t>
      </w:r>
      <w:r w:rsidRPr="00470A29">
        <w:rPr>
          <w:rFonts w:cs="Arial"/>
          <w:iCs/>
          <w:szCs w:val="24"/>
        </w:rPr>
        <w:t xml:space="preserve">service with CHS at the time the </w:t>
      </w:r>
      <w:r w:rsidR="002362EB">
        <w:rPr>
          <w:rFonts w:cs="Arial"/>
          <w:iCs/>
          <w:szCs w:val="24"/>
        </w:rPr>
        <w:t xml:space="preserve">visa </w:t>
      </w:r>
      <w:r w:rsidRPr="00470A29">
        <w:rPr>
          <w:rFonts w:cs="Arial"/>
          <w:iCs/>
          <w:szCs w:val="24"/>
        </w:rPr>
        <w:t>nomination is lodged by CHS with the Department of Home Affairs</w:t>
      </w:r>
    </w:p>
    <w:p w14:paraId="5CB4062B" w14:textId="26D9ED9E" w:rsidR="00326ED0" w:rsidRPr="00470A29" w:rsidRDefault="00326ED0" w:rsidP="00326ED0">
      <w:pPr>
        <w:pStyle w:val="ListParagraph"/>
        <w:numPr>
          <w:ilvl w:val="0"/>
          <w:numId w:val="13"/>
        </w:numPr>
        <w:rPr>
          <w:rFonts w:cs="Arial"/>
          <w:iCs/>
          <w:szCs w:val="24"/>
        </w:rPr>
      </w:pPr>
      <w:r w:rsidRPr="00470A29">
        <w:rPr>
          <w:rFonts w:cs="Arial"/>
          <w:iCs/>
          <w:szCs w:val="24"/>
        </w:rPr>
        <w:t>The</w:t>
      </w:r>
      <w:r w:rsidR="007E22BC">
        <w:rPr>
          <w:rFonts w:cs="Arial"/>
          <w:iCs/>
          <w:szCs w:val="24"/>
        </w:rPr>
        <w:t xml:space="preserve"> Medical Practitioner</w:t>
      </w:r>
      <w:r w:rsidRPr="00470A29">
        <w:rPr>
          <w:rFonts w:cs="Arial"/>
          <w:iCs/>
          <w:szCs w:val="24"/>
        </w:rPr>
        <w:t xml:space="preserve"> works within an area of acute workforce shortage </w:t>
      </w:r>
      <w:r w:rsidR="0039642B">
        <w:rPr>
          <w:rFonts w:cs="Arial"/>
          <w:iCs/>
          <w:szCs w:val="24"/>
        </w:rPr>
        <w:t xml:space="preserve">approved by the </w:t>
      </w:r>
      <w:r w:rsidR="007E22BC">
        <w:rPr>
          <w:rFonts w:cs="Arial"/>
          <w:iCs/>
          <w:szCs w:val="24"/>
        </w:rPr>
        <w:t>Executive Director of Medical Services</w:t>
      </w:r>
    </w:p>
    <w:p w14:paraId="27E1F7D2" w14:textId="29190090" w:rsidR="00FC7398" w:rsidRDefault="00326ED0" w:rsidP="00326ED0">
      <w:pPr>
        <w:pStyle w:val="ListParagraph"/>
        <w:numPr>
          <w:ilvl w:val="0"/>
          <w:numId w:val="13"/>
        </w:numPr>
        <w:rPr>
          <w:rFonts w:cs="Arial"/>
          <w:iCs/>
          <w:szCs w:val="24"/>
        </w:rPr>
      </w:pPr>
      <w:r w:rsidRPr="00470A29">
        <w:rPr>
          <w:rFonts w:cs="Arial"/>
          <w:iCs/>
          <w:szCs w:val="24"/>
        </w:rPr>
        <w:t xml:space="preserve">The </w:t>
      </w:r>
      <w:r w:rsidR="007E22BC">
        <w:rPr>
          <w:rFonts w:cs="Arial"/>
          <w:iCs/>
          <w:szCs w:val="24"/>
        </w:rPr>
        <w:t>Medical Practitioner</w:t>
      </w:r>
      <w:r w:rsidRPr="00470A29">
        <w:rPr>
          <w:rFonts w:cs="Arial"/>
          <w:iCs/>
          <w:szCs w:val="24"/>
        </w:rPr>
        <w:t xml:space="preserve"> will continue to work </w:t>
      </w:r>
      <w:r w:rsidR="00FC7398" w:rsidRPr="00470A29">
        <w:rPr>
          <w:rFonts w:cs="Arial"/>
          <w:iCs/>
          <w:szCs w:val="24"/>
        </w:rPr>
        <w:t>at least 0.</w:t>
      </w:r>
      <w:r w:rsidR="00A1270C">
        <w:rPr>
          <w:rFonts w:cs="Arial"/>
          <w:iCs/>
          <w:szCs w:val="24"/>
        </w:rPr>
        <w:t>6</w:t>
      </w:r>
      <w:r w:rsidR="00FC7398" w:rsidRPr="00470A29">
        <w:rPr>
          <w:rFonts w:cs="Arial"/>
          <w:iCs/>
          <w:szCs w:val="24"/>
        </w:rPr>
        <w:t xml:space="preserve"> FTE</w:t>
      </w:r>
      <w:r w:rsidR="008B0C3C">
        <w:rPr>
          <w:rFonts w:cs="Arial"/>
          <w:iCs/>
          <w:szCs w:val="24"/>
        </w:rPr>
        <w:t xml:space="preserve"> within CHS</w:t>
      </w:r>
      <w:r w:rsidR="00BC173F">
        <w:rPr>
          <w:rFonts w:cs="Arial"/>
          <w:iCs/>
          <w:szCs w:val="24"/>
        </w:rPr>
        <w:t xml:space="preserve"> for a minimum of </w:t>
      </w:r>
      <w:r w:rsidR="004917F2">
        <w:rPr>
          <w:rFonts w:cs="Arial"/>
          <w:iCs/>
          <w:szCs w:val="24"/>
        </w:rPr>
        <w:t>twenty-four</w:t>
      </w:r>
      <w:r w:rsidR="007E22BC">
        <w:rPr>
          <w:rFonts w:cs="Arial"/>
          <w:iCs/>
          <w:szCs w:val="24"/>
        </w:rPr>
        <w:t xml:space="preserve"> </w:t>
      </w:r>
      <w:r w:rsidR="00BC173F">
        <w:rPr>
          <w:rFonts w:cs="Arial"/>
          <w:iCs/>
          <w:szCs w:val="24"/>
        </w:rPr>
        <w:t>(</w:t>
      </w:r>
      <w:r w:rsidR="007E22BC">
        <w:rPr>
          <w:rFonts w:cs="Arial"/>
          <w:iCs/>
          <w:szCs w:val="24"/>
        </w:rPr>
        <w:t>24</w:t>
      </w:r>
      <w:r w:rsidR="00BC173F">
        <w:rPr>
          <w:rFonts w:cs="Arial"/>
          <w:iCs/>
          <w:szCs w:val="24"/>
        </w:rPr>
        <w:t>) months following approval of Permanent Residency</w:t>
      </w:r>
    </w:p>
    <w:p w14:paraId="67159EBC" w14:textId="49B5C857" w:rsidR="004917F2" w:rsidRDefault="004917F2" w:rsidP="004917F2">
      <w:pPr>
        <w:rPr>
          <w:rFonts w:cs="Arial"/>
          <w:iCs/>
          <w:szCs w:val="24"/>
        </w:rPr>
      </w:pPr>
    </w:p>
    <w:p w14:paraId="5DD39AE1" w14:textId="1C794B77" w:rsidR="004917F2" w:rsidRPr="004917F2" w:rsidRDefault="004917F2" w:rsidP="00405086">
      <w:pPr>
        <w:rPr>
          <w:rFonts w:cs="Arial"/>
          <w:iCs/>
          <w:szCs w:val="24"/>
        </w:rPr>
      </w:pPr>
      <w:r>
        <w:rPr>
          <w:rFonts w:cs="Arial"/>
          <w:iCs/>
          <w:szCs w:val="24"/>
        </w:rPr>
        <w:t>For Senior Medical Practitioners</w:t>
      </w:r>
    </w:p>
    <w:p w14:paraId="672E8591" w14:textId="050C9F37" w:rsidR="004917F2" w:rsidRPr="005E320A" w:rsidRDefault="0039642B" w:rsidP="004917F2">
      <w:pPr>
        <w:pStyle w:val="ListParagraph"/>
        <w:numPr>
          <w:ilvl w:val="0"/>
          <w:numId w:val="13"/>
        </w:numPr>
        <w:rPr>
          <w:rFonts w:cs="Arial"/>
          <w:iCs/>
          <w:szCs w:val="24"/>
        </w:rPr>
      </w:pPr>
      <w:r>
        <w:rPr>
          <w:rFonts w:cs="Arial"/>
          <w:iCs/>
          <w:szCs w:val="24"/>
        </w:rPr>
        <w:t xml:space="preserve">The </w:t>
      </w:r>
      <w:r w:rsidR="007E22BC">
        <w:rPr>
          <w:rFonts w:cs="Arial"/>
          <w:iCs/>
          <w:szCs w:val="24"/>
        </w:rPr>
        <w:t xml:space="preserve">Medical Practitioner </w:t>
      </w:r>
      <w:r>
        <w:rPr>
          <w:rFonts w:cs="Arial"/>
          <w:iCs/>
          <w:szCs w:val="24"/>
        </w:rPr>
        <w:t>has</w:t>
      </w:r>
      <w:r w:rsidR="00FC7398" w:rsidRPr="00470A29">
        <w:rPr>
          <w:rFonts w:cs="Arial"/>
          <w:iCs/>
          <w:szCs w:val="24"/>
        </w:rPr>
        <w:t xml:space="preserve"> </w:t>
      </w:r>
      <w:r w:rsidR="00470A29">
        <w:rPr>
          <w:rFonts w:cs="Arial"/>
          <w:iCs/>
          <w:szCs w:val="24"/>
        </w:rPr>
        <w:t>obtained</w:t>
      </w:r>
      <w:r w:rsidR="00FC7398" w:rsidRPr="00470A29">
        <w:rPr>
          <w:rFonts w:cs="Arial"/>
          <w:iCs/>
          <w:szCs w:val="24"/>
        </w:rPr>
        <w:t xml:space="preserve"> Fellowship with the relevant specialist medical college</w:t>
      </w:r>
      <w:r w:rsidR="007E22BC">
        <w:rPr>
          <w:rFonts w:cs="Arial"/>
          <w:iCs/>
          <w:szCs w:val="24"/>
        </w:rPr>
        <w:t xml:space="preserve"> and </w:t>
      </w:r>
      <w:r w:rsidR="002362EB">
        <w:rPr>
          <w:rFonts w:cs="Arial"/>
          <w:iCs/>
          <w:szCs w:val="24"/>
        </w:rPr>
        <w:t xml:space="preserve">has or </w:t>
      </w:r>
      <w:r w:rsidR="007E22BC">
        <w:rPr>
          <w:rFonts w:cs="Arial"/>
          <w:iCs/>
          <w:szCs w:val="24"/>
        </w:rPr>
        <w:t>is</w:t>
      </w:r>
      <w:r w:rsidR="007E22BC" w:rsidRPr="007E22BC">
        <w:rPr>
          <w:rFonts w:cs="Arial"/>
          <w:iCs/>
          <w:szCs w:val="24"/>
        </w:rPr>
        <w:t xml:space="preserve"> </w:t>
      </w:r>
      <w:r w:rsidR="007E22BC">
        <w:rPr>
          <w:rFonts w:cs="Arial"/>
          <w:iCs/>
          <w:szCs w:val="24"/>
        </w:rPr>
        <w:t>eligible for specialist registration with the Australian Health Practitioner Regulation Agency (AHPRA)</w:t>
      </w:r>
    </w:p>
    <w:p w14:paraId="08682A0F" w14:textId="77777777" w:rsidR="009A534C" w:rsidRDefault="009A534C" w:rsidP="002362EB">
      <w:pPr>
        <w:rPr>
          <w:b/>
        </w:rPr>
      </w:pPr>
    </w:p>
    <w:p w14:paraId="08682A10" w14:textId="77777777" w:rsidR="009A534C" w:rsidRPr="00DA3910" w:rsidRDefault="003C12ED"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2" w14:textId="77777777" w:rsidTr="008E74FD">
        <w:trPr>
          <w:cantSplit/>
          <w:trHeight w:val="285"/>
        </w:trPr>
        <w:tc>
          <w:tcPr>
            <w:tcW w:w="9158" w:type="dxa"/>
            <w:shd w:val="clear" w:color="auto" w:fill="D9D9D9" w:themeFill="background1" w:themeFillShade="D9"/>
          </w:tcPr>
          <w:p w14:paraId="08682A11" w14:textId="6EC8788C" w:rsidR="009A534C" w:rsidRPr="003D2D06" w:rsidRDefault="00010E74" w:rsidP="00B10F87">
            <w:pPr>
              <w:pStyle w:val="Heading1"/>
            </w:pPr>
            <w:bookmarkStart w:id="12" w:name="_Toc389473284"/>
            <w:bookmarkStart w:id="13" w:name="_Toc393203340"/>
            <w:bookmarkStart w:id="14" w:name="_Toc138683290"/>
            <w:r w:rsidRPr="003D2D06">
              <w:t xml:space="preserve">Section </w:t>
            </w:r>
            <w:r w:rsidR="002A3A3A">
              <w:t>3</w:t>
            </w:r>
            <w:r w:rsidR="009A534C" w:rsidRPr="003D2D06">
              <w:t xml:space="preserve"> – </w:t>
            </w:r>
            <w:bookmarkEnd w:id="12"/>
            <w:bookmarkEnd w:id="13"/>
            <w:r w:rsidR="002A3A3A">
              <w:t>Application and Approval Process</w:t>
            </w:r>
            <w:bookmarkEnd w:id="14"/>
          </w:p>
        </w:tc>
      </w:tr>
    </w:tbl>
    <w:p w14:paraId="08682A13" w14:textId="77777777" w:rsidR="009A534C" w:rsidRDefault="009A534C" w:rsidP="009A534C">
      <w:pPr>
        <w:pStyle w:val="Heading2"/>
      </w:pPr>
    </w:p>
    <w:tbl>
      <w:tblPr>
        <w:tblStyle w:val="TableGrid"/>
        <w:tblW w:w="0" w:type="auto"/>
        <w:tblLook w:val="04A0" w:firstRow="1" w:lastRow="0" w:firstColumn="1" w:lastColumn="0" w:noHBand="0" w:noVBand="1"/>
      </w:tblPr>
      <w:tblGrid>
        <w:gridCol w:w="1696"/>
        <w:gridCol w:w="7364"/>
      </w:tblGrid>
      <w:tr w:rsidR="00D92355" w14:paraId="12CE584B" w14:textId="77777777" w:rsidTr="00D92355">
        <w:tc>
          <w:tcPr>
            <w:tcW w:w="1696" w:type="dxa"/>
          </w:tcPr>
          <w:p w14:paraId="50AECA06" w14:textId="0C023013" w:rsidR="00D92355" w:rsidRDefault="00D92355" w:rsidP="00D54ED5">
            <w:pPr>
              <w:rPr>
                <w:rFonts w:cs="Arial"/>
                <w:i/>
                <w:szCs w:val="24"/>
              </w:rPr>
            </w:pPr>
            <w:r>
              <w:rPr>
                <w:rFonts w:cs="Arial"/>
                <w:i/>
                <w:szCs w:val="24"/>
              </w:rPr>
              <w:t>Step 1</w:t>
            </w:r>
          </w:p>
        </w:tc>
        <w:tc>
          <w:tcPr>
            <w:tcW w:w="7364" w:type="dxa"/>
          </w:tcPr>
          <w:p w14:paraId="5C891A99" w14:textId="0E7E6C22" w:rsidR="00D92355" w:rsidRDefault="007E22BC" w:rsidP="00D54ED5">
            <w:pPr>
              <w:rPr>
                <w:rFonts w:cs="Arial"/>
                <w:i/>
                <w:szCs w:val="24"/>
              </w:rPr>
            </w:pPr>
            <w:r>
              <w:rPr>
                <w:rFonts w:cs="Arial"/>
                <w:i/>
                <w:szCs w:val="24"/>
              </w:rPr>
              <w:t>Medical Practitioner’s</w:t>
            </w:r>
            <w:r w:rsidR="00FE3285">
              <w:rPr>
                <w:rFonts w:cs="Arial"/>
                <w:i/>
                <w:szCs w:val="24"/>
              </w:rPr>
              <w:t xml:space="preserve"> Clinical Director/Manager</w:t>
            </w:r>
            <w:r w:rsidR="00D92355">
              <w:rPr>
                <w:rFonts w:cs="Arial"/>
                <w:i/>
                <w:szCs w:val="24"/>
              </w:rPr>
              <w:t xml:space="preserve"> makes </w:t>
            </w:r>
            <w:r w:rsidR="00FE3285">
              <w:rPr>
                <w:rFonts w:cs="Arial"/>
                <w:i/>
                <w:szCs w:val="24"/>
              </w:rPr>
              <w:t xml:space="preserve">a </w:t>
            </w:r>
            <w:r w:rsidR="00D92355">
              <w:rPr>
                <w:rFonts w:cs="Arial"/>
                <w:i/>
                <w:szCs w:val="24"/>
              </w:rPr>
              <w:t>request to the relevant Executive Director</w:t>
            </w:r>
          </w:p>
        </w:tc>
      </w:tr>
      <w:tr w:rsidR="00D92355" w14:paraId="03E5CE41" w14:textId="77777777" w:rsidTr="00D92355">
        <w:tc>
          <w:tcPr>
            <w:tcW w:w="1696" w:type="dxa"/>
          </w:tcPr>
          <w:p w14:paraId="111E00A1" w14:textId="678FD00A" w:rsidR="00D92355" w:rsidRDefault="00627BB0" w:rsidP="00D54ED5">
            <w:pPr>
              <w:rPr>
                <w:rFonts w:cs="Arial"/>
                <w:i/>
                <w:szCs w:val="24"/>
              </w:rPr>
            </w:pPr>
            <w:r>
              <w:rPr>
                <w:rFonts w:cs="Arial"/>
                <w:i/>
                <w:szCs w:val="24"/>
              </w:rPr>
              <w:t>Step 2</w:t>
            </w:r>
          </w:p>
        </w:tc>
        <w:tc>
          <w:tcPr>
            <w:tcW w:w="7364" w:type="dxa"/>
          </w:tcPr>
          <w:p w14:paraId="7861DD8A" w14:textId="118456D7" w:rsidR="00D92355" w:rsidRDefault="00D92355" w:rsidP="00D54ED5">
            <w:pPr>
              <w:rPr>
                <w:rFonts w:cs="Arial"/>
                <w:i/>
                <w:szCs w:val="24"/>
              </w:rPr>
            </w:pPr>
            <w:r>
              <w:rPr>
                <w:rFonts w:cs="Arial"/>
                <w:i/>
                <w:szCs w:val="24"/>
              </w:rPr>
              <w:t>Executive Director submits a request to</w:t>
            </w:r>
            <w:r w:rsidR="007E22BC">
              <w:rPr>
                <w:rFonts w:cs="Arial"/>
                <w:i/>
                <w:szCs w:val="24"/>
              </w:rPr>
              <w:t>:</w:t>
            </w:r>
          </w:p>
          <w:p w14:paraId="2B5E009E" w14:textId="57AC20D3" w:rsidR="007E22BC" w:rsidRDefault="007E22BC" w:rsidP="007E22BC">
            <w:pPr>
              <w:pStyle w:val="ListParagraph"/>
              <w:numPr>
                <w:ilvl w:val="0"/>
                <w:numId w:val="19"/>
              </w:numPr>
              <w:rPr>
                <w:rFonts w:cs="Arial"/>
                <w:i/>
                <w:szCs w:val="24"/>
              </w:rPr>
            </w:pPr>
            <w:r>
              <w:rPr>
                <w:rFonts w:cs="Arial"/>
                <w:i/>
                <w:szCs w:val="24"/>
              </w:rPr>
              <w:t>MOSCETU</w:t>
            </w:r>
            <w:r w:rsidR="004917F2">
              <w:rPr>
                <w:rFonts w:cs="Arial"/>
                <w:i/>
                <w:szCs w:val="24"/>
              </w:rPr>
              <w:t xml:space="preserve"> </w:t>
            </w:r>
            <w:r w:rsidR="002362EB">
              <w:rPr>
                <w:rFonts w:cs="Arial"/>
                <w:i/>
                <w:szCs w:val="24"/>
              </w:rPr>
              <w:t>(</w:t>
            </w:r>
            <w:r w:rsidR="002362EB" w:rsidRPr="002362EB">
              <w:rPr>
                <w:rFonts w:cs="Arial"/>
                <w:i/>
                <w:szCs w:val="24"/>
              </w:rPr>
              <w:t>chstchmosu@act.gov.au</w:t>
            </w:r>
            <w:r w:rsidR="002362EB">
              <w:rPr>
                <w:rFonts w:cs="Arial"/>
                <w:i/>
                <w:szCs w:val="24"/>
              </w:rPr>
              <w:t>)</w:t>
            </w:r>
            <w:r>
              <w:rPr>
                <w:rFonts w:cs="Arial"/>
                <w:i/>
                <w:szCs w:val="24"/>
              </w:rPr>
              <w:t xml:space="preserve"> for Junior Medical Officers</w:t>
            </w:r>
          </w:p>
          <w:p w14:paraId="470AC9A0" w14:textId="329A84C9" w:rsidR="007E22BC" w:rsidRPr="00405086" w:rsidRDefault="007E22BC" w:rsidP="00405086">
            <w:pPr>
              <w:pStyle w:val="ListParagraph"/>
              <w:numPr>
                <w:ilvl w:val="0"/>
                <w:numId w:val="19"/>
              </w:numPr>
              <w:rPr>
                <w:rFonts w:cs="Arial"/>
                <w:i/>
                <w:szCs w:val="24"/>
              </w:rPr>
            </w:pPr>
            <w:r>
              <w:rPr>
                <w:rFonts w:cs="Arial"/>
                <w:i/>
                <w:szCs w:val="24"/>
              </w:rPr>
              <w:lastRenderedPageBreak/>
              <w:t>Senior Medical Talent Acquisition Team</w:t>
            </w:r>
            <w:r w:rsidR="004917F2">
              <w:rPr>
                <w:rFonts w:cs="Arial"/>
                <w:i/>
                <w:szCs w:val="24"/>
              </w:rPr>
              <w:t xml:space="preserve"> (SMRO@act.gov.au)</w:t>
            </w:r>
            <w:r>
              <w:rPr>
                <w:rFonts w:cs="Arial"/>
                <w:i/>
                <w:szCs w:val="24"/>
              </w:rPr>
              <w:t xml:space="preserve"> for Senior Medical Practitioners</w:t>
            </w:r>
          </w:p>
        </w:tc>
      </w:tr>
      <w:tr w:rsidR="00D92355" w14:paraId="0B1FA36F" w14:textId="77777777" w:rsidTr="00D92355">
        <w:tc>
          <w:tcPr>
            <w:tcW w:w="1696" w:type="dxa"/>
          </w:tcPr>
          <w:p w14:paraId="22263FE6" w14:textId="0E6CA413" w:rsidR="00D92355" w:rsidRDefault="00627BB0" w:rsidP="00D54ED5">
            <w:pPr>
              <w:rPr>
                <w:rFonts w:cs="Arial"/>
                <w:i/>
                <w:szCs w:val="24"/>
              </w:rPr>
            </w:pPr>
            <w:r>
              <w:rPr>
                <w:rFonts w:cs="Arial"/>
                <w:i/>
                <w:szCs w:val="24"/>
              </w:rPr>
              <w:lastRenderedPageBreak/>
              <w:t>Step 3</w:t>
            </w:r>
          </w:p>
        </w:tc>
        <w:tc>
          <w:tcPr>
            <w:tcW w:w="7364" w:type="dxa"/>
          </w:tcPr>
          <w:p w14:paraId="2F58C337" w14:textId="4F20B716" w:rsidR="002362EB" w:rsidRDefault="002362EB" w:rsidP="00D54ED5">
            <w:pPr>
              <w:rPr>
                <w:rFonts w:cs="Arial"/>
                <w:i/>
                <w:szCs w:val="24"/>
              </w:rPr>
            </w:pPr>
            <w:r>
              <w:rPr>
                <w:rFonts w:cs="Arial"/>
                <w:i/>
                <w:szCs w:val="24"/>
              </w:rPr>
              <w:t xml:space="preserve">For Junior Medical Officers – </w:t>
            </w:r>
            <w:r w:rsidR="00AC66DE">
              <w:rPr>
                <w:rFonts w:cs="Arial"/>
                <w:i/>
                <w:szCs w:val="24"/>
              </w:rPr>
              <w:t>Director of International Coordination</w:t>
            </w:r>
            <w:r w:rsidR="00FC28A1">
              <w:rPr>
                <w:rFonts w:cs="Arial"/>
                <w:i/>
                <w:szCs w:val="24"/>
              </w:rPr>
              <w:t xml:space="preserve"> provides a recommendation to the </w:t>
            </w:r>
            <w:r>
              <w:rPr>
                <w:rFonts w:cs="Arial"/>
                <w:i/>
                <w:szCs w:val="24"/>
              </w:rPr>
              <w:t xml:space="preserve">Senior Director, MOSCETU </w:t>
            </w:r>
            <w:r w:rsidR="00FC28A1">
              <w:rPr>
                <w:rFonts w:cs="Arial"/>
                <w:i/>
                <w:szCs w:val="24"/>
              </w:rPr>
              <w:t xml:space="preserve">for </w:t>
            </w:r>
            <w:r w:rsidR="007171A3">
              <w:rPr>
                <w:rFonts w:cs="Arial"/>
                <w:i/>
                <w:szCs w:val="24"/>
              </w:rPr>
              <w:t>approval.</w:t>
            </w:r>
          </w:p>
          <w:p w14:paraId="191AB167" w14:textId="77777777" w:rsidR="002362EB" w:rsidRDefault="002362EB" w:rsidP="00D54ED5">
            <w:pPr>
              <w:rPr>
                <w:rFonts w:cs="Arial"/>
                <w:i/>
                <w:szCs w:val="24"/>
              </w:rPr>
            </w:pPr>
          </w:p>
          <w:p w14:paraId="306E1B72" w14:textId="3490C7A7" w:rsidR="00D92355" w:rsidRDefault="002362EB" w:rsidP="00D54ED5">
            <w:pPr>
              <w:rPr>
                <w:rFonts w:cs="Arial"/>
                <w:i/>
                <w:szCs w:val="24"/>
              </w:rPr>
            </w:pPr>
            <w:r>
              <w:rPr>
                <w:rFonts w:cs="Arial"/>
                <w:i/>
                <w:szCs w:val="24"/>
              </w:rPr>
              <w:t xml:space="preserve">For Senior Medical Practitioners - </w:t>
            </w:r>
            <w:r w:rsidRPr="002362EB">
              <w:rPr>
                <w:rFonts w:cs="Arial"/>
                <w:i/>
                <w:szCs w:val="24"/>
              </w:rPr>
              <w:t xml:space="preserve">Senior Medical Talent Acquisition Team </w:t>
            </w:r>
            <w:r w:rsidR="004917F2">
              <w:rPr>
                <w:rFonts w:cs="Arial"/>
                <w:i/>
                <w:szCs w:val="24"/>
              </w:rPr>
              <w:t>provides a recommendation to the Executive Director of Medical Services for approval</w:t>
            </w:r>
            <w:r w:rsidR="007171A3">
              <w:rPr>
                <w:rFonts w:cs="Arial"/>
                <w:i/>
                <w:szCs w:val="24"/>
              </w:rPr>
              <w:t>.</w:t>
            </w:r>
          </w:p>
        </w:tc>
      </w:tr>
      <w:tr w:rsidR="00D92355" w14:paraId="19A22680" w14:textId="77777777" w:rsidTr="00D92355">
        <w:tc>
          <w:tcPr>
            <w:tcW w:w="1696" w:type="dxa"/>
          </w:tcPr>
          <w:p w14:paraId="5F4601B3" w14:textId="31481687" w:rsidR="00D92355" w:rsidRDefault="00627BB0" w:rsidP="00D54ED5">
            <w:pPr>
              <w:rPr>
                <w:rFonts w:cs="Arial"/>
                <w:i/>
                <w:szCs w:val="24"/>
              </w:rPr>
            </w:pPr>
            <w:r>
              <w:rPr>
                <w:rFonts w:cs="Arial"/>
                <w:i/>
                <w:szCs w:val="24"/>
              </w:rPr>
              <w:t xml:space="preserve">Step </w:t>
            </w:r>
            <w:r w:rsidR="004917F2">
              <w:rPr>
                <w:rFonts w:cs="Arial"/>
                <w:i/>
                <w:szCs w:val="24"/>
              </w:rPr>
              <w:t>4</w:t>
            </w:r>
          </w:p>
        </w:tc>
        <w:tc>
          <w:tcPr>
            <w:tcW w:w="7364" w:type="dxa"/>
          </w:tcPr>
          <w:p w14:paraId="1BBC15EF" w14:textId="0741EC5E" w:rsidR="00D92355" w:rsidRDefault="002362EB" w:rsidP="00D54ED5">
            <w:pPr>
              <w:rPr>
                <w:rFonts w:cs="Arial"/>
                <w:i/>
                <w:szCs w:val="24"/>
              </w:rPr>
            </w:pPr>
            <w:r>
              <w:rPr>
                <w:rFonts w:cs="Arial"/>
                <w:i/>
                <w:szCs w:val="24"/>
              </w:rPr>
              <w:t xml:space="preserve">Visa nomination is lodged by </w:t>
            </w:r>
            <w:r w:rsidRPr="002362EB">
              <w:rPr>
                <w:rFonts w:cs="Arial"/>
                <w:i/>
                <w:szCs w:val="24"/>
              </w:rPr>
              <w:t>Senior Medical Talent Acquisition Team</w:t>
            </w:r>
            <w:r>
              <w:rPr>
                <w:rFonts w:cs="Arial"/>
                <w:i/>
                <w:szCs w:val="24"/>
              </w:rPr>
              <w:t>/MOSCETU</w:t>
            </w:r>
            <w:r w:rsidRPr="002362EB">
              <w:rPr>
                <w:rFonts w:cs="Arial"/>
                <w:i/>
                <w:szCs w:val="24"/>
              </w:rPr>
              <w:t xml:space="preserve"> </w:t>
            </w:r>
            <w:r w:rsidR="00627BB0">
              <w:rPr>
                <w:rFonts w:cs="Arial"/>
                <w:i/>
                <w:szCs w:val="24"/>
              </w:rPr>
              <w:t>o</w:t>
            </w:r>
            <w:r w:rsidR="0039642B">
              <w:rPr>
                <w:rFonts w:cs="Arial"/>
                <w:i/>
                <w:szCs w:val="24"/>
              </w:rPr>
              <w:t>r</w:t>
            </w:r>
            <w:r w:rsidR="00627BB0">
              <w:rPr>
                <w:rFonts w:cs="Arial"/>
                <w:i/>
                <w:szCs w:val="24"/>
              </w:rPr>
              <w:t xml:space="preserve"> a Licensed Migration Agent (if applicable)</w:t>
            </w:r>
          </w:p>
        </w:tc>
      </w:tr>
    </w:tbl>
    <w:p w14:paraId="08682A17" w14:textId="5044ACBD" w:rsidR="009A534C" w:rsidRDefault="009A534C" w:rsidP="009A534C">
      <w:pPr>
        <w:rPr>
          <w:rFonts w:cs="Arial"/>
          <w:b/>
          <w:szCs w:val="24"/>
        </w:rPr>
      </w:pPr>
    </w:p>
    <w:p w14:paraId="75A3AB7E" w14:textId="77777777" w:rsidR="005E320A" w:rsidRDefault="005E320A" w:rsidP="009A534C">
      <w:pPr>
        <w:rPr>
          <w:rFonts w:cs="Arial"/>
          <w:b/>
          <w:szCs w:val="24"/>
        </w:rPr>
      </w:pPr>
    </w:p>
    <w:p w14:paraId="46449C47" w14:textId="22F70300" w:rsidR="004424F0" w:rsidRPr="005E320A" w:rsidRDefault="003C12ED" w:rsidP="005E320A">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2A3A3A" w:rsidRPr="00CD1C0E" w14:paraId="452D0D0E" w14:textId="77777777" w:rsidTr="00090BEE">
        <w:trPr>
          <w:cantSplit/>
          <w:trHeight w:val="285"/>
        </w:trPr>
        <w:tc>
          <w:tcPr>
            <w:tcW w:w="9158" w:type="dxa"/>
            <w:shd w:val="clear" w:color="auto" w:fill="D9D9D9" w:themeFill="background1" w:themeFillShade="D9"/>
          </w:tcPr>
          <w:p w14:paraId="2EF341B8" w14:textId="3DE69745" w:rsidR="002A3A3A" w:rsidRPr="003D2D06" w:rsidRDefault="002A3A3A" w:rsidP="00090BEE">
            <w:pPr>
              <w:pStyle w:val="Heading1"/>
            </w:pPr>
            <w:bookmarkStart w:id="15" w:name="_Toc138683291"/>
            <w:r w:rsidRPr="003D2D06">
              <w:t xml:space="preserve">Section </w:t>
            </w:r>
            <w:r>
              <w:t>4</w:t>
            </w:r>
            <w:r w:rsidRPr="003D2D06">
              <w:t xml:space="preserve"> – </w:t>
            </w:r>
            <w:r>
              <w:t>Cost Allocation</w:t>
            </w:r>
            <w:bookmarkEnd w:id="15"/>
          </w:p>
        </w:tc>
      </w:tr>
    </w:tbl>
    <w:p w14:paraId="3C83D7C4" w14:textId="77777777" w:rsidR="00BC173F" w:rsidRDefault="00BC173F" w:rsidP="002A3A3A">
      <w:pPr>
        <w:pStyle w:val="Heading2"/>
        <w:rPr>
          <w:b w:val="0"/>
          <w:bCs w:val="0"/>
        </w:rPr>
      </w:pPr>
    </w:p>
    <w:p w14:paraId="6C5AAA6D" w14:textId="0BBB1879" w:rsidR="002A3A3A" w:rsidRPr="00BC173F" w:rsidRDefault="00BC173F" w:rsidP="002A3A3A">
      <w:pPr>
        <w:pStyle w:val="Heading2"/>
        <w:rPr>
          <w:b w:val="0"/>
          <w:bCs w:val="0"/>
        </w:rPr>
      </w:pPr>
      <w:r w:rsidRPr="00BC173F">
        <w:rPr>
          <w:b w:val="0"/>
          <w:bCs w:val="0"/>
        </w:rPr>
        <w:t>All costs associated with a Subclass 186 visa application are listed below and as per standard recruitment expenses</w:t>
      </w:r>
      <w:r w:rsidR="00BB59C3">
        <w:rPr>
          <w:b w:val="0"/>
          <w:bCs w:val="0"/>
        </w:rPr>
        <w:t xml:space="preserve"> the CHS expenses</w:t>
      </w:r>
      <w:r w:rsidRPr="00BC173F">
        <w:rPr>
          <w:b w:val="0"/>
          <w:bCs w:val="0"/>
        </w:rPr>
        <w:t xml:space="preserve"> would be </w:t>
      </w:r>
      <w:r w:rsidR="00CC7F37">
        <w:rPr>
          <w:b w:val="0"/>
          <w:bCs w:val="0"/>
        </w:rPr>
        <w:t>paid by</w:t>
      </w:r>
      <w:r w:rsidRPr="00BC173F">
        <w:rPr>
          <w:b w:val="0"/>
          <w:bCs w:val="0"/>
        </w:rPr>
        <w:t xml:space="preserve"> the hiring Division.</w:t>
      </w:r>
    </w:p>
    <w:p w14:paraId="37F0F148" w14:textId="77777777" w:rsidR="00BC173F" w:rsidRPr="00BC173F" w:rsidRDefault="00BC173F" w:rsidP="00BC173F"/>
    <w:p w14:paraId="4ABEC394" w14:textId="1C9A0E74" w:rsidR="006D3566" w:rsidRPr="006D3566" w:rsidRDefault="006D3566" w:rsidP="006D3566">
      <w:pPr>
        <w:rPr>
          <w:b/>
          <w:bCs/>
          <w:u w:val="single"/>
        </w:rPr>
      </w:pPr>
      <w:r w:rsidRPr="006D3566">
        <w:rPr>
          <w:b/>
          <w:bCs/>
          <w:u w:val="single"/>
        </w:rPr>
        <w:t>Subclass 186 visa costs</w:t>
      </w:r>
    </w:p>
    <w:p w14:paraId="5D292865" w14:textId="77777777" w:rsidR="006D3566" w:rsidRPr="006D3566" w:rsidRDefault="006D3566" w:rsidP="006D3566"/>
    <w:tbl>
      <w:tblPr>
        <w:tblStyle w:val="TableGrid"/>
        <w:tblW w:w="0" w:type="auto"/>
        <w:tblLook w:val="04A0" w:firstRow="1" w:lastRow="0" w:firstColumn="1" w:lastColumn="0" w:noHBand="0" w:noVBand="1"/>
      </w:tblPr>
      <w:tblGrid>
        <w:gridCol w:w="6091"/>
        <w:gridCol w:w="1275"/>
        <w:gridCol w:w="1694"/>
      </w:tblGrid>
      <w:tr w:rsidR="00627BB0" w14:paraId="6EFBF824" w14:textId="77777777" w:rsidTr="00F25C7C">
        <w:tc>
          <w:tcPr>
            <w:tcW w:w="6091" w:type="dxa"/>
          </w:tcPr>
          <w:p w14:paraId="287969CD" w14:textId="23DAFB56" w:rsidR="00627BB0" w:rsidRPr="00F25C7C" w:rsidRDefault="00627BB0" w:rsidP="00627BB0">
            <w:pPr>
              <w:rPr>
                <w:b/>
                <w:bCs/>
              </w:rPr>
            </w:pPr>
            <w:r w:rsidRPr="00F25C7C">
              <w:rPr>
                <w:b/>
                <w:bCs/>
              </w:rPr>
              <w:t>Item</w:t>
            </w:r>
          </w:p>
        </w:tc>
        <w:tc>
          <w:tcPr>
            <w:tcW w:w="1275" w:type="dxa"/>
          </w:tcPr>
          <w:p w14:paraId="54DCA062" w14:textId="45A094F8" w:rsidR="00627BB0" w:rsidRPr="00F25C7C" w:rsidRDefault="00627BB0" w:rsidP="00627BB0">
            <w:pPr>
              <w:rPr>
                <w:b/>
                <w:bCs/>
              </w:rPr>
            </w:pPr>
            <w:r w:rsidRPr="00F25C7C">
              <w:rPr>
                <w:b/>
                <w:bCs/>
              </w:rPr>
              <w:t>Cost</w:t>
            </w:r>
          </w:p>
        </w:tc>
        <w:tc>
          <w:tcPr>
            <w:tcW w:w="1694" w:type="dxa"/>
          </w:tcPr>
          <w:p w14:paraId="2F01B14F" w14:textId="777091D7" w:rsidR="00627BB0" w:rsidRPr="00F25C7C" w:rsidRDefault="00627BB0" w:rsidP="00627BB0">
            <w:pPr>
              <w:rPr>
                <w:b/>
                <w:bCs/>
              </w:rPr>
            </w:pPr>
            <w:r w:rsidRPr="00F25C7C">
              <w:rPr>
                <w:b/>
                <w:bCs/>
              </w:rPr>
              <w:t>Responsibility</w:t>
            </w:r>
          </w:p>
        </w:tc>
      </w:tr>
      <w:tr w:rsidR="00627BB0" w14:paraId="04A11394" w14:textId="77777777" w:rsidTr="00F25C7C">
        <w:tc>
          <w:tcPr>
            <w:tcW w:w="6091" w:type="dxa"/>
          </w:tcPr>
          <w:p w14:paraId="536B721E" w14:textId="08973638" w:rsidR="00627BB0" w:rsidRDefault="00627BB0" w:rsidP="00627BB0">
            <w:r w:rsidRPr="00627BB0">
              <w:t>Visa application fee (primary applicant)</w:t>
            </w:r>
          </w:p>
        </w:tc>
        <w:tc>
          <w:tcPr>
            <w:tcW w:w="1275" w:type="dxa"/>
          </w:tcPr>
          <w:p w14:paraId="5C05B83F" w14:textId="1ACD2640" w:rsidR="00627BB0" w:rsidRDefault="00627BB0" w:rsidP="00627BB0">
            <w:r w:rsidRPr="00627BB0">
              <w:t>$4,240</w:t>
            </w:r>
          </w:p>
        </w:tc>
        <w:tc>
          <w:tcPr>
            <w:tcW w:w="1694" w:type="dxa"/>
          </w:tcPr>
          <w:p w14:paraId="627A3070" w14:textId="4B2084CB" w:rsidR="00627BB0" w:rsidRDefault="00627BB0" w:rsidP="00627BB0">
            <w:r>
              <w:t>Applicant</w:t>
            </w:r>
          </w:p>
        </w:tc>
      </w:tr>
      <w:tr w:rsidR="00627BB0" w14:paraId="4F748714" w14:textId="77777777" w:rsidTr="00F25C7C">
        <w:tc>
          <w:tcPr>
            <w:tcW w:w="6091" w:type="dxa"/>
          </w:tcPr>
          <w:p w14:paraId="3278D4E8" w14:textId="48E84080" w:rsidR="00627BB0" w:rsidRDefault="00627BB0" w:rsidP="00627BB0">
            <w:r w:rsidRPr="00627BB0">
              <w:t>Visa application fee (dependent – over 18)</w:t>
            </w:r>
          </w:p>
        </w:tc>
        <w:tc>
          <w:tcPr>
            <w:tcW w:w="1275" w:type="dxa"/>
          </w:tcPr>
          <w:p w14:paraId="608C8E56" w14:textId="37B748D3" w:rsidR="00627BB0" w:rsidRDefault="00627BB0" w:rsidP="00627BB0">
            <w:r w:rsidRPr="00627BB0">
              <w:t>$2,120</w:t>
            </w:r>
          </w:p>
        </w:tc>
        <w:tc>
          <w:tcPr>
            <w:tcW w:w="1694" w:type="dxa"/>
          </w:tcPr>
          <w:p w14:paraId="0B3D7314" w14:textId="5DF8997A" w:rsidR="00627BB0" w:rsidRDefault="00627BB0" w:rsidP="00627BB0">
            <w:r>
              <w:t>Applicant</w:t>
            </w:r>
          </w:p>
        </w:tc>
      </w:tr>
      <w:tr w:rsidR="00627BB0" w14:paraId="5DFCE4A5" w14:textId="77777777" w:rsidTr="00F25C7C">
        <w:tc>
          <w:tcPr>
            <w:tcW w:w="6091" w:type="dxa"/>
          </w:tcPr>
          <w:p w14:paraId="446EE8AD" w14:textId="34274748" w:rsidR="00627BB0" w:rsidRDefault="00627BB0" w:rsidP="00627BB0">
            <w:r w:rsidRPr="00627BB0">
              <w:t>Visa application fee (dependent – under 18)</w:t>
            </w:r>
          </w:p>
        </w:tc>
        <w:tc>
          <w:tcPr>
            <w:tcW w:w="1275" w:type="dxa"/>
          </w:tcPr>
          <w:p w14:paraId="6DE10997" w14:textId="7DBC51EF" w:rsidR="00627BB0" w:rsidRDefault="00627BB0" w:rsidP="00627BB0">
            <w:r w:rsidRPr="00627BB0">
              <w:t>$1,060</w:t>
            </w:r>
          </w:p>
        </w:tc>
        <w:tc>
          <w:tcPr>
            <w:tcW w:w="1694" w:type="dxa"/>
          </w:tcPr>
          <w:p w14:paraId="6D39D067" w14:textId="2524BE34" w:rsidR="00627BB0" w:rsidRDefault="00627BB0" w:rsidP="00627BB0">
            <w:r>
              <w:t>Applicant</w:t>
            </w:r>
          </w:p>
        </w:tc>
      </w:tr>
      <w:tr w:rsidR="00627BB0" w14:paraId="03376BE0" w14:textId="77777777" w:rsidTr="00F25C7C">
        <w:tc>
          <w:tcPr>
            <w:tcW w:w="6091" w:type="dxa"/>
          </w:tcPr>
          <w:p w14:paraId="49DC7711" w14:textId="68F859D9" w:rsidR="00627BB0" w:rsidRDefault="00627BB0" w:rsidP="00627BB0">
            <w:r>
              <w:t>Miscellaneous costs in support of application (</w:t>
            </w:r>
            <w:proofErr w:type="gramStart"/>
            <w:r>
              <w:t>e.g</w:t>
            </w:r>
            <w:r w:rsidR="002A688B">
              <w:t>.</w:t>
            </w:r>
            <w:proofErr w:type="gramEnd"/>
            <w:r>
              <w:t xml:space="preserve"> Police checks, medical checks, translations etc)</w:t>
            </w:r>
          </w:p>
        </w:tc>
        <w:tc>
          <w:tcPr>
            <w:tcW w:w="1275" w:type="dxa"/>
          </w:tcPr>
          <w:p w14:paraId="29D09AF3" w14:textId="41A9A820" w:rsidR="00627BB0" w:rsidRDefault="00627BB0" w:rsidP="00627BB0">
            <w:r>
              <w:t>Variable</w:t>
            </w:r>
          </w:p>
        </w:tc>
        <w:tc>
          <w:tcPr>
            <w:tcW w:w="1694" w:type="dxa"/>
          </w:tcPr>
          <w:p w14:paraId="42D5129A" w14:textId="0DA1A56A" w:rsidR="00627BB0" w:rsidRDefault="00627BB0" w:rsidP="00627BB0">
            <w:r>
              <w:t>Applicant</w:t>
            </w:r>
          </w:p>
        </w:tc>
      </w:tr>
      <w:tr w:rsidR="00627BB0" w14:paraId="2CFB76CD" w14:textId="77777777" w:rsidTr="00F25C7C">
        <w:tc>
          <w:tcPr>
            <w:tcW w:w="6091" w:type="dxa"/>
          </w:tcPr>
          <w:p w14:paraId="00322042" w14:textId="4D9B0095" w:rsidR="00627BB0" w:rsidRDefault="00627BB0" w:rsidP="00627BB0">
            <w:r>
              <w:t>Nomination fee*</w:t>
            </w:r>
          </w:p>
        </w:tc>
        <w:tc>
          <w:tcPr>
            <w:tcW w:w="1275" w:type="dxa"/>
          </w:tcPr>
          <w:p w14:paraId="1E0C3A14" w14:textId="30FB8723" w:rsidR="00627BB0" w:rsidRDefault="00627BB0" w:rsidP="00627BB0">
            <w:r w:rsidRPr="00627BB0">
              <w:t xml:space="preserve">$540 </w:t>
            </w:r>
            <w:r w:rsidR="00F25C7C">
              <w:t>**</w:t>
            </w:r>
          </w:p>
        </w:tc>
        <w:tc>
          <w:tcPr>
            <w:tcW w:w="1694" w:type="dxa"/>
          </w:tcPr>
          <w:p w14:paraId="561CE148" w14:textId="6083575F" w:rsidR="00627BB0" w:rsidRDefault="00627BB0" w:rsidP="00627BB0">
            <w:r>
              <w:t>CHS</w:t>
            </w:r>
          </w:p>
        </w:tc>
      </w:tr>
      <w:tr w:rsidR="00627BB0" w14:paraId="0DC9E856" w14:textId="77777777" w:rsidTr="00F25C7C">
        <w:tc>
          <w:tcPr>
            <w:tcW w:w="6091" w:type="dxa"/>
          </w:tcPr>
          <w:p w14:paraId="460962AD" w14:textId="45121817" w:rsidR="00627BB0" w:rsidRDefault="00627BB0" w:rsidP="00627BB0">
            <w:r w:rsidRPr="00627BB0">
              <w:t>Skilling Australia Fund levy (one off payment</w:t>
            </w:r>
            <w:r w:rsidR="00AF444B">
              <w:t xml:space="preserve"> per applicant</w:t>
            </w:r>
            <w:r w:rsidRPr="00627BB0">
              <w:t>) *</w:t>
            </w:r>
          </w:p>
        </w:tc>
        <w:tc>
          <w:tcPr>
            <w:tcW w:w="1275" w:type="dxa"/>
          </w:tcPr>
          <w:p w14:paraId="711B5645" w14:textId="199DA803" w:rsidR="00627BB0" w:rsidRDefault="00627BB0" w:rsidP="00627BB0">
            <w:r>
              <w:t>$5,000</w:t>
            </w:r>
          </w:p>
        </w:tc>
        <w:tc>
          <w:tcPr>
            <w:tcW w:w="1694" w:type="dxa"/>
          </w:tcPr>
          <w:p w14:paraId="40C98396" w14:textId="29C7F773" w:rsidR="00627BB0" w:rsidRDefault="00627BB0" w:rsidP="00627BB0">
            <w:r>
              <w:t>CHS</w:t>
            </w:r>
          </w:p>
        </w:tc>
      </w:tr>
      <w:tr w:rsidR="00627BB0" w14:paraId="21845560" w14:textId="77777777" w:rsidTr="00F25C7C">
        <w:tc>
          <w:tcPr>
            <w:tcW w:w="6091" w:type="dxa"/>
          </w:tcPr>
          <w:p w14:paraId="696E2654" w14:textId="5CCC3FE6" w:rsidR="00627BB0" w:rsidRPr="00627BB0" w:rsidRDefault="00627BB0" w:rsidP="00627BB0">
            <w:r w:rsidRPr="00627BB0">
              <w:t>Professional fee (Registered Migration Agent) estimated cost</w:t>
            </w:r>
          </w:p>
        </w:tc>
        <w:tc>
          <w:tcPr>
            <w:tcW w:w="1275" w:type="dxa"/>
          </w:tcPr>
          <w:p w14:paraId="41C1452C" w14:textId="76B3F5CD" w:rsidR="00627BB0" w:rsidRDefault="00627BB0" w:rsidP="00627BB0">
            <w:r>
              <w:t>$3,000</w:t>
            </w:r>
          </w:p>
        </w:tc>
        <w:tc>
          <w:tcPr>
            <w:tcW w:w="1694" w:type="dxa"/>
          </w:tcPr>
          <w:p w14:paraId="2E878EF7" w14:textId="36E49651" w:rsidR="00627BB0" w:rsidRDefault="00627BB0" w:rsidP="00627BB0">
            <w:r>
              <w:t>Applicant</w:t>
            </w:r>
          </w:p>
        </w:tc>
      </w:tr>
    </w:tbl>
    <w:p w14:paraId="02D69190" w14:textId="7C9AFAA1" w:rsidR="00627BB0" w:rsidRDefault="00627BB0" w:rsidP="00627BB0"/>
    <w:p w14:paraId="608DF0F8" w14:textId="2FA56D8B" w:rsidR="00627BB0" w:rsidRDefault="00627BB0" w:rsidP="00627BB0">
      <w:r>
        <w:t>*Must be covered by the CHS as the nominating employer and cannot be passed o</w:t>
      </w:r>
      <w:r w:rsidR="00BC173F">
        <w:t>n</w:t>
      </w:r>
      <w:r>
        <w:t xml:space="preserve"> or recouped from the visa applicant.</w:t>
      </w:r>
    </w:p>
    <w:p w14:paraId="01C5EC41" w14:textId="21051FFB" w:rsidR="00F25C7C" w:rsidRDefault="00F25C7C" w:rsidP="00627BB0"/>
    <w:p w14:paraId="5CA893A9" w14:textId="0D94FE36" w:rsidR="00F25C7C" w:rsidRDefault="00F25C7C" w:rsidP="00627BB0">
      <w:r>
        <w:t xml:space="preserve">** The Nomination Fee may be waived </w:t>
      </w:r>
      <w:r w:rsidRPr="00627BB0">
        <w:t xml:space="preserve">where </w:t>
      </w:r>
      <w:r>
        <w:t xml:space="preserve">the </w:t>
      </w:r>
      <w:r w:rsidRPr="00627BB0">
        <w:t xml:space="preserve">position is in a “designated regional </w:t>
      </w:r>
      <w:proofErr w:type="gramStart"/>
      <w:r w:rsidRPr="00627BB0">
        <w:t>area</w:t>
      </w:r>
      <w:r>
        <w:t>”</w:t>
      </w:r>
      <w:proofErr w:type="gramEnd"/>
    </w:p>
    <w:p w14:paraId="0381E58B" w14:textId="294FB9CC" w:rsidR="00F25C7C" w:rsidRDefault="00F25C7C" w:rsidP="00627BB0"/>
    <w:p w14:paraId="729798B4" w14:textId="13E1359B" w:rsidR="00F25C7C" w:rsidRPr="00627BB0" w:rsidRDefault="00F25C7C" w:rsidP="00627BB0">
      <w:r>
        <w:t>Note: Government fees shown apply to the 2022/23 Financial Year and are subject to change.</w:t>
      </w:r>
    </w:p>
    <w:p w14:paraId="58AA3AFD" w14:textId="793AE526" w:rsidR="002A3A3A" w:rsidRDefault="002A3A3A" w:rsidP="002A3A3A">
      <w:pPr>
        <w:rPr>
          <w:rFonts w:cs="Arial"/>
          <w:i/>
          <w:szCs w:val="24"/>
        </w:rPr>
      </w:pPr>
    </w:p>
    <w:p w14:paraId="6375CDF3" w14:textId="396AD9E4" w:rsidR="005E320A" w:rsidRDefault="005E320A" w:rsidP="002A3A3A">
      <w:pPr>
        <w:rPr>
          <w:rFonts w:cs="Arial"/>
          <w:i/>
          <w:szCs w:val="24"/>
        </w:rPr>
      </w:pPr>
    </w:p>
    <w:p w14:paraId="5335C7E9" w14:textId="77777777" w:rsidR="005E320A" w:rsidRDefault="005E320A" w:rsidP="002A3A3A">
      <w:pPr>
        <w:rPr>
          <w:rFonts w:cs="Arial"/>
          <w:i/>
          <w:szCs w:val="24"/>
        </w:rPr>
      </w:pPr>
    </w:p>
    <w:p w14:paraId="15A5E676" w14:textId="0E422B33" w:rsidR="002A3A3A" w:rsidRPr="006D3566" w:rsidRDefault="006D3566" w:rsidP="002A3A3A">
      <w:pPr>
        <w:rPr>
          <w:rFonts w:cs="Arial"/>
          <w:b/>
          <w:szCs w:val="24"/>
          <w:u w:val="single"/>
        </w:rPr>
      </w:pPr>
      <w:r w:rsidRPr="006D3566">
        <w:rPr>
          <w:rFonts w:cs="Arial"/>
          <w:b/>
          <w:szCs w:val="24"/>
          <w:u w:val="single"/>
        </w:rPr>
        <w:lastRenderedPageBreak/>
        <w:t>Funding Clawback</w:t>
      </w:r>
    </w:p>
    <w:p w14:paraId="7B69A8A0" w14:textId="1B80077D" w:rsidR="006D3566" w:rsidRDefault="006D3566" w:rsidP="002A3A3A">
      <w:pPr>
        <w:rPr>
          <w:rFonts w:cs="Arial"/>
          <w:b/>
          <w:szCs w:val="24"/>
        </w:rPr>
      </w:pPr>
    </w:p>
    <w:p w14:paraId="19AC1696" w14:textId="504032F5" w:rsidR="006D3566" w:rsidRDefault="006D3566" w:rsidP="002A3A3A">
      <w:pPr>
        <w:rPr>
          <w:rFonts w:cs="Arial"/>
          <w:bCs/>
          <w:szCs w:val="24"/>
        </w:rPr>
      </w:pPr>
      <w:r>
        <w:rPr>
          <w:rFonts w:cs="Arial"/>
          <w:bCs/>
          <w:szCs w:val="24"/>
        </w:rPr>
        <w:t xml:space="preserve">To encourage retention, the Division may choose to include a clawback clause in permanent contracts upon approval of a Subclass 186 visa. </w:t>
      </w:r>
      <w:r w:rsidRPr="006D3566">
        <w:rPr>
          <w:rFonts w:cs="Arial"/>
          <w:bCs/>
          <w:szCs w:val="24"/>
        </w:rPr>
        <w:t>However, while clawback clauses are often included in employment contracts, there are risks in relying on such clauses as they are often unenforceable and of no effect.</w:t>
      </w:r>
    </w:p>
    <w:p w14:paraId="7F8D8D90" w14:textId="747CBFE0" w:rsidR="006D3566" w:rsidRDefault="006D3566" w:rsidP="002A3A3A">
      <w:pPr>
        <w:rPr>
          <w:rFonts w:cs="Arial"/>
          <w:bCs/>
          <w:szCs w:val="24"/>
        </w:rPr>
      </w:pPr>
    </w:p>
    <w:p w14:paraId="70D9EA3C" w14:textId="6DBD960F" w:rsidR="006D3566" w:rsidRDefault="006D3566" w:rsidP="002A3A3A">
      <w:pPr>
        <w:rPr>
          <w:rFonts w:cs="Arial"/>
          <w:bCs/>
          <w:szCs w:val="24"/>
        </w:rPr>
      </w:pPr>
      <w:r>
        <w:rPr>
          <w:rFonts w:cs="Arial"/>
          <w:bCs/>
          <w:szCs w:val="24"/>
        </w:rPr>
        <w:t>If a clawback is included in employment contracts, the terms should be as follows:</w:t>
      </w:r>
    </w:p>
    <w:p w14:paraId="1D329CFC" w14:textId="39BD39CD" w:rsidR="006D3566" w:rsidRDefault="006D3566" w:rsidP="002A3A3A">
      <w:pPr>
        <w:rPr>
          <w:rFonts w:cs="Arial"/>
          <w:bCs/>
          <w:szCs w:val="24"/>
        </w:rPr>
      </w:pPr>
    </w:p>
    <w:p w14:paraId="2B5F478A" w14:textId="09781473" w:rsidR="006D3566" w:rsidRDefault="006D3566" w:rsidP="006D3566">
      <w:pPr>
        <w:pStyle w:val="ListParagraph"/>
        <w:numPr>
          <w:ilvl w:val="0"/>
          <w:numId w:val="14"/>
        </w:numPr>
        <w:rPr>
          <w:rFonts w:cs="Arial"/>
          <w:bCs/>
          <w:szCs w:val="24"/>
        </w:rPr>
      </w:pPr>
      <w:r>
        <w:rPr>
          <w:rFonts w:cs="Arial"/>
          <w:bCs/>
          <w:szCs w:val="24"/>
        </w:rPr>
        <w:t>R</w:t>
      </w:r>
      <w:r w:rsidRPr="006D3566">
        <w:rPr>
          <w:rFonts w:cs="Arial"/>
          <w:bCs/>
          <w:szCs w:val="24"/>
        </w:rPr>
        <w:t>epayment of the 100% relevant cost incurrent by CHS in the event the appointed staff terminates their employment with the Directorate within twenty-four months of the date of engagement.</w:t>
      </w:r>
    </w:p>
    <w:p w14:paraId="5EB5453C" w14:textId="78AF4EDD" w:rsidR="006D3566" w:rsidRDefault="006D3566" w:rsidP="006D3566">
      <w:pPr>
        <w:rPr>
          <w:rFonts w:cs="Arial"/>
          <w:bCs/>
          <w:szCs w:val="24"/>
        </w:rPr>
      </w:pPr>
    </w:p>
    <w:p w14:paraId="787165A6" w14:textId="6471632B" w:rsidR="006D3566" w:rsidRDefault="00905EF2" w:rsidP="006D3566">
      <w:pPr>
        <w:rPr>
          <w:rFonts w:cs="Arial"/>
          <w:bCs/>
          <w:szCs w:val="24"/>
        </w:rPr>
      </w:pPr>
      <w:r>
        <w:rPr>
          <w:rFonts w:cs="Arial"/>
          <w:bCs/>
          <w:szCs w:val="24"/>
        </w:rPr>
        <w:t xml:space="preserve">The </w:t>
      </w:r>
      <w:r w:rsidR="006D3566">
        <w:rPr>
          <w:rFonts w:cs="Arial"/>
          <w:bCs/>
          <w:szCs w:val="24"/>
        </w:rPr>
        <w:t>Division must ensure People and Culture</w:t>
      </w:r>
      <w:r w:rsidR="00976C82">
        <w:rPr>
          <w:rFonts w:cs="Arial"/>
          <w:bCs/>
          <w:szCs w:val="24"/>
        </w:rPr>
        <w:t>/MOSCETU</w:t>
      </w:r>
      <w:r w:rsidR="006D3566">
        <w:rPr>
          <w:rFonts w:cs="Arial"/>
          <w:bCs/>
          <w:szCs w:val="24"/>
        </w:rPr>
        <w:t xml:space="preserve"> is made aware when permanent employment is being issued as the result of a staff member successfully receiving a permanent visa </w:t>
      </w:r>
      <w:proofErr w:type="gramStart"/>
      <w:r w:rsidR="006D3566">
        <w:rPr>
          <w:rFonts w:cs="Arial"/>
          <w:bCs/>
          <w:szCs w:val="24"/>
        </w:rPr>
        <w:t>as a result of</w:t>
      </w:r>
      <w:proofErr w:type="gramEnd"/>
      <w:r w:rsidR="006D3566">
        <w:rPr>
          <w:rFonts w:cs="Arial"/>
          <w:bCs/>
          <w:szCs w:val="24"/>
        </w:rPr>
        <w:t xml:space="preserve"> an Employer Nominated Permanent Residency visa application</w:t>
      </w:r>
      <w:r w:rsidR="00BC173F">
        <w:rPr>
          <w:rFonts w:cs="Arial"/>
          <w:bCs/>
          <w:szCs w:val="24"/>
        </w:rPr>
        <w:t xml:space="preserve"> to ensure alignment between employment and visa categories</w:t>
      </w:r>
      <w:r w:rsidR="006D3566">
        <w:rPr>
          <w:rFonts w:cs="Arial"/>
          <w:bCs/>
          <w:szCs w:val="24"/>
        </w:rPr>
        <w:t>.</w:t>
      </w:r>
    </w:p>
    <w:p w14:paraId="6CF642D5" w14:textId="6335FDE9" w:rsidR="00976C82" w:rsidRDefault="00976C82" w:rsidP="006D3566">
      <w:pPr>
        <w:rPr>
          <w:rFonts w:cs="Arial"/>
          <w:bCs/>
          <w:szCs w:val="24"/>
        </w:rPr>
      </w:pPr>
    </w:p>
    <w:p w14:paraId="295AAE9C" w14:textId="416084E6" w:rsidR="00976C82" w:rsidRDefault="00976C82" w:rsidP="006D3566">
      <w:pPr>
        <w:rPr>
          <w:rFonts w:cs="Arial"/>
          <w:bCs/>
          <w:szCs w:val="24"/>
        </w:rPr>
      </w:pPr>
      <w:r>
        <w:rPr>
          <w:rFonts w:cs="Arial"/>
          <w:bCs/>
          <w:szCs w:val="24"/>
        </w:rPr>
        <w:t>Contact Details:</w:t>
      </w:r>
    </w:p>
    <w:p w14:paraId="36A3B377" w14:textId="28E8F7F1" w:rsidR="00976C82" w:rsidRPr="00976C82" w:rsidRDefault="00976C82" w:rsidP="007E6629">
      <w:pPr>
        <w:pStyle w:val="ListParagraph"/>
        <w:numPr>
          <w:ilvl w:val="0"/>
          <w:numId w:val="14"/>
        </w:numPr>
        <w:rPr>
          <w:rFonts w:cs="Arial"/>
          <w:bCs/>
          <w:szCs w:val="24"/>
        </w:rPr>
      </w:pPr>
      <w:r w:rsidRPr="00976C82">
        <w:rPr>
          <w:rFonts w:cs="Arial"/>
          <w:bCs/>
          <w:szCs w:val="24"/>
        </w:rPr>
        <w:t>MOSCETU (chstchmosu@act.gov.au) for Junior Medical Officers</w:t>
      </w:r>
    </w:p>
    <w:p w14:paraId="2ED7368F" w14:textId="2DF693D8" w:rsidR="00976C82" w:rsidRPr="00976C82" w:rsidRDefault="00976C82" w:rsidP="007E6629">
      <w:pPr>
        <w:pStyle w:val="ListParagraph"/>
        <w:numPr>
          <w:ilvl w:val="0"/>
          <w:numId w:val="14"/>
        </w:numPr>
        <w:rPr>
          <w:rFonts w:cs="Arial"/>
          <w:bCs/>
          <w:szCs w:val="24"/>
        </w:rPr>
      </w:pPr>
      <w:r w:rsidRPr="00976C82">
        <w:rPr>
          <w:rFonts w:cs="Arial"/>
          <w:bCs/>
          <w:szCs w:val="24"/>
        </w:rPr>
        <w:t>Senior Medical Talent Acquisition Team (SMRO@act.gov.au) for Senior Medical Practitioners</w:t>
      </w:r>
    </w:p>
    <w:p w14:paraId="35394FE6" w14:textId="77777777" w:rsidR="006D3566" w:rsidRDefault="006D3566" w:rsidP="002A3A3A">
      <w:pPr>
        <w:rPr>
          <w:rFonts w:cs="Arial"/>
          <w:b/>
          <w:szCs w:val="24"/>
        </w:rPr>
      </w:pPr>
    </w:p>
    <w:p w14:paraId="220A5C95" w14:textId="51430571" w:rsidR="002A3A3A" w:rsidRPr="00DA3910" w:rsidRDefault="003C12ED" w:rsidP="005E320A">
      <w:pPr>
        <w:jc w:val="right"/>
        <w:rPr>
          <w:rFonts w:cs="Arial"/>
          <w:b/>
          <w:szCs w:val="24"/>
        </w:rPr>
      </w:pPr>
      <w:hyperlink w:anchor="Contents" w:history="1">
        <w:r w:rsidR="002A3A3A" w:rsidRPr="00C91F3F">
          <w:rPr>
            <w:rStyle w:val="Hyperlink"/>
            <w:rFonts w:eastAsiaTheme="majorEastAsia" w:cs="Arial"/>
            <w:i/>
            <w:szCs w:val="24"/>
          </w:rPr>
          <w:t>Back to Table of Contents</w:t>
        </w:r>
      </w:hyperlink>
      <w:r w:rsidR="002A3A3A">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07436912" w:rsidR="009A534C" w:rsidRPr="00CD1C0E" w:rsidRDefault="002B478A" w:rsidP="00B10F87">
            <w:pPr>
              <w:pStyle w:val="Heading1"/>
            </w:pPr>
            <w:bookmarkStart w:id="16" w:name="_Toc138683292"/>
            <w:r>
              <w:t>Evaluation</w:t>
            </w:r>
            <w:bookmarkEnd w:id="16"/>
            <w:r w:rsidR="009A534C">
              <w:t xml:space="preserve"> </w:t>
            </w:r>
          </w:p>
        </w:tc>
      </w:tr>
    </w:tbl>
    <w:p w14:paraId="448D8527" w14:textId="77777777" w:rsidR="00D006EF" w:rsidRDefault="00D006EF" w:rsidP="00D006EF">
      <w:pPr>
        <w:pStyle w:val="Default"/>
        <w:rPr>
          <w:rFonts w:ascii="Calibri" w:hAnsi="Calibri" w:cs="Arial"/>
          <w:i/>
          <w:color w:val="auto"/>
          <w:lang w:eastAsia="en-US"/>
        </w:rPr>
      </w:pPr>
    </w:p>
    <w:p w14:paraId="043A1299" w14:textId="32A6A975" w:rsidR="00D006EF" w:rsidRDefault="00D006EF" w:rsidP="00D006EF">
      <w:pPr>
        <w:pStyle w:val="Default"/>
        <w:rPr>
          <w:rFonts w:ascii="Calibri" w:hAnsi="Calibri" w:cs="Arial"/>
          <w:b/>
          <w:bCs/>
          <w:iCs/>
          <w:color w:val="auto"/>
          <w:lang w:eastAsia="en-US"/>
        </w:rPr>
      </w:pPr>
      <w:r>
        <w:rPr>
          <w:rFonts w:ascii="Calibri" w:hAnsi="Calibri" w:cs="Arial"/>
          <w:b/>
          <w:bCs/>
          <w:iCs/>
          <w:color w:val="auto"/>
          <w:lang w:eastAsia="en-US"/>
        </w:rPr>
        <w:t>Outcome</w:t>
      </w:r>
    </w:p>
    <w:p w14:paraId="3EBFBB5B" w14:textId="2AFD4028" w:rsidR="008B0C3C" w:rsidRDefault="008B0C3C" w:rsidP="008B0C3C">
      <w:pPr>
        <w:pStyle w:val="Default"/>
        <w:rPr>
          <w:rFonts w:ascii="Calibri" w:hAnsi="Calibri" w:cs="Arial"/>
          <w:b/>
          <w:bCs/>
          <w:iCs/>
          <w:color w:val="auto"/>
          <w:lang w:eastAsia="en-US"/>
        </w:rPr>
      </w:pPr>
      <w:r>
        <w:rPr>
          <w:rFonts w:ascii="Calibri" w:hAnsi="Calibri" w:cs="Arial"/>
          <w:b/>
          <w:bCs/>
          <w:iCs/>
          <w:color w:val="auto"/>
          <w:lang w:eastAsia="en-US"/>
        </w:rPr>
        <w:t>The application of this guideline will:</w:t>
      </w:r>
    </w:p>
    <w:p w14:paraId="117EB6DF" w14:textId="61A2868D" w:rsidR="008D0CBA" w:rsidRPr="00FE3285" w:rsidRDefault="008B0C3C" w:rsidP="008D0CBA">
      <w:pPr>
        <w:numPr>
          <w:ilvl w:val="0"/>
          <w:numId w:val="11"/>
        </w:numPr>
        <w:rPr>
          <w:szCs w:val="24"/>
        </w:rPr>
      </w:pPr>
      <w:r w:rsidRPr="00FE3285">
        <w:rPr>
          <w:szCs w:val="24"/>
        </w:rPr>
        <w:t xml:space="preserve">Ensure a consistent approach to Employer Nominated Permanent Residency visas for </w:t>
      </w:r>
      <w:r w:rsidR="004917F2">
        <w:rPr>
          <w:szCs w:val="24"/>
        </w:rPr>
        <w:t>Medical Practitioners</w:t>
      </w:r>
      <w:r w:rsidRPr="00FE3285">
        <w:rPr>
          <w:szCs w:val="24"/>
        </w:rPr>
        <w:t xml:space="preserve"> across Canberra Health Services</w:t>
      </w:r>
    </w:p>
    <w:p w14:paraId="514CBF90" w14:textId="2423BA9A" w:rsidR="008B0C3C" w:rsidRPr="00FE3285" w:rsidRDefault="008B0C3C" w:rsidP="008D0CBA">
      <w:pPr>
        <w:numPr>
          <w:ilvl w:val="0"/>
          <w:numId w:val="11"/>
        </w:numPr>
        <w:rPr>
          <w:szCs w:val="24"/>
        </w:rPr>
      </w:pPr>
      <w:r w:rsidRPr="00FE3285">
        <w:rPr>
          <w:szCs w:val="24"/>
        </w:rPr>
        <w:t>Improve the attraction and retention of International Medical Graduates into vacant positions which are unsuccessfully filled with a suitably qualified Australian Citizen or Permanent Resident</w:t>
      </w:r>
    </w:p>
    <w:p w14:paraId="20E0BE5B" w14:textId="1334AB0D" w:rsidR="008B0C3C" w:rsidRPr="00FE3285" w:rsidRDefault="008B0C3C" w:rsidP="008D0CBA">
      <w:pPr>
        <w:numPr>
          <w:ilvl w:val="0"/>
          <w:numId w:val="11"/>
        </w:numPr>
        <w:rPr>
          <w:szCs w:val="24"/>
        </w:rPr>
      </w:pPr>
      <w:r w:rsidRPr="00FE3285">
        <w:rPr>
          <w:szCs w:val="24"/>
        </w:rPr>
        <w:t xml:space="preserve">Reduce the number of requests for advice on Employer Nominated Permanent Residency from </w:t>
      </w:r>
      <w:r w:rsidR="004917F2">
        <w:rPr>
          <w:szCs w:val="24"/>
        </w:rPr>
        <w:t>Medical Practitioners</w:t>
      </w:r>
      <w:r w:rsidRPr="00FE3285">
        <w:rPr>
          <w:szCs w:val="24"/>
        </w:rPr>
        <w:t xml:space="preserve"> and managers</w:t>
      </w:r>
      <w:r w:rsidR="005E320A">
        <w:rPr>
          <w:szCs w:val="24"/>
        </w:rPr>
        <w:t>.</w:t>
      </w:r>
    </w:p>
    <w:p w14:paraId="42E81A80" w14:textId="77777777" w:rsidR="00D006EF" w:rsidRPr="00FE3285" w:rsidRDefault="00D006EF" w:rsidP="00D006EF">
      <w:pPr>
        <w:pStyle w:val="Default"/>
        <w:rPr>
          <w:rFonts w:ascii="Calibri" w:hAnsi="Calibri" w:cs="Arial"/>
          <w:b/>
          <w:bCs/>
          <w:color w:val="auto"/>
          <w:lang w:eastAsia="en-US"/>
        </w:rPr>
      </w:pPr>
    </w:p>
    <w:p w14:paraId="6A129DFF" w14:textId="08E052F3" w:rsidR="008D0CBA" w:rsidRPr="008B0C3C" w:rsidRDefault="00D006EF" w:rsidP="008B0C3C">
      <w:pPr>
        <w:pStyle w:val="Default"/>
        <w:rPr>
          <w:rFonts w:ascii="Calibri" w:hAnsi="Calibri" w:cs="Arial"/>
          <w:b/>
          <w:bCs/>
          <w:iCs/>
          <w:color w:val="auto"/>
          <w:lang w:eastAsia="en-US"/>
        </w:rPr>
      </w:pPr>
      <w:r>
        <w:rPr>
          <w:rFonts w:ascii="Calibri" w:hAnsi="Calibri" w:cs="Arial"/>
          <w:b/>
          <w:bCs/>
          <w:iCs/>
          <w:color w:val="auto"/>
          <w:lang w:eastAsia="en-US"/>
        </w:rPr>
        <w:t>Measures</w:t>
      </w:r>
    </w:p>
    <w:p w14:paraId="61D5BD81" w14:textId="433A8B9C" w:rsidR="008B0C3C" w:rsidRDefault="008B0C3C" w:rsidP="008D0CBA">
      <w:pPr>
        <w:numPr>
          <w:ilvl w:val="0"/>
          <w:numId w:val="12"/>
        </w:numPr>
        <w:rPr>
          <w:szCs w:val="24"/>
        </w:rPr>
      </w:pPr>
      <w:r w:rsidRPr="00FE3285">
        <w:rPr>
          <w:szCs w:val="24"/>
        </w:rPr>
        <w:t>People and Culture</w:t>
      </w:r>
      <w:r w:rsidR="00A654E2">
        <w:rPr>
          <w:szCs w:val="24"/>
        </w:rPr>
        <w:t>/MOSCETU</w:t>
      </w:r>
      <w:r w:rsidRPr="00FE3285">
        <w:rPr>
          <w:szCs w:val="24"/>
        </w:rPr>
        <w:t xml:space="preserve"> will annually review the process and outcomes of Employer Nominated Permanent Residency requests</w:t>
      </w:r>
      <w:r w:rsidR="005E320A">
        <w:rPr>
          <w:szCs w:val="24"/>
        </w:rPr>
        <w:t>.</w:t>
      </w:r>
      <w:r w:rsidR="00976C82">
        <w:rPr>
          <w:szCs w:val="24"/>
        </w:rPr>
        <w:t xml:space="preserve"> The review will include:</w:t>
      </w:r>
    </w:p>
    <w:p w14:paraId="63161054" w14:textId="5511D87E" w:rsidR="00976C82" w:rsidRDefault="00976C82" w:rsidP="00976C82">
      <w:pPr>
        <w:numPr>
          <w:ilvl w:val="1"/>
          <w:numId w:val="12"/>
        </w:numPr>
        <w:rPr>
          <w:szCs w:val="24"/>
        </w:rPr>
      </w:pPr>
      <w:r>
        <w:rPr>
          <w:szCs w:val="24"/>
        </w:rPr>
        <w:t>Number of IMGs granted permanent residency through an Employer Nominated Permanent Residency visa.</w:t>
      </w:r>
    </w:p>
    <w:p w14:paraId="3F3FE046" w14:textId="404A150B" w:rsidR="00976C82" w:rsidRDefault="00976C82" w:rsidP="00976C82">
      <w:pPr>
        <w:numPr>
          <w:ilvl w:val="1"/>
          <w:numId w:val="12"/>
        </w:numPr>
        <w:rPr>
          <w:szCs w:val="24"/>
        </w:rPr>
      </w:pPr>
      <w:r>
        <w:rPr>
          <w:szCs w:val="24"/>
        </w:rPr>
        <w:t>Requests approved versus not approved including reasons for refusal.</w:t>
      </w:r>
    </w:p>
    <w:p w14:paraId="31E75C2B" w14:textId="77777777" w:rsidR="008D0CBA" w:rsidRDefault="008D0CBA" w:rsidP="007E6629">
      <w:pPr>
        <w:rPr>
          <w:i/>
          <w:iCs/>
          <w:szCs w:val="24"/>
        </w:rPr>
      </w:pPr>
    </w:p>
    <w:p w14:paraId="5ED58E15" w14:textId="77777777" w:rsidR="00D006EF" w:rsidRDefault="003C12ED" w:rsidP="00D006EF">
      <w:pPr>
        <w:jc w:val="right"/>
      </w:pPr>
      <w:hyperlink r:id="rId14" w:anchor="Contents" w:history="1">
        <w:r w:rsidR="00D006EF">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B10F87">
            <w:pPr>
              <w:pStyle w:val="Heading1"/>
            </w:pPr>
            <w:bookmarkStart w:id="17" w:name="_Toc389473287"/>
            <w:bookmarkStart w:id="18" w:name="_Toc393203347"/>
            <w:bookmarkStart w:id="19" w:name="_Toc138683293"/>
            <w:r>
              <w:lastRenderedPageBreak/>
              <w:t>Related Policies, Procedures</w:t>
            </w:r>
            <w:bookmarkEnd w:id="17"/>
            <w:r>
              <w:t>, Guidelines and Legislation</w:t>
            </w:r>
            <w:bookmarkEnd w:id="18"/>
            <w:bookmarkEnd w:id="19"/>
          </w:p>
        </w:tc>
      </w:tr>
    </w:tbl>
    <w:p w14:paraId="77C44F46" w14:textId="77777777" w:rsidR="00EF6796" w:rsidRDefault="00EF6796" w:rsidP="00593109">
      <w:pPr>
        <w:rPr>
          <w:b/>
        </w:rPr>
      </w:pPr>
    </w:p>
    <w:p w14:paraId="21B43DCC" w14:textId="4C125E9B" w:rsidR="00593109" w:rsidRDefault="00895E0E" w:rsidP="00593109">
      <w:pPr>
        <w:rPr>
          <w:b/>
        </w:rPr>
      </w:pPr>
      <w:r>
        <w:rPr>
          <w:b/>
        </w:rPr>
        <w:t>Policy</w:t>
      </w:r>
    </w:p>
    <w:p w14:paraId="16270BA0" w14:textId="1842DA13" w:rsidR="0013092E" w:rsidRDefault="0013092E" w:rsidP="008F2A75">
      <w:pPr>
        <w:pStyle w:val="ListParagraph"/>
        <w:numPr>
          <w:ilvl w:val="0"/>
          <w:numId w:val="12"/>
        </w:numPr>
        <w:rPr>
          <w:bCs/>
        </w:rPr>
      </w:pPr>
      <w:r w:rsidRPr="00F22838">
        <w:rPr>
          <w:bCs/>
        </w:rPr>
        <w:t>Annual renewal of health Practitioner Registration</w:t>
      </w:r>
    </w:p>
    <w:p w14:paraId="4D822F31" w14:textId="04FEE567" w:rsidR="00F22838" w:rsidRDefault="00F22838" w:rsidP="008F2A75">
      <w:pPr>
        <w:pStyle w:val="ListParagraph"/>
        <w:numPr>
          <w:ilvl w:val="0"/>
          <w:numId w:val="12"/>
        </w:numPr>
        <w:rPr>
          <w:bCs/>
        </w:rPr>
      </w:pPr>
      <w:r>
        <w:rPr>
          <w:bCs/>
        </w:rPr>
        <w:t>Recruitment Policy</w:t>
      </w:r>
    </w:p>
    <w:p w14:paraId="02678874" w14:textId="77777777" w:rsidR="00F22838" w:rsidRPr="00EF6796" w:rsidRDefault="00F22838" w:rsidP="00EF6796">
      <w:pPr>
        <w:pStyle w:val="ListParagraph"/>
        <w:ind w:left="360"/>
        <w:rPr>
          <w:bCs/>
        </w:rPr>
      </w:pPr>
    </w:p>
    <w:p w14:paraId="1AB38C42" w14:textId="77777777" w:rsidR="00593109" w:rsidRPr="006743DB" w:rsidRDefault="00593109" w:rsidP="00593109">
      <w:pPr>
        <w:rPr>
          <w:b/>
        </w:rPr>
      </w:pPr>
      <w:r w:rsidRPr="006743DB">
        <w:rPr>
          <w:b/>
        </w:rPr>
        <w:t>Procedures</w:t>
      </w:r>
    </w:p>
    <w:p w14:paraId="75188EF3" w14:textId="77777777" w:rsidR="00593109" w:rsidRDefault="00593109" w:rsidP="00593109">
      <w:pPr>
        <w:pStyle w:val="ListBullet"/>
        <w:tabs>
          <w:tab w:val="clear" w:pos="1080"/>
          <w:tab w:val="num" w:pos="360"/>
        </w:tabs>
        <w:ind w:left="360"/>
      </w:pPr>
      <w:r>
        <w:t>Credentialling and Defining the Scope of Clinical Practice for Senior Medical and Dental Practitioners</w:t>
      </w:r>
    </w:p>
    <w:p w14:paraId="46CD990A" w14:textId="343E78EC" w:rsidR="00F22838" w:rsidRPr="00B61F35" w:rsidRDefault="00F22838" w:rsidP="00593109">
      <w:pPr>
        <w:pStyle w:val="ListBullet"/>
        <w:tabs>
          <w:tab w:val="clear" w:pos="1080"/>
          <w:tab w:val="num" w:pos="360"/>
        </w:tabs>
        <w:ind w:left="360"/>
      </w:pPr>
      <w:r>
        <w:t>Recruitment Procedure</w:t>
      </w:r>
    </w:p>
    <w:p w14:paraId="51C1A4E6" w14:textId="77777777" w:rsidR="00593109" w:rsidRDefault="00593109" w:rsidP="00593109">
      <w:pPr>
        <w:pStyle w:val="ListBullet"/>
        <w:tabs>
          <w:tab w:val="clear" w:pos="1080"/>
          <w:tab w:val="num" w:pos="360"/>
        </w:tabs>
        <w:ind w:left="360"/>
      </w:pPr>
      <w:r>
        <w:t>AHPRA Medical Practitioner Registration Conditions Notations</w:t>
      </w:r>
    </w:p>
    <w:p w14:paraId="0CDFF728" w14:textId="77777777" w:rsidR="00593109" w:rsidRPr="00B61F35" w:rsidRDefault="00593109" w:rsidP="00593109">
      <w:pPr>
        <w:ind w:left="360"/>
        <w:rPr>
          <w:rFonts w:cs="Arial"/>
          <w:szCs w:val="24"/>
        </w:rPr>
      </w:pPr>
    </w:p>
    <w:p w14:paraId="071966B8" w14:textId="77777777" w:rsidR="00593109" w:rsidRPr="006743DB" w:rsidRDefault="00593109" w:rsidP="00593109">
      <w:pPr>
        <w:rPr>
          <w:b/>
        </w:rPr>
      </w:pPr>
      <w:r>
        <w:rPr>
          <w:b/>
        </w:rPr>
        <w:t>Legislation</w:t>
      </w:r>
    </w:p>
    <w:p w14:paraId="74864242" w14:textId="77777777" w:rsidR="00593109" w:rsidRPr="00593109" w:rsidRDefault="00593109" w:rsidP="00593109">
      <w:pPr>
        <w:pStyle w:val="ListBullet"/>
        <w:tabs>
          <w:tab w:val="clear" w:pos="1080"/>
          <w:tab w:val="num" w:pos="360"/>
        </w:tabs>
        <w:ind w:left="360"/>
        <w:rPr>
          <w:iCs/>
        </w:rPr>
      </w:pPr>
      <w:r w:rsidRPr="005E320A">
        <w:rPr>
          <w:i/>
        </w:rPr>
        <w:t>Public Sector Management Act</w:t>
      </w:r>
      <w:r w:rsidRPr="00593109">
        <w:rPr>
          <w:iCs/>
        </w:rPr>
        <w:t xml:space="preserve"> 1994 (PSM Act)</w:t>
      </w:r>
    </w:p>
    <w:p w14:paraId="5DA8DEA1" w14:textId="77777777" w:rsidR="00593109" w:rsidRPr="00593109" w:rsidRDefault="00593109" w:rsidP="00593109">
      <w:pPr>
        <w:pStyle w:val="ListBullet"/>
        <w:tabs>
          <w:tab w:val="clear" w:pos="1080"/>
          <w:tab w:val="num" w:pos="360"/>
        </w:tabs>
        <w:ind w:left="360"/>
        <w:rPr>
          <w:iCs/>
        </w:rPr>
      </w:pPr>
      <w:r w:rsidRPr="005E320A">
        <w:rPr>
          <w:i/>
        </w:rPr>
        <w:t>Health Practitioner Regulation National Law Act</w:t>
      </w:r>
      <w:r w:rsidRPr="00593109">
        <w:rPr>
          <w:iCs/>
        </w:rPr>
        <w:t xml:space="preserve"> 2009</w:t>
      </w:r>
    </w:p>
    <w:p w14:paraId="32719BAF" w14:textId="77777777" w:rsidR="00593109" w:rsidRPr="00593109" w:rsidRDefault="00593109" w:rsidP="00593109">
      <w:pPr>
        <w:pStyle w:val="ListBullet"/>
        <w:tabs>
          <w:tab w:val="clear" w:pos="1080"/>
          <w:tab w:val="num" w:pos="360"/>
        </w:tabs>
        <w:ind w:left="360"/>
        <w:rPr>
          <w:iCs/>
        </w:rPr>
      </w:pPr>
      <w:r w:rsidRPr="005E320A">
        <w:rPr>
          <w:i/>
        </w:rPr>
        <w:t>Human Rights Act</w:t>
      </w:r>
      <w:r w:rsidRPr="00593109">
        <w:rPr>
          <w:iCs/>
        </w:rPr>
        <w:t xml:space="preserve"> 2004</w:t>
      </w:r>
    </w:p>
    <w:p w14:paraId="4B6E5035" w14:textId="77777777" w:rsidR="00593109" w:rsidRDefault="00593109" w:rsidP="00593109">
      <w:pPr>
        <w:pStyle w:val="ListBullet"/>
        <w:tabs>
          <w:tab w:val="clear" w:pos="1080"/>
          <w:tab w:val="num" w:pos="360"/>
        </w:tabs>
        <w:ind w:left="360"/>
        <w:rPr>
          <w:iCs/>
        </w:rPr>
      </w:pPr>
      <w:r w:rsidRPr="005E320A">
        <w:rPr>
          <w:i/>
        </w:rPr>
        <w:t>Information Privacy Act</w:t>
      </w:r>
      <w:r w:rsidRPr="00593109">
        <w:rPr>
          <w:iCs/>
        </w:rPr>
        <w:t xml:space="preserve"> 2014</w:t>
      </w:r>
    </w:p>
    <w:p w14:paraId="4ABC549F" w14:textId="6A2F4470" w:rsidR="00F22838" w:rsidRPr="00593109" w:rsidRDefault="00F22838" w:rsidP="00593109">
      <w:pPr>
        <w:pStyle w:val="ListBullet"/>
        <w:tabs>
          <w:tab w:val="clear" w:pos="1080"/>
          <w:tab w:val="num" w:pos="360"/>
        </w:tabs>
        <w:ind w:left="360"/>
        <w:rPr>
          <w:iCs/>
        </w:rPr>
      </w:pPr>
      <w:r>
        <w:rPr>
          <w:i/>
        </w:rPr>
        <w:t>Carers Recognition Act 2021</w:t>
      </w:r>
    </w:p>
    <w:p w14:paraId="6207CD9B" w14:textId="77777777" w:rsidR="00593109" w:rsidRDefault="00593109" w:rsidP="00593109">
      <w:pPr>
        <w:rPr>
          <w:rFonts w:cs="Arial"/>
          <w:i/>
          <w:szCs w:val="24"/>
        </w:rPr>
      </w:pPr>
    </w:p>
    <w:p w14:paraId="606790AB" w14:textId="77777777" w:rsidR="00593109" w:rsidRPr="00B238E8" w:rsidRDefault="00593109" w:rsidP="00593109">
      <w:pPr>
        <w:rPr>
          <w:rFonts w:cs="Arial"/>
          <w:b/>
          <w:bCs/>
          <w:iCs/>
          <w:szCs w:val="24"/>
        </w:rPr>
      </w:pPr>
      <w:r w:rsidRPr="00B238E8">
        <w:rPr>
          <w:rFonts w:cs="Arial"/>
          <w:b/>
          <w:bCs/>
          <w:iCs/>
          <w:szCs w:val="24"/>
        </w:rPr>
        <w:t>Enterprise Agreements</w:t>
      </w:r>
    </w:p>
    <w:p w14:paraId="73303F39" w14:textId="653E01EC" w:rsidR="0014228F" w:rsidRDefault="00593109" w:rsidP="0014228F">
      <w:pPr>
        <w:pStyle w:val="ListBullet"/>
        <w:ind w:left="426" w:hanging="426"/>
      </w:pPr>
      <w:r w:rsidRPr="007A644F">
        <w:t xml:space="preserve">ACT </w:t>
      </w:r>
      <w:r w:rsidRPr="00593109">
        <w:rPr>
          <w:iCs/>
        </w:rPr>
        <w:t>Public</w:t>
      </w:r>
      <w:r w:rsidRPr="007A644F">
        <w:t xml:space="preserve"> Sector Medical Practitioners Enterprise Agreement 201</w:t>
      </w:r>
      <w:r>
        <w:t>7</w:t>
      </w:r>
      <w:r w:rsidRPr="007A644F">
        <w:t>-20</w:t>
      </w:r>
      <w:r>
        <w:t>21.</w:t>
      </w:r>
    </w:p>
    <w:p w14:paraId="440646A5" w14:textId="77777777" w:rsidR="0014228F" w:rsidRDefault="0014228F" w:rsidP="0014228F">
      <w:pPr>
        <w:pStyle w:val="ListBullet"/>
        <w:numPr>
          <w:ilvl w:val="0"/>
          <w:numId w:val="0"/>
        </w:numPr>
      </w:pPr>
    </w:p>
    <w:p w14:paraId="58C766B7" w14:textId="55DE1631" w:rsidR="0014228F" w:rsidRPr="00EF6796" w:rsidRDefault="0014228F">
      <w:pPr>
        <w:pStyle w:val="ListBullet"/>
        <w:numPr>
          <w:ilvl w:val="0"/>
          <w:numId w:val="0"/>
        </w:numPr>
        <w:rPr>
          <w:b/>
          <w:bCs/>
        </w:rPr>
      </w:pPr>
      <w:r w:rsidRPr="00EF6796">
        <w:rPr>
          <w:b/>
          <w:bCs/>
        </w:rPr>
        <w:t>Other</w:t>
      </w:r>
    </w:p>
    <w:p w14:paraId="3009EF1D" w14:textId="3AADE8AA" w:rsidR="0014228F" w:rsidRDefault="0014228F" w:rsidP="00EF6796">
      <w:pPr>
        <w:pStyle w:val="ListBullet"/>
        <w:numPr>
          <w:ilvl w:val="0"/>
          <w:numId w:val="20"/>
        </w:numPr>
      </w:pPr>
      <w:r>
        <w:t>Australian Charter of Health Care Rights</w:t>
      </w:r>
    </w:p>
    <w:p w14:paraId="74915556" w14:textId="77777777" w:rsidR="005E320A" w:rsidRDefault="005E320A" w:rsidP="00593109">
      <w:pPr>
        <w:pStyle w:val="ListBullet"/>
        <w:numPr>
          <w:ilvl w:val="0"/>
          <w:numId w:val="0"/>
        </w:numPr>
        <w:ind w:left="426"/>
      </w:pPr>
    </w:p>
    <w:p w14:paraId="08682A3D" w14:textId="29D76DDA" w:rsidR="00E41A47" w:rsidRPr="005E320A" w:rsidRDefault="003C12ED" w:rsidP="005E320A">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0F1F60" w14:paraId="08682A3F" w14:textId="77777777" w:rsidTr="008E74FD">
        <w:trPr>
          <w:cantSplit/>
          <w:trHeight w:val="285"/>
        </w:trPr>
        <w:tc>
          <w:tcPr>
            <w:tcW w:w="9158" w:type="dxa"/>
            <w:shd w:val="clear" w:color="auto" w:fill="D9D9D9" w:themeFill="background1" w:themeFillShade="D9"/>
          </w:tcPr>
          <w:p w14:paraId="08682A3E" w14:textId="469DD5F6" w:rsidR="004A6A76" w:rsidRPr="000F1F60" w:rsidRDefault="004A6A76" w:rsidP="00B10F87">
            <w:pPr>
              <w:pStyle w:val="Heading1"/>
            </w:pPr>
            <w:bookmarkStart w:id="20" w:name="_Toc396290588"/>
            <w:bookmarkStart w:id="21" w:name="_Toc138683294"/>
            <w:r>
              <w:t>Definition of Terms</w:t>
            </w:r>
            <w:bookmarkEnd w:id="20"/>
            <w:bookmarkEnd w:id="21"/>
            <w:r>
              <w:t xml:space="preserve"> </w:t>
            </w:r>
          </w:p>
        </w:tc>
      </w:tr>
    </w:tbl>
    <w:p w14:paraId="08682A40" w14:textId="77777777" w:rsidR="004A6A76" w:rsidRDefault="004A6A76" w:rsidP="004A6A76">
      <w:pPr>
        <w:rPr>
          <w:rFonts w:cs="Arial"/>
          <w:szCs w:val="24"/>
        </w:rPr>
      </w:pPr>
    </w:p>
    <w:p w14:paraId="325435D5" w14:textId="2C9F99BC" w:rsidR="00AC7E68" w:rsidRDefault="00AC7E68" w:rsidP="00AC7E68">
      <w:pPr>
        <w:pStyle w:val="ListBullet"/>
        <w:numPr>
          <w:ilvl w:val="0"/>
          <w:numId w:val="0"/>
        </w:numPr>
        <w:rPr>
          <w:rFonts w:cs="Calibri"/>
        </w:rPr>
      </w:pPr>
      <w:bookmarkStart w:id="22" w:name="_Hlk6922191"/>
      <w:r>
        <w:rPr>
          <w:rFonts w:cs="Calibri"/>
          <w:b/>
          <w:bCs/>
        </w:rPr>
        <w:t xml:space="preserve">Junior Medical Officer </w:t>
      </w:r>
      <w:r>
        <w:rPr>
          <w:rFonts w:cs="Calibri"/>
        </w:rPr>
        <w:t>means</w:t>
      </w:r>
      <w:r w:rsidRPr="00AC7E68">
        <w:rPr>
          <w:rFonts w:cs="Calibri"/>
        </w:rPr>
        <w:t xml:space="preserve"> Intern, Resident Medical Officer, Junior Registrar, Registrar, Senior Registrar and</w:t>
      </w:r>
      <w:r>
        <w:rPr>
          <w:rFonts w:cs="Calibri"/>
        </w:rPr>
        <w:t xml:space="preserve"> </w:t>
      </w:r>
      <w:r w:rsidRPr="00AC7E68">
        <w:rPr>
          <w:rFonts w:cs="Calibri"/>
        </w:rPr>
        <w:t>Senior Resident Medical Officer.</w:t>
      </w:r>
    </w:p>
    <w:p w14:paraId="01D99871" w14:textId="1A727823" w:rsidR="00AC7E68" w:rsidRDefault="00AC7E68" w:rsidP="00AC7E68">
      <w:pPr>
        <w:pStyle w:val="ListBullet"/>
        <w:numPr>
          <w:ilvl w:val="0"/>
          <w:numId w:val="0"/>
        </w:numPr>
        <w:rPr>
          <w:rFonts w:cs="Calibri"/>
        </w:rPr>
      </w:pPr>
    </w:p>
    <w:p w14:paraId="34778878" w14:textId="5A8BE365" w:rsidR="00AC7E68" w:rsidRDefault="00AC7E68" w:rsidP="00AC7E68">
      <w:pPr>
        <w:pStyle w:val="ListBullet"/>
        <w:numPr>
          <w:ilvl w:val="0"/>
          <w:numId w:val="0"/>
        </w:numPr>
        <w:rPr>
          <w:rFonts w:cs="Calibri"/>
        </w:rPr>
      </w:pPr>
      <w:r w:rsidRPr="00405086">
        <w:rPr>
          <w:rFonts w:cs="Calibri"/>
          <w:b/>
          <w:bCs/>
        </w:rPr>
        <w:t>Medical Practitioner</w:t>
      </w:r>
      <w:r>
        <w:rPr>
          <w:rFonts w:cs="Calibri"/>
        </w:rPr>
        <w:t xml:space="preserve"> means Junior Medical Officer and Senior Medical Practitioner</w:t>
      </w:r>
    </w:p>
    <w:p w14:paraId="7E6173DA" w14:textId="65E82A2A" w:rsidR="00AC7E68" w:rsidRDefault="00AC7E68" w:rsidP="00AC7E68">
      <w:pPr>
        <w:pStyle w:val="ListBullet"/>
        <w:numPr>
          <w:ilvl w:val="0"/>
          <w:numId w:val="0"/>
        </w:numPr>
        <w:rPr>
          <w:rFonts w:cs="Calibri"/>
        </w:rPr>
      </w:pPr>
    </w:p>
    <w:p w14:paraId="16A66F1E" w14:textId="776FCC34" w:rsidR="00AC7E68" w:rsidRDefault="00AC7E68" w:rsidP="00405086">
      <w:pPr>
        <w:pStyle w:val="ListBullet"/>
        <w:numPr>
          <w:ilvl w:val="0"/>
          <w:numId w:val="0"/>
        </w:numPr>
        <w:rPr>
          <w:rFonts w:cs="Calibri"/>
        </w:rPr>
      </w:pPr>
      <w:r w:rsidRPr="00405086">
        <w:rPr>
          <w:rFonts w:cs="Calibri"/>
          <w:b/>
          <w:bCs/>
        </w:rPr>
        <w:t>Post Graduate Fellow</w:t>
      </w:r>
      <w:r w:rsidR="00D66132">
        <w:rPr>
          <w:rFonts w:cs="Calibri"/>
          <w:b/>
          <w:bCs/>
        </w:rPr>
        <w:t>,</w:t>
      </w:r>
      <w:r w:rsidRPr="00AC7E68">
        <w:rPr>
          <w:rFonts w:cs="Calibri"/>
        </w:rPr>
        <w:t xml:space="preserve"> to be eligible for employment as a Post Graduate Fellow, a medical practitioner must:</w:t>
      </w:r>
    </w:p>
    <w:p w14:paraId="19F33C3F" w14:textId="77777777" w:rsidR="00AC7E68" w:rsidRPr="00AC7E68" w:rsidRDefault="00AC7E68" w:rsidP="00AC7E68">
      <w:pPr>
        <w:pStyle w:val="ListBullet"/>
        <w:ind w:left="426" w:hanging="426"/>
        <w:rPr>
          <w:rFonts w:cs="Calibri"/>
        </w:rPr>
      </w:pPr>
      <w:r w:rsidRPr="00AC7E68">
        <w:rPr>
          <w:rFonts w:cs="Calibri"/>
        </w:rPr>
        <w:t>be a registered medical practitioner; and</w:t>
      </w:r>
    </w:p>
    <w:p w14:paraId="79BFE74D" w14:textId="1B35833A" w:rsidR="00AC7E68" w:rsidRDefault="00AC7E68" w:rsidP="00AC7E68">
      <w:pPr>
        <w:pStyle w:val="ListBullet"/>
        <w:ind w:left="426" w:hanging="426"/>
        <w:rPr>
          <w:rFonts w:cs="Calibri"/>
        </w:rPr>
      </w:pPr>
      <w:r w:rsidRPr="00AC7E68">
        <w:rPr>
          <w:rFonts w:cs="Calibri"/>
        </w:rPr>
        <w:t>must be at least PGY7+ or equivalent; and</w:t>
      </w:r>
    </w:p>
    <w:p w14:paraId="0E793315" w14:textId="18C93340" w:rsidR="00AC7E68" w:rsidRPr="00405086" w:rsidRDefault="00AC7E68" w:rsidP="00405086">
      <w:pPr>
        <w:pStyle w:val="ListBullet"/>
        <w:ind w:left="426" w:hanging="426"/>
        <w:rPr>
          <w:rFonts w:cs="Calibri"/>
        </w:rPr>
      </w:pPr>
      <w:r w:rsidRPr="00AC7E68">
        <w:rPr>
          <w:rFonts w:cs="Calibri"/>
        </w:rPr>
        <w:t>be employed in a position classified as Post Graduate Fellow</w:t>
      </w:r>
    </w:p>
    <w:p w14:paraId="46145319" w14:textId="77777777" w:rsidR="00AC7E68" w:rsidRDefault="00AC7E68" w:rsidP="00FE3285">
      <w:pPr>
        <w:pStyle w:val="ListBullet"/>
        <w:numPr>
          <w:ilvl w:val="0"/>
          <w:numId w:val="0"/>
        </w:numPr>
        <w:ind w:left="426" w:hanging="426"/>
        <w:rPr>
          <w:rFonts w:cs="Calibri"/>
          <w:b/>
          <w:bCs/>
        </w:rPr>
      </w:pPr>
    </w:p>
    <w:p w14:paraId="49EEB110" w14:textId="516FB8E0" w:rsidR="00FE3285" w:rsidRPr="00900313" w:rsidRDefault="00FE3285" w:rsidP="00FE3285">
      <w:pPr>
        <w:pStyle w:val="ListBullet"/>
        <w:numPr>
          <w:ilvl w:val="0"/>
          <w:numId w:val="0"/>
        </w:numPr>
        <w:ind w:left="426" w:hanging="426"/>
        <w:rPr>
          <w:rFonts w:cs="Calibri"/>
        </w:rPr>
      </w:pPr>
      <w:r w:rsidRPr="00A650A5">
        <w:rPr>
          <w:rFonts w:cs="Calibri"/>
          <w:b/>
          <w:bCs/>
        </w:rPr>
        <w:t xml:space="preserve">Specialist </w:t>
      </w:r>
      <w:r w:rsidRPr="00900313">
        <w:rPr>
          <w:rFonts w:cs="Calibri"/>
        </w:rPr>
        <w:t>means a person who:</w:t>
      </w:r>
    </w:p>
    <w:p w14:paraId="650B81C9" w14:textId="0CEFFF08" w:rsidR="00FE3285" w:rsidRPr="00900313" w:rsidRDefault="00FE3285" w:rsidP="00FE3285">
      <w:pPr>
        <w:pStyle w:val="ListParagraph"/>
        <w:numPr>
          <w:ilvl w:val="0"/>
          <w:numId w:val="12"/>
        </w:numPr>
      </w:pPr>
      <w:r w:rsidRPr="00900313">
        <w:t xml:space="preserve">is a medical practitioner registered with AHPRA under the </w:t>
      </w:r>
      <w:r w:rsidRPr="00FE3285">
        <w:rPr>
          <w:bCs/>
          <w:i/>
          <w:color w:val="000000"/>
        </w:rPr>
        <w:t xml:space="preserve">Health Practitioner Regulation National Law Act </w:t>
      </w:r>
      <w:r w:rsidRPr="00FE3285">
        <w:rPr>
          <w:bCs/>
          <w:iCs/>
          <w:color w:val="000000"/>
        </w:rPr>
        <w:t>2009</w:t>
      </w:r>
      <w:r w:rsidRPr="00900313">
        <w:t xml:space="preserve"> as a </w:t>
      </w:r>
      <w:r w:rsidR="00BC173F">
        <w:t>S</w:t>
      </w:r>
      <w:r w:rsidR="00BC173F" w:rsidRPr="00900313">
        <w:t>pecialist</w:t>
      </w:r>
      <w:r w:rsidR="00BC173F">
        <w:t>.</w:t>
      </w:r>
    </w:p>
    <w:p w14:paraId="057EE719" w14:textId="3CFAE224" w:rsidR="00FE3285" w:rsidRDefault="00FE3285" w:rsidP="00FE3285">
      <w:pPr>
        <w:pStyle w:val="ListParagraph"/>
        <w:numPr>
          <w:ilvl w:val="0"/>
          <w:numId w:val="12"/>
        </w:numPr>
      </w:pPr>
      <w:r w:rsidRPr="00900313">
        <w:lastRenderedPageBreak/>
        <w:t xml:space="preserve">is a medical practitioner registered with AHPRA under the </w:t>
      </w:r>
      <w:r w:rsidRPr="00FE3285">
        <w:rPr>
          <w:bCs/>
          <w:i/>
          <w:color w:val="000000"/>
        </w:rPr>
        <w:t xml:space="preserve">Health Practitioner Regulation National Law Act </w:t>
      </w:r>
      <w:r w:rsidRPr="00FE3285">
        <w:rPr>
          <w:bCs/>
          <w:iCs/>
          <w:color w:val="000000"/>
        </w:rPr>
        <w:t>2009</w:t>
      </w:r>
      <w:r w:rsidRPr="00FE3285">
        <w:rPr>
          <w:bCs/>
          <w:i/>
          <w:color w:val="000000"/>
        </w:rPr>
        <w:t xml:space="preserve"> </w:t>
      </w:r>
      <w:r w:rsidRPr="00900313">
        <w:t xml:space="preserve">who has equivalent qualifications and experience required by AHPRA as a </w:t>
      </w:r>
      <w:r>
        <w:t>S</w:t>
      </w:r>
      <w:r w:rsidRPr="00900313">
        <w:t xml:space="preserve">pecialist. </w:t>
      </w:r>
    </w:p>
    <w:p w14:paraId="7FC2614E" w14:textId="10711684" w:rsidR="00FE3285" w:rsidRDefault="00FE3285" w:rsidP="00FE3285"/>
    <w:p w14:paraId="5D799081" w14:textId="423F172A" w:rsidR="00FE3285" w:rsidRDefault="00FE3285" w:rsidP="00FE3285">
      <w:r w:rsidRPr="00FE3285">
        <w:rPr>
          <w:b/>
          <w:bCs/>
        </w:rPr>
        <w:t>Senior Specialist</w:t>
      </w:r>
      <w:r>
        <w:t xml:space="preserve"> means a Specialist who has been employed by a hospital on the maximum pay for a Specialist for a period of at least three years (full time equivalent) and has gained such experience and attained such ability in his or her speciality as is deemed by the employer to justify appointment to the classification.</w:t>
      </w:r>
    </w:p>
    <w:p w14:paraId="096875E9" w14:textId="3C5C87ED" w:rsidR="00FE3285" w:rsidRDefault="00FE3285" w:rsidP="00FE3285"/>
    <w:p w14:paraId="44D75CE0" w14:textId="7178B24D" w:rsidR="00FE3285" w:rsidRPr="00900313" w:rsidRDefault="00FE3285" w:rsidP="00FE3285">
      <w:r w:rsidRPr="00FE3285">
        <w:rPr>
          <w:b/>
          <w:bCs/>
        </w:rPr>
        <w:t xml:space="preserve">Senior Medical </w:t>
      </w:r>
      <w:r w:rsidR="00AC7E68">
        <w:rPr>
          <w:b/>
          <w:bCs/>
        </w:rPr>
        <w:t>Practitioner</w:t>
      </w:r>
      <w:r w:rsidR="00AC7E68">
        <w:t xml:space="preserve"> </w:t>
      </w:r>
      <w:r>
        <w:t>means a Specialist</w:t>
      </w:r>
      <w:r w:rsidR="00AC7E68">
        <w:t xml:space="preserve">, </w:t>
      </w:r>
      <w:r>
        <w:t>Senior Specialist</w:t>
      </w:r>
      <w:r w:rsidR="00AC7E68">
        <w:t xml:space="preserve"> or Post Graduate Fellow</w:t>
      </w:r>
    </w:p>
    <w:bookmarkEnd w:id="22"/>
    <w:p w14:paraId="08682A42" w14:textId="2DFE548A" w:rsidR="004A6A76" w:rsidRDefault="004A6A76" w:rsidP="004A6A76">
      <w:pPr>
        <w:rPr>
          <w:rFonts w:cs="Arial"/>
          <w:szCs w:val="24"/>
        </w:rPr>
      </w:pPr>
    </w:p>
    <w:p w14:paraId="0AB25553" w14:textId="1627DB3A" w:rsidR="00DF0FB9" w:rsidRDefault="003C12ED" w:rsidP="00DF0FB9">
      <w:pPr>
        <w:jc w:val="right"/>
        <w:rPr>
          <w:rStyle w:val="Hyperlink"/>
          <w:rFonts w:cs="Arial"/>
          <w:i/>
          <w:szCs w:val="24"/>
        </w:rPr>
      </w:pPr>
      <w:hyperlink w:anchor="Contents"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DF0FB9" w:rsidRPr="001B2BAC" w14:paraId="4499F4B6" w14:textId="77777777" w:rsidTr="00D159F6">
        <w:trPr>
          <w:cantSplit/>
          <w:trHeight w:val="285"/>
        </w:trPr>
        <w:tc>
          <w:tcPr>
            <w:tcW w:w="9158" w:type="dxa"/>
            <w:shd w:val="clear" w:color="auto" w:fill="D9D9D9" w:themeFill="background1" w:themeFillShade="D9"/>
          </w:tcPr>
          <w:p w14:paraId="417F1D75" w14:textId="60AD025D" w:rsidR="00DF0FB9" w:rsidRPr="002E3BFE" w:rsidRDefault="00DF0FB9" w:rsidP="00D159F6">
            <w:pPr>
              <w:pStyle w:val="Heading1"/>
              <w:rPr>
                <w:szCs w:val="24"/>
              </w:rPr>
            </w:pPr>
            <w:bookmarkStart w:id="23" w:name="_Toc138683295"/>
            <w:r>
              <w:rPr>
                <w:szCs w:val="24"/>
              </w:rPr>
              <w:t>Search Terms</w:t>
            </w:r>
            <w:bookmarkEnd w:id="23"/>
          </w:p>
        </w:tc>
      </w:tr>
    </w:tbl>
    <w:p w14:paraId="263EBD2F" w14:textId="77777777" w:rsidR="00DF0FB9" w:rsidRDefault="00DF0FB9" w:rsidP="005E320A">
      <w:pPr>
        <w:jc w:val="right"/>
      </w:pPr>
    </w:p>
    <w:p w14:paraId="12BDAC7C" w14:textId="59D8126F" w:rsidR="00DF0FB9" w:rsidRDefault="00DF0FB9" w:rsidP="00DF0FB9">
      <w:r w:rsidRPr="00DF0FB9">
        <w:t>Employer Nominated Permanent Residency Visas, Visa</w:t>
      </w:r>
      <w:r>
        <w:t>,</w:t>
      </w:r>
      <w:r w:rsidRPr="00DF0FB9">
        <w:t xml:space="preserve"> Medical Practitioner, Australian Permanent Residency</w:t>
      </w:r>
    </w:p>
    <w:p w14:paraId="731B22BA" w14:textId="77777777" w:rsidR="00DF0FB9" w:rsidRDefault="00DF0FB9" w:rsidP="00DF0FB9">
      <w:pPr>
        <w:rPr>
          <w:rFonts w:cs="Arial"/>
          <w:szCs w:val="24"/>
        </w:rPr>
      </w:pPr>
    </w:p>
    <w:p w14:paraId="08B58F24" w14:textId="34244BB1" w:rsidR="00DF0FB9" w:rsidRPr="00DF0FB9" w:rsidRDefault="00DF0FB9" w:rsidP="00DF0FB9">
      <w:pPr>
        <w:jc w:val="right"/>
        <w:rPr>
          <w:rFonts w:cs="Arial"/>
          <w:i/>
          <w:color w:val="0000FF"/>
          <w:szCs w:val="24"/>
          <w:u w:val="single"/>
        </w:rPr>
      </w:pPr>
      <w:hyperlink w:anchor="Contents" w:history="1">
        <w:r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4B" w14:textId="77777777" w:rsidTr="008E74FD">
        <w:trPr>
          <w:cantSplit/>
          <w:trHeight w:val="285"/>
        </w:trPr>
        <w:tc>
          <w:tcPr>
            <w:tcW w:w="9158" w:type="dxa"/>
            <w:shd w:val="clear" w:color="auto" w:fill="D9D9D9" w:themeFill="background1" w:themeFillShade="D9"/>
          </w:tcPr>
          <w:p w14:paraId="08682A4A" w14:textId="77777777" w:rsidR="009A534C" w:rsidRPr="002E3BFE" w:rsidRDefault="009A534C" w:rsidP="00B10F87">
            <w:pPr>
              <w:pStyle w:val="Heading1"/>
              <w:rPr>
                <w:szCs w:val="24"/>
              </w:rPr>
            </w:pPr>
            <w:bookmarkStart w:id="24" w:name="_Toc138683296"/>
            <w:r>
              <w:rPr>
                <w:szCs w:val="24"/>
              </w:rPr>
              <w:t>Attachments</w:t>
            </w:r>
            <w:bookmarkEnd w:id="24"/>
          </w:p>
        </w:tc>
      </w:tr>
    </w:tbl>
    <w:p w14:paraId="08682A4C" w14:textId="77777777" w:rsidR="009A534C" w:rsidRDefault="009A534C" w:rsidP="009A534C">
      <w:pPr>
        <w:jc w:val="both"/>
        <w:rPr>
          <w:rFonts w:cs="Arial"/>
          <w:b/>
          <w:szCs w:val="24"/>
        </w:rPr>
      </w:pPr>
    </w:p>
    <w:p w14:paraId="08682A4D" w14:textId="0B822312" w:rsidR="009A534C" w:rsidRPr="00FE3285" w:rsidRDefault="00FE3285" w:rsidP="009A534C">
      <w:pPr>
        <w:rPr>
          <w:rFonts w:cs="Arial"/>
          <w:iCs/>
          <w:sz w:val="20"/>
        </w:rPr>
      </w:pPr>
      <w:r w:rsidRPr="00FE3285">
        <w:rPr>
          <w:rFonts w:cs="Arial"/>
          <w:iCs/>
          <w:szCs w:val="24"/>
        </w:rPr>
        <w:t xml:space="preserve">Attachment 1 - </w:t>
      </w:r>
      <w:r w:rsidRPr="00FE3285">
        <w:rPr>
          <w:iCs/>
        </w:rPr>
        <w:t xml:space="preserve">Employer Nominated Permanent Residency </w:t>
      </w:r>
      <w:r w:rsidR="00593109">
        <w:rPr>
          <w:iCs/>
        </w:rPr>
        <w:t>v</w:t>
      </w:r>
      <w:r w:rsidR="00733674">
        <w:rPr>
          <w:iCs/>
        </w:rPr>
        <w:t xml:space="preserve">isa request </w:t>
      </w:r>
      <w:proofErr w:type="gramStart"/>
      <w:r w:rsidRPr="00FE3285">
        <w:rPr>
          <w:iCs/>
        </w:rPr>
        <w:t>process</w:t>
      </w:r>
      <w:proofErr w:type="gramEnd"/>
    </w:p>
    <w:p w14:paraId="08682A4E" w14:textId="77777777" w:rsidR="009A534C" w:rsidRPr="00FE3285" w:rsidRDefault="009A534C" w:rsidP="009A534C">
      <w:pPr>
        <w:rPr>
          <w:rFonts w:cs="Arial"/>
          <w:iCs/>
          <w:sz w:val="20"/>
        </w:rPr>
      </w:pPr>
    </w:p>
    <w:p w14:paraId="08682A4F" w14:textId="77777777" w:rsidR="009A534C" w:rsidRDefault="009A534C" w:rsidP="009A534C">
      <w:pPr>
        <w:rPr>
          <w:rFonts w:cs="Arial"/>
          <w:iCs/>
          <w:sz w:val="20"/>
        </w:rPr>
      </w:pPr>
    </w:p>
    <w:p w14:paraId="08682A50" w14:textId="2AE7F3B4" w:rsidR="00153FB3" w:rsidRPr="003E167B" w:rsidRDefault="00153FB3" w:rsidP="00153FB3">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sidR="00470E63">
        <w:rPr>
          <w:rFonts w:cs="Arial"/>
          <w:i/>
          <w:iCs/>
          <w:sz w:val="20"/>
        </w:rPr>
        <w:t>Canberra Health Services</w:t>
      </w:r>
      <w:r w:rsidRPr="003E167B">
        <w:rPr>
          <w:rFonts w:cs="Arial"/>
          <w:i/>
          <w:iCs/>
          <w:sz w:val="20"/>
        </w:rPr>
        <w:t xml:space="preserve"> assumes no responsibility whatsoever.</w:t>
      </w:r>
    </w:p>
    <w:p w14:paraId="08682A51" w14:textId="77777777" w:rsidR="00153FB3" w:rsidRPr="003E167B" w:rsidRDefault="00153FB3" w:rsidP="00153FB3">
      <w:pPr>
        <w:rPr>
          <w:rFonts w:cs="Arial"/>
          <w:i/>
          <w:iCs/>
          <w:sz w:val="20"/>
        </w:rPr>
      </w:pPr>
    </w:p>
    <w:p w14:paraId="08682A52" w14:textId="77777777" w:rsidR="00153FB3" w:rsidRPr="003E167B" w:rsidRDefault="00153FB3" w:rsidP="00153FB3">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1841"/>
        <w:gridCol w:w="2689"/>
        <w:gridCol w:w="2265"/>
      </w:tblGrid>
      <w:tr w:rsidR="00153FB3" w:rsidRPr="003E167B" w14:paraId="08682A57" w14:textId="77777777" w:rsidTr="00754224">
        <w:tc>
          <w:tcPr>
            <w:tcW w:w="2265" w:type="dxa"/>
          </w:tcPr>
          <w:p w14:paraId="08682A53" w14:textId="77777777" w:rsidR="00153FB3" w:rsidRPr="003E167B" w:rsidRDefault="00153FB3" w:rsidP="005B3A1A">
            <w:pPr>
              <w:rPr>
                <w:i/>
                <w:sz w:val="20"/>
              </w:rPr>
            </w:pPr>
            <w:r w:rsidRPr="003E167B">
              <w:rPr>
                <w:i/>
                <w:sz w:val="20"/>
              </w:rPr>
              <w:t>Date Amended</w:t>
            </w:r>
          </w:p>
        </w:tc>
        <w:tc>
          <w:tcPr>
            <w:tcW w:w="1841" w:type="dxa"/>
          </w:tcPr>
          <w:p w14:paraId="08682A54" w14:textId="77777777" w:rsidR="00153FB3" w:rsidRPr="003E167B" w:rsidRDefault="00153FB3" w:rsidP="005B3A1A">
            <w:pPr>
              <w:rPr>
                <w:i/>
                <w:sz w:val="20"/>
              </w:rPr>
            </w:pPr>
            <w:r w:rsidRPr="003E167B">
              <w:rPr>
                <w:i/>
                <w:sz w:val="20"/>
              </w:rPr>
              <w:t>Section Amended</w:t>
            </w:r>
          </w:p>
        </w:tc>
        <w:tc>
          <w:tcPr>
            <w:tcW w:w="2689" w:type="dxa"/>
          </w:tcPr>
          <w:p w14:paraId="08682A55" w14:textId="77777777" w:rsidR="00153FB3" w:rsidRPr="003E167B" w:rsidRDefault="00153FB3" w:rsidP="005B3A1A">
            <w:pPr>
              <w:rPr>
                <w:i/>
                <w:sz w:val="20"/>
              </w:rPr>
            </w:pPr>
            <w:r w:rsidRPr="003E167B">
              <w:rPr>
                <w:i/>
                <w:sz w:val="20"/>
              </w:rPr>
              <w:t>Divisional Approval</w:t>
            </w:r>
          </w:p>
        </w:tc>
        <w:tc>
          <w:tcPr>
            <w:tcW w:w="2265" w:type="dxa"/>
          </w:tcPr>
          <w:p w14:paraId="08682A56" w14:textId="77777777" w:rsidR="00153FB3" w:rsidRPr="003E167B" w:rsidRDefault="00153FB3" w:rsidP="005B3A1A">
            <w:pPr>
              <w:rPr>
                <w:i/>
                <w:sz w:val="20"/>
              </w:rPr>
            </w:pPr>
            <w:r w:rsidRPr="003E167B">
              <w:rPr>
                <w:i/>
                <w:sz w:val="20"/>
              </w:rPr>
              <w:t xml:space="preserve">Final Approval </w:t>
            </w:r>
          </w:p>
        </w:tc>
      </w:tr>
      <w:tr w:rsidR="00153FB3" w:rsidRPr="003E167B" w14:paraId="08682A5C" w14:textId="77777777" w:rsidTr="00754224">
        <w:tc>
          <w:tcPr>
            <w:tcW w:w="2265" w:type="dxa"/>
          </w:tcPr>
          <w:p w14:paraId="08682A58" w14:textId="411EF66F" w:rsidR="00153FB3" w:rsidRPr="003E167B" w:rsidRDefault="00754224" w:rsidP="005B3A1A">
            <w:pPr>
              <w:rPr>
                <w:i/>
                <w:sz w:val="20"/>
              </w:rPr>
            </w:pPr>
            <w:r>
              <w:rPr>
                <w:i/>
                <w:sz w:val="20"/>
              </w:rPr>
              <w:t xml:space="preserve">26/06/2023 </w:t>
            </w:r>
          </w:p>
        </w:tc>
        <w:tc>
          <w:tcPr>
            <w:tcW w:w="1841" w:type="dxa"/>
          </w:tcPr>
          <w:p w14:paraId="08682A59" w14:textId="516A0C6E" w:rsidR="00153FB3" w:rsidRPr="003E167B" w:rsidRDefault="00754224" w:rsidP="005B3A1A">
            <w:pPr>
              <w:rPr>
                <w:i/>
                <w:sz w:val="20"/>
              </w:rPr>
            </w:pPr>
            <w:r>
              <w:rPr>
                <w:i/>
                <w:sz w:val="20"/>
              </w:rPr>
              <w:t>Complete Review</w:t>
            </w:r>
          </w:p>
        </w:tc>
        <w:tc>
          <w:tcPr>
            <w:tcW w:w="2689" w:type="dxa"/>
          </w:tcPr>
          <w:p w14:paraId="08682A5A" w14:textId="7B2F067B" w:rsidR="00153FB3" w:rsidRPr="003E167B" w:rsidRDefault="00754224" w:rsidP="005B3A1A">
            <w:pPr>
              <w:rPr>
                <w:i/>
                <w:sz w:val="20"/>
              </w:rPr>
            </w:pPr>
            <w:r>
              <w:rPr>
                <w:i/>
                <w:sz w:val="20"/>
              </w:rPr>
              <w:t>Kalena Smitham, EGM People and Culture</w:t>
            </w:r>
          </w:p>
        </w:tc>
        <w:tc>
          <w:tcPr>
            <w:tcW w:w="2265" w:type="dxa"/>
          </w:tcPr>
          <w:p w14:paraId="08682A5B" w14:textId="48DCDDA8" w:rsidR="00153FB3" w:rsidRPr="003E167B" w:rsidRDefault="00754224" w:rsidP="005B3A1A">
            <w:pPr>
              <w:rPr>
                <w:i/>
                <w:sz w:val="20"/>
              </w:rPr>
            </w:pPr>
            <w:r>
              <w:rPr>
                <w:i/>
                <w:sz w:val="20"/>
              </w:rPr>
              <w:t>CHS Policy Committee</w:t>
            </w:r>
          </w:p>
        </w:tc>
      </w:tr>
      <w:tr w:rsidR="00153FB3" w:rsidRPr="003E167B" w14:paraId="08682A61" w14:textId="77777777" w:rsidTr="00754224">
        <w:tc>
          <w:tcPr>
            <w:tcW w:w="2265" w:type="dxa"/>
          </w:tcPr>
          <w:p w14:paraId="08682A5D" w14:textId="77777777" w:rsidR="00153FB3" w:rsidRPr="003E167B" w:rsidRDefault="00153FB3" w:rsidP="005B3A1A">
            <w:pPr>
              <w:rPr>
                <w:i/>
                <w:sz w:val="20"/>
              </w:rPr>
            </w:pPr>
          </w:p>
        </w:tc>
        <w:tc>
          <w:tcPr>
            <w:tcW w:w="1841" w:type="dxa"/>
          </w:tcPr>
          <w:p w14:paraId="08682A5E" w14:textId="77777777" w:rsidR="00153FB3" w:rsidRPr="003E167B" w:rsidRDefault="00153FB3" w:rsidP="005B3A1A">
            <w:pPr>
              <w:rPr>
                <w:i/>
                <w:sz w:val="20"/>
              </w:rPr>
            </w:pPr>
          </w:p>
        </w:tc>
        <w:tc>
          <w:tcPr>
            <w:tcW w:w="2689" w:type="dxa"/>
          </w:tcPr>
          <w:p w14:paraId="08682A5F" w14:textId="77777777" w:rsidR="00153FB3" w:rsidRPr="003E167B" w:rsidRDefault="00153FB3" w:rsidP="005B3A1A">
            <w:pPr>
              <w:rPr>
                <w:i/>
                <w:sz w:val="20"/>
              </w:rPr>
            </w:pPr>
          </w:p>
        </w:tc>
        <w:tc>
          <w:tcPr>
            <w:tcW w:w="2265" w:type="dxa"/>
          </w:tcPr>
          <w:p w14:paraId="08682A60" w14:textId="77777777" w:rsidR="00153FB3" w:rsidRPr="003E167B" w:rsidRDefault="00153FB3" w:rsidP="005B3A1A">
            <w:pPr>
              <w:rPr>
                <w:i/>
                <w:sz w:val="20"/>
              </w:rPr>
            </w:pPr>
          </w:p>
        </w:tc>
      </w:tr>
    </w:tbl>
    <w:p w14:paraId="08682A62" w14:textId="77777777" w:rsidR="00153FB3" w:rsidRPr="003E167B" w:rsidRDefault="00153FB3" w:rsidP="00153FB3">
      <w:pPr>
        <w:rPr>
          <w:rFonts w:cs="Arial"/>
          <w:sz w:val="20"/>
        </w:rPr>
      </w:pPr>
    </w:p>
    <w:p w14:paraId="08682A63" w14:textId="77777777" w:rsidR="00153FB3" w:rsidRPr="003E167B" w:rsidRDefault="00153FB3" w:rsidP="00153FB3">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53FB3" w:rsidRPr="003E167B" w14:paraId="08682A66" w14:textId="77777777" w:rsidTr="005B3A1A">
        <w:tc>
          <w:tcPr>
            <w:tcW w:w="2122" w:type="dxa"/>
          </w:tcPr>
          <w:p w14:paraId="08682A64" w14:textId="77777777" w:rsidR="00153FB3" w:rsidRPr="003E167B" w:rsidRDefault="00153FB3" w:rsidP="005B3A1A">
            <w:pPr>
              <w:rPr>
                <w:i/>
                <w:sz w:val="20"/>
              </w:rPr>
            </w:pPr>
            <w:r w:rsidRPr="003E167B">
              <w:rPr>
                <w:i/>
                <w:sz w:val="20"/>
              </w:rPr>
              <w:t>Document Number</w:t>
            </w:r>
          </w:p>
        </w:tc>
        <w:tc>
          <w:tcPr>
            <w:tcW w:w="6938" w:type="dxa"/>
          </w:tcPr>
          <w:p w14:paraId="08682A65" w14:textId="77777777" w:rsidR="00153FB3" w:rsidRPr="003E167B" w:rsidRDefault="00153FB3" w:rsidP="005B3A1A">
            <w:pPr>
              <w:rPr>
                <w:i/>
                <w:sz w:val="20"/>
              </w:rPr>
            </w:pPr>
            <w:r w:rsidRPr="003E167B">
              <w:rPr>
                <w:i/>
                <w:sz w:val="20"/>
              </w:rPr>
              <w:t>Document Name</w:t>
            </w:r>
          </w:p>
        </w:tc>
      </w:tr>
      <w:tr w:rsidR="00153FB3" w:rsidRPr="003E167B" w14:paraId="08682A69" w14:textId="77777777" w:rsidTr="005B3A1A">
        <w:tc>
          <w:tcPr>
            <w:tcW w:w="2122" w:type="dxa"/>
          </w:tcPr>
          <w:p w14:paraId="08682A67" w14:textId="77777777" w:rsidR="00153FB3" w:rsidRPr="003E167B" w:rsidRDefault="00153FB3" w:rsidP="005B3A1A">
            <w:pPr>
              <w:rPr>
                <w:i/>
                <w:sz w:val="20"/>
              </w:rPr>
            </w:pPr>
          </w:p>
        </w:tc>
        <w:tc>
          <w:tcPr>
            <w:tcW w:w="6938" w:type="dxa"/>
          </w:tcPr>
          <w:p w14:paraId="08682A68" w14:textId="77777777" w:rsidR="00153FB3" w:rsidRPr="003E167B" w:rsidRDefault="00153FB3" w:rsidP="005B3A1A">
            <w:pPr>
              <w:rPr>
                <w:i/>
                <w:sz w:val="20"/>
              </w:rPr>
            </w:pPr>
          </w:p>
        </w:tc>
      </w:tr>
      <w:tr w:rsidR="00153FB3" w:rsidRPr="003E167B" w14:paraId="08682A6C" w14:textId="77777777" w:rsidTr="005B3A1A">
        <w:tc>
          <w:tcPr>
            <w:tcW w:w="2122" w:type="dxa"/>
          </w:tcPr>
          <w:p w14:paraId="08682A6A" w14:textId="77777777" w:rsidR="00153FB3" w:rsidRPr="003E167B" w:rsidRDefault="00153FB3" w:rsidP="005B3A1A">
            <w:pPr>
              <w:rPr>
                <w:i/>
                <w:sz w:val="20"/>
              </w:rPr>
            </w:pPr>
          </w:p>
        </w:tc>
        <w:tc>
          <w:tcPr>
            <w:tcW w:w="6938" w:type="dxa"/>
          </w:tcPr>
          <w:p w14:paraId="08682A6B" w14:textId="77777777" w:rsidR="00153FB3" w:rsidRPr="003E167B" w:rsidRDefault="00153FB3" w:rsidP="005B3A1A">
            <w:pPr>
              <w:rPr>
                <w:i/>
                <w:sz w:val="20"/>
              </w:rPr>
            </w:pPr>
          </w:p>
        </w:tc>
      </w:tr>
    </w:tbl>
    <w:p w14:paraId="08682A6D" w14:textId="078DFBFC" w:rsidR="00010E74" w:rsidRDefault="00010E74" w:rsidP="00153FB3">
      <w:pPr>
        <w:rPr>
          <w:i/>
          <w:sz w:val="20"/>
          <w:szCs w:val="24"/>
        </w:rPr>
      </w:pPr>
    </w:p>
    <w:p w14:paraId="6D089769" w14:textId="54E0F21F" w:rsidR="005E320A" w:rsidRDefault="005E320A" w:rsidP="00153FB3">
      <w:pPr>
        <w:rPr>
          <w:i/>
          <w:sz w:val="20"/>
          <w:szCs w:val="24"/>
        </w:rPr>
      </w:pPr>
    </w:p>
    <w:p w14:paraId="54B58067" w14:textId="520BD3E5" w:rsidR="005E320A" w:rsidRDefault="005E320A" w:rsidP="00153FB3">
      <w:pPr>
        <w:rPr>
          <w:i/>
          <w:sz w:val="20"/>
          <w:szCs w:val="24"/>
        </w:rPr>
      </w:pPr>
    </w:p>
    <w:p w14:paraId="2ACCE849" w14:textId="11F8082C" w:rsidR="005E320A" w:rsidRDefault="005E320A" w:rsidP="00153FB3">
      <w:pPr>
        <w:rPr>
          <w:i/>
          <w:sz w:val="20"/>
          <w:szCs w:val="24"/>
        </w:rPr>
      </w:pPr>
    </w:p>
    <w:p w14:paraId="735E36AE" w14:textId="0064A1FB" w:rsidR="005E320A" w:rsidRDefault="005E320A" w:rsidP="00153FB3">
      <w:pPr>
        <w:rPr>
          <w:i/>
          <w:sz w:val="20"/>
          <w:szCs w:val="24"/>
        </w:rPr>
      </w:pPr>
    </w:p>
    <w:p w14:paraId="2FA6DBE6" w14:textId="2F4EC57F" w:rsidR="005E320A" w:rsidRDefault="005E320A" w:rsidP="00153FB3">
      <w:pPr>
        <w:rPr>
          <w:i/>
          <w:sz w:val="20"/>
          <w:szCs w:val="24"/>
        </w:rPr>
      </w:pPr>
    </w:p>
    <w:p w14:paraId="7BFB712D" w14:textId="7831B598" w:rsidR="005E320A" w:rsidRDefault="005E320A" w:rsidP="00153FB3">
      <w:pPr>
        <w:rPr>
          <w:i/>
          <w:sz w:val="20"/>
          <w:szCs w:val="24"/>
        </w:rPr>
      </w:pPr>
    </w:p>
    <w:p w14:paraId="261077F0" w14:textId="60D6056E" w:rsidR="005E320A" w:rsidRDefault="005E320A" w:rsidP="00153FB3">
      <w:pPr>
        <w:rPr>
          <w:i/>
          <w:sz w:val="20"/>
          <w:szCs w:val="24"/>
        </w:rPr>
      </w:pPr>
    </w:p>
    <w:p w14:paraId="0D9B4599" w14:textId="18C9C2FF" w:rsidR="005E320A" w:rsidRDefault="005E320A" w:rsidP="00153FB3">
      <w:pPr>
        <w:rPr>
          <w:i/>
          <w:sz w:val="20"/>
          <w:szCs w:val="24"/>
        </w:rPr>
      </w:pPr>
    </w:p>
    <w:p w14:paraId="0F4A5DE6" w14:textId="3300E8F1" w:rsidR="005E320A" w:rsidRDefault="005E320A" w:rsidP="00153FB3">
      <w:pPr>
        <w:rPr>
          <w:i/>
          <w:sz w:val="20"/>
          <w:szCs w:val="24"/>
        </w:rPr>
      </w:pPr>
    </w:p>
    <w:p w14:paraId="44F53BB8" w14:textId="0F00D757" w:rsidR="005E320A" w:rsidRDefault="005E320A" w:rsidP="00153FB3">
      <w:pPr>
        <w:rPr>
          <w:i/>
          <w:sz w:val="20"/>
          <w:szCs w:val="24"/>
        </w:rPr>
      </w:pPr>
    </w:p>
    <w:p w14:paraId="2E51E1C0" w14:textId="164E3E9F" w:rsidR="005E320A" w:rsidRDefault="005E320A" w:rsidP="00153FB3">
      <w:pPr>
        <w:rPr>
          <w:i/>
          <w:sz w:val="20"/>
          <w:szCs w:val="24"/>
        </w:rPr>
      </w:pPr>
    </w:p>
    <w:p w14:paraId="52C51242" w14:textId="6D5A462A" w:rsidR="005E320A" w:rsidRDefault="005E320A" w:rsidP="00153FB3">
      <w:pPr>
        <w:rPr>
          <w:i/>
          <w:sz w:val="20"/>
          <w:szCs w:val="24"/>
        </w:rPr>
      </w:pPr>
    </w:p>
    <w:p w14:paraId="3B42B172" w14:textId="089E2361" w:rsidR="005E320A" w:rsidRDefault="005E320A" w:rsidP="00153FB3">
      <w:pPr>
        <w:rPr>
          <w:i/>
          <w:sz w:val="20"/>
          <w:szCs w:val="24"/>
        </w:rPr>
      </w:pPr>
    </w:p>
    <w:p w14:paraId="35C00639" w14:textId="22BB8536" w:rsidR="005E320A" w:rsidRDefault="005E320A" w:rsidP="00153FB3">
      <w:pPr>
        <w:rPr>
          <w:i/>
          <w:sz w:val="20"/>
          <w:szCs w:val="24"/>
        </w:rPr>
      </w:pPr>
    </w:p>
    <w:p w14:paraId="0EF22D8E" w14:textId="7BCA5841" w:rsidR="005E320A" w:rsidRDefault="005E320A" w:rsidP="00153FB3">
      <w:pPr>
        <w:rPr>
          <w:i/>
          <w:sz w:val="20"/>
          <w:szCs w:val="24"/>
        </w:rPr>
      </w:pPr>
    </w:p>
    <w:p w14:paraId="1CA8B43F" w14:textId="0F178777" w:rsidR="005E320A" w:rsidRDefault="005E320A" w:rsidP="00153FB3">
      <w:pPr>
        <w:rPr>
          <w:i/>
          <w:sz w:val="20"/>
          <w:szCs w:val="24"/>
        </w:rPr>
      </w:pPr>
    </w:p>
    <w:p w14:paraId="14B4AB03" w14:textId="72115034" w:rsidR="005E320A" w:rsidRDefault="005E320A" w:rsidP="00153FB3">
      <w:pPr>
        <w:rPr>
          <w:i/>
          <w:sz w:val="20"/>
          <w:szCs w:val="24"/>
        </w:rPr>
      </w:pPr>
    </w:p>
    <w:p w14:paraId="1D3ECAFC" w14:textId="0CFDF533" w:rsidR="005E320A" w:rsidRDefault="005E320A" w:rsidP="00153FB3">
      <w:pPr>
        <w:rPr>
          <w:i/>
          <w:sz w:val="20"/>
          <w:szCs w:val="24"/>
        </w:rPr>
      </w:pPr>
    </w:p>
    <w:p w14:paraId="05B45C3B" w14:textId="7342E779" w:rsidR="005E320A" w:rsidRDefault="005E320A" w:rsidP="00153FB3">
      <w:pPr>
        <w:rPr>
          <w:i/>
          <w:sz w:val="20"/>
          <w:szCs w:val="24"/>
        </w:rPr>
      </w:pPr>
    </w:p>
    <w:p w14:paraId="68B6F4F5" w14:textId="4DE03957" w:rsidR="005E320A" w:rsidRDefault="005E320A" w:rsidP="00153FB3">
      <w:pPr>
        <w:rPr>
          <w:i/>
          <w:sz w:val="20"/>
          <w:szCs w:val="24"/>
        </w:rPr>
      </w:pPr>
    </w:p>
    <w:p w14:paraId="2E048C62" w14:textId="7F8A53E7" w:rsidR="005E320A" w:rsidRDefault="005E320A" w:rsidP="00153FB3">
      <w:pPr>
        <w:rPr>
          <w:i/>
          <w:sz w:val="20"/>
          <w:szCs w:val="24"/>
        </w:rPr>
      </w:pPr>
    </w:p>
    <w:p w14:paraId="78C1CFFB" w14:textId="3E54D52F" w:rsidR="005E320A" w:rsidRDefault="005E320A" w:rsidP="00153FB3">
      <w:pPr>
        <w:rPr>
          <w:i/>
          <w:sz w:val="20"/>
          <w:szCs w:val="24"/>
        </w:rPr>
      </w:pPr>
    </w:p>
    <w:p w14:paraId="57832F6F" w14:textId="5EBF9A7A" w:rsidR="005E320A" w:rsidRDefault="005E320A" w:rsidP="00153FB3">
      <w:pPr>
        <w:rPr>
          <w:i/>
          <w:sz w:val="20"/>
          <w:szCs w:val="24"/>
        </w:rPr>
      </w:pPr>
    </w:p>
    <w:p w14:paraId="77961C66" w14:textId="54CC6C57" w:rsidR="005E320A" w:rsidRDefault="005E320A" w:rsidP="00153FB3">
      <w:pPr>
        <w:rPr>
          <w:i/>
          <w:sz w:val="20"/>
          <w:szCs w:val="24"/>
        </w:rPr>
      </w:pPr>
    </w:p>
    <w:p w14:paraId="4165260A" w14:textId="60711EB4" w:rsidR="005E320A" w:rsidRDefault="005E320A" w:rsidP="00153FB3">
      <w:pPr>
        <w:rPr>
          <w:i/>
          <w:sz w:val="20"/>
          <w:szCs w:val="24"/>
        </w:rPr>
      </w:pPr>
    </w:p>
    <w:p w14:paraId="6EB3CDC2" w14:textId="02E97AAD" w:rsidR="005E320A" w:rsidRDefault="005E320A" w:rsidP="00153FB3">
      <w:pPr>
        <w:rPr>
          <w:i/>
          <w:sz w:val="20"/>
          <w:szCs w:val="24"/>
        </w:rPr>
      </w:pPr>
    </w:p>
    <w:p w14:paraId="5213E13D" w14:textId="5FB4C950" w:rsidR="005E320A" w:rsidRDefault="005E320A" w:rsidP="00153FB3">
      <w:pPr>
        <w:rPr>
          <w:i/>
          <w:sz w:val="20"/>
          <w:szCs w:val="24"/>
        </w:rPr>
      </w:pPr>
    </w:p>
    <w:p w14:paraId="2A5845AF" w14:textId="5EC5A345" w:rsidR="005E320A" w:rsidRPr="005E320A" w:rsidRDefault="005E320A" w:rsidP="005E320A">
      <w:pPr>
        <w:rPr>
          <w:rFonts w:cs="Arial"/>
          <w:b/>
          <w:bCs/>
          <w:iCs/>
          <w:sz w:val="20"/>
        </w:rPr>
      </w:pPr>
      <w:r>
        <w:rPr>
          <w:noProof/>
        </w:rPr>
        <w:lastRenderedPageBreak/>
        <w:drawing>
          <wp:anchor distT="0" distB="0" distL="114300" distR="114300" simplePos="0" relativeHeight="251658240" behindDoc="1" locked="0" layoutInCell="1" allowOverlap="1" wp14:anchorId="5C1EF9CD" wp14:editId="66C0C075">
            <wp:simplePos x="0" y="0"/>
            <wp:positionH relativeFrom="margin">
              <wp:posOffset>-263213</wp:posOffset>
            </wp:positionH>
            <wp:positionV relativeFrom="paragraph">
              <wp:posOffset>287655</wp:posOffset>
            </wp:positionV>
            <wp:extent cx="6278880" cy="5760371"/>
            <wp:effectExtent l="0" t="0" r="7620" b="0"/>
            <wp:wrapTight wrapText="bothSides">
              <wp:wrapPolygon edited="0">
                <wp:start x="0" y="0"/>
                <wp:lineTo x="0" y="21502"/>
                <wp:lineTo x="21561" y="21502"/>
                <wp:lineTo x="215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278880" cy="5760371"/>
                    </a:xfrm>
                    <a:prstGeom prst="rect">
                      <a:avLst/>
                    </a:prstGeom>
                  </pic:spPr>
                </pic:pic>
              </a:graphicData>
            </a:graphic>
          </wp:anchor>
        </w:drawing>
      </w:r>
      <w:r w:rsidRPr="005E320A">
        <w:rPr>
          <w:rFonts w:cs="Arial"/>
          <w:b/>
          <w:bCs/>
          <w:iCs/>
          <w:szCs w:val="24"/>
        </w:rPr>
        <w:t xml:space="preserve">Attachment 1 - </w:t>
      </w:r>
      <w:r w:rsidRPr="005E320A">
        <w:rPr>
          <w:b/>
          <w:bCs/>
          <w:iCs/>
        </w:rPr>
        <w:t xml:space="preserve">Employer Nominated Permanent Residency visa request </w:t>
      </w:r>
      <w:proofErr w:type="gramStart"/>
      <w:r w:rsidRPr="005E320A">
        <w:rPr>
          <w:b/>
          <w:bCs/>
          <w:iCs/>
        </w:rPr>
        <w:t>process</w:t>
      </w:r>
      <w:proofErr w:type="gramEnd"/>
    </w:p>
    <w:p w14:paraId="17760313" w14:textId="0C20BB7F" w:rsidR="005E320A" w:rsidRPr="00FE3285" w:rsidRDefault="005E320A" w:rsidP="005E320A">
      <w:pPr>
        <w:rPr>
          <w:rFonts w:cs="Arial"/>
          <w:iCs/>
          <w:sz w:val="20"/>
        </w:rPr>
      </w:pPr>
    </w:p>
    <w:p w14:paraId="6913740F" w14:textId="453E661A" w:rsidR="005E320A" w:rsidRPr="005E320A" w:rsidRDefault="005E320A" w:rsidP="00153FB3">
      <w:pPr>
        <w:rPr>
          <w:iCs/>
          <w:sz w:val="20"/>
          <w:szCs w:val="24"/>
        </w:rPr>
      </w:pPr>
    </w:p>
    <w:sectPr w:rsidR="005E320A" w:rsidRPr="005E320A" w:rsidSect="00B10F87">
      <w:headerReference w:type="default" r:id="rId16"/>
      <w:footerReference w:type="default" r:id="rId17"/>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D34E7" w14:textId="77777777" w:rsidR="003D05E9" w:rsidRDefault="003D05E9" w:rsidP="00F66CB0">
      <w:r>
        <w:separator/>
      </w:r>
    </w:p>
  </w:endnote>
  <w:endnote w:type="continuationSeparator" w:id="0">
    <w:p w14:paraId="37133675" w14:textId="77777777" w:rsidR="003D05E9" w:rsidRDefault="003D05E9"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2592"/>
      <w:gridCol w:w="990"/>
    </w:tblGrid>
    <w:tr w:rsidR="001670BB" w:rsidRPr="00AE7C5C" w14:paraId="08682A7C" w14:textId="77777777" w:rsidTr="00754224">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2592"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990"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754224">
      <w:tc>
        <w:tcPr>
          <w:tcW w:w="1515" w:type="dxa"/>
        </w:tcPr>
        <w:p w14:paraId="08682A7D" w14:textId="4C7DE14E" w:rsidR="001670BB" w:rsidRPr="00542EE6" w:rsidRDefault="00754224" w:rsidP="00B10F87">
          <w:pPr>
            <w:pStyle w:val="Footer"/>
            <w:rPr>
              <w:rFonts w:cs="Arial"/>
              <w:b/>
              <w:bCs/>
              <w:sz w:val="20"/>
            </w:rPr>
          </w:pPr>
          <w:r>
            <w:rPr>
              <w:b/>
              <w:sz w:val="20"/>
            </w:rPr>
            <w:t>CHS23/165</w:t>
          </w:r>
        </w:p>
      </w:tc>
      <w:tc>
        <w:tcPr>
          <w:tcW w:w="965" w:type="dxa"/>
        </w:tcPr>
        <w:p w14:paraId="08682A7E" w14:textId="724D1376" w:rsidR="001670BB" w:rsidRPr="00B3752F" w:rsidRDefault="00754224" w:rsidP="00B10F87">
          <w:pPr>
            <w:pStyle w:val="Footer"/>
            <w:rPr>
              <w:rFonts w:cs="Arial"/>
              <w:b/>
              <w:bCs/>
              <w:sz w:val="20"/>
            </w:rPr>
          </w:pPr>
          <w:r>
            <w:rPr>
              <w:rFonts w:cs="Arial"/>
              <w:b/>
              <w:bCs/>
              <w:sz w:val="20"/>
            </w:rPr>
            <w:t>1</w:t>
          </w:r>
        </w:p>
      </w:tc>
      <w:tc>
        <w:tcPr>
          <w:tcW w:w="1552" w:type="dxa"/>
        </w:tcPr>
        <w:p w14:paraId="08682A7F" w14:textId="53727822" w:rsidR="001670BB" w:rsidRPr="00B3752F" w:rsidRDefault="00754224" w:rsidP="00B10F87">
          <w:pPr>
            <w:pStyle w:val="Footer"/>
            <w:rPr>
              <w:rFonts w:cs="Arial"/>
              <w:b/>
              <w:bCs/>
              <w:sz w:val="20"/>
            </w:rPr>
          </w:pPr>
          <w:r>
            <w:rPr>
              <w:rFonts w:cs="Arial"/>
              <w:b/>
              <w:bCs/>
              <w:sz w:val="20"/>
            </w:rPr>
            <w:t>26/06/2023</w:t>
          </w:r>
        </w:p>
      </w:tc>
      <w:tc>
        <w:tcPr>
          <w:tcW w:w="1456" w:type="dxa"/>
        </w:tcPr>
        <w:p w14:paraId="08682A80" w14:textId="3848CBA8" w:rsidR="001670BB" w:rsidRPr="00B3752F" w:rsidRDefault="00754224" w:rsidP="00470E63">
          <w:pPr>
            <w:pStyle w:val="Footer"/>
            <w:rPr>
              <w:rFonts w:cs="Arial"/>
              <w:b/>
              <w:bCs/>
              <w:sz w:val="20"/>
            </w:rPr>
          </w:pPr>
          <w:r>
            <w:rPr>
              <w:rFonts w:cs="Arial"/>
              <w:b/>
              <w:bCs/>
              <w:sz w:val="20"/>
            </w:rPr>
            <w:t>01/07/2027</w:t>
          </w:r>
        </w:p>
      </w:tc>
      <w:tc>
        <w:tcPr>
          <w:tcW w:w="2592" w:type="dxa"/>
        </w:tcPr>
        <w:p w14:paraId="08682A81" w14:textId="7EC77F3C" w:rsidR="001670BB" w:rsidRPr="00B3752F" w:rsidRDefault="00754224" w:rsidP="00B10F87">
          <w:pPr>
            <w:pStyle w:val="Footer"/>
            <w:rPr>
              <w:rFonts w:cs="Arial"/>
              <w:b/>
              <w:bCs/>
              <w:sz w:val="20"/>
            </w:rPr>
          </w:pPr>
          <w:r>
            <w:rPr>
              <w:rFonts w:cs="Arial"/>
              <w:b/>
              <w:bCs/>
              <w:sz w:val="20"/>
            </w:rPr>
            <w:t xml:space="preserve">P&amp;C – Talent </w:t>
          </w:r>
          <w:proofErr w:type="spellStart"/>
          <w:r>
            <w:rPr>
              <w:rFonts w:cs="Arial"/>
              <w:b/>
              <w:bCs/>
              <w:sz w:val="20"/>
            </w:rPr>
            <w:t>Aquisition</w:t>
          </w:r>
          <w:proofErr w:type="spellEnd"/>
        </w:p>
      </w:tc>
      <w:tc>
        <w:tcPr>
          <w:tcW w:w="990"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9F1FF" w14:textId="77777777" w:rsidR="003D05E9" w:rsidRDefault="003D05E9" w:rsidP="00F66CB0">
      <w:r>
        <w:separator/>
      </w:r>
    </w:p>
  </w:footnote>
  <w:footnote w:type="continuationSeparator" w:id="0">
    <w:p w14:paraId="5FD0AACE" w14:textId="77777777" w:rsidR="003D05E9" w:rsidRDefault="003D05E9"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02E5EF57" w:rsidR="00A939DF" w:rsidRDefault="00754224" w:rsidP="00A939DF">
          <w:pPr>
            <w:pStyle w:val="Header"/>
            <w:tabs>
              <w:tab w:val="left" w:pos="720"/>
            </w:tabs>
            <w:jc w:val="right"/>
            <w:rPr>
              <w:sz w:val="20"/>
            </w:rPr>
          </w:pPr>
          <w:bookmarkStart w:id="25" w:name="_top"/>
          <w:bookmarkEnd w:id="25"/>
          <w:r>
            <w:rPr>
              <w:sz w:val="20"/>
            </w:rPr>
            <w:t>CHS23/165</w:t>
          </w:r>
        </w:p>
      </w:tc>
    </w:tr>
  </w:tbl>
  <w:sdt>
    <w:sdtPr>
      <w:rPr>
        <w:sz w:val="20"/>
      </w:rPr>
      <w:id w:val="681091959"/>
      <w:docPartObj>
        <w:docPartGallery w:val="Watermarks"/>
        <w:docPartUnique/>
      </w:docPartObj>
    </w:sdtPr>
    <w:sdtEndPr/>
    <w:sdtContent>
      <w:p w14:paraId="08682A75" w14:textId="00749A34" w:rsidR="001670BB" w:rsidRPr="00FC3538" w:rsidRDefault="003C12ED">
        <w:pPr>
          <w:pStyle w:val="Header"/>
          <w:rPr>
            <w:sz w:val="20"/>
          </w:rPr>
        </w:pPr>
        <w:r>
          <w:rPr>
            <w:noProof/>
            <w:sz w:val="20"/>
          </w:rPr>
          <w:pict w14:anchorId="4042D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5820988"/>
    <w:multiLevelType w:val="hybridMultilevel"/>
    <w:tmpl w:val="B2A26CDE"/>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234E9"/>
    <w:multiLevelType w:val="hybridMultilevel"/>
    <w:tmpl w:val="212A9F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6474A8"/>
    <w:multiLevelType w:val="hybridMultilevel"/>
    <w:tmpl w:val="087A8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3F1794"/>
    <w:multiLevelType w:val="hybridMultilevel"/>
    <w:tmpl w:val="880CD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992CFE"/>
    <w:multiLevelType w:val="hybridMultilevel"/>
    <w:tmpl w:val="98CEB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CE6BF6"/>
    <w:multiLevelType w:val="hybridMultilevel"/>
    <w:tmpl w:val="28D6F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4" w15:restartNumberingAfterBreak="0">
    <w:nsid w:val="6E760162"/>
    <w:multiLevelType w:val="hybridMultilevel"/>
    <w:tmpl w:val="F3B04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DFB64C4"/>
    <w:multiLevelType w:val="hybridMultilevel"/>
    <w:tmpl w:val="E99CB8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65432561">
    <w:abstractNumId w:val="0"/>
  </w:num>
  <w:num w:numId="2" w16cid:durableId="1214999624">
    <w:abstractNumId w:val="2"/>
  </w:num>
  <w:num w:numId="3" w16cid:durableId="568466426">
    <w:abstractNumId w:val="15"/>
  </w:num>
  <w:num w:numId="4" w16cid:durableId="757554690">
    <w:abstractNumId w:val="5"/>
  </w:num>
  <w:num w:numId="5" w16cid:durableId="1426653308">
    <w:abstractNumId w:val="7"/>
  </w:num>
  <w:num w:numId="6" w16cid:durableId="1141920769">
    <w:abstractNumId w:val="4"/>
  </w:num>
  <w:num w:numId="7" w16cid:durableId="1212957492">
    <w:abstractNumId w:val="16"/>
  </w:num>
  <w:num w:numId="8" w16cid:durableId="516771101">
    <w:abstractNumId w:val="13"/>
  </w:num>
  <w:num w:numId="9" w16cid:durableId="1631590772">
    <w:abstractNumId w:val="12"/>
  </w:num>
  <w:num w:numId="10" w16cid:durableId="1030061745">
    <w:abstractNumId w:val="12"/>
  </w:num>
  <w:num w:numId="11" w16cid:durableId="2073502790">
    <w:abstractNumId w:val="1"/>
  </w:num>
  <w:num w:numId="12" w16cid:durableId="354692936">
    <w:abstractNumId w:val="6"/>
  </w:num>
  <w:num w:numId="13" w16cid:durableId="137382523">
    <w:abstractNumId w:val="8"/>
  </w:num>
  <w:num w:numId="14" w16cid:durableId="2131512144">
    <w:abstractNumId w:val="14"/>
  </w:num>
  <w:num w:numId="15" w16cid:durableId="1627002754">
    <w:abstractNumId w:val="3"/>
  </w:num>
  <w:num w:numId="16" w16cid:durableId="641034319">
    <w:abstractNumId w:val="0"/>
  </w:num>
  <w:num w:numId="17" w16cid:durableId="13385606">
    <w:abstractNumId w:val="10"/>
  </w:num>
  <w:num w:numId="18" w16cid:durableId="945305408">
    <w:abstractNumId w:val="11"/>
  </w:num>
  <w:num w:numId="19" w16cid:durableId="1028797033">
    <w:abstractNumId w:val="9"/>
  </w:num>
  <w:num w:numId="20" w16cid:durableId="1628625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5B90"/>
    <w:rsid w:val="0001607A"/>
    <w:rsid w:val="000728F3"/>
    <w:rsid w:val="000A3D5E"/>
    <w:rsid w:val="000B5C8C"/>
    <w:rsid w:val="000C59E2"/>
    <w:rsid w:val="000C7B2D"/>
    <w:rsid w:val="000F7B7E"/>
    <w:rsid w:val="0010015B"/>
    <w:rsid w:val="00103EEA"/>
    <w:rsid w:val="0013092E"/>
    <w:rsid w:val="00132806"/>
    <w:rsid w:val="0014228F"/>
    <w:rsid w:val="00153FB3"/>
    <w:rsid w:val="001670BB"/>
    <w:rsid w:val="0018239D"/>
    <w:rsid w:val="00191109"/>
    <w:rsid w:val="001A0053"/>
    <w:rsid w:val="001B2465"/>
    <w:rsid w:val="001E64DB"/>
    <w:rsid w:val="001F2829"/>
    <w:rsid w:val="001F2C50"/>
    <w:rsid w:val="001F6D2D"/>
    <w:rsid w:val="00205AF9"/>
    <w:rsid w:val="002362EB"/>
    <w:rsid w:val="00240B97"/>
    <w:rsid w:val="0025382D"/>
    <w:rsid w:val="00253F5A"/>
    <w:rsid w:val="00263BA6"/>
    <w:rsid w:val="00266379"/>
    <w:rsid w:val="0026690C"/>
    <w:rsid w:val="0027264D"/>
    <w:rsid w:val="00293E43"/>
    <w:rsid w:val="002A3A3A"/>
    <w:rsid w:val="002A688B"/>
    <w:rsid w:val="002B478A"/>
    <w:rsid w:val="002B5F43"/>
    <w:rsid w:val="002C05A8"/>
    <w:rsid w:val="002F7AFC"/>
    <w:rsid w:val="00313707"/>
    <w:rsid w:val="00320E5D"/>
    <w:rsid w:val="00326ED0"/>
    <w:rsid w:val="00376A6D"/>
    <w:rsid w:val="00380B98"/>
    <w:rsid w:val="00396023"/>
    <w:rsid w:val="0039642B"/>
    <w:rsid w:val="00396F11"/>
    <w:rsid w:val="003C12ED"/>
    <w:rsid w:val="003C4BB5"/>
    <w:rsid w:val="003D05E9"/>
    <w:rsid w:val="003E167B"/>
    <w:rsid w:val="003E4CC0"/>
    <w:rsid w:val="003F3D8F"/>
    <w:rsid w:val="00405086"/>
    <w:rsid w:val="00412CED"/>
    <w:rsid w:val="00413237"/>
    <w:rsid w:val="00427139"/>
    <w:rsid w:val="004358E9"/>
    <w:rsid w:val="004424F0"/>
    <w:rsid w:val="00447B55"/>
    <w:rsid w:val="00465C91"/>
    <w:rsid w:val="00470A29"/>
    <w:rsid w:val="00470E63"/>
    <w:rsid w:val="00487DD5"/>
    <w:rsid w:val="004917F2"/>
    <w:rsid w:val="004A2E02"/>
    <w:rsid w:val="004A6A76"/>
    <w:rsid w:val="004B7C43"/>
    <w:rsid w:val="004C2B20"/>
    <w:rsid w:val="004E28AD"/>
    <w:rsid w:val="004F1D05"/>
    <w:rsid w:val="0050147B"/>
    <w:rsid w:val="00503F75"/>
    <w:rsid w:val="0052443C"/>
    <w:rsid w:val="0052775E"/>
    <w:rsid w:val="00542514"/>
    <w:rsid w:val="00546AED"/>
    <w:rsid w:val="005621E4"/>
    <w:rsid w:val="005736DB"/>
    <w:rsid w:val="005743AC"/>
    <w:rsid w:val="00593109"/>
    <w:rsid w:val="00596FD7"/>
    <w:rsid w:val="005A3625"/>
    <w:rsid w:val="005B2C37"/>
    <w:rsid w:val="005B4738"/>
    <w:rsid w:val="005C212D"/>
    <w:rsid w:val="005C3CB0"/>
    <w:rsid w:val="005E320A"/>
    <w:rsid w:val="00612231"/>
    <w:rsid w:val="00614380"/>
    <w:rsid w:val="00627BB0"/>
    <w:rsid w:val="00633C8D"/>
    <w:rsid w:val="00635EB1"/>
    <w:rsid w:val="006473BB"/>
    <w:rsid w:val="0065246A"/>
    <w:rsid w:val="0066495D"/>
    <w:rsid w:val="00666099"/>
    <w:rsid w:val="006743DB"/>
    <w:rsid w:val="00695EB6"/>
    <w:rsid w:val="006A4D46"/>
    <w:rsid w:val="006A6024"/>
    <w:rsid w:val="006C31FF"/>
    <w:rsid w:val="006C6B6C"/>
    <w:rsid w:val="006C704D"/>
    <w:rsid w:val="006D3566"/>
    <w:rsid w:val="0070331D"/>
    <w:rsid w:val="007171A3"/>
    <w:rsid w:val="00733674"/>
    <w:rsid w:val="00741B43"/>
    <w:rsid w:val="00752315"/>
    <w:rsid w:val="00754224"/>
    <w:rsid w:val="00756537"/>
    <w:rsid w:val="00775280"/>
    <w:rsid w:val="007868F4"/>
    <w:rsid w:val="007A0EBC"/>
    <w:rsid w:val="007A40D2"/>
    <w:rsid w:val="007B4ABB"/>
    <w:rsid w:val="007B6904"/>
    <w:rsid w:val="007B7397"/>
    <w:rsid w:val="007E22BC"/>
    <w:rsid w:val="007E6629"/>
    <w:rsid w:val="00816782"/>
    <w:rsid w:val="0082141D"/>
    <w:rsid w:val="00827F24"/>
    <w:rsid w:val="00855DA8"/>
    <w:rsid w:val="00865480"/>
    <w:rsid w:val="008732E4"/>
    <w:rsid w:val="00882064"/>
    <w:rsid w:val="00886399"/>
    <w:rsid w:val="00895E0E"/>
    <w:rsid w:val="008974CA"/>
    <w:rsid w:val="008B0C3C"/>
    <w:rsid w:val="008D0CBA"/>
    <w:rsid w:val="008E1F7F"/>
    <w:rsid w:val="008E3427"/>
    <w:rsid w:val="008E74FD"/>
    <w:rsid w:val="008E7509"/>
    <w:rsid w:val="008F00E8"/>
    <w:rsid w:val="008F6921"/>
    <w:rsid w:val="00905EF2"/>
    <w:rsid w:val="00933EED"/>
    <w:rsid w:val="00940CDE"/>
    <w:rsid w:val="00976C82"/>
    <w:rsid w:val="0097742A"/>
    <w:rsid w:val="00980AE7"/>
    <w:rsid w:val="00980EED"/>
    <w:rsid w:val="0098312B"/>
    <w:rsid w:val="0098579F"/>
    <w:rsid w:val="00991670"/>
    <w:rsid w:val="009A5072"/>
    <w:rsid w:val="009A534C"/>
    <w:rsid w:val="009B0E44"/>
    <w:rsid w:val="009B4A8F"/>
    <w:rsid w:val="009B6C8C"/>
    <w:rsid w:val="009B6F42"/>
    <w:rsid w:val="009C0FCA"/>
    <w:rsid w:val="009C3963"/>
    <w:rsid w:val="009D323C"/>
    <w:rsid w:val="009F4306"/>
    <w:rsid w:val="00A063FE"/>
    <w:rsid w:val="00A1270C"/>
    <w:rsid w:val="00A13087"/>
    <w:rsid w:val="00A25AA5"/>
    <w:rsid w:val="00A3469C"/>
    <w:rsid w:val="00A350E5"/>
    <w:rsid w:val="00A35E2D"/>
    <w:rsid w:val="00A654E2"/>
    <w:rsid w:val="00A74B8A"/>
    <w:rsid w:val="00A85F61"/>
    <w:rsid w:val="00A86A9D"/>
    <w:rsid w:val="00A86DB3"/>
    <w:rsid w:val="00A939DF"/>
    <w:rsid w:val="00AA25DC"/>
    <w:rsid w:val="00AB3DEA"/>
    <w:rsid w:val="00AC66DE"/>
    <w:rsid w:val="00AC7E68"/>
    <w:rsid w:val="00AF444B"/>
    <w:rsid w:val="00B05F11"/>
    <w:rsid w:val="00B10F87"/>
    <w:rsid w:val="00B11471"/>
    <w:rsid w:val="00B17115"/>
    <w:rsid w:val="00B21043"/>
    <w:rsid w:val="00B30DA2"/>
    <w:rsid w:val="00B44CAC"/>
    <w:rsid w:val="00B453FC"/>
    <w:rsid w:val="00B573D6"/>
    <w:rsid w:val="00B61F35"/>
    <w:rsid w:val="00B634F1"/>
    <w:rsid w:val="00B77404"/>
    <w:rsid w:val="00B81455"/>
    <w:rsid w:val="00B9627F"/>
    <w:rsid w:val="00BA0A1B"/>
    <w:rsid w:val="00BA2415"/>
    <w:rsid w:val="00BA4F95"/>
    <w:rsid w:val="00BA5B60"/>
    <w:rsid w:val="00BB33F9"/>
    <w:rsid w:val="00BB59C3"/>
    <w:rsid w:val="00BC173F"/>
    <w:rsid w:val="00BC3CE6"/>
    <w:rsid w:val="00BD03DB"/>
    <w:rsid w:val="00BE5E41"/>
    <w:rsid w:val="00C13D33"/>
    <w:rsid w:val="00C24EDC"/>
    <w:rsid w:val="00C25A76"/>
    <w:rsid w:val="00C31BD5"/>
    <w:rsid w:val="00C32206"/>
    <w:rsid w:val="00C458FB"/>
    <w:rsid w:val="00C45B40"/>
    <w:rsid w:val="00C45C67"/>
    <w:rsid w:val="00C523FF"/>
    <w:rsid w:val="00C532D4"/>
    <w:rsid w:val="00C606F3"/>
    <w:rsid w:val="00C71C3C"/>
    <w:rsid w:val="00C9490E"/>
    <w:rsid w:val="00CA593D"/>
    <w:rsid w:val="00CC7F37"/>
    <w:rsid w:val="00D006EF"/>
    <w:rsid w:val="00D05694"/>
    <w:rsid w:val="00D06786"/>
    <w:rsid w:val="00D16211"/>
    <w:rsid w:val="00D21780"/>
    <w:rsid w:val="00D23346"/>
    <w:rsid w:val="00D243B8"/>
    <w:rsid w:val="00D34794"/>
    <w:rsid w:val="00D42B85"/>
    <w:rsid w:val="00D4502D"/>
    <w:rsid w:val="00D530CE"/>
    <w:rsid w:val="00D53E3C"/>
    <w:rsid w:val="00D54ED5"/>
    <w:rsid w:val="00D66132"/>
    <w:rsid w:val="00D7517E"/>
    <w:rsid w:val="00D752A6"/>
    <w:rsid w:val="00D76D96"/>
    <w:rsid w:val="00D77950"/>
    <w:rsid w:val="00D92355"/>
    <w:rsid w:val="00DC3762"/>
    <w:rsid w:val="00DC739E"/>
    <w:rsid w:val="00DD0346"/>
    <w:rsid w:val="00DD616A"/>
    <w:rsid w:val="00DE0465"/>
    <w:rsid w:val="00DE63A4"/>
    <w:rsid w:val="00DF0FB9"/>
    <w:rsid w:val="00E049ED"/>
    <w:rsid w:val="00E34E6D"/>
    <w:rsid w:val="00E37CD4"/>
    <w:rsid w:val="00E41A47"/>
    <w:rsid w:val="00E53B9C"/>
    <w:rsid w:val="00E57848"/>
    <w:rsid w:val="00E75989"/>
    <w:rsid w:val="00EA1A1E"/>
    <w:rsid w:val="00ED21C3"/>
    <w:rsid w:val="00ED388C"/>
    <w:rsid w:val="00EF02B0"/>
    <w:rsid w:val="00EF6796"/>
    <w:rsid w:val="00F01B61"/>
    <w:rsid w:val="00F13DD8"/>
    <w:rsid w:val="00F149FD"/>
    <w:rsid w:val="00F22838"/>
    <w:rsid w:val="00F25C7C"/>
    <w:rsid w:val="00F4262F"/>
    <w:rsid w:val="00F53719"/>
    <w:rsid w:val="00F565DA"/>
    <w:rsid w:val="00F57291"/>
    <w:rsid w:val="00F66CB0"/>
    <w:rsid w:val="00F72D0E"/>
    <w:rsid w:val="00F76C89"/>
    <w:rsid w:val="00F83FBF"/>
    <w:rsid w:val="00FA29B8"/>
    <w:rsid w:val="00FC28A1"/>
    <w:rsid w:val="00FC7398"/>
    <w:rsid w:val="00FD3D92"/>
    <w:rsid w:val="00FE3285"/>
    <w:rsid w:val="00FF389E"/>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unhideWhenUsed/>
    <w:rsid w:val="00D7517E"/>
    <w:rPr>
      <w:sz w:val="20"/>
    </w:rPr>
  </w:style>
  <w:style w:type="character" w:customStyle="1" w:styleId="CommentTextChar">
    <w:name w:val="Comment Text Char"/>
    <w:basedOn w:val="DefaultParagraphFont"/>
    <w:link w:val="CommentText"/>
    <w:uiPriority w:val="99"/>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paragraph" w:styleId="Revision">
    <w:name w:val="Revision"/>
    <w:hidden/>
    <w:uiPriority w:val="99"/>
    <w:semiHidden/>
    <w:rsid w:val="007B7397"/>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listing/employer-nomination-scheme-18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visas/working-in-australia/skill-occupation-li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mi.homeaffairs.gov.au/visas/getting-a-visa/visa-listing/temporary-skill-shortage-482/change-in-situation"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Q:\Quality%20and%20Safety\CET\Policy%20Team\CHS%20PC\Resources\Templates\CHS%20Procedure%20Template.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2023-06-21T14:00:00+00:00</Approval_x0020_Date>
    <Review_x0020_Date xmlns="690b2128-8961-48af-a473-22c34a9accba">2027-06-30T14:00:00+00:00</Review_x0020_Date>
    <TaxCatchAll xmlns="c0239a80-7f07-4ed7-82c3-24ad7d76ada5" xsi:nil="true"/>
    <Version_x0020_Number xmlns="690b2128-8961-48af-a473-22c34a9accba">1</Version_x0020_Number>
    <Notes0 xmlns="690b2128-8961-48af-a473-22c34a9accba" xsi:nil="true"/>
    <Key_x0020_Words xmlns="690b2128-8961-48af-a473-22c34a9accba">Employer Nominated Permanent Residency Visas, Visa, Medical Practitioner, Australian Permanent Residency</Key_x0020_Words>
    <Type_x0020_of_x0020_Document xmlns="690b2128-8961-48af-a473-22c34a9accba">Guideline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Nil (new document)</Replaces_x003a_>
    <Risk_x0020_Rating xmlns="690b2128-8961-48af-a473-22c34a9accba">Medium</Risk_x0020_Rating>
    <Description0 xmlns="690b2128-8961-48af-a473-22c34a9accba">This guideline will ensure a consistent approach to approving and processing Employer Nominated Permanent Residency visas for Medical Practitioners across Canberra Health Services (CHS).</Description0>
    <Display_x0020_on_x0020_Internet xmlns="690b2128-8961-48af-a473-22c34a9accba">true</Display_x0020_on_x0020_Internet>
    <Related_x0020_Documents xmlns="690b2128-8961-48af-a473-22c34a9accba" xsi:nil="true"/>
    <Decision_x0020_Number xmlns="690b2128-8961-48af-a473-22c34a9accba">CHS23/165</Decision_x0020_Number>
    <New_x0020_Owner xmlns="690b2128-8961-48af-a473-22c34a9accba">People &amp; Culture - Talent Aquisition</New_x0020_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1" ma:contentTypeDescription="Create a new document." ma:contentTypeScope="" ma:versionID="2942046c879ff7447fe1e22b6c07f4b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2e85804787e272ecdde2b61c3fb80238"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DC44B-71B7-4995-8E5F-F0CBB4CC20A7}">
  <ds:schemaRefs>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690b2128-8961-48af-a473-22c34a9accba"/>
    <ds:schemaRef ds:uri="http://schemas.openxmlformats.org/package/2006/metadata/core-properties"/>
    <ds:schemaRef ds:uri="c0239a80-7f07-4ed7-82c3-24ad7d76ada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83B4F1B-9BCC-41AB-B9AC-EE257C95AE52}">
  <ds:schemaRefs>
    <ds:schemaRef ds:uri="http://schemas.openxmlformats.org/officeDocument/2006/bibliography"/>
  </ds:schemaRefs>
</ds:datastoreItem>
</file>

<file path=customXml/itemProps3.xml><?xml version="1.0" encoding="utf-8"?>
<ds:datastoreItem xmlns:ds="http://schemas.openxmlformats.org/officeDocument/2006/customXml" ds:itemID="{7D6209EA-7374-4640-84A8-0DA293594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CE065-8A76-4612-B6B3-FBE0E46BF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Nominated Permanent Residency - Medical Practitioners</dc:title>
  <dc:creator>Kerryn Hunter</dc:creator>
  <cp:lastModifiedBy>Rusanov, Zoia (Health)</cp:lastModifiedBy>
  <cp:revision>26</cp:revision>
  <cp:lastPrinted>2014-07-16T01:36:00Z</cp:lastPrinted>
  <dcterms:created xsi:type="dcterms:W3CDTF">2023-06-02T03:59:00Z</dcterms:created>
  <dcterms:modified xsi:type="dcterms:W3CDTF">2023-06-26T04:47:00Z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ies>
</file>