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6051"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654DBFF7" w14:textId="77777777" w:rsidR="0022724D" w:rsidRPr="0022724D" w:rsidRDefault="0022724D" w:rsidP="0022724D">
      <w:pPr>
        <w:pStyle w:val="Heading2"/>
      </w:pPr>
      <w:r>
        <w:t>Credentialing and Defining the Scope of Clinical Practice for Senior Medical and Dental Practitioners</w:t>
      </w:r>
    </w:p>
    <w:p w14:paraId="72CA5DF0" w14:textId="662BA2DD" w:rsidR="00CA4FDE" w:rsidRPr="00C34A10" w:rsidRDefault="00E31596" w:rsidP="00C34A10">
      <w:pPr>
        <w:pStyle w:val="BodyCopy"/>
        <w:spacing w:before="0" w:line="240" w:lineRule="auto"/>
        <w:rPr>
          <w:color w:val="575757" w:themeColor="text2"/>
        </w:rPr>
      </w:pPr>
      <w:r w:rsidRPr="00197F2E">
        <w:t>CHS</w:t>
      </w:r>
      <w:bookmarkStart w:id="0" w:name="_Hlk157074578"/>
      <w:r w:rsidR="00EF163B">
        <w:t>26/086</w:t>
      </w:r>
    </w:p>
    <w:sdt>
      <w:sdtPr>
        <w:rPr>
          <w:sz w:val="32"/>
          <w:szCs w:val="32"/>
        </w:rPr>
        <w:id w:val="-1206019646"/>
        <w:docPartObj>
          <w:docPartGallery w:val="Table of Contents"/>
          <w:docPartUnique/>
        </w:docPartObj>
      </w:sdtPr>
      <w:sdtEndPr>
        <w:rPr>
          <w:noProof/>
        </w:rPr>
      </w:sdtEndPr>
      <w:sdtContent>
        <w:p w14:paraId="5882C004" w14:textId="77777777" w:rsidR="00A731B8" w:rsidRPr="000E7683" w:rsidRDefault="00A731B8">
          <w:pPr>
            <w:pStyle w:val="TOCHeading"/>
            <w:rPr>
              <w:rStyle w:val="Heading3Char"/>
              <w:b/>
              <w:bCs w:val="0"/>
            </w:rPr>
          </w:pPr>
          <w:r w:rsidRPr="007B1A7B">
            <w:rPr>
              <w:rStyle w:val="Heading3Char"/>
              <w:b/>
              <w:bCs w:val="0"/>
            </w:rPr>
            <w:t>Contents</w:t>
          </w:r>
        </w:p>
        <w:p w14:paraId="5A079EAD" w14:textId="013ED9A9" w:rsidR="0014334B"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1116381" w:history="1">
            <w:r w:rsidR="0014334B" w:rsidRPr="008D2AB6">
              <w:rPr>
                <w:rStyle w:val="Hyperlink"/>
              </w:rPr>
              <w:t>Purpose</w:t>
            </w:r>
            <w:r w:rsidR="0014334B">
              <w:rPr>
                <w:webHidden/>
              </w:rPr>
              <w:tab/>
            </w:r>
            <w:r w:rsidR="0014334B">
              <w:rPr>
                <w:webHidden/>
              </w:rPr>
              <w:fldChar w:fldCharType="begin"/>
            </w:r>
            <w:r w:rsidR="0014334B">
              <w:rPr>
                <w:webHidden/>
              </w:rPr>
              <w:instrText xml:space="preserve"> PAGEREF _Toc221116381 \h </w:instrText>
            </w:r>
            <w:r w:rsidR="0014334B">
              <w:rPr>
                <w:webHidden/>
              </w:rPr>
            </w:r>
            <w:r w:rsidR="0014334B">
              <w:rPr>
                <w:webHidden/>
              </w:rPr>
              <w:fldChar w:fldCharType="separate"/>
            </w:r>
            <w:r w:rsidR="0014334B">
              <w:rPr>
                <w:webHidden/>
              </w:rPr>
              <w:t>2</w:t>
            </w:r>
            <w:r w:rsidR="0014334B">
              <w:rPr>
                <w:webHidden/>
              </w:rPr>
              <w:fldChar w:fldCharType="end"/>
            </w:r>
          </w:hyperlink>
        </w:p>
        <w:p w14:paraId="715F32AE" w14:textId="64758B6D" w:rsidR="0014334B" w:rsidRDefault="0014334B">
          <w:pPr>
            <w:pStyle w:val="TOC1"/>
            <w:rPr>
              <w:rFonts w:asciiTheme="minorHAnsi" w:eastAsiaTheme="minorEastAsia" w:hAnsiTheme="minorHAnsi" w:cstheme="minorBidi"/>
              <w:color w:val="auto"/>
              <w:kern w:val="2"/>
              <w14:ligatures w14:val="standardContextual"/>
            </w:rPr>
          </w:pPr>
          <w:hyperlink w:anchor="_Toc221116382" w:history="1">
            <w:r w:rsidRPr="008D2AB6">
              <w:rPr>
                <w:rStyle w:val="Hyperlink"/>
              </w:rPr>
              <w:t>Scope</w:t>
            </w:r>
            <w:r>
              <w:rPr>
                <w:webHidden/>
              </w:rPr>
              <w:tab/>
            </w:r>
            <w:r>
              <w:rPr>
                <w:webHidden/>
              </w:rPr>
              <w:fldChar w:fldCharType="begin"/>
            </w:r>
            <w:r>
              <w:rPr>
                <w:webHidden/>
              </w:rPr>
              <w:instrText xml:space="preserve"> PAGEREF _Toc221116382 \h </w:instrText>
            </w:r>
            <w:r>
              <w:rPr>
                <w:webHidden/>
              </w:rPr>
            </w:r>
            <w:r>
              <w:rPr>
                <w:webHidden/>
              </w:rPr>
              <w:fldChar w:fldCharType="separate"/>
            </w:r>
            <w:r>
              <w:rPr>
                <w:webHidden/>
              </w:rPr>
              <w:t>2</w:t>
            </w:r>
            <w:r>
              <w:rPr>
                <w:webHidden/>
              </w:rPr>
              <w:fldChar w:fldCharType="end"/>
            </w:r>
          </w:hyperlink>
        </w:p>
        <w:p w14:paraId="6C282343" w14:textId="27052B93" w:rsidR="0014334B" w:rsidRDefault="0014334B">
          <w:pPr>
            <w:pStyle w:val="TOC1"/>
            <w:rPr>
              <w:rFonts w:asciiTheme="minorHAnsi" w:eastAsiaTheme="minorEastAsia" w:hAnsiTheme="minorHAnsi" w:cstheme="minorBidi"/>
              <w:color w:val="auto"/>
              <w:kern w:val="2"/>
              <w14:ligatures w14:val="standardContextual"/>
            </w:rPr>
          </w:pPr>
          <w:hyperlink w:anchor="_Toc221116383" w:history="1">
            <w:r w:rsidRPr="008D2AB6">
              <w:rPr>
                <w:rStyle w:val="Hyperlink"/>
              </w:rPr>
              <w:t>Section 1 – Decision making process</w:t>
            </w:r>
            <w:r>
              <w:rPr>
                <w:webHidden/>
              </w:rPr>
              <w:tab/>
            </w:r>
            <w:r>
              <w:rPr>
                <w:webHidden/>
              </w:rPr>
              <w:fldChar w:fldCharType="begin"/>
            </w:r>
            <w:r>
              <w:rPr>
                <w:webHidden/>
              </w:rPr>
              <w:instrText xml:space="preserve"> PAGEREF _Toc221116383 \h </w:instrText>
            </w:r>
            <w:r>
              <w:rPr>
                <w:webHidden/>
              </w:rPr>
            </w:r>
            <w:r>
              <w:rPr>
                <w:webHidden/>
              </w:rPr>
              <w:fldChar w:fldCharType="separate"/>
            </w:r>
            <w:r>
              <w:rPr>
                <w:webHidden/>
              </w:rPr>
              <w:t>2</w:t>
            </w:r>
            <w:r>
              <w:rPr>
                <w:webHidden/>
              </w:rPr>
              <w:fldChar w:fldCharType="end"/>
            </w:r>
          </w:hyperlink>
        </w:p>
        <w:p w14:paraId="5ADDAA77" w14:textId="2D09BB4B" w:rsidR="0014334B" w:rsidRDefault="0014334B">
          <w:pPr>
            <w:pStyle w:val="TOC1"/>
            <w:rPr>
              <w:rFonts w:asciiTheme="minorHAnsi" w:eastAsiaTheme="minorEastAsia" w:hAnsiTheme="minorHAnsi" w:cstheme="minorBidi"/>
              <w:color w:val="auto"/>
              <w:kern w:val="2"/>
              <w14:ligatures w14:val="standardContextual"/>
            </w:rPr>
          </w:pPr>
          <w:hyperlink w:anchor="_Toc221116384" w:history="1">
            <w:r w:rsidRPr="008D2AB6">
              <w:rPr>
                <w:rStyle w:val="Hyperlink"/>
              </w:rPr>
              <w:t xml:space="preserve">Section 2 – Role and Responsibilities  </w:t>
            </w:r>
            <w:r>
              <w:rPr>
                <w:webHidden/>
              </w:rPr>
              <w:tab/>
            </w:r>
            <w:r>
              <w:rPr>
                <w:webHidden/>
              </w:rPr>
              <w:fldChar w:fldCharType="begin"/>
            </w:r>
            <w:r>
              <w:rPr>
                <w:webHidden/>
              </w:rPr>
              <w:instrText xml:space="preserve"> PAGEREF _Toc221116384 \h </w:instrText>
            </w:r>
            <w:r>
              <w:rPr>
                <w:webHidden/>
              </w:rPr>
            </w:r>
            <w:r>
              <w:rPr>
                <w:webHidden/>
              </w:rPr>
              <w:fldChar w:fldCharType="separate"/>
            </w:r>
            <w:r>
              <w:rPr>
                <w:webHidden/>
              </w:rPr>
              <w:t>3</w:t>
            </w:r>
            <w:r>
              <w:rPr>
                <w:webHidden/>
              </w:rPr>
              <w:fldChar w:fldCharType="end"/>
            </w:r>
          </w:hyperlink>
        </w:p>
        <w:p w14:paraId="04E16B14" w14:textId="12895E3C" w:rsidR="0014334B" w:rsidRDefault="0014334B">
          <w:pPr>
            <w:pStyle w:val="TOC1"/>
            <w:rPr>
              <w:rFonts w:asciiTheme="minorHAnsi" w:eastAsiaTheme="minorEastAsia" w:hAnsiTheme="minorHAnsi" w:cstheme="minorBidi"/>
              <w:color w:val="auto"/>
              <w:kern w:val="2"/>
              <w14:ligatures w14:val="standardContextual"/>
            </w:rPr>
          </w:pPr>
          <w:hyperlink w:anchor="_Toc221116385" w:history="1">
            <w:r w:rsidRPr="008D2AB6">
              <w:rPr>
                <w:rStyle w:val="Hyperlink"/>
              </w:rPr>
              <w:t>Section 3 – Credentialing and Defining the Scope of Clinical Practice Process</w:t>
            </w:r>
            <w:r>
              <w:rPr>
                <w:webHidden/>
              </w:rPr>
              <w:tab/>
            </w:r>
            <w:r>
              <w:rPr>
                <w:webHidden/>
              </w:rPr>
              <w:fldChar w:fldCharType="begin"/>
            </w:r>
            <w:r>
              <w:rPr>
                <w:webHidden/>
              </w:rPr>
              <w:instrText xml:space="preserve"> PAGEREF _Toc221116385 \h </w:instrText>
            </w:r>
            <w:r>
              <w:rPr>
                <w:webHidden/>
              </w:rPr>
            </w:r>
            <w:r>
              <w:rPr>
                <w:webHidden/>
              </w:rPr>
              <w:fldChar w:fldCharType="separate"/>
            </w:r>
            <w:r>
              <w:rPr>
                <w:webHidden/>
              </w:rPr>
              <w:t>5</w:t>
            </w:r>
            <w:r>
              <w:rPr>
                <w:webHidden/>
              </w:rPr>
              <w:fldChar w:fldCharType="end"/>
            </w:r>
          </w:hyperlink>
        </w:p>
        <w:p w14:paraId="56D59B8E" w14:textId="44710AC0" w:rsidR="0014334B" w:rsidRDefault="0014334B">
          <w:pPr>
            <w:pStyle w:val="TOC1"/>
            <w:rPr>
              <w:rFonts w:asciiTheme="minorHAnsi" w:eastAsiaTheme="minorEastAsia" w:hAnsiTheme="minorHAnsi" w:cstheme="minorBidi"/>
              <w:color w:val="auto"/>
              <w:kern w:val="2"/>
              <w14:ligatures w14:val="standardContextual"/>
            </w:rPr>
          </w:pPr>
          <w:hyperlink w:anchor="_Toc221116386" w:history="1">
            <w:r w:rsidRPr="008D2AB6">
              <w:rPr>
                <w:rStyle w:val="Hyperlink"/>
              </w:rPr>
              <w:t>Section 4 – Initial Credentialing</w:t>
            </w:r>
            <w:r>
              <w:rPr>
                <w:webHidden/>
              </w:rPr>
              <w:tab/>
            </w:r>
            <w:r>
              <w:rPr>
                <w:webHidden/>
              </w:rPr>
              <w:fldChar w:fldCharType="begin"/>
            </w:r>
            <w:r>
              <w:rPr>
                <w:webHidden/>
              </w:rPr>
              <w:instrText xml:space="preserve"> PAGEREF _Toc221116386 \h </w:instrText>
            </w:r>
            <w:r>
              <w:rPr>
                <w:webHidden/>
              </w:rPr>
            </w:r>
            <w:r>
              <w:rPr>
                <w:webHidden/>
              </w:rPr>
              <w:fldChar w:fldCharType="separate"/>
            </w:r>
            <w:r>
              <w:rPr>
                <w:webHidden/>
              </w:rPr>
              <w:t>6</w:t>
            </w:r>
            <w:r>
              <w:rPr>
                <w:webHidden/>
              </w:rPr>
              <w:fldChar w:fldCharType="end"/>
            </w:r>
          </w:hyperlink>
        </w:p>
        <w:p w14:paraId="5BBD86C1" w14:textId="4B448EF4" w:rsidR="0014334B" w:rsidRDefault="0014334B">
          <w:pPr>
            <w:pStyle w:val="TOC1"/>
            <w:rPr>
              <w:rFonts w:asciiTheme="minorHAnsi" w:eastAsiaTheme="minorEastAsia" w:hAnsiTheme="minorHAnsi" w:cstheme="minorBidi"/>
              <w:color w:val="auto"/>
              <w:kern w:val="2"/>
              <w14:ligatures w14:val="standardContextual"/>
            </w:rPr>
          </w:pPr>
          <w:hyperlink w:anchor="_Toc221116387" w:history="1">
            <w:r w:rsidRPr="008D2AB6">
              <w:rPr>
                <w:rStyle w:val="Hyperlink"/>
              </w:rPr>
              <w:t>Section 5 – Duration of scope of clinical practice</w:t>
            </w:r>
            <w:r>
              <w:rPr>
                <w:webHidden/>
              </w:rPr>
              <w:tab/>
            </w:r>
            <w:r>
              <w:rPr>
                <w:webHidden/>
              </w:rPr>
              <w:fldChar w:fldCharType="begin"/>
            </w:r>
            <w:r>
              <w:rPr>
                <w:webHidden/>
              </w:rPr>
              <w:instrText xml:space="preserve"> PAGEREF _Toc221116387 \h </w:instrText>
            </w:r>
            <w:r>
              <w:rPr>
                <w:webHidden/>
              </w:rPr>
            </w:r>
            <w:r>
              <w:rPr>
                <w:webHidden/>
              </w:rPr>
              <w:fldChar w:fldCharType="separate"/>
            </w:r>
            <w:r>
              <w:rPr>
                <w:webHidden/>
              </w:rPr>
              <w:t>10</w:t>
            </w:r>
            <w:r>
              <w:rPr>
                <w:webHidden/>
              </w:rPr>
              <w:fldChar w:fldCharType="end"/>
            </w:r>
          </w:hyperlink>
        </w:p>
        <w:p w14:paraId="10E770BC" w14:textId="79FF5A46" w:rsidR="0014334B" w:rsidRDefault="0014334B">
          <w:pPr>
            <w:pStyle w:val="TOC1"/>
            <w:rPr>
              <w:rFonts w:asciiTheme="minorHAnsi" w:eastAsiaTheme="minorEastAsia" w:hAnsiTheme="minorHAnsi" w:cstheme="minorBidi"/>
              <w:color w:val="auto"/>
              <w:kern w:val="2"/>
              <w14:ligatures w14:val="standardContextual"/>
            </w:rPr>
          </w:pPr>
          <w:hyperlink w:anchor="_Toc221116388" w:history="1">
            <w:r w:rsidRPr="008D2AB6">
              <w:rPr>
                <w:rStyle w:val="Hyperlink"/>
              </w:rPr>
              <w:t>Section 6 – Scheduled Renewal of Credentials and Scope of Clinical Practice (Re-credentialing)</w:t>
            </w:r>
            <w:r>
              <w:rPr>
                <w:webHidden/>
              </w:rPr>
              <w:tab/>
            </w:r>
            <w:r>
              <w:rPr>
                <w:webHidden/>
              </w:rPr>
              <w:fldChar w:fldCharType="begin"/>
            </w:r>
            <w:r>
              <w:rPr>
                <w:webHidden/>
              </w:rPr>
              <w:instrText xml:space="preserve"> PAGEREF _Toc221116388 \h </w:instrText>
            </w:r>
            <w:r>
              <w:rPr>
                <w:webHidden/>
              </w:rPr>
            </w:r>
            <w:r>
              <w:rPr>
                <w:webHidden/>
              </w:rPr>
              <w:fldChar w:fldCharType="separate"/>
            </w:r>
            <w:r>
              <w:rPr>
                <w:webHidden/>
              </w:rPr>
              <w:t>11</w:t>
            </w:r>
            <w:r>
              <w:rPr>
                <w:webHidden/>
              </w:rPr>
              <w:fldChar w:fldCharType="end"/>
            </w:r>
          </w:hyperlink>
        </w:p>
        <w:p w14:paraId="19DC8EE0" w14:textId="63D20F88" w:rsidR="0014334B" w:rsidRDefault="0014334B">
          <w:pPr>
            <w:pStyle w:val="TOC1"/>
            <w:rPr>
              <w:rFonts w:asciiTheme="minorHAnsi" w:eastAsiaTheme="minorEastAsia" w:hAnsiTheme="minorHAnsi" w:cstheme="minorBidi"/>
              <w:color w:val="auto"/>
              <w:kern w:val="2"/>
              <w14:ligatures w14:val="standardContextual"/>
            </w:rPr>
          </w:pPr>
          <w:hyperlink w:anchor="_Toc221116389" w:history="1">
            <w:r w:rsidRPr="008D2AB6">
              <w:rPr>
                <w:rStyle w:val="Hyperlink"/>
              </w:rPr>
              <w:t>Section 7 – Overdue Credentialing</w:t>
            </w:r>
            <w:r>
              <w:rPr>
                <w:webHidden/>
              </w:rPr>
              <w:tab/>
            </w:r>
            <w:r>
              <w:rPr>
                <w:webHidden/>
              </w:rPr>
              <w:fldChar w:fldCharType="begin"/>
            </w:r>
            <w:r>
              <w:rPr>
                <w:webHidden/>
              </w:rPr>
              <w:instrText xml:space="preserve"> PAGEREF _Toc221116389 \h </w:instrText>
            </w:r>
            <w:r>
              <w:rPr>
                <w:webHidden/>
              </w:rPr>
            </w:r>
            <w:r>
              <w:rPr>
                <w:webHidden/>
              </w:rPr>
              <w:fldChar w:fldCharType="separate"/>
            </w:r>
            <w:r>
              <w:rPr>
                <w:webHidden/>
              </w:rPr>
              <w:t>13</w:t>
            </w:r>
            <w:r>
              <w:rPr>
                <w:webHidden/>
              </w:rPr>
              <w:fldChar w:fldCharType="end"/>
            </w:r>
          </w:hyperlink>
        </w:p>
        <w:p w14:paraId="3D61F227" w14:textId="0CC0037B" w:rsidR="0014334B" w:rsidRDefault="0014334B">
          <w:pPr>
            <w:pStyle w:val="TOC1"/>
            <w:rPr>
              <w:rFonts w:asciiTheme="minorHAnsi" w:eastAsiaTheme="minorEastAsia" w:hAnsiTheme="minorHAnsi" w:cstheme="minorBidi"/>
              <w:color w:val="auto"/>
              <w:kern w:val="2"/>
              <w14:ligatures w14:val="standardContextual"/>
            </w:rPr>
          </w:pPr>
          <w:hyperlink w:anchor="_Toc221116390" w:history="1">
            <w:r w:rsidRPr="008D2AB6">
              <w:rPr>
                <w:rStyle w:val="Hyperlink"/>
              </w:rPr>
              <w:t>Section 8 – Urgent Credentialing and Scope of Clinical Practice</w:t>
            </w:r>
            <w:r>
              <w:rPr>
                <w:webHidden/>
              </w:rPr>
              <w:tab/>
            </w:r>
            <w:r>
              <w:rPr>
                <w:webHidden/>
              </w:rPr>
              <w:fldChar w:fldCharType="begin"/>
            </w:r>
            <w:r>
              <w:rPr>
                <w:webHidden/>
              </w:rPr>
              <w:instrText xml:space="preserve"> PAGEREF _Toc221116390 \h </w:instrText>
            </w:r>
            <w:r>
              <w:rPr>
                <w:webHidden/>
              </w:rPr>
            </w:r>
            <w:r>
              <w:rPr>
                <w:webHidden/>
              </w:rPr>
              <w:fldChar w:fldCharType="separate"/>
            </w:r>
            <w:r>
              <w:rPr>
                <w:webHidden/>
              </w:rPr>
              <w:t>14</w:t>
            </w:r>
            <w:r>
              <w:rPr>
                <w:webHidden/>
              </w:rPr>
              <w:fldChar w:fldCharType="end"/>
            </w:r>
          </w:hyperlink>
        </w:p>
        <w:p w14:paraId="7193A6A5" w14:textId="1927EBE2" w:rsidR="0014334B" w:rsidRDefault="0014334B">
          <w:pPr>
            <w:pStyle w:val="TOC1"/>
            <w:rPr>
              <w:rFonts w:asciiTheme="minorHAnsi" w:eastAsiaTheme="minorEastAsia" w:hAnsiTheme="minorHAnsi" w:cstheme="minorBidi"/>
              <w:color w:val="auto"/>
              <w:kern w:val="2"/>
              <w14:ligatures w14:val="standardContextual"/>
            </w:rPr>
          </w:pPr>
          <w:hyperlink w:anchor="_Toc221116391" w:history="1">
            <w:r w:rsidRPr="008D2AB6">
              <w:rPr>
                <w:rStyle w:val="Hyperlink"/>
              </w:rPr>
              <w:t>Section 9 – MDAAC Subcommittee – Extraordinary review</w:t>
            </w:r>
            <w:r>
              <w:rPr>
                <w:webHidden/>
              </w:rPr>
              <w:tab/>
            </w:r>
            <w:r>
              <w:rPr>
                <w:webHidden/>
              </w:rPr>
              <w:fldChar w:fldCharType="begin"/>
            </w:r>
            <w:r>
              <w:rPr>
                <w:webHidden/>
              </w:rPr>
              <w:instrText xml:space="preserve"> PAGEREF _Toc221116391 \h </w:instrText>
            </w:r>
            <w:r>
              <w:rPr>
                <w:webHidden/>
              </w:rPr>
            </w:r>
            <w:r>
              <w:rPr>
                <w:webHidden/>
              </w:rPr>
              <w:fldChar w:fldCharType="separate"/>
            </w:r>
            <w:r>
              <w:rPr>
                <w:webHidden/>
              </w:rPr>
              <w:t>14</w:t>
            </w:r>
            <w:r>
              <w:rPr>
                <w:webHidden/>
              </w:rPr>
              <w:fldChar w:fldCharType="end"/>
            </w:r>
          </w:hyperlink>
        </w:p>
        <w:p w14:paraId="486CF809" w14:textId="76442313" w:rsidR="0014334B" w:rsidRDefault="0014334B">
          <w:pPr>
            <w:pStyle w:val="TOC1"/>
            <w:rPr>
              <w:rFonts w:asciiTheme="minorHAnsi" w:eastAsiaTheme="minorEastAsia" w:hAnsiTheme="minorHAnsi" w:cstheme="minorBidi"/>
              <w:color w:val="auto"/>
              <w:kern w:val="2"/>
              <w14:ligatures w14:val="standardContextual"/>
            </w:rPr>
          </w:pPr>
          <w:hyperlink w:anchor="_Toc221116392" w:history="1">
            <w:r w:rsidRPr="008D2AB6">
              <w:rPr>
                <w:rStyle w:val="Hyperlink"/>
              </w:rPr>
              <w:t>Section 10 – Contracted Group Radiologist Credentialing</w:t>
            </w:r>
            <w:r>
              <w:rPr>
                <w:webHidden/>
              </w:rPr>
              <w:tab/>
            </w:r>
            <w:r>
              <w:rPr>
                <w:webHidden/>
              </w:rPr>
              <w:fldChar w:fldCharType="begin"/>
            </w:r>
            <w:r>
              <w:rPr>
                <w:webHidden/>
              </w:rPr>
              <w:instrText xml:space="preserve"> PAGEREF _Toc221116392 \h </w:instrText>
            </w:r>
            <w:r>
              <w:rPr>
                <w:webHidden/>
              </w:rPr>
            </w:r>
            <w:r>
              <w:rPr>
                <w:webHidden/>
              </w:rPr>
              <w:fldChar w:fldCharType="separate"/>
            </w:r>
            <w:r>
              <w:rPr>
                <w:webHidden/>
              </w:rPr>
              <w:t>15</w:t>
            </w:r>
            <w:r>
              <w:rPr>
                <w:webHidden/>
              </w:rPr>
              <w:fldChar w:fldCharType="end"/>
            </w:r>
          </w:hyperlink>
        </w:p>
        <w:p w14:paraId="177440EC" w14:textId="1131040B" w:rsidR="0014334B" w:rsidRDefault="0014334B">
          <w:pPr>
            <w:pStyle w:val="TOC1"/>
            <w:rPr>
              <w:rFonts w:asciiTheme="minorHAnsi" w:eastAsiaTheme="minorEastAsia" w:hAnsiTheme="minorHAnsi" w:cstheme="minorBidi"/>
              <w:color w:val="auto"/>
              <w:kern w:val="2"/>
              <w14:ligatures w14:val="standardContextual"/>
            </w:rPr>
          </w:pPr>
          <w:hyperlink w:anchor="_Toc221116393" w:history="1">
            <w:r w:rsidRPr="008D2AB6">
              <w:rPr>
                <w:rStyle w:val="Hyperlink"/>
              </w:rPr>
              <w:t>Section 11 – Emergency Credentialing</w:t>
            </w:r>
            <w:r>
              <w:rPr>
                <w:webHidden/>
              </w:rPr>
              <w:tab/>
            </w:r>
            <w:r>
              <w:rPr>
                <w:webHidden/>
              </w:rPr>
              <w:fldChar w:fldCharType="begin"/>
            </w:r>
            <w:r>
              <w:rPr>
                <w:webHidden/>
              </w:rPr>
              <w:instrText xml:space="preserve"> PAGEREF _Toc221116393 \h </w:instrText>
            </w:r>
            <w:r>
              <w:rPr>
                <w:webHidden/>
              </w:rPr>
            </w:r>
            <w:r>
              <w:rPr>
                <w:webHidden/>
              </w:rPr>
              <w:fldChar w:fldCharType="separate"/>
            </w:r>
            <w:r>
              <w:rPr>
                <w:webHidden/>
              </w:rPr>
              <w:t>16</w:t>
            </w:r>
            <w:r>
              <w:rPr>
                <w:webHidden/>
              </w:rPr>
              <w:fldChar w:fldCharType="end"/>
            </w:r>
          </w:hyperlink>
        </w:p>
        <w:p w14:paraId="61EB546E" w14:textId="3CD302EE" w:rsidR="0014334B" w:rsidRDefault="0014334B">
          <w:pPr>
            <w:pStyle w:val="TOC1"/>
            <w:rPr>
              <w:rFonts w:asciiTheme="minorHAnsi" w:eastAsiaTheme="minorEastAsia" w:hAnsiTheme="minorHAnsi" w:cstheme="minorBidi"/>
              <w:color w:val="auto"/>
              <w:kern w:val="2"/>
              <w14:ligatures w14:val="standardContextual"/>
            </w:rPr>
          </w:pPr>
          <w:hyperlink w:anchor="_Toc221116394" w:history="1">
            <w:r w:rsidRPr="008D2AB6">
              <w:rPr>
                <w:rStyle w:val="Hyperlink"/>
              </w:rPr>
              <w:t>Section 12 – Procedures requiring additional evidence</w:t>
            </w:r>
            <w:r>
              <w:rPr>
                <w:webHidden/>
              </w:rPr>
              <w:tab/>
            </w:r>
            <w:r>
              <w:rPr>
                <w:webHidden/>
              </w:rPr>
              <w:fldChar w:fldCharType="begin"/>
            </w:r>
            <w:r>
              <w:rPr>
                <w:webHidden/>
              </w:rPr>
              <w:instrText xml:space="preserve"> PAGEREF _Toc221116394 \h </w:instrText>
            </w:r>
            <w:r>
              <w:rPr>
                <w:webHidden/>
              </w:rPr>
            </w:r>
            <w:r>
              <w:rPr>
                <w:webHidden/>
              </w:rPr>
              <w:fldChar w:fldCharType="separate"/>
            </w:r>
            <w:r>
              <w:rPr>
                <w:webHidden/>
              </w:rPr>
              <w:t>17</w:t>
            </w:r>
            <w:r>
              <w:rPr>
                <w:webHidden/>
              </w:rPr>
              <w:fldChar w:fldCharType="end"/>
            </w:r>
          </w:hyperlink>
        </w:p>
        <w:p w14:paraId="1C12F0BB" w14:textId="3712462C" w:rsidR="0014334B" w:rsidRDefault="0014334B">
          <w:pPr>
            <w:pStyle w:val="TOC1"/>
            <w:rPr>
              <w:rFonts w:asciiTheme="minorHAnsi" w:eastAsiaTheme="minorEastAsia" w:hAnsiTheme="minorHAnsi" w:cstheme="minorBidi"/>
              <w:color w:val="auto"/>
              <w:kern w:val="2"/>
              <w14:ligatures w14:val="standardContextual"/>
            </w:rPr>
          </w:pPr>
          <w:hyperlink w:anchor="_Toc221116395" w:history="1">
            <w:r w:rsidRPr="008D2AB6">
              <w:rPr>
                <w:rStyle w:val="Hyperlink"/>
              </w:rPr>
              <w:t>Section 13 – Credentialing and Defining Scope of Clinical Practice – New Technologies or Clinical Procedures</w:t>
            </w:r>
            <w:r>
              <w:rPr>
                <w:webHidden/>
              </w:rPr>
              <w:tab/>
            </w:r>
            <w:r>
              <w:rPr>
                <w:webHidden/>
              </w:rPr>
              <w:fldChar w:fldCharType="begin"/>
            </w:r>
            <w:r>
              <w:rPr>
                <w:webHidden/>
              </w:rPr>
              <w:instrText xml:space="preserve"> PAGEREF _Toc221116395 \h </w:instrText>
            </w:r>
            <w:r>
              <w:rPr>
                <w:webHidden/>
              </w:rPr>
            </w:r>
            <w:r>
              <w:rPr>
                <w:webHidden/>
              </w:rPr>
              <w:fldChar w:fldCharType="separate"/>
            </w:r>
            <w:r>
              <w:rPr>
                <w:webHidden/>
              </w:rPr>
              <w:t>17</w:t>
            </w:r>
            <w:r>
              <w:rPr>
                <w:webHidden/>
              </w:rPr>
              <w:fldChar w:fldCharType="end"/>
            </w:r>
          </w:hyperlink>
        </w:p>
        <w:p w14:paraId="1DA9F793" w14:textId="4796A402" w:rsidR="0014334B" w:rsidRDefault="0014334B">
          <w:pPr>
            <w:pStyle w:val="TOC1"/>
            <w:rPr>
              <w:rFonts w:asciiTheme="minorHAnsi" w:eastAsiaTheme="minorEastAsia" w:hAnsiTheme="minorHAnsi" w:cstheme="minorBidi"/>
              <w:color w:val="auto"/>
              <w:kern w:val="2"/>
              <w14:ligatures w14:val="standardContextual"/>
            </w:rPr>
          </w:pPr>
          <w:hyperlink w:anchor="_Toc221116396" w:history="1">
            <w:r w:rsidRPr="008D2AB6">
              <w:rPr>
                <w:rStyle w:val="Hyperlink"/>
              </w:rPr>
              <w:t>Evaluation</w:t>
            </w:r>
            <w:r>
              <w:rPr>
                <w:webHidden/>
              </w:rPr>
              <w:tab/>
            </w:r>
            <w:r>
              <w:rPr>
                <w:webHidden/>
              </w:rPr>
              <w:fldChar w:fldCharType="begin"/>
            </w:r>
            <w:r>
              <w:rPr>
                <w:webHidden/>
              </w:rPr>
              <w:instrText xml:space="preserve"> PAGEREF _Toc221116396 \h </w:instrText>
            </w:r>
            <w:r>
              <w:rPr>
                <w:webHidden/>
              </w:rPr>
            </w:r>
            <w:r>
              <w:rPr>
                <w:webHidden/>
              </w:rPr>
              <w:fldChar w:fldCharType="separate"/>
            </w:r>
            <w:r>
              <w:rPr>
                <w:webHidden/>
              </w:rPr>
              <w:t>18</w:t>
            </w:r>
            <w:r>
              <w:rPr>
                <w:webHidden/>
              </w:rPr>
              <w:fldChar w:fldCharType="end"/>
            </w:r>
          </w:hyperlink>
        </w:p>
        <w:p w14:paraId="1C8B7A60" w14:textId="2A050891" w:rsidR="0014334B" w:rsidRDefault="0014334B">
          <w:pPr>
            <w:pStyle w:val="TOC1"/>
            <w:rPr>
              <w:rFonts w:asciiTheme="minorHAnsi" w:eastAsiaTheme="minorEastAsia" w:hAnsiTheme="minorHAnsi" w:cstheme="minorBidi"/>
              <w:color w:val="auto"/>
              <w:kern w:val="2"/>
              <w14:ligatures w14:val="standardContextual"/>
            </w:rPr>
          </w:pPr>
          <w:hyperlink w:anchor="_Toc221116397" w:history="1">
            <w:r w:rsidRPr="008D2AB6">
              <w:rPr>
                <w:rStyle w:val="Hyperlink"/>
              </w:rPr>
              <w:t>Related policies, procedures, guidelines and legislation</w:t>
            </w:r>
            <w:r>
              <w:rPr>
                <w:webHidden/>
              </w:rPr>
              <w:tab/>
            </w:r>
            <w:r>
              <w:rPr>
                <w:webHidden/>
              </w:rPr>
              <w:fldChar w:fldCharType="begin"/>
            </w:r>
            <w:r>
              <w:rPr>
                <w:webHidden/>
              </w:rPr>
              <w:instrText xml:space="preserve"> PAGEREF _Toc221116397 \h </w:instrText>
            </w:r>
            <w:r>
              <w:rPr>
                <w:webHidden/>
              </w:rPr>
            </w:r>
            <w:r>
              <w:rPr>
                <w:webHidden/>
              </w:rPr>
              <w:fldChar w:fldCharType="separate"/>
            </w:r>
            <w:r>
              <w:rPr>
                <w:webHidden/>
              </w:rPr>
              <w:t>19</w:t>
            </w:r>
            <w:r>
              <w:rPr>
                <w:webHidden/>
              </w:rPr>
              <w:fldChar w:fldCharType="end"/>
            </w:r>
          </w:hyperlink>
        </w:p>
        <w:p w14:paraId="2DE282A7" w14:textId="42814849" w:rsidR="0014334B" w:rsidRDefault="0014334B">
          <w:pPr>
            <w:pStyle w:val="TOC1"/>
            <w:rPr>
              <w:rFonts w:asciiTheme="minorHAnsi" w:eastAsiaTheme="minorEastAsia" w:hAnsiTheme="minorHAnsi" w:cstheme="minorBidi"/>
              <w:color w:val="auto"/>
              <w:kern w:val="2"/>
              <w14:ligatures w14:val="standardContextual"/>
            </w:rPr>
          </w:pPr>
          <w:hyperlink w:anchor="_Toc221116398" w:history="1">
            <w:r w:rsidRPr="008D2AB6">
              <w:rPr>
                <w:rStyle w:val="Hyperlink"/>
              </w:rPr>
              <w:t>References</w:t>
            </w:r>
            <w:r>
              <w:rPr>
                <w:webHidden/>
              </w:rPr>
              <w:tab/>
            </w:r>
            <w:r>
              <w:rPr>
                <w:webHidden/>
              </w:rPr>
              <w:fldChar w:fldCharType="begin"/>
            </w:r>
            <w:r>
              <w:rPr>
                <w:webHidden/>
              </w:rPr>
              <w:instrText xml:space="preserve"> PAGEREF _Toc221116398 \h </w:instrText>
            </w:r>
            <w:r>
              <w:rPr>
                <w:webHidden/>
              </w:rPr>
            </w:r>
            <w:r>
              <w:rPr>
                <w:webHidden/>
              </w:rPr>
              <w:fldChar w:fldCharType="separate"/>
            </w:r>
            <w:r>
              <w:rPr>
                <w:webHidden/>
              </w:rPr>
              <w:t>20</w:t>
            </w:r>
            <w:r>
              <w:rPr>
                <w:webHidden/>
              </w:rPr>
              <w:fldChar w:fldCharType="end"/>
            </w:r>
          </w:hyperlink>
        </w:p>
        <w:p w14:paraId="65BB08F9" w14:textId="5B1CD3D6" w:rsidR="0014334B" w:rsidRDefault="0014334B">
          <w:pPr>
            <w:pStyle w:val="TOC1"/>
            <w:rPr>
              <w:rFonts w:asciiTheme="minorHAnsi" w:eastAsiaTheme="minorEastAsia" w:hAnsiTheme="minorHAnsi" w:cstheme="minorBidi"/>
              <w:color w:val="auto"/>
              <w:kern w:val="2"/>
              <w14:ligatures w14:val="standardContextual"/>
            </w:rPr>
          </w:pPr>
          <w:hyperlink w:anchor="_Toc221116399" w:history="1">
            <w:r w:rsidRPr="008D2AB6">
              <w:rPr>
                <w:rStyle w:val="Hyperlink"/>
              </w:rPr>
              <w:t>Definition of terms</w:t>
            </w:r>
            <w:r>
              <w:rPr>
                <w:webHidden/>
              </w:rPr>
              <w:tab/>
            </w:r>
            <w:r>
              <w:rPr>
                <w:webHidden/>
              </w:rPr>
              <w:fldChar w:fldCharType="begin"/>
            </w:r>
            <w:r>
              <w:rPr>
                <w:webHidden/>
              </w:rPr>
              <w:instrText xml:space="preserve"> PAGEREF _Toc221116399 \h </w:instrText>
            </w:r>
            <w:r>
              <w:rPr>
                <w:webHidden/>
              </w:rPr>
            </w:r>
            <w:r>
              <w:rPr>
                <w:webHidden/>
              </w:rPr>
              <w:fldChar w:fldCharType="separate"/>
            </w:r>
            <w:r>
              <w:rPr>
                <w:webHidden/>
              </w:rPr>
              <w:t>20</w:t>
            </w:r>
            <w:r>
              <w:rPr>
                <w:webHidden/>
              </w:rPr>
              <w:fldChar w:fldCharType="end"/>
            </w:r>
          </w:hyperlink>
        </w:p>
        <w:p w14:paraId="53541D29" w14:textId="65182048" w:rsidR="0014334B" w:rsidRDefault="0014334B">
          <w:pPr>
            <w:pStyle w:val="TOC1"/>
            <w:rPr>
              <w:rFonts w:asciiTheme="minorHAnsi" w:eastAsiaTheme="minorEastAsia" w:hAnsiTheme="minorHAnsi" w:cstheme="minorBidi"/>
              <w:color w:val="auto"/>
              <w:kern w:val="2"/>
              <w14:ligatures w14:val="standardContextual"/>
            </w:rPr>
          </w:pPr>
          <w:hyperlink w:anchor="_Toc221116400" w:history="1">
            <w:r w:rsidRPr="008D2AB6">
              <w:rPr>
                <w:rStyle w:val="Hyperlink"/>
              </w:rPr>
              <w:t>Search terms</w:t>
            </w:r>
            <w:r>
              <w:rPr>
                <w:webHidden/>
              </w:rPr>
              <w:tab/>
            </w:r>
            <w:r>
              <w:rPr>
                <w:webHidden/>
              </w:rPr>
              <w:fldChar w:fldCharType="begin"/>
            </w:r>
            <w:r>
              <w:rPr>
                <w:webHidden/>
              </w:rPr>
              <w:instrText xml:space="preserve"> PAGEREF _Toc221116400 \h </w:instrText>
            </w:r>
            <w:r>
              <w:rPr>
                <w:webHidden/>
              </w:rPr>
            </w:r>
            <w:r>
              <w:rPr>
                <w:webHidden/>
              </w:rPr>
              <w:fldChar w:fldCharType="separate"/>
            </w:r>
            <w:r>
              <w:rPr>
                <w:webHidden/>
              </w:rPr>
              <w:t>22</w:t>
            </w:r>
            <w:r>
              <w:rPr>
                <w:webHidden/>
              </w:rPr>
              <w:fldChar w:fldCharType="end"/>
            </w:r>
          </w:hyperlink>
        </w:p>
        <w:p w14:paraId="7FD6909E" w14:textId="5CEF8C87" w:rsidR="00927A1D" w:rsidRDefault="00A621FE" w:rsidP="00ED553B">
          <w:pPr>
            <w:pStyle w:val="TOCHeading2"/>
            <w:rPr>
              <w:rFonts w:eastAsia="Calibri" w:cs="Times New Roman"/>
              <w:b w:val="0"/>
              <w:noProof/>
              <w:color w:val="000000" w:themeColor="text1"/>
              <w:sz w:val="24"/>
              <w:szCs w:val="24"/>
              <w:lang w:eastAsia="en-AU"/>
            </w:rPr>
          </w:pPr>
          <w:r>
            <w:rPr>
              <w:rFonts w:eastAsia="Calibri" w:cs="Times New Roman"/>
              <w:b w:val="0"/>
              <w:noProof/>
              <w:color w:val="000000" w:themeColor="text1"/>
              <w:sz w:val="24"/>
              <w:szCs w:val="24"/>
              <w:lang w:eastAsia="en-AU"/>
            </w:rPr>
            <w:fldChar w:fldCharType="end"/>
          </w:r>
        </w:p>
        <w:p w14:paraId="5D0827B3" w14:textId="77777777" w:rsidR="00927A1D" w:rsidRDefault="00927A1D" w:rsidP="00ED553B">
          <w:pPr>
            <w:pStyle w:val="TOCHeading2"/>
            <w:rPr>
              <w:rFonts w:eastAsia="Calibri" w:cs="Times New Roman"/>
              <w:b w:val="0"/>
              <w:noProof/>
              <w:color w:val="000000" w:themeColor="text1"/>
              <w:sz w:val="24"/>
              <w:szCs w:val="24"/>
              <w:lang w:eastAsia="en-AU"/>
            </w:rPr>
          </w:pPr>
        </w:p>
        <w:p w14:paraId="0D9DA06A" w14:textId="77777777" w:rsidR="000D0E65" w:rsidRDefault="000D0E65" w:rsidP="00ED553B">
          <w:pPr>
            <w:pStyle w:val="TOCHeading2"/>
          </w:pPr>
        </w:p>
        <w:p w14:paraId="32D4C586" w14:textId="2214A8D4" w:rsidR="00201AF6" w:rsidRPr="00ED553B" w:rsidRDefault="00EF163B" w:rsidP="00ED553B">
          <w:pPr>
            <w:pStyle w:val="TOCHeading2"/>
          </w:pPr>
        </w:p>
      </w:sdtContent>
    </w:sdt>
    <w:p w14:paraId="27AA84FE" w14:textId="09015114" w:rsidR="0078367D" w:rsidRPr="00036249" w:rsidRDefault="003254E1" w:rsidP="00036249">
      <w:pPr>
        <w:pStyle w:val="Heading4"/>
      </w:pPr>
      <w:bookmarkStart w:id="1" w:name="_Toc221116381"/>
      <w:r>
        <w:t>Purpose</w:t>
      </w:r>
      <w:bookmarkEnd w:id="1"/>
      <w:r w:rsidR="009746B1" w:rsidRPr="00036249">
        <w:t xml:space="preserve"> </w:t>
      </w:r>
    </w:p>
    <w:p w14:paraId="6268C34D" w14:textId="404EDF34" w:rsidR="003254E1" w:rsidRPr="00004362" w:rsidRDefault="004678BC" w:rsidP="00004362">
      <w:pPr>
        <w:pStyle w:val="BodyCopy"/>
      </w:pPr>
      <w:r>
        <w:t xml:space="preserve">Senior Medical and Dental </w:t>
      </w:r>
      <w:r w:rsidRPr="00004362">
        <w:t xml:space="preserve">Practitioners (SMDPs) are required to co-operate </w:t>
      </w:r>
      <w:r w:rsidR="003C0234" w:rsidRPr="00004362">
        <w:t xml:space="preserve">and comply </w:t>
      </w:r>
      <w:r w:rsidRPr="00004362">
        <w:t xml:space="preserve">with the scope of clinical practice processes as established by Canberra Health Services (CHS) in accordance with the </w:t>
      </w:r>
      <w:r w:rsidRPr="002C0F9C">
        <w:rPr>
          <w:i/>
          <w:iCs w:val="0"/>
        </w:rPr>
        <w:t xml:space="preserve">Health </w:t>
      </w:r>
      <w:r w:rsidRPr="00C65E99">
        <w:rPr>
          <w:i/>
          <w:iCs w:val="0"/>
        </w:rPr>
        <w:t>Act 1993 (ACT)</w:t>
      </w:r>
      <w:r w:rsidR="00C65E99">
        <w:rPr>
          <w:i/>
          <w:iCs w:val="0"/>
        </w:rPr>
        <w:t xml:space="preserve"> </w:t>
      </w:r>
      <w:r w:rsidR="00C65E99">
        <w:t>(the Health Act</w:t>
      </w:r>
      <w:r w:rsidR="00F93EA2">
        <w:t>).</w:t>
      </w:r>
      <w:r w:rsidRPr="00004362">
        <w:t xml:space="preserve"> This procedure defines the process for credentialing and defining the scope of clinical practice. </w:t>
      </w:r>
    </w:p>
    <w:p w14:paraId="4E926CA6" w14:textId="05144C84" w:rsidR="004678BC" w:rsidRPr="00BA236B" w:rsidRDefault="004678BC" w:rsidP="00004362">
      <w:pPr>
        <w:pStyle w:val="BodyCopy"/>
      </w:pPr>
      <w:r>
        <w:t>This procedure provides a standardised process for verifying and monitoring the qualifications, experience, professional standing and other relevant professional attributes of a doctor or dentist</w:t>
      </w:r>
      <w:r w:rsidR="32CCCA43">
        <w:t xml:space="preserve">. This procedure </w:t>
      </w:r>
      <w:r>
        <w:t>guarantees SMDPs have a defined scope of clinical practice</w:t>
      </w:r>
      <w:r w:rsidR="3F64259F">
        <w:t xml:space="preserve">, </w:t>
      </w:r>
      <w:r w:rsidR="00B800AB">
        <w:t xml:space="preserve">to provide assurance that SMDPs will provide safe practice for all consumers of the health service. </w:t>
      </w:r>
    </w:p>
    <w:p w14:paraId="68195782"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38538DBD" w14:textId="37CB6447" w:rsidR="003254E1" w:rsidRDefault="003254E1" w:rsidP="004678BC">
      <w:pPr>
        <w:pStyle w:val="Heading4"/>
      </w:pPr>
      <w:bookmarkStart w:id="2" w:name="_Toc221116382"/>
      <w:r>
        <w:t>Scope</w:t>
      </w:r>
      <w:bookmarkEnd w:id="2"/>
    </w:p>
    <w:p w14:paraId="322F7143" w14:textId="74C21DE8" w:rsidR="004775A0" w:rsidRPr="004775A0" w:rsidRDefault="004775A0" w:rsidP="00004362">
      <w:pPr>
        <w:pStyle w:val="BodyCopy"/>
      </w:pPr>
      <w:r>
        <w:t>This procedure applies to SMDPs in</w:t>
      </w:r>
      <w:r w:rsidR="000447E0">
        <w:t xml:space="preserve"> </w:t>
      </w:r>
      <w:r w:rsidR="00565D49">
        <w:t xml:space="preserve">the inpatient and outpatient facilities at </w:t>
      </w:r>
      <w:r w:rsidR="000447E0">
        <w:t>Canberra Hospital</w:t>
      </w:r>
      <w:r w:rsidR="00A123BC">
        <w:t xml:space="preserve"> (CH)</w:t>
      </w:r>
      <w:r w:rsidR="000447E0">
        <w:t>, University of Canberra Hospital</w:t>
      </w:r>
      <w:r w:rsidR="00A123BC">
        <w:t xml:space="preserve"> (UCH)</w:t>
      </w:r>
      <w:r w:rsidR="000447E0">
        <w:t>, and the community sector as well as any cross-facility appointments (dual Canberra Hospital and</w:t>
      </w:r>
      <w:r w:rsidR="5326172A">
        <w:t xml:space="preserve"> </w:t>
      </w:r>
      <w:r w:rsidR="000447E0">
        <w:t>North Canberra Hospital</w:t>
      </w:r>
      <w:r w:rsidR="697A7DE1">
        <w:t xml:space="preserve"> [NCH]</w:t>
      </w:r>
      <w:r w:rsidR="00A123BC">
        <w:t>)</w:t>
      </w:r>
      <w:r w:rsidR="000447E0">
        <w:t>.</w:t>
      </w:r>
      <w:r w:rsidR="1130A08F">
        <w:t xml:space="preserve"> </w:t>
      </w:r>
      <w:r w:rsidR="3D931F1F">
        <w:t xml:space="preserve"> </w:t>
      </w:r>
      <w:r w:rsidR="46DEA16D">
        <w:t xml:space="preserve">SMDPs in </w:t>
      </w:r>
      <w:r w:rsidR="361F6CD6">
        <w:t>research / academic</w:t>
      </w:r>
      <w:r w:rsidR="292BC7AC">
        <w:t xml:space="preserve"> appointments</w:t>
      </w:r>
      <w:r w:rsidR="558AC57E">
        <w:t>,</w:t>
      </w:r>
      <w:r w:rsidR="292BC7AC">
        <w:t xml:space="preserve"> </w:t>
      </w:r>
      <w:r w:rsidR="361F6CD6">
        <w:t xml:space="preserve">whose </w:t>
      </w:r>
      <w:r w:rsidR="1130A08F">
        <w:t xml:space="preserve">research </w:t>
      </w:r>
      <w:r w:rsidR="196648DF">
        <w:t>/</w:t>
      </w:r>
      <w:r w:rsidR="1130A08F">
        <w:t xml:space="preserve"> teaching involves identified patients</w:t>
      </w:r>
      <w:r w:rsidR="03089EC7">
        <w:t>,</w:t>
      </w:r>
      <w:r w:rsidR="1130A08F">
        <w:t xml:space="preserve"> </w:t>
      </w:r>
      <w:r w:rsidR="1FDC2772">
        <w:t xml:space="preserve">are required to have </w:t>
      </w:r>
      <w:r w:rsidR="1130A08F">
        <w:t>a scope of clinical practice.</w:t>
      </w:r>
      <w:r w:rsidR="000447E0">
        <w:t xml:space="preserve"> </w:t>
      </w:r>
    </w:p>
    <w:p w14:paraId="7339B75D" w14:textId="5172DA63" w:rsidR="004775A0" w:rsidRPr="004775A0" w:rsidRDefault="000447E0" w:rsidP="00004362">
      <w:pPr>
        <w:pStyle w:val="BodyCopy"/>
      </w:pPr>
      <w:r>
        <w:t>This</w:t>
      </w:r>
      <w:r w:rsidR="004775A0">
        <w:t xml:space="preserve"> procedure covers permanent, temporary, and casual staff as well as all visiting medical officers (VMOs)</w:t>
      </w:r>
      <w:r w:rsidR="0014334B">
        <w:t>, and administrative staff involved in the credentialling process</w:t>
      </w:r>
      <w:r w:rsidR="004775A0">
        <w:t>.</w:t>
      </w:r>
    </w:p>
    <w:p w14:paraId="083C4DD8" w14:textId="77777777" w:rsidR="004775A0" w:rsidRPr="004775A0" w:rsidRDefault="004775A0" w:rsidP="00004362">
      <w:pPr>
        <w:pStyle w:val="BodyCopy"/>
      </w:pPr>
      <w:r>
        <w:t xml:space="preserve">The procedure does </w:t>
      </w:r>
      <w:r w:rsidRPr="1ECE2995">
        <w:rPr>
          <w:b/>
        </w:rPr>
        <w:t>not</w:t>
      </w:r>
      <w:r>
        <w:t xml:space="preserve"> apply to: </w:t>
      </w:r>
    </w:p>
    <w:p w14:paraId="22AA13DD" w14:textId="3FF3C4EC" w:rsidR="004775A0" w:rsidRPr="00004362" w:rsidRDefault="4AF6D558" w:rsidP="00004362">
      <w:pPr>
        <w:pStyle w:val="Bullet"/>
      </w:pPr>
      <w:r>
        <w:t xml:space="preserve">NCH and Clare Holland House (other than cross facility appointments) - please refer to the </w:t>
      </w:r>
      <w:r w:rsidRPr="1ECE2995">
        <w:rPr>
          <w:i/>
          <w:iCs/>
        </w:rPr>
        <w:t>Credentialling and Defining the Scope of Practice for Senior Medical and Dental Practitioners at North Canberra Hospital (NCH) Procedure</w:t>
      </w:r>
      <w:r>
        <w:t>, available on the Policy and Guidance Documents Register.</w:t>
      </w:r>
    </w:p>
    <w:p w14:paraId="0C83100B" w14:textId="6BA609F6" w:rsidR="004775A0" w:rsidRPr="00004362" w:rsidRDefault="004775A0" w:rsidP="00004362">
      <w:pPr>
        <w:pStyle w:val="Bullet"/>
      </w:pPr>
      <w:r>
        <w:t xml:space="preserve">Doctors working as an intern, resident medical officer, registrar, senior registrar, career medical officer (CMO) or Fellow; and </w:t>
      </w:r>
    </w:p>
    <w:p w14:paraId="170EEF73" w14:textId="7241F1BA" w:rsidR="004775A0" w:rsidRPr="00004362" w:rsidRDefault="004775A0" w:rsidP="00004362">
      <w:pPr>
        <w:pStyle w:val="Bullet"/>
      </w:pPr>
      <w:r>
        <w:t xml:space="preserve">Dental and medical students practising under supervision. </w:t>
      </w:r>
    </w:p>
    <w:p w14:paraId="7C9FFE8B" w14:textId="0335A1FA" w:rsidR="004775A0" w:rsidRDefault="7D2E24E5" w:rsidP="00AB3857">
      <w:pPr>
        <w:pStyle w:val="Bullet"/>
      </w:pPr>
      <w:r>
        <w:t>Practitioners, either taking exams or examining are not required to have a scope of clinical practice at a health care facility in which the examination takes place.</w:t>
      </w:r>
    </w:p>
    <w:p w14:paraId="78715829" w14:textId="3629CCBB" w:rsidR="003254E1" w:rsidRPr="003254E1" w:rsidRDefault="003254E1" w:rsidP="003254E1">
      <w:pPr>
        <w:pStyle w:val="BodyCopy"/>
        <w:spacing w:before="240"/>
      </w:pPr>
      <w:hyperlink w:anchor="_top" w:history="1">
        <w:r w:rsidRPr="00481A6C">
          <w:rPr>
            <w:rStyle w:val="Hyperlink"/>
            <w:iCs w:val="0"/>
          </w:rPr>
          <w:t>Back to Contents</w:t>
        </w:r>
      </w:hyperlink>
    </w:p>
    <w:p w14:paraId="2F500831" w14:textId="7A486B4E" w:rsidR="0078367D" w:rsidRDefault="0078367D" w:rsidP="00197F2E">
      <w:pPr>
        <w:pStyle w:val="Heading4"/>
      </w:pPr>
      <w:bookmarkStart w:id="3" w:name="_Toc221116383"/>
      <w:r>
        <w:t xml:space="preserve">Section 1 </w:t>
      </w:r>
      <w:r w:rsidR="008025F1">
        <w:t>–</w:t>
      </w:r>
      <w:r>
        <w:t xml:space="preserve"> </w:t>
      </w:r>
      <w:r w:rsidR="008025F1">
        <w:t>Decision making process</w:t>
      </w:r>
      <w:bookmarkEnd w:id="3"/>
      <w:r w:rsidR="008025F1">
        <w:t xml:space="preserve"> </w:t>
      </w:r>
    </w:p>
    <w:p w14:paraId="655FF090" w14:textId="369D2265" w:rsidR="00565D49" w:rsidRPr="000D0E65" w:rsidRDefault="00565D49" w:rsidP="00565D49">
      <w:pPr>
        <w:pStyle w:val="BodyCopy"/>
        <w:rPr>
          <w:color w:val="auto"/>
        </w:rPr>
      </w:pPr>
      <w:r w:rsidRPr="000D0E65">
        <w:rPr>
          <w:color w:val="auto"/>
        </w:rPr>
        <w:lastRenderedPageBreak/>
        <w:t xml:space="preserve">CHS operates two separate </w:t>
      </w:r>
      <w:r w:rsidRPr="00004362">
        <w:t xml:space="preserve">Medical and Dental Appointments Advisory Committees </w:t>
      </w:r>
      <w:r>
        <w:t>(</w:t>
      </w:r>
      <w:r w:rsidRPr="000D0E65">
        <w:rPr>
          <w:color w:val="auto"/>
        </w:rPr>
        <w:t>MDAACs</w:t>
      </w:r>
      <w:r>
        <w:rPr>
          <w:color w:val="auto"/>
        </w:rPr>
        <w:t>)</w:t>
      </w:r>
      <w:r w:rsidRPr="000D0E65">
        <w:rPr>
          <w:color w:val="auto"/>
        </w:rPr>
        <w:t>, one for SMDPs who work at CH/UCH or at CH/UCH and NCH with a joint appointment</w:t>
      </w:r>
      <w:r>
        <w:rPr>
          <w:color w:val="auto"/>
        </w:rPr>
        <w:t>,</w:t>
      </w:r>
      <w:r w:rsidRPr="000D0E65">
        <w:rPr>
          <w:color w:val="auto"/>
        </w:rPr>
        <w:t xml:space="preserve"> and one for SMDPs who work solely at NCH.</w:t>
      </w:r>
    </w:p>
    <w:p w14:paraId="6D2E2634" w14:textId="64C1DFEA" w:rsidR="008025F1" w:rsidRPr="00004362" w:rsidRDefault="008025F1" w:rsidP="00004362">
      <w:pPr>
        <w:pStyle w:val="BodyCopy"/>
      </w:pPr>
      <w:r>
        <w:t>The MDAAC</w:t>
      </w:r>
      <w:r w:rsidR="00A123BC">
        <w:t>s</w:t>
      </w:r>
      <w:r>
        <w:t xml:space="preserve"> make a recommendation on the SMDPs scope of clinical practice to the decision-maker, as defined by the </w:t>
      </w:r>
      <w:r w:rsidRPr="005A55B5">
        <w:rPr>
          <w:i/>
          <w:iCs w:val="0"/>
        </w:rPr>
        <w:t>Health Act</w:t>
      </w:r>
      <w:r w:rsidR="00C65E99">
        <w:t>.</w:t>
      </w:r>
      <w:r w:rsidR="00F93EA2">
        <w:t xml:space="preserve"> </w:t>
      </w:r>
      <w:r>
        <w:t>MDAAC</w:t>
      </w:r>
      <w:r w:rsidR="00927A1D">
        <w:t>s</w:t>
      </w:r>
      <w:r>
        <w:t xml:space="preserve"> make recommendations to the Chief Executive Officer</w:t>
      </w:r>
      <w:r w:rsidR="000447E0">
        <w:t xml:space="preserve"> (CEO</w:t>
      </w:r>
      <w:r w:rsidR="00927A1D">
        <w:t>). The</w:t>
      </w:r>
      <w:r>
        <w:t xml:space="preserve"> decision-maker may appoint a delegate to take on this decision-making role. </w:t>
      </w:r>
    </w:p>
    <w:p w14:paraId="718E9370" w14:textId="11512956" w:rsidR="008025F1" w:rsidRPr="00004362" w:rsidRDefault="008025F1" w:rsidP="00004362">
      <w:pPr>
        <w:pStyle w:val="BodyCopy"/>
      </w:pPr>
      <w:r w:rsidRPr="00004362">
        <w:t xml:space="preserve">The decision-maker is accountable for </w:t>
      </w:r>
      <w:r w:rsidR="004843EE" w:rsidRPr="00004362">
        <w:t xml:space="preserve">the final decision </w:t>
      </w:r>
      <w:r w:rsidRPr="00004362">
        <w:t>and</w:t>
      </w:r>
      <w:r w:rsidR="004843EE" w:rsidRPr="00004362">
        <w:t xml:space="preserve"> for</w:t>
      </w:r>
      <w:r w:rsidRPr="00004362">
        <w:t xml:space="preserve"> informing the applicant in a timely manner</w:t>
      </w:r>
      <w:r w:rsidR="003C0234" w:rsidRPr="00004362">
        <w:t xml:space="preserve"> of the outcome of the credentialling process.</w:t>
      </w:r>
      <w:r w:rsidRPr="00004362">
        <w:t xml:space="preserve"> Each scope of clinical practice granted must be in accordance with the clinical services capability and role delineation of the relevant service. </w:t>
      </w:r>
    </w:p>
    <w:p w14:paraId="2AFBF70F" w14:textId="2F6473C4" w:rsidR="008025F1" w:rsidRPr="00004362" w:rsidRDefault="004843EE" w:rsidP="00004362">
      <w:pPr>
        <w:pStyle w:val="BodyCopy"/>
      </w:pPr>
      <w:r w:rsidRPr="00004362">
        <w:t>The</w:t>
      </w:r>
      <w:r w:rsidR="008025F1" w:rsidRPr="00004362">
        <w:t xml:space="preserve"> scope of clinical practice granted by the decision-maker is only valid within </w:t>
      </w:r>
      <w:r w:rsidRPr="00004362">
        <w:t xml:space="preserve">the </w:t>
      </w:r>
      <w:r w:rsidR="008025F1" w:rsidRPr="00004362">
        <w:t xml:space="preserve">specified health care facilities </w:t>
      </w:r>
      <w:r w:rsidR="003C0234" w:rsidRPr="00004362">
        <w:t xml:space="preserve">and </w:t>
      </w:r>
      <w:r w:rsidR="008025F1" w:rsidRPr="00004362">
        <w:t xml:space="preserve">can vary across different health care </w:t>
      </w:r>
      <w:r w:rsidR="00C02BC2" w:rsidRPr="00004362">
        <w:t>facilities</w:t>
      </w:r>
      <w:r w:rsidR="003C0234" w:rsidRPr="00004362">
        <w:t>.</w:t>
      </w:r>
      <w:r w:rsidR="008025F1" w:rsidRPr="00004362">
        <w:t xml:space="preserve"> </w:t>
      </w:r>
      <w:r w:rsidR="003C0234" w:rsidRPr="00004362">
        <w:t>T</w:t>
      </w:r>
      <w:r w:rsidR="008025F1" w:rsidRPr="00004362">
        <w:t xml:space="preserve">his should be reflected on the recommendation letter. </w:t>
      </w:r>
    </w:p>
    <w:p w14:paraId="44A1E9DE" w14:textId="1E7C8B62" w:rsidR="00481A6C" w:rsidRPr="00481A6C" w:rsidRDefault="00481A6C" w:rsidP="005C5F49">
      <w:pPr>
        <w:pStyle w:val="BodyCopy"/>
        <w:spacing w:before="240"/>
      </w:pPr>
      <w:hyperlink w:anchor="_top" w:history="1">
        <w:r w:rsidRPr="00481A6C">
          <w:rPr>
            <w:rStyle w:val="Hyperlink"/>
            <w:iCs w:val="0"/>
          </w:rPr>
          <w:t>Back to Contents</w:t>
        </w:r>
      </w:hyperlink>
    </w:p>
    <w:p w14:paraId="1295B75A" w14:textId="1353C661" w:rsidR="0078367D" w:rsidRDefault="0078367D" w:rsidP="00A6051F">
      <w:pPr>
        <w:pStyle w:val="Heading4"/>
      </w:pPr>
      <w:bookmarkStart w:id="4" w:name="_Toc221116384"/>
      <w:r>
        <w:t xml:space="preserve">Section 2 </w:t>
      </w:r>
      <w:r w:rsidR="008025F1">
        <w:t>–</w:t>
      </w:r>
      <w:r>
        <w:t xml:space="preserve"> </w:t>
      </w:r>
      <w:r w:rsidR="008025F1">
        <w:t xml:space="preserve">Role and Responsibilities </w:t>
      </w:r>
      <w:r w:rsidR="003254E1">
        <w:t xml:space="preserve"> </w:t>
      </w:r>
      <w:bookmarkEnd w:id="4"/>
    </w:p>
    <w:p w14:paraId="1DD1C0F1" w14:textId="77777777" w:rsidR="008025F1" w:rsidRPr="001C7109" w:rsidRDefault="008025F1" w:rsidP="00004362">
      <w:pPr>
        <w:pStyle w:val="Heading5"/>
      </w:pPr>
      <w:r w:rsidRPr="001C7109">
        <w:t>2.1 Clinical Divisions</w:t>
      </w:r>
    </w:p>
    <w:p w14:paraId="67553E59" w14:textId="462DB589" w:rsidR="001C7109" w:rsidRDefault="00565D49" w:rsidP="00004362">
      <w:pPr>
        <w:pStyle w:val="Bullet"/>
      </w:pPr>
      <w:r>
        <w:t>P</w:t>
      </w:r>
      <w:r w:rsidR="001C7109">
        <w:t xml:space="preserve">rovide timely and accurate information to the credentialing manager </w:t>
      </w:r>
      <w:r w:rsidR="003C0234">
        <w:t xml:space="preserve">regarding </w:t>
      </w:r>
      <w:r w:rsidR="001C7109">
        <w:t xml:space="preserve">any VMOs and temporary staff specialists </w:t>
      </w:r>
      <w:r w:rsidR="004843EE">
        <w:t>requiring</w:t>
      </w:r>
      <w:r w:rsidR="001C7109">
        <w:t xml:space="preserve"> credentialing/re-credentialing. </w:t>
      </w:r>
    </w:p>
    <w:p w14:paraId="6EC22134" w14:textId="0803E477" w:rsidR="0025227A" w:rsidRDefault="001C7109" w:rsidP="00004362">
      <w:pPr>
        <w:pStyle w:val="Bullet"/>
      </w:pPr>
      <w:r>
        <w:t xml:space="preserve">The division </w:t>
      </w:r>
      <w:r w:rsidR="004843EE">
        <w:t>is</w:t>
      </w:r>
      <w:r w:rsidR="003C0234">
        <w:t xml:space="preserve"> responsible for</w:t>
      </w:r>
      <w:r w:rsidR="00927A1D">
        <w:t xml:space="preserve"> </w:t>
      </w:r>
      <w:r w:rsidR="003C0234">
        <w:t>clarifying this</w:t>
      </w:r>
      <w:r>
        <w:t xml:space="preserve"> information for VMOs and temporary staff specialists. </w:t>
      </w:r>
    </w:p>
    <w:p w14:paraId="1BAAA159" w14:textId="7D209EB5" w:rsidR="001C7109" w:rsidRPr="001C7109" w:rsidRDefault="001C7109" w:rsidP="00004362">
      <w:pPr>
        <w:pStyle w:val="Heading5"/>
      </w:pPr>
      <w:r w:rsidRPr="001C7109">
        <w:t xml:space="preserve">2.2 Senior Medical and Dental Practitioners (SMDP) </w:t>
      </w:r>
    </w:p>
    <w:p w14:paraId="21CF0345" w14:textId="70D6CC53" w:rsidR="001C7109" w:rsidRDefault="001C7109" w:rsidP="00004362">
      <w:pPr>
        <w:pStyle w:val="Bullet"/>
      </w:pPr>
      <w:r>
        <w:t xml:space="preserve">Ensure all requested information is provided to MDAAC within the </w:t>
      </w:r>
      <w:r w:rsidR="004843EE">
        <w:t xml:space="preserve">specified </w:t>
      </w:r>
      <w:r>
        <w:t xml:space="preserve">timeframes. </w:t>
      </w:r>
    </w:p>
    <w:p w14:paraId="79D6A8FB" w14:textId="2E34D2F0" w:rsidR="001C7109" w:rsidRDefault="001C7109" w:rsidP="00004362">
      <w:pPr>
        <w:pStyle w:val="Bullet"/>
      </w:pPr>
      <w:r>
        <w:t>Disclose the status of registration including any conditions, past or present suspensions, reprimands or undertakings, limitation</w:t>
      </w:r>
      <w:r w:rsidR="009A3E03">
        <w:t>s</w:t>
      </w:r>
      <w:r>
        <w:t xml:space="preserve"> on scope of clinical practice by another facility or any other matter that MDAAC could reasonably expect to be disclosed to make an informed decision on credentials and scope of clinical practice. </w:t>
      </w:r>
    </w:p>
    <w:p w14:paraId="1E0EB0BC" w14:textId="01A01874" w:rsidR="001C7109" w:rsidRDefault="001C7109" w:rsidP="00004362">
      <w:pPr>
        <w:pStyle w:val="Bullet"/>
      </w:pPr>
      <w:r>
        <w:t xml:space="preserve">Comply with their approved scope of clinical practice. </w:t>
      </w:r>
    </w:p>
    <w:p w14:paraId="49BDF90D" w14:textId="5F810FAF" w:rsidR="001C7109" w:rsidRDefault="001C7109" w:rsidP="00004362">
      <w:pPr>
        <w:pStyle w:val="Bullet"/>
      </w:pPr>
      <w:r>
        <w:t xml:space="preserve">Comply with review of scope of clinical practice in a timely manner. </w:t>
      </w:r>
    </w:p>
    <w:p w14:paraId="02D9D46A" w14:textId="3502B8BC" w:rsidR="0025227A" w:rsidRDefault="001C7109" w:rsidP="00004362">
      <w:pPr>
        <w:pStyle w:val="Bullet"/>
      </w:pPr>
      <w:r>
        <w:t xml:space="preserve">At all times act in good faith. </w:t>
      </w:r>
    </w:p>
    <w:p w14:paraId="1D277F64" w14:textId="5C70A873" w:rsidR="001C7109" w:rsidRPr="001C7109" w:rsidRDefault="001C7109" w:rsidP="00004362">
      <w:pPr>
        <w:pStyle w:val="Heading5"/>
      </w:pPr>
      <w:r w:rsidRPr="001C7109">
        <w:t xml:space="preserve">2.3 Decision-Maker </w:t>
      </w:r>
    </w:p>
    <w:p w14:paraId="0D8242FA" w14:textId="7236AB66" w:rsidR="00DE6814" w:rsidRDefault="001C7109" w:rsidP="00004362">
      <w:pPr>
        <w:pStyle w:val="Bullet"/>
      </w:pPr>
      <w:r>
        <w:t xml:space="preserve">Ensure that all SMDPs within their health </w:t>
      </w:r>
      <w:r w:rsidR="0025227A">
        <w:t>facilities</w:t>
      </w:r>
      <w:r>
        <w:t xml:space="preserve"> </w:t>
      </w:r>
      <w:r w:rsidR="0025227A">
        <w:t>are credentialed and granted scope of clinical practice in accordance with its associated implementation standards.</w:t>
      </w:r>
    </w:p>
    <w:p w14:paraId="18F16533" w14:textId="6365147D" w:rsidR="001C7109" w:rsidRPr="0025227A" w:rsidRDefault="001C7109" w:rsidP="00004362">
      <w:pPr>
        <w:pStyle w:val="Heading5"/>
      </w:pPr>
      <w:r w:rsidRPr="0025227A">
        <w:lastRenderedPageBreak/>
        <w:t>2.4 Credentialing Manager</w:t>
      </w:r>
    </w:p>
    <w:p w14:paraId="3F5A950E" w14:textId="3598DD35" w:rsidR="001C7109" w:rsidRDefault="006E28B0" w:rsidP="00004362">
      <w:pPr>
        <w:pStyle w:val="Bullet"/>
      </w:pPr>
      <w:r>
        <w:t xml:space="preserve">Ensure that credentialing and defining of scope of clinical practice are undertaken in accordance with national standards and in compliance with </w:t>
      </w:r>
      <w:r w:rsidR="00C65E99">
        <w:t xml:space="preserve">the </w:t>
      </w:r>
      <w:r>
        <w:t>Health Act</w:t>
      </w:r>
      <w:r w:rsidR="00C65E99">
        <w:t>.</w:t>
      </w:r>
    </w:p>
    <w:p w14:paraId="521EB206" w14:textId="09456BE6" w:rsidR="006E28B0" w:rsidRDefault="006E28B0" w:rsidP="00AB3857">
      <w:pPr>
        <w:pStyle w:val="Bullet"/>
      </w:pPr>
      <w:r>
        <w:t xml:space="preserve">Maintain complete records of the credentialing process for each recommendation and ensure those records are available for audit. Consideration must be given to ensuring MDAAC conducts its responsibilities to a high standard and in a timely manner. </w:t>
      </w:r>
    </w:p>
    <w:p w14:paraId="621B67E9" w14:textId="2233C2FD" w:rsidR="006E28B0" w:rsidRDefault="006E28B0" w:rsidP="00AB3857">
      <w:pPr>
        <w:pStyle w:val="Bullet"/>
      </w:pPr>
      <w:r>
        <w:t>Ensure the letter advising the applicant of a decision made under this standard is dis</w:t>
      </w:r>
      <w:r w:rsidR="009C36C5">
        <w:t xml:space="preserve">patched to the applicant within </w:t>
      </w:r>
      <w:r w:rsidR="26D4DA22">
        <w:t xml:space="preserve">ten </w:t>
      </w:r>
      <w:r w:rsidR="009C36C5">
        <w:t xml:space="preserve">business days of the decision being made. </w:t>
      </w:r>
    </w:p>
    <w:p w14:paraId="5913C4D1" w14:textId="6319A957" w:rsidR="009C36C5" w:rsidRDefault="00664385" w:rsidP="00AB3857">
      <w:pPr>
        <w:pStyle w:val="Bullet"/>
      </w:pPr>
      <w:r>
        <w:t>Be r</w:t>
      </w:r>
      <w:r w:rsidR="009C36C5">
        <w:t xml:space="preserve">esponsible for the establishment and maintenance of the processes described in this procedure. </w:t>
      </w:r>
    </w:p>
    <w:p w14:paraId="1BB0E25F" w14:textId="239886FC" w:rsidR="00190288" w:rsidRDefault="009C36C5" w:rsidP="00AB3857">
      <w:pPr>
        <w:pStyle w:val="Bullet"/>
      </w:pPr>
      <w:r>
        <w:t xml:space="preserve">Work collaboratively with Clinical Directors/Unit Directors, Managers and Executive Directors. </w:t>
      </w:r>
    </w:p>
    <w:p w14:paraId="05C45D7B" w14:textId="380D8686" w:rsidR="00190288" w:rsidRPr="00190288" w:rsidRDefault="00190288" w:rsidP="00AB3857">
      <w:pPr>
        <w:pStyle w:val="Heading5"/>
        <w:spacing w:before="120" w:beforeAutospacing="0"/>
      </w:pPr>
      <w:r w:rsidRPr="00190288">
        <w:t xml:space="preserve">2.5 Credentialing Team </w:t>
      </w:r>
    </w:p>
    <w:p w14:paraId="128ACE28" w14:textId="75514834" w:rsidR="00190288" w:rsidRDefault="00190288" w:rsidP="00AB3857">
      <w:pPr>
        <w:pStyle w:val="BodyCopy"/>
        <w:numPr>
          <w:ilvl w:val="0"/>
          <w:numId w:val="29"/>
        </w:numPr>
        <w:spacing w:after="120"/>
        <w:ind w:left="357" w:hanging="357"/>
      </w:pPr>
      <w:r>
        <w:t xml:space="preserve">Invite SMDPs to complete their initial or re-credentialing application. </w:t>
      </w:r>
    </w:p>
    <w:p w14:paraId="708134AA" w14:textId="2AF641AB" w:rsidR="00190288" w:rsidRDefault="00190288" w:rsidP="00AB3857">
      <w:pPr>
        <w:pStyle w:val="BodyCopy"/>
        <w:numPr>
          <w:ilvl w:val="0"/>
          <w:numId w:val="29"/>
        </w:numPr>
        <w:spacing w:after="120"/>
        <w:ind w:left="357" w:hanging="357"/>
      </w:pPr>
      <w:r>
        <w:t>Collate and prepare the application package for MDAAC.</w:t>
      </w:r>
    </w:p>
    <w:p w14:paraId="17A90506" w14:textId="552F9141" w:rsidR="00AB3857" w:rsidRPr="00190288" w:rsidRDefault="00190288" w:rsidP="00AB3857">
      <w:pPr>
        <w:pStyle w:val="BodyCopy"/>
        <w:numPr>
          <w:ilvl w:val="0"/>
          <w:numId w:val="29"/>
        </w:numPr>
        <w:spacing w:after="120"/>
        <w:ind w:left="357" w:hanging="357"/>
      </w:pPr>
      <w:r>
        <w:t>Maintenance of the relevant SMDPs database.</w:t>
      </w:r>
    </w:p>
    <w:p w14:paraId="70E979EC" w14:textId="663B5408" w:rsidR="001C7109" w:rsidRPr="009C36C5" w:rsidRDefault="001C7109" w:rsidP="00AB3857">
      <w:pPr>
        <w:pStyle w:val="Heading5"/>
        <w:spacing w:before="120" w:beforeAutospacing="0"/>
      </w:pPr>
      <w:r w:rsidRPr="009C36C5">
        <w:t>2.</w:t>
      </w:r>
      <w:r w:rsidR="00190288">
        <w:t>6</w:t>
      </w:r>
      <w:r w:rsidRPr="009C36C5">
        <w:t xml:space="preserve"> Chief Executive Officer</w:t>
      </w:r>
    </w:p>
    <w:p w14:paraId="19951E83" w14:textId="0878E771" w:rsidR="001C7109" w:rsidRDefault="009C36C5" w:rsidP="00AB3857">
      <w:pPr>
        <w:pStyle w:val="Bullet"/>
      </w:pPr>
      <w:r>
        <w:t xml:space="preserve">Accountable for granting the scope of clinical practice </w:t>
      </w:r>
      <w:r w:rsidR="00BA61E1">
        <w:t xml:space="preserve">for </w:t>
      </w:r>
      <w:r w:rsidR="00664385">
        <w:t>SMDPs</w:t>
      </w:r>
      <w:r w:rsidR="00BA61E1">
        <w:t xml:space="preserve"> who practice in a</w:t>
      </w:r>
      <w:r>
        <w:t xml:space="preserve"> CHS facility. </w:t>
      </w:r>
    </w:p>
    <w:p w14:paraId="54756C84" w14:textId="0728EB9F" w:rsidR="001C7109" w:rsidRPr="002A743F" w:rsidRDefault="001C7109" w:rsidP="00AB3857">
      <w:pPr>
        <w:pStyle w:val="Heading5"/>
      </w:pPr>
      <w:r w:rsidRPr="002A743F">
        <w:t>2.</w:t>
      </w:r>
      <w:r w:rsidR="00190288">
        <w:t>7</w:t>
      </w:r>
      <w:r w:rsidRPr="002A743F">
        <w:t xml:space="preserve"> Chair of MDAAC</w:t>
      </w:r>
    </w:p>
    <w:p w14:paraId="2D412314" w14:textId="5F28F91D" w:rsidR="001C7109" w:rsidRDefault="009C36C5" w:rsidP="00AB3857">
      <w:pPr>
        <w:pStyle w:val="Bullet"/>
      </w:pPr>
      <w:r>
        <w:t>Ensure</w:t>
      </w:r>
      <w:r w:rsidR="009A3E03">
        <w:t>s</w:t>
      </w:r>
      <w:r>
        <w:t xml:space="preserve"> MDAAC functions in compliance with </w:t>
      </w:r>
      <w:r w:rsidR="00F80101">
        <w:t>t</w:t>
      </w:r>
      <w:r>
        <w:t xml:space="preserve">he MDAAC Terms of Reference. </w:t>
      </w:r>
    </w:p>
    <w:p w14:paraId="4719D3D2" w14:textId="32CC6ED5" w:rsidR="009C36C5" w:rsidRDefault="009C36C5" w:rsidP="00AB3857">
      <w:pPr>
        <w:pStyle w:val="Bullet"/>
      </w:pPr>
      <w:r>
        <w:t>Ensure</w:t>
      </w:r>
      <w:r w:rsidR="009A3E03">
        <w:t>s</w:t>
      </w:r>
      <w:r>
        <w:t xml:space="preserve"> the credentialing manager maintains complete records of credentialing process for each recommendation and ensures those records are available for audit. </w:t>
      </w:r>
    </w:p>
    <w:p w14:paraId="455E9A85" w14:textId="6C31CC63" w:rsidR="009C36C5" w:rsidRDefault="009C36C5" w:rsidP="00AB3857">
      <w:pPr>
        <w:pStyle w:val="Bullet"/>
      </w:pPr>
      <w:r>
        <w:t>Ensure</w:t>
      </w:r>
      <w:r w:rsidR="009A3E03">
        <w:t>s</w:t>
      </w:r>
      <w:r>
        <w:t xml:space="preserve"> each member of MDAAC has completed the orientation package and understands their role and responsibilities as a member of MDAAC. </w:t>
      </w:r>
    </w:p>
    <w:p w14:paraId="146F2748" w14:textId="3CC4964D" w:rsidR="009C36C5" w:rsidRDefault="009C36C5" w:rsidP="00AB3857">
      <w:pPr>
        <w:pStyle w:val="Bullet"/>
      </w:pPr>
      <w:r>
        <w:t>Ensure</w:t>
      </w:r>
      <w:r w:rsidR="009A3E03">
        <w:t>s</w:t>
      </w:r>
      <w:r>
        <w:t xml:space="preserve"> MDAAC members conduct their responsibilities to a high standard and in a timely manner. Meetings of MDAAC should be conducted on at least a monthly basis. </w:t>
      </w:r>
    </w:p>
    <w:p w14:paraId="1BD77ADC" w14:textId="05753325" w:rsidR="009C36C5" w:rsidRDefault="009C36C5" w:rsidP="00AB3857">
      <w:pPr>
        <w:pStyle w:val="Bullet"/>
      </w:pPr>
      <w:r>
        <w:t xml:space="preserve">The chair may convene an executive meeting where, in the opinion of the chair, a matter should not reasonably wait for the next scheduled meeting of MDAAC. </w:t>
      </w:r>
    </w:p>
    <w:p w14:paraId="06B38598" w14:textId="7B1968A5" w:rsidR="001C7109" w:rsidRPr="002A743F" w:rsidRDefault="001C7109" w:rsidP="00AB3857">
      <w:pPr>
        <w:pStyle w:val="Heading5"/>
      </w:pPr>
      <w:r w:rsidRPr="002A743F">
        <w:t>2.</w:t>
      </w:r>
      <w:r w:rsidR="00190288">
        <w:t>8</w:t>
      </w:r>
      <w:r w:rsidRPr="002A743F">
        <w:t xml:space="preserve"> MDAAC Members </w:t>
      </w:r>
    </w:p>
    <w:p w14:paraId="06C3874E" w14:textId="2982D2A4" w:rsidR="009C36C5" w:rsidRDefault="009C36C5" w:rsidP="00AB3857">
      <w:pPr>
        <w:pStyle w:val="Bullet"/>
      </w:pPr>
      <w:r>
        <w:t>Provide advice in accordance with the MDAAC Terms of Reference and the requirements of the Health Act.</w:t>
      </w:r>
    </w:p>
    <w:p w14:paraId="162A7AF4" w14:textId="77777777" w:rsidR="009C36C5" w:rsidRDefault="009C36C5" w:rsidP="00AB3857">
      <w:pPr>
        <w:pStyle w:val="Bullet"/>
      </w:pPr>
      <w:r>
        <w:t>Provide independent advice to the decision-maker.</w:t>
      </w:r>
    </w:p>
    <w:p w14:paraId="354AA8A3" w14:textId="373B2C81" w:rsidR="001C7109" w:rsidRDefault="009C36C5" w:rsidP="00AB3857">
      <w:pPr>
        <w:pStyle w:val="Bullet"/>
      </w:pPr>
      <w:r>
        <w:t xml:space="preserve">Recommend scope of clinical practice consistent with the clinical services capability for </w:t>
      </w:r>
      <w:r w:rsidR="009A3E03">
        <w:t>the facility in which scope i</w:t>
      </w:r>
      <w:r w:rsidR="00A94FD8">
        <w:t>s</w:t>
      </w:r>
      <w:r w:rsidR="009A3E03">
        <w:t xml:space="preserve"> requested.</w:t>
      </w:r>
      <w:r>
        <w:t xml:space="preserve"> </w:t>
      </w:r>
    </w:p>
    <w:p w14:paraId="5E19518B" w14:textId="1A385DCC" w:rsidR="001C7109" w:rsidRPr="002A743F" w:rsidRDefault="001C7109" w:rsidP="00AB3857">
      <w:pPr>
        <w:pStyle w:val="Heading5"/>
      </w:pPr>
      <w:r w:rsidRPr="002A743F">
        <w:lastRenderedPageBreak/>
        <w:t>2.</w:t>
      </w:r>
      <w:r w:rsidR="00190288">
        <w:t>9</w:t>
      </w:r>
      <w:r w:rsidRPr="002A743F">
        <w:t xml:space="preserve"> MDAAC </w:t>
      </w:r>
    </w:p>
    <w:p w14:paraId="5DED4FF1" w14:textId="4C6775FE" w:rsidR="009C36C5" w:rsidRDefault="009C36C5" w:rsidP="00AB3857">
      <w:pPr>
        <w:pStyle w:val="Bullet"/>
      </w:pPr>
      <w:r>
        <w:t xml:space="preserve">Is an approved scope of clinical practice committee under the Health Act. </w:t>
      </w:r>
    </w:p>
    <w:p w14:paraId="7420C79C" w14:textId="414F2C88" w:rsidR="009C36C5" w:rsidRDefault="00B800AB" w:rsidP="00AB3857">
      <w:pPr>
        <w:pStyle w:val="Bullet"/>
      </w:pPr>
      <w:r>
        <w:t xml:space="preserve">Provides </w:t>
      </w:r>
      <w:r w:rsidR="009C36C5">
        <w:t xml:space="preserve">recommendations on the credentialing and scope of clinical practice to: </w:t>
      </w:r>
    </w:p>
    <w:p w14:paraId="28969D91" w14:textId="54D64129" w:rsidR="009C36C5" w:rsidRDefault="00C65E99" w:rsidP="00AB3857">
      <w:pPr>
        <w:pStyle w:val="Bullet"/>
        <w:numPr>
          <w:ilvl w:val="1"/>
          <w:numId w:val="24"/>
        </w:numPr>
      </w:pPr>
      <w:r>
        <w:t>t</w:t>
      </w:r>
      <w:r w:rsidR="009C36C5">
        <w:t xml:space="preserve">he decision-maker as defined by the Health Act for decisions relating to scope of clinical practice; and </w:t>
      </w:r>
    </w:p>
    <w:p w14:paraId="35277AC0" w14:textId="68A4977E" w:rsidR="009C36C5" w:rsidRDefault="00C65E99" w:rsidP="00AB3857">
      <w:pPr>
        <w:pStyle w:val="Bullet"/>
        <w:numPr>
          <w:ilvl w:val="1"/>
          <w:numId w:val="24"/>
        </w:numPr>
      </w:pPr>
      <w:r>
        <w:t>t</w:t>
      </w:r>
      <w:r w:rsidR="009C36C5">
        <w:t xml:space="preserve">he delegate as defined by the </w:t>
      </w:r>
      <w:r w:rsidR="009C36C5" w:rsidRPr="009E53CE">
        <w:rPr>
          <w:i/>
          <w:iCs/>
        </w:rPr>
        <w:t>Public Sector Management Act 1994</w:t>
      </w:r>
      <w:r w:rsidR="009C36C5">
        <w:t xml:space="preserve"> for appointments. </w:t>
      </w:r>
    </w:p>
    <w:p w14:paraId="469CDEA2" w14:textId="22A9E9AC" w:rsidR="009C36C5" w:rsidRDefault="009C36C5" w:rsidP="00AB3857">
      <w:pPr>
        <w:pStyle w:val="Bullet"/>
      </w:pPr>
      <w:r>
        <w:t>All information prepared for MDAAC is protected under the secrecy provisions of the Health Act 1993 and thereby falls outside of the public domain.</w:t>
      </w:r>
    </w:p>
    <w:p w14:paraId="0C115B15" w14:textId="77777777" w:rsidR="00DE6814" w:rsidRDefault="009C36C5" w:rsidP="00AB3857">
      <w:pPr>
        <w:pStyle w:val="Bullet"/>
      </w:pPr>
      <w:r>
        <w:t xml:space="preserve">MDAAC has accountability for ensuring it reviews comprehensive documentation and seeks relevant third-party advice regarding each SMDPs application for scope of clinical practice. </w:t>
      </w:r>
    </w:p>
    <w:p w14:paraId="3775B083" w14:textId="6A95B36D" w:rsidR="001C7109" w:rsidRDefault="009C36C5" w:rsidP="00AB3857">
      <w:pPr>
        <w:pStyle w:val="Bullet"/>
      </w:pPr>
      <w:r>
        <w:t>MDAAC will not consider incomplete applications or make a recommendation about a SMDP’s scope of clinical practice while it is waiting for further information.</w:t>
      </w:r>
    </w:p>
    <w:p w14:paraId="29D56B9B" w14:textId="6A19EE65" w:rsidR="001C7109" w:rsidRPr="002A743F" w:rsidRDefault="001C7109" w:rsidP="00AB3857">
      <w:pPr>
        <w:pStyle w:val="Heading5"/>
      </w:pPr>
      <w:r w:rsidRPr="002A743F">
        <w:t>2.</w:t>
      </w:r>
      <w:r w:rsidR="00190288">
        <w:t>10</w:t>
      </w:r>
      <w:r w:rsidRPr="002A743F">
        <w:t xml:space="preserve"> MDAAC </w:t>
      </w:r>
      <w:r w:rsidR="003D2C05">
        <w:t xml:space="preserve">Executive Subcommittee – Out of session </w:t>
      </w:r>
    </w:p>
    <w:p w14:paraId="7CA46277" w14:textId="1D23D28E" w:rsidR="009C36C5" w:rsidRDefault="009C36C5" w:rsidP="00AB3857">
      <w:pPr>
        <w:pStyle w:val="Bullet"/>
      </w:pPr>
      <w:r w:rsidRPr="009C36C5">
        <w:t xml:space="preserve">MDAAC subcommittees can be formed to undertake urgent out of session credentialing – refer to </w:t>
      </w:r>
      <w:r w:rsidRPr="009E53CE">
        <w:rPr>
          <w:iCs/>
        </w:rPr>
        <w:t xml:space="preserve">Section </w:t>
      </w:r>
      <w:r w:rsidR="0063253D" w:rsidRPr="009E53CE">
        <w:rPr>
          <w:iCs/>
        </w:rPr>
        <w:t>8</w:t>
      </w:r>
      <w:r w:rsidRPr="009E53CE">
        <w:rPr>
          <w:iCs/>
        </w:rPr>
        <w:t xml:space="preserve"> </w:t>
      </w:r>
      <w:r w:rsidR="00C65E99">
        <w:rPr>
          <w:iCs/>
        </w:rPr>
        <w:t xml:space="preserve">- </w:t>
      </w:r>
      <w:r w:rsidRPr="009E53CE">
        <w:rPr>
          <w:iCs/>
        </w:rPr>
        <w:t xml:space="preserve">Urgent </w:t>
      </w:r>
      <w:r w:rsidR="00C65E99">
        <w:rPr>
          <w:iCs/>
        </w:rPr>
        <w:t>C</w:t>
      </w:r>
      <w:r w:rsidRPr="009E53CE">
        <w:rPr>
          <w:iCs/>
        </w:rPr>
        <w:t xml:space="preserve">redentialing and </w:t>
      </w:r>
      <w:r w:rsidR="00C65E99">
        <w:rPr>
          <w:iCs/>
        </w:rPr>
        <w:t>S</w:t>
      </w:r>
      <w:r w:rsidRPr="009E53CE">
        <w:rPr>
          <w:iCs/>
        </w:rPr>
        <w:t xml:space="preserve">cope of </w:t>
      </w:r>
      <w:r w:rsidR="00C65E99">
        <w:rPr>
          <w:iCs/>
        </w:rPr>
        <w:t>Cl</w:t>
      </w:r>
      <w:r w:rsidRPr="009E53CE">
        <w:rPr>
          <w:iCs/>
        </w:rPr>
        <w:t xml:space="preserve">inical </w:t>
      </w:r>
      <w:r w:rsidR="00C65E99">
        <w:rPr>
          <w:iCs/>
        </w:rPr>
        <w:t>P</w:t>
      </w:r>
      <w:r w:rsidRPr="009E53CE">
        <w:rPr>
          <w:iCs/>
        </w:rPr>
        <w:t>ractice</w:t>
      </w:r>
      <w:r w:rsidRPr="009C36C5">
        <w:t>.</w:t>
      </w:r>
    </w:p>
    <w:p w14:paraId="79B7F9D9" w14:textId="7A4F7913" w:rsidR="001C7109" w:rsidRPr="002A743F" w:rsidRDefault="001C7109" w:rsidP="00AB3857">
      <w:pPr>
        <w:pStyle w:val="Heading5"/>
      </w:pPr>
      <w:r w:rsidRPr="002A743F">
        <w:t>2.1</w:t>
      </w:r>
      <w:r w:rsidR="00190288">
        <w:t>1</w:t>
      </w:r>
      <w:r w:rsidRPr="002A743F">
        <w:t xml:space="preserve"> MDAAC</w:t>
      </w:r>
      <w:r w:rsidR="003D2C05">
        <w:t xml:space="preserve"> Executive</w:t>
      </w:r>
      <w:r w:rsidRPr="002A743F">
        <w:t xml:space="preserve"> Subcommittee </w:t>
      </w:r>
      <w:r w:rsidR="003D2C05">
        <w:t>– Extraordinary review</w:t>
      </w:r>
    </w:p>
    <w:p w14:paraId="4297E8F9" w14:textId="34150145" w:rsidR="003254E1" w:rsidRDefault="009C36C5" w:rsidP="00AB3857">
      <w:pPr>
        <w:pStyle w:val="Bullet"/>
      </w:pPr>
      <w:r w:rsidRPr="009C36C5">
        <w:t xml:space="preserve">Conduct </w:t>
      </w:r>
      <w:r w:rsidR="009A3E03">
        <w:t xml:space="preserve">an </w:t>
      </w:r>
      <w:r w:rsidRPr="009C36C5">
        <w:t>extraordinary (unplanned) review of scope of clinical practice of SMDPs, against whom a complaint or concern about competency has been made</w:t>
      </w:r>
      <w:r w:rsidR="003D2C05">
        <w:t xml:space="preserve"> – refer to Section 9 </w:t>
      </w:r>
      <w:r w:rsidR="00C65E99">
        <w:t xml:space="preserve">- </w:t>
      </w:r>
      <w:r w:rsidR="003D2C05">
        <w:t xml:space="preserve">MDAAC Subcommittee – Extraordinary review. </w:t>
      </w:r>
    </w:p>
    <w:p w14:paraId="58D17062" w14:textId="77777777" w:rsidR="00481A6C" w:rsidRDefault="00481A6C" w:rsidP="0091462B">
      <w:pPr>
        <w:pStyle w:val="BodyCopy"/>
      </w:pPr>
      <w:hyperlink w:anchor="_top" w:history="1">
        <w:r w:rsidRPr="00481A6C">
          <w:rPr>
            <w:rStyle w:val="Hyperlink"/>
            <w:iCs w:val="0"/>
          </w:rPr>
          <w:t>Back to Contents</w:t>
        </w:r>
      </w:hyperlink>
    </w:p>
    <w:p w14:paraId="75D1528A" w14:textId="54BFA4C2" w:rsidR="0078367D" w:rsidRDefault="0078367D" w:rsidP="00A6051F">
      <w:pPr>
        <w:pStyle w:val="Heading4"/>
      </w:pPr>
      <w:bookmarkStart w:id="5" w:name="_Toc221116385"/>
      <w:r w:rsidRPr="0078367D">
        <w:t xml:space="preserve">Section </w:t>
      </w:r>
      <w:r w:rsidR="009C36C5">
        <w:t>3</w:t>
      </w:r>
      <w:r w:rsidRPr="0078367D">
        <w:t xml:space="preserve"> </w:t>
      </w:r>
      <w:r w:rsidR="009C36C5">
        <w:t>–</w:t>
      </w:r>
      <w:r w:rsidRPr="0078367D">
        <w:t xml:space="preserve"> </w:t>
      </w:r>
      <w:r w:rsidR="009C36C5">
        <w:t xml:space="preserve">Credentialing and Defining the Scope of Clinical Practice </w:t>
      </w:r>
      <w:r w:rsidR="002D370D">
        <w:t>P</w:t>
      </w:r>
      <w:r w:rsidR="009C36C5">
        <w:t>rocess</w:t>
      </w:r>
      <w:bookmarkEnd w:id="5"/>
      <w:r w:rsidR="009C36C5">
        <w:t xml:space="preserve"> </w:t>
      </w:r>
    </w:p>
    <w:p w14:paraId="248C4B10" w14:textId="31B65E14" w:rsidR="009C36C5" w:rsidRPr="00004362" w:rsidRDefault="009C36C5" w:rsidP="00004362">
      <w:pPr>
        <w:pStyle w:val="BodyCopy"/>
      </w:pPr>
      <w:r w:rsidRPr="00004362">
        <w:t xml:space="preserve">CHS is committed to the delivery of safe, appropriate, and high quality medical and dental services. This is achieved through best practice credentialing and defining scope of clinical practice processes, and </w:t>
      </w:r>
      <w:r w:rsidR="008C2BB8" w:rsidRPr="00004362">
        <w:t xml:space="preserve">by </w:t>
      </w:r>
      <w:r w:rsidRPr="00004362">
        <w:t>routine re-credentialing ensuring SMDP</w:t>
      </w:r>
      <w:r w:rsidR="002D370D">
        <w:t>s</w:t>
      </w:r>
      <w:r w:rsidRPr="00004362">
        <w:t xml:space="preserve"> are appropriately qualified and experienced. </w:t>
      </w:r>
    </w:p>
    <w:p w14:paraId="6884F868" w14:textId="15F3FB7F" w:rsidR="009C36C5" w:rsidRPr="00004362" w:rsidRDefault="009C36C5" w:rsidP="00004362">
      <w:pPr>
        <w:pStyle w:val="BodyCopy"/>
      </w:pPr>
      <w:r w:rsidRPr="00004362">
        <w:t xml:space="preserve">The National Safety and Quality Health Service (NSQHS) Standards </w:t>
      </w:r>
      <w:r w:rsidR="002D370D">
        <w:t>(</w:t>
      </w:r>
      <w:r w:rsidR="00DC6E1D">
        <w:t xml:space="preserve">available on the Australian Commission on Safety and Quality in Healthcare’s website at: </w:t>
      </w:r>
      <w:r w:rsidR="002D370D" w:rsidRPr="002D370D">
        <w:t>https://www.safetyandquality.gov.au/standards/nsqhs-standards</w:t>
      </w:r>
      <w:r w:rsidR="002D370D">
        <w:t xml:space="preserve">) </w:t>
      </w:r>
      <w:r w:rsidRPr="00004362">
        <w:t xml:space="preserve">provide a framework to ensure quality and safe care. Adherence to this framework ensures CHS has a system to define, monitor and regularly review the scope of clinical practice for SMDPs. </w:t>
      </w:r>
    </w:p>
    <w:p w14:paraId="71B681D1" w14:textId="6E954ECD" w:rsidR="009C36C5" w:rsidRDefault="009C36C5" w:rsidP="00004362">
      <w:pPr>
        <w:pStyle w:val="BodyCopy"/>
      </w:pPr>
      <w:r w:rsidRPr="00004362">
        <w:t xml:space="preserve">The NSQHS Standards require that a health service organisation has processes to monitor clinician practices to ensure that they are operating within their designated scope of clinical practice and ensure that clinicians have the appropriate qualifications, experience, and skills </w:t>
      </w:r>
      <w:r w:rsidRPr="00004362">
        <w:lastRenderedPageBreak/>
        <w:t xml:space="preserve">to fulfil their </w:t>
      </w:r>
      <w:r w:rsidR="00B800AB" w:rsidRPr="00004362">
        <w:t>contracted</w:t>
      </w:r>
      <w:r w:rsidRPr="00004362">
        <w:t xml:space="preserve"> roles and responsibilities. </w:t>
      </w:r>
      <w:r w:rsidR="00E24876" w:rsidRPr="00004362">
        <w:t>A</w:t>
      </w:r>
      <w:r w:rsidRPr="00004362">
        <w:t xml:space="preserve"> routine review of the SMDP must occur to </w:t>
      </w:r>
      <w:r w:rsidR="008C2BB8" w:rsidRPr="00004362">
        <w:t xml:space="preserve">confirm </w:t>
      </w:r>
      <w:r w:rsidRPr="00004362">
        <w:t>that the</w:t>
      </w:r>
      <w:r>
        <w:t xml:space="preserve"> credentials of each SMDP remain current. </w:t>
      </w:r>
    </w:p>
    <w:p w14:paraId="019F295D" w14:textId="77777777" w:rsidR="009C36C5" w:rsidRDefault="009C36C5" w:rsidP="00004362">
      <w:pPr>
        <w:pStyle w:val="BodyCopy"/>
      </w:pPr>
      <w:r>
        <w:t xml:space="preserve">The credentialing and defining the scope of clinical practice process consists of three stages: </w:t>
      </w:r>
    </w:p>
    <w:p w14:paraId="520280C4" w14:textId="3FD1C691" w:rsidR="009C36C5" w:rsidRDefault="009C36C5" w:rsidP="00004362">
      <w:pPr>
        <w:pStyle w:val="Bullet"/>
      </w:pPr>
      <w:r>
        <w:t xml:space="preserve">Initial credentialing – review and verification of a medical practitioner’s qualifications, skills, competencies, and experience </w:t>
      </w:r>
      <w:r w:rsidRPr="00DC6E1D">
        <w:t>(</w:t>
      </w:r>
      <w:r w:rsidRPr="009E53CE">
        <w:t>Refer to Section 4</w:t>
      </w:r>
      <w:r w:rsidR="00A919E9" w:rsidRPr="009E53CE">
        <w:t xml:space="preserve"> – Initial Credentialing</w:t>
      </w:r>
      <w:r w:rsidRPr="00DC6E1D">
        <w:t>).</w:t>
      </w:r>
      <w:r>
        <w:t xml:space="preserve"> </w:t>
      </w:r>
    </w:p>
    <w:p w14:paraId="4512D0F2" w14:textId="6F0708F6" w:rsidR="009C36C5" w:rsidRDefault="009C36C5" w:rsidP="00004362">
      <w:pPr>
        <w:pStyle w:val="Bullet"/>
      </w:pPr>
      <w:r>
        <w:t>Defining the scope of clinical practice - for a medical practitioner within a Specific Health Facility.</w:t>
      </w:r>
    </w:p>
    <w:p w14:paraId="0639CBC2" w14:textId="1E5A099D" w:rsidR="00D75446" w:rsidRDefault="009C36C5" w:rsidP="00004362">
      <w:pPr>
        <w:pStyle w:val="Bullet"/>
      </w:pPr>
      <w:r>
        <w:t xml:space="preserve">Renewal (known as re-credentialing) – to confirm that the medical practitioner has maintained their qualifications, skills, and competencies. </w:t>
      </w:r>
    </w:p>
    <w:p w14:paraId="76FBFB47" w14:textId="4930841F" w:rsidR="009C36C5" w:rsidRPr="00004362" w:rsidRDefault="009C36C5" w:rsidP="00004362">
      <w:pPr>
        <w:pStyle w:val="BodyCopy"/>
      </w:pPr>
      <w:r w:rsidRPr="00004362">
        <w:t xml:space="preserve">Credentialing and scope of clinical practice is only valid in conjunction with </w:t>
      </w:r>
      <w:r w:rsidR="00E24876" w:rsidRPr="00004362">
        <w:t xml:space="preserve">the </w:t>
      </w:r>
      <w:r w:rsidRPr="00004362">
        <w:t xml:space="preserve">current employment or VMO contract. </w:t>
      </w:r>
    </w:p>
    <w:p w14:paraId="3BE3D8B1" w14:textId="490149C2" w:rsidR="009C36C5" w:rsidRPr="00004362" w:rsidRDefault="009C36C5" w:rsidP="00004362">
      <w:pPr>
        <w:pStyle w:val="BodyCopy"/>
      </w:pPr>
      <w:r w:rsidRPr="00004362">
        <w:t xml:space="preserve">All permanent appointments </w:t>
      </w:r>
      <w:r w:rsidR="00E24876" w:rsidRPr="00004362">
        <w:t xml:space="preserve">or non-locum VMO positions </w:t>
      </w:r>
      <w:r w:rsidRPr="00004362">
        <w:t>must be credentialed at a full MDAAC meeting. Out of session</w:t>
      </w:r>
      <w:r w:rsidR="008C2BB8" w:rsidRPr="00004362">
        <w:t xml:space="preserve"> approvals</w:t>
      </w:r>
      <w:r w:rsidRPr="00004362">
        <w:t xml:space="preserve"> are utilised for urgent temporary appointments only. </w:t>
      </w:r>
    </w:p>
    <w:p w14:paraId="4392CBE2" w14:textId="55B5E93F" w:rsidR="009C36C5" w:rsidRPr="00004362" w:rsidRDefault="009C36C5" w:rsidP="00004362">
      <w:pPr>
        <w:pStyle w:val="BodyCopy"/>
      </w:pPr>
      <w:r w:rsidRPr="00004362">
        <w:t xml:space="preserve">A SMDP cannot be credentialed without valid specialist registration except when a SMDP is able to produce evidence that their qualification and/or training has been assessed as equivalent to Australian standards by a recognised body (i.e., a SMDP on a specialist pathway through an Australian college). </w:t>
      </w:r>
    </w:p>
    <w:p w14:paraId="4B884356" w14:textId="1B706D57" w:rsidR="009C36C5" w:rsidRDefault="009C36C5" w:rsidP="00004362">
      <w:pPr>
        <w:pStyle w:val="BodyCopy"/>
      </w:pPr>
      <w:r w:rsidRPr="00004362">
        <w:t xml:space="preserve">Any supervision or conditions imposed by </w:t>
      </w:r>
      <w:r w:rsidR="00DC6E1D">
        <w:t>the Australian Health Practitioner Regulation Agency (</w:t>
      </w:r>
      <w:r w:rsidRPr="00004362">
        <w:t>AHPRA</w:t>
      </w:r>
      <w:r w:rsidR="00DC6E1D">
        <w:t>)</w:t>
      </w:r>
      <w:r w:rsidRPr="00004362">
        <w:t xml:space="preserve"> must be reflected on the SMDP scope of clinical practice. The scope of clinical practice should be reviewed at the end of each supervisor period</w:t>
      </w:r>
      <w:r>
        <w:t xml:space="preserve">. </w:t>
      </w:r>
    </w:p>
    <w:p w14:paraId="2BFC2382" w14:textId="3338ABAC" w:rsidR="009C36C5" w:rsidRPr="00DE6814" w:rsidRDefault="009C36C5" w:rsidP="00004362">
      <w:pPr>
        <w:pStyle w:val="Heading5"/>
      </w:pPr>
      <w:r w:rsidRPr="00DE6814">
        <w:t xml:space="preserve">3.1 Defining the Scope of Clinical Practice   </w:t>
      </w:r>
    </w:p>
    <w:p w14:paraId="09C2AD53" w14:textId="727FD494" w:rsidR="009C36C5" w:rsidRPr="00004362" w:rsidRDefault="009C36C5" w:rsidP="00004362">
      <w:pPr>
        <w:pStyle w:val="BodyCopy"/>
      </w:pPr>
      <w:r w:rsidRPr="00004362">
        <w:t>Defining the scope of a clinical practice of a Medical Practitioner will be aligned with The Medical Board of Australia – List of Specialities, Fields of Speciality Practice and Related Specialist Titles (MBA List of Specialities)</w:t>
      </w:r>
      <w:r w:rsidR="00DC6E1D">
        <w:t xml:space="preserve"> (available on the Medical Board of Australia website at: </w:t>
      </w:r>
      <w:hyperlink r:id="rId11" w:history="1">
        <w:r w:rsidR="00DC6E1D" w:rsidRPr="00DC6E1D">
          <w:rPr>
            <w:rStyle w:val="Hyperlink"/>
          </w:rPr>
          <w:t>https://www.medicalboard.gov.au/</w:t>
        </w:r>
      </w:hyperlink>
      <w:r w:rsidR="00DC6E1D">
        <w:t>)</w:t>
      </w:r>
      <w:r w:rsidRPr="00004362">
        <w:t xml:space="preserve">. </w:t>
      </w:r>
    </w:p>
    <w:p w14:paraId="2390263A" w14:textId="5431C0C2" w:rsidR="009C36C5" w:rsidRPr="00004362" w:rsidRDefault="009C36C5" w:rsidP="00004362">
      <w:pPr>
        <w:pStyle w:val="BodyCopy"/>
      </w:pPr>
      <w:r w:rsidRPr="00004362">
        <w:t xml:space="preserve">Credentialing focuses on credentials that are recognised by the specialist bodies and accredited by the Australian Medical Council. </w:t>
      </w:r>
    </w:p>
    <w:p w14:paraId="540CC72F" w14:textId="0167106B" w:rsidR="009C36C5" w:rsidRPr="00004362" w:rsidRDefault="009C36C5" w:rsidP="00004362">
      <w:pPr>
        <w:pStyle w:val="BodyCopy"/>
      </w:pPr>
      <w:r w:rsidRPr="00004362">
        <w:t xml:space="preserve">Defining the scope of a clinical practice of a Dentist will be aligned with The Dental Board of Australia – List of </w:t>
      </w:r>
      <w:r w:rsidR="00DC6E1D">
        <w:t>S</w:t>
      </w:r>
      <w:r w:rsidRPr="00004362">
        <w:t xml:space="preserve">pecialist </w:t>
      </w:r>
      <w:r w:rsidR="00DC6E1D">
        <w:t>T</w:t>
      </w:r>
      <w:r w:rsidRPr="00004362">
        <w:t xml:space="preserve">itles for </w:t>
      </w:r>
      <w:r w:rsidR="00DC6E1D">
        <w:t>D</w:t>
      </w:r>
      <w:r w:rsidRPr="00004362">
        <w:t xml:space="preserve">ental </w:t>
      </w:r>
      <w:r w:rsidR="00DC6E1D">
        <w:t>P</w:t>
      </w:r>
      <w:r w:rsidRPr="00004362">
        <w:t>ractitioners</w:t>
      </w:r>
      <w:r w:rsidR="00DC6E1D">
        <w:t xml:space="preserve"> (available on the Dental Board of Australia website at: </w:t>
      </w:r>
      <w:hyperlink r:id="rId12" w:history="1">
        <w:r w:rsidR="00DC6E1D" w:rsidRPr="00DC6E1D">
          <w:rPr>
            <w:rStyle w:val="Hyperlink"/>
          </w:rPr>
          <w:t>https://www.dentalboard.gov.au/</w:t>
        </w:r>
      </w:hyperlink>
      <w:r w:rsidR="00DC6E1D">
        <w:t>)</w:t>
      </w:r>
      <w:r w:rsidRPr="00004362">
        <w:t xml:space="preserve">. </w:t>
      </w:r>
    </w:p>
    <w:p w14:paraId="01798E6C" w14:textId="4945246C" w:rsidR="009C36C5" w:rsidRPr="00004362" w:rsidRDefault="009C36C5" w:rsidP="00004362">
      <w:pPr>
        <w:pStyle w:val="BodyCopy"/>
      </w:pPr>
      <w:r w:rsidRPr="00004362">
        <w:t>This approach is also applied to the scope of MDAAC for micro-credentialing.</w:t>
      </w:r>
    </w:p>
    <w:p w14:paraId="2CF6A50C" w14:textId="3917F677" w:rsidR="00481A6C" w:rsidRDefault="00481A6C" w:rsidP="0091462B">
      <w:pPr>
        <w:pStyle w:val="BodyCopy"/>
      </w:pPr>
      <w:hyperlink w:anchor="_top" w:history="1">
        <w:r w:rsidRPr="00481A6C">
          <w:rPr>
            <w:rStyle w:val="Hyperlink"/>
            <w:iCs w:val="0"/>
          </w:rPr>
          <w:t>Back to Contents</w:t>
        </w:r>
      </w:hyperlink>
    </w:p>
    <w:p w14:paraId="6784348C" w14:textId="346276AC" w:rsidR="009C36C5" w:rsidRDefault="009C36C5" w:rsidP="009C36C5">
      <w:pPr>
        <w:pStyle w:val="Heading4"/>
      </w:pPr>
      <w:bookmarkStart w:id="6" w:name="_Toc221116386"/>
      <w:r w:rsidRPr="0078367D">
        <w:lastRenderedPageBreak/>
        <w:t xml:space="preserve">Section </w:t>
      </w:r>
      <w:r w:rsidR="0007524F">
        <w:t>4</w:t>
      </w:r>
      <w:r w:rsidRPr="0078367D">
        <w:t xml:space="preserve"> </w:t>
      </w:r>
      <w:r>
        <w:t>–</w:t>
      </w:r>
      <w:r w:rsidRPr="0078367D">
        <w:t xml:space="preserve"> </w:t>
      </w:r>
      <w:r w:rsidR="009423E3">
        <w:t>Initial Credentialing</w:t>
      </w:r>
      <w:bookmarkEnd w:id="6"/>
      <w:r w:rsidR="009423E3">
        <w:t xml:space="preserve"> </w:t>
      </w:r>
    </w:p>
    <w:p w14:paraId="69FD1BB3" w14:textId="29217F13" w:rsidR="00004362" w:rsidRDefault="0007524F" w:rsidP="00004362">
      <w:pPr>
        <w:pStyle w:val="BodyCopy"/>
      </w:pPr>
      <w:r>
        <w:t>The maintenance of a robust process for initial credentialing and defining the scope of clinical practice of SMDPs is essential.</w:t>
      </w:r>
    </w:p>
    <w:p w14:paraId="568CF8BA" w14:textId="73977410" w:rsidR="00C67F13" w:rsidRDefault="00DA24EB" w:rsidP="00004362">
      <w:pPr>
        <w:pStyle w:val="Heading5"/>
      </w:pPr>
      <w:r>
        <w:t>I</w:t>
      </w:r>
      <w:r w:rsidR="0007524F" w:rsidRPr="003C0234">
        <w:t xml:space="preserve">nitial application process </w:t>
      </w:r>
    </w:p>
    <w:p w14:paraId="1D786262" w14:textId="2AE36CF9" w:rsidR="004775A0" w:rsidRPr="00EA42BD" w:rsidRDefault="004775A0" w:rsidP="00004362">
      <w:pPr>
        <w:pStyle w:val="Heading7"/>
      </w:pPr>
      <w:bookmarkStart w:id="7" w:name="_Hlk212644989"/>
      <w:r>
        <w:t>Step 1 – Submission of application</w:t>
      </w:r>
      <w:r w:rsidR="00BC74A8">
        <w:t xml:space="preserve"> by SMDP</w:t>
      </w:r>
      <w:r>
        <w:t xml:space="preserve"> </w:t>
      </w:r>
    </w:p>
    <w:p w14:paraId="2E631D13" w14:textId="3152D47E" w:rsidR="004775A0" w:rsidRPr="00EA42BD" w:rsidRDefault="004775A0" w:rsidP="00004362">
      <w:pPr>
        <w:pStyle w:val="Bullet"/>
        <w:rPr>
          <w:b/>
        </w:rPr>
      </w:pPr>
      <w:r w:rsidRPr="00EA42BD">
        <w:t xml:space="preserve">The SMDP is invited to apply for scope of clinical practice via the </w:t>
      </w:r>
      <w:r w:rsidR="00A94FD8">
        <w:t>electronic credentialing platform</w:t>
      </w:r>
      <w:r w:rsidR="00BC74A8">
        <w:t xml:space="preserve"> or </w:t>
      </w:r>
      <w:r w:rsidR="005C65C6">
        <w:t xml:space="preserve">for those unable to or who don’t want to use the electronic system they are </w:t>
      </w:r>
      <w:r w:rsidR="00BC74A8">
        <w:t>provided with a paper application</w:t>
      </w:r>
      <w:r w:rsidR="005C65C6">
        <w:t xml:space="preserve"> and instructions for completing by credentialing team</w:t>
      </w:r>
      <w:r w:rsidR="006C7545">
        <w:t>.</w:t>
      </w:r>
      <w:r w:rsidRPr="00EA42BD">
        <w:t xml:space="preserve"> </w:t>
      </w:r>
    </w:p>
    <w:p w14:paraId="2B5F22B8" w14:textId="57A24EDD" w:rsidR="004775A0" w:rsidRPr="00EA42BD" w:rsidRDefault="004775A0" w:rsidP="00004362">
      <w:pPr>
        <w:pStyle w:val="Bullet"/>
        <w:rPr>
          <w:b/>
        </w:rPr>
      </w:pPr>
      <w:r w:rsidRPr="00EA42BD">
        <w:t xml:space="preserve">The SMDP completes their credentialing application and uploads a complete set of documentation (credentials). The SMDP must include details of any clinical performance issues, patient complaints and medico legal claims which may be relevant to the application. </w:t>
      </w:r>
    </w:p>
    <w:p w14:paraId="7BC3A4E3" w14:textId="5A710A09" w:rsidR="004775A0" w:rsidRPr="00EA42BD" w:rsidRDefault="004775A0" w:rsidP="00004362">
      <w:pPr>
        <w:pStyle w:val="Bullet"/>
        <w:rPr>
          <w:b/>
        </w:rPr>
      </w:pPr>
      <w:r w:rsidRPr="00EA42BD">
        <w:t xml:space="preserve">It is the obligation of the SMDP to advise MDAAC of any conditions, undertakings or other restrictions on registration, limitation on scope of clinical practice by another facility of any other matter that MDAAC could reasonably expect to be disclosed </w:t>
      </w:r>
      <w:r w:rsidR="00E24876">
        <w:t xml:space="preserve">to allow </w:t>
      </w:r>
      <w:r w:rsidRPr="00EA42BD">
        <w:t xml:space="preserve">MDAAC to make an informed decision on credentials and scope of clinical practice. Failure to fully inform MDAAC will result in an extraordinary review. </w:t>
      </w:r>
    </w:p>
    <w:p w14:paraId="1B999393" w14:textId="3D9AD6FB" w:rsidR="004775A0" w:rsidRPr="00EA42BD" w:rsidRDefault="004775A0" w:rsidP="00004362">
      <w:pPr>
        <w:pStyle w:val="Bullet"/>
        <w:rPr>
          <w:b/>
        </w:rPr>
      </w:pPr>
      <w:r w:rsidRPr="00EA42BD">
        <w:t>The SMDP must nominate at least two recent references</w:t>
      </w:r>
      <w:r w:rsidR="00E24876">
        <w:t>. They should be from:</w:t>
      </w:r>
    </w:p>
    <w:p w14:paraId="6DBF32A9" w14:textId="511E3A9E" w:rsidR="004775A0" w:rsidRPr="00EA42BD" w:rsidRDefault="006C7545" w:rsidP="002A2B59">
      <w:pPr>
        <w:pStyle w:val="Bullet"/>
        <w:numPr>
          <w:ilvl w:val="1"/>
          <w:numId w:val="25"/>
        </w:numPr>
        <w:rPr>
          <w:b/>
        </w:rPr>
      </w:pPr>
      <w:r>
        <w:t>t</w:t>
      </w:r>
      <w:r w:rsidR="004775A0" w:rsidRPr="00EA42BD">
        <w:t xml:space="preserve">he head of specialty or equivalent at the institution where the applicant most recently practiced. </w:t>
      </w:r>
    </w:p>
    <w:p w14:paraId="5B076971" w14:textId="6791D6F5" w:rsidR="004775A0" w:rsidRPr="00EC293C" w:rsidRDefault="006C7545" w:rsidP="002A2B59">
      <w:pPr>
        <w:pStyle w:val="Bullet"/>
        <w:numPr>
          <w:ilvl w:val="1"/>
          <w:numId w:val="25"/>
        </w:numPr>
        <w:rPr>
          <w:b/>
        </w:rPr>
      </w:pPr>
      <w:r>
        <w:t>a c</w:t>
      </w:r>
      <w:r w:rsidR="004775A0" w:rsidRPr="00EA42BD">
        <w:t>linician with direct experience of the applicant within or directly relevant to the field of practice in which the applicant will practice.</w:t>
      </w:r>
    </w:p>
    <w:p w14:paraId="4FAC9BB8" w14:textId="14779685" w:rsidR="006C7545" w:rsidRDefault="006C7545" w:rsidP="009E53CE">
      <w:pPr>
        <w:pStyle w:val="BodyCopy"/>
        <w:pBdr>
          <w:top w:val="single" w:sz="4" w:space="1" w:color="auto"/>
          <w:left w:val="single" w:sz="4" w:space="4" w:color="auto"/>
          <w:bottom w:val="single" w:sz="4" w:space="1" w:color="auto"/>
          <w:right w:val="single" w:sz="4" w:space="4" w:color="auto"/>
        </w:pBdr>
      </w:pPr>
      <w:r w:rsidRPr="009E53CE">
        <w:rPr>
          <w:b/>
          <w:bCs w:val="0"/>
        </w:rPr>
        <w:t>Note</w:t>
      </w:r>
      <w:r w:rsidR="00EC293C" w:rsidRPr="008675C1">
        <w:t xml:space="preserve">: </w:t>
      </w:r>
    </w:p>
    <w:p w14:paraId="7892242D" w14:textId="279D1147" w:rsidR="00EC293C" w:rsidRPr="009E53CE" w:rsidRDefault="00EC293C" w:rsidP="009E53CE">
      <w:pPr>
        <w:pStyle w:val="Bullet"/>
        <w:pBdr>
          <w:top w:val="single" w:sz="4" w:space="1" w:color="auto"/>
          <w:left w:val="single" w:sz="4" w:space="4" w:color="auto"/>
          <w:bottom w:val="single" w:sz="4" w:space="1" w:color="auto"/>
          <w:right w:val="single" w:sz="4" w:space="4" w:color="auto"/>
        </w:pBdr>
      </w:pPr>
      <w:r w:rsidRPr="008675C1">
        <w:t xml:space="preserve">For applicants from private practice backgrounds – three reports are required from clinicians with direct experience of the applicant within or directly relevant to the field of practice. </w:t>
      </w:r>
    </w:p>
    <w:p w14:paraId="4664EB31" w14:textId="1AA80728" w:rsidR="004775A0" w:rsidRPr="00DA24EB" w:rsidRDefault="004775A0" w:rsidP="009E53CE">
      <w:pPr>
        <w:pStyle w:val="Bullet"/>
        <w:pBdr>
          <w:top w:val="single" w:sz="4" w:space="1" w:color="auto"/>
          <w:left w:val="single" w:sz="4" w:space="4" w:color="auto"/>
          <w:bottom w:val="single" w:sz="4" w:space="1" w:color="auto"/>
          <w:right w:val="single" w:sz="4" w:space="4" w:color="auto"/>
        </w:pBdr>
        <w:rPr>
          <w:b/>
        </w:rPr>
      </w:pPr>
      <w:r w:rsidRPr="00EA42BD">
        <w:t xml:space="preserve">For a new graduate one referee must be the supervisor of training or the director of a program where the applicant completed their final year of training. </w:t>
      </w:r>
    </w:p>
    <w:p w14:paraId="69AB8945" w14:textId="15BC6832" w:rsidR="00DA24EB" w:rsidRPr="00EA42BD" w:rsidRDefault="00DA24EB" w:rsidP="009E53CE">
      <w:pPr>
        <w:pStyle w:val="Bullet"/>
        <w:pBdr>
          <w:top w:val="single" w:sz="4" w:space="1" w:color="auto"/>
          <w:left w:val="single" w:sz="4" w:space="4" w:color="auto"/>
          <w:bottom w:val="single" w:sz="4" w:space="1" w:color="auto"/>
          <w:right w:val="single" w:sz="4" w:space="4" w:color="auto"/>
        </w:pBdr>
        <w:rPr>
          <w:b/>
        </w:rPr>
      </w:pPr>
      <w:r>
        <w:rPr>
          <w:bCs/>
        </w:rPr>
        <w:t xml:space="preserve">Referee reports remain the responsibility of the of the applicant. If the referee reports are not received in a timely manner, the credentialing manager will advise the applicant, and the applicant must follow up the matter with their nominated referee providers. </w:t>
      </w:r>
    </w:p>
    <w:p w14:paraId="5452F88E" w14:textId="0ABE5B88" w:rsidR="004775A0" w:rsidRPr="00EA42BD" w:rsidRDefault="004775A0" w:rsidP="00004362">
      <w:pPr>
        <w:pStyle w:val="Heading7"/>
      </w:pPr>
      <w:r>
        <w:t>Step 2 –</w:t>
      </w:r>
      <w:r w:rsidR="00BC74A8">
        <w:t xml:space="preserve"> Receipt and</w:t>
      </w:r>
      <w:r>
        <w:t xml:space="preserve"> Collation of application package for MDAAC </w:t>
      </w:r>
      <w:r w:rsidR="00BC74A8">
        <w:t>by Credentialing Team</w:t>
      </w:r>
    </w:p>
    <w:p w14:paraId="05807DF4" w14:textId="732C3406" w:rsidR="004775A0" w:rsidRPr="00EA42BD" w:rsidRDefault="00C83BE9" w:rsidP="00004362">
      <w:pPr>
        <w:pStyle w:val="Bullet"/>
        <w:rPr>
          <w:b/>
        </w:rPr>
      </w:pPr>
      <w:r>
        <w:t xml:space="preserve">The </w:t>
      </w:r>
      <w:r w:rsidR="002C3BE8">
        <w:t>c</w:t>
      </w:r>
      <w:r>
        <w:t xml:space="preserve">redentialing </w:t>
      </w:r>
      <w:r w:rsidR="002C3BE8">
        <w:t>t</w:t>
      </w:r>
      <w:r>
        <w:t xml:space="preserve">eam </w:t>
      </w:r>
      <w:r w:rsidR="004775A0" w:rsidRPr="00EA42BD">
        <w:t xml:space="preserve">reviews completeness of application package, collates all material, and forwards to MDAAC for consideration. </w:t>
      </w:r>
    </w:p>
    <w:p w14:paraId="57891BE3" w14:textId="6D96B1A5" w:rsidR="004775A0" w:rsidRPr="00EA42BD" w:rsidRDefault="004775A0" w:rsidP="00004362">
      <w:pPr>
        <w:pStyle w:val="Heading7"/>
      </w:pPr>
      <w:r>
        <w:lastRenderedPageBreak/>
        <w:t xml:space="preserve">Step 3 – Verification of credentials and essential documentation </w:t>
      </w:r>
      <w:r w:rsidR="00BC74A8">
        <w:t>by MDAAC</w:t>
      </w:r>
    </w:p>
    <w:p w14:paraId="41FFC522" w14:textId="77777777" w:rsidR="004775A0" w:rsidRPr="00EA42BD" w:rsidRDefault="004775A0" w:rsidP="00004362">
      <w:pPr>
        <w:pStyle w:val="BodyCopy"/>
      </w:pPr>
      <w:r w:rsidRPr="00EA42BD">
        <w:t>MDAAC</w:t>
      </w:r>
      <w:r w:rsidRPr="00EA42BD">
        <w:rPr>
          <w:b/>
        </w:rPr>
        <w:t xml:space="preserve"> must</w:t>
      </w:r>
      <w:r w:rsidRPr="00EA42BD">
        <w:t xml:space="preserve"> review and verify the following: </w:t>
      </w:r>
    </w:p>
    <w:p w14:paraId="0C3A71E3" w14:textId="64E3623C" w:rsidR="004775A0" w:rsidRPr="00EA42BD" w:rsidRDefault="004775A0" w:rsidP="00004362">
      <w:pPr>
        <w:pStyle w:val="Bullet"/>
      </w:pPr>
      <w:r w:rsidRPr="00EA42BD">
        <w:t>Applicant’s</w:t>
      </w:r>
      <w:r w:rsidR="008C2BB8">
        <w:t xml:space="preserve"> </w:t>
      </w:r>
      <w:r w:rsidR="00E24876">
        <w:t>electronic</w:t>
      </w:r>
      <w:r w:rsidRPr="00EA42BD">
        <w:rPr>
          <w:b/>
        </w:rPr>
        <w:t xml:space="preserve"> </w:t>
      </w:r>
      <w:r w:rsidRPr="00BC74A8">
        <w:rPr>
          <w:bCs/>
        </w:rPr>
        <w:t>or paper application</w:t>
      </w:r>
      <w:r w:rsidRPr="00EA42BD">
        <w:t xml:space="preserve">. </w:t>
      </w:r>
    </w:p>
    <w:p w14:paraId="77A62E9A" w14:textId="77777777" w:rsidR="004775A0" w:rsidRPr="00EA42BD" w:rsidRDefault="004775A0" w:rsidP="00004362">
      <w:pPr>
        <w:pStyle w:val="Bullet"/>
      </w:pPr>
      <w:r w:rsidRPr="00EA42BD">
        <w:t xml:space="preserve">Applicant’s </w:t>
      </w:r>
      <w:r w:rsidRPr="00EA42BD">
        <w:rPr>
          <w:b/>
        </w:rPr>
        <w:t>registration status</w:t>
      </w:r>
      <w:r w:rsidRPr="00EA42BD">
        <w:t xml:space="preserve"> in the appropriate category with AHPRA. </w:t>
      </w:r>
    </w:p>
    <w:p w14:paraId="3D56B4B8" w14:textId="77777777" w:rsidR="004775A0" w:rsidRPr="00EA42BD" w:rsidRDefault="004775A0" w:rsidP="00004362">
      <w:pPr>
        <w:pStyle w:val="Bullet"/>
        <w:rPr>
          <w:b/>
        </w:rPr>
      </w:pPr>
      <w:r w:rsidRPr="00EA42BD">
        <w:t xml:space="preserve">A decision regarding the applicant’s scope of clinical practice </w:t>
      </w:r>
      <w:r w:rsidRPr="00EA42BD">
        <w:rPr>
          <w:b/>
        </w:rPr>
        <w:t xml:space="preserve">must </w:t>
      </w:r>
      <w:r w:rsidRPr="00EA42BD">
        <w:t>take into account any conditions or undertakings on his/her registration. These may arise out of impairment, disciplinary or registration issues - for example, if the applicant has given an undertaking to AHPRA to refrain from performing a particular procedure, then the scope of clinical practice granted in every facility at which the applicant works should reflect this.</w:t>
      </w:r>
    </w:p>
    <w:p w14:paraId="425FCA8A" w14:textId="6D508045" w:rsidR="004775A0" w:rsidRPr="008675C1" w:rsidRDefault="004775A0" w:rsidP="00004362">
      <w:pPr>
        <w:pStyle w:val="Bullet"/>
        <w:rPr>
          <w:b/>
        </w:rPr>
      </w:pPr>
      <w:r w:rsidRPr="008675C1">
        <w:t xml:space="preserve">Applicant’s </w:t>
      </w:r>
      <w:r w:rsidRPr="008675C1">
        <w:rPr>
          <w:b/>
        </w:rPr>
        <w:t xml:space="preserve">curriculum vitae </w:t>
      </w:r>
      <w:r w:rsidRPr="008675C1">
        <w:t>(MDAAC must seek an explanation from the applicant of any gaps in employment of more than three (3) month</w:t>
      </w:r>
      <w:r w:rsidR="008C2BB8" w:rsidRPr="008675C1">
        <w:t>s</w:t>
      </w:r>
      <w:r w:rsidR="00EC293C" w:rsidRPr="008675C1">
        <w:t xml:space="preserve">, if not adequately explained in the CV). </w:t>
      </w:r>
    </w:p>
    <w:p w14:paraId="6FE9E5D9" w14:textId="77777777" w:rsidR="004775A0" w:rsidRPr="00EA42BD" w:rsidRDefault="004775A0" w:rsidP="00004362">
      <w:pPr>
        <w:pStyle w:val="Bullet"/>
        <w:rPr>
          <w:b/>
        </w:rPr>
      </w:pPr>
      <w:r w:rsidRPr="008675C1">
        <w:t xml:space="preserve">Applicant holds the </w:t>
      </w:r>
      <w:r w:rsidRPr="008675C1">
        <w:rPr>
          <w:b/>
        </w:rPr>
        <w:t>mandatory</w:t>
      </w:r>
      <w:r w:rsidRPr="008675C1">
        <w:t xml:space="preserve"> </w:t>
      </w:r>
      <w:r w:rsidRPr="008675C1">
        <w:rPr>
          <w:b/>
        </w:rPr>
        <w:t xml:space="preserve">qualifications </w:t>
      </w:r>
      <w:r w:rsidRPr="008675C1">
        <w:t>to the appointment (for example, MBBS &amp; College</w:t>
      </w:r>
      <w:r w:rsidRPr="00EA42BD">
        <w:t xml:space="preserve"> Fellowship). Degree testamurs and Fellowship </w:t>
      </w:r>
      <w:r w:rsidRPr="00182D76">
        <w:t>certificates</w:t>
      </w:r>
      <w:r w:rsidRPr="00BC74A8">
        <w:t xml:space="preserve"> </w:t>
      </w:r>
      <w:r w:rsidRPr="00BC74A8">
        <w:rPr>
          <w:b/>
          <w:bCs/>
        </w:rPr>
        <w:t>must be formally certified</w:t>
      </w:r>
      <w:r w:rsidRPr="00EA42BD">
        <w:t xml:space="preserve"> in accordance with the Medical Board of Australia / Dental Board of Australia</w:t>
      </w:r>
      <w:r w:rsidRPr="00EA42BD">
        <w:rPr>
          <w:spacing w:val="1"/>
        </w:rPr>
        <w:t xml:space="preserve"> </w:t>
      </w:r>
      <w:r w:rsidRPr="00EA42BD">
        <w:t>requirements.</w:t>
      </w:r>
    </w:p>
    <w:p w14:paraId="7B23AE3D" w14:textId="77777777" w:rsidR="004775A0" w:rsidRPr="00EA42BD" w:rsidRDefault="004775A0" w:rsidP="00004362">
      <w:pPr>
        <w:pStyle w:val="Bullet"/>
        <w:rPr>
          <w:b/>
        </w:rPr>
      </w:pPr>
      <w:r w:rsidRPr="00EA42BD">
        <w:rPr>
          <w:b/>
        </w:rPr>
        <w:t>Continuing Professional Development</w:t>
      </w:r>
      <w:r w:rsidRPr="00EA42BD">
        <w:t xml:space="preserve"> (CPD) – evidence of compliance with continuing professional development requirements of the relevant national board and, if applicable, a relevant college or professional body. </w:t>
      </w:r>
      <w:r w:rsidRPr="00EA42BD">
        <w:br/>
        <w:t xml:space="preserve">Evidence of continuing education related to the role and scope of clinical practice of the position. </w:t>
      </w:r>
    </w:p>
    <w:p w14:paraId="22E05678" w14:textId="77777777" w:rsidR="004775A0" w:rsidRPr="00EA42BD" w:rsidRDefault="004775A0" w:rsidP="00004362">
      <w:pPr>
        <w:pStyle w:val="Bullet"/>
        <w:rPr>
          <w:b/>
        </w:rPr>
      </w:pPr>
      <w:r w:rsidRPr="00EA42BD">
        <w:rPr>
          <w:b/>
        </w:rPr>
        <w:t>Professional Indemnity</w:t>
      </w:r>
      <w:r w:rsidRPr="00EA42BD">
        <w:t xml:space="preserve"> </w:t>
      </w:r>
      <w:r w:rsidRPr="00B23251">
        <w:rPr>
          <w:b/>
          <w:bCs/>
        </w:rPr>
        <w:t>Insurance</w:t>
      </w:r>
      <w:r w:rsidRPr="00EA42BD">
        <w:t xml:space="preserve"> in accordance with the Medical Board of Australia / Dental Board of Australia ‘</w:t>
      </w:r>
      <w:r w:rsidRPr="00BC74A8">
        <w:rPr>
          <w:iCs/>
        </w:rPr>
        <w:t>Professional Indemnity Insurance Arrangements Registration Standards’</w:t>
      </w:r>
      <w:r w:rsidRPr="00EA42BD">
        <w:rPr>
          <w:i/>
        </w:rPr>
        <w:t xml:space="preserve"> </w:t>
      </w:r>
    </w:p>
    <w:p w14:paraId="1361FA43" w14:textId="48183A88" w:rsidR="004775A0" w:rsidRPr="003C0234" w:rsidRDefault="00796B3F" w:rsidP="00004362">
      <w:pPr>
        <w:pStyle w:val="Bullet"/>
        <w:rPr>
          <w:b/>
        </w:rPr>
      </w:pPr>
      <w:r>
        <w:rPr>
          <w:b/>
        </w:rPr>
        <w:t xml:space="preserve">Any relevant certifications </w:t>
      </w:r>
      <w:r w:rsidRPr="003C0234">
        <w:rPr>
          <w:bCs/>
        </w:rPr>
        <w:t>specific to the SMPDs specific role, in line with professional or clinical care standards requirements. This may include</w:t>
      </w:r>
      <w:r>
        <w:rPr>
          <w:b/>
        </w:rPr>
        <w:t xml:space="preserve"> </w:t>
      </w:r>
      <w:r>
        <w:rPr>
          <w:bCs/>
        </w:rPr>
        <w:t xml:space="preserve">(but </w:t>
      </w:r>
      <w:r w:rsidR="00B23251">
        <w:rPr>
          <w:bCs/>
        </w:rPr>
        <w:t xml:space="preserve">is </w:t>
      </w:r>
      <w:r>
        <w:rPr>
          <w:bCs/>
        </w:rPr>
        <w:t>not limited to):</w:t>
      </w:r>
    </w:p>
    <w:p w14:paraId="3EEC28F2" w14:textId="6BC72A43" w:rsidR="00796B3F" w:rsidRPr="003C0234" w:rsidRDefault="00BC74A8" w:rsidP="002A2B59">
      <w:pPr>
        <w:pStyle w:val="Bullet"/>
        <w:numPr>
          <w:ilvl w:val="1"/>
          <w:numId w:val="26"/>
        </w:numPr>
        <w:rPr>
          <w:b/>
        </w:rPr>
      </w:pPr>
      <w:r>
        <w:t>Gastroenterological Society of Australia (</w:t>
      </w:r>
      <w:r w:rsidR="00796B3F">
        <w:t>GESA</w:t>
      </w:r>
      <w:r>
        <w:t>)</w:t>
      </w:r>
      <w:r w:rsidR="00796B3F">
        <w:t xml:space="preserve"> certification and re-certification for colonoscopy </w:t>
      </w:r>
    </w:p>
    <w:p w14:paraId="403CB960" w14:textId="2EA412C6" w:rsidR="00796B3F" w:rsidRPr="003C0234" w:rsidRDefault="00EA0605" w:rsidP="002A2B59">
      <w:pPr>
        <w:pStyle w:val="Bullet"/>
        <w:numPr>
          <w:ilvl w:val="1"/>
          <w:numId w:val="26"/>
        </w:numPr>
        <w:rPr>
          <w:b/>
        </w:rPr>
      </w:pPr>
      <w:r>
        <w:t>Transcatheter Aortic Value Implantation (</w:t>
      </w:r>
      <w:r w:rsidR="00796B3F">
        <w:t>TAVI</w:t>
      </w:r>
      <w:r>
        <w:t>)</w:t>
      </w:r>
      <w:r w:rsidR="00796B3F">
        <w:t xml:space="preserve"> certification for cardiologist undertaking TAVI </w:t>
      </w:r>
    </w:p>
    <w:p w14:paraId="4F540D2A" w14:textId="1E0E801D" w:rsidR="00796B3F" w:rsidRPr="003C0234" w:rsidRDefault="00EA0605" w:rsidP="002A2B59">
      <w:pPr>
        <w:pStyle w:val="Bullet"/>
        <w:numPr>
          <w:ilvl w:val="1"/>
          <w:numId w:val="26"/>
        </w:numPr>
        <w:rPr>
          <w:b/>
        </w:rPr>
      </w:pPr>
      <w:r>
        <w:t>Electroconvulsive therapy (</w:t>
      </w:r>
      <w:r w:rsidR="00796B3F">
        <w:t>ECT</w:t>
      </w:r>
      <w:r>
        <w:t>)</w:t>
      </w:r>
      <w:r w:rsidR="00796B3F">
        <w:t xml:space="preserve"> certification for relevant Psychiatry credentialing </w:t>
      </w:r>
    </w:p>
    <w:p w14:paraId="7321ECD4" w14:textId="0DE14AE4" w:rsidR="00796B3F" w:rsidRPr="003C0234" w:rsidRDefault="00796B3F" w:rsidP="002A2B59">
      <w:pPr>
        <w:pStyle w:val="Bullet"/>
        <w:numPr>
          <w:ilvl w:val="1"/>
          <w:numId w:val="26"/>
        </w:numPr>
        <w:rPr>
          <w:b/>
        </w:rPr>
      </w:pPr>
      <w:r>
        <w:t>Radiation licence for radiologists</w:t>
      </w:r>
      <w:r w:rsidR="008C2BB8">
        <w:t xml:space="preserve">, </w:t>
      </w:r>
      <w:r>
        <w:t xml:space="preserve">interventional cardiologists and interventional vascular surgeons, or those using lasers. </w:t>
      </w:r>
    </w:p>
    <w:p w14:paraId="0D8F97C8" w14:textId="2FEB6A9C" w:rsidR="00796B3F" w:rsidRPr="00EA42BD" w:rsidRDefault="00EA0605" w:rsidP="002A2B59">
      <w:pPr>
        <w:pStyle w:val="Bullet"/>
        <w:numPr>
          <w:ilvl w:val="1"/>
          <w:numId w:val="26"/>
        </w:numPr>
        <w:rPr>
          <w:b/>
        </w:rPr>
      </w:pPr>
      <w:r>
        <w:t>I</w:t>
      </w:r>
      <w:r w:rsidR="00796B3F">
        <w:t xml:space="preserve">nterventional neuroradiology </w:t>
      </w:r>
      <w:r>
        <w:t xml:space="preserve">(INR) certification. </w:t>
      </w:r>
    </w:p>
    <w:p w14:paraId="075B43BD" w14:textId="3600FF53" w:rsidR="00177839" w:rsidRPr="00177839" w:rsidRDefault="004775A0" w:rsidP="002A2B59">
      <w:pPr>
        <w:pStyle w:val="Bullet"/>
        <w:rPr>
          <w:b/>
        </w:rPr>
      </w:pPr>
      <w:r w:rsidRPr="00EA42BD">
        <w:rPr>
          <w:b/>
        </w:rPr>
        <w:t xml:space="preserve">100 points of </w:t>
      </w:r>
      <w:r w:rsidR="00B23251">
        <w:rPr>
          <w:b/>
        </w:rPr>
        <w:t>i</w:t>
      </w:r>
      <w:r w:rsidRPr="00EA42BD">
        <w:rPr>
          <w:b/>
        </w:rPr>
        <w:t xml:space="preserve">dentification (certified) </w:t>
      </w:r>
      <w:r w:rsidR="0040380F">
        <w:rPr>
          <w:b/>
        </w:rPr>
        <w:t xml:space="preserve">– </w:t>
      </w:r>
      <w:r w:rsidR="0040380F">
        <w:t xml:space="preserve">in accordance with AHPRA requirements.  </w:t>
      </w:r>
    </w:p>
    <w:p w14:paraId="79386CAF" w14:textId="28029D5A" w:rsidR="003452B7" w:rsidRPr="006F2643" w:rsidRDefault="004775A0" w:rsidP="002A2B59">
      <w:pPr>
        <w:pStyle w:val="Bullet"/>
        <w:rPr>
          <w:b/>
        </w:rPr>
      </w:pPr>
      <w:r w:rsidRPr="00177839">
        <w:rPr>
          <w:b/>
        </w:rPr>
        <w:t xml:space="preserve">References </w:t>
      </w:r>
      <w:r w:rsidRPr="00177839">
        <w:t>provided by the applicant</w:t>
      </w:r>
      <w:r w:rsidR="00E24876" w:rsidRPr="00177839">
        <w:t xml:space="preserve">. There should be at least two </w:t>
      </w:r>
      <w:r w:rsidR="003452B7" w:rsidRPr="00177839">
        <w:t>references,</w:t>
      </w:r>
      <w:r w:rsidR="00E24876" w:rsidRPr="00177839">
        <w:t xml:space="preserve"> </w:t>
      </w:r>
      <w:r w:rsidR="00687D25" w:rsidRPr="00177839">
        <w:t xml:space="preserve">and this includes references from the listed referees </w:t>
      </w:r>
      <w:r w:rsidR="008C2BB8" w:rsidRPr="00177839">
        <w:t>below</w:t>
      </w:r>
      <w:r w:rsidR="006F2643" w:rsidRPr="00177839">
        <w:t>:</w:t>
      </w:r>
    </w:p>
    <w:p w14:paraId="15247CAB" w14:textId="4324ABD8" w:rsidR="000009CE" w:rsidRPr="00177839" w:rsidRDefault="004775A0" w:rsidP="002A2B59">
      <w:pPr>
        <w:pStyle w:val="Bullet"/>
        <w:numPr>
          <w:ilvl w:val="1"/>
          <w:numId w:val="27"/>
        </w:numPr>
        <w:rPr>
          <w:b/>
        </w:rPr>
      </w:pPr>
      <w:r w:rsidRPr="00177839">
        <w:t xml:space="preserve">The head of specialty of equivalent at the institution where the applicant most recently practiced. </w:t>
      </w:r>
    </w:p>
    <w:p w14:paraId="470FE329" w14:textId="22F52B80" w:rsidR="000009CE" w:rsidRPr="00177839" w:rsidRDefault="003452B7" w:rsidP="002A2B59">
      <w:pPr>
        <w:pStyle w:val="Bullet"/>
        <w:numPr>
          <w:ilvl w:val="1"/>
          <w:numId w:val="27"/>
        </w:numPr>
        <w:rPr>
          <w:b/>
        </w:rPr>
      </w:pPr>
      <w:r w:rsidRPr="003452B7">
        <w:lastRenderedPageBreak/>
        <w:t>Clinician with direct recent experience of the applicant within or directly relevant to the field of practice in which the applicant will practice</w:t>
      </w:r>
      <w:r>
        <w:t>.</w:t>
      </w:r>
    </w:p>
    <w:p w14:paraId="2EE8105A" w14:textId="30261049" w:rsidR="004775A0" w:rsidRDefault="004775A0" w:rsidP="002A2B59">
      <w:pPr>
        <w:pStyle w:val="Bullet"/>
        <w:numPr>
          <w:ilvl w:val="1"/>
          <w:numId w:val="27"/>
        </w:numPr>
        <w:rPr>
          <w:b/>
        </w:rPr>
      </w:pPr>
      <w:r w:rsidRPr="0020240D">
        <w:t xml:space="preserve">For a new graduate one referee must be the supervisor of training or the director of a program where the applicant completed their final year of training. </w:t>
      </w:r>
      <w:r w:rsidR="00796B3F" w:rsidRPr="0020240D">
        <w:t>These references should be from practitioners who have worked with the SMDP</w:t>
      </w:r>
      <w:r w:rsidR="00697BF8" w:rsidRPr="0020240D">
        <w:t xml:space="preserve"> ideally</w:t>
      </w:r>
      <w:r w:rsidR="00796B3F" w:rsidRPr="0020240D">
        <w:t xml:space="preserve"> in the last </w:t>
      </w:r>
      <w:r w:rsidR="00697BF8" w:rsidRPr="0020240D">
        <w:t>six months</w:t>
      </w:r>
      <w:r w:rsidR="00796B3F" w:rsidRPr="0020240D">
        <w:t>, and a peer reference must be obtained for each clinical practice area being applied for.</w:t>
      </w:r>
      <w:r w:rsidR="00796B3F" w:rsidRPr="0020240D">
        <w:rPr>
          <w:b/>
        </w:rPr>
        <w:t xml:space="preserve"> </w:t>
      </w:r>
    </w:p>
    <w:p w14:paraId="692B1A60" w14:textId="4858699C" w:rsidR="00EC293C" w:rsidRPr="008675C1" w:rsidRDefault="00EC293C" w:rsidP="002A2B59">
      <w:pPr>
        <w:pStyle w:val="Bullet"/>
        <w:numPr>
          <w:ilvl w:val="1"/>
          <w:numId w:val="27"/>
        </w:numPr>
        <w:rPr>
          <w:b/>
        </w:rPr>
      </w:pPr>
      <w:r w:rsidRPr="008675C1">
        <w:rPr>
          <w:bCs/>
        </w:rPr>
        <w:t xml:space="preserve">Should the applicant </w:t>
      </w:r>
      <w:r w:rsidR="009C5F46" w:rsidRPr="008675C1">
        <w:rPr>
          <w:bCs/>
        </w:rPr>
        <w:t xml:space="preserve">believe the head of department (HoD) is hostile, a referee report should be sought from the HoD line manager. </w:t>
      </w:r>
    </w:p>
    <w:p w14:paraId="17C8092A" w14:textId="24CA17EA" w:rsidR="004775A0" w:rsidRPr="00EA42BD" w:rsidRDefault="00A42B3D" w:rsidP="002A2B59">
      <w:pPr>
        <w:pStyle w:val="Bullet"/>
        <w:rPr>
          <w:b/>
        </w:rPr>
      </w:pPr>
      <w:r>
        <w:t xml:space="preserve">The </w:t>
      </w:r>
      <w:r w:rsidR="002C3BE8">
        <w:t>c</w:t>
      </w:r>
      <w:r>
        <w:t>redentialing team</w:t>
      </w:r>
      <w:r w:rsidRPr="00EA42BD">
        <w:t xml:space="preserve"> </w:t>
      </w:r>
      <w:r w:rsidR="004775A0" w:rsidRPr="00EA42BD">
        <w:t xml:space="preserve">will send out the referee report template to the nominated referees. </w:t>
      </w:r>
    </w:p>
    <w:p w14:paraId="371359F7" w14:textId="457ACA69" w:rsidR="003452B7" w:rsidRPr="00EC293C" w:rsidRDefault="004775A0" w:rsidP="002A2B59">
      <w:pPr>
        <w:pStyle w:val="Bullet"/>
      </w:pPr>
      <w:r w:rsidRPr="00EC293C">
        <w:t xml:space="preserve">A decision regarding the applicant’s scope of clinical practice </w:t>
      </w:r>
      <w:r w:rsidRPr="00EC293C">
        <w:rPr>
          <w:bCs/>
        </w:rPr>
        <w:t xml:space="preserve">must </w:t>
      </w:r>
      <w:r w:rsidR="008C2BB8" w:rsidRPr="00EC293C">
        <w:t>consider</w:t>
      </w:r>
      <w:r w:rsidRPr="00EC293C">
        <w:t xml:space="preserve"> any conditions or undertakings on his/her registration. </w:t>
      </w:r>
    </w:p>
    <w:p w14:paraId="4D4134DE" w14:textId="7F0DF281" w:rsidR="004775A0" w:rsidRDefault="004775A0" w:rsidP="002A2B59">
      <w:pPr>
        <w:pStyle w:val="Heading7"/>
      </w:pPr>
      <w:r w:rsidRPr="00EA42BD">
        <w:t>Step 4 – Additional information relevant to safe practice</w:t>
      </w:r>
    </w:p>
    <w:p w14:paraId="0DEA38D5" w14:textId="50D0C9A2" w:rsidR="00687D25" w:rsidRPr="000009CE" w:rsidRDefault="00687D25" w:rsidP="002A2B59">
      <w:pPr>
        <w:pStyle w:val="Bullet"/>
      </w:pPr>
      <w:r w:rsidRPr="000009CE">
        <w:t>If MDAAC believe there is insufficient information</w:t>
      </w:r>
      <w:r w:rsidR="008C2BB8" w:rsidRPr="000009CE">
        <w:t xml:space="preserve"> provided</w:t>
      </w:r>
      <w:r w:rsidRPr="000009CE">
        <w:t xml:space="preserve"> or requires clarification on any aspect of an application, the application should be held over and a request seeking clarification or further information made in writing to the applicant. This includes but is not limited to requesting the applicant to provide additional referee reports.</w:t>
      </w:r>
    </w:p>
    <w:p w14:paraId="5995FAC5" w14:textId="04071F0B" w:rsidR="004775A0" w:rsidRPr="000009CE" w:rsidRDefault="004775A0" w:rsidP="002A2B59">
      <w:pPr>
        <w:pStyle w:val="Bullet"/>
      </w:pPr>
      <w:r w:rsidRPr="000009CE">
        <w:t xml:space="preserve">MDAAC may </w:t>
      </w:r>
      <w:r w:rsidR="00687D25" w:rsidRPr="000009CE">
        <w:t xml:space="preserve">also </w:t>
      </w:r>
      <w:r w:rsidRPr="000009CE">
        <w:t>request and consider any other material that it believes is reasonably relevant to safe practice, including but not limited</w:t>
      </w:r>
      <w:r w:rsidRPr="000009CE">
        <w:rPr>
          <w:spacing w:val="-2"/>
        </w:rPr>
        <w:t xml:space="preserve"> </w:t>
      </w:r>
      <w:r w:rsidRPr="000009CE">
        <w:t>to:</w:t>
      </w:r>
    </w:p>
    <w:p w14:paraId="69C23466" w14:textId="25398A0B" w:rsidR="004775A0" w:rsidRPr="00EA42BD" w:rsidRDefault="00EF27F4" w:rsidP="002A2B59">
      <w:pPr>
        <w:pStyle w:val="Bullet"/>
        <w:numPr>
          <w:ilvl w:val="1"/>
          <w:numId w:val="28"/>
        </w:numPr>
      </w:pPr>
      <w:r>
        <w:t>r</w:t>
      </w:r>
      <w:r w:rsidR="004775A0" w:rsidRPr="00EA42BD">
        <w:t>eports from the Health Services Commissioner, AHPRA and/or Medicare</w:t>
      </w:r>
      <w:r w:rsidR="004775A0" w:rsidRPr="00EA42BD">
        <w:rPr>
          <w:spacing w:val="-13"/>
        </w:rPr>
        <w:t xml:space="preserve"> </w:t>
      </w:r>
      <w:r w:rsidR="008C2BB8" w:rsidRPr="00EA42BD">
        <w:t>Australia</w:t>
      </w:r>
    </w:p>
    <w:p w14:paraId="5A612F47" w14:textId="5CAD8F36" w:rsidR="004775A0" w:rsidRPr="00EA42BD" w:rsidRDefault="00EF27F4" w:rsidP="002A2B59">
      <w:pPr>
        <w:pStyle w:val="Bullet"/>
        <w:numPr>
          <w:ilvl w:val="1"/>
          <w:numId w:val="28"/>
        </w:numPr>
      </w:pPr>
      <w:r>
        <w:t>p</w:t>
      </w:r>
      <w:r w:rsidR="004775A0" w:rsidRPr="00EA42BD">
        <w:t>atient and staff</w:t>
      </w:r>
      <w:r w:rsidR="004775A0" w:rsidRPr="00EA42BD">
        <w:rPr>
          <w:spacing w:val="-2"/>
        </w:rPr>
        <w:t xml:space="preserve"> </w:t>
      </w:r>
      <w:r w:rsidR="008C2BB8" w:rsidRPr="00EA42BD">
        <w:t>complaints</w:t>
      </w:r>
    </w:p>
    <w:p w14:paraId="5D5FAB28" w14:textId="11EFBEE5" w:rsidR="004775A0" w:rsidRPr="00EA42BD" w:rsidRDefault="00EF27F4" w:rsidP="002A2B59">
      <w:pPr>
        <w:pStyle w:val="Bullet"/>
        <w:numPr>
          <w:ilvl w:val="1"/>
          <w:numId w:val="28"/>
        </w:numPr>
      </w:pPr>
      <w:r>
        <w:t>m</w:t>
      </w:r>
      <w:r w:rsidR="004775A0" w:rsidRPr="00EA42BD">
        <w:t>edical indemnity</w:t>
      </w:r>
      <w:r w:rsidR="004775A0" w:rsidRPr="00EA42BD">
        <w:rPr>
          <w:spacing w:val="-3"/>
        </w:rPr>
        <w:t xml:space="preserve"> </w:t>
      </w:r>
      <w:r w:rsidR="008C2BB8" w:rsidRPr="00EA42BD">
        <w:t>history</w:t>
      </w:r>
    </w:p>
    <w:p w14:paraId="3A35FABE" w14:textId="4026BFA3" w:rsidR="004775A0" w:rsidRPr="00EA42BD" w:rsidRDefault="00EF27F4" w:rsidP="002A2B59">
      <w:pPr>
        <w:pStyle w:val="Bullet"/>
        <w:numPr>
          <w:ilvl w:val="1"/>
          <w:numId w:val="28"/>
        </w:numPr>
      </w:pPr>
      <w:r>
        <w:t>c</w:t>
      </w:r>
      <w:r w:rsidR="004775A0" w:rsidRPr="00EA42BD">
        <w:t xml:space="preserve">linical review and </w:t>
      </w:r>
      <w:r w:rsidR="008C2BB8" w:rsidRPr="00EA42BD">
        <w:t>audit</w:t>
      </w:r>
    </w:p>
    <w:p w14:paraId="5BC86F7E" w14:textId="458A240F" w:rsidR="006F2643" w:rsidRPr="0020240D" w:rsidRDefault="00EF27F4" w:rsidP="002A2B59">
      <w:pPr>
        <w:pStyle w:val="Bullet"/>
        <w:numPr>
          <w:ilvl w:val="1"/>
          <w:numId w:val="28"/>
        </w:numPr>
      </w:pPr>
      <w:r>
        <w:t>i</w:t>
      </w:r>
      <w:r w:rsidR="004775A0" w:rsidRPr="00EA42BD">
        <w:t>nformation provided by another scope of clinical practice</w:t>
      </w:r>
      <w:r w:rsidR="004775A0" w:rsidRPr="00EA42BD">
        <w:rPr>
          <w:spacing w:val="-9"/>
        </w:rPr>
        <w:t xml:space="preserve"> </w:t>
      </w:r>
      <w:r w:rsidR="004775A0" w:rsidRPr="00EA42BD">
        <w:t>committee.</w:t>
      </w:r>
    </w:p>
    <w:p w14:paraId="34CBD7D8" w14:textId="54A98651" w:rsidR="006F2643" w:rsidRDefault="004775A0" w:rsidP="002A2B59">
      <w:pPr>
        <w:pStyle w:val="Heading7"/>
      </w:pPr>
      <w:r w:rsidRPr="00EA42BD">
        <w:t xml:space="preserve">Step </w:t>
      </w:r>
      <w:r w:rsidR="003452B7">
        <w:t>5</w:t>
      </w:r>
      <w:r w:rsidRPr="00EA42BD">
        <w:t xml:space="preserve"> – MDAAC recommendation to the decision-maker </w:t>
      </w:r>
    </w:p>
    <w:p w14:paraId="0F16277A" w14:textId="203026D1" w:rsidR="004775A0" w:rsidRPr="0020240D" w:rsidRDefault="006F2643" w:rsidP="002A2B59">
      <w:pPr>
        <w:pStyle w:val="Bullet"/>
        <w:rPr>
          <w:i/>
        </w:rPr>
      </w:pPr>
      <w:r>
        <w:rPr>
          <w:iCs/>
        </w:rPr>
        <w:t xml:space="preserve">MDAAC prepares </w:t>
      </w:r>
      <w:r w:rsidR="004775A0" w:rsidRPr="0020240D">
        <w:t>a recommendation in writing to the decision-maker in relation to:</w:t>
      </w:r>
    </w:p>
    <w:p w14:paraId="5FF52EBD" w14:textId="77777777" w:rsidR="004775A0" w:rsidRPr="002A2B59" w:rsidRDefault="004775A0" w:rsidP="002A2B59">
      <w:pPr>
        <w:pStyle w:val="Bullet"/>
        <w:numPr>
          <w:ilvl w:val="1"/>
          <w:numId w:val="23"/>
        </w:numPr>
        <w:rPr>
          <w:b/>
          <w:bCs/>
        </w:rPr>
      </w:pPr>
      <w:r w:rsidRPr="002A2B59">
        <w:rPr>
          <w:b/>
          <w:bCs/>
        </w:rPr>
        <w:t>Scope of Clinical Practice</w:t>
      </w:r>
    </w:p>
    <w:p w14:paraId="5C0EE412" w14:textId="77777777" w:rsidR="004775A0" w:rsidRPr="00EA42BD" w:rsidRDefault="004775A0" w:rsidP="002A2B59">
      <w:pPr>
        <w:pStyle w:val="Bullet"/>
        <w:numPr>
          <w:ilvl w:val="2"/>
          <w:numId w:val="23"/>
        </w:numPr>
      </w:pPr>
      <w:r w:rsidRPr="00EA42BD">
        <w:t>The recommendation must mirror any suspensions, conditions or undertakings imposed by AHPRA on the applicant.</w:t>
      </w:r>
    </w:p>
    <w:p w14:paraId="42507775" w14:textId="77777777" w:rsidR="004775A0" w:rsidRPr="002A2B59" w:rsidRDefault="004775A0" w:rsidP="002A2B59">
      <w:pPr>
        <w:pStyle w:val="Bullet"/>
        <w:numPr>
          <w:ilvl w:val="1"/>
          <w:numId w:val="23"/>
        </w:numPr>
        <w:rPr>
          <w:b/>
          <w:bCs/>
        </w:rPr>
      </w:pPr>
      <w:bookmarkStart w:id="8" w:name="_Hlk211601840"/>
      <w:r w:rsidRPr="002A2B59">
        <w:rPr>
          <w:b/>
          <w:bCs/>
        </w:rPr>
        <w:t>Duration of Scope of Clinical Practice</w:t>
      </w:r>
    </w:p>
    <w:p w14:paraId="5F366D1D" w14:textId="60F2158D" w:rsidR="0020240D" w:rsidRDefault="004775A0" w:rsidP="002A2B59">
      <w:pPr>
        <w:pStyle w:val="Bullet"/>
        <w:numPr>
          <w:ilvl w:val="2"/>
          <w:numId w:val="23"/>
        </w:numPr>
      </w:pPr>
      <w:r w:rsidRPr="0020240D">
        <w:t xml:space="preserve">The recommendation must include a specified period for the scope of clinical practice with a defined end date. </w:t>
      </w:r>
    </w:p>
    <w:p w14:paraId="74F51359" w14:textId="2F44566C" w:rsidR="000023F9" w:rsidRDefault="000023F9" w:rsidP="000023F9">
      <w:pPr>
        <w:pStyle w:val="Bullet"/>
        <w:numPr>
          <w:ilvl w:val="1"/>
          <w:numId w:val="23"/>
        </w:numPr>
      </w:pPr>
      <w:r>
        <w:rPr>
          <w:b/>
          <w:bCs/>
        </w:rPr>
        <w:t>Variation recommended by MDACC</w:t>
      </w:r>
    </w:p>
    <w:p w14:paraId="30A3B6C5" w14:textId="013CF6A6" w:rsidR="000023F9" w:rsidRDefault="000023F9" w:rsidP="000023F9">
      <w:pPr>
        <w:pStyle w:val="Bullet"/>
        <w:numPr>
          <w:ilvl w:val="0"/>
          <w:numId w:val="0"/>
        </w:numPr>
        <w:ind w:left="1080"/>
      </w:pPr>
      <w:r>
        <w:t>Where MDACC proposes to make a recommendation that a scope of clinical practice is to be changed from that applied for and the change is likely to be det</w:t>
      </w:r>
      <w:r w:rsidR="45C3736A">
        <w:t>ri</w:t>
      </w:r>
      <w:r>
        <w:t>mental to the SMDP, the recommendation must not be forwarded to the decision maker until:</w:t>
      </w:r>
    </w:p>
    <w:p w14:paraId="7F801D4E" w14:textId="70A3A70C" w:rsidR="000023F9" w:rsidRDefault="000023F9" w:rsidP="67691B61">
      <w:pPr>
        <w:pStyle w:val="Bullet"/>
      </w:pPr>
      <w:r>
        <w:lastRenderedPageBreak/>
        <w:t>The applicant has be</w:t>
      </w:r>
      <w:r w:rsidR="674AD6DC">
        <w:t>e</w:t>
      </w:r>
      <w:r>
        <w:t xml:space="preserve">n provided with a written copy of the reasons for the proposed change and given the opportunity, in accordance with Section 65 of the </w:t>
      </w:r>
      <w:r w:rsidRPr="67691B61">
        <w:t xml:space="preserve">Health Act, to make a submission to MDAAC </w:t>
      </w:r>
      <w:r w:rsidRPr="67691B61">
        <w:rPr>
          <w:b/>
          <w:bCs/>
        </w:rPr>
        <w:t>within 21 days</w:t>
      </w:r>
      <w:r>
        <w:t xml:space="preserve"> about the proposed recommendation; and</w:t>
      </w:r>
    </w:p>
    <w:p w14:paraId="0DB4CCEE" w14:textId="2A561B46" w:rsidR="000023F9" w:rsidRPr="000009CE" w:rsidRDefault="000023F9" w:rsidP="000023F9">
      <w:pPr>
        <w:pStyle w:val="Bullet"/>
        <w:numPr>
          <w:ilvl w:val="2"/>
          <w:numId w:val="23"/>
        </w:numPr>
      </w:pPr>
      <w:r>
        <w:t>MDAAC has considered any such submission made by the applicant.</w:t>
      </w:r>
    </w:p>
    <w:p w14:paraId="6757714A" w14:textId="77777777" w:rsidR="004775A0" w:rsidRPr="0020240D" w:rsidRDefault="004775A0" w:rsidP="002A2B59">
      <w:pPr>
        <w:pStyle w:val="Bullet"/>
      </w:pPr>
      <w:r w:rsidRPr="0020240D">
        <w:t>MDAAC submits the recommendation in writing to the decision-maker. The recommendation will include any proposed limitations (such as supervision requirements, conditions, or undertakings on registration) and will specify the period until the scheduled review of the scope of clinical practice.</w:t>
      </w:r>
    </w:p>
    <w:p w14:paraId="3E0282FE" w14:textId="7E261F8E" w:rsidR="000009CE" w:rsidRDefault="004775A0" w:rsidP="002A2B59">
      <w:pPr>
        <w:pStyle w:val="Heading7"/>
      </w:pPr>
      <w:r w:rsidRPr="00EA42BD">
        <w:t xml:space="preserve">Step </w:t>
      </w:r>
      <w:r w:rsidR="003452B7">
        <w:t>6</w:t>
      </w:r>
      <w:r w:rsidRPr="00EA42BD">
        <w:t xml:space="preserve"> – Decision by the decision-maker</w:t>
      </w:r>
    </w:p>
    <w:p w14:paraId="5AF6A121" w14:textId="77777777" w:rsidR="0020240D" w:rsidRDefault="004775A0" w:rsidP="002A2B59">
      <w:pPr>
        <w:pStyle w:val="Bullet"/>
      </w:pPr>
      <w:r w:rsidRPr="0020240D">
        <w:t>The decision-maker considers the MDAAC recommendation.</w:t>
      </w:r>
    </w:p>
    <w:p w14:paraId="1575FB84" w14:textId="6BEF6B5C" w:rsidR="004775A0" w:rsidRDefault="004775A0" w:rsidP="002A2B59">
      <w:pPr>
        <w:pStyle w:val="Bullet"/>
      </w:pPr>
      <w:r w:rsidRPr="0020240D">
        <w:t xml:space="preserve">The decision-maker must </w:t>
      </w:r>
      <w:r w:rsidR="001F6BA0" w:rsidRPr="0020240D">
        <w:t>notify</w:t>
      </w:r>
      <w:r w:rsidRPr="0020240D">
        <w:t xml:space="preserve"> the</w:t>
      </w:r>
      <w:r w:rsidR="00644004" w:rsidRPr="0020240D">
        <w:t xml:space="preserve"> credentialing manager of the </w:t>
      </w:r>
      <w:r w:rsidR="00F74039" w:rsidRPr="0020240D">
        <w:t>outcome</w:t>
      </w:r>
      <w:r w:rsidR="00644004" w:rsidRPr="0020240D">
        <w:t xml:space="preserve"> of the proposed recommendations. </w:t>
      </w:r>
    </w:p>
    <w:p w14:paraId="5D825B46" w14:textId="74B47B97" w:rsidR="000023F9" w:rsidRPr="000023F9" w:rsidRDefault="000023F9" w:rsidP="002A2B59">
      <w:pPr>
        <w:pStyle w:val="Bullet"/>
      </w:pPr>
      <w:r>
        <w:rPr>
          <w:b/>
          <w:bCs/>
        </w:rPr>
        <w:t>Variation recommended by MDAAC</w:t>
      </w:r>
    </w:p>
    <w:p w14:paraId="090E8EAC" w14:textId="342E3999" w:rsidR="000023F9" w:rsidRDefault="000023F9" w:rsidP="67691B61">
      <w:pPr>
        <w:pStyle w:val="Bullet"/>
        <w:numPr>
          <w:ilvl w:val="0"/>
          <w:numId w:val="0"/>
        </w:numPr>
        <w:ind w:left="360"/>
        <w:rPr>
          <w:i/>
          <w:iCs/>
        </w:rPr>
      </w:pPr>
      <w:r>
        <w:t xml:space="preserve">Where the decision-maker accepts an MDAAC recommendation that a scope of clinical practice is to be changed from that applied for, and the change is likely to be detrimental to the SMDP, the decision-maker is required to develop a </w:t>
      </w:r>
      <w:r w:rsidR="2738F0ED">
        <w:t>‘</w:t>
      </w:r>
      <w:r>
        <w:t>scope of clinical practice executive decision notice</w:t>
      </w:r>
      <w:r w:rsidR="2233818E">
        <w:t>’</w:t>
      </w:r>
      <w:r>
        <w:t xml:space="preserve"> and notify the applicant and other persons as specified in Section 70 of the </w:t>
      </w:r>
      <w:r w:rsidRPr="67691B61">
        <w:t>Health Act</w:t>
      </w:r>
      <w:r w:rsidR="7D6CCF15" w:rsidRPr="67691B61">
        <w:t>.</w:t>
      </w:r>
    </w:p>
    <w:p w14:paraId="2FBBB889" w14:textId="4ECE87D8" w:rsidR="005D6E90" w:rsidRPr="005D6E90" w:rsidRDefault="005D6E90" w:rsidP="000023F9">
      <w:pPr>
        <w:pStyle w:val="Bullet"/>
        <w:numPr>
          <w:ilvl w:val="0"/>
          <w:numId w:val="0"/>
        </w:numPr>
        <w:ind w:left="360"/>
      </w:pPr>
      <w:r>
        <w:t xml:space="preserve">A scope of clinical practice decision notice must meet the requirements of a reviewable decision notice under the </w:t>
      </w:r>
      <w:r>
        <w:rPr>
          <w:i/>
          <w:iCs/>
        </w:rPr>
        <w:t>ACT Civil and Administrative Tribunal (ACAT) Act 2008</w:t>
      </w:r>
      <w:r>
        <w:t xml:space="preserve"> and the ACAT Regulations.</w:t>
      </w:r>
    </w:p>
    <w:p w14:paraId="5042A3BA" w14:textId="031485CD" w:rsidR="00F74039" w:rsidRPr="000023F9" w:rsidRDefault="00F74039">
      <w:pPr>
        <w:pStyle w:val="BodyText"/>
        <w:spacing w:before="0" w:after="0" w:line="240" w:lineRule="auto"/>
        <w:rPr>
          <w:rFonts w:asciiTheme="minorHAnsi" w:hAnsiTheme="minorHAnsi" w:cstheme="minorHAnsi"/>
          <w:b/>
          <w:bCs/>
        </w:rPr>
      </w:pPr>
      <w:r w:rsidRPr="000023F9">
        <w:rPr>
          <w:rFonts w:asciiTheme="minorHAnsi" w:hAnsiTheme="minorHAnsi" w:cstheme="minorHAnsi"/>
          <w:b/>
          <w:bCs/>
        </w:rPr>
        <w:t xml:space="preserve">Step </w:t>
      </w:r>
      <w:r w:rsidR="000023F9" w:rsidRPr="000023F9">
        <w:rPr>
          <w:rFonts w:asciiTheme="minorHAnsi" w:hAnsiTheme="minorHAnsi" w:cstheme="minorHAnsi"/>
          <w:b/>
          <w:bCs/>
        </w:rPr>
        <w:t>7</w:t>
      </w:r>
      <w:r w:rsidRPr="000023F9">
        <w:rPr>
          <w:rFonts w:asciiTheme="minorHAnsi" w:hAnsiTheme="minorHAnsi" w:cstheme="minorHAnsi"/>
          <w:b/>
          <w:bCs/>
        </w:rPr>
        <w:t xml:space="preserve"> – Notification of Outcome</w:t>
      </w:r>
    </w:p>
    <w:p w14:paraId="42DD14AD" w14:textId="5E2D1C30" w:rsidR="00B2432C" w:rsidRDefault="00B2432C">
      <w:pPr>
        <w:pStyle w:val="BodyText"/>
        <w:spacing w:before="0" w:after="0" w:line="240" w:lineRule="auto"/>
        <w:rPr>
          <w:rFonts w:asciiTheme="minorHAnsi" w:hAnsiTheme="minorHAnsi" w:cstheme="minorHAnsi"/>
          <w:b/>
          <w:bCs/>
        </w:rPr>
      </w:pPr>
      <w:r>
        <w:rPr>
          <w:rFonts w:asciiTheme="minorHAnsi" w:hAnsiTheme="minorHAnsi" w:cstheme="minorHAnsi"/>
          <w:b/>
          <w:bCs/>
        </w:rPr>
        <w:t>To the SMDP</w:t>
      </w:r>
    </w:p>
    <w:p w14:paraId="40511DF6" w14:textId="6568647F" w:rsidR="00B2432C" w:rsidRPr="003C0234" w:rsidRDefault="00B2432C" w:rsidP="002A2B59">
      <w:pPr>
        <w:pStyle w:val="Bullet"/>
        <w:rPr>
          <w:b/>
          <w:bCs/>
        </w:rPr>
      </w:pPr>
      <w:r w:rsidRPr="00B2432C">
        <w:t xml:space="preserve">A notification letter signed by the credentialing manager, or delegate will be issued to the individual SMDP. </w:t>
      </w:r>
      <w:r w:rsidRPr="00687D25">
        <w:t xml:space="preserve">The letter will outline: </w:t>
      </w:r>
    </w:p>
    <w:p w14:paraId="114EC334" w14:textId="54805C19" w:rsidR="00B2432C" w:rsidRPr="003C0234" w:rsidRDefault="00EF27F4" w:rsidP="00EF27F4">
      <w:pPr>
        <w:pStyle w:val="Bullet"/>
        <w:numPr>
          <w:ilvl w:val="1"/>
          <w:numId w:val="23"/>
        </w:numPr>
      </w:pPr>
      <w:r>
        <w:t>t</w:t>
      </w:r>
      <w:r w:rsidR="00B2432C" w:rsidRPr="003C0234">
        <w:t xml:space="preserve">he determination regarding </w:t>
      </w:r>
      <w:r w:rsidR="00FD5B95">
        <w:t>C</w:t>
      </w:r>
      <w:r w:rsidR="00B2432C" w:rsidRPr="003C0234">
        <w:t xml:space="preserve">redentialing and </w:t>
      </w:r>
      <w:r w:rsidR="00BC74A8">
        <w:t>Scope of Clinical Practice.</w:t>
      </w:r>
    </w:p>
    <w:p w14:paraId="15A35FC9" w14:textId="67FC7923" w:rsidR="00B2432C" w:rsidRPr="003C0234" w:rsidRDefault="00EF27F4" w:rsidP="00EF27F4">
      <w:pPr>
        <w:pStyle w:val="Bullet"/>
        <w:numPr>
          <w:ilvl w:val="1"/>
          <w:numId w:val="23"/>
        </w:numPr>
      </w:pPr>
      <w:r>
        <w:t>t</w:t>
      </w:r>
      <w:r w:rsidR="00B2432C" w:rsidRPr="003C0234">
        <w:t xml:space="preserve">he duration of the credentialing and </w:t>
      </w:r>
      <w:r w:rsidR="00BC74A8">
        <w:t>Scope of Clinical Practice.</w:t>
      </w:r>
    </w:p>
    <w:p w14:paraId="379E56D8" w14:textId="67A57FCB" w:rsidR="00B2432C" w:rsidRPr="003C0234" w:rsidRDefault="00EF27F4" w:rsidP="00EF27F4">
      <w:pPr>
        <w:pStyle w:val="Bullet"/>
        <w:numPr>
          <w:ilvl w:val="1"/>
          <w:numId w:val="23"/>
        </w:numPr>
      </w:pPr>
      <w:r>
        <w:t>c</w:t>
      </w:r>
      <w:r w:rsidR="00B2432C" w:rsidRPr="003C0234">
        <w:t xml:space="preserve">urrent practice location relevant to the </w:t>
      </w:r>
      <w:r w:rsidR="00BC74A8">
        <w:t>Scope of Clinical Practice.</w:t>
      </w:r>
    </w:p>
    <w:p w14:paraId="4174516B" w14:textId="5C4C7AC2" w:rsidR="00B2432C" w:rsidRPr="003C0234" w:rsidRDefault="00EF27F4" w:rsidP="00EF27F4">
      <w:pPr>
        <w:pStyle w:val="Bullet"/>
        <w:numPr>
          <w:ilvl w:val="1"/>
          <w:numId w:val="23"/>
        </w:numPr>
      </w:pPr>
      <w:r>
        <w:t>a</w:t>
      </w:r>
      <w:r w:rsidR="00B2432C" w:rsidRPr="003C0234">
        <w:t>ny practitioner-related conditions, restrictions, or other relevant information (such as supervisory requirements or requirements around an extended scope of practice)</w:t>
      </w:r>
    </w:p>
    <w:p w14:paraId="3069290B" w14:textId="1B224E43" w:rsidR="00B2432C" w:rsidRPr="003C0234" w:rsidRDefault="00EF27F4" w:rsidP="00EF27F4">
      <w:pPr>
        <w:pStyle w:val="Bullet"/>
        <w:numPr>
          <w:ilvl w:val="1"/>
          <w:numId w:val="23"/>
        </w:numPr>
      </w:pPr>
      <w:r>
        <w:t>a</w:t>
      </w:r>
      <w:r w:rsidR="00B2432C" w:rsidRPr="003C0234">
        <w:t>ny service-related conditions, restrictions, or other relevant information</w:t>
      </w:r>
      <w:r>
        <w:t>.</w:t>
      </w:r>
    </w:p>
    <w:p w14:paraId="152971B9" w14:textId="4657E896" w:rsidR="00B2432C" w:rsidRDefault="00D6333C">
      <w:pPr>
        <w:pStyle w:val="BodyText"/>
        <w:spacing w:before="0" w:after="0" w:line="240" w:lineRule="auto"/>
        <w:rPr>
          <w:rFonts w:asciiTheme="minorHAnsi" w:hAnsiTheme="minorHAnsi" w:cstheme="minorHAnsi"/>
          <w:b/>
          <w:bCs/>
        </w:rPr>
      </w:pPr>
      <w:r>
        <w:rPr>
          <w:rFonts w:asciiTheme="minorHAnsi" w:hAnsiTheme="minorHAnsi" w:cstheme="minorHAnsi"/>
          <w:b/>
          <w:bCs/>
        </w:rPr>
        <w:t xml:space="preserve">To the service </w:t>
      </w:r>
    </w:p>
    <w:p w14:paraId="22D6437A" w14:textId="275ACE96" w:rsidR="00D6333C" w:rsidRDefault="00D6333C" w:rsidP="002A2B59">
      <w:pPr>
        <w:pStyle w:val="BodyCopy"/>
      </w:pPr>
      <w:r>
        <w:t xml:space="preserve">The relevant Executive Director, Unit or Clinical Director will be notified of the Committee’s determination. </w:t>
      </w:r>
    </w:p>
    <w:p w14:paraId="786D732A" w14:textId="2E65A753" w:rsidR="00D6333C" w:rsidRDefault="00D6333C" w:rsidP="002A2B59">
      <w:pPr>
        <w:pStyle w:val="BodyCopy"/>
      </w:pPr>
      <w:r>
        <w:t xml:space="preserve">The approved Scope of Clinical Practice for each SMDP will be displayed on the CHS intranet and will be available to all relevant staff. </w:t>
      </w:r>
    </w:p>
    <w:p w14:paraId="44B32752" w14:textId="445A1A69" w:rsidR="00D6333C" w:rsidRDefault="00D6333C" w:rsidP="002A2B59">
      <w:pPr>
        <w:pStyle w:val="BodyCopy"/>
      </w:pPr>
      <w:r>
        <w:t xml:space="preserve">This enables the relevant facility to undertake regular audits </w:t>
      </w:r>
      <w:r w:rsidR="00F7151A">
        <w:t>and ensure</w:t>
      </w:r>
      <w:r>
        <w:t xml:space="preserve"> that:</w:t>
      </w:r>
    </w:p>
    <w:p w14:paraId="7829C08F" w14:textId="2E0C56F4" w:rsidR="00D6333C" w:rsidRDefault="00D6333C" w:rsidP="002A2B59">
      <w:pPr>
        <w:pStyle w:val="Bullet"/>
      </w:pPr>
      <w:r>
        <w:lastRenderedPageBreak/>
        <w:t>SM</w:t>
      </w:r>
      <w:r w:rsidR="006C4948">
        <w:t>DP</w:t>
      </w:r>
      <w:r w:rsidR="00EF27F4">
        <w:t>s</w:t>
      </w:r>
      <w:r>
        <w:t xml:space="preserve"> continue to meet the requirements that underpin credentialing (e.</w:t>
      </w:r>
      <w:r w:rsidR="00F7151A">
        <w:t>g</w:t>
      </w:r>
      <w:r>
        <w:t xml:space="preserve"> AHPRA registration)</w:t>
      </w:r>
    </w:p>
    <w:p w14:paraId="6E2DB204" w14:textId="26CBC760" w:rsidR="00D6333C" w:rsidRPr="00D6333C" w:rsidRDefault="00D6333C" w:rsidP="002A2B59">
      <w:pPr>
        <w:pStyle w:val="Bullet"/>
      </w:pPr>
      <w:r>
        <w:t xml:space="preserve">All relevant SMDPs are only working within their defined credentialing and scope of clinical practice. </w:t>
      </w:r>
    </w:p>
    <w:bookmarkEnd w:id="7"/>
    <w:bookmarkEnd w:id="8"/>
    <w:p w14:paraId="2D37F296" w14:textId="7C21897F" w:rsidR="009C36C5" w:rsidRDefault="009C36C5">
      <w:pPr>
        <w:spacing w:before="0" w:after="0" w:line="240" w:lineRule="auto"/>
      </w:pPr>
      <w:r>
        <w:fldChar w:fldCharType="begin"/>
      </w:r>
      <w:r>
        <w:instrText>HYPERLINK \l "_top"</w:instrText>
      </w:r>
      <w:r>
        <w:fldChar w:fldCharType="separate"/>
      </w:r>
      <w:r w:rsidRPr="00481A6C">
        <w:rPr>
          <w:rStyle w:val="Hyperlink"/>
        </w:rPr>
        <w:t>Back to Contents</w:t>
      </w:r>
      <w:r>
        <w:fldChar w:fldCharType="end"/>
      </w:r>
    </w:p>
    <w:p w14:paraId="71659310" w14:textId="77777777" w:rsidR="00AB3857" w:rsidRDefault="00AB3857">
      <w:pPr>
        <w:spacing w:before="0" w:after="0" w:line="240" w:lineRule="auto"/>
      </w:pPr>
    </w:p>
    <w:p w14:paraId="376F8948" w14:textId="77777777" w:rsidR="00AB3857" w:rsidRDefault="00AB3857">
      <w:pPr>
        <w:spacing w:before="0" w:after="0" w:line="240" w:lineRule="auto"/>
      </w:pPr>
    </w:p>
    <w:p w14:paraId="0A487519" w14:textId="77777777" w:rsidR="00AB3857" w:rsidRDefault="00AB3857">
      <w:pPr>
        <w:spacing w:before="0" w:after="0" w:line="240" w:lineRule="auto"/>
      </w:pPr>
    </w:p>
    <w:p w14:paraId="047DE5E2" w14:textId="5FE5E348" w:rsidR="009C36C5" w:rsidRDefault="009C36C5" w:rsidP="009C36C5">
      <w:pPr>
        <w:pStyle w:val="Heading4"/>
      </w:pPr>
      <w:bookmarkStart w:id="9" w:name="_Toc221116387"/>
      <w:r w:rsidRPr="0078367D">
        <w:t xml:space="preserve">Section </w:t>
      </w:r>
      <w:r w:rsidR="0007524F">
        <w:t>5</w:t>
      </w:r>
      <w:r w:rsidRPr="0078367D">
        <w:t xml:space="preserve"> </w:t>
      </w:r>
      <w:r>
        <w:t>–</w:t>
      </w:r>
      <w:r w:rsidRPr="0078367D">
        <w:t xml:space="preserve"> </w:t>
      </w:r>
      <w:r w:rsidR="004775A0">
        <w:t>Duration of scope of clinical practice</w:t>
      </w:r>
      <w:bookmarkEnd w:id="9"/>
      <w:r w:rsidR="004775A0">
        <w:t xml:space="preserve"> </w:t>
      </w:r>
    </w:p>
    <w:p w14:paraId="01596733" w14:textId="114D3D51" w:rsidR="0007524F" w:rsidRPr="006F21AF" w:rsidRDefault="0007524F" w:rsidP="006F21AF">
      <w:pPr>
        <w:pStyle w:val="BodyCopy"/>
      </w:pPr>
      <w:r w:rsidRPr="006F21AF">
        <w:t xml:space="preserve">Decisions regarding the duration of a SMDP’s credentialing and scope of clinical practice are at the discretion of MDAAC. </w:t>
      </w:r>
    </w:p>
    <w:p w14:paraId="60140B28" w14:textId="5B35FF13" w:rsidR="0007524F" w:rsidRPr="006F21AF" w:rsidRDefault="0007524F" w:rsidP="006F21AF">
      <w:pPr>
        <w:pStyle w:val="BodyCopy"/>
      </w:pPr>
      <w:r w:rsidRPr="006F21AF">
        <w:t>For SMDPs other than permanent employees, the duration of a standard scope of clinical practice for any contracted SMDP shall be for no less than twelve months but should otherwise align with their contract dates. The scope of practice approval will end after 12 months or when a contract expires, whichever is the later. Where a SMDP’s scope of practice has ended, full re-credentialing will need to be undertaken prior to commencing of any subsequent period of employment or engagement.</w:t>
      </w:r>
    </w:p>
    <w:p w14:paraId="7BFCD9D7" w14:textId="59701776" w:rsidR="0007524F" w:rsidRPr="006F21AF" w:rsidRDefault="0007524F">
      <w:pPr>
        <w:pStyle w:val="BodyCopy"/>
      </w:pPr>
      <w:r>
        <w:t>A permanent staff specialist will be granted scope of clinical practice for four (4) years</w:t>
      </w:r>
      <w:r w:rsidR="00C60256">
        <w:t>, provided MDA</w:t>
      </w:r>
      <w:r w:rsidR="593950D9">
        <w:t>A</w:t>
      </w:r>
      <w:r w:rsidR="00C60256">
        <w:t>C have no concerns.</w:t>
      </w:r>
    </w:p>
    <w:p w14:paraId="1C4F6FEF" w14:textId="41877403" w:rsidR="0007524F" w:rsidRDefault="0007524F" w:rsidP="006F21AF">
      <w:pPr>
        <w:pStyle w:val="BodyCopy"/>
      </w:pPr>
      <w:r w:rsidRPr="006F21AF">
        <w:t>VMOs will be granted</w:t>
      </w:r>
      <w:r>
        <w:t xml:space="preserve"> scope of clinical practice for the duration of their VMO contract. </w:t>
      </w:r>
    </w:p>
    <w:p w14:paraId="2E85DF05" w14:textId="77777777" w:rsidR="0007524F" w:rsidRPr="004775A0" w:rsidRDefault="0007524F" w:rsidP="00004362">
      <w:pPr>
        <w:pStyle w:val="Heading5"/>
      </w:pPr>
      <w:r w:rsidRPr="004775A0">
        <w:t xml:space="preserve">Contract changes </w:t>
      </w:r>
    </w:p>
    <w:p w14:paraId="60C98952" w14:textId="77777777" w:rsidR="0007524F" w:rsidRDefault="0007524F" w:rsidP="00827F85">
      <w:pPr>
        <w:pStyle w:val="BodyCopy"/>
      </w:pPr>
      <w:r w:rsidRPr="006F21AF">
        <w:t xml:space="preserve">The CEO and MDAAC delegate have the responsibility of updating and issuing a new </w:t>
      </w:r>
      <w:r w:rsidRPr="00827F85">
        <w:t>recommendation</w:t>
      </w:r>
      <w:r w:rsidRPr="006F21AF">
        <w:t xml:space="preserve"> notice to a clinician to the Senior Manager for Credentialing and Scope of Clinical</w:t>
      </w:r>
      <w:r>
        <w:t xml:space="preserve"> Practice in the instance:</w:t>
      </w:r>
    </w:p>
    <w:p w14:paraId="2EA60C12" w14:textId="455447BB" w:rsidR="0007524F" w:rsidRDefault="0007524F" w:rsidP="006F21AF">
      <w:pPr>
        <w:pStyle w:val="Bullet"/>
      </w:pPr>
      <w:r>
        <w:t xml:space="preserve">where a division or the SMDP has notified the Senior Manager that a clinician’s contract type has changed; </w:t>
      </w:r>
      <w:r w:rsidR="00B94CAA">
        <w:t>and</w:t>
      </w:r>
    </w:p>
    <w:p w14:paraId="3329DCFD" w14:textId="27F6DF29" w:rsidR="0007524F" w:rsidRDefault="0007524F" w:rsidP="006F21AF">
      <w:pPr>
        <w:pStyle w:val="Bullet"/>
      </w:pPr>
      <w:r>
        <w:t xml:space="preserve">the scope of clinical practice will remain unchanged; </w:t>
      </w:r>
      <w:r w:rsidR="00B94CAA">
        <w:t>and</w:t>
      </w:r>
    </w:p>
    <w:p w14:paraId="680FB691" w14:textId="44DBE303" w:rsidR="0007524F" w:rsidRDefault="0007524F" w:rsidP="006F21AF">
      <w:pPr>
        <w:pStyle w:val="Bullet"/>
      </w:pPr>
      <w:r>
        <w:t>the clinician is not within 6 months of their review date.</w:t>
      </w:r>
    </w:p>
    <w:p w14:paraId="3DDBBEA7" w14:textId="42A0CFFE" w:rsidR="0007524F" w:rsidRDefault="0007524F" w:rsidP="00BC74A8">
      <w:pPr>
        <w:pStyle w:val="BodyCopy"/>
      </w:pPr>
      <w:r>
        <w:t xml:space="preserve">If the clinician is within 6 months of their review date full re-credentialing should be undertaken. </w:t>
      </w:r>
    </w:p>
    <w:p w14:paraId="6CE8B96F" w14:textId="2E581E50" w:rsidR="009C36C5" w:rsidRDefault="0007524F" w:rsidP="00BC74A8">
      <w:pPr>
        <w:pStyle w:val="BodyCopy"/>
      </w:pPr>
      <w:r>
        <w:t>The Senior Manager is, under no circumstances, able to update any other information on the scope table other than the employment type to accurately reflect the clinician’s current employment.</w:t>
      </w:r>
    </w:p>
    <w:p w14:paraId="6CBEC2DC" w14:textId="10298FCD" w:rsidR="0020240D" w:rsidRDefault="009C36C5" w:rsidP="009C36C5">
      <w:pPr>
        <w:pStyle w:val="BodyCopy"/>
      </w:pPr>
      <w:hyperlink w:anchor="_top" w:history="1">
        <w:r w:rsidRPr="00481A6C">
          <w:rPr>
            <w:rStyle w:val="Hyperlink"/>
            <w:iCs w:val="0"/>
          </w:rPr>
          <w:t>Back to Contents</w:t>
        </w:r>
      </w:hyperlink>
    </w:p>
    <w:p w14:paraId="6489D35E" w14:textId="251D5554" w:rsidR="004775A0" w:rsidRDefault="009C36C5" w:rsidP="0064576E">
      <w:pPr>
        <w:pStyle w:val="Heading4"/>
      </w:pPr>
      <w:bookmarkStart w:id="10" w:name="_Toc221116388"/>
      <w:r w:rsidRPr="0078367D">
        <w:lastRenderedPageBreak/>
        <w:t xml:space="preserve">Section </w:t>
      </w:r>
      <w:r w:rsidR="0007524F">
        <w:t>6</w:t>
      </w:r>
      <w:r w:rsidRPr="0078367D">
        <w:t xml:space="preserve"> </w:t>
      </w:r>
      <w:r>
        <w:t>–</w:t>
      </w:r>
      <w:r w:rsidRPr="0078367D">
        <w:t xml:space="preserve"> </w:t>
      </w:r>
      <w:r w:rsidR="004775A0">
        <w:t xml:space="preserve">Scheduled </w:t>
      </w:r>
      <w:r w:rsidR="00827F85">
        <w:t>Re</w:t>
      </w:r>
      <w:r w:rsidR="004775A0">
        <w:t xml:space="preserve">newal of </w:t>
      </w:r>
      <w:r w:rsidR="00827F85">
        <w:t>C</w:t>
      </w:r>
      <w:r w:rsidR="004775A0">
        <w:t xml:space="preserve">redentials and </w:t>
      </w:r>
      <w:r w:rsidR="00827F85">
        <w:t>S</w:t>
      </w:r>
      <w:r w:rsidR="004775A0">
        <w:t xml:space="preserve">cope of </w:t>
      </w:r>
      <w:r w:rsidR="00827F85">
        <w:t>C</w:t>
      </w:r>
      <w:r w:rsidR="004775A0">
        <w:t xml:space="preserve">linical </w:t>
      </w:r>
      <w:r w:rsidR="00827F85">
        <w:t>P</w:t>
      </w:r>
      <w:r w:rsidR="004775A0">
        <w:t>ractice (</w:t>
      </w:r>
      <w:r w:rsidR="00827F85">
        <w:t>R</w:t>
      </w:r>
      <w:r w:rsidR="004775A0">
        <w:t>e-credentialing)</w:t>
      </w:r>
      <w:bookmarkEnd w:id="10"/>
    </w:p>
    <w:p w14:paraId="1E080642" w14:textId="2FC846F0" w:rsidR="004775A0" w:rsidRDefault="004775A0" w:rsidP="006F21AF">
      <w:pPr>
        <w:pStyle w:val="BodyCopy"/>
      </w:pPr>
      <w:r>
        <w:t>For all permanent employees, scheduled re-credentialing and review of a SMDP’s scope of clinical practice must occur at a maximum of four (4) yearly intervals</w:t>
      </w:r>
      <w:r w:rsidR="00827F85">
        <w:t>,</w:t>
      </w:r>
      <w:r>
        <w:t xml:space="preserve"> and at such other times as required as a part of an organisational strategy to ensure each SMDP’s credentials remain current and relevant and that the SMDP remains competent to provide the defined scope of clinical practice.</w:t>
      </w:r>
    </w:p>
    <w:p w14:paraId="4B5A5811" w14:textId="2428247F" w:rsidR="004775A0" w:rsidRDefault="004775A0" w:rsidP="006F21AF">
      <w:pPr>
        <w:pStyle w:val="BodyCopy"/>
      </w:pPr>
      <w:r>
        <w:t>For all temporary employees and VMOs, scheduled re-credentialing and review of SMDP’s scope of clinical practice must occur prior to the end of their current contract if their contract will be extended</w:t>
      </w:r>
      <w:r w:rsidR="00F7151A">
        <w:t xml:space="preserve">, preventing </w:t>
      </w:r>
      <w:r>
        <w:t>delay</w:t>
      </w:r>
      <w:r w:rsidR="00F7151A">
        <w:t>s</w:t>
      </w:r>
      <w:r>
        <w:t xml:space="preserve"> in receiving a new contract. All re-credentialing applications must be tabled at the MDAAC meeting. </w:t>
      </w:r>
    </w:p>
    <w:p w14:paraId="63F1571F" w14:textId="2B5181AE" w:rsidR="004775A0" w:rsidRDefault="004775A0" w:rsidP="006F21AF">
      <w:pPr>
        <w:pStyle w:val="BodyCopy"/>
      </w:pPr>
      <w:r>
        <w:t xml:space="preserve">The SMDP will be invited to submit their re-credentialing five months prior to their scheduled review date. </w:t>
      </w:r>
    </w:p>
    <w:p w14:paraId="0C5A6FC2" w14:textId="7FC04501" w:rsidR="009C36C5" w:rsidRDefault="004775A0" w:rsidP="006F21AF">
      <w:pPr>
        <w:pStyle w:val="BodyCopy"/>
      </w:pPr>
      <w:r>
        <w:t xml:space="preserve">There is no obligation on MDAAC to endorse the same scope of clinical practice as previously granted. </w:t>
      </w:r>
    </w:p>
    <w:p w14:paraId="27BF9361" w14:textId="5A14D06F" w:rsidR="0026569E" w:rsidRDefault="003F1D02" w:rsidP="006F21AF">
      <w:pPr>
        <w:pStyle w:val="BodyCopy"/>
      </w:pPr>
      <w:r>
        <w:t xml:space="preserve">Re-credentialing the scope of clinical practice of a SMPD must not be used as substitute for a robust performance management </w:t>
      </w:r>
      <w:r w:rsidR="00C60256">
        <w:t>of individual practitioners.</w:t>
      </w:r>
      <w:r>
        <w:t xml:space="preserve"> </w:t>
      </w:r>
    </w:p>
    <w:p w14:paraId="28DDBAD9" w14:textId="37639844" w:rsidR="0026569E" w:rsidRDefault="0026569E" w:rsidP="006F21AF">
      <w:pPr>
        <w:pStyle w:val="BodyCopy"/>
      </w:pPr>
      <w:r>
        <w:t xml:space="preserve">When referee reports raise issues to performance/behaviour rather than clinical competency, MDAAC reserve the right to foreshorten the credentialing timeframe to allow the relevant unit and clinical directors to </w:t>
      </w:r>
      <w:r w:rsidR="00F7151A">
        <w:t>develop</w:t>
      </w:r>
      <w:r>
        <w:t xml:space="preserve"> </w:t>
      </w:r>
      <w:r w:rsidR="00F7151A">
        <w:t xml:space="preserve">and implement a plan </w:t>
      </w:r>
      <w:r>
        <w:t>to manage these behaviours</w:t>
      </w:r>
      <w:r w:rsidR="00961CD2">
        <w:t>.</w:t>
      </w:r>
    </w:p>
    <w:p w14:paraId="6B133AA9" w14:textId="77777777" w:rsidR="00305041" w:rsidRPr="00305041" w:rsidRDefault="00DA24EB" w:rsidP="006F21AF">
      <w:pPr>
        <w:pStyle w:val="Heading7"/>
        <w:rPr>
          <w:rFonts w:ascii="Arial" w:hAnsi="Arial"/>
          <w:bCs/>
          <w:color w:val="3D2262" w:themeColor="accent1"/>
          <w:szCs w:val="36"/>
        </w:rPr>
      </w:pPr>
      <w:r w:rsidRPr="00190288">
        <w:rPr>
          <w:rFonts w:eastAsia="Times New Roman"/>
          <w:color w:val="3D2262" w:themeColor="accent1"/>
          <w:lang w:eastAsia="en-US"/>
        </w:rPr>
        <w:t>Overview of Review Process</w:t>
      </w:r>
      <w:r w:rsidR="00305041" w:rsidRPr="00190288">
        <w:rPr>
          <w:rFonts w:eastAsia="Times New Roman"/>
          <w:color w:val="3D2262" w:themeColor="accent1"/>
          <w:lang w:eastAsia="en-US"/>
        </w:rPr>
        <w:t xml:space="preserve"> </w:t>
      </w:r>
    </w:p>
    <w:p w14:paraId="73901A98" w14:textId="77777777" w:rsidR="00305041" w:rsidRDefault="00305041" w:rsidP="006F21AF">
      <w:pPr>
        <w:pStyle w:val="Heading7"/>
        <w:rPr>
          <w:rFonts w:ascii="Arial" w:hAnsi="Arial"/>
          <w:bCs/>
          <w:color w:val="3D2262" w:themeColor="accent1"/>
          <w:szCs w:val="36"/>
        </w:rPr>
      </w:pPr>
    </w:p>
    <w:p w14:paraId="172F07DD" w14:textId="2F3DDE91" w:rsidR="004775A0" w:rsidRPr="004775A0" w:rsidRDefault="004775A0" w:rsidP="006F21AF">
      <w:pPr>
        <w:pStyle w:val="Heading7"/>
        <w:rPr>
          <w:rFonts w:eastAsia="Times New Roman"/>
          <w:lang w:eastAsia="en-US"/>
        </w:rPr>
      </w:pPr>
      <w:r w:rsidRPr="1ECE2995">
        <w:rPr>
          <w:rFonts w:eastAsia="Times New Roman"/>
          <w:lang w:eastAsia="en-US"/>
        </w:rPr>
        <w:t xml:space="preserve">Step 1 – </w:t>
      </w:r>
      <w:r w:rsidR="0066415C">
        <w:rPr>
          <w:rFonts w:eastAsia="Times New Roman"/>
          <w:lang w:eastAsia="en-US"/>
        </w:rPr>
        <w:t>Notification of credentialing team and r</w:t>
      </w:r>
      <w:r w:rsidRPr="1ECE2995">
        <w:rPr>
          <w:rFonts w:eastAsia="Times New Roman"/>
          <w:lang w:eastAsia="en-US"/>
        </w:rPr>
        <w:t xml:space="preserve">eminder to SMDP </w:t>
      </w:r>
    </w:p>
    <w:p w14:paraId="024D5652" w14:textId="4E703997" w:rsidR="004775A0" w:rsidRPr="004775A0" w:rsidRDefault="000E4B17" w:rsidP="006F21AF">
      <w:pPr>
        <w:pStyle w:val="Bullet"/>
        <w:rPr>
          <w:lang w:eastAsia="en-US"/>
        </w:rPr>
      </w:pPr>
      <w:r>
        <w:rPr>
          <w:lang w:eastAsia="en-US"/>
        </w:rPr>
        <w:t xml:space="preserve">Six </w:t>
      </w:r>
      <w:r w:rsidR="004775A0" w:rsidRPr="004775A0">
        <w:rPr>
          <w:lang w:eastAsia="en-US"/>
        </w:rPr>
        <w:t>months prior to the scheduled review date</w:t>
      </w:r>
      <w:r>
        <w:rPr>
          <w:lang w:eastAsia="en-US"/>
        </w:rPr>
        <w:t xml:space="preserve"> </w:t>
      </w:r>
      <w:r w:rsidR="00C60256">
        <w:rPr>
          <w:lang w:eastAsia="en-US"/>
        </w:rPr>
        <w:t xml:space="preserve">the </w:t>
      </w:r>
      <w:r>
        <w:rPr>
          <w:lang w:eastAsia="en-US"/>
        </w:rPr>
        <w:t>credentialing team</w:t>
      </w:r>
      <w:r w:rsidR="004775A0" w:rsidRPr="004775A0">
        <w:rPr>
          <w:lang w:eastAsia="en-US"/>
        </w:rPr>
        <w:t xml:space="preserve"> notifies the SMDP of the date by which the scheduled review is </w:t>
      </w:r>
      <w:r w:rsidR="00C60256">
        <w:rPr>
          <w:lang w:eastAsia="en-US"/>
        </w:rPr>
        <w:t>must be completed.</w:t>
      </w:r>
    </w:p>
    <w:p w14:paraId="4F3E88F9" w14:textId="3372A054" w:rsidR="004775A0" w:rsidRPr="004775A0" w:rsidRDefault="004775A0" w:rsidP="006F21AF">
      <w:pPr>
        <w:pStyle w:val="Heading7"/>
        <w:rPr>
          <w:rFonts w:eastAsia="Times New Roman"/>
          <w:lang w:eastAsia="en-US"/>
        </w:rPr>
      </w:pPr>
      <w:r w:rsidRPr="1ECE2995">
        <w:rPr>
          <w:rFonts w:eastAsia="Times New Roman"/>
          <w:lang w:eastAsia="en-US"/>
        </w:rPr>
        <w:t xml:space="preserve">Step 2 – Submission of application </w:t>
      </w:r>
    </w:p>
    <w:p w14:paraId="2D199D76" w14:textId="3C39BFB1" w:rsidR="004775A0" w:rsidRPr="004775A0" w:rsidRDefault="004775A0" w:rsidP="006F21AF">
      <w:pPr>
        <w:pStyle w:val="Bullet"/>
        <w:rPr>
          <w:lang w:eastAsia="en-US"/>
        </w:rPr>
      </w:pPr>
      <w:r w:rsidRPr="004775A0">
        <w:rPr>
          <w:lang w:eastAsia="en-US"/>
        </w:rPr>
        <w:t xml:space="preserve">The SMDP applies for re-credentialing and review of scope of clinical practice via the </w:t>
      </w:r>
      <w:r w:rsidR="00C60256">
        <w:rPr>
          <w:lang w:eastAsia="en-US"/>
        </w:rPr>
        <w:t>electronic credentialing platform.</w:t>
      </w:r>
      <w:r w:rsidRPr="004775A0">
        <w:rPr>
          <w:lang w:eastAsia="en-US"/>
        </w:rPr>
        <w:t xml:space="preserve"> </w:t>
      </w:r>
    </w:p>
    <w:p w14:paraId="4ABA8C03" w14:textId="5A107B19" w:rsidR="004775A0" w:rsidRPr="004775A0" w:rsidRDefault="004775A0" w:rsidP="006F21AF">
      <w:pPr>
        <w:pStyle w:val="Bullet"/>
        <w:rPr>
          <w:lang w:eastAsia="en-US"/>
        </w:rPr>
      </w:pPr>
      <w:r w:rsidRPr="004775A0">
        <w:rPr>
          <w:lang w:eastAsia="en-US"/>
        </w:rPr>
        <w:t xml:space="preserve">The scheduled review application must be fully completed, signed, and include current evidence of continual professional development as well as any other information pertinent to the MDAAC review of credentials. </w:t>
      </w:r>
    </w:p>
    <w:p w14:paraId="719A2840" w14:textId="48DEF23A" w:rsidR="004775A0" w:rsidRPr="004775A0" w:rsidRDefault="004775A0" w:rsidP="006F21AF">
      <w:pPr>
        <w:pStyle w:val="Bullet"/>
        <w:rPr>
          <w:lang w:eastAsia="en-US"/>
        </w:rPr>
      </w:pPr>
      <w:r w:rsidRPr="004775A0">
        <w:rPr>
          <w:lang w:eastAsia="en-US"/>
        </w:rPr>
        <w:t xml:space="preserve">The SMDP submits the application to </w:t>
      </w:r>
      <w:r w:rsidR="000E4B17">
        <w:rPr>
          <w:lang w:eastAsia="en-US"/>
        </w:rPr>
        <w:t xml:space="preserve">the </w:t>
      </w:r>
      <w:r w:rsidR="002C3BE8">
        <w:rPr>
          <w:lang w:eastAsia="en-US"/>
        </w:rPr>
        <w:t>c</w:t>
      </w:r>
      <w:r w:rsidR="000E4B17">
        <w:rPr>
          <w:lang w:eastAsia="en-US"/>
        </w:rPr>
        <w:t>redentialing team</w:t>
      </w:r>
      <w:r w:rsidRPr="004775A0">
        <w:rPr>
          <w:lang w:eastAsia="en-US"/>
        </w:rPr>
        <w:t xml:space="preserve">. </w:t>
      </w:r>
    </w:p>
    <w:p w14:paraId="44A8064B" w14:textId="4F9007A7" w:rsidR="004775A0" w:rsidRPr="004775A0" w:rsidRDefault="004775A0" w:rsidP="006F21AF">
      <w:pPr>
        <w:pStyle w:val="Heading7"/>
        <w:rPr>
          <w:rFonts w:eastAsia="Times New Roman"/>
          <w:lang w:eastAsia="en-US"/>
        </w:rPr>
      </w:pPr>
      <w:r w:rsidRPr="1ECE2995">
        <w:rPr>
          <w:rFonts w:eastAsia="Times New Roman"/>
          <w:lang w:eastAsia="en-US"/>
        </w:rPr>
        <w:t xml:space="preserve">Step 3 – </w:t>
      </w:r>
      <w:r w:rsidR="0066415C">
        <w:rPr>
          <w:rFonts w:eastAsia="Times New Roman"/>
          <w:lang w:eastAsia="en-US"/>
        </w:rPr>
        <w:t xml:space="preserve">Receipt and </w:t>
      </w:r>
      <w:r w:rsidRPr="1ECE2995">
        <w:rPr>
          <w:rFonts w:eastAsia="Times New Roman"/>
          <w:lang w:eastAsia="en-US"/>
        </w:rPr>
        <w:t>Collation of application package</w:t>
      </w:r>
      <w:r w:rsidR="0066415C">
        <w:rPr>
          <w:rFonts w:eastAsia="Times New Roman"/>
          <w:lang w:eastAsia="en-US"/>
        </w:rPr>
        <w:t xml:space="preserve"> by the credentialing team</w:t>
      </w:r>
      <w:r w:rsidRPr="1ECE2995">
        <w:rPr>
          <w:rFonts w:eastAsia="Times New Roman"/>
          <w:lang w:eastAsia="en-US"/>
        </w:rPr>
        <w:t xml:space="preserve"> for MDAAC </w:t>
      </w:r>
    </w:p>
    <w:p w14:paraId="7D065292" w14:textId="02741D7A" w:rsidR="004775A0" w:rsidRPr="004775A0" w:rsidRDefault="000E4B17" w:rsidP="00EA6E48">
      <w:pPr>
        <w:pStyle w:val="Bullet"/>
        <w:rPr>
          <w:lang w:eastAsia="en-US"/>
        </w:rPr>
      </w:pPr>
      <w:r>
        <w:rPr>
          <w:lang w:eastAsia="en-US"/>
        </w:rPr>
        <w:t>Credentialing manager</w:t>
      </w:r>
      <w:r w:rsidRPr="004775A0">
        <w:rPr>
          <w:lang w:eastAsia="en-US"/>
        </w:rPr>
        <w:t xml:space="preserve"> </w:t>
      </w:r>
      <w:r w:rsidR="004775A0" w:rsidRPr="004775A0">
        <w:rPr>
          <w:lang w:eastAsia="en-US"/>
        </w:rPr>
        <w:t>reviews completeness of application package.</w:t>
      </w:r>
    </w:p>
    <w:p w14:paraId="769A9762" w14:textId="3B9B7669" w:rsidR="004775A0" w:rsidRPr="004775A0" w:rsidRDefault="002C3BE8" w:rsidP="00EA6E48">
      <w:pPr>
        <w:pStyle w:val="Bullet"/>
        <w:rPr>
          <w:lang w:eastAsia="en-US"/>
        </w:rPr>
      </w:pPr>
      <w:r>
        <w:rPr>
          <w:lang w:eastAsia="en-US"/>
        </w:rPr>
        <w:t>C</w:t>
      </w:r>
      <w:r w:rsidR="000E4B17">
        <w:rPr>
          <w:lang w:eastAsia="en-US"/>
        </w:rPr>
        <w:t>redentialing team</w:t>
      </w:r>
      <w:r w:rsidR="000E4B17" w:rsidRPr="004775A0">
        <w:rPr>
          <w:lang w:eastAsia="en-US"/>
        </w:rPr>
        <w:t xml:space="preserve"> </w:t>
      </w:r>
      <w:r w:rsidR="004775A0" w:rsidRPr="004775A0">
        <w:rPr>
          <w:lang w:eastAsia="en-US"/>
        </w:rPr>
        <w:t>seeks the following referee reports:</w:t>
      </w:r>
    </w:p>
    <w:p w14:paraId="23AE7D9E" w14:textId="155BCD3E" w:rsidR="004775A0" w:rsidRPr="004775A0" w:rsidRDefault="004775A0" w:rsidP="00EA6E48">
      <w:pPr>
        <w:pStyle w:val="Bullet"/>
        <w:numPr>
          <w:ilvl w:val="1"/>
          <w:numId w:val="23"/>
        </w:numPr>
        <w:rPr>
          <w:lang w:eastAsia="en-US"/>
        </w:rPr>
      </w:pPr>
      <w:r w:rsidRPr="004775A0">
        <w:rPr>
          <w:lang w:eastAsia="en-US"/>
        </w:rPr>
        <w:lastRenderedPageBreak/>
        <w:t>References will be obtained from at least one professional peer referee who is independent of the applicant, with no conflict of interest, and who can attest to the applicant’s clinical performance within the previous three years (i.e., since the initial credentialing and defining of scope of clinical</w:t>
      </w:r>
      <w:r w:rsidRPr="004775A0">
        <w:rPr>
          <w:spacing w:val="-7"/>
          <w:lang w:eastAsia="en-US"/>
        </w:rPr>
        <w:t xml:space="preserve"> </w:t>
      </w:r>
      <w:r w:rsidRPr="004775A0">
        <w:rPr>
          <w:lang w:eastAsia="en-US"/>
        </w:rPr>
        <w:t>practice)</w:t>
      </w:r>
      <w:r w:rsidR="00961CD2">
        <w:rPr>
          <w:lang w:eastAsia="en-US"/>
        </w:rPr>
        <w:t>.</w:t>
      </w:r>
    </w:p>
    <w:p w14:paraId="7815E957" w14:textId="47EFCA99" w:rsidR="004775A0" w:rsidRPr="004775A0" w:rsidRDefault="004775A0" w:rsidP="00EA6E48">
      <w:pPr>
        <w:pStyle w:val="Bullet"/>
        <w:numPr>
          <w:ilvl w:val="1"/>
          <w:numId w:val="23"/>
        </w:numPr>
        <w:rPr>
          <w:lang w:eastAsia="en-US"/>
        </w:rPr>
      </w:pPr>
      <w:r w:rsidRPr="004775A0">
        <w:rPr>
          <w:lang w:eastAsia="en-US"/>
        </w:rPr>
        <w:t>In addition, a recent performance review report or reference from the SMDP’s line manager is to be sought.</w:t>
      </w:r>
    </w:p>
    <w:p w14:paraId="7BA5B1BA" w14:textId="77777777" w:rsidR="004775A0" w:rsidRPr="004775A0" w:rsidRDefault="004775A0" w:rsidP="00EA6E48">
      <w:pPr>
        <w:pStyle w:val="Bullet"/>
        <w:numPr>
          <w:ilvl w:val="1"/>
          <w:numId w:val="23"/>
        </w:numPr>
        <w:rPr>
          <w:lang w:eastAsia="en-US"/>
        </w:rPr>
      </w:pPr>
      <w:r w:rsidRPr="004775A0">
        <w:rPr>
          <w:lang w:eastAsia="en-US"/>
        </w:rPr>
        <w:t xml:space="preserve">When a SMDP works in </w:t>
      </w:r>
      <w:r w:rsidRPr="004775A0">
        <w:rPr>
          <w:b/>
          <w:lang w:eastAsia="en-US"/>
        </w:rPr>
        <w:t xml:space="preserve">multiple </w:t>
      </w:r>
      <w:r w:rsidRPr="004775A0">
        <w:rPr>
          <w:lang w:eastAsia="en-US"/>
        </w:rPr>
        <w:t>health care facilities, referee reports will be requested from the SMDP’s managers at the principal health care facility and at least one other health care</w:t>
      </w:r>
      <w:r w:rsidRPr="004775A0">
        <w:rPr>
          <w:spacing w:val="-1"/>
          <w:lang w:eastAsia="en-US"/>
        </w:rPr>
        <w:t xml:space="preserve"> </w:t>
      </w:r>
      <w:r w:rsidRPr="004775A0">
        <w:rPr>
          <w:lang w:eastAsia="en-US"/>
        </w:rPr>
        <w:t>facility.</w:t>
      </w:r>
    </w:p>
    <w:p w14:paraId="2025A508" w14:textId="77777777" w:rsidR="00F7151A" w:rsidRPr="00EA42BD" w:rsidRDefault="00F7151A" w:rsidP="00EA6E48">
      <w:pPr>
        <w:pStyle w:val="Bullet"/>
        <w:numPr>
          <w:ilvl w:val="1"/>
          <w:numId w:val="23"/>
        </w:numPr>
        <w:rPr>
          <w:b/>
        </w:rPr>
      </w:pPr>
      <w:r w:rsidRPr="00EA42BD">
        <w:t xml:space="preserve">Referee reports </w:t>
      </w:r>
      <w:r>
        <w:t xml:space="preserve">remain </w:t>
      </w:r>
      <w:r w:rsidRPr="00EA42BD">
        <w:t xml:space="preserve">the responsibility of the applicant. If the referee reports are not received in a timely manner, the credentialing manager will advise the applicant, and the applicant must follow up the matter with their nominated referee </w:t>
      </w:r>
      <w:r>
        <w:t>providers.</w:t>
      </w:r>
    </w:p>
    <w:p w14:paraId="012A81F5" w14:textId="2FDDCD45" w:rsidR="004775A0" w:rsidRDefault="00F7151A" w:rsidP="00EA6E48">
      <w:pPr>
        <w:pStyle w:val="Bullet"/>
        <w:rPr>
          <w:lang w:eastAsia="en-US"/>
        </w:rPr>
      </w:pPr>
      <w:r>
        <w:rPr>
          <w:lang w:eastAsia="en-US"/>
        </w:rPr>
        <w:t xml:space="preserve"> </w:t>
      </w:r>
      <w:r w:rsidR="00C60256">
        <w:rPr>
          <w:lang w:eastAsia="en-US"/>
        </w:rPr>
        <w:t>The c</w:t>
      </w:r>
      <w:r w:rsidR="002C3BE8">
        <w:rPr>
          <w:lang w:eastAsia="en-US"/>
        </w:rPr>
        <w:t>redentialing</w:t>
      </w:r>
      <w:r w:rsidR="000E4B17">
        <w:rPr>
          <w:lang w:eastAsia="en-US"/>
        </w:rPr>
        <w:t xml:space="preserve"> team</w:t>
      </w:r>
      <w:r w:rsidR="000E4B17" w:rsidRPr="004775A0">
        <w:rPr>
          <w:lang w:eastAsia="en-US"/>
        </w:rPr>
        <w:t xml:space="preserve"> </w:t>
      </w:r>
      <w:r w:rsidR="004775A0" w:rsidRPr="004775A0">
        <w:rPr>
          <w:lang w:eastAsia="en-US"/>
        </w:rPr>
        <w:t>collates all material and forwards to MDAAC for consideration.</w:t>
      </w:r>
    </w:p>
    <w:p w14:paraId="56C84934" w14:textId="19FFCFA0" w:rsidR="004775A0" w:rsidRDefault="00A536F2" w:rsidP="009C5F46">
      <w:pPr>
        <w:spacing w:before="0" w:after="0" w:line="240" w:lineRule="auto"/>
        <w:contextualSpacing/>
        <w:rPr>
          <w:rFonts w:asciiTheme="minorHAnsi" w:eastAsia="Times New Roman" w:hAnsiTheme="minorHAnsi" w:cstheme="minorHAnsi"/>
          <w:b/>
          <w:bCs/>
          <w:color w:val="auto"/>
          <w:szCs w:val="20"/>
          <w:lang w:eastAsia="en-US"/>
        </w:rPr>
      </w:pPr>
      <w:r>
        <w:rPr>
          <w:rFonts w:asciiTheme="minorHAnsi" w:eastAsia="Times New Roman" w:hAnsiTheme="minorHAnsi" w:cstheme="minorHAnsi"/>
          <w:color w:val="auto"/>
          <w:szCs w:val="20"/>
          <w:lang w:eastAsia="en-US"/>
        </w:rPr>
        <w:t xml:space="preserve">Consideration by MDAAC - </w:t>
      </w:r>
      <w:r w:rsidR="00BA05E7" w:rsidRPr="008675C1">
        <w:rPr>
          <w:rFonts w:asciiTheme="minorHAnsi" w:eastAsia="Times New Roman" w:hAnsiTheme="minorHAnsi" w:cstheme="minorHAnsi"/>
          <w:color w:val="auto"/>
          <w:szCs w:val="20"/>
          <w:lang w:eastAsia="en-US"/>
        </w:rPr>
        <w:t xml:space="preserve">Refer to </w:t>
      </w:r>
      <w:r w:rsidR="00BA05E7" w:rsidRPr="00961CD2">
        <w:rPr>
          <w:rFonts w:asciiTheme="minorHAnsi" w:eastAsia="Times New Roman" w:hAnsiTheme="minorHAnsi" w:cstheme="minorHAnsi"/>
          <w:color w:val="auto"/>
          <w:szCs w:val="20"/>
          <w:lang w:eastAsia="en-US"/>
        </w:rPr>
        <w:t xml:space="preserve">Section 4 Initial </w:t>
      </w:r>
      <w:r w:rsidR="00961CD2">
        <w:rPr>
          <w:rFonts w:asciiTheme="minorHAnsi" w:eastAsia="Times New Roman" w:hAnsiTheme="minorHAnsi" w:cstheme="minorHAnsi"/>
          <w:color w:val="auto"/>
          <w:szCs w:val="20"/>
          <w:lang w:eastAsia="en-US"/>
        </w:rPr>
        <w:t>C</w:t>
      </w:r>
      <w:r w:rsidR="00BA05E7" w:rsidRPr="00A536F2">
        <w:rPr>
          <w:rFonts w:asciiTheme="minorHAnsi" w:eastAsia="Times New Roman" w:hAnsiTheme="minorHAnsi" w:cstheme="minorHAnsi"/>
          <w:color w:val="auto"/>
          <w:szCs w:val="20"/>
          <w:lang w:eastAsia="en-US"/>
        </w:rPr>
        <w:t>redentialing</w:t>
      </w:r>
      <w:r w:rsidR="00BA05E7" w:rsidRPr="00961CD2">
        <w:rPr>
          <w:rFonts w:asciiTheme="minorHAnsi" w:eastAsia="Times New Roman" w:hAnsiTheme="minorHAnsi" w:cstheme="minorHAnsi"/>
          <w:color w:val="auto"/>
          <w:szCs w:val="20"/>
          <w:lang w:eastAsia="en-US"/>
        </w:rPr>
        <w:t xml:space="preserve"> process</w:t>
      </w:r>
      <w:r w:rsidR="00BA05E7" w:rsidRPr="008675C1">
        <w:rPr>
          <w:rFonts w:asciiTheme="minorHAnsi" w:eastAsia="Times New Roman" w:hAnsiTheme="minorHAnsi" w:cstheme="minorHAnsi"/>
          <w:color w:val="auto"/>
          <w:szCs w:val="20"/>
          <w:lang w:eastAsia="en-US"/>
        </w:rPr>
        <w:t xml:space="preserve"> </w:t>
      </w:r>
      <w:r w:rsidR="005D6E90">
        <w:rPr>
          <w:rFonts w:asciiTheme="minorHAnsi" w:eastAsia="Times New Roman" w:hAnsiTheme="minorHAnsi" w:cstheme="minorHAnsi"/>
          <w:color w:val="auto"/>
          <w:szCs w:val="20"/>
          <w:lang w:eastAsia="en-US"/>
        </w:rPr>
        <w:t>(</w:t>
      </w:r>
      <w:r w:rsidR="00BA05E7" w:rsidRPr="008675C1">
        <w:rPr>
          <w:rFonts w:asciiTheme="minorHAnsi" w:eastAsia="Times New Roman" w:hAnsiTheme="minorHAnsi" w:cstheme="minorHAnsi"/>
          <w:color w:val="auto"/>
          <w:szCs w:val="20"/>
          <w:lang w:eastAsia="en-US"/>
        </w:rPr>
        <w:t>steps</w:t>
      </w:r>
      <w:r w:rsidR="005D6E90">
        <w:rPr>
          <w:rFonts w:asciiTheme="minorHAnsi" w:eastAsia="Times New Roman" w:hAnsiTheme="minorHAnsi" w:cstheme="minorHAnsi"/>
          <w:color w:val="auto"/>
          <w:szCs w:val="20"/>
          <w:lang w:eastAsia="en-US"/>
        </w:rPr>
        <w:t xml:space="preserve"> 4 to 7)</w:t>
      </w:r>
      <w:r w:rsidR="00BA05E7" w:rsidRPr="008675C1">
        <w:rPr>
          <w:rFonts w:asciiTheme="minorHAnsi" w:eastAsia="Times New Roman" w:hAnsiTheme="minorHAnsi" w:cstheme="minorHAnsi"/>
          <w:b/>
          <w:bCs/>
          <w:color w:val="auto"/>
          <w:szCs w:val="20"/>
          <w:lang w:eastAsia="en-US"/>
        </w:rPr>
        <w:t>.</w:t>
      </w:r>
      <w:r w:rsidR="00BA05E7">
        <w:rPr>
          <w:rFonts w:asciiTheme="minorHAnsi" w:eastAsia="Times New Roman" w:hAnsiTheme="minorHAnsi" w:cstheme="minorHAnsi"/>
          <w:b/>
          <w:bCs/>
          <w:color w:val="auto"/>
          <w:szCs w:val="20"/>
          <w:lang w:eastAsia="en-US"/>
        </w:rPr>
        <w:t xml:space="preserve"> </w:t>
      </w:r>
    </w:p>
    <w:p w14:paraId="047E1283" w14:textId="77777777" w:rsidR="009C36C5" w:rsidRDefault="009C36C5" w:rsidP="009C36C5">
      <w:pPr>
        <w:pStyle w:val="BodyCopy"/>
      </w:pPr>
      <w:hyperlink w:anchor="_top" w:history="1">
        <w:r w:rsidRPr="00481A6C">
          <w:rPr>
            <w:rStyle w:val="Hyperlink"/>
            <w:iCs w:val="0"/>
          </w:rPr>
          <w:t>Back to Contents</w:t>
        </w:r>
      </w:hyperlink>
    </w:p>
    <w:p w14:paraId="476B888A" w14:textId="3ACFABE8" w:rsidR="00A2194F" w:rsidRPr="0064576E" w:rsidRDefault="009C36C5" w:rsidP="0064576E">
      <w:pPr>
        <w:pStyle w:val="Heading4"/>
      </w:pPr>
      <w:bookmarkStart w:id="11" w:name="_Toc221116389"/>
      <w:r w:rsidRPr="0078367D">
        <w:t xml:space="preserve">Section </w:t>
      </w:r>
      <w:r w:rsidR="0007524F">
        <w:t>7</w:t>
      </w:r>
      <w:r w:rsidRPr="0078367D">
        <w:t xml:space="preserve"> </w:t>
      </w:r>
      <w:r>
        <w:t>–</w:t>
      </w:r>
      <w:r w:rsidRPr="0078367D">
        <w:t xml:space="preserve"> </w:t>
      </w:r>
      <w:r w:rsidR="00A2194F">
        <w:t>Overdue Credentialing</w:t>
      </w:r>
      <w:bookmarkEnd w:id="11"/>
      <w:r w:rsidR="00A2194F">
        <w:t xml:space="preserve"> </w:t>
      </w:r>
    </w:p>
    <w:p w14:paraId="068E9494" w14:textId="09A62F26" w:rsidR="00A2194F" w:rsidRPr="00A2194F" w:rsidRDefault="00A2194F" w:rsidP="00EA6E48">
      <w:pPr>
        <w:pStyle w:val="BodyCopy"/>
        <w:rPr>
          <w:lang w:eastAsia="en-US"/>
        </w:rPr>
      </w:pPr>
      <w:r w:rsidRPr="00A2194F">
        <w:rPr>
          <w:lang w:eastAsia="en-US"/>
        </w:rPr>
        <w:t xml:space="preserve">The credentialing team will notify the SMDP that they are due for re-credentialing at least six months prior to the due date. </w:t>
      </w:r>
    </w:p>
    <w:p w14:paraId="77E85E01" w14:textId="43BD108C" w:rsidR="00A2194F" w:rsidRPr="00A2194F" w:rsidRDefault="00A2194F" w:rsidP="00EA6E48">
      <w:pPr>
        <w:pStyle w:val="BodyCopy"/>
        <w:rPr>
          <w:lang w:eastAsia="en-US"/>
        </w:rPr>
      </w:pPr>
      <w:r w:rsidRPr="00A2194F">
        <w:rPr>
          <w:lang w:eastAsia="en-US"/>
        </w:rPr>
        <w:t xml:space="preserve">The credentialing team will continue to notify the SMDP that their re-credentialing is overdue each month. </w:t>
      </w:r>
    </w:p>
    <w:p w14:paraId="37202B87" w14:textId="350A1DCC" w:rsidR="00A2194F" w:rsidRPr="00A2194F" w:rsidRDefault="00A2194F" w:rsidP="00EA6E48">
      <w:pPr>
        <w:pStyle w:val="BodyCopy"/>
        <w:rPr>
          <w:lang w:eastAsia="en-US"/>
        </w:rPr>
      </w:pPr>
      <w:r w:rsidRPr="00A2194F">
        <w:rPr>
          <w:lang w:eastAsia="en-US"/>
        </w:rPr>
        <w:t xml:space="preserve">If the SMDP has not submitted the necessary documentation within </w:t>
      </w:r>
      <w:r w:rsidR="0040380F">
        <w:rPr>
          <w:lang w:eastAsia="en-US"/>
        </w:rPr>
        <w:t xml:space="preserve">one </w:t>
      </w:r>
      <w:r w:rsidRPr="00A2194F">
        <w:rPr>
          <w:lang w:eastAsia="en-US"/>
        </w:rPr>
        <w:t xml:space="preserve">month of being notified, </w:t>
      </w:r>
      <w:r w:rsidR="00FD5B95">
        <w:rPr>
          <w:lang w:eastAsia="en-US"/>
        </w:rPr>
        <w:t>chair of the relevant MDA</w:t>
      </w:r>
      <w:r w:rsidR="00A536F2">
        <w:rPr>
          <w:lang w:eastAsia="en-US"/>
        </w:rPr>
        <w:t>A</w:t>
      </w:r>
      <w:r w:rsidR="00FD5B95">
        <w:rPr>
          <w:lang w:eastAsia="en-US"/>
        </w:rPr>
        <w:t>C</w:t>
      </w:r>
      <w:r w:rsidRPr="00A2194F">
        <w:rPr>
          <w:lang w:eastAsia="en-US"/>
        </w:rPr>
        <w:t xml:space="preserve"> will direct the SMDP to complete their application by the due date. The unit director, executive director and divisional MDAAC member will also be notified.</w:t>
      </w:r>
    </w:p>
    <w:p w14:paraId="7AB8E774" w14:textId="5C56F82F" w:rsidR="00A2194F" w:rsidRPr="003365AD" w:rsidRDefault="00A2194F" w:rsidP="1ECE2995">
      <w:pPr>
        <w:pStyle w:val="BodyCopy"/>
        <w:rPr>
          <w:b/>
          <w:sz w:val="22"/>
          <w:szCs w:val="22"/>
          <w:lang w:eastAsia="en-US"/>
        </w:rPr>
      </w:pPr>
      <w:r w:rsidRPr="003365AD">
        <w:rPr>
          <w:b/>
          <w:lang w:eastAsia="en-US"/>
        </w:rPr>
        <w:t xml:space="preserve">If the SMDP fails to complete their application by the due date, they </w:t>
      </w:r>
      <w:r w:rsidR="005915FE" w:rsidRPr="003365AD">
        <w:rPr>
          <w:b/>
          <w:lang w:eastAsia="en-US"/>
        </w:rPr>
        <w:t xml:space="preserve">will no longer be credentialed and unable to work at CHS facilities. </w:t>
      </w:r>
    </w:p>
    <w:p w14:paraId="4659420D" w14:textId="0F7C1139" w:rsidR="00A2194F" w:rsidRDefault="00A2194F" w:rsidP="00EA6E48">
      <w:pPr>
        <w:pStyle w:val="BodyCopy"/>
        <w:rPr>
          <w:lang w:eastAsia="en-US"/>
        </w:rPr>
      </w:pPr>
      <w:r w:rsidRPr="00A2194F">
        <w:rPr>
          <w:lang w:eastAsia="en-US"/>
        </w:rPr>
        <w:t>All VMO contracts are offered subject to the VMO meeting all requirements pertaining to credentialing and scope. Failure to complete credentialing by the due date will render the contract offer void.</w:t>
      </w:r>
    </w:p>
    <w:p w14:paraId="559B6700" w14:textId="577E52E9" w:rsidR="009C36C5" w:rsidRDefault="009C36C5" w:rsidP="009C36C5">
      <w:pPr>
        <w:pStyle w:val="BodyCopy"/>
      </w:pPr>
      <w:hyperlink w:anchor="_top" w:history="1">
        <w:r w:rsidRPr="00481A6C">
          <w:rPr>
            <w:rStyle w:val="Hyperlink"/>
            <w:iCs w:val="0"/>
          </w:rPr>
          <w:t>Back to Contents</w:t>
        </w:r>
      </w:hyperlink>
    </w:p>
    <w:p w14:paraId="45CB600A" w14:textId="70DE028F" w:rsidR="009C36C5" w:rsidRDefault="009C36C5" w:rsidP="009C36C5">
      <w:pPr>
        <w:pStyle w:val="Heading4"/>
      </w:pPr>
      <w:bookmarkStart w:id="12" w:name="_Toc221116390"/>
      <w:r w:rsidRPr="0078367D">
        <w:t xml:space="preserve">Section </w:t>
      </w:r>
      <w:r w:rsidR="0007524F">
        <w:t xml:space="preserve">8 </w:t>
      </w:r>
      <w:r>
        <w:t>–</w:t>
      </w:r>
      <w:r w:rsidRPr="0078367D">
        <w:t xml:space="preserve"> </w:t>
      </w:r>
      <w:r w:rsidR="00A2194F">
        <w:t>Urgent Credentialing and Scope of Clinical Practice</w:t>
      </w:r>
      <w:bookmarkEnd w:id="12"/>
      <w:r w:rsidR="00A2194F">
        <w:t xml:space="preserve"> </w:t>
      </w:r>
    </w:p>
    <w:p w14:paraId="7B7FB0C3" w14:textId="25AD6BA2" w:rsidR="00A2194F" w:rsidRPr="00A2194F" w:rsidRDefault="00A2194F" w:rsidP="00EA6E48">
      <w:pPr>
        <w:pStyle w:val="BodyCopy"/>
        <w:rPr>
          <w:lang w:eastAsia="en-US"/>
        </w:rPr>
      </w:pPr>
      <w:r w:rsidRPr="00A2194F">
        <w:rPr>
          <w:lang w:eastAsia="en-US"/>
        </w:rPr>
        <w:t xml:space="preserve">An MDAAC Executive </w:t>
      </w:r>
      <w:r w:rsidR="005915FE">
        <w:rPr>
          <w:lang w:eastAsia="en-US"/>
        </w:rPr>
        <w:t>“</w:t>
      </w:r>
      <w:r w:rsidRPr="00A2194F">
        <w:rPr>
          <w:lang w:eastAsia="en-US"/>
        </w:rPr>
        <w:t>out of session</w:t>
      </w:r>
      <w:r w:rsidR="005915FE">
        <w:rPr>
          <w:lang w:eastAsia="en-US"/>
        </w:rPr>
        <w:t>”</w:t>
      </w:r>
      <w:r w:rsidRPr="00A2194F">
        <w:rPr>
          <w:lang w:eastAsia="en-US"/>
        </w:rPr>
        <w:t xml:space="preserve"> </w:t>
      </w:r>
      <w:r w:rsidR="005915FE">
        <w:rPr>
          <w:lang w:eastAsia="en-US"/>
        </w:rPr>
        <w:t xml:space="preserve">team </w:t>
      </w:r>
      <w:r w:rsidRPr="00A2194F">
        <w:rPr>
          <w:lang w:eastAsia="en-US"/>
        </w:rPr>
        <w:t xml:space="preserve">can be formed to make recommendations in relation to the credentialing and scope of clinical practice in response to an urgent need to </w:t>
      </w:r>
      <w:r w:rsidRPr="00A2194F">
        <w:rPr>
          <w:lang w:eastAsia="en-US"/>
        </w:rPr>
        <w:lastRenderedPageBreak/>
        <w:t xml:space="preserve">engage the services of a SMDP before the next MDAAC meeting. This only applies to temporary staff specialists and VMOs. </w:t>
      </w:r>
    </w:p>
    <w:p w14:paraId="478E3974" w14:textId="55D173C6" w:rsidR="00A2194F" w:rsidRPr="00A2194F" w:rsidRDefault="00A2194F" w:rsidP="00EA6E48">
      <w:pPr>
        <w:pStyle w:val="BodyCopy"/>
        <w:rPr>
          <w:lang w:eastAsia="en-US"/>
        </w:rPr>
      </w:pPr>
      <w:r w:rsidRPr="00A2194F">
        <w:rPr>
          <w:lang w:eastAsia="en-US"/>
        </w:rPr>
        <w:t>The MDAAC Executive must consist of the following MDAAC members</w:t>
      </w:r>
      <w:r w:rsidR="00FD5B95">
        <w:rPr>
          <w:lang w:eastAsia="en-US"/>
        </w:rPr>
        <w:t xml:space="preserve"> for CH/UCH</w:t>
      </w:r>
      <w:r w:rsidR="0022069E">
        <w:rPr>
          <w:lang w:eastAsia="en-US"/>
        </w:rPr>
        <w:t xml:space="preserve"> or cross-facility scope of clinical practice (CH and NCH):</w:t>
      </w:r>
      <w:r w:rsidRPr="00A2194F">
        <w:rPr>
          <w:lang w:eastAsia="en-US"/>
        </w:rPr>
        <w:t xml:space="preserve"> </w:t>
      </w:r>
    </w:p>
    <w:p w14:paraId="363EF1BB" w14:textId="558263ED" w:rsidR="00A2194F" w:rsidRPr="00A2194F" w:rsidRDefault="0022069E" w:rsidP="00EA6E48">
      <w:pPr>
        <w:pStyle w:val="Bullet"/>
        <w:rPr>
          <w:lang w:eastAsia="en-US"/>
        </w:rPr>
      </w:pPr>
      <w:r>
        <w:rPr>
          <w:lang w:eastAsia="en-US"/>
        </w:rPr>
        <w:t>t</w:t>
      </w:r>
      <w:r w:rsidR="00A2194F" w:rsidRPr="00A2194F">
        <w:rPr>
          <w:lang w:eastAsia="en-US"/>
        </w:rPr>
        <w:t>he Executive Director of Medical Services (EDMS) or delegate</w:t>
      </w:r>
    </w:p>
    <w:p w14:paraId="27CC5D90" w14:textId="436E81F2" w:rsidR="00A2194F" w:rsidRPr="00A2194F" w:rsidRDefault="0022069E" w:rsidP="00EA6E48">
      <w:pPr>
        <w:pStyle w:val="Bullet"/>
        <w:rPr>
          <w:lang w:eastAsia="en-US"/>
        </w:rPr>
      </w:pPr>
      <w:r>
        <w:rPr>
          <w:lang w:eastAsia="en-US"/>
        </w:rPr>
        <w:t>a</w:t>
      </w:r>
      <w:r w:rsidR="00A2194F" w:rsidRPr="00A2194F">
        <w:rPr>
          <w:lang w:eastAsia="en-US"/>
        </w:rPr>
        <w:t xml:space="preserve">n MDAAC member for the relevant division </w:t>
      </w:r>
    </w:p>
    <w:p w14:paraId="662E33DA" w14:textId="297188B9" w:rsidR="00A2194F" w:rsidRPr="00A2194F" w:rsidRDefault="0022069E" w:rsidP="00EA6E48">
      <w:pPr>
        <w:pStyle w:val="Bullet"/>
        <w:rPr>
          <w:lang w:eastAsia="en-US"/>
        </w:rPr>
      </w:pPr>
      <w:r>
        <w:rPr>
          <w:lang w:eastAsia="en-US"/>
        </w:rPr>
        <w:t>a</w:t>
      </w:r>
      <w:r w:rsidR="00A2194F" w:rsidRPr="00A2194F">
        <w:rPr>
          <w:lang w:eastAsia="en-US"/>
        </w:rPr>
        <w:t xml:space="preserve"> second MDAAC member </w:t>
      </w:r>
    </w:p>
    <w:p w14:paraId="562B82CF" w14:textId="1D680061" w:rsidR="00FD5B95" w:rsidRDefault="0022069E" w:rsidP="00EA6E48">
      <w:pPr>
        <w:pStyle w:val="Bullet"/>
        <w:rPr>
          <w:lang w:eastAsia="en-US"/>
        </w:rPr>
      </w:pPr>
      <w:r>
        <w:rPr>
          <w:lang w:eastAsia="en-US"/>
        </w:rPr>
        <w:t>t</w:t>
      </w:r>
      <w:r w:rsidR="00A2194F" w:rsidRPr="00A2194F">
        <w:rPr>
          <w:lang w:eastAsia="en-US"/>
        </w:rPr>
        <w:t>he Director of Medical Services - North Canberra Hospital (</w:t>
      </w:r>
      <w:r>
        <w:rPr>
          <w:lang w:eastAsia="en-US"/>
        </w:rPr>
        <w:t>f</w:t>
      </w:r>
      <w:r w:rsidR="00A2194F" w:rsidRPr="00A2194F">
        <w:rPr>
          <w:lang w:eastAsia="en-US"/>
        </w:rPr>
        <w:t>or cross territory scope of clinical practice only).</w:t>
      </w:r>
    </w:p>
    <w:p w14:paraId="6B78CD1C" w14:textId="018C0AAD" w:rsidR="00A2194F" w:rsidRDefault="00A2194F" w:rsidP="00EA6E48">
      <w:pPr>
        <w:pStyle w:val="BodyCopy"/>
      </w:pPr>
      <w:r w:rsidRPr="00A2194F">
        <w:rPr>
          <w:lang w:eastAsia="en-US"/>
        </w:rPr>
        <w:t xml:space="preserve">These approvals must be tabled at the next MDAAC meeting for the purposes of governance and notification to the committee. </w:t>
      </w:r>
    </w:p>
    <w:p w14:paraId="21817AFF" w14:textId="77777777" w:rsidR="009C36C5" w:rsidRDefault="009C36C5" w:rsidP="009C36C5">
      <w:pPr>
        <w:pStyle w:val="BodyCopy"/>
      </w:pPr>
      <w:hyperlink w:anchor="_top" w:history="1">
        <w:r w:rsidRPr="00481A6C">
          <w:rPr>
            <w:rStyle w:val="Hyperlink"/>
            <w:iCs w:val="0"/>
          </w:rPr>
          <w:t>Back to Contents</w:t>
        </w:r>
      </w:hyperlink>
    </w:p>
    <w:p w14:paraId="68325EE7" w14:textId="35D801F4" w:rsidR="00F73D01" w:rsidRPr="0064576E" w:rsidRDefault="009C36C5" w:rsidP="0064576E">
      <w:pPr>
        <w:pStyle w:val="Heading4"/>
      </w:pPr>
      <w:bookmarkStart w:id="13" w:name="_Toc221116391"/>
      <w:r w:rsidRPr="0078367D">
        <w:t xml:space="preserve">Section </w:t>
      </w:r>
      <w:r w:rsidR="0007524F">
        <w:t>9</w:t>
      </w:r>
      <w:r w:rsidRPr="0078367D">
        <w:t xml:space="preserve"> </w:t>
      </w:r>
      <w:r>
        <w:t>–</w:t>
      </w:r>
      <w:r w:rsidRPr="0078367D">
        <w:t xml:space="preserve"> </w:t>
      </w:r>
      <w:r w:rsidR="00EA42BD">
        <w:t>MDAAC Subcommittee – Extraordinary review</w:t>
      </w:r>
      <w:bookmarkEnd w:id="13"/>
    </w:p>
    <w:p w14:paraId="4127FF49" w14:textId="77777777" w:rsidR="00F73D01" w:rsidRPr="0064576E" w:rsidRDefault="00F73D01" w:rsidP="00EA6E48">
      <w:pPr>
        <w:pStyle w:val="BodyCopy"/>
        <w:rPr>
          <w:lang w:eastAsia="en-US"/>
        </w:rPr>
      </w:pPr>
      <w:r w:rsidRPr="0064576E">
        <w:rPr>
          <w:lang w:eastAsia="en-US"/>
        </w:rPr>
        <w:t>Clinical competence is a broad term describing the demonstrated ability to provide health care services at an expected level of safety and quality.</w:t>
      </w:r>
    </w:p>
    <w:p w14:paraId="3A3F5B34" w14:textId="77777777" w:rsidR="001052BC" w:rsidRDefault="00F73D01" w:rsidP="00EA6E48">
      <w:pPr>
        <w:pStyle w:val="BodyCopy"/>
        <w:rPr>
          <w:lang w:eastAsia="en-US"/>
        </w:rPr>
      </w:pPr>
      <w:r w:rsidRPr="0064576E">
        <w:rPr>
          <w:lang w:eastAsia="en-US"/>
        </w:rPr>
        <w:t>The act of credentialing, and the subsequent ability to practice in a scope of clinical practice, involves delineating the extent of an individual medical practitioner’s clinical practice within a particular organisation based on</w:t>
      </w:r>
      <w:r w:rsidR="001052BC">
        <w:rPr>
          <w:lang w:eastAsia="en-US"/>
        </w:rPr>
        <w:t>:</w:t>
      </w:r>
    </w:p>
    <w:p w14:paraId="6CA7259B" w14:textId="52B9BAC8" w:rsidR="00F73D01" w:rsidRPr="0064576E" w:rsidRDefault="00F73D01" w:rsidP="00DA24EB">
      <w:pPr>
        <w:pStyle w:val="Bullet"/>
        <w:rPr>
          <w:lang w:eastAsia="en-US"/>
        </w:rPr>
      </w:pPr>
      <w:r w:rsidRPr="0064576E">
        <w:rPr>
          <w:lang w:eastAsia="en-US"/>
        </w:rPr>
        <w:t xml:space="preserve"> the individual’s:</w:t>
      </w:r>
    </w:p>
    <w:p w14:paraId="635AA9DC" w14:textId="61B07442" w:rsidR="00F73D01" w:rsidRPr="0064576E" w:rsidRDefault="001052BC" w:rsidP="00DA24EB">
      <w:pPr>
        <w:pStyle w:val="Bullet"/>
        <w:numPr>
          <w:ilvl w:val="1"/>
          <w:numId w:val="23"/>
        </w:numPr>
        <w:rPr>
          <w:lang w:eastAsia="en-US"/>
        </w:rPr>
      </w:pPr>
      <w:r>
        <w:rPr>
          <w:lang w:eastAsia="en-US"/>
        </w:rPr>
        <w:t>c</w:t>
      </w:r>
      <w:r w:rsidR="00F73D01" w:rsidRPr="0064576E">
        <w:rPr>
          <w:lang w:eastAsia="en-US"/>
        </w:rPr>
        <w:t>redentials</w:t>
      </w:r>
    </w:p>
    <w:p w14:paraId="2833552F" w14:textId="23428052" w:rsidR="00F73D01" w:rsidRPr="0064576E" w:rsidRDefault="001052BC" w:rsidP="00DA24EB">
      <w:pPr>
        <w:pStyle w:val="Bullet"/>
        <w:numPr>
          <w:ilvl w:val="1"/>
          <w:numId w:val="23"/>
        </w:numPr>
        <w:rPr>
          <w:lang w:eastAsia="en-US"/>
        </w:rPr>
      </w:pPr>
      <w:r>
        <w:rPr>
          <w:lang w:eastAsia="en-US"/>
        </w:rPr>
        <w:t>c</w:t>
      </w:r>
      <w:r w:rsidR="00F73D01" w:rsidRPr="0064576E">
        <w:rPr>
          <w:lang w:eastAsia="en-US"/>
        </w:rPr>
        <w:t>ompetence</w:t>
      </w:r>
    </w:p>
    <w:p w14:paraId="5457B401" w14:textId="1402D3E9" w:rsidR="00F73D01" w:rsidRPr="0064576E" w:rsidRDefault="001052BC" w:rsidP="00DA24EB">
      <w:pPr>
        <w:pStyle w:val="Bullet"/>
        <w:numPr>
          <w:ilvl w:val="1"/>
          <w:numId w:val="23"/>
        </w:numPr>
        <w:rPr>
          <w:lang w:eastAsia="en-US"/>
        </w:rPr>
      </w:pPr>
      <w:r>
        <w:rPr>
          <w:lang w:eastAsia="en-US"/>
        </w:rPr>
        <w:t>p</w:t>
      </w:r>
      <w:r w:rsidR="00F73D01" w:rsidRPr="0064576E">
        <w:rPr>
          <w:lang w:eastAsia="en-US"/>
        </w:rPr>
        <w:t>erformance and professional suitability</w:t>
      </w:r>
    </w:p>
    <w:p w14:paraId="43A17297" w14:textId="2DE27691" w:rsidR="00F73D01" w:rsidRPr="0064576E" w:rsidRDefault="00F73D01" w:rsidP="00DA24EB">
      <w:pPr>
        <w:pStyle w:val="Bullet"/>
        <w:rPr>
          <w:lang w:eastAsia="en-US"/>
        </w:rPr>
      </w:pPr>
      <w:r w:rsidRPr="0064576E">
        <w:rPr>
          <w:lang w:eastAsia="en-US"/>
        </w:rPr>
        <w:t>the needs and the capability of the organisation to support the medical practitioner’s scope of clinical practice.</w:t>
      </w:r>
    </w:p>
    <w:p w14:paraId="122208B6" w14:textId="5888090F" w:rsidR="00F73D01" w:rsidRPr="0064576E" w:rsidRDefault="00F73D01" w:rsidP="00EA6E48">
      <w:pPr>
        <w:pStyle w:val="BodyCopy"/>
        <w:rPr>
          <w:lang w:eastAsia="en-US"/>
        </w:rPr>
      </w:pPr>
      <w:r w:rsidRPr="0064576E">
        <w:rPr>
          <w:lang w:eastAsia="en-US"/>
        </w:rPr>
        <w:t xml:space="preserve">On occasions practitioners may be referred to the </w:t>
      </w:r>
      <w:r w:rsidR="001052BC">
        <w:rPr>
          <w:lang w:eastAsia="en-US"/>
        </w:rPr>
        <w:t>MDAAC</w:t>
      </w:r>
      <w:r w:rsidRPr="0064576E">
        <w:rPr>
          <w:lang w:eastAsia="en-US"/>
        </w:rPr>
        <w:t xml:space="preserve"> for consideration of changes to their credentialing status or changes to scope of practice where clinical competence is</w:t>
      </w:r>
      <w:r w:rsidR="005915FE" w:rsidRPr="0064576E">
        <w:rPr>
          <w:lang w:eastAsia="en-US"/>
        </w:rPr>
        <w:t xml:space="preserve"> considered to be</w:t>
      </w:r>
      <w:r w:rsidRPr="0064576E">
        <w:rPr>
          <w:lang w:eastAsia="en-US"/>
        </w:rPr>
        <w:t xml:space="preserve"> an issue.</w:t>
      </w:r>
    </w:p>
    <w:p w14:paraId="786B662B" w14:textId="7A236539" w:rsidR="009C36C5" w:rsidRPr="0064576E" w:rsidRDefault="00F73D01" w:rsidP="00EA6E48">
      <w:pPr>
        <w:pStyle w:val="BodyCopy"/>
        <w:rPr>
          <w:i/>
          <w:lang w:eastAsia="en-US"/>
        </w:rPr>
      </w:pPr>
      <w:r w:rsidRPr="0064576E">
        <w:rPr>
          <w:lang w:eastAsia="en-US"/>
        </w:rPr>
        <w:t>An urgent MDAAC subcommittee may be formed to undertake a</w:t>
      </w:r>
      <w:r w:rsidR="00D92EE5" w:rsidRPr="0064576E">
        <w:rPr>
          <w:lang w:eastAsia="en-US"/>
        </w:rPr>
        <w:t>n extraordinary</w:t>
      </w:r>
      <w:r w:rsidRPr="0064576E">
        <w:rPr>
          <w:lang w:eastAsia="en-US"/>
        </w:rPr>
        <w:t xml:space="preserve"> review of the practitioner’s scope of clinical practice. The process of the review will be in accordance with the Health Act </w:t>
      </w:r>
      <w:r w:rsidRPr="00DA24EB">
        <w:rPr>
          <w:iCs w:val="0"/>
          <w:lang w:eastAsia="en-US"/>
        </w:rPr>
        <w:t>(</w:t>
      </w:r>
      <w:r w:rsidR="001052BC">
        <w:rPr>
          <w:iCs w:val="0"/>
          <w:lang w:eastAsia="en-US"/>
        </w:rPr>
        <w:t>r</w:t>
      </w:r>
      <w:r w:rsidRPr="00DA24EB">
        <w:rPr>
          <w:iCs w:val="0"/>
          <w:lang w:eastAsia="en-US"/>
        </w:rPr>
        <w:t>efer to Health Act Part 5 – Reviewing S</w:t>
      </w:r>
      <w:r w:rsidR="001052BC">
        <w:rPr>
          <w:iCs w:val="0"/>
          <w:lang w:eastAsia="en-US"/>
        </w:rPr>
        <w:t>c</w:t>
      </w:r>
      <w:r w:rsidRPr="00DA24EB">
        <w:rPr>
          <w:iCs w:val="0"/>
          <w:lang w:eastAsia="en-US"/>
        </w:rPr>
        <w:t>ope of Clinical Practice)</w:t>
      </w:r>
      <w:r w:rsidR="001052BC">
        <w:rPr>
          <w:iCs w:val="0"/>
          <w:lang w:eastAsia="en-US"/>
        </w:rPr>
        <w:t>.</w:t>
      </w:r>
    </w:p>
    <w:p w14:paraId="4BB5BA18" w14:textId="4C4ED925" w:rsidR="001F6BA0" w:rsidRDefault="009C36C5" w:rsidP="009C36C5">
      <w:pPr>
        <w:pStyle w:val="BodyCopy"/>
      </w:pPr>
      <w:hyperlink w:anchor="_top" w:history="1">
        <w:r w:rsidRPr="00481A6C">
          <w:rPr>
            <w:rStyle w:val="Hyperlink"/>
            <w:iCs w:val="0"/>
          </w:rPr>
          <w:t>Back to Contents</w:t>
        </w:r>
      </w:hyperlink>
    </w:p>
    <w:p w14:paraId="42C0A920" w14:textId="4CB77C32" w:rsidR="009C36C5" w:rsidRDefault="009C36C5" w:rsidP="009C36C5">
      <w:pPr>
        <w:pStyle w:val="Heading4"/>
      </w:pPr>
      <w:bookmarkStart w:id="14" w:name="_Toc221116392"/>
      <w:r w:rsidRPr="0078367D">
        <w:t xml:space="preserve">Section </w:t>
      </w:r>
      <w:r w:rsidR="0007524F">
        <w:t xml:space="preserve">10 </w:t>
      </w:r>
      <w:r>
        <w:t>–</w:t>
      </w:r>
      <w:r w:rsidRPr="0078367D">
        <w:t xml:space="preserve"> </w:t>
      </w:r>
      <w:r w:rsidR="00EA42BD">
        <w:t>Contracted Group Radiologist Credentialing</w:t>
      </w:r>
      <w:bookmarkEnd w:id="14"/>
    </w:p>
    <w:p w14:paraId="6888B9DD" w14:textId="292BB6FC" w:rsidR="00EA42BD" w:rsidRPr="00EA42BD" w:rsidRDefault="00EA42BD" w:rsidP="00EA6E48">
      <w:pPr>
        <w:pStyle w:val="BodyCopy"/>
        <w:rPr>
          <w:lang w:eastAsia="en-US"/>
        </w:rPr>
      </w:pPr>
      <w:r w:rsidRPr="00EA42BD">
        <w:rPr>
          <w:lang w:eastAsia="en-US"/>
        </w:rPr>
        <w:lastRenderedPageBreak/>
        <w:t>In accordance with Part 7 of the NSQHS Credentialing health practitioners and defining their scope of clinical practice: A guide for manager and practitioners (the National Guidelines)</w:t>
      </w:r>
      <w:r w:rsidR="007C0482">
        <w:rPr>
          <w:lang w:eastAsia="en-US"/>
        </w:rPr>
        <w:t xml:space="preserve"> (available at: </w:t>
      </w:r>
      <w:hyperlink r:id="rId13" w:history="1">
        <w:r w:rsidR="007C0482" w:rsidRPr="007C0482">
          <w:rPr>
            <w:rStyle w:val="Hyperlink"/>
            <w:lang w:eastAsia="en-US"/>
          </w:rPr>
          <w:t>https://www.safetyandquality.gov.au/publications-and-resources/resource-library/credentialing-health-practitioners-and-defining-their-scope-clinical-practice-guide-managers-and-practitioners</w:t>
        </w:r>
      </w:hyperlink>
      <w:r w:rsidR="007C0482">
        <w:rPr>
          <w:lang w:eastAsia="en-US"/>
        </w:rPr>
        <w:t>)</w:t>
      </w:r>
      <w:r w:rsidRPr="00EA42BD">
        <w:rPr>
          <w:lang w:eastAsia="en-US"/>
        </w:rPr>
        <w:t xml:space="preserve">, CHS has the capacity to mutually recognise credentials in other health services organisations where initial credentialing is carried out </w:t>
      </w:r>
      <w:r w:rsidRPr="00EA42BD">
        <w:rPr>
          <w:b/>
          <w:u w:val="single"/>
          <w:lang w:eastAsia="en-US"/>
        </w:rPr>
        <w:t xml:space="preserve">if </w:t>
      </w:r>
      <w:r w:rsidRPr="00EA42BD">
        <w:rPr>
          <w:lang w:eastAsia="en-US"/>
        </w:rPr>
        <w:t>that credentialing process is diligent and meets the same or similar criteria of the CHS MDAAC</w:t>
      </w:r>
      <w:r w:rsidR="006C4948">
        <w:rPr>
          <w:lang w:eastAsia="en-US"/>
        </w:rPr>
        <w:t xml:space="preserve"> </w:t>
      </w:r>
      <w:r w:rsidRPr="00EA42BD">
        <w:rPr>
          <w:lang w:eastAsia="en-US"/>
        </w:rPr>
        <w:t xml:space="preserve">requirements. </w:t>
      </w:r>
    </w:p>
    <w:p w14:paraId="5D797D22" w14:textId="39182248" w:rsidR="00EA42BD" w:rsidRPr="00EA42BD" w:rsidRDefault="00EA42BD" w:rsidP="00EA6E48">
      <w:pPr>
        <w:pStyle w:val="BodyCopy"/>
        <w:rPr>
          <w:lang w:eastAsia="en-US"/>
        </w:rPr>
      </w:pPr>
      <w:r w:rsidRPr="00EA42BD">
        <w:rPr>
          <w:lang w:eastAsia="en-US"/>
        </w:rPr>
        <w:t xml:space="preserve">Prior to this process being enacted, the contracted radiology company must provide the credentialing team with a copy of their current credentialing policy and processes for review and approval by </w:t>
      </w:r>
      <w:r w:rsidR="006A3118">
        <w:rPr>
          <w:lang w:eastAsia="en-US"/>
        </w:rPr>
        <w:t xml:space="preserve">a </w:t>
      </w:r>
      <w:r w:rsidRPr="00EA42BD">
        <w:rPr>
          <w:lang w:eastAsia="en-US"/>
        </w:rPr>
        <w:t xml:space="preserve">CHS MDAAC. </w:t>
      </w:r>
    </w:p>
    <w:p w14:paraId="761C96D8" w14:textId="77777777" w:rsidR="00EA42BD" w:rsidRPr="00EA42BD" w:rsidRDefault="00EA42BD" w:rsidP="00EA6E48">
      <w:pPr>
        <w:pStyle w:val="BodyCopy"/>
        <w:rPr>
          <w:lang w:eastAsia="en-US"/>
        </w:rPr>
      </w:pPr>
      <w:r w:rsidRPr="00EA42BD">
        <w:rPr>
          <w:lang w:eastAsia="en-US"/>
        </w:rPr>
        <w:t xml:space="preserve">If the credentialing process for the contracted radiology company does not meet the same or similar standards as the CHS MDAAC and is not agreed by the CHS MDAAC, this part of the policy does not apply, and the contracted group radiologists must go through normal credentialing and re-credentialing processes. </w:t>
      </w:r>
    </w:p>
    <w:p w14:paraId="781BC059" w14:textId="312A7FDB" w:rsidR="00EA42BD" w:rsidRPr="00EA42BD" w:rsidRDefault="00EA42BD" w:rsidP="00EA6E48">
      <w:pPr>
        <w:pStyle w:val="BodyCopy"/>
        <w:rPr>
          <w:lang w:eastAsia="en-US"/>
        </w:rPr>
      </w:pPr>
      <w:r w:rsidRPr="00EA42BD">
        <w:rPr>
          <w:lang w:eastAsia="en-US"/>
        </w:rPr>
        <w:t>The contracted radiology company must provide</w:t>
      </w:r>
      <w:r w:rsidR="005915FE">
        <w:rPr>
          <w:lang w:eastAsia="en-US"/>
        </w:rPr>
        <w:t xml:space="preserve"> the </w:t>
      </w:r>
      <w:r w:rsidR="001F6BA0">
        <w:rPr>
          <w:lang w:eastAsia="en-US"/>
        </w:rPr>
        <w:t>credentialing team</w:t>
      </w:r>
      <w:r w:rsidR="001F6BA0" w:rsidRPr="00EA42BD">
        <w:rPr>
          <w:lang w:eastAsia="en-US"/>
        </w:rPr>
        <w:t xml:space="preserve"> </w:t>
      </w:r>
      <w:r w:rsidRPr="00EA42BD">
        <w:rPr>
          <w:lang w:eastAsia="en-US"/>
        </w:rPr>
        <w:t xml:space="preserve">with evidence of the credentialing outcome for each contract group radiologist </w:t>
      </w:r>
      <w:r w:rsidR="006A3118">
        <w:rPr>
          <w:lang w:eastAsia="en-US"/>
        </w:rPr>
        <w:t xml:space="preserve">who </w:t>
      </w:r>
      <w:r w:rsidRPr="00EA42BD">
        <w:rPr>
          <w:lang w:eastAsia="en-US"/>
        </w:rPr>
        <w:t xml:space="preserve">will be providing online reporting for CHS. MDAAC remains responsible for defining the scope of clinical practice for each contracted group radiologist and checking with AHPRA to ensure current and appropriate registration status. </w:t>
      </w:r>
    </w:p>
    <w:p w14:paraId="66B2BAEE" w14:textId="486084A6" w:rsidR="00EA42BD" w:rsidRPr="00EA42BD" w:rsidRDefault="00EA42BD" w:rsidP="00EA6E48">
      <w:pPr>
        <w:pStyle w:val="BodyCopy"/>
        <w:rPr>
          <w:lang w:eastAsia="en-US"/>
        </w:rPr>
      </w:pPr>
      <w:r w:rsidRPr="00EA42BD">
        <w:rPr>
          <w:lang w:eastAsia="en-US"/>
        </w:rPr>
        <w:t>Documentation required for group contracted radiologists to be considered for a scope of practice at CHS</w:t>
      </w:r>
      <w:r w:rsidR="007C0482">
        <w:rPr>
          <w:lang w:eastAsia="en-US"/>
        </w:rPr>
        <w:t xml:space="preserve"> includes</w:t>
      </w:r>
      <w:r w:rsidRPr="00EA42BD">
        <w:rPr>
          <w:lang w:eastAsia="en-US"/>
        </w:rPr>
        <w:t>:</w:t>
      </w:r>
    </w:p>
    <w:p w14:paraId="71BA3864" w14:textId="0D65E6C2" w:rsidR="00EA42BD" w:rsidRPr="00EA42BD" w:rsidRDefault="007C0482" w:rsidP="00EA6E48">
      <w:pPr>
        <w:pStyle w:val="Bullet"/>
        <w:rPr>
          <w:lang w:eastAsia="en-US"/>
        </w:rPr>
      </w:pPr>
      <w:r>
        <w:rPr>
          <w:lang w:eastAsia="en-US"/>
        </w:rPr>
        <w:t>c</w:t>
      </w:r>
      <w:r w:rsidR="00EA42BD" w:rsidRPr="00EA42BD">
        <w:rPr>
          <w:lang w:eastAsia="en-US"/>
        </w:rPr>
        <w:t>onfirmation letter of successful credentialing from the respective contracted company’s credentialing committee (letter to state individuals name).</w:t>
      </w:r>
    </w:p>
    <w:p w14:paraId="10123ECE" w14:textId="1D9522E9" w:rsidR="00EA42BD" w:rsidRPr="00EA42BD" w:rsidRDefault="007C0482" w:rsidP="00EA6E48">
      <w:pPr>
        <w:pStyle w:val="Bullet"/>
        <w:rPr>
          <w:lang w:eastAsia="en-US"/>
        </w:rPr>
      </w:pPr>
      <w:r>
        <w:rPr>
          <w:lang w:eastAsia="en-US"/>
        </w:rPr>
        <w:t>c</w:t>
      </w:r>
      <w:r w:rsidR="00EA42BD" w:rsidRPr="00EA42BD">
        <w:rPr>
          <w:lang w:eastAsia="en-US"/>
        </w:rPr>
        <w:t>urrent and relevant AHPRA registration.</w:t>
      </w:r>
    </w:p>
    <w:p w14:paraId="27001CA9" w14:textId="1CC52537" w:rsidR="00EA42BD" w:rsidRPr="00EA42BD" w:rsidRDefault="007C0482" w:rsidP="00EA6E48">
      <w:pPr>
        <w:pStyle w:val="Bullet"/>
        <w:rPr>
          <w:lang w:val="en-US" w:eastAsia="en-US"/>
        </w:rPr>
      </w:pPr>
      <w:r>
        <w:rPr>
          <w:lang w:val="en-US" w:eastAsia="en-US"/>
        </w:rPr>
        <w:t>t</w:t>
      </w:r>
      <w:r w:rsidR="00EA42BD" w:rsidRPr="00EA42BD">
        <w:rPr>
          <w:lang w:val="en-US" w:eastAsia="en-US"/>
        </w:rPr>
        <w:t xml:space="preserve">wo current (within 12 months) referee reports - one from a supervisor/line manager and one from a </w:t>
      </w:r>
      <w:r w:rsidR="00397973" w:rsidRPr="00EA42BD">
        <w:rPr>
          <w:lang w:val="en-US" w:eastAsia="en-US"/>
        </w:rPr>
        <w:t>peer. *</w:t>
      </w:r>
    </w:p>
    <w:p w14:paraId="367EB158" w14:textId="3CF6D194" w:rsidR="00EA42BD" w:rsidRPr="00EA42BD" w:rsidRDefault="00EA42BD" w:rsidP="00EA6E48">
      <w:pPr>
        <w:pStyle w:val="BodyCopy"/>
        <w:rPr>
          <w:lang w:val="en-US" w:eastAsia="en-US"/>
        </w:rPr>
      </w:pPr>
      <w:r w:rsidRPr="00EA42BD">
        <w:rPr>
          <w:lang w:val="en-US" w:eastAsia="en-US"/>
        </w:rPr>
        <w:t xml:space="preserve">* Referee reports that are completed on the </w:t>
      </w:r>
      <w:r w:rsidR="005915FE">
        <w:rPr>
          <w:lang w:val="en-US" w:eastAsia="en-US"/>
        </w:rPr>
        <w:t>MDAAC</w:t>
      </w:r>
      <w:r w:rsidR="00247510">
        <w:rPr>
          <w:lang w:val="en-US" w:eastAsia="en-US"/>
        </w:rPr>
        <w:t xml:space="preserve"> </w:t>
      </w:r>
      <w:r w:rsidRPr="00EA42BD">
        <w:rPr>
          <w:lang w:val="en-US" w:eastAsia="en-US"/>
        </w:rPr>
        <w:t xml:space="preserve">template are preferred, however, CHS will accept referee reports completed on other templates. It is also preferable for one of those referee reports to be completed by a referee external to the current contracted radiology company where possible. However, CHS will accept both reports from clinicians within the radiology company </w:t>
      </w:r>
      <w:r w:rsidRPr="00EA42BD">
        <w:rPr>
          <w:b/>
          <w:lang w:val="en-US" w:eastAsia="en-US"/>
        </w:rPr>
        <w:t>if</w:t>
      </w:r>
      <w:r w:rsidRPr="00EA42BD">
        <w:rPr>
          <w:lang w:val="en-US" w:eastAsia="en-US"/>
        </w:rPr>
        <w:t xml:space="preserve"> </w:t>
      </w:r>
      <w:r w:rsidR="00247510" w:rsidRPr="00EA42BD">
        <w:rPr>
          <w:lang w:val="en-US" w:eastAsia="en-US"/>
        </w:rPr>
        <w:t>the</w:t>
      </w:r>
      <w:r w:rsidRPr="00EA42BD">
        <w:rPr>
          <w:lang w:val="en-US" w:eastAsia="en-US"/>
        </w:rPr>
        <w:t xml:space="preserve"> radiologist</w:t>
      </w:r>
      <w:r w:rsidR="005915FE">
        <w:rPr>
          <w:lang w:val="en-US" w:eastAsia="en-US"/>
        </w:rPr>
        <w:t xml:space="preserve"> is </w:t>
      </w:r>
      <w:r w:rsidRPr="00EA42BD">
        <w:rPr>
          <w:lang w:val="en-US" w:eastAsia="en-US"/>
        </w:rPr>
        <w:t xml:space="preserve">exclusively employed by the contracted company. </w:t>
      </w:r>
    </w:p>
    <w:p w14:paraId="2F7EB09F" w14:textId="2B1CFF5E" w:rsidR="00EA42BD" w:rsidRPr="00EA42BD" w:rsidRDefault="00EA42BD" w:rsidP="00EA6E48">
      <w:pPr>
        <w:pStyle w:val="BodyCopy"/>
        <w:rPr>
          <w:lang w:eastAsia="en-US"/>
        </w:rPr>
      </w:pPr>
      <w:r w:rsidRPr="00EA42BD">
        <w:rPr>
          <w:lang w:eastAsia="en-US"/>
        </w:rPr>
        <w:t xml:space="preserve">The review date for any credentialed contracted group radiologist is five (5) years. The contracted radiology company is required to inform CHS when they de-credential any of the radiologists contracted to CHS. </w:t>
      </w:r>
    </w:p>
    <w:p w14:paraId="4D4E5A8C" w14:textId="77777777" w:rsidR="009C36C5" w:rsidRDefault="009C36C5" w:rsidP="009C36C5">
      <w:pPr>
        <w:pStyle w:val="BodyCopy"/>
      </w:pPr>
      <w:hyperlink w:anchor="_top" w:history="1">
        <w:r w:rsidRPr="00481A6C">
          <w:rPr>
            <w:rStyle w:val="Hyperlink"/>
            <w:iCs w:val="0"/>
          </w:rPr>
          <w:t>Back to Contents</w:t>
        </w:r>
      </w:hyperlink>
    </w:p>
    <w:p w14:paraId="51F4893F" w14:textId="47F9D800" w:rsidR="009C36C5" w:rsidRDefault="009C36C5" w:rsidP="009C36C5">
      <w:pPr>
        <w:pStyle w:val="Heading4"/>
      </w:pPr>
      <w:bookmarkStart w:id="15" w:name="_Toc221116393"/>
      <w:r w:rsidRPr="0078367D">
        <w:t xml:space="preserve">Section </w:t>
      </w:r>
      <w:r w:rsidR="0007524F">
        <w:t>11</w:t>
      </w:r>
      <w:r w:rsidRPr="0078367D">
        <w:t xml:space="preserve"> </w:t>
      </w:r>
      <w:r>
        <w:t>–</w:t>
      </w:r>
      <w:r w:rsidRPr="0078367D">
        <w:t xml:space="preserve"> </w:t>
      </w:r>
      <w:r w:rsidR="00EA42BD">
        <w:t>Emergency Credentialing</w:t>
      </w:r>
      <w:bookmarkEnd w:id="15"/>
      <w:r w:rsidR="00EA42BD">
        <w:t xml:space="preserve"> </w:t>
      </w:r>
    </w:p>
    <w:p w14:paraId="46C19475" w14:textId="07A016F3" w:rsidR="00EA42BD" w:rsidRPr="00EA42BD" w:rsidRDefault="00EA42BD" w:rsidP="00EA6E48">
      <w:pPr>
        <w:pStyle w:val="BodyCopy"/>
        <w:rPr>
          <w:lang w:eastAsia="en-US"/>
        </w:rPr>
      </w:pPr>
      <w:r w:rsidRPr="1ECE2995">
        <w:rPr>
          <w:lang w:eastAsia="en-US"/>
        </w:rPr>
        <w:lastRenderedPageBreak/>
        <w:t>Th</w:t>
      </w:r>
      <w:r w:rsidR="004B7169" w:rsidRPr="1ECE2995">
        <w:rPr>
          <w:lang w:eastAsia="en-US"/>
        </w:rPr>
        <w:t>is section describes th</w:t>
      </w:r>
      <w:r w:rsidRPr="1ECE2995">
        <w:rPr>
          <w:lang w:eastAsia="en-US"/>
        </w:rPr>
        <w:t xml:space="preserve">e process for granting </w:t>
      </w:r>
      <w:r w:rsidR="6AAC28F3" w:rsidRPr="1ECE2995">
        <w:rPr>
          <w:lang w:eastAsia="en-US"/>
        </w:rPr>
        <w:t xml:space="preserve">emergency </w:t>
      </w:r>
      <w:r w:rsidRPr="1ECE2995">
        <w:rPr>
          <w:lang w:eastAsia="en-US"/>
        </w:rPr>
        <w:t xml:space="preserve">scope of clinical practice </w:t>
      </w:r>
      <w:r w:rsidR="4388CE3F" w:rsidRPr="1ECE2995">
        <w:rPr>
          <w:lang w:eastAsia="en-US"/>
        </w:rPr>
        <w:t xml:space="preserve">(‘emergency scope’) </w:t>
      </w:r>
      <w:r w:rsidRPr="1ECE2995">
        <w:rPr>
          <w:lang w:eastAsia="en-US"/>
        </w:rPr>
        <w:t xml:space="preserve">when the ACT Government has declared the ACT to be in a State of Alert or State of Emergency or declared a Public Health Emergency (e.g., bushfire or pandemic). </w:t>
      </w:r>
    </w:p>
    <w:p w14:paraId="59B1E981" w14:textId="5ABDDD42" w:rsidR="00EA42BD" w:rsidRPr="00EA42BD" w:rsidRDefault="00EA42BD" w:rsidP="00EA6E48">
      <w:pPr>
        <w:pStyle w:val="BodyCopy"/>
        <w:rPr>
          <w:lang w:eastAsia="en-US"/>
        </w:rPr>
      </w:pPr>
      <w:r w:rsidRPr="1ECE2995">
        <w:rPr>
          <w:lang w:eastAsia="en-US"/>
        </w:rPr>
        <w:t>MDAAC can issue temporary emergency scopes to SMDP</w:t>
      </w:r>
      <w:r w:rsidR="004B7169" w:rsidRPr="1ECE2995">
        <w:rPr>
          <w:lang w:eastAsia="en-US"/>
        </w:rPr>
        <w:t>s</w:t>
      </w:r>
      <w:r w:rsidRPr="1ECE2995">
        <w:rPr>
          <w:lang w:eastAsia="en-US"/>
        </w:rPr>
        <w:t xml:space="preserve"> internal and external to CHS to assist in responding to a state of alert or state of emergency</w:t>
      </w:r>
      <w:r w:rsidR="005915FE" w:rsidRPr="1ECE2995">
        <w:rPr>
          <w:lang w:eastAsia="en-US"/>
        </w:rPr>
        <w:t xml:space="preserve"> or emergency requirement for the health service</w:t>
      </w:r>
      <w:r w:rsidR="35AB46FA" w:rsidRPr="1ECE2995">
        <w:rPr>
          <w:lang w:eastAsia="en-US"/>
        </w:rPr>
        <w:t>.</w:t>
      </w:r>
    </w:p>
    <w:p w14:paraId="5C1912C4" w14:textId="77777777" w:rsidR="00EA42BD" w:rsidRPr="00EA42BD" w:rsidRDefault="00EA42BD" w:rsidP="00004362">
      <w:pPr>
        <w:pStyle w:val="Heading5"/>
        <w:rPr>
          <w:rFonts w:eastAsia="Times New Roman"/>
          <w:lang w:eastAsia="en-US"/>
        </w:rPr>
      </w:pPr>
      <w:r w:rsidRPr="00EA42BD">
        <w:rPr>
          <w:rFonts w:eastAsia="Times New Roman"/>
          <w:lang w:eastAsia="en-US"/>
        </w:rPr>
        <w:t>External SMDP</w:t>
      </w:r>
    </w:p>
    <w:p w14:paraId="48F1C2BE" w14:textId="77777777" w:rsidR="00EA42BD" w:rsidRPr="00EA42BD" w:rsidRDefault="00EA42BD" w:rsidP="00EA6E48">
      <w:pPr>
        <w:pStyle w:val="BodyCopy"/>
        <w:rPr>
          <w:lang w:eastAsia="en-US"/>
        </w:rPr>
      </w:pPr>
      <w:r w:rsidRPr="00EA42BD">
        <w:rPr>
          <w:lang w:eastAsia="en-US"/>
        </w:rPr>
        <w:t>The fast-tracked credentialing documentation required for issuing a temporary emergency scope to an external SMDP includes:</w:t>
      </w:r>
    </w:p>
    <w:p w14:paraId="7DC8CF2F" w14:textId="73236E04" w:rsidR="00EA42BD" w:rsidRPr="00EA42BD" w:rsidRDefault="00A06C94" w:rsidP="00EA6E48">
      <w:pPr>
        <w:pStyle w:val="Bullet"/>
        <w:rPr>
          <w:lang w:eastAsia="en-US"/>
        </w:rPr>
      </w:pPr>
      <w:r>
        <w:rPr>
          <w:lang w:eastAsia="en-US"/>
        </w:rPr>
        <w:t>t</w:t>
      </w:r>
      <w:r w:rsidR="00EA42BD" w:rsidRPr="00EA42BD">
        <w:rPr>
          <w:lang w:eastAsia="en-US"/>
        </w:rPr>
        <w:t>wo current referee reports (can be from a recent recruitment round and do not have to be on</w:t>
      </w:r>
      <w:r w:rsidR="005915FE">
        <w:rPr>
          <w:lang w:eastAsia="en-US"/>
        </w:rPr>
        <w:t xml:space="preserve"> </w:t>
      </w:r>
      <w:r w:rsidR="00247510">
        <w:rPr>
          <w:lang w:eastAsia="en-US"/>
        </w:rPr>
        <w:t xml:space="preserve">preferred </w:t>
      </w:r>
      <w:r w:rsidR="00247510" w:rsidRPr="00EA42BD">
        <w:rPr>
          <w:lang w:eastAsia="en-US"/>
        </w:rPr>
        <w:t>template</w:t>
      </w:r>
      <w:r w:rsidR="00EA42BD" w:rsidRPr="00EA42BD">
        <w:rPr>
          <w:lang w:eastAsia="en-US"/>
        </w:rPr>
        <w:t>)</w:t>
      </w:r>
    </w:p>
    <w:p w14:paraId="1BC127F3" w14:textId="5D716114" w:rsidR="00EA42BD" w:rsidRPr="00EA42BD" w:rsidRDefault="00A06C94" w:rsidP="00EA6E48">
      <w:pPr>
        <w:pStyle w:val="Bullet"/>
        <w:rPr>
          <w:lang w:eastAsia="en-US"/>
        </w:rPr>
      </w:pPr>
      <w:r>
        <w:rPr>
          <w:lang w:eastAsia="en-US"/>
        </w:rPr>
        <w:t>c</w:t>
      </w:r>
      <w:r w:rsidR="00EA42BD" w:rsidRPr="00EA42BD">
        <w:rPr>
          <w:lang w:eastAsia="en-US"/>
        </w:rPr>
        <w:t xml:space="preserve">urrent AHPRA registration at relevant level required to respond to the emergency with no conditions, notations, undertakings, or reprimands. </w:t>
      </w:r>
    </w:p>
    <w:p w14:paraId="478D7A13" w14:textId="25D36576" w:rsidR="00EA42BD" w:rsidRPr="00EA42BD" w:rsidRDefault="00EA42BD" w:rsidP="00EA6E48">
      <w:pPr>
        <w:pStyle w:val="BodyCopy"/>
        <w:rPr>
          <w:lang w:eastAsia="en-US"/>
        </w:rPr>
      </w:pPr>
      <w:r w:rsidRPr="00EA42BD">
        <w:rPr>
          <w:lang w:eastAsia="en-US"/>
        </w:rPr>
        <w:t>The external SMDP that meet</w:t>
      </w:r>
      <w:r w:rsidR="005915FE">
        <w:rPr>
          <w:lang w:eastAsia="en-US"/>
        </w:rPr>
        <w:t>s</w:t>
      </w:r>
      <w:r w:rsidRPr="00EA42BD">
        <w:rPr>
          <w:lang w:eastAsia="en-US"/>
        </w:rPr>
        <w:t xml:space="preserve"> the above criteria must then be endorsed by MDAAC (via an MDAAC executive or through the full meeting) before </w:t>
      </w:r>
      <w:r w:rsidR="005915FE">
        <w:rPr>
          <w:lang w:eastAsia="en-US"/>
        </w:rPr>
        <w:t xml:space="preserve">the information is provided to the </w:t>
      </w:r>
      <w:r w:rsidRPr="00EA42BD">
        <w:rPr>
          <w:lang w:eastAsia="en-US"/>
        </w:rPr>
        <w:t xml:space="preserve">CEO </w:t>
      </w:r>
      <w:r w:rsidR="005915FE">
        <w:rPr>
          <w:lang w:eastAsia="en-US"/>
        </w:rPr>
        <w:t xml:space="preserve">or delegate </w:t>
      </w:r>
      <w:r w:rsidRPr="00EA42BD">
        <w:rPr>
          <w:lang w:eastAsia="en-US"/>
        </w:rPr>
        <w:t xml:space="preserve">for approval of temporary emergency </w:t>
      </w:r>
      <w:r w:rsidR="00247510" w:rsidRPr="00EA42BD">
        <w:rPr>
          <w:lang w:eastAsia="en-US"/>
        </w:rPr>
        <w:t>scope</w:t>
      </w:r>
      <w:r w:rsidR="00247510">
        <w:rPr>
          <w:lang w:eastAsia="en-US"/>
        </w:rPr>
        <w:t>.</w:t>
      </w:r>
      <w:r w:rsidRPr="00EA42BD">
        <w:rPr>
          <w:lang w:eastAsia="en-US"/>
        </w:rPr>
        <w:t xml:space="preserve"> </w:t>
      </w:r>
    </w:p>
    <w:p w14:paraId="699853E7" w14:textId="49FF51BB" w:rsidR="00EA42BD" w:rsidRPr="00EA42BD" w:rsidRDefault="00EA42BD" w:rsidP="00EA6E48">
      <w:pPr>
        <w:pStyle w:val="BodyCopy"/>
        <w:rPr>
          <w:lang w:eastAsia="en-US"/>
        </w:rPr>
      </w:pPr>
      <w:r w:rsidRPr="00EA42BD">
        <w:rPr>
          <w:lang w:eastAsia="en-US"/>
        </w:rPr>
        <w:t xml:space="preserve">The Credentialing team will issue a temporary emergency scope following sign off from the CEO. The temporary emergency scope of clinical practice issued under a state of alert or state of emergency must have an end date. </w:t>
      </w:r>
    </w:p>
    <w:p w14:paraId="556D620E" w14:textId="77777777" w:rsidR="00EA42BD" w:rsidRPr="00EA42BD" w:rsidRDefault="00EA42BD" w:rsidP="00004362">
      <w:pPr>
        <w:pStyle w:val="Heading5"/>
        <w:rPr>
          <w:rFonts w:eastAsia="Times New Roman"/>
          <w:lang w:eastAsia="en-US"/>
        </w:rPr>
      </w:pPr>
      <w:r w:rsidRPr="00EA42BD">
        <w:rPr>
          <w:rFonts w:eastAsia="Times New Roman"/>
          <w:lang w:eastAsia="en-US"/>
        </w:rPr>
        <w:t>Internal SMDP</w:t>
      </w:r>
    </w:p>
    <w:p w14:paraId="6057A74C" w14:textId="77777777" w:rsidR="00EA42BD" w:rsidRPr="00EA42BD" w:rsidRDefault="00EA42BD" w:rsidP="00EA6E48">
      <w:pPr>
        <w:pStyle w:val="BodyCopy"/>
        <w:rPr>
          <w:lang w:eastAsia="en-US"/>
        </w:rPr>
      </w:pPr>
      <w:r w:rsidRPr="00EA42BD">
        <w:rPr>
          <w:lang w:eastAsia="en-US"/>
        </w:rPr>
        <w:t>The Credentialing and Scope of Clinical Practice team will compile a list of doctors that may be called on to potentially work outside their current approved scope of practice during a State of Emergency or State of Alert.</w:t>
      </w:r>
    </w:p>
    <w:p w14:paraId="0441C579" w14:textId="77777777" w:rsidR="00EA42BD" w:rsidRPr="00EA42BD" w:rsidRDefault="00EA42BD" w:rsidP="00EA6E48">
      <w:pPr>
        <w:pStyle w:val="BodyCopy"/>
        <w:rPr>
          <w:lang w:eastAsia="en-US"/>
        </w:rPr>
      </w:pPr>
      <w:r w:rsidRPr="00EA42BD">
        <w:rPr>
          <w:lang w:eastAsia="en-US"/>
        </w:rPr>
        <w:t xml:space="preserve">All CHS and cross territory credentialed SMDP will be considered against the below criteria for an emergency scope with the exclusion of Honorary VMOs*: </w:t>
      </w:r>
    </w:p>
    <w:p w14:paraId="6A416B9A" w14:textId="77777777" w:rsidR="00EA42BD" w:rsidRPr="00EA42BD" w:rsidRDefault="00EA42BD" w:rsidP="00EA6E48">
      <w:pPr>
        <w:pStyle w:val="Bullet"/>
        <w:rPr>
          <w:lang w:eastAsia="en-US"/>
        </w:rPr>
      </w:pPr>
      <w:r w:rsidRPr="00EA42BD">
        <w:rPr>
          <w:lang w:eastAsia="en-US"/>
        </w:rPr>
        <w:t>AHPRA registration with no notations or conditions</w:t>
      </w:r>
    </w:p>
    <w:p w14:paraId="6AC9D912" w14:textId="410391E2" w:rsidR="00EA42BD" w:rsidRPr="00EA42BD" w:rsidRDefault="006B723D" w:rsidP="00EA6E48">
      <w:pPr>
        <w:pStyle w:val="Bullet"/>
        <w:rPr>
          <w:lang w:eastAsia="en-US"/>
        </w:rPr>
      </w:pPr>
      <w:r>
        <w:rPr>
          <w:lang w:eastAsia="en-US"/>
        </w:rPr>
        <w:t>h</w:t>
      </w:r>
      <w:r w:rsidR="00EA42BD" w:rsidRPr="00EA42BD">
        <w:rPr>
          <w:lang w:eastAsia="en-US"/>
        </w:rPr>
        <w:t xml:space="preserve">old General </w:t>
      </w:r>
      <w:r w:rsidR="00EA42BD" w:rsidRPr="00EA42BD">
        <w:rPr>
          <w:b/>
          <w:bCs/>
          <w:lang w:eastAsia="en-US"/>
        </w:rPr>
        <w:t>and</w:t>
      </w:r>
      <w:r w:rsidR="00EA42BD" w:rsidRPr="00EA42BD">
        <w:rPr>
          <w:lang w:eastAsia="en-US"/>
        </w:rPr>
        <w:t xml:space="preserve"> Specialist AHPRA registration </w:t>
      </w:r>
    </w:p>
    <w:p w14:paraId="5C99777B" w14:textId="04099F9D" w:rsidR="00EA42BD" w:rsidRPr="00EA42BD" w:rsidRDefault="006B723D" w:rsidP="00EA6E48">
      <w:pPr>
        <w:pStyle w:val="Bullet"/>
        <w:rPr>
          <w:lang w:eastAsia="en-US"/>
        </w:rPr>
      </w:pPr>
      <w:r>
        <w:rPr>
          <w:lang w:eastAsia="en-US"/>
        </w:rPr>
        <w:t>h</w:t>
      </w:r>
      <w:r w:rsidR="00EA42BD" w:rsidRPr="00EA42BD">
        <w:rPr>
          <w:lang w:eastAsia="en-US"/>
        </w:rPr>
        <w:t xml:space="preserve">as never been subject to an MDAAC review </w:t>
      </w:r>
    </w:p>
    <w:p w14:paraId="068991EA" w14:textId="7BAA2B1F" w:rsidR="00EA42BD" w:rsidRPr="00EA42BD" w:rsidRDefault="006B723D" w:rsidP="00EA6E48">
      <w:pPr>
        <w:pStyle w:val="Bullet"/>
        <w:rPr>
          <w:lang w:eastAsia="en-US"/>
        </w:rPr>
      </w:pPr>
      <w:r>
        <w:rPr>
          <w:lang w:eastAsia="en-US"/>
        </w:rPr>
        <w:t>e</w:t>
      </w:r>
      <w:r w:rsidR="00EA42BD" w:rsidRPr="00EA42BD">
        <w:rPr>
          <w:lang w:eastAsia="en-US"/>
        </w:rPr>
        <w:t>ndorsed by MDAAC/MDAAC Executive</w:t>
      </w:r>
    </w:p>
    <w:p w14:paraId="66AF6485" w14:textId="6168094C" w:rsidR="00EA42BD" w:rsidRPr="00EA42BD" w:rsidRDefault="006B723D" w:rsidP="00EA6E48">
      <w:pPr>
        <w:pStyle w:val="Bullet"/>
        <w:rPr>
          <w:lang w:eastAsia="en-US"/>
        </w:rPr>
      </w:pPr>
      <w:r>
        <w:rPr>
          <w:lang w:eastAsia="en-US"/>
        </w:rPr>
        <w:t>a</w:t>
      </w:r>
      <w:r w:rsidR="00EA42BD" w:rsidRPr="00EA42BD">
        <w:rPr>
          <w:lang w:eastAsia="en-US"/>
        </w:rPr>
        <w:t>pproved by CEO.</w:t>
      </w:r>
    </w:p>
    <w:p w14:paraId="71B02A17" w14:textId="309DC4DE" w:rsidR="00EA42BD" w:rsidRPr="00EA42BD" w:rsidRDefault="00EA42BD" w:rsidP="00EA6E48">
      <w:pPr>
        <w:pStyle w:val="BodyCopy"/>
        <w:rPr>
          <w:lang w:eastAsia="en-US"/>
        </w:rPr>
      </w:pPr>
      <w:r w:rsidRPr="00EA42BD">
        <w:rPr>
          <w:lang w:eastAsia="en-US"/>
        </w:rPr>
        <w:t xml:space="preserve">*Emergency scopes will not automatically be issued to anyone that holds an Honorary VMO contract. Holders of an Honorary VMO contract who wish to be considered for an emergency scope, will need to contact the credentialing team for advice. </w:t>
      </w:r>
    </w:p>
    <w:p w14:paraId="06E51FF2" w14:textId="54A4BCF2" w:rsidR="00EA42BD" w:rsidRPr="00EA42BD" w:rsidRDefault="00EA42BD" w:rsidP="00EA6E48">
      <w:pPr>
        <w:pStyle w:val="BodyCopy"/>
        <w:rPr>
          <w:lang w:eastAsia="en-US"/>
        </w:rPr>
      </w:pPr>
      <w:r w:rsidRPr="00EA42BD">
        <w:rPr>
          <w:lang w:eastAsia="en-US"/>
        </w:rPr>
        <w:lastRenderedPageBreak/>
        <w:t>Prior to finalisation of the list of SMDP</w:t>
      </w:r>
      <w:r w:rsidR="00BF5C38">
        <w:rPr>
          <w:lang w:eastAsia="en-US"/>
        </w:rPr>
        <w:t>s</w:t>
      </w:r>
      <w:r w:rsidRPr="00EA42BD">
        <w:rPr>
          <w:lang w:eastAsia="en-US"/>
        </w:rPr>
        <w:t xml:space="preserve">, </w:t>
      </w:r>
      <w:r w:rsidR="00FD5B95">
        <w:rPr>
          <w:lang w:eastAsia="en-US"/>
        </w:rPr>
        <w:t xml:space="preserve">all </w:t>
      </w:r>
      <w:r w:rsidRPr="00EA42BD">
        <w:rPr>
          <w:lang w:eastAsia="en-US"/>
        </w:rPr>
        <w:t xml:space="preserve">MDAAC </w:t>
      </w:r>
      <w:r w:rsidR="00FD5B95">
        <w:rPr>
          <w:lang w:eastAsia="en-US"/>
        </w:rPr>
        <w:t xml:space="preserve">committee </w:t>
      </w:r>
      <w:r w:rsidRPr="00EA42BD">
        <w:rPr>
          <w:lang w:eastAsia="en-US"/>
        </w:rPr>
        <w:t>members must have the opportunity to review the list (either by email or at an MDAAC meeting) and include/exclude any of their SMDP</w:t>
      </w:r>
      <w:r w:rsidR="006B723D">
        <w:rPr>
          <w:lang w:eastAsia="en-US"/>
        </w:rPr>
        <w:t>s</w:t>
      </w:r>
      <w:r w:rsidRPr="00EA42BD">
        <w:rPr>
          <w:lang w:eastAsia="en-US"/>
        </w:rPr>
        <w:t xml:space="preserve">. </w:t>
      </w:r>
      <w:r w:rsidR="00F065C9">
        <w:rPr>
          <w:lang w:eastAsia="en-US"/>
        </w:rPr>
        <w:t xml:space="preserve">Each MDACC would undertake this separately. </w:t>
      </w:r>
      <w:r w:rsidRPr="00EA42BD">
        <w:rPr>
          <w:lang w:eastAsia="en-US"/>
        </w:rPr>
        <w:t xml:space="preserve">An explanation for inclusion/exclusion should be provided. </w:t>
      </w:r>
    </w:p>
    <w:p w14:paraId="764BDDFC" w14:textId="1F21D3E2" w:rsidR="00EA42BD" w:rsidRPr="00EA42BD" w:rsidRDefault="00EA42BD" w:rsidP="00EA6E48">
      <w:pPr>
        <w:pStyle w:val="BodyCopy"/>
        <w:rPr>
          <w:lang w:eastAsia="en-US"/>
        </w:rPr>
      </w:pPr>
      <w:r w:rsidRPr="00EA42BD">
        <w:rPr>
          <w:lang w:eastAsia="en-US"/>
        </w:rPr>
        <w:t>The final list of SMDP</w:t>
      </w:r>
      <w:r w:rsidR="00BF5C38">
        <w:rPr>
          <w:lang w:eastAsia="en-US"/>
        </w:rPr>
        <w:t>s</w:t>
      </w:r>
      <w:r w:rsidRPr="00EA42BD">
        <w:rPr>
          <w:lang w:eastAsia="en-US"/>
        </w:rPr>
        <w:t xml:space="preserve"> that meet the above criteria will be issued a temporary emergency scope of clinical practice and </w:t>
      </w:r>
      <w:r w:rsidR="00BF5C38">
        <w:rPr>
          <w:lang w:eastAsia="en-US"/>
        </w:rPr>
        <w:t xml:space="preserve">these </w:t>
      </w:r>
      <w:r w:rsidR="00B92339">
        <w:rPr>
          <w:lang w:eastAsia="en-US"/>
        </w:rPr>
        <w:t xml:space="preserve">nominations </w:t>
      </w:r>
      <w:r w:rsidR="00B92339" w:rsidRPr="00EA42BD">
        <w:rPr>
          <w:lang w:eastAsia="en-US"/>
        </w:rPr>
        <w:t>can</w:t>
      </w:r>
      <w:r w:rsidRPr="00EA42BD">
        <w:rPr>
          <w:lang w:eastAsia="en-US"/>
        </w:rPr>
        <w:t xml:space="preserve"> </w:t>
      </w:r>
      <w:r w:rsidR="00BF5C38">
        <w:rPr>
          <w:lang w:eastAsia="en-US"/>
        </w:rPr>
        <w:t>progress</w:t>
      </w:r>
      <w:r w:rsidRPr="00EA42BD">
        <w:rPr>
          <w:lang w:eastAsia="en-US"/>
        </w:rPr>
        <w:t xml:space="preserve"> through the </w:t>
      </w:r>
      <w:r w:rsidR="00B92339">
        <w:rPr>
          <w:lang w:eastAsia="en-US"/>
        </w:rPr>
        <w:t xml:space="preserve">relevant </w:t>
      </w:r>
      <w:r w:rsidR="00467A4C">
        <w:rPr>
          <w:lang w:eastAsia="en-US"/>
        </w:rPr>
        <w:t xml:space="preserve">chair of MDACC </w:t>
      </w:r>
      <w:r w:rsidRPr="00EA42BD">
        <w:rPr>
          <w:lang w:eastAsia="en-US"/>
        </w:rPr>
        <w:t xml:space="preserve">to the CEO for approval and be tabled at the next available MDAAC meeting for noting. </w:t>
      </w:r>
    </w:p>
    <w:p w14:paraId="4AC1E4E1" w14:textId="77777777" w:rsidR="00EA42BD" w:rsidRPr="00EA42BD" w:rsidRDefault="00EA42BD" w:rsidP="00004362">
      <w:pPr>
        <w:pStyle w:val="Heading5"/>
        <w:rPr>
          <w:rFonts w:eastAsia="Times New Roman"/>
          <w:lang w:eastAsia="en-US"/>
        </w:rPr>
      </w:pPr>
      <w:r w:rsidRPr="00EA42BD">
        <w:rPr>
          <w:rFonts w:eastAsia="Times New Roman"/>
          <w:lang w:eastAsia="en-US"/>
        </w:rPr>
        <w:t>Stand down from State of Alert or State of Emergency</w:t>
      </w:r>
    </w:p>
    <w:p w14:paraId="0B767863" w14:textId="6ADC4489" w:rsidR="00EA42BD" w:rsidRPr="00EA42BD" w:rsidRDefault="00EA42BD" w:rsidP="00EA6E48">
      <w:pPr>
        <w:pStyle w:val="BodyCopy"/>
        <w:rPr>
          <w:lang w:eastAsia="en-US"/>
        </w:rPr>
      </w:pPr>
      <w:r w:rsidRPr="00EA42BD">
        <w:rPr>
          <w:lang w:eastAsia="en-US"/>
        </w:rPr>
        <w:t xml:space="preserve">The temporary emergency scopes will end following notification/announcement from the CEO/Chief Minister when the emergency/alert has been stood down. </w:t>
      </w:r>
      <w:r w:rsidR="00D864FC">
        <w:rPr>
          <w:lang w:eastAsia="en-US"/>
        </w:rPr>
        <w:t xml:space="preserve">SMDPs </w:t>
      </w:r>
      <w:r w:rsidRPr="00EA42BD">
        <w:rPr>
          <w:lang w:eastAsia="en-US"/>
        </w:rPr>
        <w:t>will revert to their respective specialist scope of clinical practice. SMDP</w:t>
      </w:r>
      <w:r w:rsidR="00BF5C38">
        <w:rPr>
          <w:lang w:eastAsia="en-US"/>
        </w:rPr>
        <w:t>s</w:t>
      </w:r>
      <w:r w:rsidRPr="00EA42BD">
        <w:rPr>
          <w:lang w:eastAsia="en-US"/>
        </w:rPr>
        <w:t xml:space="preserve"> not otherwise employed by </w:t>
      </w:r>
      <w:r w:rsidR="00467A4C">
        <w:rPr>
          <w:lang w:eastAsia="en-US"/>
        </w:rPr>
        <w:t>CHS</w:t>
      </w:r>
      <w:r w:rsidRPr="00EA42BD">
        <w:rPr>
          <w:lang w:eastAsia="en-US"/>
        </w:rPr>
        <w:t xml:space="preserve"> will revert to having no scope of practice for </w:t>
      </w:r>
      <w:r w:rsidR="00467A4C">
        <w:rPr>
          <w:lang w:eastAsia="en-US"/>
        </w:rPr>
        <w:t>CHS</w:t>
      </w:r>
      <w:r w:rsidRPr="00EA42BD">
        <w:rPr>
          <w:lang w:eastAsia="en-US"/>
        </w:rPr>
        <w:t xml:space="preserve">. If this cohort wish to continue working at </w:t>
      </w:r>
      <w:r w:rsidR="00467A4C">
        <w:rPr>
          <w:lang w:eastAsia="en-US"/>
        </w:rPr>
        <w:t>CHS</w:t>
      </w:r>
      <w:r w:rsidRPr="00EA42BD">
        <w:rPr>
          <w:lang w:eastAsia="en-US"/>
        </w:rPr>
        <w:t xml:space="preserve"> (pending advice from the relevant clinical division) they will need to undertake initial credentialing. </w:t>
      </w:r>
    </w:p>
    <w:p w14:paraId="0B3E64A3" w14:textId="77777777" w:rsidR="00EA42BD" w:rsidRPr="00EA42BD" w:rsidRDefault="00EA42BD" w:rsidP="00EA6E48">
      <w:pPr>
        <w:pStyle w:val="BodyCopy"/>
        <w:rPr>
          <w:lang w:eastAsia="en-US"/>
        </w:rPr>
      </w:pPr>
      <w:r w:rsidRPr="00EA42BD">
        <w:rPr>
          <w:lang w:eastAsia="en-US"/>
        </w:rPr>
        <w:t>Upon notification/announcement from the CEO/Chief Minister, the Credentialing and Scope of Clinical Practice team will issue notification to each SMDP via email that their temporary emergency scope has ended.</w:t>
      </w:r>
    </w:p>
    <w:p w14:paraId="5A2B86B3" w14:textId="77777777" w:rsidR="009C36C5" w:rsidRDefault="009C36C5" w:rsidP="009C36C5">
      <w:pPr>
        <w:pStyle w:val="BodyCopy"/>
      </w:pPr>
      <w:hyperlink w:anchor="_top" w:history="1">
        <w:r w:rsidRPr="00481A6C">
          <w:rPr>
            <w:rStyle w:val="Hyperlink"/>
            <w:iCs w:val="0"/>
          </w:rPr>
          <w:t>Back to Contents</w:t>
        </w:r>
      </w:hyperlink>
    </w:p>
    <w:p w14:paraId="52DB5BFD" w14:textId="497DADF4" w:rsidR="009C36C5" w:rsidRDefault="009C36C5" w:rsidP="009C36C5">
      <w:pPr>
        <w:pStyle w:val="Heading4"/>
      </w:pPr>
      <w:bookmarkStart w:id="16" w:name="_Toc221116394"/>
      <w:r w:rsidRPr="0078367D">
        <w:t xml:space="preserve">Section </w:t>
      </w:r>
      <w:r w:rsidR="0007524F">
        <w:t>12</w:t>
      </w:r>
      <w:r w:rsidRPr="0078367D">
        <w:t xml:space="preserve"> </w:t>
      </w:r>
      <w:r>
        <w:t>–</w:t>
      </w:r>
      <w:r w:rsidRPr="0078367D">
        <w:t xml:space="preserve"> </w:t>
      </w:r>
      <w:r w:rsidR="00EA42BD">
        <w:t>Procedures requiring additional evidence</w:t>
      </w:r>
      <w:bookmarkEnd w:id="16"/>
      <w:r w:rsidR="00EA42BD">
        <w:t xml:space="preserve"> </w:t>
      </w:r>
    </w:p>
    <w:p w14:paraId="4464E661" w14:textId="1DC6A3D1" w:rsidR="009C36C5" w:rsidRDefault="00EA42BD" w:rsidP="00EA6E48">
      <w:pPr>
        <w:pStyle w:val="BodyCopy"/>
      </w:pPr>
      <w:r>
        <w:t>The credentialing team</w:t>
      </w:r>
      <w:r w:rsidR="00467A4C">
        <w:t>s</w:t>
      </w:r>
      <w:r>
        <w:t xml:space="preserve"> hold an up-to-date list of procedures that require additional evidence to be submitted at the time of credentialing. </w:t>
      </w:r>
    </w:p>
    <w:p w14:paraId="294CE296" w14:textId="42761E7C" w:rsidR="00A04CC3" w:rsidRPr="00EA42BD" w:rsidRDefault="00A04CC3" w:rsidP="00EA6E48">
      <w:pPr>
        <w:pStyle w:val="BodyCopy"/>
      </w:pPr>
      <w:r>
        <w:t xml:space="preserve">The credentialing team will inform the applicant if additional evidence is required. </w:t>
      </w:r>
    </w:p>
    <w:p w14:paraId="6DE6FF89" w14:textId="77777777" w:rsidR="009C36C5" w:rsidRDefault="009C36C5" w:rsidP="009C36C5">
      <w:pPr>
        <w:pStyle w:val="BodyCopy"/>
      </w:pPr>
      <w:hyperlink w:anchor="_top" w:history="1">
        <w:r w:rsidRPr="00481A6C">
          <w:rPr>
            <w:rStyle w:val="Hyperlink"/>
            <w:iCs w:val="0"/>
          </w:rPr>
          <w:t>Back to Contents</w:t>
        </w:r>
      </w:hyperlink>
    </w:p>
    <w:p w14:paraId="05256E8E" w14:textId="3A9B97A8" w:rsidR="009C36C5" w:rsidRDefault="009C36C5" w:rsidP="0064576E">
      <w:pPr>
        <w:pStyle w:val="Heading4"/>
      </w:pPr>
      <w:bookmarkStart w:id="17" w:name="_Toc221116395"/>
      <w:r w:rsidRPr="0078367D">
        <w:t xml:space="preserve">Section </w:t>
      </w:r>
      <w:r w:rsidR="0007524F">
        <w:t>1</w:t>
      </w:r>
      <w:r>
        <w:t>3</w:t>
      </w:r>
      <w:r w:rsidRPr="0078367D">
        <w:t xml:space="preserve"> </w:t>
      </w:r>
      <w:r>
        <w:t>–</w:t>
      </w:r>
      <w:r w:rsidRPr="0078367D">
        <w:t xml:space="preserve"> </w:t>
      </w:r>
      <w:r w:rsidR="00EA42BD">
        <w:t>Credentialing and Defining Scope of Clinical Practice – New Technologies or Clinical Procedures</w:t>
      </w:r>
      <w:bookmarkEnd w:id="17"/>
      <w:r w:rsidR="00EA42BD">
        <w:t xml:space="preserve"> </w:t>
      </w:r>
    </w:p>
    <w:p w14:paraId="4B912928" w14:textId="36D772E1" w:rsidR="00EA42BD" w:rsidRPr="00F661EE" w:rsidRDefault="00EA42BD" w:rsidP="00EA6E48">
      <w:pPr>
        <w:pStyle w:val="BodyCopy"/>
      </w:pPr>
      <w:r w:rsidRPr="00F661EE">
        <w:t xml:space="preserve">As new procedures, clinical procedures or interventions are developed, SMDP must have their scope of clinical practice reviewed as necessary to provide these interventions. </w:t>
      </w:r>
    </w:p>
    <w:p w14:paraId="566C7E39" w14:textId="5EAB7EBB" w:rsidR="00EA42BD" w:rsidRDefault="00EA42BD" w:rsidP="00EA6E48">
      <w:pPr>
        <w:pStyle w:val="BodyCopy"/>
      </w:pPr>
      <w:r w:rsidRPr="00F661EE">
        <w:t xml:space="preserve">The term ‘new technology’ includes clinical techniques, medical devices or clinical procedures that are new to CHS and have never previously been introduced in CHS or used on CHS patients. The definition of new technology can be found in the </w:t>
      </w:r>
      <w:r w:rsidRPr="00F661EE">
        <w:rPr>
          <w:i/>
        </w:rPr>
        <w:t>Introduction of New Health Technology Policy</w:t>
      </w:r>
      <w:r w:rsidR="00760EC1">
        <w:rPr>
          <w:i/>
        </w:rPr>
        <w:t xml:space="preserve"> </w:t>
      </w:r>
      <w:r w:rsidR="00760EC1" w:rsidRPr="00760EC1">
        <w:rPr>
          <w:iCs w:val="0"/>
        </w:rPr>
        <w:t>(available on the Policy and Guidance Documents Register)</w:t>
      </w:r>
      <w:r w:rsidRPr="00760EC1">
        <w:rPr>
          <w:iCs w:val="0"/>
        </w:rPr>
        <w:t>,</w:t>
      </w:r>
      <w:r w:rsidRPr="00F661EE">
        <w:t xml:space="preserve"> guidance on the application of this policy should be sought from the Health Technology Advisory Committee (HTAC). </w:t>
      </w:r>
    </w:p>
    <w:p w14:paraId="166C9D98" w14:textId="5B1AE5F3" w:rsidR="00EA42BD" w:rsidRPr="00F661EE" w:rsidRDefault="00EA42BD" w:rsidP="00EA6E48">
      <w:pPr>
        <w:pStyle w:val="BodyCopy"/>
      </w:pPr>
      <w:r w:rsidRPr="00F661EE">
        <w:lastRenderedPageBreak/>
        <w:t xml:space="preserve">Following approval by HTAC of the introduction of a new technology to CHS, the relevant SMDP must have their scope of clinical practice amended to work with the new technology. The SMDP </w:t>
      </w:r>
      <w:r w:rsidR="00467A4C">
        <w:t>should</w:t>
      </w:r>
      <w:r w:rsidR="00467A4C" w:rsidRPr="00F661EE">
        <w:t xml:space="preserve"> </w:t>
      </w:r>
      <w:r w:rsidRPr="00F661EE">
        <w:t xml:space="preserve">apply for an amendment to their scope of clinical practice. </w:t>
      </w:r>
    </w:p>
    <w:p w14:paraId="5FE68079" w14:textId="724DAD26" w:rsidR="00EA42BD" w:rsidRPr="00F661EE" w:rsidRDefault="00EA42BD" w:rsidP="00EA6E48">
      <w:pPr>
        <w:pStyle w:val="BodyCopy"/>
      </w:pPr>
      <w:r w:rsidRPr="00F661EE">
        <w:t xml:space="preserve">Factors that MDAAC considers in </w:t>
      </w:r>
      <w:r w:rsidR="00467A4C" w:rsidRPr="00F661EE">
        <w:t>deciding</w:t>
      </w:r>
      <w:r w:rsidRPr="00F661EE">
        <w:t xml:space="preserve"> </w:t>
      </w:r>
      <w:r w:rsidR="00760EC1">
        <w:t xml:space="preserve">whether to approve the amendment </w:t>
      </w:r>
      <w:r w:rsidRPr="00F661EE">
        <w:t xml:space="preserve">include: </w:t>
      </w:r>
    </w:p>
    <w:p w14:paraId="28DB7AE6" w14:textId="482F48FE" w:rsidR="00EA42BD" w:rsidRPr="00F661EE" w:rsidRDefault="00760EC1" w:rsidP="00EA6E48">
      <w:pPr>
        <w:pStyle w:val="Bullet"/>
      </w:pPr>
      <w:r>
        <w:t>t</w:t>
      </w:r>
      <w:r w:rsidR="00EA42BD" w:rsidRPr="00F661EE">
        <w:t>hat the new clinical service, procedure, or intervention has been approved in accordance with the Introduction of New Health Technology policy</w:t>
      </w:r>
    </w:p>
    <w:p w14:paraId="07069456" w14:textId="64B1685D" w:rsidR="00EA42BD" w:rsidRPr="00F661EE" w:rsidRDefault="00760EC1" w:rsidP="00EA6E48">
      <w:pPr>
        <w:pStyle w:val="Bullet"/>
      </w:pPr>
      <w:r>
        <w:t>t</w:t>
      </w:r>
      <w:r w:rsidR="00EA42BD" w:rsidRPr="00F661EE">
        <w:t xml:space="preserve">he appropriate minimum credentials are agreed </w:t>
      </w:r>
      <w:r w:rsidR="00467A4C" w:rsidRPr="00F661EE">
        <w:t>to</w:t>
      </w:r>
      <w:r w:rsidR="00EA42BD" w:rsidRPr="00F661EE">
        <w:t xml:space="preserve"> enable the Committee to make an informed decision</w:t>
      </w:r>
    </w:p>
    <w:p w14:paraId="2275655C" w14:textId="15A488B0" w:rsidR="00EA42BD" w:rsidRPr="00F661EE" w:rsidRDefault="00760EC1" w:rsidP="00EA6E48">
      <w:pPr>
        <w:pStyle w:val="Bullet"/>
      </w:pPr>
      <w:r>
        <w:t>t</w:t>
      </w:r>
      <w:r w:rsidR="00EA42BD" w:rsidRPr="00F661EE">
        <w:t>hat the SMDP has adequate insurance coverage for the new clinical service, procedure, or intervention</w:t>
      </w:r>
    </w:p>
    <w:p w14:paraId="0CBE4428" w14:textId="48FA557A" w:rsidR="00EA42BD" w:rsidRPr="00F661EE" w:rsidRDefault="00760EC1" w:rsidP="00EA6E48">
      <w:pPr>
        <w:pStyle w:val="Bullet"/>
      </w:pPr>
      <w:r>
        <w:t>t</w:t>
      </w:r>
      <w:r w:rsidR="00EA42BD" w:rsidRPr="00F661EE">
        <w:t>hat the particular CHS facility has the necessary resources (such as training and supervision) to support the safe provision of the new clinical service, procedure, or intervention</w:t>
      </w:r>
    </w:p>
    <w:p w14:paraId="7A495BD0" w14:textId="713F9C79" w:rsidR="00EA42BD" w:rsidRPr="00F661EE" w:rsidRDefault="00760EC1" w:rsidP="00EA6E48">
      <w:pPr>
        <w:pStyle w:val="Bullet"/>
      </w:pPr>
      <w:r>
        <w:t>t</w:t>
      </w:r>
      <w:r w:rsidR="00EA42BD" w:rsidRPr="00F661EE">
        <w:t xml:space="preserve">hat the SMDP’s clinical outcomes for the new health technologies are monitored. </w:t>
      </w:r>
    </w:p>
    <w:p w14:paraId="04DC8AC3" w14:textId="273CCF0D" w:rsidR="00EA42BD" w:rsidRDefault="00EA42BD" w:rsidP="00EA6E48">
      <w:pPr>
        <w:pStyle w:val="BodyCopy"/>
      </w:pPr>
      <w:r w:rsidRPr="00F661EE">
        <w:t xml:space="preserve">Before granting the new scope of clinical practice, MDAAC must define the purpose and timelines of any possible probationary period, and any training or supervisory requirements. </w:t>
      </w:r>
    </w:p>
    <w:p w14:paraId="54314DFB" w14:textId="20E238B0" w:rsidR="009C36C5" w:rsidRDefault="009C36C5" w:rsidP="0091462B">
      <w:pPr>
        <w:pStyle w:val="BodyCopy"/>
      </w:pPr>
      <w:hyperlink w:anchor="_top" w:history="1">
        <w:r w:rsidRPr="00481A6C">
          <w:rPr>
            <w:rStyle w:val="Hyperlink"/>
            <w:iCs w:val="0"/>
          </w:rPr>
          <w:t>Back to Contents</w:t>
        </w:r>
      </w:hyperlink>
    </w:p>
    <w:p w14:paraId="0D2676AF" w14:textId="77777777" w:rsidR="0078367D" w:rsidRDefault="0078367D" w:rsidP="00A6051F">
      <w:pPr>
        <w:pStyle w:val="Heading4"/>
      </w:pPr>
      <w:bookmarkStart w:id="18" w:name="_Toc176348490"/>
      <w:bookmarkStart w:id="19" w:name="_Toc221116396"/>
      <w:r>
        <w:t>Evaluation</w:t>
      </w:r>
      <w:bookmarkStart w:id="20" w:name="_Hlk43366294"/>
      <w:bookmarkEnd w:id="18"/>
      <w:bookmarkEnd w:id="19"/>
    </w:p>
    <w:p w14:paraId="5B6C0153" w14:textId="77777777" w:rsidR="00481A6C" w:rsidRDefault="00481A6C" w:rsidP="00A13913">
      <w:pPr>
        <w:pStyle w:val="Heading5"/>
        <w:spacing w:before="0" w:beforeAutospacing="0" w:after="0" w:line="240" w:lineRule="auto"/>
      </w:pPr>
      <w:bookmarkStart w:id="21" w:name="_Hlk170467190"/>
      <w:bookmarkEnd w:id="20"/>
      <w:r w:rsidRPr="00C34A10">
        <w:t>Outcome</w:t>
      </w:r>
    </w:p>
    <w:p w14:paraId="0C6E1A91" w14:textId="426C11CF" w:rsidR="00A13913" w:rsidRPr="00C31033" w:rsidRDefault="00C31033" w:rsidP="00C31033">
      <w:pPr>
        <w:pStyle w:val="BodyCopy"/>
        <w:rPr>
          <w:b/>
        </w:rPr>
      </w:pPr>
      <w:r>
        <w:t>SMDPs</w:t>
      </w:r>
      <w:r w:rsidR="00F661EE" w:rsidRPr="003C0234">
        <w:t xml:space="preserve"> will be credentialed and have </w:t>
      </w:r>
      <w:r>
        <w:t xml:space="preserve">their </w:t>
      </w:r>
      <w:r w:rsidR="00F661EE" w:rsidRPr="003C0234">
        <w:t xml:space="preserve">scope of practice defined as per this procedure. </w:t>
      </w:r>
      <w:bookmarkStart w:id="22" w:name="_Hlk170467240"/>
      <w:bookmarkEnd w:id="21"/>
    </w:p>
    <w:p w14:paraId="15DC3CC9" w14:textId="2377F570" w:rsidR="00481A6C" w:rsidRPr="00C34A10" w:rsidRDefault="00C34A10" w:rsidP="00A13913">
      <w:pPr>
        <w:pStyle w:val="Heading5"/>
        <w:spacing w:before="0" w:beforeAutospacing="0" w:after="0" w:line="240" w:lineRule="auto"/>
      </w:pPr>
      <w:r>
        <w:t>Measures</w:t>
      </w:r>
    </w:p>
    <w:bookmarkEnd w:id="22"/>
    <w:p w14:paraId="291B1957" w14:textId="6ACD601E" w:rsidR="00F661EE" w:rsidRPr="00EA6E48" w:rsidRDefault="00F661EE" w:rsidP="00EA6E48">
      <w:pPr>
        <w:pStyle w:val="Bullet"/>
      </w:pPr>
      <w:r w:rsidRPr="00EA6E48">
        <w:t>Monthly review of who is due for re-</w:t>
      </w:r>
      <w:r w:rsidR="00397973" w:rsidRPr="00EA6E48">
        <w:t>credentialing</w:t>
      </w:r>
      <w:r w:rsidRPr="00EA6E48">
        <w:t xml:space="preserve"> within a six-month timeframe.</w:t>
      </w:r>
    </w:p>
    <w:p w14:paraId="1A38E5B5" w14:textId="60836FE6" w:rsidR="00F661EE" w:rsidRPr="00EA6E48" w:rsidRDefault="00F661EE" w:rsidP="00EA6E48">
      <w:pPr>
        <w:pStyle w:val="Bullet"/>
      </w:pPr>
      <w:r w:rsidRPr="00EA6E48">
        <w:t xml:space="preserve">Credentialing team monitor and keep track of who has completed re-credentialing.  </w:t>
      </w:r>
    </w:p>
    <w:p w14:paraId="6C73C503" w14:textId="63ED5DFA" w:rsidR="00F661EE" w:rsidRDefault="00F661EE" w:rsidP="00EA6E48">
      <w:pPr>
        <w:pStyle w:val="Bullet"/>
      </w:pPr>
      <w:r w:rsidRPr="00EA6E48">
        <w:t>List</w:t>
      </w:r>
      <w:r>
        <w:t xml:space="preserve"> of practitioners overdue for re-credentialing sent to Divisions </w:t>
      </w:r>
      <w:r w:rsidR="00397973">
        <w:t>monthly</w:t>
      </w:r>
      <w:r>
        <w:t xml:space="preserve">. </w:t>
      </w:r>
    </w:p>
    <w:p w14:paraId="6815B641" w14:textId="77777777" w:rsidR="00481A6C" w:rsidRDefault="00481A6C" w:rsidP="002D7682">
      <w:pPr>
        <w:pStyle w:val="BodyCopy"/>
        <w:spacing w:after="120"/>
      </w:pPr>
      <w:hyperlink w:anchor="_top" w:history="1">
        <w:r w:rsidRPr="00481A6C">
          <w:rPr>
            <w:rStyle w:val="Hyperlink"/>
            <w:iCs w:val="0"/>
          </w:rPr>
          <w:t>Back to Contents</w:t>
        </w:r>
      </w:hyperlink>
    </w:p>
    <w:p w14:paraId="64CE170C" w14:textId="77777777" w:rsidR="008675C1" w:rsidRPr="008675C1" w:rsidRDefault="008675C1" w:rsidP="002D7682">
      <w:pPr>
        <w:pStyle w:val="BodyCopy"/>
        <w:spacing w:after="120"/>
        <w:rPr>
          <w:rStyle w:val="Hyperlink"/>
          <w:iCs w:val="0"/>
          <w:sz w:val="12"/>
          <w:szCs w:val="12"/>
        </w:rPr>
      </w:pPr>
    </w:p>
    <w:p w14:paraId="23FDCA22" w14:textId="77777777" w:rsidR="00A6051F" w:rsidRDefault="00A6051F" w:rsidP="00A6051F">
      <w:pPr>
        <w:pStyle w:val="Heading4"/>
      </w:pPr>
      <w:bookmarkStart w:id="23" w:name="_Toc221116397"/>
      <w:r>
        <w:t>Related policies, procedures, guidelines and legislation</w:t>
      </w:r>
      <w:bookmarkEnd w:id="23"/>
    </w:p>
    <w:p w14:paraId="7074D2C6" w14:textId="77777777" w:rsidR="00481A6C" w:rsidRDefault="00481A6C" w:rsidP="00A13913">
      <w:pPr>
        <w:pStyle w:val="Heading5"/>
        <w:spacing w:before="0" w:beforeAutospacing="0" w:after="0" w:line="240" w:lineRule="auto"/>
      </w:pPr>
      <w:r w:rsidRPr="00A66966">
        <w:t>Policies</w:t>
      </w:r>
    </w:p>
    <w:p w14:paraId="68B646D0" w14:textId="071069BB" w:rsidR="00F661EE" w:rsidRPr="003C0234" w:rsidRDefault="00C31033" w:rsidP="00A04CC3">
      <w:pPr>
        <w:pStyle w:val="Bullet"/>
        <w:numPr>
          <w:ilvl w:val="0"/>
          <w:numId w:val="31"/>
        </w:numPr>
      </w:pPr>
      <w:r w:rsidRPr="00C31033">
        <w:t>ACT Government Conflict of Interest Policy and Governance Tools</w:t>
      </w:r>
    </w:p>
    <w:p w14:paraId="33C778F3" w14:textId="20A17D04" w:rsidR="00F661EE" w:rsidRPr="003C0234" w:rsidRDefault="00F661EE" w:rsidP="00EA6E48">
      <w:pPr>
        <w:pStyle w:val="Bullet"/>
      </w:pPr>
      <w:r w:rsidRPr="003C0234">
        <w:t xml:space="preserve">Radiation </w:t>
      </w:r>
      <w:r w:rsidR="00C31033">
        <w:t xml:space="preserve">Safety </w:t>
      </w:r>
      <w:r w:rsidRPr="003C0234">
        <w:t xml:space="preserve">Management  </w:t>
      </w:r>
    </w:p>
    <w:p w14:paraId="0677BE86" w14:textId="77777777" w:rsidR="00F661EE" w:rsidRPr="003C0234" w:rsidRDefault="00F661EE" w:rsidP="00EA6E48">
      <w:pPr>
        <w:pStyle w:val="Bullet"/>
      </w:pPr>
      <w:r w:rsidRPr="003C0234">
        <w:t xml:space="preserve">Introduction of New Health Technology </w:t>
      </w:r>
    </w:p>
    <w:p w14:paraId="045F503F" w14:textId="77777777" w:rsidR="00481A6C" w:rsidRDefault="00481A6C" w:rsidP="00A13913">
      <w:pPr>
        <w:pStyle w:val="Heading5"/>
        <w:spacing w:before="0" w:beforeAutospacing="0" w:after="0" w:line="240" w:lineRule="auto"/>
      </w:pPr>
      <w:r>
        <w:t>Procedures</w:t>
      </w:r>
    </w:p>
    <w:p w14:paraId="498839FB" w14:textId="33E7A6AE" w:rsidR="00F661EE" w:rsidRDefault="00C31033" w:rsidP="00EA6E48">
      <w:pPr>
        <w:pStyle w:val="Bullet"/>
      </w:pPr>
      <w:r>
        <w:t>Reviewing the Clinical scope of Practice of a Practitioner</w:t>
      </w:r>
    </w:p>
    <w:p w14:paraId="725CFC5A" w14:textId="1910F319" w:rsidR="008B7D3F" w:rsidRDefault="008B7D3F" w:rsidP="00EA6E48">
      <w:pPr>
        <w:pStyle w:val="Bullet"/>
      </w:pPr>
      <w:r>
        <w:t>Health Records Disposal Schedule</w:t>
      </w:r>
    </w:p>
    <w:p w14:paraId="109D7946" w14:textId="282564B8" w:rsidR="7CC0923F" w:rsidRDefault="7CC0923F" w:rsidP="7912DADF">
      <w:pPr>
        <w:pStyle w:val="Bullet"/>
      </w:pPr>
      <w:r>
        <w:lastRenderedPageBreak/>
        <w:t>Credentialling and Defining the Scope of Practice for Senior Medical and Dental Practitioners at North Canberra Hospital (NCH)</w:t>
      </w:r>
    </w:p>
    <w:p w14:paraId="53A54AB2" w14:textId="77777777" w:rsidR="00481A6C" w:rsidRDefault="00481A6C" w:rsidP="00A13913">
      <w:pPr>
        <w:pStyle w:val="Heading5"/>
        <w:spacing w:before="0" w:beforeAutospacing="0" w:after="0" w:line="240" w:lineRule="auto"/>
      </w:pPr>
      <w:r>
        <w:t xml:space="preserve">Guidelines </w:t>
      </w:r>
    </w:p>
    <w:p w14:paraId="55FCAB72" w14:textId="50C00E73" w:rsidR="00A13913" w:rsidRDefault="009746B1" w:rsidP="00EA6E48">
      <w:pPr>
        <w:pStyle w:val="Bullet"/>
      </w:pPr>
      <w:r w:rsidRPr="00EA6E48">
        <w:t>Consent</w:t>
      </w:r>
      <w:r>
        <w:t xml:space="preserve"> for Healthcare Treatment</w:t>
      </w:r>
    </w:p>
    <w:p w14:paraId="691608E3" w14:textId="77777777" w:rsidR="00F661EE" w:rsidRPr="00A13913" w:rsidRDefault="00F661EE" w:rsidP="00A13913">
      <w:pPr>
        <w:spacing w:before="0" w:after="0" w:line="240" w:lineRule="auto"/>
        <w:rPr>
          <w:rFonts w:asciiTheme="minorHAnsi" w:hAnsiTheme="minorHAnsi" w:cstheme="minorHAnsi"/>
          <w:b/>
          <w:color w:val="522A6E" w:themeColor="accent2" w:themeShade="BF"/>
        </w:rPr>
      </w:pPr>
      <w:r w:rsidRPr="00A13913">
        <w:rPr>
          <w:rFonts w:asciiTheme="minorHAnsi" w:hAnsiTheme="minorHAnsi" w:cstheme="minorHAnsi"/>
          <w:b/>
          <w:color w:val="522A6E" w:themeColor="accent2" w:themeShade="BF"/>
        </w:rPr>
        <w:t>Legislation</w:t>
      </w:r>
    </w:p>
    <w:p w14:paraId="0D5FE2EE" w14:textId="77777777" w:rsidR="00F661EE" w:rsidRPr="003C0234" w:rsidRDefault="00F661EE" w:rsidP="00EA6E48">
      <w:pPr>
        <w:pStyle w:val="Bullet"/>
        <w:rPr>
          <w:b/>
        </w:rPr>
      </w:pPr>
      <w:r w:rsidRPr="003C0234">
        <w:t xml:space="preserve">Health Act 1993 (ACT) </w:t>
      </w:r>
    </w:p>
    <w:p w14:paraId="32917E9B" w14:textId="77777777" w:rsidR="00F661EE" w:rsidRPr="003C0234" w:rsidRDefault="00F661EE" w:rsidP="00EA6E48">
      <w:pPr>
        <w:pStyle w:val="Bullet"/>
        <w:rPr>
          <w:b/>
        </w:rPr>
      </w:pPr>
      <w:r w:rsidRPr="003C0234">
        <w:t>Discrimination Act 1991</w:t>
      </w:r>
    </w:p>
    <w:p w14:paraId="12B2D85A" w14:textId="77777777" w:rsidR="00F661EE" w:rsidRPr="003C0234" w:rsidRDefault="00F661EE" w:rsidP="00EA6E48">
      <w:pPr>
        <w:pStyle w:val="Bullet"/>
        <w:rPr>
          <w:b/>
        </w:rPr>
      </w:pPr>
      <w:r w:rsidRPr="003C0234">
        <w:t>Health Practitioner Regulation National Law 2010 (ACT)</w:t>
      </w:r>
    </w:p>
    <w:p w14:paraId="7222B894" w14:textId="77777777" w:rsidR="00F661EE" w:rsidRPr="003C0234" w:rsidRDefault="00F661EE" w:rsidP="00EA6E48">
      <w:pPr>
        <w:pStyle w:val="Bullet"/>
      </w:pPr>
      <w:r w:rsidRPr="003C0234">
        <w:t>Health Records (Privacy and Access) Act 1997</w:t>
      </w:r>
    </w:p>
    <w:p w14:paraId="390FF556" w14:textId="77777777" w:rsidR="00F661EE" w:rsidRDefault="00F661EE" w:rsidP="00EA6E48">
      <w:pPr>
        <w:pStyle w:val="Bullet"/>
      </w:pPr>
      <w:r w:rsidRPr="003C0234">
        <w:t>Human Rights Act 2004</w:t>
      </w:r>
    </w:p>
    <w:p w14:paraId="78C4AFDC" w14:textId="1C17B955" w:rsidR="003764BE" w:rsidRPr="003C0234" w:rsidRDefault="003764BE" w:rsidP="00EA6E48">
      <w:pPr>
        <w:pStyle w:val="Bullet"/>
      </w:pPr>
      <w:r>
        <w:t>Carers Recognition Act 2021</w:t>
      </w:r>
    </w:p>
    <w:p w14:paraId="3443A98D" w14:textId="77777777" w:rsidR="00F661EE" w:rsidRPr="003C0234" w:rsidRDefault="00F661EE" w:rsidP="00EA6E48">
      <w:pPr>
        <w:pStyle w:val="Bullet"/>
      </w:pPr>
      <w:r w:rsidRPr="003C0234">
        <w:t>Work Health and Safety Act 2011</w:t>
      </w:r>
    </w:p>
    <w:p w14:paraId="22CC60BD" w14:textId="77777777" w:rsidR="00F661EE" w:rsidRPr="003C0234" w:rsidRDefault="00F661EE" w:rsidP="00EA6E48">
      <w:pPr>
        <w:pStyle w:val="Bullet"/>
      </w:pPr>
      <w:r w:rsidRPr="003C0234">
        <w:t>Public Sector Management Act 1994</w:t>
      </w:r>
    </w:p>
    <w:p w14:paraId="15A7F653" w14:textId="77777777" w:rsidR="00F661EE" w:rsidRPr="003C0234" w:rsidRDefault="00F661EE" w:rsidP="00EA6E48">
      <w:pPr>
        <w:pStyle w:val="Bullet"/>
      </w:pPr>
      <w:r w:rsidRPr="003C0234">
        <w:t>ACT Civil and Administrative Tribunal Act 2008</w:t>
      </w:r>
    </w:p>
    <w:p w14:paraId="67A18273" w14:textId="77777777" w:rsidR="00F661EE" w:rsidRPr="003C0234" w:rsidRDefault="00F661EE" w:rsidP="00EA6E48">
      <w:pPr>
        <w:pStyle w:val="Bullet"/>
      </w:pPr>
      <w:r w:rsidRPr="003C0234">
        <w:t>ACT Public Sector Health Professionals Enterprise Agreement 2018-2021</w:t>
      </w:r>
    </w:p>
    <w:p w14:paraId="3A166DBD" w14:textId="77777777" w:rsidR="00F661EE" w:rsidRPr="003C0234" w:rsidRDefault="00F661EE" w:rsidP="00EA6E48">
      <w:pPr>
        <w:pStyle w:val="Bullet"/>
      </w:pPr>
      <w:r w:rsidRPr="003C0234">
        <w:t>ACT Public Service Medical Practitioners Enterprise Agreement 2017-2021</w:t>
      </w:r>
    </w:p>
    <w:p w14:paraId="097CBE16" w14:textId="77777777" w:rsidR="00F661EE" w:rsidRPr="003C0234" w:rsidRDefault="00F661EE" w:rsidP="00EA6E48">
      <w:pPr>
        <w:pStyle w:val="Bullet"/>
      </w:pPr>
      <w:r w:rsidRPr="003C0234">
        <w:t>ACT Radiation Protection Act 2006</w:t>
      </w:r>
    </w:p>
    <w:p w14:paraId="3E99D287" w14:textId="0E4CB8C3" w:rsidR="00F661EE" w:rsidRPr="003C0234" w:rsidRDefault="00F661EE" w:rsidP="00EA6E48">
      <w:pPr>
        <w:pStyle w:val="Bullet"/>
      </w:pPr>
      <w:r w:rsidRPr="003C0234">
        <w:t>ACT Radiation Protection Regulations 2007</w:t>
      </w:r>
    </w:p>
    <w:p w14:paraId="4B9742BE" w14:textId="77777777" w:rsidR="00481A6C" w:rsidRDefault="00481A6C" w:rsidP="00A6051F">
      <w:pPr>
        <w:pStyle w:val="Heading5"/>
      </w:pPr>
      <w:r>
        <w:t>Other</w:t>
      </w:r>
    </w:p>
    <w:p w14:paraId="04E85FF9" w14:textId="77777777" w:rsidR="000E7683" w:rsidRDefault="00481A6C" w:rsidP="00EA6E48">
      <w:pPr>
        <w:pStyle w:val="Bullet"/>
      </w:pPr>
      <w:r w:rsidRPr="00EA6E48">
        <w:t>Australian</w:t>
      </w:r>
      <w:r w:rsidRPr="000E7683">
        <w:t xml:space="preserve"> Charter of Healthcare Right</w:t>
      </w:r>
      <w:r w:rsidR="00280C5D" w:rsidRPr="000E7683">
        <w:t>s</w:t>
      </w:r>
    </w:p>
    <w:p w14:paraId="1B923AFE" w14:textId="7D2B4DB4" w:rsidR="00C31033" w:rsidRDefault="00C31033" w:rsidP="00EA6E48">
      <w:pPr>
        <w:pStyle w:val="Bullet"/>
      </w:pPr>
      <w:r>
        <w:t xml:space="preserve">ACTPS </w:t>
      </w:r>
      <w:r w:rsidRPr="00C31033">
        <w:t>Area of Need for Vacant Medical Practitioner Positions in the Public and Private Sector – Policy and Procedure</w:t>
      </w:r>
    </w:p>
    <w:p w14:paraId="7F2FAB09" w14:textId="77777777" w:rsidR="00C31033" w:rsidRPr="003C0234" w:rsidRDefault="00C31033" w:rsidP="00C31033">
      <w:pPr>
        <w:pStyle w:val="Bullet"/>
      </w:pPr>
      <w:r w:rsidRPr="003C0234">
        <w:t xml:space="preserve">CanMEDs 2015 Physician Competency Framework </w:t>
      </w:r>
    </w:p>
    <w:p w14:paraId="61EA2E75" w14:textId="17789D2E" w:rsidR="00C31033" w:rsidRDefault="00C31033" w:rsidP="001D543B">
      <w:pPr>
        <w:pStyle w:val="ListParagraph"/>
        <w:numPr>
          <w:ilvl w:val="0"/>
          <w:numId w:val="20"/>
        </w:numPr>
        <w:jc w:val="both"/>
      </w:pPr>
      <w:r w:rsidRPr="003C0234">
        <w:rPr>
          <w:rFonts w:asciiTheme="majorHAnsi" w:hAnsiTheme="majorHAnsi" w:cstheme="majorHAnsi"/>
          <w:szCs w:val="24"/>
        </w:rPr>
        <w:t>Australian Council on Safety and Quality in Health Care, Standard for Credentialing and Defining the Scope of Clinical Practice 2004</w:t>
      </w:r>
    </w:p>
    <w:p w14:paraId="786D631E" w14:textId="389B0E29" w:rsidR="00C31033" w:rsidRDefault="00C31033" w:rsidP="00C31033">
      <w:pPr>
        <w:pStyle w:val="Bullet"/>
      </w:pPr>
      <w:r w:rsidRPr="003C0234">
        <w:t>Guidance for Hospital Credentialing of Senior Medical Practitioners to Undertake Transvaginal Mesh Surgery for Stress Urinary Incontinence</w:t>
      </w:r>
    </w:p>
    <w:p w14:paraId="25427F52" w14:textId="27473BAE" w:rsidR="0064576E" w:rsidRPr="000E7683" w:rsidRDefault="000E7683" w:rsidP="002D7682">
      <w:pPr>
        <w:pStyle w:val="BodyCopy"/>
      </w:pPr>
      <w:hyperlink w:anchor="_top" w:history="1">
        <w:r w:rsidRPr="004A7A7F">
          <w:rPr>
            <w:rStyle w:val="Hyperlink"/>
          </w:rPr>
          <w:t>Back to Contents</w:t>
        </w:r>
      </w:hyperlink>
    </w:p>
    <w:p w14:paraId="7B05D405" w14:textId="031B29DC" w:rsidR="00EA42BD" w:rsidRPr="0064576E" w:rsidRDefault="0078367D" w:rsidP="0064576E">
      <w:pPr>
        <w:pStyle w:val="Heading4"/>
      </w:pPr>
      <w:bookmarkStart w:id="24" w:name="_Toc221116398"/>
      <w:r w:rsidRPr="0078367D">
        <w:t>References</w:t>
      </w:r>
      <w:bookmarkEnd w:id="24"/>
    </w:p>
    <w:p w14:paraId="3DBE1FF2" w14:textId="77777777" w:rsidR="00EA42BD" w:rsidRPr="00EA42BD" w:rsidRDefault="00EA42BD" w:rsidP="008B7D3F">
      <w:pPr>
        <w:pStyle w:val="Numberedlist"/>
      </w:pPr>
      <w:r w:rsidRPr="00EA42BD">
        <w:t xml:space="preserve">Australian Commission on Safety and Quality in Health Care (ACSQHC, 2004). </w:t>
      </w:r>
      <w:r w:rsidRPr="00EA42BD">
        <w:rPr>
          <w:i/>
        </w:rPr>
        <w:t>Standard for Credentialing and Defining the Scope of Clinical Practice</w:t>
      </w:r>
      <w:r w:rsidRPr="00EA42BD">
        <w:t xml:space="preserve">. </w:t>
      </w:r>
      <w:smartTag w:uri="urn:schemas-microsoft-com:office:smarttags" w:element="City">
        <w:r w:rsidRPr="00EA42BD">
          <w:t>Canberra</w:t>
        </w:r>
      </w:smartTag>
      <w:r w:rsidRPr="00EA42BD">
        <w:t xml:space="preserve">: </w:t>
      </w:r>
      <w:smartTag w:uri="urn:schemas-microsoft-com:office:smarttags" w:element="place">
        <w:smartTag w:uri="urn:schemas-microsoft-com:office:smarttags" w:element="country-region">
          <w:r w:rsidRPr="00EA42BD">
            <w:t>Australia</w:t>
          </w:r>
        </w:smartTag>
      </w:smartTag>
      <w:r w:rsidRPr="00EA42BD">
        <w:t>. ACSQHC.</w:t>
      </w:r>
    </w:p>
    <w:p w14:paraId="41DC6519" w14:textId="77777777" w:rsidR="00EA42BD" w:rsidRPr="00EA42BD" w:rsidRDefault="00EA42BD" w:rsidP="008B7D3F">
      <w:pPr>
        <w:pStyle w:val="Numberedlist"/>
      </w:pPr>
      <w:r w:rsidRPr="00EA42BD">
        <w:t xml:space="preserve">Frank JR, Snell L, Sherbino J (2015). </w:t>
      </w:r>
      <w:r w:rsidRPr="00EA42BD">
        <w:rPr>
          <w:i/>
        </w:rPr>
        <w:t xml:space="preserve">The CanMEDS 2015 Physician Competency Framework. Better Standards. Better Physicians. Better Care. </w:t>
      </w:r>
      <w:r w:rsidRPr="00EA42BD">
        <w:t>Ottawa, Canada: The Royal College of Physicians and Surgeons of Canada.</w:t>
      </w:r>
    </w:p>
    <w:p w14:paraId="3F1F5649" w14:textId="77777777" w:rsidR="00EA42BD" w:rsidRPr="00EA42BD" w:rsidRDefault="00EA42BD" w:rsidP="008B7D3F">
      <w:pPr>
        <w:pStyle w:val="Numberedlist"/>
      </w:pPr>
      <w:r w:rsidRPr="00EA42BD">
        <w:rPr>
          <w:bCs/>
        </w:rPr>
        <w:lastRenderedPageBreak/>
        <w:t xml:space="preserve">Medical Board of Australia (1 June 2018). </w:t>
      </w:r>
      <w:r w:rsidRPr="00EA42BD">
        <w:rPr>
          <w:bCs/>
          <w:i/>
          <w:iCs/>
        </w:rPr>
        <w:t xml:space="preserve">Medical Board of Australia – List of Specialities, Fields of Speciality Practice and Related Specialist Titles. </w:t>
      </w:r>
      <w:r w:rsidRPr="00EA42BD">
        <w:rPr>
          <w:bCs/>
        </w:rPr>
        <w:t xml:space="preserve">Australia </w:t>
      </w:r>
    </w:p>
    <w:p w14:paraId="303DFF12" w14:textId="77777777" w:rsidR="00EA42BD" w:rsidRPr="00EA42BD" w:rsidRDefault="00EA42BD" w:rsidP="008B7D3F">
      <w:pPr>
        <w:pStyle w:val="Numberedlist"/>
        <w:rPr>
          <w:bCs/>
        </w:rPr>
      </w:pPr>
      <w:r w:rsidRPr="00EA42BD">
        <w:rPr>
          <w:bCs/>
          <w:i/>
          <w:iCs/>
        </w:rPr>
        <w:t>The Dental Board of Australia – List of specialist titles for dental practitioners</w:t>
      </w:r>
      <w:r w:rsidRPr="00EA42BD">
        <w:rPr>
          <w:bCs/>
        </w:rPr>
        <w:t xml:space="preserve">. </w:t>
      </w:r>
    </w:p>
    <w:p w14:paraId="33A4C39F" w14:textId="4D2E0F17" w:rsidR="00280C5D" w:rsidRDefault="00280C5D" w:rsidP="00EA6E48">
      <w:pPr>
        <w:pStyle w:val="Bullet"/>
        <w:numPr>
          <w:ilvl w:val="0"/>
          <w:numId w:val="0"/>
        </w:numPr>
        <w:ind w:left="360" w:hanging="360"/>
        <w:rPr>
          <w:lang w:eastAsia="en-US"/>
        </w:rPr>
      </w:pPr>
      <w:hyperlink w:anchor="_top" w:history="1">
        <w:r w:rsidRPr="004A7A7F">
          <w:rPr>
            <w:rStyle w:val="Hyperlink"/>
          </w:rPr>
          <w:t>Back to Contents</w:t>
        </w:r>
      </w:hyperlink>
    </w:p>
    <w:p w14:paraId="52F17BE9" w14:textId="7617F59B" w:rsidR="0078367D" w:rsidRDefault="0078367D" w:rsidP="00A6051F">
      <w:pPr>
        <w:pStyle w:val="Heading4"/>
      </w:pPr>
      <w:bookmarkStart w:id="25" w:name="_Toc221116399"/>
      <w:r>
        <w:t>Definition of terms</w:t>
      </w:r>
      <w:bookmarkEnd w:id="25"/>
      <w:r>
        <w:t xml:space="preserve"> </w:t>
      </w:r>
    </w:p>
    <w:p w14:paraId="098CE91D" w14:textId="181AF306" w:rsidR="00EA42BD" w:rsidRPr="008B7D3F" w:rsidRDefault="00EA42BD" w:rsidP="00EA6E48">
      <w:pPr>
        <w:pStyle w:val="BodyCopy"/>
        <w:rPr>
          <w:iCs w:val="0"/>
          <w:sz w:val="22"/>
          <w:szCs w:val="22"/>
        </w:rPr>
      </w:pPr>
      <w:r w:rsidRPr="008B7D3F">
        <w:rPr>
          <w:b/>
          <w:iCs w:val="0"/>
        </w:rPr>
        <w:t>Appointment</w:t>
      </w:r>
      <w:r w:rsidRPr="008B7D3F">
        <w:rPr>
          <w:iCs w:val="0"/>
        </w:rPr>
        <w:t xml:space="preserve"> - means the employment or engagement of a doctor or dentist to provide services within an organisation according to conditions defined by general law and supplemented by contract (</w:t>
      </w:r>
      <w:r w:rsidRPr="008B7D3F">
        <w:rPr>
          <w:iCs w:val="0"/>
          <w:sz w:val="22"/>
          <w:szCs w:val="22"/>
        </w:rPr>
        <w:t>ACSQHC, 2004).</w:t>
      </w:r>
    </w:p>
    <w:p w14:paraId="7DD7B641" w14:textId="77777777" w:rsidR="00EA42BD" w:rsidRPr="008B7D3F" w:rsidRDefault="00EA42BD" w:rsidP="00EA6E48">
      <w:pPr>
        <w:pStyle w:val="BodyCopy"/>
        <w:rPr>
          <w:iCs w:val="0"/>
        </w:rPr>
      </w:pPr>
      <w:r w:rsidRPr="008B7D3F">
        <w:rPr>
          <w:b/>
          <w:iCs w:val="0"/>
        </w:rPr>
        <w:t xml:space="preserve">Clinical practice </w:t>
      </w:r>
      <w:r w:rsidRPr="008B7D3F">
        <w:rPr>
          <w:iCs w:val="0"/>
        </w:rPr>
        <w:t>- means the professional activity undertaken by doctors or dentists for the purposes of investigating patient symptoms and preventing and/or managing illness, together with associated professional activities related to patient care (ACSQHC, 2004).</w:t>
      </w:r>
    </w:p>
    <w:p w14:paraId="295BB394" w14:textId="77777777" w:rsidR="00EA42BD" w:rsidRPr="008B7D3F" w:rsidRDefault="00EA42BD" w:rsidP="00EA6E48">
      <w:pPr>
        <w:pStyle w:val="BodyCopy"/>
        <w:rPr>
          <w:iCs w:val="0"/>
          <w:sz w:val="22"/>
          <w:szCs w:val="22"/>
        </w:rPr>
      </w:pPr>
      <w:r w:rsidRPr="008B7D3F">
        <w:rPr>
          <w:b/>
          <w:iCs w:val="0"/>
        </w:rPr>
        <w:t>Credentialing</w:t>
      </w:r>
      <w:r w:rsidRPr="008B7D3F">
        <w:rPr>
          <w:iCs w:val="0"/>
        </w:rPr>
        <w:t xml:space="preserve"> - </w:t>
      </w:r>
      <w:r w:rsidRPr="008B7D3F">
        <w:rPr>
          <w:rFonts w:cs="CorporateSBQ-Light"/>
          <w:iCs w:val="0"/>
        </w:rPr>
        <w:t>means the formal process used to verify the qualifications, experience, professional standing and other relevant professional attributes of a doctor or dentist for the purpose of forming a view</w:t>
      </w:r>
      <w:r w:rsidRPr="008B7D3F">
        <w:rPr>
          <w:iCs w:val="0"/>
        </w:rPr>
        <w:t xml:space="preserve"> about the competence, performance and professional suitability of the doctor or dentist to </w:t>
      </w:r>
      <w:r w:rsidRPr="008B7D3F">
        <w:rPr>
          <w:rFonts w:cs="CorporateSBQ-Light"/>
          <w:iCs w:val="0"/>
        </w:rPr>
        <w:t xml:space="preserve">provide safe, high quality health care services within a specific organisational environment </w:t>
      </w:r>
      <w:r w:rsidRPr="008B7D3F">
        <w:rPr>
          <w:iCs w:val="0"/>
          <w:sz w:val="22"/>
          <w:szCs w:val="22"/>
        </w:rPr>
        <w:t>(ACSQHC, 2004).</w:t>
      </w:r>
    </w:p>
    <w:p w14:paraId="5F7EEAFA" w14:textId="77777777" w:rsidR="00EA42BD" w:rsidRPr="008B7D3F" w:rsidRDefault="00EA42BD" w:rsidP="00EA6E48">
      <w:pPr>
        <w:pStyle w:val="BodyCopy"/>
        <w:rPr>
          <w:iCs w:val="0"/>
        </w:rPr>
      </w:pPr>
      <w:r w:rsidRPr="008B7D3F">
        <w:rPr>
          <w:b/>
          <w:iCs w:val="0"/>
        </w:rPr>
        <w:t>Credentials</w:t>
      </w:r>
      <w:r w:rsidRPr="008B7D3F">
        <w:rPr>
          <w:iCs w:val="0"/>
          <w:lang w:val="en-US"/>
        </w:rPr>
        <w:t xml:space="preserve"> - means the qualifications, professional training, clinical experience, and training and experience in leadership, research, education, communication and teamwork that contribute to a doctor’s or dentist’s competence, performance and professional suitability to provide safe, high quality health care services. For the purposes of this policy, a doctor’s or dentist’s history of, and current status with respect to, professional registration, disciplinary actions, indemnity insurance and criminal record are also regarded as relevant to their credentials</w:t>
      </w:r>
      <w:r w:rsidRPr="008B7D3F">
        <w:rPr>
          <w:iCs w:val="0"/>
        </w:rPr>
        <w:t xml:space="preserve"> (ACSQHC, 2004).</w:t>
      </w:r>
    </w:p>
    <w:p w14:paraId="37F14C5A" w14:textId="77777777" w:rsidR="00EA42BD" w:rsidRPr="008B7D3F" w:rsidRDefault="00EA42BD" w:rsidP="00EA6E48">
      <w:pPr>
        <w:pStyle w:val="BodyCopy"/>
        <w:rPr>
          <w:iCs w:val="0"/>
          <w:sz w:val="22"/>
          <w:szCs w:val="22"/>
        </w:rPr>
      </w:pPr>
      <w:r w:rsidRPr="008B7D3F">
        <w:rPr>
          <w:b/>
          <w:iCs w:val="0"/>
        </w:rPr>
        <w:t>Defining the scope of clinical practice</w:t>
      </w:r>
      <w:r w:rsidRPr="008B7D3F">
        <w:rPr>
          <w:iCs w:val="0"/>
        </w:rPr>
        <w:t xml:space="preserve"> </w:t>
      </w:r>
      <w:r w:rsidRPr="008B7D3F">
        <w:rPr>
          <w:rFonts w:cs="CorporateSBQ-Light"/>
          <w:iCs w:val="0"/>
        </w:rPr>
        <w:t xml:space="preserve">- means delineating the extent of an individual doctor’s or dentist’s clinical practice within a particular organisation based on the individual’s credentials, competence, performance and professional suitability, and the needs and the capability of the organisation to support the doctor’s or dentist’s scope of clinical practice </w:t>
      </w:r>
      <w:r w:rsidRPr="008B7D3F">
        <w:rPr>
          <w:iCs w:val="0"/>
          <w:sz w:val="22"/>
          <w:szCs w:val="22"/>
        </w:rPr>
        <w:t>(ACSQHC, 2004).</w:t>
      </w:r>
    </w:p>
    <w:p w14:paraId="207D7529" w14:textId="77777777" w:rsidR="00EA42BD" w:rsidRPr="008B7D3F" w:rsidRDefault="00EA42BD" w:rsidP="00EA6E48">
      <w:pPr>
        <w:pStyle w:val="BodyCopy"/>
        <w:rPr>
          <w:rFonts w:cs="Calibri"/>
          <w:iCs w:val="0"/>
        </w:rPr>
      </w:pPr>
      <w:r w:rsidRPr="008B7D3F">
        <w:rPr>
          <w:rFonts w:cs="Calibri"/>
          <w:b/>
          <w:iCs w:val="0"/>
        </w:rPr>
        <w:t>Health technologies</w:t>
      </w:r>
      <w:r w:rsidRPr="008B7D3F">
        <w:rPr>
          <w:rFonts w:cs="Calibri"/>
          <w:iCs w:val="0"/>
        </w:rPr>
        <w:t xml:space="preserve">: are defined as “Therapeutic devices, medical or surgical procedures used in medical care, and the organisational and supportive systems with which such care is provided.” This definition includes therapeutic, diagnostic and screening procedures and equipment but not the evaluation of new drugs, either for addition to the formulary or as an individual patient therapy. </w:t>
      </w:r>
    </w:p>
    <w:p w14:paraId="2DF31480" w14:textId="77777777" w:rsidR="00EA42BD" w:rsidRPr="008B7D3F" w:rsidRDefault="00EA42BD" w:rsidP="00EA6E48">
      <w:pPr>
        <w:pStyle w:val="BodyCopy"/>
        <w:rPr>
          <w:iCs w:val="0"/>
          <w:lang w:val="en-US"/>
        </w:rPr>
      </w:pPr>
      <w:r w:rsidRPr="008B7D3F">
        <w:rPr>
          <w:b/>
          <w:iCs w:val="0"/>
        </w:rPr>
        <w:t xml:space="preserve">Organisational capability </w:t>
      </w:r>
      <w:r w:rsidRPr="008B7D3F">
        <w:rPr>
          <w:iCs w:val="0"/>
        </w:rPr>
        <w:t>- means an organisation’s ability to provide the facilities and clinical and non-clinical support services necessary for the provision of safe, high quality clinical services, procedures or other interventions (ACSQHC, 2004).</w:t>
      </w:r>
    </w:p>
    <w:p w14:paraId="27FF4BA8" w14:textId="77777777" w:rsidR="00EA42BD" w:rsidRPr="008B7D3F" w:rsidRDefault="00EA42BD" w:rsidP="00EA6E48">
      <w:pPr>
        <w:pStyle w:val="BodyCopy"/>
        <w:rPr>
          <w:iCs w:val="0"/>
        </w:rPr>
      </w:pPr>
      <w:r w:rsidRPr="008B7D3F">
        <w:rPr>
          <w:b/>
          <w:iCs w:val="0"/>
        </w:rPr>
        <w:lastRenderedPageBreak/>
        <w:t xml:space="preserve">Organisational need </w:t>
      </w:r>
      <w:r w:rsidRPr="008B7D3F">
        <w:rPr>
          <w:iCs w:val="0"/>
        </w:rPr>
        <w:t>- means the extent to which an organisation requires the provision of a specific clinical service, procedure or other intervention in order to provide a balanced mix of safe, high quality health care services that meet patient and community needs and aspirations (ACSQHC, 2004).</w:t>
      </w:r>
    </w:p>
    <w:p w14:paraId="70CACF2D" w14:textId="77777777" w:rsidR="00EA42BD" w:rsidRPr="008B7D3F" w:rsidRDefault="00EA42BD" w:rsidP="00EA6E48">
      <w:pPr>
        <w:pStyle w:val="BodyCopy"/>
        <w:rPr>
          <w:iCs w:val="0"/>
        </w:rPr>
      </w:pPr>
      <w:r w:rsidRPr="008B7D3F">
        <w:rPr>
          <w:b/>
          <w:iCs w:val="0"/>
        </w:rPr>
        <w:t>Performance</w:t>
      </w:r>
      <w:r w:rsidRPr="008B7D3F">
        <w:rPr>
          <w:iCs w:val="0"/>
        </w:rPr>
        <w:t xml:space="preserve"> -</w:t>
      </w:r>
      <w:r w:rsidRPr="008B7D3F">
        <w:rPr>
          <w:b/>
          <w:iCs w:val="0"/>
        </w:rPr>
        <w:t xml:space="preserve"> </w:t>
      </w:r>
      <w:r w:rsidRPr="008B7D3F">
        <w:rPr>
          <w:iCs w:val="0"/>
        </w:rPr>
        <w:t>means the extent to which a doctor or dentist provides health care services in a manner which is consistent with known good practice and results in expected patient benefits (ACSQHC, 2004).</w:t>
      </w:r>
    </w:p>
    <w:p w14:paraId="197AAC97" w14:textId="77777777" w:rsidR="00EA42BD" w:rsidRPr="008B7D3F" w:rsidRDefault="00EA42BD" w:rsidP="00EA6E48">
      <w:pPr>
        <w:pStyle w:val="BodyCopy"/>
        <w:rPr>
          <w:iCs w:val="0"/>
          <w:lang w:val="en-US"/>
        </w:rPr>
      </w:pPr>
      <w:r w:rsidRPr="008B7D3F">
        <w:rPr>
          <w:b/>
          <w:iCs w:val="0"/>
        </w:rPr>
        <w:t xml:space="preserve">Re-credentialing </w:t>
      </w:r>
      <w:r w:rsidRPr="008B7D3F">
        <w:rPr>
          <w:iCs w:val="0"/>
          <w:lang w:val="en-US"/>
        </w:rPr>
        <w:t xml:space="preserve">- </w:t>
      </w:r>
      <w:r w:rsidRPr="008B7D3F">
        <w:rPr>
          <w:iCs w:val="0"/>
        </w:rPr>
        <w:t>means the formal process used to re-confirm the qualifications, experience and professional standing (including history of and current status with respect to professional registration, disciplinary actions, indemnity insurance and criminal record) of doctors or dentists, for the purpose of forming a view about their ongoing competence, performance and professional suitability to provide safe, high quality health care services within specific organisational environments (ACSQHC, 2004).</w:t>
      </w:r>
    </w:p>
    <w:p w14:paraId="20238B78" w14:textId="6959D811" w:rsidR="00EA42BD" w:rsidRPr="008B7D3F" w:rsidRDefault="00EA42BD" w:rsidP="00EA6E48">
      <w:pPr>
        <w:pStyle w:val="BodyCopy"/>
        <w:rPr>
          <w:iCs w:val="0"/>
        </w:rPr>
      </w:pPr>
      <w:r w:rsidRPr="008B7D3F">
        <w:rPr>
          <w:b/>
          <w:iCs w:val="0"/>
        </w:rPr>
        <w:t>Senior Medical and Dental Practitioner</w:t>
      </w:r>
      <w:r w:rsidRPr="008B7D3F">
        <w:rPr>
          <w:iCs w:val="0"/>
        </w:rPr>
        <w:t xml:space="preserve"> – means a Specialist, Senior Specialist, Visiting Medical Officer (VMO) or Dentist engaged by </w:t>
      </w:r>
      <w:r w:rsidR="0064576E" w:rsidRPr="008B7D3F">
        <w:rPr>
          <w:iCs w:val="0"/>
        </w:rPr>
        <w:t>CHS.</w:t>
      </w:r>
    </w:p>
    <w:p w14:paraId="34E9755B" w14:textId="77777777" w:rsidR="00EA42BD" w:rsidRPr="008B7D3F" w:rsidRDefault="00EA42BD" w:rsidP="00EA6E48">
      <w:pPr>
        <w:pStyle w:val="BodyCopy"/>
        <w:rPr>
          <w:iCs w:val="0"/>
        </w:rPr>
      </w:pPr>
      <w:r w:rsidRPr="008B7D3F">
        <w:rPr>
          <w:b/>
          <w:iCs w:val="0"/>
        </w:rPr>
        <w:t xml:space="preserve">Scope of Clinical Practice </w:t>
      </w:r>
      <w:r w:rsidRPr="008B7D3F">
        <w:rPr>
          <w:iCs w:val="0"/>
        </w:rPr>
        <w:t>- means the authorised extent of an individual doctor’s or dentist’s clinical practice within a particular organisation. See “defining the Scope of clinical practice” (ACSQHC, 2004).</w:t>
      </w:r>
    </w:p>
    <w:p w14:paraId="10497BBE" w14:textId="0E0DC66C" w:rsidR="00EA42BD" w:rsidRPr="008B7D3F" w:rsidRDefault="00EA42BD" w:rsidP="00EA6E48">
      <w:pPr>
        <w:pStyle w:val="BodyCopy"/>
        <w:rPr>
          <w:iCs w:val="0"/>
        </w:rPr>
      </w:pPr>
      <w:r w:rsidRPr="008B7D3F">
        <w:rPr>
          <w:b/>
          <w:iCs w:val="0"/>
        </w:rPr>
        <w:t>Specialist</w:t>
      </w:r>
      <w:r w:rsidRPr="008B7D3F">
        <w:rPr>
          <w:iCs w:val="0"/>
        </w:rPr>
        <w:t xml:space="preserve"> - means a person who is employed by CHS in the classification of Specialist as set out in the ACTPS MPEA 2017-2021.</w:t>
      </w:r>
    </w:p>
    <w:p w14:paraId="58C23D47" w14:textId="3C074F2E" w:rsidR="00EA42BD" w:rsidRPr="008B7D3F" w:rsidRDefault="00EA42BD" w:rsidP="00EA6E48">
      <w:pPr>
        <w:pStyle w:val="BodyCopy"/>
      </w:pPr>
      <w:r w:rsidRPr="1ECE2995">
        <w:rPr>
          <w:b/>
        </w:rPr>
        <w:t xml:space="preserve">Visiting Medical Officer (VMO) </w:t>
      </w:r>
      <w:r>
        <w:t xml:space="preserve">– VMO means a person who is engaged under a service contract as a Visiting Medical Officer (VMO) as defined in the Health Act. </w:t>
      </w:r>
    </w:p>
    <w:p w14:paraId="3D596079" w14:textId="14749D46" w:rsidR="00280C5D" w:rsidRDefault="00280C5D" w:rsidP="002D7682">
      <w:pPr>
        <w:pStyle w:val="BodyCopy"/>
      </w:pPr>
      <w:hyperlink w:anchor="_top" w:history="1">
        <w:r w:rsidRPr="00481A6C">
          <w:rPr>
            <w:rStyle w:val="Hyperlink"/>
            <w:iCs w:val="0"/>
          </w:rPr>
          <w:t>Back to Contents</w:t>
        </w:r>
      </w:hyperlink>
    </w:p>
    <w:p w14:paraId="28D6CB17" w14:textId="77777777" w:rsidR="0078367D" w:rsidRDefault="0078367D" w:rsidP="00A6051F">
      <w:pPr>
        <w:pStyle w:val="Heading4"/>
      </w:pPr>
      <w:bookmarkStart w:id="26" w:name="_Toc221116400"/>
      <w:r>
        <w:t>Search terms</w:t>
      </w:r>
      <w:bookmarkEnd w:id="26"/>
    </w:p>
    <w:p w14:paraId="16E7AB03" w14:textId="493FE22C" w:rsidR="00EA42BD" w:rsidRDefault="00EA42BD" w:rsidP="00EA6E48">
      <w:pPr>
        <w:pStyle w:val="Bullet"/>
        <w:numPr>
          <w:ilvl w:val="0"/>
          <w:numId w:val="0"/>
        </w:numPr>
        <w:ind w:left="360" w:hanging="360"/>
      </w:pPr>
      <w:r w:rsidRPr="00DB518C">
        <w:t>Scope of</w:t>
      </w:r>
      <w:r>
        <w:t xml:space="preserve"> clinical</w:t>
      </w:r>
      <w:r w:rsidRPr="00DB518C">
        <w:t xml:space="preserve"> practice</w:t>
      </w:r>
      <w:r>
        <w:t>, credentialing, medical, dental, practitioners, MDA</w:t>
      </w:r>
      <w:r w:rsidR="00927A1D">
        <w:t>A</w:t>
      </w:r>
      <w:r>
        <w:t>C</w:t>
      </w:r>
      <w:r w:rsidR="008B7D3F">
        <w:t>, doctor, north</w:t>
      </w:r>
    </w:p>
    <w:p w14:paraId="7E8EC7E0" w14:textId="77777777" w:rsidR="00EA42BD" w:rsidRDefault="00EA42BD" w:rsidP="00EA6E48">
      <w:pPr>
        <w:pStyle w:val="Bullet"/>
        <w:numPr>
          <w:ilvl w:val="0"/>
          <w:numId w:val="0"/>
        </w:numPr>
      </w:pPr>
    </w:p>
    <w:p w14:paraId="70AA7E6D" w14:textId="50985201" w:rsidR="00280C5D" w:rsidRDefault="00280C5D" w:rsidP="00EA6E48">
      <w:pPr>
        <w:pStyle w:val="Bullet"/>
        <w:numPr>
          <w:ilvl w:val="0"/>
          <w:numId w:val="0"/>
        </w:numPr>
        <w:rPr>
          <w:lang w:eastAsia="en-US"/>
        </w:rPr>
      </w:pPr>
      <w:hyperlink w:anchor="_top" w:history="1">
        <w:r w:rsidRPr="00481A6C">
          <w:rPr>
            <w:rStyle w:val="Hyperlink"/>
          </w:rPr>
          <w:t>Back to Contents</w:t>
        </w:r>
      </w:hyperlink>
    </w:p>
    <w:p w14:paraId="16AD6998" w14:textId="77777777" w:rsidR="00927A1D" w:rsidRDefault="00927A1D" w:rsidP="001F3ED6">
      <w:pPr>
        <w:pStyle w:val="BodyCopy"/>
        <w:rPr>
          <w:rStyle w:val="Bold"/>
        </w:rPr>
      </w:pPr>
    </w:p>
    <w:p w14:paraId="39E04D4B" w14:textId="13F770C1"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76EAC532"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6D021314" w14:textId="77777777" w:rsidR="00280C5D" w:rsidRDefault="00280C5D" w:rsidP="003B0E72">
            <w:pPr>
              <w:pStyle w:val="Tableheader"/>
            </w:pPr>
            <w:r>
              <w:t>Date amended</w:t>
            </w:r>
          </w:p>
        </w:tc>
        <w:tc>
          <w:tcPr>
            <w:tcW w:w="2477" w:type="dxa"/>
          </w:tcPr>
          <w:p w14:paraId="03A2E87F" w14:textId="77777777" w:rsidR="00280C5D" w:rsidRDefault="00280C5D" w:rsidP="003B0E72">
            <w:pPr>
              <w:pStyle w:val="Tableheader"/>
            </w:pPr>
            <w:r>
              <w:t>Section amended</w:t>
            </w:r>
          </w:p>
        </w:tc>
        <w:tc>
          <w:tcPr>
            <w:tcW w:w="2555" w:type="dxa"/>
          </w:tcPr>
          <w:p w14:paraId="1BBDF7ED" w14:textId="77777777" w:rsidR="00280C5D" w:rsidRDefault="00280C5D" w:rsidP="003B0E72">
            <w:pPr>
              <w:pStyle w:val="Tableheader"/>
            </w:pPr>
            <w:r>
              <w:t>Divisional approval</w:t>
            </w:r>
          </w:p>
        </w:tc>
        <w:tc>
          <w:tcPr>
            <w:tcW w:w="2403" w:type="dxa"/>
          </w:tcPr>
          <w:p w14:paraId="61DD03E1" w14:textId="77777777" w:rsidR="00280C5D" w:rsidRDefault="00280C5D" w:rsidP="003B0E72">
            <w:pPr>
              <w:pStyle w:val="Tableheader"/>
            </w:pPr>
            <w:r>
              <w:t>Final approval</w:t>
            </w:r>
          </w:p>
        </w:tc>
      </w:tr>
      <w:tr w:rsidR="00280C5D" w14:paraId="79968C47" w14:textId="77777777" w:rsidTr="003B0E72">
        <w:tc>
          <w:tcPr>
            <w:tcW w:w="2476" w:type="dxa"/>
          </w:tcPr>
          <w:p w14:paraId="279C1609" w14:textId="194BF7DB" w:rsidR="00280C5D" w:rsidRDefault="00EF163B" w:rsidP="003B0E72">
            <w:pPr>
              <w:pStyle w:val="Tablebody"/>
              <w:rPr>
                <w:lang w:eastAsia="en-US"/>
              </w:rPr>
            </w:pPr>
            <w:r>
              <w:rPr>
                <w:lang w:eastAsia="en-US"/>
              </w:rPr>
              <w:t>31 March 2026</w:t>
            </w:r>
          </w:p>
        </w:tc>
        <w:tc>
          <w:tcPr>
            <w:tcW w:w="2477" w:type="dxa"/>
          </w:tcPr>
          <w:p w14:paraId="2A062F50" w14:textId="716D30A2" w:rsidR="00280C5D" w:rsidRDefault="00EF163B" w:rsidP="003B0E72">
            <w:pPr>
              <w:pStyle w:val="Tablebody"/>
              <w:rPr>
                <w:lang w:eastAsia="en-US"/>
              </w:rPr>
            </w:pPr>
            <w:r>
              <w:rPr>
                <w:lang w:eastAsia="en-US"/>
              </w:rPr>
              <w:t>Complete review</w:t>
            </w:r>
          </w:p>
        </w:tc>
        <w:tc>
          <w:tcPr>
            <w:tcW w:w="2555" w:type="dxa"/>
          </w:tcPr>
          <w:p w14:paraId="4A51D3F2" w14:textId="2C2B5813" w:rsidR="00280C5D" w:rsidRDefault="00EF163B" w:rsidP="003B0E72">
            <w:pPr>
              <w:pStyle w:val="Tablebody"/>
              <w:rPr>
                <w:lang w:eastAsia="en-US"/>
              </w:rPr>
            </w:pPr>
            <w:r>
              <w:rPr>
                <w:lang w:eastAsia="en-US"/>
              </w:rPr>
              <w:t xml:space="preserve">Dr Suzanne Smallbane </w:t>
            </w:r>
            <w:r>
              <w:rPr>
                <w:lang w:eastAsia="en-US"/>
              </w:rPr>
              <w:lastRenderedPageBreak/>
              <w:t>Executive Director of Medical Services</w:t>
            </w:r>
          </w:p>
        </w:tc>
        <w:tc>
          <w:tcPr>
            <w:tcW w:w="2403" w:type="dxa"/>
          </w:tcPr>
          <w:p w14:paraId="403CDA7C" w14:textId="541E9537" w:rsidR="00280C5D" w:rsidRDefault="00EF163B" w:rsidP="003B0E72">
            <w:pPr>
              <w:pStyle w:val="Tablebody"/>
              <w:rPr>
                <w:lang w:eastAsia="en-US"/>
              </w:rPr>
            </w:pPr>
            <w:r>
              <w:rPr>
                <w:lang w:eastAsia="en-US"/>
              </w:rPr>
              <w:lastRenderedPageBreak/>
              <w:t xml:space="preserve">CHS Policy Document Review Panel </w:t>
            </w:r>
          </w:p>
        </w:tc>
      </w:tr>
      <w:tr w:rsidR="00280C5D" w14:paraId="46B20C17" w14:textId="77777777" w:rsidTr="003B0E72">
        <w:tc>
          <w:tcPr>
            <w:tcW w:w="2476" w:type="dxa"/>
          </w:tcPr>
          <w:p w14:paraId="1F9079B4" w14:textId="77777777" w:rsidR="00280C5D" w:rsidRDefault="00280C5D" w:rsidP="003B0E72">
            <w:pPr>
              <w:pStyle w:val="Tablebody"/>
              <w:rPr>
                <w:lang w:eastAsia="en-US"/>
              </w:rPr>
            </w:pPr>
          </w:p>
        </w:tc>
        <w:tc>
          <w:tcPr>
            <w:tcW w:w="2477" w:type="dxa"/>
          </w:tcPr>
          <w:p w14:paraId="0499B640" w14:textId="77777777" w:rsidR="00280C5D" w:rsidRDefault="00280C5D" w:rsidP="003B0E72">
            <w:pPr>
              <w:pStyle w:val="Tablebody"/>
              <w:rPr>
                <w:lang w:eastAsia="en-US"/>
              </w:rPr>
            </w:pPr>
          </w:p>
        </w:tc>
        <w:tc>
          <w:tcPr>
            <w:tcW w:w="2555" w:type="dxa"/>
          </w:tcPr>
          <w:p w14:paraId="17F17025" w14:textId="77777777" w:rsidR="00280C5D" w:rsidRDefault="00280C5D" w:rsidP="003B0E72">
            <w:pPr>
              <w:pStyle w:val="Tablebody"/>
              <w:rPr>
                <w:lang w:eastAsia="en-US"/>
              </w:rPr>
            </w:pPr>
          </w:p>
        </w:tc>
        <w:tc>
          <w:tcPr>
            <w:tcW w:w="2403" w:type="dxa"/>
          </w:tcPr>
          <w:p w14:paraId="24680C71" w14:textId="77777777" w:rsidR="00280C5D" w:rsidRDefault="00280C5D" w:rsidP="003B0E72">
            <w:pPr>
              <w:pStyle w:val="Tablebody"/>
              <w:rPr>
                <w:lang w:eastAsia="en-US"/>
              </w:rPr>
            </w:pPr>
          </w:p>
        </w:tc>
      </w:tr>
    </w:tbl>
    <w:p w14:paraId="37869B4F"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125B1B3"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200EE15" w14:textId="77777777" w:rsidR="00280C5D" w:rsidRDefault="00280C5D" w:rsidP="003B0E72">
            <w:pPr>
              <w:pStyle w:val="Tableheader"/>
            </w:pPr>
            <w:r>
              <w:t>Document number</w:t>
            </w:r>
          </w:p>
        </w:tc>
        <w:tc>
          <w:tcPr>
            <w:tcW w:w="7653" w:type="dxa"/>
          </w:tcPr>
          <w:p w14:paraId="38BA60F0" w14:textId="77777777" w:rsidR="00280C5D" w:rsidRDefault="00280C5D" w:rsidP="003B0E72">
            <w:pPr>
              <w:pStyle w:val="Tableheader"/>
            </w:pPr>
            <w:r>
              <w:t>Document name</w:t>
            </w:r>
          </w:p>
        </w:tc>
      </w:tr>
      <w:tr w:rsidR="00280C5D" w14:paraId="08AAFAB7" w14:textId="77777777" w:rsidTr="003B0E72">
        <w:tc>
          <w:tcPr>
            <w:tcW w:w="2548" w:type="dxa"/>
          </w:tcPr>
          <w:p w14:paraId="7E1F0A0C" w14:textId="132A6EE2" w:rsidR="00280C5D" w:rsidRDefault="00EF163B" w:rsidP="003B0E72">
            <w:pPr>
              <w:pStyle w:val="Tablebody"/>
              <w:rPr>
                <w:lang w:eastAsia="en-US"/>
              </w:rPr>
            </w:pPr>
            <w:r w:rsidRPr="00EF163B">
              <w:rPr>
                <w:lang w:val="en-AU" w:eastAsia="en-US"/>
              </w:rPr>
              <w:t>CHS21/613</w:t>
            </w:r>
          </w:p>
        </w:tc>
        <w:tc>
          <w:tcPr>
            <w:tcW w:w="7653" w:type="dxa"/>
          </w:tcPr>
          <w:p w14:paraId="07D16F64" w14:textId="5582BA1B" w:rsidR="00280C5D" w:rsidRDefault="00EF163B" w:rsidP="003B0E72">
            <w:pPr>
              <w:pStyle w:val="Tablebody"/>
              <w:rPr>
                <w:lang w:eastAsia="en-US"/>
              </w:rPr>
            </w:pPr>
            <w:r w:rsidRPr="00EF163B">
              <w:rPr>
                <w:lang w:val="en-AU" w:eastAsia="en-US"/>
              </w:rPr>
              <w:t>Credentialing and Defining the Scope of Clinical Practice for Senior Medical and Dental Practitioners</w:t>
            </w:r>
          </w:p>
        </w:tc>
      </w:tr>
      <w:tr w:rsidR="00280C5D" w14:paraId="2F4D63BA" w14:textId="77777777" w:rsidTr="003B0E72">
        <w:tc>
          <w:tcPr>
            <w:tcW w:w="2548" w:type="dxa"/>
          </w:tcPr>
          <w:p w14:paraId="2260F87A" w14:textId="77777777" w:rsidR="00280C5D" w:rsidRDefault="00280C5D" w:rsidP="003B0E72">
            <w:pPr>
              <w:pStyle w:val="Tablebody"/>
              <w:rPr>
                <w:lang w:eastAsia="en-US"/>
              </w:rPr>
            </w:pPr>
          </w:p>
        </w:tc>
        <w:tc>
          <w:tcPr>
            <w:tcW w:w="7653" w:type="dxa"/>
          </w:tcPr>
          <w:p w14:paraId="7D292A6C" w14:textId="77777777" w:rsidR="00280C5D" w:rsidRPr="00EF163B" w:rsidRDefault="00280C5D" w:rsidP="003B0E72">
            <w:pPr>
              <w:pStyle w:val="Tablebody"/>
              <w:rPr>
                <w:b/>
                <w:bCs w:val="0"/>
                <w:lang w:eastAsia="en-US"/>
              </w:rPr>
            </w:pPr>
          </w:p>
        </w:tc>
      </w:tr>
    </w:tbl>
    <w:p w14:paraId="46F79F07" w14:textId="77777777" w:rsidR="00280C5D" w:rsidRPr="001F3ED6" w:rsidRDefault="00280C5D" w:rsidP="001F3ED6">
      <w:pPr>
        <w:pStyle w:val="BodyCopy"/>
        <w:rPr>
          <w:rStyle w:val="Bold"/>
        </w:rPr>
      </w:pPr>
      <w:r w:rsidRPr="001F3ED6">
        <w:rPr>
          <w:rStyle w:val="Bold"/>
        </w:rPr>
        <w:t>Disclaimer</w:t>
      </w:r>
    </w:p>
    <w:p w14:paraId="249C9BD2"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038069D" w14:textId="30D14160" w:rsidR="00280C5D" w:rsidRDefault="00280C5D" w:rsidP="00EA6E48">
      <w:pPr>
        <w:pStyle w:val="Bullet"/>
        <w:numPr>
          <w:ilvl w:val="0"/>
          <w:numId w:val="0"/>
        </w:numPr>
        <w:ind w:left="360" w:hanging="360"/>
        <w:rPr>
          <w:rStyle w:val="Hyperlink"/>
        </w:rPr>
      </w:pPr>
      <w:hyperlink w:anchor="_top" w:history="1">
        <w:r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7E8EDBEB" w14:textId="77777777" w:rsidTr="003B0E72">
        <w:tc>
          <w:tcPr>
            <w:tcW w:w="5529" w:type="dxa"/>
            <w:shd w:val="clear" w:color="auto" w:fill="F4F3EE"/>
            <w:tcMar>
              <w:top w:w="142" w:type="dxa"/>
              <w:left w:w="170" w:type="dxa"/>
              <w:bottom w:w="142" w:type="dxa"/>
              <w:right w:w="170" w:type="dxa"/>
            </w:tcMar>
          </w:tcPr>
          <w:bookmarkStart w:id="27" w:name="_Hlk160027189" w:displacedByCustomXml="next"/>
          <w:sdt>
            <w:sdtPr>
              <w:rPr>
                <w:color w:val="auto"/>
                <w:u w:val="single"/>
              </w:rPr>
              <w:id w:val="643171884"/>
              <w:placeholder>
                <w:docPart w:val="C49D4A4DEC9342F98684F35C26E501BF"/>
              </w:placeholder>
            </w:sdtPr>
            <w:sdtEndPr>
              <w:rPr>
                <w:color w:val="000000" w:themeColor="text1"/>
                <w:u w:val="none"/>
              </w:rPr>
            </w:sdtEndPr>
            <w:sdtContent>
              <w:p w14:paraId="506265D0" w14:textId="77777777" w:rsidR="00280C5D" w:rsidRPr="00350211" w:rsidRDefault="00280C5D" w:rsidP="003B0E72">
                <w:pPr>
                  <w:pStyle w:val="Bottomblocktext"/>
                  <w:rPr>
                    <w:b/>
                    <w:bCs w:val="0"/>
                    <w:sz w:val="20"/>
                    <w:szCs w:val="20"/>
                  </w:rPr>
                </w:pPr>
                <w:r>
                  <w:rPr>
                    <w:noProof/>
                    <w:sz w:val="20"/>
                    <w:szCs w:val="20"/>
                  </w:rPr>
                  <w:drawing>
                    <wp:inline distT="0" distB="0" distL="0" distR="0" wp14:anchorId="545C6ACE" wp14:editId="787A41C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9E8BFEA"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1176EAB" w14:textId="5E54E12F"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93162C0E03FB4972AF12E1A78295C1D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EF163B">
                      <w:t>26</w:t>
                    </w:r>
                  </w:sdtContent>
                </w:sdt>
              </w:p>
            </w:sdtContent>
          </w:sdt>
        </w:tc>
        <w:sdt>
          <w:sdtPr>
            <w:id w:val="637692764"/>
            <w:placeholder>
              <w:docPart w:val="2743CB74E7FC499F863B17F6E800315B"/>
            </w:placeholder>
            <w:showingPlcHdr/>
          </w:sdtPr>
          <w:sdtEndPr/>
          <w:sdtContent>
            <w:tc>
              <w:tcPr>
                <w:tcW w:w="4665" w:type="dxa"/>
                <w:shd w:val="clear" w:color="auto" w:fill="F4F3EE"/>
                <w:tcMar>
                  <w:top w:w="142" w:type="dxa"/>
                  <w:left w:w="170" w:type="dxa"/>
                  <w:bottom w:w="142" w:type="dxa"/>
                  <w:right w:w="170" w:type="dxa"/>
                </w:tcMar>
              </w:tcPr>
              <w:p w14:paraId="1AFD56DD"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53AE43D" wp14:editId="3F52A365">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0532C1C" wp14:editId="71D026E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3FA0D5E"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970777A" wp14:editId="4AA47955">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2CF8EF1" wp14:editId="0FAB7DF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ADF81A7" w14:textId="77777777" w:rsidR="00280C5D" w:rsidRDefault="00280C5D" w:rsidP="003B0E72">
                <w:pPr>
                  <w:pStyle w:val="Bottomblocktext"/>
                  <w:rPr>
                    <w:sz w:val="20"/>
                    <w:szCs w:val="20"/>
                  </w:rPr>
                </w:pPr>
                <w:hyperlink r:id="rId18" w:history="1">
                  <w:r w:rsidRPr="00350211">
                    <w:rPr>
                      <w:rStyle w:val="Hyperlink"/>
                      <w:sz w:val="20"/>
                      <w:szCs w:val="20"/>
                    </w:rPr>
                    <w:t>canberrahealthservices.act.gov.au/accessibility</w:t>
                  </w:r>
                </w:hyperlink>
              </w:p>
              <w:p w14:paraId="5B7DA77A" w14:textId="77777777" w:rsidR="00280C5D" w:rsidRDefault="00280C5D" w:rsidP="003B0E72">
                <w:pPr>
                  <w:pStyle w:val="Bottomblocktext"/>
                </w:pPr>
                <w:r>
                  <w:rPr>
                    <w:b/>
                    <w:bCs w:val="0"/>
                    <w:noProof/>
                  </w:rPr>
                  <w:drawing>
                    <wp:inline distT="0" distB="0" distL="0" distR="0" wp14:anchorId="410BE1A4" wp14:editId="7FDC2EE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7"/>
    </w:tbl>
    <w:p w14:paraId="4997B617" w14:textId="77777777" w:rsidR="00201AF6" w:rsidRDefault="00201AF6" w:rsidP="000E7683">
      <w:pPr>
        <w:rPr>
          <w:lang w:eastAsia="en-US"/>
        </w:rPr>
      </w:pPr>
    </w:p>
    <w:p w14:paraId="0CCDF5D4" w14:textId="77777777" w:rsidR="00A513AA" w:rsidRDefault="00A513AA" w:rsidP="00201AF6">
      <w:pPr>
        <w:pStyle w:val="BodyCopy"/>
      </w:pPr>
    </w:p>
    <w:sectPr w:rsidR="00A513AA" w:rsidSect="0007270D">
      <w:footerReference w:type="default" r:id="rId20"/>
      <w:headerReference w:type="first" r:id="rId21"/>
      <w:footerReference w:type="first" r:id="rId2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92E0" w14:textId="77777777" w:rsidR="00221D86" w:rsidRDefault="00221D86" w:rsidP="00225769">
      <w:pPr>
        <w:spacing w:after="0" w:line="240" w:lineRule="auto"/>
      </w:pPr>
      <w:r>
        <w:separator/>
      </w:r>
    </w:p>
    <w:p w14:paraId="396C7118" w14:textId="77777777" w:rsidR="00221D86" w:rsidRDefault="00221D86"/>
    <w:p w14:paraId="103B77C5" w14:textId="77777777" w:rsidR="00221D86" w:rsidRDefault="00221D86"/>
    <w:p w14:paraId="546E7012" w14:textId="77777777" w:rsidR="00221D86" w:rsidRDefault="00221D86"/>
    <w:p w14:paraId="2BCE4286" w14:textId="77777777" w:rsidR="00221D86" w:rsidRDefault="00221D86"/>
    <w:p w14:paraId="22DADC4F" w14:textId="77777777" w:rsidR="00221D86" w:rsidRDefault="00221D86"/>
    <w:p w14:paraId="41427D12" w14:textId="77777777" w:rsidR="00221D86" w:rsidRDefault="00221D86"/>
  </w:endnote>
  <w:endnote w:type="continuationSeparator" w:id="0">
    <w:p w14:paraId="52239D25" w14:textId="77777777" w:rsidR="00221D86" w:rsidRDefault="00221D86" w:rsidP="00225769">
      <w:pPr>
        <w:spacing w:after="0" w:line="240" w:lineRule="auto"/>
      </w:pPr>
      <w:r>
        <w:continuationSeparator/>
      </w:r>
    </w:p>
    <w:p w14:paraId="3B508522" w14:textId="77777777" w:rsidR="00221D86" w:rsidRDefault="00221D86"/>
    <w:p w14:paraId="1B104A63" w14:textId="77777777" w:rsidR="00221D86" w:rsidRDefault="00221D86"/>
    <w:p w14:paraId="5B02740E" w14:textId="77777777" w:rsidR="00221D86" w:rsidRDefault="00221D86"/>
    <w:p w14:paraId="082B30DB" w14:textId="77777777" w:rsidR="00221D86" w:rsidRDefault="00221D86"/>
    <w:p w14:paraId="7BFDE705" w14:textId="77777777" w:rsidR="00221D86" w:rsidRDefault="00221D86"/>
    <w:p w14:paraId="5694A420" w14:textId="77777777" w:rsidR="00221D86" w:rsidRDefault="00221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orporateSBQ-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21B89EE3" w14:textId="77777777" w:rsidTr="003B0E72">
      <w:trPr>
        <w:jc w:val="center"/>
      </w:trPr>
      <w:tc>
        <w:tcPr>
          <w:tcW w:w="1515" w:type="dxa"/>
        </w:tcPr>
        <w:p w14:paraId="2979F5A2"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6D10C60"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5CD489C4"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60B5FFEA"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41279A6F"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275C79C7"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EF163B" w:rsidRPr="006B62B4" w14:paraId="4EF89F80" w14:textId="77777777" w:rsidTr="00EF163B">
      <w:trPr>
        <w:trHeight w:val="394"/>
        <w:jc w:val="center"/>
      </w:trPr>
      <w:tc>
        <w:tcPr>
          <w:tcW w:w="1515" w:type="dxa"/>
        </w:tcPr>
        <w:p w14:paraId="42B42AE7" w14:textId="400B58A1" w:rsidR="00EF163B" w:rsidRPr="00954F7B" w:rsidRDefault="00EF163B" w:rsidP="00EF163B">
          <w:pPr>
            <w:pStyle w:val="Footer"/>
            <w:jc w:val="center"/>
            <w:rPr>
              <w:bCs/>
              <w:iCs/>
              <w:sz w:val="20"/>
              <w:szCs w:val="20"/>
            </w:rPr>
          </w:pPr>
          <w:r>
            <w:rPr>
              <w:bCs/>
              <w:iCs/>
              <w:sz w:val="20"/>
              <w:szCs w:val="20"/>
            </w:rPr>
            <w:t>CHS26/086</w:t>
          </w:r>
        </w:p>
      </w:tc>
      <w:tc>
        <w:tcPr>
          <w:tcW w:w="965" w:type="dxa"/>
        </w:tcPr>
        <w:p w14:paraId="14DEC1DA" w14:textId="423CF7F3" w:rsidR="00EF163B" w:rsidRPr="00954F7B" w:rsidRDefault="00EF163B" w:rsidP="00EF163B">
          <w:pPr>
            <w:pStyle w:val="Footer"/>
            <w:jc w:val="center"/>
            <w:rPr>
              <w:bCs/>
              <w:iCs/>
              <w:sz w:val="20"/>
              <w:szCs w:val="20"/>
            </w:rPr>
          </w:pPr>
          <w:r>
            <w:rPr>
              <w:bCs/>
              <w:iCs/>
              <w:sz w:val="20"/>
              <w:szCs w:val="20"/>
            </w:rPr>
            <w:t>1</w:t>
          </w:r>
        </w:p>
      </w:tc>
      <w:tc>
        <w:tcPr>
          <w:tcW w:w="1552" w:type="dxa"/>
        </w:tcPr>
        <w:p w14:paraId="40BF8B2E" w14:textId="1B531C09" w:rsidR="00EF163B" w:rsidRPr="00954F7B" w:rsidRDefault="00EF163B" w:rsidP="00EF163B">
          <w:pPr>
            <w:pStyle w:val="Footer"/>
            <w:jc w:val="center"/>
            <w:rPr>
              <w:bCs/>
              <w:iCs/>
              <w:sz w:val="20"/>
              <w:szCs w:val="20"/>
            </w:rPr>
          </w:pPr>
          <w:r>
            <w:rPr>
              <w:bCs/>
              <w:iCs/>
              <w:sz w:val="20"/>
              <w:szCs w:val="20"/>
            </w:rPr>
            <w:t>31/03/2026</w:t>
          </w:r>
        </w:p>
      </w:tc>
      <w:tc>
        <w:tcPr>
          <w:tcW w:w="1456" w:type="dxa"/>
        </w:tcPr>
        <w:p w14:paraId="0F4B4C64" w14:textId="3B7CAC17" w:rsidR="00EF163B" w:rsidRPr="00954F7B" w:rsidRDefault="00EF163B" w:rsidP="00EF163B">
          <w:pPr>
            <w:pStyle w:val="Footer"/>
            <w:jc w:val="center"/>
            <w:rPr>
              <w:bCs/>
              <w:iCs/>
              <w:sz w:val="20"/>
              <w:szCs w:val="20"/>
            </w:rPr>
          </w:pPr>
          <w:r>
            <w:rPr>
              <w:bCs/>
              <w:iCs/>
              <w:sz w:val="20"/>
              <w:szCs w:val="20"/>
            </w:rPr>
            <w:t>01/03/2030</w:t>
          </w:r>
        </w:p>
      </w:tc>
      <w:tc>
        <w:tcPr>
          <w:tcW w:w="1746" w:type="dxa"/>
        </w:tcPr>
        <w:p w14:paraId="56BE4249" w14:textId="6EB9BCBF" w:rsidR="00EF163B" w:rsidRPr="00954F7B" w:rsidRDefault="00EF163B" w:rsidP="00EF163B">
          <w:pPr>
            <w:pStyle w:val="Footer"/>
            <w:jc w:val="center"/>
            <w:rPr>
              <w:bCs/>
              <w:iCs/>
              <w:sz w:val="20"/>
              <w:szCs w:val="20"/>
            </w:rPr>
          </w:pPr>
          <w:r>
            <w:rPr>
              <w:bCs/>
              <w:iCs/>
              <w:sz w:val="20"/>
              <w:szCs w:val="20"/>
            </w:rPr>
            <w:t>CHS ED Medical Services</w:t>
          </w:r>
        </w:p>
      </w:tc>
      <w:tc>
        <w:tcPr>
          <w:tcW w:w="1836" w:type="dxa"/>
        </w:tcPr>
        <w:p w14:paraId="5C01DFEE" w14:textId="77777777" w:rsidR="00EF163B" w:rsidRPr="00954F7B" w:rsidRDefault="00EF163B" w:rsidP="00EF163B">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30BDCE0"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014A1F5" w14:textId="77777777" w:rsidTr="008E1ED9">
      <w:trPr>
        <w:jc w:val="center"/>
      </w:trPr>
      <w:tc>
        <w:tcPr>
          <w:tcW w:w="1515" w:type="dxa"/>
        </w:tcPr>
        <w:p w14:paraId="592A2E12"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423640A8"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65B37E3"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647BC48C"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7B301AD4"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F822D66"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582FC58" w14:textId="77777777" w:rsidTr="00EF163B">
      <w:trPr>
        <w:trHeight w:val="111"/>
        <w:jc w:val="center"/>
      </w:trPr>
      <w:tc>
        <w:tcPr>
          <w:tcW w:w="1515" w:type="dxa"/>
        </w:tcPr>
        <w:p w14:paraId="7296103D" w14:textId="6CAF3F79" w:rsidR="008A3DD8" w:rsidRPr="00954F7B" w:rsidRDefault="00EF163B" w:rsidP="008A3DD8">
          <w:pPr>
            <w:pStyle w:val="Footer"/>
            <w:jc w:val="center"/>
            <w:rPr>
              <w:bCs/>
              <w:iCs/>
              <w:sz w:val="20"/>
              <w:szCs w:val="20"/>
            </w:rPr>
          </w:pPr>
          <w:r>
            <w:rPr>
              <w:bCs/>
              <w:iCs/>
              <w:sz w:val="20"/>
              <w:szCs w:val="20"/>
            </w:rPr>
            <w:t>CHS26/086</w:t>
          </w:r>
        </w:p>
      </w:tc>
      <w:tc>
        <w:tcPr>
          <w:tcW w:w="965" w:type="dxa"/>
        </w:tcPr>
        <w:p w14:paraId="01F9E502" w14:textId="4A22A351" w:rsidR="008A3DD8" w:rsidRPr="00954F7B" w:rsidRDefault="00EF163B" w:rsidP="008A3DD8">
          <w:pPr>
            <w:pStyle w:val="Footer"/>
            <w:jc w:val="center"/>
            <w:rPr>
              <w:bCs/>
              <w:iCs/>
              <w:sz w:val="20"/>
              <w:szCs w:val="20"/>
            </w:rPr>
          </w:pPr>
          <w:r>
            <w:rPr>
              <w:bCs/>
              <w:iCs/>
              <w:sz w:val="20"/>
              <w:szCs w:val="20"/>
            </w:rPr>
            <w:t>1</w:t>
          </w:r>
        </w:p>
      </w:tc>
      <w:tc>
        <w:tcPr>
          <w:tcW w:w="1552" w:type="dxa"/>
        </w:tcPr>
        <w:p w14:paraId="6AD3201E" w14:textId="11754799" w:rsidR="008A3DD8" w:rsidRPr="00954F7B" w:rsidRDefault="00EF163B" w:rsidP="008A3DD8">
          <w:pPr>
            <w:pStyle w:val="Footer"/>
            <w:jc w:val="center"/>
            <w:rPr>
              <w:bCs/>
              <w:iCs/>
              <w:sz w:val="20"/>
              <w:szCs w:val="20"/>
            </w:rPr>
          </w:pPr>
          <w:r>
            <w:rPr>
              <w:bCs/>
              <w:iCs/>
              <w:sz w:val="20"/>
              <w:szCs w:val="20"/>
            </w:rPr>
            <w:t>31/03/2026</w:t>
          </w:r>
        </w:p>
      </w:tc>
      <w:tc>
        <w:tcPr>
          <w:tcW w:w="1456" w:type="dxa"/>
        </w:tcPr>
        <w:p w14:paraId="4084070D" w14:textId="4ED8C641" w:rsidR="008A3DD8" w:rsidRPr="00954F7B" w:rsidRDefault="00EF163B" w:rsidP="008A3DD8">
          <w:pPr>
            <w:pStyle w:val="Footer"/>
            <w:jc w:val="center"/>
            <w:rPr>
              <w:bCs/>
              <w:iCs/>
              <w:sz w:val="20"/>
              <w:szCs w:val="20"/>
            </w:rPr>
          </w:pPr>
          <w:r>
            <w:rPr>
              <w:bCs/>
              <w:iCs/>
              <w:sz w:val="20"/>
              <w:szCs w:val="20"/>
            </w:rPr>
            <w:t>01/03/2030</w:t>
          </w:r>
        </w:p>
      </w:tc>
      <w:tc>
        <w:tcPr>
          <w:tcW w:w="1746" w:type="dxa"/>
        </w:tcPr>
        <w:p w14:paraId="240F5AB6" w14:textId="4C668C2A" w:rsidR="008A3DD8" w:rsidRPr="00954F7B" w:rsidRDefault="00EF163B" w:rsidP="008A3DD8">
          <w:pPr>
            <w:pStyle w:val="Footer"/>
            <w:jc w:val="center"/>
            <w:rPr>
              <w:bCs/>
              <w:iCs/>
              <w:sz w:val="20"/>
              <w:szCs w:val="20"/>
            </w:rPr>
          </w:pPr>
          <w:r>
            <w:rPr>
              <w:bCs/>
              <w:iCs/>
              <w:sz w:val="20"/>
              <w:szCs w:val="20"/>
            </w:rPr>
            <w:t>CHS ED Medical Services</w:t>
          </w:r>
        </w:p>
      </w:tc>
      <w:tc>
        <w:tcPr>
          <w:tcW w:w="1836" w:type="dxa"/>
        </w:tcPr>
        <w:p w14:paraId="7C17BB8D"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D179A0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642A" w14:textId="77777777" w:rsidR="00221D86" w:rsidRDefault="00221D86" w:rsidP="009D493B">
      <w:pPr>
        <w:spacing w:after="0" w:line="240" w:lineRule="auto"/>
      </w:pPr>
      <w:r>
        <w:separator/>
      </w:r>
    </w:p>
  </w:footnote>
  <w:footnote w:type="continuationSeparator" w:id="0">
    <w:p w14:paraId="5F85213A" w14:textId="77777777" w:rsidR="00221D86" w:rsidRDefault="00221D86" w:rsidP="00A9080B">
      <w:pPr>
        <w:spacing w:after="0" w:line="240" w:lineRule="auto"/>
      </w:pPr>
      <w:r>
        <w:continuationSeparator/>
      </w:r>
    </w:p>
    <w:p w14:paraId="115890AE" w14:textId="77777777" w:rsidR="00221D86" w:rsidRDefault="00221D86"/>
    <w:p w14:paraId="0DB31830" w14:textId="77777777" w:rsidR="00221D86" w:rsidRDefault="00221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3999" w14:textId="77777777" w:rsidR="008A3DD8" w:rsidRDefault="008A3DD8">
    <w:pPr>
      <w:pStyle w:val="Header"/>
    </w:pPr>
    <w:r w:rsidRPr="00324CF9">
      <w:rPr>
        <w:noProof/>
      </w:rPr>
      <w:drawing>
        <wp:inline distT="0" distB="0" distL="0" distR="0" wp14:anchorId="1B012BBE" wp14:editId="16F7D624">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06D586"/>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613342E"/>
    <w:multiLevelType w:val="hybridMultilevel"/>
    <w:tmpl w:val="1472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953B4"/>
    <w:multiLevelType w:val="hybridMultilevel"/>
    <w:tmpl w:val="F036D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11BFE"/>
    <w:multiLevelType w:val="hybridMultilevel"/>
    <w:tmpl w:val="2C3A3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D37ECF"/>
    <w:multiLevelType w:val="hybridMultilevel"/>
    <w:tmpl w:val="2176349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5" w15:restartNumberingAfterBreak="0">
    <w:nsid w:val="16D778A5"/>
    <w:multiLevelType w:val="hybridMultilevel"/>
    <w:tmpl w:val="2C646202"/>
    <w:lvl w:ilvl="0" w:tplc="0C090003">
      <w:start w:val="1"/>
      <w:numFmt w:val="bullet"/>
      <w:lvlText w:val="o"/>
      <w:lvlJc w:val="left"/>
      <w:pPr>
        <w:ind w:left="788" w:hanging="428"/>
      </w:pPr>
      <w:rPr>
        <w:rFonts w:ascii="Courier New" w:hAnsi="Courier New" w:cs="Courier New" w:hint="default"/>
        <w:w w:val="100"/>
        <w:sz w:val="24"/>
        <w:szCs w:val="24"/>
      </w:rPr>
    </w:lvl>
    <w:lvl w:ilvl="1" w:tplc="0C090003">
      <w:start w:val="1"/>
      <w:numFmt w:val="bullet"/>
      <w:lvlText w:val="o"/>
      <w:lvlJc w:val="left"/>
      <w:pPr>
        <w:ind w:left="1213" w:hanging="425"/>
      </w:pPr>
      <w:rPr>
        <w:rFonts w:ascii="Courier New" w:hAnsi="Courier New" w:cs="Courier New" w:hint="default"/>
        <w:w w:val="100"/>
      </w:rPr>
    </w:lvl>
    <w:lvl w:ilvl="2" w:tplc="F9F25774">
      <w:numFmt w:val="bullet"/>
      <w:lvlText w:val=""/>
      <w:lvlJc w:val="left"/>
      <w:pPr>
        <w:ind w:left="1638" w:hanging="425"/>
      </w:pPr>
      <w:rPr>
        <w:rFonts w:ascii="Symbol" w:eastAsia="Symbol" w:hAnsi="Symbol" w:cs="Symbol" w:hint="default"/>
        <w:w w:val="100"/>
        <w:sz w:val="24"/>
        <w:szCs w:val="24"/>
      </w:rPr>
    </w:lvl>
    <w:lvl w:ilvl="3" w:tplc="92B48EAA">
      <w:numFmt w:val="bullet"/>
      <w:lvlText w:val="•"/>
      <w:lvlJc w:val="left"/>
      <w:pPr>
        <w:ind w:left="2741" w:hanging="425"/>
      </w:pPr>
      <w:rPr>
        <w:rFonts w:hint="default"/>
      </w:rPr>
    </w:lvl>
    <w:lvl w:ilvl="4" w:tplc="9358157A">
      <w:numFmt w:val="bullet"/>
      <w:lvlText w:val="•"/>
      <w:lvlJc w:val="left"/>
      <w:pPr>
        <w:ind w:left="3839" w:hanging="425"/>
      </w:pPr>
      <w:rPr>
        <w:rFonts w:hint="default"/>
      </w:rPr>
    </w:lvl>
    <w:lvl w:ilvl="5" w:tplc="4A92321C">
      <w:numFmt w:val="bullet"/>
      <w:lvlText w:val="•"/>
      <w:lvlJc w:val="left"/>
      <w:pPr>
        <w:ind w:left="4937" w:hanging="425"/>
      </w:pPr>
      <w:rPr>
        <w:rFonts w:hint="default"/>
      </w:rPr>
    </w:lvl>
    <w:lvl w:ilvl="6" w:tplc="B1A815B4">
      <w:numFmt w:val="bullet"/>
      <w:lvlText w:val="•"/>
      <w:lvlJc w:val="left"/>
      <w:pPr>
        <w:ind w:left="6035" w:hanging="425"/>
      </w:pPr>
      <w:rPr>
        <w:rFonts w:hint="default"/>
      </w:rPr>
    </w:lvl>
    <w:lvl w:ilvl="7" w:tplc="F73664E8">
      <w:numFmt w:val="bullet"/>
      <w:lvlText w:val="•"/>
      <w:lvlJc w:val="left"/>
      <w:pPr>
        <w:ind w:left="7133" w:hanging="425"/>
      </w:pPr>
      <w:rPr>
        <w:rFonts w:hint="default"/>
      </w:rPr>
    </w:lvl>
    <w:lvl w:ilvl="8" w:tplc="886408C2">
      <w:numFmt w:val="bullet"/>
      <w:lvlText w:val="•"/>
      <w:lvlJc w:val="left"/>
      <w:pPr>
        <w:ind w:left="8231" w:hanging="425"/>
      </w:pPr>
      <w:rPr>
        <w:rFonts w:hint="default"/>
      </w:rPr>
    </w:lvl>
  </w:abstractNum>
  <w:abstractNum w:abstractNumId="6"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7" w15:restartNumberingAfterBreak="0">
    <w:nsid w:val="1A8C3368"/>
    <w:multiLevelType w:val="hybridMultilevel"/>
    <w:tmpl w:val="DEEE0E9C"/>
    <w:lvl w:ilvl="0" w:tplc="FFFFFFFF">
      <w:start w:val="1"/>
      <w:numFmt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F273DC"/>
    <w:multiLevelType w:val="hybridMultilevel"/>
    <w:tmpl w:val="763A07CC"/>
    <w:lvl w:ilvl="0" w:tplc="FFFFFFFF">
      <w:start w:val="1"/>
      <w:numFmt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483236"/>
    <w:multiLevelType w:val="hybridMultilevel"/>
    <w:tmpl w:val="29CCD54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F7341F5"/>
    <w:multiLevelType w:val="hybridMultilevel"/>
    <w:tmpl w:val="328CAD62"/>
    <w:lvl w:ilvl="0" w:tplc="FFFFFFFF">
      <w:start w:val="1"/>
      <w:numFmt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0F418A"/>
    <w:multiLevelType w:val="multilevel"/>
    <w:tmpl w:val="B7445EC8"/>
    <w:lvl w:ilvl="0">
      <w:start w:val="1"/>
      <w:numFmt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24662234"/>
    <w:multiLevelType w:val="hybridMultilevel"/>
    <w:tmpl w:val="BFCEB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4D0172"/>
    <w:multiLevelType w:val="hybridMultilevel"/>
    <w:tmpl w:val="D8BC2FB4"/>
    <w:lvl w:ilvl="0" w:tplc="5FBE6728">
      <w:start w:val="1"/>
      <w:numFmt w:val="bullet"/>
      <w:pStyle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F711FB"/>
    <w:multiLevelType w:val="hybridMultilevel"/>
    <w:tmpl w:val="2116B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FA5609"/>
    <w:multiLevelType w:val="hybridMultilevel"/>
    <w:tmpl w:val="2ACE8DE4"/>
    <w:lvl w:ilvl="0" w:tplc="1E7E33B4">
      <w:start w:val="1"/>
      <w:numFmt w:val="bullet"/>
      <w:pStyle w:val="BulletedListLevel1"/>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0861FC"/>
    <w:multiLevelType w:val="hybridMultilevel"/>
    <w:tmpl w:val="9358406E"/>
    <w:lvl w:ilvl="0" w:tplc="FFFFFFFF">
      <w:start w:val="1"/>
      <w:numFmt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1" w15:restartNumberingAfterBreak="0">
    <w:nsid w:val="5374555E"/>
    <w:multiLevelType w:val="hybridMultilevel"/>
    <w:tmpl w:val="73AAE47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4404B3"/>
    <w:multiLevelType w:val="hybridMultilevel"/>
    <w:tmpl w:val="0C5E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C240005"/>
    <w:multiLevelType w:val="hybridMultilevel"/>
    <w:tmpl w:val="DA1E5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C922DC"/>
    <w:multiLevelType w:val="hybridMultilevel"/>
    <w:tmpl w:val="FFE45A0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7F116C"/>
    <w:multiLevelType w:val="hybridMultilevel"/>
    <w:tmpl w:val="FC9215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BE6CE2"/>
    <w:multiLevelType w:val="hybridMultilevel"/>
    <w:tmpl w:val="4D9E1108"/>
    <w:lvl w:ilvl="0" w:tplc="FFFFFFFF">
      <w:start w:val="1"/>
      <w:numFmt w:val="bullet"/>
      <w:lvlText w:val=""/>
      <w:lvlJc w:val="left"/>
      <w:pPr>
        <w:ind w:left="360" w:hanging="360"/>
      </w:pPr>
      <w:rPr>
        <w:rFonts w:ascii="Symbol" w:hAnsi="Symbol" w:hint="default"/>
      </w:rPr>
    </w:lvl>
    <w:lvl w:ilvl="1" w:tplc="F9F25774">
      <w:numFmt w:val="bullet"/>
      <w:lvlText w:val=""/>
      <w:lvlJc w:val="left"/>
      <w:pPr>
        <w:ind w:left="1080" w:hanging="360"/>
      </w:pPr>
      <w:rPr>
        <w:rFonts w:ascii="Symbol" w:eastAsia="Symbol" w:hAnsi="Symbol" w:cs="Symbol"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DD3622"/>
    <w:multiLevelType w:val="hybridMultilevel"/>
    <w:tmpl w:val="C9962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11"/>
  </w:num>
  <w:num w:numId="2" w16cid:durableId="842209657">
    <w:abstractNumId w:val="6"/>
  </w:num>
  <w:num w:numId="3" w16cid:durableId="1971085616">
    <w:abstractNumId w:val="18"/>
  </w:num>
  <w:num w:numId="4" w16cid:durableId="252517802">
    <w:abstractNumId w:val="19"/>
  </w:num>
  <w:num w:numId="5" w16cid:durableId="258952063">
    <w:abstractNumId w:val="23"/>
  </w:num>
  <w:num w:numId="6" w16cid:durableId="681904122">
    <w:abstractNumId w:val="16"/>
  </w:num>
  <w:num w:numId="7" w16cid:durableId="836698820">
    <w:abstractNumId w:val="20"/>
  </w:num>
  <w:num w:numId="8" w16cid:durableId="913591473">
    <w:abstractNumId w:val="11"/>
  </w:num>
  <w:num w:numId="9" w16cid:durableId="1842423851">
    <w:abstractNumId w:val="26"/>
  </w:num>
  <w:num w:numId="10" w16cid:durableId="476652304">
    <w:abstractNumId w:val="5"/>
  </w:num>
  <w:num w:numId="11" w16cid:durableId="2133012012">
    <w:abstractNumId w:val="21"/>
  </w:num>
  <w:num w:numId="12" w16cid:durableId="1628122686">
    <w:abstractNumId w:val="2"/>
  </w:num>
  <w:num w:numId="13" w16cid:durableId="1799832616">
    <w:abstractNumId w:val="14"/>
  </w:num>
  <w:num w:numId="14" w16cid:durableId="2043091397">
    <w:abstractNumId w:val="22"/>
  </w:num>
  <w:num w:numId="15" w16cid:durableId="1483497434">
    <w:abstractNumId w:val="25"/>
  </w:num>
  <w:num w:numId="16" w16cid:durableId="1394308169">
    <w:abstractNumId w:val="28"/>
  </w:num>
  <w:num w:numId="17" w16cid:durableId="818037806">
    <w:abstractNumId w:val="9"/>
  </w:num>
  <w:num w:numId="18" w16cid:durableId="1009940504">
    <w:abstractNumId w:val="0"/>
  </w:num>
  <w:num w:numId="19" w16cid:durableId="2022706794">
    <w:abstractNumId w:val="29"/>
  </w:num>
  <w:num w:numId="20" w16cid:durableId="1851523834">
    <w:abstractNumId w:val="3"/>
  </w:num>
  <w:num w:numId="21" w16cid:durableId="934286372">
    <w:abstractNumId w:val="15"/>
  </w:num>
  <w:num w:numId="22" w16cid:durableId="1899586262">
    <w:abstractNumId w:val="4"/>
  </w:num>
  <w:num w:numId="23" w16cid:durableId="479467645">
    <w:abstractNumId w:val="13"/>
  </w:num>
  <w:num w:numId="24" w16cid:durableId="1571844629">
    <w:abstractNumId w:val="7"/>
  </w:num>
  <w:num w:numId="25" w16cid:durableId="1183713622">
    <w:abstractNumId w:val="17"/>
  </w:num>
  <w:num w:numId="26" w16cid:durableId="126432996">
    <w:abstractNumId w:val="10"/>
  </w:num>
  <w:num w:numId="27" w16cid:durableId="120153292">
    <w:abstractNumId w:val="8"/>
  </w:num>
  <w:num w:numId="28" w16cid:durableId="1663048182">
    <w:abstractNumId w:val="27"/>
  </w:num>
  <w:num w:numId="29" w16cid:durableId="640235891">
    <w:abstractNumId w:val="12"/>
  </w:num>
  <w:num w:numId="30" w16cid:durableId="421297964">
    <w:abstractNumId w:val="1"/>
  </w:num>
  <w:num w:numId="31" w16cid:durableId="128538576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B7"/>
    <w:rsid w:val="00000822"/>
    <w:rsid w:val="000009CE"/>
    <w:rsid w:val="000023F9"/>
    <w:rsid w:val="00003728"/>
    <w:rsid w:val="00004362"/>
    <w:rsid w:val="00004B91"/>
    <w:rsid w:val="00006344"/>
    <w:rsid w:val="000068B9"/>
    <w:rsid w:val="000115AB"/>
    <w:rsid w:val="00012DA7"/>
    <w:rsid w:val="00014646"/>
    <w:rsid w:val="0001473F"/>
    <w:rsid w:val="00014D0A"/>
    <w:rsid w:val="00015018"/>
    <w:rsid w:val="00016D39"/>
    <w:rsid w:val="000246D6"/>
    <w:rsid w:val="00025C12"/>
    <w:rsid w:val="000347FB"/>
    <w:rsid w:val="00035A11"/>
    <w:rsid w:val="00036249"/>
    <w:rsid w:val="00041D05"/>
    <w:rsid w:val="00042268"/>
    <w:rsid w:val="00043534"/>
    <w:rsid w:val="000447E0"/>
    <w:rsid w:val="00046D4C"/>
    <w:rsid w:val="00047707"/>
    <w:rsid w:val="00050A6B"/>
    <w:rsid w:val="000513FD"/>
    <w:rsid w:val="00052D11"/>
    <w:rsid w:val="00053BD7"/>
    <w:rsid w:val="00053CC3"/>
    <w:rsid w:val="00053D2F"/>
    <w:rsid w:val="0005461D"/>
    <w:rsid w:val="0005626F"/>
    <w:rsid w:val="0005685E"/>
    <w:rsid w:val="000570A6"/>
    <w:rsid w:val="00061582"/>
    <w:rsid w:val="00064E0F"/>
    <w:rsid w:val="000707E9"/>
    <w:rsid w:val="00070945"/>
    <w:rsid w:val="000717BA"/>
    <w:rsid w:val="0007270D"/>
    <w:rsid w:val="0007524F"/>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0E65"/>
    <w:rsid w:val="000D1F50"/>
    <w:rsid w:val="000D713F"/>
    <w:rsid w:val="000D742A"/>
    <w:rsid w:val="000D7E22"/>
    <w:rsid w:val="000E058F"/>
    <w:rsid w:val="000E07C3"/>
    <w:rsid w:val="000E1D08"/>
    <w:rsid w:val="000E48C7"/>
    <w:rsid w:val="000E4B17"/>
    <w:rsid w:val="000E5739"/>
    <w:rsid w:val="000E7683"/>
    <w:rsid w:val="000E77F0"/>
    <w:rsid w:val="000F1EB3"/>
    <w:rsid w:val="000F2211"/>
    <w:rsid w:val="000F288B"/>
    <w:rsid w:val="000F300A"/>
    <w:rsid w:val="000F3A4B"/>
    <w:rsid w:val="000F521A"/>
    <w:rsid w:val="000F5C20"/>
    <w:rsid w:val="000F79EA"/>
    <w:rsid w:val="0010164B"/>
    <w:rsid w:val="001052BC"/>
    <w:rsid w:val="00107118"/>
    <w:rsid w:val="00110D97"/>
    <w:rsid w:val="00112DAD"/>
    <w:rsid w:val="001171E4"/>
    <w:rsid w:val="0012007C"/>
    <w:rsid w:val="00120984"/>
    <w:rsid w:val="00120E2E"/>
    <w:rsid w:val="00121181"/>
    <w:rsid w:val="00122329"/>
    <w:rsid w:val="001232C3"/>
    <w:rsid w:val="00124B00"/>
    <w:rsid w:val="00125EB7"/>
    <w:rsid w:val="00126471"/>
    <w:rsid w:val="00126ADF"/>
    <w:rsid w:val="00126BEE"/>
    <w:rsid w:val="00127D91"/>
    <w:rsid w:val="001324A3"/>
    <w:rsid w:val="00135EF0"/>
    <w:rsid w:val="0013675B"/>
    <w:rsid w:val="00136C50"/>
    <w:rsid w:val="00137347"/>
    <w:rsid w:val="0014334B"/>
    <w:rsid w:val="00143C66"/>
    <w:rsid w:val="00144A90"/>
    <w:rsid w:val="00154D8C"/>
    <w:rsid w:val="00156C54"/>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77839"/>
    <w:rsid w:val="00181504"/>
    <w:rsid w:val="00181729"/>
    <w:rsid w:val="001819E4"/>
    <w:rsid w:val="00182D76"/>
    <w:rsid w:val="00183E97"/>
    <w:rsid w:val="00184284"/>
    <w:rsid w:val="00184480"/>
    <w:rsid w:val="00184D6D"/>
    <w:rsid w:val="00184F59"/>
    <w:rsid w:val="00185C37"/>
    <w:rsid w:val="00186FB7"/>
    <w:rsid w:val="00187537"/>
    <w:rsid w:val="00190288"/>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C7109"/>
    <w:rsid w:val="001D12A9"/>
    <w:rsid w:val="001D140D"/>
    <w:rsid w:val="001D150B"/>
    <w:rsid w:val="001D195F"/>
    <w:rsid w:val="001D43D7"/>
    <w:rsid w:val="001D543B"/>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BA0"/>
    <w:rsid w:val="001F6D1A"/>
    <w:rsid w:val="001F6E03"/>
    <w:rsid w:val="002012D2"/>
    <w:rsid w:val="00201AF6"/>
    <w:rsid w:val="0020240D"/>
    <w:rsid w:val="0020360D"/>
    <w:rsid w:val="0020612C"/>
    <w:rsid w:val="00211BFA"/>
    <w:rsid w:val="002123B0"/>
    <w:rsid w:val="00212F1D"/>
    <w:rsid w:val="002140AE"/>
    <w:rsid w:val="0022069E"/>
    <w:rsid w:val="0022138F"/>
    <w:rsid w:val="00221D86"/>
    <w:rsid w:val="00225769"/>
    <w:rsid w:val="00225E3B"/>
    <w:rsid w:val="00227104"/>
    <w:rsid w:val="0022724D"/>
    <w:rsid w:val="00230054"/>
    <w:rsid w:val="0023668B"/>
    <w:rsid w:val="00240DC9"/>
    <w:rsid w:val="00241A68"/>
    <w:rsid w:val="00242601"/>
    <w:rsid w:val="002427B0"/>
    <w:rsid w:val="00244149"/>
    <w:rsid w:val="00245BF4"/>
    <w:rsid w:val="00246EDC"/>
    <w:rsid w:val="00247510"/>
    <w:rsid w:val="00247BAF"/>
    <w:rsid w:val="00251D96"/>
    <w:rsid w:val="0025227A"/>
    <w:rsid w:val="00253A48"/>
    <w:rsid w:val="00253EC8"/>
    <w:rsid w:val="0025483C"/>
    <w:rsid w:val="00256701"/>
    <w:rsid w:val="0026085A"/>
    <w:rsid w:val="0026569E"/>
    <w:rsid w:val="002700D3"/>
    <w:rsid w:val="00271FC2"/>
    <w:rsid w:val="0027262B"/>
    <w:rsid w:val="00273F6E"/>
    <w:rsid w:val="00274308"/>
    <w:rsid w:val="00280051"/>
    <w:rsid w:val="00280C5D"/>
    <w:rsid w:val="00281798"/>
    <w:rsid w:val="00281830"/>
    <w:rsid w:val="002827C4"/>
    <w:rsid w:val="00284D13"/>
    <w:rsid w:val="00290AE6"/>
    <w:rsid w:val="00292A6B"/>
    <w:rsid w:val="00293B6B"/>
    <w:rsid w:val="00294B76"/>
    <w:rsid w:val="00294F1A"/>
    <w:rsid w:val="00295D79"/>
    <w:rsid w:val="0029655B"/>
    <w:rsid w:val="002A0163"/>
    <w:rsid w:val="002A295E"/>
    <w:rsid w:val="002A2B59"/>
    <w:rsid w:val="002A743F"/>
    <w:rsid w:val="002B2713"/>
    <w:rsid w:val="002B3511"/>
    <w:rsid w:val="002B3D19"/>
    <w:rsid w:val="002B3F13"/>
    <w:rsid w:val="002B434C"/>
    <w:rsid w:val="002B5D29"/>
    <w:rsid w:val="002C0F9C"/>
    <w:rsid w:val="002C39F9"/>
    <w:rsid w:val="002C3BE8"/>
    <w:rsid w:val="002C58B8"/>
    <w:rsid w:val="002C7500"/>
    <w:rsid w:val="002C75BC"/>
    <w:rsid w:val="002D1CA0"/>
    <w:rsid w:val="002D22CF"/>
    <w:rsid w:val="002D370D"/>
    <w:rsid w:val="002D4BB3"/>
    <w:rsid w:val="002D56A1"/>
    <w:rsid w:val="002D59A9"/>
    <w:rsid w:val="002D5A00"/>
    <w:rsid w:val="002D7682"/>
    <w:rsid w:val="002E1E63"/>
    <w:rsid w:val="002E1FA1"/>
    <w:rsid w:val="002E3CB8"/>
    <w:rsid w:val="002E63E1"/>
    <w:rsid w:val="002E6515"/>
    <w:rsid w:val="002E6517"/>
    <w:rsid w:val="002E6687"/>
    <w:rsid w:val="002F2A26"/>
    <w:rsid w:val="002F4F3C"/>
    <w:rsid w:val="002F6957"/>
    <w:rsid w:val="002F6CB3"/>
    <w:rsid w:val="002F74AA"/>
    <w:rsid w:val="002F7DE5"/>
    <w:rsid w:val="002F7DF1"/>
    <w:rsid w:val="003007EA"/>
    <w:rsid w:val="003027B6"/>
    <w:rsid w:val="00305041"/>
    <w:rsid w:val="003060B9"/>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5AD"/>
    <w:rsid w:val="003366C8"/>
    <w:rsid w:val="0033770B"/>
    <w:rsid w:val="0034072B"/>
    <w:rsid w:val="003412E9"/>
    <w:rsid w:val="00342839"/>
    <w:rsid w:val="00343A44"/>
    <w:rsid w:val="003444DC"/>
    <w:rsid w:val="003452B7"/>
    <w:rsid w:val="00350211"/>
    <w:rsid w:val="003518BF"/>
    <w:rsid w:val="00352DA1"/>
    <w:rsid w:val="0035392C"/>
    <w:rsid w:val="00354558"/>
    <w:rsid w:val="00363564"/>
    <w:rsid w:val="0036465D"/>
    <w:rsid w:val="00372477"/>
    <w:rsid w:val="00372544"/>
    <w:rsid w:val="0037341B"/>
    <w:rsid w:val="003760EA"/>
    <w:rsid w:val="003764BE"/>
    <w:rsid w:val="00376B5F"/>
    <w:rsid w:val="00377AD9"/>
    <w:rsid w:val="00380288"/>
    <w:rsid w:val="003817A2"/>
    <w:rsid w:val="00385359"/>
    <w:rsid w:val="00385468"/>
    <w:rsid w:val="00390CE7"/>
    <w:rsid w:val="00390DAE"/>
    <w:rsid w:val="00393C61"/>
    <w:rsid w:val="00393FF3"/>
    <w:rsid w:val="0039618C"/>
    <w:rsid w:val="0039633A"/>
    <w:rsid w:val="00396B90"/>
    <w:rsid w:val="00397973"/>
    <w:rsid w:val="003A0BC9"/>
    <w:rsid w:val="003A0D26"/>
    <w:rsid w:val="003A1A45"/>
    <w:rsid w:val="003A21CD"/>
    <w:rsid w:val="003A2A9E"/>
    <w:rsid w:val="003A40A7"/>
    <w:rsid w:val="003A55FF"/>
    <w:rsid w:val="003A5ADA"/>
    <w:rsid w:val="003A6511"/>
    <w:rsid w:val="003B28A5"/>
    <w:rsid w:val="003B3F9A"/>
    <w:rsid w:val="003B57A1"/>
    <w:rsid w:val="003B661D"/>
    <w:rsid w:val="003B720D"/>
    <w:rsid w:val="003B760C"/>
    <w:rsid w:val="003B7BBE"/>
    <w:rsid w:val="003C0234"/>
    <w:rsid w:val="003C218A"/>
    <w:rsid w:val="003C4430"/>
    <w:rsid w:val="003C5F3E"/>
    <w:rsid w:val="003C7810"/>
    <w:rsid w:val="003D10DD"/>
    <w:rsid w:val="003D1C0C"/>
    <w:rsid w:val="003D2C05"/>
    <w:rsid w:val="003D3B16"/>
    <w:rsid w:val="003D60E0"/>
    <w:rsid w:val="003D709B"/>
    <w:rsid w:val="003D7463"/>
    <w:rsid w:val="003E0103"/>
    <w:rsid w:val="003E0A22"/>
    <w:rsid w:val="003E727F"/>
    <w:rsid w:val="003E7D3D"/>
    <w:rsid w:val="003F01DF"/>
    <w:rsid w:val="003F1D02"/>
    <w:rsid w:val="003F2C18"/>
    <w:rsid w:val="003F6C0E"/>
    <w:rsid w:val="0040380F"/>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32DA"/>
    <w:rsid w:val="00454812"/>
    <w:rsid w:val="004549FE"/>
    <w:rsid w:val="00454D38"/>
    <w:rsid w:val="00455C81"/>
    <w:rsid w:val="00457272"/>
    <w:rsid w:val="00457D10"/>
    <w:rsid w:val="00457DCC"/>
    <w:rsid w:val="00461A18"/>
    <w:rsid w:val="00462060"/>
    <w:rsid w:val="00463C1A"/>
    <w:rsid w:val="00463EEC"/>
    <w:rsid w:val="004640FF"/>
    <w:rsid w:val="00465490"/>
    <w:rsid w:val="004678BC"/>
    <w:rsid w:val="00467A4C"/>
    <w:rsid w:val="00473FD3"/>
    <w:rsid w:val="00474746"/>
    <w:rsid w:val="00474A6A"/>
    <w:rsid w:val="00475AAB"/>
    <w:rsid w:val="00477432"/>
    <w:rsid w:val="004775A0"/>
    <w:rsid w:val="00480537"/>
    <w:rsid w:val="00480DA2"/>
    <w:rsid w:val="00481A6C"/>
    <w:rsid w:val="0048389D"/>
    <w:rsid w:val="004843EE"/>
    <w:rsid w:val="00486165"/>
    <w:rsid w:val="0049014C"/>
    <w:rsid w:val="00492356"/>
    <w:rsid w:val="004957A2"/>
    <w:rsid w:val="004A0201"/>
    <w:rsid w:val="004A178D"/>
    <w:rsid w:val="004A1C33"/>
    <w:rsid w:val="004A7A7F"/>
    <w:rsid w:val="004B031B"/>
    <w:rsid w:val="004B474F"/>
    <w:rsid w:val="004B6843"/>
    <w:rsid w:val="004B7169"/>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463A"/>
    <w:rsid w:val="00517604"/>
    <w:rsid w:val="00517DA5"/>
    <w:rsid w:val="00517FA4"/>
    <w:rsid w:val="005216E4"/>
    <w:rsid w:val="00521B2E"/>
    <w:rsid w:val="00523C45"/>
    <w:rsid w:val="0052548D"/>
    <w:rsid w:val="00525801"/>
    <w:rsid w:val="00530642"/>
    <w:rsid w:val="00530F88"/>
    <w:rsid w:val="005326B3"/>
    <w:rsid w:val="00532B1C"/>
    <w:rsid w:val="00532EB9"/>
    <w:rsid w:val="00533388"/>
    <w:rsid w:val="00534E1F"/>
    <w:rsid w:val="00537269"/>
    <w:rsid w:val="005412CE"/>
    <w:rsid w:val="00541FF9"/>
    <w:rsid w:val="00543044"/>
    <w:rsid w:val="005443C8"/>
    <w:rsid w:val="0054683B"/>
    <w:rsid w:val="00552527"/>
    <w:rsid w:val="005558E1"/>
    <w:rsid w:val="005564A4"/>
    <w:rsid w:val="0055674C"/>
    <w:rsid w:val="005606CB"/>
    <w:rsid w:val="00563265"/>
    <w:rsid w:val="00563A6E"/>
    <w:rsid w:val="00563FD8"/>
    <w:rsid w:val="00564817"/>
    <w:rsid w:val="0056512E"/>
    <w:rsid w:val="0056561D"/>
    <w:rsid w:val="00565D49"/>
    <w:rsid w:val="005706E9"/>
    <w:rsid w:val="00570849"/>
    <w:rsid w:val="0057158C"/>
    <w:rsid w:val="00576416"/>
    <w:rsid w:val="005778BD"/>
    <w:rsid w:val="00577C65"/>
    <w:rsid w:val="00581121"/>
    <w:rsid w:val="005840B8"/>
    <w:rsid w:val="005867DF"/>
    <w:rsid w:val="005900D8"/>
    <w:rsid w:val="005915FE"/>
    <w:rsid w:val="005916F1"/>
    <w:rsid w:val="00592081"/>
    <w:rsid w:val="005A0348"/>
    <w:rsid w:val="005A1FA3"/>
    <w:rsid w:val="005A27C0"/>
    <w:rsid w:val="005A4691"/>
    <w:rsid w:val="005A55B5"/>
    <w:rsid w:val="005A74FF"/>
    <w:rsid w:val="005A7C67"/>
    <w:rsid w:val="005B194A"/>
    <w:rsid w:val="005B234E"/>
    <w:rsid w:val="005B28F4"/>
    <w:rsid w:val="005B2DC4"/>
    <w:rsid w:val="005B3D8A"/>
    <w:rsid w:val="005B3EC2"/>
    <w:rsid w:val="005C1D68"/>
    <w:rsid w:val="005C58FA"/>
    <w:rsid w:val="005C5F49"/>
    <w:rsid w:val="005C65C6"/>
    <w:rsid w:val="005C71BC"/>
    <w:rsid w:val="005D2629"/>
    <w:rsid w:val="005D4A78"/>
    <w:rsid w:val="005D54F1"/>
    <w:rsid w:val="005D5820"/>
    <w:rsid w:val="005D5883"/>
    <w:rsid w:val="005D6E90"/>
    <w:rsid w:val="005E03EB"/>
    <w:rsid w:val="005E3D07"/>
    <w:rsid w:val="005E6B49"/>
    <w:rsid w:val="005E7252"/>
    <w:rsid w:val="005E7AA8"/>
    <w:rsid w:val="005F02C2"/>
    <w:rsid w:val="005F70F7"/>
    <w:rsid w:val="005F797F"/>
    <w:rsid w:val="006046D3"/>
    <w:rsid w:val="00605E3B"/>
    <w:rsid w:val="00606491"/>
    <w:rsid w:val="006065E8"/>
    <w:rsid w:val="00607B4C"/>
    <w:rsid w:val="00610940"/>
    <w:rsid w:val="0061378F"/>
    <w:rsid w:val="006155F0"/>
    <w:rsid w:val="00616766"/>
    <w:rsid w:val="00620188"/>
    <w:rsid w:val="00620386"/>
    <w:rsid w:val="006253B6"/>
    <w:rsid w:val="00625A15"/>
    <w:rsid w:val="00627BD8"/>
    <w:rsid w:val="0063178C"/>
    <w:rsid w:val="0063253D"/>
    <w:rsid w:val="006349C4"/>
    <w:rsid w:val="00635114"/>
    <w:rsid w:val="00636177"/>
    <w:rsid w:val="006361D0"/>
    <w:rsid w:val="00637BE8"/>
    <w:rsid w:val="00637C90"/>
    <w:rsid w:val="00637D76"/>
    <w:rsid w:val="006408BF"/>
    <w:rsid w:val="00640A07"/>
    <w:rsid w:val="0064271E"/>
    <w:rsid w:val="006431FF"/>
    <w:rsid w:val="0064333A"/>
    <w:rsid w:val="00644004"/>
    <w:rsid w:val="00644F89"/>
    <w:rsid w:val="0064576E"/>
    <w:rsid w:val="006464ED"/>
    <w:rsid w:val="006553EC"/>
    <w:rsid w:val="00655674"/>
    <w:rsid w:val="00656027"/>
    <w:rsid w:val="00656746"/>
    <w:rsid w:val="006623D2"/>
    <w:rsid w:val="0066415C"/>
    <w:rsid w:val="00664385"/>
    <w:rsid w:val="00667F90"/>
    <w:rsid w:val="0067005A"/>
    <w:rsid w:val="0067378E"/>
    <w:rsid w:val="00680130"/>
    <w:rsid w:val="006824E0"/>
    <w:rsid w:val="00684A68"/>
    <w:rsid w:val="00685883"/>
    <w:rsid w:val="00687D25"/>
    <w:rsid w:val="00691C90"/>
    <w:rsid w:val="00692458"/>
    <w:rsid w:val="0069388D"/>
    <w:rsid w:val="00697BF8"/>
    <w:rsid w:val="006A0160"/>
    <w:rsid w:val="006A191A"/>
    <w:rsid w:val="006A3118"/>
    <w:rsid w:val="006A31AB"/>
    <w:rsid w:val="006A5215"/>
    <w:rsid w:val="006B18B2"/>
    <w:rsid w:val="006B3640"/>
    <w:rsid w:val="006B61AC"/>
    <w:rsid w:val="006B6C90"/>
    <w:rsid w:val="006B723D"/>
    <w:rsid w:val="006B7CA7"/>
    <w:rsid w:val="006C0039"/>
    <w:rsid w:val="006C1521"/>
    <w:rsid w:val="006C39B7"/>
    <w:rsid w:val="006C3C89"/>
    <w:rsid w:val="006C4948"/>
    <w:rsid w:val="006C4E7E"/>
    <w:rsid w:val="006C7001"/>
    <w:rsid w:val="006C7362"/>
    <w:rsid w:val="006C7545"/>
    <w:rsid w:val="006D11DF"/>
    <w:rsid w:val="006D2547"/>
    <w:rsid w:val="006D3EF5"/>
    <w:rsid w:val="006D47A7"/>
    <w:rsid w:val="006E0951"/>
    <w:rsid w:val="006E10A6"/>
    <w:rsid w:val="006E28B0"/>
    <w:rsid w:val="006E4456"/>
    <w:rsid w:val="006E462E"/>
    <w:rsid w:val="006E5856"/>
    <w:rsid w:val="006E71A5"/>
    <w:rsid w:val="006E73F9"/>
    <w:rsid w:val="006F0585"/>
    <w:rsid w:val="006F21AF"/>
    <w:rsid w:val="006F2643"/>
    <w:rsid w:val="006F47AA"/>
    <w:rsid w:val="006F73C8"/>
    <w:rsid w:val="00700549"/>
    <w:rsid w:val="00700B1E"/>
    <w:rsid w:val="00700B46"/>
    <w:rsid w:val="00702088"/>
    <w:rsid w:val="00702564"/>
    <w:rsid w:val="007033DE"/>
    <w:rsid w:val="00703CCF"/>
    <w:rsid w:val="00705460"/>
    <w:rsid w:val="00707E80"/>
    <w:rsid w:val="00710F93"/>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0EC1"/>
    <w:rsid w:val="00763786"/>
    <w:rsid w:val="007640E0"/>
    <w:rsid w:val="00766E67"/>
    <w:rsid w:val="007678AC"/>
    <w:rsid w:val="00770769"/>
    <w:rsid w:val="0077225F"/>
    <w:rsid w:val="00774042"/>
    <w:rsid w:val="007741B9"/>
    <w:rsid w:val="00774FDE"/>
    <w:rsid w:val="00775D89"/>
    <w:rsid w:val="00777EE3"/>
    <w:rsid w:val="007812CF"/>
    <w:rsid w:val="0078367D"/>
    <w:rsid w:val="0078445A"/>
    <w:rsid w:val="00784CA8"/>
    <w:rsid w:val="00784D38"/>
    <w:rsid w:val="00785234"/>
    <w:rsid w:val="00794435"/>
    <w:rsid w:val="00794ACF"/>
    <w:rsid w:val="00796B3F"/>
    <w:rsid w:val="007A1603"/>
    <w:rsid w:val="007A2798"/>
    <w:rsid w:val="007A682A"/>
    <w:rsid w:val="007A7F29"/>
    <w:rsid w:val="007B03DA"/>
    <w:rsid w:val="007B1A7B"/>
    <w:rsid w:val="007B3138"/>
    <w:rsid w:val="007B314A"/>
    <w:rsid w:val="007B40DC"/>
    <w:rsid w:val="007B6F78"/>
    <w:rsid w:val="007B75F4"/>
    <w:rsid w:val="007C0482"/>
    <w:rsid w:val="007C10BA"/>
    <w:rsid w:val="007C2324"/>
    <w:rsid w:val="007C2806"/>
    <w:rsid w:val="007C5C1B"/>
    <w:rsid w:val="007D3448"/>
    <w:rsid w:val="007E04CD"/>
    <w:rsid w:val="007E4E9A"/>
    <w:rsid w:val="007E6EE6"/>
    <w:rsid w:val="007F29F8"/>
    <w:rsid w:val="007F2D82"/>
    <w:rsid w:val="007F43F2"/>
    <w:rsid w:val="007F48B2"/>
    <w:rsid w:val="007F4EF0"/>
    <w:rsid w:val="007F5CFF"/>
    <w:rsid w:val="007F5FDC"/>
    <w:rsid w:val="008025F1"/>
    <w:rsid w:val="0081013E"/>
    <w:rsid w:val="00810C0D"/>
    <w:rsid w:val="008113B4"/>
    <w:rsid w:val="008114F0"/>
    <w:rsid w:val="00811DB3"/>
    <w:rsid w:val="00814D74"/>
    <w:rsid w:val="00814DE5"/>
    <w:rsid w:val="00820942"/>
    <w:rsid w:val="008248D1"/>
    <w:rsid w:val="0082586A"/>
    <w:rsid w:val="008261B4"/>
    <w:rsid w:val="00827EDE"/>
    <w:rsid w:val="00827F85"/>
    <w:rsid w:val="00832EAB"/>
    <w:rsid w:val="00834896"/>
    <w:rsid w:val="008358B4"/>
    <w:rsid w:val="00842EF4"/>
    <w:rsid w:val="00843D15"/>
    <w:rsid w:val="00845AA0"/>
    <w:rsid w:val="008510FF"/>
    <w:rsid w:val="008530BE"/>
    <w:rsid w:val="008540FA"/>
    <w:rsid w:val="008606A0"/>
    <w:rsid w:val="00861E1B"/>
    <w:rsid w:val="00863446"/>
    <w:rsid w:val="00863E4E"/>
    <w:rsid w:val="008675C1"/>
    <w:rsid w:val="00867895"/>
    <w:rsid w:val="00872E44"/>
    <w:rsid w:val="00875FE9"/>
    <w:rsid w:val="0087684F"/>
    <w:rsid w:val="00876CAC"/>
    <w:rsid w:val="00885A76"/>
    <w:rsid w:val="00886079"/>
    <w:rsid w:val="00891F34"/>
    <w:rsid w:val="00895C04"/>
    <w:rsid w:val="008970B7"/>
    <w:rsid w:val="008A0530"/>
    <w:rsid w:val="008A1B21"/>
    <w:rsid w:val="008A3DD8"/>
    <w:rsid w:val="008A3F85"/>
    <w:rsid w:val="008A47BD"/>
    <w:rsid w:val="008A4C34"/>
    <w:rsid w:val="008A51E8"/>
    <w:rsid w:val="008B0AC9"/>
    <w:rsid w:val="008B0F37"/>
    <w:rsid w:val="008B55D2"/>
    <w:rsid w:val="008B5C21"/>
    <w:rsid w:val="008B791D"/>
    <w:rsid w:val="008B7D3F"/>
    <w:rsid w:val="008C1C7C"/>
    <w:rsid w:val="008C208A"/>
    <w:rsid w:val="008C2BB8"/>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B25"/>
    <w:rsid w:val="00921C0B"/>
    <w:rsid w:val="00921FF8"/>
    <w:rsid w:val="00922A50"/>
    <w:rsid w:val="00923EC8"/>
    <w:rsid w:val="00925F13"/>
    <w:rsid w:val="00926417"/>
    <w:rsid w:val="009277AD"/>
    <w:rsid w:val="00927A1D"/>
    <w:rsid w:val="009306ED"/>
    <w:rsid w:val="00932D30"/>
    <w:rsid w:val="00933BFA"/>
    <w:rsid w:val="00934FC8"/>
    <w:rsid w:val="009369C2"/>
    <w:rsid w:val="00936C28"/>
    <w:rsid w:val="00936DC9"/>
    <w:rsid w:val="00936E45"/>
    <w:rsid w:val="00936F4C"/>
    <w:rsid w:val="0093796A"/>
    <w:rsid w:val="00940816"/>
    <w:rsid w:val="009423E3"/>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1CD2"/>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0D1C"/>
    <w:rsid w:val="00995B1B"/>
    <w:rsid w:val="009A0EDF"/>
    <w:rsid w:val="009A1396"/>
    <w:rsid w:val="009A2981"/>
    <w:rsid w:val="009A336D"/>
    <w:rsid w:val="009A3E03"/>
    <w:rsid w:val="009A5010"/>
    <w:rsid w:val="009A63B5"/>
    <w:rsid w:val="009A7037"/>
    <w:rsid w:val="009C11CF"/>
    <w:rsid w:val="009C13FA"/>
    <w:rsid w:val="009C2AED"/>
    <w:rsid w:val="009C3490"/>
    <w:rsid w:val="009C36C5"/>
    <w:rsid w:val="009C3BB0"/>
    <w:rsid w:val="009C575D"/>
    <w:rsid w:val="009C5F46"/>
    <w:rsid w:val="009C72D3"/>
    <w:rsid w:val="009D1FC0"/>
    <w:rsid w:val="009D2863"/>
    <w:rsid w:val="009D4238"/>
    <w:rsid w:val="009D493B"/>
    <w:rsid w:val="009D5E09"/>
    <w:rsid w:val="009D5EE5"/>
    <w:rsid w:val="009D5F1E"/>
    <w:rsid w:val="009D7580"/>
    <w:rsid w:val="009E00C4"/>
    <w:rsid w:val="009E0C7A"/>
    <w:rsid w:val="009E0E38"/>
    <w:rsid w:val="009E1CD7"/>
    <w:rsid w:val="009E31CD"/>
    <w:rsid w:val="009E53CE"/>
    <w:rsid w:val="009E53F4"/>
    <w:rsid w:val="009E59FA"/>
    <w:rsid w:val="009F72C8"/>
    <w:rsid w:val="00A006D5"/>
    <w:rsid w:val="00A01509"/>
    <w:rsid w:val="00A0211E"/>
    <w:rsid w:val="00A02651"/>
    <w:rsid w:val="00A0337B"/>
    <w:rsid w:val="00A035E4"/>
    <w:rsid w:val="00A03809"/>
    <w:rsid w:val="00A0459A"/>
    <w:rsid w:val="00A04CC3"/>
    <w:rsid w:val="00A06C94"/>
    <w:rsid w:val="00A07C43"/>
    <w:rsid w:val="00A116EA"/>
    <w:rsid w:val="00A11739"/>
    <w:rsid w:val="00A123BC"/>
    <w:rsid w:val="00A13913"/>
    <w:rsid w:val="00A14311"/>
    <w:rsid w:val="00A1579B"/>
    <w:rsid w:val="00A20CEA"/>
    <w:rsid w:val="00A2194F"/>
    <w:rsid w:val="00A24C42"/>
    <w:rsid w:val="00A2629A"/>
    <w:rsid w:val="00A26F1E"/>
    <w:rsid w:val="00A272D4"/>
    <w:rsid w:val="00A2737A"/>
    <w:rsid w:val="00A303C6"/>
    <w:rsid w:val="00A31E06"/>
    <w:rsid w:val="00A32873"/>
    <w:rsid w:val="00A32B6F"/>
    <w:rsid w:val="00A333F2"/>
    <w:rsid w:val="00A33855"/>
    <w:rsid w:val="00A34EAB"/>
    <w:rsid w:val="00A41E01"/>
    <w:rsid w:val="00A42B3D"/>
    <w:rsid w:val="00A435C8"/>
    <w:rsid w:val="00A45D6C"/>
    <w:rsid w:val="00A470E3"/>
    <w:rsid w:val="00A513AA"/>
    <w:rsid w:val="00A536F2"/>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19E9"/>
    <w:rsid w:val="00A94E61"/>
    <w:rsid w:val="00A94FD8"/>
    <w:rsid w:val="00A957B0"/>
    <w:rsid w:val="00A96564"/>
    <w:rsid w:val="00A96CD8"/>
    <w:rsid w:val="00A979FD"/>
    <w:rsid w:val="00AA15EB"/>
    <w:rsid w:val="00AA2D7A"/>
    <w:rsid w:val="00AA2E86"/>
    <w:rsid w:val="00AA3549"/>
    <w:rsid w:val="00AA5307"/>
    <w:rsid w:val="00AB04B2"/>
    <w:rsid w:val="00AB3857"/>
    <w:rsid w:val="00AB3BAC"/>
    <w:rsid w:val="00AB4AD3"/>
    <w:rsid w:val="00AC0797"/>
    <w:rsid w:val="00AC2EDE"/>
    <w:rsid w:val="00AC53AF"/>
    <w:rsid w:val="00AD4F9D"/>
    <w:rsid w:val="00AD628A"/>
    <w:rsid w:val="00AE05E1"/>
    <w:rsid w:val="00AE0AC0"/>
    <w:rsid w:val="00AE12A2"/>
    <w:rsid w:val="00AE2123"/>
    <w:rsid w:val="00AE486F"/>
    <w:rsid w:val="00AE59E5"/>
    <w:rsid w:val="00AE629D"/>
    <w:rsid w:val="00AE6938"/>
    <w:rsid w:val="00AE6DBC"/>
    <w:rsid w:val="00AF0A65"/>
    <w:rsid w:val="00AF223D"/>
    <w:rsid w:val="00AF22E7"/>
    <w:rsid w:val="00AF3F61"/>
    <w:rsid w:val="00AF532B"/>
    <w:rsid w:val="00AF5A8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3251"/>
    <w:rsid w:val="00B2432C"/>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75DA3"/>
    <w:rsid w:val="00B800AB"/>
    <w:rsid w:val="00B83559"/>
    <w:rsid w:val="00B853F1"/>
    <w:rsid w:val="00B86A43"/>
    <w:rsid w:val="00B91976"/>
    <w:rsid w:val="00B92339"/>
    <w:rsid w:val="00B92CED"/>
    <w:rsid w:val="00B94117"/>
    <w:rsid w:val="00B94CAA"/>
    <w:rsid w:val="00B968C2"/>
    <w:rsid w:val="00BA028D"/>
    <w:rsid w:val="00BA05E7"/>
    <w:rsid w:val="00BA1722"/>
    <w:rsid w:val="00BA1A5C"/>
    <w:rsid w:val="00BA3E7C"/>
    <w:rsid w:val="00BA61E1"/>
    <w:rsid w:val="00BA62AA"/>
    <w:rsid w:val="00BA6C5D"/>
    <w:rsid w:val="00BA6DD4"/>
    <w:rsid w:val="00BB1636"/>
    <w:rsid w:val="00BB1B98"/>
    <w:rsid w:val="00BB5BAF"/>
    <w:rsid w:val="00BB6801"/>
    <w:rsid w:val="00BB7B1F"/>
    <w:rsid w:val="00BC12C5"/>
    <w:rsid w:val="00BC4D26"/>
    <w:rsid w:val="00BC5518"/>
    <w:rsid w:val="00BC74A8"/>
    <w:rsid w:val="00BD054F"/>
    <w:rsid w:val="00BD078D"/>
    <w:rsid w:val="00BD429D"/>
    <w:rsid w:val="00BD44A9"/>
    <w:rsid w:val="00BD6D69"/>
    <w:rsid w:val="00BE1539"/>
    <w:rsid w:val="00BE4EDA"/>
    <w:rsid w:val="00BF27FA"/>
    <w:rsid w:val="00BF35EB"/>
    <w:rsid w:val="00BF36A0"/>
    <w:rsid w:val="00BF3884"/>
    <w:rsid w:val="00BF52DE"/>
    <w:rsid w:val="00BF5C38"/>
    <w:rsid w:val="00BF6116"/>
    <w:rsid w:val="00C00318"/>
    <w:rsid w:val="00C01BE9"/>
    <w:rsid w:val="00C02BC2"/>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1033"/>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0256"/>
    <w:rsid w:val="00C62A0C"/>
    <w:rsid w:val="00C635E2"/>
    <w:rsid w:val="00C65E99"/>
    <w:rsid w:val="00C67F13"/>
    <w:rsid w:val="00C704CF"/>
    <w:rsid w:val="00C724D0"/>
    <w:rsid w:val="00C72507"/>
    <w:rsid w:val="00C74397"/>
    <w:rsid w:val="00C74A04"/>
    <w:rsid w:val="00C76E2D"/>
    <w:rsid w:val="00C76FFF"/>
    <w:rsid w:val="00C77386"/>
    <w:rsid w:val="00C80421"/>
    <w:rsid w:val="00C818BB"/>
    <w:rsid w:val="00C81DFC"/>
    <w:rsid w:val="00C82214"/>
    <w:rsid w:val="00C83BE9"/>
    <w:rsid w:val="00C84E28"/>
    <w:rsid w:val="00C84F08"/>
    <w:rsid w:val="00C85B28"/>
    <w:rsid w:val="00C90647"/>
    <w:rsid w:val="00C91310"/>
    <w:rsid w:val="00CA0192"/>
    <w:rsid w:val="00CA43F1"/>
    <w:rsid w:val="00CA4CC9"/>
    <w:rsid w:val="00CA4FDE"/>
    <w:rsid w:val="00CA70E7"/>
    <w:rsid w:val="00CB228A"/>
    <w:rsid w:val="00CB2E17"/>
    <w:rsid w:val="00CB3056"/>
    <w:rsid w:val="00CB3987"/>
    <w:rsid w:val="00CB7E08"/>
    <w:rsid w:val="00CC4F4F"/>
    <w:rsid w:val="00CC5AD8"/>
    <w:rsid w:val="00CD3C23"/>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5919"/>
    <w:rsid w:val="00D3635A"/>
    <w:rsid w:val="00D36920"/>
    <w:rsid w:val="00D36B09"/>
    <w:rsid w:val="00D434D3"/>
    <w:rsid w:val="00D4358F"/>
    <w:rsid w:val="00D443D7"/>
    <w:rsid w:val="00D5188B"/>
    <w:rsid w:val="00D520E7"/>
    <w:rsid w:val="00D532F7"/>
    <w:rsid w:val="00D53C66"/>
    <w:rsid w:val="00D56DA0"/>
    <w:rsid w:val="00D609A1"/>
    <w:rsid w:val="00D62793"/>
    <w:rsid w:val="00D627BE"/>
    <w:rsid w:val="00D6333C"/>
    <w:rsid w:val="00D6578B"/>
    <w:rsid w:val="00D65905"/>
    <w:rsid w:val="00D67E6B"/>
    <w:rsid w:val="00D71B35"/>
    <w:rsid w:val="00D731E1"/>
    <w:rsid w:val="00D74DFD"/>
    <w:rsid w:val="00D75446"/>
    <w:rsid w:val="00D770C8"/>
    <w:rsid w:val="00D80302"/>
    <w:rsid w:val="00D81A2D"/>
    <w:rsid w:val="00D81CB0"/>
    <w:rsid w:val="00D82211"/>
    <w:rsid w:val="00D8365B"/>
    <w:rsid w:val="00D8559E"/>
    <w:rsid w:val="00D863DB"/>
    <w:rsid w:val="00D864FC"/>
    <w:rsid w:val="00D87671"/>
    <w:rsid w:val="00D90346"/>
    <w:rsid w:val="00D92132"/>
    <w:rsid w:val="00D92CE7"/>
    <w:rsid w:val="00D92EE5"/>
    <w:rsid w:val="00D931B6"/>
    <w:rsid w:val="00D95849"/>
    <w:rsid w:val="00D9595A"/>
    <w:rsid w:val="00D967DA"/>
    <w:rsid w:val="00D96A05"/>
    <w:rsid w:val="00D96ACC"/>
    <w:rsid w:val="00D974FB"/>
    <w:rsid w:val="00DA031B"/>
    <w:rsid w:val="00DA24EB"/>
    <w:rsid w:val="00DA48F8"/>
    <w:rsid w:val="00DA5524"/>
    <w:rsid w:val="00DA60A4"/>
    <w:rsid w:val="00DB0295"/>
    <w:rsid w:val="00DB207B"/>
    <w:rsid w:val="00DB3285"/>
    <w:rsid w:val="00DB5138"/>
    <w:rsid w:val="00DB6108"/>
    <w:rsid w:val="00DC008F"/>
    <w:rsid w:val="00DC0A67"/>
    <w:rsid w:val="00DC6E1D"/>
    <w:rsid w:val="00DD4464"/>
    <w:rsid w:val="00DD6074"/>
    <w:rsid w:val="00DD693A"/>
    <w:rsid w:val="00DE125D"/>
    <w:rsid w:val="00DE5620"/>
    <w:rsid w:val="00DE5C6B"/>
    <w:rsid w:val="00DE6056"/>
    <w:rsid w:val="00DE6090"/>
    <w:rsid w:val="00DE6814"/>
    <w:rsid w:val="00DF1CBC"/>
    <w:rsid w:val="00DF3EFE"/>
    <w:rsid w:val="00E02685"/>
    <w:rsid w:val="00E0642F"/>
    <w:rsid w:val="00E104DF"/>
    <w:rsid w:val="00E17DC5"/>
    <w:rsid w:val="00E21634"/>
    <w:rsid w:val="00E24876"/>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97FA6"/>
    <w:rsid w:val="00EA0605"/>
    <w:rsid w:val="00EA060C"/>
    <w:rsid w:val="00EA4041"/>
    <w:rsid w:val="00EA42BD"/>
    <w:rsid w:val="00EA4C6B"/>
    <w:rsid w:val="00EA6E48"/>
    <w:rsid w:val="00EA7109"/>
    <w:rsid w:val="00EB103A"/>
    <w:rsid w:val="00EB256E"/>
    <w:rsid w:val="00EB260B"/>
    <w:rsid w:val="00EB26B6"/>
    <w:rsid w:val="00EB44CD"/>
    <w:rsid w:val="00EB70EE"/>
    <w:rsid w:val="00EC0190"/>
    <w:rsid w:val="00EC293C"/>
    <w:rsid w:val="00EC3146"/>
    <w:rsid w:val="00EC4BB0"/>
    <w:rsid w:val="00EC4C64"/>
    <w:rsid w:val="00EC7202"/>
    <w:rsid w:val="00ED2843"/>
    <w:rsid w:val="00ED2DE6"/>
    <w:rsid w:val="00ED4AAB"/>
    <w:rsid w:val="00ED553B"/>
    <w:rsid w:val="00EE0C5F"/>
    <w:rsid w:val="00EE285A"/>
    <w:rsid w:val="00EE3372"/>
    <w:rsid w:val="00EE5549"/>
    <w:rsid w:val="00EE5A45"/>
    <w:rsid w:val="00EE6F7A"/>
    <w:rsid w:val="00EF163B"/>
    <w:rsid w:val="00EF1F94"/>
    <w:rsid w:val="00EF273A"/>
    <w:rsid w:val="00EF27F4"/>
    <w:rsid w:val="00EF46D9"/>
    <w:rsid w:val="00EF6148"/>
    <w:rsid w:val="00EF7E3E"/>
    <w:rsid w:val="00F037AE"/>
    <w:rsid w:val="00F03A6B"/>
    <w:rsid w:val="00F04F4D"/>
    <w:rsid w:val="00F065C9"/>
    <w:rsid w:val="00F071B9"/>
    <w:rsid w:val="00F07604"/>
    <w:rsid w:val="00F109DA"/>
    <w:rsid w:val="00F122F6"/>
    <w:rsid w:val="00F125DA"/>
    <w:rsid w:val="00F14625"/>
    <w:rsid w:val="00F15189"/>
    <w:rsid w:val="00F1598A"/>
    <w:rsid w:val="00F20F66"/>
    <w:rsid w:val="00F21E51"/>
    <w:rsid w:val="00F25056"/>
    <w:rsid w:val="00F26716"/>
    <w:rsid w:val="00F26B0A"/>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661EE"/>
    <w:rsid w:val="00F7151A"/>
    <w:rsid w:val="00F71652"/>
    <w:rsid w:val="00F73D01"/>
    <w:rsid w:val="00F74039"/>
    <w:rsid w:val="00F74407"/>
    <w:rsid w:val="00F764BE"/>
    <w:rsid w:val="00F77117"/>
    <w:rsid w:val="00F80101"/>
    <w:rsid w:val="00F826D8"/>
    <w:rsid w:val="00F84AF1"/>
    <w:rsid w:val="00F86E9A"/>
    <w:rsid w:val="00F879C4"/>
    <w:rsid w:val="00F87D53"/>
    <w:rsid w:val="00F9196B"/>
    <w:rsid w:val="00F93EA2"/>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3398"/>
    <w:rsid w:val="00FD4961"/>
    <w:rsid w:val="00FD5B95"/>
    <w:rsid w:val="00FD7976"/>
    <w:rsid w:val="00FE0686"/>
    <w:rsid w:val="00FE46F1"/>
    <w:rsid w:val="00FE5081"/>
    <w:rsid w:val="00FE70A6"/>
    <w:rsid w:val="00FE7FF1"/>
    <w:rsid w:val="00FF0FE9"/>
    <w:rsid w:val="00FF248A"/>
    <w:rsid w:val="00FF3F96"/>
    <w:rsid w:val="00FF55B2"/>
    <w:rsid w:val="00FF656D"/>
    <w:rsid w:val="00FF674A"/>
    <w:rsid w:val="00FF680D"/>
    <w:rsid w:val="03089EC7"/>
    <w:rsid w:val="06CA2ABE"/>
    <w:rsid w:val="071C33E6"/>
    <w:rsid w:val="08D4E7EC"/>
    <w:rsid w:val="0ACE0DCC"/>
    <w:rsid w:val="0E35B134"/>
    <w:rsid w:val="0EAC851F"/>
    <w:rsid w:val="0F06A2FC"/>
    <w:rsid w:val="1130A08F"/>
    <w:rsid w:val="167E4480"/>
    <w:rsid w:val="196648DF"/>
    <w:rsid w:val="1A4E2CD9"/>
    <w:rsid w:val="1C45452C"/>
    <w:rsid w:val="1C5CF539"/>
    <w:rsid w:val="1C8F6904"/>
    <w:rsid w:val="1ECE2995"/>
    <w:rsid w:val="1FCA5A82"/>
    <w:rsid w:val="1FDC2772"/>
    <w:rsid w:val="2233818E"/>
    <w:rsid w:val="230F3BC2"/>
    <w:rsid w:val="26D4DA22"/>
    <w:rsid w:val="2738F0ED"/>
    <w:rsid w:val="292BC7AC"/>
    <w:rsid w:val="2D699B2C"/>
    <w:rsid w:val="32CCCA43"/>
    <w:rsid w:val="33ADC4F9"/>
    <w:rsid w:val="3593A324"/>
    <w:rsid w:val="35AB46FA"/>
    <w:rsid w:val="361F6CD6"/>
    <w:rsid w:val="38A6B17F"/>
    <w:rsid w:val="3A25CC7A"/>
    <w:rsid w:val="3A3E8618"/>
    <w:rsid w:val="3D931F1F"/>
    <w:rsid w:val="3EAD843F"/>
    <w:rsid w:val="3F64259F"/>
    <w:rsid w:val="4388CE3F"/>
    <w:rsid w:val="45C3736A"/>
    <w:rsid w:val="46DEA16D"/>
    <w:rsid w:val="46E6B5A1"/>
    <w:rsid w:val="4A4BDAEE"/>
    <w:rsid w:val="4AF6D558"/>
    <w:rsid w:val="4C3607A9"/>
    <w:rsid w:val="5326172A"/>
    <w:rsid w:val="540DB89B"/>
    <w:rsid w:val="552BC3C8"/>
    <w:rsid w:val="558AC57E"/>
    <w:rsid w:val="57F4DFB6"/>
    <w:rsid w:val="5850C150"/>
    <w:rsid w:val="593950D9"/>
    <w:rsid w:val="5C0407D5"/>
    <w:rsid w:val="5EBBF63B"/>
    <w:rsid w:val="674AD6DC"/>
    <w:rsid w:val="67691B61"/>
    <w:rsid w:val="68BA7A43"/>
    <w:rsid w:val="697A7DE1"/>
    <w:rsid w:val="6A7802AE"/>
    <w:rsid w:val="6AAC28F3"/>
    <w:rsid w:val="6AF3CB80"/>
    <w:rsid w:val="6E58329D"/>
    <w:rsid w:val="768D2C72"/>
    <w:rsid w:val="7846C87F"/>
    <w:rsid w:val="7912DADF"/>
    <w:rsid w:val="79482383"/>
    <w:rsid w:val="7969E9CD"/>
    <w:rsid w:val="7A1E12EA"/>
    <w:rsid w:val="7C24AAE2"/>
    <w:rsid w:val="7CC0923F"/>
    <w:rsid w:val="7D2E24E5"/>
    <w:rsid w:val="7D6CCF15"/>
    <w:rsid w:val="7DFEC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F2F90D9"/>
  <w15:docId w15:val="{0EB9D512-FA1C-40ED-8E90-7294AD70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004362"/>
    <w:pPr>
      <w:numPr>
        <w:numId w:val="23"/>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right="-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4775A0"/>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F661EE"/>
    <w:pPr>
      <w:numPr>
        <w:numId w:val="18"/>
      </w:numPr>
      <w:tabs>
        <w:tab w:val="clear" w:pos="1080"/>
      </w:tabs>
      <w:spacing w:before="0" w:after="0" w:line="240" w:lineRule="auto"/>
      <w:ind w:left="0" w:firstLine="0"/>
    </w:pPr>
    <w:rPr>
      <w:rFonts w:ascii="Calibri" w:eastAsia="Times New Roman" w:hAnsi="Calibri" w:cs="Times New Roman"/>
      <w:color w:val="auto"/>
      <w:szCs w:val="20"/>
      <w:lang w:eastAsia="en-US"/>
    </w:rPr>
  </w:style>
  <w:style w:type="paragraph" w:styleId="TOC8">
    <w:name w:val="toc 8"/>
    <w:basedOn w:val="Normal"/>
    <w:next w:val="Normal"/>
    <w:autoRedefine/>
    <w:uiPriority w:val="39"/>
    <w:semiHidden/>
    <w:unhideWhenUsed/>
    <w:rsid w:val="00B2432C"/>
    <w:pPr>
      <w:spacing w:after="100"/>
      <w:ind w:left="1680"/>
    </w:pPr>
  </w:style>
  <w:style w:type="paragraph" w:customStyle="1" w:styleId="BulletedListLevel1">
    <w:name w:val="Bulleted List Level 1"/>
    <w:basedOn w:val="ListParagraph"/>
    <w:link w:val="BulletedListLevel1Char"/>
    <w:uiPriority w:val="3"/>
    <w:qFormat/>
    <w:rsid w:val="00B2432C"/>
    <w:pPr>
      <w:numPr>
        <w:numId w:val="21"/>
      </w:numPr>
      <w:spacing w:after="200" w:line="276" w:lineRule="auto"/>
    </w:pPr>
    <w:rPr>
      <w:rFonts w:ascii="Gill Sans MT" w:eastAsiaTheme="minorHAnsi" w:hAnsi="Gill Sans MT" w:cstheme="minorBidi"/>
      <w:szCs w:val="24"/>
    </w:rPr>
  </w:style>
  <w:style w:type="character" w:customStyle="1" w:styleId="BulletedListLevel1Char">
    <w:name w:val="Bulleted List Level 1 Char"/>
    <w:basedOn w:val="DefaultParagraphFont"/>
    <w:link w:val="BulletedListLevel1"/>
    <w:uiPriority w:val="3"/>
    <w:rsid w:val="00B2432C"/>
    <w:rPr>
      <w:rFonts w:ascii="Gill Sans MT" w:eastAsiaTheme="minorHAnsi" w:hAnsi="Gill Sans MT"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472600225">
      <w:bodyDiv w:val="1"/>
      <w:marLeft w:val="0"/>
      <w:marRight w:val="0"/>
      <w:marTop w:val="0"/>
      <w:marBottom w:val="0"/>
      <w:divBdr>
        <w:top w:val="none" w:sz="0" w:space="0" w:color="auto"/>
        <w:left w:val="none" w:sz="0" w:space="0" w:color="auto"/>
        <w:bottom w:val="none" w:sz="0" w:space="0" w:color="auto"/>
        <w:right w:val="none" w:sz="0" w:space="0" w:color="auto"/>
      </w:divBdr>
      <w:divsChild>
        <w:div w:id="2095318556">
          <w:marLeft w:val="547"/>
          <w:marRight w:val="0"/>
          <w:marTop w:val="0"/>
          <w:marBottom w:val="0"/>
          <w:divBdr>
            <w:top w:val="none" w:sz="0" w:space="0" w:color="auto"/>
            <w:left w:val="none" w:sz="0" w:space="0" w:color="auto"/>
            <w:bottom w:val="none" w:sz="0" w:space="0" w:color="auto"/>
            <w:right w:val="none" w:sz="0" w:space="0" w:color="auto"/>
          </w:divBdr>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27883833">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publications-and-resources/resource-library/credentialing-health-practitioners-and-defining-their-scope-clinical-practice-guide-managers-and-practitioners" TargetMode="External"/><Relationship Id="rId18" Type="http://schemas.openxmlformats.org/officeDocument/2006/relationships/hyperlink" Target="https://www.canberrahealthservices.act.gov.au/accessibil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entalboard.gov.a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lboard.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D4A4DEC9342F98684F35C26E501BF"/>
        <w:category>
          <w:name w:val="General"/>
          <w:gallery w:val="placeholder"/>
        </w:category>
        <w:types>
          <w:type w:val="bbPlcHdr"/>
        </w:types>
        <w:behaviors>
          <w:behavior w:val="content"/>
        </w:behaviors>
        <w:guid w:val="{F9F0C1C1-CC5C-44DE-A247-2C99B6BE3553}"/>
      </w:docPartPr>
      <w:docPartBody>
        <w:p w:rsidR="00BF3EC3" w:rsidRDefault="00BF3EC3">
          <w:pPr>
            <w:pStyle w:val="C49D4A4DEC9342F98684F35C26E501BF"/>
          </w:pPr>
          <w:r>
            <w:rPr>
              <w:noProof/>
              <w:sz w:val="20"/>
              <w:szCs w:val="20"/>
            </w:rPr>
            <w:drawing>
              <wp:inline distT="0" distB="0" distL="0" distR="0" wp14:anchorId="06102D6F" wp14:editId="35ABAA74">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93162C0E03FB4972AF12E1A78295C1D0"/>
        <w:category>
          <w:name w:val="General"/>
          <w:gallery w:val="placeholder"/>
        </w:category>
        <w:types>
          <w:type w:val="bbPlcHdr"/>
        </w:types>
        <w:behaviors>
          <w:behavior w:val="content"/>
        </w:behaviors>
        <w:guid w:val="{3407E9A1-2413-4738-BFF9-BA8AB5F12C4C}"/>
      </w:docPartPr>
      <w:docPartBody>
        <w:p w:rsidR="00BF3EC3" w:rsidRDefault="00BF3EC3">
          <w:pPr>
            <w:pStyle w:val="93162C0E03FB4972AF12E1A78295C1D0"/>
          </w:pPr>
          <w:r w:rsidRPr="00EE29F8">
            <w:rPr>
              <w:rStyle w:val="PlaceholderText"/>
            </w:rPr>
            <w:t>Choose an item.</w:t>
          </w:r>
        </w:p>
      </w:docPartBody>
    </w:docPart>
    <w:docPart>
      <w:docPartPr>
        <w:name w:val="2743CB74E7FC499F863B17F6E800315B"/>
        <w:category>
          <w:name w:val="General"/>
          <w:gallery w:val="placeholder"/>
        </w:category>
        <w:types>
          <w:type w:val="bbPlcHdr"/>
        </w:types>
        <w:behaviors>
          <w:behavior w:val="content"/>
        </w:behaviors>
        <w:guid w:val="{C19D9D97-0842-45E3-919C-00EFE8EE0E2A}"/>
      </w:docPartPr>
      <w:docPartBody>
        <w:p w:rsidR="00BF3EC3" w:rsidRPr="00F26C97" w:rsidRDefault="00BF3EC3" w:rsidP="003B0E72">
          <w:pPr>
            <w:pStyle w:val="Bottomblocktext"/>
            <w:rPr>
              <w:b/>
              <w:bCs w:val="0"/>
              <w:sz w:val="20"/>
              <w:szCs w:val="20"/>
            </w:rPr>
          </w:pPr>
          <w:r>
            <w:rPr>
              <w:b/>
              <w:bCs w:val="0"/>
              <w:noProof/>
              <w:sz w:val="20"/>
              <w:szCs w:val="20"/>
            </w:rPr>
            <w:drawing>
              <wp:inline distT="0" distB="0" distL="0" distR="0" wp14:anchorId="3D962D64" wp14:editId="45581A1D">
                <wp:extent cx="338275" cy="331065"/>
                <wp:effectExtent l="0" t="0" r="5080" b="0"/>
                <wp:docPr id="196326817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FEE9AA2" wp14:editId="5FAF195C">
                <wp:extent cx="143919" cy="139700"/>
                <wp:effectExtent l="0" t="0" r="8890" b="0"/>
                <wp:docPr id="43906169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F3EC3" w:rsidRPr="00F26C97" w:rsidRDefault="00BF3EC3" w:rsidP="003B0E72">
          <w:pPr>
            <w:pStyle w:val="Bottomblocktext"/>
            <w:rPr>
              <w:b/>
              <w:bCs w:val="0"/>
              <w:sz w:val="20"/>
              <w:szCs w:val="20"/>
            </w:rPr>
          </w:pPr>
          <w:r>
            <w:rPr>
              <w:b/>
              <w:bCs w:val="0"/>
              <w:noProof/>
              <w:sz w:val="20"/>
              <w:szCs w:val="20"/>
            </w:rPr>
            <w:drawing>
              <wp:inline distT="0" distB="0" distL="0" distR="0" wp14:anchorId="5B6CB676" wp14:editId="74A0B71D">
                <wp:extent cx="326104" cy="323850"/>
                <wp:effectExtent l="0" t="0" r="0" b="0"/>
                <wp:docPr id="90669547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49DC31A" wp14:editId="4352A81E">
                <wp:extent cx="143919" cy="139700"/>
                <wp:effectExtent l="0" t="0" r="8890" b="0"/>
                <wp:docPr id="1105747069"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F3EC3" w:rsidRDefault="00BF3EC3" w:rsidP="003B0E72">
          <w:pPr>
            <w:pStyle w:val="Bottomblocktext"/>
            <w:rPr>
              <w:sz w:val="20"/>
              <w:szCs w:val="20"/>
            </w:rPr>
          </w:pPr>
          <w:hyperlink r:id="rId8" w:history="1">
            <w:r w:rsidRPr="00350211">
              <w:rPr>
                <w:rStyle w:val="Hyperlink"/>
                <w:sz w:val="20"/>
                <w:szCs w:val="20"/>
              </w:rPr>
              <w:t>canberrahealthservices.act.gov.au/accessibility</w:t>
            </w:r>
          </w:hyperlink>
        </w:p>
        <w:p w:rsidR="00BF3EC3" w:rsidRDefault="00BF3EC3">
          <w:pPr>
            <w:pStyle w:val="2743CB74E7FC499F863B17F6E800315B"/>
          </w:pPr>
          <w:r>
            <w:rPr>
              <w:b/>
              <w:bCs/>
              <w:noProof/>
            </w:rPr>
            <w:drawing>
              <wp:inline distT="0" distB="0" distL="0" distR="0" wp14:anchorId="55086169" wp14:editId="3D8DE32B">
                <wp:extent cx="1323833" cy="309418"/>
                <wp:effectExtent l="0" t="0" r="0" b="0"/>
                <wp:docPr id="156363913"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orporateSBQ-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C3"/>
    <w:rsid w:val="00064E0F"/>
    <w:rsid w:val="000D7E22"/>
    <w:rsid w:val="000E00C1"/>
    <w:rsid w:val="000E48C7"/>
    <w:rsid w:val="000F2211"/>
    <w:rsid w:val="0013454B"/>
    <w:rsid w:val="001F57C6"/>
    <w:rsid w:val="002136DC"/>
    <w:rsid w:val="002C3592"/>
    <w:rsid w:val="002E3CB8"/>
    <w:rsid w:val="002F4F3C"/>
    <w:rsid w:val="002F74AA"/>
    <w:rsid w:val="003760EA"/>
    <w:rsid w:val="003F514F"/>
    <w:rsid w:val="004B6843"/>
    <w:rsid w:val="0052548D"/>
    <w:rsid w:val="005B28F4"/>
    <w:rsid w:val="005B2DC4"/>
    <w:rsid w:val="005D5883"/>
    <w:rsid w:val="00623787"/>
    <w:rsid w:val="00626525"/>
    <w:rsid w:val="00663E23"/>
    <w:rsid w:val="0067378E"/>
    <w:rsid w:val="006A191A"/>
    <w:rsid w:val="006B13B8"/>
    <w:rsid w:val="00710F93"/>
    <w:rsid w:val="007123DD"/>
    <w:rsid w:val="00797AC9"/>
    <w:rsid w:val="007E383A"/>
    <w:rsid w:val="007F5FDC"/>
    <w:rsid w:val="008F6E9C"/>
    <w:rsid w:val="00906900"/>
    <w:rsid w:val="00921B25"/>
    <w:rsid w:val="009A0EDF"/>
    <w:rsid w:val="009C3CEA"/>
    <w:rsid w:val="00A453AB"/>
    <w:rsid w:val="00AE12A2"/>
    <w:rsid w:val="00BC4CD6"/>
    <w:rsid w:val="00BF3EC3"/>
    <w:rsid w:val="00C85B28"/>
    <w:rsid w:val="00D00736"/>
    <w:rsid w:val="00D35919"/>
    <w:rsid w:val="00D532F7"/>
    <w:rsid w:val="00D5608A"/>
    <w:rsid w:val="00DC63D2"/>
    <w:rsid w:val="00E15584"/>
    <w:rsid w:val="00F125DA"/>
    <w:rsid w:val="00F26B0A"/>
    <w:rsid w:val="00FD3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D4A4DEC9342F98684F35C26E501BF">
    <w:name w:val="C49D4A4DEC9342F98684F35C26E501BF"/>
  </w:style>
  <w:style w:type="character" w:styleId="PlaceholderText">
    <w:name w:val="Placeholder Text"/>
    <w:basedOn w:val="DefaultParagraphFont"/>
    <w:uiPriority w:val="99"/>
    <w:semiHidden/>
    <w:rPr>
      <w:color w:val="808080"/>
    </w:rPr>
  </w:style>
  <w:style w:type="paragraph" w:customStyle="1" w:styleId="93162C0E03FB4972AF12E1A78295C1D0">
    <w:name w:val="93162C0E03FB4972AF12E1A78295C1D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743CB74E7FC499F863B17F6E800315B">
    <w:name w:val="2743CB74E7FC499F863B17F6E8003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2026-02-24T13:00:00+00:00</Approval_x0020_Date>
    <Review_x0020_Date xmlns="690b2128-8961-48af-a473-22c34a9accba">2030-02-28T13:00:00+00:00</Review_x0020_Date>
    <TaxCatchAll xmlns="c0239a80-7f07-4ed7-82c3-24ad7d76ada5">
      <Value>417</Value>
      <Value>516</Value>
      <Value>517</Value>
      <Value>432</Value>
      <Value>416</Value>
      <Value>415</Value>
      <Value>448</Value>
      <Value>480</Value>
      <Value>426</Value>
      <Value>443</Value>
    </TaxCatchAll>
    <Version_x0020_Number xmlns="690b2128-8961-48af-a473-22c34a9accba">1</Version_x0020_Number>
    <Notes0 xmlns="690b2128-8961-48af-a473-22c34a9accba" xsi:nil="true"/>
    <Key_x0020_Words xmlns="690b2128-8961-48af-a473-22c34a9accba">Scope of clinical practice, credentialing, medical, dental, practitioners, MDAAC, doctor,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This procedure defines the process for credentialing and defining the scope of clinical practice. </Description0>
    <Display_x0020_on_x0020_Internet xmlns="690b2128-8961-48af-a473-22c34a9accba">true</Display_x0020_on_x0020_Internet>
    <Related_x0020_Documents xmlns="690b2128-8961-48af-a473-22c34a9accba" xsi:nil="true"/>
    <Decision_x0020_Number xmlns="690b2128-8961-48af-a473-22c34a9accba">CHS26/086</Decision_x0020_Number>
    <RelatedPolicies_x002c_ProceduresGuidelines xmlns="690b2128-8961-48af-a473-22c34a9accba">
      <Value>18142</Value>
      <Value>16834</Value>
      <Value>16920</Value>
      <Value>17069</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Act 1993 (Territory)</TermName>
          <TermId xmlns="http://schemas.microsoft.com/office/infopath/2007/PartnerControls">6acc9136-72a0-4c53-82df-02c904fa25ae</TermId>
        </TermInfo>
        <TermInfo xmlns="http://schemas.microsoft.com/office/infopath/2007/PartnerControls">
          <TermName xmlns="http://schemas.microsoft.com/office/infopath/2007/PartnerControls">Discrimination Act 1991 (Territory)</TermName>
          <TermId xmlns="http://schemas.microsoft.com/office/infopath/2007/PartnerControls">60b4d8e4-377d-49fd-93b6-2e11b8d6965e</TermId>
        </TermInfo>
        <TermInfo xmlns="http://schemas.microsoft.com/office/infopath/2007/PartnerControls">
          <TermName xmlns="http://schemas.microsoft.com/office/infopath/2007/PartnerControls">Health Practitioner Regulation (National Uniform Legislation) Act 2010 (NT)</TermName>
          <TermId xmlns="http://schemas.microsoft.com/office/infopath/2007/PartnerControls">230d0618-ece3-469e-be73-de9f90ecd9f3</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Radiation Protection Act 2006 (Territory)</TermName>
          <TermId xmlns="http://schemas.microsoft.com/office/infopath/2007/PartnerControls">a5f446dc-512c-468c-998c-9261f0a11061</TermId>
        </TermInfo>
        <TermInfo xmlns="http://schemas.microsoft.com/office/infopath/2007/PartnerControls">
          <TermName xmlns="http://schemas.microsoft.com/office/infopath/2007/PartnerControls">Radiation Protection Regulation 2007 (Territory)</TermName>
          <TermId xmlns="http://schemas.microsoft.com/office/infopath/2007/PartnerControls">a26106c8-f02a-4f65-baf4-1d6ebdeb3635</TermId>
        </TermInfo>
      </Terms>
    </k0794e393e1f41c2810d090eedba34a0>
    <New_x0020_Owner xmlns="690b2128-8961-48af-a473-22c34a9accba">CHS ED Medical Services</New_x0020_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A520DB1-12EE-4634-9692-30220AA989BE}"/>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7265</Words>
  <Characters>41412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48580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Credentialing and Defining the Scope of Clinical Practice for Senior Medical and Dental Practitioners</dc:title>
  <dc:creator>Bryan, Tara (Health)</dc:creator>
  <cp:lastModifiedBy>Rusanov, Zoia</cp:lastModifiedBy>
  <cp:revision>10</cp:revision>
  <cp:lastPrinted>2017-05-22T07:29:00Z</cp:lastPrinted>
  <dcterms:created xsi:type="dcterms:W3CDTF">2026-03-27T04:55:00Z</dcterms:created>
  <dcterms:modified xsi:type="dcterms:W3CDTF">2026-03-31T02:57:00Z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448;#Health Act 1993 (Territory)|6acc9136-72a0-4c53-82df-02c904fa25ae;#426;#Discrimination Act 1991 (Territory)|60b4d8e4-377d-49fd-93b6-2e11b8d6965e;#480;#Health Practitioner Regulation (National Uniform Legislation) Act 2010 (NT)|230d0618-ece3-469e-be73-de9f90ecd9f3;#415;#Health Records (Privacy and Access) Act 1997 (Territory)|d07d1347-0355-417c-badf-2bae9c7c0e3b;#416;#Human Rights Act 2004 (Territory)|bbb6fb4a-2117-4ff9-8364-021a762deae2;#432;#Carers Recognition Act 2021 (Territory)|a9c8282c-cc19-42a3-a6c3-de05b442298b;#417;#Work Health and Safety Act 2011 (Territory)|ff017976-c7e7-4dc1-b890-63352415bc5e;#443;#Public Sector Management Act 1994 (Territory)|e033f8b2-2902-4ad1-a6fd-71f5bf9257a3;#516;#Radiation Protection Act 2006 (Territory)|a5f446dc-512c-468c-998c-9261f0a11061;#517;#Radiation Protection Regulation 2007 (Territory)|a26106c8-f02a-4f65-baf4-1d6ebdeb3635</vt:lpwstr>
  </property>
  <property fmtid="{D5CDD505-2E9C-101B-9397-08002B2CF9AE}" pid="11" name="Related_x0020_Legislation_x0020__x0026__x0020_Guidelines">
    <vt:lpwstr>448;#Health Act 1993 (Territory)|6acc9136-72a0-4c53-82df-02c904fa25ae;#426;#Discrimination Act 1991 (Territory)|60b4d8e4-377d-49fd-93b6-2e11b8d6965e;#480;#Health Practitioner Regulation (National Uniform Legislation) Act 2010 (NT)|230d0618-ece3-469e-be73-de9f90ecd9f3;#415;#Health Records (Privacy and Access) Act 1997 (Territory)|d07d1347-0355-417c-badf-2bae9c7c0e3b;#416;#Human Rights Act 2004 (Territory)|bbb6fb4a-2117-4ff9-8364-021a762deae2;#432;#Carers Recognition Act 2021 (Territory)|a9c8282c-cc19-42a3-a6c3-de05b442298b;#417;#Work Health and Safety Act 2011 (Territory)|ff017976-c7e7-4dc1-b890-63352415bc5e;#443;#Public Sector Management Act 1994 (Territory)|e033f8b2-2902-4ad1-a6fd-71f5bf9257a3;#516;#Radiation Protection Act 2006 (Territory)|a5f446dc-512c-468c-998c-9261f0a11061;#517;#Radiation Protection Regulation 2007 (Territory)|a26106c8-f02a-4f65-baf4-1d6ebdeb3635</vt:lpwstr>
  </property>
</Properties>
</file>