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8DF21" w14:textId="77777777" w:rsidR="00197F2E" w:rsidRPr="00F642EF" w:rsidRDefault="00EE0C5F" w:rsidP="001429A1">
      <w:pPr>
        <w:pStyle w:val="Heading1"/>
      </w:pPr>
      <w:r w:rsidRPr="00F642EF">
        <w:t>Procedure</w:t>
      </w:r>
      <w:r w:rsidR="008606A0" w:rsidRPr="00F642EF">
        <w:t xml:space="preserve"> </w:t>
      </w:r>
      <w:r w:rsidR="008606A0" w:rsidRPr="00F642EF">
        <w:rPr>
          <w:b w:val="0"/>
          <w:bCs w:val="0"/>
        </w:rPr>
        <w:t xml:space="preserve">| </w:t>
      </w:r>
      <w:r w:rsidR="00481A6C" w:rsidRPr="00F642EF">
        <w:rPr>
          <w:b w:val="0"/>
          <w:bCs w:val="0"/>
        </w:rPr>
        <w:t>Canberra Health Services</w:t>
      </w:r>
    </w:p>
    <w:p w14:paraId="6294B14E" w14:textId="6CE7A38A" w:rsidR="00197F2E" w:rsidRPr="00F642EF" w:rsidRDefault="00405BDF" w:rsidP="001429A1">
      <w:pPr>
        <w:pStyle w:val="Heading2"/>
      </w:pPr>
      <w:r w:rsidRPr="00F642EF">
        <w:t>MHJHADS Intramuscular Medication Administration Procedure</w:t>
      </w:r>
      <w:r w:rsidR="00197F2E" w:rsidRPr="00F642EF">
        <w:rPr>
          <w:rStyle w:val="Heading2Char"/>
        </w:rPr>
        <w:t xml:space="preserve"> </w:t>
      </w:r>
    </w:p>
    <w:p w14:paraId="7D62DFA3" w14:textId="09E8C94A" w:rsidR="00CA4FDE" w:rsidRPr="00F642EF" w:rsidRDefault="00E31596" w:rsidP="001429A1">
      <w:pPr>
        <w:pStyle w:val="BodyCopy"/>
        <w:spacing w:before="0" w:line="240" w:lineRule="auto"/>
        <w:rPr>
          <w:color w:val="575757" w:themeColor="text2"/>
        </w:rPr>
      </w:pPr>
      <w:r w:rsidRPr="00F642EF">
        <w:t>CHS</w:t>
      </w:r>
      <w:r w:rsidR="00D03439">
        <w:t>25/34</w:t>
      </w:r>
      <w:bookmarkStart w:id="0" w:name="_Hlk157074578"/>
      <w:r w:rsidR="00DA4A8E">
        <w:t>4</w:t>
      </w:r>
    </w:p>
    <w:sdt>
      <w:sdtPr>
        <w:rPr>
          <w:sz w:val="32"/>
          <w:szCs w:val="32"/>
        </w:rPr>
        <w:id w:val="-1206019646"/>
        <w:docPartObj>
          <w:docPartGallery w:val="Table of Contents"/>
          <w:docPartUnique/>
        </w:docPartObj>
      </w:sdtPr>
      <w:sdtContent>
        <w:p w14:paraId="552A7C68" w14:textId="77777777" w:rsidR="00A731B8" w:rsidRPr="00F642EF" w:rsidRDefault="00A731B8" w:rsidP="001429A1">
          <w:pPr>
            <w:pStyle w:val="TOCHeading"/>
            <w:rPr>
              <w:rStyle w:val="Heading3Char"/>
              <w:b/>
              <w:bCs w:val="0"/>
            </w:rPr>
          </w:pPr>
          <w:r w:rsidRPr="00F642EF">
            <w:rPr>
              <w:rStyle w:val="Heading3Char"/>
              <w:b/>
              <w:bCs w:val="0"/>
            </w:rPr>
            <w:t>Contents</w:t>
          </w:r>
        </w:p>
        <w:p w14:paraId="151143CC" w14:textId="5A531B4C" w:rsidR="00B14039" w:rsidRDefault="00A621FE">
          <w:pPr>
            <w:pStyle w:val="TOC1"/>
            <w:rPr>
              <w:rFonts w:asciiTheme="minorHAnsi" w:eastAsiaTheme="minorEastAsia" w:hAnsiTheme="minorHAnsi" w:cstheme="minorBidi"/>
              <w:color w:val="auto"/>
              <w:kern w:val="2"/>
              <w14:ligatures w14:val="standardContextual"/>
            </w:rPr>
          </w:pPr>
          <w:r w:rsidRPr="00F642EF">
            <w:rPr>
              <w:rFonts w:cs="Times New Roman"/>
              <w:b/>
              <w:noProof w:val="0"/>
            </w:rPr>
            <w:fldChar w:fldCharType="begin"/>
          </w:r>
          <w:r w:rsidRPr="00F642EF">
            <w:rPr>
              <w:rFonts w:cs="Times New Roman"/>
              <w:b/>
              <w:noProof w:val="0"/>
            </w:rPr>
            <w:instrText xml:space="preserve"> TOC \h \z \u \t "Heading 4,1" </w:instrText>
          </w:r>
          <w:r w:rsidRPr="00F642EF">
            <w:rPr>
              <w:rFonts w:cs="Times New Roman"/>
              <w:b/>
              <w:noProof w:val="0"/>
            </w:rPr>
            <w:fldChar w:fldCharType="separate"/>
          </w:r>
          <w:hyperlink w:anchor="_Toc210295810" w:history="1">
            <w:r w:rsidR="00B14039" w:rsidRPr="006C51B0">
              <w:rPr>
                <w:rStyle w:val="Hyperlink"/>
              </w:rPr>
              <w:t>Purpose</w:t>
            </w:r>
            <w:r w:rsidR="00B14039">
              <w:rPr>
                <w:webHidden/>
              </w:rPr>
              <w:tab/>
            </w:r>
            <w:r w:rsidR="00B14039">
              <w:rPr>
                <w:webHidden/>
              </w:rPr>
              <w:fldChar w:fldCharType="begin"/>
            </w:r>
            <w:r w:rsidR="00B14039">
              <w:rPr>
                <w:webHidden/>
              </w:rPr>
              <w:instrText xml:space="preserve"> PAGEREF _Toc210295810 \h </w:instrText>
            </w:r>
            <w:r w:rsidR="00B14039">
              <w:rPr>
                <w:webHidden/>
              </w:rPr>
            </w:r>
            <w:r w:rsidR="00B14039">
              <w:rPr>
                <w:webHidden/>
              </w:rPr>
              <w:fldChar w:fldCharType="separate"/>
            </w:r>
            <w:r w:rsidR="00B14039">
              <w:rPr>
                <w:webHidden/>
              </w:rPr>
              <w:t>2</w:t>
            </w:r>
            <w:r w:rsidR="00B14039">
              <w:rPr>
                <w:webHidden/>
              </w:rPr>
              <w:fldChar w:fldCharType="end"/>
            </w:r>
          </w:hyperlink>
        </w:p>
        <w:p w14:paraId="5262ABCB" w14:textId="79B8CBF6" w:rsidR="00B14039" w:rsidRDefault="00B14039">
          <w:pPr>
            <w:pStyle w:val="TOC1"/>
            <w:rPr>
              <w:rFonts w:asciiTheme="minorHAnsi" w:eastAsiaTheme="minorEastAsia" w:hAnsiTheme="minorHAnsi" w:cstheme="minorBidi"/>
              <w:color w:val="auto"/>
              <w:kern w:val="2"/>
              <w14:ligatures w14:val="standardContextual"/>
            </w:rPr>
          </w:pPr>
          <w:hyperlink w:anchor="_Toc210295811" w:history="1">
            <w:r w:rsidRPr="006C51B0">
              <w:rPr>
                <w:rStyle w:val="Hyperlink"/>
              </w:rPr>
              <w:t>Alerts</w:t>
            </w:r>
            <w:r>
              <w:rPr>
                <w:webHidden/>
              </w:rPr>
              <w:tab/>
            </w:r>
            <w:r>
              <w:rPr>
                <w:webHidden/>
              </w:rPr>
              <w:fldChar w:fldCharType="begin"/>
            </w:r>
            <w:r>
              <w:rPr>
                <w:webHidden/>
              </w:rPr>
              <w:instrText xml:space="preserve"> PAGEREF _Toc210295811 \h </w:instrText>
            </w:r>
            <w:r>
              <w:rPr>
                <w:webHidden/>
              </w:rPr>
            </w:r>
            <w:r>
              <w:rPr>
                <w:webHidden/>
              </w:rPr>
              <w:fldChar w:fldCharType="separate"/>
            </w:r>
            <w:r>
              <w:rPr>
                <w:webHidden/>
              </w:rPr>
              <w:t>2</w:t>
            </w:r>
            <w:r>
              <w:rPr>
                <w:webHidden/>
              </w:rPr>
              <w:fldChar w:fldCharType="end"/>
            </w:r>
          </w:hyperlink>
        </w:p>
        <w:p w14:paraId="2E657DEA" w14:textId="551EC027" w:rsidR="00B14039" w:rsidRDefault="00B14039">
          <w:pPr>
            <w:pStyle w:val="TOC1"/>
            <w:rPr>
              <w:rFonts w:asciiTheme="minorHAnsi" w:eastAsiaTheme="minorEastAsia" w:hAnsiTheme="minorHAnsi" w:cstheme="minorBidi"/>
              <w:color w:val="auto"/>
              <w:kern w:val="2"/>
              <w14:ligatures w14:val="standardContextual"/>
            </w:rPr>
          </w:pPr>
          <w:hyperlink w:anchor="_Toc210295812" w:history="1">
            <w:r w:rsidRPr="006C51B0">
              <w:rPr>
                <w:rStyle w:val="Hyperlink"/>
              </w:rPr>
              <w:t>Scope</w:t>
            </w:r>
            <w:r>
              <w:rPr>
                <w:webHidden/>
              </w:rPr>
              <w:tab/>
            </w:r>
            <w:r>
              <w:rPr>
                <w:webHidden/>
              </w:rPr>
              <w:fldChar w:fldCharType="begin"/>
            </w:r>
            <w:r>
              <w:rPr>
                <w:webHidden/>
              </w:rPr>
              <w:instrText xml:space="preserve"> PAGEREF _Toc210295812 \h </w:instrText>
            </w:r>
            <w:r>
              <w:rPr>
                <w:webHidden/>
              </w:rPr>
            </w:r>
            <w:r>
              <w:rPr>
                <w:webHidden/>
              </w:rPr>
              <w:fldChar w:fldCharType="separate"/>
            </w:r>
            <w:r>
              <w:rPr>
                <w:webHidden/>
              </w:rPr>
              <w:t>2</w:t>
            </w:r>
            <w:r>
              <w:rPr>
                <w:webHidden/>
              </w:rPr>
              <w:fldChar w:fldCharType="end"/>
            </w:r>
          </w:hyperlink>
        </w:p>
        <w:p w14:paraId="069C3475" w14:textId="7F7EF006" w:rsidR="00B14039" w:rsidRDefault="00B14039">
          <w:pPr>
            <w:pStyle w:val="TOC1"/>
            <w:rPr>
              <w:rFonts w:asciiTheme="minorHAnsi" w:eastAsiaTheme="minorEastAsia" w:hAnsiTheme="minorHAnsi" w:cstheme="minorBidi"/>
              <w:color w:val="auto"/>
              <w:kern w:val="2"/>
              <w14:ligatures w14:val="standardContextual"/>
            </w:rPr>
          </w:pPr>
          <w:hyperlink w:anchor="_Toc210295813" w:history="1">
            <w:r w:rsidRPr="006C51B0">
              <w:rPr>
                <w:rStyle w:val="Hyperlink"/>
              </w:rPr>
              <w:t>Section 1 - Background</w:t>
            </w:r>
            <w:r>
              <w:rPr>
                <w:webHidden/>
              </w:rPr>
              <w:tab/>
            </w:r>
            <w:r>
              <w:rPr>
                <w:webHidden/>
              </w:rPr>
              <w:fldChar w:fldCharType="begin"/>
            </w:r>
            <w:r>
              <w:rPr>
                <w:webHidden/>
              </w:rPr>
              <w:instrText xml:space="preserve"> PAGEREF _Toc210295813 \h </w:instrText>
            </w:r>
            <w:r>
              <w:rPr>
                <w:webHidden/>
              </w:rPr>
            </w:r>
            <w:r>
              <w:rPr>
                <w:webHidden/>
              </w:rPr>
              <w:fldChar w:fldCharType="separate"/>
            </w:r>
            <w:r>
              <w:rPr>
                <w:webHidden/>
              </w:rPr>
              <w:t>3</w:t>
            </w:r>
            <w:r>
              <w:rPr>
                <w:webHidden/>
              </w:rPr>
              <w:fldChar w:fldCharType="end"/>
            </w:r>
          </w:hyperlink>
        </w:p>
        <w:p w14:paraId="319513B1" w14:textId="630689D3" w:rsidR="00B14039" w:rsidRDefault="00B14039">
          <w:pPr>
            <w:pStyle w:val="TOC1"/>
            <w:rPr>
              <w:rFonts w:asciiTheme="minorHAnsi" w:eastAsiaTheme="minorEastAsia" w:hAnsiTheme="minorHAnsi" w:cstheme="minorBidi"/>
              <w:color w:val="auto"/>
              <w:kern w:val="2"/>
              <w14:ligatures w14:val="standardContextual"/>
            </w:rPr>
          </w:pPr>
          <w:hyperlink w:anchor="_Toc210295814" w:history="1">
            <w:r w:rsidRPr="006C51B0">
              <w:rPr>
                <w:rStyle w:val="Hyperlink"/>
              </w:rPr>
              <w:t>Section 2 – Guiding Principles</w:t>
            </w:r>
            <w:r>
              <w:rPr>
                <w:webHidden/>
              </w:rPr>
              <w:tab/>
            </w:r>
            <w:r>
              <w:rPr>
                <w:webHidden/>
              </w:rPr>
              <w:fldChar w:fldCharType="begin"/>
            </w:r>
            <w:r>
              <w:rPr>
                <w:webHidden/>
              </w:rPr>
              <w:instrText xml:space="preserve"> PAGEREF _Toc210295814 \h </w:instrText>
            </w:r>
            <w:r>
              <w:rPr>
                <w:webHidden/>
              </w:rPr>
            </w:r>
            <w:r>
              <w:rPr>
                <w:webHidden/>
              </w:rPr>
              <w:fldChar w:fldCharType="separate"/>
            </w:r>
            <w:r>
              <w:rPr>
                <w:webHidden/>
              </w:rPr>
              <w:t>3</w:t>
            </w:r>
            <w:r>
              <w:rPr>
                <w:webHidden/>
              </w:rPr>
              <w:fldChar w:fldCharType="end"/>
            </w:r>
          </w:hyperlink>
        </w:p>
        <w:p w14:paraId="3F214711" w14:textId="60BC6128" w:rsidR="00B14039" w:rsidRDefault="00B14039">
          <w:pPr>
            <w:pStyle w:val="TOC1"/>
            <w:rPr>
              <w:rFonts w:asciiTheme="minorHAnsi" w:eastAsiaTheme="minorEastAsia" w:hAnsiTheme="minorHAnsi" w:cstheme="minorBidi"/>
              <w:color w:val="auto"/>
              <w:kern w:val="2"/>
              <w14:ligatures w14:val="standardContextual"/>
            </w:rPr>
          </w:pPr>
          <w:hyperlink w:anchor="_Toc210295815" w:history="1">
            <w:r w:rsidRPr="006C51B0">
              <w:rPr>
                <w:rStyle w:val="Hyperlink"/>
              </w:rPr>
              <w:t>Section 3 – Site Selection</w:t>
            </w:r>
            <w:r>
              <w:rPr>
                <w:webHidden/>
              </w:rPr>
              <w:tab/>
            </w:r>
            <w:r>
              <w:rPr>
                <w:webHidden/>
              </w:rPr>
              <w:fldChar w:fldCharType="begin"/>
            </w:r>
            <w:r>
              <w:rPr>
                <w:webHidden/>
              </w:rPr>
              <w:instrText xml:space="preserve"> PAGEREF _Toc210295815 \h </w:instrText>
            </w:r>
            <w:r>
              <w:rPr>
                <w:webHidden/>
              </w:rPr>
            </w:r>
            <w:r>
              <w:rPr>
                <w:webHidden/>
              </w:rPr>
              <w:fldChar w:fldCharType="separate"/>
            </w:r>
            <w:r>
              <w:rPr>
                <w:webHidden/>
              </w:rPr>
              <w:t>5</w:t>
            </w:r>
            <w:r>
              <w:rPr>
                <w:webHidden/>
              </w:rPr>
              <w:fldChar w:fldCharType="end"/>
            </w:r>
          </w:hyperlink>
        </w:p>
        <w:p w14:paraId="7AB021E0" w14:textId="2562F9D9" w:rsidR="00B14039" w:rsidRDefault="00B14039">
          <w:pPr>
            <w:pStyle w:val="TOC1"/>
            <w:rPr>
              <w:rFonts w:asciiTheme="minorHAnsi" w:eastAsiaTheme="minorEastAsia" w:hAnsiTheme="minorHAnsi" w:cstheme="minorBidi"/>
              <w:color w:val="auto"/>
              <w:kern w:val="2"/>
              <w14:ligatures w14:val="standardContextual"/>
            </w:rPr>
          </w:pPr>
          <w:hyperlink w:anchor="_Toc210295816" w:history="1">
            <w:r w:rsidRPr="006C51B0">
              <w:rPr>
                <w:rStyle w:val="Hyperlink"/>
              </w:rPr>
              <w:t>Section 4 – Preparation, Site Selection, Process and Documentation</w:t>
            </w:r>
            <w:r>
              <w:rPr>
                <w:webHidden/>
              </w:rPr>
              <w:tab/>
            </w:r>
            <w:r>
              <w:rPr>
                <w:webHidden/>
              </w:rPr>
              <w:fldChar w:fldCharType="begin"/>
            </w:r>
            <w:r>
              <w:rPr>
                <w:webHidden/>
              </w:rPr>
              <w:instrText xml:space="preserve"> PAGEREF _Toc210295816 \h </w:instrText>
            </w:r>
            <w:r>
              <w:rPr>
                <w:webHidden/>
              </w:rPr>
            </w:r>
            <w:r>
              <w:rPr>
                <w:webHidden/>
              </w:rPr>
              <w:fldChar w:fldCharType="separate"/>
            </w:r>
            <w:r>
              <w:rPr>
                <w:webHidden/>
              </w:rPr>
              <w:t>8</w:t>
            </w:r>
            <w:r>
              <w:rPr>
                <w:webHidden/>
              </w:rPr>
              <w:fldChar w:fldCharType="end"/>
            </w:r>
          </w:hyperlink>
        </w:p>
        <w:p w14:paraId="5210923F" w14:textId="65E48FE9" w:rsidR="00B14039" w:rsidRDefault="00B14039">
          <w:pPr>
            <w:pStyle w:val="TOC1"/>
            <w:rPr>
              <w:rFonts w:asciiTheme="minorHAnsi" w:eastAsiaTheme="minorEastAsia" w:hAnsiTheme="minorHAnsi" w:cstheme="minorBidi"/>
              <w:color w:val="auto"/>
              <w:kern w:val="2"/>
              <w14:ligatures w14:val="standardContextual"/>
            </w:rPr>
          </w:pPr>
          <w:hyperlink w:anchor="_Toc210295817" w:history="1">
            <w:r w:rsidRPr="006C51B0">
              <w:rPr>
                <w:rStyle w:val="Hyperlink"/>
              </w:rPr>
              <w:t>Evaluation</w:t>
            </w:r>
            <w:r>
              <w:rPr>
                <w:webHidden/>
              </w:rPr>
              <w:tab/>
            </w:r>
            <w:r>
              <w:rPr>
                <w:webHidden/>
              </w:rPr>
              <w:fldChar w:fldCharType="begin"/>
            </w:r>
            <w:r>
              <w:rPr>
                <w:webHidden/>
              </w:rPr>
              <w:instrText xml:space="preserve"> PAGEREF _Toc210295817 \h </w:instrText>
            </w:r>
            <w:r>
              <w:rPr>
                <w:webHidden/>
              </w:rPr>
            </w:r>
            <w:r>
              <w:rPr>
                <w:webHidden/>
              </w:rPr>
              <w:fldChar w:fldCharType="separate"/>
            </w:r>
            <w:r>
              <w:rPr>
                <w:webHidden/>
              </w:rPr>
              <w:t>12</w:t>
            </w:r>
            <w:r>
              <w:rPr>
                <w:webHidden/>
              </w:rPr>
              <w:fldChar w:fldCharType="end"/>
            </w:r>
          </w:hyperlink>
        </w:p>
        <w:p w14:paraId="60C76F19" w14:textId="0464A185" w:rsidR="00B14039" w:rsidRDefault="00B14039">
          <w:pPr>
            <w:pStyle w:val="TOC1"/>
            <w:rPr>
              <w:rFonts w:asciiTheme="minorHAnsi" w:eastAsiaTheme="minorEastAsia" w:hAnsiTheme="minorHAnsi" w:cstheme="minorBidi"/>
              <w:color w:val="auto"/>
              <w:kern w:val="2"/>
              <w14:ligatures w14:val="standardContextual"/>
            </w:rPr>
          </w:pPr>
          <w:hyperlink w:anchor="_Toc210295818" w:history="1">
            <w:r w:rsidRPr="006C51B0">
              <w:rPr>
                <w:rStyle w:val="Hyperlink"/>
              </w:rPr>
              <w:t>Related policies, procedures, guidelines and legislation</w:t>
            </w:r>
            <w:r>
              <w:rPr>
                <w:webHidden/>
              </w:rPr>
              <w:tab/>
            </w:r>
            <w:r>
              <w:rPr>
                <w:webHidden/>
              </w:rPr>
              <w:fldChar w:fldCharType="begin"/>
            </w:r>
            <w:r>
              <w:rPr>
                <w:webHidden/>
              </w:rPr>
              <w:instrText xml:space="preserve"> PAGEREF _Toc210295818 \h </w:instrText>
            </w:r>
            <w:r>
              <w:rPr>
                <w:webHidden/>
              </w:rPr>
            </w:r>
            <w:r>
              <w:rPr>
                <w:webHidden/>
              </w:rPr>
              <w:fldChar w:fldCharType="separate"/>
            </w:r>
            <w:r>
              <w:rPr>
                <w:webHidden/>
              </w:rPr>
              <w:t>12</w:t>
            </w:r>
            <w:r>
              <w:rPr>
                <w:webHidden/>
              </w:rPr>
              <w:fldChar w:fldCharType="end"/>
            </w:r>
          </w:hyperlink>
        </w:p>
        <w:p w14:paraId="5DFE07B8" w14:textId="2C2CB383" w:rsidR="00B14039" w:rsidRDefault="00B14039">
          <w:pPr>
            <w:pStyle w:val="TOC1"/>
            <w:rPr>
              <w:rFonts w:asciiTheme="minorHAnsi" w:eastAsiaTheme="minorEastAsia" w:hAnsiTheme="minorHAnsi" w:cstheme="minorBidi"/>
              <w:color w:val="auto"/>
              <w:kern w:val="2"/>
              <w14:ligatures w14:val="standardContextual"/>
            </w:rPr>
          </w:pPr>
          <w:hyperlink w:anchor="_Toc210295819" w:history="1">
            <w:r w:rsidRPr="006C51B0">
              <w:rPr>
                <w:rStyle w:val="Hyperlink"/>
              </w:rPr>
              <w:t>References</w:t>
            </w:r>
            <w:r>
              <w:rPr>
                <w:webHidden/>
              </w:rPr>
              <w:tab/>
            </w:r>
            <w:r>
              <w:rPr>
                <w:webHidden/>
              </w:rPr>
              <w:fldChar w:fldCharType="begin"/>
            </w:r>
            <w:r>
              <w:rPr>
                <w:webHidden/>
              </w:rPr>
              <w:instrText xml:space="preserve"> PAGEREF _Toc210295819 \h </w:instrText>
            </w:r>
            <w:r>
              <w:rPr>
                <w:webHidden/>
              </w:rPr>
            </w:r>
            <w:r>
              <w:rPr>
                <w:webHidden/>
              </w:rPr>
              <w:fldChar w:fldCharType="separate"/>
            </w:r>
            <w:r>
              <w:rPr>
                <w:webHidden/>
              </w:rPr>
              <w:t>13</w:t>
            </w:r>
            <w:r>
              <w:rPr>
                <w:webHidden/>
              </w:rPr>
              <w:fldChar w:fldCharType="end"/>
            </w:r>
          </w:hyperlink>
        </w:p>
        <w:p w14:paraId="757AFE6C" w14:textId="0320F682" w:rsidR="00B14039" w:rsidRDefault="00B14039">
          <w:pPr>
            <w:pStyle w:val="TOC1"/>
            <w:rPr>
              <w:rFonts w:asciiTheme="minorHAnsi" w:eastAsiaTheme="minorEastAsia" w:hAnsiTheme="minorHAnsi" w:cstheme="minorBidi"/>
              <w:color w:val="auto"/>
              <w:kern w:val="2"/>
              <w14:ligatures w14:val="standardContextual"/>
            </w:rPr>
          </w:pPr>
          <w:hyperlink w:anchor="_Toc210295820" w:history="1">
            <w:r w:rsidRPr="006C51B0">
              <w:rPr>
                <w:rStyle w:val="Hyperlink"/>
              </w:rPr>
              <w:t>Definition of terms</w:t>
            </w:r>
            <w:r>
              <w:rPr>
                <w:webHidden/>
              </w:rPr>
              <w:tab/>
            </w:r>
            <w:r>
              <w:rPr>
                <w:webHidden/>
              </w:rPr>
              <w:fldChar w:fldCharType="begin"/>
            </w:r>
            <w:r>
              <w:rPr>
                <w:webHidden/>
              </w:rPr>
              <w:instrText xml:space="preserve"> PAGEREF _Toc210295820 \h </w:instrText>
            </w:r>
            <w:r>
              <w:rPr>
                <w:webHidden/>
              </w:rPr>
            </w:r>
            <w:r>
              <w:rPr>
                <w:webHidden/>
              </w:rPr>
              <w:fldChar w:fldCharType="separate"/>
            </w:r>
            <w:r>
              <w:rPr>
                <w:webHidden/>
              </w:rPr>
              <w:t>14</w:t>
            </w:r>
            <w:r>
              <w:rPr>
                <w:webHidden/>
              </w:rPr>
              <w:fldChar w:fldCharType="end"/>
            </w:r>
          </w:hyperlink>
        </w:p>
        <w:p w14:paraId="0A7F7A9C" w14:textId="1322B070" w:rsidR="00B14039" w:rsidRDefault="00B14039">
          <w:pPr>
            <w:pStyle w:val="TOC1"/>
            <w:rPr>
              <w:rFonts w:asciiTheme="minorHAnsi" w:eastAsiaTheme="minorEastAsia" w:hAnsiTheme="minorHAnsi" w:cstheme="minorBidi"/>
              <w:color w:val="auto"/>
              <w:kern w:val="2"/>
              <w14:ligatures w14:val="standardContextual"/>
            </w:rPr>
          </w:pPr>
          <w:hyperlink w:anchor="_Toc210295821" w:history="1">
            <w:r w:rsidRPr="006C51B0">
              <w:rPr>
                <w:rStyle w:val="Hyperlink"/>
              </w:rPr>
              <w:t>Search terms</w:t>
            </w:r>
            <w:r>
              <w:rPr>
                <w:webHidden/>
              </w:rPr>
              <w:tab/>
            </w:r>
            <w:r>
              <w:rPr>
                <w:webHidden/>
              </w:rPr>
              <w:fldChar w:fldCharType="begin"/>
            </w:r>
            <w:r>
              <w:rPr>
                <w:webHidden/>
              </w:rPr>
              <w:instrText xml:space="preserve"> PAGEREF _Toc210295821 \h </w:instrText>
            </w:r>
            <w:r>
              <w:rPr>
                <w:webHidden/>
              </w:rPr>
            </w:r>
            <w:r>
              <w:rPr>
                <w:webHidden/>
              </w:rPr>
              <w:fldChar w:fldCharType="separate"/>
            </w:r>
            <w:r>
              <w:rPr>
                <w:webHidden/>
              </w:rPr>
              <w:t>14</w:t>
            </w:r>
            <w:r>
              <w:rPr>
                <w:webHidden/>
              </w:rPr>
              <w:fldChar w:fldCharType="end"/>
            </w:r>
          </w:hyperlink>
        </w:p>
        <w:p w14:paraId="0C21C989" w14:textId="578F726F" w:rsidR="00481A6C" w:rsidRPr="00F642EF" w:rsidRDefault="00A621FE" w:rsidP="001429A1">
          <w:pPr>
            <w:pStyle w:val="TOCHeading2"/>
          </w:pPr>
          <w:r w:rsidRPr="00F642EF">
            <w:rPr>
              <w:rFonts w:eastAsia="Calibri" w:cs="Times New Roman"/>
              <w:b w:val="0"/>
              <w:color w:val="000000" w:themeColor="text1"/>
              <w:sz w:val="24"/>
              <w:szCs w:val="24"/>
              <w:lang w:eastAsia="en-AU"/>
            </w:rPr>
            <w:fldChar w:fldCharType="end"/>
          </w:r>
        </w:p>
      </w:sdtContent>
    </w:sdt>
    <w:p w14:paraId="073D5681" w14:textId="77777777" w:rsidR="00FE46F1" w:rsidRPr="00F642EF" w:rsidRDefault="00FE46F1" w:rsidP="001429A1">
      <w:pPr>
        <w:spacing w:before="0" w:after="0" w:line="240" w:lineRule="auto"/>
        <w:rPr>
          <w:rFonts w:eastAsia="Times New Roman"/>
          <w:b/>
          <w:color w:val="FFFFFF" w:themeColor="background1"/>
          <w:szCs w:val="80"/>
          <w:lang w:eastAsia="en-US"/>
        </w:rPr>
      </w:pPr>
    </w:p>
    <w:p w14:paraId="572C3C26" w14:textId="77777777" w:rsidR="00201AF6" w:rsidRPr="00F642EF" w:rsidRDefault="00201AF6" w:rsidP="001429A1">
      <w:pPr>
        <w:spacing w:before="0" w:after="0" w:line="240" w:lineRule="auto"/>
        <w:rPr>
          <w:rFonts w:eastAsia="Times New Roman"/>
          <w:b/>
          <w:bCs/>
          <w:iCs/>
          <w:color w:val="FFFFFF" w:themeColor="background1"/>
          <w:lang w:eastAsia="en-US"/>
        </w:rPr>
      </w:pPr>
      <w:r w:rsidRPr="00F642EF">
        <w:br w:type="page"/>
      </w:r>
    </w:p>
    <w:p w14:paraId="570C5ADD" w14:textId="292E5557" w:rsidR="0078367D" w:rsidRPr="00F642EF" w:rsidRDefault="003254E1" w:rsidP="001429A1">
      <w:pPr>
        <w:pStyle w:val="Heading4"/>
      </w:pPr>
      <w:bookmarkStart w:id="1" w:name="_Toc210295810"/>
      <w:r w:rsidRPr="00F642EF">
        <w:lastRenderedPageBreak/>
        <w:t>Purpose</w:t>
      </w:r>
      <w:bookmarkEnd w:id="1"/>
      <w:r w:rsidR="009746B1" w:rsidRPr="00F642EF">
        <w:t xml:space="preserve"> </w:t>
      </w:r>
    </w:p>
    <w:p w14:paraId="4DB577B0" w14:textId="65A5AE4A" w:rsidR="00983C01" w:rsidRPr="00F642EF" w:rsidRDefault="00983C01" w:rsidP="003A60F9">
      <w:pPr>
        <w:pStyle w:val="BodyCopy"/>
      </w:pPr>
      <w:r w:rsidRPr="00F642EF">
        <w:t xml:space="preserve">The purpose of this </w:t>
      </w:r>
      <w:r w:rsidR="00EB6D77">
        <w:t>p</w:t>
      </w:r>
      <w:r w:rsidRPr="00F642EF">
        <w:t xml:space="preserve">rocedure is to ensure consistent best practice for </w:t>
      </w:r>
      <w:r w:rsidR="007D5C63" w:rsidRPr="00F642EF">
        <w:t xml:space="preserve">the </w:t>
      </w:r>
      <w:r w:rsidRPr="00F642EF">
        <w:t>administration of medications</w:t>
      </w:r>
      <w:r w:rsidRPr="00F642EF">
        <w:rPr>
          <w:spacing w:val="-2"/>
        </w:rPr>
        <w:t xml:space="preserve"> </w:t>
      </w:r>
      <w:r w:rsidRPr="00F642EF">
        <w:t>by</w:t>
      </w:r>
      <w:r w:rsidRPr="00F642EF">
        <w:rPr>
          <w:spacing w:val="-4"/>
        </w:rPr>
        <w:t xml:space="preserve"> </w:t>
      </w:r>
      <w:r w:rsidRPr="00F642EF">
        <w:t>intramuscular injection (IMI) for</w:t>
      </w:r>
      <w:r w:rsidRPr="00F642EF">
        <w:rPr>
          <w:spacing w:val="-2"/>
        </w:rPr>
        <w:t xml:space="preserve"> </w:t>
      </w:r>
      <w:r w:rsidRPr="00F642EF">
        <w:t>Mental</w:t>
      </w:r>
      <w:r w:rsidRPr="00F642EF">
        <w:rPr>
          <w:spacing w:val="-5"/>
        </w:rPr>
        <w:t xml:space="preserve"> </w:t>
      </w:r>
      <w:r w:rsidRPr="00F642EF">
        <w:t>Health, Justice Health,</w:t>
      </w:r>
      <w:r w:rsidR="001874ED">
        <w:t xml:space="preserve"> and</w:t>
      </w:r>
      <w:r w:rsidRPr="00F642EF">
        <w:t xml:space="preserve"> Alcohol and Drug Service</w:t>
      </w:r>
      <w:r w:rsidR="001874ED">
        <w:t>s</w:t>
      </w:r>
      <w:r w:rsidRPr="00F642EF">
        <w:t xml:space="preserve"> (MHJHADS)</w:t>
      </w:r>
      <w:r w:rsidR="00E37F17">
        <w:t xml:space="preserve">, including </w:t>
      </w:r>
      <w:r w:rsidR="000C7B42" w:rsidRPr="00F642EF">
        <w:t xml:space="preserve">North Canberra Hospital (NCH) mental </w:t>
      </w:r>
      <w:r w:rsidR="00C405B2" w:rsidRPr="00F642EF">
        <w:t xml:space="preserve">health </w:t>
      </w:r>
      <w:r w:rsidR="00C405B2" w:rsidRPr="00F642EF">
        <w:rPr>
          <w:spacing w:val="-1"/>
        </w:rPr>
        <w:t>services</w:t>
      </w:r>
      <w:r w:rsidRPr="00F642EF">
        <w:t>.</w:t>
      </w:r>
      <w:r w:rsidRPr="00F642EF">
        <w:rPr>
          <w:spacing w:val="-1"/>
        </w:rPr>
        <w:t xml:space="preserve"> </w:t>
      </w:r>
      <w:r w:rsidR="00EB6D77">
        <w:rPr>
          <w:spacing w:val="-1"/>
        </w:rPr>
        <w:t>It addresses</w:t>
      </w:r>
      <w:r w:rsidRPr="00F642EF">
        <w:rPr>
          <w:spacing w:val="-5"/>
        </w:rPr>
        <w:t xml:space="preserve"> </w:t>
      </w:r>
      <w:r w:rsidRPr="00F642EF">
        <w:t>appropriate</w:t>
      </w:r>
      <w:r w:rsidRPr="00F642EF">
        <w:rPr>
          <w:spacing w:val="-3"/>
        </w:rPr>
        <w:t xml:space="preserve"> </w:t>
      </w:r>
      <w:r w:rsidRPr="00F642EF">
        <w:t>circumstances</w:t>
      </w:r>
      <w:r w:rsidRPr="00F642EF">
        <w:rPr>
          <w:spacing w:val="-4"/>
        </w:rPr>
        <w:t xml:space="preserve"> </w:t>
      </w:r>
      <w:r w:rsidRPr="00F642EF">
        <w:t>in</w:t>
      </w:r>
      <w:r w:rsidRPr="00F642EF">
        <w:rPr>
          <w:spacing w:val="-3"/>
        </w:rPr>
        <w:t xml:space="preserve"> </w:t>
      </w:r>
      <w:r w:rsidRPr="00F642EF">
        <w:t>which</w:t>
      </w:r>
      <w:r w:rsidRPr="00F642EF">
        <w:rPr>
          <w:spacing w:val="-3"/>
        </w:rPr>
        <w:t xml:space="preserve"> </w:t>
      </w:r>
      <w:r w:rsidRPr="00F642EF">
        <w:t>to</w:t>
      </w:r>
      <w:r w:rsidRPr="00F642EF">
        <w:rPr>
          <w:spacing w:val="-3"/>
        </w:rPr>
        <w:t xml:space="preserve"> </w:t>
      </w:r>
      <w:r w:rsidRPr="00F642EF">
        <w:t xml:space="preserve">utilise </w:t>
      </w:r>
      <w:r w:rsidR="00130D81">
        <w:t>IMIs</w:t>
      </w:r>
      <w:r w:rsidRPr="00F642EF">
        <w:t>,</w:t>
      </w:r>
      <w:r w:rsidRPr="00F642EF">
        <w:rPr>
          <w:spacing w:val="-3"/>
        </w:rPr>
        <w:t xml:space="preserve"> </w:t>
      </w:r>
      <w:r w:rsidRPr="00F642EF">
        <w:t>injection</w:t>
      </w:r>
      <w:r w:rsidRPr="00F642EF">
        <w:rPr>
          <w:spacing w:val="-3"/>
        </w:rPr>
        <w:t xml:space="preserve"> </w:t>
      </w:r>
      <w:r w:rsidRPr="00F642EF">
        <w:t>sites,</w:t>
      </w:r>
      <w:r w:rsidRPr="00F642EF">
        <w:rPr>
          <w:spacing w:val="-3"/>
        </w:rPr>
        <w:t xml:space="preserve"> </w:t>
      </w:r>
      <w:r w:rsidRPr="00F642EF">
        <w:t>needle selection</w:t>
      </w:r>
      <w:r w:rsidR="000767A0" w:rsidRPr="00F642EF">
        <w:t xml:space="preserve"> </w:t>
      </w:r>
      <w:r w:rsidRPr="00F642EF">
        <w:t>and injection techniques.</w:t>
      </w:r>
    </w:p>
    <w:p w14:paraId="1F998AF5" w14:textId="16796761" w:rsidR="00862571" w:rsidRPr="00F642EF" w:rsidRDefault="00862571" w:rsidP="003A60F9">
      <w:pPr>
        <w:pStyle w:val="BodyCopy"/>
      </w:pPr>
      <w:r w:rsidRPr="00F642EF">
        <w:t>This procedure supports the implementation of the following National Safety and Quality Health Service (NSQHS) Standards:</w:t>
      </w:r>
    </w:p>
    <w:p w14:paraId="21B60219" w14:textId="6A27973A" w:rsidR="00862571" w:rsidRPr="00F642EF" w:rsidRDefault="00862571" w:rsidP="003A60F9">
      <w:pPr>
        <w:pStyle w:val="Bullet"/>
      </w:pPr>
      <w:r w:rsidRPr="00F642EF">
        <w:t>Partnering with Consumers</w:t>
      </w:r>
    </w:p>
    <w:p w14:paraId="66704F5E" w14:textId="6687FB67" w:rsidR="00862571" w:rsidRPr="00F642EF" w:rsidRDefault="00862571" w:rsidP="003A60F9">
      <w:pPr>
        <w:pStyle w:val="Bullet"/>
      </w:pPr>
      <w:r w:rsidRPr="00F642EF">
        <w:t>Medication Safety</w:t>
      </w:r>
    </w:p>
    <w:p w14:paraId="6179F2FB" w14:textId="36E48828" w:rsidR="00862571" w:rsidRPr="00F642EF" w:rsidRDefault="00862571" w:rsidP="003A60F9">
      <w:pPr>
        <w:pStyle w:val="Bullet"/>
      </w:pPr>
      <w:r w:rsidRPr="00F642EF">
        <w:t>Comprehensive Care</w:t>
      </w:r>
      <w:r w:rsidR="00EB6D77">
        <w:t>.</w:t>
      </w:r>
    </w:p>
    <w:p w14:paraId="52B957E4" w14:textId="77777777" w:rsidR="00481A6C" w:rsidRPr="00F642EF" w:rsidRDefault="00481A6C" w:rsidP="001429A1">
      <w:pPr>
        <w:pStyle w:val="BodyCopy"/>
        <w:rPr>
          <w:rStyle w:val="Hyperlink"/>
          <w:iCs w:val="0"/>
        </w:rPr>
      </w:pPr>
      <w:hyperlink w:anchor="_top" w:history="1">
        <w:r w:rsidRPr="00F642EF">
          <w:rPr>
            <w:rStyle w:val="Hyperlink"/>
            <w:iCs w:val="0"/>
          </w:rPr>
          <w:t>Back to Contents</w:t>
        </w:r>
      </w:hyperlink>
    </w:p>
    <w:p w14:paraId="2B6DA4D7" w14:textId="718CB35C" w:rsidR="0078367D" w:rsidRPr="00F642EF" w:rsidRDefault="003254E1" w:rsidP="001429A1">
      <w:pPr>
        <w:pStyle w:val="Heading4"/>
      </w:pPr>
      <w:bookmarkStart w:id="2" w:name="_Toc210295811"/>
      <w:r w:rsidRPr="00F642EF">
        <w:rPr>
          <w:rStyle w:val="Hyperlink"/>
          <w:color w:val="FFFFFF" w:themeColor="background1"/>
          <w:u w:val="none"/>
        </w:rPr>
        <w:t>Alerts</w:t>
      </w:r>
      <w:bookmarkEnd w:id="2"/>
      <w:r w:rsidRPr="00F642EF">
        <w:rPr>
          <w:rStyle w:val="Hyperlink"/>
          <w:color w:val="FFFFFF" w:themeColor="background1"/>
          <w:u w:val="none"/>
        </w:rPr>
        <w:t xml:space="preserve"> </w:t>
      </w:r>
    </w:p>
    <w:p w14:paraId="17C258C8" w14:textId="77777777" w:rsidR="003A60F9" w:rsidRDefault="00304C64" w:rsidP="003A60F9">
      <w:pPr>
        <w:pStyle w:val="BodyCopy"/>
      </w:pPr>
      <w:r w:rsidRPr="00F642EF">
        <w:t>Nurses</w:t>
      </w:r>
      <w:r w:rsidR="0086357B" w:rsidRPr="00F642EF">
        <w:t>/</w:t>
      </w:r>
      <w:r w:rsidR="007D5C63" w:rsidRPr="00F642EF">
        <w:t xml:space="preserve">Medical Officers </w:t>
      </w:r>
      <w:r w:rsidR="00083500" w:rsidRPr="00F642EF">
        <w:t>(MO)</w:t>
      </w:r>
      <w:r w:rsidR="00A1772A">
        <w:t>/Nurse Practitioners (NP)</w:t>
      </w:r>
      <w:r w:rsidR="00083500" w:rsidRPr="00F642EF">
        <w:t xml:space="preserve"> </w:t>
      </w:r>
      <w:r w:rsidR="00A057D4">
        <w:t>should</w:t>
      </w:r>
      <w:r w:rsidR="00A057D4" w:rsidRPr="00F642EF">
        <w:t xml:space="preserve"> </w:t>
      </w:r>
      <w:r w:rsidRPr="00F642EF">
        <w:t>use the recommended needle sizes</w:t>
      </w:r>
      <w:r w:rsidR="00640A7E" w:rsidRPr="00F642EF">
        <w:t>, medication preparation processes</w:t>
      </w:r>
      <w:r w:rsidRPr="00F642EF">
        <w:t xml:space="preserve"> </w:t>
      </w:r>
      <w:r w:rsidR="002341F1" w:rsidRPr="00F642EF">
        <w:t>and administration site</w:t>
      </w:r>
      <w:r w:rsidR="00640A7E" w:rsidRPr="00F642EF">
        <w:t>s</w:t>
      </w:r>
      <w:r w:rsidR="002341F1" w:rsidRPr="00F642EF">
        <w:t xml:space="preserve"> outlined in the drug manufacturer </w:t>
      </w:r>
      <w:r w:rsidR="000767A0" w:rsidRPr="00F642EF">
        <w:t>guidelines</w:t>
      </w:r>
      <w:r w:rsidR="006E3B0A" w:rsidRPr="00F642EF">
        <w:t>. For some medications, needles are</w:t>
      </w:r>
      <w:r w:rsidR="00C605FA" w:rsidRPr="00F642EF">
        <w:t xml:space="preserve"> included </w:t>
      </w:r>
      <w:r w:rsidR="00056235" w:rsidRPr="00F642EF">
        <w:t>with</w:t>
      </w:r>
      <w:r w:rsidR="00C605FA" w:rsidRPr="00F642EF">
        <w:t xml:space="preserve"> the medication packaging</w:t>
      </w:r>
      <w:r w:rsidR="000767A0" w:rsidRPr="00F642EF">
        <w:t xml:space="preserve">. </w:t>
      </w:r>
    </w:p>
    <w:p w14:paraId="1880DEFF" w14:textId="65CB4765" w:rsidR="007A0A64" w:rsidRDefault="00A52C28" w:rsidP="003A60F9">
      <w:pPr>
        <w:pStyle w:val="BodyCopy"/>
      </w:pPr>
      <w:r>
        <w:t>P</w:t>
      </w:r>
      <w:r w:rsidR="007A0A64" w:rsidRPr="003A60F9">
        <w:t xml:space="preserve">rone restraint </w:t>
      </w:r>
      <w:r>
        <w:t xml:space="preserve">poses a risk of sudden death, particularly if parenteral medication is administered in this position. It </w:t>
      </w:r>
      <w:r w:rsidR="007A0A64" w:rsidRPr="003A60F9">
        <w:t xml:space="preserve">should be a last resort and limited to no longer than </w:t>
      </w:r>
      <w:r w:rsidR="007A0A64">
        <w:t>three</w:t>
      </w:r>
      <w:r w:rsidR="007A0A64" w:rsidRPr="003A60F9">
        <w:t xml:space="preserve"> minutes</w:t>
      </w:r>
      <w:r>
        <w:t xml:space="preserve">. </w:t>
      </w:r>
    </w:p>
    <w:p w14:paraId="4C4B82C3" w14:textId="7FA27DD5" w:rsidR="00481A6C" w:rsidRPr="003A60F9" w:rsidRDefault="00481A6C" w:rsidP="003A60F9">
      <w:pPr>
        <w:pStyle w:val="BodyCopy"/>
        <w:rPr>
          <w:rStyle w:val="Hyperlink"/>
          <w:color w:val="000000" w:themeColor="text1"/>
          <w:u w:val="none"/>
        </w:rPr>
      </w:pPr>
      <w:hyperlink w:anchor="_top" w:history="1">
        <w:r w:rsidRPr="00F642EF">
          <w:rPr>
            <w:rStyle w:val="Hyperlink"/>
            <w:iCs w:val="0"/>
          </w:rPr>
          <w:t>Back to Contents</w:t>
        </w:r>
      </w:hyperlink>
    </w:p>
    <w:p w14:paraId="07E462DD" w14:textId="77777777" w:rsidR="003254E1" w:rsidRPr="00F642EF" w:rsidRDefault="003254E1" w:rsidP="001429A1">
      <w:pPr>
        <w:pStyle w:val="Heading4"/>
      </w:pPr>
      <w:bookmarkStart w:id="3" w:name="_Toc210295812"/>
      <w:r w:rsidRPr="00F642EF">
        <w:t>Scope</w:t>
      </w:r>
      <w:bookmarkEnd w:id="3"/>
    </w:p>
    <w:p w14:paraId="47D51E03" w14:textId="159A0FE9" w:rsidR="005978BA" w:rsidRPr="003A60F9" w:rsidRDefault="003254E1" w:rsidP="003A60F9">
      <w:pPr>
        <w:pStyle w:val="BodyCopy"/>
      </w:pPr>
      <w:r w:rsidRPr="003A60F9">
        <w:t xml:space="preserve">This document </w:t>
      </w:r>
      <w:r w:rsidR="00B900AC" w:rsidRPr="003A60F9">
        <w:t>applies</w:t>
      </w:r>
      <w:r w:rsidRPr="003A60F9">
        <w:t xml:space="preserve"> </w:t>
      </w:r>
      <w:r w:rsidR="007D5C63" w:rsidRPr="003A60F9">
        <w:t xml:space="preserve">to all </w:t>
      </w:r>
      <w:r w:rsidR="00B900AC" w:rsidRPr="003A60F9">
        <w:t>MHJHADS</w:t>
      </w:r>
      <w:r w:rsidR="007345F7" w:rsidRPr="003A60F9">
        <w:t>,</w:t>
      </w:r>
      <w:r w:rsidR="000C7B42" w:rsidRPr="003A60F9">
        <w:t xml:space="preserve"> </w:t>
      </w:r>
      <w:r w:rsidR="007345F7" w:rsidRPr="003A60F9">
        <w:t xml:space="preserve">including </w:t>
      </w:r>
      <w:r w:rsidR="005273F3" w:rsidRPr="003A60F9">
        <w:t>NCH</w:t>
      </w:r>
      <w:r w:rsidR="007345F7" w:rsidRPr="003A60F9">
        <w:t>,</w:t>
      </w:r>
      <w:r w:rsidR="005273F3" w:rsidRPr="003A60F9">
        <w:t xml:space="preserve"> </w:t>
      </w:r>
      <w:r w:rsidR="004D4356" w:rsidRPr="003A60F9">
        <w:t xml:space="preserve">inpatient and outpatient </w:t>
      </w:r>
      <w:r w:rsidR="00C405B2" w:rsidRPr="003A60F9">
        <w:t xml:space="preserve">mental health </w:t>
      </w:r>
      <w:r w:rsidR="00B900AC" w:rsidRPr="003A60F9">
        <w:t>consumers</w:t>
      </w:r>
      <w:r w:rsidR="004D4356" w:rsidRPr="003A60F9">
        <w:t xml:space="preserve"> aged over 12 years</w:t>
      </w:r>
      <w:r w:rsidR="00B900AC" w:rsidRPr="003A60F9">
        <w:t xml:space="preserve">, who receive </w:t>
      </w:r>
      <w:r w:rsidR="007A6C2C" w:rsidRPr="003A60F9">
        <w:t>intramuscular (</w:t>
      </w:r>
      <w:r w:rsidR="00B900AC" w:rsidRPr="003A60F9">
        <w:t>IM</w:t>
      </w:r>
      <w:r w:rsidR="007A6C2C" w:rsidRPr="003A60F9">
        <w:t>)</w:t>
      </w:r>
      <w:r w:rsidR="00B900AC" w:rsidRPr="003A60F9">
        <w:t xml:space="preserve"> medication. </w:t>
      </w:r>
    </w:p>
    <w:p w14:paraId="5349EFF9" w14:textId="77777777" w:rsidR="003254E1" w:rsidRPr="003A60F9" w:rsidRDefault="003254E1" w:rsidP="003A60F9">
      <w:pPr>
        <w:pStyle w:val="BodyCopy"/>
      </w:pPr>
      <w:r w:rsidRPr="003A60F9">
        <w:t>This document applies to the following staff working within their scope of practice:</w:t>
      </w:r>
    </w:p>
    <w:p w14:paraId="56881665" w14:textId="35AA48A0" w:rsidR="003254E1" w:rsidRPr="003A60F9" w:rsidRDefault="003254E1" w:rsidP="003A60F9">
      <w:pPr>
        <w:pStyle w:val="Bullet"/>
      </w:pPr>
      <w:r w:rsidRPr="003A60F9">
        <w:t>Medical Officers</w:t>
      </w:r>
      <w:r w:rsidR="00933FE3" w:rsidRPr="003A60F9">
        <w:t xml:space="preserve"> (MO)</w:t>
      </w:r>
    </w:p>
    <w:p w14:paraId="0313B1D7" w14:textId="3A3E1BAD" w:rsidR="00DB7A2C" w:rsidRPr="003A60F9" w:rsidRDefault="00DB7A2C" w:rsidP="003A60F9">
      <w:pPr>
        <w:pStyle w:val="Bullet"/>
      </w:pPr>
      <w:r w:rsidRPr="003A60F9">
        <w:t>Nurse Practitioners (NP)</w:t>
      </w:r>
    </w:p>
    <w:p w14:paraId="3DD012F5" w14:textId="41C05742" w:rsidR="003254E1" w:rsidRPr="003A60F9" w:rsidRDefault="00D40CE7" w:rsidP="003A60F9">
      <w:pPr>
        <w:pStyle w:val="Bullet"/>
      </w:pPr>
      <w:r w:rsidRPr="003A60F9">
        <w:t xml:space="preserve">Registered </w:t>
      </w:r>
      <w:r w:rsidR="003254E1" w:rsidRPr="003A60F9">
        <w:t xml:space="preserve">Nurses </w:t>
      </w:r>
      <w:r w:rsidR="00933FE3" w:rsidRPr="003A60F9">
        <w:t>(RN)</w:t>
      </w:r>
    </w:p>
    <w:p w14:paraId="54F369D9" w14:textId="4B79D63D" w:rsidR="00D40CE7" w:rsidRPr="003A60F9" w:rsidRDefault="00D40CE7" w:rsidP="003A60F9">
      <w:pPr>
        <w:pStyle w:val="Bullet"/>
      </w:pPr>
      <w:r w:rsidRPr="003A60F9">
        <w:t xml:space="preserve">Enrolled Nurses </w:t>
      </w:r>
      <w:r w:rsidR="00933FE3" w:rsidRPr="003A60F9">
        <w:t xml:space="preserve">(EN) </w:t>
      </w:r>
      <w:r w:rsidRPr="003A60F9">
        <w:t>qualified to administer medications</w:t>
      </w:r>
      <w:r w:rsidR="00933FE3" w:rsidRPr="003A60F9">
        <w:t xml:space="preserve"> </w:t>
      </w:r>
    </w:p>
    <w:p w14:paraId="72741AEA" w14:textId="242DB4C0" w:rsidR="003254E1" w:rsidRPr="003A60F9" w:rsidRDefault="003254E1" w:rsidP="003A60F9">
      <w:pPr>
        <w:pStyle w:val="Bullet"/>
      </w:pPr>
      <w:r w:rsidRPr="003A60F9">
        <w:t>Student</w:t>
      </w:r>
      <w:r w:rsidR="0032315A" w:rsidRPr="003A60F9">
        <w:t xml:space="preserve"> nurses</w:t>
      </w:r>
      <w:r w:rsidRPr="003A60F9">
        <w:t xml:space="preserve"> </w:t>
      </w:r>
      <w:r w:rsidR="00405BDF" w:rsidRPr="003A60F9">
        <w:t xml:space="preserve">(within their scope of practice) </w:t>
      </w:r>
      <w:r w:rsidRPr="003A60F9">
        <w:t>under direct supervision.</w:t>
      </w:r>
    </w:p>
    <w:p w14:paraId="4E65B7FE" w14:textId="34D4030C" w:rsidR="00DE0FD7" w:rsidRPr="003A60F9" w:rsidRDefault="00DE0FD7" w:rsidP="003A60F9">
      <w:pPr>
        <w:pStyle w:val="Bullet"/>
      </w:pPr>
      <w:r w:rsidRPr="003A60F9">
        <w:t>Medical Students (within their scope of practice)</w:t>
      </w:r>
      <w:r w:rsidR="007A0A64">
        <w:t>.</w:t>
      </w:r>
    </w:p>
    <w:p w14:paraId="6B398202" w14:textId="77777777" w:rsidR="003254E1" w:rsidRPr="00F642EF" w:rsidRDefault="003254E1" w:rsidP="001429A1">
      <w:pPr>
        <w:pStyle w:val="BodyCopy"/>
        <w:spacing w:before="240"/>
      </w:pPr>
      <w:hyperlink w:anchor="_top" w:history="1">
        <w:r w:rsidRPr="00F642EF">
          <w:rPr>
            <w:rStyle w:val="Hyperlink"/>
            <w:iCs w:val="0"/>
          </w:rPr>
          <w:t>Back to Contents</w:t>
        </w:r>
      </w:hyperlink>
    </w:p>
    <w:p w14:paraId="183D8270" w14:textId="36CE1B18" w:rsidR="0078367D" w:rsidRPr="00F642EF" w:rsidRDefault="0078367D" w:rsidP="001429A1">
      <w:pPr>
        <w:pStyle w:val="Heading4"/>
      </w:pPr>
      <w:bookmarkStart w:id="4" w:name="_Toc210295813"/>
      <w:r w:rsidRPr="00F642EF">
        <w:lastRenderedPageBreak/>
        <w:t xml:space="preserve">Section 1 - </w:t>
      </w:r>
      <w:r w:rsidR="00A30DC1" w:rsidRPr="00F642EF">
        <w:t>Background</w:t>
      </w:r>
      <w:bookmarkEnd w:id="4"/>
    </w:p>
    <w:p w14:paraId="7156F754" w14:textId="201C3C4E" w:rsidR="00F2788E" w:rsidRPr="003A60F9" w:rsidRDefault="00F2788E" w:rsidP="003A60F9">
      <w:pPr>
        <w:pStyle w:val="BodyCopy"/>
      </w:pPr>
      <w:r w:rsidRPr="003A60F9">
        <w:t xml:space="preserve">Intramuscular </w:t>
      </w:r>
      <w:r w:rsidR="007A0A64">
        <w:t>i</w:t>
      </w:r>
      <w:r w:rsidRPr="003A60F9">
        <w:t>njections (IMIs) involve administering prescribed medication into muscle tissue using a needle and syringe. This technique is essential in mental health settings, particularly for Long Acting Injectable (LAI) antipsychotics, often referred to as ‘depot</w:t>
      </w:r>
      <w:r w:rsidR="001874ED" w:rsidRPr="003A60F9">
        <w:t xml:space="preserve"> </w:t>
      </w:r>
      <w:proofErr w:type="gramStart"/>
      <w:r w:rsidR="001874ED" w:rsidRPr="003A60F9">
        <w:t>injections</w:t>
      </w:r>
      <w:r w:rsidRPr="003A60F9">
        <w:t>’</w:t>
      </w:r>
      <w:proofErr w:type="gramEnd"/>
      <w:r w:rsidRPr="003A60F9">
        <w:t xml:space="preserve">. </w:t>
      </w:r>
    </w:p>
    <w:p w14:paraId="305B4342" w14:textId="77777777" w:rsidR="00F2788E" w:rsidRPr="003A60F9" w:rsidRDefault="00F2788E" w:rsidP="003A60F9">
      <w:pPr>
        <w:pStyle w:val="BodyCopy"/>
      </w:pPr>
      <w:r w:rsidRPr="003A60F9">
        <w:t xml:space="preserve">Evidence-based technique is critical to avoid complications. The </w:t>
      </w:r>
      <w:proofErr w:type="spellStart"/>
      <w:r w:rsidRPr="003A60F9">
        <w:t>dorsogluteal</w:t>
      </w:r>
      <w:proofErr w:type="spellEnd"/>
      <w:r w:rsidRPr="003A60F9">
        <w:t xml:space="preserve"> site poses risks due to proximity to the sciatic nerve, blood vessels, and thick subcutaneous fat, which can lead to poor absorption and ineffective treatment.</w:t>
      </w:r>
    </w:p>
    <w:p w14:paraId="449EA70C" w14:textId="5F4B4717" w:rsidR="00F2788E" w:rsidRPr="003A60F9" w:rsidRDefault="00F2788E" w:rsidP="003A60F9">
      <w:pPr>
        <w:pStyle w:val="BodyCopy"/>
      </w:pPr>
      <w:r w:rsidRPr="003A60F9">
        <w:t>Using the ventrogluteal site reduces risks such as pain, nerve damage, and abscesses, and ensures proper medication delivery into muscle tissue for optimal therapeutic effect. In acute behavioural situations requiring restraint, the ventrogluteal or vastus lateralis sites can be safer alternatives, as they avoid the need for prone positioning.</w:t>
      </w:r>
    </w:p>
    <w:p w14:paraId="3CF7047B" w14:textId="77777777" w:rsidR="00481A6C" w:rsidRPr="00F642EF" w:rsidRDefault="00481A6C" w:rsidP="001429A1">
      <w:pPr>
        <w:pStyle w:val="BodyCopy"/>
        <w:spacing w:before="240"/>
      </w:pPr>
      <w:hyperlink w:anchor="_top" w:history="1">
        <w:r w:rsidRPr="00F642EF">
          <w:rPr>
            <w:rStyle w:val="Hyperlink"/>
            <w:iCs w:val="0"/>
          </w:rPr>
          <w:t>Back to Contents</w:t>
        </w:r>
      </w:hyperlink>
    </w:p>
    <w:p w14:paraId="6B73C4C3" w14:textId="4E81030E" w:rsidR="0078367D" w:rsidRPr="00F642EF" w:rsidRDefault="0078367D" w:rsidP="001429A1">
      <w:pPr>
        <w:pStyle w:val="Heading4"/>
      </w:pPr>
      <w:bookmarkStart w:id="5" w:name="_Toc210295814"/>
      <w:r w:rsidRPr="00F642EF">
        <w:t xml:space="preserve">Section 2 </w:t>
      </w:r>
      <w:r w:rsidR="00ED363D" w:rsidRPr="00F642EF">
        <w:t>–</w:t>
      </w:r>
      <w:r w:rsidRPr="00F642EF">
        <w:t xml:space="preserve"> </w:t>
      </w:r>
      <w:r w:rsidR="00F66A3F" w:rsidRPr="00F642EF">
        <w:t>Guiding Principles</w:t>
      </w:r>
      <w:bookmarkEnd w:id="5"/>
    </w:p>
    <w:p w14:paraId="725D764F" w14:textId="414FBFAF" w:rsidR="00CC1DB0" w:rsidRPr="003A60F9" w:rsidRDefault="00CC1DB0" w:rsidP="003A60F9">
      <w:pPr>
        <w:pStyle w:val="BodyCopy"/>
      </w:pPr>
      <w:r w:rsidRPr="003A60F9">
        <w:t xml:space="preserve">Decisions regarding the preferred site for </w:t>
      </w:r>
      <w:r w:rsidR="009D1013" w:rsidRPr="003A60F9">
        <w:t>IMIs</w:t>
      </w:r>
      <w:r w:rsidRPr="003A60F9">
        <w:t xml:space="preserve"> may be based on clinical judgement of the nurse</w:t>
      </w:r>
      <w:r w:rsidR="001B42EA" w:rsidRPr="003A60F9">
        <w:t>/MO</w:t>
      </w:r>
      <w:r w:rsidR="00A1772A" w:rsidRPr="003A60F9">
        <w:t>/NP</w:t>
      </w:r>
      <w:r w:rsidRPr="003A60F9">
        <w:t xml:space="preserve">, </w:t>
      </w:r>
      <w:r w:rsidR="00A52C28">
        <w:t>in alignment with this procedure</w:t>
      </w:r>
      <w:r w:rsidRPr="003A60F9">
        <w:t xml:space="preserve">. </w:t>
      </w:r>
      <w:r w:rsidR="007A0A64">
        <w:t>The c</w:t>
      </w:r>
      <w:r w:rsidRPr="003A60F9">
        <w:t>onsumer’s body make up and body mass index</w:t>
      </w:r>
      <w:r w:rsidR="00142BE6">
        <w:t xml:space="preserve"> (BMI)</w:t>
      </w:r>
      <w:r w:rsidRPr="003A60F9">
        <w:t xml:space="preserve">, needle length available, and types of medication must be considered during clinical care. The IMI administration site may vary for rapid </w:t>
      </w:r>
      <w:r w:rsidR="00237A20" w:rsidRPr="003A60F9">
        <w:t xml:space="preserve">tranquilisation </w:t>
      </w:r>
      <w:r w:rsidRPr="003A60F9">
        <w:t>and depot medications</w:t>
      </w:r>
      <w:r w:rsidR="005D6D27" w:rsidRPr="003A60F9">
        <w:t>.</w:t>
      </w:r>
    </w:p>
    <w:p w14:paraId="42360D67" w14:textId="1622A447" w:rsidR="001B42EA" w:rsidRPr="003A60F9" w:rsidRDefault="00083500" w:rsidP="003A60F9">
      <w:pPr>
        <w:pStyle w:val="BodyCopy"/>
      </w:pPr>
      <w:r w:rsidRPr="003A60F9">
        <w:t>S</w:t>
      </w:r>
      <w:r w:rsidR="001B42EA" w:rsidRPr="003A60F9">
        <w:t xml:space="preserve">taff must </w:t>
      </w:r>
      <w:r w:rsidR="00A63103" w:rsidRPr="003A60F9">
        <w:t>always adhere</w:t>
      </w:r>
      <w:r w:rsidR="001B42EA" w:rsidRPr="003A60F9">
        <w:t xml:space="preserve"> </w:t>
      </w:r>
      <w:r w:rsidR="00A63103" w:rsidRPr="003A60F9">
        <w:t>to the</w:t>
      </w:r>
      <w:r w:rsidR="001B42EA" w:rsidRPr="003A60F9">
        <w:t xml:space="preserve"> </w:t>
      </w:r>
      <w:r w:rsidR="001B42EA" w:rsidRPr="00F8501F">
        <w:rPr>
          <w:i/>
          <w:iCs w:val="0"/>
        </w:rPr>
        <w:t>Medication Handling Policy</w:t>
      </w:r>
      <w:r w:rsidR="00C25042" w:rsidRPr="00F8501F">
        <w:t xml:space="preserve"> </w:t>
      </w:r>
      <w:r w:rsidR="00A52C28" w:rsidRPr="00F8501F">
        <w:t xml:space="preserve">and </w:t>
      </w:r>
      <w:r w:rsidR="00A52C28" w:rsidRPr="00F8501F">
        <w:rPr>
          <w:i/>
          <w:iCs w:val="0"/>
        </w:rPr>
        <w:t>Medication Handling – North Canberra Hospital (NCH) Procedure</w:t>
      </w:r>
      <w:r w:rsidR="00A52C28">
        <w:rPr>
          <w:i/>
          <w:iCs w:val="0"/>
        </w:rPr>
        <w:t xml:space="preserve"> </w:t>
      </w:r>
      <w:r w:rsidR="00C25042" w:rsidRPr="003A60F9">
        <w:t>located on the CHS Policy and Guidance Documents Register</w:t>
      </w:r>
      <w:r w:rsidR="00A63103" w:rsidRPr="003A60F9">
        <w:t xml:space="preserve">. </w:t>
      </w:r>
      <w:r w:rsidRPr="003A60F9">
        <w:t>For further medication related information,</w:t>
      </w:r>
      <w:r w:rsidR="00C25042" w:rsidRPr="003A60F9">
        <w:t xml:space="preserve"> such as consumer information, potential side-effects and contraindications,</w:t>
      </w:r>
      <w:r w:rsidRPr="003A60F9">
        <w:t xml:space="preserve"> staff can </w:t>
      </w:r>
      <w:r w:rsidR="00C25042" w:rsidRPr="003A60F9">
        <w:t>refer</w:t>
      </w:r>
      <w:r w:rsidRPr="003A60F9">
        <w:t xml:space="preserve"> to </w:t>
      </w:r>
      <w:r w:rsidR="005F55BB" w:rsidRPr="003A60F9">
        <w:t>The Australian Injectable Drugs Handbook</w:t>
      </w:r>
      <w:r w:rsidR="00281D4B">
        <w:t>, Australian Medicines Handbook (AMH) Online,</w:t>
      </w:r>
      <w:r w:rsidRPr="003A60F9">
        <w:t xml:space="preserve"> and </w:t>
      </w:r>
      <w:r w:rsidR="00F21B5F" w:rsidRPr="003A60F9">
        <w:t>MIMS (</w:t>
      </w:r>
      <w:proofErr w:type="spellStart"/>
      <w:r w:rsidRPr="003A60F9">
        <w:t>eMIMs</w:t>
      </w:r>
      <w:proofErr w:type="spellEnd"/>
      <w:r w:rsidR="00F21B5F" w:rsidRPr="003A60F9">
        <w:t xml:space="preserve"> Elite)</w:t>
      </w:r>
      <w:r w:rsidRPr="003A60F9">
        <w:t xml:space="preserve"> available through Clinical Apps </w:t>
      </w:r>
      <w:r w:rsidR="00C25042" w:rsidRPr="003A60F9">
        <w:t>on</w:t>
      </w:r>
      <w:r w:rsidRPr="003A60F9">
        <w:t xml:space="preserve"> the CHS intranet. </w:t>
      </w:r>
    </w:p>
    <w:p w14:paraId="78703D43" w14:textId="6FEB5938" w:rsidR="009756EC" w:rsidRDefault="009756EC" w:rsidP="007F0E36">
      <w:pPr>
        <w:pStyle w:val="Heading5"/>
      </w:pPr>
      <w:r>
        <w:t>Use of IMIs During Rapid Tranquilisation and Restraint</w:t>
      </w:r>
    </w:p>
    <w:p w14:paraId="04EB2F6D" w14:textId="08F50EB4" w:rsidR="009756EC" w:rsidRPr="003A60F9" w:rsidRDefault="007A0A64" w:rsidP="003A60F9">
      <w:pPr>
        <w:pStyle w:val="BodyCopy"/>
      </w:pPr>
      <w:r>
        <w:t xml:space="preserve">Rapid tranquilisation using IMIs may be necessary as a last resort in cases where </w:t>
      </w:r>
      <w:r w:rsidR="009756EC" w:rsidRPr="003A60F9">
        <w:t xml:space="preserve">de-escalation efforts are </w:t>
      </w:r>
      <w:r w:rsidR="007F0E36" w:rsidRPr="003A60F9">
        <w:t>unsuccessful,</w:t>
      </w:r>
      <w:r w:rsidR="009756EC" w:rsidRPr="003A60F9">
        <w:t xml:space="preserve"> and a consumer poses a risk of harm to themselves or others</w:t>
      </w:r>
      <w:r>
        <w:t xml:space="preserve">. This is </w:t>
      </w:r>
      <w:r w:rsidR="009756EC" w:rsidRPr="003A60F9">
        <w:t>to ensure the safety of both consumers and staff.</w:t>
      </w:r>
    </w:p>
    <w:p w14:paraId="4D871448" w14:textId="4A6A2B06" w:rsidR="009756EC" w:rsidRPr="003A60F9" w:rsidRDefault="009756EC" w:rsidP="003A60F9">
      <w:pPr>
        <w:pStyle w:val="BodyCopy"/>
      </w:pPr>
      <w:r w:rsidRPr="003A60F9">
        <w:t>Whenever possible, IMIs should be administered</w:t>
      </w:r>
      <w:r w:rsidR="00E37F17" w:rsidRPr="003A60F9">
        <w:t xml:space="preserve"> with consumer</w:t>
      </w:r>
      <w:r w:rsidR="001874ED" w:rsidRPr="003A60F9">
        <w:t xml:space="preserve"> collaboration</w:t>
      </w:r>
      <w:r w:rsidRPr="003A60F9">
        <w:t>. However, if restraint is required, great care must be taken during administration</w:t>
      </w:r>
      <w:r w:rsidR="007A0A64">
        <w:t xml:space="preserve"> </w:t>
      </w:r>
      <w:r w:rsidRPr="003A60F9">
        <w:t>to minimise the risk of damage to nerves and blood vessels.</w:t>
      </w:r>
      <w:r w:rsidR="007A0A64">
        <w:t xml:space="preserve"> This is regardless of injection site. </w:t>
      </w:r>
    </w:p>
    <w:p w14:paraId="5221E406" w14:textId="016A52FA" w:rsidR="009756EC" w:rsidRPr="003A60F9" w:rsidRDefault="009756EC" w:rsidP="003A60F9">
      <w:pPr>
        <w:pStyle w:val="BodyCopy"/>
      </w:pPr>
      <w:r w:rsidRPr="003A60F9">
        <w:t xml:space="preserve">The use of prone restraint should be a last resort and limited to no longer than </w:t>
      </w:r>
      <w:r w:rsidR="007A0A64">
        <w:t>three</w:t>
      </w:r>
      <w:r w:rsidR="007A0A64" w:rsidRPr="003A60F9">
        <w:t xml:space="preserve"> </w:t>
      </w:r>
      <w:r w:rsidRPr="003A60F9">
        <w:t xml:space="preserve">minutes due to the risk of sudden death, particularly when parenteral medication is administered in this position. Prone restraint can compress the chest and torso, </w:t>
      </w:r>
      <w:r w:rsidR="007B1B59" w:rsidRPr="003A60F9">
        <w:t>restrict</w:t>
      </w:r>
      <w:r w:rsidRPr="003A60F9">
        <w:t xml:space="preserve"> breathing and potentially lead to respiratory arrest. It may also cause circulatory issues due to pressure on </w:t>
      </w:r>
      <w:r w:rsidRPr="003A60F9">
        <w:lastRenderedPageBreak/>
        <w:t xml:space="preserve">the torso and limbs. Alternative physical restraint techniques and injection sites other than the </w:t>
      </w:r>
      <w:proofErr w:type="spellStart"/>
      <w:r w:rsidRPr="003A60F9">
        <w:t>dorsogluteal</w:t>
      </w:r>
      <w:proofErr w:type="spellEnd"/>
      <w:r w:rsidRPr="003A60F9">
        <w:t xml:space="preserve"> should be </w:t>
      </w:r>
      <w:r w:rsidR="00142BE6">
        <w:t>used</w:t>
      </w:r>
      <w:r w:rsidR="00142BE6" w:rsidRPr="003A60F9">
        <w:t xml:space="preserve"> </w:t>
      </w:r>
      <w:r w:rsidRPr="003A60F9">
        <w:t>where</w:t>
      </w:r>
      <w:r w:rsidR="00142BE6">
        <w:t>ver possible</w:t>
      </w:r>
      <w:r w:rsidRPr="003A60F9">
        <w:t>.</w:t>
      </w:r>
    </w:p>
    <w:p w14:paraId="79359A29" w14:textId="5E4D25D3" w:rsidR="009756EC" w:rsidRPr="003A60F9" w:rsidRDefault="009756EC" w:rsidP="003A60F9">
      <w:pPr>
        <w:pStyle w:val="BodyCopy"/>
      </w:pPr>
      <w:r w:rsidRPr="003A60F9">
        <w:t>If the medication is a LAI, staff should consider whether administration can be delayed until collaboration with the consumer is possible. If this is deemed clinically appropriate, guidance should be sought from the treating team.</w:t>
      </w:r>
    </w:p>
    <w:p w14:paraId="18680AE3" w14:textId="66FDF5CB" w:rsidR="009756EC" w:rsidRDefault="009756EC" w:rsidP="003A60F9">
      <w:pPr>
        <w:pStyle w:val="BodyCopy"/>
      </w:pPr>
      <w:r w:rsidRPr="003A60F9">
        <w:t xml:space="preserve">Further guidance </w:t>
      </w:r>
      <w:r w:rsidR="00974478" w:rsidRPr="003A60F9">
        <w:t>can be found in the</w:t>
      </w:r>
      <w:r w:rsidR="00C23BFA" w:rsidRPr="003A60F9">
        <w:t xml:space="preserve"> </w:t>
      </w:r>
      <w:r w:rsidR="00C23BFA" w:rsidRPr="00D61B93">
        <w:rPr>
          <w:i/>
          <w:iCs w:val="0"/>
        </w:rPr>
        <w:t>Restraint and or Forcible Giving of Medication to a person Detained under the Mental Health Act 2015</w:t>
      </w:r>
      <w:r w:rsidR="00974478" w:rsidRPr="00D61B93">
        <w:rPr>
          <w:i/>
          <w:iCs w:val="0"/>
        </w:rPr>
        <w:t xml:space="preserve"> </w:t>
      </w:r>
      <w:r w:rsidR="00142BE6">
        <w:rPr>
          <w:i/>
          <w:iCs w:val="0"/>
        </w:rPr>
        <w:t>P</w:t>
      </w:r>
      <w:r w:rsidRPr="00D61B93">
        <w:rPr>
          <w:i/>
          <w:iCs w:val="0"/>
        </w:rPr>
        <w:t>rocedure</w:t>
      </w:r>
      <w:r w:rsidR="00974478" w:rsidRPr="003A60F9">
        <w:t>,</w:t>
      </w:r>
      <w:r w:rsidRPr="003A60F9">
        <w:t xml:space="preserve"> available on the Policy and Guidance Document Register.</w:t>
      </w:r>
    </w:p>
    <w:p w14:paraId="24AC6F86" w14:textId="67F097E6" w:rsidR="003A60F9" w:rsidRDefault="003A60F9" w:rsidP="00D61B93">
      <w:pPr>
        <w:pStyle w:val="Heading5"/>
      </w:pPr>
      <w:r>
        <w:t xml:space="preserve">Z-track Administration Technique </w:t>
      </w:r>
    </w:p>
    <w:p w14:paraId="2433731E" w14:textId="0EFA1088" w:rsidR="00F85108" w:rsidRDefault="003A60F9" w:rsidP="00F85108">
      <w:r w:rsidRPr="00F642EF">
        <w:t>The Z-track technique is the preferred method for administering IMIs because it prevents leakage (tracking) of medication into the subcutaneous tissue. During the procedure, skin and tissue are pulled and held firmly while a long needle is inserted into the muscle. After the medication is injected, the skin and tissue are released. When a needle is inserted into the tissues, it leaves a very small hole, or track. Small amounts of medication can sometimes leak backwards through this track and be absorbed into other tissues. Pulling the skin and tissue before the injection causes the needle track to take the shape of the letter ’Z,’ which gives the procedure its name. This zigzag track line is what prevents medication from leaking from the muscle into surrounding tissue.</w:t>
      </w:r>
      <w:r w:rsidR="00142BE6">
        <w:t xml:space="preserve"> The technique procedure is detailed in Section 3. </w:t>
      </w:r>
    </w:p>
    <w:p w14:paraId="59C9F2EB" w14:textId="64A4E008" w:rsidR="003A60F9" w:rsidRDefault="003A60F9" w:rsidP="00D61B93">
      <w:r w:rsidRPr="006D632E">
        <w:rPr>
          <w:noProof/>
          <w:sz w:val="20"/>
          <w:szCs w:val="20"/>
        </w:rPr>
        <w:drawing>
          <wp:inline distT="0" distB="0" distL="0" distR="0" wp14:anchorId="3667AA95" wp14:editId="323A2F64">
            <wp:extent cx="3364230" cy="3982957"/>
            <wp:effectExtent l="0" t="0" r="7620" b="0"/>
            <wp:docPr id="1794352186" name="Picture 1" descr="This image provides a visual representation of the z-track technique used during intramuscular medication administration. Step by step instructions for performing this procedure are provided in Sec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52186" name="Picture 1" descr="This image provides a visual representation of the z-track technique used during intramuscular medication administration. Step by step instructions for performing this procedure are provided in Section 3."/>
                    <pic:cNvPicPr/>
                  </pic:nvPicPr>
                  <pic:blipFill rotWithShape="1">
                    <a:blip r:embed="rId11">
                      <a:extLst>
                        <a:ext uri="{28A0092B-C50C-407E-A947-70E740481C1C}">
                          <a14:useLocalDpi xmlns:a14="http://schemas.microsoft.com/office/drawing/2010/main" val="0"/>
                        </a:ext>
                      </a:extLst>
                    </a:blip>
                    <a:srcRect l="15989" t="4942" r="6613" b="2119"/>
                    <a:stretch>
                      <a:fillRect/>
                    </a:stretch>
                  </pic:blipFill>
                  <pic:spPr bwMode="auto">
                    <a:xfrm>
                      <a:off x="0" y="0"/>
                      <a:ext cx="3385093" cy="4007657"/>
                    </a:xfrm>
                    <a:prstGeom prst="rect">
                      <a:avLst/>
                    </a:prstGeom>
                    <a:ln>
                      <a:noFill/>
                    </a:ln>
                    <a:extLst>
                      <a:ext uri="{53640926-AAD7-44D8-BBD7-CCE9431645EC}">
                        <a14:shadowObscured xmlns:a14="http://schemas.microsoft.com/office/drawing/2010/main"/>
                      </a:ext>
                    </a:extLst>
                  </pic:spPr>
                </pic:pic>
              </a:graphicData>
            </a:graphic>
          </wp:inline>
        </w:drawing>
      </w:r>
    </w:p>
    <w:p w14:paraId="29ECC660" w14:textId="09C167C0" w:rsidR="00F85108" w:rsidRPr="00D61B93" w:rsidRDefault="00F85108" w:rsidP="00EB6D77">
      <w:pPr>
        <w:pStyle w:val="BodyCopy"/>
        <w:rPr>
          <w:b/>
          <w:bCs w:val="0"/>
        </w:rPr>
      </w:pPr>
      <w:r w:rsidRPr="00275A6B">
        <w:rPr>
          <w:rStyle w:val="Bold"/>
        </w:rPr>
        <w:t>Figure 1 – Z-track administration technique</w:t>
      </w:r>
      <w:r w:rsidR="004F4D42">
        <w:rPr>
          <w:rStyle w:val="Bold"/>
        </w:rPr>
        <w:t xml:space="preserve"> (Image Source – quizlet.com)</w:t>
      </w:r>
    </w:p>
    <w:p w14:paraId="1AF8A4D8" w14:textId="16A6DCE0" w:rsidR="00481A6C" w:rsidRPr="00F642EF" w:rsidRDefault="00481A6C" w:rsidP="001429A1">
      <w:pPr>
        <w:pStyle w:val="BodyCopy"/>
      </w:pPr>
      <w:hyperlink w:anchor="_top" w:history="1">
        <w:r w:rsidRPr="00F642EF">
          <w:rPr>
            <w:rStyle w:val="Hyperlink"/>
            <w:iCs w:val="0"/>
          </w:rPr>
          <w:t>Back to Contents</w:t>
        </w:r>
      </w:hyperlink>
    </w:p>
    <w:p w14:paraId="7146E2A9" w14:textId="1F501F6E" w:rsidR="009E4470" w:rsidRPr="00F642EF" w:rsidRDefault="009E4470" w:rsidP="009E4470">
      <w:pPr>
        <w:pStyle w:val="Heading4"/>
      </w:pPr>
      <w:bookmarkStart w:id="6" w:name="_Toc210295815"/>
      <w:r w:rsidRPr="00F642EF">
        <w:t>Section 3 –</w:t>
      </w:r>
      <w:r>
        <w:t xml:space="preserve"> </w:t>
      </w:r>
      <w:r w:rsidRPr="00F642EF">
        <w:t>Site Selection</w:t>
      </w:r>
      <w:bookmarkEnd w:id="6"/>
      <w:r w:rsidRPr="00F642EF">
        <w:t xml:space="preserve"> </w:t>
      </w:r>
    </w:p>
    <w:p w14:paraId="16AFEAD3" w14:textId="77777777" w:rsidR="00BA04A8" w:rsidRPr="00F642EF" w:rsidRDefault="00BA04A8" w:rsidP="00BA04A8">
      <w:pPr>
        <w:pStyle w:val="Heading5"/>
      </w:pPr>
      <w:r w:rsidRPr="00F642EF">
        <w:t xml:space="preserve">Ventrogluteal (the Gluteus Medius and </w:t>
      </w:r>
      <w:proofErr w:type="spellStart"/>
      <w:r w:rsidRPr="00F642EF">
        <w:t>Minimus</w:t>
      </w:r>
      <w:proofErr w:type="spellEnd"/>
      <w:r w:rsidRPr="00F642EF">
        <w:t>)</w:t>
      </w:r>
    </w:p>
    <w:p w14:paraId="75D0680E" w14:textId="77777777" w:rsidR="00BA04A8" w:rsidRDefault="00BA04A8" w:rsidP="00BA04A8">
      <w:pPr>
        <w:pStyle w:val="Bullet"/>
      </w:pPr>
      <w:r>
        <w:t xml:space="preserve">This is </w:t>
      </w:r>
      <w:r w:rsidRPr="00F642EF">
        <w:t>the preferred site for IMIs</w:t>
      </w:r>
      <w:r>
        <w:t>. I</w:t>
      </w:r>
      <w:r w:rsidRPr="00F642EF">
        <w:t xml:space="preserve">t is relatively free from major nerves and blood vessels; the muscles are large and well-defined and the landmarks for administration are easy to locate. </w:t>
      </w:r>
    </w:p>
    <w:p w14:paraId="5734E542" w14:textId="77777777" w:rsidR="00BA04A8" w:rsidRDefault="00BA04A8" w:rsidP="00BA04A8">
      <w:pPr>
        <w:pStyle w:val="Bullet"/>
      </w:pPr>
      <w:r w:rsidRPr="00F642EF">
        <w:t xml:space="preserve">There may be some modesty issues associated with using this site. </w:t>
      </w:r>
    </w:p>
    <w:p w14:paraId="234BFEB4" w14:textId="77777777" w:rsidR="00BA04A8" w:rsidRDefault="00BA04A8" w:rsidP="00BA04A8">
      <w:pPr>
        <w:pStyle w:val="BodyCopy"/>
        <w:pBdr>
          <w:top w:val="single" w:sz="4" w:space="1" w:color="auto"/>
          <w:left w:val="single" w:sz="4" w:space="4" w:color="auto"/>
          <w:bottom w:val="single" w:sz="4" w:space="1" w:color="auto"/>
          <w:right w:val="single" w:sz="4" w:space="4" w:color="auto"/>
        </w:pBdr>
      </w:pPr>
      <w:r w:rsidRPr="00F642EF">
        <w:rPr>
          <w:b/>
        </w:rPr>
        <w:t>Alert:</w:t>
      </w:r>
      <w:r w:rsidRPr="00F642EF">
        <w:t xml:space="preserve"> </w:t>
      </w:r>
      <w:r w:rsidRPr="009E4470">
        <w:t>The ventrogluteal injection site is the preferred injection site when the medication is to be administered in the gluteal muscle.</w:t>
      </w:r>
    </w:p>
    <w:p w14:paraId="3576FE2E" w14:textId="77777777" w:rsidR="00BA04A8" w:rsidRDefault="00BA04A8" w:rsidP="00BA04A8">
      <w:pPr>
        <w:rPr>
          <w:noProof/>
        </w:rPr>
      </w:pPr>
      <w:r>
        <w:rPr>
          <w:noProof/>
        </w:rPr>
        <w:drawing>
          <wp:inline distT="0" distB="0" distL="0" distR="0" wp14:anchorId="36B198AB" wp14:editId="643500D2">
            <wp:extent cx="4242816" cy="3240634"/>
            <wp:effectExtent l="0" t="0" r="5715" b="0"/>
            <wp:docPr id="2025497386" name="Image 7" descr="This image shows a picture of the ventrogluteal injection site and include relevant anatomical markers. Step by step instructions for administering a ventrogluteal injection are provided after the image in the 'Procedures' section of the document. "/>
            <wp:cNvGraphicFramePr/>
            <a:graphic xmlns:a="http://schemas.openxmlformats.org/drawingml/2006/main">
              <a:graphicData uri="http://schemas.openxmlformats.org/drawingml/2006/picture">
                <pic:pic xmlns:pic="http://schemas.openxmlformats.org/drawingml/2006/picture">
                  <pic:nvPicPr>
                    <pic:cNvPr id="7" name="Image 7" descr="This image shows a picture of the ventrogluteal injection site and include relevant anatomical markers. Step by step instructions for administering a ventrogluteal injection are provided after the image in the 'Procedures' section of the document.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50540" cy="3246533"/>
                    </a:xfrm>
                    <a:prstGeom prst="rect">
                      <a:avLst/>
                    </a:prstGeom>
                  </pic:spPr>
                </pic:pic>
              </a:graphicData>
            </a:graphic>
          </wp:inline>
        </w:drawing>
      </w:r>
    </w:p>
    <w:p w14:paraId="465AE740" w14:textId="77777777" w:rsidR="00B14039" w:rsidRDefault="00BA04A8" w:rsidP="00B14039">
      <w:pPr>
        <w:pStyle w:val="BodyCopy"/>
        <w:rPr>
          <w:rStyle w:val="Bold"/>
        </w:rPr>
      </w:pPr>
      <w:r>
        <w:rPr>
          <w:rStyle w:val="Bold"/>
        </w:rPr>
        <w:t>Figure 2 – Ventrogluteal site (Image Source: Whyte, 2016)</w:t>
      </w:r>
    </w:p>
    <w:p w14:paraId="0055BB6A" w14:textId="5D133EBE" w:rsidR="009E4470" w:rsidRDefault="009E4470" w:rsidP="00B14039">
      <w:pPr>
        <w:pStyle w:val="Heading5"/>
      </w:pPr>
      <w:r w:rsidRPr="00F642EF">
        <w:t>Deltoid (the Deltoid muscle)</w:t>
      </w:r>
      <w:r>
        <w:t xml:space="preserve"> </w:t>
      </w:r>
    </w:p>
    <w:p w14:paraId="74038CFF" w14:textId="77777777" w:rsidR="009E4470" w:rsidRDefault="009E4470" w:rsidP="009E4470">
      <w:pPr>
        <w:pStyle w:val="Bullet"/>
      </w:pPr>
      <w:r>
        <w:t>I</w:t>
      </w:r>
      <w:r w:rsidRPr="00F642EF">
        <w:t xml:space="preserve">njections into the mid deltoid muscle produce a quick uptake of medication. </w:t>
      </w:r>
    </w:p>
    <w:p w14:paraId="47451B62" w14:textId="77777777" w:rsidR="009E4470" w:rsidRDefault="009E4470" w:rsidP="009E4470">
      <w:pPr>
        <w:pStyle w:val="Bullet"/>
      </w:pPr>
      <w:r>
        <w:t xml:space="preserve">This site </w:t>
      </w:r>
      <w:r w:rsidRPr="00F642EF">
        <w:t>is easily accessible</w:t>
      </w:r>
      <w:r>
        <w:t xml:space="preserve">. </w:t>
      </w:r>
    </w:p>
    <w:p w14:paraId="4138537F" w14:textId="77777777" w:rsidR="009E4470" w:rsidRDefault="009E4470" w:rsidP="009E4470">
      <w:pPr>
        <w:pStyle w:val="Bullet"/>
      </w:pPr>
      <w:r>
        <w:t xml:space="preserve">There are no anticipated modesty concerns as </w:t>
      </w:r>
      <w:r w:rsidRPr="00F642EF">
        <w:t xml:space="preserve">the consumer only has to expose their arm. </w:t>
      </w:r>
    </w:p>
    <w:p w14:paraId="28E80143" w14:textId="77777777" w:rsidR="009E4470" w:rsidRDefault="009E4470" w:rsidP="009E4470">
      <w:pPr>
        <w:pStyle w:val="Bullet"/>
      </w:pPr>
      <w:r>
        <w:t xml:space="preserve">This </w:t>
      </w:r>
      <w:r w:rsidRPr="00F642EF">
        <w:t>site is commonly used for small volume injections up to 2m</w:t>
      </w:r>
      <w:r>
        <w:t>L</w:t>
      </w:r>
      <w:r w:rsidRPr="00F642EF">
        <w:t xml:space="preserve"> (like vaccines)</w:t>
      </w:r>
      <w:r>
        <w:t xml:space="preserve">. </w:t>
      </w:r>
    </w:p>
    <w:p w14:paraId="67851DD0" w14:textId="77777777" w:rsidR="009E4470" w:rsidRDefault="009E4470" w:rsidP="009E4470">
      <w:pPr>
        <w:pStyle w:val="Bullet"/>
      </w:pPr>
      <w:r>
        <w:t xml:space="preserve">This site is </w:t>
      </w:r>
      <w:r w:rsidRPr="00F642EF">
        <w:t xml:space="preserve">not commonly used for IMIs due to the small size of the deltoid muscle. </w:t>
      </w:r>
    </w:p>
    <w:p w14:paraId="34127399" w14:textId="3177B55C" w:rsidR="009E4470" w:rsidRPr="006B2B5D" w:rsidRDefault="009E4470" w:rsidP="009E4470">
      <w:pPr>
        <w:pStyle w:val="Bullet"/>
      </w:pPr>
      <w:r w:rsidRPr="00F642EF">
        <w:t>However, some medications, like Paliperidone</w:t>
      </w:r>
      <w:r>
        <w:t>,</w:t>
      </w:r>
      <w:r w:rsidRPr="00F642EF">
        <w:t xml:space="preserve"> require the first two initiation doses of the LAI to be given in the deltoid.</w:t>
      </w:r>
      <w:r>
        <w:t xml:space="preserve"> </w:t>
      </w:r>
      <w:r w:rsidRPr="00F642EF">
        <w:t xml:space="preserve">It is important to always refer to the manufacturer </w:t>
      </w:r>
      <w:r w:rsidR="00B915EB">
        <w:t>approved product information</w:t>
      </w:r>
      <w:r w:rsidRPr="00F642EF">
        <w:t xml:space="preserve"> for correct administration processes</w:t>
      </w:r>
      <w:r>
        <w:t>.</w:t>
      </w:r>
    </w:p>
    <w:p w14:paraId="42E991DE" w14:textId="77777777" w:rsidR="009E4470" w:rsidRDefault="009E4470" w:rsidP="009E4470">
      <w:pPr>
        <w:pStyle w:val="BodyCopy"/>
        <w:rPr>
          <w:b/>
          <w:bCs w:val="0"/>
        </w:rPr>
      </w:pPr>
      <w:r>
        <w:rPr>
          <w:noProof/>
        </w:rPr>
        <w:lastRenderedPageBreak/>
        <w:drawing>
          <wp:inline distT="0" distB="0" distL="0" distR="0" wp14:anchorId="0915CE53" wp14:editId="03F45B20">
            <wp:extent cx="4191609" cy="3379622"/>
            <wp:effectExtent l="0" t="0" r="0" b="0"/>
            <wp:docPr id="135625547" name="Image 5" descr="This image shows a picture of the deltoid injection site and include relevant anatomical markers. Step by step instructions for administering a deltoid injection are provided after the image in the 'Procedures' section of the document. "/>
            <wp:cNvGraphicFramePr/>
            <a:graphic xmlns:a="http://schemas.openxmlformats.org/drawingml/2006/main">
              <a:graphicData uri="http://schemas.openxmlformats.org/drawingml/2006/picture">
                <pic:pic xmlns:pic="http://schemas.openxmlformats.org/drawingml/2006/picture">
                  <pic:nvPicPr>
                    <pic:cNvPr id="1958761310" name="Image 5" descr="This image shows a picture of the deltoid injection site and include relevant anatomical markers. Step by step instructions for administering a deltoid injection are provided after the image in the 'Procedures' section of the document.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98822" cy="3385438"/>
                    </a:xfrm>
                    <a:prstGeom prst="rect">
                      <a:avLst/>
                    </a:prstGeom>
                  </pic:spPr>
                </pic:pic>
              </a:graphicData>
            </a:graphic>
          </wp:inline>
        </w:drawing>
      </w:r>
    </w:p>
    <w:p w14:paraId="4145D3EE" w14:textId="017197A5" w:rsidR="00BA04A8" w:rsidRPr="003239C4" w:rsidRDefault="009E4470" w:rsidP="00D61B93">
      <w:pPr>
        <w:pStyle w:val="BodyCopy"/>
        <w:rPr>
          <w:bCs w:val="0"/>
        </w:rPr>
      </w:pPr>
      <w:r w:rsidRPr="00275A6B">
        <w:rPr>
          <w:b/>
          <w:bCs w:val="0"/>
        </w:rPr>
        <w:t xml:space="preserve">Figure </w:t>
      </w:r>
      <w:r w:rsidR="00BA04A8">
        <w:rPr>
          <w:b/>
          <w:bCs w:val="0"/>
        </w:rPr>
        <w:t>3</w:t>
      </w:r>
      <w:r w:rsidRPr="00275A6B">
        <w:rPr>
          <w:b/>
          <w:bCs w:val="0"/>
        </w:rPr>
        <w:t xml:space="preserve"> – Deltoid site </w:t>
      </w:r>
      <w:r>
        <w:rPr>
          <w:b/>
          <w:bCs w:val="0"/>
        </w:rPr>
        <w:t>(Image Source: Whyte, 2016)</w:t>
      </w:r>
    </w:p>
    <w:p w14:paraId="2C9DE0F6" w14:textId="77777777" w:rsidR="00B14039" w:rsidRDefault="00B14039">
      <w:pPr>
        <w:spacing w:before="0" w:after="0" w:line="240" w:lineRule="auto"/>
        <w:rPr>
          <w:rFonts w:eastAsiaTheme="majorEastAsia" w:cstheme="majorBidi"/>
          <w:b/>
          <w:bCs/>
          <w:iCs/>
          <w:color w:val="3D2262" w:themeColor="accent1"/>
          <w:szCs w:val="36"/>
        </w:rPr>
      </w:pPr>
      <w:r>
        <w:br w:type="page"/>
      </w:r>
    </w:p>
    <w:p w14:paraId="04A84EB6" w14:textId="3EAA76D7" w:rsidR="009E4470" w:rsidRDefault="009E4470" w:rsidP="00D61B93">
      <w:pPr>
        <w:pStyle w:val="Heading5"/>
      </w:pPr>
      <w:r w:rsidRPr="00F642EF">
        <w:lastRenderedPageBreak/>
        <w:t>Lateral Thigh (Vastus Lateralis)</w:t>
      </w:r>
    </w:p>
    <w:p w14:paraId="47E043AE" w14:textId="77777777" w:rsidR="009E4470" w:rsidRDefault="009E4470" w:rsidP="009E4470">
      <w:pPr>
        <w:pStyle w:val="Bullet"/>
      </w:pPr>
      <w:r w:rsidRPr="00F642EF">
        <w:t xml:space="preserve">This site is on the lateral (side) aspect of the thigh. </w:t>
      </w:r>
    </w:p>
    <w:p w14:paraId="01914075" w14:textId="77777777" w:rsidR="009E4470" w:rsidRDefault="009E4470" w:rsidP="009E4470">
      <w:pPr>
        <w:pStyle w:val="Bullet"/>
      </w:pPr>
      <w:r w:rsidRPr="00F642EF">
        <w:t xml:space="preserve">The muscle is usually thick, well developed and easy to access. </w:t>
      </w:r>
    </w:p>
    <w:p w14:paraId="3C627E9A" w14:textId="77777777" w:rsidR="009E4470" w:rsidRDefault="009E4470" w:rsidP="009E4470">
      <w:pPr>
        <w:pStyle w:val="Bullet"/>
      </w:pPr>
      <w:r w:rsidRPr="00F642EF">
        <w:t xml:space="preserve">There are no major blood vessels in this area. </w:t>
      </w:r>
    </w:p>
    <w:p w14:paraId="299FB955" w14:textId="77777777" w:rsidR="009E4470" w:rsidRDefault="009E4470" w:rsidP="009E4470">
      <w:pPr>
        <w:pStyle w:val="Bullet"/>
      </w:pPr>
      <w:r w:rsidRPr="00F642EF">
        <w:t xml:space="preserve">This site is easy to access and femoral nerve injury due to inaccurate landmarking is rare. </w:t>
      </w:r>
    </w:p>
    <w:p w14:paraId="6F95B995" w14:textId="77777777" w:rsidR="009E4470" w:rsidRPr="006B2B5D" w:rsidRDefault="009E4470" w:rsidP="009E4470">
      <w:pPr>
        <w:pStyle w:val="Bullet"/>
      </w:pPr>
      <w:r w:rsidRPr="00F642EF">
        <w:t xml:space="preserve">There may be some modesty issues associated with using this site. </w:t>
      </w:r>
    </w:p>
    <w:p w14:paraId="5DFD82D0" w14:textId="77777777" w:rsidR="009E4470" w:rsidRDefault="009E4470" w:rsidP="009E4470">
      <w:pPr>
        <w:rPr>
          <w:b/>
          <w:bCs/>
        </w:rPr>
      </w:pPr>
      <w:r>
        <w:rPr>
          <w:noProof/>
        </w:rPr>
        <w:drawing>
          <wp:inline distT="0" distB="0" distL="0" distR="0" wp14:anchorId="3A4789CF" wp14:editId="657EA90E">
            <wp:extent cx="4013200" cy="3562350"/>
            <wp:effectExtent l="0" t="0" r="6350" b="0"/>
            <wp:docPr id="135488488" name="Image 6" descr="This image shows a picture of the vastus lateralis injection site and include relevant anatomical markers. Step by step instructions for administering a vastus lateralis injection are provided after the image in the 'Procedures' section of the document. "/>
            <wp:cNvGraphicFramePr/>
            <a:graphic xmlns:a="http://schemas.openxmlformats.org/drawingml/2006/main">
              <a:graphicData uri="http://schemas.openxmlformats.org/drawingml/2006/picture">
                <pic:pic xmlns:pic="http://schemas.openxmlformats.org/drawingml/2006/picture">
                  <pic:nvPicPr>
                    <pic:cNvPr id="6" name="Image 6" descr="This image shows a picture of the vastus lateralis injection site and include relevant anatomical markers. Step by step instructions for administering a vastus lateralis injection are provided after the image in the 'Procedures' section of the document. "/>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13200" cy="3562350"/>
                    </a:xfrm>
                    <a:prstGeom prst="rect">
                      <a:avLst/>
                    </a:prstGeom>
                  </pic:spPr>
                </pic:pic>
              </a:graphicData>
            </a:graphic>
          </wp:inline>
        </w:drawing>
      </w:r>
    </w:p>
    <w:p w14:paraId="75C6251F" w14:textId="7A52CA6D" w:rsidR="009E4470" w:rsidRDefault="009E4470" w:rsidP="00BA0ED9">
      <w:pPr>
        <w:rPr>
          <w:rStyle w:val="Bold"/>
        </w:rPr>
      </w:pPr>
      <w:r>
        <w:rPr>
          <w:rStyle w:val="Bold"/>
        </w:rPr>
        <w:t>Figure 4 – Lateral Thigh site (Image Source: Whyte, 2016)</w:t>
      </w:r>
    </w:p>
    <w:p w14:paraId="4D8B109E" w14:textId="066500DA" w:rsidR="009E4470" w:rsidRDefault="009E4470" w:rsidP="009E4470">
      <w:pPr>
        <w:pStyle w:val="Heading5"/>
      </w:pPr>
      <w:proofErr w:type="spellStart"/>
      <w:r w:rsidRPr="00F642EF">
        <w:t>Dorsogluteal</w:t>
      </w:r>
      <w:proofErr w:type="spellEnd"/>
      <w:r w:rsidRPr="00F642EF">
        <w:t xml:space="preserve"> (Gluteus Maximus) </w:t>
      </w:r>
    </w:p>
    <w:p w14:paraId="63F6A7B4" w14:textId="77777777" w:rsidR="009E4470" w:rsidRDefault="009E4470" w:rsidP="00D61B93">
      <w:pPr>
        <w:pStyle w:val="BodyCopy"/>
        <w:pBdr>
          <w:top w:val="single" w:sz="4" w:space="1" w:color="auto"/>
          <w:left w:val="single" w:sz="4" w:space="4" w:color="auto"/>
          <w:bottom w:val="single" w:sz="4" w:space="1" w:color="auto"/>
          <w:right w:val="single" w:sz="4" w:space="4" w:color="auto"/>
        </w:pBdr>
      </w:pPr>
      <w:r w:rsidRPr="00275A6B">
        <w:rPr>
          <w:b/>
        </w:rPr>
        <w:t>Alert:</w:t>
      </w:r>
      <w:r>
        <w:t xml:space="preserve"> T</w:t>
      </w:r>
      <w:r w:rsidRPr="00F642EF">
        <w:t xml:space="preserve">he </w:t>
      </w:r>
      <w:proofErr w:type="spellStart"/>
      <w:r w:rsidRPr="00F642EF">
        <w:t>dorsogluteal</w:t>
      </w:r>
      <w:proofErr w:type="spellEnd"/>
      <w:r w:rsidRPr="00F642EF">
        <w:t xml:space="preserve"> site should only be used as a last resort.</w:t>
      </w:r>
      <w:r>
        <w:t xml:space="preserve"> </w:t>
      </w:r>
    </w:p>
    <w:p w14:paraId="15963846" w14:textId="77777777" w:rsidR="009E4470" w:rsidRDefault="009E4470" w:rsidP="009E4470">
      <w:pPr>
        <w:pStyle w:val="Bullet"/>
      </w:pPr>
      <w:r w:rsidRPr="00F642EF">
        <w:t xml:space="preserve">The </w:t>
      </w:r>
      <w:proofErr w:type="spellStart"/>
      <w:r w:rsidRPr="00F642EF">
        <w:t>dorsogluteal</w:t>
      </w:r>
      <w:proofErr w:type="spellEnd"/>
      <w:r w:rsidRPr="00F642EF">
        <w:t xml:space="preserve"> site (often referred to as the ‘upper outer quadrant’) targets the gluteus maximus muscle and is used for high volume injections. </w:t>
      </w:r>
    </w:p>
    <w:p w14:paraId="3EF999D7" w14:textId="77777777" w:rsidR="009E4470" w:rsidRDefault="009E4470" w:rsidP="009E4470">
      <w:pPr>
        <w:pStyle w:val="Bullet"/>
      </w:pPr>
      <w:r w:rsidRPr="00F642EF">
        <w:t xml:space="preserve">Adverse effects of IMI administration in the </w:t>
      </w:r>
      <w:proofErr w:type="spellStart"/>
      <w:r w:rsidRPr="00F642EF">
        <w:t>dorsogluteal</w:t>
      </w:r>
      <w:proofErr w:type="spellEnd"/>
      <w:r w:rsidRPr="00F642EF">
        <w:t xml:space="preserve"> site are well recognised due to the location of the sciatic nerve, blood vessels and thickness of subcutaneous fat. </w:t>
      </w:r>
    </w:p>
    <w:p w14:paraId="0785341C" w14:textId="77777777" w:rsidR="009E4470" w:rsidRDefault="009E4470" w:rsidP="009E4470">
      <w:pPr>
        <w:pStyle w:val="Bullet"/>
      </w:pPr>
      <w:r w:rsidRPr="00F642EF">
        <w:t xml:space="preserve">Injections given at the </w:t>
      </w:r>
      <w:proofErr w:type="spellStart"/>
      <w:r w:rsidRPr="00F642EF">
        <w:t>dorsogluteal</w:t>
      </w:r>
      <w:proofErr w:type="spellEnd"/>
      <w:r w:rsidRPr="00F642EF">
        <w:t xml:space="preserve"> site can be inadvertently administered into subcutaneous adipose tissue leading to delayed/ineffective absorption and to an increase in required dose due to the failure to obtain the expected treatment outcomes. </w:t>
      </w:r>
    </w:p>
    <w:p w14:paraId="00A1D577" w14:textId="218F52C7" w:rsidR="00B14039" w:rsidRDefault="009E4470" w:rsidP="00D61B93">
      <w:pPr>
        <w:pStyle w:val="Bullet"/>
        <w:numPr>
          <w:ilvl w:val="0"/>
          <w:numId w:val="0"/>
        </w:numPr>
      </w:pPr>
      <w:hyperlink w:anchor="_top" w:history="1">
        <w:r w:rsidRPr="00F642EF">
          <w:rPr>
            <w:rStyle w:val="Hyperlink"/>
          </w:rPr>
          <w:t>Back to Contents</w:t>
        </w:r>
      </w:hyperlink>
    </w:p>
    <w:p w14:paraId="12674F79" w14:textId="77777777" w:rsidR="00B14039" w:rsidRDefault="00B14039">
      <w:pPr>
        <w:spacing w:before="0" w:after="0" w:line="240" w:lineRule="auto"/>
        <w:rPr>
          <w:rFonts w:eastAsia="Times New Roman"/>
        </w:rPr>
      </w:pPr>
      <w:r>
        <w:br w:type="page"/>
      </w:r>
    </w:p>
    <w:p w14:paraId="1FAC6CFC" w14:textId="2CC9DD59" w:rsidR="009E4470" w:rsidRPr="00F642EF" w:rsidRDefault="009E4470" w:rsidP="009E4470">
      <w:pPr>
        <w:pStyle w:val="Heading4"/>
      </w:pPr>
      <w:bookmarkStart w:id="7" w:name="_Toc210295816"/>
      <w:r w:rsidRPr="00F642EF">
        <w:lastRenderedPageBreak/>
        <w:t xml:space="preserve">Section </w:t>
      </w:r>
      <w:r>
        <w:t>4</w:t>
      </w:r>
      <w:r w:rsidRPr="00F642EF">
        <w:t xml:space="preserve"> – Preparation, Site Selection, Process and Documentation</w:t>
      </w:r>
      <w:bookmarkEnd w:id="7"/>
      <w:r w:rsidRPr="00F642EF">
        <w:t xml:space="preserve"> </w:t>
      </w:r>
    </w:p>
    <w:p w14:paraId="4B87DA50" w14:textId="08D82B19" w:rsidR="001D5A79" w:rsidRPr="00F642EF" w:rsidRDefault="001D5A79" w:rsidP="001429A1">
      <w:pPr>
        <w:pStyle w:val="Heading5"/>
      </w:pPr>
      <w:r w:rsidRPr="00F642EF">
        <w:t xml:space="preserve">Equipment </w:t>
      </w:r>
    </w:p>
    <w:p w14:paraId="73B4E706" w14:textId="3FF19BBC" w:rsidR="00F642EF" w:rsidRPr="00F642EF" w:rsidRDefault="00142BE6" w:rsidP="003A60F9">
      <w:pPr>
        <w:pStyle w:val="Bullet"/>
      </w:pPr>
      <w:r>
        <w:t>a</w:t>
      </w:r>
      <w:r w:rsidR="00F642EF" w:rsidRPr="00F642EF">
        <w:t>ntimicrobial hand sanitiser</w:t>
      </w:r>
      <w:r w:rsidR="00FF0EC5">
        <w:t xml:space="preserve"> or access to hand washing facilities </w:t>
      </w:r>
      <w:r w:rsidR="00F642EF" w:rsidRPr="00F642EF">
        <w:t xml:space="preserve"> </w:t>
      </w:r>
    </w:p>
    <w:p w14:paraId="612E07C1" w14:textId="2C9C115D" w:rsidR="001D5A79" w:rsidRPr="00F642EF" w:rsidRDefault="001D5A79" w:rsidP="003A60F9">
      <w:pPr>
        <w:pStyle w:val="Bullet"/>
      </w:pPr>
      <w:r w:rsidRPr="00F642EF">
        <w:t>2 –</w:t>
      </w:r>
      <w:r w:rsidRPr="00F642EF">
        <w:rPr>
          <w:spacing w:val="-1"/>
        </w:rPr>
        <w:t xml:space="preserve"> </w:t>
      </w:r>
      <w:r w:rsidRPr="00F642EF">
        <w:t>5</w:t>
      </w:r>
      <w:r w:rsidRPr="00F642EF">
        <w:rPr>
          <w:spacing w:val="1"/>
        </w:rPr>
        <w:t xml:space="preserve"> </w:t>
      </w:r>
      <w:r w:rsidR="00142BE6">
        <w:rPr>
          <w:spacing w:val="1"/>
        </w:rPr>
        <w:t>millilitre (</w:t>
      </w:r>
      <w:r w:rsidRPr="00F642EF">
        <w:t>mL</w:t>
      </w:r>
      <w:r w:rsidR="00142BE6">
        <w:t>)</w:t>
      </w:r>
      <w:r w:rsidRPr="00F642EF">
        <w:rPr>
          <w:spacing w:val="1"/>
        </w:rPr>
        <w:t xml:space="preserve"> </w:t>
      </w:r>
      <w:r w:rsidRPr="00F642EF">
        <w:rPr>
          <w:spacing w:val="-2"/>
        </w:rPr>
        <w:t>syringe</w:t>
      </w:r>
    </w:p>
    <w:p w14:paraId="3DEC60EA" w14:textId="6AC7F891" w:rsidR="001D5A79" w:rsidRPr="00F642EF" w:rsidRDefault="0069065B" w:rsidP="003A60F9">
      <w:pPr>
        <w:pStyle w:val="Bullet"/>
      </w:pPr>
      <w:r w:rsidRPr="00F642EF">
        <w:t>21</w:t>
      </w:r>
      <w:r w:rsidRPr="00F642EF">
        <w:rPr>
          <w:spacing w:val="-2"/>
        </w:rPr>
        <w:t>-gauge</w:t>
      </w:r>
      <w:r w:rsidR="001D5A79" w:rsidRPr="00F642EF">
        <w:rPr>
          <w:spacing w:val="-1"/>
        </w:rPr>
        <w:t xml:space="preserve"> </w:t>
      </w:r>
      <w:r w:rsidR="0092663D" w:rsidRPr="00F642EF">
        <w:t>38</w:t>
      </w:r>
      <w:r w:rsidR="0092663D">
        <w:t>-millimetre</w:t>
      </w:r>
      <w:r w:rsidR="00142BE6">
        <w:t xml:space="preserve"> (</w:t>
      </w:r>
      <w:r w:rsidR="001D5A79" w:rsidRPr="00F642EF">
        <w:t>mm</w:t>
      </w:r>
      <w:r w:rsidR="00142BE6">
        <w:t>) needle</w:t>
      </w:r>
      <w:r w:rsidR="001D5A79" w:rsidRPr="00F642EF">
        <w:t xml:space="preserve"> (or</w:t>
      </w:r>
      <w:r w:rsidR="001D5A79" w:rsidRPr="00F642EF">
        <w:rPr>
          <w:spacing w:val="-4"/>
        </w:rPr>
        <w:t xml:space="preserve"> </w:t>
      </w:r>
      <w:r w:rsidR="001D5A79" w:rsidRPr="00F642EF">
        <w:t>50mm</w:t>
      </w:r>
      <w:r w:rsidR="001D5A79" w:rsidRPr="00F642EF">
        <w:rPr>
          <w:spacing w:val="-3"/>
        </w:rPr>
        <w:t xml:space="preserve"> </w:t>
      </w:r>
      <w:r w:rsidR="001D5A79" w:rsidRPr="00F642EF">
        <w:t>needle</w:t>
      </w:r>
      <w:r w:rsidR="001D5A79" w:rsidRPr="00F642EF">
        <w:rPr>
          <w:spacing w:val="-1"/>
        </w:rPr>
        <w:t xml:space="preserve"> </w:t>
      </w:r>
      <w:r w:rsidR="001D5A79" w:rsidRPr="00F642EF">
        <w:t>if</w:t>
      </w:r>
      <w:r w:rsidR="001D5A79" w:rsidRPr="00F642EF">
        <w:rPr>
          <w:spacing w:val="-1"/>
        </w:rPr>
        <w:t xml:space="preserve"> </w:t>
      </w:r>
      <w:r w:rsidR="001D5A79" w:rsidRPr="00F642EF">
        <w:t>BMI</w:t>
      </w:r>
      <w:r w:rsidR="001D5A79" w:rsidRPr="00F642EF">
        <w:rPr>
          <w:spacing w:val="-2"/>
        </w:rPr>
        <w:t xml:space="preserve"> </w:t>
      </w:r>
      <w:r w:rsidR="00142BE6">
        <w:rPr>
          <w:spacing w:val="-2"/>
        </w:rPr>
        <w:t>is over 30</w:t>
      </w:r>
      <w:r w:rsidR="001D5A79" w:rsidRPr="00F642EF">
        <w:rPr>
          <w:spacing w:val="-5"/>
        </w:rPr>
        <w:t>)</w:t>
      </w:r>
    </w:p>
    <w:p w14:paraId="304EB6C4" w14:textId="4C5DAAAE" w:rsidR="001D5A79" w:rsidRPr="00F642EF" w:rsidRDefault="001D5A79" w:rsidP="003A60F9">
      <w:pPr>
        <w:pStyle w:val="Bullet"/>
      </w:pPr>
      <w:r w:rsidRPr="00F642EF">
        <w:t>21</w:t>
      </w:r>
      <w:r w:rsidR="00B03B3B">
        <w:t xml:space="preserve"> or </w:t>
      </w:r>
      <w:r w:rsidR="0069065B" w:rsidRPr="00F642EF">
        <w:t>23-gauge</w:t>
      </w:r>
      <w:r w:rsidRPr="00F642EF">
        <w:t xml:space="preserve"> 38mm </w:t>
      </w:r>
      <w:r w:rsidR="00142BE6">
        <w:t xml:space="preserve">needle </w:t>
      </w:r>
      <w:r w:rsidRPr="00F642EF">
        <w:t xml:space="preserve">(or 50mm needle if BMI </w:t>
      </w:r>
      <w:r w:rsidR="00142BE6">
        <w:t>is over 30</w:t>
      </w:r>
      <w:r w:rsidRPr="00F642EF">
        <w:t>) retractable needle</w:t>
      </w:r>
      <w:r w:rsidR="00142BE6">
        <w:t xml:space="preserve"> – </w:t>
      </w:r>
      <w:r w:rsidRPr="00F642EF">
        <w:t>in the instance of high aggression or during</w:t>
      </w:r>
      <w:r w:rsidRPr="00F642EF">
        <w:rPr>
          <w:spacing w:val="-1"/>
        </w:rPr>
        <w:t xml:space="preserve"> </w:t>
      </w:r>
      <w:r w:rsidRPr="00F642EF">
        <w:t>a situation in which a restraint is necessary due to significant risk for consumers and staff</w:t>
      </w:r>
    </w:p>
    <w:p w14:paraId="56C65B2A" w14:textId="61432952" w:rsidR="001D5A79" w:rsidRPr="00F642EF" w:rsidRDefault="0069065B" w:rsidP="003A60F9">
      <w:pPr>
        <w:pStyle w:val="Bullet"/>
      </w:pPr>
      <w:r w:rsidRPr="00F642EF">
        <w:t>18</w:t>
      </w:r>
      <w:r w:rsidRPr="00F642EF">
        <w:rPr>
          <w:spacing w:val="-1"/>
        </w:rPr>
        <w:t>-gauge</w:t>
      </w:r>
      <w:r w:rsidR="001D5A79" w:rsidRPr="00F642EF">
        <w:rPr>
          <w:spacing w:val="-1"/>
        </w:rPr>
        <w:t xml:space="preserve"> </w:t>
      </w:r>
      <w:r w:rsidR="001D5A79" w:rsidRPr="00F642EF">
        <w:t xml:space="preserve">40mm </w:t>
      </w:r>
      <w:r w:rsidR="002C085F" w:rsidRPr="00F642EF">
        <w:t xml:space="preserve">blunt </w:t>
      </w:r>
      <w:r w:rsidR="001D5A79" w:rsidRPr="00F642EF">
        <w:rPr>
          <w:spacing w:val="-2"/>
        </w:rPr>
        <w:t>needle</w:t>
      </w:r>
      <w:r w:rsidR="00142BE6">
        <w:rPr>
          <w:spacing w:val="-2"/>
        </w:rPr>
        <w:t xml:space="preserve"> </w:t>
      </w:r>
      <w:r w:rsidR="00142BE6" w:rsidRPr="00F642EF">
        <w:t>for</w:t>
      </w:r>
      <w:r w:rsidR="00142BE6" w:rsidRPr="00F642EF">
        <w:rPr>
          <w:spacing w:val="-3"/>
        </w:rPr>
        <w:t xml:space="preserve"> </w:t>
      </w:r>
      <w:r w:rsidR="00142BE6" w:rsidRPr="00F642EF">
        <w:t>drawing</w:t>
      </w:r>
      <w:r w:rsidR="00142BE6" w:rsidRPr="00F642EF">
        <w:rPr>
          <w:spacing w:val="-3"/>
        </w:rPr>
        <w:t xml:space="preserve"> </w:t>
      </w:r>
      <w:r w:rsidR="00142BE6" w:rsidRPr="00F642EF">
        <w:t>up</w:t>
      </w:r>
      <w:r w:rsidR="00142BE6" w:rsidRPr="00F642EF">
        <w:rPr>
          <w:spacing w:val="-3"/>
        </w:rPr>
        <w:t xml:space="preserve"> </w:t>
      </w:r>
      <w:r w:rsidR="00142BE6" w:rsidRPr="00F642EF">
        <w:t>injection</w:t>
      </w:r>
    </w:p>
    <w:p w14:paraId="3F27C37F" w14:textId="68951211" w:rsidR="001D5A79" w:rsidRPr="00F642EF" w:rsidRDefault="00142BE6" w:rsidP="003A60F9">
      <w:pPr>
        <w:pStyle w:val="Bullet"/>
      </w:pPr>
      <w:r>
        <w:rPr>
          <w:spacing w:val="-2"/>
        </w:rPr>
        <w:t>n</w:t>
      </w:r>
      <w:r w:rsidR="00C605FA" w:rsidRPr="00F642EF">
        <w:rPr>
          <w:spacing w:val="-2"/>
        </w:rPr>
        <w:t>on-sterile g</w:t>
      </w:r>
      <w:r w:rsidR="001D5A79" w:rsidRPr="00F642EF">
        <w:rPr>
          <w:spacing w:val="-2"/>
        </w:rPr>
        <w:t>loves</w:t>
      </w:r>
    </w:p>
    <w:p w14:paraId="7383C1F7" w14:textId="39E309DE" w:rsidR="001D5A79" w:rsidRPr="00F642EF" w:rsidRDefault="00142BE6" w:rsidP="003A60F9">
      <w:pPr>
        <w:pStyle w:val="Bullet"/>
      </w:pPr>
      <w:r>
        <w:t>a</w:t>
      </w:r>
      <w:r w:rsidR="001D5A79" w:rsidRPr="00F642EF">
        <w:t>lcohol</w:t>
      </w:r>
      <w:r w:rsidR="001D5A79" w:rsidRPr="00F642EF">
        <w:rPr>
          <w:spacing w:val="-3"/>
        </w:rPr>
        <w:t xml:space="preserve"> </w:t>
      </w:r>
      <w:r w:rsidR="001D5A79" w:rsidRPr="00F642EF">
        <w:rPr>
          <w:spacing w:val="-4"/>
        </w:rPr>
        <w:t>swab</w:t>
      </w:r>
    </w:p>
    <w:p w14:paraId="20B510FA" w14:textId="55FE4E82" w:rsidR="001D5A79" w:rsidRPr="00F642EF" w:rsidRDefault="00142BE6" w:rsidP="003A60F9">
      <w:pPr>
        <w:pStyle w:val="Bullet"/>
      </w:pPr>
      <w:r>
        <w:t>n</w:t>
      </w:r>
      <w:r w:rsidR="001D5A79" w:rsidRPr="00F642EF">
        <w:t>on-woven</w:t>
      </w:r>
      <w:r w:rsidR="001D5A79" w:rsidRPr="00F642EF">
        <w:rPr>
          <w:spacing w:val="-6"/>
        </w:rPr>
        <w:t xml:space="preserve"> </w:t>
      </w:r>
      <w:r w:rsidR="001D5A79" w:rsidRPr="00F642EF">
        <w:t>gauze</w:t>
      </w:r>
      <w:r w:rsidR="001D5A79" w:rsidRPr="00F642EF">
        <w:rPr>
          <w:spacing w:val="-4"/>
        </w:rPr>
        <w:t xml:space="preserve"> swab</w:t>
      </w:r>
      <w:r w:rsidR="00C605FA" w:rsidRPr="00F642EF">
        <w:rPr>
          <w:spacing w:val="-4"/>
        </w:rPr>
        <w:t xml:space="preserve"> or cotton ball</w:t>
      </w:r>
    </w:p>
    <w:p w14:paraId="5D58FE31" w14:textId="48BFFF02" w:rsidR="001D5A79" w:rsidRPr="00F642EF" w:rsidRDefault="00142BE6" w:rsidP="003A60F9">
      <w:pPr>
        <w:pStyle w:val="Bullet"/>
      </w:pPr>
      <w:r>
        <w:t>s</w:t>
      </w:r>
      <w:r w:rsidR="001D5A79" w:rsidRPr="00F642EF">
        <w:t>mall</w:t>
      </w:r>
      <w:r w:rsidR="001D5A79" w:rsidRPr="00F642EF">
        <w:rPr>
          <w:spacing w:val="-4"/>
        </w:rPr>
        <w:t xml:space="preserve"> </w:t>
      </w:r>
      <w:r w:rsidR="001D5A79" w:rsidRPr="00F642EF">
        <w:t>plaster</w:t>
      </w:r>
      <w:r w:rsidR="009B3522" w:rsidRPr="00F642EF">
        <w:t xml:space="preserve"> or adhesive strip</w:t>
      </w:r>
      <w:r w:rsidR="001D5A79" w:rsidRPr="00F642EF">
        <w:rPr>
          <w:spacing w:val="-1"/>
        </w:rPr>
        <w:t xml:space="preserve"> </w:t>
      </w:r>
    </w:p>
    <w:p w14:paraId="3A1C808F" w14:textId="384321A2" w:rsidR="001D5A79" w:rsidRPr="00F642EF" w:rsidRDefault="00F85108" w:rsidP="003A60F9">
      <w:pPr>
        <w:pStyle w:val="Bullet"/>
      </w:pPr>
      <w:r>
        <w:t>p</w:t>
      </w:r>
      <w:r w:rsidR="001D5A79" w:rsidRPr="00F642EF">
        <w:t>rescribed</w:t>
      </w:r>
      <w:r w:rsidR="001D5A79" w:rsidRPr="00F642EF">
        <w:rPr>
          <w:spacing w:val="-4"/>
        </w:rPr>
        <w:t xml:space="preserve"> </w:t>
      </w:r>
      <w:r w:rsidR="001D5A79" w:rsidRPr="00F642EF">
        <w:rPr>
          <w:spacing w:val="-2"/>
        </w:rPr>
        <w:t>medication</w:t>
      </w:r>
    </w:p>
    <w:p w14:paraId="727CB0DC" w14:textId="026E1C45" w:rsidR="001D5A79" w:rsidRPr="00F642EF" w:rsidRDefault="00F85108" w:rsidP="003A60F9">
      <w:pPr>
        <w:pStyle w:val="Bullet"/>
      </w:pPr>
      <w:r>
        <w:t>v</w:t>
      </w:r>
      <w:r w:rsidR="00005F76" w:rsidRPr="00F642EF">
        <w:t>alid m</w:t>
      </w:r>
      <w:r w:rsidR="001D5A79" w:rsidRPr="00F642EF">
        <w:t>edication</w:t>
      </w:r>
      <w:r w:rsidR="001D5A79" w:rsidRPr="00F642EF">
        <w:rPr>
          <w:spacing w:val="-5"/>
        </w:rPr>
        <w:t xml:space="preserve"> </w:t>
      </w:r>
      <w:r w:rsidR="001D5A79" w:rsidRPr="00F642EF">
        <w:rPr>
          <w:spacing w:val="-2"/>
        </w:rPr>
        <w:t>order</w:t>
      </w:r>
    </w:p>
    <w:p w14:paraId="3BE22905" w14:textId="770AADEC" w:rsidR="00F85108" w:rsidRPr="00F642EF" w:rsidRDefault="00F85108" w:rsidP="003A60F9">
      <w:pPr>
        <w:pStyle w:val="Bullet"/>
      </w:pPr>
      <w:r>
        <w:t>d</w:t>
      </w:r>
      <w:r w:rsidR="001D5A79" w:rsidRPr="00F642EF">
        <w:t>ish</w:t>
      </w:r>
      <w:r w:rsidR="001D5A79" w:rsidRPr="00F642EF">
        <w:rPr>
          <w:spacing w:val="-1"/>
        </w:rPr>
        <w:t xml:space="preserve"> </w:t>
      </w:r>
      <w:r w:rsidR="001D5A79" w:rsidRPr="00F642EF">
        <w:t>for</w:t>
      </w:r>
      <w:r w:rsidR="001D5A79" w:rsidRPr="00F642EF">
        <w:rPr>
          <w:spacing w:val="-1"/>
        </w:rPr>
        <w:t xml:space="preserve"> </w:t>
      </w:r>
      <w:r w:rsidR="001D5A79" w:rsidRPr="00F642EF">
        <w:rPr>
          <w:spacing w:val="-2"/>
        </w:rPr>
        <w:t>equipment</w:t>
      </w:r>
    </w:p>
    <w:p w14:paraId="42921EDB" w14:textId="164F3F7E" w:rsidR="003A60F9" w:rsidRDefault="00F85108" w:rsidP="00D61B93">
      <w:pPr>
        <w:pStyle w:val="Bullet"/>
      </w:pPr>
      <w:r>
        <w:t>s</w:t>
      </w:r>
      <w:r w:rsidR="001D5A79" w:rsidRPr="00F642EF">
        <w:t>harps</w:t>
      </w:r>
      <w:r w:rsidR="001D5A79" w:rsidRPr="00F85108">
        <w:rPr>
          <w:spacing w:val="-1"/>
        </w:rPr>
        <w:t xml:space="preserve"> </w:t>
      </w:r>
      <w:r w:rsidR="001D5A79" w:rsidRPr="00F85108">
        <w:rPr>
          <w:spacing w:val="-2"/>
        </w:rPr>
        <w:t>containe</w:t>
      </w:r>
      <w:r w:rsidR="004A6353" w:rsidRPr="00F85108">
        <w:rPr>
          <w:spacing w:val="-2"/>
        </w:rPr>
        <w:t>r</w:t>
      </w:r>
      <w:r>
        <w:t>.</w:t>
      </w:r>
    </w:p>
    <w:p w14:paraId="7E0946CD" w14:textId="79437327" w:rsidR="00EB6D77" w:rsidRDefault="003A60F9" w:rsidP="00D61B93">
      <w:pPr>
        <w:pStyle w:val="BodyCopy"/>
        <w:pBdr>
          <w:top w:val="single" w:sz="4" w:space="1" w:color="auto"/>
          <w:left w:val="single" w:sz="4" w:space="4" w:color="auto"/>
          <w:bottom w:val="single" w:sz="4" w:space="1" w:color="auto"/>
          <w:right w:val="single" w:sz="4" w:space="4" w:color="auto"/>
        </w:pBdr>
      </w:pPr>
      <w:r w:rsidRPr="00F642EF">
        <w:rPr>
          <w:b/>
        </w:rPr>
        <w:t xml:space="preserve">Alert: </w:t>
      </w:r>
      <w:r w:rsidRPr="009E4470">
        <w:t>Nurses/M</w:t>
      </w:r>
      <w:r w:rsidR="00EB6D77" w:rsidRPr="009E4470">
        <w:t>O</w:t>
      </w:r>
      <w:r w:rsidRPr="009E4470">
        <w:t>s/NPs should use the recommended needle sizes and administration site outlined in the drug manufacturer recommendations.</w:t>
      </w:r>
      <w:r w:rsidRPr="00F642EF">
        <w:t xml:space="preserve"> </w:t>
      </w:r>
    </w:p>
    <w:p w14:paraId="7A66B72A" w14:textId="518DB440" w:rsidR="007F52FA" w:rsidRDefault="00127413" w:rsidP="00EB6D77">
      <w:pPr>
        <w:pStyle w:val="Heading5"/>
      </w:pPr>
      <w:r w:rsidRPr="00D61B93">
        <w:t>Procedure</w:t>
      </w:r>
    </w:p>
    <w:p w14:paraId="66EFFCCF" w14:textId="77777777" w:rsidR="00530E17" w:rsidRDefault="004F4D42" w:rsidP="00D61B93">
      <w:pPr>
        <w:pStyle w:val="BodyCopy"/>
        <w:pBdr>
          <w:top w:val="single" w:sz="4" w:space="1" w:color="auto"/>
          <w:left w:val="single" w:sz="4" w:space="4" w:color="auto"/>
          <w:bottom w:val="single" w:sz="4" w:space="1" w:color="auto"/>
          <w:right w:val="single" w:sz="4" w:space="4" w:color="auto"/>
        </w:pBdr>
      </w:pPr>
      <w:r>
        <w:rPr>
          <w:b/>
        </w:rPr>
        <w:t>Note</w:t>
      </w:r>
      <w:r w:rsidRPr="00D61B93">
        <w:rPr>
          <w:b/>
        </w:rPr>
        <w:t xml:space="preserve">: </w:t>
      </w:r>
      <w:r w:rsidRPr="00EB6D77">
        <w:t>All staff are responsible for correct identification of a consumer’s identity using a minimum of three approved identifiers to correctly match the consumer to the procedure.</w:t>
      </w:r>
      <w:r>
        <w:t xml:space="preserve"> </w:t>
      </w:r>
    </w:p>
    <w:p w14:paraId="09EA4168" w14:textId="58756276" w:rsidR="004F4D42" w:rsidRDefault="00530E17" w:rsidP="00D61B93">
      <w:pPr>
        <w:pStyle w:val="BodyCopy"/>
        <w:pBdr>
          <w:top w:val="single" w:sz="4" w:space="1" w:color="auto"/>
          <w:left w:val="single" w:sz="4" w:space="4" w:color="auto"/>
          <w:bottom w:val="single" w:sz="4" w:space="1" w:color="auto"/>
          <w:right w:val="single" w:sz="4" w:space="4" w:color="auto"/>
        </w:pBdr>
      </w:pPr>
      <w:r w:rsidRPr="0049088A">
        <w:rPr>
          <w:bCs w:val="0"/>
        </w:rPr>
        <w:t xml:space="preserve">Barcode scanning processes for both the product and the </w:t>
      </w:r>
      <w:r>
        <w:rPr>
          <w:bCs w:val="0"/>
        </w:rPr>
        <w:t>consumer</w:t>
      </w:r>
      <w:r w:rsidRPr="0049088A">
        <w:rPr>
          <w:bCs w:val="0"/>
        </w:rPr>
        <w:t xml:space="preserve"> prior to medication administration may vary across sites. Staff must refer to their local operating procedures for specific </w:t>
      </w:r>
      <w:proofErr w:type="gramStart"/>
      <w:r w:rsidRPr="0049088A">
        <w:rPr>
          <w:bCs w:val="0"/>
        </w:rPr>
        <w:t>guidance</w:t>
      </w:r>
      <w:proofErr w:type="gramEnd"/>
      <w:r>
        <w:rPr>
          <w:bCs w:val="0"/>
        </w:rPr>
        <w:t xml:space="preserve"> or the</w:t>
      </w:r>
      <w:r w:rsidR="004F4D42">
        <w:t xml:space="preserve"> </w:t>
      </w:r>
      <w:r w:rsidR="004F4D42" w:rsidRPr="00275A6B">
        <w:rPr>
          <w:i/>
        </w:rPr>
        <w:t>Patient Identification and Health</w:t>
      </w:r>
      <w:r w:rsidR="004F4D42">
        <w:rPr>
          <w:i/>
        </w:rPr>
        <w:t xml:space="preserve"> C</w:t>
      </w:r>
      <w:r w:rsidR="004F4D42" w:rsidRPr="00275A6B">
        <w:rPr>
          <w:i/>
        </w:rPr>
        <w:t>are Activity Matching Procedure</w:t>
      </w:r>
      <w:r w:rsidR="004F4D42">
        <w:t xml:space="preserve"> located on the Policy and Guidance Documents Register. </w:t>
      </w:r>
    </w:p>
    <w:p w14:paraId="637D5859" w14:textId="62E64D39" w:rsidR="00F85108" w:rsidRDefault="00142BE6" w:rsidP="00142BE6">
      <w:pPr>
        <w:pStyle w:val="Numberedlist"/>
      </w:pPr>
      <w:r>
        <w:t xml:space="preserve">Ensure access to </w:t>
      </w:r>
      <w:r w:rsidRPr="00F642EF">
        <w:t>the consumers Digital Health Record (DHR) including the Medication Administration Record (MAR)</w:t>
      </w:r>
      <w:r w:rsidR="004F4D42">
        <w:t>.</w:t>
      </w:r>
    </w:p>
    <w:p w14:paraId="6ED9DB2F" w14:textId="0830C722" w:rsidR="004F4D42" w:rsidRDefault="007F52FA" w:rsidP="00142BE6">
      <w:pPr>
        <w:pStyle w:val="Numberedlist"/>
      </w:pPr>
      <w:r w:rsidRPr="00DB7A2C">
        <w:t>Wash</w:t>
      </w:r>
      <w:r w:rsidRPr="00127413">
        <w:t xml:space="preserve"> hands according to the </w:t>
      </w:r>
      <w:r w:rsidR="004F4D42">
        <w:t>five</w:t>
      </w:r>
      <w:r w:rsidRPr="00127413">
        <w:t xml:space="preserve"> moments of hand hygiene</w:t>
      </w:r>
      <w:r w:rsidR="004F4D42">
        <w:t>.</w:t>
      </w:r>
      <w:r w:rsidRPr="00127413">
        <w:t xml:space="preserve"> </w:t>
      </w:r>
    </w:p>
    <w:p w14:paraId="3CDDFA17" w14:textId="52540E96" w:rsidR="007F52FA" w:rsidRDefault="004F4D42" w:rsidP="00D61B93">
      <w:pPr>
        <w:pStyle w:val="Numberedlist"/>
      </w:pPr>
      <w:r>
        <w:t>P</w:t>
      </w:r>
      <w:r w:rsidR="007F52FA" w:rsidRPr="00127413">
        <w:t>ut on disposable gloves and any other required</w:t>
      </w:r>
      <w:r w:rsidR="00271FBE">
        <w:t xml:space="preserve"> Personal Protective Equipment</w:t>
      </w:r>
      <w:r w:rsidR="007F52FA" w:rsidRPr="00127413">
        <w:t xml:space="preserve"> </w:t>
      </w:r>
      <w:r w:rsidR="00271FBE">
        <w:t>(</w:t>
      </w:r>
      <w:r w:rsidR="007F52FA" w:rsidRPr="00127413">
        <w:t>PPE</w:t>
      </w:r>
      <w:r w:rsidR="00271FBE">
        <w:t>)</w:t>
      </w:r>
      <w:r w:rsidR="007F52FA" w:rsidRPr="00127413">
        <w:t>.</w:t>
      </w:r>
    </w:p>
    <w:p w14:paraId="48863088" w14:textId="589F7D5A" w:rsidR="004A6353" w:rsidRPr="00F642EF" w:rsidRDefault="004F4D42" w:rsidP="00D61B93">
      <w:pPr>
        <w:pStyle w:val="Numberedlist"/>
      </w:pPr>
      <w:r>
        <w:t xml:space="preserve">Ask the </w:t>
      </w:r>
      <w:r w:rsidR="004A6353" w:rsidRPr="00F642EF">
        <w:t>consumer</w:t>
      </w:r>
      <w:r>
        <w:t xml:space="preserve"> if their </w:t>
      </w:r>
      <w:r w:rsidR="004A6353" w:rsidRPr="00F642EF">
        <w:t xml:space="preserve">physical or mental health has changed since the last contact with the service, including the health of the injection site. </w:t>
      </w:r>
    </w:p>
    <w:p w14:paraId="5F009EBB" w14:textId="7998D782" w:rsidR="004A6353" w:rsidRPr="00F642EF" w:rsidRDefault="004F4D42" w:rsidP="00D61B93">
      <w:pPr>
        <w:pStyle w:val="Numberedlist"/>
      </w:pPr>
      <w:r>
        <w:t xml:space="preserve">Ask </w:t>
      </w:r>
      <w:r w:rsidR="004A6353" w:rsidRPr="00F642EF">
        <w:t>the consumer about any side effects experienced since the last injection (if not the first time).</w:t>
      </w:r>
    </w:p>
    <w:p w14:paraId="586BA3F5" w14:textId="752101F9" w:rsidR="00EA3761" w:rsidRPr="00F642EF" w:rsidRDefault="004F4D42" w:rsidP="00D61B93">
      <w:pPr>
        <w:pStyle w:val="Numberedlist"/>
      </w:pPr>
      <w:r>
        <w:lastRenderedPageBreak/>
        <w:t xml:space="preserve">Confirm in the consumer’s clinical record </w:t>
      </w:r>
      <w:r w:rsidR="00EA3761" w:rsidRPr="00F642EF">
        <w:t xml:space="preserve">which side (right or left) </w:t>
      </w:r>
      <w:r>
        <w:t xml:space="preserve">into which </w:t>
      </w:r>
      <w:r w:rsidR="00EA3761" w:rsidRPr="00F642EF">
        <w:t>the medication was last administered</w:t>
      </w:r>
      <w:r>
        <w:t>. R</w:t>
      </w:r>
      <w:r w:rsidR="00EA3761" w:rsidRPr="00F642EF">
        <w:t xml:space="preserve">otate sides where possible. For example, if the medication was given on the left side last time, ideally it should be given on the right side for the next injection. </w:t>
      </w:r>
      <w:r w:rsidR="008A7F8E" w:rsidRPr="00F642EF">
        <w:t xml:space="preserve">This can help reduce the risk of </w:t>
      </w:r>
      <w:proofErr w:type="spellStart"/>
      <w:r w:rsidR="008A7F8E" w:rsidRPr="00F642EF">
        <w:t>lipohypertrophy</w:t>
      </w:r>
      <w:proofErr w:type="spellEnd"/>
      <w:r w:rsidR="008A7F8E" w:rsidRPr="00F642EF">
        <w:t xml:space="preserve">. </w:t>
      </w:r>
    </w:p>
    <w:p w14:paraId="35D65728" w14:textId="0E55B648" w:rsidR="004A6353" w:rsidRPr="00F642EF" w:rsidRDefault="004A6353" w:rsidP="00D61B93">
      <w:pPr>
        <w:pStyle w:val="Numberedlist"/>
      </w:pPr>
      <w:r w:rsidRPr="00F642EF">
        <w:t xml:space="preserve">Check the </w:t>
      </w:r>
      <w:r w:rsidR="004F4D42">
        <w:t>five</w:t>
      </w:r>
      <w:r w:rsidRPr="00F642EF">
        <w:t xml:space="preserve"> rights of medication administration:</w:t>
      </w:r>
    </w:p>
    <w:p w14:paraId="7ADA7098" w14:textId="77777777" w:rsidR="004A6353" w:rsidRPr="00F642EF" w:rsidRDefault="004A6353" w:rsidP="00D61B93">
      <w:pPr>
        <w:pStyle w:val="Bullet"/>
        <w:numPr>
          <w:ilvl w:val="1"/>
          <w:numId w:val="1"/>
        </w:numPr>
      </w:pPr>
      <w:r w:rsidRPr="00F642EF">
        <w:t>Right Person</w:t>
      </w:r>
    </w:p>
    <w:p w14:paraId="291E79F8" w14:textId="77777777" w:rsidR="004A6353" w:rsidRPr="00F642EF" w:rsidRDefault="004A6353" w:rsidP="00D61B93">
      <w:pPr>
        <w:pStyle w:val="Bullet"/>
        <w:numPr>
          <w:ilvl w:val="1"/>
          <w:numId w:val="1"/>
        </w:numPr>
      </w:pPr>
      <w:r w:rsidRPr="00F642EF">
        <w:t>Right Drug</w:t>
      </w:r>
    </w:p>
    <w:p w14:paraId="1139F796" w14:textId="77777777" w:rsidR="004A6353" w:rsidRPr="00F642EF" w:rsidRDefault="004A6353" w:rsidP="00D61B93">
      <w:pPr>
        <w:pStyle w:val="Bullet"/>
        <w:numPr>
          <w:ilvl w:val="1"/>
          <w:numId w:val="1"/>
        </w:numPr>
      </w:pPr>
      <w:r w:rsidRPr="00F642EF">
        <w:t>Right Dose</w:t>
      </w:r>
    </w:p>
    <w:p w14:paraId="77DBFCD2" w14:textId="77777777" w:rsidR="004A6353" w:rsidRPr="00F642EF" w:rsidRDefault="004A6353" w:rsidP="00D61B93">
      <w:pPr>
        <w:pStyle w:val="Bullet"/>
        <w:numPr>
          <w:ilvl w:val="1"/>
          <w:numId w:val="1"/>
        </w:numPr>
      </w:pPr>
      <w:r w:rsidRPr="00F642EF">
        <w:t>Right Route</w:t>
      </w:r>
    </w:p>
    <w:p w14:paraId="4D7F017E" w14:textId="77777777" w:rsidR="004A6353" w:rsidRPr="00F642EF" w:rsidRDefault="004A6353" w:rsidP="00D61B93">
      <w:pPr>
        <w:pStyle w:val="Bullet"/>
        <w:numPr>
          <w:ilvl w:val="1"/>
          <w:numId w:val="1"/>
        </w:numPr>
      </w:pPr>
      <w:r w:rsidRPr="00F642EF">
        <w:t>Right Time</w:t>
      </w:r>
    </w:p>
    <w:p w14:paraId="1C692CB2" w14:textId="77F582AF" w:rsidR="004A6353" w:rsidRPr="00F642EF" w:rsidRDefault="004A6353" w:rsidP="00D61B93">
      <w:pPr>
        <w:pStyle w:val="Numberedlist"/>
      </w:pPr>
      <w:r w:rsidRPr="00F642EF">
        <w:t xml:space="preserve">Confirm that the consumer has capacity to consent and provides consent to the procedure (noting there may be instances where consent cannot be provided, e.g. during restraint). </w:t>
      </w:r>
      <w:r w:rsidR="004F4D42">
        <w:t xml:space="preserve">See </w:t>
      </w:r>
      <w:r w:rsidR="004F4D42" w:rsidRPr="00D61B93">
        <w:rPr>
          <w:i/>
          <w:iCs/>
        </w:rPr>
        <w:t>Consent for Healthcare Treatment Guideline</w:t>
      </w:r>
      <w:r w:rsidR="004F4D42">
        <w:t xml:space="preserve"> on the Policy and Guidance Documents Register. </w:t>
      </w:r>
    </w:p>
    <w:p w14:paraId="7BB86F2D" w14:textId="7900C09F" w:rsidR="00EB4D9D" w:rsidRPr="00F642EF" w:rsidRDefault="00D40CE7" w:rsidP="00D61B93">
      <w:pPr>
        <w:pStyle w:val="Numberedlist"/>
      </w:pPr>
      <w:r w:rsidRPr="00F642EF">
        <w:t>Ask</w:t>
      </w:r>
      <w:r w:rsidR="00422C31" w:rsidRPr="00F642EF">
        <w:t xml:space="preserve"> </w:t>
      </w:r>
      <w:r w:rsidR="00EB4D9D" w:rsidRPr="00F642EF">
        <w:t>a second practitioner to double check the medication</w:t>
      </w:r>
      <w:r w:rsidR="00530E17">
        <w:t xml:space="preserve"> and follow local procedures for barcode scanning processes</w:t>
      </w:r>
      <w:r w:rsidR="00EB4D9D">
        <w:t>.</w:t>
      </w:r>
      <w:r w:rsidR="00EB4D9D" w:rsidRPr="00F642EF">
        <w:t xml:space="preserve"> An authorised second person is:</w:t>
      </w:r>
    </w:p>
    <w:p w14:paraId="257E73EC" w14:textId="093E9D95" w:rsidR="00422C31" w:rsidRPr="00F642EF" w:rsidRDefault="00422C31" w:rsidP="00D61B93">
      <w:pPr>
        <w:pStyle w:val="Bullet"/>
        <w:numPr>
          <w:ilvl w:val="1"/>
          <w:numId w:val="1"/>
        </w:numPr>
      </w:pPr>
      <w:r w:rsidRPr="00F642EF">
        <w:t>EN where the person administering the injection is an RN or MO</w:t>
      </w:r>
    </w:p>
    <w:p w14:paraId="7D050E3F" w14:textId="43805746" w:rsidR="00EB4D9D" w:rsidRPr="00F642EF" w:rsidRDefault="00EB4D9D" w:rsidP="00D61B93">
      <w:pPr>
        <w:pStyle w:val="Bullet"/>
        <w:numPr>
          <w:ilvl w:val="1"/>
          <w:numId w:val="1"/>
        </w:numPr>
      </w:pPr>
      <w:r w:rsidRPr="00F642EF">
        <w:t>MO</w:t>
      </w:r>
    </w:p>
    <w:p w14:paraId="460083CB" w14:textId="2DA0F4AB" w:rsidR="00EB4D9D" w:rsidRPr="00F642EF" w:rsidRDefault="00EB4D9D" w:rsidP="00D61B93">
      <w:pPr>
        <w:pStyle w:val="Bullet"/>
        <w:numPr>
          <w:ilvl w:val="1"/>
          <w:numId w:val="1"/>
        </w:numPr>
      </w:pPr>
      <w:r w:rsidRPr="00F642EF">
        <w:t>Registered Pharmacist</w:t>
      </w:r>
    </w:p>
    <w:p w14:paraId="1CCCD4CC" w14:textId="3C1EC3B3" w:rsidR="00EB4D9D" w:rsidRPr="00F642EF" w:rsidRDefault="00EB4D9D" w:rsidP="00D61B93">
      <w:pPr>
        <w:pStyle w:val="Bullet"/>
        <w:numPr>
          <w:ilvl w:val="1"/>
          <w:numId w:val="1"/>
        </w:numPr>
      </w:pPr>
      <w:r w:rsidRPr="00F642EF">
        <w:t>RN</w:t>
      </w:r>
    </w:p>
    <w:p w14:paraId="293384EF" w14:textId="42302429" w:rsidR="00142BE6" w:rsidRDefault="00EB4D9D" w:rsidP="00D61B93">
      <w:pPr>
        <w:pStyle w:val="Bullet"/>
        <w:numPr>
          <w:ilvl w:val="1"/>
          <w:numId w:val="1"/>
        </w:numPr>
      </w:pPr>
      <w:r w:rsidRPr="00F642EF">
        <w:t>R</w:t>
      </w:r>
      <w:r w:rsidR="00933FE3">
        <w:t xml:space="preserve">egistered </w:t>
      </w:r>
      <w:r w:rsidRPr="00F642EF">
        <w:t>M</w:t>
      </w:r>
      <w:r w:rsidR="00933FE3">
        <w:t>idwife</w:t>
      </w:r>
    </w:p>
    <w:p w14:paraId="59FDFD07" w14:textId="2242FB0A" w:rsidR="00142BE6" w:rsidRPr="003F1503" w:rsidRDefault="00142BE6" w:rsidP="00D61B93">
      <w:pPr>
        <w:pStyle w:val="Bullet"/>
        <w:numPr>
          <w:ilvl w:val="1"/>
          <w:numId w:val="1"/>
        </w:numPr>
      </w:pPr>
      <w:r>
        <w:t>NP</w:t>
      </w:r>
      <w:r w:rsidR="004F4D42">
        <w:t>.</w:t>
      </w:r>
    </w:p>
    <w:p w14:paraId="66D77804" w14:textId="50B17FB2" w:rsidR="00EB4D9D" w:rsidRPr="00142BE6" w:rsidRDefault="00EB4D9D" w:rsidP="00D61B93">
      <w:pPr>
        <w:pStyle w:val="Bullet"/>
        <w:numPr>
          <w:ilvl w:val="0"/>
          <w:numId w:val="0"/>
        </w:numPr>
        <w:ind w:left="425"/>
      </w:pPr>
      <w:r w:rsidRPr="00142BE6">
        <w:t xml:space="preserve">In community settings, medication can be double checked prior to leaving the health facility. The person administering the injection must re-check the medication against the prescription/order at the time of administration. If it is not practicable to obtain an authorised second person check in the community then it may be appropriate to ask the consumer or carer to check the medication prior to administration. </w:t>
      </w:r>
      <w:r w:rsidR="009E4470">
        <w:t>R</w:t>
      </w:r>
      <w:r w:rsidRPr="00142BE6">
        <w:t xml:space="preserve">efer to the </w:t>
      </w:r>
      <w:r w:rsidRPr="00D61B93">
        <w:rPr>
          <w:i/>
          <w:iCs/>
        </w:rPr>
        <w:t>Medication Handling Policy</w:t>
      </w:r>
      <w:r w:rsidR="009E4470" w:rsidRPr="00D61B93">
        <w:rPr>
          <w:i/>
          <w:iCs/>
        </w:rPr>
        <w:t xml:space="preserve"> </w:t>
      </w:r>
      <w:r w:rsidR="009E4470" w:rsidRPr="009E4470">
        <w:t>and</w:t>
      </w:r>
      <w:r w:rsidR="009E4470" w:rsidRPr="00D61B93">
        <w:rPr>
          <w:i/>
          <w:iCs/>
        </w:rPr>
        <w:t xml:space="preserve"> Medication Handling – NCH Procedure</w:t>
      </w:r>
      <w:r w:rsidRPr="00142BE6">
        <w:t xml:space="preserve">, located </w:t>
      </w:r>
      <w:r w:rsidR="009E4470">
        <w:t>o</w:t>
      </w:r>
      <w:r w:rsidRPr="00142BE6">
        <w:t xml:space="preserve">n the Policy and Guidance Documents Register, for more information. </w:t>
      </w:r>
    </w:p>
    <w:p w14:paraId="3FFEA18B" w14:textId="447CAC0D" w:rsidR="00D36F50" w:rsidRDefault="009E100A" w:rsidP="00142BE6">
      <w:pPr>
        <w:pStyle w:val="Numberedlist"/>
      </w:pPr>
      <w:r w:rsidRPr="00127413">
        <w:t xml:space="preserve">See </w:t>
      </w:r>
      <w:r w:rsidR="00D36F50">
        <w:t xml:space="preserve">Table 1 for </w:t>
      </w:r>
      <w:r w:rsidRPr="00127413">
        <w:t>site specific guidance</w:t>
      </w:r>
      <w:r w:rsidR="00DC5E71">
        <w:t>:</w:t>
      </w:r>
    </w:p>
    <w:p w14:paraId="5331DDCD" w14:textId="01964E23" w:rsidR="009E100A" w:rsidRPr="00D61B93" w:rsidRDefault="00D36F50" w:rsidP="00D61B93">
      <w:pPr>
        <w:pStyle w:val="Numberedlist"/>
        <w:numPr>
          <w:ilvl w:val="0"/>
          <w:numId w:val="0"/>
        </w:numPr>
        <w:rPr>
          <w:b/>
          <w:bCs/>
        </w:rPr>
      </w:pPr>
      <w:r w:rsidRPr="00D61B93">
        <w:rPr>
          <w:b/>
          <w:bCs/>
        </w:rPr>
        <w:t xml:space="preserve">Table 1 – Preparation guidance specific to IMI site </w:t>
      </w:r>
    </w:p>
    <w:tbl>
      <w:tblPr>
        <w:tblStyle w:val="TableGrid"/>
        <w:tblW w:w="0" w:type="auto"/>
        <w:tblLook w:val="04A0" w:firstRow="1" w:lastRow="0" w:firstColumn="1" w:lastColumn="0" w:noHBand="0" w:noVBand="1"/>
      </w:tblPr>
      <w:tblGrid>
        <w:gridCol w:w="1129"/>
        <w:gridCol w:w="8782"/>
      </w:tblGrid>
      <w:tr w:rsidR="00D36F50" w:rsidRPr="00D36F50" w14:paraId="32981427" w14:textId="77777777" w:rsidTr="0049088A">
        <w:trPr>
          <w:trHeight w:val="503"/>
        </w:trPr>
        <w:tc>
          <w:tcPr>
            <w:tcW w:w="1129" w:type="dxa"/>
            <w:vAlign w:val="center"/>
          </w:tcPr>
          <w:p w14:paraId="51561270" w14:textId="77777777" w:rsidR="009E100A" w:rsidRPr="00D61B93" w:rsidRDefault="009E100A" w:rsidP="00D61B93">
            <w:pPr>
              <w:pStyle w:val="Heading6"/>
            </w:pPr>
            <w:r w:rsidRPr="00D61B93">
              <w:lastRenderedPageBreak/>
              <w:t>Site</w:t>
            </w:r>
          </w:p>
        </w:tc>
        <w:tc>
          <w:tcPr>
            <w:tcW w:w="8782" w:type="dxa"/>
            <w:vAlign w:val="center"/>
          </w:tcPr>
          <w:p w14:paraId="6E0E3870" w14:textId="77777777" w:rsidR="009E100A" w:rsidRPr="00D61B93" w:rsidRDefault="009E100A" w:rsidP="00D61B93">
            <w:pPr>
              <w:pStyle w:val="Heading6"/>
            </w:pPr>
            <w:r w:rsidRPr="00D61B93">
              <w:t>Preparation</w:t>
            </w:r>
          </w:p>
        </w:tc>
      </w:tr>
      <w:tr w:rsidR="00D36F50" w:rsidRPr="00D36F50" w14:paraId="0B3D2757" w14:textId="77777777" w:rsidTr="0049088A">
        <w:trPr>
          <w:cantSplit/>
          <w:trHeight w:val="1134"/>
        </w:trPr>
        <w:tc>
          <w:tcPr>
            <w:tcW w:w="1129" w:type="dxa"/>
            <w:textDirection w:val="btLr"/>
            <w:vAlign w:val="center"/>
          </w:tcPr>
          <w:p w14:paraId="0F49F290" w14:textId="77777777" w:rsidR="009E100A" w:rsidRPr="00D61B93" w:rsidRDefault="009E100A" w:rsidP="00D61B93">
            <w:pPr>
              <w:spacing w:before="0" w:after="160" w:line="278" w:lineRule="auto"/>
              <w:contextualSpacing/>
              <w:rPr>
                <w:color w:val="auto"/>
              </w:rPr>
            </w:pPr>
            <w:r w:rsidRPr="00D61B93">
              <w:rPr>
                <w:color w:val="auto"/>
              </w:rPr>
              <w:t>Ventrogluteal</w:t>
            </w:r>
          </w:p>
        </w:tc>
        <w:tc>
          <w:tcPr>
            <w:tcW w:w="8782" w:type="dxa"/>
          </w:tcPr>
          <w:p w14:paraId="22EB4259" w14:textId="4672F071" w:rsidR="009E100A" w:rsidRPr="00D61B93" w:rsidRDefault="009E100A" w:rsidP="00D61B93">
            <w:pPr>
              <w:pStyle w:val="Tablebullet1"/>
            </w:pPr>
            <w:r w:rsidRPr="00D36F50">
              <w:rPr>
                <w:rFonts w:eastAsia="Calibri"/>
                <w:lang w:eastAsia="en-AU"/>
              </w:rPr>
              <w:t xml:space="preserve">Ask the consumer to lie down on their side and expose their </w:t>
            </w:r>
            <w:proofErr w:type="gramStart"/>
            <w:r w:rsidRPr="00D36F50">
              <w:rPr>
                <w:rFonts w:eastAsia="Calibri"/>
                <w:lang w:eastAsia="en-AU"/>
              </w:rPr>
              <w:t>hip</w:t>
            </w:r>
            <w:proofErr w:type="gramEnd"/>
            <w:r w:rsidR="00D36F50">
              <w:rPr>
                <w:rFonts w:eastAsia="Calibri"/>
                <w:lang w:eastAsia="en-AU"/>
              </w:rPr>
              <w:t>. Note t</w:t>
            </w:r>
            <w:r w:rsidRPr="00D36F50">
              <w:rPr>
                <w:rFonts w:eastAsia="Calibri"/>
                <w:lang w:eastAsia="en-AU"/>
              </w:rPr>
              <w:t>hey are not required to expose more than the injection site. A blanket can be used to protect modesty.</w:t>
            </w:r>
          </w:p>
          <w:p w14:paraId="365D2779" w14:textId="427EFA17" w:rsidR="009E100A" w:rsidRPr="00D61B93" w:rsidRDefault="009E100A" w:rsidP="00D61B93">
            <w:pPr>
              <w:pStyle w:val="Tablebullet1"/>
            </w:pPr>
            <w:r w:rsidRPr="00D36F50">
              <w:rPr>
                <w:rFonts w:eastAsia="Calibri"/>
                <w:lang w:eastAsia="en-AU"/>
              </w:rPr>
              <w:t xml:space="preserve">Palpate the greater trochanter. Place the palm of the opposite hand </w:t>
            </w:r>
            <w:proofErr w:type="gramStart"/>
            <w:r w:rsidRPr="00D36F50">
              <w:rPr>
                <w:rFonts w:eastAsia="Calibri"/>
                <w:lang w:eastAsia="en-AU"/>
              </w:rPr>
              <w:t>to</w:t>
            </w:r>
            <w:proofErr w:type="gramEnd"/>
            <w:r w:rsidRPr="00D36F50">
              <w:rPr>
                <w:rFonts w:eastAsia="Calibri"/>
                <w:lang w:eastAsia="en-AU"/>
              </w:rPr>
              <w:t xml:space="preserve"> the consumer’s leg on the greater trochanter (e.g. </w:t>
            </w:r>
            <w:r w:rsidR="00D36F50">
              <w:rPr>
                <w:rFonts w:eastAsia="Calibri"/>
                <w:lang w:eastAsia="en-AU"/>
              </w:rPr>
              <w:t>staff member’s</w:t>
            </w:r>
            <w:r w:rsidR="00D36F50" w:rsidRPr="00D36F50">
              <w:rPr>
                <w:rFonts w:eastAsia="Calibri"/>
                <w:lang w:eastAsia="en-AU"/>
              </w:rPr>
              <w:t xml:space="preserve"> </w:t>
            </w:r>
            <w:r w:rsidRPr="00D36F50">
              <w:rPr>
                <w:rFonts w:eastAsia="Calibri"/>
                <w:lang w:eastAsia="en-AU"/>
              </w:rPr>
              <w:t xml:space="preserve">left hand on their right leg). </w:t>
            </w:r>
          </w:p>
          <w:p w14:paraId="2EC03050" w14:textId="4B28DA91" w:rsidR="009E100A" w:rsidRPr="00D61B93" w:rsidRDefault="009E100A" w:rsidP="00D61B93">
            <w:pPr>
              <w:pStyle w:val="Tablebullet1"/>
            </w:pPr>
            <w:r w:rsidRPr="00D36F50">
              <w:rPr>
                <w:rFonts w:eastAsia="Calibri"/>
                <w:lang w:eastAsia="en-AU"/>
              </w:rPr>
              <w:t>Locate and place index finger on the anterior superior iliac spine</w:t>
            </w:r>
            <w:r w:rsidR="00D36F50">
              <w:rPr>
                <w:rFonts w:eastAsia="Calibri"/>
                <w:lang w:eastAsia="en-AU"/>
              </w:rPr>
              <w:t>.</w:t>
            </w:r>
            <w:r w:rsidRPr="00D36F50">
              <w:rPr>
                <w:rFonts w:eastAsia="Calibri"/>
                <w:lang w:eastAsia="en-AU"/>
              </w:rPr>
              <w:t xml:space="preserve"> </w:t>
            </w:r>
          </w:p>
          <w:p w14:paraId="1E0A415C" w14:textId="5CFC1AFB" w:rsidR="009E100A" w:rsidRPr="00D61B93" w:rsidRDefault="009E100A" w:rsidP="00D61B93">
            <w:pPr>
              <w:pStyle w:val="Tablebullet1"/>
            </w:pPr>
            <w:r w:rsidRPr="00D36F50">
              <w:rPr>
                <w:rFonts w:eastAsia="Calibri"/>
                <w:lang w:eastAsia="en-AU"/>
              </w:rPr>
              <w:t xml:space="preserve">Extend middle finger towards the iliac crest to form a ‘V’ between index and middle fingers. </w:t>
            </w:r>
            <w:r w:rsidR="00B03B3B">
              <w:rPr>
                <w:rFonts w:eastAsia="Calibri"/>
                <w:lang w:eastAsia="en-AU"/>
              </w:rPr>
              <w:t>T</w:t>
            </w:r>
            <w:r w:rsidRPr="00D36F50">
              <w:rPr>
                <w:rFonts w:eastAsia="Calibri"/>
                <w:lang w:eastAsia="en-AU"/>
              </w:rPr>
              <w:t>humb should be pointing towards the front of the leg.</w:t>
            </w:r>
          </w:p>
          <w:p w14:paraId="0A7A272A" w14:textId="04CA1358" w:rsidR="009E100A" w:rsidRPr="00D36F50" w:rsidRDefault="009E100A" w:rsidP="00D61B93">
            <w:pPr>
              <w:pStyle w:val="Tablebullet1"/>
            </w:pPr>
            <w:r w:rsidRPr="00D36F50">
              <w:t>The Injection site is in the ‘V’</w:t>
            </w:r>
            <w:r w:rsidR="00B03B3B">
              <w:t xml:space="preserve"> formed by index and middle fingers.</w:t>
            </w:r>
          </w:p>
        </w:tc>
      </w:tr>
      <w:tr w:rsidR="00D36F50" w:rsidRPr="00D36F50" w14:paraId="12C8D6AA" w14:textId="77777777" w:rsidTr="0049088A">
        <w:trPr>
          <w:cantSplit/>
          <w:trHeight w:val="1134"/>
        </w:trPr>
        <w:tc>
          <w:tcPr>
            <w:tcW w:w="1129" w:type="dxa"/>
            <w:textDirection w:val="btLr"/>
            <w:vAlign w:val="center"/>
          </w:tcPr>
          <w:p w14:paraId="441AE71B" w14:textId="77777777" w:rsidR="009E100A" w:rsidRPr="00D61B93" w:rsidRDefault="009E100A" w:rsidP="00D61B93">
            <w:pPr>
              <w:spacing w:before="0" w:after="160" w:line="278" w:lineRule="auto"/>
              <w:contextualSpacing/>
              <w:rPr>
                <w:color w:val="auto"/>
              </w:rPr>
            </w:pPr>
            <w:r w:rsidRPr="00D61B93">
              <w:rPr>
                <w:color w:val="auto"/>
              </w:rPr>
              <w:t>Deltoid</w:t>
            </w:r>
          </w:p>
        </w:tc>
        <w:tc>
          <w:tcPr>
            <w:tcW w:w="8782" w:type="dxa"/>
          </w:tcPr>
          <w:p w14:paraId="5720E0FB" w14:textId="06C26334" w:rsidR="009E100A" w:rsidRPr="00D61B93" w:rsidRDefault="009E100A" w:rsidP="767EDB19">
            <w:pPr>
              <w:pStyle w:val="Tablebullet1"/>
              <w:numPr>
                <w:ilvl w:val="0"/>
                <w:numId w:val="0"/>
              </w:numPr>
              <w:rPr>
                <w:rFonts w:eastAsia="Calibri"/>
                <w:lang w:eastAsia="en-AU"/>
              </w:rPr>
            </w:pPr>
            <w:r w:rsidRPr="00D36F50">
              <w:rPr>
                <w:rFonts w:eastAsia="Calibri"/>
                <w:lang w:eastAsia="en-AU"/>
              </w:rPr>
              <w:t xml:space="preserve">Ask the consumer to sit down and loosen their clothes so that their arm and shoulder are exposed. </w:t>
            </w:r>
            <w:r w:rsidR="00B915EB">
              <w:rPr>
                <w:rFonts w:eastAsia="Calibri"/>
                <w:lang w:eastAsia="en-AU"/>
              </w:rPr>
              <w:t xml:space="preserve">If the consumer is comfortable </w:t>
            </w:r>
            <w:r w:rsidR="0049088A">
              <w:rPr>
                <w:rFonts w:eastAsia="Calibri"/>
                <w:lang w:eastAsia="en-AU"/>
              </w:rPr>
              <w:t>doing</w:t>
            </w:r>
            <w:r w:rsidR="00B915EB">
              <w:rPr>
                <w:rFonts w:eastAsia="Calibri"/>
                <w:lang w:eastAsia="en-AU"/>
              </w:rPr>
              <w:t xml:space="preserve"> so, removing the arm fully from the clothing can reduce the likelihood of the tensing the shoulder.</w:t>
            </w:r>
            <w:r w:rsidRPr="767EDB19">
              <w:rPr>
                <w:rFonts w:eastAsia="Calibri"/>
                <w:lang w:eastAsia="en-AU"/>
              </w:rPr>
              <w:t xml:space="preserve"> </w:t>
            </w:r>
            <w:r w:rsidRPr="00D36F50">
              <w:rPr>
                <w:rFonts w:eastAsia="Calibri"/>
                <w:lang w:eastAsia="en-AU"/>
              </w:rPr>
              <w:t xml:space="preserve">Ask them to position their arm across their body to relax the muscles. </w:t>
            </w:r>
          </w:p>
          <w:p w14:paraId="2363E5C9" w14:textId="77777777" w:rsidR="009E100A" w:rsidRPr="00D61B93" w:rsidRDefault="009E100A" w:rsidP="00D61B93">
            <w:pPr>
              <w:pStyle w:val="Tablebullet1"/>
            </w:pPr>
            <w:r w:rsidRPr="00D36F50">
              <w:rPr>
                <w:rFonts w:eastAsia="Calibri"/>
                <w:lang w:eastAsia="en-AU"/>
              </w:rPr>
              <w:t>Palpate the upper arm and find the landmarks of the acromion process and the axillary crease.</w:t>
            </w:r>
          </w:p>
          <w:p w14:paraId="4A731960" w14:textId="77777777" w:rsidR="009E100A" w:rsidRPr="00D61B93" w:rsidRDefault="009E100A" w:rsidP="00D61B93">
            <w:pPr>
              <w:pStyle w:val="Tablebullet1"/>
            </w:pPr>
            <w:r w:rsidRPr="00D36F50">
              <w:rPr>
                <w:rFonts w:eastAsia="Calibri"/>
                <w:lang w:eastAsia="en-AU"/>
              </w:rPr>
              <w:t xml:space="preserve">The target injection site can be located by </w:t>
            </w:r>
            <w:proofErr w:type="spellStart"/>
            <w:r w:rsidRPr="00D36F50">
              <w:rPr>
                <w:rFonts w:eastAsia="Calibri"/>
                <w:lang w:eastAsia="en-AU"/>
              </w:rPr>
              <w:t>visualising</w:t>
            </w:r>
            <w:proofErr w:type="spellEnd"/>
            <w:r w:rsidRPr="00D36F50">
              <w:rPr>
                <w:rFonts w:eastAsia="Calibri"/>
                <w:lang w:eastAsia="en-AU"/>
              </w:rPr>
              <w:t xml:space="preserve"> an inverted triangle which extends from the base of the acromion process and extends down to a point level with the axillary crease.  </w:t>
            </w:r>
          </w:p>
          <w:p w14:paraId="3CA14B0C" w14:textId="77777777" w:rsidR="009E100A" w:rsidRPr="00D36F50" w:rsidRDefault="009E100A" w:rsidP="00D61B93">
            <w:pPr>
              <w:pStyle w:val="Tablebullet1"/>
            </w:pPr>
            <w:r w:rsidRPr="00D36F50">
              <w:t xml:space="preserve">Place three fingers below the acromion process. Lift the third finger to identify the site which extends no lower than an imaginary line drawn across the arm from the axillary crease. </w:t>
            </w:r>
          </w:p>
        </w:tc>
      </w:tr>
      <w:tr w:rsidR="00D36F50" w:rsidRPr="00D36F50" w14:paraId="2D731C22" w14:textId="77777777" w:rsidTr="0049088A">
        <w:trPr>
          <w:cantSplit/>
          <w:trHeight w:val="1134"/>
        </w:trPr>
        <w:tc>
          <w:tcPr>
            <w:tcW w:w="1129" w:type="dxa"/>
            <w:textDirection w:val="btLr"/>
            <w:vAlign w:val="center"/>
          </w:tcPr>
          <w:p w14:paraId="3DE0004A" w14:textId="77777777" w:rsidR="009E100A" w:rsidRPr="006C5B4F" w:rsidRDefault="009E100A" w:rsidP="00D61B93">
            <w:pPr>
              <w:spacing w:before="0" w:after="160" w:line="278" w:lineRule="auto"/>
              <w:contextualSpacing/>
              <w:rPr>
                <w:color w:val="auto"/>
                <w:highlight w:val="yellow"/>
              </w:rPr>
            </w:pPr>
            <w:r w:rsidRPr="009F600C">
              <w:rPr>
                <w:color w:val="auto"/>
              </w:rPr>
              <w:t>Lateral thigh</w:t>
            </w:r>
          </w:p>
        </w:tc>
        <w:tc>
          <w:tcPr>
            <w:tcW w:w="8782" w:type="dxa"/>
          </w:tcPr>
          <w:p w14:paraId="5577EA21" w14:textId="77777777" w:rsidR="009E100A" w:rsidRPr="00D61B93" w:rsidRDefault="009E100A" w:rsidP="00D61B93">
            <w:pPr>
              <w:pStyle w:val="Tablebullet1"/>
            </w:pPr>
            <w:r w:rsidRPr="00D36F50">
              <w:rPr>
                <w:rFonts w:eastAsia="Calibri"/>
                <w:lang w:eastAsia="en-AU"/>
              </w:rPr>
              <w:t xml:space="preserve">Ask the consumer to either sit or lie down and expose their upper leg/s. A blanket can be used to protect modesty. </w:t>
            </w:r>
          </w:p>
          <w:p w14:paraId="745DC642" w14:textId="77777777" w:rsidR="009E100A" w:rsidRPr="00D61B93" w:rsidRDefault="009E100A" w:rsidP="00D61B93">
            <w:pPr>
              <w:pStyle w:val="Tablebullet1"/>
            </w:pPr>
            <w:r w:rsidRPr="00D36F50">
              <w:rPr>
                <w:rFonts w:eastAsia="Calibri"/>
                <w:lang w:eastAsia="en-AU"/>
              </w:rPr>
              <w:t>Place the little finger of one hand on the lateral femoral condyle of the knee and the little finger of the other hand on the greater trochanter of the femur.</w:t>
            </w:r>
          </w:p>
          <w:p w14:paraId="4C8BBCC0" w14:textId="77777777" w:rsidR="009E100A" w:rsidRPr="00D61B93" w:rsidRDefault="009E100A" w:rsidP="00D61B93">
            <w:pPr>
              <w:pStyle w:val="Tablebullet1"/>
            </w:pPr>
            <w:r w:rsidRPr="00D36F50">
              <w:rPr>
                <w:rFonts w:eastAsia="Calibri"/>
                <w:lang w:eastAsia="en-AU"/>
              </w:rPr>
              <w:t xml:space="preserve">Try and align both thumbs together. </w:t>
            </w:r>
          </w:p>
          <w:p w14:paraId="27D4E572" w14:textId="23EE68CF" w:rsidR="009E100A" w:rsidRPr="00D36F50" w:rsidRDefault="009E100A" w:rsidP="00D61B93">
            <w:pPr>
              <w:pStyle w:val="Tablebullet1"/>
            </w:pPr>
            <w:r w:rsidRPr="00D36F50">
              <w:t xml:space="preserve">Both hands are then spanning the </w:t>
            </w:r>
            <w:r w:rsidR="008B51E0" w:rsidRPr="00D36F50">
              <w:t>distance,</w:t>
            </w:r>
            <w:r w:rsidRPr="00D36F50">
              <w:t xml:space="preserve"> and </w:t>
            </w:r>
            <w:r w:rsidR="00DF082C" w:rsidRPr="00D36F50">
              <w:t>the injection</w:t>
            </w:r>
            <w:r w:rsidRPr="00D36F50">
              <w:t xml:space="preserve"> site is at the midpoint on the lateral aspect of the thigh. </w:t>
            </w:r>
          </w:p>
        </w:tc>
      </w:tr>
      <w:tr w:rsidR="00D36F50" w:rsidRPr="00D36F50" w14:paraId="66C8183F" w14:textId="77777777" w:rsidTr="0049088A">
        <w:trPr>
          <w:cantSplit/>
          <w:trHeight w:val="2188"/>
        </w:trPr>
        <w:tc>
          <w:tcPr>
            <w:tcW w:w="1129" w:type="dxa"/>
            <w:textDirection w:val="btLr"/>
            <w:vAlign w:val="center"/>
          </w:tcPr>
          <w:p w14:paraId="2B83C454" w14:textId="7A303072" w:rsidR="009E100A" w:rsidRPr="00D61B93" w:rsidRDefault="009E100A" w:rsidP="00D61B93">
            <w:pPr>
              <w:spacing w:before="0" w:after="160" w:line="278" w:lineRule="auto"/>
              <w:contextualSpacing/>
              <w:rPr>
                <w:color w:val="auto"/>
              </w:rPr>
            </w:pPr>
            <w:proofErr w:type="spellStart"/>
            <w:r w:rsidRPr="00D61B93">
              <w:rPr>
                <w:color w:val="auto"/>
              </w:rPr>
              <w:t>Dorsogluteal</w:t>
            </w:r>
            <w:proofErr w:type="spellEnd"/>
          </w:p>
        </w:tc>
        <w:tc>
          <w:tcPr>
            <w:tcW w:w="8782" w:type="dxa"/>
          </w:tcPr>
          <w:p w14:paraId="7B8F6E95" w14:textId="5DCB3B4C" w:rsidR="00D36F50" w:rsidRDefault="00D36F50" w:rsidP="00D36F50">
            <w:pPr>
              <w:pStyle w:val="Tablebullet1"/>
            </w:pPr>
            <w:r>
              <w:t xml:space="preserve">Site </w:t>
            </w:r>
            <w:proofErr w:type="gramStart"/>
            <w:r>
              <w:t>n</w:t>
            </w:r>
            <w:r w:rsidR="008D1CA7" w:rsidRPr="00D61B93">
              <w:t>ot</w:t>
            </w:r>
            <w:proofErr w:type="gramEnd"/>
            <w:r w:rsidR="008D1CA7" w:rsidRPr="00D61B93">
              <w:t xml:space="preserve"> recommended unless no other options are available</w:t>
            </w:r>
            <w:r>
              <w:t xml:space="preserve">. See Sections 2 and 3. </w:t>
            </w:r>
          </w:p>
          <w:p w14:paraId="3209AC4D" w14:textId="18848BEE" w:rsidR="00D36F50" w:rsidRPr="0015081A" w:rsidRDefault="00D36F50" w:rsidP="00D36F50">
            <w:pPr>
              <w:pStyle w:val="Tablebullet1"/>
            </w:pPr>
            <w:r w:rsidRPr="0015081A">
              <w:t>If administration is required in this site as a last resort:</w:t>
            </w:r>
          </w:p>
          <w:p w14:paraId="69A39B28" w14:textId="7A821063" w:rsidR="00D36F50" w:rsidRPr="009F600C" w:rsidRDefault="00F9617C" w:rsidP="00D36F50">
            <w:pPr>
              <w:pStyle w:val="Tablebullet1"/>
              <w:numPr>
                <w:ilvl w:val="1"/>
                <w:numId w:val="1"/>
              </w:numPr>
            </w:pPr>
            <w:r w:rsidRPr="009F600C">
              <w:t>Ask the consumer to lie down and loosen their clothes so one buttock is exposed. Ask the consumer to either lie on their front o</w:t>
            </w:r>
            <w:r w:rsidR="00091F24" w:rsidRPr="009F600C">
              <w:t>r</w:t>
            </w:r>
            <w:r w:rsidRPr="009F600C">
              <w:t xml:space="preserve"> side with the femur internally rotated to minimise pain </w:t>
            </w:r>
            <w:proofErr w:type="gramStart"/>
            <w:r w:rsidRPr="009F600C">
              <w:t>on</w:t>
            </w:r>
            <w:proofErr w:type="gramEnd"/>
            <w:r w:rsidRPr="009F600C">
              <w:t xml:space="preserve"> administration. </w:t>
            </w:r>
          </w:p>
          <w:p w14:paraId="70A85DAF" w14:textId="77777777" w:rsidR="00D36F50" w:rsidRDefault="00F9617C" w:rsidP="00D36F50">
            <w:pPr>
              <w:pStyle w:val="Tablebullet1"/>
              <w:numPr>
                <w:ilvl w:val="1"/>
                <w:numId w:val="1"/>
              </w:numPr>
            </w:pPr>
            <w:r w:rsidRPr="00D61B93">
              <w:t xml:space="preserve">Palpate the greater trochanter and place a finger on the site. Find the posterior superior iliac spine and place a finger on the site. </w:t>
            </w:r>
          </w:p>
          <w:p w14:paraId="790F9B5C" w14:textId="33673AE6" w:rsidR="009E100A" w:rsidRPr="00D61B93" w:rsidRDefault="00F9617C" w:rsidP="00D61B93">
            <w:pPr>
              <w:pStyle w:val="Tablebullet1"/>
              <w:numPr>
                <w:ilvl w:val="1"/>
                <w:numId w:val="1"/>
              </w:numPr>
            </w:pPr>
            <w:proofErr w:type="spellStart"/>
            <w:r w:rsidRPr="00D61B93">
              <w:t>Visualise</w:t>
            </w:r>
            <w:proofErr w:type="spellEnd"/>
            <w:r w:rsidRPr="00D61B93">
              <w:t xml:space="preserve"> a straight line between these two points and find the middle point of the line. The injection site is 2.5 cm above (towards the torso) of this point.</w:t>
            </w:r>
            <w:r w:rsidR="00D36F50">
              <w:t xml:space="preserve"> </w:t>
            </w:r>
          </w:p>
        </w:tc>
      </w:tr>
    </w:tbl>
    <w:p w14:paraId="23735484" w14:textId="5E0A776B" w:rsidR="004438F4" w:rsidRPr="00EC13B0" w:rsidRDefault="004438F4" w:rsidP="00EC13B0">
      <w:pPr>
        <w:spacing w:before="0" w:after="160" w:line="278" w:lineRule="auto"/>
        <w:contextualSpacing/>
      </w:pPr>
    </w:p>
    <w:p w14:paraId="2510ACAE" w14:textId="5B9D43E0" w:rsidR="004A6353" w:rsidRDefault="004A6353" w:rsidP="00D61B93">
      <w:pPr>
        <w:pStyle w:val="Numberedlist"/>
      </w:pPr>
      <w:r w:rsidRPr="00127413">
        <w:t xml:space="preserve"> Administer the injection using the Z-track technique. </w:t>
      </w:r>
    </w:p>
    <w:p w14:paraId="5744017F" w14:textId="77777777" w:rsidR="00EB6D77" w:rsidRPr="00F642EF" w:rsidRDefault="00EB6D77" w:rsidP="00D61B93">
      <w:pPr>
        <w:pStyle w:val="Bullet"/>
        <w:numPr>
          <w:ilvl w:val="1"/>
          <w:numId w:val="1"/>
        </w:numPr>
      </w:pPr>
      <w:r w:rsidRPr="00F642EF">
        <w:lastRenderedPageBreak/>
        <w:t>Pull the skin at the administration site taut and to one side</w:t>
      </w:r>
      <w:r>
        <w:t xml:space="preserve"> with the </w:t>
      </w:r>
      <w:r w:rsidRPr="00F642EF">
        <w:t xml:space="preserve">side of the non-dominant hand. </w:t>
      </w:r>
    </w:p>
    <w:p w14:paraId="66FA4365" w14:textId="77777777" w:rsidR="00EB6D77" w:rsidRPr="00F642EF" w:rsidRDefault="00EB6D77" w:rsidP="00D61B93">
      <w:pPr>
        <w:pStyle w:val="Bullet"/>
        <w:numPr>
          <w:ilvl w:val="1"/>
          <w:numId w:val="1"/>
        </w:numPr>
      </w:pPr>
      <w:r w:rsidRPr="00F642EF">
        <w:t>Maintain firm traction of the skin throughout the procedure.</w:t>
      </w:r>
    </w:p>
    <w:p w14:paraId="29F866DD" w14:textId="77777777" w:rsidR="00EB6D77" w:rsidRPr="00F642EF" w:rsidRDefault="00EB6D77" w:rsidP="00D61B93">
      <w:pPr>
        <w:pStyle w:val="Bullet"/>
        <w:numPr>
          <w:ilvl w:val="1"/>
          <w:numId w:val="1"/>
        </w:numPr>
      </w:pPr>
      <w:r w:rsidRPr="00F642EF">
        <w:t xml:space="preserve">Insert the needle at a 90-degree angle to the surface of the skin to an adequate depth to allow the needle to penetrate the muscle. </w:t>
      </w:r>
    </w:p>
    <w:p w14:paraId="398EF8B6" w14:textId="77777777" w:rsidR="00EB6D77" w:rsidRPr="00F642EF" w:rsidRDefault="00EB6D77" w:rsidP="00D61B93">
      <w:pPr>
        <w:pStyle w:val="Bullet"/>
        <w:numPr>
          <w:ilvl w:val="1"/>
          <w:numId w:val="1"/>
        </w:numPr>
      </w:pPr>
      <w:r w:rsidRPr="00F642EF">
        <w:t xml:space="preserve">Aspirating the syringe – due to the potential presence of major blood vessels steady the barrel of the syringe with the remaining fingers of the non-dominant hand and pull back on the plunger with the dominant hand to aspirate. If blood appears in the syringe all the equipment must be discarded and the whole procedure must start again. If no blood appears, it is safe to continue. </w:t>
      </w:r>
    </w:p>
    <w:p w14:paraId="3CE84272" w14:textId="410BFE96" w:rsidR="00EB6D77" w:rsidRPr="00F642EF" w:rsidRDefault="00EB6D77" w:rsidP="00D61B93">
      <w:pPr>
        <w:pStyle w:val="Bullet"/>
        <w:numPr>
          <w:ilvl w:val="1"/>
          <w:numId w:val="1"/>
        </w:numPr>
      </w:pPr>
      <w:r w:rsidRPr="00F642EF">
        <w:t>Depress the plunger slowly</w:t>
      </w:r>
      <w:r>
        <w:t xml:space="preserve"> at a rate of 1ml per </w:t>
      </w:r>
      <w:r w:rsidR="009E4470">
        <w:t>ten</w:t>
      </w:r>
      <w:r>
        <w:t xml:space="preserve"> seconds </w:t>
      </w:r>
      <w:r w:rsidRPr="00F642EF">
        <w:t>to allow the muscle fibres to expand to accommodate the medication.</w:t>
      </w:r>
    </w:p>
    <w:p w14:paraId="3549F192" w14:textId="1E4BD860" w:rsidR="00EB6D77" w:rsidRPr="007960FF" w:rsidRDefault="00EB6D77" w:rsidP="00D61B93">
      <w:pPr>
        <w:pStyle w:val="Bullet"/>
        <w:numPr>
          <w:ilvl w:val="1"/>
          <w:numId w:val="1"/>
        </w:numPr>
      </w:pPr>
      <w:r w:rsidRPr="00F642EF">
        <w:t xml:space="preserve">Wait </w:t>
      </w:r>
      <w:r w:rsidR="009E4470">
        <w:t>ten</w:t>
      </w:r>
      <w:r w:rsidRPr="00F642EF">
        <w:t xml:space="preserve"> seconds before removing the needle</w:t>
      </w:r>
      <w:r w:rsidR="009E4470">
        <w:t xml:space="preserve">. Traction on the skin can be released only when it has been removed. </w:t>
      </w:r>
    </w:p>
    <w:p w14:paraId="7F5F4631" w14:textId="77777777" w:rsidR="009E4470" w:rsidRDefault="009E4470" w:rsidP="00D61B93">
      <w:pPr>
        <w:pStyle w:val="BodyCopy"/>
        <w:pBdr>
          <w:top w:val="single" w:sz="4" w:space="1" w:color="auto"/>
          <w:left w:val="single" w:sz="4" w:space="4" w:color="auto"/>
          <w:bottom w:val="single" w:sz="4" w:space="1" w:color="auto"/>
          <w:right w:val="single" w:sz="4" w:space="4" w:color="auto"/>
        </w:pBdr>
      </w:pPr>
      <w:r w:rsidRPr="00817F64">
        <w:rPr>
          <w:b/>
        </w:rPr>
        <w:t>Note:</w:t>
      </w:r>
      <w:r>
        <w:t xml:space="preserve"> Priming of needles prior to injection is not recommended due to risk of losing full dosage, stinging sensation at injections site and medication solidifying in the needle causing pain on administration.</w:t>
      </w:r>
    </w:p>
    <w:p w14:paraId="0BBD48FC" w14:textId="6C01DDB5" w:rsidR="004A6353" w:rsidRPr="00F642EF" w:rsidRDefault="004A6353" w:rsidP="00D61B93">
      <w:pPr>
        <w:pStyle w:val="Numberedlist"/>
      </w:pPr>
      <w:r w:rsidRPr="00F642EF">
        <w:t xml:space="preserve">Dispose of all equipment immediately and safely dispose of sharps in a </w:t>
      </w:r>
      <w:proofErr w:type="gramStart"/>
      <w:r w:rsidR="00262FA8" w:rsidRPr="00F642EF">
        <w:t>sharps</w:t>
      </w:r>
      <w:proofErr w:type="gramEnd"/>
      <w:r w:rsidRPr="00F642EF">
        <w:t xml:space="preserve"> container. </w:t>
      </w:r>
    </w:p>
    <w:p w14:paraId="77A5A0BE" w14:textId="1EA3666A" w:rsidR="004A6353" w:rsidRPr="00F642EF" w:rsidRDefault="004A6353" w:rsidP="00D61B93">
      <w:pPr>
        <w:pStyle w:val="Numberedlist"/>
      </w:pPr>
      <w:r w:rsidRPr="00F642EF">
        <w:t>Document the administration in the MAR, including the injection site</w:t>
      </w:r>
      <w:r w:rsidR="008552EF">
        <w:t xml:space="preserve"> and side (right or left)</w:t>
      </w:r>
      <w:r w:rsidRPr="00F642EF">
        <w:t xml:space="preserve">. </w:t>
      </w:r>
    </w:p>
    <w:p w14:paraId="656EB245" w14:textId="4DB9FC06" w:rsidR="009E4470" w:rsidRDefault="004A6353" w:rsidP="00D61B93">
      <w:pPr>
        <w:pStyle w:val="Numberedlist"/>
      </w:pPr>
      <w:r w:rsidRPr="00F642EF">
        <w:t xml:space="preserve">Provide information and education to the consumer and their </w:t>
      </w:r>
      <w:r w:rsidR="00C1595C" w:rsidRPr="005C5A71">
        <w:t>carer</w:t>
      </w:r>
      <w:r w:rsidR="00BA04A8">
        <w:t>/</w:t>
      </w:r>
      <w:r w:rsidR="00C1595C" w:rsidRPr="005C5A71">
        <w:t>s, family or supporters</w:t>
      </w:r>
      <w:r w:rsidR="009E4470">
        <w:t xml:space="preserve">. This should include things </w:t>
      </w:r>
      <w:r w:rsidRPr="00F642EF">
        <w:t xml:space="preserve">to look out for after the injection, how to manage any common side effects and what to do if the consumer experiences any change to their mental or physical health status before their next visit. </w:t>
      </w:r>
    </w:p>
    <w:p w14:paraId="12ECCDB8" w14:textId="2F8EFD39" w:rsidR="009E4470" w:rsidRPr="00F642EF" w:rsidRDefault="009E4470" w:rsidP="00D61B93">
      <w:pPr>
        <w:pStyle w:val="BodyCopy"/>
        <w:pBdr>
          <w:top w:val="single" w:sz="4" w:space="1" w:color="auto"/>
          <w:left w:val="single" w:sz="4" w:space="4" w:color="auto"/>
          <w:bottom w:val="single" w:sz="4" w:space="1" w:color="auto"/>
          <w:right w:val="single" w:sz="4" w:space="4" w:color="auto"/>
        </w:pBdr>
      </w:pPr>
      <w:r w:rsidRPr="00DF082C">
        <w:rPr>
          <w:b/>
          <w:bCs w:val="0"/>
        </w:rPr>
        <w:t>Note:</w:t>
      </w:r>
      <w:r w:rsidRPr="00D61B93">
        <w:t xml:space="preserve"> </w:t>
      </w:r>
      <w:r w:rsidRPr="009E4470">
        <w:t xml:space="preserve">If a consumer declines injection into the </w:t>
      </w:r>
      <w:r>
        <w:t xml:space="preserve">ventrogluteal </w:t>
      </w:r>
      <w:r w:rsidRPr="009E4470">
        <w:t xml:space="preserve">site and requests the </w:t>
      </w:r>
      <w:proofErr w:type="spellStart"/>
      <w:r w:rsidR="00D36F50">
        <w:t>dorsogluteal</w:t>
      </w:r>
      <w:proofErr w:type="spellEnd"/>
      <w:r w:rsidR="00D36F50">
        <w:t xml:space="preserve"> </w:t>
      </w:r>
      <w:r w:rsidRPr="009E4470">
        <w:t xml:space="preserve">site instead, this must be clearly documented in their DHR. The consumer </w:t>
      </w:r>
      <w:r w:rsidR="00D36F50">
        <w:t xml:space="preserve">is to be </w:t>
      </w:r>
      <w:r w:rsidRPr="009E4470">
        <w:t xml:space="preserve">informed of the risks associated with using the </w:t>
      </w:r>
      <w:proofErr w:type="spellStart"/>
      <w:r w:rsidR="00D36F50">
        <w:t>dorsogluteal</w:t>
      </w:r>
      <w:proofErr w:type="spellEnd"/>
      <w:r w:rsidR="00D36F50">
        <w:t xml:space="preserve"> </w:t>
      </w:r>
      <w:r w:rsidRPr="009E4470">
        <w:t>site</w:t>
      </w:r>
      <w:r w:rsidR="00BA04A8">
        <w:t>. T</w:t>
      </w:r>
      <w:r w:rsidR="00EB32B7">
        <w:t xml:space="preserve">his discussion </w:t>
      </w:r>
      <w:r w:rsidR="00BA04A8">
        <w:t xml:space="preserve">is to be </w:t>
      </w:r>
      <w:r w:rsidR="00EB32B7">
        <w:t xml:space="preserve">recorded in clinical documentation. </w:t>
      </w:r>
    </w:p>
    <w:p w14:paraId="40F91480" w14:textId="77777777" w:rsidR="001D5A79" w:rsidRPr="00F642EF" w:rsidRDefault="001D5A79" w:rsidP="00D63C42">
      <w:pPr>
        <w:pStyle w:val="Heading5"/>
      </w:pPr>
      <w:r w:rsidRPr="00F642EF">
        <w:t xml:space="preserve">Documentation  </w:t>
      </w:r>
    </w:p>
    <w:p w14:paraId="46173482" w14:textId="433A5E8B" w:rsidR="001D5A79" w:rsidRPr="00F642EF" w:rsidRDefault="001D5A79" w:rsidP="001429A1">
      <w:pPr>
        <w:pStyle w:val="BodyCopy"/>
      </w:pPr>
      <w:r w:rsidRPr="00F642EF">
        <w:t xml:space="preserve">The clinical record should reflect the </w:t>
      </w:r>
      <w:r w:rsidR="00BA04A8">
        <w:t xml:space="preserve">administering staff member’s </w:t>
      </w:r>
      <w:r w:rsidRPr="00F642EF">
        <w:t>full, chronological account of assessment,</w:t>
      </w:r>
      <w:r w:rsidR="00AE00DC" w:rsidRPr="00F642EF">
        <w:t xml:space="preserve"> </w:t>
      </w:r>
      <w:r w:rsidRPr="00F642EF">
        <w:t>planning and care and provide information relevant to the procedure at the time of the administration</w:t>
      </w:r>
      <w:r w:rsidR="00AE00DC" w:rsidRPr="00F642EF">
        <w:t xml:space="preserve"> </w:t>
      </w:r>
      <w:r w:rsidRPr="00F642EF">
        <w:t>of the injection.</w:t>
      </w:r>
      <w:r w:rsidR="00D63C42" w:rsidRPr="00F642EF">
        <w:t xml:space="preserve"> </w:t>
      </w:r>
    </w:p>
    <w:p w14:paraId="5E99F0C4" w14:textId="3C3E38DA" w:rsidR="00D63C42" w:rsidRPr="00F642EF" w:rsidRDefault="00D63C42" w:rsidP="001429A1">
      <w:pPr>
        <w:pStyle w:val="BodyCopy"/>
      </w:pPr>
      <w:r w:rsidRPr="00F642EF">
        <w:t>The following information should be included:</w:t>
      </w:r>
    </w:p>
    <w:p w14:paraId="10B01E0D" w14:textId="3149DE9A" w:rsidR="00D63C42" w:rsidRPr="00F642EF" w:rsidRDefault="00BA04A8" w:rsidP="00D61B93">
      <w:pPr>
        <w:pStyle w:val="Bullet"/>
      </w:pPr>
      <w:r>
        <w:t>c</w:t>
      </w:r>
      <w:r w:rsidR="00D63C42" w:rsidRPr="00F642EF">
        <w:t>ompleted MAR which will outline:</w:t>
      </w:r>
    </w:p>
    <w:p w14:paraId="7A8C19F5" w14:textId="79ED8731" w:rsidR="00D63C42" w:rsidRPr="00F642EF" w:rsidRDefault="00BA04A8" w:rsidP="00D61B93">
      <w:pPr>
        <w:pStyle w:val="Bullet"/>
        <w:numPr>
          <w:ilvl w:val="1"/>
          <w:numId w:val="1"/>
        </w:numPr>
      </w:pPr>
      <w:r>
        <w:t>m</w:t>
      </w:r>
      <w:r w:rsidR="00B82FF8" w:rsidRPr="00F642EF">
        <w:t>edication</w:t>
      </w:r>
      <w:r w:rsidR="00D63C42" w:rsidRPr="00F642EF">
        <w:t xml:space="preserve"> type</w:t>
      </w:r>
    </w:p>
    <w:p w14:paraId="11B008F4" w14:textId="28686D6B" w:rsidR="00D63C42" w:rsidRPr="00F642EF" w:rsidRDefault="00BA04A8" w:rsidP="00D61B93">
      <w:pPr>
        <w:pStyle w:val="Bullet"/>
        <w:numPr>
          <w:ilvl w:val="1"/>
          <w:numId w:val="1"/>
        </w:numPr>
      </w:pPr>
      <w:r>
        <w:t>m</w:t>
      </w:r>
      <w:r w:rsidR="00D63C42" w:rsidRPr="00F642EF">
        <w:t>edication dose</w:t>
      </w:r>
    </w:p>
    <w:p w14:paraId="5FDB2861" w14:textId="493A7D35" w:rsidR="00D63C42" w:rsidRPr="00F642EF" w:rsidRDefault="00BA04A8" w:rsidP="00D61B93">
      <w:pPr>
        <w:pStyle w:val="Bullet"/>
        <w:numPr>
          <w:ilvl w:val="1"/>
          <w:numId w:val="1"/>
        </w:numPr>
      </w:pPr>
      <w:r>
        <w:lastRenderedPageBreak/>
        <w:t>ti</w:t>
      </w:r>
      <w:r w:rsidR="00D63C42" w:rsidRPr="00F642EF">
        <w:t>me and date of administration</w:t>
      </w:r>
    </w:p>
    <w:p w14:paraId="6643C2A4" w14:textId="63E24433" w:rsidR="00D63C42" w:rsidRPr="00F642EF" w:rsidRDefault="00BA04A8" w:rsidP="00D61B93">
      <w:pPr>
        <w:pStyle w:val="Bullet"/>
        <w:numPr>
          <w:ilvl w:val="1"/>
          <w:numId w:val="1"/>
        </w:numPr>
      </w:pPr>
      <w:r>
        <w:t>a</w:t>
      </w:r>
      <w:r w:rsidR="00D63C42" w:rsidRPr="00F642EF">
        <w:t>dministration site (e.g. ventrogluteal)</w:t>
      </w:r>
    </w:p>
    <w:p w14:paraId="0B451D1E" w14:textId="7A5F5295" w:rsidR="00BA13FA" w:rsidRPr="00F642EF" w:rsidRDefault="00BA04A8" w:rsidP="00D61B93">
      <w:pPr>
        <w:pStyle w:val="Bullet"/>
        <w:numPr>
          <w:ilvl w:val="1"/>
          <w:numId w:val="1"/>
        </w:numPr>
      </w:pPr>
      <w:r>
        <w:t>a</w:t>
      </w:r>
      <w:r w:rsidR="00BA13FA" w:rsidRPr="00F642EF">
        <w:t>dministration side (e.g. left or right side)</w:t>
      </w:r>
    </w:p>
    <w:p w14:paraId="53164F91" w14:textId="35F01A36" w:rsidR="00D63C42" w:rsidRPr="00F642EF" w:rsidRDefault="00BA04A8" w:rsidP="00D61B93">
      <w:pPr>
        <w:pStyle w:val="Bullet"/>
        <w:numPr>
          <w:ilvl w:val="1"/>
          <w:numId w:val="1"/>
        </w:numPr>
      </w:pPr>
      <w:r>
        <w:t>s</w:t>
      </w:r>
      <w:r w:rsidR="00D63C42" w:rsidRPr="00F642EF">
        <w:t>ignature of second person/person double checking medication</w:t>
      </w:r>
      <w:r>
        <w:t>.</w:t>
      </w:r>
    </w:p>
    <w:p w14:paraId="41E6242A" w14:textId="572A5BAA" w:rsidR="00D63C42" w:rsidRPr="00F642EF" w:rsidRDefault="00BA04A8" w:rsidP="00D61B93">
      <w:pPr>
        <w:pStyle w:val="Bullet"/>
      </w:pPr>
      <w:r>
        <w:t>a</w:t>
      </w:r>
      <w:r w:rsidR="00D63C42" w:rsidRPr="00F642EF">
        <w:t xml:space="preserve"> record in the progress notes of any discussions around decisions made and education provided</w:t>
      </w:r>
      <w:r w:rsidR="00B82FF8" w:rsidRPr="00F642EF">
        <w:t xml:space="preserve"> to the consumer, their family and/or support person</w:t>
      </w:r>
    </w:p>
    <w:p w14:paraId="5E3DB0F9" w14:textId="423A001C" w:rsidR="00B82FF8" w:rsidRPr="00F642EF" w:rsidRDefault="00BA04A8" w:rsidP="00D61B93">
      <w:pPr>
        <w:pStyle w:val="Bullet"/>
      </w:pPr>
      <w:r>
        <w:t>a</w:t>
      </w:r>
      <w:r w:rsidR="00B82FF8" w:rsidRPr="00F642EF">
        <w:t>ny deviation from normal practice</w:t>
      </w:r>
      <w:r w:rsidR="00D36F50">
        <w:t xml:space="preserve">, including use of/reason for </w:t>
      </w:r>
      <w:proofErr w:type="spellStart"/>
      <w:r w:rsidR="00D36F50">
        <w:t>dorsogluteal</w:t>
      </w:r>
      <w:proofErr w:type="spellEnd"/>
      <w:r w:rsidR="00D36F50">
        <w:t xml:space="preserve"> site </w:t>
      </w:r>
    </w:p>
    <w:p w14:paraId="10F38B04" w14:textId="4622FFCC" w:rsidR="00D63C42" w:rsidRPr="00F642EF" w:rsidRDefault="00BA04A8" w:rsidP="00D61B93">
      <w:pPr>
        <w:pStyle w:val="Bullet"/>
      </w:pPr>
      <w:r>
        <w:t>a</w:t>
      </w:r>
      <w:r w:rsidR="00D63C42" w:rsidRPr="00F642EF">
        <w:t xml:space="preserve">ny </w:t>
      </w:r>
      <w:r>
        <w:t xml:space="preserve">clinical </w:t>
      </w:r>
      <w:r w:rsidR="00D63C42" w:rsidRPr="00F642EF">
        <w:t xml:space="preserve">incidents must be recorded in </w:t>
      </w:r>
      <w:r>
        <w:t>the clinical incident register (</w:t>
      </w:r>
      <w:r w:rsidR="00D63C42" w:rsidRPr="00F642EF">
        <w:t>Risk</w:t>
      </w:r>
      <w:r w:rsidR="00933FE3">
        <w:t>M</w:t>
      </w:r>
      <w:r w:rsidR="00D63C42" w:rsidRPr="00F642EF">
        <w:t>an</w:t>
      </w:r>
      <w:r>
        <w:t>)</w:t>
      </w:r>
      <w:r w:rsidR="00D63C42" w:rsidRPr="00F642EF">
        <w:t xml:space="preserve"> and reported to the relevant Team Leader</w:t>
      </w:r>
      <w:r w:rsidR="00D36F50">
        <w:t>.</w:t>
      </w:r>
      <w:r w:rsidR="00D63C42" w:rsidRPr="00F642EF">
        <w:t xml:space="preserve"> </w:t>
      </w:r>
    </w:p>
    <w:p w14:paraId="68B272A9" w14:textId="56B171A3" w:rsidR="00B14039" w:rsidRDefault="00481A6C" w:rsidP="001429A1">
      <w:pPr>
        <w:pStyle w:val="BodyCopy"/>
      </w:pPr>
      <w:hyperlink w:anchor="_top" w:history="1">
        <w:r w:rsidRPr="00F642EF">
          <w:rPr>
            <w:rStyle w:val="Hyperlink"/>
            <w:iCs w:val="0"/>
          </w:rPr>
          <w:t>Back to Contents</w:t>
        </w:r>
      </w:hyperlink>
    </w:p>
    <w:p w14:paraId="7061540D" w14:textId="67F72925" w:rsidR="00B14039" w:rsidRDefault="00B14039">
      <w:pPr>
        <w:spacing w:before="0" w:after="0" w:line="240" w:lineRule="auto"/>
        <w:rPr>
          <w:rFonts w:eastAsia="Times New Roman"/>
          <w:bCs/>
          <w:iCs/>
        </w:rPr>
      </w:pPr>
    </w:p>
    <w:p w14:paraId="20E5A5C6" w14:textId="77777777" w:rsidR="0078367D" w:rsidRPr="00F642EF" w:rsidRDefault="0078367D" w:rsidP="001429A1">
      <w:pPr>
        <w:pStyle w:val="Heading4"/>
      </w:pPr>
      <w:bookmarkStart w:id="8" w:name="_Toc176348490"/>
      <w:bookmarkStart w:id="9" w:name="_Toc210295817"/>
      <w:r w:rsidRPr="00F642EF">
        <w:t>Evaluation</w:t>
      </w:r>
      <w:bookmarkStart w:id="10" w:name="_Hlk43366294"/>
      <w:bookmarkEnd w:id="8"/>
      <w:bookmarkEnd w:id="9"/>
    </w:p>
    <w:p w14:paraId="513FBB66" w14:textId="77777777" w:rsidR="00481A6C" w:rsidRPr="00F642EF" w:rsidRDefault="00481A6C" w:rsidP="001429A1">
      <w:pPr>
        <w:pStyle w:val="Heading5"/>
        <w:rPr>
          <w:color w:val="auto"/>
        </w:rPr>
      </w:pPr>
      <w:bookmarkStart w:id="11" w:name="_Hlk170467190"/>
      <w:bookmarkEnd w:id="10"/>
      <w:r w:rsidRPr="00F642EF">
        <w:t>Outcome</w:t>
      </w:r>
    </w:p>
    <w:p w14:paraId="65FC9469" w14:textId="0720BE9D" w:rsidR="00BA04A8" w:rsidRDefault="006B2EB5" w:rsidP="00BA04A8">
      <w:pPr>
        <w:pStyle w:val="Bullet"/>
      </w:pPr>
      <w:bookmarkStart w:id="12" w:name="_Hlk170467240"/>
      <w:bookmarkEnd w:id="11"/>
      <w:r w:rsidRPr="00F642EF">
        <w:t xml:space="preserve">Staff consistently use </w:t>
      </w:r>
      <w:r w:rsidR="0077037F" w:rsidRPr="00F642EF">
        <w:t>best practice IM medication administration techniques</w:t>
      </w:r>
      <w:r w:rsidR="00BA04A8">
        <w:t>, including 90% of IMIs administered to the gluteal muscle use the ventrogluteal site</w:t>
      </w:r>
    </w:p>
    <w:p w14:paraId="1EF02B62" w14:textId="3A2DD362" w:rsidR="00A9390F" w:rsidRPr="00F642EF" w:rsidRDefault="00A9390F" w:rsidP="00A9390F">
      <w:pPr>
        <w:pStyle w:val="Bullet"/>
      </w:pPr>
      <w:r>
        <w:t>85</w:t>
      </w:r>
      <w:r w:rsidRPr="00F642EF">
        <w:t>% of MHJHADS nursing staff receive IM administration training</w:t>
      </w:r>
    </w:p>
    <w:p w14:paraId="6A3E1192" w14:textId="5CEDDE83" w:rsidR="00530E17" w:rsidRPr="00F642EF" w:rsidRDefault="00530E17" w:rsidP="00A9390F">
      <w:pPr>
        <w:pStyle w:val="Bullet"/>
      </w:pPr>
      <w:r w:rsidRPr="00530E17">
        <w:t>95% compliance with barcode scanning of the medication and the consumer</w:t>
      </w:r>
    </w:p>
    <w:p w14:paraId="2DE5D0A4" w14:textId="2C746061" w:rsidR="00481A6C" w:rsidRPr="00F642EF" w:rsidRDefault="00C34A10" w:rsidP="001429A1">
      <w:pPr>
        <w:pStyle w:val="Heading5"/>
      </w:pPr>
      <w:r w:rsidRPr="00F642EF">
        <w:t>Measures</w:t>
      </w:r>
    </w:p>
    <w:p w14:paraId="3BB9944A" w14:textId="425A4B5D" w:rsidR="00172635" w:rsidRPr="00F642EF" w:rsidRDefault="00BA04A8" w:rsidP="003A60F9">
      <w:pPr>
        <w:pStyle w:val="Bullet"/>
      </w:pPr>
      <w:r>
        <w:t xml:space="preserve">Review of </w:t>
      </w:r>
      <w:r w:rsidR="00172635" w:rsidRPr="00F642EF">
        <w:t>HRIMS completion rates of online learning module and face to face training</w:t>
      </w:r>
      <w:r>
        <w:t xml:space="preserve"> </w:t>
      </w:r>
      <w:r w:rsidR="00A8619C">
        <w:t xml:space="preserve">over 12 months </w:t>
      </w:r>
    </w:p>
    <w:p w14:paraId="1B811BFC" w14:textId="18CAC8A7" w:rsidR="00A9390F" w:rsidRDefault="00BA04A8" w:rsidP="003A60F9">
      <w:pPr>
        <w:pStyle w:val="Bullet"/>
      </w:pPr>
      <w:r>
        <w:t xml:space="preserve">Review of percentage of </w:t>
      </w:r>
      <w:r w:rsidR="0077037F" w:rsidRPr="00F642EF">
        <w:t xml:space="preserve">IMIs </w:t>
      </w:r>
      <w:r w:rsidR="00A8619C">
        <w:t xml:space="preserve">administered to the gluteal muscle use the </w:t>
      </w:r>
      <w:r>
        <w:t xml:space="preserve">ventrogluteal </w:t>
      </w:r>
      <w:r w:rsidR="00A8619C">
        <w:t>site</w:t>
      </w:r>
      <w:r>
        <w:t>,</w:t>
      </w:r>
      <w:r w:rsidR="00172635" w:rsidRPr="00F642EF">
        <w:t xml:space="preserve"> </w:t>
      </w:r>
      <w:r w:rsidR="00964482">
        <w:t>over 12 months</w:t>
      </w:r>
    </w:p>
    <w:bookmarkEnd w:id="12"/>
    <w:p w14:paraId="41070AA9" w14:textId="51D8058D" w:rsidR="00530E17" w:rsidRDefault="00530E17" w:rsidP="003A60F9">
      <w:pPr>
        <w:pStyle w:val="Bullet"/>
      </w:pPr>
      <w:r w:rsidRPr="00530E17">
        <w:t xml:space="preserve">Compliance with barcode scanning </w:t>
      </w:r>
      <w:r w:rsidR="0049088A">
        <w:t xml:space="preserve">measured through the DHR by The Canberra Hospital (TCH) Pharmacy Medication Safety Team </w:t>
      </w:r>
    </w:p>
    <w:p w14:paraId="4DC11FCC" w14:textId="77777777" w:rsidR="00481A6C" w:rsidRPr="00F642EF" w:rsidRDefault="00481A6C" w:rsidP="001429A1">
      <w:pPr>
        <w:pStyle w:val="BodyCopy"/>
        <w:spacing w:after="120"/>
        <w:rPr>
          <w:rStyle w:val="Hyperlink"/>
          <w:iCs w:val="0"/>
        </w:rPr>
      </w:pPr>
      <w:hyperlink w:anchor="_top" w:history="1">
        <w:r w:rsidRPr="00F642EF">
          <w:rPr>
            <w:rStyle w:val="Hyperlink"/>
            <w:iCs w:val="0"/>
          </w:rPr>
          <w:t>Back to Contents</w:t>
        </w:r>
      </w:hyperlink>
    </w:p>
    <w:p w14:paraId="04EDA583" w14:textId="77777777" w:rsidR="00A6051F" w:rsidRPr="00F642EF" w:rsidRDefault="00A6051F" w:rsidP="001429A1">
      <w:pPr>
        <w:pStyle w:val="Heading4"/>
      </w:pPr>
      <w:bookmarkStart w:id="13" w:name="_Toc210295818"/>
      <w:r w:rsidRPr="00F642EF">
        <w:t>Related policies, procedures, guidelines and legislation</w:t>
      </w:r>
      <w:bookmarkEnd w:id="13"/>
    </w:p>
    <w:p w14:paraId="2E413272" w14:textId="77777777" w:rsidR="00481A6C" w:rsidRPr="00F642EF" w:rsidRDefault="00481A6C" w:rsidP="001429A1">
      <w:pPr>
        <w:pStyle w:val="Heading5"/>
      </w:pPr>
      <w:r w:rsidRPr="00F642EF">
        <w:t>Policies</w:t>
      </w:r>
    </w:p>
    <w:p w14:paraId="27F74436" w14:textId="77777777" w:rsidR="00BA0ED9" w:rsidRDefault="00BA0ED9" w:rsidP="003A60F9">
      <w:pPr>
        <w:pStyle w:val="Bullet"/>
      </w:pPr>
      <w:r>
        <w:t xml:space="preserve">Medication Handling </w:t>
      </w:r>
    </w:p>
    <w:p w14:paraId="163904CD" w14:textId="6B72A380" w:rsidR="00A86197" w:rsidRPr="003A60F9" w:rsidRDefault="00A86197" w:rsidP="003A60F9">
      <w:pPr>
        <w:pStyle w:val="Bullet"/>
      </w:pPr>
      <w:r w:rsidRPr="003A60F9">
        <w:t>Nursing and Midwifery Board of Australia (NMBA) Requirements for Practice</w:t>
      </w:r>
    </w:p>
    <w:p w14:paraId="2479E798" w14:textId="77777777" w:rsidR="00481A6C" w:rsidRPr="00F642EF" w:rsidRDefault="00481A6C" w:rsidP="001429A1">
      <w:pPr>
        <w:pStyle w:val="Heading5"/>
      </w:pPr>
      <w:r w:rsidRPr="00F642EF">
        <w:t>Procedures</w:t>
      </w:r>
    </w:p>
    <w:p w14:paraId="73B671C1" w14:textId="77777777" w:rsidR="00481A6C" w:rsidRPr="003A60F9" w:rsidRDefault="00635114" w:rsidP="003A60F9">
      <w:pPr>
        <w:pStyle w:val="Bullet"/>
      </w:pPr>
      <w:r w:rsidRPr="003A60F9">
        <w:t>Infection Prevention and Control</w:t>
      </w:r>
    </w:p>
    <w:p w14:paraId="3936FA84" w14:textId="5FA4FD71" w:rsidR="00481A6C" w:rsidRPr="003A60F9" w:rsidRDefault="00481A6C" w:rsidP="003A60F9">
      <w:pPr>
        <w:pStyle w:val="Bullet"/>
      </w:pPr>
      <w:r w:rsidRPr="003A60F9">
        <w:t xml:space="preserve">Patient Identification and </w:t>
      </w:r>
      <w:r w:rsidR="00BA0ED9">
        <w:t>Health Care Activity</w:t>
      </w:r>
      <w:r w:rsidR="00BA0ED9" w:rsidRPr="003A60F9">
        <w:t xml:space="preserve"> </w:t>
      </w:r>
      <w:r w:rsidRPr="003A60F9">
        <w:t xml:space="preserve">Matching </w:t>
      </w:r>
    </w:p>
    <w:p w14:paraId="6D865FA0" w14:textId="46C104F9" w:rsidR="0044419A" w:rsidRPr="003A60F9" w:rsidRDefault="00A41501" w:rsidP="003A60F9">
      <w:pPr>
        <w:pStyle w:val="Bullet"/>
      </w:pPr>
      <w:r w:rsidRPr="003A60F9">
        <w:t>Medication</w:t>
      </w:r>
      <w:r w:rsidR="00ED363D" w:rsidRPr="003A60F9">
        <w:t xml:space="preserve"> Handling</w:t>
      </w:r>
      <w:r w:rsidR="00BA0ED9">
        <w:t xml:space="preserve"> – North Canberra Hospital (NCH)</w:t>
      </w:r>
    </w:p>
    <w:p w14:paraId="58CAEDEA" w14:textId="7C161A66" w:rsidR="00D969C1" w:rsidRPr="003A60F9" w:rsidRDefault="00D969C1" w:rsidP="003A60F9">
      <w:pPr>
        <w:pStyle w:val="Bullet"/>
      </w:pPr>
      <w:r w:rsidRPr="003A60F9">
        <w:lastRenderedPageBreak/>
        <w:t>Restraint and or Forcible Giving of Medication to a person Detained under the Mental Health Act 2015</w:t>
      </w:r>
    </w:p>
    <w:p w14:paraId="4C0336A1" w14:textId="2C9990CB" w:rsidR="00E17C6C" w:rsidRPr="003A60F9" w:rsidRDefault="00E17C6C" w:rsidP="003A60F9">
      <w:pPr>
        <w:pStyle w:val="Bullet"/>
      </w:pPr>
      <w:r w:rsidRPr="003A60F9">
        <w:t>Olanzapine Long-Acting Injection (LAI) – Administration and Observation</w:t>
      </w:r>
    </w:p>
    <w:p w14:paraId="0D35681B" w14:textId="77777777" w:rsidR="00481A6C" w:rsidRPr="00F642EF" w:rsidRDefault="00481A6C" w:rsidP="001429A1">
      <w:pPr>
        <w:pStyle w:val="Heading5"/>
      </w:pPr>
      <w:r w:rsidRPr="00F642EF">
        <w:t xml:space="preserve">Guidelines </w:t>
      </w:r>
    </w:p>
    <w:p w14:paraId="54E79898" w14:textId="77777777" w:rsidR="009746B1" w:rsidRPr="003A60F9" w:rsidRDefault="009746B1" w:rsidP="003A60F9">
      <w:pPr>
        <w:pStyle w:val="Bullet"/>
      </w:pPr>
      <w:r w:rsidRPr="003A60F9">
        <w:t>Consent for Healthcare Treatment</w:t>
      </w:r>
    </w:p>
    <w:p w14:paraId="53D5CF51" w14:textId="77777777" w:rsidR="00481A6C" w:rsidRPr="00F642EF" w:rsidRDefault="00481A6C" w:rsidP="001429A1">
      <w:pPr>
        <w:pStyle w:val="Heading5"/>
      </w:pPr>
      <w:r w:rsidRPr="00F642EF">
        <w:t>Legislation</w:t>
      </w:r>
    </w:p>
    <w:p w14:paraId="4C7F36EF" w14:textId="77777777" w:rsidR="00481A6C" w:rsidRPr="003A60F9" w:rsidRDefault="00481A6C" w:rsidP="003A60F9">
      <w:pPr>
        <w:pStyle w:val="Bullet"/>
      </w:pPr>
      <w:r w:rsidRPr="00D61B93">
        <w:rPr>
          <w:i/>
          <w:iCs/>
        </w:rPr>
        <w:t>Health Records (Privacy and Access) Act</w:t>
      </w:r>
      <w:r w:rsidRPr="003A60F9">
        <w:t xml:space="preserve"> 1997</w:t>
      </w:r>
    </w:p>
    <w:p w14:paraId="476B46DD" w14:textId="77777777" w:rsidR="00481A6C" w:rsidRPr="003A60F9" w:rsidRDefault="00481A6C" w:rsidP="003A60F9">
      <w:pPr>
        <w:pStyle w:val="Bullet"/>
      </w:pPr>
      <w:r w:rsidRPr="00D61B93">
        <w:rPr>
          <w:i/>
          <w:iCs/>
        </w:rPr>
        <w:t xml:space="preserve">Human Rights Act </w:t>
      </w:r>
      <w:r w:rsidRPr="003A60F9">
        <w:t>2004</w:t>
      </w:r>
    </w:p>
    <w:p w14:paraId="798A7688" w14:textId="77777777" w:rsidR="00481A6C" w:rsidRPr="003A60F9" w:rsidRDefault="00481A6C" w:rsidP="003A60F9">
      <w:pPr>
        <w:pStyle w:val="Bullet"/>
      </w:pPr>
      <w:r w:rsidRPr="00D61B93">
        <w:rPr>
          <w:i/>
          <w:iCs/>
        </w:rPr>
        <w:t xml:space="preserve">Work Health and Safety Act </w:t>
      </w:r>
      <w:r w:rsidRPr="003A60F9">
        <w:t>2011</w:t>
      </w:r>
    </w:p>
    <w:p w14:paraId="4FF22EF9" w14:textId="77777777" w:rsidR="00481A6C" w:rsidRPr="003A60F9" w:rsidRDefault="00481A6C" w:rsidP="003A60F9">
      <w:pPr>
        <w:pStyle w:val="Bullet"/>
      </w:pPr>
      <w:r w:rsidRPr="00D61B93">
        <w:rPr>
          <w:i/>
          <w:iCs/>
        </w:rPr>
        <w:t xml:space="preserve">Carers Recognition Act </w:t>
      </w:r>
      <w:r w:rsidRPr="003A60F9">
        <w:t>2021</w:t>
      </w:r>
    </w:p>
    <w:p w14:paraId="7269F30A" w14:textId="5E393092" w:rsidR="00A41501" w:rsidRPr="003A60F9" w:rsidRDefault="00A41501" w:rsidP="003A60F9">
      <w:pPr>
        <w:pStyle w:val="Bullet"/>
      </w:pPr>
      <w:r w:rsidRPr="00D61B93">
        <w:rPr>
          <w:i/>
          <w:iCs/>
        </w:rPr>
        <w:t xml:space="preserve">Mental Health Act </w:t>
      </w:r>
      <w:r w:rsidRPr="003A60F9">
        <w:t>2015</w:t>
      </w:r>
    </w:p>
    <w:p w14:paraId="44C40C0B" w14:textId="77777777" w:rsidR="007D214B" w:rsidRPr="0049088A" w:rsidRDefault="007D214B" w:rsidP="007D214B">
      <w:pPr>
        <w:pStyle w:val="Bullet"/>
        <w:rPr>
          <w:rFonts w:asciiTheme="minorHAnsi" w:hAnsiTheme="minorHAnsi" w:cstheme="minorHAnsi"/>
          <w:i/>
          <w:iCs/>
        </w:rPr>
      </w:pPr>
      <w:r w:rsidRPr="0049088A">
        <w:rPr>
          <w:rStyle w:val="cf01"/>
          <w:rFonts w:asciiTheme="minorHAnsi" w:hAnsiTheme="minorHAnsi" w:cstheme="minorHAnsi"/>
          <w:i/>
          <w:iCs/>
          <w:sz w:val="24"/>
          <w:szCs w:val="24"/>
        </w:rPr>
        <w:t>Medicines, Poisons and Therapeutic Goods Regulation 2008 </w:t>
      </w:r>
    </w:p>
    <w:p w14:paraId="0CE64B92" w14:textId="048CE06D" w:rsidR="007D214B" w:rsidRPr="0049088A" w:rsidRDefault="007D214B" w:rsidP="007D214B">
      <w:pPr>
        <w:pStyle w:val="Bullet"/>
        <w:rPr>
          <w:rFonts w:asciiTheme="minorHAnsi" w:hAnsiTheme="minorHAnsi" w:cstheme="minorHAnsi"/>
          <w:i/>
          <w:iCs/>
        </w:rPr>
      </w:pPr>
      <w:r w:rsidRPr="0049088A">
        <w:rPr>
          <w:rStyle w:val="cf01"/>
          <w:rFonts w:asciiTheme="minorHAnsi" w:hAnsiTheme="minorHAnsi" w:cstheme="minorHAnsi"/>
          <w:i/>
          <w:iCs/>
          <w:sz w:val="24"/>
          <w:szCs w:val="24"/>
        </w:rPr>
        <w:t>Medicines, Poisons and Therapeutic Goods Act 2008 </w:t>
      </w:r>
    </w:p>
    <w:p w14:paraId="1900F222" w14:textId="77777777" w:rsidR="00481A6C" w:rsidRPr="00F642EF" w:rsidRDefault="00481A6C" w:rsidP="001429A1">
      <w:pPr>
        <w:pStyle w:val="Heading5"/>
      </w:pPr>
      <w:r w:rsidRPr="00F642EF">
        <w:t>Other</w:t>
      </w:r>
    </w:p>
    <w:p w14:paraId="5455B680" w14:textId="77777777" w:rsidR="000E7683" w:rsidRPr="003A60F9" w:rsidRDefault="00481A6C" w:rsidP="003A60F9">
      <w:pPr>
        <w:pStyle w:val="Bullet"/>
      </w:pPr>
      <w:r w:rsidRPr="003A60F9">
        <w:t>Australian Charter of Healthcare Right</w:t>
      </w:r>
      <w:r w:rsidR="00280C5D" w:rsidRPr="003A60F9">
        <w:t>s</w:t>
      </w:r>
    </w:p>
    <w:p w14:paraId="1F6A57E4" w14:textId="52B12A11" w:rsidR="003579BB" w:rsidRPr="003A60F9" w:rsidRDefault="003579BB" w:rsidP="003A60F9">
      <w:pPr>
        <w:pStyle w:val="Bullet"/>
      </w:pPr>
      <w:r w:rsidRPr="003A60F9">
        <w:t>The Australian Injectable Drug Handbook</w:t>
      </w:r>
    </w:p>
    <w:p w14:paraId="5D2F5EE8" w14:textId="4CD5BE5C" w:rsidR="008341B0" w:rsidRPr="003A60F9" w:rsidRDefault="008341B0" w:rsidP="003A60F9">
      <w:pPr>
        <w:pStyle w:val="Bullet"/>
      </w:pPr>
      <w:r>
        <w:t>Australian Medicine’s Handbook (AMH) Online</w:t>
      </w:r>
    </w:p>
    <w:p w14:paraId="18DF2F40" w14:textId="1FF9E475" w:rsidR="003579BB" w:rsidRPr="003A60F9" w:rsidRDefault="003579BB" w:rsidP="003A60F9">
      <w:pPr>
        <w:pStyle w:val="Bullet"/>
      </w:pPr>
      <w:r w:rsidRPr="003A60F9">
        <w:t>MIMS (</w:t>
      </w:r>
      <w:proofErr w:type="spellStart"/>
      <w:r w:rsidRPr="003A60F9">
        <w:t>eMIMs</w:t>
      </w:r>
      <w:proofErr w:type="spellEnd"/>
      <w:r w:rsidRPr="003A60F9">
        <w:t xml:space="preserve"> elite)</w:t>
      </w:r>
    </w:p>
    <w:p w14:paraId="7E959200" w14:textId="695AED42" w:rsidR="00C11725" w:rsidRPr="003A60F9" w:rsidRDefault="00C11725" w:rsidP="003A60F9">
      <w:pPr>
        <w:pStyle w:val="Bullet"/>
      </w:pPr>
      <w:r w:rsidRPr="003A60F9">
        <w:t>Choice and Medication for Canberra Health Service</w:t>
      </w:r>
    </w:p>
    <w:p w14:paraId="77473685" w14:textId="77777777" w:rsidR="000E7683" w:rsidRPr="00F642EF" w:rsidRDefault="000E7683" w:rsidP="001429A1">
      <w:pPr>
        <w:pStyle w:val="BodyCopy"/>
      </w:pPr>
      <w:hyperlink w:anchor="_top" w:history="1">
        <w:r w:rsidRPr="00F642EF">
          <w:rPr>
            <w:rStyle w:val="Hyperlink"/>
          </w:rPr>
          <w:t>Back to Contents</w:t>
        </w:r>
      </w:hyperlink>
    </w:p>
    <w:p w14:paraId="02038D59" w14:textId="77777777" w:rsidR="0078367D" w:rsidRPr="00F642EF" w:rsidRDefault="0078367D" w:rsidP="001429A1">
      <w:pPr>
        <w:pStyle w:val="Heading4"/>
      </w:pPr>
      <w:bookmarkStart w:id="14" w:name="_Toc210295819"/>
      <w:r w:rsidRPr="00F642EF">
        <w:t>References</w:t>
      </w:r>
      <w:bookmarkEnd w:id="14"/>
    </w:p>
    <w:p w14:paraId="341EC7F6" w14:textId="77777777" w:rsidR="00161C99" w:rsidRPr="00F642EF" w:rsidRDefault="00161C99" w:rsidP="00161C99">
      <w:pPr>
        <w:pStyle w:val="BodyCopy"/>
        <w:rPr>
          <w:rFonts w:asciiTheme="minorHAnsi" w:hAnsiTheme="minorHAnsi" w:cstheme="minorHAnsi"/>
          <w:color w:val="auto"/>
          <w:shd w:val="clear" w:color="auto" w:fill="FFFFFF"/>
        </w:rPr>
      </w:pPr>
      <w:r w:rsidRPr="00F642EF">
        <w:rPr>
          <w:rFonts w:asciiTheme="minorHAnsi" w:hAnsiTheme="minorHAnsi" w:cstheme="minorHAnsi"/>
          <w:color w:val="auto"/>
          <w:shd w:val="clear" w:color="auto" w:fill="FFFFFF"/>
        </w:rPr>
        <w:t xml:space="preserve">Canterbury District Health Board. (2019). Intramuscular Injection. Protocol. </w:t>
      </w:r>
      <w:hyperlink r:id="rId15" w:history="1">
        <w:r w:rsidRPr="00F642EF">
          <w:rPr>
            <w:rStyle w:val="Hyperlink"/>
            <w:rFonts w:asciiTheme="minorHAnsi" w:hAnsiTheme="minorHAnsi" w:cstheme="minorHAnsi"/>
            <w:shd w:val="clear" w:color="auto" w:fill="FFFFFF"/>
          </w:rPr>
          <w:t>Intramuscular Injections</w:t>
        </w:r>
      </w:hyperlink>
    </w:p>
    <w:p w14:paraId="08CA4E6E" w14:textId="77777777" w:rsidR="00657837" w:rsidRPr="00F642EF" w:rsidRDefault="00657837" w:rsidP="00657837">
      <w:pPr>
        <w:pStyle w:val="BodyCopy"/>
        <w:rPr>
          <w:rFonts w:asciiTheme="minorHAnsi" w:hAnsiTheme="minorHAnsi" w:cstheme="minorHAnsi"/>
          <w:color w:val="FF0000"/>
          <w:shd w:val="clear" w:color="auto" w:fill="FFFFFF"/>
        </w:rPr>
      </w:pPr>
      <w:r w:rsidRPr="00F642EF">
        <w:rPr>
          <w:rFonts w:asciiTheme="minorHAnsi" w:hAnsiTheme="minorHAnsi" w:cstheme="minorHAnsi"/>
          <w:color w:val="auto"/>
          <w:shd w:val="clear" w:color="auto" w:fill="FFFFFF"/>
        </w:rPr>
        <w:t xml:space="preserve">Department of Health and Aged Care. (2022). Medication management in the community. Guiding Principles. </w:t>
      </w:r>
      <w:hyperlink r:id="rId16" w:history="1">
        <w:r w:rsidRPr="00F642EF">
          <w:rPr>
            <w:rStyle w:val="Hyperlink"/>
            <w:rFonts w:asciiTheme="minorHAnsi" w:hAnsiTheme="minorHAnsi" w:cstheme="minorHAnsi"/>
            <w:shd w:val="clear" w:color="auto" w:fill="FFFFFF"/>
          </w:rPr>
          <w:t>Guiding Principles for Medication Management in the Community</w:t>
        </w:r>
      </w:hyperlink>
    </w:p>
    <w:p w14:paraId="297134EF" w14:textId="7ED85C3D" w:rsidR="00247141" w:rsidRPr="00F642EF" w:rsidRDefault="00247141" w:rsidP="001429A1">
      <w:pPr>
        <w:pStyle w:val="BodyCopy"/>
        <w:rPr>
          <w:rFonts w:asciiTheme="majorHAnsi" w:hAnsiTheme="majorHAnsi" w:cstheme="majorHAnsi"/>
          <w:color w:val="auto"/>
        </w:rPr>
      </w:pPr>
      <w:proofErr w:type="spellStart"/>
      <w:r w:rsidRPr="00F642EF">
        <w:rPr>
          <w:rFonts w:asciiTheme="majorHAnsi" w:hAnsiTheme="majorHAnsi" w:cstheme="majorHAnsi"/>
          <w:color w:val="auto"/>
          <w:shd w:val="clear" w:color="auto" w:fill="FFFFFF"/>
        </w:rPr>
        <w:t>Elgellaie</w:t>
      </w:r>
      <w:proofErr w:type="spellEnd"/>
      <w:r w:rsidRPr="00F642EF">
        <w:rPr>
          <w:rFonts w:asciiTheme="majorHAnsi" w:hAnsiTheme="majorHAnsi" w:cstheme="majorHAnsi"/>
          <w:color w:val="auto"/>
          <w:shd w:val="clear" w:color="auto" w:fill="FFFFFF"/>
        </w:rPr>
        <w:t>, A., Ashcroft, E., &amp; Larkin, T. A. (2018). Effects of thickness of muscle and subcutaneous fat on efficacy of gluteal intramuscular injection sites. </w:t>
      </w:r>
      <w:r w:rsidRPr="00F642EF">
        <w:rPr>
          <w:rFonts w:asciiTheme="majorHAnsi" w:hAnsiTheme="majorHAnsi" w:cstheme="majorHAnsi"/>
          <w:i/>
          <w:iCs w:val="0"/>
          <w:color w:val="auto"/>
          <w:shd w:val="clear" w:color="auto" w:fill="FFFFFF"/>
        </w:rPr>
        <w:t>British Journal of Nursing (Mark Allen Publishing)</w:t>
      </w:r>
      <w:r w:rsidRPr="00F642EF">
        <w:rPr>
          <w:rFonts w:asciiTheme="majorHAnsi" w:hAnsiTheme="majorHAnsi" w:cstheme="majorHAnsi"/>
          <w:color w:val="auto"/>
          <w:shd w:val="clear" w:color="auto" w:fill="FFFFFF"/>
        </w:rPr>
        <w:t>, </w:t>
      </w:r>
      <w:r w:rsidRPr="00F642EF">
        <w:rPr>
          <w:rFonts w:asciiTheme="majorHAnsi" w:hAnsiTheme="majorHAnsi" w:cstheme="majorHAnsi"/>
          <w:i/>
          <w:iCs w:val="0"/>
          <w:color w:val="auto"/>
          <w:shd w:val="clear" w:color="auto" w:fill="FFFFFF"/>
        </w:rPr>
        <w:t>27</w:t>
      </w:r>
      <w:r w:rsidRPr="00F642EF">
        <w:rPr>
          <w:rFonts w:asciiTheme="majorHAnsi" w:hAnsiTheme="majorHAnsi" w:cstheme="majorHAnsi"/>
          <w:color w:val="auto"/>
          <w:shd w:val="clear" w:color="auto" w:fill="FFFFFF"/>
        </w:rPr>
        <w:t>(6), 300–305. https://doi.org/10.12968/bjon.2018.27.6.300</w:t>
      </w:r>
    </w:p>
    <w:p w14:paraId="292162A3" w14:textId="77777777" w:rsidR="003F3F46" w:rsidRPr="00F642EF" w:rsidRDefault="003F3F46" w:rsidP="001429A1">
      <w:pPr>
        <w:pStyle w:val="BodyCopy"/>
        <w:rPr>
          <w:rFonts w:asciiTheme="minorHAnsi" w:hAnsiTheme="minorHAnsi" w:cstheme="minorHAnsi"/>
          <w:color w:val="auto"/>
          <w:shd w:val="clear" w:color="auto" w:fill="FFFFFF"/>
        </w:rPr>
      </w:pPr>
      <w:r w:rsidRPr="00F642EF">
        <w:rPr>
          <w:rFonts w:asciiTheme="minorHAnsi" w:hAnsiTheme="minorHAnsi" w:cstheme="minorHAnsi"/>
          <w:color w:val="auto"/>
          <w:shd w:val="clear" w:color="auto" w:fill="FFFFFF"/>
        </w:rPr>
        <w:t xml:space="preserve">Legrand, G., </w:t>
      </w:r>
      <w:proofErr w:type="spellStart"/>
      <w:r w:rsidRPr="00F642EF">
        <w:rPr>
          <w:rFonts w:asciiTheme="minorHAnsi" w:hAnsiTheme="minorHAnsi" w:cstheme="minorHAnsi"/>
          <w:color w:val="auto"/>
          <w:shd w:val="clear" w:color="auto" w:fill="FFFFFF"/>
        </w:rPr>
        <w:t>Guiguet</w:t>
      </w:r>
      <w:proofErr w:type="spellEnd"/>
      <w:r w:rsidRPr="00F642EF">
        <w:rPr>
          <w:rFonts w:ascii="Cambria Math" w:hAnsi="Cambria Math" w:cs="Cambria Math"/>
          <w:color w:val="auto"/>
          <w:shd w:val="clear" w:color="auto" w:fill="FFFFFF"/>
        </w:rPr>
        <w:t>‐</w:t>
      </w:r>
      <w:r w:rsidRPr="00F642EF">
        <w:rPr>
          <w:rFonts w:asciiTheme="minorHAnsi" w:hAnsiTheme="minorHAnsi" w:cstheme="minorHAnsi"/>
          <w:color w:val="auto"/>
          <w:shd w:val="clear" w:color="auto" w:fill="FFFFFF"/>
        </w:rPr>
        <w:t xml:space="preserve">Auclair, C., </w:t>
      </w:r>
      <w:proofErr w:type="spellStart"/>
      <w:r w:rsidRPr="00F642EF">
        <w:rPr>
          <w:rFonts w:asciiTheme="minorHAnsi" w:hAnsiTheme="minorHAnsi" w:cstheme="minorHAnsi"/>
          <w:color w:val="auto"/>
          <w:shd w:val="clear" w:color="auto" w:fill="FFFFFF"/>
        </w:rPr>
        <w:t>Viennet</w:t>
      </w:r>
      <w:proofErr w:type="spellEnd"/>
      <w:r w:rsidRPr="00F642EF">
        <w:rPr>
          <w:rFonts w:asciiTheme="minorHAnsi" w:hAnsiTheme="minorHAnsi" w:cstheme="minorHAnsi"/>
          <w:color w:val="auto"/>
          <w:shd w:val="clear" w:color="auto" w:fill="FFFFFF"/>
        </w:rPr>
        <w:t xml:space="preserve">, H., </w:t>
      </w:r>
      <w:proofErr w:type="spellStart"/>
      <w:r w:rsidRPr="00F642EF">
        <w:rPr>
          <w:rFonts w:asciiTheme="minorHAnsi" w:hAnsiTheme="minorHAnsi" w:cstheme="minorHAnsi"/>
          <w:color w:val="auto"/>
          <w:shd w:val="clear" w:color="auto" w:fill="FFFFFF"/>
        </w:rPr>
        <w:t>Aumeran</w:t>
      </w:r>
      <w:proofErr w:type="spellEnd"/>
      <w:r w:rsidRPr="00F642EF">
        <w:rPr>
          <w:rFonts w:asciiTheme="minorHAnsi" w:hAnsiTheme="minorHAnsi" w:cstheme="minorHAnsi"/>
          <w:color w:val="auto"/>
          <w:shd w:val="clear" w:color="auto" w:fill="FFFFFF"/>
        </w:rPr>
        <w:t xml:space="preserve">, C., Reynaud, D., </w:t>
      </w:r>
      <w:proofErr w:type="spellStart"/>
      <w:r w:rsidRPr="00F642EF">
        <w:rPr>
          <w:rFonts w:asciiTheme="minorHAnsi" w:hAnsiTheme="minorHAnsi" w:cstheme="minorHAnsi"/>
          <w:color w:val="auto"/>
          <w:shd w:val="clear" w:color="auto" w:fill="FFFFFF"/>
        </w:rPr>
        <w:t>Badrikian</w:t>
      </w:r>
      <w:proofErr w:type="spellEnd"/>
      <w:r w:rsidRPr="00F642EF">
        <w:rPr>
          <w:rFonts w:asciiTheme="minorHAnsi" w:hAnsiTheme="minorHAnsi" w:cstheme="minorHAnsi"/>
          <w:color w:val="auto"/>
          <w:shd w:val="clear" w:color="auto" w:fill="FFFFFF"/>
        </w:rPr>
        <w:t xml:space="preserve">, L., &amp; </w:t>
      </w:r>
      <w:proofErr w:type="spellStart"/>
      <w:r w:rsidRPr="00F642EF">
        <w:rPr>
          <w:rFonts w:asciiTheme="minorHAnsi" w:hAnsiTheme="minorHAnsi" w:cstheme="minorHAnsi"/>
          <w:color w:val="auto"/>
          <w:shd w:val="clear" w:color="auto" w:fill="FFFFFF"/>
        </w:rPr>
        <w:t>Debost</w:t>
      </w:r>
      <w:proofErr w:type="spellEnd"/>
      <w:r w:rsidRPr="00F642EF">
        <w:rPr>
          <w:rFonts w:ascii="Cambria Math" w:hAnsi="Cambria Math" w:cs="Cambria Math"/>
          <w:color w:val="auto"/>
          <w:shd w:val="clear" w:color="auto" w:fill="FFFFFF"/>
        </w:rPr>
        <w:t>‐</w:t>
      </w:r>
      <w:r w:rsidRPr="00F642EF">
        <w:rPr>
          <w:rFonts w:asciiTheme="minorHAnsi" w:hAnsiTheme="minorHAnsi" w:cstheme="minorHAnsi"/>
          <w:color w:val="auto"/>
          <w:shd w:val="clear" w:color="auto" w:fill="FFFFFF"/>
        </w:rPr>
        <w:t>Legrand, A. (2019). Nurses</w:t>
      </w:r>
      <w:r w:rsidRPr="00F642EF">
        <w:rPr>
          <w:color w:val="auto"/>
          <w:shd w:val="clear" w:color="auto" w:fill="FFFFFF"/>
        </w:rPr>
        <w:t>’</w:t>
      </w:r>
      <w:r w:rsidRPr="00F642EF">
        <w:rPr>
          <w:rFonts w:asciiTheme="minorHAnsi" w:hAnsiTheme="minorHAnsi" w:cstheme="minorHAnsi"/>
          <w:color w:val="auto"/>
          <w:shd w:val="clear" w:color="auto" w:fill="FFFFFF"/>
        </w:rPr>
        <w:t xml:space="preserve"> practices in the preparation and administration of intramuscular injections in mental health: A cross</w:t>
      </w:r>
      <w:r w:rsidRPr="00F642EF">
        <w:rPr>
          <w:rFonts w:ascii="Cambria Math" w:hAnsi="Cambria Math" w:cs="Cambria Math"/>
          <w:color w:val="auto"/>
          <w:shd w:val="clear" w:color="auto" w:fill="FFFFFF"/>
        </w:rPr>
        <w:t>‐</w:t>
      </w:r>
      <w:r w:rsidRPr="00F642EF">
        <w:rPr>
          <w:rFonts w:asciiTheme="minorHAnsi" w:hAnsiTheme="minorHAnsi" w:cstheme="minorHAnsi"/>
          <w:color w:val="auto"/>
          <w:shd w:val="clear" w:color="auto" w:fill="FFFFFF"/>
        </w:rPr>
        <w:t>sectional study.</w:t>
      </w:r>
      <w:r w:rsidRPr="00F642EF">
        <w:rPr>
          <w:color w:val="auto"/>
          <w:shd w:val="clear" w:color="auto" w:fill="FFFFFF"/>
        </w:rPr>
        <w:t> </w:t>
      </w:r>
      <w:r w:rsidRPr="00F642EF">
        <w:rPr>
          <w:rFonts w:asciiTheme="minorHAnsi" w:hAnsiTheme="minorHAnsi" w:cstheme="minorHAnsi"/>
          <w:i/>
          <w:color w:val="auto"/>
          <w:shd w:val="clear" w:color="auto" w:fill="FFFFFF"/>
        </w:rPr>
        <w:t>Journal of Clinical Nursing</w:t>
      </w:r>
      <w:r w:rsidRPr="00F642EF">
        <w:rPr>
          <w:rFonts w:asciiTheme="minorHAnsi" w:hAnsiTheme="minorHAnsi" w:cstheme="minorHAnsi"/>
          <w:color w:val="auto"/>
          <w:shd w:val="clear" w:color="auto" w:fill="FFFFFF"/>
        </w:rPr>
        <w:t>, </w:t>
      </w:r>
      <w:r w:rsidRPr="00F642EF">
        <w:rPr>
          <w:rFonts w:asciiTheme="minorHAnsi" w:hAnsiTheme="minorHAnsi" w:cstheme="minorHAnsi"/>
          <w:i/>
          <w:color w:val="auto"/>
          <w:shd w:val="clear" w:color="auto" w:fill="FFFFFF"/>
        </w:rPr>
        <w:t>28</w:t>
      </w:r>
      <w:r w:rsidRPr="00F642EF">
        <w:rPr>
          <w:rFonts w:asciiTheme="minorHAnsi" w:hAnsiTheme="minorHAnsi" w:cstheme="minorHAnsi"/>
          <w:color w:val="auto"/>
          <w:shd w:val="clear" w:color="auto" w:fill="FFFFFF"/>
        </w:rPr>
        <w:t xml:space="preserve">(17–18), 3310–3317. https://doi.org/10.1111/jocn.14909 </w:t>
      </w:r>
    </w:p>
    <w:p w14:paraId="72C9BD24" w14:textId="3CBBD40C" w:rsidR="00657837" w:rsidRPr="00F642EF" w:rsidRDefault="00657837" w:rsidP="001429A1">
      <w:pPr>
        <w:pStyle w:val="BodyCopy"/>
        <w:rPr>
          <w:rFonts w:asciiTheme="minorHAnsi" w:hAnsiTheme="minorHAnsi" w:cstheme="minorHAnsi"/>
          <w:color w:val="auto"/>
          <w:shd w:val="clear" w:color="auto" w:fill="FFFFFF"/>
        </w:rPr>
      </w:pPr>
      <w:r w:rsidRPr="00F642EF">
        <w:rPr>
          <w:rFonts w:asciiTheme="minorHAnsi" w:hAnsiTheme="minorHAnsi" w:cstheme="minorHAnsi"/>
          <w:color w:val="auto"/>
          <w:shd w:val="clear" w:color="auto" w:fill="FFFFFF"/>
        </w:rPr>
        <w:lastRenderedPageBreak/>
        <w:t xml:space="preserve">Oxford Health NHS Foundation Trust. (2024). Guidance on The Administration of Intramuscular Injections in In-patient Settings. </w:t>
      </w:r>
      <w:hyperlink r:id="rId17" w:history="1">
        <w:r w:rsidRPr="00F642EF">
          <w:rPr>
            <w:rStyle w:val="Hyperlink"/>
            <w:rFonts w:asciiTheme="minorHAnsi" w:hAnsiTheme="minorHAnsi" w:cstheme="minorHAnsi"/>
            <w:shd w:val="clear" w:color="auto" w:fill="FFFFFF"/>
          </w:rPr>
          <w:t>Guidance on the administration of intra-muscular injections in Inpatient Settings V2 FINAL 02.24.pdf</w:t>
        </w:r>
      </w:hyperlink>
    </w:p>
    <w:p w14:paraId="2BC456D0" w14:textId="67816BA2" w:rsidR="003F3F46" w:rsidRPr="00F642EF" w:rsidRDefault="003F3F46" w:rsidP="003F3F46">
      <w:pPr>
        <w:pStyle w:val="BodyCopy"/>
        <w:rPr>
          <w:rFonts w:asciiTheme="minorHAnsi" w:hAnsiTheme="minorHAnsi" w:cstheme="minorHAnsi"/>
          <w:color w:val="auto"/>
          <w:shd w:val="clear" w:color="auto" w:fill="FFFFFF"/>
        </w:rPr>
      </w:pPr>
      <w:r w:rsidRPr="00F642EF">
        <w:rPr>
          <w:rFonts w:asciiTheme="minorHAnsi" w:hAnsiTheme="minorHAnsi" w:cstheme="minorHAnsi"/>
          <w:color w:val="auto"/>
          <w:shd w:val="clear" w:color="auto" w:fill="FFFFFF"/>
        </w:rPr>
        <w:t>Roldán</w:t>
      </w:r>
      <w:r w:rsidRPr="00F642EF">
        <w:rPr>
          <w:rFonts w:ascii="Cambria Math" w:hAnsi="Cambria Math" w:cs="Cambria Math"/>
          <w:color w:val="auto"/>
          <w:shd w:val="clear" w:color="auto" w:fill="FFFFFF"/>
        </w:rPr>
        <w:t>‐</w:t>
      </w:r>
      <w:r w:rsidRPr="00F642EF">
        <w:rPr>
          <w:rFonts w:asciiTheme="minorHAnsi" w:hAnsiTheme="minorHAnsi" w:cstheme="minorHAnsi"/>
          <w:color w:val="auto"/>
          <w:shd w:val="clear" w:color="auto" w:fill="FFFFFF"/>
        </w:rPr>
        <w:t>Chicano, M. T., Rodr</w:t>
      </w:r>
      <w:r w:rsidRPr="00F642EF">
        <w:rPr>
          <w:color w:val="auto"/>
          <w:shd w:val="clear" w:color="auto" w:fill="FFFFFF"/>
        </w:rPr>
        <w:t>í</w:t>
      </w:r>
      <w:r w:rsidRPr="00F642EF">
        <w:rPr>
          <w:rFonts w:asciiTheme="minorHAnsi" w:hAnsiTheme="minorHAnsi" w:cstheme="minorHAnsi"/>
          <w:color w:val="auto"/>
          <w:shd w:val="clear" w:color="auto" w:fill="FFFFFF"/>
        </w:rPr>
        <w:t>guez</w:t>
      </w:r>
      <w:r w:rsidRPr="00F642EF">
        <w:rPr>
          <w:rFonts w:ascii="Cambria Math" w:hAnsi="Cambria Math" w:cs="Cambria Math"/>
          <w:color w:val="auto"/>
          <w:shd w:val="clear" w:color="auto" w:fill="FFFFFF"/>
        </w:rPr>
        <w:t>‐</w:t>
      </w:r>
      <w:r w:rsidRPr="00F642EF">
        <w:rPr>
          <w:rFonts w:asciiTheme="minorHAnsi" w:hAnsiTheme="minorHAnsi" w:cstheme="minorHAnsi"/>
          <w:color w:val="auto"/>
          <w:shd w:val="clear" w:color="auto" w:fill="FFFFFF"/>
        </w:rPr>
        <w:t>Tello, J., Cebri</w:t>
      </w:r>
      <w:r w:rsidRPr="00F642EF">
        <w:rPr>
          <w:color w:val="auto"/>
          <w:shd w:val="clear" w:color="auto" w:fill="FFFFFF"/>
        </w:rPr>
        <w:t>á</w:t>
      </w:r>
      <w:r w:rsidRPr="00F642EF">
        <w:rPr>
          <w:rFonts w:asciiTheme="minorHAnsi" w:hAnsiTheme="minorHAnsi" w:cstheme="minorHAnsi"/>
          <w:color w:val="auto"/>
          <w:shd w:val="clear" w:color="auto" w:fill="FFFFFF"/>
        </w:rPr>
        <w:t>n</w:t>
      </w:r>
      <w:r w:rsidRPr="00F642EF">
        <w:rPr>
          <w:rFonts w:ascii="Cambria Math" w:hAnsi="Cambria Math" w:cs="Cambria Math"/>
          <w:color w:val="auto"/>
          <w:shd w:val="clear" w:color="auto" w:fill="FFFFFF"/>
        </w:rPr>
        <w:t>‐</w:t>
      </w:r>
      <w:r w:rsidRPr="00F642EF">
        <w:rPr>
          <w:rFonts w:asciiTheme="minorHAnsi" w:hAnsiTheme="minorHAnsi" w:cstheme="minorHAnsi"/>
          <w:color w:val="auto"/>
          <w:shd w:val="clear" w:color="auto" w:fill="FFFFFF"/>
        </w:rPr>
        <w:t>L</w:t>
      </w:r>
      <w:r w:rsidRPr="00F642EF">
        <w:rPr>
          <w:color w:val="auto"/>
          <w:shd w:val="clear" w:color="auto" w:fill="FFFFFF"/>
        </w:rPr>
        <w:t>ó</w:t>
      </w:r>
      <w:r w:rsidRPr="00F642EF">
        <w:rPr>
          <w:rFonts w:asciiTheme="minorHAnsi" w:hAnsiTheme="minorHAnsi" w:cstheme="minorHAnsi"/>
          <w:color w:val="auto"/>
          <w:shd w:val="clear" w:color="auto" w:fill="FFFFFF"/>
        </w:rPr>
        <w:t>pez, R., Moore, J. R., &amp; Mar</w:t>
      </w:r>
      <w:r w:rsidRPr="00F642EF">
        <w:rPr>
          <w:color w:val="auto"/>
          <w:shd w:val="clear" w:color="auto" w:fill="FFFFFF"/>
        </w:rPr>
        <w:t> </w:t>
      </w:r>
      <w:r w:rsidRPr="00F642EF">
        <w:rPr>
          <w:rFonts w:asciiTheme="minorHAnsi" w:hAnsiTheme="minorHAnsi" w:cstheme="minorHAnsi"/>
          <w:color w:val="auto"/>
          <w:shd w:val="clear" w:color="auto" w:fill="FFFFFF"/>
        </w:rPr>
        <w:t>Garc</w:t>
      </w:r>
      <w:r w:rsidRPr="00F642EF">
        <w:rPr>
          <w:color w:val="auto"/>
          <w:shd w:val="clear" w:color="auto" w:fill="FFFFFF"/>
        </w:rPr>
        <w:t>í</w:t>
      </w:r>
      <w:r w:rsidRPr="00F642EF">
        <w:rPr>
          <w:rFonts w:asciiTheme="minorHAnsi" w:hAnsiTheme="minorHAnsi" w:cstheme="minorHAnsi"/>
          <w:color w:val="auto"/>
          <w:shd w:val="clear" w:color="auto" w:fill="FFFFFF"/>
        </w:rPr>
        <w:t>a</w:t>
      </w:r>
      <w:r w:rsidRPr="00F642EF">
        <w:rPr>
          <w:rFonts w:ascii="Cambria Math" w:hAnsi="Cambria Math" w:cs="Cambria Math"/>
          <w:color w:val="auto"/>
          <w:shd w:val="clear" w:color="auto" w:fill="FFFFFF"/>
        </w:rPr>
        <w:t>‐</w:t>
      </w:r>
      <w:r w:rsidRPr="00F642EF">
        <w:rPr>
          <w:rFonts w:asciiTheme="minorHAnsi" w:hAnsiTheme="minorHAnsi" w:cstheme="minorHAnsi"/>
          <w:color w:val="auto"/>
          <w:shd w:val="clear" w:color="auto" w:fill="FFFFFF"/>
        </w:rPr>
        <w:t>L</w:t>
      </w:r>
      <w:r w:rsidRPr="00F642EF">
        <w:rPr>
          <w:color w:val="auto"/>
          <w:shd w:val="clear" w:color="auto" w:fill="FFFFFF"/>
        </w:rPr>
        <w:t>ó</w:t>
      </w:r>
      <w:r w:rsidRPr="00F642EF">
        <w:rPr>
          <w:rFonts w:asciiTheme="minorHAnsi" w:hAnsiTheme="minorHAnsi" w:cstheme="minorHAnsi"/>
          <w:color w:val="auto"/>
          <w:shd w:val="clear" w:color="auto" w:fill="FFFFFF"/>
        </w:rPr>
        <w:t xml:space="preserve">pez, M. (2023). Adverse effects of </w:t>
      </w:r>
      <w:proofErr w:type="spellStart"/>
      <w:r w:rsidRPr="00F642EF">
        <w:rPr>
          <w:rFonts w:asciiTheme="minorHAnsi" w:hAnsiTheme="minorHAnsi" w:cstheme="minorHAnsi"/>
          <w:color w:val="auto"/>
          <w:shd w:val="clear" w:color="auto" w:fill="FFFFFF"/>
        </w:rPr>
        <w:t>dorsogluteal</w:t>
      </w:r>
      <w:proofErr w:type="spellEnd"/>
      <w:r w:rsidRPr="00F642EF">
        <w:rPr>
          <w:rFonts w:asciiTheme="minorHAnsi" w:hAnsiTheme="minorHAnsi" w:cstheme="minorHAnsi"/>
          <w:color w:val="auto"/>
          <w:shd w:val="clear" w:color="auto" w:fill="FFFFFF"/>
        </w:rPr>
        <w:t xml:space="preserve"> intramuscular injection versus ventrogluteal intramuscular injection: A systematic review and meta</w:t>
      </w:r>
      <w:r w:rsidRPr="00F642EF">
        <w:rPr>
          <w:rFonts w:ascii="Cambria Math" w:hAnsi="Cambria Math" w:cs="Cambria Math"/>
          <w:color w:val="auto"/>
          <w:shd w:val="clear" w:color="auto" w:fill="FFFFFF"/>
        </w:rPr>
        <w:t>‐</w:t>
      </w:r>
      <w:r w:rsidRPr="00F642EF">
        <w:rPr>
          <w:rFonts w:asciiTheme="minorHAnsi" w:hAnsiTheme="minorHAnsi" w:cstheme="minorHAnsi"/>
          <w:color w:val="auto"/>
          <w:shd w:val="clear" w:color="auto" w:fill="FFFFFF"/>
        </w:rPr>
        <w:t>analysis.</w:t>
      </w:r>
      <w:r w:rsidRPr="00F642EF">
        <w:rPr>
          <w:color w:val="auto"/>
          <w:shd w:val="clear" w:color="auto" w:fill="FFFFFF"/>
        </w:rPr>
        <w:t> </w:t>
      </w:r>
      <w:r w:rsidRPr="00F642EF">
        <w:rPr>
          <w:rFonts w:asciiTheme="minorHAnsi" w:hAnsiTheme="minorHAnsi" w:cstheme="minorHAnsi"/>
          <w:i/>
          <w:color w:val="auto"/>
          <w:shd w:val="clear" w:color="auto" w:fill="FFFFFF"/>
        </w:rPr>
        <w:t>Nursing Open</w:t>
      </w:r>
      <w:r w:rsidRPr="00F642EF">
        <w:rPr>
          <w:rFonts w:asciiTheme="minorHAnsi" w:hAnsiTheme="minorHAnsi" w:cstheme="minorHAnsi"/>
          <w:color w:val="auto"/>
          <w:shd w:val="clear" w:color="auto" w:fill="FFFFFF"/>
        </w:rPr>
        <w:t>, </w:t>
      </w:r>
      <w:r w:rsidRPr="00F642EF">
        <w:rPr>
          <w:rFonts w:asciiTheme="minorHAnsi" w:hAnsiTheme="minorHAnsi" w:cstheme="minorHAnsi"/>
          <w:i/>
          <w:color w:val="auto"/>
          <w:shd w:val="clear" w:color="auto" w:fill="FFFFFF"/>
        </w:rPr>
        <w:t>10</w:t>
      </w:r>
      <w:r w:rsidRPr="00F642EF">
        <w:rPr>
          <w:rFonts w:asciiTheme="minorHAnsi" w:hAnsiTheme="minorHAnsi" w:cstheme="minorHAnsi"/>
          <w:color w:val="auto"/>
          <w:shd w:val="clear" w:color="auto" w:fill="FFFFFF"/>
        </w:rPr>
        <w:t xml:space="preserve">(9), 5975–5988. </w:t>
      </w:r>
      <w:hyperlink r:id="rId18" w:history="1">
        <w:r w:rsidR="00657837" w:rsidRPr="00F642EF">
          <w:rPr>
            <w:rStyle w:val="Hyperlink"/>
            <w:rFonts w:asciiTheme="minorHAnsi" w:hAnsiTheme="minorHAnsi" w:cstheme="minorHAnsi"/>
            <w:shd w:val="clear" w:color="auto" w:fill="FFFFFF"/>
          </w:rPr>
          <w:t>https://doi.org/10.1002/nop2.1902</w:t>
        </w:r>
      </w:hyperlink>
    </w:p>
    <w:p w14:paraId="60D546B2" w14:textId="40FF6A90" w:rsidR="00657837" w:rsidRPr="00F642EF" w:rsidRDefault="00657837" w:rsidP="003F3F46">
      <w:pPr>
        <w:pStyle w:val="BodyCopy"/>
        <w:rPr>
          <w:rFonts w:asciiTheme="minorHAnsi" w:hAnsiTheme="minorHAnsi" w:cstheme="minorHAnsi"/>
          <w:color w:val="auto"/>
          <w:shd w:val="clear" w:color="auto" w:fill="FFFFFF"/>
        </w:rPr>
      </w:pPr>
      <w:proofErr w:type="gramStart"/>
      <w:r w:rsidRPr="00F642EF">
        <w:rPr>
          <w:rFonts w:asciiTheme="minorHAnsi" w:hAnsiTheme="minorHAnsi" w:cstheme="minorHAnsi"/>
          <w:color w:val="auto"/>
          <w:shd w:val="clear" w:color="auto" w:fill="FFFFFF"/>
        </w:rPr>
        <w:t>South Eastern</w:t>
      </w:r>
      <w:proofErr w:type="gramEnd"/>
      <w:r w:rsidRPr="00F642EF">
        <w:rPr>
          <w:rFonts w:asciiTheme="minorHAnsi" w:hAnsiTheme="minorHAnsi" w:cstheme="minorHAnsi"/>
          <w:color w:val="auto"/>
          <w:shd w:val="clear" w:color="auto" w:fill="FFFFFF"/>
        </w:rPr>
        <w:t xml:space="preserve"> Sydney Local Health District. (2022). Intramuscular Injection in Mental Health. Procedure. </w:t>
      </w:r>
      <w:hyperlink r:id="rId19" w:history="1">
        <w:r w:rsidRPr="00F642EF">
          <w:rPr>
            <w:rStyle w:val="Hyperlink"/>
            <w:rFonts w:asciiTheme="minorHAnsi" w:hAnsiTheme="minorHAnsi" w:cstheme="minorHAnsi"/>
            <w:shd w:val="clear" w:color="auto" w:fill="FFFFFF"/>
          </w:rPr>
          <w:t>SESLHDGL/076 - Intramuscular Injection in Mental Health</w:t>
        </w:r>
      </w:hyperlink>
      <w:r w:rsidRPr="00F642EF">
        <w:rPr>
          <w:rFonts w:asciiTheme="minorHAnsi" w:hAnsiTheme="minorHAnsi" w:cstheme="minorHAnsi"/>
          <w:color w:val="auto"/>
          <w:shd w:val="clear" w:color="auto" w:fill="FFFFFF"/>
        </w:rPr>
        <w:t xml:space="preserve"> </w:t>
      </w:r>
    </w:p>
    <w:p w14:paraId="6257A50E" w14:textId="662708B9" w:rsidR="00247141" w:rsidRPr="00F642EF" w:rsidRDefault="00E156F9" w:rsidP="003F3F46">
      <w:pPr>
        <w:pStyle w:val="BodyCopy"/>
        <w:rPr>
          <w:rFonts w:asciiTheme="minorHAnsi" w:hAnsiTheme="minorHAnsi" w:cstheme="minorHAnsi"/>
          <w:color w:val="auto"/>
          <w:shd w:val="clear" w:color="auto" w:fill="FFFFFF"/>
        </w:rPr>
      </w:pPr>
      <w:r w:rsidRPr="00F642EF">
        <w:t xml:space="preserve">Turan, N., </w:t>
      </w:r>
      <w:proofErr w:type="spellStart"/>
      <w:r w:rsidRPr="00F642EF">
        <w:t>Acı</w:t>
      </w:r>
      <w:proofErr w:type="spellEnd"/>
      <w:r w:rsidRPr="00F642EF">
        <w:t>, Ö. S., Irmak, H., Kaya, H., &amp; Kutlu, F. Y. (2022). Knowledge and practices of nurses working in psychiatry clinics on ventrogluteal injection. </w:t>
      </w:r>
      <w:r w:rsidRPr="00F642EF">
        <w:rPr>
          <w:i/>
        </w:rPr>
        <w:t>Perspectives in Psychiatric Care</w:t>
      </w:r>
      <w:r w:rsidRPr="00F642EF">
        <w:t>, </w:t>
      </w:r>
      <w:r w:rsidRPr="00F642EF">
        <w:rPr>
          <w:i/>
        </w:rPr>
        <w:t>58</w:t>
      </w:r>
      <w:r w:rsidRPr="00F642EF">
        <w:t>(4), 1388–1398. https://doi.org/10.1111/ppc.12942</w:t>
      </w:r>
    </w:p>
    <w:p w14:paraId="5763ED24" w14:textId="247B955E" w:rsidR="00247141" w:rsidRPr="00F642EF" w:rsidRDefault="00E156F9" w:rsidP="001429A1">
      <w:pPr>
        <w:pStyle w:val="BodyCopy"/>
        <w:rPr>
          <w:rFonts w:asciiTheme="minorHAnsi" w:hAnsiTheme="minorHAnsi" w:cstheme="minorHAnsi"/>
          <w:color w:val="auto"/>
          <w:shd w:val="clear" w:color="auto" w:fill="FFFFFF"/>
        </w:rPr>
      </w:pPr>
      <w:r w:rsidRPr="00F642EF">
        <w:rPr>
          <w:rFonts w:asciiTheme="minorHAnsi" w:hAnsiTheme="minorHAnsi" w:cstheme="minorHAnsi"/>
          <w:color w:val="auto"/>
          <w:shd w:val="clear" w:color="auto" w:fill="FFFFFF"/>
        </w:rPr>
        <w:t>Weber, H. (2023). Deciding on a safe site for intramuscular injections in an acute mental health setting. </w:t>
      </w:r>
      <w:r w:rsidRPr="00F642EF">
        <w:rPr>
          <w:rFonts w:asciiTheme="minorHAnsi" w:hAnsiTheme="minorHAnsi" w:cstheme="minorHAnsi"/>
          <w:i/>
          <w:color w:val="auto"/>
          <w:shd w:val="clear" w:color="auto" w:fill="FFFFFF"/>
        </w:rPr>
        <w:t>Kai Tiaki Nursing Research</w:t>
      </w:r>
      <w:r w:rsidRPr="00F642EF">
        <w:rPr>
          <w:rFonts w:asciiTheme="minorHAnsi" w:hAnsiTheme="minorHAnsi" w:cstheme="minorHAnsi"/>
          <w:color w:val="auto"/>
          <w:shd w:val="clear" w:color="auto" w:fill="FFFFFF"/>
        </w:rPr>
        <w:t>, </w:t>
      </w:r>
      <w:r w:rsidRPr="00F642EF">
        <w:rPr>
          <w:rFonts w:asciiTheme="minorHAnsi" w:hAnsiTheme="minorHAnsi" w:cstheme="minorHAnsi"/>
          <w:i/>
          <w:color w:val="auto"/>
          <w:shd w:val="clear" w:color="auto" w:fill="FFFFFF"/>
        </w:rPr>
        <w:t>14</w:t>
      </w:r>
      <w:r w:rsidRPr="00F642EF">
        <w:rPr>
          <w:rFonts w:asciiTheme="minorHAnsi" w:hAnsiTheme="minorHAnsi" w:cstheme="minorHAnsi"/>
          <w:color w:val="auto"/>
          <w:shd w:val="clear" w:color="auto" w:fill="FFFFFF"/>
        </w:rPr>
        <w:t>(1), 58–61</w:t>
      </w:r>
      <w:r w:rsidR="00247141" w:rsidRPr="00F642EF">
        <w:rPr>
          <w:rFonts w:asciiTheme="minorHAnsi" w:hAnsiTheme="minorHAnsi" w:cstheme="minorHAnsi"/>
          <w:color w:val="auto"/>
          <w:shd w:val="clear" w:color="auto" w:fill="FFFFFF"/>
        </w:rPr>
        <w:t>. </w:t>
      </w:r>
    </w:p>
    <w:p w14:paraId="7CA84E4F" w14:textId="3B705E2F" w:rsidR="00161C99" w:rsidRDefault="00161C99" w:rsidP="001429A1">
      <w:pPr>
        <w:pStyle w:val="BodyCopy"/>
      </w:pPr>
      <w:r w:rsidRPr="00F642EF">
        <w:rPr>
          <w:rFonts w:asciiTheme="minorHAnsi" w:hAnsiTheme="minorHAnsi" w:cstheme="minorHAnsi"/>
          <w:color w:val="auto"/>
          <w:shd w:val="clear" w:color="auto" w:fill="FFFFFF"/>
        </w:rPr>
        <w:t>White</w:t>
      </w:r>
      <w:r w:rsidR="00011CB2" w:rsidRPr="00F642EF">
        <w:rPr>
          <w:rFonts w:asciiTheme="minorHAnsi" w:hAnsiTheme="minorHAnsi" w:cstheme="minorHAnsi"/>
          <w:color w:val="auto"/>
          <w:shd w:val="clear" w:color="auto" w:fill="FFFFFF"/>
        </w:rPr>
        <w:t>, J. (2022). Guidance on the Administration to Adults of Oil-based Depot and other Long-Acting Intramuscular Antipsychotic Injections 7</w:t>
      </w:r>
      <w:r w:rsidR="00011CB2" w:rsidRPr="00F642EF">
        <w:rPr>
          <w:rFonts w:asciiTheme="minorHAnsi" w:hAnsiTheme="minorHAnsi" w:cstheme="minorHAnsi"/>
          <w:color w:val="auto"/>
          <w:shd w:val="clear" w:color="auto" w:fill="FFFFFF"/>
          <w:vertAlign w:val="superscript"/>
        </w:rPr>
        <w:t>th</w:t>
      </w:r>
      <w:r w:rsidR="00011CB2" w:rsidRPr="00F642EF">
        <w:rPr>
          <w:rFonts w:asciiTheme="minorHAnsi" w:hAnsiTheme="minorHAnsi" w:cstheme="minorHAnsi"/>
          <w:color w:val="auto"/>
          <w:shd w:val="clear" w:color="auto" w:fill="FFFFFF"/>
        </w:rPr>
        <w:t xml:space="preserve"> Edition. </w:t>
      </w:r>
      <w:hyperlink r:id="rId20" w:history="1">
        <w:r w:rsidR="00011CB2" w:rsidRPr="00F642EF">
          <w:rPr>
            <w:rStyle w:val="Hyperlink"/>
            <w:rFonts w:asciiTheme="minorHAnsi" w:hAnsiTheme="minorHAnsi" w:cstheme="minorHAnsi"/>
            <w:shd w:val="clear" w:color="auto" w:fill="FFFFFF"/>
          </w:rPr>
          <w:t>guidance-on-im-administration-of-oil-based-depots-and-other-long-acting-antipsychotic-injections-7th-edition.pdf</w:t>
        </w:r>
      </w:hyperlink>
    </w:p>
    <w:p w14:paraId="5AA25B32" w14:textId="6BB9728D" w:rsidR="00ED63A7" w:rsidRPr="00F642EF" w:rsidRDefault="00ED63A7" w:rsidP="001429A1">
      <w:pPr>
        <w:pStyle w:val="BodyCopy"/>
        <w:rPr>
          <w:rFonts w:asciiTheme="minorHAnsi" w:hAnsiTheme="minorHAnsi" w:cstheme="minorHAnsi"/>
          <w:color w:val="auto"/>
          <w:shd w:val="clear" w:color="auto" w:fill="FFFFFF"/>
        </w:rPr>
      </w:pPr>
      <w:r w:rsidRPr="00ED63A7">
        <w:rPr>
          <w:rFonts w:asciiTheme="minorHAnsi" w:hAnsiTheme="minorHAnsi" w:cstheme="minorHAnsi"/>
          <w:color w:val="auto"/>
          <w:shd w:val="clear" w:color="auto" w:fill="FFFFFF"/>
        </w:rPr>
        <w:t>Whyte, A., &amp; Parker, C. (2016). A review of the efficacy and tolerability of antipsychotic long</w:t>
      </w:r>
      <w:r w:rsidRPr="00ED63A7">
        <w:rPr>
          <w:rFonts w:ascii="Cambria Math" w:hAnsi="Cambria Math" w:cs="Cambria Math"/>
          <w:color w:val="auto"/>
          <w:shd w:val="clear" w:color="auto" w:fill="FFFFFF"/>
        </w:rPr>
        <w:t>‐</w:t>
      </w:r>
      <w:r w:rsidRPr="00ED63A7">
        <w:rPr>
          <w:rFonts w:asciiTheme="minorHAnsi" w:hAnsiTheme="minorHAnsi" w:cstheme="minorHAnsi"/>
          <w:color w:val="auto"/>
          <w:shd w:val="clear" w:color="auto" w:fill="FFFFFF"/>
        </w:rPr>
        <w:t xml:space="preserve">acting injections. </w:t>
      </w:r>
      <w:r w:rsidRPr="00ED63A7">
        <w:rPr>
          <w:rFonts w:asciiTheme="minorHAnsi" w:hAnsiTheme="minorHAnsi" w:cstheme="minorHAnsi"/>
          <w:i/>
          <w:color w:val="auto"/>
          <w:shd w:val="clear" w:color="auto" w:fill="FFFFFF"/>
        </w:rPr>
        <w:t>Progress in Neurology and Psychiatry</w:t>
      </w:r>
      <w:r w:rsidRPr="00ED63A7">
        <w:rPr>
          <w:rFonts w:asciiTheme="minorHAnsi" w:hAnsiTheme="minorHAnsi" w:cstheme="minorHAnsi"/>
          <w:color w:val="auto"/>
          <w:shd w:val="clear" w:color="auto" w:fill="FFFFFF"/>
        </w:rPr>
        <w:t xml:space="preserve">, 20(4), 20–26. Retrieved from </w:t>
      </w:r>
      <w:hyperlink r:id="rId21" w:tgtFrame="_blank" w:history="1">
        <w:r w:rsidRPr="00ED63A7">
          <w:rPr>
            <w:rStyle w:val="Hyperlink"/>
            <w:rFonts w:asciiTheme="minorHAnsi" w:hAnsiTheme="minorHAnsi" w:cstheme="minorHAnsi"/>
            <w:shd w:val="clear" w:color="auto" w:fill="FFFFFF"/>
          </w:rPr>
          <w:t>https://wileymicrositebuilder.com/trends/wp-content/uploads/sites/28/2016/08/A-review-of-the-efficacy-and-tolerability-of-antipsychotic-long-acting-injections.pdf</w:t>
        </w:r>
      </w:hyperlink>
    </w:p>
    <w:p w14:paraId="1B75CE0B" w14:textId="3CD24E8B" w:rsidR="00CC1DB0" w:rsidRDefault="00657837" w:rsidP="001429A1">
      <w:pPr>
        <w:pStyle w:val="BodyCopy"/>
      </w:pPr>
      <w:r w:rsidRPr="00F642EF">
        <w:t>South Australia Health. (</w:t>
      </w:r>
      <w:proofErr w:type="spellStart"/>
      <w:r w:rsidRPr="00F642EF">
        <w:t>n.d</w:t>
      </w:r>
      <w:proofErr w:type="spellEnd"/>
      <w:r w:rsidRPr="00F642EF">
        <w:t xml:space="preserve">). Changes to your long acting injection. Brochure. </w:t>
      </w:r>
      <w:hyperlink r:id="rId22" w:history="1">
        <w:r w:rsidR="00C45816" w:rsidRPr="00F642EF">
          <w:rPr>
            <w:rStyle w:val="Hyperlink"/>
            <w:rFonts w:asciiTheme="minorHAnsi" w:hAnsiTheme="minorHAnsi" w:cstheme="minorHAnsi"/>
            <w:shd w:val="clear" w:color="auto" w:fill="FFFFFF"/>
          </w:rPr>
          <w:t>Long Acting Intramuscular Injections Brochure</w:t>
        </w:r>
      </w:hyperlink>
    </w:p>
    <w:p w14:paraId="43524118" w14:textId="4D1E7D81" w:rsidR="00ED63A7" w:rsidRPr="006C5B4F" w:rsidRDefault="00ED63A7" w:rsidP="001429A1">
      <w:pPr>
        <w:pStyle w:val="BodyCopy"/>
        <w:rPr>
          <w:rFonts w:asciiTheme="minorHAnsi" w:hAnsiTheme="minorHAnsi" w:cstheme="minorHAnsi"/>
          <w:color w:val="auto"/>
          <w:shd w:val="clear" w:color="auto" w:fill="FFFFFF"/>
        </w:rPr>
      </w:pPr>
      <w:r w:rsidRPr="006C5B4F">
        <w:rPr>
          <w:rFonts w:asciiTheme="minorHAnsi" w:hAnsiTheme="minorHAnsi" w:cstheme="minorHAnsi"/>
          <w:color w:val="auto"/>
          <w:shd w:val="clear" w:color="auto" w:fill="FFFFFF"/>
        </w:rPr>
        <w:t xml:space="preserve">Quizlet. (n.d.). </w:t>
      </w:r>
      <w:r w:rsidRPr="006C5B4F">
        <w:rPr>
          <w:rFonts w:asciiTheme="minorHAnsi" w:hAnsiTheme="minorHAnsi" w:cstheme="minorHAnsi"/>
          <w:i/>
          <w:color w:val="auto"/>
          <w:shd w:val="clear" w:color="auto" w:fill="FFFFFF"/>
        </w:rPr>
        <w:t>Medication administration test bank review [Flashcards]</w:t>
      </w:r>
      <w:r w:rsidRPr="006C5B4F">
        <w:rPr>
          <w:rFonts w:asciiTheme="minorHAnsi" w:hAnsiTheme="minorHAnsi" w:cstheme="minorHAnsi"/>
          <w:color w:val="auto"/>
          <w:shd w:val="clear" w:color="auto" w:fill="FFFFFF"/>
        </w:rPr>
        <w:t>. Quizlet. https://quizlet.com/726976317/medication-administration-test-bank-review-flash-cards/</w:t>
      </w:r>
    </w:p>
    <w:p w14:paraId="0CA5C700" w14:textId="65593D66" w:rsidR="00280C5D" w:rsidRPr="00F642EF" w:rsidRDefault="00280C5D" w:rsidP="001429A1">
      <w:pPr>
        <w:pStyle w:val="Bullet"/>
        <w:numPr>
          <w:ilvl w:val="0"/>
          <w:numId w:val="0"/>
        </w:numPr>
        <w:tabs>
          <w:tab w:val="clear" w:pos="425"/>
        </w:tabs>
        <w:spacing w:after="240"/>
        <w:ind w:left="357" w:hanging="357"/>
        <w:rPr>
          <w:lang w:eastAsia="en-US"/>
        </w:rPr>
      </w:pPr>
      <w:hyperlink w:anchor="_top" w:history="1">
        <w:r w:rsidRPr="00F642EF">
          <w:rPr>
            <w:rStyle w:val="Hyperlink"/>
          </w:rPr>
          <w:t>Back to Contents</w:t>
        </w:r>
      </w:hyperlink>
    </w:p>
    <w:p w14:paraId="4ECFF40F" w14:textId="13267AC6" w:rsidR="0078367D" w:rsidRPr="00F642EF" w:rsidRDefault="0078367D" w:rsidP="001429A1">
      <w:pPr>
        <w:pStyle w:val="Heading4"/>
      </w:pPr>
      <w:bookmarkStart w:id="15" w:name="_Toc210295820"/>
      <w:r w:rsidRPr="00F642EF">
        <w:t>Definition of terms</w:t>
      </w:r>
      <w:bookmarkEnd w:id="15"/>
      <w:r w:rsidRPr="00F642EF">
        <w:t xml:space="preserve"> </w:t>
      </w:r>
    </w:p>
    <w:p w14:paraId="544445FC" w14:textId="5552A9B8" w:rsidR="008B4402" w:rsidRPr="00F642EF" w:rsidRDefault="008B4402" w:rsidP="001429A1">
      <w:pPr>
        <w:pStyle w:val="BodyCopy"/>
        <w:rPr>
          <w:b/>
          <w:bCs w:val="0"/>
        </w:rPr>
      </w:pPr>
      <w:proofErr w:type="spellStart"/>
      <w:r w:rsidRPr="00F642EF">
        <w:rPr>
          <w:b/>
          <w:bCs w:val="0"/>
        </w:rPr>
        <w:t>Lipohypertrophy</w:t>
      </w:r>
      <w:proofErr w:type="spellEnd"/>
      <w:r w:rsidRPr="00F642EF">
        <w:rPr>
          <w:b/>
          <w:bCs w:val="0"/>
        </w:rPr>
        <w:t xml:space="preserve">: </w:t>
      </w:r>
      <w:r w:rsidRPr="00F642EF">
        <w:t>a condition characterised by abnormal build-up of fatty tissue under the skin, often a result from repeated injections in the same area.</w:t>
      </w:r>
    </w:p>
    <w:p w14:paraId="21CC2760" w14:textId="66988233" w:rsidR="00D75F8F" w:rsidRPr="00F642EF" w:rsidRDefault="00D75F8F" w:rsidP="001429A1">
      <w:pPr>
        <w:pStyle w:val="BodyCopy"/>
        <w:rPr>
          <w:b/>
          <w:bCs w:val="0"/>
        </w:rPr>
      </w:pPr>
      <w:r w:rsidRPr="00F642EF">
        <w:rPr>
          <w:b/>
          <w:bCs w:val="0"/>
        </w:rPr>
        <w:t xml:space="preserve">Long Acting Injectable: </w:t>
      </w:r>
      <w:r w:rsidR="003F1848" w:rsidRPr="00F642EF">
        <w:t>a type of medication formulated to be administered via injection, where the drug is slowly released into the body over an extended period—typically weeks to months</w:t>
      </w:r>
    </w:p>
    <w:p w14:paraId="4CA8DE21" w14:textId="77777777" w:rsidR="00B14039" w:rsidRDefault="00B14039" w:rsidP="00B14039">
      <w:pPr>
        <w:pStyle w:val="BodyCopy"/>
      </w:pPr>
      <w:r w:rsidRPr="00F642EF">
        <w:rPr>
          <w:b/>
          <w:bCs w:val="0"/>
        </w:rPr>
        <w:lastRenderedPageBreak/>
        <w:t xml:space="preserve">Parenteral: </w:t>
      </w:r>
      <w:r w:rsidRPr="00F642EF">
        <w:t xml:space="preserve">refers to the administration of substances—such as medications or nutrients—by routes other than the digestive tract. This typically involves injection directly into the body through various methods, bypassing the gastrointestinal system. </w:t>
      </w:r>
    </w:p>
    <w:p w14:paraId="6F08F81A" w14:textId="444E0A0C" w:rsidR="00D75F8F" w:rsidRPr="00F642EF" w:rsidRDefault="00D75F8F" w:rsidP="001429A1">
      <w:pPr>
        <w:pStyle w:val="BodyCopy"/>
        <w:rPr>
          <w:b/>
          <w:bCs w:val="0"/>
        </w:rPr>
      </w:pPr>
      <w:r w:rsidRPr="00F642EF">
        <w:rPr>
          <w:b/>
          <w:bCs w:val="0"/>
        </w:rPr>
        <w:t>Prone restraint:</w:t>
      </w:r>
      <w:r w:rsidR="003F1848" w:rsidRPr="00F642EF">
        <w:rPr>
          <w:b/>
          <w:bCs w:val="0"/>
        </w:rPr>
        <w:t xml:space="preserve"> </w:t>
      </w:r>
      <w:r w:rsidR="003F1848" w:rsidRPr="00F642EF">
        <w:t>refers to the act of physically restraining an individual while they are in the prone position—that is, lying face down with the front of the body against the ground</w:t>
      </w:r>
    </w:p>
    <w:p w14:paraId="15F0C799" w14:textId="367371E8" w:rsidR="00B14039" w:rsidRPr="00F642EF" w:rsidRDefault="00B14039" w:rsidP="00B14039">
      <w:pPr>
        <w:pStyle w:val="BodyCopy"/>
        <w:rPr>
          <w:b/>
          <w:bCs w:val="0"/>
        </w:rPr>
      </w:pPr>
      <w:r w:rsidRPr="00F642EF">
        <w:rPr>
          <w:b/>
          <w:bCs w:val="0"/>
        </w:rPr>
        <w:t xml:space="preserve">Subcutaneous adipose tissue: </w:t>
      </w:r>
      <w:r w:rsidRPr="00F642EF">
        <w:t>a type of body fat located directly beneath the skin and above the muscles</w:t>
      </w:r>
    </w:p>
    <w:p w14:paraId="24CDEDDD" w14:textId="77777777" w:rsidR="00280C5D" w:rsidRPr="00F642EF" w:rsidRDefault="00280C5D" w:rsidP="001429A1">
      <w:pPr>
        <w:pStyle w:val="BodyCopy"/>
      </w:pPr>
      <w:hyperlink w:anchor="_top" w:history="1">
        <w:r w:rsidRPr="00F642EF">
          <w:rPr>
            <w:rStyle w:val="Hyperlink"/>
            <w:iCs w:val="0"/>
          </w:rPr>
          <w:t>Back to Contents</w:t>
        </w:r>
      </w:hyperlink>
    </w:p>
    <w:p w14:paraId="0B2AF7CD" w14:textId="77777777" w:rsidR="0078367D" w:rsidRPr="00F642EF" w:rsidRDefault="0078367D" w:rsidP="001429A1">
      <w:pPr>
        <w:pStyle w:val="Heading4"/>
      </w:pPr>
      <w:bookmarkStart w:id="16" w:name="_Toc210295821"/>
      <w:r w:rsidRPr="00F642EF">
        <w:t>Search terms</w:t>
      </w:r>
      <w:bookmarkEnd w:id="16"/>
    </w:p>
    <w:p w14:paraId="0A713603" w14:textId="5FD218C4" w:rsidR="00280C5D" w:rsidRPr="00F642EF" w:rsidRDefault="00FD1B31" w:rsidP="001429A1">
      <w:pPr>
        <w:pStyle w:val="BodyCopy"/>
        <w:rPr>
          <w:lang w:eastAsia="en-US"/>
        </w:rPr>
      </w:pPr>
      <w:r w:rsidRPr="00F642EF">
        <w:rPr>
          <w:lang w:eastAsia="en-US"/>
        </w:rPr>
        <w:t>Intramuscular injection, IMI, depot, long acting injectable, LAI, injection, antipsychotic</w:t>
      </w:r>
      <w:r w:rsidR="00BA0ED9">
        <w:rPr>
          <w:lang w:eastAsia="en-US"/>
        </w:rPr>
        <w:t xml:space="preserve">, ventrogluteal, deltoid, </w:t>
      </w:r>
      <w:proofErr w:type="spellStart"/>
      <w:r w:rsidR="00BA0ED9">
        <w:rPr>
          <w:lang w:eastAsia="en-US"/>
        </w:rPr>
        <w:t>dorsogluteal</w:t>
      </w:r>
      <w:proofErr w:type="spellEnd"/>
      <w:r w:rsidR="00BA0ED9">
        <w:rPr>
          <w:lang w:eastAsia="en-US"/>
        </w:rPr>
        <w:t xml:space="preserve">, </w:t>
      </w:r>
      <w:proofErr w:type="spellStart"/>
      <w:r w:rsidR="00BA0ED9">
        <w:rPr>
          <w:lang w:eastAsia="en-US"/>
        </w:rPr>
        <w:t>ztrack</w:t>
      </w:r>
      <w:proofErr w:type="spellEnd"/>
      <w:r w:rsidRPr="00F642EF">
        <w:rPr>
          <w:lang w:eastAsia="en-US"/>
        </w:rPr>
        <w:t xml:space="preserve"> </w:t>
      </w:r>
    </w:p>
    <w:p w14:paraId="3431CFF5" w14:textId="77777777" w:rsidR="00280C5D" w:rsidRPr="00F642EF" w:rsidRDefault="00280C5D" w:rsidP="001429A1">
      <w:pPr>
        <w:pStyle w:val="Bullet"/>
        <w:numPr>
          <w:ilvl w:val="0"/>
          <w:numId w:val="0"/>
        </w:numPr>
        <w:spacing w:after="240"/>
        <w:rPr>
          <w:lang w:eastAsia="en-US"/>
        </w:rPr>
      </w:pPr>
      <w:hyperlink w:anchor="_top" w:history="1">
        <w:r w:rsidRPr="00F642EF">
          <w:rPr>
            <w:rStyle w:val="Hyperlink"/>
          </w:rPr>
          <w:t>Back to Contents</w:t>
        </w:r>
      </w:hyperlink>
    </w:p>
    <w:p w14:paraId="0361EE20" w14:textId="77777777" w:rsidR="009A5010" w:rsidRPr="00F642EF" w:rsidRDefault="00280C5D" w:rsidP="00D61B93">
      <w:pPr>
        <w:spacing w:before="0" w:after="0" w:line="240" w:lineRule="auto"/>
        <w:rPr>
          <w:rStyle w:val="Bold"/>
        </w:rPr>
      </w:pPr>
      <w:r w:rsidRPr="00F642EF">
        <w:rPr>
          <w:rStyle w:val="Bold"/>
        </w:rPr>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rsidRPr="00F642EF" w14:paraId="0CE5387D"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5EF8F6D3" w14:textId="77777777" w:rsidR="00280C5D" w:rsidRPr="00F642EF" w:rsidRDefault="00280C5D" w:rsidP="001429A1">
            <w:pPr>
              <w:pStyle w:val="Tableheader"/>
              <w:rPr>
                <w:lang w:val="en-AU"/>
              </w:rPr>
            </w:pPr>
            <w:r w:rsidRPr="00F642EF">
              <w:rPr>
                <w:lang w:val="en-AU"/>
              </w:rPr>
              <w:t>Date amended</w:t>
            </w:r>
          </w:p>
        </w:tc>
        <w:tc>
          <w:tcPr>
            <w:tcW w:w="2477" w:type="dxa"/>
          </w:tcPr>
          <w:p w14:paraId="1021D525" w14:textId="77777777" w:rsidR="00280C5D" w:rsidRPr="00F642EF" w:rsidRDefault="00280C5D" w:rsidP="001429A1">
            <w:pPr>
              <w:pStyle w:val="Tableheader"/>
              <w:rPr>
                <w:lang w:val="en-AU"/>
              </w:rPr>
            </w:pPr>
            <w:r w:rsidRPr="00F642EF">
              <w:rPr>
                <w:lang w:val="en-AU"/>
              </w:rPr>
              <w:t>Section amended</w:t>
            </w:r>
          </w:p>
        </w:tc>
        <w:tc>
          <w:tcPr>
            <w:tcW w:w="2555" w:type="dxa"/>
          </w:tcPr>
          <w:p w14:paraId="7CFAB3C5" w14:textId="77777777" w:rsidR="00280C5D" w:rsidRPr="00F642EF" w:rsidRDefault="00280C5D" w:rsidP="001429A1">
            <w:pPr>
              <w:pStyle w:val="Tableheader"/>
              <w:rPr>
                <w:lang w:val="en-AU"/>
              </w:rPr>
            </w:pPr>
            <w:r w:rsidRPr="00F642EF">
              <w:rPr>
                <w:lang w:val="en-AU"/>
              </w:rPr>
              <w:t>Divisional approval</w:t>
            </w:r>
          </w:p>
        </w:tc>
        <w:tc>
          <w:tcPr>
            <w:tcW w:w="2403" w:type="dxa"/>
          </w:tcPr>
          <w:p w14:paraId="38CF89C6" w14:textId="77777777" w:rsidR="00280C5D" w:rsidRPr="00F642EF" w:rsidRDefault="00280C5D" w:rsidP="001429A1">
            <w:pPr>
              <w:pStyle w:val="Tableheader"/>
              <w:rPr>
                <w:lang w:val="en-AU"/>
              </w:rPr>
            </w:pPr>
            <w:r w:rsidRPr="00F642EF">
              <w:rPr>
                <w:lang w:val="en-AU"/>
              </w:rPr>
              <w:t>Final approval</w:t>
            </w:r>
          </w:p>
        </w:tc>
      </w:tr>
      <w:tr w:rsidR="00280C5D" w:rsidRPr="00F642EF" w14:paraId="05F9144A" w14:textId="77777777" w:rsidTr="003B0E72">
        <w:tc>
          <w:tcPr>
            <w:tcW w:w="2476" w:type="dxa"/>
          </w:tcPr>
          <w:p w14:paraId="50B4D8CB" w14:textId="19C06019" w:rsidR="00280C5D" w:rsidRPr="00F642EF" w:rsidRDefault="00D95EAE" w:rsidP="001429A1">
            <w:pPr>
              <w:pStyle w:val="Tablebody"/>
              <w:rPr>
                <w:lang w:val="en-AU" w:eastAsia="en-US"/>
              </w:rPr>
            </w:pPr>
            <w:r>
              <w:rPr>
                <w:lang w:val="en-AU" w:eastAsia="en-US"/>
              </w:rPr>
              <w:t>2 October 2025</w:t>
            </w:r>
          </w:p>
        </w:tc>
        <w:tc>
          <w:tcPr>
            <w:tcW w:w="2477" w:type="dxa"/>
          </w:tcPr>
          <w:p w14:paraId="44EDC53A" w14:textId="185F0FF2" w:rsidR="00280C5D" w:rsidRPr="00F642EF" w:rsidRDefault="00D95EAE" w:rsidP="001429A1">
            <w:pPr>
              <w:pStyle w:val="Tablebody"/>
              <w:rPr>
                <w:lang w:val="en-AU" w:eastAsia="en-US"/>
              </w:rPr>
            </w:pPr>
            <w:r>
              <w:rPr>
                <w:lang w:val="en-AU" w:eastAsia="en-US"/>
              </w:rPr>
              <w:t>New document</w:t>
            </w:r>
          </w:p>
        </w:tc>
        <w:tc>
          <w:tcPr>
            <w:tcW w:w="2555" w:type="dxa"/>
          </w:tcPr>
          <w:p w14:paraId="70B427F8" w14:textId="33722B89" w:rsidR="00280C5D" w:rsidRPr="00F642EF" w:rsidRDefault="00D95EAE" w:rsidP="001429A1">
            <w:pPr>
              <w:pStyle w:val="Tablebody"/>
              <w:rPr>
                <w:lang w:val="en-AU" w:eastAsia="en-US"/>
              </w:rPr>
            </w:pPr>
            <w:r>
              <w:rPr>
                <w:lang w:val="en-AU" w:eastAsia="en-US"/>
              </w:rPr>
              <w:t>Bruno Aloisi, GM MHJHADS</w:t>
            </w:r>
          </w:p>
        </w:tc>
        <w:tc>
          <w:tcPr>
            <w:tcW w:w="2403" w:type="dxa"/>
          </w:tcPr>
          <w:p w14:paraId="4A6E567F" w14:textId="67061534" w:rsidR="00280C5D" w:rsidRPr="00F642EF" w:rsidRDefault="00D95EAE" w:rsidP="001429A1">
            <w:pPr>
              <w:pStyle w:val="Tablebody"/>
              <w:rPr>
                <w:lang w:val="en-AU" w:eastAsia="en-US"/>
              </w:rPr>
            </w:pPr>
            <w:r>
              <w:rPr>
                <w:lang w:val="en-AU" w:eastAsia="en-US"/>
              </w:rPr>
              <w:t>Jacqui Clissold, Director of Policy and Consumer Handouts</w:t>
            </w:r>
          </w:p>
        </w:tc>
      </w:tr>
      <w:tr w:rsidR="00280C5D" w:rsidRPr="00F642EF" w14:paraId="7015620B" w14:textId="77777777" w:rsidTr="003B0E72">
        <w:tc>
          <w:tcPr>
            <w:tcW w:w="2476" w:type="dxa"/>
          </w:tcPr>
          <w:p w14:paraId="3F8C1FAB" w14:textId="3D348652" w:rsidR="00280C5D" w:rsidRPr="00F642EF" w:rsidRDefault="00D25B7D" w:rsidP="001429A1">
            <w:pPr>
              <w:pStyle w:val="Tablebody"/>
              <w:rPr>
                <w:lang w:val="en-AU" w:eastAsia="en-US"/>
              </w:rPr>
            </w:pPr>
            <w:r>
              <w:rPr>
                <w:lang w:val="en-AU" w:eastAsia="en-US"/>
              </w:rPr>
              <w:t xml:space="preserve">22 December 2025 </w:t>
            </w:r>
          </w:p>
        </w:tc>
        <w:tc>
          <w:tcPr>
            <w:tcW w:w="2477" w:type="dxa"/>
          </w:tcPr>
          <w:p w14:paraId="7DA7B337" w14:textId="75AD8856" w:rsidR="00280C5D" w:rsidRPr="00F642EF" w:rsidRDefault="00D25B7D" w:rsidP="001429A1">
            <w:pPr>
              <w:pStyle w:val="Tablebody"/>
              <w:rPr>
                <w:lang w:val="en-AU" w:eastAsia="en-US"/>
              </w:rPr>
            </w:pPr>
            <w:r>
              <w:rPr>
                <w:lang w:val="en-AU" w:eastAsia="en-US"/>
              </w:rPr>
              <w:t>Complete review</w:t>
            </w:r>
          </w:p>
        </w:tc>
        <w:tc>
          <w:tcPr>
            <w:tcW w:w="2555" w:type="dxa"/>
          </w:tcPr>
          <w:p w14:paraId="25934BDA" w14:textId="65EC21BD" w:rsidR="00280C5D" w:rsidRPr="00F642EF" w:rsidRDefault="00D25B7D" w:rsidP="001429A1">
            <w:pPr>
              <w:pStyle w:val="Tablebody"/>
              <w:rPr>
                <w:lang w:val="en-AU" w:eastAsia="en-US"/>
              </w:rPr>
            </w:pPr>
            <w:r>
              <w:rPr>
                <w:lang w:val="en-AU" w:eastAsia="en-US"/>
              </w:rPr>
              <w:t>Bruno Aloisi, GM MHJHADS</w:t>
            </w:r>
          </w:p>
        </w:tc>
        <w:tc>
          <w:tcPr>
            <w:tcW w:w="2403" w:type="dxa"/>
          </w:tcPr>
          <w:p w14:paraId="1ED1C23D" w14:textId="17654510" w:rsidR="00280C5D" w:rsidRPr="00F642EF" w:rsidRDefault="00D25B7D" w:rsidP="001429A1">
            <w:pPr>
              <w:pStyle w:val="Tablebody"/>
              <w:rPr>
                <w:lang w:val="en-AU" w:eastAsia="en-US"/>
              </w:rPr>
            </w:pPr>
            <w:r>
              <w:rPr>
                <w:lang w:val="en-AU" w:eastAsia="en-US"/>
              </w:rPr>
              <w:t>CHS Policy Document Review Panel</w:t>
            </w:r>
          </w:p>
        </w:tc>
      </w:tr>
    </w:tbl>
    <w:p w14:paraId="7F5F2F90" w14:textId="77777777" w:rsidR="00280C5D" w:rsidRPr="00F642EF" w:rsidRDefault="00280C5D" w:rsidP="001429A1">
      <w:pPr>
        <w:spacing w:after="120"/>
        <w:rPr>
          <w:lang w:eastAsia="en-US"/>
        </w:rPr>
      </w:pPr>
      <w:r w:rsidRPr="00F642EF">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rsidRPr="00F642EF" w14:paraId="1D561159"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01B092FD" w14:textId="77777777" w:rsidR="00280C5D" w:rsidRPr="00F642EF" w:rsidRDefault="00280C5D" w:rsidP="001429A1">
            <w:pPr>
              <w:pStyle w:val="Tableheader"/>
              <w:rPr>
                <w:lang w:val="en-AU"/>
              </w:rPr>
            </w:pPr>
            <w:r w:rsidRPr="00F642EF">
              <w:rPr>
                <w:lang w:val="en-AU"/>
              </w:rPr>
              <w:t>Document number</w:t>
            </w:r>
          </w:p>
        </w:tc>
        <w:tc>
          <w:tcPr>
            <w:tcW w:w="7653" w:type="dxa"/>
          </w:tcPr>
          <w:p w14:paraId="6E03A822" w14:textId="77777777" w:rsidR="00280C5D" w:rsidRPr="00F642EF" w:rsidRDefault="00280C5D" w:rsidP="001429A1">
            <w:pPr>
              <w:pStyle w:val="Tableheader"/>
              <w:rPr>
                <w:lang w:val="en-AU"/>
              </w:rPr>
            </w:pPr>
            <w:r w:rsidRPr="00F642EF">
              <w:rPr>
                <w:lang w:val="en-AU"/>
              </w:rPr>
              <w:t>Document name</w:t>
            </w:r>
          </w:p>
        </w:tc>
      </w:tr>
      <w:tr w:rsidR="00280C5D" w:rsidRPr="00F642EF" w14:paraId="3E889B89" w14:textId="77777777" w:rsidTr="003B0E72">
        <w:tc>
          <w:tcPr>
            <w:tcW w:w="2548" w:type="dxa"/>
          </w:tcPr>
          <w:p w14:paraId="09E44A98" w14:textId="77777777" w:rsidR="00280C5D" w:rsidRPr="00F642EF" w:rsidRDefault="00280C5D" w:rsidP="001429A1">
            <w:pPr>
              <w:pStyle w:val="Tablebody"/>
              <w:rPr>
                <w:lang w:val="en-AU" w:eastAsia="en-US"/>
              </w:rPr>
            </w:pPr>
          </w:p>
        </w:tc>
        <w:tc>
          <w:tcPr>
            <w:tcW w:w="7653" w:type="dxa"/>
          </w:tcPr>
          <w:p w14:paraId="160E52BB" w14:textId="77777777" w:rsidR="00280C5D" w:rsidRPr="00F642EF" w:rsidRDefault="00280C5D" w:rsidP="001429A1">
            <w:pPr>
              <w:pStyle w:val="Tablebody"/>
              <w:rPr>
                <w:lang w:val="en-AU" w:eastAsia="en-US"/>
              </w:rPr>
            </w:pPr>
          </w:p>
        </w:tc>
      </w:tr>
      <w:tr w:rsidR="00280C5D" w:rsidRPr="00F642EF" w14:paraId="1709B5F2" w14:textId="77777777" w:rsidTr="003B0E72">
        <w:tc>
          <w:tcPr>
            <w:tcW w:w="2548" w:type="dxa"/>
          </w:tcPr>
          <w:p w14:paraId="19C3BB2D" w14:textId="77777777" w:rsidR="00280C5D" w:rsidRPr="00F642EF" w:rsidRDefault="00280C5D" w:rsidP="001429A1">
            <w:pPr>
              <w:pStyle w:val="Tablebody"/>
              <w:rPr>
                <w:lang w:val="en-AU" w:eastAsia="en-US"/>
              </w:rPr>
            </w:pPr>
          </w:p>
        </w:tc>
        <w:tc>
          <w:tcPr>
            <w:tcW w:w="7653" w:type="dxa"/>
          </w:tcPr>
          <w:p w14:paraId="04F0701D" w14:textId="77777777" w:rsidR="00280C5D" w:rsidRPr="00F642EF" w:rsidRDefault="00280C5D" w:rsidP="001429A1">
            <w:pPr>
              <w:pStyle w:val="Tablebody"/>
              <w:rPr>
                <w:lang w:val="en-AU" w:eastAsia="en-US"/>
              </w:rPr>
            </w:pPr>
          </w:p>
        </w:tc>
      </w:tr>
    </w:tbl>
    <w:p w14:paraId="6A95BB3C" w14:textId="77777777" w:rsidR="00280C5D" w:rsidRPr="00F642EF" w:rsidRDefault="00280C5D" w:rsidP="001429A1">
      <w:pPr>
        <w:pStyle w:val="BodyCopy"/>
        <w:rPr>
          <w:rStyle w:val="Bold"/>
        </w:rPr>
      </w:pPr>
      <w:r w:rsidRPr="00F642EF">
        <w:rPr>
          <w:rStyle w:val="Bold"/>
        </w:rPr>
        <w:t>Disclaimer</w:t>
      </w:r>
    </w:p>
    <w:p w14:paraId="0D3CE117" w14:textId="77777777" w:rsidR="00280C5D" w:rsidRPr="00F642EF" w:rsidRDefault="00280C5D" w:rsidP="001429A1">
      <w:pPr>
        <w:rPr>
          <w:lang w:eastAsia="en-US"/>
        </w:rPr>
      </w:pPr>
      <w:r w:rsidRPr="00F642EF">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7393DF3B" w14:textId="77777777" w:rsidR="00280C5D" w:rsidRPr="00F642EF" w:rsidRDefault="00280C5D" w:rsidP="001429A1">
      <w:pPr>
        <w:pStyle w:val="Bullet"/>
        <w:numPr>
          <w:ilvl w:val="0"/>
          <w:numId w:val="0"/>
        </w:numPr>
        <w:rPr>
          <w:rStyle w:val="Hyperlink"/>
        </w:rPr>
      </w:pPr>
      <w:hyperlink w:anchor="_top" w:history="1">
        <w:r w:rsidRPr="00F642EF">
          <w:rPr>
            <w:rStyle w:val="Hyperlink"/>
          </w:rPr>
          <w:t>Back to Contents</w:t>
        </w:r>
      </w:hyperlink>
    </w:p>
    <w:p w14:paraId="0AE7DD43" w14:textId="77777777" w:rsidR="00280C5D" w:rsidRPr="00F642EF" w:rsidRDefault="00280C5D" w:rsidP="001429A1">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rsidRPr="00F642EF" w14:paraId="2C3FEEE4" w14:textId="77777777" w:rsidTr="003B0E72">
        <w:tc>
          <w:tcPr>
            <w:tcW w:w="5529" w:type="dxa"/>
            <w:shd w:val="clear" w:color="auto" w:fill="F4F3EE"/>
            <w:tcMar>
              <w:top w:w="142" w:type="dxa"/>
              <w:left w:w="170" w:type="dxa"/>
              <w:bottom w:w="142" w:type="dxa"/>
              <w:right w:w="170" w:type="dxa"/>
            </w:tcMar>
          </w:tcPr>
          <w:bookmarkStart w:id="17" w:name="_Hlk160027189" w:displacedByCustomXml="next"/>
          <w:sdt>
            <w:sdtPr>
              <w:rPr>
                <w:color w:val="auto"/>
                <w:u w:val="single"/>
                <w:lang w:val="en-AU"/>
              </w:rPr>
              <w:id w:val="-466350306"/>
              <w:placeholder>
                <w:docPart w:val="7C157FDB00964D499CEBB744B3C5902D"/>
              </w:placeholder>
            </w:sdtPr>
            <w:sdtEndPr>
              <w:rPr>
                <w:color w:val="000000" w:themeColor="text1"/>
                <w:u w:val="none"/>
              </w:rPr>
            </w:sdtEndPr>
            <w:sdtContent>
              <w:p w14:paraId="7C200C82" w14:textId="77777777" w:rsidR="00280C5D" w:rsidRPr="00F642EF" w:rsidRDefault="00280C5D" w:rsidP="001429A1">
                <w:pPr>
                  <w:pStyle w:val="Bottomblocktext"/>
                  <w:rPr>
                    <w:b/>
                    <w:bCs w:val="0"/>
                    <w:sz w:val="20"/>
                    <w:szCs w:val="20"/>
                    <w:lang w:val="en-AU"/>
                  </w:rPr>
                </w:pPr>
                <w:r w:rsidRPr="00F642EF">
                  <w:rPr>
                    <w:noProof/>
                    <w:sz w:val="20"/>
                    <w:szCs w:val="20"/>
                    <w:lang w:val="en-AU"/>
                  </w:rPr>
                  <w:drawing>
                    <wp:inline distT="0" distB="0" distL="0" distR="0" wp14:anchorId="6CE2E996" wp14:editId="58281BF2">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23"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F642EF">
                  <w:rPr>
                    <w:b/>
                    <w:bCs w:val="0"/>
                    <w:sz w:val="20"/>
                    <w:szCs w:val="20"/>
                    <w:lang w:val="en-AU"/>
                  </w:rPr>
                  <w:t xml:space="preserve">Acknowledgement of Country </w:t>
                </w:r>
              </w:p>
              <w:p w14:paraId="748CC7C4" w14:textId="77777777" w:rsidR="00280C5D" w:rsidRPr="00F642EF" w:rsidRDefault="00280C5D" w:rsidP="001429A1">
                <w:pPr>
                  <w:pStyle w:val="Bottomblocktext"/>
                  <w:rPr>
                    <w:sz w:val="20"/>
                    <w:szCs w:val="20"/>
                    <w:lang w:val="en-AU"/>
                  </w:rPr>
                </w:pPr>
                <w:r w:rsidRPr="00F642EF">
                  <w:rPr>
                    <w:sz w:val="20"/>
                    <w:szCs w:val="20"/>
                    <w:lang w:val="en-AU"/>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57D8A3D0" w14:textId="77777777" w:rsidR="00280C5D" w:rsidRPr="00F642EF" w:rsidRDefault="00280C5D" w:rsidP="001429A1">
                <w:pPr>
                  <w:pStyle w:val="Bottomblocktext"/>
                  <w:rPr>
                    <w:lang w:val="en-AU"/>
                  </w:rPr>
                </w:pPr>
                <w:r w:rsidRPr="00F642EF">
                  <w:rPr>
                    <w:lang w:val="en-AU"/>
                  </w:rPr>
                  <w:t>© Australian Capital Territory, Canberra 20</w:t>
                </w:r>
                <w:sdt>
                  <w:sdtPr>
                    <w:rPr>
                      <w:lang w:val="en-AU"/>
                    </w:rPr>
                    <w:alias w:val="Year selector"/>
                    <w:tag w:val="Year selector"/>
                    <w:id w:val="1385675321"/>
                    <w:placeholder>
                      <w:docPart w:val="AAB919897A98454CA2FB4C6F4AB84D83"/>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Content>
                    <w:r w:rsidR="00576CB2" w:rsidRPr="00F642EF">
                      <w:rPr>
                        <w:lang w:val="en-AU"/>
                      </w:rPr>
                      <w:t>24</w:t>
                    </w:r>
                  </w:sdtContent>
                </w:sdt>
              </w:p>
            </w:sdtContent>
          </w:sdt>
        </w:tc>
        <w:sdt>
          <w:sdtPr>
            <w:rPr>
              <w:lang w:val="en-AU"/>
            </w:rPr>
            <w:id w:val="1711766506"/>
            <w:placeholder>
              <w:docPart w:val="F603D6E575F14C9D90EA7D42CB8B52FA"/>
            </w:placeholder>
            <w:showingPlcHdr/>
          </w:sdtPr>
          <w:sdtContent>
            <w:tc>
              <w:tcPr>
                <w:tcW w:w="4665" w:type="dxa"/>
                <w:shd w:val="clear" w:color="auto" w:fill="F4F3EE"/>
                <w:tcMar>
                  <w:top w:w="142" w:type="dxa"/>
                  <w:left w:w="170" w:type="dxa"/>
                  <w:bottom w:w="142" w:type="dxa"/>
                  <w:right w:w="170" w:type="dxa"/>
                </w:tcMar>
              </w:tcPr>
              <w:p w14:paraId="6FD1A380" w14:textId="77777777" w:rsidR="00576CB2" w:rsidRPr="00F642EF" w:rsidRDefault="00576CB2" w:rsidP="003B0E72">
                <w:pPr>
                  <w:pStyle w:val="Bottomblocktext"/>
                  <w:rPr>
                    <w:b/>
                    <w:bCs w:val="0"/>
                    <w:sz w:val="20"/>
                    <w:szCs w:val="20"/>
                    <w:lang w:val="en-AU"/>
                  </w:rPr>
                </w:pPr>
                <w:r w:rsidRPr="00F642EF">
                  <w:rPr>
                    <w:b/>
                    <w:bCs w:val="0"/>
                    <w:noProof/>
                    <w:sz w:val="20"/>
                    <w:szCs w:val="20"/>
                    <w:lang w:val="en-AU"/>
                  </w:rPr>
                  <w:drawing>
                    <wp:inline distT="0" distB="0" distL="0" distR="0" wp14:anchorId="2BCA8FD9" wp14:editId="14FD3234">
                      <wp:extent cx="338275" cy="331065"/>
                      <wp:effectExtent l="0" t="0" r="5080" b="0"/>
                      <wp:docPr id="259499573"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24"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F642EF">
                  <w:rPr>
                    <w:b/>
                    <w:bCs w:val="0"/>
                    <w:sz w:val="20"/>
                    <w:szCs w:val="20"/>
                    <w:lang w:val="en-AU"/>
                  </w:rPr>
                  <w:t xml:space="preserve">Accessibility </w:t>
                </w:r>
                <w:r w:rsidRPr="00F642EF">
                  <w:rPr>
                    <w:noProof/>
                    <w:sz w:val="20"/>
                    <w:szCs w:val="20"/>
                    <w:lang w:val="en-AU"/>
                  </w:rPr>
                  <w:drawing>
                    <wp:inline distT="0" distB="0" distL="0" distR="0" wp14:anchorId="507BBB79" wp14:editId="35D3EED8">
                      <wp:extent cx="143919" cy="139700"/>
                      <wp:effectExtent l="0" t="0" r="8890" b="0"/>
                      <wp:docPr id="1820457039"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25"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sidRPr="00F642EF">
                  <w:rPr>
                    <w:b/>
                    <w:sz w:val="20"/>
                    <w:szCs w:val="20"/>
                    <w:lang w:val="en-AU"/>
                  </w:rPr>
                  <w:t xml:space="preserve"> </w:t>
                </w:r>
                <w:r w:rsidRPr="00F642EF">
                  <w:rPr>
                    <w:sz w:val="20"/>
                    <w:szCs w:val="20"/>
                    <w:lang w:val="en-AU"/>
                  </w:rPr>
                  <w:t>call (02) 5124 0000</w:t>
                </w:r>
              </w:p>
              <w:p w14:paraId="587A695F" w14:textId="77777777" w:rsidR="00576CB2" w:rsidRPr="00F642EF" w:rsidRDefault="00576CB2" w:rsidP="003B0E72">
                <w:pPr>
                  <w:pStyle w:val="Bottomblocktext"/>
                  <w:rPr>
                    <w:b/>
                    <w:bCs w:val="0"/>
                    <w:sz w:val="20"/>
                    <w:szCs w:val="20"/>
                    <w:lang w:val="en-AU"/>
                  </w:rPr>
                </w:pPr>
                <w:r w:rsidRPr="00F642EF">
                  <w:rPr>
                    <w:b/>
                    <w:bCs w:val="0"/>
                    <w:noProof/>
                    <w:sz w:val="20"/>
                    <w:szCs w:val="20"/>
                    <w:lang w:val="en-AU"/>
                  </w:rPr>
                  <w:drawing>
                    <wp:inline distT="0" distB="0" distL="0" distR="0" wp14:anchorId="1E7E9ECD" wp14:editId="7A9ED923">
                      <wp:extent cx="326104" cy="323850"/>
                      <wp:effectExtent l="0" t="0" r="0" b="0"/>
                      <wp:docPr id="189512011"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6"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sidRPr="00F642EF">
                  <w:rPr>
                    <w:b/>
                    <w:bCs w:val="0"/>
                    <w:sz w:val="20"/>
                    <w:szCs w:val="20"/>
                    <w:lang w:val="en-AU"/>
                  </w:rPr>
                  <w:t xml:space="preserve"> Interpreter </w:t>
                </w:r>
                <w:r w:rsidRPr="00F642EF">
                  <w:rPr>
                    <w:noProof/>
                    <w:sz w:val="20"/>
                    <w:szCs w:val="20"/>
                    <w:lang w:val="en-AU"/>
                  </w:rPr>
                  <w:drawing>
                    <wp:inline distT="0" distB="0" distL="0" distR="0" wp14:anchorId="3AFD1C89" wp14:editId="1B3C8153">
                      <wp:extent cx="143919" cy="139700"/>
                      <wp:effectExtent l="0" t="0" r="8890" b="0"/>
                      <wp:docPr id="1706180053"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25"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sidRPr="00F642EF">
                  <w:rPr>
                    <w:b/>
                    <w:sz w:val="20"/>
                    <w:szCs w:val="20"/>
                    <w:lang w:val="en-AU"/>
                  </w:rPr>
                  <w:t xml:space="preserve"> </w:t>
                </w:r>
                <w:r w:rsidRPr="00F642EF">
                  <w:rPr>
                    <w:sz w:val="20"/>
                    <w:szCs w:val="20"/>
                    <w:lang w:val="en-AU"/>
                  </w:rPr>
                  <w:t>call 131 450</w:t>
                </w:r>
              </w:p>
              <w:p w14:paraId="6B2955B9" w14:textId="77777777" w:rsidR="00576CB2" w:rsidRPr="00F642EF" w:rsidRDefault="00576CB2" w:rsidP="003B0E72">
                <w:pPr>
                  <w:pStyle w:val="Bottomblocktext"/>
                  <w:rPr>
                    <w:sz w:val="20"/>
                    <w:szCs w:val="20"/>
                    <w:lang w:val="en-AU"/>
                  </w:rPr>
                </w:pPr>
                <w:hyperlink r:id="rId27" w:history="1">
                  <w:r w:rsidRPr="00F642EF">
                    <w:rPr>
                      <w:rStyle w:val="Hyperlink"/>
                      <w:sz w:val="20"/>
                      <w:szCs w:val="20"/>
                      <w:lang w:val="en-AU"/>
                    </w:rPr>
                    <w:t>canberrahealthservices.act.gov.au/accessibility</w:t>
                  </w:r>
                </w:hyperlink>
              </w:p>
              <w:p w14:paraId="01C98D57" w14:textId="77777777" w:rsidR="00280C5D" w:rsidRPr="00F642EF" w:rsidRDefault="00576CB2" w:rsidP="001429A1">
                <w:pPr>
                  <w:pStyle w:val="Bottomblocktext"/>
                  <w:rPr>
                    <w:lang w:val="en-AU"/>
                  </w:rPr>
                </w:pPr>
                <w:r w:rsidRPr="00F642EF">
                  <w:rPr>
                    <w:b/>
                    <w:bCs w:val="0"/>
                    <w:noProof/>
                    <w:lang w:val="en-AU"/>
                  </w:rPr>
                  <w:drawing>
                    <wp:inline distT="0" distB="0" distL="0" distR="0" wp14:anchorId="7B3A008D" wp14:editId="7B341249">
                      <wp:extent cx="1323833" cy="309418"/>
                      <wp:effectExtent l="0" t="0" r="0" b="0"/>
                      <wp:docPr id="697381525"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8"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0"/>
      <w:bookmarkEnd w:id="17"/>
    </w:tbl>
    <w:p w14:paraId="2BBC61B8" w14:textId="77777777" w:rsidR="00201AF6" w:rsidRPr="00F642EF" w:rsidRDefault="00201AF6" w:rsidP="001429A1">
      <w:pPr>
        <w:rPr>
          <w:lang w:eastAsia="en-US"/>
        </w:rPr>
      </w:pPr>
    </w:p>
    <w:p w14:paraId="4FE059D4" w14:textId="2D3F9A7C" w:rsidR="00A513AA" w:rsidRDefault="00A513AA" w:rsidP="00FD2CB9">
      <w:pPr>
        <w:spacing w:before="0" w:after="0" w:line="240" w:lineRule="auto"/>
        <w:rPr>
          <w:lang w:eastAsia="en-US"/>
        </w:rPr>
      </w:pPr>
    </w:p>
    <w:sectPr w:rsidR="00A513AA" w:rsidSect="0007270D">
      <w:headerReference w:type="even" r:id="rId29"/>
      <w:headerReference w:type="default" r:id="rId30"/>
      <w:footerReference w:type="even" r:id="rId31"/>
      <w:footerReference w:type="default" r:id="rId32"/>
      <w:headerReference w:type="first" r:id="rId33"/>
      <w:footerReference w:type="first" r:id="rId34"/>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C36D3" w14:textId="77777777" w:rsidR="00F70CBF" w:rsidRPr="00F642EF" w:rsidRDefault="00F70CBF" w:rsidP="00225769">
      <w:pPr>
        <w:spacing w:after="0" w:line="240" w:lineRule="auto"/>
      </w:pPr>
      <w:r w:rsidRPr="00F642EF">
        <w:separator/>
      </w:r>
    </w:p>
    <w:p w14:paraId="03003ECF" w14:textId="77777777" w:rsidR="00F70CBF" w:rsidRPr="00F642EF" w:rsidRDefault="00F70CBF"/>
    <w:p w14:paraId="3B762BF2" w14:textId="77777777" w:rsidR="00F70CBF" w:rsidRPr="00F642EF" w:rsidRDefault="00F70CBF"/>
    <w:p w14:paraId="3F80A4DB" w14:textId="77777777" w:rsidR="00F70CBF" w:rsidRPr="00F642EF" w:rsidRDefault="00F70CBF"/>
    <w:p w14:paraId="45412A0B" w14:textId="77777777" w:rsidR="00F70CBF" w:rsidRPr="00F642EF" w:rsidRDefault="00F70CBF"/>
    <w:p w14:paraId="6FF6C295" w14:textId="77777777" w:rsidR="00F70CBF" w:rsidRPr="00F642EF" w:rsidRDefault="00F70CBF"/>
    <w:p w14:paraId="6893BF1E" w14:textId="77777777" w:rsidR="00F70CBF" w:rsidRPr="00F642EF" w:rsidRDefault="00F70CBF"/>
  </w:endnote>
  <w:endnote w:type="continuationSeparator" w:id="0">
    <w:p w14:paraId="39CB56CF" w14:textId="77777777" w:rsidR="00F70CBF" w:rsidRPr="00F642EF" w:rsidRDefault="00F70CBF" w:rsidP="00225769">
      <w:pPr>
        <w:spacing w:after="0" w:line="240" w:lineRule="auto"/>
      </w:pPr>
      <w:r w:rsidRPr="00F642EF">
        <w:continuationSeparator/>
      </w:r>
    </w:p>
    <w:p w14:paraId="48CE1219" w14:textId="77777777" w:rsidR="00F70CBF" w:rsidRPr="00F642EF" w:rsidRDefault="00F70CBF"/>
    <w:p w14:paraId="24992D30" w14:textId="77777777" w:rsidR="00F70CBF" w:rsidRPr="00F642EF" w:rsidRDefault="00F70CBF"/>
    <w:p w14:paraId="236757B1" w14:textId="77777777" w:rsidR="00F70CBF" w:rsidRPr="00F642EF" w:rsidRDefault="00F70CBF"/>
    <w:p w14:paraId="4E9BDF31" w14:textId="77777777" w:rsidR="00F70CBF" w:rsidRPr="00F642EF" w:rsidRDefault="00F70CBF"/>
    <w:p w14:paraId="4CCE35FD" w14:textId="77777777" w:rsidR="00F70CBF" w:rsidRPr="00F642EF" w:rsidRDefault="00F70CBF"/>
    <w:p w14:paraId="1DFA06ED" w14:textId="77777777" w:rsidR="00F70CBF" w:rsidRPr="00F642EF" w:rsidRDefault="00F70CBF"/>
  </w:endnote>
  <w:endnote w:type="continuationNotice" w:id="1">
    <w:p w14:paraId="3DDE0674" w14:textId="77777777" w:rsidR="00F70CBF" w:rsidRPr="00F642EF" w:rsidRDefault="00F70CB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6796" w14:textId="77777777" w:rsidR="00D25B7D" w:rsidRDefault="00D25B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F642EF" w14:paraId="21280D60" w14:textId="77777777" w:rsidTr="003B0E72">
      <w:trPr>
        <w:jc w:val="center"/>
      </w:trPr>
      <w:tc>
        <w:tcPr>
          <w:tcW w:w="1515" w:type="dxa"/>
        </w:tcPr>
        <w:p w14:paraId="3969394B" w14:textId="77777777" w:rsidR="00481A6C" w:rsidRPr="00F642EF" w:rsidRDefault="00481A6C" w:rsidP="00481A6C">
          <w:pPr>
            <w:pStyle w:val="Footer"/>
            <w:jc w:val="center"/>
            <w:rPr>
              <w:b/>
              <w:bCs/>
              <w:iCs/>
              <w:sz w:val="20"/>
              <w:szCs w:val="20"/>
            </w:rPr>
          </w:pPr>
          <w:r w:rsidRPr="00F642EF">
            <w:rPr>
              <w:b/>
              <w:bCs/>
              <w:iCs/>
              <w:sz w:val="20"/>
              <w:szCs w:val="20"/>
            </w:rPr>
            <w:t>Doc Number</w:t>
          </w:r>
        </w:p>
      </w:tc>
      <w:tc>
        <w:tcPr>
          <w:tcW w:w="965" w:type="dxa"/>
        </w:tcPr>
        <w:p w14:paraId="14C7CC17" w14:textId="77777777" w:rsidR="00481A6C" w:rsidRPr="00F642EF" w:rsidRDefault="00481A6C" w:rsidP="00481A6C">
          <w:pPr>
            <w:pStyle w:val="Footer"/>
            <w:jc w:val="center"/>
            <w:rPr>
              <w:b/>
              <w:bCs/>
              <w:iCs/>
              <w:sz w:val="20"/>
              <w:szCs w:val="20"/>
            </w:rPr>
          </w:pPr>
          <w:r w:rsidRPr="00F642EF">
            <w:rPr>
              <w:b/>
              <w:bCs/>
              <w:iCs/>
              <w:sz w:val="20"/>
              <w:szCs w:val="20"/>
            </w:rPr>
            <w:t>Version</w:t>
          </w:r>
        </w:p>
      </w:tc>
      <w:tc>
        <w:tcPr>
          <w:tcW w:w="1552" w:type="dxa"/>
        </w:tcPr>
        <w:p w14:paraId="4FED39AA" w14:textId="77777777" w:rsidR="00481A6C" w:rsidRPr="00F642EF" w:rsidRDefault="00481A6C" w:rsidP="00481A6C">
          <w:pPr>
            <w:pStyle w:val="Footer"/>
            <w:jc w:val="center"/>
            <w:rPr>
              <w:b/>
              <w:bCs/>
              <w:iCs/>
              <w:sz w:val="20"/>
              <w:szCs w:val="20"/>
            </w:rPr>
          </w:pPr>
          <w:r w:rsidRPr="00F642EF">
            <w:rPr>
              <w:b/>
              <w:bCs/>
              <w:iCs/>
              <w:sz w:val="20"/>
              <w:szCs w:val="20"/>
            </w:rPr>
            <w:t>Issued</w:t>
          </w:r>
        </w:p>
      </w:tc>
      <w:tc>
        <w:tcPr>
          <w:tcW w:w="1456" w:type="dxa"/>
        </w:tcPr>
        <w:p w14:paraId="5ACA0825" w14:textId="77777777" w:rsidR="00481A6C" w:rsidRPr="00F642EF" w:rsidRDefault="00481A6C" w:rsidP="00481A6C">
          <w:pPr>
            <w:pStyle w:val="Footer"/>
            <w:jc w:val="center"/>
            <w:rPr>
              <w:b/>
              <w:bCs/>
              <w:iCs/>
              <w:sz w:val="20"/>
              <w:szCs w:val="20"/>
            </w:rPr>
          </w:pPr>
          <w:r w:rsidRPr="00F642EF">
            <w:rPr>
              <w:b/>
              <w:bCs/>
              <w:iCs/>
              <w:sz w:val="20"/>
              <w:szCs w:val="20"/>
            </w:rPr>
            <w:t>Review Date</w:t>
          </w:r>
        </w:p>
      </w:tc>
      <w:tc>
        <w:tcPr>
          <w:tcW w:w="1746" w:type="dxa"/>
        </w:tcPr>
        <w:p w14:paraId="13A76808" w14:textId="77777777" w:rsidR="00481A6C" w:rsidRPr="00F642EF" w:rsidRDefault="00481A6C" w:rsidP="00481A6C">
          <w:pPr>
            <w:pStyle w:val="Footer"/>
            <w:jc w:val="center"/>
            <w:rPr>
              <w:b/>
              <w:bCs/>
              <w:iCs/>
              <w:sz w:val="20"/>
              <w:szCs w:val="20"/>
            </w:rPr>
          </w:pPr>
          <w:r w:rsidRPr="00F642EF">
            <w:rPr>
              <w:b/>
              <w:bCs/>
              <w:iCs/>
              <w:sz w:val="20"/>
              <w:szCs w:val="20"/>
            </w:rPr>
            <w:t xml:space="preserve">Area </w:t>
          </w:r>
        </w:p>
      </w:tc>
      <w:tc>
        <w:tcPr>
          <w:tcW w:w="1836" w:type="dxa"/>
        </w:tcPr>
        <w:p w14:paraId="184EC6A9" w14:textId="77777777" w:rsidR="00481A6C" w:rsidRPr="00F642EF" w:rsidRDefault="00481A6C" w:rsidP="00481A6C">
          <w:pPr>
            <w:pStyle w:val="Footer"/>
            <w:jc w:val="center"/>
            <w:rPr>
              <w:b/>
              <w:bCs/>
              <w:iCs/>
              <w:sz w:val="20"/>
              <w:szCs w:val="20"/>
            </w:rPr>
          </w:pPr>
          <w:r w:rsidRPr="00F642EF">
            <w:rPr>
              <w:b/>
              <w:bCs/>
              <w:iCs/>
              <w:sz w:val="20"/>
              <w:szCs w:val="20"/>
            </w:rPr>
            <w:t>Page</w:t>
          </w:r>
        </w:p>
      </w:tc>
    </w:tr>
    <w:tr w:rsidR="00D03439" w:rsidRPr="00F642EF" w14:paraId="6E4DF68D" w14:textId="77777777" w:rsidTr="003B0E72">
      <w:trPr>
        <w:jc w:val="center"/>
      </w:trPr>
      <w:tc>
        <w:tcPr>
          <w:tcW w:w="1515" w:type="dxa"/>
        </w:tcPr>
        <w:p w14:paraId="1895D666" w14:textId="0FC3BB38" w:rsidR="00D03439" w:rsidRPr="00F642EF" w:rsidRDefault="00D03439" w:rsidP="00D03439">
          <w:pPr>
            <w:pStyle w:val="Footer"/>
            <w:jc w:val="center"/>
            <w:rPr>
              <w:bCs/>
              <w:iCs/>
              <w:sz w:val="20"/>
              <w:szCs w:val="20"/>
            </w:rPr>
          </w:pPr>
          <w:r>
            <w:rPr>
              <w:bCs/>
              <w:iCs/>
              <w:sz w:val="20"/>
              <w:szCs w:val="20"/>
            </w:rPr>
            <w:t>CHS25/34</w:t>
          </w:r>
          <w:r w:rsidR="00D25B7D">
            <w:rPr>
              <w:bCs/>
              <w:iCs/>
              <w:sz w:val="20"/>
              <w:szCs w:val="20"/>
            </w:rPr>
            <w:t>4</w:t>
          </w:r>
        </w:p>
      </w:tc>
      <w:tc>
        <w:tcPr>
          <w:tcW w:w="965" w:type="dxa"/>
        </w:tcPr>
        <w:p w14:paraId="474EB536" w14:textId="7B77E6E3" w:rsidR="00D03439" w:rsidRPr="00F642EF" w:rsidRDefault="00D03439" w:rsidP="00D03439">
          <w:pPr>
            <w:pStyle w:val="Footer"/>
            <w:jc w:val="center"/>
            <w:rPr>
              <w:bCs/>
              <w:iCs/>
              <w:sz w:val="20"/>
              <w:szCs w:val="20"/>
            </w:rPr>
          </w:pPr>
          <w:r>
            <w:rPr>
              <w:bCs/>
              <w:iCs/>
              <w:sz w:val="20"/>
              <w:szCs w:val="20"/>
            </w:rPr>
            <w:t>1</w:t>
          </w:r>
          <w:r w:rsidR="00D25B7D">
            <w:rPr>
              <w:bCs/>
              <w:iCs/>
              <w:sz w:val="20"/>
              <w:szCs w:val="20"/>
            </w:rPr>
            <w:t>.2</w:t>
          </w:r>
        </w:p>
      </w:tc>
      <w:tc>
        <w:tcPr>
          <w:tcW w:w="1552" w:type="dxa"/>
        </w:tcPr>
        <w:p w14:paraId="318AAE43" w14:textId="799A1D3C" w:rsidR="00D03439" w:rsidRPr="00F642EF" w:rsidRDefault="00D25B7D" w:rsidP="00D03439">
          <w:pPr>
            <w:pStyle w:val="Footer"/>
            <w:jc w:val="center"/>
            <w:rPr>
              <w:bCs/>
              <w:iCs/>
              <w:sz w:val="20"/>
              <w:szCs w:val="20"/>
            </w:rPr>
          </w:pPr>
          <w:r>
            <w:rPr>
              <w:bCs/>
              <w:iCs/>
              <w:sz w:val="20"/>
              <w:szCs w:val="20"/>
            </w:rPr>
            <w:t>22/12/2025</w:t>
          </w:r>
        </w:p>
      </w:tc>
      <w:tc>
        <w:tcPr>
          <w:tcW w:w="1456" w:type="dxa"/>
        </w:tcPr>
        <w:p w14:paraId="304C0B6B" w14:textId="458B91A6" w:rsidR="00D03439" w:rsidRPr="00F642EF" w:rsidRDefault="00D03439" w:rsidP="00D03439">
          <w:pPr>
            <w:pStyle w:val="Footer"/>
            <w:jc w:val="center"/>
            <w:rPr>
              <w:bCs/>
              <w:iCs/>
              <w:sz w:val="20"/>
              <w:szCs w:val="20"/>
            </w:rPr>
          </w:pPr>
          <w:r>
            <w:rPr>
              <w:bCs/>
              <w:iCs/>
              <w:sz w:val="20"/>
              <w:szCs w:val="20"/>
            </w:rPr>
            <w:t>01/</w:t>
          </w:r>
          <w:r w:rsidR="00006011">
            <w:rPr>
              <w:bCs/>
              <w:iCs/>
              <w:sz w:val="20"/>
              <w:szCs w:val="20"/>
            </w:rPr>
            <w:t>11</w:t>
          </w:r>
          <w:r>
            <w:rPr>
              <w:bCs/>
              <w:iCs/>
              <w:sz w:val="20"/>
              <w:szCs w:val="20"/>
            </w:rPr>
            <w:t>/2026</w:t>
          </w:r>
        </w:p>
      </w:tc>
      <w:tc>
        <w:tcPr>
          <w:tcW w:w="1746" w:type="dxa"/>
        </w:tcPr>
        <w:p w14:paraId="705EE1DB" w14:textId="673C42EF" w:rsidR="00D03439" w:rsidRPr="00F642EF" w:rsidRDefault="00D03439" w:rsidP="00D03439">
          <w:pPr>
            <w:pStyle w:val="Footer"/>
            <w:jc w:val="center"/>
            <w:rPr>
              <w:bCs/>
              <w:iCs/>
              <w:sz w:val="20"/>
              <w:szCs w:val="20"/>
            </w:rPr>
          </w:pPr>
          <w:r>
            <w:rPr>
              <w:bCs/>
              <w:iCs/>
              <w:sz w:val="20"/>
              <w:szCs w:val="20"/>
            </w:rPr>
            <w:t>MHJHADS</w:t>
          </w:r>
        </w:p>
      </w:tc>
      <w:tc>
        <w:tcPr>
          <w:tcW w:w="1836" w:type="dxa"/>
        </w:tcPr>
        <w:p w14:paraId="030B9489" w14:textId="77777777" w:rsidR="00D03439" w:rsidRPr="00F642EF" w:rsidRDefault="00D03439" w:rsidP="00D03439">
          <w:pPr>
            <w:pStyle w:val="Footer"/>
            <w:jc w:val="center"/>
            <w:rPr>
              <w:bCs/>
              <w:iCs/>
              <w:sz w:val="20"/>
              <w:szCs w:val="20"/>
            </w:rPr>
          </w:pPr>
          <w:r w:rsidRPr="00F642EF">
            <w:rPr>
              <w:rStyle w:val="PageNumber"/>
              <w:bCs/>
              <w:iCs/>
              <w:sz w:val="20"/>
              <w:szCs w:val="20"/>
            </w:rPr>
            <w:fldChar w:fldCharType="begin"/>
          </w:r>
          <w:r w:rsidRPr="00F642EF">
            <w:rPr>
              <w:rStyle w:val="PageNumber"/>
              <w:bCs/>
              <w:iCs/>
              <w:sz w:val="20"/>
              <w:szCs w:val="20"/>
            </w:rPr>
            <w:instrText xml:space="preserve"> PAGE </w:instrText>
          </w:r>
          <w:r w:rsidRPr="00F642EF">
            <w:rPr>
              <w:rStyle w:val="PageNumber"/>
              <w:bCs/>
              <w:iCs/>
              <w:sz w:val="20"/>
              <w:szCs w:val="20"/>
            </w:rPr>
            <w:fldChar w:fldCharType="separate"/>
          </w:r>
          <w:r w:rsidRPr="00F642EF">
            <w:rPr>
              <w:rStyle w:val="PageNumber"/>
              <w:bCs/>
              <w:iCs/>
              <w:sz w:val="20"/>
              <w:szCs w:val="20"/>
            </w:rPr>
            <w:t>3</w:t>
          </w:r>
          <w:r w:rsidRPr="00F642EF">
            <w:rPr>
              <w:rStyle w:val="PageNumber"/>
              <w:bCs/>
              <w:iCs/>
              <w:sz w:val="20"/>
              <w:szCs w:val="20"/>
            </w:rPr>
            <w:fldChar w:fldCharType="end"/>
          </w:r>
          <w:r w:rsidRPr="00F642EF">
            <w:rPr>
              <w:rStyle w:val="PageNumber"/>
              <w:bCs/>
              <w:iCs/>
              <w:sz w:val="20"/>
              <w:szCs w:val="20"/>
            </w:rPr>
            <w:t xml:space="preserve"> of </w:t>
          </w:r>
          <w:r w:rsidRPr="00F642EF">
            <w:rPr>
              <w:rStyle w:val="PageNumber"/>
              <w:bCs/>
              <w:iCs/>
              <w:sz w:val="20"/>
              <w:szCs w:val="20"/>
            </w:rPr>
            <w:fldChar w:fldCharType="begin"/>
          </w:r>
          <w:r w:rsidRPr="00F642EF">
            <w:rPr>
              <w:rStyle w:val="PageNumber"/>
              <w:bCs/>
              <w:iCs/>
              <w:sz w:val="20"/>
              <w:szCs w:val="20"/>
            </w:rPr>
            <w:instrText xml:space="preserve"> NUMPAGES </w:instrText>
          </w:r>
          <w:r w:rsidRPr="00F642EF">
            <w:rPr>
              <w:rStyle w:val="PageNumber"/>
              <w:bCs/>
              <w:iCs/>
              <w:sz w:val="20"/>
              <w:szCs w:val="20"/>
            </w:rPr>
            <w:fldChar w:fldCharType="separate"/>
          </w:r>
          <w:r w:rsidRPr="00F642EF">
            <w:rPr>
              <w:rStyle w:val="PageNumber"/>
              <w:bCs/>
              <w:iCs/>
              <w:sz w:val="20"/>
              <w:szCs w:val="20"/>
            </w:rPr>
            <w:t>4</w:t>
          </w:r>
          <w:r w:rsidRPr="00F642EF">
            <w:rPr>
              <w:rStyle w:val="PageNumber"/>
              <w:bCs/>
              <w:iCs/>
              <w:sz w:val="20"/>
              <w:szCs w:val="20"/>
            </w:rPr>
            <w:fldChar w:fldCharType="end"/>
          </w:r>
        </w:p>
      </w:tc>
    </w:tr>
  </w:tbl>
  <w:p w14:paraId="3FF87490" w14:textId="77777777" w:rsidR="005C71BC" w:rsidRPr="00F642EF" w:rsidRDefault="00481A6C" w:rsidP="00481A6C">
    <w:pPr>
      <w:pStyle w:val="Footer"/>
      <w:ind w:left="567"/>
    </w:pPr>
    <w:r w:rsidRPr="00F642EF">
      <w:rPr>
        <w:iCs/>
        <w:sz w:val="16"/>
        <w:szCs w:val="16"/>
      </w:rPr>
      <w:t>Do not refer to a paper-based copy of this policy document. The most current version can be found on the CHS Policy Register.</w:t>
    </w:r>
  </w:p>
  <w:p w14:paraId="3FA4B19A" w14:textId="77777777" w:rsidR="00BC67D4" w:rsidRPr="00F642EF" w:rsidRDefault="00BC67D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F642EF" w14:paraId="7E989E13" w14:textId="77777777" w:rsidTr="008E1ED9">
      <w:trPr>
        <w:jc w:val="center"/>
      </w:trPr>
      <w:tc>
        <w:tcPr>
          <w:tcW w:w="1515" w:type="dxa"/>
        </w:tcPr>
        <w:p w14:paraId="684FB3A2" w14:textId="77777777" w:rsidR="008A3DD8" w:rsidRPr="00F642EF" w:rsidRDefault="008A3DD8" w:rsidP="008A3DD8">
          <w:pPr>
            <w:pStyle w:val="Footer"/>
            <w:jc w:val="center"/>
            <w:rPr>
              <w:b/>
              <w:bCs/>
              <w:iCs/>
              <w:sz w:val="20"/>
              <w:szCs w:val="20"/>
            </w:rPr>
          </w:pPr>
          <w:r w:rsidRPr="00F642EF">
            <w:rPr>
              <w:b/>
              <w:bCs/>
              <w:iCs/>
              <w:sz w:val="20"/>
              <w:szCs w:val="20"/>
            </w:rPr>
            <w:t xml:space="preserve"> Doc Number</w:t>
          </w:r>
        </w:p>
      </w:tc>
      <w:tc>
        <w:tcPr>
          <w:tcW w:w="965" w:type="dxa"/>
        </w:tcPr>
        <w:p w14:paraId="54AB3121" w14:textId="77777777" w:rsidR="008A3DD8" w:rsidRPr="00F642EF" w:rsidRDefault="008A3DD8" w:rsidP="008A3DD8">
          <w:pPr>
            <w:pStyle w:val="Footer"/>
            <w:jc w:val="center"/>
            <w:rPr>
              <w:b/>
              <w:bCs/>
              <w:iCs/>
              <w:sz w:val="20"/>
              <w:szCs w:val="20"/>
            </w:rPr>
          </w:pPr>
          <w:r w:rsidRPr="00F642EF">
            <w:rPr>
              <w:b/>
              <w:bCs/>
              <w:iCs/>
              <w:sz w:val="20"/>
              <w:szCs w:val="20"/>
            </w:rPr>
            <w:t>Version</w:t>
          </w:r>
        </w:p>
      </w:tc>
      <w:tc>
        <w:tcPr>
          <w:tcW w:w="1552" w:type="dxa"/>
        </w:tcPr>
        <w:p w14:paraId="4688B2AD" w14:textId="77777777" w:rsidR="008A3DD8" w:rsidRPr="00F642EF" w:rsidRDefault="008A3DD8" w:rsidP="008A3DD8">
          <w:pPr>
            <w:pStyle w:val="Footer"/>
            <w:jc w:val="center"/>
            <w:rPr>
              <w:b/>
              <w:bCs/>
              <w:iCs/>
              <w:sz w:val="20"/>
              <w:szCs w:val="20"/>
            </w:rPr>
          </w:pPr>
          <w:r w:rsidRPr="00F642EF">
            <w:rPr>
              <w:b/>
              <w:bCs/>
              <w:iCs/>
              <w:sz w:val="20"/>
              <w:szCs w:val="20"/>
            </w:rPr>
            <w:t>Issued</w:t>
          </w:r>
        </w:p>
      </w:tc>
      <w:tc>
        <w:tcPr>
          <w:tcW w:w="1456" w:type="dxa"/>
        </w:tcPr>
        <w:p w14:paraId="053B8213" w14:textId="77777777" w:rsidR="008A3DD8" w:rsidRPr="00F642EF" w:rsidRDefault="008A3DD8" w:rsidP="008A3DD8">
          <w:pPr>
            <w:pStyle w:val="Footer"/>
            <w:jc w:val="center"/>
            <w:rPr>
              <w:b/>
              <w:bCs/>
              <w:iCs/>
              <w:sz w:val="20"/>
              <w:szCs w:val="20"/>
            </w:rPr>
          </w:pPr>
          <w:r w:rsidRPr="00F642EF">
            <w:rPr>
              <w:b/>
              <w:bCs/>
              <w:iCs/>
              <w:sz w:val="20"/>
              <w:szCs w:val="20"/>
            </w:rPr>
            <w:t>Review Date</w:t>
          </w:r>
        </w:p>
      </w:tc>
      <w:tc>
        <w:tcPr>
          <w:tcW w:w="1746" w:type="dxa"/>
        </w:tcPr>
        <w:p w14:paraId="56F9C39B" w14:textId="77777777" w:rsidR="008A3DD8" w:rsidRPr="00F642EF" w:rsidRDefault="008A3DD8" w:rsidP="008A3DD8">
          <w:pPr>
            <w:pStyle w:val="Footer"/>
            <w:jc w:val="center"/>
            <w:rPr>
              <w:b/>
              <w:bCs/>
              <w:iCs/>
              <w:sz w:val="20"/>
              <w:szCs w:val="20"/>
            </w:rPr>
          </w:pPr>
          <w:r w:rsidRPr="00F642EF">
            <w:rPr>
              <w:b/>
              <w:bCs/>
              <w:iCs/>
              <w:sz w:val="20"/>
              <w:szCs w:val="20"/>
            </w:rPr>
            <w:t xml:space="preserve">Area </w:t>
          </w:r>
        </w:p>
      </w:tc>
      <w:tc>
        <w:tcPr>
          <w:tcW w:w="1836" w:type="dxa"/>
        </w:tcPr>
        <w:p w14:paraId="46D1EDB2" w14:textId="77777777" w:rsidR="008A3DD8" w:rsidRPr="00F642EF" w:rsidRDefault="008A3DD8" w:rsidP="008A3DD8">
          <w:pPr>
            <w:pStyle w:val="Footer"/>
            <w:jc w:val="center"/>
            <w:rPr>
              <w:b/>
              <w:bCs/>
              <w:iCs/>
              <w:sz w:val="20"/>
              <w:szCs w:val="20"/>
            </w:rPr>
          </w:pPr>
          <w:r w:rsidRPr="00F642EF">
            <w:rPr>
              <w:b/>
              <w:bCs/>
              <w:iCs/>
              <w:sz w:val="20"/>
              <w:szCs w:val="20"/>
            </w:rPr>
            <w:t>Page</w:t>
          </w:r>
        </w:p>
      </w:tc>
    </w:tr>
    <w:tr w:rsidR="00006011" w:rsidRPr="00F642EF" w14:paraId="756A7F6D" w14:textId="77777777" w:rsidTr="008E1ED9">
      <w:trPr>
        <w:jc w:val="center"/>
      </w:trPr>
      <w:tc>
        <w:tcPr>
          <w:tcW w:w="1515" w:type="dxa"/>
        </w:tcPr>
        <w:p w14:paraId="3FF54BFE" w14:textId="7AECFA1D" w:rsidR="00006011" w:rsidRPr="00F642EF" w:rsidRDefault="00006011" w:rsidP="00006011">
          <w:pPr>
            <w:pStyle w:val="Footer"/>
            <w:jc w:val="center"/>
            <w:rPr>
              <w:bCs/>
              <w:iCs/>
              <w:sz w:val="20"/>
              <w:szCs w:val="20"/>
            </w:rPr>
          </w:pPr>
          <w:r>
            <w:rPr>
              <w:bCs/>
              <w:iCs/>
              <w:sz w:val="20"/>
              <w:szCs w:val="20"/>
            </w:rPr>
            <w:t>CHS25/344</w:t>
          </w:r>
        </w:p>
      </w:tc>
      <w:tc>
        <w:tcPr>
          <w:tcW w:w="965" w:type="dxa"/>
        </w:tcPr>
        <w:p w14:paraId="40712A50" w14:textId="03C373FE" w:rsidR="00006011" w:rsidRPr="00F642EF" w:rsidRDefault="00006011" w:rsidP="00006011">
          <w:pPr>
            <w:pStyle w:val="Footer"/>
            <w:jc w:val="center"/>
            <w:rPr>
              <w:bCs/>
              <w:iCs/>
              <w:sz w:val="20"/>
              <w:szCs w:val="20"/>
            </w:rPr>
          </w:pPr>
          <w:r>
            <w:rPr>
              <w:bCs/>
              <w:iCs/>
              <w:sz w:val="20"/>
              <w:szCs w:val="20"/>
            </w:rPr>
            <w:t>1.2</w:t>
          </w:r>
        </w:p>
      </w:tc>
      <w:tc>
        <w:tcPr>
          <w:tcW w:w="1552" w:type="dxa"/>
        </w:tcPr>
        <w:p w14:paraId="50710D23" w14:textId="12DD39F1" w:rsidR="00006011" w:rsidRPr="00F642EF" w:rsidRDefault="00006011" w:rsidP="00006011">
          <w:pPr>
            <w:pStyle w:val="Footer"/>
            <w:jc w:val="center"/>
            <w:rPr>
              <w:bCs/>
              <w:iCs/>
              <w:sz w:val="20"/>
              <w:szCs w:val="20"/>
            </w:rPr>
          </w:pPr>
          <w:r>
            <w:rPr>
              <w:bCs/>
              <w:iCs/>
              <w:sz w:val="20"/>
              <w:szCs w:val="20"/>
            </w:rPr>
            <w:t>22/12/2025</w:t>
          </w:r>
        </w:p>
      </w:tc>
      <w:tc>
        <w:tcPr>
          <w:tcW w:w="1456" w:type="dxa"/>
        </w:tcPr>
        <w:p w14:paraId="1C11DBE6" w14:textId="67037047" w:rsidR="00006011" w:rsidRPr="00F642EF" w:rsidRDefault="00006011" w:rsidP="00006011">
          <w:pPr>
            <w:pStyle w:val="Footer"/>
            <w:jc w:val="center"/>
            <w:rPr>
              <w:bCs/>
              <w:iCs/>
              <w:sz w:val="20"/>
              <w:szCs w:val="20"/>
            </w:rPr>
          </w:pPr>
          <w:r>
            <w:rPr>
              <w:bCs/>
              <w:iCs/>
              <w:sz w:val="20"/>
              <w:szCs w:val="20"/>
            </w:rPr>
            <w:t>01/11/2026</w:t>
          </w:r>
        </w:p>
      </w:tc>
      <w:tc>
        <w:tcPr>
          <w:tcW w:w="1746" w:type="dxa"/>
        </w:tcPr>
        <w:p w14:paraId="742DB468" w14:textId="5C2E619F" w:rsidR="00006011" w:rsidRPr="00F642EF" w:rsidRDefault="00006011" w:rsidP="00006011">
          <w:pPr>
            <w:pStyle w:val="Footer"/>
            <w:jc w:val="center"/>
            <w:rPr>
              <w:bCs/>
              <w:iCs/>
              <w:sz w:val="20"/>
              <w:szCs w:val="20"/>
            </w:rPr>
          </w:pPr>
          <w:r>
            <w:rPr>
              <w:bCs/>
              <w:iCs/>
              <w:sz w:val="20"/>
              <w:szCs w:val="20"/>
            </w:rPr>
            <w:t>MHJHADS</w:t>
          </w:r>
        </w:p>
      </w:tc>
      <w:tc>
        <w:tcPr>
          <w:tcW w:w="1836" w:type="dxa"/>
        </w:tcPr>
        <w:p w14:paraId="186F0048" w14:textId="77777777" w:rsidR="00006011" w:rsidRPr="00F642EF" w:rsidRDefault="00006011" w:rsidP="00006011">
          <w:pPr>
            <w:pStyle w:val="Footer"/>
            <w:jc w:val="center"/>
            <w:rPr>
              <w:bCs/>
              <w:iCs/>
              <w:sz w:val="20"/>
              <w:szCs w:val="20"/>
            </w:rPr>
          </w:pPr>
          <w:r w:rsidRPr="00F642EF">
            <w:rPr>
              <w:rStyle w:val="PageNumber"/>
              <w:bCs/>
              <w:iCs/>
              <w:sz w:val="20"/>
              <w:szCs w:val="20"/>
            </w:rPr>
            <w:fldChar w:fldCharType="begin"/>
          </w:r>
          <w:r w:rsidRPr="00F642EF">
            <w:rPr>
              <w:rStyle w:val="PageNumber"/>
              <w:bCs/>
              <w:iCs/>
              <w:sz w:val="20"/>
              <w:szCs w:val="20"/>
            </w:rPr>
            <w:instrText xml:space="preserve"> PAGE </w:instrText>
          </w:r>
          <w:r w:rsidRPr="00F642EF">
            <w:rPr>
              <w:rStyle w:val="PageNumber"/>
              <w:bCs/>
              <w:iCs/>
              <w:sz w:val="20"/>
              <w:szCs w:val="20"/>
            </w:rPr>
            <w:fldChar w:fldCharType="separate"/>
          </w:r>
          <w:r w:rsidRPr="00F642EF">
            <w:rPr>
              <w:rStyle w:val="PageNumber"/>
              <w:bCs/>
              <w:iCs/>
              <w:sz w:val="20"/>
              <w:szCs w:val="20"/>
            </w:rPr>
            <w:t>2</w:t>
          </w:r>
          <w:r w:rsidRPr="00F642EF">
            <w:rPr>
              <w:rStyle w:val="PageNumber"/>
              <w:bCs/>
              <w:iCs/>
              <w:sz w:val="20"/>
              <w:szCs w:val="20"/>
            </w:rPr>
            <w:fldChar w:fldCharType="end"/>
          </w:r>
          <w:r w:rsidRPr="00F642EF">
            <w:rPr>
              <w:rStyle w:val="PageNumber"/>
              <w:bCs/>
              <w:iCs/>
              <w:sz w:val="20"/>
              <w:szCs w:val="20"/>
            </w:rPr>
            <w:t xml:space="preserve"> of </w:t>
          </w:r>
          <w:r w:rsidRPr="00F642EF">
            <w:rPr>
              <w:rStyle w:val="PageNumber"/>
              <w:bCs/>
              <w:iCs/>
              <w:sz w:val="20"/>
              <w:szCs w:val="20"/>
            </w:rPr>
            <w:fldChar w:fldCharType="begin"/>
          </w:r>
          <w:r w:rsidRPr="00F642EF">
            <w:rPr>
              <w:rStyle w:val="PageNumber"/>
              <w:bCs/>
              <w:iCs/>
              <w:sz w:val="20"/>
              <w:szCs w:val="20"/>
            </w:rPr>
            <w:instrText xml:space="preserve"> NUMPAGES </w:instrText>
          </w:r>
          <w:r w:rsidRPr="00F642EF">
            <w:rPr>
              <w:rStyle w:val="PageNumber"/>
              <w:bCs/>
              <w:iCs/>
              <w:sz w:val="20"/>
              <w:szCs w:val="20"/>
            </w:rPr>
            <w:fldChar w:fldCharType="separate"/>
          </w:r>
          <w:r w:rsidRPr="00F642EF">
            <w:rPr>
              <w:rStyle w:val="PageNumber"/>
              <w:bCs/>
              <w:iCs/>
              <w:sz w:val="20"/>
              <w:szCs w:val="20"/>
            </w:rPr>
            <w:t>5</w:t>
          </w:r>
          <w:r w:rsidRPr="00F642EF">
            <w:rPr>
              <w:rStyle w:val="PageNumber"/>
              <w:bCs/>
              <w:iCs/>
              <w:sz w:val="20"/>
              <w:szCs w:val="20"/>
            </w:rPr>
            <w:fldChar w:fldCharType="end"/>
          </w:r>
        </w:p>
      </w:tc>
    </w:tr>
  </w:tbl>
  <w:p w14:paraId="11A77E6C" w14:textId="77777777" w:rsidR="005C71BC" w:rsidRPr="00F642EF" w:rsidRDefault="008A3DD8" w:rsidP="008A3DD8">
    <w:pPr>
      <w:pStyle w:val="Footer"/>
      <w:ind w:left="567"/>
    </w:pPr>
    <w:r w:rsidRPr="00F642EF">
      <w:rPr>
        <w:iCs/>
        <w:sz w:val="16"/>
        <w:szCs w:val="16"/>
      </w:rPr>
      <w:t>Do not refer to a paper-based copy of this policy document. The most current version can be found on the CHS Policy Register.</w:t>
    </w:r>
  </w:p>
  <w:p w14:paraId="0BE412BB" w14:textId="77777777" w:rsidR="00BC67D4" w:rsidRPr="00F642EF" w:rsidRDefault="00BC67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284F6" w14:textId="77777777" w:rsidR="00F70CBF" w:rsidRPr="00F642EF" w:rsidRDefault="00F70CBF" w:rsidP="009D493B">
      <w:pPr>
        <w:spacing w:after="0" w:line="240" w:lineRule="auto"/>
      </w:pPr>
      <w:r w:rsidRPr="00F642EF">
        <w:separator/>
      </w:r>
    </w:p>
  </w:footnote>
  <w:footnote w:type="continuationSeparator" w:id="0">
    <w:p w14:paraId="1798CC25" w14:textId="77777777" w:rsidR="00F70CBF" w:rsidRPr="00F642EF" w:rsidRDefault="00F70CBF" w:rsidP="00A9080B">
      <w:pPr>
        <w:spacing w:after="0" w:line="240" w:lineRule="auto"/>
      </w:pPr>
      <w:r w:rsidRPr="00F642EF">
        <w:continuationSeparator/>
      </w:r>
    </w:p>
    <w:p w14:paraId="5BDC6D20" w14:textId="77777777" w:rsidR="00F70CBF" w:rsidRPr="00F642EF" w:rsidRDefault="00F70CBF"/>
    <w:p w14:paraId="32533B9E" w14:textId="77777777" w:rsidR="00F70CBF" w:rsidRPr="00F642EF" w:rsidRDefault="00F70CBF"/>
  </w:footnote>
  <w:footnote w:type="continuationNotice" w:id="1">
    <w:p w14:paraId="5DA3BB76" w14:textId="77777777" w:rsidR="00F70CBF" w:rsidRPr="00F642EF" w:rsidRDefault="00F70CB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CC2BA" w14:textId="77777777" w:rsidR="00D25B7D" w:rsidRDefault="00D25B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BFED" w14:textId="77777777" w:rsidR="00D25B7D" w:rsidRDefault="00D25B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A707A" w14:textId="4151A2EF" w:rsidR="008A3DD8" w:rsidRPr="00F642EF" w:rsidRDefault="008A3DD8">
    <w:pPr>
      <w:pStyle w:val="Header"/>
    </w:pPr>
    <w:r w:rsidRPr="00F642EF">
      <w:rPr>
        <w:noProof/>
      </w:rPr>
      <w:drawing>
        <wp:inline distT="0" distB="0" distL="0" distR="0" wp14:anchorId="05B21299" wp14:editId="1B802225">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p w14:paraId="337B4926" w14:textId="77777777" w:rsidR="00BC67D4" w:rsidRPr="00F642EF" w:rsidRDefault="00BC67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4C65"/>
    <w:multiLevelType w:val="hybridMultilevel"/>
    <w:tmpl w:val="B8ECA62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 w15:restartNumberingAfterBreak="0">
    <w:nsid w:val="0B2250A2"/>
    <w:multiLevelType w:val="hybridMultilevel"/>
    <w:tmpl w:val="3C562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5536C1"/>
    <w:multiLevelType w:val="hybridMultilevel"/>
    <w:tmpl w:val="1FF6745C"/>
    <w:lvl w:ilvl="0" w:tplc="0C09000F">
      <w:start w:val="1"/>
      <w:numFmt w:val="decimal"/>
      <w:lvlText w:val="%1."/>
      <w:lvlJc w:val="left"/>
      <w:pPr>
        <w:ind w:left="78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4" w15:restartNumberingAfterBreak="0">
    <w:nsid w:val="1DC537A0"/>
    <w:multiLevelType w:val="hybridMultilevel"/>
    <w:tmpl w:val="45949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6" w15:restartNumberingAfterBreak="0">
    <w:nsid w:val="2AC041AA"/>
    <w:multiLevelType w:val="hybridMultilevel"/>
    <w:tmpl w:val="B8ECA6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B371B6C"/>
    <w:multiLevelType w:val="hybridMultilevel"/>
    <w:tmpl w:val="7AC0A1F8"/>
    <w:lvl w:ilvl="0" w:tplc="29E6B6C4">
      <w:start w:val="1"/>
      <w:numFmt w:val="decimal"/>
      <w:lvlText w:val="%1."/>
      <w:lvlJc w:val="left"/>
      <w:pPr>
        <w:ind w:left="1320" w:hanging="360"/>
      </w:pPr>
    </w:lvl>
    <w:lvl w:ilvl="1" w:tplc="24BA5A76">
      <w:start w:val="1"/>
      <w:numFmt w:val="decimal"/>
      <w:lvlText w:val="%2."/>
      <w:lvlJc w:val="left"/>
      <w:pPr>
        <w:ind w:left="1320" w:hanging="360"/>
      </w:pPr>
    </w:lvl>
    <w:lvl w:ilvl="2" w:tplc="D1AC4F58">
      <w:start w:val="1"/>
      <w:numFmt w:val="decimal"/>
      <w:lvlText w:val="%3."/>
      <w:lvlJc w:val="left"/>
      <w:pPr>
        <w:ind w:left="1320" w:hanging="360"/>
      </w:pPr>
    </w:lvl>
    <w:lvl w:ilvl="3" w:tplc="74BCD9C4">
      <w:start w:val="1"/>
      <w:numFmt w:val="decimal"/>
      <w:lvlText w:val="%4."/>
      <w:lvlJc w:val="left"/>
      <w:pPr>
        <w:ind w:left="1320" w:hanging="360"/>
      </w:pPr>
    </w:lvl>
    <w:lvl w:ilvl="4" w:tplc="D480DBE4">
      <w:start w:val="1"/>
      <w:numFmt w:val="decimal"/>
      <w:lvlText w:val="%5."/>
      <w:lvlJc w:val="left"/>
      <w:pPr>
        <w:ind w:left="1320" w:hanging="360"/>
      </w:pPr>
    </w:lvl>
    <w:lvl w:ilvl="5" w:tplc="41A81432">
      <w:start w:val="1"/>
      <w:numFmt w:val="decimal"/>
      <w:lvlText w:val="%6."/>
      <w:lvlJc w:val="left"/>
      <w:pPr>
        <w:ind w:left="1320" w:hanging="360"/>
      </w:pPr>
    </w:lvl>
    <w:lvl w:ilvl="6" w:tplc="03C86BF2">
      <w:start w:val="1"/>
      <w:numFmt w:val="decimal"/>
      <w:lvlText w:val="%7."/>
      <w:lvlJc w:val="left"/>
      <w:pPr>
        <w:ind w:left="1320" w:hanging="360"/>
      </w:pPr>
    </w:lvl>
    <w:lvl w:ilvl="7" w:tplc="9372F646">
      <w:start w:val="1"/>
      <w:numFmt w:val="decimal"/>
      <w:lvlText w:val="%8."/>
      <w:lvlJc w:val="left"/>
      <w:pPr>
        <w:ind w:left="1320" w:hanging="360"/>
      </w:pPr>
    </w:lvl>
    <w:lvl w:ilvl="8" w:tplc="77E65256">
      <w:start w:val="1"/>
      <w:numFmt w:val="decimal"/>
      <w:lvlText w:val="%9."/>
      <w:lvlJc w:val="left"/>
      <w:pPr>
        <w:ind w:left="1320" w:hanging="360"/>
      </w:pPr>
    </w:lvl>
  </w:abstractNum>
  <w:abstractNum w:abstractNumId="8" w15:restartNumberingAfterBreak="0">
    <w:nsid w:val="2C7E275E"/>
    <w:multiLevelType w:val="multilevel"/>
    <w:tmpl w:val="D03ADE2A"/>
    <w:lvl w:ilvl="0">
      <w:start w:val="5"/>
      <w:numFmt w:val="decimal"/>
      <w:lvlText w:val="%1"/>
      <w:lvlJc w:val="left"/>
      <w:pPr>
        <w:ind w:left="664" w:hanging="533"/>
      </w:pPr>
      <w:rPr>
        <w:rFonts w:hint="default"/>
        <w:lang w:val="en-US" w:eastAsia="en-US" w:bidi="ar-SA"/>
      </w:rPr>
    </w:lvl>
    <w:lvl w:ilvl="1">
      <w:start w:val="1"/>
      <w:numFmt w:val="decimal"/>
      <w:lvlText w:val="%1.%2"/>
      <w:lvlJc w:val="left"/>
      <w:pPr>
        <w:ind w:left="664" w:hanging="533"/>
      </w:pPr>
      <w:rPr>
        <w:rFonts w:ascii="Arial" w:eastAsia="Arial" w:hAnsi="Arial" w:cs="Arial" w:hint="default"/>
        <w:b/>
        <w:bCs/>
        <w:i w:val="0"/>
        <w:iCs w:val="0"/>
        <w:spacing w:val="0"/>
        <w:w w:val="99"/>
        <w:sz w:val="32"/>
        <w:szCs w:val="32"/>
        <w:lang w:val="en-US" w:eastAsia="en-US" w:bidi="ar-SA"/>
      </w:rPr>
    </w:lvl>
    <w:lvl w:ilvl="2">
      <w:numFmt w:val="bullet"/>
      <w:lvlText w:val=""/>
      <w:lvlJc w:val="left"/>
      <w:pPr>
        <w:ind w:left="984"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168" w:hanging="360"/>
      </w:pPr>
      <w:rPr>
        <w:rFonts w:hint="default"/>
        <w:lang w:val="en-US" w:eastAsia="en-US" w:bidi="ar-SA"/>
      </w:rPr>
    </w:lvl>
    <w:lvl w:ilvl="4">
      <w:numFmt w:val="bullet"/>
      <w:lvlText w:val="•"/>
      <w:lvlJc w:val="left"/>
      <w:pPr>
        <w:ind w:left="4262" w:hanging="360"/>
      </w:pPr>
      <w:rPr>
        <w:rFonts w:hint="default"/>
        <w:lang w:val="en-US" w:eastAsia="en-US" w:bidi="ar-SA"/>
      </w:rPr>
    </w:lvl>
    <w:lvl w:ilvl="5">
      <w:numFmt w:val="bullet"/>
      <w:lvlText w:val="•"/>
      <w:lvlJc w:val="left"/>
      <w:pPr>
        <w:ind w:left="5356" w:hanging="360"/>
      </w:pPr>
      <w:rPr>
        <w:rFonts w:hint="default"/>
        <w:lang w:val="en-US" w:eastAsia="en-US" w:bidi="ar-SA"/>
      </w:rPr>
    </w:lvl>
    <w:lvl w:ilvl="6">
      <w:numFmt w:val="bullet"/>
      <w:lvlText w:val="•"/>
      <w:lvlJc w:val="left"/>
      <w:pPr>
        <w:ind w:left="6450" w:hanging="360"/>
      </w:pPr>
      <w:rPr>
        <w:rFonts w:hint="default"/>
        <w:lang w:val="en-US" w:eastAsia="en-US" w:bidi="ar-SA"/>
      </w:rPr>
    </w:lvl>
    <w:lvl w:ilvl="7">
      <w:numFmt w:val="bullet"/>
      <w:lvlText w:val="•"/>
      <w:lvlJc w:val="left"/>
      <w:pPr>
        <w:ind w:left="7544" w:hanging="360"/>
      </w:pPr>
      <w:rPr>
        <w:rFonts w:hint="default"/>
        <w:lang w:val="en-US" w:eastAsia="en-US" w:bidi="ar-SA"/>
      </w:rPr>
    </w:lvl>
    <w:lvl w:ilvl="8">
      <w:numFmt w:val="bullet"/>
      <w:lvlText w:val="•"/>
      <w:lvlJc w:val="left"/>
      <w:pPr>
        <w:ind w:left="8638" w:hanging="360"/>
      </w:pPr>
      <w:rPr>
        <w:rFonts w:hint="default"/>
        <w:lang w:val="en-US" w:eastAsia="en-US" w:bidi="ar-SA"/>
      </w:rPr>
    </w:lvl>
  </w:abstractNum>
  <w:abstractNum w:abstractNumId="9" w15:restartNumberingAfterBreak="0">
    <w:nsid w:val="2DCE7BE2"/>
    <w:multiLevelType w:val="hybridMultilevel"/>
    <w:tmpl w:val="E3CA76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4E61733"/>
    <w:multiLevelType w:val="hybridMultilevel"/>
    <w:tmpl w:val="5EA07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6FB0454"/>
    <w:multiLevelType w:val="hybridMultilevel"/>
    <w:tmpl w:val="7DEAF84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9261E88"/>
    <w:multiLevelType w:val="hybridMultilevel"/>
    <w:tmpl w:val="FB14E9AC"/>
    <w:lvl w:ilvl="0" w:tplc="04708E24">
      <w:start w:val="1"/>
      <w:numFmt w:val="decimal"/>
      <w:lvlText w:val="%1."/>
      <w:lvlJc w:val="left"/>
      <w:pPr>
        <w:ind w:left="1320" w:hanging="360"/>
      </w:pPr>
    </w:lvl>
    <w:lvl w:ilvl="1" w:tplc="A2A40B50">
      <w:start w:val="1"/>
      <w:numFmt w:val="decimal"/>
      <w:lvlText w:val="%2."/>
      <w:lvlJc w:val="left"/>
      <w:pPr>
        <w:ind w:left="1320" w:hanging="360"/>
      </w:pPr>
    </w:lvl>
    <w:lvl w:ilvl="2" w:tplc="4E46585C">
      <w:start w:val="1"/>
      <w:numFmt w:val="decimal"/>
      <w:lvlText w:val="%3."/>
      <w:lvlJc w:val="left"/>
      <w:pPr>
        <w:ind w:left="1320" w:hanging="360"/>
      </w:pPr>
    </w:lvl>
    <w:lvl w:ilvl="3" w:tplc="543A86C4">
      <w:start w:val="1"/>
      <w:numFmt w:val="decimal"/>
      <w:lvlText w:val="%4."/>
      <w:lvlJc w:val="left"/>
      <w:pPr>
        <w:ind w:left="1320" w:hanging="360"/>
      </w:pPr>
    </w:lvl>
    <w:lvl w:ilvl="4" w:tplc="6FEC4828">
      <w:start w:val="1"/>
      <w:numFmt w:val="decimal"/>
      <w:lvlText w:val="%5."/>
      <w:lvlJc w:val="left"/>
      <w:pPr>
        <w:ind w:left="1320" w:hanging="360"/>
      </w:pPr>
    </w:lvl>
    <w:lvl w:ilvl="5" w:tplc="BD9EF2B6">
      <w:start w:val="1"/>
      <w:numFmt w:val="decimal"/>
      <w:lvlText w:val="%6."/>
      <w:lvlJc w:val="left"/>
      <w:pPr>
        <w:ind w:left="1320" w:hanging="360"/>
      </w:pPr>
    </w:lvl>
    <w:lvl w:ilvl="6" w:tplc="DDB619D8">
      <w:start w:val="1"/>
      <w:numFmt w:val="decimal"/>
      <w:lvlText w:val="%7."/>
      <w:lvlJc w:val="left"/>
      <w:pPr>
        <w:ind w:left="1320" w:hanging="360"/>
      </w:pPr>
    </w:lvl>
    <w:lvl w:ilvl="7" w:tplc="B2169A94">
      <w:start w:val="1"/>
      <w:numFmt w:val="decimal"/>
      <w:lvlText w:val="%8."/>
      <w:lvlJc w:val="left"/>
      <w:pPr>
        <w:ind w:left="1320" w:hanging="360"/>
      </w:pPr>
    </w:lvl>
    <w:lvl w:ilvl="8" w:tplc="B9047638">
      <w:start w:val="1"/>
      <w:numFmt w:val="decimal"/>
      <w:lvlText w:val="%9."/>
      <w:lvlJc w:val="left"/>
      <w:pPr>
        <w:ind w:left="1320" w:hanging="360"/>
      </w:pPr>
    </w:lvl>
  </w:abstractNum>
  <w:abstractNum w:abstractNumId="14"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FB3691D"/>
    <w:multiLevelType w:val="hybridMultilevel"/>
    <w:tmpl w:val="3ED4D976"/>
    <w:lvl w:ilvl="0" w:tplc="17D0EBC2">
      <w:start w:val="1"/>
      <w:numFmt w:val="lowerRoman"/>
      <w:pStyle w:val="Romanlist"/>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41620ECF"/>
    <w:multiLevelType w:val="hybridMultilevel"/>
    <w:tmpl w:val="A8844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8" w15:restartNumberingAfterBreak="0">
    <w:nsid w:val="4891383D"/>
    <w:multiLevelType w:val="hybridMultilevel"/>
    <w:tmpl w:val="73DAF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AF308C"/>
    <w:multiLevelType w:val="hybridMultilevel"/>
    <w:tmpl w:val="2E5833C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1D3430D"/>
    <w:multiLevelType w:val="hybridMultilevel"/>
    <w:tmpl w:val="52C83C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2" w15:restartNumberingAfterBreak="0">
    <w:nsid w:val="6C9C6FDC"/>
    <w:multiLevelType w:val="hybridMultilevel"/>
    <w:tmpl w:val="2F96DDE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E0910A8"/>
    <w:multiLevelType w:val="hybridMultilevel"/>
    <w:tmpl w:val="39DC00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F596A2C"/>
    <w:multiLevelType w:val="hybridMultilevel"/>
    <w:tmpl w:val="54F6B1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CB33750"/>
    <w:multiLevelType w:val="hybridMultilevel"/>
    <w:tmpl w:val="73609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48431774">
    <w:abstractNumId w:val="5"/>
  </w:num>
  <w:num w:numId="2" w16cid:durableId="842209657">
    <w:abstractNumId w:val="3"/>
  </w:num>
  <w:num w:numId="3" w16cid:durableId="1971085616">
    <w:abstractNumId w:val="14"/>
  </w:num>
  <w:num w:numId="4" w16cid:durableId="252517802">
    <w:abstractNumId w:val="15"/>
  </w:num>
  <w:num w:numId="5" w16cid:durableId="258952063">
    <w:abstractNumId w:val="21"/>
  </w:num>
  <w:num w:numId="6" w16cid:durableId="681904122">
    <w:abstractNumId w:val="11"/>
  </w:num>
  <w:num w:numId="7" w16cid:durableId="836698820">
    <w:abstractNumId w:val="17"/>
  </w:num>
  <w:num w:numId="8" w16cid:durableId="913591473">
    <w:abstractNumId w:val="5"/>
  </w:num>
  <w:num w:numId="9" w16cid:durableId="980310057">
    <w:abstractNumId w:val="8"/>
  </w:num>
  <w:num w:numId="10" w16cid:durableId="468211077">
    <w:abstractNumId w:val="4"/>
  </w:num>
  <w:num w:numId="11" w16cid:durableId="1008363723">
    <w:abstractNumId w:val="1"/>
  </w:num>
  <w:num w:numId="12" w16cid:durableId="1460412452">
    <w:abstractNumId w:val="13"/>
  </w:num>
  <w:num w:numId="13" w16cid:durableId="1248072166">
    <w:abstractNumId w:val="19"/>
  </w:num>
  <w:num w:numId="14" w16cid:durableId="1694651385">
    <w:abstractNumId w:val="16"/>
  </w:num>
  <w:num w:numId="15" w16cid:durableId="97910843">
    <w:abstractNumId w:val="2"/>
  </w:num>
  <w:num w:numId="16" w16cid:durableId="192158208">
    <w:abstractNumId w:val="9"/>
  </w:num>
  <w:num w:numId="17" w16cid:durableId="621691932">
    <w:abstractNumId w:val="24"/>
  </w:num>
  <w:num w:numId="18" w16cid:durableId="735126734">
    <w:abstractNumId w:val="23"/>
  </w:num>
  <w:num w:numId="19" w16cid:durableId="886524900">
    <w:abstractNumId w:val="20"/>
  </w:num>
  <w:num w:numId="20" w16cid:durableId="2074424669">
    <w:abstractNumId w:val="6"/>
  </w:num>
  <w:num w:numId="21" w16cid:durableId="576331070">
    <w:abstractNumId w:val="7"/>
  </w:num>
  <w:num w:numId="22" w16cid:durableId="571699534">
    <w:abstractNumId w:val="25"/>
  </w:num>
  <w:num w:numId="23" w16cid:durableId="1006371577">
    <w:abstractNumId w:val="12"/>
  </w:num>
  <w:num w:numId="24" w16cid:durableId="397635563">
    <w:abstractNumId w:val="22"/>
  </w:num>
  <w:num w:numId="25" w16cid:durableId="468329862">
    <w:abstractNumId w:val="18"/>
  </w:num>
  <w:num w:numId="26" w16cid:durableId="1943686850">
    <w:abstractNumId w:val="10"/>
  </w:num>
  <w:num w:numId="27" w16cid:durableId="81723551">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74E"/>
    <w:rsid w:val="00000822"/>
    <w:rsid w:val="00003728"/>
    <w:rsid w:val="00004B91"/>
    <w:rsid w:val="00005F76"/>
    <w:rsid w:val="00006011"/>
    <w:rsid w:val="00006344"/>
    <w:rsid w:val="000068B9"/>
    <w:rsid w:val="00006F52"/>
    <w:rsid w:val="00007834"/>
    <w:rsid w:val="00010621"/>
    <w:rsid w:val="000115AB"/>
    <w:rsid w:val="00011CB2"/>
    <w:rsid w:val="00012DA7"/>
    <w:rsid w:val="00014646"/>
    <w:rsid w:val="0001469F"/>
    <w:rsid w:val="0001473F"/>
    <w:rsid w:val="00014D0A"/>
    <w:rsid w:val="00014FAF"/>
    <w:rsid w:val="00015018"/>
    <w:rsid w:val="0001795D"/>
    <w:rsid w:val="000246D6"/>
    <w:rsid w:val="00025C12"/>
    <w:rsid w:val="000347FB"/>
    <w:rsid w:val="00035A11"/>
    <w:rsid w:val="00036249"/>
    <w:rsid w:val="00041D05"/>
    <w:rsid w:val="00042268"/>
    <w:rsid w:val="000422B2"/>
    <w:rsid w:val="00043534"/>
    <w:rsid w:val="00044351"/>
    <w:rsid w:val="00046D4C"/>
    <w:rsid w:val="00047707"/>
    <w:rsid w:val="00050A6B"/>
    <w:rsid w:val="000513FD"/>
    <w:rsid w:val="0005207E"/>
    <w:rsid w:val="00052D11"/>
    <w:rsid w:val="00053BD7"/>
    <w:rsid w:val="00053CC3"/>
    <w:rsid w:val="00053D2F"/>
    <w:rsid w:val="0005461D"/>
    <w:rsid w:val="0005615B"/>
    <w:rsid w:val="00056235"/>
    <w:rsid w:val="0005626F"/>
    <w:rsid w:val="0005685E"/>
    <w:rsid w:val="000570A6"/>
    <w:rsid w:val="0006067D"/>
    <w:rsid w:val="00060A8C"/>
    <w:rsid w:val="00061582"/>
    <w:rsid w:val="00063FA2"/>
    <w:rsid w:val="000663CE"/>
    <w:rsid w:val="000707E9"/>
    <w:rsid w:val="00070945"/>
    <w:rsid w:val="000717BA"/>
    <w:rsid w:val="0007270D"/>
    <w:rsid w:val="00075506"/>
    <w:rsid w:val="000767A0"/>
    <w:rsid w:val="00080559"/>
    <w:rsid w:val="00080EE0"/>
    <w:rsid w:val="00080F06"/>
    <w:rsid w:val="00080FC2"/>
    <w:rsid w:val="000825CF"/>
    <w:rsid w:val="00082C60"/>
    <w:rsid w:val="00082EB1"/>
    <w:rsid w:val="00083500"/>
    <w:rsid w:val="00083D66"/>
    <w:rsid w:val="000848B6"/>
    <w:rsid w:val="000858DB"/>
    <w:rsid w:val="0008613F"/>
    <w:rsid w:val="000905E4"/>
    <w:rsid w:val="00090EE2"/>
    <w:rsid w:val="0009157D"/>
    <w:rsid w:val="00091F24"/>
    <w:rsid w:val="00096D01"/>
    <w:rsid w:val="00097F70"/>
    <w:rsid w:val="000A0C18"/>
    <w:rsid w:val="000A3AA0"/>
    <w:rsid w:val="000A3F9B"/>
    <w:rsid w:val="000A4C7E"/>
    <w:rsid w:val="000A6268"/>
    <w:rsid w:val="000B04DE"/>
    <w:rsid w:val="000B4346"/>
    <w:rsid w:val="000B4DF9"/>
    <w:rsid w:val="000B6A88"/>
    <w:rsid w:val="000C36A3"/>
    <w:rsid w:val="000C3973"/>
    <w:rsid w:val="000C48B1"/>
    <w:rsid w:val="000C57C6"/>
    <w:rsid w:val="000C76AA"/>
    <w:rsid w:val="000C7B42"/>
    <w:rsid w:val="000D0A42"/>
    <w:rsid w:val="000D1A1C"/>
    <w:rsid w:val="000D1F50"/>
    <w:rsid w:val="000D3D82"/>
    <w:rsid w:val="000D713F"/>
    <w:rsid w:val="000D742A"/>
    <w:rsid w:val="000E058F"/>
    <w:rsid w:val="000E07C3"/>
    <w:rsid w:val="000E0F39"/>
    <w:rsid w:val="000E1D08"/>
    <w:rsid w:val="000E53DD"/>
    <w:rsid w:val="000E5739"/>
    <w:rsid w:val="000E7683"/>
    <w:rsid w:val="000E77F0"/>
    <w:rsid w:val="000F1EB3"/>
    <w:rsid w:val="000F288B"/>
    <w:rsid w:val="000F300A"/>
    <w:rsid w:val="000F3A4B"/>
    <w:rsid w:val="000F5C20"/>
    <w:rsid w:val="000F665E"/>
    <w:rsid w:val="000F79EA"/>
    <w:rsid w:val="0010141D"/>
    <w:rsid w:val="0010164B"/>
    <w:rsid w:val="00104914"/>
    <w:rsid w:val="00105248"/>
    <w:rsid w:val="00107118"/>
    <w:rsid w:val="00110D97"/>
    <w:rsid w:val="00111A4D"/>
    <w:rsid w:val="00112DAD"/>
    <w:rsid w:val="00114013"/>
    <w:rsid w:val="001171E4"/>
    <w:rsid w:val="0012007C"/>
    <w:rsid w:val="00120E2E"/>
    <w:rsid w:val="00121181"/>
    <w:rsid w:val="00122329"/>
    <w:rsid w:val="001232C3"/>
    <w:rsid w:val="00124B00"/>
    <w:rsid w:val="00125060"/>
    <w:rsid w:val="00126471"/>
    <w:rsid w:val="00126652"/>
    <w:rsid w:val="00126ADF"/>
    <w:rsid w:val="00126BEE"/>
    <w:rsid w:val="00126C95"/>
    <w:rsid w:val="00127413"/>
    <w:rsid w:val="00127D91"/>
    <w:rsid w:val="00130D81"/>
    <w:rsid w:val="001324A3"/>
    <w:rsid w:val="00135EF0"/>
    <w:rsid w:val="0013675B"/>
    <w:rsid w:val="00136C50"/>
    <w:rsid w:val="00137049"/>
    <w:rsid w:val="00137347"/>
    <w:rsid w:val="001429A1"/>
    <w:rsid w:val="00142BE6"/>
    <w:rsid w:val="00143C66"/>
    <w:rsid w:val="00144A90"/>
    <w:rsid w:val="0015081A"/>
    <w:rsid w:val="00154D8C"/>
    <w:rsid w:val="001575C5"/>
    <w:rsid w:val="001600FA"/>
    <w:rsid w:val="001616DD"/>
    <w:rsid w:val="00161AE4"/>
    <w:rsid w:val="00161C99"/>
    <w:rsid w:val="00161E4E"/>
    <w:rsid w:val="00161FDC"/>
    <w:rsid w:val="00164AA5"/>
    <w:rsid w:val="00166052"/>
    <w:rsid w:val="001660FE"/>
    <w:rsid w:val="00167C17"/>
    <w:rsid w:val="0017051B"/>
    <w:rsid w:val="00172635"/>
    <w:rsid w:val="00173EDD"/>
    <w:rsid w:val="00174ECE"/>
    <w:rsid w:val="00175212"/>
    <w:rsid w:val="00175FF8"/>
    <w:rsid w:val="001767CA"/>
    <w:rsid w:val="001810DD"/>
    <w:rsid w:val="00181504"/>
    <w:rsid w:val="00181729"/>
    <w:rsid w:val="001819E4"/>
    <w:rsid w:val="00183185"/>
    <w:rsid w:val="00183E97"/>
    <w:rsid w:val="00184284"/>
    <w:rsid w:val="00184480"/>
    <w:rsid w:val="00184D6D"/>
    <w:rsid w:val="00184F59"/>
    <w:rsid w:val="00185C37"/>
    <w:rsid w:val="00186FB7"/>
    <w:rsid w:val="001874ED"/>
    <w:rsid w:val="00187537"/>
    <w:rsid w:val="00191413"/>
    <w:rsid w:val="0019193E"/>
    <w:rsid w:val="00192415"/>
    <w:rsid w:val="00192C70"/>
    <w:rsid w:val="001935B4"/>
    <w:rsid w:val="00193907"/>
    <w:rsid w:val="00194439"/>
    <w:rsid w:val="001956B8"/>
    <w:rsid w:val="00195EFB"/>
    <w:rsid w:val="00197F2E"/>
    <w:rsid w:val="001A0124"/>
    <w:rsid w:val="001A0541"/>
    <w:rsid w:val="001A1DD6"/>
    <w:rsid w:val="001A2273"/>
    <w:rsid w:val="001B0DC3"/>
    <w:rsid w:val="001B171F"/>
    <w:rsid w:val="001B1A6A"/>
    <w:rsid w:val="001B3430"/>
    <w:rsid w:val="001B3F6F"/>
    <w:rsid w:val="001B42EA"/>
    <w:rsid w:val="001B79D8"/>
    <w:rsid w:val="001C0F5C"/>
    <w:rsid w:val="001C108E"/>
    <w:rsid w:val="001C223C"/>
    <w:rsid w:val="001C24A7"/>
    <w:rsid w:val="001C24E6"/>
    <w:rsid w:val="001C263F"/>
    <w:rsid w:val="001C5958"/>
    <w:rsid w:val="001C7708"/>
    <w:rsid w:val="001D12A9"/>
    <w:rsid w:val="001D140D"/>
    <w:rsid w:val="001D150B"/>
    <w:rsid w:val="001D195F"/>
    <w:rsid w:val="001D5A79"/>
    <w:rsid w:val="001D6401"/>
    <w:rsid w:val="001D72FE"/>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26B1"/>
    <w:rsid w:val="001F29F4"/>
    <w:rsid w:val="001F3ED6"/>
    <w:rsid w:val="001F4369"/>
    <w:rsid w:val="001F49DF"/>
    <w:rsid w:val="001F5AE3"/>
    <w:rsid w:val="001F656A"/>
    <w:rsid w:val="001F68D1"/>
    <w:rsid w:val="001F6D1A"/>
    <w:rsid w:val="001F6E03"/>
    <w:rsid w:val="002012D2"/>
    <w:rsid w:val="00201AF6"/>
    <w:rsid w:val="002022B0"/>
    <w:rsid w:val="0020360D"/>
    <w:rsid w:val="0020612C"/>
    <w:rsid w:val="00206772"/>
    <w:rsid w:val="00211A77"/>
    <w:rsid w:val="00211BFA"/>
    <w:rsid w:val="00212F1D"/>
    <w:rsid w:val="002140AE"/>
    <w:rsid w:val="0022138F"/>
    <w:rsid w:val="00225769"/>
    <w:rsid w:val="00225E3B"/>
    <w:rsid w:val="00227104"/>
    <w:rsid w:val="00230054"/>
    <w:rsid w:val="0023167D"/>
    <w:rsid w:val="00232CCD"/>
    <w:rsid w:val="002341F1"/>
    <w:rsid w:val="00235C4D"/>
    <w:rsid w:val="0023668B"/>
    <w:rsid w:val="00237A20"/>
    <w:rsid w:val="00240DC9"/>
    <w:rsid w:val="00241A68"/>
    <w:rsid w:val="00242601"/>
    <w:rsid w:val="002427B0"/>
    <w:rsid w:val="00244149"/>
    <w:rsid w:val="00245BF4"/>
    <w:rsid w:val="00246EDC"/>
    <w:rsid w:val="00247141"/>
    <w:rsid w:val="00247BAF"/>
    <w:rsid w:val="00251D96"/>
    <w:rsid w:val="00252948"/>
    <w:rsid w:val="00253A48"/>
    <w:rsid w:val="00253EC8"/>
    <w:rsid w:val="0025483C"/>
    <w:rsid w:val="00256701"/>
    <w:rsid w:val="0025774E"/>
    <w:rsid w:val="0026085A"/>
    <w:rsid w:val="00262FA8"/>
    <w:rsid w:val="00263721"/>
    <w:rsid w:val="0026795B"/>
    <w:rsid w:val="002700D3"/>
    <w:rsid w:val="00271FBE"/>
    <w:rsid w:val="0027262B"/>
    <w:rsid w:val="00274308"/>
    <w:rsid w:val="00280051"/>
    <w:rsid w:val="00280C5D"/>
    <w:rsid w:val="00281798"/>
    <w:rsid w:val="00281830"/>
    <w:rsid w:val="00281D4B"/>
    <w:rsid w:val="002827C4"/>
    <w:rsid w:val="00284D13"/>
    <w:rsid w:val="00292A6B"/>
    <w:rsid w:val="00293B6B"/>
    <w:rsid w:val="00294B76"/>
    <w:rsid w:val="00294F1A"/>
    <w:rsid w:val="00295D53"/>
    <w:rsid w:val="00295D79"/>
    <w:rsid w:val="0029655B"/>
    <w:rsid w:val="0029678B"/>
    <w:rsid w:val="002972D8"/>
    <w:rsid w:val="002A0163"/>
    <w:rsid w:val="002A295E"/>
    <w:rsid w:val="002B158E"/>
    <w:rsid w:val="002B2713"/>
    <w:rsid w:val="002B3511"/>
    <w:rsid w:val="002B3D19"/>
    <w:rsid w:val="002B3F13"/>
    <w:rsid w:val="002B434C"/>
    <w:rsid w:val="002B54CF"/>
    <w:rsid w:val="002B5D29"/>
    <w:rsid w:val="002C085F"/>
    <w:rsid w:val="002C39B1"/>
    <w:rsid w:val="002C39F9"/>
    <w:rsid w:val="002C58B8"/>
    <w:rsid w:val="002C7500"/>
    <w:rsid w:val="002C75BC"/>
    <w:rsid w:val="002D0188"/>
    <w:rsid w:val="002D1CA0"/>
    <w:rsid w:val="002D22CF"/>
    <w:rsid w:val="002D4BB3"/>
    <w:rsid w:val="002D56A1"/>
    <w:rsid w:val="002D59A9"/>
    <w:rsid w:val="002D5A00"/>
    <w:rsid w:val="002D7682"/>
    <w:rsid w:val="002E15CA"/>
    <w:rsid w:val="002E1E63"/>
    <w:rsid w:val="002E1FA1"/>
    <w:rsid w:val="002E56AB"/>
    <w:rsid w:val="002E63E1"/>
    <w:rsid w:val="002E6515"/>
    <w:rsid w:val="002E6517"/>
    <w:rsid w:val="002E6687"/>
    <w:rsid w:val="002F0131"/>
    <w:rsid w:val="002F0DF4"/>
    <w:rsid w:val="002F1569"/>
    <w:rsid w:val="002F214A"/>
    <w:rsid w:val="002F2A26"/>
    <w:rsid w:val="002F47D2"/>
    <w:rsid w:val="002F689A"/>
    <w:rsid w:val="002F6957"/>
    <w:rsid w:val="002F6CB3"/>
    <w:rsid w:val="002F7DE5"/>
    <w:rsid w:val="002F7DF1"/>
    <w:rsid w:val="003007EA"/>
    <w:rsid w:val="003027B6"/>
    <w:rsid w:val="00304552"/>
    <w:rsid w:val="00304804"/>
    <w:rsid w:val="00304C64"/>
    <w:rsid w:val="00306981"/>
    <w:rsid w:val="00307FDA"/>
    <w:rsid w:val="0031196F"/>
    <w:rsid w:val="00312B51"/>
    <w:rsid w:val="00312C39"/>
    <w:rsid w:val="003144CA"/>
    <w:rsid w:val="00314716"/>
    <w:rsid w:val="003151B7"/>
    <w:rsid w:val="00316881"/>
    <w:rsid w:val="00317020"/>
    <w:rsid w:val="00317101"/>
    <w:rsid w:val="003172CB"/>
    <w:rsid w:val="00317F10"/>
    <w:rsid w:val="003217E1"/>
    <w:rsid w:val="003218C1"/>
    <w:rsid w:val="00321BE5"/>
    <w:rsid w:val="0032206A"/>
    <w:rsid w:val="0032315A"/>
    <w:rsid w:val="003239C4"/>
    <w:rsid w:val="0032423A"/>
    <w:rsid w:val="003247E9"/>
    <w:rsid w:val="003254E1"/>
    <w:rsid w:val="003259F2"/>
    <w:rsid w:val="00330349"/>
    <w:rsid w:val="003303F9"/>
    <w:rsid w:val="00330A1E"/>
    <w:rsid w:val="00331E2B"/>
    <w:rsid w:val="003321DE"/>
    <w:rsid w:val="00333A73"/>
    <w:rsid w:val="00334700"/>
    <w:rsid w:val="003352BA"/>
    <w:rsid w:val="003366C8"/>
    <w:rsid w:val="0033770B"/>
    <w:rsid w:val="0034072B"/>
    <w:rsid w:val="00340B5F"/>
    <w:rsid w:val="003412E9"/>
    <w:rsid w:val="00342839"/>
    <w:rsid w:val="00343A44"/>
    <w:rsid w:val="003444DC"/>
    <w:rsid w:val="0034717D"/>
    <w:rsid w:val="00350211"/>
    <w:rsid w:val="003518BF"/>
    <w:rsid w:val="00352DA1"/>
    <w:rsid w:val="0035392C"/>
    <w:rsid w:val="00354558"/>
    <w:rsid w:val="003579BB"/>
    <w:rsid w:val="00363564"/>
    <w:rsid w:val="0036465D"/>
    <w:rsid w:val="00372477"/>
    <w:rsid w:val="00372544"/>
    <w:rsid w:val="0037276C"/>
    <w:rsid w:val="0037341B"/>
    <w:rsid w:val="00374F9B"/>
    <w:rsid w:val="00376B5F"/>
    <w:rsid w:val="00377AD9"/>
    <w:rsid w:val="00380288"/>
    <w:rsid w:val="003817A2"/>
    <w:rsid w:val="00382DE7"/>
    <w:rsid w:val="00385359"/>
    <w:rsid w:val="00385468"/>
    <w:rsid w:val="003869AA"/>
    <w:rsid w:val="0039098D"/>
    <w:rsid w:val="00390CE7"/>
    <w:rsid w:val="00390DAE"/>
    <w:rsid w:val="0039185C"/>
    <w:rsid w:val="00393C61"/>
    <w:rsid w:val="00393FF3"/>
    <w:rsid w:val="0039618C"/>
    <w:rsid w:val="0039633A"/>
    <w:rsid w:val="00396B90"/>
    <w:rsid w:val="003A0BC9"/>
    <w:rsid w:val="003A0D26"/>
    <w:rsid w:val="003A1848"/>
    <w:rsid w:val="003A21CD"/>
    <w:rsid w:val="003A2A9E"/>
    <w:rsid w:val="003A40A7"/>
    <w:rsid w:val="003A55FF"/>
    <w:rsid w:val="003A595B"/>
    <w:rsid w:val="003A5ADA"/>
    <w:rsid w:val="003A60F9"/>
    <w:rsid w:val="003A6511"/>
    <w:rsid w:val="003B0D30"/>
    <w:rsid w:val="003B2007"/>
    <w:rsid w:val="003B28A5"/>
    <w:rsid w:val="003B3F9A"/>
    <w:rsid w:val="003B43A6"/>
    <w:rsid w:val="003B57A1"/>
    <w:rsid w:val="003B661D"/>
    <w:rsid w:val="003B720D"/>
    <w:rsid w:val="003B760C"/>
    <w:rsid w:val="003C218A"/>
    <w:rsid w:val="003C4430"/>
    <w:rsid w:val="003C5F3E"/>
    <w:rsid w:val="003C7810"/>
    <w:rsid w:val="003D10DD"/>
    <w:rsid w:val="003D1C0C"/>
    <w:rsid w:val="003D3B16"/>
    <w:rsid w:val="003D452F"/>
    <w:rsid w:val="003D60E0"/>
    <w:rsid w:val="003D6311"/>
    <w:rsid w:val="003D6B9E"/>
    <w:rsid w:val="003D709B"/>
    <w:rsid w:val="003D7463"/>
    <w:rsid w:val="003E0103"/>
    <w:rsid w:val="003E0A22"/>
    <w:rsid w:val="003E2A71"/>
    <w:rsid w:val="003E727F"/>
    <w:rsid w:val="003E7D3D"/>
    <w:rsid w:val="003F01DF"/>
    <w:rsid w:val="003F03BF"/>
    <w:rsid w:val="003F1503"/>
    <w:rsid w:val="003F1848"/>
    <w:rsid w:val="003F2C18"/>
    <w:rsid w:val="003F3F46"/>
    <w:rsid w:val="003F6C0E"/>
    <w:rsid w:val="003F731B"/>
    <w:rsid w:val="00405BDF"/>
    <w:rsid w:val="00406EEC"/>
    <w:rsid w:val="00407C75"/>
    <w:rsid w:val="00411B14"/>
    <w:rsid w:val="00412C91"/>
    <w:rsid w:val="004132C5"/>
    <w:rsid w:val="00414064"/>
    <w:rsid w:val="00415A3D"/>
    <w:rsid w:val="00415DFF"/>
    <w:rsid w:val="00417745"/>
    <w:rsid w:val="0042114B"/>
    <w:rsid w:val="00422C31"/>
    <w:rsid w:val="00423CA6"/>
    <w:rsid w:val="00430454"/>
    <w:rsid w:val="004312C6"/>
    <w:rsid w:val="00431733"/>
    <w:rsid w:val="004326A8"/>
    <w:rsid w:val="004328A4"/>
    <w:rsid w:val="00436B86"/>
    <w:rsid w:val="0043706A"/>
    <w:rsid w:val="004401B0"/>
    <w:rsid w:val="00441154"/>
    <w:rsid w:val="00441D90"/>
    <w:rsid w:val="00442224"/>
    <w:rsid w:val="004438F4"/>
    <w:rsid w:val="0044419A"/>
    <w:rsid w:val="004444EE"/>
    <w:rsid w:val="0044489B"/>
    <w:rsid w:val="00445146"/>
    <w:rsid w:val="0044611A"/>
    <w:rsid w:val="004524CF"/>
    <w:rsid w:val="00452582"/>
    <w:rsid w:val="00454812"/>
    <w:rsid w:val="004549FE"/>
    <w:rsid w:val="00454D38"/>
    <w:rsid w:val="00455C81"/>
    <w:rsid w:val="00457272"/>
    <w:rsid w:val="00457D10"/>
    <w:rsid w:val="00457DCC"/>
    <w:rsid w:val="0046110C"/>
    <w:rsid w:val="00461283"/>
    <w:rsid w:val="00461A18"/>
    <w:rsid w:val="00462060"/>
    <w:rsid w:val="00463C1A"/>
    <w:rsid w:val="00463EEC"/>
    <w:rsid w:val="004640FF"/>
    <w:rsid w:val="00465490"/>
    <w:rsid w:val="00470759"/>
    <w:rsid w:val="0047225F"/>
    <w:rsid w:val="0047348A"/>
    <w:rsid w:val="00473FD3"/>
    <w:rsid w:val="00474746"/>
    <w:rsid w:val="00474A6A"/>
    <w:rsid w:val="00475AAB"/>
    <w:rsid w:val="00476302"/>
    <w:rsid w:val="00477432"/>
    <w:rsid w:val="00480537"/>
    <w:rsid w:val="00480DA2"/>
    <w:rsid w:val="00481A6C"/>
    <w:rsid w:val="0048389D"/>
    <w:rsid w:val="00486165"/>
    <w:rsid w:val="0048681E"/>
    <w:rsid w:val="0049014C"/>
    <w:rsid w:val="0049088A"/>
    <w:rsid w:val="00492356"/>
    <w:rsid w:val="004957A2"/>
    <w:rsid w:val="004A0201"/>
    <w:rsid w:val="004A178D"/>
    <w:rsid w:val="004A1C33"/>
    <w:rsid w:val="004A2A0B"/>
    <w:rsid w:val="004A462C"/>
    <w:rsid w:val="004A6353"/>
    <w:rsid w:val="004A7A7F"/>
    <w:rsid w:val="004B031B"/>
    <w:rsid w:val="004B474F"/>
    <w:rsid w:val="004C221A"/>
    <w:rsid w:val="004C39F8"/>
    <w:rsid w:val="004C416A"/>
    <w:rsid w:val="004C55B7"/>
    <w:rsid w:val="004C5D35"/>
    <w:rsid w:val="004D0016"/>
    <w:rsid w:val="004D0A68"/>
    <w:rsid w:val="004D1C60"/>
    <w:rsid w:val="004D20BF"/>
    <w:rsid w:val="004D2BDB"/>
    <w:rsid w:val="004D2C70"/>
    <w:rsid w:val="004D31D0"/>
    <w:rsid w:val="004D31F1"/>
    <w:rsid w:val="004D4286"/>
    <w:rsid w:val="004D4356"/>
    <w:rsid w:val="004D4733"/>
    <w:rsid w:val="004D48BF"/>
    <w:rsid w:val="004D4B45"/>
    <w:rsid w:val="004D6C3E"/>
    <w:rsid w:val="004D7B29"/>
    <w:rsid w:val="004E14DE"/>
    <w:rsid w:val="004E2562"/>
    <w:rsid w:val="004E2E2F"/>
    <w:rsid w:val="004E5D06"/>
    <w:rsid w:val="004E608B"/>
    <w:rsid w:val="004E7CE8"/>
    <w:rsid w:val="004F04FF"/>
    <w:rsid w:val="004F1BEF"/>
    <w:rsid w:val="004F1C09"/>
    <w:rsid w:val="004F2430"/>
    <w:rsid w:val="004F2B91"/>
    <w:rsid w:val="004F3034"/>
    <w:rsid w:val="004F435E"/>
    <w:rsid w:val="004F4D42"/>
    <w:rsid w:val="005006AF"/>
    <w:rsid w:val="00506D24"/>
    <w:rsid w:val="005077D2"/>
    <w:rsid w:val="005118F6"/>
    <w:rsid w:val="0051350A"/>
    <w:rsid w:val="00517604"/>
    <w:rsid w:val="00517DA5"/>
    <w:rsid w:val="00517FA4"/>
    <w:rsid w:val="005216E4"/>
    <w:rsid w:val="00523D69"/>
    <w:rsid w:val="00523E04"/>
    <w:rsid w:val="005248D2"/>
    <w:rsid w:val="0052543B"/>
    <w:rsid w:val="00525801"/>
    <w:rsid w:val="005273F3"/>
    <w:rsid w:val="00527756"/>
    <w:rsid w:val="00530642"/>
    <w:rsid w:val="00530E17"/>
    <w:rsid w:val="00530F88"/>
    <w:rsid w:val="005319B4"/>
    <w:rsid w:val="00532B1C"/>
    <w:rsid w:val="00532EB9"/>
    <w:rsid w:val="00533204"/>
    <w:rsid w:val="00533388"/>
    <w:rsid w:val="0053395A"/>
    <w:rsid w:val="00534E1F"/>
    <w:rsid w:val="00537269"/>
    <w:rsid w:val="005378B3"/>
    <w:rsid w:val="005412CE"/>
    <w:rsid w:val="00543B99"/>
    <w:rsid w:val="005443C8"/>
    <w:rsid w:val="0054683B"/>
    <w:rsid w:val="00552527"/>
    <w:rsid w:val="005558E1"/>
    <w:rsid w:val="005564A4"/>
    <w:rsid w:val="0055674C"/>
    <w:rsid w:val="005573DA"/>
    <w:rsid w:val="005606CB"/>
    <w:rsid w:val="00563265"/>
    <w:rsid w:val="00563FD8"/>
    <w:rsid w:val="00564817"/>
    <w:rsid w:val="0056512E"/>
    <w:rsid w:val="0056561D"/>
    <w:rsid w:val="005706E9"/>
    <w:rsid w:val="00570849"/>
    <w:rsid w:val="0057158C"/>
    <w:rsid w:val="00576416"/>
    <w:rsid w:val="00576CB2"/>
    <w:rsid w:val="005771C8"/>
    <w:rsid w:val="005778BD"/>
    <w:rsid w:val="00577C65"/>
    <w:rsid w:val="00581121"/>
    <w:rsid w:val="005819AD"/>
    <w:rsid w:val="00583511"/>
    <w:rsid w:val="005840B8"/>
    <w:rsid w:val="005867DF"/>
    <w:rsid w:val="005900D8"/>
    <w:rsid w:val="005916F1"/>
    <w:rsid w:val="00592081"/>
    <w:rsid w:val="005926FA"/>
    <w:rsid w:val="00592D10"/>
    <w:rsid w:val="00593C89"/>
    <w:rsid w:val="005963B5"/>
    <w:rsid w:val="005978BA"/>
    <w:rsid w:val="005A0348"/>
    <w:rsid w:val="005A1FA3"/>
    <w:rsid w:val="005A27C0"/>
    <w:rsid w:val="005A4691"/>
    <w:rsid w:val="005A74FF"/>
    <w:rsid w:val="005A7522"/>
    <w:rsid w:val="005A79C3"/>
    <w:rsid w:val="005A7C67"/>
    <w:rsid w:val="005B194A"/>
    <w:rsid w:val="005B1D92"/>
    <w:rsid w:val="005B234E"/>
    <w:rsid w:val="005B314B"/>
    <w:rsid w:val="005B3D8A"/>
    <w:rsid w:val="005B3EC2"/>
    <w:rsid w:val="005C1D68"/>
    <w:rsid w:val="005C58FA"/>
    <w:rsid w:val="005C5F49"/>
    <w:rsid w:val="005C71BC"/>
    <w:rsid w:val="005D2629"/>
    <w:rsid w:val="005D4A78"/>
    <w:rsid w:val="005D54F1"/>
    <w:rsid w:val="005D5820"/>
    <w:rsid w:val="005D6D27"/>
    <w:rsid w:val="005D74DC"/>
    <w:rsid w:val="005E03EB"/>
    <w:rsid w:val="005E3D07"/>
    <w:rsid w:val="005E5B70"/>
    <w:rsid w:val="005E6B49"/>
    <w:rsid w:val="005E7252"/>
    <w:rsid w:val="005E782E"/>
    <w:rsid w:val="005E7AA8"/>
    <w:rsid w:val="005F02C2"/>
    <w:rsid w:val="005F0BC6"/>
    <w:rsid w:val="005F2E03"/>
    <w:rsid w:val="005F55BB"/>
    <w:rsid w:val="005F70F7"/>
    <w:rsid w:val="005F797F"/>
    <w:rsid w:val="006046D3"/>
    <w:rsid w:val="00605E3B"/>
    <w:rsid w:val="00605E7C"/>
    <w:rsid w:val="006065E8"/>
    <w:rsid w:val="00607B4C"/>
    <w:rsid w:val="00610940"/>
    <w:rsid w:val="00611093"/>
    <w:rsid w:val="006155F0"/>
    <w:rsid w:val="00616766"/>
    <w:rsid w:val="00620386"/>
    <w:rsid w:val="00624E67"/>
    <w:rsid w:val="006253B6"/>
    <w:rsid w:val="00625A15"/>
    <w:rsid w:val="00627BD8"/>
    <w:rsid w:val="0063178C"/>
    <w:rsid w:val="0063375F"/>
    <w:rsid w:val="006349C4"/>
    <w:rsid w:val="00635114"/>
    <w:rsid w:val="00636177"/>
    <w:rsid w:val="006361D0"/>
    <w:rsid w:val="00637BE8"/>
    <w:rsid w:val="00637C90"/>
    <w:rsid w:val="00637D76"/>
    <w:rsid w:val="006408BF"/>
    <w:rsid w:val="00640A07"/>
    <w:rsid w:val="00640A7E"/>
    <w:rsid w:val="0064271E"/>
    <w:rsid w:val="006431FF"/>
    <w:rsid w:val="0064333A"/>
    <w:rsid w:val="00644F89"/>
    <w:rsid w:val="00650A4F"/>
    <w:rsid w:val="006553EC"/>
    <w:rsid w:val="00655674"/>
    <w:rsid w:val="00656027"/>
    <w:rsid w:val="00656746"/>
    <w:rsid w:val="00657837"/>
    <w:rsid w:val="006623D2"/>
    <w:rsid w:val="006664B0"/>
    <w:rsid w:val="0067005A"/>
    <w:rsid w:val="00671463"/>
    <w:rsid w:val="00677C54"/>
    <w:rsid w:val="00680130"/>
    <w:rsid w:val="00680451"/>
    <w:rsid w:val="006824E0"/>
    <w:rsid w:val="00684A68"/>
    <w:rsid w:val="00685883"/>
    <w:rsid w:val="0069065B"/>
    <w:rsid w:val="00691C90"/>
    <w:rsid w:val="00692458"/>
    <w:rsid w:val="0069388D"/>
    <w:rsid w:val="006A0160"/>
    <w:rsid w:val="006A31AB"/>
    <w:rsid w:val="006A3F6C"/>
    <w:rsid w:val="006A5215"/>
    <w:rsid w:val="006A6144"/>
    <w:rsid w:val="006B18B2"/>
    <w:rsid w:val="006B2B5D"/>
    <w:rsid w:val="006B2EB5"/>
    <w:rsid w:val="006B3640"/>
    <w:rsid w:val="006B42F0"/>
    <w:rsid w:val="006B61AC"/>
    <w:rsid w:val="006B6C90"/>
    <w:rsid w:val="006B7CA7"/>
    <w:rsid w:val="006C0039"/>
    <w:rsid w:val="006C1521"/>
    <w:rsid w:val="006C39B7"/>
    <w:rsid w:val="006C3C89"/>
    <w:rsid w:val="006C4E7E"/>
    <w:rsid w:val="006C5B4F"/>
    <w:rsid w:val="006C7001"/>
    <w:rsid w:val="006C7362"/>
    <w:rsid w:val="006D0C1D"/>
    <w:rsid w:val="006D0F86"/>
    <w:rsid w:val="006D11DF"/>
    <w:rsid w:val="006D1AF7"/>
    <w:rsid w:val="006D2547"/>
    <w:rsid w:val="006D3EF5"/>
    <w:rsid w:val="006D47A7"/>
    <w:rsid w:val="006D632E"/>
    <w:rsid w:val="006E0951"/>
    <w:rsid w:val="006E10A6"/>
    <w:rsid w:val="006E3B0A"/>
    <w:rsid w:val="006E4456"/>
    <w:rsid w:val="006E462E"/>
    <w:rsid w:val="006E5856"/>
    <w:rsid w:val="006E7064"/>
    <w:rsid w:val="006E71A5"/>
    <w:rsid w:val="006E73F9"/>
    <w:rsid w:val="006F0585"/>
    <w:rsid w:val="006F3463"/>
    <w:rsid w:val="006F47AA"/>
    <w:rsid w:val="006F73C8"/>
    <w:rsid w:val="00700549"/>
    <w:rsid w:val="00700B1E"/>
    <w:rsid w:val="00700B46"/>
    <w:rsid w:val="00702088"/>
    <w:rsid w:val="00702564"/>
    <w:rsid w:val="007033DE"/>
    <w:rsid w:val="00703BF3"/>
    <w:rsid w:val="00703CCF"/>
    <w:rsid w:val="00705460"/>
    <w:rsid w:val="00707BC3"/>
    <w:rsid w:val="0071273D"/>
    <w:rsid w:val="00712F00"/>
    <w:rsid w:val="007210E9"/>
    <w:rsid w:val="00721B04"/>
    <w:rsid w:val="00721E2A"/>
    <w:rsid w:val="00724D61"/>
    <w:rsid w:val="00724D79"/>
    <w:rsid w:val="00725432"/>
    <w:rsid w:val="0072725A"/>
    <w:rsid w:val="007277AF"/>
    <w:rsid w:val="007345F7"/>
    <w:rsid w:val="00735CAA"/>
    <w:rsid w:val="0073719C"/>
    <w:rsid w:val="007407D5"/>
    <w:rsid w:val="00742E09"/>
    <w:rsid w:val="00742FE3"/>
    <w:rsid w:val="0074431E"/>
    <w:rsid w:val="00745452"/>
    <w:rsid w:val="00745956"/>
    <w:rsid w:val="00746818"/>
    <w:rsid w:val="00746DC2"/>
    <w:rsid w:val="00747FC4"/>
    <w:rsid w:val="00752457"/>
    <w:rsid w:val="007524AE"/>
    <w:rsid w:val="0075311C"/>
    <w:rsid w:val="007537CA"/>
    <w:rsid w:val="0075415F"/>
    <w:rsid w:val="00754898"/>
    <w:rsid w:val="00754A51"/>
    <w:rsid w:val="0075551E"/>
    <w:rsid w:val="00760169"/>
    <w:rsid w:val="007606B4"/>
    <w:rsid w:val="00760845"/>
    <w:rsid w:val="0076194F"/>
    <w:rsid w:val="00762740"/>
    <w:rsid w:val="00762A0A"/>
    <w:rsid w:val="007640E0"/>
    <w:rsid w:val="00764DD0"/>
    <w:rsid w:val="0076529A"/>
    <w:rsid w:val="00766E67"/>
    <w:rsid w:val="007678AC"/>
    <w:rsid w:val="0077037F"/>
    <w:rsid w:val="00770769"/>
    <w:rsid w:val="0077225F"/>
    <w:rsid w:val="00774042"/>
    <w:rsid w:val="007741B9"/>
    <w:rsid w:val="00774FDE"/>
    <w:rsid w:val="00775D89"/>
    <w:rsid w:val="00777EE3"/>
    <w:rsid w:val="007808B8"/>
    <w:rsid w:val="007812CF"/>
    <w:rsid w:val="0078367D"/>
    <w:rsid w:val="00783FBF"/>
    <w:rsid w:val="00784CA8"/>
    <w:rsid w:val="00784D38"/>
    <w:rsid w:val="00785234"/>
    <w:rsid w:val="007907EA"/>
    <w:rsid w:val="00794435"/>
    <w:rsid w:val="00794ACF"/>
    <w:rsid w:val="007960FF"/>
    <w:rsid w:val="00797E00"/>
    <w:rsid w:val="007A0A64"/>
    <w:rsid w:val="007A1603"/>
    <w:rsid w:val="007A26B0"/>
    <w:rsid w:val="007A54A0"/>
    <w:rsid w:val="007A682A"/>
    <w:rsid w:val="007A6C2C"/>
    <w:rsid w:val="007A786B"/>
    <w:rsid w:val="007A7F29"/>
    <w:rsid w:val="007B03DA"/>
    <w:rsid w:val="007B1A7B"/>
    <w:rsid w:val="007B1B59"/>
    <w:rsid w:val="007B1CDD"/>
    <w:rsid w:val="007B3138"/>
    <w:rsid w:val="007B40DC"/>
    <w:rsid w:val="007B6F78"/>
    <w:rsid w:val="007B75F4"/>
    <w:rsid w:val="007C1021"/>
    <w:rsid w:val="007C10BA"/>
    <w:rsid w:val="007C2324"/>
    <w:rsid w:val="007C2806"/>
    <w:rsid w:val="007C5C1B"/>
    <w:rsid w:val="007D2112"/>
    <w:rsid w:val="007D214B"/>
    <w:rsid w:val="007D3448"/>
    <w:rsid w:val="007D5C63"/>
    <w:rsid w:val="007E04CD"/>
    <w:rsid w:val="007E0FBD"/>
    <w:rsid w:val="007E33CD"/>
    <w:rsid w:val="007E4E9A"/>
    <w:rsid w:val="007E6637"/>
    <w:rsid w:val="007E6EE6"/>
    <w:rsid w:val="007F0E36"/>
    <w:rsid w:val="007F29F8"/>
    <w:rsid w:val="007F2D82"/>
    <w:rsid w:val="007F43F2"/>
    <w:rsid w:val="007F48B2"/>
    <w:rsid w:val="007F4E0A"/>
    <w:rsid w:val="007F4EF0"/>
    <w:rsid w:val="007F52FA"/>
    <w:rsid w:val="007F555A"/>
    <w:rsid w:val="007F5A6F"/>
    <w:rsid w:val="007F5CFF"/>
    <w:rsid w:val="007F74D9"/>
    <w:rsid w:val="0081013E"/>
    <w:rsid w:val="00810C0D"/>
    <w:rsid w:val="008113B4"/>
    <w:rsid w:val="008114F0"/>
    <w:rsid w:val="0081336B"/>
    <w:rsid w:val="00814D74"/>
    <w:rsid w:val="00814DE5"/>
    <w:rsid w:val="00817F64"/>
    <w:rsid w:val="00820942"/>
    <w:rsid w:val="00822F1B"/>
    <w:rsid w:val="00824803"/>
    <w:rsid w:val="008248D1"/>
    <w:rsid w:val="0082586A"/>
    <w:rsid w:val="008261B4"/>
    <w:rsid w:val="00827794"/>
    <w:rsid w:val="00827EDE"/>
    <w:rsid w:val="00830970"/>
    <w:rsid w:val="00832EAB"/>
    <w:rsid w:val="008341B0"/>
    <w:rsid w:val="008358B4"/>
    <w:rsid w:val="00842EF4"/>
    <w:rsid w:val="00843D15"/>
    <w:rsid w:val="00845AA0"/>
    <w:rsid w:val="008510FF"/>
    <w:rsid w:val="00851C3D"/>
    <w:rsid w:val="008530BE"/>
    <w:rsid w:val="008540FA"/>
    <w:rsid w:val="008552EF"/>
    <w:rsid w:val="008606A0"/>
    <w:rsid w:val="00861E1B"/>
    <w:rsid w:val="00862571"/>
    <w:rsid w:val="00863446"/>
    <w:rsid w:val="0086357B"/>
    <w:rsid w:val="00863E4E"/>
    <w:rsid w:val="00867895"/>
    <w:rsid w:val="00875FE9"/>
    <w:rsid w:val="0087684F"/>
    <w:rsid w:val="00876CAC"/>
    <w:rsid w:val="008817B7"/>
    <w:rsid w:val="00885A76"/>
    <w:rsid w:val="00886079"/>
    <w:rsid w:val="00891210"/>
    <w:rsid w:val="00891F34"/>
    <w:rsid w:val="00895C04"/>
    <w:rsid w:val="008970B7"/>
    <w:rsid w:val="008A0530"/>
    <w:rsid w:val="008A1804"/>
    <w:rsid w:val="008A1B21"/>
    <w:rsid w:val="008A3DD8"/>
    <w:rsid w:val="008A3F85"/>
    <w:rsid w:val="008A47BD"/>
    <w:rsid w:val="008A51E8"/>
    <w:rsid w:val="008A7F8E"/>
    <w:rsid w:val="008B0AC9"/>
    <w:rsid w:val="008B0F37"/>
    <w:rsid w:val="008B367C"/>
    <w:rsid w:val="008B3BB0"/>
    <w:rsid w:val="008B4402"/>
    <w:rsid w:val="008B51E0"/>
    <w:rsid w:val="008B55D2"/>
    <w:rsid w:val="008B5C21"/>
    <w:rsid w:val="008B6EE6"/>
    <w:rsid w:val="008B787F"/>
    <w:rsid w:val="008B791D"/>
    <w:rsid w:val="008C1637"/>
    <w:rsid w:val="008C1C7C"/>
    <w:rsid w:val="008C208A"/>
    <w:rsid w:val="008C40AE"/>
    <w:rsid w:val="008D0538"/>
    <w:rsid w:val="008D0D9A"/>
    <w:rsid w:val="008D1CA7"/>
    <w:rsid w:val="008D2CA8"/>
    <w:rsid w:val="008D46E9"/>
    <w:rsid w:val="008D4AA6"/>
    <w:rsid w:val="008D4B23"/>
    <w:rsid w:val="008E0CD4"/>
    <w:rsid w:val="008E2267"/>
    <w:rsid w:val="008E6827"/>
    <w:rsid w:val="008F0F03"/>
    <w:rsid w:val="008F1341"/>
    <w:rsid w:val="008F2CF5"/>
    <w:rsid w:val="008F3034"/>
    <w:rsid w:val="008F3194"/>
    <w:rsid w:val="008F4107"/>
    <w:rsid w:val="008F5E84"/>
    <w:rsid w:val="008F65FF"/>
    <w:rsid w:val="00901E01"/>
    <w:rsid w:val="00902CFE"/>
    <w:rsid w:val="00903B74"/>
    <w:rsid w:val="00904BC8"/>
    <w:rsid w:val="00906D5B"/>
    <w:rsid w:val="00907133"/>
    <w:rsid w:val="009071E8"/>
    <w:rsid w:val="009118F6"/>
    <w:rsid w:val="00911EB8"/>
    <w:rsid w:val="00912168"/>
    <w:rsid w:val="009139C7"/>
    <w:rsid w:val="00913CAC"/>
    <w:rsid w:val="0091437D"/>
    <w:rsid w:val="0091462B"/>
    <w:rsid w:val="009149B8"/>
    <w:rsid w:val="0091550B"/>
    <w:rsid w:val="0091658D"/>
    <w:rsid w:val="00917142"/>
    <w:rsid w:val="00920EF6"/>
    <w:rsid w:val="00921C0B"/>
    <w:rsid w:val="00921FF8"/>
    <w:rsid w:val="00922A50"/>
    <w:rsid w:val="00923EC8"/>
    <w:rsid w:val="00925F13"/>
    <w:rsid w:val="00926417"/>
    <w:rsid w:val="0092663D"/>
    <w:rsid w:val="009277AD"/>
    <w:rsid w:val="009306ED"/>
    <w:rsid w:val="009310D1"/>
    <w:rsid w:val="00932D30"/>
    <w:rsid w:val="00933BFA"/>
    <w:rsid w:val="00933FE3"/>
    <w:rsid w:val="009369C2"/>
    <w:rsid w:val="00936C28"/>
    <w:rsid w:val="00936DC9"/>
    <w:rsid w:val="00936E45"/>
    <w:rsid w:val="00936F4C"/>
    <w:rsid w:val="0093796A"/>
    <w:rsid w:val="00940816"/>
    <w:rsid w:val="00942585"/>
    <w:rsid w:val="0094333E"/>
    <w:rsid w:val="009448F7"/>
    <w:rsid w:val="009449D4"/>
    <w:rsid w:val="00945A1D"/>
    <w:rsid w:val="00945CC4"/>
    <w:rsid w:val="00946153"/>
    <w:rsid w:val="00946533"/>
    <w:rsid w:val="00947A11"/>
    <w:rsid w:val="0095050A"/>
    <w:rsid w:val="0095266F"/>
    <w:rsid w:val="00953E59"/>
    <w:rsid w:val="0095533A"/>
    <w:rsid w:val="0095545A"/>
    <w:rsid w:val="009563CE"/>
    <w:rsid w:val="0095646B"/>
    <w:rsid w:val="00957565"/>
    <w:rsid w:val="00957A99"/>
    <w:rsid w:val="00957E42"/>
    <w:rsid w:val="00964482"/>
    <w:rsid w:val="00964D8D"/>
    <w:rsid w:val="00964EDA"/>
    <w:rsid w:val="00965A01"/>
    <w:rsid w:val="00965EA8"/>
    <w:rsid w:val="0096731B"/>
    <w:rsid w:val="0096785D"/>
    <w:rsid w:val="00970842"/>
    <w:rsid w:val="00971125"/>
    <w:rsid w:val="00971F4F"/>
    <w:rsid w:val="00972D70"/>
    <w:rsid w:val="0097363B"/>
    <w:rsid w:val="00974478"/>
    <w:rsid w:val="009746B1"/>
    <w:rsid w:val="009756EC"/>
    <w:rsid w:val="00975A13"/>
    <w:rsid w:val="00977BFB"/>
    <w:rsid w:val="00982051"/>
    <w:rsid w:val="00982385"/>
    <w:rsid w:val="00982810"/>
    <w:rsid w:val="00983C01"/>
    <w:rsid w:val="00985B13"/>
    <w:rsid w:val="0098760D"/>
    <w:rsid w:val="009903CC"/>
    <w:rsid w:val="00990BCA"/>
    <w:rsid w:val="00992884"/>
    <w:rsid w:val="00995B1B"/>
    <w:rsid w:val="00996980"/>
    <w:rsid w:val="009A1396"/>
    <w:rsid w:val="009A1DDE"/>
    <w:rsid w:val="009A2981"/>
    <w:rsid w:val="009A336D"/>
    <w:rsid w:val="009A4BB7"/>
    <w:rsid w:val="009A5010"/>
    <w:rsid w:val="009A574F"/>
    <w:rsid w:val="009A63B5"/>
    <w:rsid w:val="009A7037"/>
    <w:rsid w:val="009B3522"/>
    <w:rsid w:val="009B645B"/>
    <w:rsid w:val="009C11CF"/>
    <w:rsid w:val="009C13FA"/>
    <w:rsid w:val="009C2AED"/>
    <w:rsid w:val="009C3490"/>
    <w:rsid w:val="009C3BB0"/>
    <w:rsid w:val="009C575D"/>
    <w:rsid w:val="009C72D3"/>
    <w:rsid w:val="009D1013"/>
    <w:rsid w:val="009D1FC0"/>
    <w:rsid w:val="009D21F2"/>
    <w:rsid w:val="009D2863"/>
    <w:rsid w:val="009D2DF6"/>
    <w:rsid w:val="009D4238"/>
    <w:rsid w:val="009D493B"/>
    <w:rsid w:val="009D5E09"/>
    <w:rsid w:val="009D5EE5"/>
    <w:rsid w:val="009D5F1E"/>
    <w:rsid w:val="009D696C"/>
    <w:rsid w:val="009D7580"/>
    <w:rsid w:val="009E00C4"/>
    <w:rsid w:val="009E08DF"/>
    <w:rsid w:val="009E0B17"/>
    <w:rsid w:val="009E0C7A"/>
    <w:rsid w:val="009E0E38"/>
    <w:rsid w:val="009E100A"/>
    <w:rsid w:val="009E31CD"/>
    <w:rsid w:val="009E373E"/>
    <w:rsid w:val="009E4470"/>
    <w:rsid w:val="009E53F4"/>
    <w:rsid w:val="009E59FA"/>
    <w:rsid w:val="009F4D2A"/>
    <w:rsid w:val="009F600C"/>
    <w:rsid w:val="009F72C8"/>
    <w:rsid w:val="00A0049A"/>
    <w:rsid w:val="00A006D5"/>
    <w:rsid w:val="00A01509"/>
    <w:rsid w:val="00A02651"/>
    <w:rsid w:val="00A0337B"/>
    <w:rsid w:val="00A035E4"/>
    <w:rsid w:val="00A03809"/>
    <w:rsid w:val="00A0459A"/>
    <w:rsid w:val="00A057D4"/>
    <w:rsid w:val="00A07C43"/>
    <w:rsid w:val="00A116EA"/>
    <w:rsid w:val="00A11739"/>
    <w:rsid w:val="00A14311"/>
    <w:rsid w:val="00A1579B"/>
    <w:rsid w:val="00A15CE8"/>
    <w:rsid w:val="00A1772A"/>
    <w:rsid w:val="00A20CEA"/>
    <w:rsid w:val="00A220E2"/>
    <w:rsid w:val="00A24C42"/>
    <w:rsid w:val="00A25081"/>
    <w:rsid w:val="00A2629A"/>
    <w:rsid w:val="00A26F1E"/>
    <w:rsid w:val="00A272D4"/>
    <w:rsid w:val="00A2737A"/>
    <w:rsid w:val="00A303C6"/>
    <w:rsid w:val="00A30DC1"/>
    <w:rsid w:val="00A31E06"/>
    <w:rsid w:val="00A32873"/>
    <w:rsid w:val="00A32B6F"/>
    <w:rsid w:val="00A333F2"/>
    <w:rsid w:val="00A34EAB"/>
    <w:rsid w:val="00A37A5B"/>
    <w:rsid w:val="00A41501"/>
    <w:rsid w:val="00A41B4F"/>
    <w:rsid w:val="00A41E01"/>
    <w:rsid w:val="00A42195"/>
    <w:rsid w:val="00A435C8"/>
    <w:rsid w:val="00A45D6C"/>
    <w:rsid w:val="00A46932"/>
    <w:rsid w:val="00A470E3"/>
    <w:rsid w:val="00A513AA"/>
    <w:rsid w:val="00A52C28"/>
    <w:rsid w:val="00A546E9"/>
    <w:rsid w:val="00A6051F"/>
    <w:rsid w:val="00A60EED"/>
    <w:rsid w:val="00A60F3E"/>
    <w:rsid w:val="00A61B36"/>
    <w:rsid w:val="00A621FE"/>
    <w:rsid w:val="00A6232E"/>
    <w:rsid w:val="00A63103"/>
    <w:rsid w:val="00A64430"/>
    <w:rsid w:val="00A65C0A"/>
    <w:rsid w:val="00A664BF"/>
    <w:rsid w:val="00A66966"/>
    <w:rsid w:val="00A70681"/>
    <w:rsid w:val="00A721C0"/>
    <w:rsid w:val="00A7294C"/>
    <w:rsid w:val="00A731B8"/>
    <w:rsid w:val="00A7517C"/>
    <w:rsid w:val="00A774B1"/>
    <w:rsid w:val="00A84013"/>
    <w:rsid w:val="00A84363"/>
    <w:rsid w:val="00A84E3E"/>
    <w:rsid w:val="00A84E49"/>
    <w:rsid w:val="00A856B1"/>
    <w:rsid w:val="00A86197"/>
    <w:rsid w:val="00A8619C"/>
    <w:rsid w:val="00A875F3"/>
    <w:rsid w:val="00A9080B"/>
    <w:rsid w:val="00A90E16"/>
    <w:rsid w:val="00A9390F"/>
    <w:rsid w:val="00A94E61"/>
    <w:rsid w:val="00A957B0"/>
    <w:rsid w:val="00A96564"/>
    <w:rsid w:val="00A96CD8"/>
    <w:rsid w:val="00A979FD"/>
    <w:rsid w:val="00AA1541"/>
    <w:rsid w:val="00AA15EB"/>
    <w:rsid w:val="00AA2D7A"/>
    <w:rsid w:val="00AA2E86"/>
    <w:rsid w:val="00AA3549"/>
    <w:rsid w:val="00AA39AE"/>
    <w:rsid w:val="00AA5307"/>
    <w:rsid w:val="00AB3BAC"/>
    <w:rsid w:val="00AB4AD3"/>
    <w:rsid w:val="00AC0797"/>
    <w:rsid w:val="00AC257B"/>
    <w:rsid w:val="00AC2EDE"/>
    <w:rsid w:val="00AC53AF"/>
    <w:rsid w:val="00AC774D"/>
    <w:rsid w:val="00AD11EF"/>
    <w:rsid w:val="00AD1DE8"/>
    <w:rsid w:val="00AD49CB"/>
    <w:rsid w:val="00AD4F9D"/>
    <w:rsid w:val="00AD628A"/>
    <w:rsid w:val="00AD6A86"/>
    <w:rsid w:val="00AE00DC"/>
    <w:rsid w:val="00AE05E1"/>
    <w:rsid w:val="00AE0AC0"/>
    <w:rsid w:val="00AE2123"/>
    <w:rsid w:val="00AE486F"/>
    <w:rsid w:val="00AE59E5"/>
    <w:rsid w:val="00AE629D"/>
    <w:rsid w:val="00AE64A9"/>
    <w:rsid w:val="00AE6938"/>
    <w:rsid w:val="00AE6DBC"/>
    <w:rsid w:val="00AF0A65"/>
    <w:rsid w:val="00AF223D"/>
    <w:rsid w:val="00AF22E7"/>
    <w:rsid w:val="00AF31EF"/>
    <w:rsid w:val="00AF3F61"/>
    <w:rsid w:val="00AF532B"/>
    <w:rsid w:val="00AF5C4F"/>
    <w:rsid w:val="00AF62FB"/>
    <w:rsid w:val="00AF67A9"/>
    <w:rsid w:val="00B024D9"/>
    <w:rsid w:val="00B03B3B"/>
    <w:rsid w:val="00B03FFF"/>
    <w:rsid w:val="00B0502D"/>
    <w:rsid w:val="00B058EF"/>
    <w:rsid w:val="00B07F75"/>
    <w:rsid w:val="00B10AB7"/>
    <w:rsid w:val="00B1151B"/>
    <w:rsid w:val="00B1228A"/>
    <w:rsid w:val="00B12451"/>
    <w:rsid w:val="00B14039"/>
    <w:rsid w:val="00B170A2"/>
    <w:rsid w:val="00B17F72"/>
    <w:rsid w:val="00B203FF"/>
    <w:rsid w:val="00B22277"/>
    <w:rsid w:val="00B22944"/>
    <w:rsid w:val="00B26726"/>
    <w:rsid w:val="00B2758D"/>
    <w:rsid w:val="00B30482"/>
    <w:rsid w:val="00B31526"/>
    <w:rsid w:val="00B3226B"/>
    <w:rsid w:val="00B326A7"/>
    <w:rsid w:val="00B33322"/>
    <w:rsid w:val="00B33F30"/>
    <w:rsid w:val="00B33FA0"/>
    <w:rsid w:val="00B34124"/>
    <w:rsid w:val="00B3418C"/>
    <w:rsid w:val="00B34980"/>
    <w:rsid w:val="00B36C89"/>
    <w:rsid w:val="00B411B5"/>
    <w:rsid w:val="00B41237"/>
    <w:rsid w:val="00B41CEE"/>
    <w:rsid w:val="00B420B6"/>
    <w:rsid w:val="00B43942"/>
    <w:rsid w:val="00B450AD"/>
    <w:rsid w:val="00B455F9"/>
    <w:rsid w:val="00B4770E"/>
    <w:rsid w:val="00B47F44"/>
    <w:rsid w:val="00B500E8"/>
    <w:rsid w:val="00B506B5"/>
    <w:rsid w:val="00B52163"/>
    <w:rsid w:val="00B54C1A"/>
    <w:rsid w:val="00B55EF6"/>
    <w:rsid w:val="00B61582"/>
    <w:rsid w:val="00B6217E"/>
    <w:rsid w:val="00B625F2"/>
    <w:rsid w:val="00B627C5"/>
    <w:rsid w:val="00B64367"/>
    <w:rsid w:val="00B64C8C"/>
    <w:rsid w:val="00B6540B"/>
    <w:rsid w:val="00B65F91"/>
    <w:rsid w:val="00B6769D"/>
    <w:rsid w:val="00B6772A"/>
    <w:rsid w:val="00B70C31"/>
    <w:rsid w:val="00B8115B"/>
    <w:rsid w:val="00B82D0D"/>
    <w:rsid w:val="00B82FF8"/>
    <w:rsid w:val="00B83559"/>
    <w:rsid w:val="00B853F1"/>
    <w:rsid w:val="00B86A43"/>
    <w:rsid w:val="00B900AC"/>
    <w:rsid w:val="00B915EB"/>
    <w:rsid w:val="00B91976"/>
    <w:rsid w:val="00B92CED"/>
    <w:rsid w:val="00B94117"/>
    <w:rsid w:val="00B968C2"/>
    <w:rsid w:val="00BA028D"/>
    <w:rsid w:val="00BA04A8"/>
    <w:rsid w:val="00BA0ED9"/>
    <w:rsid w:val="00BA13FA"/>
    <w:rsid w:val="00BA1722"/>
    <w:rsid w:val="00BA3E7C"/>
    <w:rsid w:val="00BA62AA"/>
    <w:rsid w:val="00BA6C5D"/>
    <w:rsid w:val="00BA6DD4"/>
    <w:rsid w:val="00BB1636"/>
    <w:rsid w:val="00BB18E2"/>
    <w:rsid w:val="00BB1B98"/>
    <w:rsid w:val="00BB5052"/>
    <w:rsid w:val="00BB5BAF"/>
    <w:rsid w:val="00BB6801"/>
    <w:rsid w:val="00BB7B1F"/>
    <w:rsid w:val="00BC12C5"/>
    <w:rsid w:val="00BC20A4"/>
    <w:rsid w:val="00BC4D26"/>
    <w:rsid w:val="00BC5518"/>
    <w:rsid w:val="00BC67D4"/>
    <w:rsid w:val="00BD054F"/>
    <w:rsid w:val="00BD078D"/>
    <w:rsid w:val="00BD139C"/>
    <w:rsid w:val="00BD429D"/>
    <w:rsid w:val="00BD44A9"/>
    <w:rsid w:val="00BD6D69"/>
    <w:rsid w:val="00BE1539"/>
    <w:rsid w:val="00BE2BB9"/>
    <w:rsid w:val="00BE4EDA"/>
    <w:rsid w:val="00BF27FA"/>
    <w:rsid w:val="00BF35EB"/>
    <w:rsid w:val="00BF36A0"/>
    <w:rsid w:val="00BF3884"/>
    <w:rsid w:val="00BF52DE"/>
    <w:rsid w:val="00BF595A"/>
    <w:rsid w:val="00BF6116"/>
    <w:rsid w:val="00C00318"/>
    <w:rsid w:val="00C007A1"/>
    <w:rsid w:val="00C00AB8"/>
    <w:rsid w:val="00C01BE9"/>
    <w:rsid w:val="00C02637"/>
    <w:rsid w:val="00C02BD2"/>
    <w:rsid w:val="00C033A1"/>
    <w:rsid w:val="00C034D3"/>
    <w:rsid w:val="00C0455F"/>
    <w:rsid w:val="00C049CA"/>
    <w:rsid w:val="00C055ED"/>
    <w:rsid w:val="00C07276"/>
    <w:rsid w:val="00C11030"/>
    <w:rsid w:val="00C111B1"/>
    <w:rsid w:val="00C11725"/>
    <w:rsid w:val="00C11E48"/>
    <w:rsid w:val="00C12554"/>
    <w:rsid w:val="00C1595C"/>
    <w:rsid w:val="00C15F4D"/>
    <w:rsid w:val="00C179FA"/>
    <w:rsid w:val="00C17C1D"/>
    <w:rsid w:val="00C202F8"/>
    <w:rsid w:val="00C20D92"/>
    <w:rsid w:val="00C221C1"/>
    <w:rsid w:val="00C23BFA"/>
    <w:rsid w:val="00C24670"/>
    <w:rsid w:val="00C247EA"/>
    <w:rsid w:val="00C25042"/>
    <w:rsid w:val="00C25557"/>
    <w:rsid w:val="00C27954"/>
    <w:rsid w:val="00C30030"/>
    <w:rsid w:val="00C321C1"/>
    <w:rsid w:val="00C32FD3"/>
    <w:rsid w:val="00C3347F"/>
    <w:rsid w:val="00C338D7"/>
    <w:rsid w:val="00C33B14"/>
    <w:rsid w:val="00C34A10"/>
    <w:rsid w:val="00C34D39"/>
    <w:rsid w:val="00C34F92"/>
    <w:rsid w:val="00C36B93"/>
    <w:rsid w:val="00C36F3E"/>
    <w:rsid w:val="00C37A4C"/>
    <w:rsid w:val="00C40538"/>
    <w:rsid w:val="00C405B2"/>
    <w:rsid w:val="00C43EF4"/>
    <w:rsid w:val="00C45816"/>
    <w:rsid w:val="00C4612C"/>
    <w:rsid w:val="00C47732"/>
    <w:rsid w:val="00C50963"/>
    <w:rsid w:val="00C50BD6"/>
    <w:rsid w:val="00C50FA2"/>
    <w:rsid w:val="00C51E26"/>
    <w:rsid w:val="00C53892"/>
    <w:rsid w:val="00C54D16"/>
    <w:rsid w:val="00C55135"/>
    <w:rsid w:val="00C57A55"/>
    <w:rsid w:val="00C605FA"/>
    <w:rsid w:val="00C62A0C"/>
    <w:rsid w:val="00C635E2"/>
    <w:rsid w:val="00C67132"/>
    <w:rsid w:val="00C679DC"/>
    <w:rsid w:val="00C704CF"/>
    <w:rsid w:val="00C724D0"/>
    <w:rsid w:val="00C72507"/>
    <w:rsid w:val="00C74397"/>
    <w:rsid w:val="00C74A04"/>
    <w:rsid w:val="00C76E2D"/>
    <w:rsid w:val="00C76FFF"/>
    <w:rsid w:val="00C77386"/>
    <w:rsid w:val="00C80421"/>
    <w:rsid w:val="00C818BB"/>
    <w:rsid w:val="00C81DFC"/>
    <w:rsid w:val="00C82214"/>
    <w:rsid w:val="00C838D9"/>
    <w:rsid w:val="00C84E28"/>
    <w:rsid w:val="00C84F08"/>
    <w:rsid w:val="00C90647"/>
    <w:rsid w:val="00C91310"/>
    <w:rsid w:val="00C93CF8"/>
    <w:rsid w:val="00CA0192"/>
    <w:rsid w:val="00CA43F1"/>
    <w:rsid w:val="00CA4FDE"/>
    <w:rsid w:val="00CA70E7"/>
    <w:rsid w:val="00CB228A"/>
    <w:rsid w:val="00CB2E17"/>
    <w:rsid w:val="00CB3056"/>
    <w:rsid w:val="00CB3987"/>
    <w:rsid w:val="00CB7E08"/>
    <w:rsid w:val="00CC1DB0"/>
    <w:rsid w:val="00CC4F4F"/>
    <w:rsid w:val="00CC5AD8"/>
    <w:rsid w:val="00CC7DF3"/>
    <w:rsid w:val="00CD434F"/>
    <w:rsid w:val="00CE1D90"/>
    <w:rsid w:val="00CE2446"/>
    <w:rsid w:val="00CE32B8"/>
    <w:rsid w:val="00CE5F47"/>
    <w:rsid w:val="00CE6986"/>
    <w:rsid w:val="00CE78F5"/>
    <w:rsid w:val="00CF035D"/>
    <w:rsid w:val="00CF24D4"/>
    <w:rsid w:val="00CF3925"/>
    <w:rsid w:val="00CF512A"/>
    <w:rsid w:val="00D01536"/>
    <w:rsid w:val="00D027B9"/>
    <w:rsid w:val="00D03053"/>
    <w:rsid w:val="00D03439"/>
    <w:rsid w:val="00D0489B"/>
    <w:rsid w:val="00D052B4"/>
    <w:rsid w:val="00D07A8B"/>
    <w:rsid w:val="00D10F72"/>
    <w:rsid w:val="00D11406"/>
    <w:rsid w:val="00D17891"/>
    <w:rsid w:val="00D206E0"/>
    <w:rsid w:val="00D223CA"/>
    <w:rsid w:val="00D228B8"/>
    <w:rsid w:val="00D2316E"/>
    <w:rsid w:val="00D256D6"/>
    <w:rsid w:val="00D25B7D"/>
    <w:rsid w:val="00D25E0F"/>
    <w:rsid w:val="00D27637"/>
    <w:rsid w:val="00D30343"/>
    <w:rsid w:val="00D31350"/>
    <w:rsid w:val="00D3635A"/>
    <w:rsid w:val="00D36920"/>
    <w:rsid w:val="00D36B09"/>
    <w:rsid w:val="00D36C54"/>
    <w:rsid w:val="00D36F50"/>
    <w:rsid w:val="00D40CE7"/>
    <w:rsid w:val="00D434D3"/>
    <w:rsid w:val="00D4358F"/>
    <w:rsid w:val="00D443D7"/>
    <w:rsid w:val="00D50145"/>
    <w:rsid w:val="00D5188B"/>
    <w:rsid w:val="00D51A1F"/>
    <w:rsid w:val="00D520E7"/>
    <w:rsid w:val="00D53C66"/>
    <w:rsid w:val="00D56DA0"/>
    <w:rsid w:val="00D57E07"/>
    <w:rsid w:val="00D609A1"/>
    <w:rsid w:val="00D61B93"/>
    <w:rsid w:val="00D62793"/>
    <w:rsid w:val="00D627BE"/>
    <w:rsid w:val="00D63C42"/>
    <w:rsid w:val="00D6578B"/>
    <w:rsid w:val="00D65905"/>
    <w:rsid w:val="00D67947"/>
    <w:rsid w:val="00D67E6B"/>
    <w:rsid w:val="00D717D6"/>
    <w:rsid w:val="00D71B35"/>
    <w:rsid w:val="00D74DFD"/>
    <w:rsid w:val="00D75F8F"/>
    <w:rsid w:val="00D76934"/>
    <w:rsid w:val="00D770C8"/>
    <w:rsid w:val="00D77E2E"/>
    <w:rsid w:val="00D80302"/>
    <w:rsid w:val="00D81A2D"/>
    <w:rsid w:val="00D81CB0"/>
    <w:rsid w:val="00D82211"/>
    <w:rsid w:val="00D8365B"/>
    <w:rsid w:val="00D84AED"/>
    <w:rsid w:val="00D8559E"/>
    <w:rsid w:val="00D863DB"/>
    <w:rsid w:val="00D87671"/>
    <w:rsid w:val="00D90346"/>
    <w:rsid w:val="00D92132"/>
    <w:rsid w:val="00D92CE7"/>
    <w:rsid w:val="00D931B6"/>
    <w:rsid w:val="00D93F49"/>
    <w:rsid w:val="00D95849"/>
    <w:rsid w:val="00D9595A"/>
    <w:rsid w:val="00D95EAE"/>
    <w:rsid w:val="00D967DA"/>
    <w:rsid w:val="00D969C1"/>
    <w:rsid w:val="00D96A05"/>
    <w:rsid w:val="00D96ACC"/>
    <w:rsid w:val="00D97282"/>
    <w:rsid w:val="00D974FB"/>
    <w:rsid w:val="00DA031B"/>
    <w:rsid w:val="00DA48F8"/>
    <w:rsid w:val="00DA4A8E"/>
    <w:rsid w:val="00DA5524"/>
    <w:rsid w:val="00DA56BF"/>
    <w:rsid w:val="00DA60A4"/>
    <w:rsid w:val="00DB0295"/>
    <w:rsid w:val="00DB08C1"/>
    <w:rsid w:val="00DB207B"/>
    <w:rsid w:val="00DB3285"/>
    <w:rsid w:val="00DB5138"/>
    <w:rsid w:val="00DB6108"/>
    <w:rsid w:val="00DB79C0"/>
    <w:rsid w:val="00DB7A2C"/>
    <w:rsid w:val="00DC008F"/>
    <w:rsid w:val="00DC5E71"/>
    <w:rsid w:val="00DD19E7"/>
    <w:rsid w:val="00DD4464"/>
    <w:rsid w:val="00DD6074"/>
    <w:rsid w:val="00DD693A"/>
    <w:rsid w:val="00DD737F"/>
    <w:rsid w:val="00DE0FD7"/>
    <w:rsid w:val="00DE125D"/>
    <w:rsid w:val="00DE19FA"/>
    <w:rsid w:val="00DE1B1C"/>
    <w:rsid w:val="00DE5620"/>
    <w:rsid w:val="00DE5C6B"/>
    <w:rsid w:val="00DE6056"/>
    <w:rsid w:val="00DE6090"/>
    <w:rsid w:val="00DE7609"/>
    <w:rsid w:val="00DF082C"/>
    <w:rsid w:val="00DF1CBC"/>
    <w:rsid w:val="00DF3EFE"/>
    <w:rsid w:val="00E02685"/>
    <w:rsid w:val="00E02F0D"/>
    <w:rsid w:val="00E0315B"/>
    <w:rsid w:val="00E0642F"/>
    <w:rsid w:val="00E104DF"/>
    <w:rsid w:val="00E156F9"/>
    <w:rsid w:val="00E17C6C"/>
    <w:rsid w:val="00E17DC5"/>
    <w:rsid w:val="00E21634"/>
    <w:rsid w:val="00E2282A"/>
    <w:rsid w:val="00E25BA6"/>
    <w:rsid w:val="00E27141"/>
    <w:rsid w:val="00E272E4"/>
    <w:rsid w:val="00E31382"/>
    <w:rsid w:val="00E31596"/>
    <w:rsid w:val="00E31F9D"/>
    <w:rsid w:val="00E3510F"/>
    <w:rsid w:val="00E3525C"/>
    <w:rsid w:val="00E3663A"/>
    <w:rsid w:val="00E367AD"/>
    <w:rsid w:val="00E3733D"/>
    <w:rsid w:val="00E37F17"/>
    <w:rsid w:val="00E40792"/>
    <w:rsid w:val="00E41BFA"/>
    <w:rsid w:val="00E43DCB"/>
    <w:rsid w:val="00E45226"/>
    <w:rsid w:val="00E45436"/>
    <w:rsid w:val="00E45B39"/>
    <w:rsid w:val="00E46B0D"/>
    <w:rsid w:val="00E47EAF"/>
    <w:rsid w:val="00E55664"/>
    <w:rsid w:val="00E563D9"/>
    <w:rsid w:val="00E56F2D"/>
    <w:rsid w:val="00E5710E"/>
    <w:rsid w:val="00E63F4F"/>
    <w:rsid w:val="00E642F7"/>
    <w:rsid w:val="00E64DA3"/>
    <w:rsid w:val="00E679F9"/>
    <w:rsid w:val="00E7101C"/>
    <w:rsid w:val="00E710F2"/>
    <w:rsid w:val="00E72731"/>
    <w:rsid w:val="00E73A87"/>
    <w:rsid w:val="00E763C2"/>
    <w:rsid w:val="00E76C52"/>
    <w:rsid w:val="00E776D3"/>
    <w:rsid w:val="00E80B1C"/>
    <w:rsid w:val="00E857A4"/>
    <w:rsid w:val="00E861DB"/>
    <w:rsid w:val="00E870E4"/>
    <w:rsid w:val="00E8796B"/>
    <w:rsid w:val="00E90369"/>
    <w:rsid w:val="00E90C07"/>
    <w:rsid w:val="00E93F27"/>
    <w:rsid w:val="00E94350"/>
    <w:rsid w:val="00E97B77"/>
    <w:rsid w:val="00EA060C"/>
    <w:rsid w:val="00EA3761"/>
    <w:rsid w:val="00EA4041"/>
    <w:rsid w:val="00EA4C6B"/>
    <w:rsid w:val="00EA6C8A"/>
    <w:rsid w:val="00EA7109"/>
    <w:rsid w:val="00EB087B"/>
    <w:rsid w:val="00EB103A"/>
    <w:rsid w:val="00EB256E"/>
    <w:rsid w:val="00EB26B6"/>
    <w:rsid w:val="00EB2CAC"/>
    <w:rsid w:val="00EB32B7"/>
    <w:rsid w:val="00EB44CD"/>
    <w:rsid w:val="00EB4D9D"/>
    <w:rsid w:val="00EB6D77"/>
    <w:rsid w:val="00EB70EE"/>
    <w:rsid w:val="00EC0190"/>
    <w:rsid w:val="00EC08A4"/>
    <w:rsid w:val="00EC13B0"/>
    <w:rsid w:val="00EC3146"/>
    <w:rsid w:val="00EC4BB0"/>
    <w:rsid w:val="00EC4C64"/>
    <w:rsid w:val="00EC7202"/>
    <w:rsid w:val="00ED2369"/>
    <w:rsid w:val="00ED2843"/>
    <w:rsid w:val="00ED2DE6"/>
    <w:rsid w:val="00ED363D"/>
    <w:rsid w:val="00ED4AAB"/>
    <w:rsid w:val="00ED63A7"/>
    <w:rsid w:val="00EE0C5F"/>
    <w:rsid w:val="00EE285A"/>
    <w:rsid w:val="00EE3372"/>
    <w:rsid w:val="00EE54A3"/>
    <w:rsid w:val="00EE5549"/>
    <w:rsid w:val="00EE5A45"/>
    <w:rsid w:val="00EE6F7A"/>
    <w:rsid w:val="00EF1F94"/>
    <w:rsid w:val="00EF20A9"/>
    <w:rsid w:val="00EF273A"/>
    <w:rsid w:val="00EF46D9"/>
    <w:rsid w:val="00EF4F7E"/>
    <w:rsid w:val="00EF5FF5"/>
    <w:rsid w:val="00EF6148"/>
    <w:rsid w:val="00EF6E2F"/>
    <w:rsid w:val="00EF7E3E"/>
    <w:rsid w:val="00EF7F0A"/>
    <w:rsid w:val="00EF7F10"/>
    <w:rsid w:val="00F03A6B"/>
    <w:rsid w:val="00F04F4D"/>
    <w:rsid w:val="00F071B9"/>
    <w:rsid w:val="00F07604"/>
    <w:rsid w:val="00F109DA"/>
    <w:rsid w:val="00F122F6"/>
    <w:rsid w:val="00F14625"/>
    <w:rsid w:val="00F15189"/>
    <w:rsid w:val="00F157CB"/>
    <w:rsid w:val="00F1598A"/>
    <w:rsid w:val="00F167A4"/>
    <w:rsid w:val="00F20374"/>
    <w:rsid w:val="00F20F66"/>
    <w:rsid w:val="00F21B5F"/>
    <w:rsid w:val="00F21E51"/>
    <w:rsid w:val="00F22B02"/>
    <w:rsid w:val="00F24B16"/>
    <w:rsid w:val="00F25056"/>
    <w:rsid w:val="00F26716"/>
    <w:rsid w:val="00F26BD0"/>
    <w:rsid w:val="00F26C97"/>
    <w:rsid w:val="00F2788E"/>
    <w:rsid w:val="00F30FA6"/>
    <w:rsid w:val="00F3287A"/>
    <w:rsid w:val="00F3426E"/>
    <w:rsid w:val="00F34BCF"/>
    <w:rsid w:val="00F351DC"/>
    <w:rsid w:val="00F3576A"/>
    <w:rsid w:val="00F35EB0"/>
    <w:rsid w:val="00F373D8"/>
    <w:rsid w:val="00F41308"/>
    <w:rsid w:val="00F41387"/>
    <w:rsid w:val="00F4308C"/>
    <w:rsid w:val="00F43818"/>
    <w:rsid w:val="00F43B50"/>
    <w:rsid w:val="00F43E9F"/>
    <w:rsid w:val="00F44AAE"/>
    <w:rsid w:val="00F4545C"/>
    <w:rsid w:val="00F53EE8"/>
    <w:rsid w:val="00F545A8"/>
    <w:rsid w:val="00F5475F"/>
    <w:rsid w:val="00F54857"/>
    <w:rsid w:val="00F54B14"/>
    <w:rsid w:val="00F5666F"/>
    <w:rsid w:val="00F56E41"/>
    <w:rsid w:val="00F571EC"/>
    <w:rsid w:val="00F57ABE"/>
    <w:rsid w:val="00F618A5"/>
    <w:rsid w:val="00F622D7"/>
    <w:rsid w:val="00F642EF"/>
    <w:rsid w:val="00F658A9"/>
    <w:rsid w:val="00F66A3F"/>
    <w:rsid w:val="00F6706C"/>
    <w:rsid w:val="00F70BE0"/>
    <w:rsid w:val="00F70CBF"/>
    <w:rsid w:val="00F71652"/>
    <w:rsid w:val="00F74407"/>
    <w:rsid w:val="00F764BE"/>
    <w:rsid w:val="00F77117"/>
    <w:rsid w:val="00F800F2"/>
    <w:rsid w:val="00F826D8"/>
    <w:rsid w:val="00F82FD7"/>
    <w:rsid w:val="00F839BF"/>
    <w:rsid w:val="00F84AF1"/>
    <w:rsid w:val="00F8501F"/>
    <w:rsid w:val="00F85108"/>
    <w:rsid w:val="00F86E9A"/>
    <w:rsid w:val="00F879C4"/>
    <w:rsid w:val="00F87D53"/>
    <w:rsid w:val="00F9196B"/>
    <w:rsid w:val="00F942C6"/>
    <w:rsid w:val="00F94451"/>
    <w:rsid w:val="00F9448A"/>
    <w:rsid w:val="00F947D6"/>
    <w:rsid w:val="00F94CDC"/>
    <w:rsid w:val="00F9579E"/>
    <w:rsid w:val="00F9617C"/>
    <w:rsid w:val="00F961BE"/>
    <w:rsid w:val="00FA029F"/>
    <w:rsid w:val="00FA16AF"/>
    <w:rsid w:val="00FA3685"/>
    <w:rsid w:val="00FA3AD2"/>
    <w:rsid w:val="00FA4E6F"/>
    <w:rsid w:val="00FA5C1A"/>
    <w:rsid w:val="00FA6EFF"/>
    <w:rsid w:val="00FA7421"/>
    <w:rsid w:val="00FB0F2E"/>
    <w:rsid w:val="00FB1CFC"/>
    <w:rsid w:val="00FB276E"/>
    <w:rsid w:val="00FB3E04"/>
    <w:rsid w:val="00FB4F23"/>
    <w:rsid w:val="00FB7092"/>
    <w:rsid w:val="00FC1860"/>
    <w:rsid w:val="00FC1B7F"/>
    <w:rsid w:val="00FC1F3B"/>
    <w:rsid w:val="00FC3D6C"/>
    <w:rsid w:val="00FC4A8E"/>
    <w:rsid w:val="00FC5688"/>
    <w:rsid w:val="00FC570B"/>
    <w:rsid w:val="00FD13BC"/>
    <w:rsid w:val="00FD1B31"/>
    <w:rsid w:val="00FD1DE1"/>
    <w:rsid w:val="00FD2CB9"/>
    <w:rsid w:val="00FD3169"/>
    <w:rsid w:val="00FD4961"/>
    <w:rsid w:val="00FD7976"/>
    <w:rsid w:val="00FE0686"/>
    <w:rsid w:val="00FE30EB"/>
    <w:rsid w:val="00FE46F1"/>
    <w:rsid w:val="00FE5081"/>
    <w:rsid w:val="00FE70A6"/>
    <w:rsid w:val="00FE7896"/>
    <w:rsid w:val="00FE7FF1"/>
    <w:rsid w:val="00FF0EC5"/>
    <w:rsid w:val="00FF0FE9"/>
    <w:rsid w:val="00FF248A"/>
    <w:rsid w:val="00FF2BE2"/>
    <w:rsid w:val="00FF2DB7"/>
    <w:rsid w:val="00FF3F96"/>
    <w:rsid w:val="00FF55B2"/>
    <w:rsid w:val="00FF674A"/>
    <w:rsid w:val="00FF680D"/>
    <w:rsid w:val="00FF7804"/>
    <w:rsid w:val="01700595"/>
    <w:rsid w:val="078CC297"/>
    <w:rsid w:val="1C62A5F0"/>
    <w:rsid w:val="3D17A2C4"/>
    <w:rsid w:val="47445DDD"/>
    <w:rsid w:val="4BA83557"/>
    <w:rsid w:val="57AB8388"/>
    <w:rsid w:val="630E1BAD"/>
    <w:rsid w:val="65FDB13A"/>
    <w:rsid w:val="73E6AB2F"/>
    <w:rsid w:val="767EDB19"/>
    <w:rsid w:val="7D39F5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35B635AA"/>
  <w15:docId w15:val="{9998E7AA-4377-4406-9722-18A9ADF8B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5"/>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7"/>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uiPriority w:val="1"/>
    <w:unhideWhenUsed/>
    <w:qFormat/>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paragraph" w:styleId="ListParagraph">
    <w:name w:val="List Paragraph"/>
    <w:basedOn w:val="Normal"/>
    <w:uiPriority w:val="34"/>
    <w:qFormat/>
    <w:locked/>
    <w:rsid w:val="00304C64"/>
    <w:pPr>
      <w:widowControl w:val="0"/>
      <w:autoSpaceDE w:val="0"/>
      <w:autoSpaceDN w:val="0"/>
      <w:spacing w:after="0" w:line="240" w:lineRule="auto"/>
      <w:ind w:left="489" w:hanging="360"/>
    </w:pPr>
    <w:rPr>
      <w:rFonts w:eastAsia="Arial"/>
      <w:color w:val="auto"/>
      <w:sz w:val="22"/>
      <w:szCs w:val="22"/>
      <w:lang w:val="en-US" w:eastAsia="en-US"/>
    </w:rPr>
  </w:style>
  <w:style w:type="paragraph" w:styleId="NormalWeb">
    <w:name w:val="Normal (Web)"/>
    <w:basedOn w:val="Normal"/>
    <w:uiPriority w:val="99"/>
    <w:semiHidden/>
    <w:unhideWhenUsed/>
    <w:rsid w:val="009756EC"/>
    <w:pPr>
      <w:spacing w:before="100" w:beforeAutospacing="1" w:after="100" w:afterAutospacing="1" w:line="240" w:lineRule="auto"/>
    </w:pPr>
    <w:rPr>
      <w:rFonts w:ascii="Times New Roman" w:eastAsia="Times New Roman" w:hAnsi="Times New Roman" w:cs="Times New Roman"/>
      <w:color w:val="auto"/>
    </w:rPr>
  </w:style>
  <w:style w:type="paragraph" w:customStyle="1" w:styleId="pf0">
    <w:name w:val="pf0"/>
    <w:basedOn w:val="Normal"/>
    <w:rsid w:val="00E3525C"/>
    <w:pPr>
      <w:spacing w:before="100" w:beforeAutospacing="1" w:after="100" w:afterAutospacing="1" w:line="240" w:lineRule="auto"/>
    </w:pPr>
    <w:rPr>
      <w:rFonts w:ascii="Times New Roman" w:eastAsia="Times New Roman" w:hAnsi="Times New Roman" w:cs="Times New Roman"/>
      <w:color w:val="auto"/>
    </w:rPr>
  </w:style>
  <w:style w:type="character" w:customStyle="1" w:styleId="cf01">
    <w:name w:val="cf01"/>
    <w:basedOn w:val="DefaultParagraphFont"/>
    <w:rsid w:val="00E3525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7426">
      <w:bodyDiv w:val="1"/>
      <w:marLeft w:val="0"/>
      <w:marRight w:val="0"/>
      <w:marTop w:val="0"/>
      <w:marBottom w:val="0"/>
      <w:divBdr>
        <w:top w:val="none" w:sz="0" w:space="0" w:color="auto"/>
        <w:left w:val="none" w:sz="0" w:space="0" w:color="auto"/>
        <w:bottom w:val="none" w:sz="0" w:space="0" w:color="auto"/>
        <w:right w:val="none" w:sz="0" w:space="0" w:color="auto"/>
      </w:divBdr>
      <w:divsChild>
        <w:div w:id="226958148">
          <w:marLeft w:val="0"/>
          <w:marRight w:val="0"/>
          <w:marTop w:val="0"/>
          <w:marBottom w:val="0"/>
          <w:divBdr>
            <w:top w:val="none" w:sz="0" w:space="0" w:color="auto"/>
            <w:left w:val="none" w:sz="0" w:space="0" w:color="auto"/>
            <w:bottom w:val="none" w:sz="0" w:space="0" w:color="auto"/>
            <w:right w:val="none" w:sz="0" w:space="0" w:color="auto"/>
          </w:divBdr>
          <w:divsChild>
            <w:div w:id="593713215">
              <w:marLeft w:val="0"/>
              <w:marRight w:val="0"/>
              <w:marTop w:val="0"/>
              <w:marBottom w:val="0"/>
              <w:divBdr>
                <w:top w:val="none" w:sz="0" w:space="0" w:color="auto"/>
                <w:left w:val="none" w:sz="0" w:space="0" w:color="auto"/>
                <w:bottom w:val="none" w:sz="0" w:space="0" w:color="auto"/>
                <w:right w:val="none" w:sz="0" w:space="0" w:color="auto"/>
              </w:divBdr>
              <w:divsChild>
                <w:div w:id="989478520">
                  <w:marLeft w:val="480"/>
                  <w:marRight w:val="0"/>
                  <w:marTop w:val="0"/>
                  <w:marBottom w:val="0"/>
                  <w:divBdr>
                    <w:top w:val="none" w:sz="0" w:space="0" w:color="auto"/>
                    <w:left w:val="none" w:sz="0" w:space="0" w:color="auto"/>
                    <w:bottom w:val="none" w:sz="0" w:space="0" w:color="auto"/>
                    <w:right w:val="none" w:sz="0" w:space="0" w:color="auto"/>
                  </w:divBdr>
                  <w:divsChild>
                    <w:div w:id="1011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88412">
      <w:bodyDiv w:val="1"/>
      <w:marLeft w:val="0"/>
      <w:marRight w:val="0"/>
      <w:marTop w:val="0"/>
      <w:marBottom w:val="0"/>
      <w:divBdr>
        <w:top w:val="none" w:sz="0" w:space="0" w:color="auto"/>
        <w:left w:val="none" w:sz="0" w:space="0" w:color="auto"/>
        <w:bottom w:val="none" w:sz="0" w:space="0" w:color="auto"/>
        <w:right w:val="none" w:sz="0" w:space="0" w:color="auto"/>
      </w:divBdr>
    </w:div>
    <w:div w:id="285628557">
      <w:bodyDiv w:val="1"/>
      <w:marLeft w:val="0"/>
      <w:marRight w:val="0"/>
      <w:marTop w:val="0"/>
      <w:marBottom w:val="0"/>
      <w:divBdr>
        <w:top w:val="none" w:sz="0" w:space="0" w:color="auto"/>
        <w:left w:val="none" w:sz="0" w:space="0" w:color="auto"/>
        <w:bottom w:val="none" w:sz="0" w:space="0" w:color="auto"/>
        <w:right w:val="none" w:sz="0" w:space="0" w:color="auto"/>
      </w:divBdr>
      <w:divsChild>
        <w:div w:id="1890149153">
          <w:marLeft w:val="0"/>
          <w:marRight w:val="0"/>
          <w:marTop w:val="0"/>
          <w:marBottom w:val="0"/>
          <w:divBdr>
            <w:top w:val="none" w:sz="0" w:space="0" w:color="auto"/>
            <w:left w:val="none" w:sz="0" w:space="0" w:color="auto"/>
            <w:bottom w:val="none" w:sz="0" w:space="0" w:color="auto"/>
            <w:right w:val="none" w:sz="0" w:space="0" w:color="auto"/>
          </w:divBdr>
          <w:divsChild>
            <w:div w:id="481966544">
              <w:marLeft w:val="0"/>
              <w:marRight w:val="0"/>
              <w:marTop w:val="0"/>
              <w:marBottom w:val="0"/>
              <w:divBdr>
                <w:top w:val="none" w:sz="0" w:space="0" w:color="auto"/>
                <w:left w:val="none" w:sz="0" w:space="0" w:color="auto"/>
                <w:bottom w:val="none" w:sz="0" w:space="0" w:color="auto"/>
                <w:right w:val="none" w:sz="0" w:space="0" w:color="auto"/>
              </w:divBdr>
              <w:divsChild>
                <w:div w:id="2103213432">
                  <w:marLeft w:val="480"/>
                  <w:marRight w:val="0"/>
                  <w:marTop w:val="0"/>
                  <w:marBottom w:val="0"/>
                  <w:divBdr>
                    <w:top w:val="none" w:sz="0" w:space="0" w:color="auto"/>
                    <w:left w:val="none" w:sz="0" w:space="0" w:color="auto"/>
                    <w:bottom w:val="none" w:sz="0" w:space="0" w:color="auto"/>
                    <w:right w:val="none" w:sz="0" w:space="0" w:color="auto"/>
                  </w:divBdr>
                  <w:divsChild>
                    <w:div w:id="96793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059663">
      <w:bodyDiv w:val="1"/>
      <w:marLeft w:val="0"/>
      <w:marRight w:val="0"/>
      <w:marTop w:val="0"/>
      <w:marBottom w:val="0"/>
      <w:divBdr>
        <w:top w:val="none" w:sz="0" w:space="0" w:color="auto"/>
        <w:left w:val="none" w:sz="0" w:space="0" w:color="auto"/>
        <w:bottom w:val="none" w:sz="0" w:space="0" w:color="auto"/>
        <w:right w:val="none" w:sz="0" w:space="0" w:color="auto"/>
      </w:divBdr>
    </w:div>
    <w:div w:id="438529429">
      <w:bodyDiv w:val="1"/>
      <w:marLeft w:val="0"/>
      <w:marRight w:val="0"/>
      <w:marTop w:val="0"/>
      <w:marBottom w:val="0"/>
      <w:divBdr>
        <w:top w:val="none" w:sz="0" w:space="0" w:color="auto"/>
        <w:left w:val="none" w:sz="0" w:space="0" w:color="auto"/>
        <w:bottom w:val="none" w:sz="0" w:space="0" w:color="auto"/>
        <w:right w:val="none" w:sz="0" w:space="0" w:color="auto"/>
      </w:divBdr>
    </w:div>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059595197">
      <w:bodyDiv w:val="1"/>
      <w:marLeft w:val="0"/>
      <w:marRight w:val="0"/>
      <w:marTop w:val="0"/>
      <w:marBottom w:val="0"/>
      <w:divBdr>
        <w:top w:val="none" w:sz="0" w:space="0" w:color="auto"/>
        <w:left w:val="none" w:sz="0" w:space="0" w:color="auto"/>
        <w:bottom w:val="none" w:sz="0" w:space="0" w:color="auto"/>
        <w:right w:val="none" w:sz="0" w:space="0" w:color="auto"/>
      </w:divBdr>
    </w:div>
    <w:div w:id="1433547196">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680349289">
      <w:bodyDiv w:val="1"/>
      <w:marLeft w:val="0"/>
      <w:marRight w:val="0"/>
      <w:marTop w:val="0"/>
      <w:marBottom w:val="0"/>
      <w:divBdr>
        <w:top w:val="none" w:sz="0" w:space="0" w:color="auto"/>
        <w:left w:val="none" w:sz="0" w:space="0" w:color="auto"/>
        <w:bottom w:val="none" w:sz="0" w:space="0" w:color="auto"/>
        <w:right w:val="none" w:sz="0" w:space="0" w:color="auto"/>
      </w:divBdr>
    </w:div>
    <w:div w:id="1703432105">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doi.org/10.1002/nop2.1902" TargetMode="External"/><Relationship Id="rId26" Type="http://schemas.openxmlformats.org/officeDocument/2006/relationships/image" Target="media/image8.png"/><Relationship Id="rId21" Type="http://schemas.openxmlformats.org/officeDocument/2006/relationships/hyperlink" Target="https://wileymicrositebuilder.com/trends/wp-content/uploads/sites/28/2016/08/A-review-of-the-efficacy-and-tolerability-of-antipsychotic-long-acting-injections.pdf"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oxfordhealthformulary.nhs.uk/docs/Guidance%20on%20the%20administration%20of%20intra-muscular%20injections%20in%20Inpatient%20Settings%20V2%20FINAL%2002.24.pdf?UID=7905418132024112182026" TargetMode="External"/><Relationship Id="rId25" Type="http://schemas.openxmlformats.org/officeDocument/2006/relationships/image" Target="media/image7.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health.gov.au/sites/default/files/2022-11/guiding-principles-for-medication-management-in-the-community.pdf" TargetMode="External"/><Relationship Id="rId20" Type="http://schemas.openxmlformats.org/officeDocument/2006/relationships/hyperlink" Target="https://www.hpft.nhs.uk/media/6180/guidance-on-im-administration-of-oil-based-depots-and-other-long-acting-antipsychotic-injections-7th-edition.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du.cdhb.health.nz/Hospitals-Services/Health-Professionals/CDHB-Policies/Fluid-Medication-Manual/Documents/Intramuscular-injections-policy.pdf" TargetMode="Externa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seslhd.health.nsw.gov.au/sites/default/files/documents/SESLHDGL%20076%20-%20Intramuscular%20Injection%20in%20Mental%20Health.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sahealth.sa.gov.au/wps/wcm/connect/e185e690-bc60-402f-b264-5ed189fd0390/Long+Acting+Intramuscular+Injections+Brochure+%281%29.pdf?MOD=AJPERES&amp;amp;CACHEID=ROOTWORKSPACE-e185e690-bc60-402f-b264-5ed189fd0390-oBUSWkM" TargetMode="External"/><Relationship Id="rId27" Type="http://schemas.openxmlformats.org/officeDocument/2006/relationships/hyperlink" Target="https://www.canberrahealthservices.act.gov.au/accessibility"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0.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3.png"/><Relationship Id="rId5" Type="http://schemas.openxmlformats.org/officeDocument/2006/relationships/image" Target="../media/image12.png"/><Relationship Id="rId10" Type="http://schemas.openxmlformats.org/officeDocument/2006/relationships/fontTable" Target="fontTable.xml"/><Relationship Id="rId4" Type="http://schemas.openxmlformats.org/officeDocument/2006/relationships/image" Target="../media/image11.png"/><Relationship Id="rId9" Type="http://schemas.openxmlformats.org/officeDocument/2006/relationships/image" Target="../media/image15.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B919897A98454CA2FB4C6F4AB84D83"/>
        <w:category>
          <w:name w:val="General"/>
          <w:gallery w:val="placeholder"/>
        </w:category>
        <w:types>
          <w:type w:val="bbPlcHdr"/>
        </w:types>
        <w:behaviors>
          <w:behavior w:val="content"/>
        </w:behaviors>
        <w:guid w:val="{C7B48C0E-CE0B-4162-8E76-8AADB11F0B04}"/>
      </w:docPartPr>
      <w:docPartBody>
        <w:p w:rsidR="0037276C" w:rsidRDefault="0037276C">
          <w:pPr>
            <w:pStyle w:val="AAB919897A98454CA2FB4C6F4AB84D83"/>
          </w:pPr>
          <w:r w:rsidRPr="00EE29F8">
            <w:rPr>
              <w:rStyle w:val="PlaceholderText"/>
            </w:rPr>
            <w:t>Choose an item.</w:t>
          </w:r>
        </w:p>
      </w:docPartBody>
    </w:docPart>
    <w:docPart>
      <w:docPartPr>
        <w:name w:val="7C157FDB00964D499CEBB744B3C5902D"/>
        <w:category>
          <w:name w:val="General"/>
          <w:gallery w:val="placeholder"/>
        </w:category>
        <w:types>
          <w:type w:val="bbPlcHdr"/>
        </w:types>
        <w:behaviors>
          <w:behavior w:val="content"/>
        </w:behaviors>
        <w:guid w:val="{FB2F68E4-1B5A-4E31-B7A1-81C17EF47CA5}"/>
      </w:docPartPr>
      <w:docPartBody>
        <w:p w:rsidR="00814143" w:rsidRDefault="0037276C">
          <w:pPr>
            <w:pStyle w:val="7C157FDB00964D499CEBB744B3C5902D"/>
          </w:pPr>
          <w:r>
            <w:rPr>
              <w:noProof/>
              <w:sz w:val="20"/>
              <w:szCs w:val="20"/>
            </w:rPr>
            <w:drawing>
              <wp:inline distT="0" distB="0" distL="0" distR="0" wp14:anchorId="31DF7051" wp14:editId="31DF7052">
                <wp:extent cx="282575" cy="285750"/>
                <wp:effectExtent l="0" t="0" r="3175" b="0"/>
                <wp:docPr id="1681231865"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F603D6E575F14C9D90EA7D42CB8B52FA"/>
        <w:category>
          <w:name w:val="General"/>
          <w:gallery w:val="placeholder"/>
        </w:category>
        <w:types>
          <w:type w:val="bbPlcHdr"/>
        </w:types>
        <w:behaviors>
          <w:behavior w:val="content"/>
        </w:behaviors>
        <w:guid w:val="{835D73D9-C52B-4948-9449-317EBB959162}"/>
      </w:docPartPr>
      <w:docPartBody>
        <w:p w:rsidR="0037276C" w:rsidRPr="00F26C97" w:rsidRDefault="0037276C" w:rsidP="003B0E72">
          <w:pPr>
            <w:pStyle w:val="Bottomblocktext"/>
            <w:rPr>
              <w:b/>
              <w:bCs w:val="0"/>
              <w:sz w:val="20"/>
              <w:szCs w:val="20"/>
            </w:rPr>
          </w:pPr>
          <w:r>
            <w:rPr>
              <w:b/>
              <w:bCs w:val="0"/>
              <w:noProof/>
              <w:sz w:val="20"/>
              <w:szCs w:val="20"/>
            </w:rPr>
            <w:drawing>
              <wp:inline distT="0" distB="0" distL="0" distR="0" wp14:anchorId="31DF7053" wp14:editId="31DF7054">
                <wp:extent cx="338275" cy="331065"/>
                <wp:effectExtent l="0" t="0" r="5080" b="0"/>
                <wp:docPr id="259499573"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1DF7055" wp14:editId="31DF7056">
                <wp:extent cx="143919" cy="139700"/>
                <wp:effectExtent l="0" t="0" r="8890" b="0"/>
                <wp:docPr id="1820457039"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37276C" w:rsidRPr="00F26C97" w:rsidRDefault="0037276C" w:rsidP="003B0E72">
          <w:pPr>
            <w:pStyle w:val="Bottomblocktext"/>
            <w:rPr>
              <w:b/>
              <w:bCs w:val="0"/>
              <w:sz w:val="20"/>
              <w:szCs w:val="20"/>
            </w:rPr>
          </w:pPr>
          <w:r>
            <w:rPr>
              <w:b/>
              <w:bCs w:val="0"/>
              <w:noProof/>
              <w:sz w:val="20"/>
              <w:szCs w:val="20"/>
            </w:rPr>
            <w:drawing>
              <wp:inline distT="0" distB="0" distL="0" distR="0" wp14:anchorId="31DF7057" wp14:editId="31DF7058">
                <wp:extent cx="326104" cy="323850"/>
                <wp:effectExtent l="0" t="0" r="0" b="0"/>
                <wp:docPr id="189512011"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31DF7059" wp14:editId="31DF705A">
                <wp:extent cx="143919" cy="139700"/>
                <wp:effectExtent l="0" t="0" r="8890" b="0"/>
                <wp:docPr id="1706180053"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37276C" w:rsidRDefault="0037276C" w:rsidP="003B0E72">
          <w:pPr>
            <w:pStyle w:val="Bottomblocktext"/>
            <w:rPr>
              <w:sz w:val="20"/>
              <w:szCs w:val="20"/>
            </w:rPr>
          </w:pPr>
          <w:hyperlink r:id="rId8" w:history="1">
            <w:r w:rsidRPr="00350211">
              <w:rPr>
                <w:rStyle w:val="Hyperlink"/>
                <w:sz w:val="20"/>
                <w:szCs w:val="20"/>
              </w:rPr>
              <w:t>canberrahealthservices.act.gov.au/accessibility</w:t>
            </w:r>
          </w:hyperlink>
        </w:p>
        <w:p w:rsidR="00814143" w:rsidRDefault="0037276C">
          <w:pPr>
            <w:pStyle w:val="F603D6E575F14C9D90EA7D42CB8B52FA"/>
          </w:pPr>
          <w:r>
            <w:rPr>
              <w:b/>
              <w:bCs/>
              <w:noProof/>
            </w:rPr>
            <w:drawing>
              <wp:inline distT="0" distB="0" distL="0" distR="0" wp14:anchorId="31DF705B" wp14:editId="31DF705C">
                <wp:extent cx="1323833" cy="309418"/>
                <wp:effectExtent l="0" t="0" r="0" b="0"/>
                <wp:docPr id="697381525"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76C"/>
    <w:rsid w:val="00014FAF"/>
    <w:rsid w:val="0005207E"/>
    <w:rsid w:val="0006067D"/>
    <w:rsid w:val="00102E99"/>
    <w:rsid w:val="00104914"/>
    <w:rsid w:val="001F468D"/>
    <w:rsid w:val="00243138"/>
    <w:rsid w:val="0027736F"/>
    <w:rsid w:val="002C15E9"/>
    <w:rsid w:val="002F1569"/>
    <w:rsid w:val="003144CA"/>
    <w:rsid w:val="003217B0"/>
    <w:rsid w:val="003259F2"/>
    <w:rsid w:val="003501E1"/>
    <w:rsid w:val="0037276C"/>
    <w:rsid w:val="003B43A6"/>
    <w:rsid w:val="004523BD"/>
    <w:rsid w:val="00462121"/>
    <w:rsid w:val="004868BA"/>
    <w:rsid w:val="004A2A0B"/>
    <w:rsid w:val="004F2E9D"/>
    <w:rsid w:val="00523D69"/>
    <w:rsid w:val="00543B99"/>
    <w:rsid w:val="00577F91"/>
    <w:rsid w:val="00593C89"/>
    <w:rsid w:val="00612CF9"/>
    <w:rsid w:val="00650A4F"/>
    <w:rsid w:val="006B0016"/>
    <w:rsid w:val="00725432"/>
    <w:rsid w:val="007407D5"/>
    <w:rsid w:val="00762740"/>
    <w:rsid w:val="0077078B"/>
    <w:rsid w:val="007808B8"/>
    <w:rsid w:val="0078310C"/>
    <w:rsid w:val="00783FBF"/>
    <w:rsid w:val="007B1CDD"/>
    <w:rsid w:val="007E6637"/>
    <w:rsid w:val="00814143"/>
    <w:rsid w:val="008606F0"/>
    <w:rsid w:val="008B3BB0"/>
    <w:rsid w:val="008D3515"/>
    <w:rsid w:val="00957E42"/>
    <w:rsid w:val="00985B13"/>
    <w:rsid w:val="009B5A42"/>
    <w:rsid w:val="009D0B14"/>
    <w:rsid w:val="009F4D2A"/>
    <w:rsid w:val="00A552D0"/>
    <w:rsid w:val="00A60F3E"/>
    <w:rsid w:val="00AA1541"/>
    <w:rsid w:val="00AD11EF"/>
    <w:rsid w:val="00AE64A9"/>
    <w:rsid w:val="00B1228A"/>
    <w:rsid w:val="00B23317"/>
    <w:rsid w:val="00B42E46"/>
    <w:rsid w:val="00B610B4"/>
    <w:rsid w:val="00B6540B"/>
    <w:rsid w:val="00B8115B"/>
    <w:rsid w:val="00BB18E2"/>
    <w:rsid w:val="00C033A1"/>
    <w:rsid w:val="00C179FA"/>
    <w:rsid w:val="00C17C1D"/>
    <w:rsid w:val="00C573E8"/>
    <w:rsid w:val="00C639F1"/>
    <w:rsid w:val="00C81CAB"/>
    <w:rsid w:val="00C93CF8"/>
    <w:rsid w:val="00CB45AF"/>
    <w:rsid w:val="00CF512A"/>
    <w:rsid w:val="00D3567B"/>
    <w:rsid w:val="00D358E1"/>
    <w:rsid w:val="00D50BF2"/>
    <w:rsid w:val="00DE19FA"/>
    <w:rsid w:val="00DE482F"/>
    <w:rsid w:val="00E31F9D"/>
    <w:rsid w:val="00E62D91"/>
    <w:rsid w:val="00E90369"/>
    <w:rsid w:val="00EA6C8A"/>
    <w:rsid w:val="00EB65B4"/>
    <w:rsid w:val="00EC678C"/>
    <w:rsid w:val="00EF5FF5"/>
    <w:rsid w:val="00F0473B"/>
    <w:rsid w:val="00F167A4"/>
    <w:rsid w:val="00F22B02"/>
    <w:rsid w:val="00F25EB6"/>
    <w:rsid w:val="00F63679"/>
    <w:rsid w:val="00F824EA"/>
    <w:rsid w:val="00F82FD7"/>
    <w:rsid w:val="00FD0C9E"/>
    <w:rsid w:val="00FF49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AB919897A98454CA2FB4C6F4AB84D83">
    <w:name w:val="AAB919897A98454CA2FB4C6F4AB84D83"/>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7C157FDB00964D499CEBB744B3C5902D">
    <w:name w:val="7C157FDB00964D499CEBB744B3C5902D"/>
  </w:style>
  <w:style w:type="paragraph" w:customStyle="1" w:styleId="F603D6E575F14C9D90EA7D42CB8B52FA">
    <w:name w:val="F603D6E575F14C9D90EA7D42CB8B5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cc20e4309dcf866f1f0e1daa5566d8bd">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475eba9b6c5c876cd98587ca3b21c694"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berra Hospital - Integrated Operations Centre"/>
              <xsd:enumeration value="Canberra Hospital - Integrated Operations Centre - Emergency Management Coordination"/>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ancer and Ambulatory Support (CAS) - Integrated Care Program"/>
              <xsd:enumeration value="CEO"/>
              <xsd:enumeration value="CEO - Canberra Hospital Foundation"/>
              <xsd:enumeration value="CEO - Office of Research and Education (ORE)"/>
              <xsd:enumeration value="COO"/>
              <xsd:enumeration value="CHS ED Medical Services"/>
              <xsd:enumeration value="CHS ED Medical Services - Donate Life"/>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DRSM"/>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2025-10-21T13:00:00+00:00</Approval_x0020_Date>
    <Review_x0020_Date xmlns="690b2128-8961-48af-a473-22c34a9accba">2026-10-31T13:00:00+00:00</Review_x0020_Date>
    <TaxCatchAll xmlns="c0239a80-7f07-4ed7-82c3-24ad7d76ada5">
      <Value>432</Value>
      <Value>417</Value>
      <Value>416</Value>
      <Value>415</Value>
      <Value>418</Value>
    </TaxCatchAll>
    <Version_x0020_Number xmlns="690b2128-8961-48af-a473-22c34a9accba">1.2 </Version_x0020_Number>
    <Notes0 xmlns="690b2128-8961-48af-a473-22c34a9accba">2/10/2025 - conditionally endorsed.</Notes0>
    <Key_x0020_Words xmlns="690b2128-8961-48af-a473-22c34a9accba">Intramuscular injection, IMI, depot, long acting injectable, LAI, injection, antipsychotic, ventrogluteal, deltoid, dorsogluteal, ztrack. north</Key_x0020_Words>
    <Type_x0020_of_x0020_Document xmlns="690b2128-8961-48af-a473-22c34a9accba">Procedure</Type_x0020_of_x0020_Document>
    <Approval_x0020_Name_x007c_Committee xmlns="690b2128-8961-48af-a473-22c34a9accba">CHS 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 xsi:nil="true"/>
    <ISD_x0020_Submitted xmlns="690b2128-8961-48af-a473-22c34a9accba">Not Required</ISD_x0020_Submitted>
    <Risk_x0020_Rating xmlns="690b2128-8961-48af-a473-22c34a9accba">Low</Risk_x0020_Rating>
    <Description0 xmlns="690b2128-8961-48af-a473-22c34a9accba">The purpose of this procedure is to ensure consistent best practice for the administration of medications by IMI for MHJHADS, including NCH mental health services.</Description0>
    <Display_x0020_on_x0020_Internet xmlns="690b2128-8961-48af-a473-22c34a9accba">true</Display_x0020_on_x0020_Internet>
    <Related_x0020_Documents xmlns="690b2128-8961-48af-a473-22c34a9accba" xsi:nil="true"/>
    <Decision_x0020_Number xmlns="690b2128-8961-48af-a473-22c34a9accba">CHS25/344</Decision_x0020_Number>
    <RelatedPolicies_x002c_ProceduresGuidelines xmlns="690b2128-8961-48af-a473-22c34a9accba">
      <Value>17246</Value>
      <Value>17468</Value>
      <Value>17628</Value>
      <Value>16471</Value>
      <Value>17237</Value>
      <Value>16366</Value>
      <Value>17474</Value>
      <Value>17800</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Info xmlns="http://schemas.microsoft.com/office/infopath/2007/PartnerControls">
          <TermName xmlns="http://schemas.microsoft.com/office/infopath/2007/PartnerControls">Mental Health Act 2015 (Territory)</TermName>
          <TermId xmlns="http://schemas.microsoft.com/office/infopath/2007/PartnerControls">f8701ef3-747f-4928-a8d6-c930591714da</TermId>
        </TermInfo>
      </Terms>
    </k0794e393e1f41c2810d090eedba34a0>
    <New_x0020_Owner xmlns="690b2128-8961-48af-a473-22c34a9accba">Mental Health, Justice Health and Alcohol and Drug Services (MHJHADS)</New_x0020_Owner>
  </documentManagement>
</p:properties>
</file>

<file path=customXml/itemProps1.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2.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3.xml><?xml version="1.0" encoding="utf-8"?>
<ds:datastoreItem xmlns:ds="http://schemas.openxmlformats.org/officeDocument/2006/customXml" ds:itemID="{0175BC2B-2739-4B0B-9F9F-71787DA91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09EC7C-D7E3-4131-A0C5-369D0DA0CFBF}">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16</Pages>
  <Words>4025</Words>
  <Characters>22946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26918</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MHJHADS Intramuscular Medication Administration Procedure </dc:title>
  <dc:creator>Bunt, Emily</dc:creator>
  <cp:lastModifiedBy>Rusanov, Zoia</cp:lastModifiedBy>
  <cp:revision>12</cp:revision>
  <cp:lastPrinted>2017-05-22T07:29:00Z</cp:lastPrinted>
  <dcterms:created xsi:type="dcterms:W3CDTF">2025-10-01T22:57:00Z</dcterms:created>
  <dcterms:modified xsi:type="dcterms:W3CDTF">2025-12-22T00:28:00Z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(Territory)|a9c8282c-cc19-42a3-a6c3-de05b442298b;#418;#Mental Health Act 2015 (Territory)|f8701ef3-747f-4928-a8d6-c930591714da</vt:lpwstr>
  </property>
  <property fmtid="{D5CDD505-2E9C-101B-9397-08002B2CF9AE}" pid="11" name="Related_x0020_Legislation_x0020__x0026__x0020_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(Territory)|a9c8282c-cc19-42a3-a6c3-de05b442298b;#418;#Mental Health Act 2015 (Territory)|f8701ef3-747f-4928-a8d6-c930591714da</vt:lpwstr>
  </property>
</Properties>
</file>