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3865DA">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4D7238DE" w:rsidR="00EF02B0" w:rsidRPr="00931B93" w:rsidRDefault="00EF02B0" w:rsidP="003865DA">
      <w:pPr>
        <w:rPr>
          <w:rFonts w:cs="Arial"/>
          <w:b/>
          <w:i/>
          <w:sz w:val="28"/>
          <w:szCs w:val="44"/>
        </w:rPr>
      </w:pPr>
      <w:r w:rsidRPr="00EF02B0">
        <w:rPr>
          <w:rFonts w:cs="Arial"/>
          <w:b/>
          <w:sz w:val="44"/>
          <w:szCs w:val="44"/>
        </w:rPr>
        <w:t>Procedure</w:t>
      </w:r>
      <w:r w:rsidR="00931B93">
        <w:rPr>
          <w:rFonts w:cs="Arial"/>
          <w:b/>
          <w:sz w:val="44"/>
          <w:szCs w:val="44"/>
        </w:rPr>
        <w:t xml:space="preserve"> </w:t>
      </w:r>
    </w:p>
    <w:p w14:paraId="2F51A850" w14:textId="6063C14A" w:rsidR="007B6904" w:rsidRPr="00BF19E3" w:rsidRDefault="00A1768B" w:rsidP="003865DA">
      <w:pPr>
        <w:rPr>
          <w:rFonts w:cs="Arial"/>
          <w:b/>
          <w:sz w:val="36"/>
          <w:szCs w:val="36"/>
        </w:rPr>
      </w:pPr>
      <w:r>
        <w:rPr>
          <w:rFonts w:cs="Arial"/>
          <w:b/>
          <w:sz w:val="36"/>
          <w:szCs w:val="36"/>
        </w:rPr>
        <w:t>North Canberra Hospital (</w:t>
      </w:r>
      <w:r w:rsidR="00BF19E3">
        <w:rPr>
          <w:rFonts w:cs="Arial"/>
          <w:b/>
          <w:sz w:val="36"/>
          <w:szCs w:val="36"/>
        </w:rPr>
        <w:t>NCH</w:t>
      </w:r>
      <w:r>
        <w:rPr>
          <w:rFonts w:cs="Arial"/>
          <w:b/>
          <w:sz w:val="36"/>
          <w:szCs w:val="36"/>
        </w:rPr>
        <w:t>)</w:t>
      </w:r>
      <w:r w:rsidR="00BF19E3">
        <w:rPr>
          <w:rFonts w:cs="Arial"/>
          <w:b/>
          <w:sz w:val="36"/>
          <w:szCs w:val="36"/>
        </w:rPr>
        <w:t xml:space="preserve"> – </w:t>
      </w:r>
      <w:r w:rsidR="00C42591" w:rsidRPr="00C42591">
        <w:rPr>
          <w:rFonts w:cs="Arial"/>
          <w:b/>
          <w:sz w:val="36"/>
          <w:szCs w:val="36"/>
        </w:rPr>
        <w:t>Prescribing Electrolyte Replacement (Adults)</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3865DA">
            <w:pPr>
              <w:pStyle w:val="Heading1"/>
            </w:pPr>
            <w:bookmarkStart w:id="5" w:name="_Toc389473273"/>
            <w:bookmarkStart w:id="6" w:name="Contents"/>
            <w:bookmarkStart w:id="7" w:name="_Toc159225880"/>
            <w:r w:rsidRPr="00CD1C0E">
              <w:t>Contents</w:t>
            </w:r>
            <w:bookmarkEnd w:id="5"/>
            <w:bookmarkEnd w:id="6"/>
            <w:bookmarkEnd w:id="7"/>
          </w:p>
        </w:tc>
      </w:tr>
    </w:tbl>
    <w:p w14:paraId="2F51A853" w14:textId="77777777" w:rsidR="007B6904" w:rsidRDefault="007B6904" w:rsidP="003865DA"/>
    <w:p w14:paraId="6AA92A8F" w14:textId="3898D998" w:rsidR="00061D7A" w:rsidRDefault="007B7628">
      <w:pPr>
        <w:pStyle w:val="TOC1"/>
        <w:rPr>
          <w:rFonts w:eastAsiaTheme="minorEastAsia" w:cstheme="minorBidi"/>
          <w:noProof/>
          <w:kern w:val="2"/>
          <w:sz w:val="22"/>
          <w:szCs w:val="22"/>
          <w:lang w:eastAsia="en-AU"/>
          <w14:ligatures w14:val="standardContextual"/>
        </w:rPr>
      </w:pPr>
      <w:r>
        <w:fldChar w:fldCharType="begin"/>
      </w:r>
      <w:r w:rsidR="007052B1">
        <w:instrText xml:space="preserve"> TOC \h \z \t "Heading 1,1" </w:instrText>
      </w:r>
      <w:r>
        <w:fldChar w:fldCharType="separate"/>
      </w:r>
      <w:hyperlink w:anchor="_Toc159225880" w:history="1">
        <w:r w:rsidR="00061D7A" w:rsidRPr="004C2D53">
          <w:rPr>
            <w:rStyle w:val="Hyperlink"/>
            <w:noProof/>
          </w:rPr>
          <w:t>Contents</w:t>
        </w:r>
        <w:r w:rsidR="00061D7A">
          <w:rPr>
            <w:noProof/>
            <w:webHidden/>
          </w:rPr>
          <w:tab/>
        </w:r>
        <w:r w:rsidR="00061D7A">
          <w:rPr>
            <w:noProof/>
            <w:webHidden/>
          </w:rPr>
          <w:fldChar w:fldCharType="begin"/>
        </w:r>
        <w:r w:rsidR="00061D7A">
          <w:rPr>
            <w:noProof/>
            <w:webHidden/>
          </w:rPr>
          <w:instrText xml:space="preserve"> PAGEREF _Toc159225880 \h </w:instrText>
        </w:r>
        <w:r w:rsidR="00061D7A">
          <w:rPr>
            <w:noProof/>
            <w:webHidden/>
          </w:rPr>
        </w:r>
        <w:r w:rsidR="00061D7A">
          <w:rPr>
            <w:noProof/>
            <w:webHidden/>
          </w:rPr>
          <w:fldChar w:fldCharType="separate"/>
        </w:r>
        <w:r w:rsidR="00061D7A">
          <w:rPr>
            <w:noProof/>
            <w:webHidden/>
          </w:rPr>
          <w:t>1</w:t>
        </w:r>
        <w:r w:rsidR="00061D7A">
          <w:rPr>
            <w:noProof/>
            <w:webHidden/>
          </w:rPr>
          <w:fldChar w:fldCharType="end"/>
        </w:r>
      </w:hyperlink>
    </w:p>
    <w:p w14:paraId="76D2AA14" w14:textId="49EDC740" w:rsidR="00061D7A" w:rsidRDefault="00A1768B">
      <w:pPr>
        <w:pStyle w:val="TOC1"/>
        <w:rPr>
          <w:rFonts w:eastAsiaTheme="minorEastAsia" w:cstheme="minorBidi"/>
          <w:noProof/>
          <w:kern w:val="2"/>
          <w:sz w:val="22"/>
          <w:szCs w:val="22"/>
          <w:lang w:eastAsia="en-AU"/>
          <w14:ligatures w14:val="standardContextual"/>
        </w:rPr>
      </w:pPr>
      <w:hyperlink w:anchor="_Toc159225881" w:history="1">
        <w:r w:rsidR="00061D7A" w:rsidRPr="004C2D53">
          <w:rPr>
            <w:rStyle w:val="Hyperlink"/>
            <w:noProof/>
          </w:rPr>
          <w:t>Purpose</w:t>
        </w:r>
        <w:r w:rsidR="00061D7A">
          <w:rPr>
            <w:noProof/>
            <w:webHidden/>
          </w:rPr>
          <w:tab/>
        </w:r>
        <w:r w:rsidR="00061D7A">
          <w:rPr>
            <w:noProof/>
            <w:webHidden/>
          </w:rPr>
          <w:fldChar w:fldCharType="begin"/>
        </w:r>
        <w:r w:rsidR="00061D7A">
          <w:rPr>
            <w:noProof/>
            <w:webHidden/>
          </w:rPr>
          <w:instrText xml:space="preserve"> PAGEREF _Toc159225881 \h </w:instrText>
        </w:r>
        <w:r w:rsidR="00061D7A">
          <w:rPr>
            <w:noProof/>
            <w:webHidden/>
          </w:rPr>
        </w:r>
        <w:r w:rsidR="00061D7A">
          <w:rPr>
            <w:noProof/>
            <w:webHidden/>
          </w:rPr>
          <w:fldChar w:fldCharType="separate"/>
        </w:r>
        <w:r w:rsidR="00061D7A">
          <w:rPr>
            <w:noProof/>
            <w:webHidden/>
          </w:rPr>
          <w:t>2</w:t>
        </w:r>
        <w:r w:rsidR="00061D7A">
          <w:rPr>
            <w:noProof/>
            <w:webHidden/>
          </w:rPr>
          <w:fldChar w:fldCharType="end"/>
        </w:r>
      </w:hyperlink>
    </w:p>
    <w:p w14:paraId="0AD3C452" w14:textId="279CBCEF" w:rsidR="00061D7A" w:rsidRDefault="00A1768B">
      <w:pPr>
        <w:pStyle w:val="TOC1"/>
        <w:rPr>
          <w:rFonts w:eastAsiaTheme="minorEastAsia" w:cstheme="minorBidi"/>
          <w:noProof/>
          <w:kern w:val="2"/>
          <w:sz w:val="22"/>
          <w:szCs w:val="22"/>
          <w:lang w:eastAsia="en-AU"/>
          <w14:ligatures w14:val="standardContextual"/>
        </w:rPr>
      </w:pPr>
      <w:hyperlink w:anchor="_Toc159225882" w:history="1">
        <w:r w:rsidR="00061D7A" w:rsidRPr="004C2D53">
          <w:rPr>
            <w:rStyle w:val="Hyperlink"/>
            <w:noProof/>
          </w:rPr>
          <w:t>Alerts</w:t>
        </w:r>
        <w:r w:rsidR="00061D7A">
          <w:rPr>
            <w:noProof/>
            <w:webHidden/>
          </w:rPr>
          <w:tab/>
        </w:r>
        <w:r w:rsidR="00061D7A">
          <w:rPr>
            <w:noProof/>
            <w:webHidden/>
          </w:rPr>
          <w:fldChar w:fldCharType="begin"/>
        </w:r>
        <w:r w:rsidR="00061D7A">
          <w:rPr>
            <w:noProof/>
            <w:webHidden/>
          </w:rPr>
          <w:instrText xml:space="preserve"> PAGEREF _Toc159225882 \h </w:instrText>
        </w:r>
        <w:r w:rsidR="00061D7A">
          <w:rPr>
            <w:noProof/>
            <w:webHidden/>
          </w:rPr>
        </w:r>
        <w:r w:rsidR="00061D7A">
          <w:rPr>
            <w:noProof/>
            <w:webHidden/>
          </w:rPr>
          <w:fldChar w:fldCharType="separate"/>
        </w:r>
        <w:r w:rsidR="00061D7A">
          <w:rPr>
            <w:noProof/>
            <w:webHidden/>
          </w:rPr>
          <w:t>2</w:t>
        </w:r>
        <w:r w:rsidR="00061D7A">
          <w:rPr>
            <w:noProof/>
            <w:webHidden/>
          </w:rPr>
          <w:fldChar w:fldCharType="end"/>
        </w:r>
      </w:hyperlink>
    </w:p>
    <w:p w14:paraId="791F256C" w14:textId="54294049" w:rsidR="00061D7A" w:rsidRDefault="00A1768B">
      <w:pPr>
        <w:pStyle w:val="TOC1"/>
        <w:rPr>
          <w:rFonts w:eastAsiaTheme="minorEastAsia" w:cstheme="minorBidi"/>
          <w:noProof/>
          <w:kern w:val="2"/>
          <w:sz w:val="22"/>
          <w:szCs w:val="22"/>
          <w:lang w:eastAsia="en-AU"/>
          <w14:ligatures w14:val="standardContextual"/>
        </w:rPr>
      </w:pPr>
      <w:hyperlink w:anchor="_Toc159225883" w:history="1">
        <w:r w:rsidR="00061D7A" w:rsidRPr="004C2D53">
          <w:rPr>
            <w:rStyle w:val="Hyperlink"/>
            <w:noProof/>
          </w:rPr>
          <w:t>Scope</w:t>
        </w:r>
        <w:r w:rsidR="00061D7A">
          <w:rPr>
            <w:noProof/>
            <w:webHidden/>
          </w:rPr>
          <w:tab/>
        </w:r>
        <w:r w:rsidR="00061D7A">
          <w:rPr>
            <w:noProof/>
            <w:webHidden/>
          </w:rPr>
          <w:fldChar w:fldCharType="begin"/>
        </w:r>
        <w:r w:rsidR="00061D7A">
          <w:rPr>
            <w:noProof/>
            <w:webHidden/>
          </w:rPr>
          <w:instrText xml:space="preserve"> PAGEREF _Toc159225883 \h </w:instrText>
        </w:r>
        <w:r w:rsidR="00061D7A">
          <w:rPr>
            <w:noProof/>
            <w:webHidden/>
          </w:rPr>
        </w:r>
        <w:r w:rsidR="00061D7A">
          <w:rPr>
            <w:noProof/>
            <w:webHidden/>
          </w:rPr>
          <w:fldChar w:fldCharType="separate"/>
        </w:r>
        <w:r w:rsidR="00061D7A">
          <w:rPr>
            <w:noProof/>
            <w:webHidden/>
          </w:rPr>
          <w:t>2</w:t>
        </w:r>
        <w:r w:rsidR="00061D7A">
          <w:rPr>
            <w:noProof/>
            <w:webHidden/>
          </w:rPr>
          <w:fldChar w:fldCharType="end"/>
        </w:r>
      </w:hyperlink>
    </w:p>
    <w:p w14:paraId="3AEBA3CF" w14:textId="7D9B03D3" w:rsidR="00061D7A" w:rsidRDefault="00A1768B">
      <w:pPr>
        <w:pStyle w:val="TOC1"/>
        <w:rPr>
          <w:rFonts w:eastAsiaTheme="minorEastAsia" w:cstheme="minorBidi"/>
          <w:noProof/>
          <w:kern w:val="2"/>
          <w:sz w:val="22"/>
          <w:szCs w:val="22"/>
          <w:lang w:eastAsia="en-AU"/>
          <w14:ligatures w14:val="standardContextual"/>
        </w:rPr>
      </w:pPr>
      <w:hyperlink w:anchor="_Toc159225884" w:history="1">
        <w:r w:rsidR="00061D7A" w:rsidRPr="004C2D53">
          <w:rPr>
            <w:rStyle w:val="Hyperlink"/>
            <w:noProof/>
          </w:rPr>
          <w:t>Section 1 –  Potassium</w:t>
        </w:r>
        <w:r w:rsidR="00061D7A">
          <w:rPr>
            <w:noProof/>
            <w:webHidden/>
          </w:rPr>
          <w:tab/>
        </w:r>
        <w:r w:rsidR="00061D7A">
          <w:rPr>
            <w:noProof/>
            <w:webHidden/>
          </w:rPr>
          <w:fldChar w:fldCharType="begin"/>
        </w:r>
        <w:r w:rsidR="00061D7A">
          <w:rPr>
            <w:noProof/>
            <w:webHidden/>
          </w:rPr>
          <w:instrText xml:space="preserve"> PAGEREF _Toc159225884 \h </w:instrText>
        </w:r>
        <w:r w:rsidR="00061D7A">
          <w:rPr>
            <w:noProof/>
            <w:webHidden/>
          </w:rPr>
        </w:r>
        <w:r w:rsidR="00061D7A">
          <w:rPr>
            <w:noProof/>
            <w:webHidden/>
          </w:rPr>
          <w:fldChar w:fldCharType="separate"/>
        </w:r>
        <w:r w:rsidR="00061D7A">
          <w:rPr>
            <w:noProof/>
            <w:webHidden/>
          </w:rPr>
          <w:t>3</w:t>
        </w:r>
        <w:r w:rsidR="00061D7A">
          <w:rPr>
            <w:noProof/>
            <w:webHidden/>
          </w:rPr>
          <w:fldChar w:fldCharType="end"/>
        </w:r>
      </w:hyperlink>
    </w:p>
    <w:p w14:paraId="7CF81489" w14:textId="498EB31C" w:rsidR="00061D7A" w:rsidRDefault="00A1768B">
      <w:pPr>
        <w:pStyle w:val="TOC1"/>
        <w:rPr>
          <w:rFonts w:eastAsiaTheme="minorEastAsia" w:cstheme="minorBidi"/>
          <w:noProof/>
          <w:kern w:val="2"/>
          <w:sz w:val="22"/>
          <w:szCs w:val="22"/>
          <w:lang w:eastAsia="en-AU"/>
          <w14:ligatures w14:val="standardContextual"/>
        </w:rPr>
      </w:pPr>
      <w:hyperlink w:anchor="_Toc159225885" w:history="1">
        <w:r w:rsidR="00061D7A" w:rsidRPr="004C2D53">
          <w:rPr>
            <w:rStyle w:val="Hyperlink"/>
            <w:noProof/>
          </w:rPr>
          <w:t>Section 2 – Sodium</w:t>
        </w:r>
        <w:r w:rsidR="00061D7A">
          <w:rPr>
            <w:noProof/>
            <w:webHidden/>
          </w:rPr>
          <w:tab/>
        </w:r>
        <w:r w:rsidR="00061D7A">
          <w:rPr>
            <w:noProof/>
            <w:webHidden/>
          </w:rPr>
          <w:fldChar w:fldCharType="begin"/>
        </w:r>
        <w:r w:rsidR="00061D7A">
          <w:rPr>
            <w:noProof/>
            <w:webHidden/>
          </w:rPr>
          <w:instrText xml:space="preserve"> PAGEREF _Toc159225885 \h </w:instrText>
        </w:r>
        <w:r w:rsidR="00061D7A">
          <w:rPr>
            <w:noProof/>
            <w:webHidden/>
          </w:rPr>
        </w:r>
        <w:r w:rsidR="00061D7A">
          <w:rPr>
            <w:noProof/>
            <w:webHidden/>
          </w:rPr>
          <w:fldChar w:fldCharType="separate"/>
        </w:r>
        <w:r w:rsidR="00061D7A">
          <w:rPr>
            <w:noProof/>
            <w:webHidden/>
          </w:rPr>
          <w:t>4</w:t>
        </w:r>
        <w:r w:rsidR="00061D7A">
          <w:rPr>
            <w:noProof/>
            <w:webHidden/>
          </w:rPr>
          <w:fldChar w:fldCharType="end"/>
        </w:r>
      </w:hyperlink>
    </w:p>
    <w:p w14:paraId="5438D1E4" w14:textId="470384F5" w:rsidR="00061D7A" w:rsidRDefault="00A1768B">
      <w:pPr>
        <w:pStyle w:val="TOC1"/>
        <w:rPr>
          <w:rFonts w:eastAsiaTheme="minorEastAsia" w:cstheme="minorBidi"/>
          <w:noProof/>
          <w:kern w:val="2"/>
          <w:sz w:val="22"/>
          <w:szCs w:val="22"/>
          <w:lang w:eastAsia="en-AU"/>
          <w14:ligatures w14:val="standardContextual"/>
        </w:rPr>
      </w:pPr>
      <w:hyperlink w:anchor="_Toc159225886" w:history="1">
        <w:r w:rsidR="00061D7A" w:rsidRPr="004C2D53">
          <w:rPr>
            <w:rStyle w:val="Hyperlink"/>
            <w:noProof/>
          </w:rPr>
          <w:t>Section 3 – Phosphate</w:t>
        </w:r>
        <w:r w:rsidR="00061D7A">
          <w:rPr>
            <w:noProof/>
            <w:webHidden/>
          </w:rPr>
          <w:tab/>
        </w:r>
        <w:r w:rsidR="00061D7A">
          <w:rPr>
            <w:noProof/>
            <w:webHidden/>
          </w:rPr>
          <w:fldChar w:fldCharType="begin"/>
        </w:r>
        <w:r w:rsidR="00061D7A">
          <w:rPr>
            <w:noProof/>
            <w:webHidden/>
          </w:rPr>
          <w:instrText xml:space="preserve"> PAGEREF _Toc159225886 \h </w:instrText>
        </w:r>
        <w:r w:rsidR="00061D7A">
          <w:rPr>
            <w:noProof/>
            <w:webHidden/>
          </w:rPr>
        </w:r>
        <w:r w:rsidR="00061D7A">
          <w:rPr>
            <w:noProof/>
            <w:webHidden/>
          </w:rPr>
          <w:fldChar w:fldCharType="separate"/>
        </w:r>
        <w:r w:rsidR="00061D7A">
          <w:rPr>
            <w:noProof/>
            <w:webHidden/>
          </w:rPr>
          <w:t>6</w:t>
        </w:r>
        <w:r w:rsidR="00061D7A">
          <w:rPr>
            <w:noProof/>
            <w:webHidden/>
          </w:rPr>
          <w:fldChar w:fldCharType="end"/>
        </w:r>
      </w:hyperlink>
    </w:p>
    <w:p w14:paraId="22D8F710" w14:textId="047EC473" w:rsidR="00061D7A" w:rsidRDefault="00A1768B">
      <w:pPr>
        <w:pStyle w:val="TOC1"/>
        <w:rPr>
          <w:rFonts w:eastAsiaTheme="minorEastAsia" w:cstheme="minorBidi"/>
          <w:noProof/>
          <w:kern w:val="2"/>
          <w:sz w:val="22"/>
          <w:szCs w:val="22"/>
          <w:lang w:eastAsia="en-AU"/>
          <w14:ligatures w14:val="standardContextual"/>
        </w:rPr>
      </w:pPr>
      <w:hyperlink w:anchor="_Toc159225887" w:history="1">
        <w:r w:rsidR="00061D7A" w:rsidRPr="004C2D53">
          <w:rPr>
            <w:rStyle w:val="Hyperlink"/>
            <w:noProof/>
          </w:rPr>
          <w:t>Section 4 – Magnesium</w:t>
        </w:r>
        <w:r w:rsidR="00061D7A">
          <w:rPr>
            <w:noProof/>
            <w:webHidden/>
          </w:rPr>
          <w:tab/>
        </w:r>
        <w:r w:rsidR="00061D7A">
          <w:rPr>
            <w:noProof/>
            <w:webHidden/>
          </w:rPr>
          <w:fldChar w:fldCharType="begin"/>
        </w:r>
        <w:r w:rsidR="00061D7A">
          <w:rPr>
            <w:noProof/>
            <w:webHidden/>
          </w:rPr>
          <w:instrText xml:space="preserve"> PAGEREF _Toc159225887 \h </w:instrText>
        </w:r>
        <w:r w:rsidR="00061D7A">
          <w:rPr>
            <w:noProof/>
            <w:webHidden/>
          </w:rPr>
        </w:r>
        <w:r w:rsidR="00061D7A">
          <w:rPr>
            <w:noProof/>
            <w:webHidden/>
          </w:rPr>
          <w:fldChar w:fldCharType="separate"/>
        </w:r>
        <w:r w:rsidR="00061D7A">
          <w:rPr>
            <w:noProof/>
            <w:webHidden/>
          </w:rPr>
          <w:t>7</w:t>
        </w:r>
        <w:r w:rsidR="00061D7A">
          <w:rPr>
            <w:noProof/>
            <w:webHidden/>
          </w:rPr>
          <w:fldChar w:fldCharType="end"/>
        </w:r>
      </w:hyperlink>
    </w:p>
    <w:p w14:paraId="788AF57A" w14:textId="6917C4B4" w:rsidR="00061D7A" w:rsidRDefault="00A1768B">
      <w:pPr>
        <w:pStyle w:val="TOC1"/>
        <w:rPr>
          <w:rFonts w:eastAsiaTheme="minorEastAsia" w:cstheme="minorBidi"/>
          <w:noProof/>
          <w:kern w:val="2"/>
          <w:sz w:val="22"/>
          <w:szCs w:val="22"/>
          <w:lang w:eastAsia="en-AU"/>
          <w14:ligatures w14:val="standardContextual"/>
        </w:rPr>
      </w:pPr>
      <w:hyperlink w:anchor="_Toc159225888" w:history="1">
        <w:r w:rsidR="00061D7A" w:rsidRPr="004C2D53">
          <w:rPr>
            <w:rStyle w:val="Hyperlink"/>
            <w:noProof/>
          </w:rPr>
          <w:t>Section 5 – Calcium</w:t>
        </w:r>
        <w:r w:rsidR="00061D7A">
          <w:rPr>
            <w:noProof/>
            <w:webHidden/>
          </w:rPr>
          <w:tab/>
        </w:r>
        <w:r w:rsidR="00061D7A">
          <w:rPr>
            <w:noProof/>
            <w:webHidden/>
          </w:rPr>
          <w:fldChar w:fldCharType="begin"/>
        </w:r>
        <w:r w:rsidR="00061D7A">
          <w:rPr>
            <w:noProof/>
            <w:webHidden/>
          </w:rPr>
          <w:instrText xml:space="preserve"> PAGEREF _Toc159225888 \h </w:instrText>
        </w:r>
        <w:r w:rsidR="00061D7A">
          <w:rPr>
            <w:noProof/>
            <w:webHidden/>
          </w:rPr>
        </w:r>
        <w:r w:rsidR="00061D7A">
          <w:rPr>
            <w:noProof/>
            <w:webHidden/>
          </w:rPr>
          <w:fldChar w:fldCharType="separate"/>
        </w:r>
        <w:r w:rsidR="00061D7A">
          <w:rPr>
            <w:noProof/>
            <w:webHidden/>
          </w:rPr>
          <w:t>8</w:t>
        </w:r>
        <w:r w:rsidR="00061D7A">
          <w:rPr>
            <w:noProof/>
            <w:webHidden/>
          </w:rPr>
          <w:fldChar w:fldCharType="end"/>
        </w:r>
      </w:hyperlink>
    </w:p>
    <w:p w14:paraId="05F85344" w14:textId="72FA3426" w:rsidR="00061D7A" w:rsidRDefault="00A1768B">
      <w:pPr>
        <w:pStyle w:val="TOC1"/>
        <w:rPr>
          <w:rFonts w:eastAsiaTheme="minorEastAsia" w:cstheme="minorBidi"/>
          <w:noProof/>
          <w:kern w:val="2"/>
          <w:sz w:val="22"/>
          <w:szCs w:val="22"/>
          <w:lang w:eastAsia="en-AU"/>
          <w14:ligatures w14:val="standardContextual"/>
        </w:rPr>
      </w:pPr>
      <w:hyperlink w:anchor="_Toc159225889" w:history="1">
        <w:r w:rsidR="00061D7A" w:rsidRPr="004C2D53">
          <w:rPr>
            <w:rStyle w:val="Hyperlink"/>
            <w:noProof/>
          </w:rPr>
          <w:t>Related Policies, Procedures, Guidelines and Legislation</w:t>
        </w:r>
        <w:r w:rsidR="00061D7A">
          <w:rPr>
            <w:noProof/>
            <w:webHidden/>
          </w:rPr>
          <w:tab/>
        </w:r>
        <w:r w:rsidR="00061D7A">
          <w:rPr>
            <w:noProof/>
            <w:webHidden/>
          </w:rPr>
          <w:fldChar w:fldCharType="begin"/>
        </w:r>
        <w:r w:rsidR="00061D7A">
          <w:rPr>
            <w:noProof/>
            <w:webHidden/>
          </w:rPr>
          <w:instrText xml:space="preserve"> PAGEREF _Toc159225889 \h </w:instrText>
        </w:r>
        <w:r w:rsidR="00061D7A">
          <w:rPr>
            <w:noProof/>
            <w:webHidden/>
          </w:rPr>
        </w:r>
        <w:r w:rsidR="00061D7A">
          <w:rPr>
            <w:noProof/>
            <w:webHidden/>
          </w:rPr>
          <w:fldChar w:fldCharType="separate"/>
        </w:r>
        <w:r w:rsidR="00061D7A">
          <w:rPr>
            <w:noProof/>
            <w:webHidden/>
          </w:rPr>
          <w:t>10</w:t>
        </w:r>
        <w:r w:rsidR="00061D7A">
          <w:rPr>
            <w:noProof/>
            <w:webHidden/>
          </w:rPr>
          <w:fldChar w:fldCharType="end"/>
        </w:r>
      </w:hyperlink>
    </w:p>
    <w:p w14:paraId="229F1A9E" w14:textId="3899A815" w:rsidR="00061D7A" w:rsidRDefault="00A1768B">
      <w:pPr>
        <w:pStyle w:val="TOC1"/>
        <w:rPr>
          <w:rFonts w:eastAsiaTheme="minorEastAsia" w:cstheme="minorBidi"/>
          <w:noProof/>
          <w:kern w:val="2"/>
          <w:sz w:val="22"/>
          <w:szCs w:val="22"/>
          <w:lang w:eastAsia="en-AU"/>
          <w14:ligatures w14:val="standardContextual"/>
        </w:rPr>
      </w:pPr>
      <w:hyperlink w:anchor="_Toc159225890" w:history="1">
        <w:r w:rsidR="00061D7A" w:rsidRPr="004C2D53">
          <w:rPr>
            <w:rStyle w:val="Hyperlink"/>
            <w:noProof/>
          </w:rPr>
          <w:t>References</w:t>
        </w:r>
        <w:r w:rsidR="00061D7A">
          <w:rPr>
            <w:noProof/>
            <w:webHidden/>
          </w:rPr>
          <w:tab/>
        </w:r>
        <w:r w:rsidR="00061D7A">
          <w:rPr>
            <w:noProof/>
            <w:webHidden/>
          </w:rPr>
          <w:fldChar w:fldCharType="begin"/>
        </w:r>
        <w:r w:rsidR="00061D7A">
          <w:rPr>
            <w:noProof/>
            <w:webHidden/>
          </w:rPr>
          <w:instrText xml:space="preserve"> PAGEREF _Toc159225890 \h </w:instrText>
        </w:r>
        <w:r w:rsidR="00061D7A">
          <w:rPr>
            <w:noProof/>
            <w:webHidden/>
          </w:rPr>
        </w:r>
        <w:r w:rsidR="00061D7A">
          <w:rPr>
            <w:noProof/>
            <w:webHidden/>
          </w:rPr>
          <w:fldChar w:fldCharType="separate"/>
        </w:r>
        <w:r w:rsidR="00061D7A">
          <w:rPr>
            <w:noProof/>
            <w:webHidden/>
          </w:rPr>
          <w:t>11</w:t>
        </w:r>
        <w:r w:rsidR="00061D7A">
          <w:rPr>
            <w:noProof/>
            <w:webHidden/>
          </w:rPr>
          <w:fldChar w:fldCharType="end"/>
        </w:r>
      </w:hyperlink>
    </w:p>
    <w:p w14:paraId="4CCCDABE" w14:textId="4107B986" w:rsidR="00061D7A" w:rsidRDefault="00A1768B">
      <w:pPr>
        <w:pStyle w:val="TOC1"/>
        <w:rPr>
          <w:rFonts w:eastAsiaTheme="minorEastAsia" w:cstheme="minorBidi"/>
          <w:noProof/>
          <w:kern w:val="2"/>
          <w:sz w:val="22"/>
          <w:szCs w:val="22"/>
          <w:lang w:eastAsia="en-AU"/>
          <w14:ligatures w14:val="standardContextual"/>
        </w:rPr>
      </w:pPr>
      <w:hyperlink w:anchor="_Toc159225891" w:history="1">
        <w:r w:rsidR="00061D7A" w:rsidRPr="004C2D53">
          <w:rPr>
            <w:rStyle w:val="Hyperlink"/>
            <w:noProof/>
          </w:rPr>
          <w:t>Definition of Terms</w:t>
        </w:r>
        <w:r w:rsidR="00061D7A">
          <w:rPr>
            <w:noProof/>
            <w:webHidden/>
          </w:rPr>
          <w:tab/>
        </w:r>
        <w:r w:rsidR="00061D7A">
          <w:rPr>
            <w:noProof/>
            <w:webHidden/>
          </w:rPr>
          <w:fldChar w:fldCharType="begin"/>
        </w:r>
        <w:r w:rsidR="00061D7A">
          <w:rPr>
            <w:noProof/>
            <w:webHidden/>
          </w:rPr>
          <w:instrText xml:space="preserve"> PAGEREF _Toc159225891 \h </w:instrText>
        </w:r>
        <w:r w:rsidR="00061D7A">
          <w:rPr>
            <w:noProof/>
            <w:webHidden/>
          </w:rPr>
        </w:r>
        <w:r w:rsidR="00061D7A">
          <w:rPr>
            <w:noProof/>
            <w:webHidden/>
          </w:rPr>
          <w:fldChar w:fldCharType="separate"/>
        </w:r>
        <w:r w:rsidR="00061D7A">
          <w:rPr>
            <w:noProof/>
            <w:webHidden/>
          </w:rPr>
          <w:t>12</w:t>
        </w:r>
        <w:r w:rsidR="00061D7A">
          <w:rPr>
            <w:noProof/>
            <w:webHidden/>
          </w:rPr>
          <w:fldChar w:fldCharType="end"/>
        </w:r>
      </w:hyperlink>
    </w:p>
    <w:p w14:paraId="69F07F77" w14:textId="28447641" w:rsidR="00061D7A" w:rsidRDefault="00A1768B">
      <w:pPr>
        <w:pStyle w:val="TOC1"/>
        <w:rPr>
          <w:rFonts w:eastAsiaTheme="minorEastAsia" w:cstheme="minorBidi"/>
          <w:noProof/>
          <w:kern w:val="2"/>
          <w:sz w:val="22"/>
          <w:szCs w:val="22"/>
          <w:lang w:eastAsia="en-AU"/>
          <w14:ligatures w14:val="standardContextual"/>
        </w:rPr>
      </w:pPr>
      <w:hyperlink w:anchor="_Toc159225892" w:history="1">
        <w:r w:rsidR="00061D7A" w:rsidRPr="004C2D53">
          <w:rPr>
            <w:rStyle w:val="Hyperlink"/>
            <w:noProof/>
          </w:rPr>
          <w:t>Search Terms</w:t>
        </w:r>
        <w:r w:rsidR="00061D7A">
          <w:rPr>
            <w:noProof/>
            <w:webHidden/>
          </w:rPr>
          <w:tab/>
        </w:r>
        <w:r w:rsidR="00061D7A">
          <w:rPr>
            <w:noProof/>
            <w:webHidden/>
          </w:rPr>
          <w:fldChar w:fldCharType="begin"/>
        </w:r>
        <w:r w:rsidR="00061D7A">
          <w:rPr>
            <w:noProof/>
            <w:webHidden/>
          </w:rPr>
          <w:instrText xml:space="preserve"> PAGEREF _Toc159225892 \h </w:instrText>
        </w:r>
        <w:r w:rsidR="00061D7A">
          <w:rPr>
            <w:noProof/>
            <w:webHidden/>
          </w:rPr>
        </w:r>
        <w:r w:rsidR="00061D7A">
          <w:rPr>
            <w:noProof/>
            <w:webHidden/>
          </w:rPr>
          <w:fldChar w:fldCharType="separate"/>
        </w:r>
        <w:r w:rsidR="00061D7A">
          <w:rPr>
            <w:noProof/>
            <w:webHidden/>
          </w:rPr>
          <w:t>13</w:t>
        </w:r>
        <w:r w:rsidR="00061D7A">
          <w:rPr>
            <w:noProof/>
            <w:webHidden/>
          </w:rPr>
          <w:fldChar w:fldCharType="end"/>
        </w:r>
      </w:hyperlink>
    </w:p>
    <w:p w14:paraId="4A56ED45" w14:textId="27B074A9" w:rsidR="00061D7A" w:rsidRDefault="00A1768B">
      <w:pPr>
        <w:pStyle w:val="TOC1"/>
        <w:rPr>
          <w:rFonts w:eastAsiaTheme="minorEastAsia" w:cstheme="minorBidi"/>
          <w:noProof/>
          <w:kern w:val="2"/>
          <w:sz w:val="22"/>
          <w:szCs w:val="22"/>
          <w:lang w:eastAsia="en-AU"/>
          <w14:ligatures w14:val="standardContextual"/>
        </w:rPr>
      </w:pPr>
      <w:hyperlink w:anchor="_Toc159225893" w:history="1">
        <w:r w:rsidR="00061D7A" w:rsidRPr="004C2D53">
          <w:rPr>
            <w:rStyle w:val="Hyperlink"/>
            <w:noProof/>
          </w:rPr>
          <w:t>Attachment</w:t>
        </w:r>
        <w:r w:rsidR="00061D7A">
          <w:rPr>
            <w:noProof/>
            <w:webHidden/>
          </w:rPr>
          <w:tab/>
        </w:r>
        <w:r w:rsidR="00061D7A">
          <w:rPr>
            <w:noProof/>
            <w:webHidden/>
          </w:rPr>
          <w:fldChar w:fldCharType="begin"/>
        </w:r>
        <w:r w:rsidR="00061D7A">
          <w:rPr>
            <w:noProof/>
            <w:webHidden/>
          </w:rPr>
          <w:instrText xml:space="preserve"> PAGEREF _Toc159225893 \h </w:instrText>
        </w:r>
        <w:r w:rsidR="00061D7A">
          <w:rPr>
            <w:noProof/>
            <w:webHidden/>
          </w:rPr>
        </w:r>
        <w:r w:rsidR="00061D7A">
          <w:rPr>
            <w:noProof/>
            <w:webHidden/>
          </w:rPr>
          <w:fldChar w:fldCharType="separate"/>
        </w:r>
        <w:r w:rsidR="00061D7A">
          <w:rPr>
            <w:noProof/>
            <w:webHidden/>
          </w:rPr>
          <w:t>14</w:t>
        </w:r>
        <w:r w:rsidR="00061D7A">
          <w:rPr>
            <w:noProof/>
            <w:webHidden/>
          </w:rPr>
          <w:fldChar w:fldCharType="end"/>
        </w:r>
      </w:hyperlink>
    </w:p>
    <w:p w14:paraId="2F51A861" w14:textId="03D93F45" w:rsidR="007052B1" w:rsidRDefault="007B7628" w:rsidP="003865DA">
      <w:pPr>
        <w:rPr>
          <w:rFonts w:asciiTheme="minorHAnsi" w:hAnsiTheme="minorHAnsi"/>
        </w:rPr>
      </w:pPr>
      <w:r>
        <w:rPr>
          <w:rFonts w:asciiTheme="minorHAnsi" w:hAnsiTheme="minorHAnsi"/>
        </w:rPr>
        <w:fldChar w:fldCharType="end"/>
      </w:r>
    </w:p>
    <w:p w14:paraId="2F51A863" w14:textId="37784C24" w:rsidR="007B6904" w:rsidRPr="00061D7A" w:rsidRDefault="007052B1" w:rsidP="00061D7A">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3865DA">
            <w:pPr>
              <w:pStyle w:val="Heading1"/>
            </w:pPr>
            <w:bookmarkStart w:id="8" w:name="_Toc389473274"/>
            <w:bookmarkStart w:id="9" w:name="_Toc159225881"/>
            <w:r w:rsidRPr="00CD1C0E">
              <w:lastRenderedPageBreak/>
              <w:t>Purpose</w:t>
            </w:r>
            <w:bookmarkEnd w:id="8"/>
            <w:bookmarkEnd w:id="9"/>
          </w:p>
        </w:tc>
      </w:tr>
    </w:tbl>
    <w:p w14:paraId="2F51A866" w14:textId="77777777" w:rsidR="00931B93" w:rsidRDefault="00931B93" w:rsidP="003865DA">
      <w:pPr>
        <w:rPr>
          <w:rFonts w:cs="Arial"/>
          <w:i/>
          <w:szCs w:val="24"/>
        </w:rPr>
      </w:pPr>
    </w:p>
    <w:p w14:paraId="0859060A" w14:textId="3399A48D" w:rsidR="00BF19E3" w:rsidRDefault="00BF078E" w:rsidP="003865DA">
      <w:r w:rsidRPr="00BF19E3">
        <w:rPr>
          <w:iCs/>
        </w:rPr>
        <w:t xml:space="preserve">This procedure provides clinicians with best practice information for </w:t>
      </w:r>
      <w:r w:rsidR="00BF19E3" w:rsidRPr="00F13499">
        <w:t xml:space="preserve">electrolyte replacement in adult patients </w:t>
      </w:r>
      <w:r w:rsidR="00BF19E3">
        <w:t>at North Canberra Hospital (NCH).</w:t>
      </w:r>
    </w:p>
    <w:p w14:paraId="78DF8AE0" w14:textId="77777777" w:rsidR="009F5667" w:rsidRDefault="009F5667" w:rsidP="003865DA"/>
    <w:p w14:paraId="79A6A9A8" w14:textId="77777777" w:rsidR="009F5667" w:rsidRPr="000C44E8" w:rsidRDefault="009F5667" w:rsidP="003865DA">
      <w:r w:rsidRPr="00F13499">
        <w:t xml:space="preserve">This document aims to: </w:t>
      </w:r>
    </w:p>
    <w:p w14:paraId="09C77D1B" w14:textId="77777777" w:rsidR="009F5667" w:rsidRPr="000C44E8" w:rsidRDefault="009F5667" w:rsidP="00061D7A">
      <w:pPr>
        <w:pStyle w:val="ListParagraph"/>
        <w:numPr>
          <w:ilvl w:val="0"/>
          <w:numId w:val="4"/>
        </w:numPr>
        <w:autoSpaceDE w:val="0"/>
        <w:autoSpaceDN w:val="0"/>
        <w:adjustRightInd w:val="0"/>
        <w:spacing w:before="60" w:after="60"/>
        <w:contextualSpacing w:val="0"/>
      </w:pPr>
      <w:r w:rsidRPr="00F13499">
        <w:t xml:space="preserve">Give guidance to oral and intravenous electrolyte replacement for potassium, sodium, phosphate, magnesium and </w:t>
      </w:r>
      <w:proofErr w:type="gramStart"/>
      <w:r w:rsidRPr="00F13499">
        <w:t>calcium</w:t>
      </w:r>
      <w:proofErr w:type="gramEnd"/>
    </w:p>
    <w:p w14:paraId="716B18BF" w14:textId="46A7F704" w:rsidR="009F5667" w:rsidRDefault="009F5667" w:rsidP="00061D7A">
      <w:pPr>
        <w:pStyle w:val="ListParagraph"/>
        <w:numPr>
          <w:ilvl w:val="0"/>
          <w:numId w:val="4"/>
        </w:numPr>
        <w:autoSpaceDE w:val="0"/>
        <w:autoSpaceDN w:val="0"/>
        <w:adjustRightInd w:val="0"/>
        <w:spacing w:before="60" w:after="60"/>
        <w:contextualSpacing w:val="0"/>
      </w:pPr>
      <w:r w:rsidRPr="00F13499">
        <w:t xml:space="preserve">Describe the products that </w:t>
      </w:r>
      <w:r>
        <w:t xml:space="preserve">are </w:t>
      </w:r>
      <w:r w:rsidRPr="00F13499">
        <w:t xml:space="preserve">available across </w:t>
      </w:r>
      <w:r>
        <w:t>NCH</w:t>
      </w:r>
      <w:r w:rsidRPr="00F13499">
        <w:t xml:space="preserve"> and how to safely prescribe and administer </w:t>
      </w:r>
      <w:proofErr w:type="gramStart"/>
      <w:r w:rsidRPr="00F13499">
        <w:t>them</w:t>
      </w:r>
      <w:proofErr w:type="gramEnd"/>
    </w:p>
    <w:p w14:paraId="4BD65C7B" w14:textId="657609AF" w:rsidR="009F5667" w:rsidRPr="009F5667" w:rsidRDefault="009F5667" w:rsidP="00061D7A">
      <w:pPr>
        <w:pStyle w:val="ListParagraph"/>
        <w:numPr>
          <w:ilvl w:val="0"/>
          <w:numId w:val="4"/>
        </w:numPr>
        <w:autoSpaceDE w:val="0"/>
        <w:autoSpaceDN w:val="0"/>
        <w:adjustRightInd w:val="0"/>
        <w:spacing w:before="60" w:after="60"/>
        <w:contextualSpacing w:val="0"/>
      </w:pPr>
      <w:r>
        <w:t xml:space="preserve">To standardise </w:t>
      </w:r>
      <w:r w:rsidRPr="00F13499">
        <w:t>electrolyte prescribing and administration</w:t>
      </w:r>
      <w:r>
        <w:t>.</w:t>
      </w:r>
      <w:r w:rsidRPr="00F13499">
        <w:t xml:space="preserve">  </w:t>
      </w:r>
      <w:r w:rsidRPr="00F13499">
        <w:tab/>
      </w:r>
    </w:p>
    <w:p w14:paraId="2F51A86F" w14:textId="77777777" w:rsidR="007B6904" w:rsidRDefault="007B6904" w:rsidP="003865DA">
      <w:pPr>
        <w:rPr>
          <w:rFonts w:cs="Arial"/>
          <w:szCs w:val="24"/>
        </w:rPr>
      </w:pPr>
    </w:p>
    <w:p w14:paraId="2F51A870" w14:textId="77777777" w:rsidR="009E70F4" w:rsidRPr="00CD1C0E" w:rsidRDefault="00A1768B" w:rsidP="003510E5">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4223E" w:rsidRPr="00CD1C0E" w14:paraId="2F51A872" w14:textId="77777777" w:rsidTr="00B63A70">
        <w:trPr>
          <w:cantSplit/>
          <w:trHeight w:val="285"/>
        </w:trPr>
        <w:tc>
          <w:tcPr>
            <w:tcW w:w="9158" w:type="dxa"/>
            <w:shd w:val="clear" w:color="auto" w:fill="A6A6A6" w:themeFill="background1" w:themeFillShade="A6"/>
          </w:tcPr>
          <w:p w14:paraId="2F51A871" w14:textId="4ED51ABA" w:rsidR="0074223E" w:rsidRPr="00CD1C0E" w:rsidRDefault="0074223E" w:rsidP="003865DA">
            <w:pPr>
              <w:pStyle w:val="Heading1"/>
            </w:pPr>
            <w:bookmarkStart w:id="10" w:name="_Toc389473276"/>
            <w:bookmarkStart w:id="11" w:name="_Toc159225882"/>
            <w:r>
              <w:t>Alerts</w:t>
            </w:r>
            <w:bookmarkEnd w:id="10"/>
            <w:bookmarkEnd w:id="11"/>
            <w:r w:rsidR="00AB50DD">
              <w:t xml:space="preserve"> </w:t>
            </w:r>
          </w:p>
        </w:tc>
      </w:tr>
    </w:tbl>
    <w:p w14:paraId="2F51A873" w14:textId="77777777" w:rsidR="007B6904" w:rsidRDefault="007B6904" w:rsidP="003865DA">
      <w:pPr>
        <w:rPr>
          <w:rFonts w:cs="Arial"/>
          <w:b/>
          <w:szCs w:val="24"/>
        </w:rPr>
      </w:pPr>
    </w:p>
    <w:p w14:paraId="10D8CFEA" w14:textId="2546BEC6" w:rsidR="003510E5" w:rsidRDefault="003510E5" w:rsidP="003865DA">
      <w:r>
        <w:t>Concentrated e</w:t>
      </w:r>
      <w:r w:rsidRPr="00822F8D">
        <w:t>lectrolytes</w:t>
      </w:r>
      <w:r>
        <w:t>, in</w:t>
      </w:r>
      <w:r w:rsidRPr="00822F8D">
        <w:t xml:space="preserve"> particular potassium</w:t>
      </w:r>
      <w:r>
        <w:t>,</w:t>
      </w:r>
      <w:r w:rsidRPr="00822F8D">
        <w:t xml:space="preserve"> are high risk medication</w:t>
      </w:r>
      <w:r>
        <w:t>s</w:t>
      </w:r>
      <w:r w:rsidRPr="00822F8D">
        <w:t>,</w:t>
      </w:r>
      <w:r>
        <w:t xml:space="preserve"> which means if an error is made in dispensing, </w:t>
      </w:r>
      <w:proofErr w:type="gramStart"/>
      <w:r>
        <w:t>preparation</w:t>
      </w:r>
      <w:proofErr w:type="gramEnd"/>
      <w:r>
        <w:t xml:space="preserve"> or administration it is more likely to lead to patient harm</w:t>
      </w:r>
      <w:r w:rsidRPr="00822F8D">
        <w:t xml:space="preserve">. </w:t>
      </w:r>
      <w:r>
        <w:t>To prevent causing avoidable harm to patients, e</w:t>
      </w:r>
      <w:r w:rsidRPr="00822F8D">
        <w:t>xtra care must be taken when prescribing and administering electrolytes, particularly via the intravenous route</w:t>
      </w:r>
      <w:r>
        <w:t>.</w:t>
      </w:r>
    </w:p>
    <w:p w14:paraId="561EDC49" w14:textId="77777777" w:rsidR="003510E5" w:rsidRDefault="003510E5" w:rsidP="003865DA">
      <w:pPr>
        <w:rPr>
          <w:rFonts w:cs="Arial"/>
          <w:b/>
          <w:szCs w:val="24"/>
        </w:rPr>
      </w:pPr>
    </w:p>
    <w:p w14:paraId="307CAC07" w14:textId="18FE447B" w:rsidR="001F0C5E" w:rsidRDefault="001F0C5E" w:rsidP="003865DA">
      <w:pPr>
        <w:rPr>
          <w:rFonts w:cs="Arial"/>
          <w:b/>
          <w:szCs w:val="24"/>
        </w:rPr>
      </w:pPr>
      <w:r>
        <w:rPr>
          <w:rFonts w:cs="Arial"/>
          <w:b/>
          <w:szCs w:val="24"/>
        </w:rPr>
        <w:t xml:space="preserve">Alerts related to sodium </w:t>
      </w:r>
      <w:proofErr w:type="gramStart"/>
      <w:r>
        <w:rPr>
          <w:rFonts w:cs="Arial"/>
          <w:b/>
          <w:szCs w:val="24"/>
        </w:rPr>
        <w:t>replacement</w:t>
      </w:r>
      <w:proofErr w:type="gramEnd"/>
    </w:p>
    <w:p w14:paraId="6603A459" w14:textId="77777777" w:rsidR="001F0C5E" w:rsidRPr="001F0C5E" w:rsidRDefault="001F0C5E" w:rsidP="00061D7A">
      <w:pPr>
        <w:pStyle w:val="ListParagraph"/>
        <w:numPr>
          <w:ilvl w:val="0"/>
          <w:numId w:val="20"/>
        </w:numPr>
        <w:rPr>
          <w:b/>
        </w:rPr>
      </w:pPr>
      <w:r w:rsidRPr="00061D7A">
        <w:rPr>
          <w:bCs/>
        </w:rPr>
        <w:t>Monitor serum sodium levels every 24 hours and adjust therapeutic manoeuvres accordingly.</w:t>
      </w:r>
      <w:r w:rsidRPr="001F0C5E">
        <w:rPr>
          <w:b/>
        </w:rPr>
        <w:t xml:space="preserve"> </w:t>
      </w:r>
    </w:p>
    <w:p w14:paraId="7C13D8BD" w14:textId="77777777" w:rsidR="001F0C5E" w:rsidRPr="001F0C5E" w:rsidRDefault="001F0C5E" w:rsidP="00061D7A">
      <w:pPr>
        <w:pStyle w:val="ListParagraph"/>
        <w:numPr>
          <w:ilvl w:val="0"/>
          <w:numId w:val="20"/>
        </w:numPr>
        <w:tabs>
          <w:tab w:val="left" w:pos="1170"/>
        </w:tabs>
        <w:autoSpaceDE w:val="0"/>
        <w:autoSpaceDN w:val="0"/>
        <w:adjustRightInd w:val="0"/>
        <w:spacing w:before="60" w:after="60"/>
        <w:rPr>
          <w:b/>
        </w:rPr>
      </w:pPr>
      <w:r w:rsidRPr="00061D7A">
        <w:rPr>
          <w:bCs/>
        </w:rPr>
        <w:t xml:space="preserve">Regardless of whether the hyponatraemia is acute, </w:t>
      </w:r>
      <w:proofErr w:type="gramStart"/>
      <w:r w:rsidRPr="00061D7A">
        <w:rPr>
          <w:bCs/>
        </w:rPr>
        <w:t>chronic</w:t>
      </w:r>
      <w:proofErr w:type="gramEnd"/>
      <w:r w:rsidRPr="00061D7A">
        <w:rPr>
          <w:bCs/>
        </w:rPr>
        <w:t xml:space="preserve"> or symptomatic, serum sodium concentrations should rise by no more than 10 mmol/L in the first 24 hours and 18 mmol/L in the first 48 hours in order to reduce the risk of osmotic demyelination.</w:t>
      </w:r>
    </w:p>
    <w:p w14:paraId="54DF583D" w14:textId="77777777" w:rsidR="001F0C5E" w:rsidRPr="001F0C5E" w:rsidRDefault="001F0C5E" w:rsidP="00061D7A">
      <w:pPr>
        <w:pStyle w:val="ListParagraph"/>
        <w:numPr>
          <w:ilvl w:val="0"/>
          <w:numId w:val="20"/>
        </w:numPr>
        <w:tabs>
          <w:tab w:val="left" w:pos="1170"/>
        </w:tabs>
        <w:autoSpaceDE w:val="0"/>
        <w:autoSpaceDN w:val="0"/>
        <w:adjustRightInd w:val="0"/>
        <w:spacing w:before="60" w:after="60"/>
        <w:rPr>
          <w:b/>
        </w:rPr>
      </w:pPr>
      <w:r w:rsidRPr="00061D7A">
        <w:rPr>
          <w:bCs/>
        </w:rPr>
        <w:t xml:space="preserve">In </w:t>
      </w:r>
      <w:proofErr w:type="gramStart"/>
      <w:r w:rsidRPr="00061D7A">
        <w:rPr>
          <w:bCs/>
        </w:rPr>
        <w:t>high risk</w:t>
      </w:r>
      <w:proofErr w:type="gramEnd"/>
      <w:r w:rsidRPr="00061D7A">
        <w:rPr>
          <w:bCs/>
        </w:rPr>
        <w:t xml:space="preserve"> patients with malnutrition, alcoholism, advanced liver disease, hypokalaemia, sodium concentration less than 105 mmol/L, correction should be more conservative, with the goal to raise the serum sodium concentration by no more than to 4 to 6 mmol/L per day.</w:t>
      </w:r>
    </w:p>
    <w:p w14:paraId="6D95EA8A" w14:textId="77777777" w:rsidR="001F0C5E" w:rsidRDefault="001F0C5E" w:rsidP="003865DA">
      <w:pPr>
        <w:rPr>
          <w:rFonts w:cs="Arial"/>
          <w:b/>
          <w:szCs w:val="24"/>
        </w:rPr>
      </w:pPr>
    </w:p>
    <w:p w14:paraId="2F51A879" w14:textId="77777777" w:rsidR="009E70F4" w:rsidRPr="009121F9" w:rsidRDefault="00A1768B" w:rsidP="003510E5">
      <w:pPr>
        <w:jc w:val="right"/>
        <w:rPr>
          <w:rFonts w:cs="Arial"/>
          <w:b/>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3865DA">
            <w:pPr>
              <w:pStyle w:val="Heading1"/>
            </w:pPr>
            <w:bookmarkStart w:id="12" w:name="_Toc389473277"/>
            <w:bookmarkStart w:id="13" w:name="_Toc159225883"/>
            <w:r w:rsidRPr="003D2D06">
              <w:t>Scope</w:t>
            </w:r>
            <w:bookmarkEnd w:id="12"/>
            <w:bookmarkEnd w:id="13"/>
          </w:p>
        </w:tc>
      </w:tr>
    </w:tbl>
    <w:p w14:paraId="2F51A87C" w14:textId="77777777" w:rsidR="007B6904" w:rsidRPr="00CD1C0E" w:rsidRDefault="007B6904" w:rsidP="003865DA">
      <w:pPr>
        <w:rPr>
          <w:szCs w:val="24"/>
        </w:rPr>
      </w:pPr>
    </w:p>
    <w:p w14:paraId="2F51A882" w14:textId="4BF97371" w:rsidR="00BF078E" w:rsidRPr="009F5667" w:rsidRDefault="00BF078E" w:rsidP="003865DA">
      <w:pPr>
        <w:outlineLvl w:val="0"/>
        <w:rPr>
          <w:rFonts w:cs="Arial"/>
          <w:iCs/>
          <w:szCs w:val="24"/>
        </w:rPr>
      </w:pPr>
      <w:r w:rsidRPr="009F5667">
        <w:rPr>
          <w:rFonts w:cs="Arial"/>
          <w:iCs/>
          <w:szCs w:val="24"/>
        </w:rPr>
        <w:t>This document applies to</w:t>
      </w:r>
      <w:r w:rsidR="00366924" w:rsidRPr="009F5667">
        <w:rPr>
          <w:rFonts w:cs="Arial"/>
          <w:iCs/>
          <w:szCs w:val="24"/>
        </w:rPr>
        <w:t xml:space="preserve"> the following </w:t>
      </w:r>
      <w:r w:rsidR="009F5667">
        <w:rPr>
          <w:rFonts w:cs="Arial"/>
          <w:iCs/>
          <w:szCs w:val="24"/>
        </w:rPr>
        <w:t xml:space="preserve">NCH </w:t>
      </w:r>
      <w:r w:rsidR="00366924" w:rsidRPr="009F5667">
        <w:rPr>
          <w:rFonts w:cs="Arial"/>
          <w:iCs/>
          <w:szCs w:val="24"/>
        </w:rPr>
        <w:t>staff working within their scope of practice</w:t>
      </w:r>
      <w:r w:rsidRPr="009F5667">
        <w:rPr>
          <w:rFonts w:cs="Arial"/>
          <w:iCs/>
          <w:szCs w:val="24"/>
        </w:rPr>
        <w:t>:</w:t>
      </w:r>
    </w:p>
    <w:p w14:paraId="2F51A883" w14:textId="77777777" w:rsidR="00BF078E" w:rsidRPr="00F14EC1" w:rsidRDefault="00BF078E" w:rsidP="003865DA">
      <w:pPr>
        <w:pStyle w:val="ListBullet"/>
      </w:pPr>
      <w:r w:rsidRPr="00F14EC1">
        <w:t>Medical Officers</w:t>
      </w:r>
    </w:p>
    <w:p w14:paraId="2F51A884" w14:textId="22125D32" w:rsidR="00BF078E" w:rsidRDefault="00BF078E" w:rsidP="003865DA">
      <w:pPr>
        <w:pStyle w:val="ListBullet"/>
      </w:pPr>
      <w:r w:rsidRPr="00F14EC1">
        <w:t xml:space="preserve">Nurses and Midwives  </w:t>
      </w:r>
    </w:p>
    <w:p w14:paraId="2F51A885" w14:textId="0D952D1E" w:rsidR="00931B93" w:rsidRDefault="00BF078E" w:rsidP="003865DA">
      <w:pPr>
        <w:pStyle w:val="ListBullet"/>
      </w:pPr>
      <w:r w:rsidRPr="00F14EC1">
        <w:t>Student Nurses under direct supervision</w:t>
      </w:r>
    </w:p>
    <w:p w14:paraId="244231A3" w14:textId="74D795A7" w:rsidR="001F0C5E" w:rsidRPr="00F14EC1" w:rsidRDefault="001F0C5E" w:rsidP="003865DA">
      <w:pPr>
        <w:pStyle w:val="ListBullet"/>
      </w:pPr>
      <w:r>
        <w:t>Pharmacists</w:t>
      </w:r>
      <w:r w:rsidR="00061D7A">
        <w:t>.</w:t>
      </w:r>
    </w:p>
    <w:p w14:paraId="2F51A886" w14:textId="77777777" w:rsidR="001F2A9B" w:rsidRDefault="001F2A9B" w:rsidP="003865DA"/>
    <w:p w14:paraId="5AC14A83" w14:textId="418CA9A0" w:rsidR="00061D7A" w:rsidRDefault="00061D7A" w:rsidP="003865DA">
      <w:r>
        <w:lastRenderedPageBreak/>
        <w:t xml:space="preserve">For an overview of guidance to support safe electrolyte replacement, an electrolyte replacement lanyard (Attachment A) is available for NCH staff to access from the NCH Pharmacy Department. </w:t>
      </w:r>
    </w:p>
    <w:p w14:paraId="2F51A887" w14:textId="77777777" w:rsidR="007B6904" w:rsidRPr="00CD1C0E" w:rsidRDefault="00A1768B" w:rsidP="003510E5">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61E9D1A6" w:rsidR="007B6904" w:rsidRPr="00C76688" w:rsidRDefault="007B6904" w:rsidP="003865DA">
            <w:pPr>
              <w:pStyle w:val="Heading1"/>
            </w:pPr>
            <w:bookmarkStart w:id="14" w:name="_Toc389473278"/>
            <w:bookmarkStart w:id="15" w:name="_Toc159225884"/>
            <w:r w:rsidRPr="00C76688">
              <w:t xml:space="preserve">Section 1 </w:t>
            </w:r>
            <w:proofErr w:type="gramStart"/>
            <w:r w:rsidRPr="00C76688">
              <w:t>–</w:t>
            </w:r>
            <w:r>
              <w:t xml:space="preserve"> </w:t>
            </w:r>
            <w:r w:rsidR="009F5667">
              <w:t xml:space="preserve"> Potassium</w:t>
            </w:r>
            <w:bookmarkEnd w:id="14"/>
            <w:bookmarkEnd w:id="15"/>
            <w:proofErr w:type="gramEnd"/>
          </w:p>
        </w:tc>
      </w:tr>
    </w:tbl>
    <w:p w14:paraId="2F51A88A" w14:textId="77777777" w:rsidR="007B6904" w:rsidRPr="009F5667" w:rsidRDefault="007B6904" w:rsidP="003865DA">
      <w:pPr>
        <w:rPr>
          <w:b/>
          <w:bCs/>
          <w:color w:val="000000" w:themeColor="text1"/>
        </w:rPr>
      </w:pPr>
    </w:p>
    <w:p w14:paraId="3F9B71B9" w14:textId="00E73EDD" w:rsidR="009F5667" w:rsidRPr="009F5667" w:rsidRDefault="009F5667" w:rsidP="003865DA">
      <w:pPr>
        <w:rPr>
          <w:b/>
          <w:bCs/>
          <w:color w:val="000000" w:themeColor="text1"/>
        </w:rPr>
      </w:pPr>
      <w:r w:rsidRPr="009F5667">
        <w:rPr>
          <w:b/>
          <w:bCs/>
          <w:color w:val="000000" w:themeColor="text1"/>
        </w:rPr>
        <w:t xml:space="preserve">Hypokalaemia </w:t>
      </w:r>
      <w:r w:rsidRPr="009F5667">
        <w:rPr>
          <w:b/>
          <w:bCs/>
          <w:color w:val="000000" w:themeColor="text1"/>
        </w:rPr>
        <w:tab/>
      </w:r>
      <w:r w:rsidRPr="009F5667">
        <w:rPr>
          <w:b/>
          <w:bCs/>
          <w:color w:val="000000" w:themeColor="text1"/>
        </w:rPr>
        <w:tab/>
      </w:r>
      <w:r w:rsidRPr="009F5667">
        <w:rPr>
          <w:b/>
          <w:bCs/>
          <w:color w:val="000000" w:themeColor="text1"/>
        </w:rPr>
        <w:tab/>
      </w:r>
      <w:r w:rsidRPr="009F5667">
        <w:rPr>
          <w:b/>
          <w:bCs/>
          <w:color w:val="000000" w:themeColor="text1"/>
        </w:rPr>
        <w:tab/>
      </w:r>
      <w:r w:rsidRPr="009F5667">
        <w:rPr>
          <w:b/>
          <w:bCs/>
          <w:color w:val="000000" w:themeColor="text1"/>
        </w:rPr>
        <w:tab/>
      </w:r>
      <w:r w:rsidRPr="009F5667">
        <w:rPr>
          <w:b/>
          <w:bCs/>
          <w:color w:val="000000" w:themeColor="text1"/>
        </w:rPr>
        <w:tab/>
      </w:r>
      <w:r w:rsidRPr="009F5667">
        <w:rPr>
          <w:b/>
          <w:bCs/>
          <w:color w:val="000000" w:themeColor="text1"/>
        </w:rPr>
        <w:tab/>
      </w:r>
      <w:r w:rsidRPr="009F5667">
        <w:rPr>
          <w:b/>
          <w:bCs/>
          <w:color w:val="000000" w:themeColor="text1"/>
        </w:rPr>
        <w:tab/>
      </w:r>
      <w:r w:rsidRPr="009F5667">
        <w:rPr>
          <w:b/>
          <w:bCs/>
          <w:color w:val="000000" w:themeColor="text1"/>
        </w:rPr>
        <w:tab/>
      </w:r>
      <w:r w:rsidRPr="009F5667">
        <w:rPr>
          <w:b/>
          <w:bCs/>
          <w:color w:val="000000" w:themeColor="text1"/>
        </w:rPr>
        <w:tab/>
        <w:t xml:space="preserve">   </w:t>
      </w:r>
      <w:proofErr w:type="gramStart"/>
      <w:r w:rsidRPr="009F5667">
        <w:rPr>
          <w:b/>
          <w:bCs/>
          <w:color w:val="000000" w:themeColor="text1"/>
        </w:rPr>
        <w:t xml:space="preserve">   (</w:t>
      </w:r>
      <w:proofErr w:type="gramEnd"/>
      <w:r w:rsidRPr="009F5667">
        <w:rPr>
          <w:b/>
          <w:bCs/>
          <w:color w:val="000000" w:themeColor="text1"/>
        </w:rPr>
        <w:t>mild: 3.1 – 3.5 mmol/L, moderate: 2.5 -3.0 mmol/L, severe: &lt;2.5 mmol/L)</w:t>
      </w:r>
    </w:p>
    <w:p w14:paraId="2F51A88B" w14:textId="51E454F1" w:rsidR="007B6904" w:rsidRPr="001F2A9B" w:rsidRDefault="007B6904" w:rsidP="003865DA">
      <w:pPr>
        <w:rPr>
          <w:b/>
        </w:rPr>
      </w:pPr>
    </w:p>
    <w:p w14:paraId="6FCCC5FF" w14:textId="1ADA80F9" w:rsidR="009F5667" w:rsidRDefault="004B0B34" w:rsidP="00061D7A">
      <w:pPr>
        <w:pStyle w:val="ListParagraph"/>
        <w:numPr>
          <w:ilvl w:val="0"/>
          <w:numId w:val="6"/>
        </w:numPr>
        <w:autoSpaceDE w:val="0"/>
        <w:autoSpaceDN w:val="0"/>
        <w:adjustRightInd w:val="0"/>
        <w:spacing w:before="60" w:after="60"/>
      </w:pPr>
      <w:r w:rsidRPr="00BB5D23">
        <w:rPr>
          <w:b/>
          <w:noProof/>
          <w:color w:val="1F497D" w:themeColor="text2"/>
          <w:szCs w:val="24"/>
          <w:lang w:eastAsia="en-AU"/>
        </w:rPr>
        <mc:AlternateContent>
          <mc:Choice Requires="wps">
            <w:drawing>
              <wp:anchor distT="45720" distB="45720" distL="114300" distR="114300" simplePos="0" relativeHeight="251658240" behindDoc="0" locked="0" layoutInCell="1" allowOverlap="1" wp14:anchorId="23F42B7E" wp14:editId="4B9283C8">
                <wp:simplePos x="0" y="0"/>
                <wp:positionH relativeFrom="margin">
                  <wp:align>left</wp:align>
                </wp:positionH>
                <wp:positionV relativeFrom="page">
                  <wp:posOffset>4137025</wp:posOffset>
                </wp:positionV>
                <wp:extent cx="5934710" cy="4140200"/>
                <wp:effectExtent l="0" t="0" r="2794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4140200"/>
                        </a:xfrm>
                        <a:prstGeom prst="rect">
                          <a:avLst/>
                        </a:prstGeom>
                        <a:solidFill>
                          <a:schemeClr val="accent1">
                            <a:alpha val="20000"/>
                          </a:schemeClr>
                        </a:solidFill>
                        <a:ln w="22225">
                          <a:solidFill>
                            <a:schemeClr val="accent1">
                              <a:alpha val="39000"/>
                            </a:schemeClr>
                          </a:solidFill>
                          <a:miter lim="800000"/>
                          <a:headEnd/>
                          <a:tailEnd/>
                        </a:ln>
                      </wps:spPr>
                      <wps:txbx>
                        <w:txbxContent>
                          <w:p w14:paraId="2F012B00" w14:textId="77777777" w:rsidR="00B63A70" w:rsidRPr="009F5667" w:rsidRDefault="00B63A70" w:rsidP="009F5667">
                            <w:pPr>
                              <w:tabs>
                                <w:tab w:val="left" w:pos="567"/>
                                <w:tab w:val="left" w:pos="709"/>
                              </w:tabs>
                              <w:ind w:right="47"/>
                              <w:rPr>
                                <w:color w:val="000000" w:themeColor="text1"/>
                                <w14:textOutline w14:w="9525" w14:cap="rnd" w14:cmpd="sng" w14:algn="ctr">
                                  <w14:noFill/>
                                  <w14:prstDash w14:val="solid"/>
                                  <w14:bevel/>
                                </w14:textOutline>
                              </w:rPr>
                            </w:pPr>
                            <w:r w:rsidRPr="009F5667">
                              <w:rPr>
                                <w:b/>
                                <w:color w:val="000000" w:themeColor="text1"/>
                                <w:szCs w:val="24"/>
                                <w:u w:val="single"/>
                              </w:rPr>
                              <w:t xml:space="preserve">IV Potassium replacement options, </w:t>
                            </w:r>
                            <w:proofErr w:type="gramStart"/>
                            <w:r w:rsidRPr="009F5667">
                              <w:rPr>
                                <w:b/>
                                <w:color w:val="000000" w:themeColor="text1"/>
                                <w:szCs w:val="24"/>
                                <w:u w:val="single"/>
                              </w:rPr>
                              <w:t>administration</w:t>
                            </w:r>
                            <w:proofErr w:type="gramEnd"/>
                            <w:r w:rsidRPr="009F5667">
                              <w:rPr>
                                <w:b/>
                                <w:color w:val="000000" w:themeColor="text1"/>
                                <w:szCs w:val="24"/>
                                <w:u w:val="single"/>
                              </w:rPr>
                              <w:t xml:space="preserve"> and monitoring requirements</w:t>
                            </w:r>
                          </w:p>
                          <w:p w14:paraId="5ADB5EC3" w14:textId="77777777" w:rsidR="00B63A70" w:rsidRPr="006D5F7D" w:rsidRDefault="00B63A70" w:rsidP="009F5667">
                            <w:pPr>
                              <w:tabs>
                                <w:tab w:val="left" w:pos="567"/>
                                <w:tab w:val="left" w:pos="709"/>
                              </w:tabs>
                              <w:ind w:right="47"/>
                              <w:jc w:val="both"/>
                              <w:rPr>
                                <w14:textOutline w14:w="9525" w14:cap="rnd" w14:cmpd="sng" w14:algn="ctr">
                                  <w14:noFill/>
                                  <w14:prstDash w14:val="solid"/>
                                  <w14:bevel/>
                                </w14:textOutline>
                              </w:rPr>
                            </w:pPr>
                            <w:r w:rsidRPr="006D5F7D">
                              <w:rPr>
                                <w14:textOutline w14:w="9525" w14:cap="rnd" w14:cmpd="sng" w14:algn="ctr">
                                  <w14:noFill/>
                                  <w14:prstDash w14:val="solid"/>
                                  <w14:bevel/>
                                </w14:textOutline>
                              </w:rPr>
                              <w:t xml:space="preserve">The following premixed bags containing potassium are available. </w:t>
                            </w:r>
                            <w:r w:rsidRPr="006D5F7D">
                              <w:rPr>
                                <w:b/>
                                <w14:textOutline w14:w="9525" w14:cap="rnd" w14:cmpd="sng" w14:algn="ctr">
                                  <w14:noFill/>
                                  <w14:prstDash w14:val="solid"/>
                                  <w14:bevel/>
                                </w14:textOutline>
                              </w:rPr>
                              <w:t>These should be used rather than extemporaneously adding ampoules of potassium chloride to IV fluids.</w:t>
                            </w:r>
                          </w:p>
                          <w:p w14:paraId="2CCF4EC9" w14:textId="77777777" w:rsidR="00B63A70" w:rsidRPr="006D5F7D" w:rsidRDefault="00B63A70" w:rsidP="00061D7A">
                            <w:pPr>
                              <w:pStyle w:val="ListParagraph"/>
                              <w:numPr>
                                <w:ilvl w:val="0"/>
                                <w:numId w:val="5"/>
                              </w:numPr>
                              <w:tabs>
                                <w:tab w:val="left" w:pos="567"/>
                                <w:tab w:val="left" w:pos="709"/>
                              </w:tabs>
                              <w:autoSpaceDE w:val="0"/>
                              <w:autoSpaceDN w:val="0"/>
                              <w:adjustRightInd w:val="0"/>
                              <w:spacing w:before="60" w:after="60"/>
                              <w:ind w:left="630" w:right="47" w:hanging="450"/>
                              <w:contextualSpacing w:val="0"/>
                              <w:rPr>
                                <w14:textOutline w14:w="9525" w14:cap="rnd" w14:cmpd="sng" w14:algn="ctr">
                                  <w14:noFill/>
                                  <w14:prstDash w14:val="solid"/>
                                  <w14:bevel/>
                                </w14:textOutline>
                              </w:rPr>
                            </w:pPr>
                            <w:r w:rsidRPr="006D5F7D">
                              <w:rPr>
                                <w14:textOutline w14:w="9525" w14:cap="rnd" w14:cmpd="sng" w14:algn="ctr">
                                  <w14:noFill/>
                                  <w14:prstDash w14:val="solid"/>
                                  <w14:bevel/>
                                </w14:textOutline>
                              </w:rPr>
                              <w:t>Potassium Chloride 30 mmol in Sodium Chloride 0.9%, 1000 mL</w:t>
                            </w:r>
                          </w:p>
                          <w:p w14:paraId="280E36BC" w14:textId="77777777" w:rsidR="00B63A70" w:rsidRPr="006D5F7D" w:rsidRDefault="00B63A70" w:rsidP="00061D7A">
                            <w:pPr>
                              <w:pStyle w:val="ListParagraph"/>
                              <w:numPr>
                                <w:ilvl w:val="0"/>
                                <w:numId w:val="5"/>
                              </w:numPr>
                              <w:tabs>
                                <w:tab w:val="left" w:pos="567"/>
                                <w:tab w:val="left" w:pos="709"/>
                              </w:tabs>
                              <w:autoSpaceDE w:val="0"/>
                              <w:autoSpaceDN w:val="0"/>
                              <w:adjustRightInd w:val="0"/>
                              <w:spacing w:before="60" w:after="60"/>
                              <w:ind w:left="630" w:right="47" w:hanging="450"/>
                              <w:contextualSpacing w:val="0"/>
                              <w:rPr>
                                <w14:textOutline w14:w="9525" w14:cap="rnd" w14:cmpd="sng" w14:algn="ctr">
                                  <w14:noFill/>
                                  <w14:prstDash w14:val="solid"/>
                                  <w14:bevel/>
                                </w14:textOutline>
                              </w:rPr>
                            </w:pPr>
                            <w:r w:rsidRPr="006D5F7D">
                              <w:rPr>
                                <w14:textOutline w14:w="9525" w14:cap="rnd" w14:cmpd="sng" w14:algn="ctr">
                                  <w14:noFill/>
                                  <w14:prstDash w14:val="solid"/>
                                  <w14:bevel/>
                                </w14:textOutline>
                              </w:rPr>
                              <w:t xml:space="preserve">Potassium Chloride 30 mmol in </w:t>
                            </w:r>
                            <w:r>
                              <w:rPr>
                                <w14:textOutline w14:w="9525" w14:cap="rnd" w14:cmpd="sng" w14:algn="ctr">
                                  <w14:noFill/>
                                  <w14:prstDash w14:val="solid"/>
                                  <w14:bevel/>
                                </w14:textOutline>
                              </w:rPr>
                              <w:t xml:space="preserve">Dextrose </w:t>
                            </w:r>
                            <w:r w:rsidRPr="006D5F7D">
                              <w:rPr>
                                <w14:textOutline w14:w="9525" w14:cap="rnd" w14:cmpd="sng" w14:algn="ctr">
                                  <w14:noFill/>
                                  <w14:prstDash w14:val="solid"/>
                                  <w14:bevel/>
                                </w14:textOutline>
                              </w:rPr>
                              <w:t>4% and Sodium Chloride 0.18%, 1000 mL</w:t>
                            </w:r>
                          </w:p>
                          <w:p w14:paraId="4456893D" w14:textId="77777777" w:rsidR="00B63A70" w:rsidRPr="006D5F7D" w:rsidRDefault="00B63A70" w:rsidP="00061D7A">
                            <w:pPr>
                              <w:pStyle w:val="ListParagraph"/>
                              <w:numPr>
                                <w:ilvl w:val="0"/>
                                <w:numId w:val="5"/>
                              </w:numPr>
                              <w:tabs>
                                <w:tab w:val="left" w:pos="567"/>
                                <w:tab w:val="left" w:pos="709"/>
                              </w:tabs>
                              <w:autoSpaceDE w:val="0"/>
                              <w:autoSpaceDN w:val="0"/>
                              <w:adjustRightInd w:val="0"/>
                              <w:spacing w:before="60" w:after="60"/>
                              <w:ind w:left="630" w:right="47" w:hanging="450"/>
                              <w:contextualSpacing w:val="0"/>
                              <w:rPr>
                                <w14:textOutline w14:w="9525" w14:cap="rnd" w14:cmpd="sng" w14:algn="ctr">
                                  <w14:noFill/>
                                  <w14:prstDash w14:val="solid"/>
                                  <w14:bevel/>
                                </w14:textOutline>
                              </w:rPr>
                            </w:pPr>
                            <w:r w:rsidRPr="006D5F7D">
                              <w:rPr>
                                <w14:textOutline w14:w="9525" w14:cap="rnd" w14:cmpd="sng" w14:algn="ctr">
                                  <w14:noFill/>
                                  <w14:prstDash w14:val="solid"/>
                                  <w14:bevel/>
                                </w14:textOutline>
                              </w:rPr>
                              <w:t>Potassium Chloride 30 mmol in Dextrose 5%, 1000 mL</w:t>
                            </w:r>
                          </w:p>
                          <w:p w14:paraId="46DBB2D1" w14:textId="77777777" w:rsidR="00B63A70" w:rsidRPr="006D5F7D" w:rsidRDefault="00B63A70" w:rsidP="00061D7A">
                            <w:pPr>
                              <w:pStyle w:val="ListParagraph"/>
                              <w:numPr>
                                <w:ilvl w:val="0"/>
                                <w:numId w:val="5"/>
                              </w:numPr>
                              <w:tabs>
                                <w:tab w:val="left" w:pos="567"/>
                                <w:tab w:val="left" w:pos="709"/>
                              </w:tabs>
                              <w:autoSpaceDE w:val="0"/>
                              <w:autoSpaceDN w:val="0"/>
                              <w:adjustRightInd w:val="0"/>
                              <w:spacing w:before="60" w:after="60"/>
                              <w:ind w:left="630" w:right="47" w:hanging="450"/>
                              <w:contextualSpacing w:val="0"/>
                              <w:rPr>
                                <w14:textOutline w14:w="9525" w14:cap="rnd" w14:cmpd="sng" w14:algn="ctr">
                                  <w14:noFill/>
                                  <w14:prstDash w14:val="solid"/>
                                  <w14:bevel/>
                                </w14:textOutline>
                              </w:rPr>
                            </w:pPr>
                            <w:r w:rsidRPr="006D5F7D">
                              <w:rPr>
                                <w14:textOutline w14:w="9525" w14:cap="rnd" w14:cmpd="sng" w14:algn="ctr">
                                  <w14:noFill/>
                                  <w14:prstDash w14:val="solid"/>
                                  <w14:bevel/>
                                </w14:textOutline>
                              </w:rPr>
                              <w:t>Potassium Chloride 30 mmol in Hartmann’s Solution, 1000 mL</w:t>
                            </w:r>
                          </w:p>
                          <w:p w14:paraId="7567C49A" w14:textId="77777777" w:rsidR="00B63A70" w:rsidRPr="006D5F7D" w:rsidRDefault="00B63A70" w:rsidP="00061D7A">
                            <w:pPr>
                              <w:pStyle w:val="ListParagraph"/>
                              <w:numPr>
                                <w:ilvl w:val="0"/>
                                <w:numId w:val="5"/>
                              </w:numPr>
                              <w:tabs>
                                <w:tab w:val="left" w:pos="567"/>
                                <w:tab w:val="left" w:pos="709"/>
                              </w:tabs>
                              <w:autoSpaceDE w:val="0"/>
                              <w:autoSpaceDN w:val="0"/>
                              <w:adjustRightInd w:val="0"/>
                              <w:spacing w:before="60" w:after="60"/>
                              <w:ind w:left="630" w:right="47" w:hanging="450"/>
                              <w:contextualSpacing w:val="0"/>
                              <w:rPr>
                                <w14:textOutline w14:w="9525" w14:cap="rnd" w14:cmpd="sng" w14:algn="ctr">
                                  <w14:noFill/>
                                  <w14:prstDash w14:val="solid"/>
                                  <w14:bevel/>
                                </w14:textOutline>
                              </w:rPr>
                            </w:pPr>
                            <w:r w:rsidRPr="006D5F7D">
                              <w:rPr>
                                <w14:textOutline w14:w="9525" w14:cap="rnd" w14:cmpd="sng" w14:algn="ctr">
                                  <w14:noFill/>
                                  <w14:prstDash w14:val="solid"/>
                                  <w14:bevel/>
                                </w14:textOutline>
                              </w:rPr>
                              <w:t>Potassium Chloride 10 mmol in Sodium Chloride 0.29%, 100 mL (isotonic)</w:t>
                            </w:r>
                          </w:p>
                          <w:p w14:paraId="28EE4F7E" w14:textId="0D5F2DDA" w:rsidR="00B63A70" w:rsidRPr="006D5F7D" w:rsidRDefault="00B63A70" w:rsidP="009F5667">
                            <w:pPr>
                              <w:tabs>
                                <w:tab w:val="left" w:pos="567"/>
                                <w:tab w:val="left" w:pos="709"/>
                              </w:tabs>
                              <w:ind w:right="47"/>
                              <w:jc w:val="both"/>
                              <w:rPr>
                                <w14:textOutline w14:w="9525" w14:cap="rnd" w14:cmpd="sng" w14:algn="ctr">
                                  <w14:noFill/>
                                  <w14:prstDash w14:val="solid"/>
                                  <w14:bevel/>
                                </w14:textOutline>
                              </w:rPr>
                            </w:pPr>
                            <w:r w:rsidRPr="006D5F7D">
                              <w:rPr>
                                <w14:textOutline w14:w="9525" w14:cap="rnd" w14:cmpd="sng" w14:algn="ctr">
                                  <w14:noFill/>
                                  <w14:prstDash w14:val="solid"/>
                                  <w14:bevel/>
                                </w14:textOutline>
                              </w:rPr>
                              <w:t xml:space="preserve"> If the above options are inappropriate (</w:t>
                            </w:r>
                            <w:proofErr w:type="gramStart"/>
                            <w:r w:rsidRPr="006D5F7D">
                              <w:rPr>
                                <w14:textOutline w14:w="9525" w14:cap="rnd" w14:cmpd="sng" w14:algn="ctr">
                                  <w14:noFill/>
                                  <w14:prstDash w14:val="solid"/>
                                  <w14:bevel/>
                                </w14:textOutline>
                              </w:rPr>
                              <w:t>i.e.</w:t>
                            </w:r>
                            <w:proofErr w:type="gramEnd"/>
                            <w:r w:rsidRPr="006D5F7D">
                              <w:rPr>
                                <w14:textOutline w14:w="9525" w14:cap="rnd" w14:cmpd="sng" w14:algn="ctr">
                                  <w14:noFill/>
                                  <w14:prstDash w14:val="solid"/>
                                  <w14:bevel/>
                                </w14:textOutline>
                              </w:rPr>
                              <w:t xml:space="preserve"> patient is severely fluid restricted), an infusion may be prepared using Potassium Chloride 10mmol</w:t>
                            </w:r>
                            <w:r>
                              <w:rPr>
                                <w14:textOutline w14:w="9525" w14:cap="rnd" w14:cmpd="sng" w14:algn="ctr">
                                  <w14:noFill/>
                                  <w14:prstDash w14:val="solid"/>
                                  <w14:bevel/>
                                </w14:textOutline>
                              </w:rPr>
                              <w:t xml:space="preserve"> </w:t>
                            </w:r>
                            <w:r w:rsidRPr="006D5F7D">
                              <w:rPr>
                                <w14:textOutline w14:w="9525" w14:cap="rnd" w14:cmpd="sng" w14:algn="ctr">
                                  <w14:noFill/>
                                  <w14:prstDash w14:val="solid"/>
                                  <w14:bevel/>
                                </w14:textOutline>
                              </w:rPr>
                              <w:t>ampoules. However, concentrations &gt;40</w:t>
                            </w:r>
                            <w:r>
                              <w:rPr>
                                <w14:textOutline w14:w="9525" w14:cap="rnd" w14:cmpd="sng" w14:algn="ctr">
                                  <w14:noFill/>
                                  <w14:prstDash w14:val="solid"/>
                                  <w14:bevel/>
                                </w14:textOutline>
                              </w:rPr>
                              <w:t xml:space="preserve"> </w:t>
                            </w:r>
                            <w:r w:rsidRPr="006D5F7D">
                              <w:rPr>
                                <w14:textOutline w14:w="9525" w14:cap="rnd" w14:cmpd="sng" w14:algn="ctr">
                                  <w14:noFill/>
                                  <w14:prstDash w14:val="solid"/>
                                  <w14:bevel/>
                                </w14:textOutline>
                              </w:rPr>
                              <w:t>mmol/L must be administered via a central line.</w:t>
                            </w:r>
                          </w:p>
                          <w:p w14:paraId="596C5EE0" w14:textId="11BA97B8" w:rsidR="00B63A70" w:rsidRPr="006D5F7D" w:rsidRDefault="00B63A70" w:rsidP="009F5667">
                            <w:pPr>
                              <w:tabs>
                                <w:tab w:val="left" w:pos="567"/>
                                <w:tab w:val="left" w:pos="709"/>
                              </w:tabs>
                              <w:ind w:right="47"/>
                              <w:jc w:val="both"/>
                              <w:rPr>
                                <w:vertAlign w:val="superscript"/>
                                <w14:textOutline w14:w="9525" w14:cap="rnd" w14:cmpd="sng" w14:algn="ctr">
                                  <w14:noFill/>
                                  <w14:prstDash w14:val="solid"/>
                                  <w14:bevel/>
                                </w14:textOutline>
                              </w:rPr>
                            </w:pPr>
                            <w:r w:rsidRPr="006D5F7D">
                              <w:rPr>
                                <w14:textOutline w14:w="9525" w14:cap="rnd" w14:cmpd="sng" w14:algn="ctr">
                                  <w14:noFill/>
                                  <w14:prstDash w14:val="solid"/>
                                  <w14:bevel/>
                                </w14:textOutline>
                              </w:rPr>
                              <w:t xml:space="preserve">All potassium containing infusions </w:t>
                            </w:r>
                            <w:r w:rsidRPr="006D5F7D">
                              <w:rPr>
                                <w:b/>
                                <w14:textOutline w14:w="9525" w14:cap="rnd" w14:cmpd="sng" w14:algn="ctr">
                                  <w14:noFill/>
                                  <w14:prstDash w14:val="solid"/>
                                  <w14:bevel/>
                                </w14:textOutline>
                              </w:rPr>
                              <w:t xml:space="preserve">must be administered using an infusion pump </w:t>
                            </w:r>
                            <w:r>
                              <w:rPr>
                                <w:b/>
                                <w14:textOutline w14:w="9525" w14:cap="rnd" w14:cmpd="sng" w14:algn="ctr">
                                  <w14:noFill/>
                                  <w14:prstDash w14:val="solid"/>
                                  <w14:bevel/>
                                </w14:textOutline>
                              </w:rPr>
                              <w:t>dose limiting software</w:t>
                            </w:r>
                            <w:r w:rsidRPr="006D5F7D">
                              <w:rPr>
                                <w:b/>
                                <w14:textOutline w14:w="9525" w14:cap="rnd" w14:cmpd="sng" w14:algn="ctr">
                                  <w14:noFill/>
                                  <w14:prstDash w14:val="solid"/>
                                  <w14:bevel/>
                                </w14:textOutline>
                              </w:rPr>
                              <w:t>.</w:t>
                            </w:r>
                          </w:p>
                          <w:p w14:paraId="2D80A9DE" w14:textId="1236337C" w:rsidR="00B63A70" w:rsidRPr="006D5F7D" w:rsidRDefault="00B63A70" w:rsidP="009F5667">
                            <w:pPr>
                              <w:tabs>
                                <w:tab w:val="left" w:pos="567"/>
                                <w:tab w:val="left" w:pos="709"/>
                              </w:tabs>
                              <w:ind w:right="47"/>
                              <w:jc w:val="both"/>
                              <w:rPr>
                                <w:vertAlign w:val="superscript"/>
                                <w14:textOutline w14:w="9525" w14:cap="rnd" w14:cmpd="sng" w14:algn="ctr">
                                  <w14:noFill/>
                                  <w14:prstDash w14:val="solid"/>
                                  <w14:bevel/>
                                </w14:textOutline>
                              </w:rPr>
                            </w:pPr>
                            <w:r>
                              <w:rPr>
                                <w14:textOutline w14:w="9525" w14:cap="rnd" w14:cmpd="sng" w14:algn="ctr">
                                  <w14:noFill/>
                                  <w14:prstDash w14:val="solid"/>
                                  <w14:bevel/>
                                </w14:textOutline>
                              </w:rPr>
                              <w:t>If replacing via peripheral venous access</w:t>
                            </w:r>
                            <w:r w:rsidRPr="006D5F7D">
                              <w:rPr>
                                <w14:textOutline w14:w="9525" w14:cap="rnd" w14:cmpd="sng" w14:algn="ctr">
                                  <w14:noFill/>
                                  <w14:prstDash w14:val="solid"/>
                                  <w14:bevel/>
                                </w14:textOutline>
                              </w:rPr>
                              <w:t xml:space="preserve">, a maximum rate of </w:t>
                            </w:r>
                            <w:r w:rsidRPr="006D5F7D">
                              <w:rPr>
                                <w:b/>
                                <w14:textOutline w14:w="9525" w14:cap="rnd" w14:cmpd="sng" w14:algn="ctr">
                                  <w14:noFill/>
                                  <w14:prstDash w14:val="solid"/>
                                  <w14:bevel/>
                                </w14:textOutline>
                              </w:rPr>
                              <w:t>10</w:t>
                            </w:r>
                            <w:r>
                              <w:rPr>
                                <w:b/>
                                <w14:textOutline w14:w="9525" w14:cap="rnd" w14:cmpd="sng" w14:algn="ctr">
                                  <w14:noFill/>
                                  <w14:prstDash w14:val="solid"/>
                                  <w14:bevel/>
                                </w14:textOutline>
                              </w:rPr>
                              <w:t xml:space="preserve"> </w:t>
                            </w:r>
                            <w:r w:rsidRPr="006D5F7D">
                              <w:rPr>
                                <w:b/>
                                <w14:textOutline w14:w="9525" w14:cap="rnd" w14:cmpd="sng" w14:algn="ctr">
                                  <w14:noFill/>
                                  <w14:prstDash w14:val="solid"/>
                                  <w14:bevel/>
                                </w14:textOutline>
                              </w:rPr>
                              <w:t xml:space="preserve">mmol/hr </w:t>
                            </w:r>
                            <w:r w:rsidRPr="006D5F7D">
                              <w:rPr>
                                <w14:textOutline w14:w="9525" w14:cap="rnd" w14:cmpd="sng" w14:algn="ctr">
                                  <w14:noFill/>
                                  <w14:prstDash w14:val="solid"/>
                                  <w14:bevel/>
                                </w14:textOutline>
                              </w:rPr>
                              <w:t>should be adhered to.</w:t>
                            </w:r>
                            <w:r w:rsidR="00061D7A">
                              <w:rPr>
                                <w14:textOutline w14:w="9525" w14:cap="rnd" w14:cmpd="sng" w14:algn="ctr">
                                  <w14:noFill/>
                                  <w14:prstDash w14:val="solid"/>
                                  <w14:bevel/>
                                </w14:textOutline>
                              </w:rPr>
                              <w:t xml:space="preserve"> </w:t>
                            </w:r>
                            <w:r w:rsidRPr="006D5F7D">
                              <w:rPr>
                                <w14:textOutline w14:w="9525" w14:cap="rnd" w14:cmpd="sng" w14:algn="ctr">
                                  <w14:noFill/>
                                  <w14:prstDash w14:val="solid"/>
                                  <w14:bevel/>
                                </w14:textOutline>
                              </w:rPr>
                              <w:t>Higher rates (&gt;10</w:t>
                            </w:r>
                            <w:r>
                              <w:rPr>
                                <w14:textOutline w14:w="9525" w14:cap="rnd" w14:cmpd="sng" w14:algn="ctr">
                                  <w14:noFill/>
                                  <w14:prstDash w14:val="solid"/>
                                  <w14:bevel/>
                                </w14:textOutline>
                              </w:rPr>
                              <w:t xml:space="preserve"> </w:t>
                            </w:r>
                            <w:r w:rsidRPr="006D5F7D">
                              <w:rPr>
                                <w14:textOutline w14:w="9525" w14:cap="rnd" w14:cmpd="sng" w14:algn="ctr">
                                  <w14:noFill/>
                                  <w14:prstDash w14:val="solid"/>
                                  <w14:bevel/>
                                </w14:textOutline>
                              </w:rPr>
                              <w:t>mmol/hr) may be used in special circumstances such as in the management of diabetic ketoacidosis.</w:t>
                            </w:r>
                            <w:r w:rsidR="00061D7A">
                              <w:rPr>
                                <w14:textOutline w14:w="9525" w14:cap="rnd" w14:cmpd="sng" w14:algn="ctr">
                                  <w14:noFill/>
                                  <w14:prstDash w14:val="solid"/>
                                  <w14:bevel/>
                                </w14:textOutline>
                              </w:rPr>
                              <w:t xml:space="preserve"> </w:t>
                            </w:r>
                            <w:r w:rsidRPr="006D5F7D">
                              <w:rPr>
                                <w14:textOutline w14:w="9525" w14:cap="rnd" w14:cmpd="sng" w14:algn="ctr">
                                  <w14:noFill/>
                                  <w14:prstDash w14:val="solid"/>
                                  <w14:bevel/>
                                </w14:textOutline>
                              </w:rPr>
                              <w:t>Higher rates require cardiac monitoring and infusion via a large vein is preferred.</w:t>
                            </w:r>
                          </w:p>
                          <w:p w14:paraId="3C01721B" w14:textId="77777777" w:rsidR="00B63A70" w:rsidRPr="00930B2E" w:rsidRDefault="00B63A70" w:rsidP="009F5667">
                            <w:pPr>
                              <w:tabs>
                                <w:tab w:val="left" w:pos="630"/>
                                <w:tab w:val="left" w:pos="709"/>
                              </w:tabs>
                              <w:rPr>
                                <w14:textOutline w14:w="9525" w14:cap="rnd" w14:cmpd="sng" w14:algn="ctr">
                                  <w14:noFill/>
                                  <w14:prstDash w14:val="solid"/>
                                  <w14:bevel/>
                                </w14:textOutline>
                              </w:rPr>
                            </w:pPr>
                            <w:r w:rsidRPr="006D5F7D">
                              <w:rPr>
                                <w14:textOutline w14:w="9525" w14:cap="rnd" w14:cmpd="sng" w14:algn="ctr">
                                  <w14:noFill/>
                                  <w14:prstDash w14:val="solid"/>
                                  <w14:bevel/>
                                </w14:textOutline>
                              </w:rPr>
                              <w:t xml:space="preserve">Serum potassium levels should be monitored at least every </w:t>
                            </w:r>
                            <w:r w:rsidRPr="00265997">
                              <w:rPr>
                                <w:b/>
                                <w14:textOutline w14:w="9525" w14:cap="rnd" w14:cmpd="sng" w14:algn="ctr">
                                  <w14:noFill/>
                                  <w14:prstDash w14:val="solid"/>
                                  <w14:bevel/>
                                </w14:textOutline>
                              </w:rPr>
                              <w:t>4 to 6 hours</w:t>
                            </w:r>
                            <w:r w:rsidRPr="006D5F7D">
                              <w:rPr>
                                <w14:textOutline w14:w="9525" w14:cap="rnd" w14:cmpd="sng" w14:algn="ctr">
                                  <w14:noFill/>
                                  <w14:prstDash w14:val="solid"/>
                                  <w14:bevel/>
                                </w14:textOutline>
                              </w:rPr>
                              <w:t xml:space="preserve"> during IV replacement and subsequently </w:t>
                            </w:r>
                            <w:r>
                              <w:rPr>
                                <w14:textOutline w14:w="9525" w14:cap="rnd" w14:cmpd="sng" w14:algn="ctr">
                                  <w14:noFill/>
                                  <w14:prstDash w14:val="solid"/>
                                  <w14:bevel/>
                                </w14:textOutline>
                              </w:rPr>
                              <w:t>adjust</w:t>
                            </w:r>
                            <w:r w:rsidRPr="006D5F7D">
                              <w:rPr>
                                <w14:textOutline w14:w="9525" w14:cap="rnd" w14:cmpd="sng" w14:algn="ctr">
                                  <w14:noFill/>
                                  <w14:prstDash w14:val="solid"/>
                                  <w14:bevel/>
                                </w14:textOutline>
                              </w:rPr>
                              <w:t xml:space="preserve"> dose according to</w:t>
                            </w:r>
                            <w:r>
                              <w:rPr>
                                <w14:textOutline w14:w="9525" w14:cap="rnd" w14:cmpd="sng" w14:algn="ctr">
                                  <w14:noFill/>
                                  <w14:prstDash w14:val="solid"/>
                                  <w14:bevel/>
                                </w14:textOutline>
                              </w:rPr>
                              <w:t xml:space="preserve"> levels.</w:t>
                            </w:r>
                          </w:p>
                          <w:p w14:paraId="1E834217" w14:textId="77777777" w:rsidR="00B63A70" w:rsidRPr="006D5F7D" w:rsidRDefault="00B63A70" w:rsidP="009F5667">
                            <w:pPr>
                              <w:tabs>
                                <w:tab w:val="left" w:pos="567"/>
                                <w:tab w:val="left" w:pos="709"/>
                              </w:tabs>
                              <w:ind w:right="47"/>
                              <w:jc w:val="both"/>
                              <w:rPr>
                                <w:vertAlign w:val="superscript"/>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F42B7E" id="_x0000_t202" coordsize="21600,21600" o:spt="202" path="m,l,21600r21600,l21600,xe">
                <v:stroke joinstyle="miter"/>
                <v:path gradientshapeok="t" o:connecttype="rect"/>
              </v:shapetype>
              <v:shape id="Text Box 2" o:spid="_x0000_s1026" type="#_x0000_t202" style="position:absolute;left:0;text-align:left;margin-left:0;margin-top:325.75pt;width:467.3pt;height:326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" fillcolor="#4f81bd [3204]" strokecolor="#4f81bd [3204]" strokeweight="1.75pt">
                <v:fill opacity="13107f"/>
                <v:stroke opacity="25443f"/>
                <v:textbox>
                  <w:txbxContent>
                    <w:p w14:paraId="2F012B00" w14:textId="77777777" w:rsidR="00B63A70" w:rsidRPr="009F5667" w:rsidRDefault="00B63A70" w:rsidP="009F5667">
                      <w:pPr>
                        <w:tabs>
                          <w:tab w:val="left" w:pos="567"/>
                          <w:tab w:val="left" w:pos="709"/>
                        </w:tabs>
                        <w:ind w:right="47"/>
                        <w:rPr>
                          <w:color w:val="000000" w:themeColor="text1"/>
                          <w14:textOutline w14:w="9525" w14:cap="rnd" w14:cmpd="sng" w14:algn="ctr">
                            <w14:noFill/>
                            <w14:prstDash w14:val="solid"/>
                            <w14:bevel/>
                          </w14:textOutline>
                        </w:rPr>
                      </w:pPr>
                      <w:r w:rsidRPr="009F5667">
                        <w:rPr>
                          <w:b/>
                          <w:color w:val="000000" w:themeColor="text1"/>
                          <w:szCs w:val="24"/>
                          <w:u w:val="single"/>
                        </w:rPr>
                        <w:t xml:space="preserve">IV Potassium replacement options, </w:t>
                      </w:r>
                      <w:proofErr w:type="gramStart"/>
                      <w:r w:rsidRPr="009F5667">
                        <w:rPr>
                          <w:b/>
                          <w:color w:val="000000" w:themeColor="text1"/>
                          <w:szCs w:val="24"/>
                          <w:u w:val="single"/>
                        </w:rPr>
                        <w:t>administration</w:t>
                      </w:r>
                      <w:proofErr w:type="gramEnd"/>
                      <w:r w:rsidRPr="009F5667">
                        <w:rPr>
                          <w:b/>
                          <w:color w:val="000000" w:themeColor="text1"/>
                          <w:szCs w:val="24"/>
                          <w:u w:val="single"/>
                        </w:rPr>
                        <w:t xml:space="preserve"> and monitoring requirements</w:t>
                      </w:r>
                    </w:p>
                    <w:p w14:paraId="5ADB5EC3" w14:textId="77777777" w:rsidR="00B63A70" w:rsidRPr="006D5F7D" w:rsidRDefault="00B63A70" w:rsidP="009F5667">
                      <w:pPr>
                        <w:tabs>
                          <w:tab w:val="left" w:pos="567"/>
                          <w:tab w:val="left" w:pos="709"/>
                        </w:tabs>
                        <w:ind w:right="47"/>
                        <w:jc w:val="both"/>
                        <w:rPr>
                          <w14:textOutline w14:w="9525" w14:cap="rnd" w14:cmpd="sng" w14:algn="ctr">
                            <w14:noFill/>
                            <w14:prstDash w14:val="solid"/>
                            <w14:bevel/>
                          </w14:textOutline>
                        </w:rPr>
                      </w:pPr>
                      <w:r w:rsidRPr="006D5F7D">
                        <w:rPr>
                          <w14:textOutline w14:w="9525" w14:cap="rnd" w14:cmpd="sng" w14:algn="ctr">
                            <w14:noFill/>
                            <w14:prstDash w14:val="solid"/>
                            <w14:bevel/>
                          </w14:textOutline>
                        </w:rPr>
                        <w:t xml:space="preserve">The following premixed bags containing potassium are available. </w:t>
                      </w:r>
                      <w:r w:rsidRPr="006D5F7D">
                        <w:rPr>
                          <w:b/>
                          <w14:textOutline w14:w="9525" w14:cap="rnd" w14:cmpd="sng" w14:algn="ctr">
                            <w14:noFill/>
                            <w14:prstDash w14:val="solid"/>
                            <w14:bevel/>
                          </w14:textOutline>
                        </w:rPr>
                        <w:t>These should be used rather than extemporaneously adding ampoules of potassium chloride to IV fluids.</w:t>
                      </w:r>
                    </w:p>
                    <w:p w14:paraId="2CCF4EC9" w14:textId="77777777" w:rsidR="00B63A70" w:rsidRPr="006D5F7D" w:rsidRDefault="00B63A70" w:rsidP="00061D7A">
                      <w:pPr>
                        <w:pStyle w:val="ListParagraph"/>
                        <w:numPr>
                          <w:ilvl w:val="0"/>
                          <w:numId w:val="5"/>
                        </w:numPr>
                        <w:tabs>
                          <w:tab w:val="left" w:pos="567"/>
                          <w:tab w:val="left" w:pos="709"/>
                        </w:tabs>
                        <w:autoSpaceDE w:val="0"/>
                        <w:autoSpaceDN w:val="0"/>
                        <w:adjustRightInd w:val="0"/>
                        <w:spacing w:before="60" w:after="60"/>
                        <w:ind w:left="630" w:right="47" w:hanging="450"/>
                        <w:contextualSpacing w:val="0"/>
                        <w:rPr>
                          <w14:textOutline w14:w="9525" w14:cap="rnd" w14:cmpd="sng" w14:algn="ctr">
                            <w14:noFill/>
                            <w14:prstDash w14:val="solid"/>
                            <w14:bevel/>
                          </w14:textOutline>
                        </w:rPr>
                      </w:pPr>
                      <w:r w:rsidRPr="006D5F7D">
                        <w:rPr>
                          <w14:textOutline w14:w="9525" w14:cap="rnd" w14:cmpd="sng" w14:algn="ctr">
                            <w14:noFill/>
                            <w14:prstDash w14:val="solid"/>
                            <w14:bevel/>
                          </w14:textOutline>
                        </w:rPr>
                        <w:t>Potassium Chloride 30 mmol in Sodium Chloride 0.9%, 1000 mL</w:t>
                      </w:r>
                    </w:p>
                    <w:p w14:paraId="280E36BC" w14:textId="77777777" w:rsidR="00B63A70" w:rsidRPr="006D5F7D" w:rsidRDefault="00B63A70" w:rsidP="00061D7A">
                      <w:pPr>
                        <w:pStyle w:val="ListParagraph"/>
                        <w:numPr>
                          <w:ilvl w:val="0"/>
                          <w:numId w:val="5"/>
                        </w:numPr>
                        <w:tabs>
                          <w:tab w:val="left" w:pos="567"/>
                          <w:tab w:val="left" w:pos="709"/>
                        </w:tabs>
                        <w:autoSpaceDE w:val="0"/>
                        <w:autoSpaceDN w:val="0"/>
                        <w:adjustRightInd w:val="0"/>
                        <w:spacing w:before="60" w:after="60"/>
                        <w:ind w:left="630" w:right="47" w:hanging="450"/>
                        <w:contextualSpacing w:val="0"/>
                        <w:rPr>
                          <w14:textOutline w14:w="9525" w14:cap="rnd" w14:cmpd="sng" w14:algn="ctr">
                            <w14:noFill/>
                            <w14:prstDash w14:val="solid"/>
                            <w14:bevel/>
                          </w14:textOutline>
                        </w:rPr>
                      </w:pPr>
                      <w:r w:rsidRPr="006D5F7D">
                        <w:rPr>
                          <w14:textOutline w14:w="9525" w14:cap="rnd" w14:cmpd="sng" w14:algn="ctr">
                            <w14:noFill/>
                            <w14:prstDash w14:val="solid"/>
                            <w14:bevel/>
                          </w14:textOutline>
                        </w:rPr>
                        <w:t xml:space="preserve">Potassium Chloride 30 mmol in </w:t>
                      </w:r>
                      <w:r>
                        <w:rPr>
                          <w14:textOutline w14:w="9525" w14:cap="rnd" w14:cmpd="sng" w14:algn="ctr">
                            <w14:noFill/>
                            <w14:prstDash w14:val="solid"/>
                            <w14:bevel/>
                          </w14:textOutline>
                        </w:rPr>
                        <w:t xml:space="preserve">Dextrose </w:t>
                      </w:r>
                      <w:r w:rsidRPr="006D5F7D">
                        <w:rPr>
                          <w14:textOutline w14:w="9525" w14:cap="rnd" w14:cmpd="sng" w14:algn="ctr">
                            <w14:noFill/>
                            <w14:prstDash w14:val="solid"/>
                            <w14:bevel/>
                          </w14:textOutline>
                        </w:rPr>
                        <w:t>4% and Sodium Chloride 0.18%, 1000 mL</w:t>
                      </w:r>
                    </w:p>
                    <w:p w14:paraId="4456893D" w14:textId="77777777" w:rsidR="00B63A70" w:rsidRPr="006D5F7D" w:rsidRDefault="00B63A70" w:rsidP="00061D7A">
                      <w:pPr>
                        <w:pStyle w:val="ListParagraph"/>
                        <w:numPr>
                          <w:ilvl w:val="0"/>
                          <w:numId w:val="5"/>
                        </w:numPr>
                        <w:tabs>
                          <w:tab w:val="left" w:pos="567"/>
                          <w:tab w:val="left" w:pos="709"/>
                        </w:tabs>
                        <w:autoSpaceDE w:val="0"/>
                        <w:autoSpaceDN w:val="0"/>
                        <w:adjustRightInd w:val="0"/>
                        <w:spacing w:before="60" w:after="60"/>
                        <w:ind w:left="630" w:right="47" w:hanging="450"/>
                        <w:contextualSpacing w:val="0"/>
                        <w:rPr>
                          <w14:textOutline w14:w="9525" w14:cap="rnd" w14:cmpd="sng" w14:algn="ctr">
                            <w14:noFill/>
                            <w14:prstDash w14:val="solid"/>
                            <w14:bevel/>
                          </w14:textOutline>
                        </w:rPr>
                      </w:pPr>
                      <w:r w:rsidRPr="006D5F7D">
                        <w:rPr>
                          <w14:textOutline w14:w="9525" w14:cap="rnd" w14:cmpd="sng" w14:algn="ctr">
                            <w14:noFill/>
                            <w14:prstDash w14:val="solid"/>
                            <w14:bevel/>
                          </w14:textOutline>
                        </w:rPr>
                        <w:t>Potassium Chloride 30 mmol in Dextrose 5%, 1000 mL</w:t>
                      </w:r>
                    </w:p>
                    <w:p w14:paraId="46DBB2D1" w14:textId="77777777" w:rsidR="00B63A70" w:rsidRPr="006D5F7D" w:rsidRDefault="00B63A70" w:rsidP="00061D7A">
                      <w:pPr>
                        <w:pStyle w:val="ListParagraph"/>
                        <w:numPr>
                          <w:ilvl w:val="0"/>
                          <w:numId w:val="5"/>
                        </w:numPr>
                        <w:tabs>
                          <w:tab w:val="left" w:pos="567"/>
                          <w:tab w:val="left" w:pos="709"/>
                        </w:tabs>
                        <w:autoSpaceDE w:val="0"/>
                        <w:autoSpaceDN w:val="0"/>
                        <w:adjustRightInd w:val="0"/>
                        <w:spacing w:before="60" w:after="60"/>
                        <w:ind w:left="630" w:right="47" w:hanging="450"/>
                        <w:contextualSpacing w:val="0"/>
                        <w:rPr>
                          <w14:textOutline w14:w="9525" w14:cap="rnd" w14:cmpd="sng" w14:algn="ctr">
                            <w14:noFill/>
                            <w14:prstDash w14:val="solid"/>
                            <w14:bevel/>
                          </w14:textOutline>
                        </w:rPr>
                      </w:pPr>
                      <w:r w:rsidRPr="006D5F7D">
                        <w:rPr>
                          <w14:textOutline w14:w="9525" w14:cap="rnd" w14:cmpd="sng" w14:algn="ctr">
                            <w14:noFill/>
                            <w14:prstDash w14:val="solid"/>
                            <w14:bevel/>
                          </w14:textOutline>
                        </w:rPr>
                        <w:t>Potassium Chloride 30 mmol in Hartmann’s Solution, 1000 mL</w:t>
                      </w:r>
                    </w:p>
                    <w:p w14:paraId="7567C49A" w14:textId="77777777" w:rsidR="00B63A70" w:rsidRPr="006D5F7D" w:rsidRDefault="00B63A70" w:rsidP="00061D7A">
                      <w:pPr>
                        <w:pStyle w:val="ListParagraph"/>
                        <w:numPr>
                          <w:ilvl w:val="0"/>
                          <w:numId w:val="5"/>
                        </w:numPr>
                        <w:tabs>
                          <w:tab w:val="left" w:pos="567"/>
                          <w:tab w:val="left" w:pos="709"/>
                        </w:tabs>
                        <w:autoSpaceDE w:val="0"/>
                        <w:autoSpaceDN w:val="0"/>
                        <w:adjustRightInd w:val="0"/>
                        <w:spacing w:before="60" w:after="60"/>
                        <w:ind w:left="630" w:right="47" w:hanging="450"/>
                        <w:contextualSpacing w:val="0"/>
                        <w:rPr>
                          <w14:textOutline w14:w="9525" w14:cap="rnd" w14:cmpd="sng" w14:algn="ctr">
                            <w14:noFill/>
                            <w14:prstDash w14:val="solid"/>
                            <w14:bevel/>
                          </w14:textOutline>
                        </w:rPr>
                      </w:pPr>
                      <w:r w:rsidRPr="006D5F7D">
                        <w:rPr>
                          <w14:textOutline w14:w="9525" w14:cap="rnd" w14:cmpd="sng" w14:algn="ctr">
                            <w14:noFill/>
                            <w14:prstDash w14:val="solid"/>
                            <w14:bevel/>
                          </w14:textOutline>
                        </w:rPr>
                        <w:t>Potassium Chloride 10 mmol in Sodium Chloride 0.29%, 100 mL (isotonic)</w:t>
                      </w:r>
                    </w:p>
                    <w:p w14:paraId="28EE4F7E" w14:textId="0D5F2DDA" w:rsidR="00B63A70" w:rsidRPr="006D5F7D" w:rsidRDefault="00B63A70" w:rsidP="009F5667">
                      <w:pPr>
                        <w:tabs>
                          <w:tab w:val="left" w:pos="567"/>
                          <w:tab w:val="left" w:pos="709"/>
                        </w:tabs>
                        <w:ind w:right="47"/>
                        <w:jc w:val="both"/>
                        <w:rPr>
                          <w14:textOutline w14:w="9525" w14:cap="rnd" w14:cmpd="sng" w14:algn="ctr">
                            <w14:noFill/>
                            <w14:prstDash w14:val="solid"/>
                            <w14:bevel/>
                          </w14:textOutline>
                        </w:rPr>
                      </w:pPr>
                      <w:r w:rsidRPr="006D5F7D">
                        <w:rPr>
                          <w14:textOutline w14:w="9525" w14:cap="rnd" w14:cmpd="sng" w14:algn="ctr">
                            <w14:noFill/>
                            <w14:prstDash w14:val="solid"/>
                            <w14:bevel/>
                          </w14:textOutline>
                        </w:rPr>
                        <w:t xml:space="preserve"> If the above options are inappropriate (</w:t>
                      </w:r>
                      <w:proofErr w:type="gramStart"/>
                      <w:r w:rsidRPr="006D5F7D">
                        <w:rPr>
                          <w14:textOutline w14:w="9525" w14:cap="rnd" w14:cmpd="sng" w14:algn="ctr">
                            <w14:noFill/>
                            <w14:prstDash w14:val="solid"/>
                            <w14:bevel/>
                          </w14:textOutline>
                        </w:rPr>
                        <w:t>i.e.</w:t>
                      </w:r>
                      <w:proofErr w:type="gramEnd"/>
                      <w:r w:rsidRPr="006D5F7D">
                        <w:rPr>
                          <w14:textOutline w14:w="9525" w14:cap="rnd" w14:cmpd="sng" w14:algn="ctr">
                            <w14:noFill/>
                            <w14:prstDash w14:val="solid"/>
                            <w14:bevel/>
                          </w14:textOutline>
                        </w:rPr>
                        <w:t xml:space="preserve"> patient is severely fluid restricted), an infusion may be prepared using Potassium Chloride 10mmol</w:t>
                      </w:r>
                      <w:r>
                        <w:rPr>
                          <w14:textOutline w14:w="9525" w14:cap="rnd" w14:cmpd="sng" w14:algn="ctr">
                            <w14:noFill/>
                            <w14:prstDash w14:val="solid"/>
                            <w14:bevel/>
                          </w14:textOutline>
                        </w:rPr>
                        <w:t xml:space="preserve"> </w:t>
                      </w:r>
                      <w:r w:rsidRPr="006D5F7D">
                        <w:rPr>
                          <w14:textOutline w14:w="9525" w14:cap="rnd" w14:cmpd="sng" w14:algn="ctr">
                            <w14:noFill/>
                            <w14:prstDash w14:val="solid"/>
                            <w14:bevel/>
                          </w14:textOutline>
                        </w:rPr>
                        <w:t>ampoules. However, concentrations &gt;40</w:t>
                      </w:r>
                      <w:r>
                        <w:rPr>
                          <w14:textOutline w14:w="9525" w14:cap="rnd" w14:cmpd="sng" w14:algn="ctr">
                            <w14:noFill/>
                            <w14:prstDash w14:val="solid"/>
                            <w14:bevel/>
                          </w14:textOutline>
                        </w:rPr>
                        <w:t xml:space="preserve"> </w:t>
                      </w:r>
                      <w:r w:rsidRPr="006D5F7D">
                        <w:rPr>
                          <w14:textOutline w14:w="9525" w14:cap="rnd" w14:cmpd="sng" w14:algn="ctr">
                            <w14:noFill/>
                            <w14:prstDash w14:val="solid"/>
                            <w14:bevel/>
                          </w14:textOutline>
                        </w:rPr>
                        <w:t>mmol/L must be administered via a central line.</w:t>
                      </w:r>
                    </w:p>
                    <w:p w14:paraId="596C5EE0" w14:textId="11BA97B8" w:rsidR="00B63A70" w:rsidRPr="006D5F7D" w:rsidRDefault="00B63A70" w:rsidP="009F5667">
                      <w:pPr>
                        <w:tabs>
                          <w:tab w:val="left" w:pos="567"/>
                          <w:tab w:val="left" w:pos="709"/>
                        </w:tabs>
                        <w:ind w:right="47"/>
                        <w:jc w:val="both"/>
                        <w:rPr>
                          <w:vertAlign w:val="superscript"/>
                          <w14:textOutline w14:w="9525" w14:cap="rnd" w14:cmpd="sng" w14:algn="ctr">
                            <w14:noFill/>
                            <w14:prstDash w14:val="solid"/>
                            <w14:bevel/>
                          </w14:textOutline>
                        </w:rPr>
                      </w:pPr>
                      <w:r w:rsidRPr="006D5F7D">
                        <w:rPr>
                          <w14:textOutline w14:w="9525" w14:cap="rnd" w14:cmpd="sng" w14:algn="ctr">
                            <w14:noFill/>
                            <w14:prstDash w14:val="solid"/>
                            <w14:bevel/>
                          </w14:textOutline>
                        </w:rPr>
                        <w:t xml:space="preserve">All potassium containing infusions </w:t>
                      </w:r>
                      <w:r w:rsidRPr="006D5F7D">
                        <w:rPr>
                          <w:b/>
                          <w14:textOutline w14:w="9525" w14:cap="rnd" w14:cmpd="sng" w14:algn="ctr">
                            <w14:noFill/>
                            <w14:prstDash w14:val="solid"/>
                            <w14:bevel/>
                          </w14:textOutline>
                        </w:rPr>
                        <w:t xml:space="preserve">must be administered using an infusion pump </w:t>
                      </w:r>
                      <w:r>
                        <w:rPr>
                          <w:b/>
                          <w14:textOutline w14:w="9525" w14:cap="rnd" w14:cmpd="sng" w14:algn="ctr">
                            <w14:noFill/>
                            <w14:prstDash w14:val="solid"/>
                            <w14:bevel/>
                          </w14:textOutline>
                        </w:rPr>
                        <w:t>dose limiting software</w:t>
                      </w:r>
                      <w:r w:rsidRPr="006D5F7D">
                        <w:rPr>
                          <w:b/>
                          <w14:textOutline w14:w="9525" w14:cap="rnd" w14:cmpd="sng" w14:algn="ctr">
                            <w14:noFill/>
                            <w14:prstDash w14:val="solid"/>
                            <w14:bevel/>
                          </w14:textOutline>
                        </w:rPr>
                        <w:t>.</w:t>
                      </w:r>
                    </w:p>
                    <w:p w14:paraId="2D80A9DE" w14:textId="1236337C" w:rsidR="00B63A70" w:rsidRPr="006D5F7D" w:rsidRDefault="00B63A70" w:rsidP="009F5667">
                      <w:pPr>
                        <w:tabs>
                          <w:tab w:val="left" w:pos="567"/>
                          <w:tab w:val="left" w:pos="709"/>
                        </w:tabs>
                        <w:ind w:right="47"/>
                        <w:jc w:val="both"/>
                        <w:rPr>
                          <w:vertAlign w:val="superscript"/>
                          <w14:textOutline w14:w="9525" w14:cap="rnd" w14:cmpd="sng" w14:algn="ctr">
                            <w14:noFill/>
                            <w14:prstDash w14:val="solid"/>
                            <w14:bevel/>
                          </w14:textOutline>
                        </w:rPr>
                      </w:pPr>
                      <w:r>
                        <w:rPr>
                          <w14:textOutline w14:w="9525" w14:cap="rnd" w14:cmpd="sng" w14:algn="ctr">
                            <w14:noFill/>
                            <w14:prstDash w14:val="solid"/>
                            <w14:bevel/>
                          </w14:textOutline>
                        </w:rPr>
                        <w:t>If replacing via peripheral venous access</w:t>
                      </w:r>
                      <w:r w:rsidRPr="006D5F7D">
                        <w:rPr>
                          <w14:textOutline w14:w="9525" w14:cap="rnd" w14:cmpd="sng" w14:algn="ctr">
                            <w14:noFill/>
                            <w14:prstDash w14:val="solid"/>
                            <w14:bevel/>
                          </w14:textOutline>
                        </w:rPr>
                        <w:t xml:space="preserve">, a maximum rate of </w:t>
                      </w:r>
                      <w:r w:rsidRPr="006D5F7D">
                        <w:rPr>
                          <w:b/>
                          <w14:textOutline w14:w="9525" w14:cap="rnd" w14:cmpd="sng" w14:algn="ctr">
                            <w14:noFill/>
                            <w14:prstDash w14:val="solid"/>
                            <w14:bevel/>
                          </w14:textOutline>
                        </w:rPr>
                        <w:t>10</w:t>
                      </w:r>
                      <w:r>
                        <w:rPr>
                          <w:b/>
                          <w14:textOutline w14:w="9525" w14:cap="rnd" w14:cmpd="sng" w14:algn="ctr">
                            <w14:noFill/>
                            <w14:prstDash w14:val="solid"/>
                            <w14:bevel/>
                          </w14:textOutline>
                        </w:rPr>
                        <w:t xml:space="preserve"> </w:t>
                      </w:r>
                      <w:r w:rsidRPr="006D5F7D">
                        <w:rPr>
                          <w:b/>
                          <w14:textOutline w14:w="9525" w14:cap="rnd" w14:cmpd="sng" w14:algn="ctr">
                            <w14:noFill/>
                            <w14:prstDash w14:val="solid"/>
                            <w14:bevel/>
                          </w14:textOutline>
                        </w:rPr>
                        <w:t xml:space="preserve">mmol/hr </w:t>
                      </w:r>
                      <w:r w:rsidRPr="006D5F7D">
                        <w:rPr>
                          <w14:textOutline w14:w="9525" w14:cap="rnd" w14:cmpd="sng" w14:algn="ctr">
                            <w14:noFill/>
                            <w14:prstDash w14:val="solid"/>
                            <w14:bevel/>
                          </w14:textOutline>
                        </w:rPr>
                        <w:t>should be adhered to.</w:t>
                      </w:r>
                      <w:r w:rsidR="00061D7A">
                        <w:rPr>
                          <w14:textOutline w14:w="9525" w14:cap="rnd" w14:cmpd="sng" w14:algn="ctr">
                            <w14:noFill/>
                            <w14:prstDash w14:val="solid"/>
                            <w14:bevel/>
                          </w14:textOutline>
                        </w:rPr>
                        <w:t xml:space="preserve"> </w:t>
                      </w:r>
                      <w:r w:rsidRPr="006D5F7D">
                        <w:rPr>
                          <w14:textOutline w14:w="9525" w14:cap="rnd" w14:cmpd="sng" w14:algn="ctr">
                            <w14:noFill/>
                            <w14:prstDash w14:val="solid"/>
                            <w14:bevel/>
                          </w14:textOutline>
                        </w:rPr>
                        <w:t>Higher rates (&gt;10</w:t>
                      </w:r>
                      <w:r>
                        <w:rPr>
                          <w14:textOutline w14:w="9525" w14:cap="rnd" w14:cmpd="sng" w14:algn="ctr">
                            <w14:noFill/>
                            <w14:prstDash w14:val="solid"/>
                            <w14:bevel/>
                          </w14:textOutline>
                        </w:rPr>
                        <w:t xml:space="preserve"> </w:t>
                      </w:r>
                      <w:r w:rsidRPr="006D5F7D">
                        <w:rPr>
                          <w14:textOutline w14:w="9525" w14:cap="rnd" w14:cmpd="sng" w14:algn="ctr">
                            <w14:noFill/>
                            <w14:prstDash w14:val="solid"/>
                            <w14:bevel/>
                          </w14:textOutline>
                        </w:rPr>
                        <w:t>mmol/hr) may be used in special circumstances such as in the management of diabetic ketoacidosis.</w:t>
                      </w:r>
                      <w:r w:rsidR="00061D7A">
                        <w:rPr>
                          <w14:textOutline w14:w="9525" w14:cap="rnd" w14:cmpd="sng" w14:algn="ctr">
                            <w14:noFill/>
                            <w14:prstDash w14:val="solid"/>
                            <w14:bevel/>
                          </w14:textOutline>
                        </w:rPr>
                        <w:t xml:space="preserve"> </w:t>
                      </w:r>
                      <w:r w:rsidRPr="006D5F7D">
                        <w:rPr>
                          <w14:textOutline w14:w="9525" w14:cap="rnd" w14:cmpd="sng" w14:algn="ctr">
                            <w14:noFill/>
                            <w14:prstDash w14:val="solid"/>
                            <w14:bevel/>
                          </w14:textOutline>
                        </w:rPr>
                        <w:t>Higher rates require cardiac monitoring and infusion via a large vein is preferred.</w:t>
                      </w:r>
                    </w:p>
                    <w:p w14:paraId="3C01721B" w14:textId="77777777" w:rsidR="00B63A70" w:rsidRPr="00930B2E" w:rsidRDefault="00B63A70" w:rsidP="009F5667">
                      <w:pPr>
                        <w:tabs>
                          <w:tab w:val="left" w:pos="630"/>
                          <w:tab w:val="left" w:pos="709"/>
                        </w:tabs>
                        <w:rPr>
                          <w14:textOutline w14:w="9525" w14:cap="rnd" w14:cmpd="sng" w14:algn="ctr">
                            <w14:noFill/>
                            <w14:prstDash w14:val="solid"/>
                            <w14:bevel/>
                          </w14:textOutline>
                        </w:rPr>
                      </w:pPr>
                      <w:r w:rsidRPr="006D5F7D">
                        <w:rPr>
                          <w14:textOutline w14:w="9525" w14:cap="rnd" w14:cmpd="sng" w14:algn="ctr">
                            <w14:noFill/>
                            <w14:prstDash w14:val="solid"/>
                            <w14:bevel/>
                          </w14:textOutline>
                        </w:rPr>
                        <w:t xml:space="preserve">Serum potassium levels should be monitored at least every </w:t>
                      </w:r>
                      <w:r w:rsidRPr="00265997">
                        <w:rPr>
                          <w:b/>
                          <w14:textOutline w14:w="9525" w14:cap="rnd" w14:cmpd="sng" w14:algn="ctr">
                            <w14:noFill/>
                            <w14:prstDash w14:val="solid"/>
                            <w14:bevel/>
                          </w14:textOutline>
                        </w:rPr>
                        <w:t>4 to 6 hours</w:t>
                      </w:r>
                      <w:r w:rsidRPr="006D5F7D">
                        <w:rPr>
                          <w14:textOutline w14:w="9525" w14:cap="rnd" w14:cmpd="sng" w14:algn="ctr">
                            <w14:noFill/>
                            <w14:prstDash w14:val="solid"/>
                            <w14:bevel/>
                          </w14:textOutline>
                        </w:rPr>
                        <w:t xml:space="preserve"> during IV replacement and subsequently </w:t>
                      </w:r>
                      <w:r>
                        <w:rPr>
                          <w14:textOutline w14:w="9525" w14:cap="rnd" w14:cmpd="sng" w14:algn="ctr">
                            <w14:noFill/>
                            <w14:prstDash w14:val="solid"/>
                            <w14:bevel/>
                          </w14:textOutline>
                        </w:rPr>
                        <w:t>adjust</w:t>
                      </w:r>
                      <w:r w:rsidRPr="006D5F7D">
                        <w:rPr>
                          <w14:textOutline w14:w="9525" w14:cap="rnd" w14:cmpd="sng" w14:algn="ctr">
                            <w14:noFill/>
                            <w14:prstDash w14:val="solid"/>
                            <w14:bevel/>
                          </w14:textOutline>
                        </w:rPr>
                        <w:t xml:space="preserve"> dose according to</w:t>
                      </w:r>
                      <w:r>
                        <w:rPr>
                          <w14:textOutline w14:w="9525" w14:cap="rnd" w14:cmpd="sng" w14:algn="ctr">
                            <w14:noFill/>
                            <w14:prstDash w14:val="solid"/>
                            <w14:bevel/>
                          </w14:textOutline>
                        </w:rPr>
                        <w:t xml:space="preserve"> levels.</w:t>
                      </w:r>
                    </w:p>
                    <w:p w14:paraId="1E834217" w14:textId="77777777" w:rsidR="00B63A70" w:rsidRPr="006D5F7D" w:rsidRDefault="00B63A70" w:rsidP="009F5667">
                      <w:pPr>
                        <w:tabs>
                          <w:tab w:val="left" w:pos="567"/>
                          <w:tab w:val="left" w:pos="709"/>
                        </w:tabs>
                        <w:ind w:right="47"/>
                        <w:jc w:val="both"/>
                        <w:rPr>
                          <w:vertAlign w:val="superscript"/>
                          <w14:textOutline w14:w="9525" w14:cap="rnd" w14:cmpd="sng" w14:algn="ctr">
                            <w14:noFill/>
                            <w14:prstDash w14:val="solid"/>
                            <w14:bevel/>
                          </w14:textOutline>
                        </w:rPr>
                      </w:pPr>
                    </w:p>
                  </w:txbxContent>
                </v:textbox>
                <w10:wrap type="square" anchorx="margin" anchory="page"/>
              </v:shape>
            </w:pict>
          </mc:Fallback>
        </mc:AlternateContent>
      </w:r>
      <w:r w:rsidR="009F5667">
        <w:t xml:space="preserve">Hypokalaemia can be caused by reduced ingestion, increased potassium loss or an intracellular shift of potassium ions in the presence of metabolic alkalosis, </w:t>
      </w:r>
      <w:proofErr w:type="gramStart"/>
      <w:r w:rsidR="009F5667">
        <w:t>insulin</w:t>
      </w:r>
      <w:proofErr w:type="gramEnd"/>
      <w:r w:rsidR="009F5667">
        <w:t xml:space="preserve"> and salbutamol therapy. Symptoms and signs of hypokalaemia include muscle weakness progressing to paralysis, respiratory </w:t>
      </w:r>
      <w:proofErr w:type="gramStart"/>
      <w:r w:rsidR="009F5667">
        <w:t>insufficiency</w:t>
      </w:r>
      <w:proofErr w:type="gramEnd"/>
      <w:r w:rsidR="009F5667">
        <w:t xml:space="preserve"> and cardiac arrhythmias. </w:t>
      </w:r>
    </w:p>
    <w:p w14:paraId="73170C8B" w14:textId="77777777" w:rsidR="003865DA" w:rsidRPr="00A739A1" w:rsidRDefault="003865DA" w:rsidP="003865DA">
      <w:pPr>
        <w:pStyle w:val="ListParagraph"/>
        <w:autoSpaceDE w:val="0"/>
        <w:autoSpaceDN w:val="0"/>
        <w:adjustRightInd w:val="0"/>
        <w:spacing w:before="60" w:after="60"/>
        <w:ind w:left="360"/>
      </w:pPr>
    </w:p>
    <w:p w14:paraId="1DD4C525" w14:textId="410414C2" w:rsidR="009F5667" w:rsidRDefault="009F5667" w:rsidP="00061D7A">
      <w:pPr>
        <w:pStyle w:val="ListParagraph"/>
        <w:numPr>
          <w:ilvl w:val="0"/>
          <w:numId w:val="6"/>
        </w:numPr>
        <w:tabs>
          <w:tab w:val="left" w:pos="630"/>
          <w:tab w:val="left" w:pos="720"/>
          <w:tab w:val="left" w:pos="810"/>
        </w:tabs>
        <w:autoSpaceDE w:val="0"/>
        <w:autoSpaceDN w:val="0"/>
        <w:adjustRightInd w:val="0"/>
        <w:spacing w:after="120"/>
      </w:pPr>
      <w:r w:rsidRPr="009F5667">
        <w:rPr>
          <w:b/>
        </w:rPr>
        <w:t>Severe to moderate hypokalaemia</w:t>
      </w:r>
      <w:r w:rsidRPr="009A3261">
        <w:t xml:space="preserve"> and</w:t>
      </w:r>
      <w:r w:rsidRPr="009F5667">
        <w:rPr>
          <w:b/>
        </w:rPr>
        <w:t xml:space="preserve"> symptomatic patients </w:t>
      </w:r>
      <w:r>
        <w:t>should be treated with Intravenous (IV) replacement.</w:t>
      </w:r>
      <w:r w:rsidRPr="009F5667">
        <w:rPr>
          <w:vertAlign w:val="superscript"/>
        </w:rPr>
        <w:t xml:space="preserve"> </w:t>
      </w:r>
      <w:r>
        <w:t xml:space="preserve">Patients with severe to moderate hypokalaemia generally require an extra 40 to 80 mmol of potassium on top of their daily maintenance requirements.       </w:t>
      </w:r>
    </w:p>
    <w:p w14:paraId="625AEAD1" w14:textId="77777777" w:rsidR="009F5667" w:rsidRDefault="009F5667" w:rsidP="003865DA"/>
    <w:p w14:paraId="2F51A892" w14:textId="22A12378" w:rsidR="007B6904" w:rsidRDefault="009F5667" w:rsidP="003865DA">
      <w:pPr>
        <w:rPr>
          <w:rFonts w:cs="Arial"/>
          <w:i/>
          <w:szCs w:val="24"/>
        </w:rPr>
      </w:pPr>
      <w:r>
        <w:lastRenderedPageBreak/>
        <w:t>The daily adult potassium requirement is 1mmol/kg lean body weight.</w:t>
      </w:r>
      <w:r w:rsidRPr="00A873D4">
        <w:rPr>
          <w:b/>
          <w:color w:val="1F497D" w:themeColor="text2"/>
          <w:szCs w:val="24"/>
          <w:u w:val="single"/>
        </w:rPr>
        <w:t xml:space="preserve"> </w:t>
      </w:r>
      <w:r w:rsidR="007B6904">
        <w:rPr>
          <w:rFonts w:cs="Arial"/>
          <w:i/>
          <w:szCs w:val="24"/>
        </w:rPr>
        <w:t xml:space="preserve"> </w:t>
      </w:r>
    </w:p>
    <w:p w14:paraId="779BBFC9" w14:textId="77777777" w:rsidR="009F5667" w:rsidRDefault="009F5667" w:rsidP="003865DA">
      <w:pPr>
        <w:rPr>
          <w:rFonts w:cs="Arial"/>
          <w:i/>
          <w:szCs w:val="24"/>
        </w:rPr>
      </w:pPr>
    </w:p>
    <w:p w14:paraId="15214252" w14:textId="77777777" w:rsidR="009F5667" w:rsidRDefault="009F5667" w:rsidP="00061D7A">
      <w:pPr>
        <w:pStyle w:val="ListParagraph"/>
        <w:numPr>
          <w:ilvl w:val="0"/>
          <w:numId w:val="7"/>
        </w:numPr>
        <w:autoSpaceDE w:val="0"/>
        <w:autoSpaceDN w:val="0"/>
        <w:adjustRightInd w:val="0"/>
        <w:spacing w:before="60" w:after="60"/>
        <w:contextualSpacing w:val="0"/>
      </w:pPr>
      <w:r w:rsidRPr="00B55FD8">
        <w:rPr>
          <w:b/>
        </w:rPr>
        <w:t xml:space="preserve">Mild hypokalaemia </w:t>
      </w:r>
      <w:r>
        <w:t xml:space="preserve">may be treated with oral supplementation, provided oral route is </w:t>
      </w:r>
      <w:proofErr w:type="spellStart"/>
      <w:r>
        <w:t>avaliable</w:t>
      </w:r>
      <w:proofErr w:type="spellEnd"/>
      <w:r>
        <w:t>.</w:t>
      </w:r>
    </w:p>
    <w:p w14:paraId="0A22ADCE" w14:textId="77777777" w:rsidR="009F5667" w:rsidRDefault="009F5667" w:rsidP="003865DA">
      <w:pPr>
        <w:pStyle w:val="ListParagraph"/>
        <w:autoSpaceDE w:val="0"/>
        <w:autoSpaceDN w:val="0"/>
        <w:adjustRightInd w:val="0"/>
        <w:spacing w:before="60" w:after="60"/>
        <w:ind w:left="360"/>
        <w:contextualSpacing w:val="0"/>
      </w:pPr>
    </w:p>
    <w:p w14:paraId="0C8D90CF" w14:textId="5C005DF4" w:rsidR="009F5667" w:rsidRDefault="009F5667" w:rsidP="00061D7A">
      <w:pPr>
        <w:pStyle w:val="ListParagraph"/>
        <w:numPr>
          <w:ilvl w:val="0"/>
          <w:numId w:val="7"/>
        </w:numPr>
        <w:autoSpaceDE w:val="0"/>
        <w:autoSpaceDN w:val="0"/>
        <w:adjustRightInd w:val="0"/>
        <w:spacing w:before="60" w:after="60"/>
        <w:contextualSpacing w:val="0"/>
      </w:pPr>
      <w:r w:rsidRPr="00DB18FF">
        <w:rPr>
          <w:noProof/>
        </w:rPr>
        <w:t>The following oral potassium preparations are available</w:t>
      </w:r>
      <w:r>
        <w:rPr>
          <w:noProof/>
        </w:rPr>
        <w:t xml:space="preserve"> with their suggested dosing:                       </w:t>
      </w:r>
    </w:p>
    <w:p w14:paraId="2DF918C9" w14:textId="77777777" w:rsidR="009F5667" w:rsidRPr="00910E39" w:rsidRDefault="009F5667" w:rsidP="00061D7A">
      <w:pPr>
        <w:pStyle w:val="ListParagraph"/>
        <w:numPr>
          <w:ilvl w:val="0"/>
          <w:numId w:val="8"/>
        </w:numPr>
        <w:tabs>
          <w:tab w:val="left" w:pos="1350"/>
        </w:tabs>
        <w:autoSpaceDE w:val="0"/>
        <w:autoSpaceDN w:val="0"/>
        <w:adjustRightInd w:val="0"/>
        <w:spacing w:before="60" w:after="60"/>
        <w:contextualSpacing w:val="0"/>
        <w:rPr>
          <w:noProof/>
        </w:rPr>
      </w:pPr>
      <w:r w:rsidRPr="00910E39">
        <w:rPr>
          <w:b/>
          <w:noProof/>
        </w:rPr>
        <w:t xml:space="preserve">Potassium </w:t>
      </w:r>
      <w:r>
        <w:rPr>
          <w:b/>
          <w:noProof/>
        </w:rPr>
        <w:t>C</w:t>
      </w:r>
      <w:r w:rsidRPr="00910E39">
        <w:rPr>
          <w:b/>
          <w:noProof/>
        </w:rPr>
        <w:t>hloride slow release tablets 600</w:t>
      </w:r>
      <w:r>
        <w:rPr>
          <w:b/>
          <w:noProof/>
        </w:rPr>
        <w:t xml:space="preserve"> </w:t>
      </w:r>
      <w:r w:rsidRPr="00910E39">
        <w:rPr>
          <w:b/>
          <w:noProof/>
        </w:rPr>
        <w:t>mg (S</w:t>
      </w:r>
      <w:r>
        <w:rPr>
          <w:b/>
          <w:noProof/>
        </w:rPr>
        <w:t>pan</w:t>
      </w:r>
      <w:r w:rsidRPr="00910E39">
        <w:rPr>
          <w:b/>
          <w:noProof/>
        </w:rPr>
        <w:t xml:space="preserve"> K®, 8 mmol of potassium per tablet).                         </w:t>
      </w:r>
    </w:p>
    <w:p w14:paraId="4838AAB7" w14:textId="6D538FD9" w:rsidR="009F5667" w:rsidRPr="00910E39" w:rsidRDefault="009F5667" w:rsidP="003865DA">
      <w:pPr>
        <w:pStyle w:val="ListParagraph"/>
        <w:tabs>
          <w:tab w:val="left" w:pos="1080"/>
          <w:tab w:val="left" w:pos="1440"/>
        </w:tabs>
        <w:ind w:left="810" w:hanging="90"/>
        <w:rPr>
          <w:noProof/>
        </w:rPr>
      </w:pPr>
      <w:r>
        <w:rPr>
          <w:noProof/>
        </w:rPr>
        <w:t>1 to 2 tablets, taken two to three times a day</w:t>
      </w:r>
      <w:r w:rsidRPr="00910E39">
        <w:rPr>
          <w:noProof/>
        </w:rPr>
        <w:t>.</w:t>
      </w:r>
    </w:p>
    <w:p w14:paraId="40FA0433" w14:textId="77777777" w:rsidR="009F5667" w:rsidRPr="00910E39" w:rsidRDefault="009F5667" w:rsidP="00061D7A">
      <w:pPr>
        <w:pStyle w:val="ListParagraph"/>
        <w:numPr>
          <w:ilvl w:val="0"/>
          <w:numId w:val="8"/>
        </w:numPr>
        <w:tabs>
          <w:tab w:val="left" w:pos="1080"/>
          <w:tab w:val="left" w:pos="1350"/>
        </w:tabs>
        <w:autoSpaceDE w:val="0"/>
        <w:autoSpaceDN w:val="0"/>
        <w:adjustRightInd w:val="0"/>
        <w:spacing w:before="60" w:after="60"/>
        <w:contextualSpacing w:val="0"/>
        <w:rPr>
          <w:noProof/>
        </w:rPr>
      </w:pPr>
      <w:r w:rsidRPr="00910E39">
        <w:rPr>
          <w:b/>
          <w:noProof/>
        </w:rPr>
        <w:t>Potassium effervescent tablets (Chlorvescent®, 14 mmol of potassium per tablet).</w:t>
      </w:r>
    </w:p>
    <w:p w14:paraId="527FEA93" w14:textId="54D5AAC4" w:rsidR="009F5667" w:rsidRDefault="009F5667" w:rsidP="003865DA">
      <w:pPr>
        <w:pStyle w:val="ListParagraph"/>
        <w:tabs>
          <w:tab w:val="left" w:pos="1080"/>
          <w:tab w:val="left" w:pos="1350"/>
        </w:tabs>
        <w:spacing w:after="120"/>
        <w:ind w:left="900" w:hanging="91"/>
        <w:rPr>
          <w:noProof/>
        </w:rPr>
      </w:pPr>
      <w:r>
        <w:rPr>
          <w:noProof/>
        </w:rPr>
        <w:t xml:space="preserve">1 to </w:t>
      </w:r>
      <w:r w:rsidRPr="00DB18FF">
        <w:rPr>
          <w:noProof/>
        </w:rPr>
        <w:t>2 tablets</w:t>
      </w:r>
      <w:r>
        <w:rPr>
          <w:noProof/>
        </w:rPr>
        <w:t xml:space="preserve"> dissovled in water, taken two to threes times a day.</w:t>
      </w:r>
    </w:p>
    <w:p w14:paraId="07DC542C" w14:textId="77777777" w:rsidR="00061D7A" w:rsidRPr="00AD7AC0" w:rsidRDefault="00061D7A" w:rsidP="003865DA">
      <w:pPr>
        <w:pStyle w:val="ListParagraph"/>
        <w:tabs>
          <w:tab w:val="left" w:pos="1080"/>
          <w:tab w:val="left" w:pos="1350"/>
        </w:tabs>
        <w:spacing w:after="120"/>
        <w:ind w:left="900" w:hanging="91"/>
        <w:rPr>
          <w:noProof/>
        </w:rPr>
      </w:pPr>
    </w:p>
    <w:p w14:paraId="1056DF46" w14:textId="176F7E59" w:rsidR="009F5667" w:rsidRDefault="009F5667" w:rsidP="00061D7A">
      <w:pPr>
        <w:pStyle w:val="ListParagraph"/>
        <w:numPr>
          <w:ilvl w:val="0"/>
          <w:numId w:val="22"/>
        </w:numPr>
        <w:spacing w:after="60"/>
        <w:rPr>
          <w:noProof/>
        </w:rPr>
      </w:pPr>
      <w:r>
        <w:rPr>
          <w:noProof/>
        </w:rPr>
        <w:t>Both oral preperations should be taken prefe</w:t>
      </w:r>
      <w:r w:rsidR="00061D7A">
        <w:rPr>
          <w:noProof/>
        </w:rPr>
        <w:t>rably</w:t>
      </w:r>
      <w:r>
        <w:rPr>
          <w:noProof/>
        </w:rPr>
        <w:t xml:space="preserve"> at meal times to avoid gastric irritation.</w:t>
      </w:r>
      <w:r w:rsidRPr="003C3116">
        <w:rPr>
          <w:noProof/>
        </w:rPr>
        <w:t xml:space="preserve"> </w:t>
      </w:r>
      <w:r>
        <w:rPr>
          <w:noProof/>
        </w:rPr>
        <w:t xml:space="preserve">   </w:t>
      </w:r>
    </w:p>
    <w:p w14:paraId="5D5EED2D" w14:textId="77777777" w:rsidR="009F5667" w:rsidRDefault="009F5667" w:rsidP="003865DA">
      <w:pPr>
        <w:ind w:firstLine="360"/>
        <w:rPr>
          <w:noProof/>
        </w:rPr>
      </w:pPr>
      <w:r>
        <w:rPr>
          <w:noProof/>
        </w:rPr>
        <w:t xml:space="preserve">       </w:t>
      </w:r>
    </w:p>
    <w:p w14:paraId="6FC03A0C" w14:textId="14BACD33" w:rsidR="009F5667" w:rsidRDefault="009F5667" w:rsidP="00061D7A">
      <w:pPr>
        <w:pStyle w:val="ListParagraph"/>
        <w:numPr>
          <w:ilvl w:val="0"/>
          <w:numId w:val="21"/>
        </w:numPr>
        <w:rPr>
          <w:noProof/>
        </w:rPr>
      </w:pPr>
      <w:r>
        <w:rPr>
          <w:noProof/>
        </w:rPr>
        <w:t>Monitor serum potassium levels every 24 hours and adjust dosing according to response.</w:t>
      </w:r>
    </w:p>
    <w:p w14:paraId="11BEEA8D" w14:textId="77777777" w:rsidR="009F5667" w:rsidRDefault="009F5667" w:rsidP="003865DA">
      <w:pPr>
        <w:rPr>
          <w:noProof/>
        </w:rPr>
      </w:pPr>
    </w:p>
    <w:p w14:paraId="4DA3A1FD" w14:textId="77777777" w:rsidR="009F5667" w:rsidRDefault="009F5667" w:rsidP="00061D7A">
      <w:pPr>
        <w:pStyle w:val="ListParagraph"/>
        <w:numPr>
          <w:ilvl w:val="0"/>
          <w:numId w:val="7"/>
        </w:numPr>
        <w:autoSpaceDE w:val="0"/>
        <w:autoSpaceDN w:val="0"/>
        <w:adjustRightInd w:val="0"/>
        <w:spacing w:before="60" w:after="60"/>
        <w:contextualSpacing w:val="0"/>
      </w:pPr>
      <w:r>
        <w:t>Potassium is predominately excreted from the body via the kidneys. Renal function should be checked prior to potassium replacement. In presence of impairment, patients should receive approximately 50% of the recommended initial potassium dose along with more frequent monitoring of serum levels to avoid hyperkalaemia.</w:t>
      </w:r>
    </w:p>
    <w:p w14:paraId="67E5B74A" w14:textId="77777777" w:rsidR="009F5667" w:rsidRDefault="009F5667" w:rsidP="003865DA">
      <w:pPr>
        <w:pStyle w:val="ListParagraph"/>
        <w:autoSpaceDE w:val="0"/>
        <w:autoSpaceDN w:val="0"/>
        <w:adjustRightInd w:val="0"/>
        <w:spacing w:before="60" w:after="60"/>
        <w:ind w:left="360"/>
        <w:contextualSpacing w:val="0"/>
      </w:pPr>
    </w:p>
    <w:p w14:paraId="0EB58111" w14:textId="198A40D4" w:rsidR="009F5667" w:rsidRDefault="009F5667" w:rsidP="00061D7A">
      <w:pPr>
        <w:pStyle w:val="ListParagraph"/>
        <w:numPr>
          <w:ilvl w:val="0"/>
          <w:numId w:val="7"/>
        </w:numPr>
        <w:autoSpaceDE w:val="0"/>
        <w:autoSpaceDN w:val="0"/>
        <w:adjustRightInd w:val="0"/>
        <w:spacing w:before="60" w:after="60"/>
        <w:contextualSpacing w:val="0"/>
      </w:pPr>
      <w:r w:rsidRPr="001D3710">
        <w:t>Therapy may not be successful until the mechanism of ongoing potassium loss has been corrected. If hypokalaemia does not respond to treatment, continuing loss should be suspected (</w:t>
      </w:r>
      <w:proofErr w:type="gramStart"/>
      <w:r w:rsidRPr="001D3710">
        <w:t>e.g.</w:t>
      </w:r>
      <w:proofErr w:type="gramEnd"/>
      <w:r w:rsidRPr="001D3710">
        <w:t xml:space="preserve"> due to diuretic </w:t>
      </w:r>
      <w:r>
        <w:t xml:space="preserve">drugs, laxative </w:t>
      </w:r>
      <w:r w:rsidRPr="001D3710">
        <w:t>abuse, acid–base disturbance</w:t>
      </w:r>
      <w:r>
        <w:t>s</w:t>
      </w:r>
      <w:r w:rsidRPr="001D3710">
        <w:t>, associated magnesium deficiency</w:t>
      </w:r>
      <w:r>
        <w:t>, gastrointestinal losses and third space fluid sequestration</w:t>
      </w:r>
      <w:r w:rsidRPr="001D3710">
        <w:t>).</w:t>
      </w:r>
    </w:p>
    <w:p w14:paraId="18E142E5" w14:textId="77777777" w:rsidR="009F5667" w:rsidRPr="009F5667" w:rsidRDefault="009F5667" w:rsidP="003865DA">
      <w:pPr>
        <w:pStyle w:val="ListParagraph"/>
        <w:ind w:left="360"/>
        <w:rPr>
          <w:rFonts w:cs="Arial"/>
          <w:i/>
          <w:szCs w:val="24"/>
        </w:rPr>
      </w:pPr>
    </w:p>
    <w:p w14:paraId="14D00989" w14:textId="77777777" w:rsidR="009F5667" w:rsidRPr="009F5667" w:rsidRDefault="00A1768B" w:rsidP="003865DA">
      <w:pPr>
        <w:jc w:val="right"/>
        <w:rPr>
          <w:rFonts w:cs="Arial"/>
          <w:i/>
          <w:szCs w:val="24"/>
        </w:rPr>
      </w:pPr>
      <w:hyperlink w:anchor="Contents" w:history="1">
        <w:r w:rsidR="009F5667" w:rsidRPr="009F5667">
          <w:rPr>
            <w:rStyle w:val="Hyperlink"/>
            <w:rFonts w:cs="Arial"/>
            <w:i/>
            <w:szCs w:val="24"/>
          </w:rPr>
          <w:t>Back to Table of Contents</w:t>
        </w:r>
      </w:hyperlink>
      <w:r w:rsidR="009F5667" w:rsidRPr="009F5667">
        <w:rPr>
          <w:rFonts w:cs="Arial"/>
          <w:i/>
          <w:szCs w:val="24"/>
        </w:rPr>
        <w:t xml:space="preserve"> </w:t>
      </w:r>
    </w:p>
    <w:p w14:paraId="6E07E865" w14:textId="77777777" w:rsidR="009F5667" w:rsidRDefault="009F5667" w:rsidP="003865DA">
      <w:pPr>
        <w:rPr>
          <w:rFonts w:cs="Arial"/>
          <w:i/>
          <w:szCs w:val="24"/>
        </w:rPr>
      </w:pPr>
    </w:p>
    <w:p w14:paraId="2F51A894" w14:textId="77777777" w:rsidR="007B6904" w:rsidRDefault="007B6904" w:rsidP="003865DA">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39C26946" w:rsidR="007B6904" w:rsidRPr="00C76688" w:rsidRDefault="007B6904" w:rsidP="003865DA">
            <w:pPr>
              <w:pStyle w:val="Heading1"/>
            </w:pPr>
            <w:bookmarkStart w:id="16" w:name="_Toc389473281"/>
            <w:bookmarkStart w:id="17" w:name="_Toc159225885"/>
            <w:r w:rsidRPr="00C76688">
              <w:t>Section 2 –</w:t>
            </w:r>
            <w:r w:rsidR="009F5667">
              <w:t xml:space="preserve"> </w:t>
            </w:r>
            <w:r w:rsidR="009F5667" w:rsidRPr="009F5667">
              <w:t>Sodium</w:t>
            </w:r>
            <w:bookmarkEnd w:id="16"/>
            <w:bookmarkEnd w:id="17"/>
          </w:p>
        </w:tc>
      </w:tr>
    </w:tbl>
    <w:p w14:paraId="2F51A897" w14:textId="77777777" w:rsidR="007B6904" w:rsidRDefault="007B6904" w:rsidP="003865DA">
      <w:pPr>
        <w:rPr>
          <w:rFonts w:cs="Arial"/>
          <w:b/>
          <w:szCs w:val="24"/>
        </w:rPr>
      </w:pPr>
    </w:p>
    <w:p w14:paraId="1BA06995" w14:textId="3CD54982" w:rsidR="009F5667" w:rsidRDefault="009F5667" w:rsidP="003865DA">
      <w:pPr>
        <w:pStyle w:val="Heading2"/>
        <w:rPr>
          <w:color w:val="000000" w:themeColor="text1"/>
        </w:rPr>
      </w:pPr>
      <w:bookmarkStart w:id="18" w:name="_Toc20079987"/>
      <w:r w:rsidRPr="009F5667">
        <w:rPr>
          <w:color w:val="000000" w:themeColor="text1"/>
        </w:rPr>
        <w:t>Hyponatraemia</w:t>
      </w:r>
      <w:r w:rsidRPr="009F5667">
        <w:rPr>
          <w:color w:val="000000" w:themeColor="text1"/>
        </w:rPr>
        <w:tab/>
      </w:r>
      <w:r w:rsidRPr="009F5667">
        <w:rPr>
          <w:color w:val="000000" w:themeColor="text1"/>
        </w:rPr>
        <w:tab/>
      </w:r>
      <w:r w:rsidRPr="009F5667">
        <w:rPr>
          <w:color w:val="000000" w:themeColor="text1"/>
        </w:rPr>
        <w:tab/>
      </w:r>
      <w:r w:rsidRPr="009F5667">
        <w:rPr>
          <w:color w:val="000000" w:themeColor="text1"/>
        </w:rPr>
        <w:tab/>
      </w:r>
      <w:r w:rsidRPr="009F5667">
        <w:rPr>
          <w:color w:val="000000" w:themeColor="text1"/>
        </w:rPr>
        <w:tab/>
      </w:r>
      <w:r w:rsidRPr="009F5667">
        <w:rPr>
          <w:color w:val="000000" w:themeColor="text1"/>
        </w:rPr>
        <w:tab/>
      </w:r>
      <w:r w:rsidRPr="009F5667">
        <w:rPr>
          <w:color w:val="000000" w:themeColor="text1"/>
        </w:rPr>
        <w:tab/>
      </w:r>
      <w:r w:rsidRPr="009F5667">
        <w:rPr>
          <w:color w:val="000000" w:themeColor="text1"/>
        </w:rPr>
        <w:tab/>
      </w:r>
      <w:r w:rsidRPr="009F5667">
        <w:rPr>
          <w:color w:val="000000" w:themeColor="text1"/>
        </w:rPr>
        <w:tab/>
      </w:r>
      <w:r w:rsidRPr="009F5667">
        <w:rPr>
          <w:color w:val="000000" w:themeColor="text1"/>
        </w:rPr>
        <w:tab/>
        <w:t xml:space="preserve">    </w:t>
      </w:r>
      <w:proofErr w:type="gramStart"/>
      <w:r w:rsidRPr="009F5667">
        <w:rPr>
          <w:color w:val="000000" w:themeColor="text1"/>
        </w:rPr>
        <w:t xml:space="preserve">   (</w:t>
      </w:r>
      <w:proofErr w:type="gramEnd"/>
      <w:r w:rsidRPr="009F5667">
        <w:rPr>
          <w:color w:val="000000" w:themeColor="text1"/>
        </w:rPr>
        <w:t>&lt;135 mmol/L, severe: &lt;120 mmol/L)</w:t>
      </w:r>
      <w:bookmarkEnd w:id="18"/>
    </w:p>
    <w:p w14:paraId="72EFF98B" w14:textId="77777777" w:rsidR="009F5667" w:rsidRPr="009F5667" w:rsidRDefault="009F5667" w:rsidP="003865DA"/>
    <w:p w14:paraId="25561FD8" w14:textId="5BF26D03" w:rsidR="009F5667" w:rsidRDefault="009F5667" w:rsidP="00061D7A">
      <w:pPr>
        <w:pStyle w:val="ListParagraph"/>
        <w:numPr>
          <w:ilvl w:val="0"/>
          <w:numId w:val="10"/>
        </w:numPr>
        <w:autoSpaceDE w:val="0"/>
        <w:autoSpaceDN w:val="0"/>
        <w:adjustRightInd w:val="0"/>
        <w:spacing w:before="60" w:after="60"/>
      </w:pPr>
      <w:r>
        <w:t>Management of hyponatraemia depends on the acuity, symptoms, the patient’s volume status and the overall underlying cause. Biochemical indices including serum glucose, serum and urine osmolality and urine sodium concentration may help determine the underlying cause. In patients with marked hyperglycaemia, measured serum sodium concentration should be corrected using the formula in the therapeutic guidelines. In most cases, hyponatraemia reflects excess water rather than sodium depletion.</w:t>
      </w:r>
    </w:p>
    <w:p w14:paraId="08D1872C" w14:textId="77777777" w:rsidR="009F5667" w:rsidRDefault="009F5667" w:rsidP="003865DA">
      <w:pPr>
        <w:pStyle w:val="ListParagraph"/>
        <w:autoSpaceDE w:val="0"/>
        <w:autoSpaceDN w:val="0"/>
        <w:adjustRightInd w:val="0"/>
        <w:spacing w:before="60" w:after="60"/>
        <w:ind w:left="360"/>
      </w:pPr>
    </w:p>
    <w:p w14:paraId="74105B3C" w14:textId="2C4A7699" w:rsidR="009F5667" w:rsidRPr="00904225" w:rsidRDefault="009F5667" w:rsidP="00061D7A">
      <w:pPr>
        <w:pStyle w:val="ListParagraph"/>
        <w:numPr>
          <w:ilvl w:val="0"/>
          <w:numId w:val="10"/>
        </w:numPr>
        <w:autoSpaceDE w:val="0"/>
        <w:autoSpaceDN w:val="0"/>
        <w:adjustRightInd w:val="0"/>
        <w:spacing w:before="60" w:after="60"/>
      </w:pPr>
      <w:r>
        <w:t xml:space="preserve">Patients with </w:t>
      </w:r>
      <w:r w:rsidRPr="009F5667">
        <w:rPr>
          <w:b/>
        </w:rPr>
        <w:t>acute onset (drop in serum sodium &gt; 10 mmol/L within 48 hours) and/or with</w:t>
      </w:r>
      <w:r>
        <w:t xml:space="preserve"> </w:t>
      </w:r>
      <w:r w:rsidRPr="009F5667">
        <w:rPr>
          <w:b/>
        </w:rPr>
        <w:t>symptoms of cerebral oedema</w:t>
      </w:r>
      <w:r>
        <w:t>, can be treated with IV sodium chloride 3%.</w:t>
      </w:r>
    </w:p>
    <w:p w14:paraId="32890EB9" w14:textId="77777777" w:rsidR="009F5667" w:rsidRPr="00904225" w:rsidRDefault="009F5667" w:rsidP="003865DA">
      <w:pPr>
        <w:pStyle w:val="ListParagraph"/>
        <w:spacing w:line="60" w:lineRule="auto"/>
        <w:ind w:left="714"/>
      </w:pPr>
    </w:p>
    <w:p w14:paraId="4F06A7D9" w14:textId="3FB49324" w:rsidR="009F5667" w:rsidRPr="001733CB" w:rsidRDefault="009F5667" w:rsidP="00061D7A">
      <w:pPr>
        <w:pStyle w:val="ListParagraph"/>
        <w:numPr>
          <w:ilvl w:val="0"/>
          <w:numId w:val="15"/>
        </w:numPr>
        <w:tabs>
          <w:tab w:val="left" w:pos="1080"/>
          <w:tab w:val="left" w:pos="1530"/>
        </w:tabs>
        <w:autoSpaceDE w:val="0"/>
        <w:autoSpaceDN w:val="0"/>
        <w:adjustRightInd w:val="0"/>
        <w:spacing w:before="60" w:after="60"/>
        <w:contextualSpacing w:val="0"/>
        <w:rPr>
          <w:b/>
        </w:rPr>
      </w:pPr>
      <w:r>
        <w:t>IV sodium chloride 3% should only be used under the guidance of a critical care physician. Further information regarding the rate of infusion to correct hyponatraemia can be found in the therapeutic guidelines.</w:t>
      </w:r>
    </w:p>
    <w:p w14:paraId="4D62051A" w14:textId="0D7D9177" w:rsidR="009F5667" w:rsidRPr="006A51B1" w:rsidRDefault="009F5667" w:rsidP="00061D7A">
      <w:pPr>
        <w:pStyle w:val="ListParagraph"/>
        <w:numPr>
          <w:ilvl w:val="0"/>
          <w:numId w:val="15"/>
        </w:numPr>
        <w:tabs>
          <w:tab w:val="left" w:pos="1350"/>
          <w:tab w:val="left" w:pos="1530"/>
        </w:tabs>
        <w:autoSpaceDE w:val="0"/>
        <w:autoSpaceDN w:val="0"/>
        <w:adjustRightInd w:val="0"/>
        <w:spacing w:before="60" w:after="60"/>
        <w:contextualSpacing w:val="0"/>
        <w:rPr>
          <w:b/>
        </w:rPr>
      </w:pPr>
      <w:r>
        <w:t xml:space="preserve">IV Sodium chloride 3% should only be administered within a critical care facility and requires close monitoring of serum sodium levels, </w:t>
      </w:r>
      <w:proofErr w:type="gramStart"/>
      <w:r>
        <w:t>i.e.</w:t>
      </w:r>
      <w:proofErr w:type="gramEnd"/>
      <w:r>
        <w:t xml:space="preserve"> every 4 hours when running a continuous infusion.</w:t>
      </w:r>
    </w:p>
    <w:p w14:paraId="446A850C" w14:textId="25423D5A" w:rsidR="009F5667" w:rsidRPr="006A51B1" w:rsidRDefault="009F5667" w:rsidP="00061D7A">
      <w:pPr>
        <w:pStyle w:val="ListParagraph"/>
        <w:numPr>
          <w:ilvl w:val="0"/>
          <w:numId w:val="16"/>
        </w:numPr>
        <w:tabs>
          <w:tab w:val="left" w:pos="1350"/>
          <w:tab w:val="left" w:pos="1530"/>
        </w:tabs>
        <w:autoSpaceDE w:val="0"/>
        <w:autoSpaceDN w:val="0"/>
        <w:adjustRightInd w:val="0"/>
        <w:spacing w:before="60" w:after="60"/>
        <w:contextualSpacing w:val="0"/>
        <w:rPr>
          <w:rFonts w:cstheme="minorHAnsi"/>
          <w:b/>
        </w:rPr>
      </w:pPr>
      <w:r w:rsidRPr="006A51B1">
        <w:rPr>
          <w:rFonts w:cstheme="minorHAnsi"/>
          <w:lang w:val="en"/>
        </w:rPr>
        <w:t>Adequate potassium replacement may reduce the risk of demyelination.</w:t>
      </w:r>
    </w:p>
    <w:p w14:paraId="457EE597" w14:textId="77777777" w:rsidR="009F5667" w:rsidRPr="00904225" w:rsidRDefault="009F5667" w:rsidP="00061D7A">
      <w:pPr>
        <w:pStyle w:val="ListParagraph"/>
        <w:numPr>
          <w:ilvl w:val="0"/>
          <w:numId w:val="16"/>
        </w:numPr>
        <w:tabs>
          <w:tab w:val="left" w:pos="1350"/>
          <w:tab w:val="left" w:pos="1530"/>
        </w:tabs>
        <w:autoSpaceDE w:val="0"/>
        <w:autoSpaceDN w:val="0"/>
        <w:adjustRightInd w:val="0"/>
        <w:spacing w:before="60" w:after="60"/>
        <w:contextualSpacing w:val="0"/>
        <w:rPr>
          <w:b/>
        </w:rPr>
      </w:pPr>
      <w:r>
        <w:t>Once stabilised, treatment should address the underlying cause (refer to chronic hyponatremia).</w:t>
      </w:r>
    </w:p>
    <w:p w14:paraId="303AAF98" w14:textId="77777777" w:rsidR="009F5667" w:rsidRPr="00904225" w:rsidRDefault="009F5667" w:rsidP="003865DA">
      <w:pPr>
        <w:pStyle w:val="ListParagraph"/>
        <w:tabs>
          <w:tab w:val="left" w:pos="1350"/>
          <w:tab w:val="left" w:pos="1530"/>
        </w:tabs>
        <w:spacing w:line="120" w:lineRule="auto"/>
        <w:ind w:left="1349"/>
        <w:rPr>
          <w:b/>
        </w:rPr>
      </w:pPr>
    </w:p>
    <w:p w14:paraId="566F169C" w14:textId="7938653B" w:rsidR="009F5667" w:rsidRPr="00904225" w:rsidRDefault="009F5667" w:rsidP="00061D7A">
      <w:pPr>
        <w:pStyle w:val="ListParagraph"/>
        <w:numPr>
          <w:ilvl w:val="0"/>
          <w:numId w:val="9"/>
        </w:numPr>
        <w:tabs>
          <w:tab w:val="left" w:pos="709"/>
          <w:tab w:val="left" w:pos="851"/>
          <w:tab w:val="left" w:pos="1530"/>
        </w:tabs>
        <w:autoSpaceDE w:val="0"/>
        <w:autoSpaceDN w:val="0"/>
        <w:adjustRightInd w:val="0"/>
        <w:spacing w:before="60" w:after="60"/>
        <w:contextualSpacing w:val="0"/>
        <w:rPr>
          <w:b/>
        </w:rPr>
      </w:pPr>
      <w:r>
        <w:t xml:space="preserve">Patients with </w:t>
      </w:r>
      <w:r w:rsidRPr="00904225">
        <w:rPr>
          <w:b/>
        </w:rPr>
        <w:t>chronic hyponatraemia (</w:t>
      </w:r>
      <w:r>
        <w:rPr>
          <w:b/>
        </w:rPr>
        <w:t xml:space="preserve">onset </w:t>
      </w:r>
      <w:r w:rsidRPr="00904225">
        <w:rPr>
          <w:rFonts w:cstheme="minorHAnsi"/>
          <w:b/>
        </w:rPr>
        <w:t>≥</w:t>
      </w:r>
      <w:r>
        <w:rPr>
          <w:rFonts w:cstheme="minorHAnsi"/>
          <w:b/>
        </w:rPr>
        <w:t xml:space="preserve"> </w:t>
      </w:r>
      <w:r w:rsidRPr="00904225">
        <w:rPr>
          <w:rFonts w:cstheme="minorHAnsi"/>
          <w:b/>
        </w:rPr>
        <w:t xml:space="preserve">48 </w:t>
      </w:r>
      <w:r w:rsidRPr="00904225">
        <w:rPr>
          <w:b/>
        </w:rPr>
        <w:t xml:space="preserve">hours) </w:t>
      </w:r>
      <w:r w:rsidRPr="00904225">
        <w:t>are</w:t>
      </w:r>
      <w:r>
        <w:t xml:space="preserve"> usually asymptomatic or may only have mild symptoms. Treatment depends on the volume status of the patient and its underlying cause.</w:t>
      </w:r>
    </w:p>
    <w:p w14:paraId="7EC347F1" w14:textId="77777777" w:rsidR="009F5667" w:rsidRPr="00904225" w:rsidRDefault="009F5667" w:rsidP="003865DA">
      <w:pPr>
        <w:pStyle w:val="ListParagraph"/>
        <w:tabs>
          <w:tab w:val="left" w:pos="709"/>
          <w:tab w:val="left" w:pos="851"/>
          <w:tab w:val="left" w:pos="1530"/>
        </w:tabs>
        <w:spacing w:line="120" w:lineRule="auto"/>
        <w:ind w:left="709"/>
        <w:rPr>
          <w:b/>
        </w:rPr>
      </w:pPr>
    </w:p>
    <w:p w14:paraId="24ABF09F" w14:textId="1E5281A3" w:rsidR="009F5667" w:rsidRDefault="009F5667" w:rsidP="00061D7A">
      <w:pPr>
        <w:pStyle w:val="ListParagraph"/>
        <w:numPr>
          <w:ilvl w:val="0"/>
          <w:numId w:val="17"/>
        </w:numPr>
        <w:tabs>
          <w:tab w:val="left" w:pos="1440"/>
        </w:tabs>
        <w:autoSpaceDE w:val="0"/>
        <w:autoSpaceDN w:val="0"/>
        <w:adjustRightInd w:val="0"/>
        <w:spacing w:before="60" w:after="60"/>
        <w:contextualSpacing w:val="0"/>
      </w:pPr>
      <w:r w:rsidRPr="00842B2B">
        <w:rPr>
          <w:b/>
        </w:rPr>
        <w:t>Hypovolaemia:</w:t>
      </w:r>
      <w:r w:rsidRPr="00C60E85">
        <w:t xml:space="preserve"> </w:t>
      </w:r>
      <w:r>
        <w:t xml:space="preserve">Correct the intravascular deficit </w:t>
      </w:r>
      <w:r w:rsidRPr="00C60E85">
        <w:t>with</w:t>
      </w:r>
      <w:r>
        <w:t xml:space="preserve"> an IV isotonic fluid such as </w:t>
      </w:r>
      <w:r w:rsidRPr="00C60E85">
        <w:t>sodium chloride 0.9%</w:t>
      </w:r>
      <w:r>
        <w:t xml:space="preserve">. Treat underlying causes such as vomiting, diarrhoea, mineralocorticoid deficiency and consider ceasing </w:t>
      </w:r>
      <w:r w:rsidRPr="00C60E85">
        <w:t>drugs that may be implicated in causing hypovolaemic hyponatraemia (</w:t>
      </w:r>
      <w:proofErr w:type="gramStart"/>
      <w:r w:rsidRPr="00C60E85">
        <w:t>e.g.</w:t>
      </w:r>
      <w:proofErr w:type="gramEnd"/>
      <w:r w:rsidRPr="00C60E85">
        <w:t xml:space="preserve"> </w:t>
      </w:r>
      <w:r>
        <w:t>thiazides and related diuretic drugs such as indapamide, hydrochlorothiazide and chlorthalidone).</w:t>
      </w:r>
    </w:p>
    <w:p w14:paraId="733AD834" w14:textId="723457CA" w:rsidR="009F5667" w:rsidRDefault="009F5667" w:rsidP="00061D7A">
      <w:pPr>
        <w:pStyle w:val="ListParagraph"/>
        <w:numPr>
          <w:ilvl w:val="0"/>
          <w:numId w:val="17"/>
        </w:numPr>
        <w:tabs>
          <w:tab w:val="left" w:pos="1440"/>
        </w:tabs>
        <w:autoSpaceDE w:val="0"/>
        <w:autoSpaceDN w:val="0"/>
        <w:adjustRightInd w:val="0"/>
        <w:spacing w:before="60" w:after="60"/>
        <w:contextualSpacing w:val="0"/>
      </w:pPr>
      <w:proofErr w:type="spellStart"/>
      <w:r w:rsidRPr="00842B2B">
        <w:rPr>
          <w:b/>
        </w:rPr>
        <w:t>Euvolaemia</w:t>
      </w:r>
      <w:proofErr w:type="spellEnd"/>
      <w:r w:rsidRPr="00842B2B">
        <w:rPr>
          <w:b/>
        </w:rPr>
        <w:t xml:space="preserve">: </w:t>
      </w:r>
      <w:r w:rsidRPr="00645823">
        <w:t>Apply</w:t>
      </w:r>
      <w:r>
        <w:t xml:space="preserve"> a</w:t>
      </w:r>
      <w:r w:rsidRPr="00645823">
        <w:t xml:space="preserve"> fluid restriction (</w:t>
      </w:r>
      <w:proofErr w:type="gramStart"/>
      <w:r w:rsidRPr="00645823">
        <w:t>e.g.</w:t>
      </w:r>
      <w:proofErr w:type="gramEnd"/>
      <w:r>
        <w:t xml:space="preserve"> restrict to 800 </w:t>
      </w:r>
      <w:r w:rsidRPr="00645823">
        <w:t xml:space="preserve">mL </w:t>
      </w:r>
      <w:r>
        <w:t>to 1.5 litre per 24 hours) or 500mL less than daily urine output.</w:t>
      </w:r>
      <w:r>
        <w:rPr>
          <w:vertAlign w:val="superscript"/>
        </w:rPr>
        <w:t xml:space="preserve"> </w:t>
      </w:r>
      <w:r>
        <w:t>Investigate underlying causes such as hypothyroidism, secondary adrenal insufficiency, nausea, pain, psychogenic polydipsia and also conditions and drugs (</w:t>
      </w:r>
      <w:proofErr w:type="gramStart"/>
      <w:r>
        <w:t>e.g.</w:t>
      </w:r>
      <w:proofErr w:type="gramEnd"/>
      <w:r>
        <w:t xml:space="preserve"> SSRIs, SNRIs, carbamazepine) that are associated with inappropriate antidiuretic hormone secretion.</w:t>
      </w:r>
    </w:p>
    <w:p w14:paraId="338537EE" w14:textId="5D18C815" w:rsidR="009F5667" w:rsidRDefault="009F5667" w:rsidP="00061D7A">
      <w:pPr>
        <w:pStyle w:val="ListParagraph"/>
        <w:numPr>
          <w:ilvl w:val="0"/>
          <w:numId w:val="17"/>
        </w:numPr>
        <w:tabs>
          <w:tab w:val="left" w:pos="1440"/>
        </w:tabs>
        <w:autoSpaceDE w:val="0"/>
        <w:autoSpaceDN w:val="0"/>
        <w:adjustRightInd w:val="0"/>
        <w:spacing w:before="60" w:after="60"/>
        <w:contextualSpacing w:val="0"/>
      </w:pPr>
      <w:r w:rsidRPr="00842B2B">
        <w:rPr>
          <w:b/>
        </w:rPr>
        <w:t>Hypervolaemia:</w:t>
      </w:r>
      <w:r>
        <w:t xml:space="preserve"> Apply same fluid restriction as for a </w:t>
      </w:r>
      <w:proofErr w:type="spellStart"/>
      <w:r>
        <w:t>euvolaemic</w:t>
      </w:r>
      <w:proofErr w:type="spellEnd"/>
      <w:r>
        <w:t xml:space="preserve"> patient. Treat underlying causes (</w:t>
      </w:r>
      <w:proofErr w:type="gramStart"/>
      <w:r>
        <w:t>i.e.</w:t>
      </w:r>
      <w:proofErr w:type="gramEnd"/>
      <w:r>
        <w:t xml:space="preserve"> acute kidney injury, chronic kidney disease, congestive cardiac failure (CCF), cirrhosis and nephrotic syndrome). Loop diuretics may be of use in patients with CCF and nephrotic syndrome, whereas aldosterone receptor antagonists (</w:t>
      </w:r>
      <w:proofErr w:type="gramStart"/>
      <w:r>
        <w:t>i.e.</w:t>
      </w:r>
      <w:proofErr w:type="gramEnd"/>
      <w:r>
        <w:t xml:space="preserve"> spironolactone) may be useful in patients with CCF, cirrhosis and ascites.</w:t>
      </w:r>
    </w:p>
    <w:p w14:paraId="293374AB" w14:textId="77777777" w:rsidR="009F5667" w:rsidRDefault="009F5667" w:rsidP="003865DA">
      <w:pPr>
        <w:rPr>
          <w:b/>
        </w:rPr>
      </w:pPr>
    </w:p>
    <w:p w14:paraId="18BF74D0" w14:textId="27DFE227" w:rsidR="009F5667" w:rsidRDefault="009F5667" w:rsidP="003865DA">
      <w:pPr>
        <w:pBdr>
          <w:top w:val="single" w:sz="4" w:space="1" w:color="auto"/>
          <w:left w:val="single" w:sz="4" w:space="4" w:color="auto"/>
          <w:bottom w:val="single" w:sz="4" w:space="1" w:color="auto"/>
          <w:right w:val="single" w:sz="4" w:space="4" w:color="auto"/>
        </w:pBdr>
        <w:rPr>
          <w:b/>
        </w:rPr>
      </w:pPr>
      <w:r>
        <w:rPr>
          <w:b/>
        </w:rPr>
        <w:t xml:space="preserve">Alert: </w:t>
      </w:r>
      <w:r w:rsidRPr="009F5667">
        <w:rPr>
          <w:bCs/>
        </w:rPr>
        <w:t>Monitor serum sodium levels every 24 hours and adjust therapeutic manoeuvres accordingly.</w:t>
      </w:r>
      <w:r w:rsidRPr="00806968">
        <w:rPr>
          <w:b/>
        </w:rPr>
        <w:t xml:space="preserve"> </w:t>
      </w:r>
    </w:p>
    <w:p w14:paraId="0AF0344F" w14:textId="77777777" w:rsidR="009F5667" w:rsidRPr="00806968" w:rsidRDefault="009F5667" w:rsidP="003865DA">
      <w:pPr>
        <w:rPr>
          <w:b/>
        </w:rPr>
      </w:pPr>
    </w:p>
    <w:p w14:paraId="03F110C1" w14:textId="49378B7C" w:rsidR="009F5667" w:rsidRPr="009F5667" w:rsidRDefault="009F5667" w:rsidP="003865DA">
      <w:pPr>
        <w:pBdr>
          <w:top w:val="single" w:sz="4" w:space="1" w:color="auto"/>
          <w:left w:val="single" w:sz="4" w:space="4" w:color="auto"/>
          <w:bottom w:val="single" w:sz="4" w:space="1" w:color="auto"/>
          <w:right w:val="single" w:sz="4" w:space="4" w:color="auto"/>
        </w:pBdr>
        <w:tabs>
          <w:tab w:val="left" w:pos="1170"/>
        </w:tabs>
        <w:autoSpaceDE w:val="0"/>
        <w:autoSpaceDN w:val="0"/>
        <w:adjustRightInd w:val="0"/>
        <w:spacing w:before="60" w:after="60"/>
        <w:rPr>
          <w:b/>
        </w:rPr>
      </w:pPr>
      <w:r>
        <w:rPr>
          <w:b/>
        </w:rPr>
        <w:t xml:space="preserve">Alert: </w:t>
      </w:r>
      <w:r w:rsidRPr="009F5667">
        <w:rPr>
          <w:bCs/>
        </w:rPr>
        <w:t xml:space="preserve">Regardless of whether the hyponatraemia is acute, </w:t>
      </w:r>
      <w:proofErr w:type="gramStart"/>
      <w:r w:rsidRPr="009F5667">
        <w:rPr>
          <w:bCs/>
        </w:rPr>
        <w:t>chronic</w:t>
      </w:r>
      <w:proofErr w:type="gramEnd"/>
      <w:r w:rsidRPr="009F5667">
        <w:rPr>
          <w:bCs/>
        </w:rPr>
        <w:t xml:space="preserve"> or symptomatic, serum sodium concentrations should rise by no more </w:t>
      </w:r>
      <w:bookmarkStart w:id="19" w:name="_Hlk489217574"/>
      <w:r w:rsidRPr="009F5667">
        <w:rPr>
          <w:bCs/>
        </w:rPr>
        <w:t>than 10 mmol/L in the first 24 hours and 18 mmol/L in the first 48 hours in order to reduce the risk of osmotic demyelination.</w:t>
      </w:r>
      <w:bookmarkEnd w:id="19"/>
    </w:p>
    <w:p w14:paraId="54793322" w14:textId="77777777" w:rsidR="009F5667" w:rsidRDefault="009F5667" w:rsidP="003865DA">
      <w:pPr>
        <w:tabs>
          <w:tab w:val="left" w:pos="1170"/>
        </w:tabs>
        <w:autoSpaceDE w:val="0"/>
        <w:autoSpaceDN w:val="0"/>
        <w:adjustRightInd w:val="0"/>
        <w:spacing w:before="60" w:after="60"/>
        <w:rPr>
          <w:b/>
        </w:rPr>
      </w:pPr>
    </w:p>
    <w:p w14:paraId="521C70A3" w14:textId="61A410AB" w:rsidR="009F5667" w:rsidRPr="009F5667" w:rsidRDefault="009F5667" w:rsidP="003865DA">
      <w:pPr>
        <w:pBdr>
          <w:top w:val="single" w:sz="4" w:space="1" w:color="auto"/>
          <w:left w:val="single" w:sz="4" w:space="4" w:color="auto"/>
          <w:bottom w:val="single" w:sz="4" w:space="1" w:color="auto"/>
          <w:right w:val="single" w:sz="4" w:space="4" w:color="auto"/>
        </w:pBdr>
        <w:tabs>
          <w:tab w:val="left" w:pos="1170"/>
        </w:tabs>
        <w:autoSpaceDE w:val="0"/>
        <w:autoSpaceDN w:val="0"/>
        <w:adjustRightInd w:val="0"/>
        <w:spacing w:before="60" w:after="60"/>
        <w:rPr>
          <w:b/>
        </w:rPr>
      </w:pPr>
      <w:r>
        <w:rPr>
          <w:b/>
        </w:rPr>
        <w:lastRenderedPageBreak/>
        <w:t xml:space="preserve">Alert: </w:t>
      </w:r>
      <w:r w:rsidRPr="009F5667">
        <w:rPr>
          <w:bCs/>
        </w:rPr>
        <w:t xml:space="preserve">In </w:t>
      </w:r>
      <w:proofErr w:type="gramStart"/>
      <w:r w:rsidRPr="009F5667">
        <w:rPr>
          <w:bCs/>
        </w:rPr>
        <w:t>high risk</w:t>
      </w:r>
      <w:proofErr w:type="gramEnd"/>
      <w:r w:rsidRPr="009F5667">
        <w:rPr>
          <w:bCs/>
        </w:rPr>
        <w:t xml:space="preserve"> patients with malnutrition, alcoholism, advanced liver disease, hypokalaemia, sodium concentration less than 105 mmol/L, correction should be more conservative, with the goal to raise the serum sodium concentration by no more than to 4 to 6 mmol/L per day.</w:t>
      </w:r>
    </w:p>
    <w:p w14:paraId="2F51A89F" w14:textId="77777777" w:rsidR="007B6904" w:rsidRPr="00931B93" w:rsidRDefault="00931B93" w:rsidP="003865DA">
      <w:pPr>
        <w:rPr>
          <w:rFonts w:cs="Arial"/>
          <w:i/>
          <w:szCs w:val="24"/>
        </w:rPr>
      </w:pPr>
      <w:r>
        <w:rPr>
          <w:rFonts w:cs="Arial"/>
          <w:i/>
          <w:szCs w:val="24"/>
        </w:rPr>
        <w:t xml:space="preserve"> </w:t>
      </w:r>
    </w:p>
    <w:p w14:paraId="2F51A8A0" w14:textId="77777777" w:rsidR="007B6904" w:rsidRDefault="00A1768B" w:rsidP="003865DA">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1" w14:textId="77777777" w:rsidR="007B6904" w:rsidRDefault="007B6904" w:rsidP="003865DA">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A3" w14:textId="77777777" w:rsidTr="0074223E">
        <w:trPr>
          <w:cantSplit/>
          <w:trHeight w:val="285"/>
        </w:trPr>
        <w:tc>
          <w:tcPr>
            <w:tcW w:w="9158" w:type="dxa"/>
            <w:shd w:val="clear" w:color="auto" w:fill="A6A6A6" w:themeFill="background1" w:themeFillShade="A6"/>
          </w:tcPr>
          <w:p w14:paraId="2F51A8A2" w14:textId="11895611" w:rsidR="007B6904" w:rsidRPr="003D2D06" w:rsidRDefault="00962C46" w:rsidP="003865DA">
            <w:pPr>
              <w:pStyle w:val="Heading1"/>
            </w:pPr>
            <w:bookmarkStart w:id="20" w:name="_Toc389473284"/>
            <w:bookmarkStart w:id="21" w:name="_Toc159225886"/>
            <w:r>
              <w:t xml:space="preserve">Section </w:t>
            </w:r>
            <w:r w:rsidR="009F5667">
              <w:t>3</w:t>
            </w:r>
            <w:r w:rsidR="007B6904" w:rsidRPr="003D2D06">
              <w:t xml:space="preserve"> – </w:t>
            </w:r>
            <w:bookmarkStart w:id="22" w:name="_Toc475963695"/>
            <w:bookmarkStart w:id="23" w:name="_Toc20079988"/>
            <w:r w:rsidR="009F5667" w:rsidRPr="005D1284">
              <w:t>Phosphate</w:t>
            </w:r>
            <w:bookmarkEnd w:id="20"/>
            <w:bookmarkEnd w:id="21"/>
            <w:bookmarkEnd w:id="22"/>
            <w:bookmarkEnd w:id="23"/>
          </w:p>
        </w:tc>
      </w:tr>
    </w:tbl>
    <w:p w14:paraId="2F51A8A4" w14:textId="77777777" w:rsidR="007B6904" w:rsidRDefault="007B6904" w:rsidP="003865DA">
      <w:pPr>
        <w:pStyle w:val="Heading2"/>
      </w:pPr>
    </w:p>
    <w:p w14:paraId="3903D72C" w14:textId="77777777" w:rsidR="009F5667" w:rsidRPr="009F5667" w:rsidRDefault="009F5667" w:rsidP="003865DA">
      <w:pPr>
        <w:rPr>
          <w:b/>
          <w:bCs/>
        </w:rPr>
      </w:pPr>
      <w:bookmarkStart w:id="24" w:name="_Toc20079989"/>
      <w:proofErr w:type="spellStart"/>
      <w:r w:rsidRPr="009F5667">
        <w:rPr>
          <w:b/>
          <w:bCs/>
        </w:rPr>
        <w:t>Hypophosphataemia</w:t>
      </w:r>
      <w:proofErr w:type="spellEnd"/>
      <w:r w:rsidRPr="009F5667">
        <w:rPr>
          <w:b/>
          <w:bCs/>
        </w:rPr>
        <w:t xml:space="preserve"> </w:t>
      </w:r>
      <w:r w:rsidRPr="009F5667">
        <w:rPr>
          <w:b/>
          <w:bCs/>
        </w:rPr>
        <w:tab/>
      </w:r>
      <w:r w:rsidRPr="009F5667">
        <w:rPr>
          <w:b/>
          <w:bCs/>
        </w:rPr>
        <w:tab/>
      </w:r>
      <w:r w:rsidRPr="009F5667">
        <w:rPr>
          <w:b/>
          <w:bCs/>
        </w:rPr>
        <w:tab/>
      </w:r>
      <w:r w:rsidRPr="009F5667">
        <w:rPr>
          <w:b/>
          <w:bCs/>
        </w:rPr>
        <w:tab/>
      </w:r>
      <w:r w:rsidRPr="009F5667">
        <w:rPr>
          <w:b/>
          <w:bCs/>
        </w:rPr>
        <w:tab/>
      </w:r>
      <w:r w:rsidRPr="009F5667">
        <w:rPr>
          <w:b/>
          <w:bCs/>
        </w:rPr>
        <w:tab/>
      </w:r>
      <w:r w:rsidRPr="009F5667">
        <w:rPr>
          <w:b/>
          <w:bCs/>
        </w:rPr>
        <w:tab/>
      </w:r>
      <w:r w:rsidRPr="009F5667">
        <w:rPr>
          <w:b/>
          <w:bCs/>
        </w:rPr>
        <w:tab/>
      </w:r>
      <w:r w:rsidRPr="009F5667">
        <w:rPr>
          <w:b/>
          <w:bCs/>
        </w:rPr>
        <w:tab/>
        <w:t xml:space="preserve">        </w:t>
      </w:r>
    </w:p>
    <w:p w14:paraId="07BAAD40" w14:textId="5247AB96" w:rsidR="009F5667" w:rsidRPr="009F5667" w:rsidRDefault="009F5667" w:rsidP="003865DA">
      <w:pPr>
        <w:rPr>
          <w:b/>
          <w:bCs/>
        </w:rPr>
      </w:pPr>
      <w:r w:rsidRPr="009F5667">
        <w:rPr>
          <w:b/>
          <w:bCs/>
        </w:rPr>
        <w:t>(&lt; 0.75 mmol/L, severe: &lt; 0.5 mmol/L)</w:t>
      </w:r>
      <w:bookmarkEnd w:id="24"/>
      <w:r w:rsidRPr="009F5667">
        <w:rPr>
          <w:b/>
          <w:bCs/>
        </w:rPr>
        <w:tab/>
      </w:r>
    </w:p>
    <w:p w14:paraId="304C60C7" w14:textId="77777777" w:rsidR="009F5667" w:rsidRDefault="009F5667" w:rsidP="00061D7A">
      <w:pPr>
        <w:pStyle w:val="ListParagraph"/>
        <w:numPr>
          <w:ilvl w:val="0"/>
          <w:numId w:val="11"/>
        </w:numPr>
        <w:autoSpaceDE w:val="0"/>
        <w:autoSpaceDN w:val="0"/>
        <w:adjustRightInd w:val="0"/>
        <w:spacing w:before="60" w:after="60"/>
        <w:contextualSpacing w:val="0"/>
      </w:pPr>
      <w:proofErr w:type="spellStart"/>
      <w:r>
        <w:t>Hypophosphataemia</w:t>
      </w:r>
      <w:proofErr w:type="spellEnd"/>
      <w:r>
        <w:t xml:space="preserve"> results from decreased intake, gastrointestinal and renal/extracorporeal losses, intracellular redistribution (due to refeeding, acute respiratory alkalosis) or a combination of these factors.  Symptoms can </w:t>
      </w:r>
      <w:proofErr w:type="gramStart"/>
      <w:r>
        <w:t>include;</w:t>
      </w:r>
      <w:proofErr w:type="gramEnd"/>
      <w:r>
        <w:t xml:space="preserve"> decreased cardiac contractility, respiratory muscle dysfunction, haemolysis, insulin resistance, myopathy, seizures and altered mental status.</w:t>
      </w:r>
    </w:p>
    <w:p w14:paraId="4FB8E1F7" w14:textId="77777777" w:rsidR="003865DA" w:rsidRDefault="003865DA" w:rsidP="003865DA">
      <w:pPr>
        <w:pStyle w:val="ListParagraph"/>
        <w:autoSpaceDE w:val="0"/>
        <w:autoSpaceDN w:val="0"/>
        <w:adjustRightInd w:val="0"/>
        <w:spacing w:before="60" w:after="60"/>
        <w:ind w:left="360"/>
        <w:contextualSpacing w:val="0"/>
      </w:pPr>
    </w:p>
    <w:p w14:paraId="6DA71C8D" w14:textId="4BA7B44E" w:rsidR="009F5667" w:rsidRDefault="009F5667" w:rsidP="00061D7A">
      <w:pPr>
        <w:pStyle w:val="ListParagraph"/>
        <w:numPr>
          <w:ilvl w:val="0"/>
          <w:numId w:val="11"/>
        </w:numPr>
        <w:autoSpaceDE w:val="0"/>
        <w:autoSpaceDN w:val="0"/>
        <w:adjustRightInd w:val="0"/>
        <w:spacing w:before="60" w:after="60"/>
        <w:contextualSpacing w:val="0"/>
      </w:pPr>
      <w:r w:rsidRPr="00940ACB">
        <w:t>In most cases phosphate does not need replacing unless the serum phosphate is less than 0.65 mmol/L, as symptoms rarely occur with levels above 0.65</w:t>
      </w:r>
      <w:r>
        <w:t xml:space="preserve"> </w:t>
      </w:r>
      <w:r w:rsidRPr="00940ACB">
        <w:t>mmol/L. In patients with levels above 0.65</w:t>
      </w:r>
      <w:r>
        <w:t xml:space="preserve"> </w:t>
      </w:r>
      <w:r w:rsidRPr="00940ACB">
        <w:t>mmol/L, therapy should be aimed at treating the underlying cause (</w:t>
      </w:r>
      <w:proofErr w:type="gramStart"/>
      <w:r w:rsidRPr="00940ACB">
        <w:t>e.g.</w:t>
      </w:r>
      <w:proofErr w:type="gramEnd"/>
      <w:r w:rsidRPr="00940ACB">
        <w:t xml:space="preserve"> correction of vitamin D deficiency,</w:t>
      </w:r>
      <w:r>
        <w:t xml:space="preserve"> nutritional supplementation,</w:t>
      </w:r>
      <w:r w:rsidRPr="00940ACB">
        <w:t xml:space="preserve"> investigation of antacid abuse and primary hyperparathyroidism) rather than initiating replacement.</w:t>
      </w:r>
    </w:p>
    <w:p w14:paraId="1BC39668" w14:textId="77777777" w:rsidR="003865DA" w:rsidRDefault="003865DA" w:rsidP="003865DA">
      <w:pPr>
        <w:pStyle w:val="ListParagraph"/>
      </w:pPr>
    </w:p>
    <w:p w14:paraId="7E414CB8" w14:textId="77777777" w:rsidR="009F5667" w:rsidRDefault="009F5667" w:rsidP="00061D7A">
      <w:pPr>
        <w:pStyle w:val="ListParagraph"/>
        <w:numPr>
          <w:ilvl w:val="0"/>
          <w:numId w:val="11"/>
        </w:numPr>
        <w:autoSpaceDE w:val="0"/>
        <w:autoSpaceDN w:val="0"/>
        <w:adjustRightInd w:val="0"/>
        <w:spacing w:before="60" w:after="60"/>
        <w:contextualSpacing w:val="0"/>
      </w:pPr>
      <w:r w:rsidRPr="00415C17">
        <w:rPr>
          <w:b/>
        </w:rPr>
        <w:t xml:space="preserve">Severe or symptomatic </w:t>
      </w:r>
      <w:proofErr w:type="spellStart"/>
      <w:r w:rsidRPr="00415C17">
        <w:rPr>
          <w:b/>
        </w:rPr>
        <w:t>hypophosphataemia</w:t>
      </w:r>
      <w:proofErr w:type="spellEnd"/>
      <w:r w:rsidRPr="00415C17">
        <w:rPr>
          <w:b/>
        </w:rPr>
        <w:t xml:space="preserve"> </w:t>
      </w:r>
      <w:r w:rsidRPr="00415C17">
        <w:t>should be treated with IV phosphate.</w:t>
      </w:r>
      <w:r w:rsidRPr="00415C17">
        <w:rPr>
          <w:vertAlign w:val="superscript"/>
        </w:rPr>
        <w:t xml:space="preserve">                                     </w:t>
      </w:r>
      <w:r>
        <w:rPr>
          <w:vertAlign w:val="superscript"/>
        </w:rPr>
        <w:t xml:space="preserve"> </w:t>
      </w:r>
      <w:r w:rsidRPr="00415C17">
        <w:rPr>
          <w:vertAlign w:val="superscript"/>
        </w:rPr>
        <w:t xml:space="preserve"> </w:t>
      </w:r>
      <w:r w:rsidRPr="00415C17">
        <w:t>Suggested IV doses for the correction of severe hypophosphatemia are 0.3 – 0.6 mmol/kg.</w:t>
      </w:r>
    </w:p>
    <w:p w14:paraId="61AC32F7" w14:textId="6E98FD7B" w:rsidR="009F5667" w:rsidRPr="00221229" w:rsidRDefault="009F5667" w:rsidP="00061D7A">
      <w:pPr>
        <w:pStyle w:val="ListParagraph"/>
        <w:numPr>
          <w:ilvl w:val="0"/>
          <w:numId w:val="11"/>
        </w:numPr>
        <w:autoSpaceDE w:val="0"/>
        <w:autoSpaceDN w:val="0"/>
        <w:adjustRightInd w:val="0"/>
        <w:spacing w:before="60" w:after="60"/>
        <w:contextualSpacing w:val="0"/>
      </w:pPr>
      <w:r w:rsidRPr="00221229">
        <w:t>The following IV preparations are available:</w:t>
      </w:r>
    </w:p>
    <w:p w14:paraId="262C2013" w14:textId="77777777" w:rsidR="009F5667" w:rsidRPr="00910E39" w:rsidRDefault="009F5667" w:rsidP="00061D7A">
      <w:pPr>
        <w:pStyle w:val="ListParagraph"/>
        <w:numPr>
          <w:ilvl w:val="0"/>
          <w:numId w:val="12"/>
        </w:numPr>
        <w:tabs>
          <w:tab w:val="left" w:pos="1080"/>
        </w:tabs>
        <w:autoSpaceDE w:val="0"/>
        <w:autoSpaceDN w:val="0"/>
        <w:adjustRightInd w:val="0"/>
        <w:spacing w:before="60" w:after="60"/>
        <w:ind w:left="666" w:hanging="306"/>
        <w:contextualSpacing w:val="0"/>
      </w:pPr>
      <w:r w:rsidRPr="00910E39">
        <w:rPr>
          <w:b/>
        </w:rPr>
        <w:t xml:space="preserve">Potassium </w:t>
      </w:r>
      <w:r>
        <w:rPr>
          <w:b/>
        </w:rPr>
        <w:t>D</w:t>
      </w:r>
      <w:r w:rsidRPr="00910E39">
        <w:rPr>
          <w:b/>
        </w:rPr>
        <w:t xml:space="preserve">ihydrogen </w:t>
      </w:r>
      <w:r>
        <w:rPr>
          <w:b/>
        </w:rPr>
        <w:t>P</w:t>
      </w:r>
      <w:r w:rsidRPr="00910E39">
        <w:rPr>
          <w:b/>
        </w:rPr>
        <w:t>hosphate</w:t>
      </w:r>
      <w:r>
        <w:rPr>
          <w:b/>
        </w:rPr>
        <w:t>, 10 mmol in Sodium Chloride 0.9%, 250mL (pre-mixed bag</w:t>
      </w:r>
      <w:r w:rsidRPr="00910E39">
        <w:rPr>
          <w:b/>
        </w:rPr>
        <w:t>).</w:t>
      </w:r>
      <w:r>
        <w:rPr>
          <w:b/>
        </w:rPr>
        <w:t xml:space="preserve"> </w:t>
      </w:r>
      <w:r>
        <w:rPr>
          <w:b/>
          <w:i/>
        </w:rPr>
        <w:t xml:space="preserve"> </w:t>
      </w:r>
      <w:r w:rsidRPr="007E448C">
        <w:rPr>
          <w:i/>
        </w:rPr>
        <w:t>Ideal if potassium replacement is also needed</w:t>
      </w:r>
      <w:r>
        <w:rPr>
          <w:i/>
        </w:rPr>
        <w:t xml:space="preserve"> as each bag also contains 10mmol of potassium</w:t>
      </w:r>
      <w:r w:rsidRPr="007E448C">
        <w:rPr>
          <w:i/>
        </w:rPr>
        <w:t>.</w:t>
      </w:r>
      <w:r>
        <w:t xml:space="preserve"> </w:t>
      </w:r>
    </w:p>
    <w:p w14:paraId="05D7336D" w14:textId="7CECC8DA" w:rsidR="009F5667" w:rsidRPr="00AD7AC0" w:rsidRDefault="009F5667" w:rsidP="003865DA">
      <w:pPr>
        <w:pStyle w:val="ListParagraph"/>
        <w:tabs>
          <w:tab w:val="left" w:pos="1080"/>
        </w:tabs>
        <w:ind w:left="666"/>
        <w:rPr>
          <w:vertAlign w:val="superscript"/>
        </w:rPr>
      </w:pPr>
      <w:r>
        <w:t>Administer 1 bag</w:t>
      </w:r>
      <w:r w:rsidRPr="008B1546">
        <w:t xml:space="preserve"> over at least 2 hours. *</w:t>
      </w:r>
    </w:p>
    <w:p w14:paraId="2BDC8AC1" w14:textId="77777777" w:rsidR="009F5667" w:rsidRPr="00910E39" w:rsidRDefault="009F5667" w:rsidP="00061D7A">
      <w:pPr>
        <w:pStyle w:val="ListParagraph"/>
        <w:numPr>
          <w:ilvl w:val="0"/>
          <w:numId w:val="12"/>
        </w:numPr>
        <w:tabs>
          <w:tab w:val="left" w:pos="1080"/>
        </w:tabs>
        <w:autoSpaceDE w:val="0"/>
        <w:autoSpaceDN w:val="0"/>
        <w:adjustRightInd w:val="0"/>
        <w:spacing w:before="60" w:after="60"/>
        <w:ind w:left="666"/>
        <w:contextualSpacing w:val="0"/>
      </w:pPr>
      <w:r w:rsidRPr="00910E39">
        <w:rPr>
          <w:b/>
        </w:rPr>
        <w:t xml:space="preserve">Sodium </w:t>
      </w:r>
      <w:r>
        <w:rPr>
          <w:b/>
        </w:rPr>
        <w:t>D</w:t>
      </w:r>
      <w:r w:rsidRPr="00910E39">
        <w:rPr>
          <w:b/>
        </w:rPr>
        <w:t xml:space="preserve">ihydrogen </w:t>
      </w:r>
      <w:r>
        <w:rPr>
          <w:b/>
        </w:rPr>
        <w:t>P</w:t>
      </w:r>
      <w:r w:rsidRPr="00910E39">
        <w:rPr>
          <w:b/>
        </w:rPr>
        <w:t>hosphate (1 ampoule contains 10 mmol phosphate).</w:t>
      </w:r>
    </w:p>
    <w:p w14:paraId="46C3E3C2" w14:textId="616C6D5E" w:rsidR="009F5667" w:rsidRPr="008B1546" w:rsidRDefault="009F5667" w:rsidP="003865DA">
      <w:pPr>
        <w:pStyle w:val="ListParagraph"/>
        <w:tabs>
          <w:tab w:val="left" w:pos="1080"/>
        </w:tabs>
        <w:ind w:left="666"/>
      </w:pPr>
      <w:r w:rsidRPr="008B1546">
        <w:t xml:space="preserve">Dilute 1 ampoule in </w:t>
      </w:r>
      <w:r>
        <w:t>S</w:t>
      </w:r>
      <w:r w:rsidRPr="008B1546">
        <w:t xml:space="preserve">odium </w:t>
      </w:r>
      <w:r>
        <w:t>C</w:t>
      </w:r>
      <w:r w:rsidRPr="008B1546">
        <w:t>hloride 0.9%</w:t>
      </w:r>
      <w:r>
        <w:t>, 100mL</w:t>
      </w:r>
      <w:r w:rsidRPr="008B1546">
        <w:t xml:space="preserve"> and </w:t>
      </w:r>
      <w:r>
        <w:t>administer</w:t>
      </w:r>
      <w:r w:rsidRPr="008B1546">
        <w:t xml:space="preserve"> over at least 2 hours.</w:t>
      </w:r>
      <w:r w:rsidRPr="002956E3">
        <w:rPr>
          <w:vertAlign w:val="superscript"/>
        </w:rPr>
        <w:t xml:space="preserve"> </w:t>
      </w:r>
      <w:r w:rsidRPr="002956E3">
        <w:t>*</w:t>
      </w:r>
    </w:p>
    <w:p w14:paraId="6405548E" w14:textId="17AC908F" w:rsidR="009F5667" w:rsidRDefault="009F5667" w:rsidP="003865DA">
      <w:pPr>
        <w:ind w:left="720"/>
      </w:pPr>
      <w:r w:rsidRPr="00BD04BA">
        <w:rPr>
          <w:rFonts w:cs="Segoe UI"/>
          <w:b/>
        </w:rPr>
        <w:t>*</w:t>
      </w:r>
      <w:r>
        <w:t xml:space="preserve"> </w:t>
      </w:r>
      <w:r w:rsidRPr="00A535D2">
        <w:t xml:space="preserve">If </w:t>
      </w:r>
      <w:proofErr w:type="gramStart"/>
      <w:r w:rsidRPr="00A535D2">
        <w:t>necessary</w:t>
      </w:r>
      <w:proofErr w:type="gramEnd"/>
      <w:r w:rsidRPr="00A535D2">
        <w:t xml:space="preserve"> may be administered over 1 h</w:t>
      </w:r>
      <w:r>
        <w:t>ou</w:t>
      </w:r>
      <w:r w:rsidRPr="00A535D2">
        <w:t>r</w:t>
      </w:r>
      <w:r>
        <w:t xml:space="preserve">, although faster rates may </w:t>
      </w:r>
      <w:r w:rsidRPr="00A535D2">
        <w:t>incr</w:t>
      </w:r>
      <w:r>
        <w:t>ease</w:t>
      </w:r>
      <w:r w:rsidRPr="00A535D2">
        <w:t xml:space="preserve"> the risk of hypocalcaemia.</w:t>
      </w:r>
    </w:p>
    <w:p w14:paraId="6FE13271" w14:textId="77777777" w:rsidR="009F5667" w:rsidRDefault="009F5667" w:rsidP="003865DA">
      <w:pPr>
        <w:rPr>
          <w:vertAlign w:val="superscript"/>
        </w:rPr>
      </w:pPr>
    </w:p>
    <w:p w14:paraId="4486001D" w14:textId="04237734" w:rsidR="00061D7A" w:rsidRDefault="00061D7A" w:rsidP="00061D7A">
      <w:pPr>
        <w:pStyle w:val="ListParagraph"/>
        <w:numPr>
          <w:ilvl w:val="0"/>
          <w:numId w:val="23"/>
        </w:numPr>
      </w:pPr>
      <w:r>
        <w:t xml:space="preserve">Serum </w:t>
      </w:r>
      <w:r w:rsidRPr="006656B4">
        <w:t>phosphate</w:t>
      </w:r>
      <w:r>
        <w:t xml:space="preserve"> and calcium </w:t>
      </w:r>
      <w:r w:rsidRPr="006656B4">
        <w:t xml:space="preserve">levels should </w:t>
      </w:r>
      <w:r>
        <w:t>be checked 2 to 4 hours after the IV infusion is complete.</w:t>
      </w:r>
    </w:p>
    <w:p w14:paraId="63BF28DB" w14:textId="77777777" w:rsidR="00061D7A" w:rsidRDefault="00061D7A" w:rsidP="00061D7A">
      <w:pPr>
        <w:pStyle w:val="ListParagraph"/>
      </w:pPr>
    </w:p>
    <w:p w14:paraId="2AA1D803" w14:textId="238F1E31" w:rsidR="009F5667" w:rsidRDefault="009F5667" w:rsidP="00061D7A">
      <w:pPr>
        <w:pStyle w:val="ListParagraph"/>
        <w:numPr>
          <w:ilvl w:val="0"/>
          <w:numId w:val="23"/>
        </w:numPr>
      </w:pPr>
      <w:r>
        <w:t>IV Phosphate should not be infused concurrently with magnesium or calcium salts.</w:t>
      </w:r>
    </w:p>
    <w:p w14:paraId="588B5329" w14:textId="77777777" w:rsidR="009F5667" w:rsidRPr="002F5B41" w:rsidRDefault="009F5667" w:rsidP="003865DA">
      <w:pPr>
        <w:rPr>
          <w:vertAlign w:val="superscript"/>
        </w:rPr>
      </w:pPr>
    </w:p>
    <w:p w14:paraId="1DE8BC3D" w14:textId="74023949" w:rsidR="009F5667" w:rsidRDefault="009F5667" w:rsidP="00061D7A">
      <w:pPr>
        <w:pStyle w:val="ListParagraph"/>
        <w:numPr>
          <w:ilvl w:val="0"/>
          <w:numId w:val="11"/>
        </w:numPr>
        <w:autoSpaceDE w:val="0"/>
        <w:autoSpaceDN w:val="0"/>
        <w:adjustRightInd w:val="0"/>
        <w:spacing w:before="60" w:after="60"/>
        <w:contextualSpacing w:val="0"/>
      </w:pPr>
      <w:r>
        <w:rPr>
          <w:b/>
        </w:rPr>
        <w:lastRenderedPageBreak/>
        <w:t xml:space="preserve">Non-severe </w:t>
      </w:r>
      <w:proofErr w:type="spellStart"/>
      <w:r>
        <w:rPr>
          <w:b/>
        </w:rPr>
        <w:t>hypophosphataemia</w:t>
      </w:r>
      <w:proofErr w:type="spellEnd"/>
      <w:r>
        <w:rPr>
          <w:b/>
        </w:rPr>
        <w:t xml:space="preserve"> </w:t>
      </w:r>
      <w:r>
        <w:t xml:space="preserve">may be treated with oral phosphate, provided the oral route is available. If oral route is not </w:t>
      </w:r>
      <w:proofErr w:type="gramStart"/>
      <w:r>
        <w:t>available</w:t>
      </w:r>
      <w:proofErr w:type="gramEnd"/>
      <w:r>
        <w:t xml:space="preserve"> then use IV replacement at a dose of 0.1 to 0.3 mmol/kg.</w:t>
      </w:r>
    </w:p>
    <w:p w14:paraId="5123D9AA" w14:textId="77777777" w:rsidR="009F5667" w:rsidRDefault="009F5667" w:rsidP="003865DA">
      <w:pPr>
        <w:rPr>
          <w:noProof/>
        </w:rPr>
      </w:pPr>
    </w:p>
    <w:p w14:paraId="4719EC03" w14:textId="77777777" w:rsidR="00061D7A" w:rsidRDefault="00061D7A" w:rsidP="003865DA">
      <w:pPr>
        <w:rPr>
          <w:noProof/>
        </w:rPr>
      </w:pPr>
    </w:p>
    <w:p w14:paraId="048A3F23" w14:textId="2C26374A" w:rsidR="009F5667" w:rsidRDefault="009F5667" w:rsidP="00061D7A">
      <w:pPr>
        <w:pStyle w:val="ListParagraph"/>
        <w:numPr>
          <w:ilvl w:val="0"/>
          <w:numId w:val="11"/>
        </w:numPr>
        <w:rPr>
          <w:noProof/>
        </w:rPr>
      </w:pPr>
      <w:r w:rsidRPr="00DB18FF">
        <w:rPr>
          <w:noProof/>
        </w:rPr>
        <w:t xml:space="preserve">The following oral </w:t>
      </w:r>
      <w:r>
        <w:rPr>
          <w:noProof/>
        </w:rPr>
        <w:t>phosphate preparation is</w:t>
      </w:r>
      <w:r w:rsidRPr="00DB18FF">
        <w:rPr>
          <w:noProof/>
        </w:rPr>
        <w:t xml:space="preserve"> available</w:t>
      </w:r>
      <w:r>
        <w:rPr>
          <w:noProof/>
        </w:rPr>
        <w:t xml:space="preserve"> with its suggested dosing: </w:t>
      </w:r>
    </w:p>
    <w:p w14:paraId="46A4E66D" w14:textId="77777777" w:rsidR="009F5667" w:rsidRPr="00B77838" w:rsidRDefault="009F5667" w:rsidP="00061D7A">
      <w:pPr>
        <w:pStyle w:val="ListParagraph"/>
        <w:numPr>
          <w:ilvl w:val="0"/>
          <w:numId w:val="13"/>
        </w:numPr>
        <w:autoSpaceDE w:val="0"/>
        <w:autoSpaceDN w:val="0"/>
        <w:adjustRightInd w:val="0"/>
        <w:spacing w:before="60" w:after="60"/>
        <w:ind w:left="720"/>
        <w:contextualSpacing w:val="0"/>
        <w:rPr>
          <w:b/>
          <w:i/>
        </w:rPr>
      </w:pPr>
      <w:r w:rsidRPr="00910E39">
        <w:rPr>
          <w:b/>
        </w:rPr>
        <w:t xml:space="preserve">Phosphate </w:t>
      </w:r>
      <w:proofErr w:type="spellStart"/>
      <w:r>
        <w:rPr>
          <w:b/>
        </w:rPr>
        <w:t>Phebra</w:t>
      </w:r>
      <w:proofErr w:type="spellEnd"/>
      <w:r w:rsidRPr="00910E39">
        <w:rPr>
          <w:b/>
          <w:noProof/>
        </w:rPr>
        <w:t>®</w:t>
      </w:r>
      <w:r w:rsidRPr="00910E39">
        <w:rPr>
          <w:b/>
        </w:rPr>
        <w:t xml:space="preserve"> effervescent tablets 500mg (16.1 mmol of phosphate</w:t>
      </w:r>
      <w:r>
        <w:rPr>
          <w:b/>
        </w:rPr>
        <w:t>, 20.4 mmol of sodium</w:t>
      </w:r>
      <w:r w:rsidRPr="00910E39">
        <w:rPr>
          <w:b/>
        </w:rPr>
        <w:t xml:space="preserve"> per tablet)</w:t>
      </w:r>
      <w:r>
        <w:rPr>
          <w:b/>
          <w:i/>
        </w:rPr>
        <w:t>.</w:t>
      </w:r>
      <w:r w:rsidRPr="00B77838">
        <w:rPr>
          <w:b/>
          <w:i/>
        </w:rPr>
        <w:t xml:space="preserve"> </w:t>
      </w:r>
    </w:p>
    <w:p w14:paraId="3F28ACBA" w14:textId="378F4A41" w:rsidR="009F5667" w:rsidRPr="00371F65" w:rsidRDefault="009F5667" w:rsidP="003865DA">
      <w:pPr>
        <w:ind w:firstLine="720"/>
      </w:pPr>
      <w:r w:rsidRPr="00371F65">
        <w:t>1 to 2 tablets dissolved in water, taken 2 to 3 times daily.</w:t>
      </w:r>
    </w:p>
    <w:p w14:paraId="3208168F" w14:textId="77777777" w:rsidR="009F5667" w:rsidRDefault="009F5667" w:rsidP="003865DA"/>
    <w:p w14:paraId="16774034" w14:textId="0AA689FB" w:rsidR="009F5667" w:rsidRDefault="009F5667" w:rsidP="00061D7A">
      <w:pPr>
        <w:pStyle w:val="ListParagraph"/>
        <w:numPr>
          <w:ilvl w:val="0"/>
          <w:numId w:val="24"/>
        </w:numPr>
        <w:ind w:left="360"/>
      </w:pPr>
      <w:r>
        <w:t xml:space="preserve">Tablets should not be taken together with aluminium, </w:t>
      </w:r>
      <w:proofErr w:type="gramStart"/>
      <w:r>
        <w:t>calcium</w:t>
      </w:r>
      <w:proofErr w:type="gramEnd"/>
      <w:r>
        <w:t xml:space="preserve"> or magnesium salts as these will potentially bind phosphate and reduce its absorption. Separate dose by two hours. </w:t>
      </w:r>
    </w:p>
    <w:p w14:paraId="639EE641" w14:textId="77777777" w:rsidR="009F5667" w:rsidRDefault="009F5667" w:rsidP="00061D7A"/>
    <w:p w14:paraId="77E6BC31" w14:textId="112F6E15" w:rsidR="009F5667" w:rsidRDefault="009F5667" w:rsidP="00061D7A">
      <w:pPr>
        <w:pStyle w:val="ListParagraph"/>
        <w:numPr>
          <w:ilvl w:val="0"/>
          <w:numId w:val="24"/>
        </w:numPr>
        <w:ind w:left="360"/>
      </w:pPr>
      <w:r>
        <w:t>Oral supplementation may cause diarrhoea.</w:t>
      </w:r>
      <w:r w:rsidRPr="00BB548B">
        <w:t xml:space="preserve"> </w:t>
      </w:r>
    </w:p>
    <w:p w14:paraId="738EE849" w14:textId="77777777" w:rsidR="009F5667" w:rsidRDefault="009F5667" w:rsidP="00061D7A"/>
    <w:p w14:paraId="69CE9192" w14:textId="61F44884" w:rsidR="009F5667" w:rsidRDefault="009F5667" w:rsidP="00061D7A">
      <w:pPr>
        <w:pStyle w:val="ListParagraph"/>
        <w:numPr>
          <w:ilvl w:val="0"/>
          <w:numId w:val="24"/>
        </w:numPr>
        <w:ind w:left="360"/>
      </w:pPr>
      <w:r w:rsidRPr="00BB548B">
        <w:t>Monitor serum phosphate levels daily and adjust dose according to response.</w:t>
      </w:r>
    </w:p>
    <w:p w14:paraId="535335D6" w14:textId="77777777" w:rsidR="009F5667" w:rsidRDefault="009F5667" w:rsidP="003865DA"/>
    <w:p w14:paraId="34B36BED" w14:textId="3A4526F6" w:rsidR="009F5667" w:rsidRPr="009F5667" w:rsidRDefault="009F5667" w:rsidP="00061D7A">
      <w:pPr>
        <w:pStyle w:val="ListParagraph"/>
        <w:numPr>
          <w:ilvl w:val="0"/>
          <w:numId w:val="11"/>
        </w:numPr>
        <w:autoSpaceDE w:val="0"/>
        <w:autoSpaceDN w:val="0"/>
        <w:adjustRightInd w:val="0"/>
        <w:spacing w:before="60" w:after="60"/>
        <w:contextualSpacing w:val="0"/>
      </w:pPr>
      <w:r>
        <w:t>Phosphate replacement should be used with caution in patients with renal impairment. It is suggested that the initial dose of phosphate replacement be reduced by at least 50%.</w:t>
      </w:r>
    </w:p>
    <w:p w14:paraId="05988911" w14:textId="77777777" w:rsidR="009F5667" w:rsidRDefault="009F5667" w:rsidP="003865DA">
      <w:pPr>
        <w:pStyle w:val="ListParagraph"/>
        <w:autoSpaceDE w:val="0"/>
        <w:autoSpaceDN w:val="0"/>
        <w:adjustRightInd w:val="0"/>
        <w:spacing w:before="60" w:after="60"/>
        <w:ind w:left="360"/>
        <w:contextualSpacing w:val="0"/>
      </w:pPr>
    </w:p>
    <w:p w14:paraId="62402D6D" w14:textId="6BBE8EAA" w:rsidR="009F5667" w:rsidRPr="00123AC7" w:rsidRDefault="009F5667" w:rsidP="00061D7A">
      <w:pPr>
        <w:pStyle w:val="ListParagraph"/>
        <w:numPr>
          <w:ilvl w:val="0"/>
          <w:numId w:val="11"/>
        </w:numPr>
        <w:autoSpaceDE w:val="0"/>
        <w:autoSpaceDN w:val="0"/>
        <w:adjustRightInd w:val="0"/>
        <w:spacing w:before="60" w:after="60"/>
        <w:contextualSpacing w:val="0"/>
      </w:pPr>
      <w:r>
        <w:t>Patients with hypocalcaemia should have their calcium corrected prior to phosphate replacement to prevent further hypocalcaemia, whereas those with severe hypercalcaemia should use it with caution as it may lead to ectopic calcification.</w:t>
      </w:r>
    </w:p>
    <w:p w14:paraId="2F51A8AC" w14:textId="77777777" w:rsidR="007B6904" w:rsidRDefault="007B6904" w:rsidP="003865DA">
      <w:pPr>
        <w:rPr>
          <w:rFonts w:cs="Arial"/>
          <w:b/>
          <w:szCs w:val="24"/>
        </w:rPr>
      </w:pPr>
    </w:p>
    <w:p w14:paraId="2F51A8AD" w14:textId="77777777" w:rsidR="007B6904" w:rsidRDefault="00A1768B" w:rsidP="003865DA">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F5667" w:rsidRPr="00CD1C0E" w14:paraId="52FC4604" w14:textId="77777777" w:rsidTr="00B63A70">
        <w:trPr>
          <w:cantSplit/>
          <w:trHeight w:val="285"/>
        </w:trPr>
        <w:tc>
          <w:tcPr>
            <w:tcW w:w="9158" w:type="dxa"/>
            <w:shd w:val="clear" w:color="auto" w:fill="A6A6A6" w:themeFill="background1" w:themeFillShade="A6"/>
          </w:tcPr>
          <w:p w14:paraId="3FE86F22" w14:textId="1D1BA024" w:rsidR="009F5667" w:rsidRPr="003D2D06" w:rsidRDefault="009F5667" w:rsidP="003865DA">
            <w:pPr>
              <w:pStyle w:val="Heading1"/>
            </w:pPr>
            <w:bookmarkStart w:id="25" w:name="_Toc159225887"/>
            <w:r>
              <w:t>Section 4</w:t>
            </w:r>
            <w:r w:rsidRPr="003D2D06">
              <w:t xml:space="preserve"> – </w:t>
            </w:r>
            <w:r w:rsidRPr="009F5667">
              <w:t>Magnesium</w:t>
            </w:r>
            <w:bookmarkEnd w:id="25"/>
          </w:p>
        </w:tc>
      </w:tr>
    </w:tbl>
    <w:p w14:paraId="3316D90D" w14:textId="77777777" w:rsidR="009F5667" w:rsidRDefault="009F5667" w:rsidP="003865DA">
      <w:pPr>
        <w:pStyle w:val="Heading2"/>
      </w:pPr>
    </w:p>
    <w:p w14:paraId="17A73090" w14:textId="77777777" w:rsidR="009F5667" w:rsidRDefault="009F5667" w:rsidP="003865DA">
      <w:pPr>
        <w:rPr>
          <w:b/>
        </w:rPr>
      </w:pPr>
      <w:r w:rsidRPr="009F5667">
        <w:rPr>
          <w:b/>
        </w:rPr>
        <w:t xml:space="preserve">Hypomagnesaemia </w:t>
      </w:r>
      <w:r w:rsidRPr="009F5667">
        <w:rPr>
          <w:b/>
        </w:rPr>
        <w:tab/>
      </w:r>
      <w:r w:rsidRPr="009F5667">
        <w:rPr>
          <w:b/>
        </w:rPr>
        <w:tab/>
      </w:r>
      <w:r w:rsidRPr="009F5667">
        <w:rPr>
          <w:b/>
        </w:rPr>
        <w:tab/>
      </w:r>
      <w:r w:rsidRPr="009F5667">
        <w:rPr>
          <w:b/>
        </w:rPr>
        <w:tab/>
      </w:r>
      <w:r w:rsidRPr="009F5667">
        <w:rPr>
          <w:b/>
        </w:rPr>
        <w:tab/>
      </w:r>
      <w:r w:rsidRPr="009F5667">
        <w:rPr>
          <w:b/>
        </w:rPr>
        <w:tab/>
      </w:r>
      <w:r w:rsidRPr="009F5667">
        <w:rPr>
          <w:b/>
        </w:rPr>
        <w:tab/>
      </w:r>
      <w:r w:rsidRPr="009F5667">
        <w:rPr>
          <w:b/>
        </w:rPr>
        <w:tab/>
      </w:r>
      <w:r w:rsidRPr="009F5667">
        <w:rPr>
          <w:b/>
        </w:rPr>
        <w:tab/>
        <w:t xml:space="preserve">       </w:t>
      </w:r>
    </w:p>
    <w:p w14:paraId="02D34FCB" w14:textId="6858E11B" w:rsidR="009F5667" w:rsidRPr="00756A2B" w:rsidRDefault="009F5667" w:rsidP="003865DA">
      <w:pPr>
        <w:rPr>
          <w:rFonts w:cs="Arial"/>
          <w:i/>
          <w:szCs w:val="24"/>
        </w:rPr>
      </w:pPr>
      <w:r w:rsidRPr="009F5667">
        <w:rPr>
          <w:b/>
        </w:rPr>
        <w:t>(&lt;0.70 mmol/L, severe &lt;0.4 mmol/L)</w:t>
      </w:r>
      <w:r>
        <w:rPr>
          <w:rFonts w:cs="Arial"/>
          <w:i/>
          <w:szCs w:val="24"/>
        </w:rPr>
        <w:t xml:space="preserve"> </w:t>
      </w:r>
    </w:p>
    <w:p w14:paraId="7FA8C3C2" w14:textId="77777777" w:rsidR="009F5667" w:rsidRDefault="009F5667" w:rsidP="003865DA"/>
    <w:p w14:paraId="1B017BF9" w14:textId="77777777" w:rsidR="009F5667" w:rsidRDefault="009F5667" w:rsidP="00061D7A">
      <w:pPr>
        <w:pStyle w:val="ListParagraph"/>
        <w:numPr>
          <w:ilvl w:val="0"/>
          <w:numId w:val="14"/>
        </w:numPr>
        <w:autoSpaceDE w:val="0"/>
        <w:autoSpaceDN w:val="0"/>
        <w:adjustRightInd w:val="0"/>
        <w:spacing w:before="60" w:after="60"/>
        <w:contextualSpacing w:val="0"/>
      </w:pPr>
      <w:r w:rsidRPr="00395A23">
        <w:t>Hypomagnesaemia is usually due to gastrointestinal or kidney loss, often on a background of diabetes, alcoholism, malabsorption syndromes or poor oral intake</w:t>
      </w:r>
      <w:r>
        <w:t xml:space="preserve"> and </w:t>
      </w:r>
      <w:r w:rsidRPr="00395A23">
        <w:t>drug therapy</w:t>
      </w:r>
      <w:r>
        <w:t xml:space="preserve"> including thiazide and loop diuretics, calcineurin inhibitors and proton pump inhibitors. Symptoms of hypomagnesaemia include</w:t>
      </w:r>
      <w:r w:rsidRPr="00197B12">
        <w:t xml:space="preserve"> tetany, muscle weakness, cardiac arrhythmias, neuropsychiatric </w:t>
      </w:r>
      <w:proofErr w:type="gramStart"/>
      <w:r w:rsidRPr="00197B12">
        <w:t>changes</w:t>
      </w:r>
      <w:proofErr w:type="gramEnd"/>
      <w:r w:rsidRPr="00197B12">
        <w:t xml:space="preserve"> and convulsions.</w:t>
      </w:r>
      <w:r>
        <w:t xml:space="preserve"> Treatment is based on severity and whether the patient is symptomatic. In addition to replacing magnesium underlying causes should be treated.</w:t>
      </w:r>
    </w:p>
    <w:p w14:paraId="358D0932" w14:textId="77777777" w:rsidR="003865DA" w:rsidRPr="003865DA" w:rsidRDefault="003865DA" w:rsidP="003865DA">
      <w:pPr>
        <w:pStyle w:val="ListParagraph"/>
        <w:autoSpaceDE w:val="0"/>
        <w:autoSpaceDN w:val="0"/>
        <w:adjustRightInd w:val="0"/>
        <w:spacing w:before="60" w:after="60"/>
        <w:ind w:left="360"/>
        <w:contextualSpacing w:val="0"/>
      </w:pPr>
    </w:p>
    <w:p w14:paraId="4C4BBB0F" w14:textId="53BA84FF" w:rsidR="003807E6" w:rsidRDefault="009F5667" w:rsidP="00061D7A">
      <w:pPr>
        <w:pStyle w:val="ListParagraph"/>
        <w:numPr>
          <w:ilvl w:val="0"/>
          <w:numId w:val="14"/>
        </w:numPr>
        <w:autoSpaceDE w:val="0"/>
        <w:autoSpaceDN w:val="0"/>
        <w:adjustRightInd w:val="0"/>
        <w:spacing w:before="60" w:after="60"/>
        <w:contextualSpacing w:val="0"/>
      </w:pPr>
      <w:r w:rsidRPr="00F13904">
        <w:rPr>
          <w:b/>
        </w:rPr>
        <w:lastRenderedPageBreak/>
        <w:t>Severe or symptomatic hypomagnesaemia</w:t>
      </w:r>
      <w:r>
        <w:rPr>
          <w:b/>
        </w:rPr>
        <w:t xml:space="preserve"> </w:t>
      </w:r>
      <w:r>
        <w:t xml:space="preserve">should be treated with IV magnesium as oral magnesium has slow absorption. </w:t>
      </w:r>
    </w:p>
    <w:p w14:paraId="793972D4" w14:textId="5248C21D" w:rsidR="009F5667" w:rsidRDefault="009F5667" w:rsidP="00061D7A">
      <w:pPr>
        <w:pStyle w:val="ListParagraph"/>
        <w:numPr>
          <w:ilvl w:val="0"/>
          <w:numId w:val="14"/>
        </w:numPr>
        <w:autoSpaceDE w:val="0"/>
        <w:autoSpaceDN w:val="0"/>
        <w:adjustRightInd w:val="0"/>
        <w:spacing w:before="60" w:after="60"/>
        <w:contextualSpacing w:val="0"/>
      </w:pPr>
      <w:r>
        <w:t>The following IV preparations are available:</w:t>
      </w:r>
    </w:p>
    <w:p w14:paraId="2BF738E3" w14:textId="77777777" w:rsidR="009F5667" w:rsidRPr="00910E39" w:rsidRDefault="009F5667" w:rsidP="00061D7A">
      <w:pPr>
        <w:pStyle w:val="ListParagraph"/>
        <w:numPr>
          <w:ilvl w:val="1"/>
          <w:numId w:val="14"/>
        </w:numPr>
        <w:autoSpaceDE w:val="0"/>
        <w:autoSpaceDN w:val="0"/>
        <w:adjustRightInd w:val="0"/>
        <w:spacing w:before="60" w:after="60"/>
        <w:contextualSpacing w:val="0"/>
        <w:rPr>
          <w:b/>
        </w:rPr>
      </w:pPr>
      <w:r w:rsidRPr="00910E39">
        <w:rPr>
          <w:b/>
        </w:rPr>
        <w:t xml:space="preserve">Magnesium </w:t>
      </w:r>
      <w:proofErr w:type="spellStart"/>
      <w:r w:rsidRPr="00910E39">
        <w:rPr>
          <w:b/>
        </w:rPr>
        <w:t>Sulfate</w:t>
      </w:r>
      <w:proofErr w:type="spellEnd"/>
      <w:r w:rsidRPr="00910E39">
        <w:rPr>
          <w:b/>
        </w:rPr>
        <w:t xml:space="preserve"> (1 ampoule contains 10</w:t>
      </w:r>
      <w:r>
        <w:rPr>
          <w:b/>
        </w:rPr>
        <w:t xml:space="preserve"> </w:t>
      </w:r>
      <w:r w:rsidRPr="00910E39">
        <w:rPr>
          <w:b/>
        </w:rPr>
        <w:t>mmol magnesium).</w:t>
      </w:r>
    </w:p>
    <w:p w14:paraId="464E1855" w14:textId="53A4972E" w:rsidR="009F5667" w:rsidRDefault="009F5667" w:rsidP="003865DA">
      <w:pPr>
        <w:pStyle w:val="ListParagraph"/>
        <w:tabs>
          <w:tab w:val="left" w:pos="1530"/>
        </w:tabs>
        <w:ind w:left="1440"/>
      </w:pPr>
      <w:r>
        <w:t>Dilute 1 ampoule in Sodium Chloride 0.9%, 100 mL and administer over 1 hour.</w:t>
      </w:r>
    </w:p>
    <w:p w14:paraId="3D0853BD" w14:textId="6C48A96F" w:rsidR="009F5667" w:rsidRDefault="009F5667" w:rsidP="003865DA">
      <w:pPr>
        <w:tabs>
          <w:tab w:val="left" w:pos="1080"/>
          <w:tab w:val="left" w:pos="1440"/>
          <w:tab w:val="left" w:pos="1530"/>
          <w:tab w:val="left" w:pos="1710"/>
        </w:tabs>
        <w:ind w:left="1440" w:hanging="270"/>
      </w:pPr>
      <w:r>
        <w:tab/>
        <w:t xml:space="preserve">There is limited therapeutic benefit by infusing magnesium faster than the above recommend rate as magnesium has rapid renal elimination (50% of the IV dose is renally excreted) and has slow distribution into tissues. * </w:t>
      </w:r>
    </w:p>
    <w:p w14:paraId="585E667F" w14:textId="77777777" w:rsidR="009F5667" w:rsidRDefault="009F5667" w:rsidP="003865DA">
      <w:pPr>
        <w:pStyle w:val="ListParagraph"/>
        <w:tabs>
          <w:tab w:val="left" w:pos="1530"/>
        </w:tabs>
        <w:ind w:left="1440"/>
      </w:pPr>
      <w:r w:rsidRPr="00956B64">
        <w:t>*</w:t>
      </w:r>
      <w:r>
        <w:t xml:space="preserve"> </w:t>
      </w:r>
      <w:r w:rsidRPr="00956B64">
        <w:t xml:space="preserve">In the presence of life-threatening cardiac arrhythmia, 4 to 8 mmol magnesium can be </w:t>
      </w:r>
      <w:proofErr w:type="spellStart"/>
      <w:r>
        <w:t>administerd</w:t>
      </w:r>
      <w:proofErr w:type="spellEnd"/>
      <w:r w:rsidRPr="00956B64">
        <w:t xml:space="preserve"> over 5 to 10 minutes</w:t>
      </w:r>
      <w:r>
        <w:t xml:space="preserve"> after appropriate resuscitation measures have been performed</w:t>
      </w:r>
      <w:r w:rsidRPr="00956B64">
        <w:t>.</w:t>
      </w:r>
    </w:p>
    <w:p w14:paraId="7AAAFDCF" w14:textId="77777777" w:rsidR="009F5667" w:rsidRDefault="009F5667" w:rsidP="003865DA">
      <w:pPr>
        <w:pStyle w:val="ListParagraph"/>
        <w:tabs>
          <w:tab w:val="left" w:pos="1530"/>
        </w:tabs>
        <w:ind w:left="1440"/>
      </w:pPr>
    </w:p>
    <w:p w14:paraId="132DEA05" w14:textId="1373B11D" w:rsidR="009F5667" w:rsidRDefault="009F5667" w:rsidP="00061D7A">
      <w:pPr>
        <w:pStyle w:val="ListParagraph"/>
        <w:numPr>
          <w:ilvl w:val="0"/>
          <w:numId w:val="25"/>
        </w:numPr>
        <w:tabs>
          <w:tab w:val="left" w:pos="1530"/>
        </w:tabs>
      </w:pPr>
      <w:r>
        <w:t xml:space="preserve">Monitor magnesium serum levels after infusion and </w:t>
      </w:r>
      <w:r w:rsidRPr="00956B64">
        <w:t>titrate</w:t>
      </w:r>
      <w:r>
        <w:t xml:space="preserve"> dose</w:t>
      </w:r>
      <w:r w:rsidRPr="00956B64">
        <w:t xml:space="preserve"> to effect and serum magnesium concentration.</w:t>
      </w:r>
    </w:p>
    <w:p w14:paraId="5A3531C6" w14:textId="77777777" w:rsidR="003865DA" w:rsidRPr="009F5667" w:rsidRDefault="003865DA" w:rsidP="003865DA">
      <w:pPr>
        <w:tabs>
          <w:tab w:val="left" w:pos="1530"/>
        </w:tabs>
      </w:pPr>
    </w:p>
    <w:p w14:paraId="637782C7" w14:textId="77777777" w:rsidR="009F5667" w:rsidRDefault="009F5667" w:rsidP="00061D7A">
      <w:pPr>
        <w:pStyle w:val="ListParagraph"/>
        <w:numPr>
          <w:ilvl w:val="0"/>
          <w:numId w:val="14"/>
        </w:numPr>
        <w:autoSpaceDE w:val="0"/>
        <w:autoSpaceDN w:val="0"/>
        <w:adjustRightInd w:val="0"/>
        <w:spacing w:before="60" w:after="60"/>
        <w:contextualSpacing w:val="0"/>
      </w:pPr>
      <w:r>
        <w:rPr>
          <w:b/>
        </w:rPr>
        <w:t>Mild</w:t>
      </w:r>
      <w:r w:rsidRPr="0033301A">
        <w:rPr>
          <w:b/>
        </w:rPr>
        <w:t xml:space="preserve"> hypomagnesaemia</w:t>
      </w:r>
      <w:r>
        <w:t xml:space="preserve"> can be treated with oral magnesium providing the oral route is available. If oral route is not </w:t>
      </w:r>
      <w:proofErr w:type="gramStart"/>
      <w:r>
        <w:t>available</w:t>
      </w:r>
      <w:proofErr w:type="gramEnd"/>
      <w:r>
        <w:t xml:space="preserve"> then IV supplementation can be used at the suggested doses for severe or symptomatic hypomagnesaemia. </w:t>
      </w:r>
    </w:p>
    <w:p w14:paraId="7AE0F8A3" w14:textId="77777777" w:rsidR="009F5667" w:rsidRDefault="009F5667" w:rsidP="00061D7A">
      <w:pPr>
        <w:pStyle w:val="ListParagraph"/>
        <w:numPr>
          <w:ilvl w:val="0"/>
          <w:numId w:val="14"/>
        </w:numPr>
        <w:autoSpaceDE w:val="0"/>
        <w:autoSpaceDN w:val="0"/>
        <w:adjustRightInd w:val="0"/>
        <w:spacing w:before="60" w:after="60"/>
        <w:contextualSpacing w:val="0"/>
      </w:pPr>
      <w:r>
        <w:t xml:space="preserve">The following oral magnesium preparation is available with its suggested dosing: </w:t>
      </w:r>
    </w:p>
    <w:p w14:paraId="23AF7815" w14:textId="77777777" w:rsidR="009F5667" w:rsidRPr="00910E39" w:rsidRDefault="009F5667" w:rsidP="00061D7A">
      <w:pPr>
        <w:pStyle w:val="ListParagraph"/>
        <w:numPr>
          <w:ilvl w:val="1"/>
          <w:numId w:val="14"/>
        </w:numPr>
        <w:autoSpaceDE w:val="0"/>
        <w:autoSpaceDN w:val="0"/>
        <w:adjustRightInd w:val="0"/>
        <w:spacing w:before="60" w:after="60"/>
        <w:contextualSpacing w:val="0"/>
      </w:pPr>
      <w:proofErr w:type="spellStart"/>
      <w:r w:rsidRPr="00910E39">
        <w:rPr>
          <w:b/>
        </w:rPr>
        <w:t>MagMin</w:t>
      </w:r>
      <w:proofErr w:type="spellEnd"/>
      <w:r w:rsidRPr="00910E39">
        <w:rPr>
          <w:b/>
          <w:noProof/>
        </w:rPr>
        <w:t>®</w:t>
      </w:r>
      <w:r w:rsidRPr="00910E39">
        <w:rPr>
          <w:b/>
        </w:rPr>
        <w:t xml:space="preserve"> Magnesium tablets 500mg (1.54</w:t>
      </w:r>
      <w:r>
        <w:rPr>
          <w:b/>
        </w:rPr>
        <w:t xml:space="preserve"> </w:t>
      </w:r>
      <w:r w:rsidRPr="00910E39">
        <w:rPr>
          <w:b/>
        </w:rPr>
        <w:t>mmol of magnesium per tablet).</w:t>
      </w:r>
    </w:p>
    <w:p w14:paraId="50C6BF88" w14:textId="77777777" w:rsidR="003807E6" w:rsidRDefault="009F5667" w:rsidP="003865DA">
      <w:pPr>
        <w:pStyle w:val="ListParagraph"/>
        <w:ind w:left="1440"/>
      </w:pPr>
      <w:r>
        <w:t>2 to 6 tablets daily in divided doses.</w:t>
      </w:r>
    </w:p>
    <w:p w14:paraId="109CC9D8" w14:textId="77777777" w:rsidR="00061D7A" w:rsidRDefault="00061D7A" w:rsidP="003865DA"/>
    <w:p w14:paraId="035F1AEE" w14:textId="17CF7354" w:rsidR="00061D7A" w:rsidRDefault="00061D7A" w:rsidP="00061D7A">
      <w:pPr>
        <w:pStyle w:val="ListParagraph"/>
        <w:numPr>
          <w:ilvl w:val="0"/>
          <w:numId w:val="26"/>
        </w:numPr>
      </w:pPr>
      <w:r>
        <w:t>Oral supplementation may cause diarrhoea.</w:t>
      </w:r>
    </w:p>
    <w:p w14:paraId="5CA73EEF" w14:textId="77777777" w:rsidR="00061D7A" w:rsidRDefault="00061D7A" w:rsidP="00061D7A">
      <w:pPr>
        <w:pStyle w:val="ListParagraph"/>
        <w:ind w:left="360"/>
      </w:pPr>
    </w:p>
    <w:p w14:paraId="473E147D" w14:textId="4CB62966" w:rsidR="009F5667" w:rsidRDefault="009F5667" w:rsidP="00061D7A">
      <w:pPr>
        <w:pStyle w:val="ListParagraph"/>
        <w:numPr>
          <w:ilvl w:val="0"/>
          <w:numId w:val="26"/>
        </w:numPr>
      </w:pPr>
      <w:r>
        <w:t>Monitor serum magnesium levels daily and adjust dose according to response.</w:t>
      </w:r>
    </w:p>
    <w:p w14:paraId="6FEFD883" w14:textId="77777777" w:rsidR="003807E6" w:rsidRDefault="003807E6" w:rsidP="003865DA"/>
    <w:p w14:paraId="33A4D893" w14:textId="5F521020" w:rsidR="009F5667" w:rsidRPr="000C44E8" w:rsidRDefault="009F5667" w:rsidP="00061D7A">
      <w:pPr>
        <w:pStyle w:val="ListParagraph"/>
        <w:numPr>
          <w:ilvl w:val="0"/>
          <w:numId w:val="14"/>
        </w:numPr>
        <w:autoSpaceDE w:val="0"/>
        <w:autoSpaceDN w:val="0"/>
        <w:adjustRightInd w:val="0"/>
        <w:spacing w:before="60" w:after="60"/>
        <w:contextualSpacing w:val="0"/>
      </w:pPr>
      <w:r>
        <w:t xml:space="preserve">Magnesium Replacement should be used with caution in patients with renal impairment.  </w:t>
      </w:r>
      <w:r w:rsidRPr="00AB2D22">
        <w:t xml:space="preserve">It is suggested that </w:t>
      </w:r>
      <w:r>
        <w:t xml:space="preserve">the dose of magnesium </w:t>
      </w:r>
      <w:r w:rsidRPr="00AB2D22">
        <w:t>replacem</w:t>
      </w:r>
      <w:r>
        <w:t>ent be reduced by at least 50%.</w:t>
      </w:r>
    </w:p>
    <w:p w14:paraId="42322D15" w14:textId="77777777" w:rsidR="009F5667" w:rsidRDefault="009F5667" w:rsidP="003865DA">
      <w:pPr>
        <w:rPr>
          <w:rFonts w:cs="Arial"/>
          <w:b/>
          <w:szCs w:val="24"/>
        </w:rPr>
      </w:pPr>
    </w:p>
    <w:p w14:paraId="19F84849" w14:textId="77777777" w:rsidR="009F5667" w:rsidRDefault="00A1768B" w:rsidP="003865DA">
      <w:pPr>
        <w:jc w:val="right"/>
        <w:rPr>
          <w:rFonts w:cs="Arial"/>
          <w:b/>
          <w:szCs w:val="24"/>
        </w:rPr>
      </w:pPr>
      <w:hyperlink w:anchor="Contents" w:history="1">
        <w:r w:rsidR="009F5667" w:rsidRPr="00590902">
          <w:rPr>
            <w:rStyle w:val="Hyperlink"/>
            <w:rFonts w:cs="Arial"/>
            <w:i/>
            <w:szCs w:val="24"/>
          </w:rPr>
          <w:t>Back to Table of Contents</w:t>
        </w:r>
      </w:hyperlink>
      <w:r w:rsidR="009F5667">
        <w:rPr>
          <w:rFonts w:cs="Arial"/>
          <w:i/>
          <w:szCs w:val="24"/>
        </w:rPr>
        <w:t xml:space="preserve"> </w:t>
      </w:r>
    </w:p>
    <w:p w14:paraId="599B8FCC" w14:textId="77777777" w:rsidR="009F5667" w:rsidRDefault="009F5667" w:rsidP="003865DA">
      <w:pPr>
        <w:rPr>
          <w:rFonts w:cs="Arial"/>
          <w:b/>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9F5667" w:rsidRPr="00CD1C0E" w14:paraId="32F718F7" w14:textId="77777777" w:rsidTr="00B63A70">
        <w:trPr>
          <w:cantSplit/>
          <w:trHeight w:val="285"/>
        </w:trPr>
        <w:tc>
          <w:tcPr>
            <w:tcW w:w="9158" w:type="dxa"/>
            <w:shd w:val="clear" w:color="auto" w:fill="A6A6A6" w:themeFill="background1" w:themeFillShade="A6"/>
          </w:tcPr>
          <w:p w14:paraId="1FA90A26" w14:textId="3F0B7D9F" w:rsidR="009F5667" w:rsidRPr="003D2D06" w:rsidRDefault="009F5667" w:rsidP="003865DA">
            <w:pPr>
              <w:pStyle w:val="Heading1"/>
            </w:pPr>
            <w:bookmarkStart w:id="26" w:name="_Toc159225888"/>
            <w:r>
              <w:t xml:space="preserve">Section </w:t>
            </w:r>
            <w:r w:rsidR="003510E5">
              <w:t>5</w:t>
            </w:r>
            <w:r w:rsidRPr="003D2D06">
              <w:t xml:space="preserve"> – </w:t>
            </w:r>
            <w:bookmarkStart w:id="27" w:name="_Toc20079992"/>
            <w:r w:rsidR="003807E6">
              <w:t>Calcium</w:t>
            </w:r>
            <w:bookmarkEnd w:id="26"/>
            <w:bookmarkEnd w:id="27"/>
          </w:p>
        </w:tc>
      </w:tr>
    </w:tbl>
    <w:p w14:paraId="4C85884F" w14:textId="77777777" w:rsidR="009F5667" w:rsidRDefault="009F5667" w:rsidP="003865DA">
      <w:pPr>
        <w:pStyle w:val="Heading2"/>
      </w:pPr>
    </w:p>
    <w:p w14:paraId="17060C13" w14:textId="77777777" w:rsidR="003807E6" w:rsidRDefault="003807E6" w:rsidP="003865DA">
      <w:pPr>
        <w:pStyle w:val="Heading2"/>
      </w:pPr>
      <w:bookmarkStart w:id="28" w:name="_Toc20079993"/>
      <w:r w:rsidRPr="000C44E8">
        <w:t>Hypoca</w:t>
      </w:r>
      <w:r>
        <w:t xml:space="preserve">lcaemia </w:t>
      </w:r>
      <w:r>
        <w:tab/>
      </w:r>
      <w:r>
        <w:tab/>
      </w:r>
      <w:r>
        <w:tab/>
      </w:r>
      <w:r>
        <w:tab/>
      </w:r>
      <w:r>
        <w:tab/>
      </w:r>
      <w:r>
        <w:tab/>
      </w:r>
      <w:r>
        <w:tab/>
      </w:r>
      <w:r>
        <w:tab/>
      </w:r>
      <w:r>
        <w:tab/>
      </w:r>
    </w:p>
    <w:p w14:paraId="4222B169" w14:textId="5E09DFE9" w:rsidR="003807E6" w:rsidRPr="0053233E" w:rsidRDefault="003807E6" w:rsidP="003865DA">
      <w:pPr>
        <w:pStyle w:val="Heading2"/>
        <w:rPr>
          <w:vertAlign w:val="superscript"/>
        </w:rPr>
      </w:pPr>
      <w:r>
        <w:t>(</w:t>
      </w:r>
      <w:proofErr w:type="gramStart"/>
      <w:r>
        <w:t>corrected</w:t>
      </w:r>
      <w:proofErr w:type="gramEnd"/>
      <w:r>
        <w:t xml:space="preserve"> serum calcium &lt; 2.10 mmol/L, ionised calcium &lt; 1.16mmol/L) </w:t>
      </w:r>
      <w:bookmarkEnd w:id="28"/>
    </w:p>
    <w:p w14:paraId="35D1E08D" w14:textId="77777777" w:rsidR="003865DA" w:rsidRDefault="003807E6" w:rsidP="00061D7A">
      <w:pPr>
        <w:pStyle w:val="ListParagraph"/>
        <w:numPr>
          <w:ilvl w:val="0"/>
          <w:numId w:val="14"/>
        </w:numPr>
        <w:autoSpaceDE w:val="0"/>
        <w:autoSpaceDN w:val="0"/>
        <w:adjustRightInd w:val="0"/>
        <w:spacing w:before="60" w:after="120"/>
        <w:contextualSpacing w:val="0"/>
      </w:pPr>
      <w:r>
        <w:t xml:space="preserve">Serum calcium concentrations corrected for albumin should be used for the diagnosis of </w:t>
      </w:r>
      <w:proofErr w:type="spellStart"/>
      <w:proofErr w:type="gramStart"/>
      <w:r>
        <w:t>hypocalcaemia.Ionised</w:t>
      </w:r>
      <w:proofErr w:type="spellEnd"/>
      <w:proofErr w:type="gramEnd"/>
      <w:r>
        <w:t xml:space="preserve"> calcium should be measured directly if the albumin concentration is significantly abnormal.</w:t>
      </w:r>
      <w:r w:rsidR="003865DA">
        <w:t xml:space="preserve"> </w:t>
      </w:r>
      <w:r>
        <w:t>In addition, renal function, parathyroid hormone, vitamin D and serum magnesium concentrations should be checked prior commencing treatment for hypocalcaemia.</w:t>
      </w:r>
    </w:p>
    <w:p w14:paraId="6197D651" w14:textId="0B256CF6" w:rsidR="003807E6" w:rsidRDefault="003807E6" w:rsidP="00061D7A">
      <w:pPr>
        <w:pStyle w:val="ListParagraph"/>
        <w:numPr>
          <w:ilvl w:val="0"/>
          <w:numId w:val="14"/>
        </w:numPr>
        <w:autoSpaceDE w:val="0"/>
        <w:autoSpaceDN w:val="0"/>
        <w:adjustRightInd w:val="0"/>
        <w:spacing w:before="60" w:after="120"/>
        <w:contextualSpacing w:val="0"/>
      </w:pPr>
      <w:r>
        <w:lastRenderedPageBreak/>
        <w:t xml:space="preserve">Common causes of hypocalcaemia </w:t>
      </w:r>
      <w:proofErr w:type="gramStart"/>
      <w:r>
        <w:t>include;</w:t>
      </w:r>
      <w:proofErr w:type="gramEnd"/>
      <w:r>
        <w:t xml:space="preserve"> severe vitamin D deficiency, hypomagnesaemia, parathyroid injury following thyroidectomy or parathyroidectomy, autoimmune hypoparathyroidism and the use of antiresorptive drugs.</w:t>
      </w:r>
      <w:r w:rsidRPr="003865DA">
        <w:rPr>
          <w:vertAlign w:val="superscript"/>
        </w:rPr>
        <w:t>17</w:t>
      </w:r>
      <w:r>
        <w:t xml:space="preserve"> Severe symptoms may include; </w:t>
      </w:r>
      <w:proofErr w:type="spellStart"/>
      <w:r>
        <w:t>carpopedeal</w:t>
      </w:r>
      <w:proofErr w:type="spellEnd"/>
      <w:r>
        <w:t xml:space="preserve"> spasm, tetany, seizures, decreased cardiac function and prolonged QT interval.</w:t>
      </w:r>
      <w:r w:rsidRPr="003865DA">
        <w:rPr>
          <w:vertAlign w:val="superscript"/>
        </w:rPr>
        <w:t>19</w:t>
      </w:r>
      <w:r>
        <w:t xml:space="preserve"> Mild hypocalcaemia is generally asymptomatic or at most, mildly symptomatic (e.g. oral paraesthesia, muscle cramps or spasms).</w:t>
      </w:r>
      <w:r w:rsidRPr="003865DA">
        <w:rPr>
          <w:vertAlign w:val="superscript"/>
        </w:rPr>
        <w:t>17,19</w:t>
      </w:r>
    </w:p>
    <w:p w14:paraId="1905D425" w14:textId="2B8A865C" w:rsidR="003807E6" w:rsidRDefault="003807E6" w:rsidP="003865DA">
      <w:pPr>
        <w:spacing w:after="120"/>
      </w:pPr>
      <w:r>
        <w:t>Any underlying causes should be investigated and corrected (where possible) in addition to calcium replacement.</w:t>
      </w:r>
    </w:p>
    <w:p w14:paraId="36E3F55E" w14:textId="77777777" w:rsidR="003865DA" w:rsidRDefault="003865DA" w:rsidP="003865DA">
      <w:pPr>
        <w:spacing w:after="120"/>
      </w:pPr>
    </w:p>
    <w:p w14:paraId="0FA84671" w14:textId="24BD6126" w:rsidR="003807E6" w:rsidRDefault="003807E6" w:rsidP="003865DA">
      <w:pPr>
        <w:pStyle w:val="ListParagraph"/>
        <w:spacing w:after="120"/>
        <w:ind w:left="0"/>
        <w:rPr>
          <w:b/>
        </w:rPr>
      </w:pPr>
      <w:r w:rsidRPr="003865DA">
        <w:rPr>
          <w:b/>
        </w:rPr>
        <w:t xml:space="preserve">The following suggestions are for patients with hypocalcaemia without chronic kidney disease-mineral and bone </w:t>
      </w:r>
      <w:proofErr w:type="gramStart"/>
      <w:r w:rsidRPr="003865DA">
        <w:rPr>
          <w:b/>
        </w:rPr>
        <w:t>disorder</w:t>
      </w:r>
      <w:proofErr w:type="gramEnd"/>
      <w:r w:rsidRPr="003865DA">
        <w:rPr>
          <w:b/>
        </w:rPr>
        <w:t xml:space="preserve"> </w:t>
      </w:r>
    </w:p>
    <w:p w14:paraId="237749E7" w14:textId="77777777" w:rsidR="003865DA" w:rsidRPr="003865DA" w:rsidRDefault="003865DA" w:rsidP="003865DA">
      <w:pPr>
        <w:pStyle w:val="ListParagraph"/>
        <w:spacing w:after="120"/>
        <w:ind w:left="0"/>
        <w:rPr>
          <w:b/>
        </w:rPr>
      </w:pPr>
    </w:p>
    <w:p w14:paraId="45A31CF7" w14:textId="4E479B23" w:rsidR="003807E6" w:rsidRDefault="003807E6" w:rsidP="00061D7A">
      <w:pPr>
        <w:pStyle w:val="ListParagraph"/>
        <w:numPr>
          <w:ilvl w:val="0"/>
          <w:numId w:val="14"/>
        </w:numPr>
        <w:autoSpaceDE w:val="0"/>
        <w:autoSpaceDN w:val="0"/>
        <w:adjustRightInd w:val="0"/>
        <w:spacing w:before="60" w:after="60"/>
        <w:contextualSpacing w:val="0"/>
      </w:pPr>
      <w:r>
        <w:rPr>
          <w:b/>
        </w:rPr>
        <w:t xml:space="preserve">Severe symptomatic hypocalcaemia or asymptomatic patients with an acute decrease in corrected serum calcium to &lt; 1.9mmol/L </w:t>
      </w:r>
      <w:r>
        <w:t>should be managed with IV Calcium Gluconate.</w:t>
      </w:r>
    </w:p>
    <w:p w14:paraId="1D9B0740" w14:textId="30480E5E" w:rsidR="003807E6" w:rsidRDefault="003807E6" w:rsidP="00061D7A">
      <w:r>
        <w:t>A suggested initial regimen is</w:t>
      </w:r>
      <w:r w:rsidRPr="00934CD4">
        <w:t>:</w:t>
      </w:r>
    </w:p>
    <w:p w14:paraId="5F71DBB8" w14:textId="4500421A" w:rsidR="003807E6" w:rsidRPr="003865DA" w:rsidRDefault="003807E6" w:rsidP="00061D7A">
      <w:pPr>
        <w:pStyle w:val="ListParagraph"/>
        <w:numPr>
          <w:ilvl w:val="0"/>
          <w:numId w:val="12"/>
        </w:numPr>
      </w:pPr>
      <w:r w:rsidRPr="00CA31AE">
        <w:t xml:space="preserve">Calcium </w:t>
      </w:r>
      <w:r>
        <w:t>G</w:t>
      </w:r>
      <w:r w:rsidRPr="00CA31AE">
        <w:t>luconate 10%</w:t>
      </w:r>
      <w:r>
        <w:t>, 4.4 mmol (2g or 20mL) diluted in S</w:t>
      </w:r>
      <w:r w:rsidRPr="00CA31AE">
        <w:t xml:space="preserve">odium </w:t>
      </w:r>
      <w:r>
        <w:t>C</w:t>
      </w:r>
      <w:r w:rsidRPr="00CA31AE">
        <w:t>hloride 0.9%</w:t>
      </w:r>
      <w:r>
        <w:t>,</w:t>
      </w:r>
      <w:r w:rsidRPr="00CA31AE">
        <w:t xml:space="preserve"> 100 mL </w:t>
      </w:r>
      <w:r>
        <w:t xml:space="preserve">and administered </w:t>
      </w:r>
      <w:r w:rsidRPr="00CA31AE">
        <w:t>over 20 minutes</w:t>
      </w:r>
      <w:r>
        <w:t xml:space="preserve"> </w:t>
      </w:r>
      <w:r w:rsidRPr="003865DA">
        <w:rPr>
          <w:b/>
        </w:rPr>
        <w:t>via a large vein</w:t>
      </w:r>
      <w:r>
        <w:t>; repeat if required.</w:t>
      </w:r>
    </w:p>
    <w:p w14:paraId="2E0707E6" w14:textId="17E41029" w:rsidR="003807E6" w:rsidRDefault="003807E6" w:rsidP="003865DA">
      <w:pPr>
        <w:pStyle w:val="ListParagraph"/>
        <w:spacing w:after="120"/>
        <w:ind w:left="0"/>
        <w:rPr>
          <w:vertAlign w:val="superscript"/>
        </w:rPr>
      </w:pPr>
      <w:r>
        <w:t xml:space="preserve">The above manoeuvre will raise calcium concentrations for only two to three hours. Thus, a </w:t>
      </w:r>
      <w:r w:rsidRPr="00103505">
        <w:rPr>
          <w:b/>
        </w:rPr>
        <w:t xml:space="preserve">continuous </w:t>
      </w:r>
      <w:r>
        <w:rPr>
          <w:b/>
        </w:rPr>
        <w:t xml:space="preserve">IV </w:t>
      </w:r>
      <w:r w:rsidRPr="00103505">
        <w:rPr>
          <w:b/>
        </w:rPr>
        <w:t xml:space="preserve">infusion of </w:t>
      </w:r>
      <w:r>
        <w:rPr>
          <w:b/>
        </w:rPr>
        <w:t>C</w:t>
      </w:r>
      <w:r w:rsidRPr="00103505">
        <w:rPr>
          <w:b/>
        </w:rPr>
        <w:t xml:space="preserve">alcium </w:t>
      </w:r>
      <w:r>
        <w:rPr>
          <w:b/>
        </w:rPr>
        <w:t>G</w:t>
      </w:r>
      <w:r w:rsidRPr="00103505">
        <w:rPr>
          <w:b/>
        </w:rPr>
        <w:t>luconate</w:t>
      </w:r>
      <w:r>
        <w:t xml:space="preserve"> should follow until the patient is receiving an effective regimen of oral calcium.</w:t>
      </w:r>
    </w:p>
    <w:p w14:paraId="4E265EB8" w14:textId="77777777" w:rsidR="003865DA" w:rsidRPr="0080673F" w:rsidRDefault="003865DA" w:rsidP="003865DA">
      <w:pPr>
        <w:pStyle w:val="ListParagraph"/>
        <w:spacing w:after="120"/>
        <w:ind w:left="0"/>
        <w:rPr>
          <w:vertAlign w:val="superscript"/>
        </w:rPr>
      </w:pPr>
    </w:p>
    <w:p w14:paraId="5EC6C52A" w14:textId="77777777" w:rsidR="003807E6" w:rsidRPr="008D6464" w:rsidRDefault="003807E6" w:rsidP="003865DA">
      <w:pPr>
        <w:pStyle w:val="ListParagraph"/>
        <w:spacing w:after="120"/>
        <w:ind w:left="0"/>
      </w:pPr>
      <w:r>
        <w:t>A typical regimen for continuous calcium gluconate infusion is:</w:t>
      </w:r>
    </w:p>
    <w:p w14:paraId="0A86C875" w14:textId="1FF75F96" w:rsidR="003807E6" w:rsidRPr="003865DA" w:rsidRDefault="003807E6" w:rsidP="00061D7A">
      <w:pPr>
        <w:pStyle w:val="ListParagraph"/>
        <w:numPr>
          <w:ilvl w:val="0"/>
          <w:numId w:val="12"/>
        </w:numPr>
        <w:autoSpaceDE w:val="0"/>
        <w:autoSpaceDN w:val="0"/>
        <w:adjustRightInd w:val="0"/>
        <w:spacing w:before="60" w:after="120"/>
      </w:pPr>
      <w:r w:rsidRPr="00CA31AE">
        <w:t xml:space="preserve">Calcium </w:t>
      </w:r>
      <w:r>
        <w:t>G</w:t>
      </w:r>
      <w:r w:rsidRPr="00CA31AE">
        <w:t>luconate 10%</w:t>
      </w:r>
      <w:r>
        <w:t>,</w:t>
      </w:r>
      <w:r w:rsidRPr="00CA31AE">
        <w:t xml:space="preserve"> </w:t>
      </w:r>
      <w:r>
        <w:t>22</w:t>
      </w:r>
      <w:r w:rsidRPr="00CA31AE">
        <w:t xml:space="preserve"> mmol</w:t>
      </w:r>
      <w:r>
        <w:t xml:space="preserve"> (10</w:t>
      </w:r>
      <w:r w:rsidRPr="00CA31AE">
        <w:t xml:space="preserve">g or </w:t>
      </w:r>
      <w:r>
        <w:t>100mL</w:t>
      </w:r>
      <w:r w:rsidRPr="00CA31AE">
        <w:t xml:space="preserve">) </w:t>
      </w:r>
      <w:r>
        <w:t xml:space="preserve">diluted </w:t>
      </w:r>
      <w:r w:rsidRPr="00CA31AE">
        <w:t xml:space="preserve">in </w:t>
      </w:r>
      <w:r>
        <w:t>S</w:t>
      </w:r>
      <w:r w:rsidRPr="00CA31AE">
        <w:t xml:space="preserve">odium </w:t>
      </w:r>
      <w:r>
        <w:t>C</w:t>
      </w:r>
      <w:r w:rsidRPr="00CA31AE">
        <w:t>hloride 0.9%</w:t>
      </w:r>
      <w:r>
        <w:t>,</w:t>
      </w:r>
      <w:r w:rsidRPr="00CA31AE">
        <w:t xml:space="preserve"> </w:t>
      </w:r>
      <w:r>
        <w:t>9</w:t>
      </w:r>
      <w:r w:rsidRPr="00CA31AE">
        <w:t xml:space="preserve">00 mL </w:t>
      </w:r>
      <w:r>
        <w:t>and commence infusion at 50mL/hr. Administer</w:t>
      </w:r>
      <w:r w:rsidRPr="00CA31AE">
        <w:t xml:space="preserve"> </w:t>
      </w:r>
      <w:r w:rsidRPr="003865DA">
        <w:rPr>
          <w:b/>
        </w:rPr>
        <w:t>via a large vein.</w:t>
      </w:r>
    </w:p>
    <w:p w14:paraId="5CCBC76C" w14:textId="77777777" w:rsidR="003865DA" w:rsidRDefault="003865DA" w:rsidP="003865DA">
      <w:pPr>
        <w:pStyle w:val="ListParagraph"/>
        <w:autoSpaceDE w:val="0"/>
        <w:autoSpaceDN w:val="0"/>
        <w:adjustRightInd w:val="0"/>
        <w:spacing w:before="60" w:after="120"/>
        <w:ind w:left="1440"/>
      </w:pPr>
    </w:p>
    <w:p w14:paraId="6FC4EF11" w14:textId="237DC2E0" w:rsidR="003807E6" w:rsidRPr="00061D7A" w:rsidRDefault="003807E6" w:rsidP="00061D7A">
      <w:pPr>
        <w:pStyle w:val="ListParagraph"/>
        <w:numPr>
          <w:ilvl w:val="0"/>
          <w:numId w:val="14"/>
        </w:numPr>
        <w:spacing w:after="240"/>
      </w:pPr>
      <w:r>
        <w:t>During the infusion, cardiac function and serum calcium concentrations should be monitored every 3 to 4 hours and subsequently the rate of infusion should be adjusted to maintain concentrations between 2.0 and 2.3mmol/L.</w:t>
      </w:r>
    </w:p>
    <w:p w14:paraId="711452B6" w14:textId="5F084593" w:rsidR="003807E6" w:rsidRPr="003865DA" w:rsidRDefault="003807E6" w:rsidP="003865DA">
      <w:pPr>
        <w:spacing w:after="240"/>
        <w:rPr>
          <w:i/>
        </w:rPr>
      </w:pPr>
      <w:r w:rsidRPr="003865DA">
        <w:rPr>
          <w:i/>
        </w:rPr>
        <w:t>* Patients receiving digoxin should be monitored closely for acute digoxin toxicity which can develop with calcium infusion.</w:t>
      </w:r>
    </w:p>
    <w:p w14:paraId="5E162151" w14:textId="77777777" w:rsidR="003865DA" w:rsidRDefault="003807E6" w:rsidP="003865DA">
      <w:pPr>
        <w:spacing w:after="240"/>
        <w:rPr>
          <w:vertAlign w:val="superscript"/>
        </w:rPr>
      </w:pPr>
      <w:r w:rsidRPr="003865DA">
        <w:rPr>
          <w:b/>
        </w:rPr>
        <w:t>Start calcium supplementation once patient is stable and can tolerate oral intake</w:t>
      </w:r>
      <w:r>
        <w:t>.</w:t>
      </w:r>
    </w:p>
    <w:p w14:paraId="33B613EB" w14:textId="24C7907B" w:rsidR="003807E6" w:rsidRDefault="003865DA" w:rsidP="00061D7A">
      <w:pPr>
        <w:pStyle w:val="ListParagraph"/>
        <w:numPr>
          <w:ilvl w:val="0"/>
          <w:numId w:val="14"/>
        </w:numPr>
        <w:spacing w:after="240"/>
      </w:pPr>
      <w:r>
        <w:t>If</w:t>
      </w:r>
      <w:r w:rsidR="003807E6">
        <w:t xml:space="preserve"> hypocalcaemia is caused by severe vitamin D deficiency or </w:t>
      </w:r>
      <w:proofErr w:type="gramStart"/>
      <w:r w:rsidR="003807E6">
        <w:t>hypoparathyroidism, or</w:t>
      </w:r>
      <w:proofErr w:type="gramEnd"/>
      <w:r w:rsidR="003807E6">
        <w:t xml:space="preserve"> is difficult to control with infusion then start oral calcitriol.</w:t>
      </w:r>
      <w:r w:rsidRPr="00061D7A">
        <w:rPr>
          <w:vertAlign w:val="superscript"/>
        </w:rPr>
        <w:t xml:space="preserve"> </w:t>
      </w:r>
      <w:r w:rsidR="003807E6">
        <w:t xml:space="preserve">Calcitriol is the preferred preparation of vitamin D for patients with severe acute hypocalcaemia. For calcium and calcitriol dosing see section on </w:t>
      </w:r>
      <w:r w:rsidR="003807E6" w:rsidRPr="00061D7A">
        <w:rPr>
          <w:i/>
        </w:rPr>
        <w:t>‘Mild symptomatic acute hypocalcaemia with a corrected serum calcium &gt; 1.9 mmol/L or chronic hypocalcaemia’</w:t>
      </w:r>
      <w:r w:rsidR="003807E6">
        <w:t>.</w:t>
      </w:r>
    </w:p>
    <w:p w14:paraId="21D3A506" w14:textId="77777777" w:rsidR="00061D7A" w:rsidRPr="00061D7A" w:rsidRDefault="00061D7A" w:rsidP="00061D7A">
      <w:pPr>
        <w:pStyle w:val="ListParagraph"/>
        <w:spacing w:after="240"/>
        <w:ind w:left="360"/>
      </w:pPr>
    </w:p>
    <w:p w14:paraId="6B26E553" w14:textId="77777777" w:rsidR="003807E6" w:rsidRDefault="003807E6" w:rsidP="00061D7A">
      <w:pPr>
        <w:pStyle w:val="ListParagraph"/>
        <w:numPr>
          <w:ilvl w:val="0"/>
          <w:numId w:val="14"/>
        </w:numPr>
        <w:spacing w:after="120"/>
      </w:pPr>
      <w:r>
        <w:t>It may be necessary to correct coexisting hypomagnesaemia, especially in patients with:</w:t>
      </w:r>
    </w:p>
    <w:p w14:paraId="4E38A1E1" w14:textId="77777777" w:rsidR="003807E6" w:rsidRDefault="003807E6" w:rsidP="00061D7A">
      <w:pPr>
        <w:pStyle w:val="ListParagraph"/>
        <w:numPr>
          <w:ilvl w:val="1"/>
          <w:numId w:val="14"/>
        </w:numPr>
        <w:autoSpaceDE w:val="0"/>
        <w:autoSpaceDN w:val="0"/>
        <w:adjustRightInd w:val="0"/>
        <w:contextualSpacing w:val="0"/>
      </w:pPr>
      <w:r>
        <w:t xml:space="preserve">severe postoperative hypoparathyroidism </w:t>
      </w:r>
    </w:p>
    <w:p w14:paraId="6DA710F9" w14:textId="77777777" w:rsidR="003807E6" w:rsidRDefault="003807E6" w:rsidP="00061D7A">
      <w:pPr>
        <w:pStyle w:val="ListParagraph"/>
        <w:numPr>
          <w:ilvl w:val="1"/>
          <w:numId w:val="14"/>
        </w:numPr>
        <w:autoSpaceDE w:val="0"/>
        <w:autoSpaceDN w:val="0"/>
        <w:adjustRightInd w:val="0"/>
        <w:contextualSpacing w:val="0"/>
      </w:pPr>
      <w:r>
        <w:lastRenderedPageBreak/>
        <w:t>malabsorption due to short bowel syndrome</w:t>
      </w:r>
    </w:p>
    <w:p w14:paraId="3D43114D" w14:textId="77777777" w:rsidR="003807E6" w:rsidRDefault="003807E6" w:rsidP="00061D7A">
      <w:pPr>
        <w:pStyle w:val="ListParagraph"/>
        <w:numPr>
          <w:ilvl w:val="1"/>
          <w:numId w:val="14"/>
        </w:numPr>
        <w:autoSpaceDE w:val="0"/>
        <w:autoSpaceDN w:val="0"/>
        <w:adjustRightInd w:val="0"/>
        <w:contextualSpacing w:val="0"/>
      </w:pPr>
      <w:r>
        <w:t xml:space="preserve">hypocalcaemia associated with alcohol </w:t>
      </w:r>
      <w:proofErr w:type="gramStart"/>
      <w:r>
        <w:t>abuse</w:t>
      </w:r>
      <w:proofErr w:type="gramEnd"/>
      <w:r>
        <w:t xml:space="preserve"> </w:t>
      </w:r>
    </w:p>
    <w:p w14:paraId="50FB7FBA" w14:textId="5F6ACBE8" w:rsidR="003807E6" w:rsidRPr="009D25F6" w:rsidRDefault="003807E6" w:rsidP="00061D7A">
      <w:pPr>
        <w:pStyle w:val="ListParagraph"/>
        <w:numPr>
          <w:ilvl w:val="1"/>
          <w:numId w:val="14"/>
        </w:numPr>
        <w:autoSpaceDE w:val="0"/>
        <w:autoSpaceDN w:val="0"/>
        <w:adjustRightInd w:val="0"/>
        <w:contextualSpacing w:val="0"/>
      </w:pPr>
      <w:r>
        <w:t>PPI induced hypomagnesaemia.</w:t>
      </w:r>
    </w:p>
    <w:p w14:paraId="5B5FEAB8" w14:textId="77777777" w:rsidR="003807E6" w:rsidRPr="00A8503C" w:rsidRDefault="003807E6" w:rsidP="003865DA">
      <w:pPr>
        <w:pStyle w:val="ListParagraph"/>
        <w:ind w:left="1434"/>
      </w:pPr>
    </w:p>
    <w:p w14:paraId="09BC811E" w14:textId="4538EA2D" w:rsidR="003807E6" w:rsidRDefault="003807E6" w:rsidP="00061D7A">
      <w:pPr>
        <w:pStyle w:val="ListParagraph"/>
        <w:numPr>
          <w:ilvl w:val="0"/>
          <w:numId w:val="14"/>
        </w:numPr>
        <w:autoSpaceDE w:val="0"/>
        <w:autoSpaceDN w:val="0"/>
        <w:adjustRightInd w:val="0"/>
        <w:spacing w:before="60" w:after="120"/>
      </w:pPr>
      <w:r w:rsidRPr="003865DA">
        <w:rPr>
          <w:b/>
        </w:rPr>
        <w:t>Mild symptomatic acute hypocalcaemia with a corrected serum calcium &gt; 1.9 mmol/L</w:t>
      </w:r>
      <w:r>
        <w:t xml:space="preserve"> </w:t>
      </w:r>
      <w:r w:rsidRPr="003865DA">
        <w:rPr>
          <w:b/>
        </w:rPr>
        <w:t xml:space="preserve">or chronic hypocalcaemia </w:t>
      </w:r>
      <w:r>
        <w:t>maybe managed with oral calcium supplementation providing the oral route is available.</w:t>
      </w:r>
    </w:p>
    <w:p w14:paraId="1FB2216F" w14:textId="77777777" w:rsidR="003807E6" w:rsidRDefault="003807E6" w:rsidP="003865DA">
      <w:pPr>
        <w:spacing w:after="120"/>
        <w:ind w:firstLine="709"/>
      </w:pPr>
      <w:r>
        <w:t>A suggested initial regimen is:</w:t>
      </w:r>
    </w:p>
    <w:p w14:paraId="36BF7EA6" w14:textId="77777777" w:rsidR="003865DA" w:rsidRPr="003865DA" w:rsidRDefault="003807E6" w:rsidP="00061D7A">
      <w:pPr>
        <w:pStyle w:val="ListParagraph"/>
        <w:numPr>
          <w:ilvl w:val="1"/>
          <w:numId w:val="18"/>
        </w:numPr>
        <w:tabs>
          <w:tab w:val="left" w:pos="1560"/>
        </w:tabs>
        <w:autoSpaceDE w:val="0"/>
        <w:autoSpaceDN w:val="0"/>
        <w:adjustRightInd w:val="0"/>
        <w:spacing w:after="120" w:line="312" w:lineRule="auto"/>
        <w:ind w:left="1502" w:hanging="357"/>
        <w:contextualSpacing w:val="0"/>
      </w:pPr>
      <w:r w:rsidRPr="00D7777D">
        <w:rPr>
          <w:b/>
        </w:rPr>
        <w:t>Calcium Carbonate 1500mg tables</w:t>
      </w:r>
      <w:r>
        <w:rPr>
          <w:b/>
        </w:rPr>
        <w:t xml:space="preserve"> (each tablet contains 600mg of elemental calcium)</w:t>
      </w:r>
    </w:p>
    <w:p w14:paraId="0FB96862" w14:textId="2CD857AE" w:rsidR="003807E6" w:rsidRDefault="003807E6" w:rsidP="003865DA">
      <w:pPr>
        <w:pStyle w:val="ListParagraph"/>
        <w:tabs>
          <w:tab w:val="left" w:pos="1560"/>
        </w:tabs>
        <w:autoSpaceDE w:val="0"/>
        <w:autoSpaceDN w:val="0"/>
        <w:adjustRightInd w:val="0"/>
        <w:spacing w:after="120" w:line="312" w:lineRule="auto"/>
        <w:ind w:left="1502"/>
        <w:contextualSpacing w:val="0"/>
      </w:pPr>
      <w:r>
        <w:t>1 tablet, twice a day with food.</w:t>
      </w:r>
    </w:p>
    <w:p w14:paraId="56E62EE6" w14:textId="3A8888F2" w:rsidR="003807E6" w:rsidRPr="00061D7A" w:rsidRDefault="003807E6" w:rsidP="00061D7A">
      <w:pPr>
        <w:pStyle w:val="ListParagraph"/>
        <w:numPr>
          <w:ilvl w:val="0"/>
          <w:numId w:val="27"/>
        </w:numPr>
        <w:spacing w:after="120"/>
      </w:pPr>
      <w:r>
        <w:t>In addition to calcium, patients with hypoparathyroidism or vitamin D deficiency also require vitamin D supplementation.</w:t>
      </w:r>
      <w:r w:rsidRPr="00061D7A">
        <w:rPr>
          <w:vertAlign w:val="superscript"/>
        </w:rPr>
        <w:t xml:space="preserve"> </w:t>
      </w:r>
    </w:p>
    <w:p w14:paraId="2470BA97" w14:textId="77777777" w:rsidR="00061D7A" w:rsidRDefault="00061D7A" w:rsidP="00061D7A">
      <w:pPr>
        <w:pStyle w:val="ListParagraph"/>
        <w:spacing w:after="120"/>
        <w:ind w:left="360"/>
      </w:pPr>
    </w:p>
    <w:p w14:paraId="57A20957" w14:textId="77777777" w:rsidR="003807E6" w:rsidRPr="00F10C84" w:rsidRDefault="003807E6" w:rsidP="00061D7A">
      <w:pPr>
        <w:pStyle w:val="ListParagraph"/>
        <w:numPr>
          <w:ilvl w:val="0"/>
          <w:numId w:val="27"/>
        </w:numPr>
        <w:spacing w:after="120"/>
      </w:pPr>
      <w:r>
        <w:t>A suggested initial regimen of vitamin D supplementation in patients with hypoparathyroidism is:</w:t>
      </w:r>
    </w:p>
    <w:p w14:paraId="7E4D3BFF" w14:textId="77777777" w:rsidR="003807E6" w:rsidRPr="007441E9" w:rsidRDefault="003807E6" w:rsidP="00061D7A">
      <w:pPr>
        <w:pStyle w:val="ListParagraph"/>
        <w:numPr>
          <w:ilvl w:val="1"/>
          <w:numId w:val="18"/>
        </w:numPr>
        <w:autoSpaceDE w:val="0"/>
        <w:autoSpaceDN w:val="0"/>
        <w:adjustRightInd w:val="0"/>
        <w:spacing w:before="60" w:after="60"/>
        <w:contextualSpacing w:val="0"/>
      </w:pPr>
      <w:r>
        <w:rPr>
          <w:b/>
        </w:rPr>
        <w:t xml:space="preserve">Calcitriol 0.25 microgram capsules </w:t>
      </w:r>
    </w:p>
    <w:p w14:paraId="7403AD54" w14:textId="7E1791BC" w:rsidR="003807E6" w:rsidRDefault="003807E6" w:rsidP="003865DA">
      <w:pPr>
        <w:pStyle w:val="ListParagraph"/>
        <w:ind w:left="1506"/>
      </w:pPr>
      <w:r>
        <w:t>1 to 2 capsules twice daily.</w:t>
      </w:r>
    </w:p>
    <w:p w14:paraId="4542E3FA" w14:textId="77777777" w:rsidR="00061D7A" w:rsidRDefault="00061D7A" w:rsidP="00061D7A"/>
    <w:p w14:paraId="4C1D6DEB" w14:textId="35358166" w:rsidR="003807E6" w:rsidRDefault="003807E6" w:rsidP="00061D7A">
      <w:pPr>
        <w:pStyle w:val="ListParagraph"/>
        <w:numPr>
          <w:ilvl w:val="0"/>
          <w:numId w:val="29"/>
        </w:numPr>
      </w:pPr>
      <w:r>
        <w:t>Patients with vitamin D deficiency (without hypoparathyroidism) may use vitamin D3 (</w:t>
      </w:r>
      <w:proofErr w:type="spellStart"/>
      <w:r>
        <w:t>colecalciferol</w:t>
      </w:r>
      <w:proofErr w:type="spellEnd"/>
      <w:r>
        <w:t>). See section ‘Vitamin D deficiency’ in the therapeutic guidelines for dosing recommendations.</w:t>
      </w:r>
    </w:p>
    <w:p w14:paraId="7D82DC26" w14:textId="77777777" w:rsidR="00061D7A" w:rsidRPr="00061D7A" w:rsidRDefault="00061D7A" w:rsidP="00061D7A">
      <w:pPr>
        <w:pStyle w:val="ListParagraph"/>
      </w:pPr>
    </w:p>
    <w:p w14:paraId="6F91CBBC" w14:textId="77777777" w:rsidR="00061D7A" w:rsidRDefault="003807E6" w:rsidP="00061D7A">
      <w:pPr>
        <w:pStyle w:val="ListParagraph"/>
        <w:numPr>
          <w:ilvl w:val="0"/>
          <w:numId w:val="28"/>
        </w:numPr>
        <w:spacing w:after="240"/>
      </w:pPr>
      <w:r>
        <w:t>For acute hypocalcaemia, measure repeat serum calcium in approximately 24 hours, whereas for chronic hypocalcaemia repeated measurement in 1 week is suggested.</w:t>
      </w:r>
    </w:p>
    <w:p w14:paraId="4741D339" w14:textId="77777777" w:rsidR="00061D7A" w:rsidRPr="00061D7A" w:rsidRDefault="00061D7A" w:rsidP="00061D7A">
      <w:pPr>
        <w:pStyle w:val="ListParagraph"/>
        <w:rPr>
          <w:shd w:val="clear" w:color="auto" w:fill="FFFFFF"/>
        </w:rPr>
      </w:pPr>
    </w:p>
    <w:p w14:paraId="701D0ED6" w14:textId="4CFBB66A" w:rsidR="003807E6" w:rsidRPr="00061D7A" w:rsidRDefault="003807E6" w:rsidP="00061D7A">
      <w:pPr>
        <w:pStyle w:val="ListParagraph"/>
        <w:numPr>
          <w:ilvl w:val="0"/>
          <w:numId w:val="28"/>
        </w:numPr>
        <w:spacing w:after="240"/>
      </w:pPr>
      <w:r w:rsidRPr="00061D7A">
        <w:rPr>
          <w:shd w:val="clear" w:color="auto" w:fill="FFFFFF"/>
        </w:rPr>
        <w:t>Patients treated with calcitriol (</w:t>
      </w:r>
      <w:proofErr w:type="gramStart"/>
      <w:r w:rsidRPr="00061D7A">
        <w:rPr>
          <w:shd w:val="clear" w:color="auto" w:fill="FFFFFF"/>
        </w:rPr>
        <w:t>i.e.</w:t>
      </w:r>
      <w:proofErr w:type="gramEnd"/>
      <w:r w:rsidRPr="00061D7A">
        <w:rPr>
          <w:shd w:val="clear" w:color="auto" w:fill="FFFFFF"/>
        </w:rPr>
        <w:t xml:space="preserve"> those with hypoparathyroidism), monitoring of urinary and serum calcium and serum phosphate is required weekly until a stable serum calcium concentration (at the low end of the normal range) is reached. Thereafter, monitoring at three- to six-month intervals is sufficient.</w:t>
      </w:r>
    </w:p>
    <w:p w14:paraId="08116CCB" w14:textId="77777777" w:rsidR="009F5667" w:rsidRDefault="009F5667" w:rsidP="003865DA">
      <w:pPr>
        <w:rPr>
          <w:rFonts w:cs="Arial"/>
          <w:b/>
          <w:szCs w:val="24"/>
        </w:rPr>
      </w:pPr>
    </w:p>
    <w:p w14:paraId="1F8766EA" w14:textId="77777777" w:rsidR="009F5667" w:rsidRDefault="00A1768B" w:rsidP="003865DA">
      <w:pPr>
        <w:jc w:val="right"/>
        <w:rPr>
          <w:rFonts w:cs="Arial"/>
          <w:b/>
          <w:szCs w:val="24"/>
        </w:rPr>
      </w:pPr>
      <w:hyperlink w:anchor="Contents" w:history="1">
        <w:r w:rsidR="009F5667" w:rsidRPr="00590902">
          <w:rPr>
            <w:rStyle w:val="Hyperlink"/>
            <w:rFonts w:cs="Arial"/>
            <w:i/>
            <w:szCs w:val="24"/>
          </w:rPr>
          <w:t>Back to Table of Contents</w:t>
        </w:r>
      </w:hyperlink>
      <w:r w:rsidR="009F5667">
        <w:rPr>
          <w:rFonts w:cs="Arial"/>
          <w:i/>
          <w:szCs w:val="24"/>
        </w:rPr>
        <w:t xml:space="preserve"> </w:t>
      </w:r>
    </w:p>
    <w:p w14:paraId="119BA4AD" w14:textId="4CECF784" w:rsidR="00F9158A" w:rsidRPr="00253F5A" w:rsidRDefault="00F9158A" w:rsidP="003865DA"/>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3865DA">
            <w:pPr>
              <w:pStyle w:val="Heading1"/>
            </w:pPr>
            <w:bookmarkStart w:id="29" w:name="_Toc389473287"/>
            <w:bookmarkStart w:id="30" w:name="_Toc159225889"/>
            <w:r>
              <w:t xml:space="preserve">Related Policies, </w:t>
            </w:r>
            <w:r w:rsidR="007B6904">
              <w:t>Procedures</w:t>
            </w:r>
            <w:bookmarkEnd w:id="29"/>
            <w:r>
              <w:t>, Guidelines and Legislation</w:t>
            </w:r>
            <w:bookmarkEnd w:id="30"/>
          </w:p>
        </w:tc>
      </w:tr>
    </w:tbl>
    <w:p w14:paraId="2F51A8B7" w14:textId="77777777" w:rsidR="007B6904" w:rsidRDefault="007B6904" w:rsidP="003865DA">
      <w:pPr>
        <w:rPr>
          <w:szCs w:val="24"/>
        </w:rPr>
      </w:pPr>
    </w:p>
    <w:p w14:paraId="2F51A8BD" w14:textId="77777777" w:rsidR="000A7335" w:rsidRPr="000A7335" w:rsidRDefault="000A7335" w:rsidP="003865DA">
      <w:pPr>
        <w:rPr>
          <w:rFonts w:cs="Arial"/>
          <w:szCs w:val="24"/>
        </w:rPr>
      </w:pPr>
    </w:p>
    <w:p w14:paraId="2F51A8BE" w14:textId="77777777" w:rsidR="00931B93" w:rsidRPr="00201FB6" w:rsidRDefault="00931B93" w:rsidP="003865DA">
      <w:pPr>
        <w:rPr>
          <w:b/>
        </w:rPr>
      </w:pPr>
      <w:r w:rsidRPr="00201FB6">
        <w:rPr>
          <w:b/>
        </w:rPr>
        <w:t>Procedures</w:t>
      </w:r>
    </w:p>
    <w:p w14:paraId="2F51A8C0" w14:textId="1D712FFE" w:rsidR="000A7335" w:rsidRDefault="00061D7A" w:rsidP="00061D7A">
      <w:pPr>
        <w:pStyle w:val="ListParagraph"/>
        <w:numPr>
          <w:ilvl w:val="0"/>
          <w:numId w:val="2"/>
        </w:numPr>
        <w:ind w:left="360"/>
        <w:rPr>
          <w:rFonts w:cs="Arial"/>
          <w:szCs w:val="24"/>
        </w:rPr>
      </w:pPr>
      <w:r>
        <w:rPr>
          <w:rFonts w:cs="Arial"/>
          <w:szCs w:val="24"/>
        </w:rPr>
        <w:t xml:space="preserve">NCH </w:t>
      </w:r>
      <w:r w:rsidR="004F417B">
        <w:rPr>
          <w:rFonts w:cs="Arial"/>
          <w:szCs w:val="24"/>
        </w:rPr>
        <w:t xml:space="preserve">Medication Handling </w:t>
      </w:r>
    </w:p>
    <w:p w14:paraId="24B3C4BC" w14:textId="0EA7FD62" w:rsidR="004F417B" w:rsidRDefault="00061D7A" w:rsidP="00061D7A">
      <w:pPr>
        <w:pStyle w:val="ListParagraph"/>
        <w:numPr>
          <w:ilvl w:val="0"/>
          <w:numId w:val="2"/>
        </w:numPr>
        <w:ind w:left="360"/>
        <w:rPr>
          <w:rFonts w:cs="Arial"/>
          <w:szCs w:val="24"/>
        </w:rPr>
      </w:pPr>
      <w:r>
        <w:rPr>
          <w:rFonts w:cs="Arial"/>
          <w:szCs w:val="24"/>
        </w:rPr>
        <w:t xml:space="preserve">NCH </w:t>
      </w:r>
      <w:r w:rsidR="004F417B">
        <w:rPr>
          <w:rFonts w:cs="Arial"/>
          <w:szCs w:val="24"/>
        </w:rPr>
        <w:t xml:space="preserve">High Risk Medicines </w:t>
      </w:r>
      <w:r>
        <w:rPr>
          <w:rFonts w:cs="Arial"/>
          <w:szCs w:val="24"/>
        </w:rPr>
        <w:t>Management</w:t>
      </w:r>
    </w:p>
    <w:p w14:paraId="273D4EE3" w14:textId="15847FC1" w:rsidR="007D71C9" w:rsidRPr="000A7335" w:rsidRDefault="00061D7A" w:rsidP="00061D7A">
      <w:pPr>
        <w:pStyle w:val="ListParagraph"/>
        <w:numPr>
          <w:ilvl w:val="0"/>
          <w:numId w:val="2"/>
        </w:numPr>
        <w:ind w:left="360"/>
        <w:rPr>
          <w:rFonts w:cs="Arial"/>
          <w:szCs w:val="24"/>
        </w:rPr>
      </w:pPr>
      <w:r>
        <w:rPr>
          <w:rFonts w:cs="Arial"/>
          <w:szCs w:val="24"/>
        </w:rPr>
        <w:lastRenderedPageBreak/>
        <w:t xml:space="preserve">NCH </w:t>
      </w:r>
      <w:r w:rsidR="007D71C9">
        <w:rPr>
          <w:rFonts w:cs="Arial"/>
          <w:szCs w:val="24"/>
        </w:rPr>
        <w:t>High Risk Medicines – Intravenous Potassium Procedure</w:t>
      </w:r>
    </w:p>
    <w:p w14:paraId="2F51A8C1" w14:textId="77777777" w:rsidR="000A7335" w:rsidRPr="000A7335" w:rsidRDefault="000A7335" w:rsidP="003865DA">
      <w:pPr>
        <w:ind w:left="360"/>
        <w:rPr>
          <w:rFonts w:cs="Arial"/>
          <w:szCs w:val="24"/>
        </w:rPr>
      </w:pPr>
    </w:p>
    <w:p w14:paraId="2F51A8C5" w14:textId="77777777" w:rsidR="00931B93" w:rsidRPr="00201FB6" w:rsidRDefault="00931B93" w:rsidP="003865DA">
      <w:pPr>
        <w:rPr>
          <w:b/>
        </w:rPr>
      </w:pPr>
      <w:r w:rsidRPr="00201FB6">
        <w:rPr>
          <w:b/>
        </w:rPr>
        <w:t>Legislation</w:t>
      </w:r>
    </w:p>
    <w:p w14:paraId="70FC251A" w14:textId="77777777" w:rsidR="004F417B" w:rsidRDefault="004F417B" w:rsidP="00061D7A">
      <w:pPr>
        <w:pStyle w:val="ListBullet"/>
        <w:numPr>
          <w:ilvl w:val="0"/>
          <w:numId w:val="19"/>
        </w:numPr>
      </w:pPr>
      <w:r w:rsidRPr="004F417B">
        <w:rPr>
          <w:i/>
          <w:iCs/>
        </w:rPr>
        <w:t>Medicines, Poisons and Therapeutic Goods Act</w:t>
      </w:r>
      <w:r>
        <w:t xml:space="preserve"> 2008</w:t>
      </w:r>
    </w:p>
    <w:p w14:paraId="1428389B" w14:textId="77777777" w:rsidR="004F417B" w:rsidRDefault="004F417B" w:rsidP="00061D7A">
      <w:pPr>
        <w:pStyle w:val="ListBullet"/>
        <w:numPr>
          <w:ilvl w:val="0"/>
          <w:numId w:val="19"/>
        </w:numPr>
      </w:pPr>
      <w:r w:rsidRPr="004F417B">
        <w:rPr>
          <w:i/>
          <w:iCs/>
        </w:rPr>
        <w:t>Medicines, Poisons and Therapeutic Goods Regulation</w:t>
      </w:r>
      <w:r>
        <w:t xml:space="preserve"> 2008</w:t>
      </w:r>
    </w:p>
    <w:p w14:paraId="661043FC" w14:textId="77777777" w:rsidR="004F417B" w:rsidRDefault="004F417B" w:rsidP="00061D7A">
      <w:pPr>
        <w:pStyle w:val="ListBullet"/>
        <w:numPr>
          <w:ilvl w:val="0"/>
          <w:numId w:val="19"/>
        </w:numPr>
      </w:pPr>
      <w:r w:rsidRPr="004F417B">
        <w:rPr>
          <w:i/>
          <w:iCs/>
        </w:rPr>
        <w:t>Therapeutic Goods Act</w:t>
      </w:r>
      <w:r>
        <w:t xml:space="preserve"> 1989</w:t>
      </w:r>
    </w:p>
    <w:p w14:paraId="190D04CC" w14:textId="77777777" w:rsidR="004F417B" w:rsidRPr="00B61F35" w:rsidRDefault="004F417B" w:rsidP="00061D7A">
      <w:pPr>
        <w:pStyle w:val="ListBullet"/>
        <w:numPr>
          <w:ilvl w:val="0"/>
          <w:numId w:val="19"/>
        </w:numPr>
      </w:pPr>
      <w:r w:rsidRPr="004F417B">
        <w:rPr>
          <w:i/>
          <w:iCs/>
        </w:rPr>
        <w:t>Therapeutic Goods Regulation</w:t>
      </w:r>
      <w:r>
        <w:t xml:space="preserve"> 1990</w:t>
      </w:r>
    </w:p>
    <w:p w14:paraId="2F51A8C9" w14:textId="77777777" w:rsidR="007B6904" w:rsidRPr="00FF56DD" w:rsidRDefault="007B6904" w:rsidP="003865DA">
      <w:pPr>
        <w:ind w:left="720"/>
        <w:rPr>
          <w:rFonts w:cs="Arial"/>
          <w:i/>
          <w:szCs w:val="24"/>
        </w:rPr>
      </w:pPr>
    </w:p>
    <w:p w14:paraId="2F51A8CA" w14:textId="77777777" w:rsidR="007B6904" w:rsidRDefault="00A1768B" w:rsidP="004F417B">
      <w:pPr>
        <w:pStyle w:val="ListParagraph"/>
        <w:jc w:val="right"/>
        <w:rPr>
          <w:rStyle w:val="Hyperlink"/>
          <w:rFonts w:cs="Arial"/>
          <w:i/>
          <w:szCs w:val="24"/>
        </w:rPr>
      </w:pPr>
      <w:hyperlink w:anchor="Contents" w:history="1">
        <w:r w:rsidR="007B6904" w:rsidRPr="00590902">
          <w:rPr>
            <w:rStyle w:val="Hyperlink"/>
            <w:rFonts w:cs="Arial"/>
            <w:i/>
            <w:szCs w:val="24"/>
          </w:rPr>
          <w:t>Back to Table of Contents</w:t>
        </w:r>
      </w:hyperlink>
    </w:p>
    <w:p w14:paraId="60CCFB85" w14:textId="77777777" w:rsidR="004F417B" w:rsidRDefault="004F417B" w:rsidP="004F417B">
      <w:pPr>
        <w:pStyle w:val="ListParagraph"/>
        <w:jc w:val="right"/>
        <w:rPr>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3865DA">
            <w:pPr>
              <w:pStyle w:val="Heading1"/>
            </w:pPr>
            <w:bookmarkStart w:id="31" w:name="_Toc389473288"/>
            <w:bookmarkStart w:id="32" w:name="_Toc159225890"/>
            <w:r>
              <w:t>References</w:t>
            </w:r>
            <w:bookmarkEnd w:id="31"/>
            <w:bookmarkEnd w:id="32"/>
          </w:p>
        </w:tc>
      </w:tr>
    </w:tbl>
    <w:p w14:paraId="2F51A8CD" w14:textId="77777777" w:rsidR="007B6904" w:rsidRPr="00DE4E25" w:rsidRDefault="007B6904" w:rsidP="003865DA">
      <w:pPr>
        <w:rPr>
          <w:rFonts w:asciiTheme="majorHAnsi" w:hAnsiTheme="majorHAnsi" w:cstheme="majorHAnsi"/>
          <w:szCs w:val="24"/>
        </w:rPr>
      </w:pPr>
      <w:bookmarkStart w:id="33" w:name="_Toc389131245"/>
    </w:p>
    <w:bookmarkEnd w:id="33"/>
    <w:p w14:paraId="7F1C5014" w14:textId="6D91E4BC" w:rsidR="003807E6" w:rsidRPr="004F5264" w:rsidRDefault="003807E6" w:rsidP="00061D7A">
      <w:pPr>
        <w:pStyle w:val="ListParagraph"/>
        <w:numPr>
          <w:ilvl w:val="0"/>
          <w:numId w:val="3"/>
        </w:numPr>
        <w:autoSpaceDE w:val="0"/>
        <w:autoSpaceDN w:val="0"/>
        <w:adjustRightInd w:val="0"/>
        <w:spacing w:before="60" w:after="120"/>
        <w:contextualSpacing w:val="0"/>
        <w:rPr>
          <w:lang w:val="en-GB" w:eastAsia="en-GB"/>
        </w:rPr>
      </w:pPr>
      <w:r w:rsidRPr="004F5264">
        <w:rPr>
          <w:color w:val="000000" w:themeColor="text1"/>
          <w:lang w:val="pl-PL"/>
        </w:rPr>
        <w:t xml:space="preserve">Rastegar A, Soleimani M. Hypokalaemia and hyperkalaemia. </w:t>
      </w:r>
      <w:r w:rsidRPr="008B3A3D">
        <w:rPr>
          <w:color w:val="000000" w:themeColor="text1"/>
        </w:rPr>
        <w:t xml:space="preserve">Postgraduate Medical Journal [Internet]. 2001 Dec ;77(914):759–64. </w:t>
      </w:r>
      <w:r w:rsidRPr="004F5264">
        <w:rPr>
          <w:color w:val="000000" w:themeColor="text1"/>
          <w:lang w:val="pl-PL"/>
        </w:rPr>
        <w:t>Available from</w:t>
      </w:r>
      <w:r>
        <w:rPr>
          <w:color w:val="000000" w:themeColor="text1"/>
          <w:lang w:val="pl-PL"/>
        </w:rPr>
        <w:t xml:space="preserve">: </w:t>
      </w:r>
      <w:hyperlink r:id="rId11" w:history="1">
        <w:r w:rsidRPr="004F5264">
          <w:rPr>
            <w:rStyle w:val="Hyperlink"/>
            <w:lang w:val="pl-PL"/>
          </w:rPr>
          <w:t>https://pmj.bmj.com/content/postgradmedj/77/914/759.full.pdf</w:t>
        </w:r>
      </w:hyperlink>
    </w:p>
    <w:p w14:paraId="7C391D54" w14:textId="1100F065" w:rsidR="003807E6" w:rsidRPr="004F5264" w:rsidRDefault="003807E6" w:rsidP="00061D7A">
      <w:pPr>
        <w:pStyle w:val="ListParagraph"/>
        <w:numPr>
          <w:ilvl w:val="0"/>
          <w:numId w:val="3"/>
        </w:numPr>
        <w:autoSpaceDE w:val="0"/>
        <w:autoSpaceDN w:val="0"/>
        <w:adjustRightInd w:val="0"/>
        <w:spacing w:before="60" w:after="120"/>
        <w:contextualSpacing w:val="0"/>
        <w:rPr>
          <w:lang w:val="en-GB" w:eastAsia="en-GB"/>
        </w:rPr>
      </w:pPr>
      <w:proofErr w:type="spellStart"/>
      <w:r w:rsidRPr="004F5264">
        <w:rPr>
          <w:lang w:eastAsia="en-GB"/>
        </w:rPr>
        <w:t>eTG</w:t>
      </w:r>
      <w:proofErr w:type="spellEnd"/>
      <w:r w:rsidRPr="004F5264">
        <w:rPr>
          <w:lang w:eastAsia="en-GB"/>
        </w:rPr>
        <w:t xml:space="preserve"> complete [Internet]. Melbourne (Vic): Therapeutic Guidelines Limited; 2019. Electrolyte abnormalities: hypokalaemia; [Amended 2015 </w:t>
      </w:r>
      <w:r>
        <w:rPr>
          <w:lang w:eastAsia="en-GB"/>
        </w:rPr>
        <w:t>June</w:t>
      </w:r>
      <w:r w:rsidRPr="004F5264">
        <w:rPr>
          <w:lang w:eastAsia="en-GB"/>
        </w:rPr>
        <w:t xml:space="preserve">]. </w:t>
      </w:r>
    </w:p>
    <w:p w14:paraId="36270857" w14:textId="77777777" w:rsidR="003807E6" w:rsidRPr="009A5573" w:rsidRDefault="003807E6" w:rsidP="00061D7A">
      <w:pPr>
        <w:pStyle w:val="ListParagraph"/>
        <w:numPr>
          <w:ilvl w:val="0"/>
          <w:numId w:val="3"/>
        </w:numPr>
        <w:autoSpaceDE w:val="0"/>
        <w:autoSpaceDN w:val="0"/>
        <w:adjustRightInd w:val="0"/>
        <w:spacing w:before="60" w:after="120"/>
        <w:contextualSpacing w:val="0"/>
        <w:rPr>
          <w:lang w:val="en-GB" w:eastAsia="en-GB"/>
        </w:rPr>
      </w:pPr>
      <w:r w:rsidRPr="009A5573">
        <w:rPr>
          <w:lang w:val="en-GB" w:eastAsia="en-GB"/>
        </w:rPr>
        <w:t>Johnson, T. (2013). Critical care pharmacotherapeutics. Burlington, MA: Jones &amp; Bartlett Learning, pp.125 -147.</w:t>
      </w:r>
    </w:p>
    <w:p w14:paraId="1277CFF1" w14:textId="2F5982E2" w:rsidR="003807E6" w:rsidRDefault="003807E6" w:rsidP="00061D7A">
      <w:pPr>
        <w:pStyle w:val="ListParagraph"/>
        <w:numPr>
          <w:ilvl w:val="0"/>
          <w:numId w:val="3"/>
        </w:numPr>
        <w:spacing w:after="120"/>
        <w:contextualSpacing w:val="0"/>
        <w:rPr>
          <w:rStyle w:val="selectable"/>
          <w:lang w:val="en-GB" w:eastAsia="en-GB"/>
        </w:rPr>
      </w:pPr>
      <w:r w:rsidRPr="00930B2E">
        <w:rPr>
          <w:lang w:val="en-GB" w:eastAsia="en-GB"/>
        </w:rPr>
        <w:t xml:space="preserve">Intravenous fluid therapy in adults in hospital, Clinical guideline [Internet]. National Institute for Health and Care Excellence. 2017. Available from: </w:t>
      </w:r>
      <w:hyperlink r:id="rId12" w:history="1">
        <w:r w:rsidRPr="00B67235">
          <w:rPr>
            <w:rStyle w:val="Hyperlink"/>
            <w:lang w:val="en-GB" w:eastAsia="en-GB"/>
          </w:rPr>
          <w:t>https://www.nice.org.uk/guidance/cg174/chapter/1-recommendations</w:t>
        </w:r>
      </w:hyperlink>
      <w:r w:rsidRPr="00930B2E">
        <w:rPr>
          <w:rStyle w:val="selectable"/>
          <w:lang w:val="en-GB" w:eastAsia="en-GB"/>
        </w:rPr>
        <w:t xml:space="preserve"> </w:t>
      </w:r>
    </w:p>
    <w:p w14:paraId="19711E54" w14:textId="17FEE2A8" w:rsidR="003807E6" w:rsidRPr="00C521F3" w:rsidRDefault="003807E6" w:rsidP="00061D7A">
      <w:pPr>
        <w:pStyle w:val="ListParagraph"/>
        <w:numPr>
          <w:ilvl w:val="0"/>
          <w:numId w:val="3"/>
        </w:numPr>
        <w:spacing w:after="120"/>
        <w:contextualSpacing w:val="0"/>
        <w:rPr>
          <w:rStyle w:val="selectable"/>
          <w:lang w:val="en-GB" w:eastAsia="en-GB"/>
        </w:rPr>
      </w:pPr>
      <w:r w:rsidRPr="00E54E14">
        <w:rPr>
          <w:rStyle w:val="selectable"/>
        </w:rPr>
        <w:t xml:space="preserve">Potassium </w:t>
      </w:r>
      <w:r>
        <w:rPr>
          <w:rStyle w:val="selectable"/>
        </w:rPr>
        <w:t>Chloride</w:t>
      </w:r>
      <w:r w:rsidRPr="00E54E14">
        <w:rPr>
          <w:rStyle w:val="selectable"/>
        </w:rPr>
        <w:t xml:space="preserve"> [Internet]. Austral</w:t>
      </w:r>
      <w:r>
        <w:rPr>
          <w:rStyle w:val="selectable"/>
        </w:rPr>
        <w:t>ian Injectable Drugs Handbook, 7</w:t>
      </w:r>
      <w:r w:rsidRPr="00E54E14">
        <w:rPr>
          <w:rStyle w:val="selectable"/>
        </w:rPr>
        <w:t>th Edition. 201</w:t>
      </w:r>
      <w:r>
        <w:rPr>
          <w:rStyle w:val="selectable"/>
        </w:rPr>
        <w:t>9</w:t>
      </w:r>
      <w:r w:rsidRPr="00E54E14">
        <w:rPr>
          <w:rStyle w:val="selectable"/>
        </w:rPr>
        <w:t xml:space="preserve"> Available from </w:t>
      </w:r>
      <w:r w:rsidRPr="00930B2E">
        <w:rPr>
          <w:rStyle w:val="Hyperlink"/>
        </w:rPr>
        <w:t>https://aidh.hcn.com.au/browse/p/potassium_chloride</w:t>
      </w:r>
    </w:p>
    <w:p w14:paraId="23A544D3" w14:textId="51442C2D" w:rsidR="003807E6" w:rsidRPr="006A51B1" w:rsidRDefault="003807E6" w:rsidP="00061D7A">
      <w:pPr>
        <w:pStyle w:val="ListParagraph"/>
        <w:numPr>
          <w:ilvl w:val="0"/>
          <w:numId w:val="3"/>
        </w:numPr>
        <w:autoSpaceDE w:val="0"/>
        <w:autoSpaceDN w:val="0"/>
        <w:adjustRightInd w:val="0"/>
        <w:spacing w:before="60" w:after="120"/>
        <w:contextualSpacing w:val="0"/>
        <w:rPr>
          <w:color w:val="000000" w:themeColor="text1"/>
        </w:rPr>
      </w:pPr>
      <w:proofErr w:type="spellStart"/>
      <w:r w:rsidRPr="006A51B1">
        <w:rPr>
          <w:color w:val="000000" w:themeColor="text1"/>
        </w:rPr>
        <w:t>eTG</w:t>
      </w:r>
      <w:proofErr w:type="spellEnd"/>
      <w:r w:rsidRPr="006A51B1">
        <w:rPr>
          <w:color w:val="000000" w:themeColor="text1"/>
        </w:rPr>
        <w:t xml:space="preserve"> complete [Internet]. Melbourne (Vic): Therapeutic Guidelines Limited; 2019. Electrolyte abnormalities: hypo</w:t>
      </w:r>
      <w:r>
        <w:rPr>
          <w:color w:val="000000" w:themeColor="text1"/>
        </w:rPr>
        <w:t>natraemia</w:t>
      </w:r>
      <w:r w:rsidRPr="006A51B1">
        <w:rPr>
          <w:color w:val="000000" w:themeColor="text1"/>
        </w:rPr>
        <w:t xml:space="preserve">; [Amended 2015 </w:t>
      </w:r>
      <w:r>
        <w:rPr>
          <w:color w:val="000000" w:themeColor="text1"/>
        </w:rPr>
        <w:t>June</w:t>
      </w:r>
      <w:r w:rsidRPr="006A51B1">
        <w:rPr>
          <w:color w:val="000000" w:themeColor="text1"/>
        </w:rPr>
        <w:t xml:space="preserve">]. </w:t>
      </w:r>
    </w:p>
    <w:p w14:paraId="164E10FF" w14:textId="3F5F9C34" w:rsidR="003807E6" w:rsidRPr="002F5B41" w:rsidRDefault="003807E6" w:rsidP="00061D7A">
      <w:pPr>
        <w:pStyle w:val="ListParagraph"/>
        <w:numPr>
          <w:ilvl w:val="0"/>
          <w:numId w:val="3"/>
        </w:numPr>
        <w:spacing w:after="120"/>
        <w:contextualSpacing w:val="0"/>
        <w:rPr>
          <w:lang w:val="en-GB" w:eastAsia="en-GB"/>
        </w:rPr>
      </w:pPr>
      <w:r w:rsidRPr="002F1B6E">
        <w:rPr>
          <w:lang w:val="en-GB" w:eastAsia="en-GB"/>
        </w:rPr>
        <w:t xml:space="preserve">Hyponatraemia - Symptoms, </w:t>
      </w:r>
      <w:proofErr w:type="gramStart"/>
      <w:r w:rsidRPr="002F1B6E">
        <w:rPr>
          <w:lang w:val="en-GB" w:eastAsia="en-GB"/>
        </w:rPr>
        <w:t>diagnosis</w:t>
      </w:r>
      <w:proofErr w:type="gramEnd"/>
      <w:r w:rsidRPr="002F1B6E">
        <w:rPr>
          <w:lang w:val="en-GB" w:eastAsia="en-GB"/>
        </w:rPr>
        <w:t xml:space="preserve"> and treatment [Internet]. BMJ Best Practice. 201</w:t>
      </w:r>
      <w:r>
        <w:rPr>
          <w:lang w:val="en-GB" w:eastAsia="en-GB"/>
        </w:rPr>
        <w:t>8</w:t>
      </w:r>
      <w:r w:rsidRPr="002F1B6E">
        <w:rPr>
          <w:lang w:val="en-GB" w:eastAsia="en-GB"/>
        </w:rPr>
        <w:t xml:space="preserve"> Available from: http://bestpractice.bmj.com/topics/en-gb/1214/treatment-algorithm</w:t>
      </w:r>
    </w:p>
    <w:p w14:paraId="298A0670" w14:textId="77777777" w:rsidR="003865DA" w:rsidRPr="003865DA" w:rsidRDefault="003807E6" w:rsidP="00061D7A">
      <w:pPr>
        <w:pStyle w:val="ListParagraph"/>
        <w:numPr>
          <w:ilvl w:val="0"/>
          <w:numId w:val="3"/>
        </w:numPr>
        <w:spacing w:after="120"/>
        <w:contextualSpacing w:val="0"/>
        <w:rPr>
          <w:rStyle w:val="Hyperlink"/>
          <w:color w:val="auto"/>
          <w:u w:val="none"/>
          <w:lang w:val="en-GB" w:eastAsia="en-GB"/>
        </w:rPr>
      </w:pPr>
      <w:r w:rsidRPr="006D1A58">
        <w:t xml:space="preserve"> </w:t>
      </w:r>
      <w:proofErr w:type="spellStart"/>
      <w:r w:rsidRPr="00090A15">
        <w:rPr>
          <w:color w:val="000000" w:themeColor="text1"/>
        </w:rPr>
        <w:t>Spasovski</w:t>
      </w:r>
      <w:proofErr w:type="spellEnd"/>
      <w:r w:rsidRPr="00090A15">
        <w:rPr>
          <w:color w:val="000000" w:themeColor="text1"/>
        </w:rPr>
        <w:t xml:space="preserve"> G, </w:t>
      </w:r>
      <w:proofErr w:type="spellStart"/>
      <w:r w:rsidRPr="00090A15">
        <w:rPr>
          <w:color w:val="000000" w:themeColor="text1"/>
        </w:rPr>
        <w:t>Vanholder</w:t>
      </w:r>
      <w:proofErr w:type="spellEnd"/>
      <w:r w:rsidRPr="00090A15">
        <w:rPr>
          <w:color w:val="000000" w:themeColor="text1"/>
        </w:rPr>
        <w:t xml:space="preserve"> R, </w:t>
      </w:r>
      <w:proofErr w:type="spellStart"/>
      <w:r w:rsidRPr="00090A15">
        <w:rPr>
          <w:color w:val="000000" w:themeColor="text1"/>
        </w:rPr>
        <w:t>Allolio</w:t>
      </w:r>
      <w:proofErr w:type="spellEnd"/>
      <w:r w:rsidRPr="00090A15">
        <w:rPr>
          <w:color w:val="000000" w:themeColor="text1"/>
        </w:rPr>
        <w:t xml:space="preserve"> B, </w:t>
      </w:r>
      <w:proofErr w:type="spellStart"/>
      <w:r w:rsidRPr="00090A15">
        <w:rPr>
          <w:color w:val="000000" w:themeColor="text1"/>
        </w:rPr>
        <w:t>Annane</w:t>
      </w:r>
      <w:proofErr w:type="spellEnd"/>
      <w:r w:rsidRPr="00090A15">
        <w:rPr>
          <w:color w:val="000000" w:themeColor="text1"/>
        </w:rPr>
        <w:t xml:space="preserve"> D, Ball S, </w:t>
      </w:r>
      <w:proofErr w:type="spellStart"/>
      <w:r w:rsidRPr="00090A15">
        <w:rPr>
          <w:color w:val="000000" w:themeColor="text1"/>
        </w:rPr>
        <w:t>Bichet</w:t>
      </w:r>
      <w:proofErr w:type="spellEnd"/>
      <w:r w:rsidRPr="00090A15">
        <w:rPr>
          <w:color w:val="000000" w:themeColor="text1"/>
        </w:rPr>
        <w:t xml:space="preserve"> D, et al. Clinical practice guideline on diagnosis and treatment of hyponatraemia. Intensive Care Medicine [Internet]. 2014 Mar;40(3):320–31.</w:t>
      </w:r>
      <w:r>
        <w:rPr>
          <w:color w:val="000000" w:themeColor="text1"/>
        </w:rPr>
        <w:t xml:space="preserve"> Available from:</w:t>
      </w:r>
      <w:r w:rsidRPr="00090A15">
        <w:t xml:space="preserve"> </w:t>
      </w:r>
      <w:hyperlink r:id="rId13" w:history="1">
        <w:r w:rsidRPr="00090A15">
          <w:rPr>
            <w:rStyle w:val="Hyperlink"/>
          </w:rPr>
          <w:t>https://link.springer.com/article/10.1007/s00134-014-3210-2</w:t>
        </w:r>
      </w:hyperlink>
    </w:p>
    <w:p w14:paraId="211EB3EF" w14:textId="5CAB0FCD" w:rsidR="003807E6" w:rsidRPr="003865DA" w:rsidRDefault="003807E6" w:rsidP="00061D7A">
      <w:pPr>
        <w:pStyle w:val="ListParagraph"/>
        <w:numPr>
          <w:ilvl w:val="0"/>
          <w:numId w:val="3"/>
        </w:numPr>
        <w:spacing w:after="120"/>
        <w:contextualSpacing w:val="0"/>
        <w:rPr>
          <w:rStyle w:val="Hyperlink"/>
          <w:color w:val="auto"/>
          <w:u w:val="none"/>
          <w:lang w:val="en-GB" w:eastAsia="en-GB"/>
        </w:rPr>
      </w:pPr>
      <w:r w:rsidRPr="00E54E14">
        <w:rPr>
          <w:rStyle w:val="selectable"/>
        </w:rPr>
        <w:t>Table 6 - Reference intervals for harmonised chemical pathology [Internet</w:t>
      </w:r>
      <w:proofErr w:type="gramStart"/>
      <w:r w:rsidRPr="00E54E14">
        <w:rPr>
          <w:rStyle w:val="selectable"/>
        </w:rPr>
        <w:t>].The</w:t>
      </w:r>
      <w:proofErr w:type="gramEnd"/>
      <w:r w:rsidRPr="00E54E14">
        <w:rPr>
          <w:rStyle w:val="selectable"/>
        </w:rPr>
        <w:t xml:space="preserve"> Royal College of Pathologists of Australasia; 2014. Available from: </w:t>
      </w:r>
      <w:hyperlink r:id="rId14" w:history="1">
        <w:r w:rsidRPr="0024232F">
          <w:rPr>
            <w:rStyle w:val="Hyperlink"/>
          </w:rPr>
          <w:t>https://www.rcpa.edu.au/getattachment/ddaf4b6d-f626-43de-98d0-018264371181/Table-6-Reference-intervals-harmonised-chemical.aspx</w:t>
        </w:r>
      </w:hyperlink>
    </w:p>
    <w:p w14:paraId="31E98FA6" w14:textId="5AB77A6D" w:rsidR="003807E6" w:rsidRPr="005D15FC" w:rsidRDefault="003807E6" w:rsidP="00061D7A">
      <w:pPr>
        <w:pStyle w:val="ListParagraph"/>
        <w:numPr>
          <w:ilvl w:val="0"/>
          <w:numId w:val="3"/>
        </w:numPr>
        <w:autoSpaceDE w:val="0"/>
        <w:autoSpaceDN w:val="0"/>
        <w:adjustRightInd w:val="0"/>
        <w:spacing w:before="60" w:after="60"/>
        <w:contextualSpacing w:val="0"/>
        <w:rPr>
          <w:rStyle w:val="selectable"/>
          <w:lang w:val="en-GB" w:eastAsia="en-GB"/>
        </w:rPr>
      </w:pPr>
      <w:proofErr w:type="spellStart"/>
      <w:r w:rsidRPr="005D15FC">
        <w:rPr>
          <w:rStyle w:val="selectable"/>
          <w:lang w:val="en-GB" w:eastAsia="en-GB"/>
        </w:rPr>
        <w:t>eTG</w:t>
      </w:r>
      <w:proofErr w:type="spellEnd"/>
      <w:r w:rsidRPr="005D15FC">
        <w:rPr>
          <w:rStyle w:val="selectable"/>
          <w:lang w:val="en-GB" w:eastAsia="en-GB"/>
        </w:rPr>
        <w:t xml:space="preserve"> complete [Internet]. Melbourne (Vic): Therapeutic Guidelines Limited; 2019. </w:t>
      </w:r>
      <w:proofErr w:type="spellStart"/>
      <w:r w:rsidRPr="005D15FC">
        <w:rPr>
          <w:rStyle w:val="selectable"/>
          <w:lang w:val="en-GB" w:eastAsia="en-GB"/>
        </w:rPr>
        <w:t>Hypo</w:t>
      </w:r>
      <w:r>
        <w:rPr>
          <w:rStyle w:val="selectable"/>
          <w:lang w:val="en-GB" w:eastAsia="en-GB"/>
        </w:rPr>
        <w:t>phosphataemia</w:t>
      </w:r>
      <w:proofErr w:type="spellEnd"/>
      <w:r w:rsidRPr="005D15FC">
        <w:rPr>
          <w:rStyle w:val="selectable"/>
          <w:lang w:val="en-GB" w:eastAsia="en-GB"/>
        </w:rPr>
        <w:t xml:space="preserve">; </w:t>
      </w:r>
    </w:p>
    <w:p w14:paraId="68389324" w14:textId="75A50C5E" w:rsidR="003807E6" w:rsidRPr="002956E3" w:rsidRDefault="003807E6" w:rsidP="00061D7A">
      <w:pPr>
        <w:pStyle w:val="ListParagraph"/>
        <w:numPr>
          <w:ilvl w:val="0"/>
          <w:numId w:val="3"/>
        </w:numPr>
        <w:spacing w:after="120"/>
        <w:contextualSpacing w:val="0"/>
        <w:rPr>
          <w:rStyle w:val="selectable"/>
          <w:lang w:val="en-GB" w:eastAsia="en-GB"/>
        </w:rPr>
      </w:pPr>
      <w:bookmarkStart w:id="34" w:name="_Hlk480317682"/>
      <w:r w:rsidRPr="002956E3">
        <w:rPr>
          <w:rStyle w:val="selectable"/>
        </w:rPr>
        <w:lastRenderedPageBreak/>
        <w:t xml:space="preserve">6. Yu A, Stubbs J. </w:t>
      </w:r>
      <w:proofErr w:type="gramStart"/>
      <w:r w:rsidRPr="002956E3">
        <w:rPr>
          <w:rStyle w:val="selectable"/>
        </w:rPr>
        <w:t>Evaluation</w:t>
      </w:r>
      <w:proofErr w:type="gramEnd"/>
      <w:r w:rsidRPr="002956E3">
        <w:rPr>
          <w:rStyle w:val="selectable"/>
        </w:rPr>
        <w:t xml:space="preserve"> and treatment of hypophosphatemia [Internet]. UpToDate. 2019. Available from: </w:t>
      </w:r>
      <w:hyperlink r:id="rId15" w:history="1">
        <w:r w:rsidRPr="002956E3">
          <w:rPr>
            <w:rStyle w:val="Hyperlink"/>
          </w:rPr>
          <w:t>https://www.uptodate.com/contents/evaluation-and-treatment-of-hypophosphatemia?source=search_result&amp;search=hypophosphatemia&amp;selectedTitle=1~150%23H1</w:t>
        </w:r>
      </w:hyperlink>
    </w:p>
    <w:p w14:paraId="6671EF77" w14:textId="77777777" w:rsidR="003865DA" w:rsidRPr="003865DA" w:rsidRDefault="003807E6" w:rsidP="00061D7A">
      <w:pPr>
        <w:pStyle w:val="ListParagraph"/>
        <w:numPr>
          <w:ilvl w:val="0"/>
          <w:numId w:val="3"/>
        </w:numPr>
        <w:spacing w:after="120"/>
        <w:contextualSpacing w:val="0"/>
        <w:rPr>
          <w:rStyle w:val="Hyperlink"/>
          <w:color w:val="auto"/>
          <w:u w:val="none"/>
          <w:lang w:val="en-GB" w:eastAsia="en-GB"/>
        </w:rPr>
      </w:pPr>
      <w:r w:rsidRPr="00E54E14">
        <w:rPr>
          <w:rStyle w:val="selectable"/>
        </w:rPr>
        <w:t>Potassium Dihydrogen Phosphate [Internet]. Austral</w:t>
      </w:r>
      <w:r>
        <w:rPr>
          <w:rStyle w:val="selectable"/>
        </w:rPr>
        <w:t xml:space="preserve">ian Injectable Drugs Handbook, 7th Edition. </w:t>
      </w:r>
      <w:proofErr w:type="gramStart"/>
      <w:r>
        <w:rPr>
          <w:rStyle w:val="selectable"/>
        </w:rPr>
        <w:t>2019 .</w:t>
      </w:r>
      <w:proofErr w:type="gramEnd"/>
      <w:r>
        <w:rPr>
          <w:rStyle w:val="selectable"/>
        </w:rPr>
        <w:t xml:space="preserve"> Available from </w:t>
      </w:r>
      <w:hyperlink r:id="rId16" w:history="1">
        <w:r w:rsidRPr="00E54E14">
          <w:rPr>
            <w:rStyle w:val="Hyperlink"/>
          </w:rPr>
          <w:t>http://aidh.hcn.com.au/browse/p/potassium_dihydrogen_phosphate</w:t>
        </w:r>
      </w:hyperlink>
      <w:bookmarkEnd w:id="34"/>
    </w:p>
    <w:p w14:paraId="13FD572C" w14:textId="77777777" w:rsidR="003865DA" w:rsidRPr="003865DA" w:rsidRDefault="003807E6" w:rsidP="00061D7A">
      <w:pPr>
        <w:pStyle w:val="ListParagraph"/>
        <w:numPr>
          <w:ilvl w:val="0"/>
          <w:numId w:val="3"/>
        </w:numPr>
        <w:spacing w:after="120"/>
        <w:contextualSpacing w:val="0"/>
        <w:rPr>
          <w:rStyle w:val="Hyperlink"/>
          <w:color w:val="auto"/>
          <w:u w:val="none"/>
          <w:lang w:val="en-GB" w:eastAsia="en-GB"/>
        </w:rPr>
      </w:pPr>
      <w:r w:rsidRPr="00E54E14">
        <w:rPr>
          <w:rStyle w:val="selectable"/>
        </w:rPr>
        <w:t>Sodium Dihydrogen Phosphate [Internet]. Austral</w:t>
      </w:r>
      <w:r>
        <w:rPr>
          <w:rStyle w:val="selectable"/>
        </w:rPr>
        <w:t>ian Injectable Drugs Handbook, 7th Edition. 2019</w:t>
      </w:r>
      <w:r w:rsidRPr="00E54E14">
        <w:rPr>
          <w:rStyle w:val="selectable"/>
        </w:rPr>
        <w:t xml:space="preserve">. Available from </w:t>
      </w:r>
      <w:hyperlink r:id="rId17" w:history="1">
        <w:r w:rsidRPr="00E54E14">
          <w:rPr>
            <w:rStyle w:val="Hyperlink"/>
          </w:rPr>
          <w:t>http://aidh.hcn.com.au/browse/s/sodium_dihydrogen_phosphate</w:t>
        </w:r>
      </w:hyperlink>
    </w:p>
    <w:p w14:paraId="1F9BCEF7" w14:textId="223CDD2A" w:rsidR="003807E6" w:rsidRPr="003865DA" w:rsidRDefault="003807E6" w:rsidP="00061D7A">
      <w:pPr>
        <w:pStyle w:val="ListParagraph"/>
        <w:numPr>
          <w:ilvl w:val="0"/>
          <w:numId w:val="3"/>
        </w:numPr>
        <w:spacing w:after="120"/>
        <w:contextualSpacing w:val="0"/>
        <w:rPr>
          <w:rStyle w:val="Hyperlink"/>
          <w:color w:val="auto"/>
          <w:u w:val="none"/>
          <w:lang w:val="en-GB" w:eastAsia="en-GB"/>
        </w:rPr>
      </w:pPr>
      <w:r w:rsidRPr="003865DA">
        <w:rPr>
          <w:rStyle w:val="selectable"/>
          <w:lang w:val="en-GB" w:eastAsia="en-GB"/>
        </w:rPr>
        <w:t xml:space="preserve">MIMS Online [Internet]. St Leonards (NSW): MIMS Australia Pty Ltd.; c2019. Phosphate </w:t>
      </w:r>
      <w:proofErr w:type="spellStart"/>
      <w:r w:rsidRPr="003865DA">
        <w:rPr>
          <w:rStyle w:val="selectable"/>
          <w:lang w:val="en-GB" w:eastAsia="en-GB"/>
        </w:rPr>
        <w:t>Phebra</w:t>
      </w:r>
      <w:proofErr w:type="spellEnd"/>
      <w:proofErr w:type="gramStart"/>
      <w:r w:rsidRPr="003865DA">
        <w:rPr>
          <w:rStyle w:val="selectable"/>
          <w:lang w:val="en-GB" w:eastAsia="en-GB"/>
        </w:rPr>
        <w:t>:  [</w:t>
      </w:r>
      <w:proofErr w:type="gramEnd"/>
      <w:r w:rsidRPr="003865DA">
        <w:rPr>
          <w:rStyle w:val="selectable"/>
          <w:lang w:val="en-GB" w:eastAsia="en-GB"/>
        </w:rPr>
        <w:t>data version 2019 June; [about 1 screen]. Available from:</w:t>
      </w:r>
      <w:r w:rsidRPr="00535F24">
        <w:t xml:space="preserve"> </w:t>
      </w:r>
      <w:r w:rsidRPr="003865DA">
        <w:rPr>
          <w:rStyle w:val="Hyperlink"/>
          <w:lang w:val="en-GB" w:eastAsia="en-GB"/>
        </w:rPr>
        <w:t>https://www.mimsonline.com.au/Search/FullPI.aspx?ModuleName=Product%20Info&amp;searchKeyword=phebra&amp;PreviousPage=~/Search/QuickSearch.aspx&amp;SearchType=&amp;ID=126210001_2</w:t>
      </w:r>
    </w:p>
    <w:p w14:paraId="375F9FF0" w14:textId="117723D7" w:rsidR="003807E6" w:rsidRPr="00331F40" w:rsidRDefault="003807E6" w:rsidP="00061D7A">
      <w:pPr>
        <w:pStyle w:val="ListParagraph"/>
        <w:numPr>
          <w:ilvl w:val="0"/>
          <w:numId w:val="3"/>
        </w:numPr>
        <w:spacing w:after="120"/>
        <w:contextualSpacing w:val="0"/>
        <w:rPr>
          <w:lang w:val="en-GB" w:eastAsia="en-GB"/>
        </w:rPr>
      </w:pPr>
      <w:proofErr w:type="spellStart"/>
      <w:r w:rsidRPr="0024232F">
        <w:rPr>
          <w:rFonts w:cs="Arial"/>
        </w:rPr>
        <w:t>eTG</w:t>
      </w:r>
      <w:proofErr w:type="spellEnd"/>
      <w:r w:rsidRPr="0024232F">
        <w:rPr>
          <w:rFonts w:cs="Arial"/>
        </w:rPr>
        <w:t xml:space="preserve"> complete [Internet]. Melbourne (Vic): Therapeutic Guidelines Limited; 2019</w:t>
      </w:r>
      <w:r>
        <w:rPr>
          <w:rFonts w:cs="Arial"/>
        </w:rPr>
        <w:t>. Electrolyte abnormalities: hypomagnesaemia</w:t>
      </w:r>
      <w:r w:rsidRPr="0024232F">
        <w:rPr>
          <w:rFonts w:cs="Arial"/>
        </w:rPr>
        <w:t xml:space="preserve">; [Amended 2015 June]. </w:t>
      </w:r>
    </w:p>
    <w:p w14:paraId="6A879B98" w14:textId="10C78E31" w:rsidR="003807E6" w:rsidRDefault="003807E6" w:rsidP="00061D7A">
      <w:pPr>
        <w:pStyle w:val="ListParagraph"/>
        <w:numPr>
          <w:ilvl w:val="0"/>
          <w:numId w:val="3"/>
        </w:numPr>
        <w:spacing w:after="120"/>
        <w:contextualSpacing w:val="0"/>
        <w:rPr>
          <w:lang w:val="en-GB" w:eastAsia="en-GB"/>
        </w:rPr>
      </w:pPr>
      <w:r w:rsidRPr="007C27AD">
        <w:rPr>
          <w:lang w:val="en-GB" w:eastAsia="en-GB"/>
        </w:rPr>
        <w:t xml:space="preserve">Calcium [Internet]. The Royal College of Pathologists of </w:t>
      </w:r>
      <w:r>
        <w:rPr>
          <w:lang w:val="en-GB" w:eastAsia="en-GB"/>
        </w:rPr>
        <w:t>Australasia. 2019</w:t>
      </w:r>
      <w:r w:rsidRPr="007C27AD">
        <w:rPr>
          <w:lang w:val="en-GB" w:eastAsia="en-GB"/>
        </w:rPr>
        <w:t xml:space="preserve">. Available from: </w:t>
      </w:r>
      <w:hyperlink r:id="rId18" w:history="1">
        <w:r w:rsidRPr="003A5207">
          <w:rPr>
            <w:rStyle w:val="Hyperlink"/>
            <w:lang w:val="en-GB" w:eastAsia="en-GB"/>
          </w:rPr>
          <w:t>https://www.rcpa.edu.au/Manuals/RCPA-Manual/Pathology-Tests/C/Calcium</w:t>
        </w:r>
      </w:hyperlink>
    </w:p>
    <w:p w14:paraId="6F68F526" w14:textId="52A6B116" w:rsidR="003807E6" w:rsidRPr="00820923" w:rsidRDefault="003807E6" w:rsidP="00061D7A">
      <w:pPr>
        <w:pStyle w:val="ListParagraph"/>
        <w:numPr>
          <w:ilvl w:val="0"/>
          <w:numId w:val="3"/>
        </w:numPr>
        <w:autoSpaceDE w:val="0"/>
        <w:autoSpaceDN w:val="0"/>
        <w:adjustRightInd w:val="0"/>
        <w:spacing w:before="60" w:after="120"/>
        <w:contextualSpacing w:val="0"/>
        <w:rPr>
          <w:lang w:val="en-GB" w:eastAsia="en-GB"/>
        </w:rPr>
      </w:pPr>
      <w:bookmarkStart w:id="35" w:name="_Hlk20077011"/>
      <w:proofErr w:type="spellStart"/>
      <w:r w:rsidRPr="00820923">
        <w:rPr>
          <w:lang w:val="en-GB" w:eastAsia="en-GB"/>
        </w:rPr>
        <w:t>eTG</w:t>
      </w:r>
      <w:proofErr w:type="spellEnd"/>
      <w:r w:rsidRPr="00820923">
        <w:rPr>
          <w:lang w:val="en-GB" w:eastAsia="en-GB"/>
        </w:rPr>
        <w:t xml:space="preserve"> complete [Internet]. Melbourne (Vic): Therapeutic Guidelines Limited; 2019. </w:t>
      </w:r>
      <w:r>
        <w:rPr>
          <w:lang w:val="en-GB" w:eastAsia="en-GB"/>
        </w:rPr>
        <w:t>Hypocalcaemia</w:t>
      </w:r>
      <w:r w:rsidRPr="00820923">
        <w:rPr>
          <w:lang w:val="en-GB" w:eastAsia="en-GB"/>
        </w:rPr>
        <w:t xml:space="preserve">: </w:t>
      </w:r>
      <w:r>
        <w:rPr>
          <w:lang w:val="en-GB" w:eastAsia="en-GB"/>
        </w:rPr>
        <w:t>acute severe hypocalcaemia</w:t>
      </w:r>
      <w:r w:rsidRPr="00820923">
        <w:rPr>
          <w:lang w:val="en-GB" w:eastAsia="en-GB"/>
        </w:rPr>
        <w:t>; [</w:t>
      </w:r>
      <w:r>
        <w:rPr>
          <w:lang w:val="en-GB" w:eastAsia="en-GB"/>
        </w:rPr>
        <w:t>Published 2019 June</w:t>
      </w:r>
      <w:r w:rsidRPr="00820923">
        <w:rPr>
          <w:lang w:val="en-GB" w:eastAsia="en-GB"/>
        </w:rPr>
        <w:t xml:space="preserve">]. </w:t>
      </w:r>
    </w:p>
    <w:bookmarkEnd w:id="35"/>
    <w:p w14:paraId="4387ECC8" w14:textId="77777777" w:rsidR="003865DA" w:rsidRPr="003865DA" w:rsidRDefault="003807E6" w:rsidP="00061D7A">
      <w:pPr>
        <w:pStyle w:val="ListParagraph"/>
        <w:numPr>
          <w:ilvl w:val="0"/>
          <w:numId w:val="3"/>
        </w:numPr>
        <w:spacing w:after="120"/>
        <w:contextualSpacing w:val="0"/>
        <w:rPr>
          <w:rStyle w:val="Hyperlink"/>
          <w:color w:val="auto"/>
          <w:u w:val="none"/>
          <w:lang w:val="en-GB" w:eastAsia="en-GB"/>
        </w:rPr>
      </w:pPr>
      <w:r w:rsidRPr="00820923">
        <w:rPr>
          <w:lang w:val="en-GB" w:eastAsia="en-GB"/>
        </w:rPr>
        <w:t xml:space="preserve">Cooper MS, Gittoes NJL. Diagnosis and management of hypocalcaemia. BMJ (Clinical Research Ed) [Internet]. 2008 Jun 7;336(7656):1298–302. Available from: </w:t>
      </w:r>
      <w:hyperlink r:id="rId19" w:history="1">
        <w:r w:rsidRPr="002950E2">
          <w:rPr>
            <w:rStyle w:val="Hyperlink"/>
            <w:lang w:val="en-GB" w:eastAsia="en-GB"/>
          </w:rPr>
          <w:t>https://www.ncbi.nlm.nih.gov/pmc/a</w:t>
        </w:r>
        <w:r w:rsidRPr="002950E2">
          <w:rPr>
            <w:rStyle w:val="Hyperlink"/>
            <w:lang w:val="en-GB" w:eastAsia="en-GB"/>
          </w:rPr>
          <w:tab/>
        </w:r>
        <w:proofErr w:type="spellStart"/>
        <w:r w:rsidRPr="002950E2">
          <w:rPr>
            <w:rStyle w:val="Hyperlink"/>
            <w:lang w:val="en-GB" w:eastAsia="en-GB"/>
          </w:rPr>
          <w:t>rticles</w:t>
        </w:r>
        <w:proofErr w:type="spellEnd"/>
        <w:r w:rsidRPr="002950E2">
          <w:rPr>
            <w:rStyle w:val="Hyperlink"/>
            <w:lang w:val="en-GB" w:eastAsia="en-GB"/>
          </w:rPr>
          <w:t>/PMC2413335/</w:t>
        </w:r>
      </w:hyperlink>
    </w:p>
    <w:p w14:paraId="79593C5D" w14:textId="3D74C3CA" w:rsidR="003807E6" w:rsidRPr="003865DA" w:rsidRDefault="003807E6" w:rsidP="00061D7A">
      <w:pPr>
        <w:pStyle w:val="ListParagraph"/>
        <w:numPr>
          <w:ilvl w:val="0"/>
          <w:numId w:val="3"/>
        </w:numPr>
        <w:spacing w:after="120"/>
        <w:contextualSpacing w:val="0"/>
        <w:rPr>
          <w:rStyle w:val="Hyperlink"/>
          <w:color w:val="auto"/>
          <w:u w:val="none"/>
          <w:lang w:val="en-GB" w:eastAsia="en-GB"/>
        </w:rPr>
      </w:pPr>
      <w:proofErr w:type="spellStart"/>
      <w:r w:rsidRPr="003865DA">
        <w:rPr>
          <w:lang w:val="en-GB" w:eastAsia="en-GB"/>
        </w:rPr>
        <w:t>Goltzman</w:t>
      </w:r>
      <w:proofErr w:type="spellEnd"/>
      <w:r w:rsidRPr="003865DA">
        <w:rPr>
          <w:lang w:val="en-GB" w:eastAsia="en-GB"/>
        </w:rPr>
        <w:t xml:space="preserve"> D. Treatment of hypocalcaemia [Internet]. UpToDate. 2019. Available from: </w:t>
      </w:r>
      <w:hyperlink r:id="rId20" w:anchor="H21" w:history="1">
        <w:r w:rsidRPr="003865DA">
          <w:rPr>
            <w:rStyle w:val="Hyperlink"/>
            <w:lang w:val="en-GB" w:eastAsia="en-GB"/>
          </w:rPr>
          <w:t>https://www.uptodate.com/contents/treatment-of-hypocalcemia?search=hypocalcemia&amp;source=search_result&amp;selectedTitle=2~150&amp;usage_type=default&amp;display_rank=2#H21</w:t>
        </w:r>
      </w:hyperlink>
    </w:p>
    <w:p w14:paraId="6F6DB16C" w14:textId="72D6AABE" w:rsidR="003807E6" w:rsidRDefault="003807E6" w:rsidP="00061D7A">
      <w:pPr>
        <w:pStyle w:val="ListParagraph"/>
        <w:numPr>
          <w:ilvl w:val="0"/>
          <w:numId w:val="3"/>
        </w:numPr>
        <w:autoSpaceDE w:val="0"/>
        <w:autoSpaceDN w:val="0"/>
        <w:adjustRightInd w:val="0"/>
        <w:spacing w:before="60" w:after="120"/>
        <w:contextualSpacing w:val="0"/>
        <w:rPr>
          <w:lang w:val="en-GB" w:eastAsia="en-GB"/>
        </w:rPr>
      </w:pPr>
      <w:proofErr w:type="spellStart"/>
      <w:r w:rsidRPr="00820923">
        <w:rPr>
          <w:lang w:val="en-GB" w:eastAsia="en-GB"/>
        </w:rPr>
        <w:t>eTG</w:t>
      </w:r>
      <w:proofErr w:type="spellEnd"/>
      <w:r w:rsidRPr="00820923">
        <w:rPr>
          <w:lang w:val="en-GB" w:eastAsia="en-GB"/>
        </w:rPr>
        <w:t xml:space="preserve"> complete [Internet]. Melbourne (Vic): Therapeutic Guidelines Limited; 2019. </w:t>
      </w:r>
      <w:r>
        <w:rPr>
          <w:lang w:val="en-GB" w:eastAsia="en-GB"/>
        </w:rPr>
        <w:t>Vitamin D deficiency</w:t>
      </w:r>
      <w:r w:rsidRPr="00820923">
        <w:rPr>
          <w:lang w:val="en-GB" w:eastAsia="en-GB"/>
        </w:rPr>
        <w:t xml:space="preserve">: </w:t>
      </w:r>
      <w:r>
        <w:rPr>
          <w:lang w:val="en-GB" w:eastAsia="en-GB"/>
        </w:rPr>
        <w:t>vitamin D treatment regimens</w:t>
      </w:r>
      <w:r w:rsidRPr="00820923">
        <w:rPr>
          <w:lang w:val="en-GB" w:eastAsia="en-GB"/>
        </w:rPr>
        <w:t>; [</w:t>
      </w:r>
      <w:r>
        <w:rPr>
          <w:lang w:val="en-GB" w:eastAsia="en-GB"/>
        </w:rPr>
        <w:t>Published 2019 June</w:t>
      </w:r>
      <w:r w:rsidRPr="00820923">
        <w:rPr>
          <w:lang w:val="en-GB" w:eastAsia="en-GB"/>
        </w:rPr>
        <w:t xml:space="preserve">. </w:t>
      </w:r>
    </w:p>
    <w:p w14:paraId="2F51A8D4" w14:textId="77777777" w:rsidR="007B6904" w:rsidRPr="00DE4E25" w:rsidRDefault="007B6904" w:rsidP="003865DA">
      <w:pPr>
        <w:rPr>
          <w:szCs w:val="24"/>
        </w:rPr>
      </w:pPr>
    </w:p>
    <w:p w14:paraId="2F51A8D5" w14:textId="77777777" w:rsidR="00FF56DD" w:rsidRDefault="00A1768B" w:rsidP="004F417B">
      <w:pPr>
        <w:jc w:val="right"/>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3A444627" w:rsidR="00FF56DD" w:rsidRPr="000F1F60" w:rsidRDefault="00FF56DD" w:rsidP="003865DA">
            <w:pPr>
              <w:pStyle w:val="Heading1"/>
            </w:pPr>
            <w:bookmarkStart w:id="36" w:name="_Toc159225891"/>
            <w:r>
              <w:t>Definition of Terms</w:t>
            </w:r>
            <w:bookmarkEnd w:id="36"/>
            <w:r>
              <w:t xml:space="preserve"> </w:t>
            </w:r>
          </w:p>
        </w:tc>
      </w:tr>
    </w:tbl>
    <w:p w14:paraId="2F51A8D8" w14:textId="77777777" w:rsidR="00FF56DD" w:rsidRDefault="00FF56DD" w:rsidP="003865DA">
      <w:pPr>
        <w:rPr>
          <w:rFonts w:cs="Arial"/>
          <w:szCs w:val="24"/>
        </w:rPr>
      </w:pPr>
    </w:p>
    <w:p w14:paraId="54C7B6AF" w14:textId="77777777" w:rsidR="004F417B" w:rsidRPr="00A13647" w:rsidRDefault="004F417B" w:rsidP="004F417B">
      <w:pPr>
        <w:pStyle w:val="ListBullet"/>
        <w:numPr>
          <w:ilvl w:val="0"/>
          <w:numId w:val="0"/>
        </w:numPr>
      </w:pPr>
      <w:r w:rsidRPr="00A13647">
        <w:t>K</w:t>
      </w:r>
      <w:r>
        <w:t>+</w:t>
      </w:r>
      <w:r w:rsidRPr="00A13647">
        <w:t xml:space="preserve"> = Potassium</w:t>
      </w:r>
    </w:p>
    <w:p w14:paraId="0CB83BD5" w14:textId="77777777" w:rsidR="004F417B" w:rsidRPr="00A13647" w:rsidRDefault="004F417B" w:rsidP="004F417B">
      <w:pPr>
        <w:pStyle w:val="ListBullet"/>
        <w:numPr>
          <w:ilvl w:val="0"/>
          <w:numId w:val="0"/>
        </w:numPr>
      </w:pPr>
      <w:proofErr w:type="spellStart"/>
      <w:r w:rsidRPr="00A13647">
        <w:t>KCl</w:t>
      </w:r>
      <w:proofErr w:type="spellEnd"/>
      <w:r w:rsidRPr="00A13647">
        <w:t xml:space="preserve"> = Potassium </w:t>
      </w:r>
      <w:r>
        <w:t>c</w:t>
      </w:r>
      <w:r w:rsidRPr="00A13647">
        <w:t>hloride</w:t>
      </w:r>
    </w:p>
    <w:p w14:paraId="12DC0F35" w14:textId="77777777" w:rsidR="004F417B" w:rsidRPr="00A13647" w:rsidRDefault="004F417B" w:rsidP="004F417B">
      <w:pPr>
        <w:pStyle w:val="ListBullet"/>
        <w:numPr>
          <w:ilvl w:val="0"/>
          <w:numId w:val="0"/>
        </w:numPr>
      </w:pPr>
      <w:r w:rsidRPr="00A13647">
        <w:t>PO</w:t>
      </w:r>
      <w:r w:rsidRPr="00A13647">
        <w:rPr>
          <w:vertAlign w:val="subscript"/>
        </w:rPr>
        <w:t>4</w:t>
      </w:r>
      <w:r w:rsidRPr="00084EAC">
        <w:rPr>
          <w:vertAlign w:val="superscript"/>
        </w:rPr>
        <w:t>-</w:t>
      </w:r>
      <w:r w:rsidRPr="00A13647">
        <w:t xml:space="preserve"> = Phosphate</w:t>
      </w:r>
    </w:p>
    <w:p w14:paraId="1F4019E8" w14:textId="77777777" w:rsidR="004F417B" w:rsidRPr="00A13647" w:rsidRDefault="004F417B" w:rsidP="004F417B">
      <w:pPr>
        <w:pStyle w:val="ListBullet"/>
        <w:numPr>
          <w:ilvl w:val="0"/>
          <w:numId w:val="0"/>
        </w:numPr>
      </w:pPr>
      <w:r w:rsidRPr="00A13647">
        <w:t>KH</w:t>
      </w:r>
      <w:r w:rsidRPr="00A13647">
        <w:rPr>
          <w:vertAlign w:val="subscript"/>
        </w:rPr>
        <w:t>2</w:t>
      </w:r>
      <w:r w:rsidRPr="00A13647">
        <w:t>PO</w:t>
      </w:r>
      <w:r w:rsidRPr="00A13647">
        <w:rPr>
          <w:vertAlign w:val="subscript"/>
        </w:rPr>
        <w:t>4</w:t>
      </w:r>
      <w:r w:rsidRPr="00A13647">
        <w:t xml:space="preserve"> = Potassium </w:t>
      </w:r>
      <w:r>
        <w:t>d</w:t>
      </w:r>
      <w:r w:rsidRPr="00A13647">
        <w:t xml:space="preserve">ihydrogen </w:t>
      </w:r>
      <w:r>
        <w:t>p</w:t>
      </w:r>
      <w:r w:rsidRPr="00A13647">
        <w:t>hosphate</w:t>
      </w:r>
    </w:p>
    <w:p w14:paraId="792E8EDA" w14:textId="77777777" w:rsidR="004F417B" w:rsidRPr="00A13647" w:rsidRDefault="004F417B" w:rsidP="004F417B">
      <w:pPr>
        <w:pStyle w:val="ListBullet"/>
        <w:numPr>
          <w:ilvl w:val="0"/>
          <w:numId w:val="0"/>
        </w:numPr>
      </w:pPr>
      <w:r w:rsidRPr="00A13647">
        <w:lastRenderedPageBreak/>
        <w:t>NaH</w:t>
      </w:r>
      <w:r w:rsidRPr="00A13647">
        <w:rPr>
          <w:vertAlign w:val="subscript"/>
        </w:rPr>
        <w:t>2</w:t>
      </w:r>
      <w:r w:rsidRPr="00A13647">
        <w:t>PO</w:t>
      </w:r>
      <w:r w:rsidRPr="00A13647">
        <w:rPr>
          <w:vertAlign w:val="subscript"/>
        </w:rPr>
        <w:t>4</w:t>
      </w:r>
      <w:r w:rsidRPr="00A13647">
        <w:t xml:space="preserve"> = Sodium </w:t>
      </w:r>
      <w:r>
        <w:t>d</w:t>
      </w:r>
      <w:r w:rsidRPr="00A13647">
        <w:t xml:space="preserve">ihydrogen </w:t>
      </w:r>
      <w:r>
        <w:t>p</w:t>
      </w:r>
      <w:r w:rsidRPr="00A13647">
        <w:t>hosphate</w:t>
      </w:r>
    </w:p>
    <w:p w14:paraId="0A2B3C88" w14:textId="77777777" w:rsidR="004F417B" w:rsidRPr="00A13647" w:rsidRDefault="004F417B" w:rsidP="004F417B">
      <w:pPr>
        <w:pStyle w:val="ListBullet"/>
        <w:numPr>
          <w:ilvl w:val="0"/>
          <w:numId w:val="0"/>
        </w:numPr>
      </w:pPr>
      <w:r w:rsidRPr="00A13647">
        <w:t>Mg</w:t>
      </w:r>
      <w:r w:rsidRPr="00084EAC">
        <w:rPr>
          <w:vertAlign w:val="superscript"/>
        </w:rPr>
        <w:t>2+</w:t>
      </w:r>
      <w:r w:rsidRPr="00A13647">
        <w:t xml:space="preserve"> = Magnesium</w:t>
      </w:r>
    </w:p>
    <w:p w14:paraId="37BDE049" w14:textId="77777777" w:rsidR="004F417B" w:rsidRPr="00A13647" w:rsidRDefault="004F417B" w:rsidP="004F417B">
      <w:pPr>
        <w:pStyle w:val="ListBullet"/>
        <w:numPr>
          <w:ilvl w:val="0"/>
          <w:numId w:val="0"/>
        </w:numPr>
      </w:pPr>
      <w:r w:rsidRPr="00A13647">
        <w:rPr>
          <w:rFonts w:asciiTheme="minorHAnsi" w:hAnsiTheme="minorHAnsi"/>
        </w:rPr>
        <w:t>MgSO</w:t>
      </w:r>
      <w:r w:rsidRPr="00A13647">
        <w:rPr>
          <w:rFonts w:asciiTheme="minorHAnsi" w:hAnsiTheme="minorHAnsi"/>
          <w:vertAlign w:val="subscript"/>
        </w:rPr>
        <w:t xml:space="preserve">4 = </w:t>
      </w:r>
      <w:r w:rsidRPr="00A13647">
        <w:rPr>
          <w:rFonts w:asciiTheme="minorHAnsi" w:hAnsiTheme="minorHAnsi"/>
        </w:rPr>
        <w:t xml:space="preserve">Magnesium sulphate </w:t>
      </w:r>
    </w:p>
    <w:p w14:paraId="0A5210D0" w14:textId="77777777" w:rsidR="004F417B" w:rsidRPr="00A13647" w:rsidRDefault="004F417B" w:rsidP="004F417B">
      <w:pPr>
        <w:pStyle w:val="ListBullet"/>
        <w:numPr>
          <w:ilvl w:val="0"/>
          <w:numId w:val="0"/>
        </w:numPr>
      </w:pPr>
      <w:r w:rsidRPr="00A13647">
        <w:t>Ca</w:t>
      </w:r>
      <w:r w:rsidRPr="00084EAC">
        <w:rPr>
          <w:vertAlign w:val="superscript"/>
        </w:rPr>
        <w:t>2+</w:t>
      </w:r>
      <w:r w:rsidRPr="00A13647">
        <w:t xml:space="preserve"> = Calcium</w:t>
      </w:r>
    </w:p>
    <w:p w14:paraId="095BA933" w14:textId="77777777" w:rsidR="004F417B" w:rsidRPr="00A13647" w:rsidRDefault="004F417B" w:rsidP="004F417B">
      <w:pPr>
        <w:pStyle w:val="ListBullet"/>
        <w:numPr>
          <w:ilvl w:val="0"/>
          <w:numId w:val="0"/>
        </w:numPr>
        <w:rPr>
          <w:rFonts w:cs="Calibri,Bold"/>
          <w:bCs/>
          <w:lang w:eastAsia="en-AU"/>
        </w:rPr>
      </w:pPr>
      <w:r w:rsidRPr="00A13647">
        <w:rPr>
          <w:rFonts w:cs="Calibri,Bold"/>
          <w:bCs/>
          <w:lang w:eastAsia="en-AU"/>
        </w:rPr>
        <w:t>Hypokalaemia = Low potassium</w:t>
      </w:r>
    </w:p>
    <w:p w14:paraId="1C76AE65" w14:textId="77777777" w:rsidR="004F417B" w:rsidRPr="00A13647" w:rsidRDefault="004F417B" w:rsidP="004F417B">
      <w:pPr>
        <w:pStyle w:val="ListBullet"/>
        <w:numPr>
          <w:ilvl w:val="0"/>
          <w:numId w:val="0"/>
        </w:numPr>
        <w:rPr>
          <w:rFonts w:cs="Calibri,Bold"/>
          <w:bCs/>
          <w:lang w:eastAsia="en-AU"/>
        </w:rPr>
      </w:pPr>
      <w:proofErr w:type="spellStart"/>
      <w:r w:rsidRPr="00A13647">
        <w:rPr>
          <w:rFonts w:cs="Calibri,Bold"/>
          <w:bCs/>
          <w:lang w:eastAsia="en-AU"/>
        </w:rPr>
        <w:t>Hypophosphataemia</w:t>
      </w:r>
      <w:proofErr w:type="spellEnd"/>
      <w:r w:rsidRPr="00A13647">
        <w:rPr>
          <w:rFonts w:cs="Calibri,Bold"/>
          <w:bCs/>
          <w:lang w:eastAsia="en-AU"/>
        </w:rPr>
        <w:t xml:space="preserve"> = Low phosphate</w:t>
      </w:r>
    </w:p>
    <w:p w14:paraId="100D1A42" w14:textId="77777777" w:rsidR="004F417B" w:rsidRPr="00A13647" w:rsidRDefault="004F417B" w:rsidP="004F417B">
      <w:pPr>
        <w:pStyle w:val="ListBullet"/>
        <w:numPr>
          <w:ilvl w:val="0"/>
          <w:numId w:val="0"/>
        </w:numPr>
        <w:rPr>
          <w:rFonts w:cs="Calibri,Bold"/>
          <w:bCs/>
          <w:lang w:eastAsia="en-AU"/>
        </w:rPr>
      </w:pPr>
      <w:r w:rsidRPr="00A13647">
        <w:rPr>
          <w:rFonts w:cs="Calibri,Bold"/>
          <w:bCs/>
          <w:lang w:eastAsia="en-AU"/>
        </w:rPr>
        <w:t>Hypomagnesaemia = Low magnesium</w:t>
      </w:r>
    </w:p>
    <w:p w14:paraId="61B506FA" w14:textId="77777777" w:rsidR="004F417B" w:rsidRPr="00A13647" w:rsidRDefault="004F417B" w:rsidP="004F417B">
      <w:pPr>
        <w:pStyle w:val="ListBullet"/>
        <w:numPr>
          <w:ilvl w:val="0"/>
          <w:numId w:val="0"/>
        </w:numPr>
        <w:rPr>
          <w:rFonts w:cs="Calibri,Bold"/>
          <w:bCs/>
          <w:lang w:eastAsia="en-AU"/>
        </w:rPr>
      </w:pPr>
      <w:r w:rsidRPr="00A13647">
        <w:rPr>
          <w:rFonts w:cs="Calibri,Bold"/>
          <w:bCs/>
          <w:lang w:eastAsia="en-AU"/>
        </w:rPr>
        <w:t>Hypocalcaemia = Low calcium</w:t>
      </w:r>
    </w:p>
    <w:p w14:paraId="2F51A8DA" w14:textId="77777777" w:rsidR="00FF56DD" w:rsidRDefault="00FF56DD" w:rsidP="003865DA">
      <w:pPr>
        <w:rPr>
          <w:rFonts w:cs="Arial"/>
          <w:szCs w:val="24"/>
        </w:rPr>
      </w:pPr>
    </w:p>
    <w:p w14:paraId="2F51A8DB" w14:textId="77777777" w:rsidR="00FF56DD" w:rsidRDefault="00A1768B" w:rsidP="004F417B">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3865DA">
            <w:pPr>
              <w:pStyle w:val="Heading1"/>
            </w:pPr>
            <w:bookmarkStart w:id="37" w:name="_Toc389473290"/>
            <w:bookmarkStart w:id="38" w:name="_Toc159225892"/>
            <w:r>
              <w:t>Search Terms</w:t>
            </w:r>
            <w:bookmarkEnd w:id="37"/>
            <w:bookmarkEnd w:id="38"/>
            <w:r>
              <w:t xml:space="preserve"> </w:t>
            </w:r>
          </w:p>
        </w:tc>
      </w:tr>
    </w:tbl>
    <w:p w14:paraId="2F51A8DE" w14:textId="77777777" w:rsidR="007B6904" w:rsidRDefault="007B6904" w:rsidP="003865DA">
      <w:pPr>
        <w:rPr>
          <w:rFonts w:cs="Calibri,Bold"/>
          <w:bCs/>
          <w:i/>
          <w:szCs w:val="24"/>
          <w:lang w:eastAsia="en-AU"/>
        </w:rPr>
      </w:pPr>
    </w:p>
    <w:p w14:paraId="1A209C31" w14:textId="77777777" w:rsidR="004F417B" w:rsidRDefault="004F417B" w:rsidP="004F417B">
      <w:pPr>
        <w:rPr>
          <w:rFonts w:cs="Calibri,Bold"/>
          <w:bCs/>
          <w:szCs w:val="24"/>
          <w:lang w:eastAsia="en-AU"/>
        </w:rPr>
      </w:pPr>
      <w:r w:rsidRPr="002424C2">
        <w:rPr>
          <w:rFonts w:cs="Calibri,Bold"/>
          <w:bCs/>
          <w:szCs w:val="24"/>
          <w:lang w:eastAsia="en-AU"/>
        </w:rPr>
        <w:t>Potassium</w:t>
      </w:r>
      <w:r>
        <w:rPr>
          <w:rFonts w:cs="Calibri,Bold"/>
          <w:bCs/>
          <w:szCs w:val="24"/>
          <w:lang w:eastAsia="en-AU"/>
        </w:rPr>
        <w:t xml:space="preserve">, </w:t>
      </w:r>
      <w:r w:rsidRPr="00A13647">
        <w:rPr>
          <w:rFonts w:cs="Calibri,Bold"/>
          <w:bCs/>
          <w:szCs w:val="24"/>
          <w:lang w:eastAsia="en-AU"/>
        </w:rPr>
        <w:t>Hypokalaemia</w:t>
      </w:r>
      <w:r>
        <w:rPr>
          <w:rFonts w:cs="Calibri,Bold"/>
          <w:bCs/>
          <w:szCs w:val="24"/>
          <w:lang w:eastAsia="en-AU"/>
        </w:rPr>
        <w:t xml:space="preserve">, </w:t>
      </w:r>
      <w:r w:rsidRPr="00A13647">
        <w:rPr>
          <w:rFonts w:cs="Calibri,Bold"/>
          <w:bCs/>
          <w:szCs w:val="24"/>
          <w:lang w:eastAsia="en-AU"/>
        </w:rPr>
        <w:t>Phosphate</w:t>
      </w:r>
      <w:r>
        <w:rPr>
          <w:rFonts w:cs="Calibri,Bold"/>
          <w:bCs/>
          <w:szCs w:val="24"/>
          <w:lang w:eastAsia="en-AU"/>
        </w:rPr>
        <w:t xml:space="preserve">, </w:t>
      </w:r>
      <w:proofErr w:type="spellStart"/>
      <w:r w:rsidRPr="00A13647">
        <w:rPr>
          <w:rFonts w:cs="Calibri,Bold"/>
          <w:bCs/>
          <w:szCs w:val="24"/>
          <w:lang w:eastAsia="en-AU"/>
        </w:rPr>
        <w:t>Hypophosphataemia</w:t>
      </w:r>
      <w:proofErr w:type="spellEnd"/>
      <w:r>
        <w:rPr>
          <w:rFonts w:cs="Calibri,Bold"/>
          <w:bCs/>
          <w:szCs w:val="24"/>
          <w:lang w:eastAsia="en-AU"/>
        </w:rPr>
        <w:t xml:space="preserve">, </w:t>
      </w:r>
      <w:r w:rsidRPr="00A13647">
        <w:rPr>
          <w:rFonts w:cs="Calibri,Bold"/>
          <w:bCs/>
          <w:szCs w:val="24"/>
          <w:lang w:eastAsia="en-AU"/>
        </w:rPr>
        <w:t>Magnesium</w:t>
      </w:r>
      <w:r>
        <w:rPr>
          <w:rFonts w:cs="Calibri,Bold"/>
          <w:bCs/>
          <w:szCs w:val="24"/>
          <w:lang w:eastAsia="en-AU"/>
        </w:rPr>
        <w:t xml:space="preserve">, </w:t>
      </w:r>
      <w:r w:rsidRPr="00A13647">
        <w:rPr>
          <w:rFonts w:cs="Calibri,Bold"/>
          <w:bCs/>
          <w:szCs w:val="24"/>
          <w:lang w:eastAsia="en-AU"/>
        </w:rPr>
        <w:t>Hypomagnesaemia</w:t>
      </w:r>
      <w:r>
        <w:rPr>
          <w:rFonts w:cs="Calibri,Bold"/>
          <w:bCs/>
          <w:szCs w:val="24"/>
          <w:lang w:eastAsia="en-AU"/>
        </w:rPr>
        <w:t xml:space="preserve">, </w:t>
      </w:r>
      <w:r w:rsidRPr="00A13647">
        <w:rPr>
          <w:rFonts w:cs="Calibri,Bold"/>
          <w:bCs/>
          <w:szCs w:val="24"/>
          <w:lang w:eastAsia="en-AU"/>
        </w:rPr>
        <w:t>Calcium</w:t>
      </w:r>
      <w:r>
        <w:rPr>
          <w:rFonts w:cs="Calibri,Bold"/>
          <w:bCs/>
          <w:szCs w:val="24"/>
          <w:lang w:eastAsia="en-AU"/>
        </w:rPr>
        <w:t xml:space="preserve">, </w:t>
      </w:r>
      <w:r w:rsidRPr="00A13647">
        <w:rPr>
          <w:rFonts w:cs="Calibri,Bold"/>
          <w:bCs/>
          <w:szCs w:val="24"/>
          <w:lang w:eastAsia="en-AU"/>
        </w:rPr>
        <w:t>Hypocalcaemia</w:t>
      </w:r>
      <w:r>
        <w:rPr>
          <w:rFonts w:cs="Calibri,Bold"/>
          <w:bCs/>
          <w:szCs w:val="24"/>
          <w:lang w:eastAsia="en-AU"/>
        </w:rPr>
        <w:t xml:space="preserve">, </w:t>
      </w:r>
      <w:r w:rsidRPr="00A13647">
        <w:rPr>
          <w:rFonts w:cs="Calibri,Bold"/>
          <w:bCs/>
          <w:szCs w:val="24"/>
          <w:lang w:eastAsia="en-AU"/>
        </w:rPr>
        <w:t>Electrolyte</w:t>
      </w:r>
    </w:p>
    <w:p w14:paraId="2F51A8E0" w14:textId="77777777" w:rsidR="007B6904" w:rsidRPr="00901883" w:rsidRDefault="007B6904" w:rsidP="004B0B34">
      <w:pPr>
        <w:jc w:val="right"/>
        <w:rPr>
          <w:rFonts w:asciiTheme="minorHAnsi" w:hAnsiTheme="minorHAnsi" w:cs="Arial"/>
          <w:b/>
          <w:i/>
          <w:sz w:val="22"/>
          <w:szCs w:val="22"/>
        </w:rPr>
      </w:pPr>
    </w:p>
    <w:p w14:paraId="7BBD2CA8" w14:textId="734992EC" w:rsidR="005F3214" w:rsidRPr="00AC7025" w:rsidRDefault="00A1768B" w:rsidP="004B0B34">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39"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2405CF" w:rsidRPr="000F1F60" w14:paraId="2F51A8E3" w14:textId="77777777" w:rsidTr="0074223E">
        <w:trPr>
          <w:cantSplit/>
          <w:trHeight w:val="285"/>
        </w:trPr>
        <w:tc>
          <w:tcPr>
            <w:tcW w:w="9158" w:type="dxa"/>
            <w:shd w:val="clear" w:color="auto" w:fill="A6A6A6" w:themeFill="background1" w:themeFillShade="A6"/>
          </w:tcPr>
          <w:p w14:paraId="2F51A8E2" w14:textId="1209F449" w:rsidR="002405CF" w:rsidRPr="000F1F60" w:rsidRDefault="002405CF" w:rsidP="003865DA">
            <w:pPr>
              <w:pStyle w:val="Heading1"/>
            </w:pPr>
            <w:bookmarkStart w:id="40" w:name="_Toc159225893"/>
            <w:r>
              <w:t>Attachment</w:t>
            </w:r>
            <w:bookmarkEnd w:id="40"/>
            <w:r w:rsidR="00B63A70">
              <w:t xml:space="preserve"> </w:t>
            </w:r>
          </w:p>
        </w:tc>
      </w:tr>
      <w:bookmarkEnd w:id="39"/>
    </w:tbl>
    <w:p w14:paraId="2F51A8E4" w14:textId="77777777" w:rsidR="00DE4E25" w:rsidRDefault="00DE4E25" w:rsidP="003865DA">
      <w:pPr>
        <w:rPr>
          <w:rFonts w:cs="Arial"/>
          <w:i/>
          <w:szCs w:val="24"/>
        </w:rPr>
      </w:pPr>
    </w:p>
    <w:p w14:paraId="07680B5A" w14:textId="41ADECD1" w:rsidR="004B0B34" w:rsidRDefault="00061D7A" w:rsidP="003865DA">
      <w:r>
        <w:rPr>
          <w:rFonts w:cs="Arial"/>
          <w:iCs/>
          <w:szCs w:val="24"/>
        </w:rPr>
        <w:t xml:space="preserve">Attachment A </w:t>
      </w:r>
      <w:r>
        <w:t>– Electrolyte replacement lanyard</w:t>
      </w:r>
    </w:p>
    <w:p w14:paraId="29BFD635" w14:textId="77777777" w:rsidR="004B0B34" w:rsidRDefault="004B0B34" w:rsidP="003865DA"/>
    <w:p w14:paraId="443216F0" w14:textId="77777777" w:rsidR="0086210D" w:rsidRDefault="0086210D" w:rsidP="0086210D">
      <w:pPr>
        <w:rPr>
          <w:rFonts w:cs="Arial"/>
          <w:szCs w:val="24"/>
        </w:rPr>
      </w:pPr>
    </w:p>
    <w:p w14:paraId="50A6C8BB" w14:textId="77777777" w:rsidR="0086210D" w:rsidRPr="008202D3" w:rsidRDefault="0086210D" w:rsidP="0086210D">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296F9C14" w14:textId="77777777" w:rsidR="0086210D" w:rsidRPr="008202D3" w:rsidRDefault="0086210D" w:rsidP="0086210D">
      <w:pPr>
        <w:rPr>
          <w:rFonts w:cs="Arial"/>
          <w:i/>
          <w:iCs/>
          <w:sz w:val="20"/>
        </w:rPr>
      </w:pPr>
    </w:p>
    <w:p w14:paraId="39C3858E" w14:textId="77777777" w:rsidR="0086210D" w:rsidRPr="008202D3" w:rsidRDefault="0086210D" w:rsidP="0086210D">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86210D" w:rsidRPr="008202D3" w14:paraId="72E3542E" w14:textId="77777777" w:rsidTr="00F46F93">
        <w:tc>
          <w:tcPr>
            <w:tcW w:w="2265" w:type="dxa"/>
          </w:tcPr>
          <w:p w14:paraId="1CE76DB5" w14:textId="77777777" w:rsidR="0086210D" w:rsidRPr="008202D3" w:rsidRDefault="0086210D" w:rsidP="00F46F93">
            <w:pPr>
              <w:rPr>
                <w:i/>
                <w:sz w:val="20"/>
              </w:rPr>
            </w:pPr>
            <w:r w:rsidRPr="008202D3">
              <w:rPr>
                <w:i/>
                <w:sz w:val="20"/>
              </w:rPr>
              <w:t>Date Amended</w:t>
            </w:r>
          </w:p>
        </w:tc>
        <w:tc>
          <w:tcPr>
            <w:tcW w:w="2265" w:type="dxa"/>
          </w:tcPr>
          <w:p w14:paraId="7568796A" w14:textId="77777777" w:rsidR="0086210D" w:rsidRPr="008202D3" w:rsidRDefault="0086210D" w:rsidP="00F46F93">
            <w:pPr>
              <w:rPr>
                <w:i/>
                <w:sz w:val="20"/>
              </w:rPr>
            </w:pPr>
            <w:r w:rsidRPr="008202D3">
              <w:rPr>
                <w:i/>
                <w:sz w:val="20"/>
              </w:rPr>
              <w:t>Section Amended</w:t>
            </w:r>
          </w:p>
        </w:tc>
        <w:tc>
          <w:tcPr>
            <w:tcW w:w="2265" w:type="dxa"/>
          </w:tcPr>
          <w:p w14:paraId="4406CE58" w14:textId="77777777" w:rsidR="0086210D" w:rsidRPr="008202D3" w:rsidRDefault="0086210D" w:rsidP="00F46F93">
            <w:pPr>
              <w:rPr>
                <w:i/>
                <w:sz w:val="20"/>
              </w:rPr>
            </w:pPr>
            <w:r w:rsidRPr="008202D3">
              <w:rPr>
                <w:i/>
                <w:sz w:val="20"/>
              </w:rPr>
              <w:t>Divisional Approval</w:t>
            </w:r>
          </w:p>
        </w:tc>
        <w:tc>
          <w:tcPr>
            <w:tcW w:w="2265" w:type="dxa"/>
          </w:tcPr>
          <w:p w14:paraId="5426E31B" w14:textId="77777777" w:rsidR="0086210D" w:rsidRPr="008202D3" w:rsidRDefault="0086210D" w:rsidP="00F46F93">
            <w:pPr>
              <w:rPr>
                <w:i/>
                <w:sz w:val="20"/>
              </w:rPr>
            </w:pPr>
            <w:r w:rsidRPr="008202D3">
              <w:rPr>
                <w:i/>
                <w:sz w:val="20"/>
              </w:rPr>
              <w:t xml:space="preserve">Final Approval </w:t>
            </w:r>
          </w:p>
        </w:tc>
      </w:tr>
      <w:tr w:rsidR="0086210D" w:rsidRPr="008202D3" w14:paraId="5EDF6A75" w14:textId="77777777" w:rsidTr="00F46F93">
        <w:tc>
          <w:tcPr>
            <w:tcW w:w="2265" w:type="dxa"/>
          </w:tcPr>
          <w:p w14:paraId="16214C98" w14:textId="0C74FEA1" w:rsidR="0086210D" w:rsidRPr="008202D3" w:rsidRDefault="00A1768B" w:rsidP="00F46F93">
            <w:pPr>
              <w:rPr>
                <w:i/>
                <w:sz w:val="20"/>
              </w:rPr>
            </w:pPr>
            <w:r>
              <w:rPr>
                <w:i/>
                <w:sz w:val="20"/>
              </w:rPr>
              <w:t>26/02/2024</w:t>
            </w:r>
          </w:p>
        </w:tc>
        <w:tc>
          <w:tcPr>
            <w:tcW w:w="2265" w:type="dxa"/>
          </w:tcPr>
          <w:p w14:paraId="16841BA5" w14:textId="5DB2AADF" w:rsidR="0086210D" w:rsidRPr="008202D3" w:rsidRDefault="00A1768B" w:rsidP="00F46F93">
            <w:pPr>
              <w:rPr>
                <w:i/>
                <w:sz w:val="20"/>
              </w:rPr>
            </w:pPr>
            <w:r>
              <w:rPr>
                <w:i/>
                <w:sz w:val="20"/>
              </w:rPr>
              <w:t xml:space="preserve">NCH Transition </w:t>
            </w:r>
          </w:p>
        </w:tc>
        <w:tc>
          <w:tcPr>
            <w:tcW w:w="2265" w:type="dxa"/>
          </w:tcPr>
          <w:p w14:paraId="652533CC" w14:textId="377D415B" w:rsidR="0086210D" w:rsidRPr="008202D3" w:rsidRDefault="00A1768B" w:rsidP="00F46F93">
            <w:pPr>
              <w:rPr>
                <w:i/>
                <w:sz w:val="20"/>
              </w:rPr>
            </w:pPr>
            <w:r>
              <w:rPr>
                <w:i/>
                <w:sz w:val="20"/>
              </w:rPr>
              <w:t xml:space="preserve">CHS Policy Team </w:t>
            </w:r>
          </w:p>
        </w:tc>
        <w:tc>
          <w:tcPr>
            <w:tcW w:w="2265" w:type="dxa"/>
          </w:tcPr>
          <w:p w14:paraId="5F41156A" w14:textId="4CE4E4A1" w:rsidR="0086210D" w:rsidRPr="008202D3" w:rsidRDefault="00A1768B" w:rsidP="00F46F93">
            <w:pPr>
              <w:rPr>
                <w:i/>
                <w:sz w:val="20"/>
              </w:rPr>
            </w:pPr>
            <w:r>
              <w:rPr>
                <w:i/>
                <w:sz w:val="20"/>
              </w:rPr>
              <w:t>CHS Policy Team</w:t>
            </w:r>
          </w:p>
        </w:tc>
      </w:tr>
      <w:tr w:rsidR="0086210D" w:rsidRPr="008202D3" w14:paraId="441B58E6" w14:textId="77777777" w:rsidTr="00F46F93">
        <w:tc>
          <w:tcPr>
            <w:tcW w:w="2265" w:type="dxa"/>
          </w:tcPr>
          <w:p w14:paraId="3C03FA5F" w14:textId="77777777" w:rsidR="0086210D" w:rsidRPr="008202D3" w:rsidRDefault="0086210D" w:rsidP="00F46F93">
            <w:pPr>
              <w:rPr>
                <w:i/>
                <w:sz w:val="20"/>
              </w:rPr>
            </w:pPr>
          </w:p>
        </w:tc>
        <w:tc>
          <w:tcPr>
            <w:tcW w:w="2265" w:type="dxa"/>
          </w:tcPr>
          <w:p w14:paraId="7FA8EF9D" w14:textId="77777777" w:rsidR="0086210D" w:rsidRPr="008202D3" w:rsidRDefault="0086210D" w:rsidP="00F46F93">
            <w:pPr>
              <w:rPr>
                <w:i/>
                <w:sz w:val="20"/>
              </w:rPr>
            </w:pPr>
          </w:p>
        </w:tc>
        <w:tc>
          <w:tcPr>
            <w:tcW w:w="2265" w:type="dxa"/>
          </w:tcPr>
          <w:p w14:paraId="0EFD69D3" w14:textId="77777777" w:rsidR="0086210D" w:rsidRPr="008202D3" w:rsidRDefault="0086210D" w:rsidP="00F46F93">
            <w:pPr>
              <w:rPr>
                <w:i/>
                <w:sz w:val="20"/>
              </w:rPr>
            </w:pPr>
          </w:p>
        </w:tc>
        <w:tc>
          <w:tcPr>
            <w:tcW w:w="2265" w:type="dxa"/>
          </w:tcPr>
          <w:p w14:paraId="2AD18D02" w14:textId="77777777" w:rsidR="0086210D" w:rsidRPr="008202D3" w:rsidRDefault="0086210D" w:rsidP="00F46F93">
            <w:pPr>
              <w:rPr>
                <w:i/>
                <w:sz w:val="20"/>
              </w:rPr>
            </w:pPr>
          </w:p>
        </w:tc>
      </w:tr>
    </w:tbl>
    <w:p w14:paraId="682E3ADB" w14:textId="77777777" w:rsidR="0086210D" w:rsidRPr="008202D3" w:rsidRDefault="0086210D" w:rsidP="0086210D">
      <w:pPr>
        <w:rPr>
          <w:rFonts w:cs="Arial"/>
          <w:sz w:val="20"/>
        </w:rPr>
      </w:pPr>
    </w:p>
    <w:p w14:paraId="5094D274" w14:textId="77777777" w:rsidR="0086210D" w:rsidRPr="008202D3" w:rsidRDefault="0086210D" w:rsidP="0086210D">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86210D" w:rsidRPr="008202D3" w14:paraId="1EE2A7B9" w14:textId="77777777" w:rsidTr="00F46F93">
        <w:tc>
          <w:tcPr>
            <w:tcW w:w="2122" w:type="dxa"/>
          </w:tcPr>
          <w:p w14:paraId="785A7F62" w14:textId="77777777" w:rsidR="0086210D" w:rsidRPr="008202D3" w:rsidRDefault="0086210D" w:rsidP="00F46F93">
            <w:pPr>
              <w:rPr>
                <w:i/>
                <w:sz w:val="20"/>
              </w:rPr>
            </w:pPr>
            <w:r w:rsidRPr="008202D3">
              <w:rPr>
                <w:i/>
                <w:sz w:val="20"/>
              </w:rPr>
              <w:t>Document Number</w:t>
            </w:r>
          </w:p>
        </w:tc>
        <w:tc>
          <w:tcPr>
            <w:tcW w:w="6938" w:type="dxa"/>
          </w:tcPr>
          <w:p w14:paraId="42D5CB3C" w14:textId="77777777" w:rsidR="0086210D" w:rsidRPr="008202D3" w:rsidRDefault="0086210D" w:rsidP="00F46F93">
            <w:pPr>
              <w:rPr>
                <w:i/>
                <w:sz w:val="20"/>
              </w:rPr>
            </w:pPr>
            <w:r w:rsidRPr="008202D3">
              <w:rPr>
                <w:i/>
                <w:sz w:val="20"/>
              </w:rPr>
              <w:t>Document Name</w:t>
            </w:r>
          </w:p>
        </w:tc>
      </w:tr>
      <w:tr w:rsidR="0086210D" w:rsidRPr="008202D3" w14:paraId="3299F317" w14:textId="77777777" w:rsidTr="00F46F93">
        <w:tc>
          <w:tcPr>
            <w:tcW w:w="2122" w:type="dxa"/>
          </w:tcPr>
          <w:p w14:paraId="78491F66" w14:textId="77777777" w:rsidR="0086210D" w:rsidRPr="008202D3" w:rsidRDefault="0086210D" w:rsidP="00F46F93">
            <w:pPr>
              <w:rPr>
                <w:i/>
                <w:sz w:val="20"/>
              </w:rPr>
            </w:pPr>
          </w:p>
        </w:tc>
        <w:tc>
          <w:tcPr>
            <w:tcW w:w="6938" w:type="dxa"/>
          </w:tcPr>
          <w:p w14:paraId="284678ED" w14:textId="67863803" w:rsidR="0086210D" w:rsidRPr="008202D3" w:rsidRDefault="00A1768B" w:rsidP="00F46F93">
            <w:pPr>
              <w:rPr>
                <w:i/>
                <w:sz w:val="20"/>
              </w:rPr>
            </w:pPr>
            <w:r w:rsidRPr="00A1768B">
              <w:rPr>
                <w:i/>
                <w:sz w:val="20"/>
              </w:rPr>
              <w:t>Guidelines for Prescribing Electrolyte Replacement</w:t>
            </w:r>
          </w:p>
        </w:tc>
      </w:tr>
      <w:tr w:rsidR="0086210D" w:rsidRPr="008202D3" w14:paraId="12CEA196" w14:textId="77777777" w:rsidTr="00F46F93">
        <w:tc>
          <w:tcPr>
            <w:tcW w:w="2122" w:type="dxa"/>
          </w:tcPr>
          <w:p w14:paraId="570F8EC6" w14:textId="77777777" w:rsidR="0086210D" w:rsidRPr="008202D3" w:rsidRDefault="0086210D" w:rsidP="00F46F93">
            <w:pPr>
              <w:rPr>
                <w:i/>
                <w:sz w:val="20"/>
              </w:rPr>
            </w:pPr>
          </w:p>
        </w:tc>
        <w:tc>
          <w:tcPr>
            <w:tcW w:w="6938" w:type="dxa"/>
          </w:tcPr>
          <w:p w14:paraId="0AE51E78" w14:textId="77777777" w:rsidR="0086210D" w:rsidRPr="008202D3" w:rsidRDefault="0086210D" w:rsidP="00F46F93">
            <w:pPr>
              <w:rPr>
                <w:i/>
                <w:sz w:val="20"/>
              </w:rPr>
            </w:pPr>
          </w:p>
        </w:tc>
      </w:tr>
    </w:tbl>
    <w:p w14:paraId="1549E9D9" w14:textId="77777777" w:rsidR="004B0B34" w:rsidRDefault="004B0B34" w:rsidP="003865DA"/>
    <w:p w14:paraId="4862F1E1" w14:textId="77777777" w:rsidR="004B0B34" w:rsidRDefault="004B0B34">
      <w:pPr>
        <w:spacing w:after="200" w:line="276" w:lineRule="auto"/>
      </w:pPr>
      <w:r>
        <w:br w:type="page"/>
      </w:r>
    </w:p>
    <w:p w14:paraId="20A6F86B" w14:textId="77777777" w:rsidR="004B0B34" w:rsidRPr="004B0B34" w:rsidRDefault="004B0B34" w:rsidP="004B0B34">
      <w:pPr>
        <w:rPr>
          <w:b/>
          <w:bCs/>
        </w:rPr>
      </w:pPr>
      <w:r w:rsidRPr="004B0B34">
        <w:rPr>
          <w:rFonts w:cs="Arial"/>
          <w:b/>
          <w:bCs/>
          <w:iCs/>
          <w:szCs w:val="24"/>
        </w:rPr>
        <w:lastRenderedPageBreak/>
        <w:t xml:space="preserve">Attachment A </w:t>
      </w:r>
      <w:r w:rsidRPr="004B0B34">
        <w:rPr>
          <w:b/>
          <w:bCs/>
        </w:rPr>
        <w:t>– Electrolyte replacement lanyard</w:t>
      </w:r>
    </w:p>
    <w:p w14:paraId="41711FA1" w14:textId="77777777" w:rsidR="00061D7A" w:rsidRPr="00061D7A" w:rsidRDefault="00061D7A" w:rsidP="003865DA">
      <w:pPr>
        <w:rPr>
          <w:rFonts w:cs="Arial"/>
          <w:iCs/>
          <w:szCs w:val="24"/>
        </w:rPr>
      </w:pPr>
    </w:p>
    <w:p w14:paraId="68B65A92" w14:textId="041CD817" w:rsidR="00B63A70" w:rsidRDefault="00B63A70" w:rsidP="003865DA">
      <w:pPr>
        <w:rPr>
          <w:noProof/>
          <w:lang w:eastAsia="en-AU"/>
        </w:rPr>
      </w:pPr>
      <w:r>
        <w:rPr>
          <w:noProof/>
          <w:lang w:eastAsia="en-AU"/>
        </w:rPr>
        <w:drawing>
          <wp:inline distT="0" distB="0" distL="0" distR="0" wp14:anchorId="675714BB" wp14:editId="5F3307E9">
            <wp:extent cx="2808665" cy="4062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42173" t="21002" r="32823" b="14698"/>
                    <a:stretch/>
                  </pic:blipFill>
                  <pic:spPr bwMode="auto">
                    <a:xfrm>
                      <a:off x="0" y="0"/>
                      <a:ext cx="2823089" cy="4083635"/>
                    </a:xfrm>
                    <a:prstGeom prst="rect">
                      <a:avLst/>
                    </a:prstGeom>
                    <a:ln>
                      <a:noFill/>
                    </a:ln>
                    <a:extLst>
                      <a:ext uri="{53640926-AAD7-44D8-BBD7-CCE9431645EC}">
                        <a14:shadowObscured xmlns:a14="http://schemas.microsoft.com/office/drawing/2010/main"/>
                      </a:ext>
                    </a:extLst>
                  </pic:spPr>
                </pic:pic>
              </a:graphicData>
            </a:graphic>
          </wp:inline>
        </w:drawing>
      </w:r>
      <w:r w:rsidRPr="00B63A70">
        <w:rPr>
          <w:noProof/>
          <w:lang w:eastAsia="en-AU"/>
        </w:rPr>
        <w:t xml:space="preserve"> </w:t>
      </w:r>
      <w:r>
        <w:rPr>
          <w:noProof/>
          <w:lang w:eastAsia="en-AU"/>
        </w:rPr>
        <w:drawing>
          <wp:inline distT="0" distB="0" distL="0" distR="0" wp14:anchorId="107D690E" wp14:editId="10170297">
            <wp:extent cx="2831573" cy="4062118"/>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42169" t="20205" r="32563" b="15355"/>
                    <a:stretch/>
                  </pic:blipFill>
                  <pic:spPr bwMode="auto">
                    <a:xfrm>
                      <a:off x="0" y="0"/>
                      <a:ext cx="2851596" cy="4090842"/>
                    </a:xfrm>
                    <a:prstGeom prst="rect">
                      <a:avLst/>
                    </a:prstGeom>
                    <a:ln>
                      <a:noFill/>
                    </a:ln>
                    <a:extLst>
                      <a:ext uri="{53640926-AAD7-44D8-BBD7-CCE9431645EC}">
                        <a14:shadowObscured xmlns:a14="http://schemas.microsoft.com/office/drawing/2010/main"/>
                      </a:ext>
                    </a:extLst>
                  </pic:spPr>
                </pic:pic>
              </a:graphicData>
            </a:graphic>
          </wp:inline>
        </w:drawing>
      </w:r>
    </w:p>
    <w:p w14:paraId="6A98963D" w14:textId="77777777" w:rsidR="00A1768B" w:rsidRPr="00A1768B" w:rsidRDefault="00A1768B" w:rsidP="00A1768B">
      <w:pPr>
        <w:rPr>
          <w:rFonts w:cs="Arial"/>
          <w:szCs w:val="24"/>
        </w:rPr>
      </w:pPr>
    </w:p>
    <w:p w14:paraId="7DDB9D86" w14:textId="77777777" w:rsidR="00A1768B" w:rsidRPr="00A1768B" w:rsidRDefault="00A1768B" w:rsidP="00A1768B">
      <w:pPr>
        <w:rPr>
          <w:rFonts w:cs="Arial"/>
          <w:szCs w:val="24"/>
        </w:rPr>
      </w:pPr>
    </w:p>
    <w:p w14:paraId="74D8CBFC" w14:textId="77777777" w:rsidR="00A1768B" w:rsidRPr="00A1768B" w:rsidRDefault="00A1768B" w:rsidP="00A1768B">
      <w:pPr>
        <w:rPr>
          <w:rFonts w:cs="Arial"/>
          <w:szCs w:val="24"/>
        </w:rPr>
      </w:pPr>
    </w:p>
    <w:p w14:paraId="470A4CD7" w14:textId="77777777" w:rsidR="00A1768B" w:rsidRPr="00A1768B" w:rsidRDefault="00A1768B" w:rsidP="00A1768B">
      <w:pPr>
        <w:rPr>
          <w:rFonts w:cs="Arial"/>
          <w:szCs w:val="24"/>
        </w:rPr>
      </w:pPr>
    </w:p>
    <w:p w14:paraId="42057A8A" w14:textId="77777777" w:rsidR="00A1768B" w:rsidRPr="00A1768B" w:rsidRDefault="00A1768B" w:rsidP="00A1768B">
      <w:pPr>
        <w:rPr>
          <w:rFonts w:cs="Arial"/>
          <w:szCs w:val="24"/>
        </w:rPr>
      </w:pPr>
    </w:p>
    <w:p w14:paraId="59BD20A0" w14:textId="77777777" w:rsidR="00A1768B" w:rsidRPr="00A1768B" w:rsidRDefault="00A1768B" w:rsidP="00A1768B">
      <w:pPr>
        <w:rPr>
          <w:rFonts w:cs="Arial"/>
          <w:szCs w:val="24"/>
        </w:rPr>
      </w:pPr>
    </w:p>
    <w:p w14:paraId="66B788BE" w14:textId="77777777" w:rsidR="00A1768B" w:rsidRPr="00A1768B" w:rsidRDefault="00A1768B" w:rsidP="00A1768B">
      <w:pPr>
        <w:rPr>
          <w:rFonts w:cs="Arial"/>
          <w:szCs w:val="24"/>
        </w:rPr>
      </w:pPr>
    </w:p>
    <w:p w14:paraId="3CAA163F" w14:textId="77777777" w:rsidR="00A1768B" w:rsidRPr="00A1768B" w:rsidRDefault="00A1768B" w:rsidP="00A1768B">
      <w:pPr>
        <w:rPr>
          <w:rFonts w:cs="Arial"/>
          <w:szCs w:val="24"/>
        </w:rPr>
      </w:pPr>
    </w:p>
    <w:p w14:paraId="5D2F6E73" w14:textId="77777777" w:rsidR="00A1768B" w:rsidRPr="00A1768B" w:rsidRDefault="00A1768B" w:rsidP="00A1768B">
      <w:pPr>
        <w:rPr>
          <w:rFonts w:cs="Arial"/>
          <w:szCs w:val="24"/>
        </w:rPr>
      </w:pPr>
    </w:p>
    <w:p w14:paraId="301E95FB" w14:textId="77777777" w:rsidR="00A1768B" w:rsidRPr="00A1768B" w:rsidRDefault="00A1768B" w:rsidP="00A1768B">
      <w:pPr>
        <w:rPr>
          <w:rFonts w:cs="Arial"/>
          <w:szCs w:val="24"/>
        </w:rPr>
      </w:pPr>
    </w:p>
    <w:p w14:paraId="7F45048A" w14:textId="77777777" w:rsidR="00A1768B" w:rsidRPr="00A1768B" w:rsidRDefault="00A1768B" w:rsidP="00A1768B">
      <w:pPr>
        <w:rPr>
          <w:rFonts w:cs="Arial"/>
          <w:szCs w:val="24"/>
        </w:rPr>
      </w:pPr>
    </w:p>
    <w:p w14:paraId="5450C359" w14:textId="77777777" w:rsidR="00A1768B" w:rsidRPr="00A1768B" w:rsidRDefault="00A1768B" w:rsidP="00A1768B">
      <w:pPr>
        <w:rPr>
          <w:rFonts w:cs="Arial"/>
          <w:szCs w:val="24"/>
        </w:rPr>
      </w:pPr>
    </w:p>
    <w:p w14:paraId="29F9B36C" w14:textId="77777777" w:rsidR="00A1768B" w:rsidRPr="00A1768B" w:rsidRDefault="00A1768B" w:rsidP="00A1768B">
      <w:pPr>
        <w:rPr>
          <w:rFonts w:cs="Arial"/>
          <w:szCs w:val="24"/>
        </w:rPr>
      </w:pPr>
    </w:p>
    <w:p w14:paraId="1B974393" w14:textId="77777777" w:rsidR="00A1768B" w:rsidRPr="00A1768B" w:rsidRDefault="00A1768B" w:rsidP="00A1768B">
      <w:pPr>
        <w:rPr>
          <w:rFonts w:cs="Arial"/>
          <w:szCs w:val="24"/>
        </w:rPr>
      </w:pPr>
    </w:p>
    <w:p w14:paraId="71E1F390" w14:textId="77777777" w:rsidR="00A1768B" w:rsidRPr="00A1768B" w:rsidRDefault="00A1768B" w:rsidP="00A1768B">
      <w:pPr>
        <w:rPr>
          <w:rFonts w:cs="Arial"/>
          <w:szCs w:val="24"/>
        </w:rPr>
      </w:pPr>
    </w:p>
    <w:p w14:paraId="1E4F4188" w14:textId="6191D060" w:rsidR="00A1768B" w:rsidRPr="00A1768B" w:rsidRDefault="00A1768B" w:rsidP="00A1768B">
      <w:pPr>
        <w:tabs>
          <w:tab w:val="left" w:pos="6435"/>
        </w:tabs>
        <w:rPr>
          <w:rFonts w:cs="Arial"/>
          <w:szCs w:val="24"/>
        </w:rPr>
      </w:pPr>
      <w:r>
        <w:rPr>
          <w:rFonts w:cs="Arial"/>
          <w:szCs w:val="24"/>
        </w:rPr>
        <w:tab/>
      </w:r>
    </w:p>
    <w:sectPr w:rsidR="00A1768B" w:rsidRPr="00A1768B" w:rsidSect="004213C3">
      <w:headerReference w:type="default" r:id="rId23"/>
      <w:footerReference w:type="default" r:id="rId24"/>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0AA97" w14:textId="77777777" w:rsidR="00D31CC1" w:rsidRDefault="00D31CC1" w:rsidP="00F66CB0">
      <w:r>
        <w:separator/>
      </w:r>
    </w:p>
  </w:endnote>
  <w:endnote w:type="continuationSeparator" w:id="0">
    <w:p w14:paraId="52DE33C8" w14:textId="77777777" w:rsidR="00D31CC1" w:rsidRDefault="00D31CC1" w:rsidP="00F66CB0">
      <w:r>
        <w:continuationSeparator/>
      </w:r>
    </w:p>
  </w:endnote>
  <w:endnote w:type="continuationNotice" w:id="1">
    <w:p w14:paraId="7D75D4A0" w14:textId="77777777" w:rsidR="00D31CC1" w:rsidRDefault="00D31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2592"/>
      <w:gridCol w:w="990"/>
    </w:tblGrid>
    <w:tr w:rsidR="00B63A70" w:rsidRPr="00AE7C5C" w14:paraId="2F51A914" w14:textId="77777777" w:rsidTr="00A1768B">
      <w:tc>
        <w:tcPr>
          <w:tcW w:w="1515" w:type="dxa"/>
        </w:tcPr>
        <w:p w14:paraId="2F51A90E" w14:textId="77777777" w:rsidR="00B63A70" w:rsidRPr="00B3752F" w:rsidRDefault="00B63A70" w:rsidP="004213C3">
          <w:pPr>
            <w:pStyle w:val="Footer"/>
            <w:rPr>
              <w:rFonts w:cs="Arial"/>
              <w:b/>
              <w:bCs/>
              <w:i/>
              <w:sz w:val="20"/>
            </w:rPr>
          </w:pPr>
          <w:r w:rsidRPr="00B3752F">
            <w:rPr>
              <w:rFonts w:cs="Arial"/>
              <w:b/>
              <w:bCs/>
              <w:i/>
              <w:sz w:val="20"/>
            </w:rPr>
            <w:t>Doc Number</w:t>
          </w:r>
        </w:p>
      </w:tc>
      <w:tc>
        <w:tcPr>
          <w:tcW w:w="965" w:type="dxa"/>
        </w:tcPr>
        <w:p w14:paraId="2F51A90F" w14:textId="77777777" w:rsidR="00B63A70" w:rsidRPr="00B3752F" w:rsidRDefault="00B63A70" w:rsidP="004213C3">
          <w:pPr>
            <w:pStyle w:val="Footer"/>
            <w:rPr>
              <w:rFonts w:cs="Arial"/>
              <w:b/>
              <w:bCs/>
              <w:i/>
              <w:sz w:val="20"/>
            </w:rPr>
          </w:pPr>
          <w:r w:rsidRPr="00B3752F">
            <w:rPr>
              <w:rFonts w:cs="Arial"/>
              <w:b/>
              <w:bCs/>
              <w:i/>
              <w:sz w:val="20"/>
            </w:rPr>
            <w:t>Version</w:t>
          </w:r>
        </w:p>
      </w:tc>
      <w:tc>
        <w:tcPr>
          <w:tcW w:w="1552" w:type="dxa"/>
        </w:tcPr>
        <w:p w14:paraId="2F51A910" w14:textId="77777777" w:rsidR="00B63A70" w:rsidRPr="00B3752F" w:rsidRDefault="00B63A70" w:rsidP="004213C3">
          <w:pPr>
            <w:pStyle w:val="Footer"/>
            <w:rPr>
              <w:rFonts w:cs="Arial"/>
              <w:b/>
              <w:bCs/>
              <w:i/>
              <w:sz w:val="20"/>
            </w:rPr>
          </w:pPr>
          <w:r w:rsidRPr="00B3752F">
            <w:rPr>
              <w:rFonts w:cs="Arial"/>
              <w:b/>
              <w:bCs/>
              <w:i/>
              <w:sz w:val="20"/>
            </w:rPr>
            <w:t>Issued</w:t>
          </w:r>
        </w:p>
      </w:tc>
      <w:tc>
        <w:tcPr>
          <w:tcW w:w="1456" w:type="dxa"/>
        </w:tcPr>
        <w:p w14:paraId="2F51A911" w14:textId="77777777" w:rsidR="00B63A70" w:rsidRPr="00B3752F" w:rsidRDefault="00B63A70" w:rsidP="004213C3">
          <w:pPr>
            <w:pStyle w:val="Footer"/>
            <w:rPr>
              <w:rFonts w:cs="Arial"/>
              <w:b/>
              <w:bCs/>
              <w:i/>
              <w:sz w:val="20"/>
            </w:rPr>
          </w:pPr>
          <w:r w:rsidRPr="00B3752F">
            <w:rPr>
              <w:rFonts w:cs="Arial"/>
              <w:b/>
              <w:bCs/>
              <w:i/>
              <w:sz w:val="20"/>
            </w:rPr>
            <w:t>Review Date</w:t>
          </w:r>
        </w:p>
      </w:tc>
      <w:tc>
        <w:tcPr>
          <w:tcW w:w="2592" w:type="dxa"/>
        </w:tcPr>
        <w:p w14:paraId="2F51A912" w14:textId="77777777" w:rsidR="00B63A70" w:rsidRPr="00B3752F" w:rsidRDefault="00B63A70" w:rsidP="004213C3">
          <w:pPr>
            <w:pStyle w:val="Footer"/>
            <w:rPr>
              <w:rFonts w:cs="Arial"/>
              <w:b/>
              <w:bCs/>
              <w:i/>
              <w:sz w:val="20"/>
            </w:rPr>
          </w:pPr>
          <w:r w:rsidRPr="00B3752F">
            <w:rPr>
              <w:rFonts w:cs="Arial"/>
              <w:b/>
              <w:bCs/>
              <w:i/>
              <w:sz w:val="20"/>
            </w:rPr>
            <w:t>Area Responsible</w:t>
          </w:r>
        </w:p>
      </w:tc>
      <w:tc>
        <w:tcPr>
          <w:tcW w:w="990" w:type="dxa"/>
        </w:tcPr>
        <w:p w14:paraId="2F51A913" w14:textId="77777777" w:rsidR="00B63A70" w:rsidRPr="00B3752F" w:rsidRDefault="00B63A70" w:rsidP="004213C3">
          <w:pPr>
            <w:pStyle w:val="Footer"/>
            <w:rPr>
              <w:rFonts w:cs="Arial"/>
              <w:b/>
              <w:bCs/>
              <w:i/>
              <w:sz w:val="20"/>
            </w:rPr>
          </w:pPr>
          <w:r w:rsidRPr="00B3752F">
            <w:rPr>
              <w:rFonts w:cs="Arial"/>
              <w:b/>
              <w:bCs/>
              <w:i/>
              <w:sz w:val="20"/>
            </w:rPr>
            <w:t>Page</w:t>
          </w:r>
        </w:p>
      </w:tc>
    </w:tr>
    <w:tr w:rsidR="00B63A70" w14:paraId="2F51A91B" w14:textId="77777777" w:rsidTr="00A1768B">
      <w:tc>
        <w:tcPr>
          <w:tcW w:w="1515" w:type="dxa"/>
        </w:tcPr>
        <w:p w14:paraId="2F51A915" w14:textId="310030D5" w:rsidR="00B63A70" w:rsidRPr="00542EE6" w:rsidRDefault="00A1768B" w:rsidP="004213C3">
          <w:pPr>
            <w:pStyle w:val="Footer"/>
            <w:rPr>
              <w:rFonts w:cs="Arial"/>
              <w:b/>
              <w:bCs/>
              <w:sz w:val="20"/>
            </w:rPr>
          </w:pPr>
          <w:r>
            <w:rPr>
              <w:b/>
              <w:sz w:val="20"/>
            </w:rPr>
            <w:t>CHS24/073</w:t>
          </w:r>
        </w:p>
      </w:tc>
      <w:tc>
        <w:tcPr>
          <w:tcW w:w="965" w:type="dxa"/>
        </w:tcPr>
        <w:p w14:paraId="2F51A916" w14:textId="0CF2CE18" w:rsidR="00B63A70" w:rsidRPr="00B3752F" w:rsidRDefault="00A1768B" w:rsidP="004213C3">
          <w:pPr>
            <w:pStyle w:val="Footer"/>
            <w:rPr>
              <w:rFonts w:cs="Arial"/>
              <w:b/>
              <w:bCs/>
              <w:sz w:val="20"/>
            </w:rPr>
          </w:pPr>
          <w:r>
            <w:rPr>
              <w:rFonts w:cs="Arial"/>
              <w:b/>
              <w:bCs/>
              <w:sz w:val="20"/>
            </w:rPr>
            <w:t>1</w:t>
          </w:r>
        </w:p>
      </w:tc>
      <w:tc>
        <w:tcPr>
          <w:tcW w:w="1552" w:type="dxa"/>
        </w:tcPr>
        <w:p w14:paraId="2F51A917" w14:textId="7C465E15" w:rsidR="00B63A70" w:rsidRPr="00B3752F" w:rsidRDefault="00A1768B" w:rsidP="004213C3">
          <w:pPr>
            <w:pStyle w:val="Footer"/>
            <w:rPr>
              <w:rFonts w:cs="Arial"/>
              <w:b/>
              <w:bCs/>
              <w:sz w:val="20"/>
            </w:rPr>
          </w:pPr>
          <w:r>
            <w:rPr>
              <w:rFonts w:cs="Arial"/>
              <w:b/>
              <w:bCs/>
              <w:sz w:val="20"/>
            </w:rPr>
            <w:t>26/02/2024</w:t>
          </w:r>
        </w:p>
      </w:tc>
      <w:tc>
        <w:tcPr>
          <w:tcW w:w="1456" w:type="dxa"/>
        </w:tcPr>
        <w:p w14:paraId="2F51A918" w14:textId="6634101C" w:rsidR="00B63A70" w:rsidRPr="00B3752F" w:rsidRDefault="00A1768B" w:rsidP="004213C3">
          <w:pPr>
            <w:pStyle w:val="Footer"/>
            <w:rPr>
              <w:rFonts w:cs="Arial"/>
              <w:b/>
              <w:bCs/>
              <w:sz w:val="20"/>
            </w:rPr>
          </w:pPr>
          <w:r>
            <w:rPr>
              <w:rFonts w:cs="Arial"/>
              <w:b/>
              <w:bCs/>
              <w:sz w:val="20"/>
            </w:rPr>
            <w:t>01/10/2024</w:t>
          </w:r>
        </w:p>
      </w:tc>
      <w:tc>
        <w:tcPr>
          <w:tcW w:w="2592" w:type="dxa"/>
        </w:tcPr>
        <w:p w14:paraId="2F51A919" w14:textId="56C69EB2" w:rsidR="00B63A70" w:rsidRPr="00B3752F" w:rsidRDefault="00A1768B" w:rsidP="004213C3">
          <w:pPr>
            <w:pStyle w:val="Footer"/>
            <w:rPr>
              <w:rFonts w:cs="Arial"/>
              <w:b/>
              <w:bCs/>
              <w:sz w:val="20"/>
            </w:rPr>
          </w:pPr>
          <w:r>
            <w:rPr>
              <w:rFonts w:cs="Arial"/>
              <w:b/>
              <w:bCs/>
              <w:sz w:val="20"/>
            </w:rPr>
            <w:t>NCH – Palliative Care &amp; Allied Heath – Pharmacy</w:t>
          </w:r>
        </w:p>
      </w:tc>
      <w:tc>
        <w:tcPr>
          <w:tcW w:w="990" w:type="dxa"/>
        </w:tcPr>
        <w:p w14:paraId="2F51A91A" w14:textId="30DB30FE" w:rsidR="00B63A70" w:rsidRPr="00B3752F" w:rsidRDefault="00B63A70"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sidR="00B9719C">
            <w:rPr>
              <w:rStyle w:val="PageNumber"/>
              <w:noProof/>
              <w:sz w:val="20"/>
            </w:rPr>
            <w:t>12</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sidR="00B9719C">
            <w:rPr>
              <w:rStyle w:val="PageNumber"/>
              <w:noProof/>
              <w:sz w:val="20"/>
            </w:rPr>
            <w:t>15</w:t>
          </w:r>
          <w:r w:rsidRPr="00B3752F">
            <w:rPr>
              <w:rStyle w:val="PageNumber"/>
              <w:sz w:val="20"/>
            </w:rPr>
            <w:fldChar w:fldCharType="end"/>
          </w:r>
        </w:p>
      </w:tc>
    </w:tr>
    <w:tr w:rsidR="00B63A70" w14:paraId="668DA41F" w14:textId="77777777" w:rsidTr="00B63A70">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B63A70" w:rsidRPr="002C1428" w:rsidRDefault="00B63A70" w:rsidP="005E1140">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2F51A91D" w14:textId="77777777" w:rsidR="00B63A70" w:rsidRPr="00AE7C5C" w:rsidRDefault="00B63A70"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12353" w14:textId="77777777" w:rsidR="00D31CC1" w:rsidRDefault="00D31CC1" w:rsidP="00F66CB0">
      <w:r>
        <w:separator/>
      </w:r>
    </w:p>
  </w:footnote>
  <w:footnote w:type="continuationSeparator" w:id="0">
    <w:p w14:paraId="5660AB0E" w14:textId="77777777" w:rsidR="00D31CC1" w:rsidRDefault="00D31CC1" w:rsidP="00F66CB0">
      <w:r>
        <w:continuationSeparator/>
      </w:r>
    </w:p>
  </w:footnote>
  <w:footnote w:type="continuationNotice" w:id="1">
    <w:p w14:paraId="6C8A2473" w14:textId="77777777" w:rsidR="00D31CC1" w:rsidRDefault="00D31C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B63A70" w14:paraId="2F51A90C" w14:textId="77777777" w:rsidTr="0074223E">
      <w:trPr>
        <w:trHeight w:val="1418"/>
      </w:trPr>
      <w:tc>
        <w:tcPr>
          <w:tcW w:w="5556" w:type="dxa"/>
          <w:vAlign w:val="center"/>
          <w:hideMark/>
        </w:tcPr>
        <w:p w14:paraId="2F51A90A" w14:textId="5F72D3B6" w:rsidR="00B63A70" w:rsidRDefault="00B63A70"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09BEA225" w:rsidR="00B63A70" w:rsidRDefault="00A1768B">
          <w:pPr>
            <w:pStyle w:val="Header"/>
            <w:tabs>
              <w:tab w:val="left" w:pos="720"/>
            </w:tabs>
            <w:jc w:val="right"/>
            <w:rPr>
              <w:sz w:val="20"/>
            </w:rPr>
          </w:pPr>
          <w:bookmarkStart w:id="41" w:name="_top"/>
          <w:bookmarkEnd w:id="41"/>
          <w:r>
            <w:rPr>
              <w:sz w:val="20"/>
            </w:rPr>
            <w:t>CHS24/073</w:t>
          </w:r>
        </w:p>
      </w:tc>
    </w:tr>
  </w:tbl>
  <w:p w14:paraId="2F51A90D" w14:textId="77777777" w:rsidR="00B63A70" w:rsidRPr="00FC3538" w:rsidRDefault="00B63A70">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D2166FC"/>
    <w:multiLevelType w:val="hybridMultilevel"/>
    <w:tmpl w:val="49E8C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6F6873"/>
    <w:multiLevelType w:val="hybridMultilevel"/>
    <w:tmpl w:val="AEC65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3B3F06"/>
    <w:multiLevelType w:val="hybridMultilevel"/>
    <w:tmpl w:val="38187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C43F39"/>
    <w:multiLevelType w:val="hybridMultilevel"/>
    <w:tmpl w:val="6590A8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E53CA9"/>
    <w:multiLevelType w:val="hybridMultilevel"/>
    <w:tmpl w:val="AB2C42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0FF6BB1"/>
    <w:multiLevelType w:val="hybridMultilevel"/>
    <w:tmpl w:val="6B54CF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C9A2C32"/>
    <w:multiLevelType w:val="hybridMultilevel"/>
    <w:tmpl w:val="85E053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2A213B"/>
    <w:multiLevelType w:val="hybridMultilevel"/>
    <w:tmpl w:val="DA184A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3C558A"/>
    <w:multiLevelType w:val="hybridMultilevel"/>
    <w:tmpl w:val="DF10EC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FCE73F9"/>
    <w:multiLevelType w:val="hybridMultilevel"/>
    <w:tmpl w:val="B2341A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9352FC5"/>
    <w:multiLevelType w:val="hybridMultilevel"/>
    <w:tmpl w:val="D7D8F0E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070900"/>
    <w:multiLevelType w:val="hybridMultilevel"/>
    <w:tmpl w:val="F81E2F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CBC1B4D"/>
    <w:multiLevelType w:val="hybridMultilevel"/>
    <w:tmpl w:val="1968E8E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4F7F12B9"/>
    <w:multiLevelType w:val="hybridMultilevel"/>
    <w:tmpl w:val="04C2E20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0062A8F"/>
    <w:multiLevelType w:val="hybridMultilevel"/>
    <w:tmpl w:val="4498CC22"/>
    <w:lvl w:ilvl="0" w:tplc="04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569E2EF2"/>
    <w:multiLevelType w:val="hybridMultilevel"/>
    <w:tmpl w:val="A61E61A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B91100F"/>
    <w:multiLevelType w:val="hybridMultilevel"/>
    <w:tmpl w:val="815E77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78A751B"/>
    <w:multiLevelType w:val="hybridMultilevel"/>
    <w:tmpl w:val="9BE88B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ED83268"/>
    <w:multiLevelType w:val="hybridMultilevel"/>
    <w:tmpl w:val="27BA67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8715D9E"/>
    <w:multiLevelType w:val="hybridMultilevel"/>
    <w:tmpl w:val="643025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FA0AE7"/>
    <w:multiLevelType w:val="hybridMultilevel"/>
    <w:tmpl w:val="205AA564"/>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B1A6CA7"/>
    <w:multiLevelType w:val="hybridMultilevel"/>
    <w:tmpl w:val="E1B098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B7918DF"/>
    <w:multiLevelType w:val="hybridMultilevel"/>
    <w:tmpl w:val="F39EB24C"/>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F2618EA"/>
    <w:multiLevelType w:val="hybridMultilevel"/>
    <w:tmpl w:val="F9EEB4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F6C1E4D"/>
    <w:multiLevelType w:val="hybridMultilevel"/>
    <w:tmpl w:val="4B6E47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FB33C53"/>
    <w:multiLevelType w:val="hybridMultilevel"/>
    <w:tmpl w:val="08BA2B92"/>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num w:numId="1" w16cid:durableId="432551512">
    <w:abstractNumId w:val="0"/>
  </w:num>
  <w:num w:numId="2" w16cid:durableId="627316672">
    <w:abstractNumId w:val="21"/>
  </w:num>
  <w:num w:numId="3" w16cid:durableId="2034916117">
    <w:abstractNumId w:val="25"/>
  </w:num>
  <w:num w:numId="4" w16cid:durableId="860781057">
    <w:abstractNumId w:val="19"/>
  </w:num>
  <w:num w:numId="5" w16cid:durableId="1154183376">
    <w:abstractNumId w:val="13"/>
  </w:num>
  <w:num w:numId="6" w16cid:durableId="110444761">
    <w:abstractNumId w:val="7"/>
  </w:num>
  <w:num w:numId="7" w16cid:durableId="293364703">
    <w:abstractNumId w:val="9"/>
  </w:num>
  <w:num w:numId="8" w16cid:durableId="1898394283">
    <w:abstractNumId w:val="11"/>
  </w:num>
  <w:num w:numId="9" w16cid:durableId="249319107">
    <w:abstractNumId w:val="8"/>
  </w:num>
  <w:num w:numId="10" w16cid:durableId="500975240">
    <w:abstractNumId w:val="5"/>
  </w:num>
  <w:num w:numId="11" w16cid:durableId="1655909617">
    <w:abstractNumId w:val="4"/>
  </w:num>
  <w:num w:numId="12" w16cid:durableId="504592029">
    <w:abstractNumId w:val="15"/>
  </w:num>
  <w:num w:numId="13" w16cid:durableId="1964574585">
    <w:abstractNumId w:val="14"/>
  </w:num>
  <w:num w:numId="14" w16cid:durableId="1196842811">
    <w:abstractNumId w:val="23"/>
  </w:num>
  <w:num w:numId="15" w16cid:durableId="1869828496">
    <w:abstractNumId w:val="16"/>
  </w:num>
  <w:num w:numId="16" w16cid:durableId="379981480">
    <w:abstractNumId w:val="22"/>
  </w:num>
  <w:num w:numId="17" w16cid:durableId="568685497">
    <w:abstractNumId w:val="24"/>
  </w:num>
  <w:num w:numId="18" w16cid:durableId="375550769">
    <w:abstractNumId w:val="28"/>
  </w:num>
  <w:num w:numId="19" w16cid:durableId="1611472011">
    <w:abstractNumId w:val="27"/>
  </w:num>
  <w:num w:numId="20" w16cid:durableId="1902016499">
    <w:abstractNumId w:val="6"/>
  </w:num>
  <w:num w:numId="21" w16cid:durableId="384181653">
    <w:abstractNumId w:val="17"/>
  </w:num>
  <w:num w:numId="22" w16cid:durableId="1155218868">
    <w:abstractNumId w:val="20"/>
  </w:num>
  <w:num w:numId="23" w16cid:durableId="1793088166">
    <w:abstractNumId w:val="18"/>
  </w:num>
  <w:num w:numId="24" w16cid:durableId="1658536960">
    <w:abstractNumId w:val="1"/>
  </w:num>
  <w:num w:numId="25" w16cid:durableId="1836534532">
    <w:abstractNumId w:val="12"/>
  </w:num>
  <w:num w:numId="26" w16cid:durableId="1725063223">
    <w:abstractNumId w:val="10"/>
  </w:num>
  <w:num w:numId="27" w16cid:durableId="2100910388">
    <w:abstractNumId w:val="26"/>
  </w:num>
  <w:num w:numId="28" w16cid:durableId="1873499240">
    <w:abstractNumId w:val="3"/>
  </w:num>
  <w:num w:numId="29" w16cid:durableId="1530291189">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5D88"/>
    <w:rsid w:val="0001607A"/>
    <w:rsid w:val="0002137B"/>
    <w:rsid w:val="00061D7A"/>
    <w:rsid w:val="00091AC9"/>
    <w:rsid w:val="00095ECD"/>
    <w:rsid w:val="000A7335"/>
    <w:rsid w:val="000B1620"/>
    <w:rsid w:val="000B5C8C"/>
    <w:rsid w:val="000B71ED"/>
    <w:rsid w:val="000C59E2"/>
    <w:rsid w:val="000C7B2D"/>
    <w:rsid w:val="000F7B7E"/>
    <w:rsid w:val="00103EEA"/>
    <w:rsid w:val="001115D7"/>
    <w:rsid w:val="00191109"/>
    <w:rsid w:val="00191235"/>
    <w:rsid w:val="001926F4"/>
    <w:rsid w:val="001A0053"/>
    <w:rsid w:val="001B2465"/>
    <w:rsid w:val="001B3435"/>
    <w:rsid w:val="001F0C5E"/>
    <w:rsid w:val="001F2A9B"/>
    <w:rsid w:val="001F6D2D"/>
    <w:rsid w:val="00200D04"/>
    <w:rsid w:val="00201FB6"/>
    <w:rsid w:val="002405CF"/>
    <w:rsid w:val="00240B97"/>
    <w:rsid w:val="0025382D"/>
    <w:rsid w:val="00263BA6"/>
    <w:rsid w:val="0027264D"/>
    <w:rsid w:val="00285D38"/>
    <w:rsid w:val="00293E43"/>
    <w:rsid w:val="002B5F43"/>
    <w:rsid w:val="002F4C2F"/>
    <w:rsid w:val="00313707"/>
    <w:rsid w:val="0032270B"/>
    <w:rsid w:val="00337E7C"/>
    <w:rsid w:val="003510E5"/>
    <w:rsid w:val="00351CD9"/>
    <w:rsid w:val="00353CBB"/>
    <w:rsid w:val="00366924"/>
    <w:rsid w:val="00376A6D"/>
    <w:rsid w:val="003807E6"/>
    <w:rsid w:val="00380B98"/>
    <w:rsid w:val="003865DA"/>
    <w:rsid w:val="00395E36"/>
    <w:rsid w:val="00396023"/>
    <w:rsid w:val="003C0AB1"/>
    <w:rsid w:val="003C204E"/>
    <w:rsid w:val="003C4BB5"/>
    <w:rsid w:val="003E4CC0"/>
    <w:rsid w:val="003F3D8F"/>
    <w:rsid w:val="00410409"/>
    <w:rsid w:val="00412CED"/>
    <w:rsid w:val="00416751"/>
    <w:rsid w:val="00420F9E"/>
    <w:rsid w:val="004213C3"/>
    <w:rsid w:val="0042413C"/>
    <w:rsid w:val="00427139"/>
    <w:rsid w:val="00431A1C"/>
    <w:rsid w:val="004358E9"/>
    <w:rsid w:val="004537B3"/>
    <w:rsid w:val="0048050C"/>
    <w:rsid w:val="00487DD5"/>
    <w:rsid w:val="004947A7"/>
    <w:rsid w:val="004A2E02"/>
    <w:rsid w:val="004B0B34"/>
    <w:rsid w:val="004B7C43"/>
    <w:rsid w:val="004C2B20"/>
    <w:rsid w:val="004D6932"/>
    <w:rsid w:val="004E28AD"/>
    <w:rsid w:val="004F0F49"/>
    <w:rsid w:val="004F1D05"/>
    <w:rsid w:val="004F2008"/>
    <w:rsid w:val="004F417B"/>
    <w:rsid w:val="00505B5D"/>
    <w:rsid w:val="005067CA"/>
    <w:rsid w:val="0052443C"/>
    <w:rsid w:val="0052775E"/>
    <w:rsid w:val="005416F0"/>
    <w:rsid w:val="00542514"/>
    <w:rsid w:val="00546AED"/>
    <w:rsid w:val="005512EF"/>
    <w:rsid w:val="005621E4"/>
    <w:rsid w:val="00590902"/>
    <w:rsid w:val="00592A14"/>
    <w:rsid w:val="00596FD7"/>
    <w:rsid w:val="005A3625"/>
    <w:rsid w:val="005B4738"/>
    <w:rsid w:val="005C212D"/>
    <w:rsid w:val="005C3CB0"/>
    <w:rsid w:val="005E1140"/>
    <w:rsid w:val="005F3214"/>
    <w:rsid w:val="00612231"/>
    <w:rsid w:val="00635EB1"/>
    <w:rsid w:val="006473BB"/>
    <w:rsid w:val="0066495D"/>
    <w:rsid w:val="00695EB6"/>
    <w:rsid w:val="006A3770"/>
    <w:rsid w:val="006A4D46"/>
    <w:rsid w:val="006A6024"/>
    <w:rsid w:val="006C31FF"/>
    <w:rsid w:val="006C6256"/>
    <w:rsid w:val="006C6B6C"/>
    <w:rsid w:val="006C704D"/>
    <w:rsid w:val="006D31A2"/>
    <w:rsid w:val="0070331D"/>
    <w:rsid w:val="007052B1"/>
    <w:rsid w:val="00711BF4"/>
    <w:rsid w:val="00741B43"/>
    <w:rsid w:val="0074223E"/>
    <w:rsid w:val="007543AC"/>
    <w:rsid w:val="00756537"/>
    <w:rsid w:val="00756A2B"/>
    <w:rsid w:val="007A0EBC"/>
    <w:rsid w:val="007B27F1"/>
    <w:rsid w:val="007B4ABB"/>
    <w:rsid w:val="007B6904"/>
    <w:rsid w:val="007B7628"/>
    <w:rsid w:val="007C36E4"/>
    <w:rsid w:val="007D71C9"/>
    <w:rsid w:val="00807867"/>
    <w:rsid w:val="00816782"/>
    <w:rsid w:val="0082141D"/>
    <w:rsid w:val="00827F24"/>
    <w:rsid w:val="00845445"/>
    <w:rsid w:val="00855DA8"/>
    <w:rsid w:val="0086210D"/>
    <w:rsid w:val="00886399"/>
    <w:rsid w:val="008974CA"/>
    <w:rsid w:val="008E1F7F"/>
    <w:rsid w:val="008F00E8"/>
    <w:rsid w:val="00906142"/>
    <w:rsid w:val="00931B93"/>
    <w:rsid w:val="00933EED"/>
    <w:rsid w:val="00940CDE"/>
    <w:rsid w:val="00962C46"/>
    <w:rsid w:val="0097742A"/>
    <w:rsid w:val="0097744F"/>
    <w:rsid w:val="00980EED"/>
    <w:rsid w:val="00991670"/>
    <w:rsid w:val="009A5774"/>
    <w:rsid w:val="009B6C8C"/>
    <w:rsid w:val="009C0FCA"/>
    <w:rsid w:val="009C3963"/>
    <w:rsid w:val="009D323C"/>
    <w:rsid w:val="009E39B9"/>
    <w:rsid w:val="009E70F4"/>
    <w:rsid w:val="009F5667"/>
    <w:rsid w:val="00A1768B"/>
    <w:rsid w:val="00A35E2D"/>
    <w:rsid w:val="00A54CB3"/>
    <w:rsid w:val="00A74B8A"/>
    <w:rsid w:val="00A85F61"/>
    <w:rsid w:val="00A86DB3"/>
    <w:rsid w:val="00A92E4F"/>
    <w:rsid w:val="00AA25DC"/>
    <w:rsid w:val="00AB13EF"/>
    <w:rsid w:val="00AB50DD"/>
    <w:rsid w:val="00AC7025"/>
    <w:rsid w:val="00AD196F"/>
    <w:rsid w:val="00AD3CCE"/>
    <w:rsid w:val="00B07A46"/>
    <w:rsid w:val="00B07DCE"/>
    <w:rsid w:val="00B12123"/>
    <w:rsid w:val="00B21043"/>
    <w:rsid w:val="00B42EA0"/>
    <w:rsid w:val="00B44CAC"/>
    <w:rsid w:val="00B573D6"/>
    <w:rsid w:val="00B63A70"/>
    <w:rsid w:val="00B73E65"/>
    <w:rsid w:val="00B81455"/>
    <w:rsid w:val="00B9627F"/>
    <w:rsid w:val="00B9719C"/>
    <w:rsid w:val="00BA2415"/>
    <w:rsid w:val="00BA4DB2"/>
    <w:rsid w:val="00BA4F95"/>
    <w:rsid w:val="00BB33F9"/>
    <w:rsid w:val="00BC3CE6"/>
    <w:rsid w:val="00BE5E41"/>
    <w:rsid w:val="00BF078E"/>
    <w:rsid w:val="00BF19E3"/>
    <w:rsid w:val="00C24EDC"/>
    <w:rsid w:val="00C25A76"/>
    <w:rsid w:val="00C31EB3"/>
    <w:rsid w:val="00C32206"/>
    <w:rsid w:val="00C3559A"/>
    <w:rsid w:val="00C422C8"/>
    <w:rsid w:val="00C42591"/>
    <w:rsid w:val="00C45C67"/>
    <w:rsid w:val="00C47091"/>
    <w:rsid w:val="00C523FF"/>
    <w:rsid w:val="00C71C3C"/>
    <w:rsid w:val="00C76998"/>
    <w:rsid w:val="00C93E83"/>
    <w:rsid w:val="00CA593D"/>
    <w:rsid w:val="00CC5D11"/>
    <w:rsid w:val="00CD1505"/>
    <w:rsid w:val="00D21780"/>
    <w:rsid w:val="00D23346"/>
    <w:rsid w:val="00D243B8"/>
    <w:rsid w:val="00D31CC1"/>
    <w:rsid w:val="00D34794"/>
    <w:rsid w:val="00D4502D"/>
    <w:rsid w:val="00D530CE"/>
    <w:rsid w:val="00D53E3C"/>
    <w:rsid w:val="00D77950"/>
    <w:rsid w:val="00DC3762"/>
    <w:rsid w:val="00DC5C47"/>
    <w:rsid w:val="00DD616A"/>
    <w:rsid w:val="00DE0465"/>
    <w:rsid w:val="00DE4E25"/>
    <w:rsid w:val="00E049ED"/>
    <w:rsid w:val="00E34E6D"/>
    <w:rsid w:val="00E37CD4"/>
    <w:rsid w:val="00E57848"/>
    <w:rsid w:val="00E73459"/>
    <w:rsid w:val="00E750BF"/>
    <w:rsid w:val="00E90708"/>
    <w:rsid w:val="00ED21C3"/>
    <w:rsid w:val="00ED388C"/>
    <w:rsid w:val="00ED46C3"/>
    <w:rsid w:val="00EF02B0"/>
    <w:rsid w:val="00EF13A4"/>
    <w:rsid w:val="00EF5196"/>
    <w:rsid w:val="00F01B61"/>
    <w:rsid w:val="00F11338"/>
    <w:rsid w:val="00F13AE5"/>
    <w:rsid w:val="00F149FD"/>
    <w:rsid w:val="00F14EC1"/>
    <w:rsid w:val="00F4262F"/>
    <w:rsid w:val="00F53719"/>
    <w:rsid w:val="00F57291"/>
    <w:rsid w:val="00F66CB0"/>
    <w:rsid w:val="00F76C89"/>
    <w:rsid w:val="00F9158A"/>
    <w:rsid w:val="00FA29B8"/>
    <w:rsid w:val="00FC7CBC"/>
    <w:rsid w:val="00FD3D92"/>
    <w:rsid w:val="00FF56DD"/>
    <w:rsid w:val="5E8A90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3510E5"/>
    <w:pPr>
      <w:tabs>
        <w:tab w:val="right" w:leader="dot" w:pos="9060"/>
      </w:tabs>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ListParagraphChar">
    <w:name w:val="List Paragraph Char"/>
    <w:basedOn w:val="DefaultParagraphFont"/>
    <w:link w:val="ListParagraph"/>
    <w:rsid w:val="009F5667"/>
    <w:rPr>
      <w:rFonts w:ascii="Calibri" w:eastAsia="Times New Roman" w:hAnsi="Calibri" w:cs="Times New Roman"/>
      <w:sz w:val="24"/>
      <w:szCs w:val="20"/>
    </w:rPr>
  </w:style>
  <w:style w:type="character" w:customStyle="1" w:styleId="selectable">
    <w:name w:val="selectable"/>
    <w:basedOn w:val="DefaultParagraphFont"/>
    <w:rsid w:val="003807E6"/>
  </w:style>
  <w:style w:type="paragraph" w:styleId="Revision">
    <w:name w:val="Revision"/>
    <w:hidden/>
    <w:uiPriority w:val="99"/>
    <w:semiHidden/>
    <w:rsid w:val="00061D7A"/>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nk.springer.com/article/10.1007/s00134-014-3210-2" TargetMode="External"/><Relationship Id="rId18" Type="http://schemas.openxmlformats.org/officeDocument/2006/relationships/hyperlink" Target="https://www.rcpa.edu.au/Manuals/RCPA-Manual/Pathology-Tests/C/Calciu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nice.org.uk/guidance/cg174/chapter/1-recommendations" TargetMode="External"/><Relationship Id="rId17" Type="http://schemas.openxmlformats.org/officeDocument/2006/relationships/hyperlink" Target="http://aidh.hcn.com.au/browse/s/sodium_dihydrogen_phosphat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aidh.hcn.com.au/browse/p/potassium_dihydrogen_phosphate" TargetMode="External"/><Relationship Id="rId20" Type="http://schemas.openxmlformats.org/officeDocument/2006/relationships/hyperlink" Target="https://www.uptodate.com/contents/treatment-of-hypocalcemia?search=hypocalcemia&amp;source=search_result&amp;selectedTitle=2~150&amp;usage_type=default&amp;display_rank=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mj.bmj.com/content/postgradmedj/77/914/759.full.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uptodate.com/contents/evaluation-and-treatment-of-hypophosphatemia?source=search_result&amp;search=hypophosphatemia&amp;selectedTitle=1~150%23H1%20"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ncbi.nlm.nih.gov/pmc/a%09rticles/PMC241333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pa.edu.au/getattachment/ddaf4b6d-f626-43de-98d0-018264371181/Table-6-Reference-intervals-harmonised-chemical.aspx" TargetMode="External"/><Relationship Id="rId2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92cdff7a5e326f8e1cd78cab442d1c9">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9fe5ee6d80ed5e664fd7ece6102a156"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2024-02-25T13:00:00+00:00</Approval_x0020_Date>
    <Review_x0020_Date xmlns="690b2128-8961-48af-a473-22c34a9accba">2024-09-30T14:00:00+00:00</Review_x0020_Date>
    <TaxCatchAll xmlns="c0239a80-7f07-4ed7-82c3-24ad7d76ada5">
      <Value>495</Value>
      <Value>527</Value>
      <Value>435</Value>
      <Value>441</Value>
    </TaxCatchAll>
    <Version_x0020_Number xmlns="690b2128-8961-48af-a473-22c34a9accba">1</Version_x0020_Number>
    <Notes0 xmlns="690b2128-8961-48af-a473-22c34a9accba">This procedure could potentially be incorporated into CHS Electrolyte Replacement procedure due for review 1/10/2024.</Notes0>
    <Key_x0020_Words xmlns="690b2128-8961-48af-a473-22c34a9accba">North, Potassium, Hypokalaemia, Phosphate, Hypophosphataemia, Magnesium, Hypomagnesaemia, Calcium, Hypocalcaemia, Electrolyte</Key_x0020_Words>
    <Type_x0020_of_x0020_Document xmlns="690b2128-8961-48af-a473-22c34a9accba">Procedure</Type_x0020_of_x0020_Document>
    <Approval_x0020_Name_x007c_Committee xmlns="690b2128-8961-48af-a473-22c34a9accba">CHS Policy Team</Approval_x0020_Name_x007c_Committee>
    <Status xmlns="690b2128-8961-48af-a473-22c34a9accba">Approved</Status>
    <New_x0020_Applies_x0020_To xmlns="690b2128-8961-48af-a473-22c34a9accba">Canberra Health Services</New_x0020_Applies_x0020_To>
    <Replaces_x003a_ xmlns="690b2128-8961-48af-a473-22c34a9accba">Guidelines for Prescribing Electrolyte Replacement</Replaces_x003a_>
    <ISD_x0020_Submitted xmlns="690b2128-8961-48af-a473-22c34a9accba">Not Required</ISD_x0020_Submitted>
    <Risk_x0020_Rating xmlns="690b2128-8961-48af-a473-22c34a9accba">High</Risk_x0020_Rating>
    <Description0 xmlns="690b2128-8961-48af-a473-22c34a9accba">This procedure provides clinicians with best practice information for electrolyte replacement in adult patients at North Canberra Hospital (NCH).</Description0>
    <Display_x0020_on_x0020_Internet xmlns="690b2128-8961-48af-a473-22c34a9accba">true</Display_x0020_on_x0020_Internet>
    <Related_x0020_Documents xmlns="690b2128-8961-48af-a473-22c34a9accba" xsi:nil="true"/>
    <Decision_x0020_Number xmlns="690b2128-8961-48af-a473-22c34a9accba">CHS24/073</Decision_x0020_Number>
    <RelatedPolicies_x002c_ProceduresGuidelines xmlns="690b2128-8961-48af-a473-22c34a9accba">
      <Value>17042</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Medicines, Poisons and Therapeutic Goods Act 2008 (Territory)</TermName>
          <TermId xmlns="http://schemas.microsoft.com/office/infopath/2007/PartnerControls">e04bb8da-bc44-4cb4-a98e-c18b8e4177ac</TermId>
        </TermInfo>
        <TermInfo xmlns="http://schemas.microsoft.com/office/infopath/2007/PartnerControls">
          <TermName xmlns="http://schemas.microsoft.com/office/infopath/2007/PartnerControls">Medicines, Poisons and Therapeutic Goods Regulation 2008 (Territory)</TermName>
          <TermId xmlns="http://schemas.microsoft.com/office/infopath/2007/PartnerControls">d8a601e5-b818-46c5-b1f0-8bd78d448dbc</TermId>
        </TermInfo>
        <TermInfo xmlns="http://schemas.microsoft.com/office/infopath/2007/PartnerControls">
          <TermName xmlns="http://schemas.microsoft.com/office/infopath/2007/PartnerControls">Therapeutic Goods Act 1989 (Cth)</TermName>
          <TermId xmlns="http://schemas.microsoft.com/office/infopath/2007/PartnerControls">6f1372f5-fafb-43fa-b717-e9088c98595f</TermId>
        </TermInfo>
        <TermInfo xmlns="http://schemas.microsoft.com/office/infopath/2007/PartnerControls">
          <TermName xmlns="http://schemas.microsoft.com/office/infopath/2007/PartnerControls">Therapeutic Goods Regulations 1990 (Cth)</TermName>
          <TermId xmlns="http://schemas.microsoft.com/office/infopath/2007/PartnerControls">926af1d3-6243-45e1-a0f3-0514825b88fc</TermId>
        </TermInfo>
      </Terms>
    </k0794e393e1f41c2810d090eedba34a0>
    <New_x0020_Owner xmlns="690b2128-8961-48af-a473-22c34a9accba">North Canberra Hospital (NCH) – Allied Health &amp; Palliative Care – Pharmacy  </New_x0020_Owner>
  </documentManagement>
</p:properties>
</file>

<file path=customXml/itemProps1.xml><?xml version="1.0" encoding="utf-8"?>
<ds:datastoreItem xmlns:ds="http://schemas.openxmlformats.org/officeDocument/2006/customXml" ds:itemID="{A1A9B0DA-61FF-4524-83DE-DEC7F38B191A}"/>
</file>

<file path=customXml/itemProps2.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3.xml><?xml version="1.0" encoding="utf-8"?>
<ds:datastoreItem xmlns:ds="http://schemas.openxmlformats.org/officeDocument/2006/customXml" ds:itemID="{F3FD60AB-7BE4-4BB4-A304-A3BC8C46060C}">
  <ds:schemaRefs>
    <ds:schemaRef ds:uri="http://schemas.openxmlformats.org/officeDocument/2006/bibliography"/>
  </ds:schemaRefs>
</ds:datastoreItem>
</file>

<file path=customXml/itemProps4.xml><?xml version="1.0" encoding="utf-8"?>
<ds:datastoreItem xmlns:ds="http://schemas.openxmlformats.org/officeDocument/2006/customXml" ds:itemID="{297F58B0-E6BF-4237-9984-6DF2E01C04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3760</Words>
  <Characters>21438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Prescribing Electrolyte Replacement (Adults) - North Canberra Hospital (NCH)</dc:title>
  <dc:creator>Kerryn Hunter</dc:creator>
  <cp:lastModifiedBy>Rusanov, Zoia (Health)</cp:lastModifiedBy>
  <cp:revision>4</cp:revision>
  <cp:lastPrinted>2015-01-20T22:40:00Z</cp:lastPrinted>
  <dcterms:created xsi:type="dcterms:W3CDTF">2024-02-19T20:33:00Z</dcterms:created>
  <dcterms:modified xsi:type="dcterms:W3CDTF">2024-02-25T17:38:00Z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MSIP_Label_69af8531-eb46-4968-8cb3-105d2f5ea87e_Enabled">
    <vt:lpwstr>true</vt:lpwstr>
  </property>
  <property fmtid="{D5CDD505-2E9C-101B-9397-08002B2CF9AE}" pid="4" name="MSIP_Label_69af8531-eb46-4968-8cb3-105d2f5ea87e_SetDate">
    <vt:lpwstr>2024-02-19T23:51:45Z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5c2d6b6f-718f-4966-a950-ff861883e536</vt:lpwstr>
  </property>
  <property fmtid="{D5CDD505-2E9C-101B-9397-08002B2CF9AE}" pid="9" name="MSIP_Label_69af8531-eb46-4968-8cb3-105d2f5ea87e_ContentBits">
    <vt:lpwstr>0</vt:lpwstr>
  </property>
  <property fmtid="{D5CDD505-2E9C-101B-9397-08002B2CF9AE}" pid="10" name="Related Legislation &amp; Guidelines">
    <vt:lpwstr>435;#Medicines, Poisons and Therapeutic Goods Act 2008 (Territory)|e04bb8da-bc44-4cb4-a98e-c18b8e4177ac;#441;#Medicines, Poisons and Therapeutic Goods Regulation 2008 (Territory)|d8a601e5-b818-46c5-b1f0-8bd78d448dbc;#495;#Therapeutic Goods Act 1989 (Cth)|6f1372f5-fafb-43fa-b717-e9088c98595f;#527;#Therapeutic Goods Regulations 1990 (Cth)|926af1d3-6243-45e1-a0f3-0514825b88fc</vt:lpwstr>
  </property>
</Properties>
</file>