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A84E" w14:textId="68AEB996" w:rsidR="00EF02B0" w:rsidRPr="00007A8A" w:rsidRDefault="00EF02B0" w:rsidP="00007A8A">
      <w:pPr>
        <w:rPr>
          <w:b/>
          <w:bCs/>
          <w:sz w:val="44"/>
          <w:szCs w:val="44"/>
        </w:rPr>
      </w:pPr>
      <w:bookmarkStart w:id="0" w:name="_Toc389131241"/>
      <w:bookmarkStart w:id="1" w:name="_Toc389473036"/>
      <w:bookmarkStart w:id="2" w:name="_Toc389473185"/>
      <w:bookmarkStart w:id="3" w:name="_Toc389473272"/>
      <w:bookmarkStart w:id="4" w:name="_Toc392770343"/>
      <w:r w:rsidRPr="00007A8A">
        <w:rPr>
          <w:b/>
          <w:bCs/>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67B0369F" w:rsidR="007B6904" w:rsidRPr="006A3770" w:rsidRDefault="00B86C5D" w:rsidP="49B29100">
      <w:pPr>
        <w:rPr>
          <w:rFonts w:cs="Arial"/>
          <w:b/>
          <w:bCs/>
          <w:i/>
          <w:iCs/>
          <w:sz w:val="36"/>
          <w:szCs w:val="36"/>
        </w:rPr>
      </w:pPr>
      <w:r w:rsidRPr="49B29100">
        <w:rPr>
          <w:rFonts w:cs="Arial"/>
          <w:b/>
          <w:bCs/>
          <w:sz w:val="36"/>
          <w:szCs w:val="36"/>
        </w:rPr>
        <w:t>Grey Response for the</w:t>
      </w:r>
      <w:r w:rsidR="00FD4143">
        <w:rPr>
          <w:rFonts w:cs="Arial"/>
          <w:b/>
          <w:bCs/>
          <w:sz w:val="36"/>
          <w:szCs w:val="36"/>
        </w:rPr>
        <w:t xml:space="preserve"> Canberra Hospital</w:t>
      </w:r>
      <w:r w:rsidRPr="49B29100">
        <w:rPr>
          <w:rFonts w:cs="Arial"/>
          <w:b/>
          <w:bCs/>
          <w:sz w:val="36"/>
          <w:szCs w:val="36"/>
        </w:rPr>
        <w:t xml:space="preserve"> Emergency Department</w:t>
      </w:r>
      <w:r w:rsidR="007B6904" w:rsidRPr="49B29100">
        <w:rPr>
          <w:rFonts w:cs="Arial"/>
          <w:b/>
          <w:bCs/>
          <w:i/>
          <w:iCs/>
          <w:sz w:val="36"/>
          <w:szCs w:val="36"/>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60461932"/>
            <w:r w:rsidRPr="00CD1C0E">
              <w:t>Contents</w:t>
            </w:r>
            <w:bookmarkEnd w:id="5"/>
            <w:bookmarkEnd w:id="6"/>
            <w:bookmarkEnd w:id="7"/>
          </w:p>
        </w:tc>
      </w:tr>
    </w:tbl>
    <w:p w14:paraId="2F51A853" w14:textId="77777777" w:rsidR="007B6904" w:rsidRDefault="007B6904" w:rsidP="007B6904"/>
    <w:p w14:paraId="0A193B0A" w14:textId="1A5C65CE" w:rsidR="00007A8A" w:rsidRDefault="00007A8A">
      <w:pPr>
        <w:pStyle w:val="TOC1"/>
        <w:tabs>
          <w:tab w:val="right" w:leader="dot" w:pos="9060"/>
        </w:tabs>
        <w:rPr>
          <w:rFonts w:eastAsiaTheme="minorEastAsia" w:cstheme="minorBidi"/>
          <w:noProof/>
          <w:kern w:val="2"/>
          <w:sz w:val="22"/>
          <w:szCs w:val="22"/>
          <w:lang w:eastAsia="en-AU"/>
          <w14:ligatures w14:val="standardContextual"/>
        </w:rPr>
      </w:pPr>
      <w:r>
        <w:fldChar w:fldCharType="begin"/>
      </w:r>
      <w:r>
        <w:instrText xml:space="preserve"> TOC \o "1-2" \h \z \u </w:instrText>
      </w:r>
      <w:r>
        <w:fldChar w:fldCharType="separate"/>
      </w:r>
      <w:hyperlink w:anchor="_Toc160461932" w:history="1">
        <w:r w:rsidRPr="00CE27A1">
          <w:rPr>
            <w:rStyle w:val="Hyperlink"/>
            <w:noProof/>
          </w:rPr>
          <w:t>Contents</w:t>
        </w:r>
        <w:r>
          <w:rPr>
            <w:noProof/>
            <w:webHidden/>
          </w:rPr>
          <w:tab/>
        </w:r>
        <w:r>
          <w:rPr>
            <w:noProof/>
            <w:webHidden/>
          </w:rPr>
          <w:fldChar w:fldCharType="begin"/>
        </w:r>
        <w:r>
          <w:rPr>
            <w:noProof/>
            <w:webHidden/>
          </w:rPr>
          <w:instrText xml:space="preserve"> PAGEREF _Toc160461932 \h </w:instrText>
        </w:r>
        <w:r>
          <w:rPr>
            <w:noProof/>
            <w:webHidden/>
          </w:rPr>
        </w:r>
        <w:r>
          <w:rPr>
            <w:noProof/>
            <w:webHidden/>
          </w:rPr>
          <w:fldChar w:fldCharType="separate"/>
        </w:r>
        <w:r>
          <w:rPr>
            <w:noProof/>
            <w:webHidden/>
          </w:rPr>
          <w:t>1</w:t>
        </w:r>
        <w:r>
          <w:rPr>
            <w:noProof/>
            <w:webHidden/>
          </w:rPr>
          <w:fldChar w:fldCharType="end"/>
        </w:r>
      </w:hyperlink>
    </w:p>
    <w:p w14:paraId="04FA9AEB" w14:textId="797C8F1B" w:rsidR="00007A8A" w:rsidRDefault="00007A8A">
      <w:pPr>
        <w:pStyle w:val="TOC1"/>
        <w:tabs>
          <w:tab w:val="right" w:leader="dot" w:pos="9060"/>
        </w:tabs>
        <w:rPr>
          <w:rFonts w:eastAsiaTheme="minorEastAsia" w:cstheme="minorBidi"/>
          <w:noProof/>
          <w:kern w:val="2"/>
          <w:sz w:val="22"/>
          <w:szCs w:val="22"/>
          <w:lang w:eastAsia="en-AU"/>
          <w14:ligatures w14:val="standardContextual"/>
        </w:rPr>
      </w:pPr>
      <w:hyperlink w:anchor="_Toc160461933" w:history="1">
        <w:r w:rsidRPr="00CE27A1">
          <w:rPr>
            <w:rStyle w:val="Hyperlink"/>
            <w:noProof/>
          </w:rPr>
          <w:t>Purpose</w:t>
        </w:r>
        <w:r>
          <w:rPr>
            <w:noProof/>
            <w:webHidden/>
          </w:rPr>
          <w:tab/>
        </w:r>
        <w:r>
          <w:rPr>
            <w:noProof/>
            <w:webHidden/>
          </w:rPr>
          <w:fldChar w:fldCharType="begin"/>
        </w:r>
        <w:r>
          <w:rPr>
            <w:noProof/>
            <w:webHidden/>
          </w:rPr>
          <w:instrText xml:space="preserve"> PAGEREF _Toc160461933 \h </w:instrText>
        </w:r>
        <w:r>
          <w:rPr>
            <w:noProof/>
            <w:webHidden/>
          </w:rPr>
        </w:r>
        <w:r>
          <w:rPr>
            <w:noProof/>
            <w:webHidden/>
          </w:rPr>
          <w:fldChar w:fldCharType="separate"/>
        </w:r>
        <w:r>
          <w:rPr>
            <w:noProof/>
            <w:webHidden/>
          </w:rPr>
          <w:t>2</w:t>
        </w:r>
        <w:r>
          <w:rPr>
            <w:noProof/>
            <w:webHidden/>
          </w:rPr>
          <w:fldChar w:fldCharType="end"/>
        </w:r>
      </w:hyperlink>
    </w:p>
    <w:p w14:paraId="1D15EA43" w14:textId="50FD3A2A" w:rsidR="00007A8A" w:rsidRDefault="00007A8A">
      <w:pPr>
        <w:pStyle w:val="TOC1"/>
        <w:tabs>
          <w:tab w:val="right" w:leader="dot" w:pos="9060"/>
        </w:tabs>
        <w:rPr>
          <w:rFonts w:eastAsiaTheme="minorEastAsia" w:cstheme="minorBidi"/>
          <w:noProof/>
          <w:kern w:val="2"/>
          <w:sz w:val="22"/>
          <w:szCs w:val="22"/>
          <w:lang w:eastAsia="en-AU"/>
          <w14:ligatures w14:val="standardContextual"/>
        </w:rPr>
      </w:pPr>
      <w:hyperlink w:anchor="_Toc160461934" w:history="1">
        <w:r w:rsidRPr="00CE27A1">
          <w:rPr>
            <w:rStyle w:val="Hyperlink"/>
            <w:noProof/>
          </w:rPr>
          <w:t>Alerts</w:t>
        </w:r>
        <w:r>
          <w:rPr>
            <w:noProof/>
            <w:webHidden/>
          </w:rPr>
          <w:tab/>
        </w:r>
        <w:r>
          <w:rPr>
            <w:noProof/>
            <w:webHidden/>
          </w:rPr>
          <w:fldChar w:fldCharType="begin"/>
        </w:r>
        <w:r>
          <w:rPr>
            <w:noProof/>
            <w:webHidden/>
          </w:rPr>
          <w:instrText xml:space="preserve"> PAGEREF _Toc160461934 \h </w:instrText>
        </w:r>
        <w:r>
          <w:rPr>
            <w:noProof/>
            <w:webHidden/>
          </w:rPr>
        </w:r>
        <w:r>
          <w:rPr>
            <w:noProof/>
            <w:webHidden/>
          </w:rPr>
          <w:fldChar w:fldCharType="separate"/>
        </w:r>
        <w:r>
          <w:rPr>
            <w:noProof/>
            <w:webHidden/>
          </w:rPr>
          <w:t>2</w:t>
        </w:r>
        <w:r>
          <w:rPr>
            <w:noProof/>
            <w:webHidden/>
          </w:rPr>
          <w:fldChar w:fldCharType="end"/>
        </w:r>
      </w:hyperlink>
    </w:p>
    <w:p w14:paraId="6CC8CB5A" w14:textId="0C5FB118" w:rsidR="00007A8A" w:rsidRDefault="00007A8A">
      <w:pPr>
        <w:pStyle w:val="TOC1"/>
        <w:tabs>
          <w:tab w:val="right" w:leader="dot" w:pos="9060"/>
        </w:tabs>
        <w:rPr>
          <w:rFonts w:eastAsiaTheme="minorEastAsia" w:cstheme="minorBidi"/>
          <w:noProof/>
          <w:kern w:val="2"/>
          <w:sz w:val="22"/>
          <w:szCs w:val="22"/>
          <w:lang w:eastAsia="en-AU"/>
          <w14:ligatures w14:val="standardContextual"/>
        </w:rPr>
      </w:pPr>
      <w:hyperlink w:anchor="_Toc160461935" w:history="1">
        <w:r w:rsidRPr="00CE27A1">
          <w:rPr>
            <w:rStyle w:val="Hyperlink"/>
            <w:noProof/>
          </w:rPr>
          <w:t>Scope</w:t>
        </w:r>
        <w:r>
          <w:rPr>
            <w:noProof/>
            <w:webHidden/>
          </w:rPr>
          <w:tab/>
        </w:r>
        <w:r>
          <w:rPr>
            <w:noProof/>
            <w:webHidden/>
          </w:rPr>
          <w:fldChar w:fldCharType="begin"/>
        </w:r>
        <w:r>
          <w:rPr>
            <w:noProof/>
            <w:webHidden/>
          </w:rPr>
          <w:instrText xml:space="preserve"> PAGEREF _Toc160461935 \h </w:instrText>
        </w:r>
        <w:r>
          <w:rPr>
            <w:noProof/>
            <w:webHidden/>
          </w:rPr>
        </w:r>
        <w:r>
          <w:rPr>
            <w:noProof/>
            <w:webHidden/>
          </w:rPr>
          <w:fldChar w:fldCharType="separate"/>
        </w:r>
        <w:r>
          <w:rPr>
            <w:noProof/>
            <w:webHidden/>
          </w:rPr>
          <w:t>2</w:t>
        </w:r>
        <w:r>
          <w:rPr>
            <w:noProof/>
            <w:webHidden/>
          </w:rPr>
          <w:fldChar w:fldCharType="end"/>
        </w:r>
      </w:hyperlink>
    </w:p>
    <w:p w14:paraId="6E2E32AE" w14:textId="4DE6644C" w:rsidR="00007A8A" w:rsidRDefault="00007A8A">
      <w:pPr>
        <w:pStyle w:val="TOC1"/>
        <w:tabs>
          <w:tab w:val="right" w:leader="dot" w:pos="9060"/>
        </w:tabs>
        <w:rPr>
          <w:rFonts w:eastAsiaTheme="minorEastAsia" w:cstheme="minorBidi"/>
          <w:noProof/>
          <w:kern w:val="2"/>
          <w:sz w:val="22"/>
          <w:szCs w:val="22"/>
          <w:lang w:eastAsia="en-AU"/>
          <w14:ligatures w14:val="standardContextual"/>
        </w:rPr>
      </w:pPr>
      <w:hyperlink w:anchor="_Toc160461936" w:history="1">
        <w:r w:rsidRPr="00CE27A1">
          <w:rPr>
            <w:rStyle w:val="Hyperlink"/>
            <w:noProof/>
          </w:rPr>
          <w:t>Section 1 – Grey Response</w:t>
        </w:r>
        <w:r>
          <w:rPr>
            <w:noProof/>
            <w:webHidden/>
          </w:rPr>
          <w:tab/>
        </w:r>
        <w:r>
          <w:rPr>
            <w:noProof/>
            <w:webHidden/>
          </w:rPr>
          <w:fldChar w:fldCharType="begin"/>
        </w:r>
        <w:r>
          <w:rPr>
            <w:noProof/>
            <w:webHidden/>
          </w:rPr>
          <w:instrText xml:space="preserve"> PAGEREF _Toc160461936 \h </w:instrText>
        </w:r>
        <w:r>
          <w:rPr>
            <w:noProof/>
            <w:webHidden/>
          </w:rPr>
        </w:r>
        <w:r>
          <w:rPr>
            <w:noProof/>
            <w:webHidden/>
          </w:rPr>
          <w:fldChar w:fldCharType="separate"/>
        </w:r>
        <w:r>
          <w:rPr>
            <w:noProof/>
            <w:webHidden/>
          </w:rPr>
          <w:t>3</w:t>
        </w:r>
        <w:r>
          <w:rPr>
            <w:noProof/>
            <w:webHidden/>
          </w:rPr>
          <w:fldChar w:fldCharType="end"/>
        </w:r>
      </w:hyperlink>
    </w:p>
    <w:p w14:paraId="7D5B2821" w14:textId="0A3133EA" w:rsidR="00007A8A" w:rsidRDefault="00007A8A">
      <w:pPr>
        <w:pStyle w:val="TOC1"/>
        <w:tabs>
          <w:tab w:val="right" w:leader="dot" w:pos="9060"/>
        </w:tabs>
        <w:rPr>
          <w:rFonts w:eastAsiaTheme="minorEastAsia" w:cstheme="minorBidi"/>
          <w:noProof/>
          <w:kern w:val="2"/>
          <w:sz w:val="22"/>
          <w:szCs w:val="22"/>
          <w:lang w:eastAsia="en-AU"/>
          <w14:ligatures w14:val="standardContextual"/>
        </w:rPr>
      </w:pPr>
      <w:hyperlink w:anchor="_Toc160461937" w:history="1">
        <w:r w:rsidRPr="00CE27A1">
          <w:rPr>
            <w:rStyle w:val="Hyperlink"/>
            <w:noProof/>
          </w:rPr>
          <w:t>Section 2 – Criteria for activating a Grey Response</w:t>
        </w:r>
        <w:r>
          <w:rPr>
            <w:noProof/>
            <w:webHidden/>
          </w:rPr>
          <w:tab/>
        </w:r>
        <w:r>
          <w:rPr>
            <w:noProof/>
            <w:webHidden/>
          </w:rPr>
          <w:fldChar w:fldCharType="begin"/>
        </w:r>
        <w:r>
          <w:rPr>
            <w:noProof/>
            <w:webHidden/>
          </w:rPr>
          <w:instrText xml:space="preserve"> PAGEREF _Toc160461937 \h </w:instrText>
        </w:r>
        <w:r>
          <w:rPr>
            <w:noProof/>
            <w:webHidden/>
          </w:rPr>
        </w:r>
        <w:r>
          <w:rPr>
            <w:noProof/>
            <w:webHidden/>
          </w:rPr>
          <w:fldChar w:fldCharType="separate"/>
        </w:r>
        <w:r>
          <w:rPr>
            <w:noProof/>
            <w:webHidden/>
          </w:rPr>
          <w:t>3</w:t>
        </w:r>
        <w:r>
          <w:rPr>
            <w:noProof/>
            <w:webHidden/>
          </w:rPr>
          <w:fldChar w:fldCharType="end"/>
        </w:r>
      </w:hyperlink>
    </w:p>
    <w:p w14:paraId="2D1F81FC" w14:textId="4C1D6FDB" w:rsidR="00007A8A" w:rsidRDefault="00007A8A">
      <w:pPr>
        <w:pStyle w:val="TOC2"/>
        <w:tabs>
          <w:tab w:val="right" w:leader="dot" w:pos="9060"/>
        </w:tabs>
        <w:rPr>
          <w:rFonts w:eastAsiaTheme="minorEastAsia" w:cstheme="minorBidi"/>
          <w:noProof/>
          <w:kern w:val="2"/>
          <w:sz w:val="22"/>
          <w:szCs w:val="22"/>
          <w:lang w:eastAsia="en-AU"/>
          <w14:ligatures w14:val="standardContextual"/>
        </w:rPr>
      </w:pPr>
      <w:hyperlink w:anchor="_Toc160461938" w:history="1">
        <w:r w:rsidRPr="00CE27A1">
          <w:rPr>
            <w:rStyle w:val="Hyperlink"/>
            <w:noProof/>
          </w:rPr>
          <w:t>Planned/co-ordinated</w:t>
        </w:r>
        <w:r>
          <w:rPr>
            <w:noProof/>
            <w:webHidden/>
          </w:rPr>
          <w:tab/>
        </w:r>
        <w:r>
          <w:rPr>
            <w:noProof/>
            <w:webHidden/>
          </w:rPr>
          <w:fldChar w:fldCharType="begin"/>
        </w:r>
        <w:r>
          <w:rPr>
            <w:noProof/>
            <w:webHidden/>
          </w:rPr>
          <w:instrText xml:space="preserve"> PAGEREF _Toc160461938 \h </w:instrText>
        </w:r>
        <w:r>
          <w:rPr>
            <w:noProof/>
            <w:webHidden/>
          </w:rPr>
        </w:r>
        <w:r>
          <w:rPr>
            <w:noProof/>
            <w:webHidden/>
          </w:rPr>
          <w:fldChar w:fldCharType="separate"/>
        </w:r>
        <w:r>
          <w:rPr>
            <w:noProof/>
            <w:webHidden/>
          </w:rPr>
          <w:t>3</w:t>
        </w:r>
        <w:r>
          <w:rPr>
            <w:noProof/>
            <w:webHidden/>
          </w:rPr>
          <w:fldChar w:fldCharType="end"/>
        </w:r>
      </w:hyperlink>
    </w:p>
    <w:p w14:paraId="2CCA6E19" w14:textId="41160AF0" w:rsidR="00007A8A" w:rsidRDefault="00007A8A">
      <w:pPr>
        <w:pStyle w:val="TOC2"/>
        <w:tabs>
          <w:tab w:val="right" w:leader="dot" w:pos="9060"/>
        </w:tabs>
        <w:rPr>
          <w:rFonts w:eastAsiaTheme="minorEastAsia" w:cstheme="minorBidi"/>
          <w:noProof/>
          <w:kern w:val="2"/>
          <w:sz w:val="22"/>
          <w:szCs w:val="22"/>
          <w:lang w:eastAsia="en-AU"/>
          <w14:ligatures w14:val="standardContextual"/>
        </w:rPr>
      </w:pPr>
      <w:hyperlink w:anchor="_Toc160461939" w:history="1">
        <w:r w:rsidRPr="00CE27A1">
          <w:rPr>
            <w:rStyle w:val="Hyperlink"/>
            <w:noProof/>
          </w:rPr>
          <w:t>Unplanned</w:t>
        </w:r>
        <w:r>
          <w:rPr>
            <w:noProof/>
            <w:webHidden/>
          </w:rPr>
          <w:tab/>
        </w:r>
        <w:r>
          <w:rPr>
            <w:noProof/>
            <w:webHidden/>
          </w:rPr>
          <w:fldChar w:fldCharType="begin"/>
        </w:r>
        <w:r>
          <w:rPr>
            <w:noProof/>
            <w:webHidden/>
          </w:rPr>
          <w:instrText xml:space="preserve"> PAGEREF _Toc160461939 \h </w:instrText>
        </w:r>
        <w:r>
          <w:rPr>
            <w:noProof/>
            <w:webHidden/>
          </w:rPr>
        </w:r>
        <w:r>
          <w:rPr>
            <w:noProof/>
            <w:webHidden/>
          </w:rPr>
          <w:fldChar w:fldCharType="separate"/>
        </w:r>
        <w:r>
          <w:rPr>
            <w:noProof/>
            <w:webHidden/>
          </w:rPr>
          <w:t>3</w:t>
        </w:r>
        <w:r>
          <w:rPr>
            <w:noProof/>
            <w:webHidden/>
          </w:rPr>
          <w:fldChar w:fldCharType="end"/>
        </w:r>
      </w:hyperlink>
    </w:p>
    <w:p w14:paraId="6CEE8ED8" w14:textId="48F8952B" w:rsidR="00007A8A" w:rsidRDefault="00007A8A">
      <w:pPr>
        <w:pStyle w:val="TOC1"/>
        <w:tabs>
          <w:tab w:val="right" w:leader="dot" w:pos="9060"/>
        </w:tabs>
        <w:rPr>
          <w:rFonts w:eastAsiaTheme="minorEastAsia" w:cstheme="minorBidi"/>
          <w:noProof/>
          <w:kern w:val="2"/>
          <w:sz w:val="22"/>
          <w:szCs w:val="22"/>
          <w:lang w:eastAsia="en-AU"/>
          <w14:ligatures w14:val="standardContextual"/>
        </w:rPr>
      </w:pPr>
      <w:hyperlink w:anchor="_Toc160461940" w:history="1">
        <w:r w:rsidRPr="00CE27A1">
          <w:rPr>
            <w:rStyle w:val="Hyperlink"/>
            <w:noProof/>
          </w:rPr>
          <w:t>Section 3 – How to activate a Grey Response</w:t>
        </w:r>
        <w:r>
          <w:rPr>
            <w:noProof/>
            <w:webHidden/>
          </w:rPr>
          <w:tab/>
        </w:r>
        <w:r>
          <w:rPr>
            <w:noProof/>
            <w:webHidden/>
          </w:rPr>
          <w:fldChar w:fldCharType="begin"/>
        </w:r>
        <w:r>
          <w:rPr>
            <w:noProof/>
            <w:webHidden/>
          </w:rPr>
          <w:instrText xml:space="preserve"> PAGEREF _Toc160461940 \h </w:instrText>
        </w:r>
        <w:r>
          <w:rPr>
            <w:noProof/>
            <w:webHidden/>
          </w:rPr>
        </w:r>
        <w:r>
          <w:rPr>
            <w:noProof/>
            <w:webHidden/>
          </w:rPr>
          <w:fldChar w:fldCharType="separate"/>
        </w:r>
        <w:r>
          <w:rPr>
            <w:noProof/>
            <w:webHidden/>
          </w:rPr>
          <w:t>5</w:t>
        </w:r>
        <w:r>
          <w:rPr>
            <w:noProof/>
            <w:webHidden/>
          </w:rPr>
          <w:fldChar w:fldCharType="end"/>
        </w:r>
      </w:hyperlink>
    </w:p>
    <w:p w14:paraId="16EAE58A" w14:textId="4E7C7675" w:rsidR="00007A8A" w:rsidRDefault="00007A8A">
      <w:pPr>
        <w:pStyle w:val="TOC1"/>
        <w:tabs>
          <w:tab w:val="right" w:leader="dot" w:pos="9060"/>
        </w:tabs>
        <w:rPr>
          <w:rFonts w:eastAsiaTheme="minorEastAsia" w:cstheme="minorBidi"/>
          <w:noProof/>
          <w:kern w:val="2"/>
          <w:sz w:val="22"/>
          <w:szCs w:val="22"/>
          <w:lang w:eastAsia="en-AU"/>
          <w14:ligatures w14:val="standardContextual"/>
        </w:rPr>
      </w:pPr>
      <w:hyperlink w:anchor="_Toc160461941" w:history="1">
        <w:r w:rsidRPr="00CE27A1">
          <w:rPr>
            <w:rStyle w:val="Hyperlink"/>
            <w:noProof/>
          </w:rPr>
          <w:t>Section 4 –Responding to a Grey Response</w:t>
        </w:r>
        <w:r>
          <w:rPr>
            <w:noProof/>
            <w:webHidden/>
          </w:rPr>
          <w:tab/>
        </w:r>
        <w:r>
          <w:rPr>
            <w:noProof/>
            <w:webHidden/>
          </w:rPr>
          <w:fldChar w:fldCharType="begin"/>
        </w:r>
        <w:r>
          <w:rPr>
            <w:noProof/>
            <w:webHidden/>
          </w:rPr>
          <w:instrText xml:space="preserve"> PAGEREF _Toc160461941 \h </w:instrText>
        </w:r>
        <w:r>
          <w:rPr>
            <w:noProof/>
            <w:webHidden/>
          </w:rPr>
        </w:r>
        <w:r>
          <w:rPr>
            <w:noProof/>
            <w:webHidden/>
          </w:rPr>
          <w:fldChar w:fldCharType="separate"/>
        </w:r>
        <w:r>
          <w:rPr>
            <w:noProof/>
            <w:webHidden/>
          </w:rPr>
          <w:t>6</w:t>
        </w:r>
        <w:r>
          <w:rPr>
            <w:noProof/>
            <w:webHidden/>
          </w:rPr>
          <w:fldChar w:fldCharType="end"/>
        </w:r>
      </w:hyperlink>
    </w:p>
    <w:p w14:paraId="4C74965B" w14:textId="143BE39B" w:rsidR="00007A8A" w:rsidRDefault="00007A8A">
      <w:pPr>
        <w:pStyle w:val="TOC1"/>
        <w:tabs>
          <w:tab w:val="right" w:leader="dot" w:pos="9060"/>
        </w:tabs>
        <w:rPr>
          <w:rFonts w:eastAsiaTheme="minorEastAsia" w:cstheme="minorBidi"/>
          <w:noProof/>
          <w:kern w:val="2"/>
          <w:sz w:val="22"/>
          <w:szCs w:val="22"/>
          <w:lang w:eastAsia="en-AU"/>
          <w14:ligatures w14:val="standardContextual"/>
        </w:rPr>
      </w:pPr>
      <w:hyperlink w:anchor="_Toc160461942" w:history="1">
        <w:r w:rsidRPr="00CE27A1">
          <w:rPr>
            <w:rStyle w:val="Hyperlink"/>
            <w:noProof/>
          </w:rPr>
          <w:t>Section 5 –Managing escalating behaviour</w:t>
        </w:r>
        <w:r>
          <w:rPr>
            <w:noProof/>
            <w:webHidden/>
          </w:rPr>
          <w:tab/>
        </w:r>
        <w:r>
          <w:rPr>
            <w:noProof/>
            <w:webHidden/>
          </w:rPr>
          <w:fldChar w:fldCharType="begin"/>
        </w:r>
        <w:r>
          <w:rPr>
            <w:noProof/>
            <w:webHidden/>
          </w:rPr>
          <w:instrText xml:space="preserve"> PAGEREF _Toc160461942 \h </w:instrText>
        </w:r>
        <w:r>
          <w:rPr>
            <w:noProof/>
            <w:webHidden/>
          </w:rPr>
        </w:r>
        <w:r>
          <w:rPr>
            <w:noProof/>
            <w:webHidden/>
          </w:rPr>
          <w:fldChar w:fldCharType="separate"/>
        </w:r>
        <w:r>
          <w:rPr>
            <w:noProof/>
            <w:webHidden/>
          </w:rPr>
          <w:t>8</w:t>
        </w:r>
        <w:r>
          <w:rPr>
            <w:noProof/>
            <w:webHidden/>
          </w:rPr>
          <w:fldChar w:fldCharType="end"/>
        </w:r>
      </w:hyperlink>
    </w:p>
    <w:p w14:paraId="2FB8F5E1" w14:textId="22E03F27" w:rsidR="00007A8A" w:rsidRDefault="00007A8A">
      <w:pPr>
        <w:pStyle w:val="TOC1"/>
        <w:tabs>
          <w:tab w:val="right" w:leader="dot" w:pos="9060"/>
        </w:tabs>
        <w:rPr>
          <w:rFonts w:eastAsiaTheme="minorEastAsia" w:cstheme="minorBidi"/>
          <w:noProof/>
          <w:kern w:val="2"/>
          <w:sz w:val="22"/>
          <w:szCs w:val="22"/>
          <w:lang w:eastAsia="en-AU"/>
          <w14:ligatures w14:val="standardContextual"/>
        </w:rPr>
      </w:pPr>
      <w:hyperlink w:anchor="_Toc160461943" w:history="1">
        <w:r w:rsidRPr="00CE27A1">
          <w:rPr>
            <w:rStyle w:val="Hyperlink"/>
            <w:noProof/>
          </w:rPr>
          <w:t>Section 6 –Post Grey Response</w:t>
        </w:r>
        <w:r>
          <w:rPr>
            <w:noProof/>
            <w:webHidden/>
          </w:rPr>
          <w:tab/>
        </w:r>
        <w:r>
          <w:rPr>
            <w:noProof/>
            <w:webHidden/>
          </w:rPr>
          <w:fldChar w:fldCharType="begin"/>
        </w:r>
        <w:r>
          <w:rPr>
            <w:noProof/>
            <w:webHidden/>
          </w:rPr>
          <w:instrText xml:space="preserve"> PAGEREF _Toc160461943 \h </w:instrText>
        </w:r>
        <w:r>
          <w:rPr>
            <w:noProof/>
            <w:webHidden/>
          </w:rPr>
        </w:r>
        <w:r>
          <w:rPr>
            <w:noProof/>
            <w:webHidden/>
          </w:rPr>
          <w:fldChar w:fldCharType="separate"/>
        </w:r>
        <w:r>
          <w:rPr>
            <w:noProof/>
            <w:webHidden/>
          </w:rPr>
          <w:t>8</w:t>
        </w:r>
        <w:r>
          <w:rPr>
            <w:noProof/>
            <w:webHidden/>
          </w:rPr>
          <w:fldChar w:fldCharType="end"/>
        </w:r>
      </w:hyperlink>
    </w:p>
    <w:p w14:paraId="65BD83E4" w14:textId="198C64F6" w:rsidR="00007A8A" w:rsidRDefault="00007A8A">
      <w:pPr>
        <w:pStyle w:val="TOC2"/>
        <w:tabs>
          <w:tab w:val="right" w:leader="dot" w:pos="9060"/>
        </w:tabs>
        <w:rPr>
          <w:rFonts w:eastAsiaTheme="minorEastAsia" w:cstheme="minorBidi"/>
          <w:noProof/>
          <w:kern w:val="2"/>
          <w:sz w:val="22"/>
          <w:szCs w:val="22"/>
          <w:lang w:eastAsia="en-AU"/>
          <w14:ligatures w14:val="standardContextual"/>
        </w:rPr>
      </w:pPr>
      <w:hyperlink w:anchor="_Toc160461944" w:history="1">
        <w:r w:rsidRPr="00CE27A1">
          <w:rPr>
            <w:rStyle w:val="Hyperlink"/>
            <w:noProof/>
          </w:rPr>
          <w:t>Strategies</w:t>
        </w:r>
        <w:r>
          <w:rPr>
            <w:noProof/>
            <w:webHidden/>
          </w:rPr>
          <w:tab/>
        </w:r>
        <w:r>
          <w:rPr>
            <w:noProof/>
            <w:webHidden/>
          </w:rPr>
          <w:fldChar w:fldCharType="begin"/>
        </w:r>
        <w:r>
          <w:rPr>
            <w:noProof/>
            <w:webHidden/>
          </w:rPr>
          <w:instrText xml:space="preserve"> PAGEREF _Toc160461944 \h </w:instrText>
        </w:r>
        <w:r>
          <w:rPr>
            <w:noProof/>
            <w:webHidden/>
          </w:rPr>
        </w:r>
        <w:r>
          <w:rPr>
            <w:noProof/>
            <w:webHidden/>
          </w:rPr>
          <w:fldChar w:fldCharType="separate"/>
        </w:r>
        <w:r>
          <w:rPr>
            <w:noProof/>
            <w:webHidden/>
          </w:rPr>
          <w:t>8</w:t>
        </w:r>
        <w:r>
          <w:rPr>
            <w:noProof/>
            <w:webHidden/>
          </w:rPr>
          <w:fldChar w:fldCharType="end"/>
        </w:r>
      </w:hyperlink>
    </w:p>
    <w:p w14:paraId="3279A2C9" w14:textId="6EDA5B17" w:rsidR="00007A8A" w:rsidRDefault="00007A8A">
      <w:pPr>
        <w:pStyle w:val="TOC2"/>
        <w:tabs>
          <w:tab w:val="right" w:leader="dot" w:pos="9060"/>
        </w:tabs>
        <w:rPr>
          <w:rFonts w:eastAsiaTheme="minorEastAsia" w:cstheme="minorBidi"/>
          <w:noProof/>
          <w:kern w:val="2"/>
          <w:sz w:val="22"/>
          <w:szCs w:val="22"/>
          <w:lang w:eastAsia="en-AU"/>
          <w14:ligatures w14:val="standardContextual"/>
        </w:rPr>
      </w:pPr>
      <w:hyperlink w:anchor="_Toc160461945" w:history="1">
        <w:r w:rsidRPr="00CE27A1">
          <w:rPr>
            <w:rStyle w:val="Hyperlink"/>
            <w:noProof/>
          </w:rPr>
          <w:t>Documentation and reporting</w:t>
        </w:r>
        <w:r>
          <w:rPr>
            <w:noProof/>
            <w:webHidden/>
          </w:rPr>
          <w:tab/>
        </w:r>
        <w:r>
          <w:rPr>
            <w:noProof/>
            <w:webHidden/>
          </w:rPr>
          <w:fldChar w:fldCharType="begin"/>
        </w:r>
        <w:r>
          <w:rPr>
            <w:noProof/>
            <w:webHidden/>
          </w:rPr>
          <w:instrText xml:space="preserve"> PAGEREF _Toc160461945 \h </w:instrText>
        </w:r>
        <w:r>
          <w:rPr>
            <w:noProof/>
            <w:webHidden/>
          </w:rPr>
        </w:r>
        <w:r>
          <w:rPr>
            <w:noProof/>
            <w:webHidden/>
          </w:rPr>
          <w:fldChar w:fldCharType="separate"/>
        </w:r>
        <w:r>
          <w:rPr>
            <w:noProof/>
            <w:webHidden/>
          </w:rPr>
          <w:t>9</w:t>
        </w:r>
        <w:r>
          <w:rPr>
            <w:noProof/>
            <w:webHidden/>
          </w:rPr>
          <w:fldChar w:fldCharType="end"/>
        </w:r>
      </w:hyperlink>
    </w:p>
    <w:p w14:paraId="7F66D481" w14:textId="1D2CC705" w:rsidR="00007A8A" w:rsidRDefault="00007A8A">
      <w:pPr>
        <w:pStyle w:val="TOC1"/>
        <w:tabs>
          <w:tab w:val="right" w:leader="dot" w:pos="9060"/>
        </w:tabs>
        <w:rPr>
          <w:rFonts w:eastAsiaTheme="minorEastAsia" w:cstheme="minorBidi"/>
          <w:noProof/>
          <w:kern w:val="2"/>
          <w:sz w:val="22"/>
          <w:szCs w:val="22"/>
          <w:lang w:eastAsia="en-AU"/>
          <w14:ligatures w14:val="standardContextual"/>
        </w:rPr>
      </w:pPr>
      <w:hyperlink w:anchor="_Toc160461946" w:history="1">
        <w:r w:rsidRPr="00CE27A1">
          <w:rPr>
            <w:rStyle w:val="Hyperlink"/>
            <w:noProof/>
          </w:rPr>
          <w:t>Evaluation</w:t>
        </w:r>
        <w:r>
          <w:rPr>
            <w:noProof/>
            <w:webHidden/>
          </w:rPr>
          <w:tab/>
        </w:r>
        <w:r>
          <w:rPr>
            <w:noProof/>
            <w:webHidden/>
          </w:rPr>
          <w:fldChar w:fldCharType="begin"/>
        </w:r>
        <w:r>
          <w:rPr>
            <w:noProof/>
            <w:webHidden/>
          </w:rPr>
          <w:instrText xml:space="preserve"> PAGEREF _Toc160461946 \h </w:instrText>
        </w:r>
        <w:r>
          <w:rPr>
            <w:noProof/>
            <w:webHidden/>
          </w:rPr>
        </w:r>
        <w:r>
          <w:rPr>
            <w:noProof/>
            <w:webHidden/>
          </w:rPr>
          <w:fldChar w:fldCharType="separate"/>
        </w:r>
        <w:r>
          <w:rPr>
            <w:noProof/>
            <w:webHidden/>
          </w:rPr>
          <w:t>9</w:t>
        </w:r>
        <w:r>
          <w:rPr>
            <w:noProof/>
            <w:webHidden/>
          </w:rPr>
          <w:fldChar w:fldCharType="end"/>
        </w:r>
      </w:hyperlink>
    </w:p>
    <w:p w14:paraId="26F350C0" w14:textId="071DC609" w:rsidR="00007A8A" w:rsidRDefault="00007A8A">
      <w:pPr>
        <w:pStyle w:val="TOC1"/>
        <w:tabs>
          <w:tab w:val="right" w:leader="dot" w:pos="9060"/>
        </w:tabs>
        <w:rPr>
          <w:rFonts w:eastAsiaTheme="minorEastAsia" w:cstheme="minorBidi"/>
          <w:noProof/>
          <w:kern w:val="2"/>
          <w:sz w:val="22"/>
          <w:szCs w:val="22"/>
          <w:lang w:eastAsia="en-AU"/>
          <w14:ligatures w14:val="standardContextual"/>
        </w:rPr>
      </w:pPr>
      <w:hyperlink w:anchor="_Toc160461947" w:history="1">
        <w:r w:rsidRPr="00CE27A1">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_Toc160461947 \h </w:instrText>
        </w:r>
        <w:r>
          <w:rPr>
            <w:noProof/>
            <w:webHidden/>
          </w:rPr>
        </w:r>
        <w:r>
          <w:rPr>
            <w:noProof/>
            <w:webHidden/>
          </w:rPr>
          <w:fldChar w:fldCharType="separate"/>
        </w:r>
        <w:r>
          <w:rPr>
            <w:noProof/>
            <w:webHidden/>
          </w:rPr>
          <w:t>9</w:t>
        </w:r>
        <w:r>
          <w:rPr>
            <w:noProof/>
            <w:webHidden/>
          </w:rPr>
          <w:fldChar w:fldCharType="end"/>
        </w:r>
      </w:hyperlink>
    </w:p>
    <w:p w14:paraId="5F6DA134" w14:textId="77E7F470" w:rsidR="00007A8A" w:rsidRDefault="00007A8A">
      <w:pPr>
        <w:pStyle w:val="TOC1"/>
        <w:tabs>
          <w:tab w:val="right" w:leader="dot" w:pos="9060"/>
        </w:tabs>
        <w:rPr>
          <w:rFonts w:eastAsiaTheme="minorEastAsia" w:cstheme="minorBidi"/>
          <w:noProof/>
          <w:kern w:val="2"/>
          <w:sz w:val="22"/>
          <w:szCs w:val="22"/>
          <w:lang w:eastAsia="en-AU"/>
          <w14:ligatures w14:val="standardContextual"/>
        </w:rPr>
      </w:pPr>
      <w:hyperlink w:anchor="_Toc160461948" w:history="1">
        <w:r w:rsidRPr="00CE27A1">
          <w:rPr>
            <w:rStyle w:val="Hyperlink"/>
            <w:noProof/>
          </w:rPr>
          <w:t>References</w:t>
        </w:r>
        <w:r>
          <w:rPr>
            <w:noProof/>
            <w:webHidden/>
          </w:rPr>
          <w:tab/>
        </w:r>
        <w:r>
          <w:rPr>
            <w:noProof/>
            <w:webHidden/>
          </w:rPr>
          <w:fldChar w:fldCharType="begin"/>
        </w:r>
        <w:r>
          <w:rPr>
            <w:noProof/>
            <w:webHidden/>
          </w:rPr>
          <w:instrText xml:space="preserve"> PAGEREF _Toc160461948 \h </w:instrText>
        </w:r>
        <w:r>
          <w:rPr>
            <w:noProof/>
            <w:webHidden/>
          </w:rPr>
        </w:r>
        <w:r>
          <w:rPr>
            <w:noProof/>
            <w:webHidden/>
          </w:rPr>
          <w:fldChar w:fldCharType="separate"/>
        </w:r>
        <w:r>
          <w:rPr>
            <w:noProof/>
            <w:webHidden/>
          </w:rPr>
          <w:t>11</w:t>
        </w:r>
        <w:r>
          <w:rPr>
            <w:noProof/>
            <w:webHidden/>
          </w:rPr>
          <w:fldChar w:fldCharType="end"/>
        </w:r>
      </w:hyperlink>
    </w:p>
    <w:p w14:paraId="0BCE1E5D" w14:textId="29D6098D" w:rsidR="00007A8A" w:rsidRDefault="00007A8A">
      <w:pPr>
        <w:pStyle w:val="TOC1"/>
        <w:tabs>
          <w:tab w:val="right" w:leader="dot" w:pos="9060"/>
        </w:tabs>
        <w:rPr>
          <w:rFonts w:eastAsiaTheme="minorEastAsia" w:cstheme="minorBidi"/>
          <w:noProof/>
          <w:kern w:val="2"/>
          <w:sz w:val="22"/>
          <w:szCs w:val="22"/>
          <w:lang w:eastAsia="en-AU"/>
          <w14:ligatures w14:val="standardContextual"/>
        </w:rPr>
      </w:pPr>
      <w:hyperlink w:anchor="_Toc160461949" w:history="1">
        <w:r w:rsidRPr="00CE27A1">
          <w:rPr>
            <w:rStyle w:val="Hyperlink"/>
            <w:noProof/>
          </w:rPr>
          <w:t>Definition of Terms</w:t>
        </w:r>
        <w:r>
          <w:rPr>
            <w:noProof/>
            <w:webHidden/>
          </w:rPr>
          <w:tab/>
        </w:r>
        <w:r>
          <w:rPr>
            <w:noProof/>
            <w:webHidden/>
          </w:rPr>
          <w:fldChar w:fldCharType="begin"/>
        </w:r>
        <w:r>
          <w:rPr>
            <w:noProof/>
            <w:webHidden/>
          </w:rPr>
          <w:instrText xml:space="preserve"> PAGEREF _Toc160461949 \h </w:instrText>
        </w:r>
        <w:r>
          <w:rPr>
            <w:noProof/>
            <w:webHidden/>
          </w:rPr>
        </w:r>
        <w:r>
          <w:rPr>
            <w:noProof/>
            <w:webHidden/>
          </w:rPr>
          <w:fldChar w:fldCharType="separate"/>
        </w:r>
        <w:r>
          <w:rPr>
            <w:noProof/>
            <w:webHidden/>
          </w:rPr>
          <w:t>12</w:t>
        </w:r>
        <w:r>
          <w:rPr>
            <w:noProof/>
            <w:webHidden/>
          </w:rPr>
          <w:fldChar w:fldCharType="end"/>
        </w:r>
      </w:hyperlink>
    </w:p>
    <w:p w14:paraId="7D6F7A6C" w14:textId="700C6604" w:rsidR="00007A8A" w:rsidRDefault="00007A8A">
      <w:pPr>
        <w:pStyle w:val="TOC1"/>
        <w:tabs>
          <w:tab w:val="right" w:leader="dot" w:pos="9060"/>
        </w:tabs>
        <w:rPr>
          <w:rFonts w:eastAsiaTheme="minorEastAsia" w:cstheme="minorBidi"/>
          <w:noProof/>
          <w:kern w:val="2"/>
          <w:sz w:val="22"/>
          <w:szCs w:val="22"/>
          <w:lang w:eastAsia="en-AU"/>
          <w14:ligatures w14:val="standardContextual"/>
        </w:rPr>
      </w:pPr>
      <w:hyperlink w:anchor="_Toc160461950" w:history="1">
        <w:r w:rsidRPr="00CE27A1">
          <w:rPr>
            <w:rStyle w:val="Hyperlink"/>
            <w:noProof/>
          </w:rPr>
          <w:t>Search Terms</w:t>
        </w:r>
        <w:r>
          <w:rPr>
            <w:noProof/>
            <w:webHidden/>
          </w:rPr>
          <w:tab/>
        </w:r>
        <w:r>
          <w:rPr>
            <w:noProof/>
            <w:webHidden/>
          </w:rPr>
          <w:fldChar w:fldCharType="begin"/>
        </w:r>
        <w:r>
          <w:rPr>
            <w:noProof/>
            <w:webHidden/>
          </w:rPr>
          <w:instrText xml:space="preserve"> PAGEREF _Toc160461950 \h </w:instrText>
        </w:r>
        <w:r>
          <w:rPr>
            <w:noProof/>
            <w:webHidden/>
          </w:rPr>
        </w:r>
        <w:r>
          <w:rPr>
            <w:noProof/>
            <w:webHidden/>
          </w:rPr>
          <w:fldChar w:fldCharType="separate"/>
        </w:r>
        <w:r>
          <w:rPr>
            <w:noProof/>
            <w:webHidden/>
          </w:rPr>
          <w:t>12</w:t>
        </w:r>
        <w:r>
          <w:rPr>
            <w:noProof/>
            <w:webHidden/>
          </w:rPr>
          <w:fldChar w:fldCharType="end"/>
        </w:r>
      </w:hyperlink>
    </w:p>
    <w:p w14:paraId="38B87A9E" w14:textId="0843E171" w:rsidR="00007A8A" w:rsidRDefault="00007A8A">
      <w:pPr>
        <w:pStyle w:val="TOC1"/>
        <w:tabs>
          <w:tab w:val="right" w:leader="dot" w:pos="9060"/>
        </w:tabs>
        <w:rPr>
          <w:rFonts w:eastAsiaTheme="minorEastAsia" w:cstheme="minorBidi"/>
          <w:noProof/>
          <w:kern w:val="2"/>
          <w:sz w:val="22"/>
          <w:szCs w:val="22"/>
          <w:lang w:eastAsia="en-AU"/>
          <w14:ligatures w14:val="standardContextual"/>
        </w:rPr>
      </w:pPr>
      <w:hyperlink w:anchor="_Toc160461951" w:history="1">
        <w:r w:rsidRPr="00CE27A1">
          <w:rPr>
            <w:rStyle w:val="Hyperlink"/>
            <w:noProof/>
          </w:rPr>
          <w:t>Attachments</w:t>
        </w:r>
        <w:r>
          <w:rPr>
            <w:noProof/>
            <w:webHidden/>
          </w:rPr>
          <w:tab/>
        </w:r>
        <w:r>
          <w:rPr>
            <w:noProof/>
            <w:webHidden/>
          </w:rPr>
          <w:fldChar w:fldCharType="begin"/>
        </w:r>
        <w:r>
          <w:rPr>
            <w:noProof/>
            <w:webHidden/>
          </w:rPr>
          <w:instrText xml:space="preserve"> PAGEREF _Toc160461951 \h </w:instrText>
        </w:r>
        <w:r>
          <w:rPr>
            <w:noProof/>
            <w:webHidden/>
          </w:rPr>
        </w:r>
        <w:r>
          <w:rPr>
            <w:noProof/>
            <w:webHidden/>
          </w:rPr>
          <w:fldChar w:fldCharType="separate"/>
        </w:r>
        <w:r>
          <w:rPr>
            <w:noProof/>
            <w:webHidden/>
          </w:rPr>
          <w:t>12</w:t>
        </w:r>
        <w:r>
          <w:rPr>
            <w:noProof/>
            <w:webHidden/>
          </w:rPr>
          <w:fldChar w:fldCharType="end"/>
        </w:r>
      </w:hyperlink>
    </w:p>
    <w:p w14:paraId="1844E321" w14:textId="39C7BD79" w:rsidR="00007A8A" w:rsidRDefault="00007A8A">
      <w:pPr>
        <w:pStyle w:val="TOC2"/>
        <w:tabs>
          <w:tab w:val="right" w:leader="dot" w:pos="9060"/>
        </w:tabs>
        <w:rPr>
          <w:rFonts w:eastAsiaTheme="minorEastAsia" w:cstheme="minorBidi"/>
          <w:noProof/>
          <w:kern w:val="2"/>
          <w:sz w:val="22"/>
          <w:szCs w:val="22"/>
          <w:lang w:eastAsia="en-AU"/>
          <w14:ligatures w14:val="standardContextual"/>
        </w:rPr>
      </w:pPr>
      <w:hyperlink w:anchor="_Toc160461952" w:history="1">
        <w:r w:rsidRPr="00CE27A1">
          <w:rPr>
            <w:rStyle w:val="Hyperlink"/>
            <w:rFonts w:cs="Arial"/>
            <w:iCs/>
            <w:noProof/>
          </w:rPr>
          <w:t xml:space="preserve">Attachment 1: </w:t>
        </w:r>
        <w:r w:rsidRPr="00CE27A1">
          <w:rPr>
            <w:rStyle w:val="Hyperlink"/>
            <w:noProof/>
          </w:rPr>
          <w:t>Grey Response key features summary</w:t>
        </w:r>
        <w:r>
          <w:rPr>
            <w:noProof/>
            <w:webHidden/>
          </w:rPr>
          <w:tab/>
        </w:r>
        <w:r>
          <w:rPr>
            <w:noProof/>
            <w:webHidden/>
          </w:rPr>
          <w:fldChar w:fldCharType="begin"/>
        </w:r>
        <w:r>
          <w:rPr>
            <w:noProof/>
            <w:webHidden/>
          </w:rPr>
          <w:instrText xml:space="preserve"> PAGEREF _Toc160461952 \h </w:instrText>
        </w:r>
        <w:r>
          <w:rPr>
            <w:noProof/>
            <w:webHidden/>
          </w:rPr>
        </w:r>
        <w:r>
          <w:rPr>
            <w:noProof/>
            <w:webHidden/>
          </w:rPr>
          <w:fldChar w:fldCharType="separate"/>
        </w:r>
        <w:r>
          <w:rPr>
            <w:noProof/>
            <w:webHidden/>
          </w:rPr>
          <w:t>14</w:t>
        </w:r>
        <w:r>
          <w:rPr>
            <w:noProof/>
            <w:webHidden/>
          </w:rPr>
          <w:fldChar w:fldCharType="end"/>
        </w:r>
      </w:hyperlink>
    </w:p>
    <w:p w14:paraId="25CA39C3" w14:textId="59D576F6" w:rsidR="00007A8A" w:rsidRDefault="00007A8A">
      <w:pPr>
        <w:pStyle w:val="TOC2"/>
        <w:tabs>
          <w:tab w:val="right" w:leader="dot" w:pos="9060"/>
        </w:tabs>
        <w:rPr>
          <w:rFonts w:eastAsiaTheme="minorEastAsia" w:cstheme="minorBidi"/>
          <w:noProof/>
          <w:kern w:val="2"/>
          <w:sz w:val="22"/>
          <w:szCs w:val="22"/>
          <w:lang w:eastAsia="en-AU"/>
          <w14:ligatures w14:val="standardContextual"/>
        </w:rPr>
      </w:pPr>
      <w:hyperlink w:anchor="_Toc160461953" w:history="1">
        <w:r w:rsidRPr="00CE27A1">
          <w:rPr>
            <w:rStyle w:val="Hyperlink"/>
            <w:noProof/>
          </w:rPr>
          <w:t>Attachment 2: Grey Response Action Card</w:t>
        </w:r>
        <w:r>
          <w:rPr>
            <w:noProof/>
            <w:webHidden/>
          </w:rPr>
          <w:tab/>
        </w:r>
        <w:r>
          <w:rPr>
            <w:noProof/>
            <w:webHidden/>
          </w:rPr>
          <w:fldChar w:fldCharType="begin"/>
        </w:r>
        <w:r>
          <w:rPr>
            <w:noProof/>
            <w:webHidden/>
          </w:rPr>
          <w:instrText xml:space="preserve"> PAGEREF _Toc160461953 \h </w:instrText>
        </w:r>
        <w:r>
          <w:rPr>
            <w:noProof/>
            <w:webHidden/>
          </w:rPr>
        </w:r>
        <w:r>
          <w:rPr>
            <w:noProof/>
            <w:webHidden/>
          </w:rPr>
          <w:fldChar w:fldCharType="separate"/>
        </w:r>
        <w:r>
          <w:rPr>
            <w:noProof/>
            <w:webHidden/>
          </w:rPr>
          <w:t>15</w:t>
        </w:r>
        <w:r>
          <w:rPr>
            <w:noProof/>
            <w:webHidden/>
          </w:rPr>
          <w:fldChar w:fldCharType="end"/>
        </w:r>
      </w:hyperlink>
    </w:p>
    <w:p w14:paraId="2F51A861" w14:textId="5A16C056" w:rsidR="007052B1" w:rsidRDefault="00007A8A" w:rsidP="007B6904">
      <w:pPr>
        <w:rPr>
          <w:rFonts w:asciiTheme="minorHAnsi" w:hAnsiTheme="minorHAnsi"/>
        </w:rPr>
      </w:pPr>
      <w:r>
        <w:rPr>
          <w:rFonts w:asciiTheme="minorHAnsi" w:hAnsiTheme="minorHAnsi"/>
        </w:rPr>
        <w:fldChar w:fldCharType="end"/>
      </w:r>
    </w:p>
    <w:p w14:paraId="2F51A863" w14:textId="3A5E6535" w:rsidR="007B6904" w:rsidRPr="00007A8A" w:rsidRDefault="007052B1" w:rsidP="00007A8A">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924A20">
            <w:pPr>
              <w:pStyle w:val="Heading1"/>
            </w:pPr>
            <w:bookmarkStart w:id="8" w:name="_Toc389473274"/>
            <w:bookmarkStart w:id="9" w:name="_Toc160461933"/>
            <w:r w:rsidRPr="00CD1C0E">
              <w:lastRenderedPageBreak/>
              <w:t>Purpose</w:t>
            </w:r>
            <w:bookmarkEnd w:id="8"/>
            <w:bookmarkEnd w:id="9"/>
          </w:p>
        </w:tc>
      </w:tr>
    </w:tbl>
    <w:p w14:paraId="2F51A866" w14:textId="77777777" w:rsidR="00931B93" w:rsidRDefault="00931B93" w:rsidP="00931B93">
      <w:pPr>
        <w:rPr>
          <w:rFonts w:cs="Arial"/>
          <w:i/>
          <w:szCs w:val="24"/>
        </w:rPr>
      </w:pPr>
    </w:p>
    <w:p w14:paraId="5575E085" w14:textId="04E80967" w:rsidR="00210B01" w:rsidRDefault="004C39CF" w:rsidP="49B29100">
      <w:pPr>
        <w:widowControl w:val="0"/>
        <w:rPr>
          <w:rFonts w:cs="Arial"/>
        </w:rPr>
      </w:pPr>
      <w:r w:rsidRPr="49B29100">
        <w:rPr>
          <w:rFonts w:cs="Arial"/>
        </w:rPr>
        <w:t xml:space="preserve">The purpose of this procedure </w:t>
      </w:r>
      <w:r w:rsidR="009C6EC2" w:rsidRPr="49B29100">
        <w:rPr>
          <w:rFonts w:cs="Arial"/>
        </w:rPr>
        <w:t xml:space="preserve">is to provide </w:t>
      </w:r>
      <w:r w:rsidR="004032A2" w:rsidRPr="49B29100">
        <w:rPr>
          <w:rFonts w:cs="Arial"/>
        </w:rPr>
        <w:t>Canberra Health Service</w:t>
      </w:r>
      <w:r w:rsidR="00EA3B3D" w:rsidRPr="49B29100">
        <w:rPr>
          <w:rFonts w:cs="Arial"/>
        </w:rPr>
        <w:t xml:space="preserve"> (CHS) staff</w:t>
      </w:r>
      <w:r w:rsidR="009C6EC2" w:rsidRPr="49B29100">
        <w:rPr>
          <w:rFonts w:cs="Arial"/>
        </w:rPr>
        <w:t xml:space="preserve"> with information on </w:t>
      </w:r>
      <w:r w:rsidR="0063732A" w:rsidRPr="49B29100">
        <w:rPr>
          <w:rFonts w:cs="Arial"/>
        </w:rPr>
        <w:t xml:space="preserve">activating and responding to a </w:t>
      </w:r>
      <w:r w:rsidR="00107F85" w:rsidRPr="49B29100">
        <w:rPr>
          <w:rFonts w:cs="Arial"/>
        </w:rPr>
        <w:t>Grey Response (Code Grey)</w:t>
      </w:r>
      <w:r w:rsidR="0063732A" w:rsidRPr="49B29100">
        <w:rPr>
          <w:rFonts w:cs="Arial"/>
        </w:rPr>
        <w:t xml:space="preserve"> in</w:t>
      </w:r>
      <w:r w:rsidR="00107F85" w:rsidRPr="49B29100">
        <w:rPr>
          <w:rFonts w:cs="Arial"/>
        </w:rPr>
        <w:t xml:space="preserve"> </w:t>
      </w:r>
      <w:r w:rsidR="009C6EC2" w:rsidRPr="49B29100">
        <w:rPr>
          <w:rFonts w:cs="Arial"/>
        </w:rPr>
        <w:t>the Emergency Department</w:t>
      </w:r>
      <w:r w:rsidR="004F29BB" w:rsidRPr="49B29100">
        <w:rPr>
          <w:rFonts w:cs="Arial"/>
        </w:rPr>
        <w:t xml:space="preserve"> (ED)</w:t>
      </w:r>
      <w:r w:rsidR="0063732A" w:rsidRPr="49B29100">
        <w:rPr>
          <w:rFonts w:cs="Arial"/>
        </w:rPr>
        <w:t>.</w:t>
      </w:r>
      <w:r w:rsidR="004F29BB" w:rsidRPr="49B29100">
        <w:rPr>
          <w:rFonts w:cs="Arial"/>
        </w:rPr>
        <w:t xml:space="preserve"> </w:t>
      </w:r>
      <w:r w:rsidR="58B7F7BC" w:rsidRPr="49B29100">
        <w:rPr>
          <w:rFonts w:cs="Arial"/>
        </w:rPr>
        <w:t xml:space="preserve"> </w:t>
      </w:r>
      <w:r w:rsidR="006C1D66" w:rsidRPr="49B29100">
        <w:rPr>
          <w:rFonts w:cs="Arial"/>
        </w:rPr>
        <w:t>Th</w:t>
      </w:r>
      <w:r w:rsidR="2EFBD76E" w:rsidRPr="49B29100">
        <w:rPr>
          <w:rFonts w:cs="Arial"/>
        </w:rPr>
        <w:t>is</w:t>
      </w:r>
      <w:r w:rsidR="00C00721">
        <w:rPr>
          <w:rFonts w:cs="Arial"/>
        </w:rPr>
        <w:t xml:space="preserve"> </w:t>
      </w:r>
      <w:r w:rsidR="34DE3BB0" w:rsidRPr="49B29100">
        <w:rPr>
          <w:rFonts w:cs="Arial"/>
        </w:rPr>
        <w:t xml:space="preserve">Grey Response </w:t>
      </w:r>
      <w:r w:rsidR="00D55F59" w:rsidRPr="49B29100">
        <w:rPr>
          <w:rFonts w:cs="Arial"/>
        </w:rPr>
        <w:t>procedure is designed to:</w:t>
      </w:r>
    </w:p>
    <w:p w14:paraId="663EF44C" w14:textId="1E773695" w:rsidR="509C5FA1" w:rsidRDefault="509C5FA1" w:rsidP="003E35C9">
      <w:pPr>
        <w:pStyle w:val="ListBullet"/>
      </w:pPr>
      <w:r w:rsidRPr="49B29100">
        <w:t xml:space="preserve">Reduce the likelihood of occupational violence (OV) </w:t>
      </w:r>
      <w:r w:rsidR="000146C5" w:rsidRPr="49B29100">
        <w:t>occurring.</w:t>
      </w:r>
    </w:p>
    <w:p w14:paraId="7DE58764" w14:textId="5E042993" w:rsidR="00D55F59" w:rsidRDefault="00D55F59" w:rsidP="003E35C9">
      <w:pPr>
        <w:pStyle w:val="ListBullet"/>
        <w:rPr>
          <w:szCs w:val="24"/>
        </w:rPr>
      </w:pPr>
      <w:r w:rsidRPr="49B29100">
        <w:t>Reduce</w:t>
      </w:r>
      <w:r w:rsidR="00F45358">
        <w:t xml:space="preserve"> </w:t>
      </w:r>
      <w:r w:rsidR="00CE5C6F">
        <w:t>the</w:t>
      </w:r>
      <w:r w:rsidR="6B57D58A" w:rsidRPr="49B29100">
        <w:t xml:space="preserve"> risk of</w:t>
      </w:r>
      <w:r w:rsidRPr="49B29100">
        <w:t xml:space="preserve"> </w:t>
      </w:r>
      <w:r w:rsidR="593C29DE" w:rsidRPr="49B29100">
        <w:t>psychosocial or physical</w:t>
      </w:r>
      <w:r w:rsidRPr="49B29100">
        <w:t xml:space="preserve"> injury to staff, </w:t>
      </w:r>
      <w:r w:rsidR="000146C5" w:rsidRPr="49B29100">
        <w:t>patients,</w:t>
      </w:r>
      <w:r w:rsidRPr="49B29100">
        <w:t xml:space="preserve"> and </w:t>
      </w:r>
      <w:r w:rsidR="000146C5" w:rsidRPr="49B29100">
        <w:t>visitors</w:t>
      </w:r>
    </w:p>
    <w:p w14:paraId="0DE32D45" w14:textId="60BBD813" w:rsidR="24962EFA" w:rsidRDefault="24962EFA" w:rsidP="003E35C9">
      <w:pPr>
        <w:pStyle w:val="ListBullet"/>
        <w:rPr>
          <w:szCs w:val="24"/>
        </w:rPr>
      </w:pPr>
      <w:r w:rsidRPr="5CAB7B2A">
        <w:t xml:space="preserve">Reduce the need for restrictive </w:t>
      </w:r>
      <w:r w:rsidR="000146C5" w:rsidRPr="5CAB7B2A">
        <w:t>practices</w:t>
      </w:r>
    </w:p>
    <w:p w14:paraId="0079741B" w14:textId="215D2B6B" w:rsidR="00D55F59" w:rsidRDefault="00D55F59" w:rsidP="003E35C9">
      <w:pPr>
        <w:pStyle w:val="ListBullet"/>
      </w:pPr>
      <w:r w:rsidRPr="49B29100">
        <w:t xml:space="preserve">Ensure </w:t>
      </w:r>
      <w:r w:rsidR="00FE148B" w:rsidRPr="49B29100">
        <w:t xml:space="preserve">senior staff </w:t>
      </w:r>
      <w:r w:rsidR="4B2620A3" w:rsidRPr="49B29100">
        <w:t xml:space="preserve">collaboration and </w:t>
      </w:r>
      <w:r w:rsidR="00FE148B" w:rsidRPr="49B29100">
        <w:t xml:space="preserve">involvement </w:t>
      </w:r>
      <w:r w:rsidR="00DF07C1" w:rsidRPr="49B29100">
        <w:t>in creating a</w:t>
      </w:r>
      <w:r w:rsidR="005D4046">
        <w:t xml:space="preserve"> clear a</w:t>
      </w:r>
      <w:r w:rsidR="00DF07C1" w:rsidRPr="49B29100">
        <w:t>n</w:t>
      </w:r>
      <w:r w:rsidR="005D4046">
        <w:t>d</w:t>
      </w:r>
      <w:r w:rsidR="00DF07C1" w:rsidRPr="49B29100">
        <w:t xml:space="preserve"> appropriate management plan </w:t>
      </w:r>
      <w:r w:rsidR="00ED572F" w:rsidRPr="49B29100">
        <w:t>for</w:t>
      </w:r>
      <w:r w:rsidR="00DF07C1" w:rsidRPr="49B29100">
        <w:t xml:space="preserve"> </w:t>
      </w:r>
      <w:r w:rsidR="00BB72EA">
        <w:t>persons</w:t>
      </w:r>
      <w:r w:rsidR="00DF07C1" w:rsidRPr="49B29100">
        <w:t xml:space="preserve"> displaying </w:t>
      </w:r>
      <w:r w:rsidR="56EAE927" w:rsidRPr="49B29100">
        <w:t xml:space="preserve">signs of escalating behaviour, </w:t>
      </w:r>
      <w:r w:rsidR="000146C5" w:rsidRPr="49B29100">
        <w:t>aggression,</w:t>
      </w:r>
      <w:r w:rsidR="56EAE927" w:rsidRPr="49B29100">
        <w:t xml:space="preserve"> or </w:t>
      </w:r>
      <w:r w:rsidR="000146C5" w:rsidRPr="49B29100">
        <w:t>violence</w:t>
      </w:r>
    </w:p>
    <w:p w14:paraId="215AE6C9" w14:textId="0E576B89" w:rsidR="00D55F59" w:rsidRDefault="36A1E4A3" w:rsidP="003E35C9">
      <w:pPr>
        <w:pStyle w:val="ListBullet"/>
      </w:pPr>
      <w:r>
        <w:t xml:space="preserve">Ensure affected </w:t>
      </w:r>
      <w:r w:rsidR="00D55F59">
        <w:t>p</w:t>
      </w:r>
      <w:r w:rsidR="00BB72EA">
        <w:t>erson</w:t>
      </w:r>
      <w:r w:rsidR="00D55F59">
        <w:t>s are treated safely, with dignity</w:t>
      </w:r>
      <w:r w:rsidR="15BAB676">
        <w:t>,</w:t>
      </w:r>
      <w:r w:rsidR="00D55F59">
        <w:t xml:space="preserve"> and </w:t>
      </w:r>
      <w:r w:rsidR="6899464B">
        <w:t xml:space="preserve">their </w:t>
      </w:r>
      <w:r w:rsidR="00D55F59">
        <w:t>clinical needs met</w:t>
      </w:r>
      <w:r w:rsidR="7DC8654D">
        <w:t>, whil</w:t>
      </w:r>
      <w:r w:rsidR="001B104D">
        <w:t>st</w:t>
      </w:r>
      <w:r w:rsidR="7DC8654D">
        <w:t xml:space="preserve"> maintaining safety of staff and other p</w:t>
      </w:r>
      <w:r w:rsidR="008245F4">
        <w:t>eople</w:t>
      </w:r>
    </w:p>
    <w:p w14:paraId="2077AABB" w14:textId="4AC51B12" w:rsidR="004D074B" w:rsidRPr="00B407D8" w:rsidRDefault="00D55F59" w:rsidP="003E35C9">
      <w:pPr>
        <w:pStyle w:val="ListBullet"/>
      </w:pPr>
      <w:r w:rsidRPr="49B29100">
        <w:t xml:space="preserve">Ensure </w:t>
      </w:r>
      <w:r w:rsidR="00C92F08" w:rsidRPr="49B29100">
        <w:t xml:space="preserve">the ED have a standard escalation process </w:t>
      </w:r>
      <w:r w:rsidR="49441022" w:rsidRPr="49B29100">
        <w:t xml:space="preserve">if </w:t>
      </w:r>
      <w:r w:rsidR="000146C5" w:rsidRPr="49B29100">
        <w:t>necessary</w:t>
      </w:r>
    </w:p>
    <w:p w14:paraId="0D022C67" w14:textId="06AC5324" w:rsidR="005A7872" w:rsidRPr="00862221" w:rsidRDefault="005A7872" w:rsidP="003E35C9">
      <w:pPr>
        <w:pStyle w:val="ListBullet"/>
      </w:pPr>
      <w:r w:rsidRPr="49B29100">
        <w:t xml:space="preserve">Align with </w:t>
      </w:r>
      <w:r w:rsidR="002430FC" w:rsidRPr="49B29100">
        <w:t xml:space="preserve">CHS occupational violence strategy, </w:t>
      </w:r>
      <w:r w:rsidR="009F171E" w:rsidRPr="49B29100">
        <w:t>policy,</w:t>
      </w:r>
      <w:r w:rsidR="002430FC" w:rsidRPr="49B29100">
        <w:t xml:space="preserve"> and procedure.</w:t>
      </w:r>
    </w:p>
    <w:p w14:paraId="75F91902" w14:textId="77777777" w:rsidR="004C39CF" w:rsidRPr="00457CE6" w:rsidRDefault="004C39CF" w:rsidP="00931B93">
      <w:pPr>
        <w:widowControl w:val="0"/>
        <w:rPr>
          <w:rFonts w:cs="Arial"/>
          <w:iCs/>
          <w:szCs w:val="24"/>
        </w:rPr>
      </w:pPr>
    </w:p>
    <w:p w14:paraId="164E451C" w14:textId="40D8A233" w:rsidR="004C39CF" w:rsidRDefault="00A112E8" w:rsidP="00931B93">
      <w:pPr>
        <w:widowControl w:val="0"/>
        <w:rPr>
          <w:color w:val="000000"/>
          <w:szCs w:val="24"/>
          <w:bdr w:val="single" w:sz="4" w:space="0" w:color="auto"/>
        </w:rPr>
      </w:pPr>
      <w:r w:rsidRPr="00A112E8">
        <w:rPr>
          <w:b/>
          <w:bCs/>
          <w:color w:val="000000"/>
          <w:szCs w:val="24"/>
          <w:bdr w:val="single" w:sz="4" w:space="0" w:color="auto"/>
        </w:rPr>
        <w:t>NOTE</w:t>
      </w:r>
      <w:r w:rsidRPr="00A112E8">
        <w:rPr>
          <w:color w:val="000000"/>
          <w:szCs w:val="24"/>
          <w:bdr w:val="single" w:sz="4" w:space="0" w:color="auto"/>
        </w:rPr>
        <w:t>: If your safety is at immediate risk activate a code BLACK (Internal phones: ‘2222’)</w:t>
      </w:r>
    </w:p>
    <w:p w14:paraId="77D99F80" w14:textId="77777777" w:rsidR="00A112E8" w:rsidRDefault="00A112E8" w:rsidP="00931B93">
      <w:pPr>
        <w:widowControl w:val="0"/>
        <w:rPr>
          <w:rFonts w:cs="Arial"/>
          <w:i/>
          <w:szCs w:val="24"/>
        </w:rPr>
      </w:pPr>
    </w:p>
    <w:p w14:paraId="2F51A870" w14:textId="77777777" w:rsidR="009E70F4" w:rsidRPr="00CD1C0E" w:rsidRDefault="009E70F4" w:rsidP="009E70F4">
      <w:pPr>
        <w:jc w:val="right"/>
        <w:rPr>
          <w:rFonts w:cs="Arial"/>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49B29100">
        <w:trPr>
          <w:cantSplit/>
          <w:trHeight w:val="285"/>
        </w:trPr>
        <w:tc>
          <w:tcPr>
            <w:tcW w:w="9158" w:type="dxa"/>
            <w:shd w:val="clear" w:color="auto" w:fill="A6A6A6" w:themeFill="background1" w:themeFillShade="A6"/>
          </w:tcPr>
          <w:p w14:paraId="2F51A871" w14:textId="2CA8320D" w:rsidR="0074223E" w:rsidRPr="00CD1C0E" w:rsidRDefault="7C4CFDE5" w:rsidP="00924A20">
            <w:pPr>
              <w:pStyle w:val="Heading1"/>
            </w:pPr>
            <w:bookmarkStart w:id="10" w:name="_Toc389473276"/>
            <w:bookmarkStart w:id="11" w:name="_Toc160461934"/>
            <w:r>
              <w:t>Alerts</w:t>
            </w:r>
            <w:bookmarkEnd w:id="10"/>
            <w:bookmarkEnd w:id="11"/>
          </w:p>
        </w:tc>
      </w:tr>
    </w:tbl>
    <w:p w14:paraId="7B753F59" w14:textId="774E4AF4" w:rsidR="00F46776" w:rsidRDefault="00F46776" w:rsidP="00F46776">
      <w:pPr>
        <w:rPr>
          <w:iCs/>
        </w:rPr>
      </w:pPr>
      <w:r>
        <w:t xml:space="preserve">Attachment 1 is a summary of the </w:t>
      </w:r>
      <w:bookmarkStart w:id="12" w:name="_Hlk152151997"/>
      <w:r>
        <w:t>Grey Response key features</w:t>
      </w:r>
      <w:r w:rsidR="0074743A">
        <w:t xml:space="preserve"> </w:t>
      </w:r>
      <w:bookmarkEnd w:id="12"/>
      <w:r w:rsidR="0074743A">
        <w:t>to assist staff.</w:t>
      </w:r>
    </w:p>
    <w:p w14:paraId="49D80B76" w14:textId="77777777" w:rsidR="00F46776" w:rsidRDefault="00F46776" w:rsidP="007B6904">
      <w:pPr>
        <w:rPr>
          <w:iCs/>
        </w:rPr>
      </w:pPr>
    </w:p>
    <w:p w14:paraId="2F51A878" w14:textId="5EF084C8" w:rsidR="00DE4E25" w:rsidRDefault="00A806FE" w:rsidP="007B6904">
      <w:pPr>
        <w:rPr>
          <w:iCs/>
        </w:rPr>
      </w:pPr>
      <w:r w:rsidRPr="00A806FE">
        <w:rPr>
          <w:iCs/>
        </w:rPr>
        <w:t>Mental Health and ED</w:t>
      </w:r>
      <w:r w:rsidR="0063732A" w:rsidRPr="00A806FE">
        <w:rPr>
          <w:iCs/>
        </w:rPr>
        <w:t xml:space="preserve"> management plans are reviewed on </w:t>
      </w:r>
      <w:r>
        <w:rPr>
          <w:iCs/>
        </w:rPr>
        <w:t xml:space="preserve">the </w:t>
      </w:r>
      <w:r w:rsidR="002C7F61">
        <w:rPr>
          <w:iCs/>
        </w:rPr>
        <w:t>patient’s</w:t>
      </w:r>
      <w:r>
        <w:rPr>
          <w:iCs/>
        </w:rPr>
        <w:t xml:space="preserve"> </w:t>
      </w:r>
      <w:r w:rsidR="008C4E9A">
        <w:rPr>
          <w:iCs/>
        </w:rPr>
        <w:t>clinical</w:t>
      </w:r>
      <w:r>
        <w:rPr>
          <w:iCs/>
        </w:rPr>
        <w:t xml:space="preserve"> record</w:t>
      </w:r>
      <w:r w:rsidR="00A170FD">
        <w:rPr>
          <w:iCs/>
        </w:rPr>
        <w:t>.</w:t>
      </w:r>
    </w:p>
    <w:p w14:paraId="2F51A879" w14:textId="19E5BC6D" w:rsidR="009E70F4" w:rsidRPr="009121F9" w:rsidRDefault="009E70F4" w:rsidP="00A112E8">
      <w:pPr>
        <w:rPr>
          <w:rFonts w:cs="Arial"/>
          <w:b/>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924A20">
            <w:pPr>
              <w:pStyle w:val="Heading1"/>
            </w:pPr>
            <w:bookmarkStart w:id="13" w:name="_Toc389473277"/>
            <w:bookmarkStart w:id="14" w:name="_Toc160461935"/>
            <w:r w:rsidRPr="003D2D06">
              <w:t>Scope</w:t>
            </w:r>
            <w:bookmarkEnd w:id="13"/>
            <w:bookmarkEnd w:id="14"/>
          </w:p>
        </w:tc>
      </w:tr>
    </w:tbl>
    <w:p w14:paraId="2F51A87C" w14:textId="77777777" w:rsidR="007B6904" w:rsidRPr="00CD1C0E" w:rsidRDefault="007B6904" w:rsidP="007B6904">
      <w:pPr>
        <w:rPr>
          <w:szCs w:val="24"/>
        </w:rPr>
      </w:pPr>
    </w:p>
    <w:p w14:paraId="72E6D3B6" w14:textId="4C74FB0C" w:rsidR="004C39CF" w:rsidRPr="004C39CF" w:rsidRDefault="004C39CF" w:rsidP="00007A8A">
      <w:r w:rsidRPr="49B29100">
        <w:t xml:space="preserve">This document </w:t>
      </w:r>
      <w:r w:rsidR="00AC41AE" w:rsidRPr="49B29100">
        <w:t>a</w:t>
      </w:r>
      <w:r w:rsidR="003E35C9">
        <w:t>pplies to</w:t>
      </w:r>
      <w:r w:rsidRPr="49B29100">
        <w:t xml:space="preserve"> consumers </w:t>
      </w:r>
      <w:r w:rsidR="00A404F1" w:rsidRPr="49B29100">
        <w:t xml:space="preserve">and visitors </w:t>
      </w:r>
      <w:r w:rsidRPr="49B29100">
        <w:t>presenting to the Emergency Department</w:t>
      </w:r>
      <w:r w:rsidR="00F768BD">
        <w:t xml:space="preserve"> at Canberra Hospital</w:t>
      </w:r>
      <w:r w:rsidRPr="49B29100">
        <w:t>.</w:t>
      </w:r>
    </w:p>
    <w:p w14:paraId="2F51A881" w14:textId="77777777" w:rsidR="00BF078E" w:rsidRPr="003C54A3" w:rsidRDefault="00BF078E" w:rsidP="009F1170">
      <w:pPr>
        <w:rPr>
          <w:rFonts w:cs="Arial"/>
          <w:szCs w:val="24"/>
        </w:rPr>
      </w:pPr>
    </w:p>
    <w:p w14:paraId="2F51A882" w14:textId="4D4D1B05" w:rsidR="00BF078E" w:rsidRPr="004C39CF" w:rsidRDefault="00BF078E" w:rsidP="00007A8A">
      <w:r w:rsidRPr="004C39CF">
        <w:t>This document applies to</w:t>
      </w:r>
      <w:r w:rsidR="00366924" w:rsidRPr="004C39CF">
        <w:t xml:space="preserve"> the following staff working within their scope of practice</w:t>
      </w:r>
      <w:r w:rsidRPr="004C39CF">
        <w:t>:</w:t>
      </w:r>
    </w:p>
    <w:p w14:paraId="2F51A883" w14:textId="77777777" w:rsidR="00BF078E" w:rsidRPr="00F14EC1" w:rsidRDefault="00BF078E" w:rsidP="00F14EC1">
      <w:pPr>
        <w:pStyle w:val="ListBullet"/>
      </w:pPr>
      <w:r w:rsidRPr="00F14EC1">
        <w:t>Medical Officers</w:t>
      </w:r>
    </w:p>
    <w:p w14:paraId="2F51A884" w14:textId="07468ACD" w:rsidR="00BF078E" w:rsidRDefault="00BF078E" w:rsidP="00F14EC1">
      <w:pPr>
        <w:pStyle w:val="ListBullet"/>
      </w:pPr>
      <w:r w:rsidRPr="00F14EC1">
        <w:t xml:space="preserve">Nurses and Midwives  </w:t>
      </w:r>
    </w:p>
    <w:p w14:paraId="2999017F" w14:textId="20E8CAE0" w:rsidR="004C39CF" w:rsidRPr="00CB716C" w:rsidRDefault="004C39CF" w:rsidP="003E35C9">
      <w:pPr>
        <w:pStyle w:val="ListBullet"/>
      </w:pPr>
      <w:r w:rsidRPr="00CB716C">
        <w:t>Assi</w:t>
      </w:r>
      <w:r w:rsidR="0021387B" w:rsidRPr="00CB716C">
        <w:t>s</w:t>
      </w:r>
      <w:r w:rsidRPr="00CB716C">
        <w:t>tan</w:t>
      </w:r>
      <w:r w:rsidR="20B6E111" w:rsidRPr="00CB716C">
        <w:t>ts</w:t>
      </w:r>
      <w:r w:rsidRPr="00CB716C">
        <w:t xml:space="preserve"> In Nursing (AIN)</w:t>
      </w:r>
    </w:p>
    <w:p w14:paraId="7F2F8598" w14:textId="46BEE74E" w:rsidR="00BC63DA" w:rsidRPr="00CB716C" w:rsidRDefault="00BC63DA" w:rsidP="00F14EC1">
      <w:pPr>
        <w:pStyle w:val="ListBullet"/>
      </w:pPr>
      <w:r w:rsidRPr="00CB716C">
        <w:t>Allied health</w:t>
      </w:r>
    </w:p>
    <w:p w14:paraId="2F51A885" w14:textId="7F83D5D5" w:rsidR="00931B93" w:rsidRPr="00CB716C" w:rsidRDefault="004C39CF" w:rsidP="00F14EC1">
      <w:pPr>
        <w:pStyle w:val="ListBullet"/>
      </w:pPr>
      <w:r w:rsidRPr="00CB716C">
        <w:t>Security staff</w:t>
      </w:r>
    </w:p>
    <w:p w14:paraId="7FAF520C" w14:textId="0E724BBA" w:rsidR="004C39CF" w:rsidRDefault="004C39CF" w:rsidP="00F14EC1">
      <w:pPr>
        <w:pStyle w:val="ListBullet"/>
      </w:pPr>
      <w:proofErr w:type="spellStart"/>
      <w:r>
        <w:t>Wardspersons</w:t>
      </w:r>
      <w:proofErr w:type="spellEnd"/>
    </w:p>
    <w:p w14:paraId="06164A50" w14:textId="77777777" w:rsidR="003E35C9" w:rsidRDefault="007346BC" w:rsidP="00F14EC1">
      <w:pPr>
        <w:pStyle w:val="ListBullet"/>
      </w:pPr>
      <w:r>
        <w:t>Administration staff</w:t>
      </w:r>
      <w:r w:rsidR="003E35C9" w:rsidRPr="003E35C9">
        <w:t xml:space="preserve"> </w:t>
      </w:r>
    </w:p>
    <w:p w14:paraId="72CC1A8F" w14:textId="1DBBC666" w:rsidR="007346BC" w:rsidRPr="00F14EC1" w:rsidRDefault="003E35C9" w:rsidP="00F14EC1">
      <w:pPr>
        <w:pStyle w:val="ListBullet"/>
      </w:pPr>
      <w:r w:rsidRPr="00CB716C">
        <w:t>Student nurses and medical students, under direct supervision</w:t>
      </w:r>
      <w:r>
        <w:t>.</w:t>
      </w:r>
    </w:p>
    <w:p w14:paraId="2F51A886" w14:textId="77777777" w:rsidR="001F2A9B" w:rsidRDefault="001F2A9B" w:rsidP="00F14EC1"/>
    <w:p w14:paraId="2F51A887" w14:textId="77777777" w:rsidR="007B6904" w:rsidRPr="00CD1C0E" w:rsidRDefault="009E70F4" w:rsidP="00F14EC1">
      <w:pPr>
        <w:jc w:val="right"/>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49B29100">
        <w:trPr>
          <w:cantSplit/>
          <w:trHeight w:val="285"/>
        </w:trPr>
        <w:tc>
          <w:tcPr>
            <w:tcW w:w="9158" w:type="dxa"/>
            <w:shd w:val="clear" w:color="auto" w:fill="A6A6A6" w:themeFill="background1" w:themeFillShade="A6"/>
          </w:tcPr>
          <w:p w14:paraId="2F51A888" w14:textId="0D2D8AE0" w:rsidR="007B6904" w:rsidRPr="00C76688" w:rsidRDefault="007B6904" w:rsidP="00924A20">
            <w:pPr>
              <w:pStyle w:val="Heading1"/>
            </w:pPr>
            <w:bookmarkStart w:id="15" w:name="_Toc389473278"/>
            <w:bookmarkStart w:id="16" w:name="_Toc160461936"/>
            <w:r>
              <w:lastRenderedPageBreak/>
              <w:t xml:space="preserve">Section 1 – </w:t>
            </w:r>
            <w:bookmarkEnd w:id="15"/>
            <w:r w:rsidR="4DA18E1D">
              <w:t>Grey Response</w:t>
            </w:r>
            <w:bookmarkEnd w:id="16"/>
            <w:r w:rsidR="30CE1EF8">
              <w:t xml:space="preserve"> </w:t>
            </w:r>
          </w:p>
        </w:tc>
      </w:tr>
    </w:tbl>
    <w:p w14:paraId="2F51A88A" w14:textId="77777777" w:rsidR="007B6904" w:rsidRDefault="007B6904" w:rsidP="00E43D7C">
      <w:pPr>
        <w:pStyle w:val="DHHSbody"/>
      </w:pPr>
    </w:p>
    <w:p w14:paraId="7843A50F" w14:textId="78696ADD" w:rsidR="00C8775C" w:rsidRDefault="00956A80" w:rsidP="00AF5BA9">
      <w:r>
        <w:t xml:space="preserve">The aim of a Grey Response is to provide a rapid, collaborative </w:t>
      </w:r>
      <w:r w:rsidR="00A70227" w:rsidRPr="0021387B">
        <w:rPr>
          <w:i/>
          <w:iCs/>
        </w:rPr>
        <w:t>clinical</w:t>
      </w:r>
      <w:r w:rsidR="00A70227">
        <w:t xml:space="preserve"> </w:t>
      </w:r>
      <w:r w:rsidR="00DD4A87">
        <w:t>response</w:t>
      </w:r>
      <w:r>
        <w:t xml:space="preserve"> </w:t>
      </w:r>
      <w:r w:rsidR="0078670D">
        <w:t xml:space="preserve">to </w:t>
      </w:r>
      <w:r>
        <w:t xml:space="preserve">a person in the ED when </w:t>
      </w:r>
      <w:r w:rsidRPr="00C52533">
        <w:rPr>
          <w:u w:val="single"/>
        </w:rPr>
        <w:t>acute agitation or behavioural disturbance</w:t>
      </w:r>
      <w:r>
        <w:t xml:space="preserve"> occurs</w:t>
      </w:r>
      <w:r w:rsidR="006A1CFF">
        <w:t xml:space="preserve"> or has the potential to occur</w:t>
      </w:r>
      <w:r>
        <w:t xml:space="preserve">. </w:t>
      </w:r>
    </w:p>
    <w:p w14:paraId="541A76AE" w14:textId="1647DCF6" w:rsidR="008D7CE6" w:rsidRDefault="008D7CE6" w:rsidP="00AF5BA9"/>
    <w:p w14:paraId="5E7CD695" w14:textId="65E2BD84" w:rsidR="003E35C9" w:rsidRDefault="00901E10" w:rsidP="00AF5BA9">
      <w:r>
        <w:t xml:space="preserve">Be aware there is a difference between a Code Black and Grey Response. </w:t>
      </w:r>
    </w:p>
    <w:p w14:paraId="35C5C274" w14:textId="77777777" w:rsidR="003E35C9" w:rsidRDefault="003E35C9" w:rsidP="00AF5BA9"/>
    <w:p w14:paraId="39646806" w14:textId="1129347E" w:rsidR="006B57CC" w:rsidRDefault="003E35C9" w:rsidP="00AF5BA9">
      <w:r>
        <w:t>At CHS the definitions are:</w:t>
      </w:r>
    </w:p>
    <w:p w14:paraId="5F5B3EE2" w14:textId="5BA7B8CF" w:rsidR="003B4FBB" w:rsidRPr="003B4FBB" w:rsidRDefault="003B4FBB" w:rsidP="003E35C9">
      <w:pPr>
        <w:pStyle w:val="ListBullet"/>
      </w:pPr>
      <w:r w:rsidRPr="003E35C9">
        <w:rPr>
          <w:u w:val="single"/>
        </w:rPr>
        <w:t>Code Black:</w:t>
      </w:r>
      <w:r>
        <w:t xml:space="preserve"> </w:t>
      </w:r>
      <w:r w:rsidR="00D52CC2">
        <w:t xml:space="preserve">The </w:t>
      </w:r>
      <w:r w:rsidR="00E936D4">
        <w:t>Australian Standards (AS) 4083-2010</w:t>
      </w:r>
      <w:r w:rsidR="00BB5A2A">
        <w:t xml:space="preserve"> is a uniform code for managing internal and external emergency procedures in the workplace. </w:t>
      </w:r>
      <w:r w:rsidR="000D2996">
        <w:t xml:space="preserve">A </w:t>
      </w:r>
      <w:r w:rsidR="00B534CB">
        <w:t>Code Black is an Australian emergency standard for immediate personal threat (armed or unarmed, persons threatening injury to others or themselves, or illegal occupancy).</w:t>
      </w:r>
      <w:r w:rsidR="00B534CB" w:rsidRPr="003E35C9">
        <w:rPr>
          <w:rFonts w:eastAsiaTheme="majorEastAsia" w:cstheme="majorBidi"/>
          <w:b/>
          <w:bCs/>
        </w:rPr>
        <w:t xml:space="preserve"> </w:t>
      </w:r>
      <w:r w:rsidR="00B534CB" w:rsidRPr="003E35C9">
        <w:rPr>
          <w:rFonts w:eastAsiaTheme="majorEastAsia" w:cstheme="majorBidi"/>
        </w:rPr>
        <w:t xml:space="preserve">A </w:t>
      </w:r>
      <w:r w:rsidR="00B325D0" w:rsidRPr="003E35C9">
        <w:rPr>
          <w:rFonts w:eastAsiaTheme="majorEastAsia" w:cstheme="majorBidi"/>
        </w:rPr>
        <w:t>C</w:t>
      </w:r>
      <w:r w:rsidR="00B534CB" w:rsidRPr="003E35C9">
        <w:rPr>
          <w:rFonts w:eastAsiaTheme="majorEastAsia" w:cstheme="majorBidi"/>
        </w:rPr>
        <w:t xml:space="preserve">ode </w:t>
      </w:r>
      <w:r w:rsidR="00B325D0" w:rsidRPr="003E35C9">
        <w:rPr>
          <w:rFonts w:eastAsiaTheme="majorEastAsia" w:cstheme="majorBidi"/>
        </w:rPr>
        <w:t>B</w:t>
      </w:r>
      <w:r w:rsidR="00B534CB" w:rsidRPr="003E35C9">
        <w:rPr>
          <w:rFonts w:eastAsiaTheme="majorEastAsia" w:cstheme="majorBidi"/>
        </w:rPr>
        <w:t xml:space="preserve">lack </w:t>
      </w:r>
      <w:r w:rsidR="00F95F49">
        <w:t xml:space="preserve">is primarily </w:t>
      </w:r>
      <w:r w:rsidR="00C007E2">
        <w:t>a security and wardsperson response</w:t>
      </w:r>
      <w:r>
        <w:t>.</w:t>
      </w:r>
    </w:p>
    <w:p w14:paraId="696F24B1" w14:textId="77777777" w:rsidR="003B4FBB" w:rsidRDefault="003B4FBB" w:rsidP="00AF5BA9"/>
    <w:p w14:paraId="1DA6289D" w14:textId="37DC8400" w:rsidR="00596A56" w:rsidRDefault="000D2996" w:rsidP="003E35C9">
      <w:pPr>
        <w:pStyle w:val="ListBullet"/>
      </w:pPr>
      <w:r w:rsidRPr="003E35C9">
        <w:rPr>
          <w:u w:val="single"/>
        </w:rPr>
        <w:t>Grey Response</w:t>
      </w:r>
      <w:r w:rsidR="003B4FBB" w:rsidRPr="003E35C9">
        <w:rPr>
          <w:u w:val="single"/>
        </w:rPr>
        <w:t>:</w:t>
      </w:r>
      <w:r>
        <w:t xml:space="preserve"> </w:t>
      </w:r>
      <w:r w:rsidR="003B4FBB">
        <w:t>I</w:t>
      </w:r>
      <w:r>
        <w:t xml:space="preserve">s primarily a </w:t>
      </w:r>
      <w:r w:rsidRPr="003E35C9">
        <w:rPr>
          <w:i/>
          <w:iCs/>
        </w:rPr>
        <w:t>clinical</w:t>
      </w:r>
      <w:r>
        <w:t xml:space="preserve"> response</w:t>
      </w:r>
      <w:r w:rsidR="00596A56">
        <w:t>.</w:t>
      </w:r>
      <w:r w:rsidR="008E2D1D">
        <w:t xml:space="preserve"> </w:t>
      </w:r>
      <w:r w:rsidR="00596A56">
        <w:t xml:space="preserve">It is activated to coordinate senior clinical decision makers, security and </w:t>
      </w:r>
      <w:proofErr w:type="spellStart"/>
      <w:r w:rsidR="00A112E8">
        <w:t>w</w:t>
      </w:r>
      <w:r w:rsidR="00DE3E16">
        <w:t>ardspersons</w:t>
      </w:r>
      <w:proofErr w:type="spellEnd"/>
      <w:r w:rsidR="00596A56">
        <w:t xml:space="preserve"> to provide early intervention to reduce the risk of further escalation and provide a clear management plan.</w:t>
      </w:r>
    </w:p>
    <w:p w14:paraId="4234A65B" w14:textId="0B7070AA" w:rsidR="00731128" w:rsidRDefault="40302423" w:rsidP="003E35C9">
      <w:pPr>
        <w:ind w:left="426"/>
      </w:pPr>
      <w:r>
        <w:t xml:space="preserve">A Grey Response is activated when </w:t>
      </w:r>
      <w:r w:rsidR="00731128">
        <w:t xml:space="preserve">actual or potential escalating behaviour is exhibited by patient or visitors that creates a risk to health and safety to </w:t>
      </w:r>
      <w:r w:rsidR="00A17E3E">
        <w:t xml:space="preserve">staff </w:t>
      </w:r>
      <w:r w:rsidR="00731128">
        <w:t>and/or patients or visitors.</w:t>
      </w:r>
    </w:p>
    <w:p w14:paraId="12ECD0D3" w14:textId="144AD4CF" w:rsidR="49B29100" w:rsidRDefault="49B29100" w:rsidP="49B29100">
      <w:pPr>
        <w:rPr>
          <w:rFonts w:eastAsiaTheme="majorEastAsia" w:cstheme="majorBidi"/>
          <w:b/>
          <w:bCs/>
        </w:rPr>
      </w:pPr>
    </w:p>
    <w:p w14:paraId="29C80ADD" w14:textId="00D336FF" w:rsidR="008D7CE6" w:rsidRDefault="0077329C" w:rsidP="003E35C9">
      <w:pPr>
        <w:pBdr>
          <w:top w:val="single" w:sz="4" w:space="1" w:color="auto"/>
          <w:left w:val="single" w:sz="4" w:space="4" w:color="auto"/>
          <w:bottom w:val="single" w:sz="4" w:space="1" w:color="auto"/>
          <w:right w:val="single" w:sz="4" w:space="4" w:color="auto"/>
        </w:pBdr>
      </w:pPr>
      <w:r w:rsidRPr="003E35C9">
        <w:rPr>
          <w:b/>
          <w:bCs/>
        </w:rPr>
        <w:t>Note</w:t>
      </w:r>
      <w:r w:rsidR="002D5D0E">
        <w:t>: CHS uses the term ‘Grey Response’</w:t>
      </w:r>
      <w:r w:rsidR="00DE3E16">
        <w:t xml:space="preserve"> as </w:t>
      </w:r>
      <w:r w:rsidR="006C740F">
        <w:t xml:space="preserve">the use of the term ‘code’ is </w:t>
      </w:r>
      <w:r w:rsidR="00DC43BC">
        <w:t xml:space="preserve">only associated with </w:t>
      </w:r>
      <w:r w:rsidR="009D511E">
        <w:t>Australian standards</w:t>
      </w:r>
      <w:r w:rsidR="00D97BD4">
        <w:t xml:space="preserve"> or within CHS </w:t>
      </w:r>
      <w:r w:rsidR="00AC4CE9">
        <w:t>Code plans</w:t>
      </w:r>
      <w:r>
        <w:t>.</w:t>
      </w:r>
      <w:r w:rsidR="57C449EF">
        <w:t xml:space="preserve"> </w:t>
      </w:r>
    </w:p>
    <w:p w14:paraId="5A41046A" w14:textId="77777777" w:rsidR="003E35C9" w:rsidRDefault="003E35C9" w:rsidP="007B6904">
      <w:pPr>
        <w:jc w:val="right"/>
      </w:pPr>
    </w:p>
    <w:p w14:paraId="2F51A893" w14:textId="31490B3E" w:rsidR="007B6904" w:rsidRDefault="007B6904" w:rsidP="007B6904">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49B29100">
        <w:trPr>
          <w:cantSplit/>
          <w:trHeight w:val="285"/>
        </w:trPr>
        <w:tc>
          <w:tcPr>
            <w:tcW w:w="9158" w:type="dxa"/>
            <w:shd w:val="clear" w:color="auto" w:fill="A6A6A6" w:themeFill="background1" w:themeFillShade="A6"/>
          </w:tcPr>
          <w:p w14:paraId="2F51A895" w14:textId="4D95E8A9" w:rsidR="007B6904" w:rsidRPr="00C76688" w:rsidRDefault="007B6904" w:rsidP="00924A20">
            <w:pPr>
              <w:pStyle w:val="Heading1"/>
            </w:pPr>
            <w:bookmarkStart w:id="17" w:name="_Toc389473281"/>
            <w:bookmarkStart w:id="18" w:name="_Toc160461937"/>
            <w:r>
              <w:t xml:space="preserve">Section 2 – </w:t>
            </w:r>
            <w:bookmarkEnd w:id="17"/>
            <w:r w:rsidR="3B762F35">
              <w:t>Criteria for activati</w:t>
            </w:r>
            <w:r w:rsidR="0077329C">
              <w:t>ng a Grey Response</w:t>
            </w:r>
            <w:bookmarkEnd w:id="18"/>
            <w:r w:rsidR="309ECC8D">
              <w:t xml:space="preserve"> </w:t>
            </w:r>
          </w:p>
        </w:tc>
      </w:tr>
    </w:tbl>
    <w:p w14:paraId="2F51A897" w14:textId="77777777" w:rsidR="007B6904" w:rsidRDefault="007B6904" w:rsidP="007B6904">
      <w:pPr>
        <w:rPr>
          <w:rFonts w:cs="Arial"/>
          <w:b/>
          <w:szCs w:val="24"/>
        </w:rPr>
      </w:pPr>
    </w:p>
    <w:p w14:paraId="2336F42A" w14:textId="53D38CC0" w:rsidR="00513EF7" w:rsidRPr="00513EF7" w:rsidRDefault="00513EF7" w:rsidP="007B6904">
      <w:pPr>
        <w:rPr>
          <w:rFonts w:cs="Arial"/>
        </w:rPr>
      </w:pPr>
      <w:r w:rsidRPr="52EE5285">
        <w:rPr>
          <w:rFonts w:cs="Arial"/>
        </w:rPr>
        <w:t xml:space="preserve">A </w:t>
      </w:r>
      <w:r w:rsidR="006802DB" w:rsidRPr="52EE5285">
        <w:rPr>
          <w:rFonts w:cs="Arial"/>
        </w:rPr>
        <w:t>G</w:t>
      </w:r>
      <w:r w:rsidRPr="52EE5285">
        <w:rPr>
          <w:rFonts w:cs="Arial"/>
        </w:rPr>
        <w:t xml:space="preserve">rey </w:t>
      </w:r>
      <w:r w:rsidR="006802DB" w:rsidRPr="52EE5285">
        <w:rPr>
          <w:rFonts w:cs="Arial"/>
        </w:rPr>
        <w:t>R</w:t>
      </w:r>
      <w:r w:rsidRPr="52EE5285">
        <w:rPr>
          <w:rFonts w:cs="Arial"/>
        </w:rPr>
        <w:t>esponse can be activated at any stage of a p</w:t>
      </w:r>
      <w:r w:rsidR="008245F4">
        <w:rPr>
          <w:rFonts w:cs="Arial"/>
        </w:rPr>
        <w:t>erson</w:t>
      </w:r>
      <w:r w:rsidR="049BD990" w:rsidRPr="52EE5285">
        <w:rPr>
          <w:rFonts w:cs="Arial"/>
        </w:rPr>
        <w:t>’</w:t>
      </w:r>
      <w:r w:rsidR="002F7094" w:rsidRPr="52EE5285">
        <w:rPr>
          <w:rFonts w:cs="Arial"/>
        </w:rPr>
        <w:t>s treatment, including prior to arrival (planned), or unplanned</w:t>
      </w:r>
      <w:r w:rsidR="006802DB" w:rsidRPr="52EE5285">
        <w:rPr>
          <w:rFonts w:cs="Arial"/>
        </w:rPr>
        <w:t>.</w:t>
      </w:r>
    </w:p>
    <w:p w14:paraId="0806ECB9" w14:textId="77777777" w:rsidR="00513EF7" w:rsidRDefault="00513EF7" w:rsidP="007B6904">
      <w:pPr>
        <w:rPr>
          <w:rFonts w:cs="Arial"/>
          <w:b/>
          <w:szCs w:val="24"/>
        </w:rPr>
      </w:pPr>
    </w:p>
    <w:p w14:paraId="1802FE22" w14:textId="77777777" w:rsidR="002F7094" w:rsidRDefault="002F7094" w:rsidP="00F14FE8">
      <w:pPr>
        <w:pStyle w:val="Heading2"/>
      </w:pPr>
      <w:bookmarkStart w:id="19" w:name="_Toc160461938"/>
      <w:r>
        <w:t>Planned/co-ordinated</w:t>
      </w:r>
      <w:bookmarkEnd w:id="19"/>
    </w:p>
    <w:p w14:paraId="45DC132D" w14:textId="7E8C240A" w:rsidR="002F7094" w:rsidRPr="00DB6171" w:rsidRDefault="002F7094" w:rsidP="003E35C9">
      <w:pPr>
        <w:pStyle w:val="ListBullet"/>
      </w:pPr>
      <w:r>
        <w:t>A planned Grey</w:t>
      </w:r>
      <w:r w:rsidR="4620C17F">
        <w:t xml:space="preserve"> Response</w:t>
      </w:r>
      <w:r>
        <w:t xml:space="preserve"> is initiated by staff for anticipated assistance with a scheduled event (such as a </w:t>
      </w:r>
      <w:r w:rsidR="3CDA285D">
        <w:t>planned medication administration</w:t>
      </w:r>
      <w:r>
        <w:t>, or notification of an anticipated arrival from an emergency service),</w:t>
      </w:r>
      <w:r w:rsidR="008C03CB">
        <w:t xml:space="preserve"> </w:t>
      </w:r>
      <w:r>
        <w:t>following a risk-based assessment</w:t>
      </w:r>
      <w:r w:rsidR="48C8BE02">
        <w:t xml:space="preserve"> to reduce the potential </w:t>
      </w:r>
      <w:r w:rsidR="029E1C55">
        <w:t>escalating behaviour</w:t>
      </w:r>
      <w:r>
        <w:t>.</w:t>
      </w:r>
    </w:p>
    <w:p w14:paraId="3B9C366D" w14:textId="77777777" w:rsidR="003E35C9" w:rsidRPr="00E43D7C" w:rsidRDefault="003E35C9" w:rsidP="00E43D7C">
      <w:pPr>
        <w:pStyle w:val="DHHSbody"/>
      </w:pPr>
    </w:p>
    <w:p w14:paraId="3F8E6E55" w14:textId="77E8DE11" w:rsidR="00844DBF" w:rsidRDefault="00844DBF" w:rsidP="00F14FE8">
      <w:pPr>
        <w:pStyle w:val="Heading2"/>
      </w:pPr>
      <w:bookmarkStart w:id="20" w:name="_Toc160461939"/>
      <w:r>
        <w:t>Unplanned</w:t>
      </w:r>
      <w:bookmarkEnd w:id="20"/>
    </w:p>
    <w:p w14:paraId="4AC1E6DD" w14:textId="084DB956" w:rsidR="00FF5C37" w:rsidRDefault="00FF5C37" w:rsidP="009A7A09">
      <w:r>
        <w:t xml:space="preserve">At any stage of treatment </w:t>
      </w:r>
      <w:r w:rsidR="003F6BEF">
        <w:t>in the</w:t>
      </w:r>
      <w:r>
        <w:t xml:space="preserve"> ED</w:t>
      </w:r>
      <w:r w:rsidR="003F6BEF">
        <w:t xml:space="preserve"> including</w:t>
      </w:r>
      <w:r>
        <w:t>:</w:t>
      </w:r>
    </w:p>
    <w:p w14:paraId="6B17B5A0" w14:textId="38CDF5EF" w:rsidR="009D1897" w:rsidRPr="009D1897" w:rsidRDefault="009A7A09" w:rsidP="003E35C9">
      <w:pPr>
        <w:pStyle w:val="ListBullet"/>
        <w:rPr>
          <w:rFonts w:ascii="Times New Roman" w:hAnsi="Times New Roman"/>
        </w:rPr>
      </w:pPr>
      <w:r>
        <w:t>Concerns at triage (</w:t>
      </w:r>
      <w:r w:rsidR="00D57674">
        <w:t>e.g.,</w:t>
      </w:r>
      <w:r>
        <w:t xml:space="preserve"> violence or threats enroute to hospital</w:t>
      </w:r>
      <w:r w:rsidR="009D1897">
        <w:t>, including communication from emergency services</w:t>
      </w:r>
      <w:r>
        <w:t>)</w:t>
      </w:r>
    </w:p>
    <w:p w14:paraId="3DCF12E8" w14:textId="7DE1B48C" w:rsidR="0085318F" w:rsidRPr="001F4985" w:rsidRDefault="00FF5C37" w:rsidP="003E35C9">
      <w:pPr>
        <w:pStyle w:val="ListBullet"/>
        <w:rPr>
          <w:rFonts w:ascii="Times New Roman" w:hAnsi="Times New Roman"/>
        </w:rPr>
      </w:pPr>
      <w:r>
        <w:lastRenderedPageBreak/>
        <w:t>Staff concern for potential escalating behaviour, this can include “gut feeling” or a sense of unease</w:t>
      </w:r>
    </w:p>
    <w:p w14:paraId="5E2FE05C" w14:textId="56D865A8" w:rsidR="001F4985" w:rsidRPr="001F4985" w:rsidRDefault="001F4985" w:rsidP="003E35C9">
      <w:pPr>
        <w:pStyle w:val="ListBullet"/>
        <w:rPr>
          <w:rFonts w:ascii="Times New Roman" w:hAnsi="Times New Roman"/>
        </w:rPr>
      </w:pPr>
      <w:r>
        <w:t>Following failed attempts at other de-escalation techniques</w:t>
      </w:r>
      <w:r w:rsidR="00A112E8">
        <w:t>.</w:t>
      </w:r>
    </w:p>
    <w:p w14:paraId="263EFD1F" w14:textId="77777777" w:rsidR="003E35C9" w:rsidRDefault="003E35C9" w:rsidP="003E35C9"/>
    <w:p w14:paraId="4470D7E1" w14:textId="38300BBC" w:rsidR="009E3780" w:rsidRDefault="009C76AD" w:rsidP="003E35C9">
      <w:r>
        <w:t>Behaviours can include:</w:t>
      </w:r>
    </w:p>
    <w:tbl>
      <w:tblPr>
        <w:tblStyle w:val="TableGrid"/>
        <w:tblW w:w="9067" w:type="dxa"/>
        <w:tblLook w:val="04A0" w:firstRow="1" w:lastRow="0" w:firstColumn="1" w:lastColumn="0" w:noHBand="0" w:noVBand="1"/>
      </w:tblPr>
      <w:tblGrid>
        <w:gridCol w:w="1630"/>
        <w:gridCol w:w="3850"/>
        <w:gridCol w:w="3587"/>
      </w:tblGrid>
      <w:tr w:rsidR="00CF10BE" w14:paraId="3F7E89EC" w14:textId="77777777" w:rsidTr="7FDDA926">
        <w:trPr>
          <w:trHeight w:val="300"/>
        </w:trPr>
        <w:tc>
          <w:tcPr>
            <w:tcW w:w="1050" w:type="dxa"/>
          </w:tcPr>
          <w:p w14:paraId="00AA9460" w14:textId="77777777" w:rsidR="00CF10BE" w:rsidRDefault="00CF10BE" w:rsidP="009E3780"/>
        </w:tc>
        <w:tc>
          <w:tcPr>
            <w:tcW w:w="4190" w:type="dxa"/>
            <w:shd w:val="clear" w:color="auto" w:fill="BFBFBF" w:themeFill="background1" w:themeFillShade="BF"/>
          </w:tcPr>
          <w:p w14:paraId="5DF4FBD1" w14:textId="77777777" w:rsidR="00793E4B" w:rsidRPr="00A112E8" w:rsidRDefault="00793E4B" w:rsidP="00CF10BE">
            <w:pPr>
              <w:jc w:val="center"/>
              <w:rPr>
                <w:b/>
                <w:bCs/>
              </w:rPr>
            </w:pPr>
            <w:r w:rsidRPr="00A112E8">
              <w:rPr>
                <w:b/>
                <w:bCs/>
              </w:rPr>
              <w:t xml:space="preserve">Grey Response </w:t>
            </w:r>
          </w:p>
        </w:tc>
        <w:tc>
          <w:tcPr>
            <w:tcW w:w="3827" w:type="dxa"/>
            <w:tcBorders>
              <w:bottom w:val="nil"/>
            </w:tcBorders>
            <w:shd w:val="clear" w:color="auto" w:fill="000000" w:themeFill="text1"/>
          </w:tcPr>
          <w:p w14:paraId="5D812BEA" w14:textId="7D4B1DA2" w:rsidR="00CF10BE" w:rsidRPr="00401325" w:rsidRDefault="00CF10BE" w:rsidP="009E3780">
            <w:pPr>
              <w:rPr>
                <w:b/>
                <w:bCs/>
                <w:color w:val="FFFFFF" w:themeColor="background1"/>
              </w:rPr>
            </w:pPr>
            <w:r w:rsidRPr="00401325">
              <w:rPr>
                <w:b/>
                <w:bCs/>
                <w:color w:val="FFFFFF" w:themeColor="background1"/>
              </w:rPr>
              <w:t>Code Black</w:t>
            </w:r>
          </w:p>
        </w:tc>
      </w:tr>
      <w:tr w:rsidR="0048079A" w14:paraId="3EE44DDB" w14:textId="622F3BBD" w:rsidTr="7FDDA926">
        <w:trPr>
          <w:trHeight w:val="300"/>
        </w:trPr>
        <w:tc>
          <w:tcPr>
            <w:tcW w:w="1050" w:type="dxa"/>
          </w:tcPr>
          <w:p w14:paraId="3D227164" w14:textId="77777777" w:rsidR="0048079A" w:rsidRDefault="0048079A" w:rsidP="009E3780"/>
        </w:tc>
        <w:tc>
          <w:tcPr>
            <w:tcW w:w="4190" w:type="dxa"/>
          </w:tcPr>
          <w:p w14:paraId="6D64E7CF" w14:textId="2690D164" w:rsidR="0048079A" w:rsidRPr="00B51499" w:rsidRDefault="002A5B4F" w:rsidP="009E3780">
            <w:pPr>
              <w:rPr>
                <w:b/>
                <w:bCs/>
              </w:rPr>
            </w:pPr>
            <w:r>
              <w:rPr>
                <w:b/>
                <w:bCs/>
              </w:rPr>
              <w:t>Early warning signs</w:t>
            </w:r>
          </w:p>
        </w:tc>
        <w:tc>
          <w:tcPr>
            <w:tcW w:w="3827" w:type="dxa"/>
            <w:tcBorders>
              <w:top w:val="nil"/>
            </w:tcBorders>
          </w:tcPr>
          <w:p w14:paraId="4913B26D" w14:textId="2A998B55" w:rsidR="00213FE9" w:rsidRPr="00B51499" w:rsidRDefault="00A87B9F" w:rsidP="009E3780">
            <w:pPr>
              <w:rPr>
                <w:b/>
                <w:bCs/>
              </w:rPr>
            </w:pPr>
            <w:r>
              <w:rPr>
                <w:b/>
                <w:bCs/>
              </w:rPr>
              <w:t>I</w:t>
            </w:r>
            <w:r w:rsidR="00213FE9" w:rsidRPr="00B51499">
              <w:rPr>
                <w:b/>
                <w:bCs/>
              </w:rPr>
              <w:t>mmediate personal threat</w:t>
            </w:r>
          </w:p>
        </w:tc>
      </w:tr>
      <w:tr w:rsidR="0048079A" w14:paraId="6B9DB105" w14:textId="30C32326" w:rsidTr="7FDDA926">
        <w:trPr>
          <w:trHeight w:val="300"/>
        </w:trPr>
        <w:tc>
          <w:tcPr>
            <w:tcW w:w="1050" w:type="dxa"/>
          </w:tcPr>
          <w:p w14:paraId="578BB003" w14:textId="0D03962B" w:rsidR="0048079A" w:rsidRPr="007547A4" w:rsidRDefault="0048079A" w:rsidP="009E3780">
            <w:pPr>
              <w:rPr>
                <w:i/>
                <w:iCs/>
              </w:rPr>
            </w:pPr>
            <w:r w:rsidRPr="007547A4">
              <w:rPr>
                <w:i/>
                <w:iCs/>
              </w:rPr>
              <w:t>Verbal signs</w:t>
            </w:r>
          </w:p>
        </w:tc>
        <w:tc>
          <w:tcPr>
            <w:tcW w:w="4190" w:type="dxa"/>
          </w:tcPr>
          <w:p w14:paraId="23C48B11" w14:textId="61898B52" w:rsidR="009505BD" w:rsidRDefault="0048079A" w:rsidP="00266DB8">
            <w:pPr>
              <w:pStyle w:val="ListBullet"/>
              <w:ind w:left="245" w:hanging="245"/>
            </w:pPr>
            <w:r>
              <w:t xml:space="preserve">Raised voice, verbally neutral comments uttered in an aggressive </w:t>
            </w:r>
            <w:r w:rsidR="00FC5726">
              <w:t>manner.</w:t>
            </w:r>
          </w:p>
          <w:p w14:paraId="24EC3AAF" w14:textId="3A3F26E9" w:rsidR="0048079A" w:rsidRDefault="00793E4B" w:rsidP="00AE232C">
            <w:pPr>
              <w:pStyle w:val="ListBullet"/>
              <w:ind w:left="245" w:hanging="245"/>
            </w:pPr>
            <w:r>
              <w:t xml:space="preserve"> Name calling, raised voice at a safe distance</w:t>
            </w:r>
          </w:p>
        </w:tc>
        <w:tc>
          <w:tcPr>
            <w:tcW w:w="3827" w:type="dxa"/>
          </w:tcPr>
          <w:p w14:paraId="4928311C" w14:textId="59A571D5" w:rsidR="0048079A" w:rsidRDefault="00AE232C" w:rsidP="00AE232C">
            <w:pPr>
              <w:pStyle w:val="ListBullet"/>
              <w:ind w:left="245" w:hanging="245"/>
            </w:pPr>
            <w:r>
              <w:t>D</w:t>
            </w:r>
            <w:r w:rsidR="00ED5BBF">
              <w:t>efinite intent to intimidate/threaten, verbal attacks, abuse</w:t>
            </w:r>
            <w:r w:rsidR="009F72ED">
              <w:t>, raised voice with closing of personal distance</w:t>
            </w:r>
          </w:p>
        </w:tc>
      </w:tr>
      <w:tr w:rsidR="0048079A" w14:paraId="08416676" w14:textId="5E452160" w:rsidTr="7FDDA926">
        <w:trPr>
          <w:trHeight w:val="300"/>
        </w:trPr>
        <w:tc>
          <w:tcPr>
            <w:tcW w:w="1050" w:type="dxa"/>
          </w:tcPr>
          <w:p w14:paraId="1E98C65C" w14:textId="32E12FBD" w:rsidR="0048079A" w:rsidRPr="007547A4" w:rsidRDefault="0048079A" w:rsidP="009E3780">
            <w:pPr>
              <w:rPr>
                <w:i/>
                <w:iCs/>
              </w:rPr>
            </w:pPr>
            <w:r w:rsidRPr="007547A4">
              <w:rPr>
                <w:i/>
                <w:iCs/>
              </w:rPr>
              <w:t>Physical signs</w:t>
            </w:r>
          </w:p>
        </w:tc>
        <w:tc>
          <w:tcPr>
            <w:tcW w:w="4190" w:type="dxa"/>
          </w:tcPr>
          <w:p w14:paraId="2A4FB997" w14:textId="091B4C59" w:rsidR="009505BD" w:rsidRDefault="0048079A" w:rsidP="00837BDE">
            <w:pPr>
              <w:pStyle w:val="ListBullet"/>
              <w:ind w:left="245" w:hanging="245"/>
            </w:pPr>
            <w:r>
              <w:t xml:space="preserve">Hand ringing, staring, clenched </w:t>
            </w:r>
            <w:r w:rsidR="00FC5726">
              <w:t>fists.</w:t>
            </w:r>
            <w:r w:rsidR="00793E4B">
              <w:t xml:space="preserve"> </w:t>
            </w:r>
          </w:p>
          <w:p w14:paraId="65FE86FE" w14:textId="2F09A14F" w:rsidR="0048079A" w:rsidRPr="00A112E8" w:rsidRDefault="00793E4B" w:rsidP="00A112E8">
            <w:pPr>
              <w:pStyle w:val="ListBullet"/>
              <w:ind w:left="245" w:hanging="245"/>
              <w:rPr>
                <w:rFonts w:ascii="Times New Roman" w:hAnsi="Times New Roman"/>
              </w:rPr>
            </w:pPr>
            <w:r>
              <w:t xml:space="preserve">Aggressive stance, making fists, unable to sit still, pacing, </w:t>
            </w:r>
            <w:r w:rsidRPr="00ED5BBF">
              <w:rPr>
                <w:szCs w:val="24"/>
              </w:rPr>
              <w:t xml:space="preserve">taking items, </w:t>
            </w:r>
            <w:r>
              <w:t>easily annoyed/angered, unable to tolerate the presence of others, reasonable belief of possessing weapons (with no current threat)</w:t>
            </w:r>
          </w:p>
        </w:tc>
        <w:tc>
          <w:tcPr>
            <w:tcW w:w="3827" w:type="dxa"/>
          </w:tcPr>
          <w:p w14:paraId="1D1E3E10" w14:textId="1FB4E9AF" w:rsidR="0048079A" w:rsidRDefault="730DF4CF" w:rsidP="00AE232C">
            <w:pPr>
              <w:pStyle w:val="ListBullet"/>
              <w:ind w:left="245" w:hanging="245"/>
            </w:pPr>
            <w:r>
              <w:t xml:space="preserve">Severe behavioural changes </w:t>
            </w:r>
            <w:r w:rsidR="00FA61A5">
              <w:t>include</w:t>
            </w:r>
            <w:r>
              <w:t xml:space="preserve"> unwillingness to stay in area,</w:t>
            </w:r>
            <w:r w:rsidR="3D02EB6E">
              <w:t xml:space="preserve"> </w:t>
            </w:r>
            <w:r w:rsidR="009F1DAB">
              <w:t>absconding</w:t>
            </w:r>
            <w:r w:rsidR="007500A0">
              <w:t xml:space="preserve"> with personal threats</w:t>
            </w:r>
            <w:r w:rsidR="3D02EB6E">
              <w:t>,</w:t>
            </w:r>
            <w:r>
              <w:t xml:space="preserve"> unwillingness to return equipment</w:t>
            </w:r>
            <w:r w:rsidR="70884D50">
              <w:t>, evidence of weapons</w:t>
            </w:r>
            <w:r w:rsidR="001E3053">
              <w:t>,</w:t>
            </w:r>
            <w:r w:rsidR="009D7A6D">
              <w:t xml:space="preserve"> aggression aimed at damaging property </w:t>
            </w:r>
            <w:r w:rsidR="0048006F">
              <w:t>i.e.,</w:t>
            </w:r>
            <w:r w:rsidR="009D7A6D">
              <w:t xml:space="preserve"> slamming doors, </w:t>
            </w:r>
            <w:r w:rsidR="0048006F">
              <w:t>banging,</w:t>
            </w:r>
            <w:r w:rsidR="009D7A6D">
              <w:t xml:space="preserve"> or kicking objects.</w:t>
            </w:r>
          </w:p>
        </w:tc>
      </w:tr>
      <w:tr w:rsidR="00616232" w14:paraId="7E5F9CED" w14:textId="77777777" w:rsidTr="7FDDA926">
        <w:trPr>
          <w:trHeight w:val="300"/>
        </w:trPr>
        <w:tc>
          <w:tcPr>
            <w:tcW w:w="1050" w:type="dxa"/>
          </w:tcPr>
          <w:p w14:paraId="213CCCF9" w14:textId="75F6DEA1" w:rsidR="00616232" w:rsidRPr="007547A4" w:rsidRDefault="00F26227" w:rsidP="009E3780">
            <w:pPr>
              <w:rPr>
                <w:i/>
                <w:iCs/>
              </w:rPr>
            </w:pPr>
            <w:r>
              <w:rPr>
                <w:i/>
                <w:iCs/>
              </w:rPr>
              <w:t>Other considerations</w:t>
            </w:r>
          </w:p>
        </w:tc>
        <w:tc>
          <w:tcPr>
            <w:tcW w:w="4190" w:type="dxa"/>
          </w:tcPr>
          <w:p w14:paraId="4366B9A1" w14:textId="6926A351" w:rsidR="00AE232C" w:rsidRDefault="00982B6F" w:rsidP="00AE232C">
            <w:pPr>
              <w:pStyle w:val="ListBullet"/>
              <w:ind w:left="245" w:hanging="245"/>
            </w:pPr>
            <w:r>
              <w:t>Known history of v</w:t>
            </w:r>
            <w:r w:rsidR="00F26227">
              <w:t>iolence or aggression</w:t>
            </w:r>
            <w:r w:rsidR="00806D17">
              <w:t>.</w:t>
            </w:r>
            <w:r w:rsidR="00F26227">
              <w:t xml:space="preserve"> </w:t>
            </w:r>
          </w:p>
          <w:p w14:paraId="66AAB62B" w14:textId="035A633A" w:rsidR="00616232" w:rsidRDefault="00AE232C" w:rsidP="00AE232C">
            <w:pPr>
              <w:pStyle w:val="ListBullet"/>
              <w:ind w:left="245" w:hanging="245"/>
            </w:pPr>
            <w:r>
              <w:t>Alerts for aggressive behaviour</w:t>
            </w:r>
          </w:p>
          <w:p w14:paraId="5E297817" w14:textId="0A5457EF" w:rsidR="00F26227" w:rsidRDefault="00D70472" w:rsidP="00AE232C">
            <w:pPr>
              <w:pStyle w:val="ListBullet"/>
              <w:ind w:left="245" w:hanging="245"/>
            </w:pPr>
            <w:r>
              <w:t xml:space="preserve">Altered </w:t>
            </w:r>
            <w:r w:rsidR="00912F1C">
              <w:t>mental state</w:t>
            </w:r>
            <w:r w:rsidR="00806D17">
              <w:t>.</w:t>
            </w:r>
          </w:p>
          <w:p w14:paraId="1CB23C52" w14:textId="38988172" w:rsidR="003D2718" w:rsidRPr="003D2718" w:rsidRDefault="003D2718" w:rsidP="7FDDA926">
            <w:pPr>
              <w:pStyle w:val="ListBullet"/>
              <w:tabs>
                <w:tab w:val="num" w:pos="360"/>
              </w:tabs>
              <w:ind w:left="245" w:hanging="245"/>
              <w:rPr>
                <w:szCs w:val="24"/>
              </w:rPr>
            </w:pPr>
            <w:r>
              <w:rPr>
                <w:szCs w:val="24"/>
              </w:rPr>
              <w:t>Cognitive status that affects people’s ability to communicate and capacity to understand information</w:t>
            </w:r>
            <w:r w:rsidR="00806D17">
              <w:rPr>
                <w:szCs w:val="24"/>
              </w:rPr>
              <w:t>.</w:t>
            </w:r>
          </w:p>
          <w:p w14:paraId="34903597" w14:textId="0C04515E" w:rsidR="005476C7" w:rsidRDefault="148E1A7E" w:rsidP="7FDDA926">
            <w:pPr>
              <w:pStyle w:val="ListBullet"/>
              <w:tabs>
                <w:tab w:val="num" w:pos="360"/>
              </w:tabs>
              <w:ind w:left="245" w:hanging="245"/>
              <w:rPr>
                <w:szCs w:val="24"/>
              </w:rPr>
            </w:pPr>
            <w:r w:rsidRPr="7FDDA926">
              <w:rPr>
                <w:szCs w:val="24"/>
              </w:rPr>
              <w:t>Neurodiversity and baseline cognitive status.</w:t>
            </w:r>
          </w:p>
        </w:tc>
        <w:tc>
          <w:tcPr>
            <w:tcW w:w="3827" w:type="dxa"/>
          </w:tcPr>
          <w:p w14:paraId="1B64A020" w14:textId="77777777" w:rsidR="00616232" w:rsidRDefault="00616232" w:rsidP="001A0665">
            <w:pPr>
              <w:pStyle w:val="ListBullet"/>
              <w:numPr>
                <w:ilvl w:val="0"/>
                <w:numId w:val="0"/>
              </w:numPr>
            </w:pPr>
          </w:p>
        </w:tc>
      </w:tr>
    </w:tbl>
    <w:p w14:paraId="52B7297E" w14:textId="77777777" w:rsidR="009E3780" w:rsidRDefault="009E3780" w:rsidP="009E3780"/>
    <w:p w14:paraId="2F51A89F" w14:textId="4C0994BC" w:rsidR="007B6904" w:rsidRPr="00133E74" w:rsidRDefault="00C31591" w:rsidP="00782B2C">
      <w:pPr>
        <w:pBdr>
          <w:top w:val="single" w:sz="4" w:space="1" w:color="auto"/>
          <w:left w:val="single" w:sz="4" w:space="4" w:color="auto"/>
          <w:bottom w:val="single" w:sz="4" w:space="1" w:color="auto"/>
          <w:right w:val="single" w:sz="4" w:space="4" w:color="auto"/>
        </w:pBdr>
        <w:rPr>
          <w:rFonts w:cs="Arial"/>
          <w:iCs/>
          <w:szCs w:val="24"/>
        </w:rPr>
      </w:pPr>
      <w:r w:rsidRPr="003E35C9">
        <w:rPr>
          <w:rFonts w:cs="Arial"/>
          <w:b/>
          <w:bCs/>
          <w:iCs/>
          <w:szCs w:val="24"/>
        </w:rPr>
        <w:t>ALERT</w:t>
      </w:r>
      <w:r>
        <w:rPr>
          <w:rFonts w:cs="Arial"/>
          <w:iCs/>
          <w:szCs w:val="24"/>
        </w:rPr>
        <w:t>: For severe</w:t>
      </w:r>
      <w:r w:rsidR="00946A3E">
        <w:rPr>
          <w:rFonts w:cs="Arial"/>
          <w:iCs/>
          <w:szCs w:val="24"/>
        </w:rPr>
        <w:t xml:space="preserve"> personal threat</w:t>
      </w:r>
      <w:r w:rsidR="00C33E7C">
        <w:rPr>
          <w:rFonts w:cs="Arial"/>
          <w:iCs/>
          <w:szCs w:val="24"/>
        </w:rPr>
        <w:t xml:space="preserve"> or threat involving weapons, police </w:t>
      </w:r>
      <w:r w:rsidR="00A11108">
        <w:rPr>
          <w:rFonts w:cs="Arial"/>
          <w:iCs/>
          <w:szCs w:val="24"/>
        </w:rPr>
        <w:t xml:space="preserve">are </w:t>
      </w:r>
      <w:r w:rsidR="00C33E7C">
        <w:rPr>
          <w:rFonts w:cs="Arial"/>
          <w:iCs/>
          <w:szCs w:val="24"/>
        </w:rPr>
        <w:t xml:space="preserve">to be contacted on </w:t>
      </w:r>
      <w:r w:rsidR="00782B2C">
        <w:rPr>
          <w:rFonts w:cs="Arial"/>
          <w:iCs/>
          <w:szCs w:val="24"/>
        </w:rPr>
        <w:t>0-000</w:t>
      </w:r>
    </w:p>
    <w:p w14:paraId="50C92A0D" w14:textId="77777777" w:rsidR="003E35C9" w:rsidRDefault="003E35C9" w:rsidP="007B6904">
      <w:pPr>
        <w:jc w:val="right"/>
      </w:pPr>
    </w:p>
    <w:p w14:paraId="2F51A8A0" w14:textId="59814F39" w:rsidR="007B6904" w:rsidRDefault="007B6904" w:rsidP="007B6904">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5CA0DD6A" w14:textId="7B73C881" w:rsidR="00A112E8" w:rsidRDefault="00A112E8" w:rsidP="00A112E8">
      <w:pPr>
        <w:spacing w:after="200" w:line="276" w:lineRule="auto"/>
        <w:rPr>
          <w:rFonts w:cs="Arial"/>
          <w:i/>
          <w:szCs w:val="24"/>
        </w:rPr>
      </w:pPr>
      <w:r>
        <w:rPr>
          <w:rFonts w:cs="Arial"/>
          <w: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1345F780" w:rsidR="007B6904" w:rsidRPr="003D2D06" w:rsidRDefault="00962C46" w:rsidP="00924A20">
            <w:pPr>
              <w:pStyle w:val="Heading1"/>
            </w:pPr>
            <w:bookmarkStart w:id="21" w:name="_Toc389473284"/>
            <w:bookmarkStart w:id="22" w:name="_Toc160461940"/>
            <w:r>
              <w:lastRenderedPageBreak/>
              <w:t xml:space="preserve">Section </w:t>
            </w:r>
            <w:r w:rsidR="009F1EC0">
              <w:t>3</w:t>
            </w:r>
            <w:r w:rsidR="007B6904" w:rsidRPr="003D2D06">
              <w:t xml:space="preserve"> – </w:t>
            </w:r>
            <w:bookmarkEnd w:id="21"/>
            <w:r w:rsidR="003B741D">
              <w:t>How to activate</w:t>
            </w:r>
            <w:r w:rsidR="003E35C9">
              <w:t xml:space="preserve"> a Grey Response</w:t>
            </w:r>
            <w:bookmarkEnd w:id="22"/>
          </w:p>
        </w:tc>
      </w:tr>
    </w:tbl>
    <w:p w14:paraId="5D0B1D41" w14:textId="589C7580" w:rsidR="00B16EF2" w:rsidRDefault="00B16EF2" w:rsidP="00B16EF2">
      <w:pPr>
        <w:rPr>
          <w:rFonts w:ascii="Times New Roman" w:hAnsi="Times New Roman"/>
        </w:rPr>
      </w:pPr>
      <w:r>
        <w:t xml:space="preserve">Any staff member in the ED can </w:t>
      </w:r>
      <w:r w:rsidR="00F1523B">
        <w:t>ac</w:t>
      </w:r>
      <w:r w:rsidR="00FB2CB7">
        <w:t>tivate</w:t>
      </w:r>
      <w:r>
        <w:t xml:space="preserve"> a Grey Response</w:t>
      </w:r>
      <w:r w:rsidR="00812B3C">
        <w:t xml:space="preserve">, to any location within the </w:t>
      </w:r>
      <w:r w:rsidR="00CF10BE">
        <w:t>department</w:t>
      </w:r>
      <w:r w:rsidR="00812B3C">
        <w:t>, including the ambulance bay.</w:t>
      </w:r>
    </w:p>
    <w:p w14:paraId="126915C4" w14:textId="77777777" w:rsidR="00021839" w:rsidRDefault="00021839" w:rsidP="00021839"/>
    <w:p w14:paraId="0E6E2567" w14:textId="36CF5FCE" w:rsidR="00B16EF2" w:rsidRDefault="00B16EF2" w:rsidP="00021839">
      <w:r>
        <w:t xml:space="preserve">A Grey Response is activated by </w:t>
      </w:r>
      <w:r w:rsidR="00100BC1">
        <w:t xml:space="preserve">announcing over the PA system as well as </w:t>
      </w:r>
      <w:r w:rsidR="008B6A79">
        <w:t xml:space="preserve">dialling </w:t>
      </w:r>
      <w:r w:rsidR="0060107B">
        <w:t xml:space="preserve">the emergency line on </w:t>
      </w:r>
      <w:r w:rsidR="008B6A79">
        <w:t>‘2222’</w:t>
      </w:r>
      <w:r w:rsidR="00100BC1">
        <w:t xml:space="preserve">, </w:t>
      </w:r>
      <w:r w:rsidR="00AE72D5">
        <w:t xml:space="preserve">staff are to </w:t>
      </w:r>
      <w:r w:rsidR="004D329D">
        <w:t xml:space="preserve">provide </w:t>
      </w:r>
      <w:r w:rsidR="009A4B69">
        <w:t>the following information:</w:t>
      </w:r>
    </w:p>
    <w:p w14:paraId="3C624B58" w14:textId="77777777" w:rsidR="006A2910" w:rsidRPr="00A112E8" w:rsidRDefault="0064518D" w:rsidP="00A112E8">
      <w:pPr>
        <w:pStyle w:val="ListBullet"/>
      </w:pPr>
      <w:r w:rsidRPr="00A112E8">
        <w:t xml:space="preserve">Type of emergency: </w:t>
      </w:r>
      <w:r w:rsidR="0060107B" w:rsidRPr="00A112E8">
        <w:t>Grey Response</w:t>
      </w:r>
    </w:p>
    <w:p w14:paraId="50F43347" w14:textId="0844DBF4" w:rsidR="006A2910" w:rsidRPr="00A112E8" w:rsidRDefault="0060107B" w:rsidP="00A112E8">
      <w:pPr>
        <w:pStyle w:val="ListBullet"/>
      </w:pPr>
      <w:r w:rsidRPr="00A112E8">
        <w:t>Location</w:t>
      </w:r>
      <w:r w:rsidR="002E10BF" w:rsidRPr="00A112E8">
        <w:t xml:space="preserve"> (including bed number if applicable)</w:t>
      </w:r>
    </w:p>
    <w:p w14:paraId="2F51A8AB" w14:textId="6ADB1720" w:rsidR="00201FB6" w:rsidRDefault="00201FB6" w:rsidP="00201FB6">
      <w:pPr>
        <w:rPr>
          <w:rFonts w:cs="Arial"/>
          <w:iCs/>
          <w:szCs w:val="24"/>
        </w:rPr>
      </w:pPr>
    </w:p>
    <w:p w14:paraId="721313F1" w14:textId="3A8E4DE3" w:rsidR="00B47FBB" w:rsidRDefault="006C3D9D" w:rsidP="00201FB6">
      <w:pPr>
        <w:rPr>
          <w:rFonts w:cs="Arial"/>
          <w:iCs/>
          <w:szCs w:val="24"/>
        </w:rPr>
      </w:pPr>
      <w:r>
        <w:rPr>
          <w:rFonts w:cs="Arial"/>
          <w:iCs/>
          <w:szCs w:val="24"/>
        </w:rPr>
        <w:t xml:space="preserve">The switchboard operator will then </w:t>
      </w:r>
      <w:r w:rsidR="00B347EA">
        <w:rPr>
          <w:rFonts w:cs="Arial"/>
          <w:iCs/>
          <w:szCs w:val="24"/>
        </w:rPr>
        <w:t xml:space="preserve">complete the </w:t>
      </w:r>
      <w:r w:rsidR="005827B9">
        <w:rPr>
          <w:rFonts w:cs="Arial"/>
          <w:iCs/>
          <w:szCs w:val="24"/>
        </w:rPr>
        <w:t>G</w:t>
      </w:r>
      <w:r w:rsidR="005A2AFD">
        <w:rPr>
          <w:rFonts w:cs="Arial"/>
          <w:iCs/>
          <w:szCs w:val="24"/>
        </w:rPr>
        <w:t xml:space="preserve">rey </w:t>
      </w:r>
      <w:r w:rsidR="005827B9">
        <w:rPr>
          <w:rFonts w:cs="Arial"/>
          <w:iCs/>
          <w:szCs w:val="24"/>
        </w:rPr>
        <w:t>R</w:t>
      </w:r>
      <w:r w:rsidR="005A2AFD">
        <w:rPr>
          <w:rFonts w:cs="Arial"/>
          <w:iCs/>
          <w:szCs w:val="24"/>
        </w:rPr>
        <w:t xml:space="preserve">esponse </w:t>
      </w:r>
      <w:r w:rsidR="005827B9">
        <w:rPr>
          <w:rFonts w:cs="Arial"/>
          <w:iCs/>
          <w:szCs w:val="24"/>
        </w:rPr>
        <w:t>A</w:t>
      </w:r>
      <w:r w:rsidR="005A2AFD">
        <w:rPr>
          <w:rFonts w:cs="Arial"/>
          <w:iCs/>
          <w:szCs w:val="24"/>
        </w:rPr>
        <w:t xml:space="preserve">ction </w:t>
      </w:r>
      <w:r w:rsidR="005827B9">
        <w:rPr>
          <w:rFonts w:cs="Arial"/>
          <w:iCs/>
          <w:szCs w:val="24"/>
        </w:rPr>
        <w:t>C</w:t>
      </w:r>
      <w:r w:rsidR="005A2AFD">
        <w:rPr>
          <w:rFonts w:cs="Arial"/>
          <w:iCs/>
          <w:szCs w:val="24"/>
        </w:rPr>
        <w:t xml:space="preserve">ard and </w:t>
      </w:r>
      <w:r>
        <w:rPr>
          <w:rFonts w:cs="Arial"/>
          <w:iCs/>
          <w:szCs w:val="24"/>
        </w:rPr>
        <w:t>contact the following people:</w:t>
      </w:r>
    </w:p>
    <w:p w14:paraId="3493D396" w14:textId="3D9BCA73" w:rsidR="006C3D9D" w:rsidRPr="00A112E8" w:rsidRDefault="006C3D9D" w:rsidP="00A112E8">
      <w:pPr>
        <w:pStyle w:val="ListBullet"/>
      </w:pPr>
      <w:r w:rsidRPr="00A112E8">
        <w:t xml:space="preserve">ED Clinical Coordinator </w:t>
      </w:r>
    </w:p>
    <w:p w14:paraId="1F2D30CB" w14:textId="1CB26663" w:rsidR="006C3D9D" w:rsidRPr="00A112E8" w:rsidRDefault="00CE0620" w:rsidP="00A112E8">
      <w:pPr>
        <w:pStyle w:val="ListBullet"/>
      </w:pPr>
      <w:r w:rsidRPr="00A112E8">
        <w:t xml:space="preserve">ED Navigator Nurse </w:t>
      </w:r>
    </w:p>
    <w:p w14:paraId="02F4DD36" w14:textId="6C61CF95" w:rsidR="00CE0620" w:rsidRPr="00A112E8" w:rsidRDefault="00CE0620" w:rsidP="00A112E8">
      <w:pPr>
        <w:pStyle w:val="ListBullet"/>
      </w:pPr>
      <w:r w:rsidRPr="00A112E8">
        <w:t>Mental Health Clinical Liaison</w:t>
      </w:r>
      <w:r w:rsidR="00E15241" w:rsidRPr="00A112E8">
        <w:t xml:space="preserve"> (MHCL) Clinician Dures</w:t>
      </w:r>
      <w:r w:rsidR="00C046CA" w:rsidRPr="00A112E8">
        <w:t>s</w:t>
      </w:r>
      <w:r w:rsidR="00E15241" w:rsidRPr="00A112E8">
        <w:t xml:space="preserve"> Alarm phone</w:t>
      </w:r>
    </w:p>
    <w:p w14:paraId="667FEC8E" w14:textId="240FA17D" w:rsidR="00712217" w:rsidRPr="00A112E8" w:rsidRDefault="00712217" w:rsidP="00A112E8">
      <w:pPr>
        <w:pStyle w:val="ListBullet"/>
      </w:pPr>
      <w:r w:rsidRPr="00A112E8">
        <w:t>Wards people pagers (</w:t>
      </w:r>
      <w:r w:rsidR="00C046CA" w:rsidRPr="00A112E8">
        <w:t>multiple pagers</w:t>
      </w:r>
      <w:r w:rsidR="009A58F0" w:rsidRPr="00A112E8">
        <w:t>)</w:t>
      </w:r>
    </w:p>
    <w:p w14:paraId="08D3CEC3" w14:textId="758D0280" w:rsidR="009A58F0" w:rsidRPr="00A112E8" w:rsidRDefault="009A58F0" w:rsidP="00A112E8">
      <w:pPr>
        <w:pStyle w:val="ListBullet"/>
      </w:pPr>
      <w:r w:rsidRPr="00A112E8">
        <w:t>ED ADON (Pager)</w:t>
      </w:r>
    </w:p>
    <w:p w14:paraId="1B053955" w14:textId="2C6D4AB2" w:rsidR="009A58F0" w:rsidRPr="00A112E8" w:rsidRDefault="009A58F0" w:rsidP="00A112E8">
      <w:pPr>
        <w:pStyle w:val="ListBullet"/>
      </w:pPr>
      <w:r w:rsidRPr="00A112E8">
        <w:t>CDN ED (Pager)</w:t>
      </w:r>
    </w:p>
    <w:p w14:paraId="01C29EBF" w14:textId="26E4E905" w:rsidR="00712217" w:rsidRPr="00A112E8" w:rsidRDefault="00CD45A3" w:rsidP="00A112E8">
      <w:pPr>
        <w:pStyle w:val="ListBullet"/>
      </w:pPr>
      <w:r w:rsidRPr="00A112E8">
        <w:t>ED CNC (Pager)</w:t>
      </w:r>
    </w:p>
    <w:p w14:paraId="36CC30DF" w14:textId="455D4FFF" w:rsidR="00CD45A3" w:rsidRPr="00A112E8" w:rsidRDefault="00CD45A3" w:rsidP="00A112E8">
      <w:pPr>
        <w:pStyle w:val="ListBullet"/>
      </w:pPr>
      <w:r w:rsidRPr="00A112E8">
        <w:t>Security Operations Centre (Pager)</w:t>
      </w:r>
    </w:p>
    <w:p w14:paraId="27D2B0AC" w14:textId="6B3E99A9" w:rsidR="00CD45A3" w:rsidRPr="00A112E8" w:rsidRDefault="00CD45A3" w:rsidP="00A112E8">
      <w:pPr>
        <w:pStyle w:val="ListBullet"/>
      </w:pPr>
      <w:r w:rsidRPr="00A112E8">
        <w:t>Admitting Officer (Mobile)</w:t>
      </w:r>
    </w:p>
    <w:p w14:paraId="4D7701B3" w14:textId="5AD136D0" w:rsidR="00B10D94" w:rsidRPr="00BE6C7F" w:rsidRDefault="00DC7D7A" w:rsidP="00A112E8">
      <w:pPr>
        <w:pStyle w:val="ListBullet"/>
      </w:pPr>
      <w:r w:rsidRPr="00A112E8">
        <w:t>All pagers</w:t>
      </w:r>
      <w:r>
        <w:t xml:space="preserve"> receiving code black </w:t>
      </w:r>
      <w:r w:rsidR="00FA61A5">
        <w:t>messages.</w:t>
      </w:r>
    </w:p>
    <w:p w14:paraId="20A9F730" w14:textId="77777777" w:rsidR="005A2AFD" w:rsidRDefault="005A2AFD" w:rsidP="007B6904">
      <w:pPr>
        <w:rPr>
          <w:rFonts w:cs="Arial"/>
          <w:b/>
          <w:szCs w:val="24"/>
        </w:rPr>
      </w:pPr>
    </w:p>
    <w:bookmarkStart w:id="23" w:name="_Hlk152151167"/>
    <w:p w14:paraId="2F51A8AD" w14:textId="4C6181D4" w:rsidR="007B6904" w:rsidRDefault="009715F0" w:rsidP="007B6904">
      <w:pPr>
        <w:jc w:val="right"/>
        <w:rPr>
          <w:rFonts w:cs="Arial"/>
          <w:i/>
          <w:szCs w:val="24"/>
        </w:rPr>
      </w:pPr>
      <w:r>
        <w:fldChar w:fldCharType="begin"/>
      </w:r>
      <w:r>
        <w:instrText>HYPERLINK \l "Contents"</w:instrText>
      </w:r>
      <w:r>
        <w:fldChar w:fldCharType="separate"/>
      </w:r>
      <w:r w:rsidR="007B6904" w:rsidRPr="00590902">
        <w:rPr>
          <w:rStyle w:val="Hyperlink"/>
          <w:rFonts w:cs="Arial"/>
          <w:i/>
          <w:szCs w:val="24"/>
        </w:rPr>
        <w:t>Back to Table of Contents</w:t>
      </w:r>
      <w:r>
        <w:rPr>
          <w:rStyle w:val="Hyperlink"/>
          <w:rFonts w:cs="Arial"/>
          <w:i/>
          <w:szCs w:val="24"/>
        </w:rPr>
        <w:fldChar w:fldCharType="end"/>
      </w:r>
      <w:r w:rsidR="007B6904">
        <w:rPr>
          <w:rFonts w:cs="Arial"/>
          <w:i/>
          <w:szCs w:val="24"/>
        </w:rPr>
        <w:t xml:space="preserve"> </w:t>
      </w:r>
    </w:p>
    <w:p w14:paraId="65DC129E" w14:textId="20CC66D1" w:rsidR="00A112E8" w:rsidRDefault="00A112E8" w:rsidP="00A112E8">
      <w:pPr>
        <w:spacing w:after="200" w:line="276" w:lineRule="auto"/>
        <w:rPr>
          <w:rFonts w:cs="Arial"/>
          <w:i/>
          <w:szCs w:val="24"/>
        </w:rPr>
      </w:pPr>
      <w:r>
        <w:rPr>
          <w:rFonts w:cs="Arial"/>
          <w: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886000" w:rsidRPr="00CD1C0E" w14:paraId="491DA37A" w14:textId="77777777" w:rsidTr="000E70BD">
        <w:trPr>
          <w:cantSplit/>
          <w:trHeight w:val="285"/>
        </w:trPr>
        <w:tc>
          <w:tcPr>
            <w:tcW w:w="9158" w:type="dxa"/>
            <w:shd w:val="clear" w:color="auto" w:fill="A6A6A6" w:themeFill="background1" w:themeFillShade="A6"/>
          </w:tcPr>
          <w:p w14:paraId="510F0AC9" w14:textId="4A4FA687" w:rsidR="00886000" w:rsidRPr="003D2D06" w:rsidRDefault="00886000" w:rsidP="00380D39">
            <w:pPr>
              <w:pStyle w:val="Heading1"/>
            </w:pPr>
            <w:bookmarkStart w:id="24" w:name="_Toc160461941"/>
            <w:bookmarkEnd w:id="23"/>
            <w:r>
              <w:lastRenderedPageBreak/>
              <w:t xml:space="preserve">Section </w:t>
            </w:r>
            <w:r w:rsidR="009F1EC0">
              <w:t>4</w:t>
            </w:r>
            <w:r w:rsidRPr="003D2D06">
              <w:t xml:space="preserve"> –</w:t>
            </w:r>
            <w:r w:rsidR="001B3F5E">
              <w:t>R</w:t>
            </w:r>
            <w:r w:rsidR="009A01F5">
              <w:t xml:space="preserve">esponding </w:t>
            </w:r>
            <w:r w:rsidR="003E35C9">
              <w:t>to a Grey Response</w:t>
            </w:r>
            <w:bookmarkEnd w:id="24"/>
          </w:p>
        </w:tc>
      </w:tr>
    </w:tbl>
    <w:p w14:paraId="53BE92B5" w14:textId="5AEA149B" w:rsidR="00886000" w:rsidRDefault="00886000" w:rsidP="00830F4B">
      <w:pPr>
        <w:rPr>
          <w:rFonts w:cs="Arial"/>
          <w:b/>
          <w:szCs w:val="24"/>
        </w:rPr>
      </w:pPr>
    </w:p>
    <w:p w14:paraId="2C0D213D" w14:textId="75EE8399" w:rsidR="00830F4B" w:rsidRDefault="00830F4B" w:rsidP="00830F4B">
      <w:pPr>
        <w:rPr>
          <w:rFonts w:cs="Arial"/>
          <w:b/>
          <w:szCs w:val="24"/>
        </w:rPr>
      </w:pPr>
      <w:r>
        <w:rPr>
          <w:rFonts w:cs="Arial"/>
          <w:b/>
          <w:szCs w:val="24"/>
        </w:rPr>
        <w:t>Pre</w:t>
      </w:r>
      <w:r w:rsidR="00105CC7">
        <w:rPr>
          <w:rFonts w:cs="Arial"/>
          <w:b/>
          <w:szCs w:val="24"/>
        </w:rPr>
        <w:t>-event</w:t>
      </w:r>
    </w:p>
    <w:p w14:paraId="6FA48346" w14:textId="1A522745" w:rsidR="00021839" w:rsidRDefault="00036FAE" w:rsidP="00036FAE">
      <w:r>
        <w:t xml:space="preserve">At the beginning of each shift, staff will be identified as Grey Responders. </w:t>
      </w:r>
      <w:r w:rsidR="00CA687E">
        <w:t xml:space="preserve"> </w:t>
      </w:r>
      <w:r>
        <w:t xml:space="preserve">The response team comprises of </w:t>
      </w:r>
      <w:r w:rsidR="005B2E58">
        <w:t xml:space="preserve">four to </w:t>
      </w:r>
      <w:r w:rsidR="00564E84">
        <w:t>five</w:t>
      </w:r>
      <w:r w:rsidR="005B5737">
        <w:t xml:space="preserve"> people</w:t>
      </w:r>
      <w:r w:rsidR="00B73A30">
        <w:t>:</w:t>
      </w:r>
      <w:r w:rsidR="085A7713">
        <w:t xml:space="preserve"> </w:t>
      </w:r>
    </w:p>
    <w:tbl>
      <w:tblPr>
        <w:tblStyle w:val="TableGrid"/>
        <w:tblW w:w="9209" w:type="dxa"/>
        <w:tblLook w:val="04A0" w:firstRow="1" w:lastRow="0" w:firstColumn="1" w:lastColumn="0" w:noHBand="0" w:noVBand="1"/>
      </w:tblPr>
      <w:tblGrid>
        <w:gridCol w:w="2263"/>
        <w:gridCol w:w="2835"/>
        <w:gridCol w:w="4111"/>
      </w:tblGrid>
      <w:tr w:rsidR="00443CB6" w14:paraId="29CB3579" w14:textId="3FA3B9B2" w:rsidTr="00A112E8">
        <w:trPr>
          <w:tblHeader/>
        </w:trPr>
        <w:tc>
          <w:tcPr>
            <w:tcW w:w="2263" w:type="dxa"/>
            <w:shd w:val="clear" w:color="auto" w:fill="F2F2F2" w:themeFill="background1" w:themeFillShade="F2"/>
          </w:tcPr>
          <w:p w14:paraId="3C97F270" w14:textId="71FDB46A" w:rsidR="00443CB6" w:rsidRPr="009335BF" w:rsidRDefault="00443CB6" w:rsidP="00036FAE">
            <w:pPr>
              <w:rPr>
                <w:b/>
                <w:bCs/>
              </w:rPr>
            </w:pPr>
            <w:r w:rsidRPr="009335BF">
              <w:rPr>
                <w:b/>
                <w:bCs/>
              </w:rPr>
              <w:t>Role</w:t>
            </w:r>
          </w:p>
        </w:tc>
        <w:tc>
          <w:tcPr>
            <w:tcW w:w="2835" w:type="dxa"/>
            <w:shd w:val="clear" w:color="auto" w:fill="F2F2F2" w:themeFill="background1" w:themeFillShade="F2"/>
          </w:tcPr>
          <w:p w14:paraId="2C3C8BC8" w14:textId="309BA8C9" w:rsidR="00443CB6" w:rsidRPr="009335BF" w:rsidRDefault="00443CB6" w:rsidP="00036FAE">
            <w:pPr>
              <w:rPr>
                <w:b/>
                <w:bCs/>
              </w:rPr>
            </w:pPr>
            <w:r w:rsidRPr="009335BF">
              <w:rPr>
                <w:b/>
                <w:bCs/>
              </w:rPr>
              <w:t>Route of Communication</w:t>
            </w:r>
          </w:p>
        </w:tc>
        <w:tc>
          <w:tcPr>
            <w:tcW w:w="4111" w:type="dxa"/>
            <w:shd w:val="clear" w:color="auto" w:fill="F2F2F2" w:themeFill="background1" w:themeFillShade="F2"/>
          </w:tcPr>
          <w:p w14:paraId="0717C9BE" w14:textId="6967BC10" w:rsidR="00443CB6" w:rsidRPr="009335BF" w:rsidRDefault="2908047A" w:rsidP="00036FAE">
            <w:pPr>
              <w:rPr>
                <w:b/>
                <w:bCs/>
              </w:rPr>
            </w:pPr>
            <w:r w:rsidRPr="49B29100">
              <w:rPr>
                <w:b/>
                <w:bCs/>
              </w:rPr>
              <w:t>Action to Take</w:t>
            </w:r>
            <w:r w:rsidR="03ABD78C" w:rsidRPr="49B29100">
              <w:rPr>
                <w:b/>
                <w:bCs/>
              </w:rPr>
              <w:t xml:space="preserve"> </w:t>
            </w:r>
          </w:p>
        </w:tc>
      </w:tr>
      <w:tr w:rsidR="00443CB6" w14:paraId="4D00DF52" w14:textId="0E1733A6" w:rsidTr="00A112E8">
        <w:trPr>
          <w:tblHeader/>
        </w:trPr>
        <w:tc>
          <w:tcPr>
            <w:tcW w:w="2263" w:type="dxa"/>
          </w:tcPr>
          <w:p w14:paraId="73CF372C" w14:textId="6805A360" w:rsidR="00443CB6" w:rsidRDefault="00B151E5" w:rsidP="00036FAE">
            <w:r>
              <w:t>ED Medical Officer (EDMO)</w:t>
            </w:r>
          </w:p>
        </w:tc>
        <w:tc>
          <w:tcPr>
            <w:tcW w:w="2835" w:type="dxa"/>
          </w:tcPr>
          <w:p w14:paraId="6F84997A" w14:textId="51374E78" w:rsidR="00443CB6" w:rsidRDefault="00D44CB9" w:rsidP="00036FAE">
            <w:r>
              <w:t>SMS</w:t>
            </w:r>
            <w:r w:rsidR="00A31A22">
              <w:t xml:space="preserve"> </w:t>
            </w:r>
            <w:r>
              <w:t>to</w:t>
            </w:r>
            <w:r w:rsidR="00A31A22">
              <w:t xml:space="preserve"> the AO phone</w:t>
            </w:r>
            <w:r w:rsidR="0012055B">
              <w:t xml:space="preserve"> </w:t>
            </w:r>
            <w:r w:rsidR="0012055B">
              <w:t>and overhead PA notification</w:t>
            </w:r>
          </w:p>
        </w:tc>
        <w:tc>
          <w:tcPr>
            <w:tcW w:w="4111" w:type="dxa"/>
          </w:tcPr>
          <w:p w14:paraId="2B252220" w14:textId="5C09B88F" w:rsidR="00443CB6" w:rsidRDefault="00E32867" w:rsidP="00036FAE">
            <w:r>
              <w:t>If a Grey Response occurs within a Pod, the responding EDMO will be the senior EDMO in that pod. In the event of a Grey Response occurring outside of a pod i.e. corridor, waiting room, ambulance bay or ED entrance, the senior EDMO in Pod 5 will respond.  If unable to attend, ensure a senior delegate is sent to respond</w:t>
            </w:r>
            <w:r>
              <w:t>.</w:t>
            </w:r>
          </w:p>
        </w:tc>
      </w:tr>
      <w:tr w:rsidR="00443CB6" w14:paraId="1F222DFA" w14:textId="60E1B560" w:rsidTr="00A112E8">
        <w:trPr>
          <w:tblHeader/>
        </w:trPr>
        <w:tc>
          <w:tcPr>
            <w:tcW w:w="2263" w:type="dxa"/>
          </w:tcPr>
          <w:p w14:paraId="35842C53" w14:textId="0E020DFE" w:rsidR="00443CB6" w:rsidRDefault="00443CB6" w:rsidP="00036FAE">
            <w:r>
              <w:t xml:space="preserve">ED </w:t>
            </w:r>
            <w:r w:rsidR="000B162A">
              <w:t xml:space="preserve">Nursing </w:t>
            </w:r>
            <w:r w:rsidR="00380978">
              <w:t>Clinical Coordinator</w:t>
            </w:r>
          </w:p>
        </w:tc>
        <w:tc>
          <w:tcPr>
            <w:tcW w:w="2835" w:type="dxa"/>
          </w:tcPr>
          <w:p w14:paraId="2AA53655" w14:textId="3F29AE4F" w:rsidR="00443CB6" w:rsidRDefault="00D44CB9" w:rsidP="00036FAE">
            <w:r>
              <w:t>SMS to</w:t>
            </w:r>
            <w:r w:rsidR="00A31A22">
              <w:t xml:space="preserve"> the Clinical coordinator</w:t>
            </w:r>
            <w:r>
              <w:t xml:space="preserve"> phone</w:t>
            </w:r>
          </w:p>
        </w:tc>
        <w:tc>
          <w:tcPr>
            <w:tcW w:w="4111" w:type="dxa"/>
          </w:tcPr>
          <w:p w14:paraId="4DF81624" w14:textId="10BAE48B" w:rsidR="00443CB6" w:rsidRDefault="003D0278" w:rsidP="00036FAE">
            <w:r>
              <w:t>Respond to the grey response, if unable to attend, ensure a</w:t>
            </w:r>
            <w:r w:rsidR="000F0DC4">
              <w:t xml:space="preserve"> senior</w:t>
            </w:r>
            <w:r>
              <w:t xml:space="preserve"> delegate is sent to respond</w:t>
            </w:r>
          </w:p>
        </w:tc>
      </w:tr>
      <w:tr w:rsidR="00443CB6" w14:paraId="42987084" w14:textId="7BE8B5A4" w:rsidTr="00A112E8">
        <w:trPr>
          <w:tblHeader/>
        </w:trPr>
        <w:tc>
          <w:tcPr>
            <w:tcW w:w="2263" w:type="dxa"/>
          </w:tcPr>
          <w:p w14:paraId="2CEE8994" w14:textId="3F02CC70" w:rsidR="00443CB6" w:rsidRDefault="00FA61A5" w:rsidP="00036FAE">
            <w:r>
              <w:t>Wardsperson</w:t>
            </w:r>
            <w:r w:rsidR="00A233AC">
              <w:t xml:space="preserve"> </w:t>
            </w:r>
          </w:p>
        </w:tc>
        <w:tc>
          <w:tcPr>
            <w:tcW w:w="2835" w:type="dxa"/>
          </w:tcPr>
          <w:p w14:paraId="5620C7A9" w14:textId="70787187" w:rsidR="00443CB6" w:rsidRDefault="0009571A" w:rsidP="00036FAE">
            <w:r>
              <w:t>Pager</w:t>
            </w:r>
            <w:r w:rsidR="004674EF">
              <w:t xml:space="preserve"> alert to all wards </w:t>
            </w:r>
            <w:r w:rsidR="00B16048">
              <w:t>persons</w:t>
            </w:r>
            <w:r w:rsidR="004674EF">
              <w:t xml:space="preserve"> pagers.</w:t>
            </w:r>
          </w:p>
        </w:tc>
        <w:tc>
          <w:tcPr>
            <w:tcW w:w="4111" w:type="dxa"/>
          </w:tcPr>
          <w:p w14:paraId="298D5D8C" w14:textId="59F5D248" w:rsidR="00443CB6" w:rsidRPr="000844A1" w:rsidRDefault="00F91DCA" w:rsidP="00036FAE">
            <w:pPr>
              <w:rPr>
                <w:highlight w:val="yellow"/>
              </w:rPr>
            </w:pPr>
            <w:r>
              <w:t xml:space="preserve">Once pager received, </w:t>
            </w:r>
            <w:r w:rsidR="00711CA5">
              <w:t>o</w:t>
            </w:r>
            <w:r w:rsidR="004674EF">
              <w:t xml:space="preserve">ne wardsperson </w:t>
            </w:r>
            <w:r>
              <w:t xml:space="preserve">who is available will be allocated </w:t>
            </w:r>
            <w:r w:rsidR="00A233AC">
              <w:t xml:space="preserve">by the wardsperson supervisor </w:t>
            </w:r>
            <w:r>
              <w:t xml:space="preserve">to respond </w:t>
            </w:r>
            <w:r w:rsidR="003E148E">
              <w:t xml:space="preserve">and </w:t>
            </w:r>
            <w:r>
              <w:t>p</w:t>
            </w:r>
            <w:r w:rsidR="003F65EC" w:rsidRPr="00443CB6">
              <w:t xml:space="preserve">resent to the </w:t>
            </w:r>
            <w:r w:rsidR="003F65EC">
              <w:t>ED navigator</w:t>
            </w:r>
            <w:r w:rsidR="00AD40B3">
              <w:t xml:space="preserve"> for further instructions</w:t>
            </w:r>
          </w:p>
        </w:tc>
      </w:tr>
      <w:tr w:rsidR="00443CB6" w14:paraId="4A720AEE" w14:textId="52E4CB3B" w:rsidTr="00A112E8">
        <w:trPr>
          <w:tblHeader/>
        </w:trPr>
        <w:tc>
          <w:tcPr>
            <w:tcW w:w="2263" w:type="dxa"/>
          </w:tcPr>
          <w:p w14:paraId="4D9F9717" w14:textId="16523E76" w:rsidR="00443CB6" w:rsidRDefault="00443CB6" w:rsidP="00036FAE">
            <w:r>
              <w:t>Security Officer</w:t>
            </w:r>
          </w:p>
        </w:tc>
        <w:tc>
          <w:tcPr>
            <w:tcW w:w="2835" w:type="dxa"/>
          </w:tcPr>
          <w:p w14:paraId="7E743068" w14:textId="04F37B32" w:rsidR="00443CB6" w:rsidRPr="000844A1" w:rsidRDefault="003F65EC" w:rsidP="00036FAE">
            <w:pPr>
              <w:rPr>
                <w:highlight w:val="yellow"/>
              </w:rPr>
            </w:pPr>
            <w:r w:rsidRPr="003F65EC">
              <w:t>Pager</w:t>
            </w:r>
          </w:p>
        </w:tc>
        <w:tc>
          <w:tcPr>
            <w:tcW w:w="4111" w:type="dxa"/>
          </w:tcPr>
          <w:p w14:paraId="2E556C27" w14:textId="04EF2981" w:rsidR="00443CB6" w:rsidRPr="000844A1" w:rsidRDefault="00443CB6" w:rsidP="00036FAE">
            <w:pPr>
              <w:rPr>
                <w:highlight w:val="yellow"/>
              </w:rPr>
            </w:pPr>
            <w:r w:rsidRPr="00443CB6">
              <w:t xml:space="preserve">Present to the </w:t>
            </w:r>
            <w:r w:rsidR="003F65EC">
              <w:t>ED navigator</w:t>
            </w:r>
            <w:r w:rsidR="00AD40B3">
              <w:t xml:space="preserve"> for further instructions</w:t>
            </w:r>
          </w:p>
        </w:tc>
      </w:tr>
      <w:tr w:rsidR="005B2E58" w14:paraId="220692E4" w14:textId="77777777" w:rsidTr="00A112E8">
        <w:trPr>
          <w:tblHeader/>
        </w:trPr>
        <w:tc>
          <w:tcPr>
            <w:tcW w:w="2263" w:type="dxa"/>
          </w:tcPr>
          <w:p w14:paraId="71246D82" w14:textId="1839DD88" w:rsidR="005B2E58" w:rsidRDefault="005B2E58" w:rsidP="005B2E58">
            <w:r>
              <w:t>MHCL Clinician</w:t>
            </w:r>
          </w:p>
        </w:tc>
        <w:tc>
          <w:tcPr>
            <w:tcW w:w="2835" w:type="dxa"/>
          </w:tcPr>
          <w:p w14:paraId="1D89F915" w14:textId="7EF45BC8" w:rsidR="005B2E58" w:rsidRPr="003F65EC" w:rsidRDefault="005B2E58" w:rsidP="005B2E58">
            <w:r>
              <w:t>SMS to the MHCL phone</w:t>
            </w:r>
          </w:p>
        </w:tc>
        <w:tc>
          <w:tcPr>
            <w:tcW w:w="4111" w:type="dxa"/>
          </w:tcPr>
          <w:p w14:paraId="7F71FC64" w14:textId="77777777" w:rsidR="005B2E58" w:rsidRDefault="005B2E58" w:rsidP="005B2E58">
            <w:r>
              <w:t>Respond to the grey response if indicated.</w:t>
            </w:r>
          </w:p>
          <w:p w14:paraId="512560FC" w14:textId="52EC8888" w:rsidR="005B2E58" w:rsidRPr="00443CB6" w:rsidRDefault="005B2E58" w:rsidP="005B2E58">
            <w:r>
              <w:t>If in the ED, the allocated MHCL team member is to attend the location, if unsure of the location present to the nursing navigator</w:t>
            </w:r>
          </w:p>
        </w:tc>
      </w:tr>
    </w:tbl>
    <w:p w14:paraId="1AED28C0" w14:textId="77777777" w:rsidR="0017225B" w:rsidRDefault="0017225B" w:rsidP="00036FAE"/>
    <w:p w14:paraId="780BDE63" w14:textId="05A6C6DF" w:rsidR="00F43DFA" w:rsidRPr="003E35C9" w:rsidRDefault="003E35C9" w:rsidP="00A112E8">
      <w:pPr>
        <w:pStyle w:val="DHHS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r>
        <w:rPr>
          <w:rFonts w:asciiTheme="minorHAnsi" w:hAnsiTheme="minorHAnsi" w:cstheme="minorHAnsi"/>
          <w:sz w:val="24"/>
          <w:szCs w:val="24"/>
        </w:rPr>
        <w:t>N</w:t>
      </w:r>
      <w:r w:rsidR="00256E6A" w:rsidRPr="003E35C9">
        <w:rPr>
          <w:rFonts w:asciiTheme="minorHAnsi" w:hAnsiTheme="minorHAnsi" w:cstheme="minorHAnsi"/>
          <w:sz w:val="24"/>
          <w:szCs w:val="24"/>
        </w:rPr>
        <w:t xml:space="preserve">ote: </w:t>
      </w:r>
      <w:r w:rsidR="00A112E8">
        <w:rPr>
          <w:rFonts w:asciiTheme="minorHAnsi" w:hAnsiTheme="minorHAnsi" w:cstheme="minorHAnsi"/>
          <w:sz w:val="24"/>
          <w:szCs w:val="24"/>
        </w:rPr>
        <w:t xml:space="preserve"> </w:t>
      </w:r>
    </w:p>
    <w:p w14:paraId="2A9875EB" w14:textId="7FD5AB4A" w:rsidR="00F43DFA" w:rsidRPr="00A112E8" w:rsidRDefault="00F43DFA" w:rsidP="00A112E8">
      <w:pPr>
        <w:pStyle w:val="ListBullet"/>
        <w:pBdr>
          <w:top w:val="single" w:sz="4" w:space="1" w:color="auto"/>
          <w:left w:val="single" w:sz="4" w:space="4" w:color="auto"/>
          <w:bottom w:val="single" w:sz="4" w:space="1" w:color="auto"/>
          <w:right w:val="single" w:sz="4" w:space="4" w:color="auto"/>
        </w:pBdr>
      </w:pPr>
      <w:r w:rsidRPr="00A112E8">
        <w:t xml:space="preserve">Staff </w:t>
      </w:r>
      <w:r w:rsidR="00CE1CBC" w:rsidRPr="00A112E8">
        <w:t>on the grey response team must have completed appropriate OV training in alignment with the Occupational Violence Procedure.</w:t>
      </w:r>
    </w:p>
    <w:p w14:paraId="494F886D" w14:textId="5CBDCA6F" w:rsidR="002D50A5" w:rsidRPr="00A112E8" w:rsidRDefault="00CE0F68" w:rsidP="00A112E8">
      <w:pPr>
        <w:pStyle w:val="ListBullet"/>
        <w:pBdr>
          <w:top w:val="single" w:sz="4" w:space="1" w:color="auto"/>
          <w:left w:val="single" w:sz="4" w:space="4" w:color="auto"/>
          <w:bottom w:val="single" w:sz="4" w:space="1" w:color="auto"/>
          <w:right w:val="single" w:sz="4" w:space="4" w:color="auto"/>
        </w:pBdr>
      </w:pPr>
      <w:r w:rsidRPr="00A112E8">
        <w:t xml:space="preserve">MHCL </w:t>
      </w:r>
      <w:r w:rsidR="006F0ABA" w:rsidRPr="00A112E8">
        <w:t xml:space="preserve">staffing </w:t>
      </w:r>
      <w:r w:rsidR="00C802EC" w:rsidRPr="00A112E8">
        <w:t xml:space="preserve">availability will impact the </w:t>
      </w:r>
      <w:r w:rsidR="002D50A5" w:rsidRPr="00A112E8">
        <w:t xml:space="preserve">response of the team. </w:t>
      </w:r>
    </w:p>
    <w:p w14:paraId="2342DD4E" w14:textId="4978C391" w:rsidR="003B08F6" w:rsidRPr="00A112E8" w:rsidRDefault="002D50A5" w:rsidP="00A112E8">
      <w:pPr>
        <w:pStyle w:val="ListBullet"/>
        <w:pBdr>
          <w:top w:val="single" w:sz="4" w:space="1" w:color="auto"/>
          <w:left w:val="single" w:sz="4" w:space="4" w:color="auto"/>
          <w:bottom w:val="single" w:sz="4" w:space="1" w:color="auto"/>
          <w:right w:val="single" w:sz="4" w:space="4" w:color="auto"/>
        </w:pBdr>
      </w:pPr>
      <w:r w:rsidRPr="00A112E8">
        <w:t>T</w:t>
      </w:r>
      <w:r w:rsidR="00256E6A" w:rsidRPr="00A112E8">
        <w:t xml:space="preserve">he MHCL team have </w:t>
      </w:r>
      <w:r w:rsidR="00AE3976" w:rsidRPr="00A112E8">
        <w:t>fewer</w:t>
      </w:r>
      <w:r w:rsidR="00256E6A" w:rsidRPr="00A112E8">
        <w:t xml:space="preserve"> staff member</w:t>
      </w:r>
      <w:r w:rsidR="00AE3976" w:rsidRPr="00A112E8">
        <w:t>s</w:t>
      </w:r>
      <w:r w:rsidR="00256E6A" w:rsidRPr="00A112E8">
        <w:t xml:space="preserve"> on overnight. If the MHCL cannot attend a </w:t>
      </w:r>
      <w:r w:rsidR="008E4DF0" w:rsidRPr="00A112E8">
        <w:t>G</w:t>
      </w:r>
      <w:r w:rsidR="00256E6A" w:rsidRPr="00A112E8">
        <w:t xml:space="preserve">rey </w:t>
      </w:r>
      <w:r w:rsidR="008E4DF0" w:rsidRPr="00A112E8">
        <w:t>R</w:t>
      </w:r>
      <w:r w:rsidR="00256E6A" w:rsidRPr="00A112E8">
        <w:t>esponse</w:t>
      </w:r>
      <w:r w:rsidR="00870182" w:rsidRPr="00A112E8">
        <w:t xml:space="preserve"> </w:t>
      </w:r>
      <w:r w:rsidR="003B08F6" w:rsidRPr="00A112E8">
        <w:t>a</w:t>
      </w:r>
      <w:r w:rsidR="003B08F6" w:rsidRPr="00A112E8">
        <w:rPr>
          <w:rStyle w:val="cf01"/>
          <w:rFonts w:ascii="Calibri" w:hAnsi="Calibri" w:cs="Times New Roman"/>
          <w:sz w:val="24"/>
          <w:szCs w:val="20"/>
        </w:rPr>
        <w:t xml:space="preserve"> member of the MHCL team will respond as soon as they are available to follow up with the patient and relevant clinicians.</w:t>
      </w:r>
    </w:p>
    <w:p w14:paraId="328E1E1E" w14:textId="339C8C0F" w:rsidR="000C2ED7" w:rsidRPr="00A112E8" w:rsidRDefault="000C2ED7" w:rsidP="00A112E8">
      <w:pPr>
        <w:pStyle w:val="ListBullet"/>
        <w:pBdr>
          <w:top w:val="single" w:sz="4" w:space="1" w:color="auto"/>
          <w:left w:val="single" w:sz="4" w:space="4" w:color="auto"/>
          <w:bottom w:val="single" w:sz="4" w:space="1" w:color="auto"/>
          <w:right w:val="single" w:sz="4" w:space="4" w:color="auto"/>
        </w:pBdr>
      </w:pPr>
      <w:r w:rsidRPr="00A112E8">
        <w:t xml:space="preserve">If </w:t>
      </w:r>
      <w:r w:rsidR="00786BE8" w:rsidRPr="00A112E8">
        <w:t>the MHCL team</w:t>
      </w:r>
      <w:r w:rsidRPr="00A112E8">
        <w:t xml:space="preserve"> haven’t </w:t>
      </w:r>
      <w:r w:rsidR="001B26FD" w:rsidRPr="00A112E8">
        <w:t xml:space="preserve">responded overnight, </w:t>
      </w:r>
      <w:r w:rsidR="004B3CA0" w:rsidRPr="00A112E8">
        <w:t>the MHCL will call the ED nursing navigator</w:t>
      </w:r>
      <w:r w:rsidR="002B45CC" w:rsidRPr="00A112E8">
        <w:t>.</w:t>
      </w:r>
    </w:p>
    <w:p w14:paraId="1756AF64" w14:textId="46CE3CEF" w:rsidR="001A42E6" w:rsidRPr="00A112E8" w:rsidRDefault="00C51199" w:rsidP="00A112E8">
      <w:pPr>
        <w:pStyle w:val="ListBullet"/>
        <w:pBdr>
          <w:top w:val="single" w:sz="4" w:space="1" w:color="auto"/>
          <w:left w:val="single" w:sz="4" w:space="4" w:color="auto"/>
          <w:bottom w:val="single" w:sz="4" w:space="1" w:color="auto"/>
          <w:right w:val="single" w:sz="4" w:space="4" w:color="auto"/>
        </w:pBdr>
      </w:pPr>
      <w:r w:rsidRPr="00A112E8">
        <w:t>D</w:t>
      </w:r>
      <w:r w:rsidR="001A42E6" w:rsidRPr="00A112E8">
        <w:t xml:space="preserve">uring </w:t>
      </w:r>
      <w:r w:rsidR="00963F21" w:rsidRPr="00A112E8">
        <w:t>hours when there is more than on</w:t>
      </w:r>
      <w:r w:rsidR="001152E7" w:rsidRPr="00A112E8">
        <w:t>e</w:t>
      </w:r>
      <w:r w:rsidR="00963F21" w:rsidRPr="00A112E8">
        <w:t xml:space="preserve"> MHCL</w:t>
      </w:r>
      <w:r w:rsidR="008138BA" w:rsidRPr="00A112E8">
        <w:t xml:space="preserve">, </w:t>
      </w:r>
      <w:r w:rsidR="00786BE8" w:rsidRPr="00A112E8">
        <w:t xml:space="preserve">the MHCL </w:t>
      </w:r>
      <w:r w:rsidR="008138BA" w:rsidRPr="00A112E8">
        <w:t xml:space="preserve">staff will negotiate </w:t>
      </w:r>
      <w:r w:rsidR="00B570AE" w:rsidRPr="00A112E8">
        <w:t xml:space="preserve">who will </w:t>
      </w:r>
      <w:r w:rsidR="001152E7" w:rsidRPr="00A112E8">
        <w:t xml:space="preserve">be the </w:t>
      </w:r>
      <w:r w:rsidR="00786BE8" w:rsidRPr="00A112E8">
        <w:t>G</w:t>
      </w:r>
      <w:r w:rsidR="001152E7" w:rsidRPr="00A112E8">
        <w:t xml:space="preserve">rey </w:t>
      </w:r>
      <w:r w:rsidR="00786BE8" w:rsidRPr="00A112E8">
        <w:t>R</w:t>
      </w:r>
      <w:r w:rsidR="001152E7" w:rsidRPr="00A112E8">
        <w:t>espon</w:t>
      </w:r>
      <w:r w:rsidR="00077E47" w:rsidRPr="00A112E8">
        <w:t>d</w:t>
      </w:r>
      <w:r w:rsidR="001152E7" w:rsidRPr="00A112E8">
        <w:t>er team member</w:t>
      </w:r>
      <w:r w:rsidR="00C96706" w:rsidRPr="00A112E8">
        <w:t>, this may change throughout the day.</w:t>
      </w:r>
    </w:p>
    <w:p w14:paraId="6BE7702A" w14:textId="2E9BD6E8" w:rsidR="0079588E" w:rsidRPr="003A64F4" w:rsidRDefault="00CA3031" w:rsidP="00A112E8">
      <w:pPr>
        <w:pStyle w:val="ListBullet"/>
        <w:pBdr>
          <w:top w:val="single" w:sz="4" w:space="1" w:color="auto"/>
          <w:left w:val="single" w:sz="4" w:space="4" w:color="auto"/>
          <w:bottom w:val="single" w:sz="4" w:space="1" w:color="auto"/>
          <w:right w:val="single" w:sz="4" w:space="4" w:color="auto"/>
        </w:pBdr>
        <w:rPr>
          <w:b/>
          <w:szCs w:val="24"/>
        </w:rPr>
      </w:pPr>
      <w:r w:rsidRPr="00A112E8">
        <w:lastRenderedPageBreak/>
        <w:t>When concurrent Grey Response</w:t>
      </w:r>
      <w:r w:rsidR="00D85418" w:rsidRPr="00A112E8">
        <w:t>s or codes have been activated</w:t>
      </w:r>
      <w:r w:rsidRPr="00A112E8">
        <w:t xml:space="preserve">, </w:t>
      </w:r>
      <w:r w:rsidR="000A7758" w:rsidRPr="00A112E8">
        <w:t>all teams involved ensure adequate</w:t>
      </w:r>
      <w:r w:rsidR="000A7758">
        <w:t xml:space="preserve"> resources are present to meet the demand.</w:t>
      </w:r>
      <w:r w:rsidR="00690C24">
        <w:t xml:space="preserve"> </w:t>
      </w:r>
    </w:p>
    <w:p w14:paraId="277019EB" w14:textId="77777777" w:rsidR="003E35C9" w:rsidRDefault="003E35C9" w:rsidP="00145080">
      <w:pPr>
        <w:rPr>
          <w:b/>
          <w:bCs/>
          <w:u w:val="single"/>
        </w:rPr>
      </w:pPr>
    </w:p>
    <w:p w14:paraId="2EEA5D99" w14:textId="77777777" w:rsidR="00A112E8" w:rsidRDefault="00A112E8" w:rsidP="00145080">
      <w:pPr>
        <w:rPr>
          <w:b/>
          <w:bCs/>
          <w:u w:val="single"/>
        </w:rPr>
      </w:pPr>
    </w:p>
    <w:p w14:paraId="01D484A4" w14:textId="77777777" w:rsidR="00A112E8" w:rsidRDefault="00A112E8" w:rsidP="00145080">
      <w:pPr>
        <w:rPr>
          <w:b/>
          <w:bCs/>
          <w:u w:val="single"/>
        </w:rPr>
      </w:pPr>
    </w:p>
    <w:p w14:paraId="5139DC59" w14:textId="77777777" w:rsidR="00A112E8" w:rsidRDefault="00A112E8" w:rsidP="00145080">
      <w:pPr>
        <w:rPr>
          <w:b/>
          <w:bCs/>
          <w:u w:val="single"/>
        </w:rPr>
      </w:pPr>
    </w:p>
    <w:p w14:paraId="17D4C2A0" w14:textId="680F20F4" w:rsidR="00422B26" w:rsidRPr="00105CC7" w:rsidRDefault="00105CC7" w:rsidP="00145080">
      <w:pPr>
        <w:rPr>
          <w:b/>
          <w:bCs/>
          <w:u w:val="single"/>
        </w:rPr>
      </w:pPr>
      <w:r w:rsidRPr="00105CC7">
        <w:rPr>
          <w:b/>
          <w:bCs/>
          <w:u w:val="single"/>
        </w:rPr>
        <w:t>During event</w:t>
      </w:r>
    </w:p>
    <w:p w14:paraId="7408A6F9" w14:textId="244A28DE" w:rsidR="00422B26" w:rsidRDefault="00085ADA" w:rsidP="00145080">
      <w:pPr>
        <w:rPr>
          <w:b/>
          <w:bCs/>
        </w:rPr>
      </w:pPr>
      <w:r>
        <w:rPr>
          <w:b/>
          <w:bCs/>
        </w:rPr>
        <w:t>First Respon</w:t>
      </w:r>
      <w:r w:rsidR="00944002">
        <w:rPr>
          <w:b/>
          <w:bCs/>
        </w:rPr>
        <w:t xml:space="preserve">se/Direct patient care </w:t>
      </w:r>
    </w:p>
    <w:p w14:paraId="25E83829" w14:textId="5AD2650D" w:rsidR="00105CC7" w:rsidRDefault="00105CC7" w:rsidP="005C5016">
      <w:r>
        <w:t xml:space="preserve">Once a grey response has been called to the patient, the </w:t>
      </w:r>
      <w:r w:rsidR="00D93AC6">
        <w:t>direct patient care team member should:</w:t>
      </w:r>
    </w:p>
    <w:p w14:paraId="04D994D7" w14:textId="0FF4ABC9" w:rsidR="00371D05" w:rsidRPr="00A112E8" w:rsidRDefault="00807BDB" w:rsidP="00A112E8">
      <w:pPr>
        <w:pStyle w:val="ListBullet"/>
      </w:pPr>
      <w:r w:rsidRPr="00A112E8">
        <w:t xml:space="preserve">Ensure </w:t>
      </w:r>
      <w:r w:rsidR="00390E58" w:rsidRPr="00A112E8">
        <w:t xml:space="preserve">safety for </w:t>
      </w:r>
      <w:r w:rsidRPr="00A112E8">
        <w:t xml:space="preserve">staff, </w:t>
      </w:r>
      <w:r w:rsidR="009F171E" w:rsidRPr="00A112E8">
        <w:t>patient</w:t>
      </w:r>
      <w:r w:rsidR="00802A1F" w:rsidRPr="00A112E8">
        <w:t>s</w:t>
      </w:r>
      <w:r w:rsidR="009F171E" w:rsidRPr="00A112E8">
        <w:t>,</w:t>
      </w:r>
      <w:r w:rsidRPr="00A112E8">
        <w:t xml:space="preserve"> and visitor</w:t>
      </w:r>
      <w:r w:rsidR="00802A1F" w:rsidRPr="00A112E8">
        <w:t>s</w:t>
      </w:r>
      <w:r w:rsidR="00E66052" w:rsidRPr="00A112E8">
        <w:t>.</w:t>
      </w:r>
    </w:p>
    <w:p w14:paraId="36E7BCB0" w14:textId="68A572B5" w:rsidR="00627FD2" w:rsidRPr="00371D05" w:rsidRDefault="00C40D40" w:rsidP="00A112E8">
      <w:pPr>
        <w:pStyle w:val="ListBullet"/>
      </w:pPr>
      <w:r w:rsidRPr="00A112E8">
        <w:t>Where possible, a</w:t>
      </w:r>
      <w:r w:rsidR="00627FD2" w:rsidRPr="00A112E8">
        <w:t>llocate a team member</w:t>
      </w:r>
      <w:r w:rsidR="00D95254" w:rsidRPr="00A112E8">
        <w:t>,</w:t>
      </w:r>
      <w:r w:rsidR="00627FD2" w:rsidRPr="00A112E8">
        <w:t xml:space="preserve"> </w:t>
      </w:r>
      <w:r w:rsidR="00445F76" w:rsidRPr="00A112E8">
        <w:t>not directly involved in the situation</w:t>
      </w:r>
      <w:r w:rsidR="00D95254" w:rsidRPr="00A112E8">
        <w:t>,</w:t>
      </w:r>
      <w:r w:rsidR="00445F76" w:rsidRPr="00A112E8">
        <w:t xml:space="preserve"> </w:t>
      </w:r>
      <w:r w:rsidR="00627FD2" w:rsidRPr="00A112E8">
        <w:t>to provide a</w:t>
      </w:r>
      <w:r w:rsidR="00B32C07" w:rsidRPr="00A112E8">
        <w:t xml:space="preserve"> brief handover, including any current or potential risks</w:t>
      </w:r>
      <w:r w:rsidR="0014604F" w:rsidRPr="00A112E8">
        <w:t xml:space="preserve">, such as </w:t>
      </w:r>
      <w:r w:rsidR="00E007AF" w:rsidRPr="00A112E8">
        <w:t>behavioural history,</w:t>
      </w:r>
      <w:r w:rsidR="00B32C07" w:rsidRPr="00A112E8">
        <w:t xml:space="preserve"> of the situation</w:t>
      </w:r>
      <w:r w:rsidR="00B32C07">
        <w:t xml:space="preserve"> to the Grey Response team in a safe location</w:t>
      </w:r>
      <w:r w:rsidR="00966084">
        <w:t>.</w:t>
      </w:r>
      <w:r w:rsidR="009E3A7D">
        <w:t xml:space="preserve"> </w:t>
      </w:r>
    </w:p>
    <w:p w14:paraId="00F449E0" w14:textId="77777777" w:rsidR="00371D05" w:rsidRPr="00085ADA" w:rsidRDefault="00371D05" w:rsidP="00145080">
      <w:pPr>
        <w:rPr>
          <w:b/>
          <w:bCs/>
        </w:rPr>
      </w:pPr>
    </w:p>
    <w:p w14:paraId="483032F9" w14:textId="429F0432" w:rsidR="00422B26" w:rsidRPr="00371D05" w:rsidRDefault="00371D05" w:rsidP="00145080">
      <w:pPr>
        <w:rPr>
          <w:b/>
          <w:bCs/>
        </w:rPr>
      </w:pPr>
      <w:r w:rsidRPr="00371D05">
        <w:rPr>
          <w:b/>
          <w:bCs/>
        </w:rPr>
        <w:t>Grey Response Team</w:t>
      </w:r>
    </w:p>
    <w:p w14:paraId="6B9EC209" w14:textId="2EAF8F7D" w:rsidR="006260F5" w:rsidRDefault="006777F1" w:rsidP="00145080">
      <w:r>
        <w:t xml:space="preserve">When a Grey Response notification is received, </w:t>
      </w:r>
      <w:r w:rsidR="006260F5">
        <w:t>the responding team are to:</w:t>
      </w:r>
    </w:p>
    <w:p w14:paraId="7613D25D" w14:textId="77777777" w:rsidR="004668A0" w:rsidRDefault="004668A0" w:rsidP="00145080"/>
    <w:p w14:paraId="40B68EEA" w14:textId="42FB4701" w:rsidR="006260F5" w:rsidRPr="006260F5" w:rsidRDefault="006260F5" w:rsidP="00145080">
      <w:pPr>
        <w:rPr>
          <w:u w:val="single"/>
        </w:rPr>
      </w:pPr>
      <w:r w:rsidRPr="006260F5">
        <w:rPr>
          <w:u w:val="single"/>
        </w:rPr>
        <w:t>Clinical Team</w:t>
      </w:r>
    </w:p>
    <w:p w14:paraId="76F04159" w14:textId="2E1C9753" w:rsidR="0027272B" w:rsidRDefault="006260F5" w:rsidP="006260F5">
      <w:pPr>
        <w:pStyle w:val="ListParagraph"/>
        <w:numPr>
          <w:ilvl w:val="0"/>
          <w:numId w:val="21"/>
        </w:numPr>
      </w:pPr>
      <w:r>
        <w:t>A</w:t>
      </w:r>
      <w:r w:rsidR="00AC3D28">
        <w:t>ttend the location</w:t>
      </w:r>
    </w:p>
    <w:p w14:paraId="48855AA6" w14:textId="5E574F98" w:rsidR="005F057C" w:rsidRDefault="005F057C" w:rsidP="006260F5">
      <w:pPr>
        <w:pStyle w:val="ListParagraph"/>
        <w:numPr>
          <w:ilvl w:val="0"/>
          <w:numId w:val="21"/>
        </w:numPr>
      </w:pPr>
      <w:r>
        <w:t xml:space="preserve">Allocate roles of Grey Response Coordinator and </w:t>
      </w:r>
      <w:r w:rsidR="00776373">
        <w:t>M</w:t>
      </w:r>
      <w:r>
        <w:t xml:space="preserve">ain </w:t>
      </w:r>
      <w:r w:rsidR="00776373">
        <w:t>C</w:t>
      </w:r>
      <w:r>
        <w:t>ommunicator</w:t>
      </w:r>
    </w:p>
    <w:p w14:paraId="4BC043A6" w14:textId="1991D897" w:rsidR="00520E9D" w:rsidRDefault="00520E9D" w:rsidP="006260F5">
      <w:pPr>
        <w:pStyle w:val="ListParagraph"/>
        <w:numPr>
          <w:ilvl w:val="0"/>
          <w:numId w:val="21"/>
        </w:numPr>
      </w:pPr>
      <w:r>
        <w:t>Receive a brief handover from the bedside clinical tea</w:t>
      </w:r>
      <w:r w:rsidR="00A112E8">
        <w:t>m</w:t>
      </w:r>
    </w:p>
    <w:p w14:paraId="01654835" w14:textId="03135F3D" w:rsidR="005D57AB" w:rsidRDefault="005F057C" w:rsidP="006260F5">
      <w:pPr>
        <w:pStyle w:val="ListParagraph"/>
        <w:numPr>
          <w:ilvl w:val="0"/>
          <w:numId w:val="21"/>
        </w:numPr>
      </w:pPr>
      <w:r>
        <w:t>A</w:t>
      </w:r>
      <w:r w:rsidR="00D2682A">
        <w:t xml:space="preserve">ssess the situation for what resources and </w:t>
      </w:r>
      <w:r w:rsidR="00776373">
        <w:t xml:space="preserve">initial </w:t>
      </w:r>
      <w:r w:rsidR="00D2682A">
        <w:t>plan is required.</w:t>
      </w:r>
    </w:p>
    <w:p w14:paraId="591C2089" w14:textId="77777777" w:rsidR="00487B9E" w:rsidRDefault="00487B9E" w:rsidP="00487B9E">
      <w:pPr>
        <w:pStyle w:val="ListParagraph"/>
      </w:pPr>
    </w:p>
    <w:p w14:paraId="3BDFAE88" w14:textId="5D67DF69" w:rsidR="00E6172E" w:rsidRPr="008202EC" w:rsidRDefault="00B4023A" w:rsidP="00E6172E">
      <w:pPr>
        <w:rPr>
          <w:u w:val="single"/>
        </w:rPr>
      </w:pPr>
      <w:proofErr w:type="spellStart"/>
      <w:r w:rsidRPr="008202EC">
        <w:rPr>
          <w:u w:val="single"/>
        </w:rPr>
        <w:t>Wardsp</w:t>
      </w:r>
      <w:r w:rsidR="00E66052">
        <w:rPr>
          <w:u w:val="single"/>
        </w:rPr>
        <w:t>ersons</w:t>
      </w:r>
      <w:proofErr w:type="spellEnd"/>
      <w:r w:rsidRPr="008202EC">
        <w:rPr>
          <w:u w:val="single"/>
        </w:rPr>
        <w:t xml:space="preserve"> and </w:t>
      </w:r>
      <w:r w:rsidR="008202EC" w:rsidRPr="008202EC">
        <w:rPr>
          <w:u w:val="single"/>
        </w:rPr>
        <w:t>S</w:t>
      </w:r>
      <w:r w:rsidRPr="008202EC">
        <w:rPr>
          <w:u w:val="single"/>
        </w:rPr>
        <w:t xml:space="preserve">ecurity </w:t>
      </w:r>
    </w:p>
    <w:p w14:paraId="6C437931" w14:textId="5D093496" w:rsidR="00B37772" w:rsidRDefault="00E6172E" w:rsidP="003E35C9">
      <w:pPr>
        <w:pStyle w:val="ListParagraph"/>
        <w:numPr>
          <w:ilvl w:val="0"/>
          <w:numId w:val="2"/>
        </w:numPr>
        <w:ind w:left="360"/>
      </w:pPr>
      <w:r>
        <w:t>P</w:t>
      </w:r>
      <w:r w:rsidR="00B4023A">
        <w:t xml:space="preserve">resent to the </w:t>
      </w:r>
      <w:r w:rsidR="0010608F">
        <w:t xml:space="preserve">nursing </w:t>
      </w:r>
      <w:r w:rsidR="00B4023A">
        <w:t>navigator and be provided with the location</w:t>
      </w:r>
      <w:r w:rsidR="002125A7">
        <w:t xml:space="preserve"> within the department</w:t>
      </w:r>
    </w:p>
    <w:p w14:paraId="2DE2E22A" w14:textId="1109165C" w:rsidR="00AC3D28" w:rsidRDefault="00D2682A" w:rsidP="003E35C9">
      <w:pPr>
        <w:pStyle w:val="ListParagraph"/>
        <w:numPr>
          <w:ilvl w:val="0"/>
          <w:numId w:val="2"/>
        </w:numPr>
        <w:ind w:left="360"/>
      </w:pPr>
      <w:r>
        <w:t>Once provided with the location</w:t>
      </w:r>
      <w:r w:rsidR="00BC2CE7">
        <w:t xml:space="preserve"> of the response, liaise with the </w:t>
      </w:r>
      <w:r w:rsidR="00377D87">
        <w:t xml:space="preserve">assigned </w:t>
      </w:r>
      <w:r w:rsidR="00433590">
        <w:t>Grey Response Coordinator</w:t>
      </w:r>
      <w:r w:rsidR="00811E28">
        <w:t>.</w:t>
      </w:r>
    </w:p>
    <w:p w14:paraId="6FB958DF" w14:textId="456847BF" w:rsidR="785E6C9C" w:rsidRDefault="785E6C9C" w:rsidP="785E6C9C">
      <w:pPr>
        <w:rPr>
          <w:szCs w:val="24"/>
        </w:rPr>
      </w:pPr>
    </w:p>
    <w:p w14:paraId="108FA053" w14:textId="2D99C0F9" w:rsidR="4EC388D4" w:rsidRDefault="4EC388D4" w:rsidP="785E6C9C">
      <w:pPr>
        <w:rPr>
          <w:szCs w:val="24"/>
        </w:rPr>
      </w:pPr>
      <w:r w:rsidRPr="785E6C9C">
        <w:rPr>
          <w:szCs w:val="24"/>
          <w:u w:val="single"/>
        </w:rPr>
        <w:t>Additional resources</w:t>
      </w:r>
    </w:p>
    <w:p w14:paraId="2DFADED0" w14:textId="3C471CC0" w:rsidR="4EC388D4" w:rsidRDefault="4EC388D4" w:rsidP="000F0E33">
      <w:pPr>
        <w:pStyle w:val="ListBullet"/>
      </w:pPr>
      <w:r w:rsidRPr="785E6C9C">
        <w:t>If applicable, treating nurse to provide history, alerts and current concerns and assist with establishing and implementing the plan.</w:t>
      </w:r>
    </w:p>
    <w:p w14:paraId="55DCE7AD" w14:textId="31895CDF" w:rsidR="4EC388D4" w:rsidRDefault="4EC388D4" w:rsidP="000F0E33">
      <w:pPr>
        <w:pStyle w:val="ListBullet"/>
      </w:pPr>
      <w:r w:rsidRPr="785E6C9C">
        <w:t xml:space="preserve">If applicable, treating medical officer to </w:t>
      </w:r>
      <w:r w:rsidR="47E593E4" w:rsidRPr="785E6C9C">
        <w:t>provide history, alerts and current concerns and assist with establishing and implementing the plan.</w:t>
      </w:r>
    </w:p>
    <w:p w14:paraId="7AF0A0FD" w14:textId="77777777" w:rsidR="002D7B4D" w:rsidRDefault="002D7B4D" w:rsidP="003E35C9"/>
    <w:p w14:paraId="3107279A" w14:textId="76DDBB31" w:rsidR="002D7B4D" w:rsidRPr="00AB0E23" w:rsidRDefault="003E235B" w:rsidP="002D7B4D">
      <w:pPr>
        <w:rPr>
          <w:b/>
          <w:bCs/>
        </w:rPr>
      </w:pPr>
      <w:r>
        <w:rPr>
          <w:b/>
          <w:bCs/>
        </w:rPr>
        <w:t xml:space="preserve">Allocated </w:t>
      </w:r>
      <w:r w:rsidR="00D113FA">
        <w:rPr>
          <w:b/>
          <w:bCs/>
        </w:rPr>
        <w:t>r</w:t>
      </w:r>
      <w:r w:rsidR="002D7B4D" w:rsidRPr="00AB0E23">
        <w:rPr>
          <w:b/>
          <w:bCs/>
        </w:rPr>
        <w:t>oles</w:t>
      </w:r>
    </w:p>
    <w:tbl>
      <w:tblPr>
        <w:tblStyle w:val="TableGrid"/>
        <w:tblW w:w="9067" w:type="dxa"/>
        <w:tblLook w:val="04A0" w:firstRow="1" w:lastRow="0" w:firstColumn="1" w:lastColumn="0" w:noHBand="0" w:noVBand="1"/>
      </w:tblPr>
      <w:tblGrid>
        <w:gridCol w:w="1980"/>
        <w:gridCol w:w="7087"/>
      </w:tblGrid>
      <w:tr w:rsidR="00A22FEC" w14:paraId="3D98C975" w14:textId="77777777" w:rsidTr="004C2111">
        <w:tc>
          <w:tcPr>
            <w:tcW w:w="1980" w:type="dxa"/>
          </w:tcPr>
          <w:p w14:paraId="03753639" w14:textId="77777777" w:rsidR="00A22FEC" w:rsidRDefault="00A22FEC" w:rsidP="002D7B4D"/>
        </w:tc>
        <w:tc>
          <w:tcPr>
            <w:tcW w:w="7087" w:type="dxa"/>
          </w:tcPr>
          <w:p w14:paraId="42ADEACB" w14:textId="7D22836B" w:rsidR="00A22FEC" w:rsidRPr="004668A0" w:rsidRDefault="00A22FEC" w:rsidP="002D7B4D">
            <w:pPr>
              <w:rPr>
                <w:b/>
                <w:bCs/>
              </w:rPr>
            </w:pPr>
            <w:r w:rsidRPr="004668A0">
              <w:rPr>
                <w:b/>
                <w:bCs/>
              </w:rPr>
              <w:t>Description</w:t>
            </w:r>
          </w:p>
        </w:tc>
      </w:tr>
      <w:tr w:rsidR="00A22FEC" w14:paraId="0AED16F5" w14:textId="77777777" w:rsidTr="004C2111">
        <w:tc>
          <w:tcPr>
            <w:tcW w:w="1980" w:type="dxa"/>
          </w:tcPr>
          <w:p w14:paraId="2975580F" w14:textId="109407AF" w:rsidR="00A22FEC" w:rsidRDefault="00A22FEC" w:rsidP="0066331E">
            <w:r>
              <w:rPr>
                <w:rFonts w:eastAsia="Calibri" w:cs="Calibri"/>
                <w:b/>
                <w:bCs/>
              </w:rPr>
              <w:t>M</w:t>
            </w:r>
            <w:r w:rsidRPr="3E0D87C6">
              <w:rPr>
                <w:rFonts w:eastAsia="Calibri" w:cs="Calibri"/>
                <w:b/>
                <w:bCs/>
              </w:rPr>
              <w:t xml:space="preserve">ain </w:t>
            </w:r>
            <w:r>
              <w:rPr>
                <w:rFonts w:eastAsia="Calibri" w:cs="Calibri"/>
                <w:b/>
                <w:bCs/>
              </w:rPr>
              <w:t>C</w:t>
            </w:r>
            <w:r w:rsidRPr="3E0D87C6">
              <w:rPr>
                <w:rFonts w:eastAsia="Calibri" w:cs="Calibri"/>
                <w:b/>
                <w:bCs/>
              </w:rPr>
              <w:t>ommunicator</w:t>
            </w:r>
            <w:r w:rsidRPr="0A781DA2">
              <w:rPr>
                <w:rFonts w:eastAsia="Calibri" w:cs="Calibri"/>
                <w:b/>
              </w:rPr>
              <w:t xml:space="preserve"> </w:t>
            </w:r>
            <w:r w:rsidRPr="004668A0">
              <w:rPr>
                <w:rFonts w:eastAsia="Calibri" w:cs="Calibri"/>
                <w:bCs/>
                <w:i/>
                <w:iCs/>
              </w:rPr>
              <w:t>Personnel leading the response</w:t>
            </w:r>
          </w:p>
        </w:tc>
        <w:tc>
          <w:tcPr>
            <w:tcW w:w="7087" w:type="dxa"/>
          </w:tcPr>
          <w:p w14:paraId="1ECBD16F" w14:textId="23826178" w:rsidR="00940E6E" w:rsidRDefault="00940E6E" w:rsidP="003D5C0E">
            <w:pPr>
              <w:pStyle w:val="ListParagraph"/>
              <w:numPr>
                <w:ilvl w:val="0"/>
                <w:numId w:val="41"/>
              </w:numPr>
              <w:ind w:left="410"/>
              <w:rPr>
                <w:rFonts w:eastAsia="Calibri" w:cs="Calibri"/>
              </w:rPr>
            </w:pPr>
            <w:r>
              <w:rPr>
                <w:rFonts w:eastAsia="Calibri" w:cs="Calibri"/>
              </w:rPr>
              <w:t>Role allocated based on clinical scenario</w:t>
            </w:r>
          </w:p>
          <w:p w14:paraId="1BB8450C" w14:textId="5BE1F5A9" w:rsidR="003D5C0E" w:rsidRPr="00F76900" w:rsidRDefault="003D5C0E" w:rsidP="003D5C0E">
            <w:pPr>
              <w:pStyle w:val="ListParagraph"/>
              <w:numPr>
                <w:ilvl w:val="0"/>
                <w:numId w:val="41"/>
              </w:numPr>
              <w:ind w:left="410"/>
              <w:rPr>
                <w:rFonts w:eastAsia="Calibri" w:cs="Calibri"/>
              </w:rPr>
            </w:pPr>
            <w:r w:rsidRPr="00F76900">
              <w:rPr>
                <w:rFonts w:eastAsia="Calibri" w:cs="Calibri"/>
              </w:rPr>
              <w:t>Clinically led</w:t>
            </w:r>
          </w:p>
          <w:p w14:paraId="01AFEF44" w14:textId="103E2DB2" w:rsidR="00F76900" w:rsidRDefault="006E20AC" w:rsidP="00415399">
            <w:pPr>
              <w:pStyle w:val="ListParagraph"/>
              <w:numPr>
                <w:ilvl w:val="0"/>
                <w:numId w:val="41"/>
              </w:numPr>
              <w:ind w:left="410"/>
            </w:pPr>
            <w:r>
              <w:t>The goal</w:t>
            </w:r>
            <w:r w:rsidR="004E21AA">
              <w:t>s are</w:t>
            </w:r>
            <w:r w:rsidR="00415399">
              <w:t xml:space="preserve"> </w:t>
            </w:r>
            <w:r w:rsidR="004E21AA">
              <w:t>t</w:t>
            </w:r>
            <w:r>
              <w:t>o</w:t>
            </w:r>
            <w:r w:rsidR="00C75EA1">
              <w:t xml:space="preserve"> verbally de-escalate the</w:t>
            </w:r>
            <w:r w:rsidR="009929BA">
              <w:t xml:space="preserve"> person</w:t>
            </w:r>
            <w:r w:rsidR="007F1E19">
              <w:t xml:space="preserve">, </w:t>
            </w:r>
            <w:r w:rsidR="009A37BF">
              <w:t>understand trigger</w:t>
            </w:r>
            <w:r w:rsidR="00B26E82">
              <w:t>s for the behaviour</w:t>
            </w:r>
            <w:r w:rsidR="004E21AA">
              <w:t xml:space="preserve">, and </w:t>
            </w:r>
            <w:r w:rsidR="00F2542A">
              <w:t xml:space="preserve">address </w:t>
            </w:r>
            <w:r w:rsidR="00EC1069">
              <w:t>those trigger</w:t>
            </w:r>
            <w:r w:rsidR="000F0E33">
              <w:t>s</w:t>
            </w:r>
            <w:r>
              <w:t xml:space="preserve"> </w:t>
            </w:r>
          </w:p>
          <w:p w14:paraId="15C00707" w14:textId="7120D27F" w:rsidR="002B3FAB" w:rsidRDefault="00CA307D" w:rsidP="007130F7">
            <w:pPr>
              <w:pStyle w:val="ListParagraph"/>
              <w:numPr>
                <w:ilvl w:val="0"/>
                <w:numId w:val="41"/>
              </w:numPr>
              <w:ind w:left="410"/>
            </w:pPr>
            <w:r>
              <w:t>Collaborate</w:t>
            </w:r>
            <w:r w:rsidR="006E20AC">
              <w:t xml:space="preserve"> and establish a plan for </w:t>
            </w:r>
            <w:r>
              <w:t xml:space="preserve">escalating </w:t>
            </w:r>
            <w:r w:rsidR="006E20AC">
              <w:t>behaviour</w:t>
            </w:r>
            <w:r w:rsidR="009929BA">
              <w:t>.</w:t>
            </w:r>
          </w:p>
        </w:tc>
      </w:tr>
      <w:tr w:rsidR="00A22FEC" w14:paraId="18767F96" w14:textId="77777777" w:rsidTr="004C2111">
        <w:tc>
          <w:tcPr>
            <w:tcW w:w="1980" w:type="dxa"/>
          </w:tcPr>
          <w:p w14:paraId="501E1348" w14:textId="77777777" w:rsidR="00A22FEC" w:rsidRDefault="00A22FEC" w:rsidP="0066331E">
            <w:pPr>
              <w:rPr>
                <w:rFonts w:eastAsia="Calibri" w:cs="Calibri"/>
                <w:b/>
                <w:bCs/>
              </w:rPr>
            </w:pPr>
            <w:r>
              <w:rPr>
                <w:rFonts w:eastAsia="Calibri" w:cs="Calibri"/>
                <w:b/>
                <w:bCs/>
              </w:rPr>
              <w:lastRenderedPageBreak/>
              <w:t xml:space="preserve">Coordinator </w:t>
            </w:r>
          </w:p>
          <w:p w14:paraId="4B87E5A2" w14:textId="75017F1F" w:rsidR="00A22FEC" w:rsidRPr="000F0E33" w:rsidRDefault="00D0327E" w:rsidP="0066331E">
            <w:pPr>
              <w:rPr>
                <w:rFonts w:eastAsia="Calibri" w:cs="Calibri"/>
                <w:i/>
              </w:rPr>
            </w:pPr>
            <w:r w:rsidRPr="000F0E33">
              <w:rPr>
                <w:rFonts w:eastAsia="Calibri" w:cs="Calibri"/>
                <w:i/>
                <w:iCs/>
              </w:rPr>
              <w:t>Nurse/medical officer</w:t>
            </w:r>
          </w:p>
        </w:tc>
        <w:tc>
          <w:tcPr>
            <w:tcW w:w="7087" w:type="dxa"/>
          </w:tcPr>
          <w:p w14:paraId="17A36C6F" w14:textId="0E288F0B" w:rsidR="001E2CD5" w:rsidRDefault="00E66052" w:rsidP="00415399">
            <w:pPr>
              <w:pStyle w:val="ListParagraph"/>
              <w:numPr>
                <w:ilvl w:val="0"/>
                <w:numId w:val="42"/>
              </w:numPr>
              <w:ind w:left="410"/>
            </w:pPr>
            <w:r>
              <w:t>Clinically</w:t>
            </w:r>
            <w:r w:rsidR="007130F7">
              <w:t xml:space="preserve"> allocated role to coordinate other people in the area</w:t>
            </w:r>
            <w:r w:rsidR="004063B5">
              <w:t xml:space="preserve">. </w:t>
            </w:r>
            <w:r w:rsidR="00E5006F">
              <w:t>People may be allocated</w:t>
            </w:r>
            <w:r w:rsidR="009E798D">
              <w:t xml:space="preserve"> to </w:t>
            </w:r>
            <w:r w:rsidR="00727846">
              <w:t xml:space="preserve">optimise environmental </w:t>
            </w:r>
            <w:r w:rsidR="003D5C0E">
              <w:t>safety and</w:t>
            </w:r>
            <w:r w:rsidR="00727846">
              <w:t xml:space="preserve"> </w:t>
            </w:r>
            <w:r w:rsidR="00F90FD5">
              <w:t>facilitate pharmacological and non-pharmacological needs</w:t>
            </w:r>
          </w:p>
          <w:p w14:paraId="4F1AFFF0" w14:textId="450451DE" w:rsidR="00805E6F" w:rsidRDefault="00805E6F" w:rsidP="00415399">
            <w:pPr>
              <w:pStyle w:val="ListParagraph"/>
              <w:numPr>
                <w:ilvl w:val="0"/>
                <w:numId w:val="42"/>
              </w:numPr>
              <w:ind w:left="410"/>
            </w:pPr>
            <w:r>
              <w:t>Prepare to escalate to a Code Black</w:t>
            </w:r>
            <w:r w:rsidR="00FF4B0D">
              <w:t xml:space="preserve"> if required</w:t>
            </w:r>
          </w:p>
          <w:p w14:paraId="3781549D" w14:textId="563C0F0C" w:rsidR="00A22FEC" w:rsidRDefault="001E2CD5" w:rsidP="00415399">
            <w:pPr>
              <w:pStyle w:val="ListParagraph"/>
              <w:numPr>
                <w:ilvl w:val="0"/>
                <w:numId w:val="42"/>
              </w:numPr>
              <w:ind w:left="410"/>
            </w:pPr>
            <w:r>
              <w:t>E</w:t>
            </w:r>
            <w:r w:rsidR="007130F7">
              <w:t>nsure documentation is completed</w:t>
            </w:r>
            <w:r w:rsidR="000E79ED">
              <w:t>.</w:t>
            </w:r>
          </w:p>
        </w:tc>
      </w:tr>
    </w:tbl>
    <w:p w14:paraId="4BC7EF2F" w14:textId="77777777" w:rsidR="00D71AA3" w:rsidRDefault="00D71AA3" w:rsidP="006C2E21"/>
    <w:p w14:paraId="1CABE795" w14:textId="30AAB9BE" w:rsidR="004E1659" w:rsidRDefault="33BBDB79" w:rsidP="000F0E33">
      <w:pPr>
        <w:pBdr>
          <w:top w:val="single" w:sz="4" w:space="1" w:color="auto"/>
          <w:left w:val="single" w:sz="4" w:space="4" w:color="auto"/>
          <w:bottom w:val="single" w:sz="4" w:space="1" w:color="auto"/>
          <w:right w:val="single" w:sz="4" w:space="4" w:color="auto"/>
        </w:pBdr>
      </w:pPr>
      <w:r>
        <w:t xml:space="preserve">Note: All staff within the Grey Response team </w:t>
      </w:r>
      <w:r w:rsidR="003C4308">
        <w:t>can</w:t>
      </w:r>
      <w:r>
        <w:t xml:space="preserve"> </w:t>
      </w:r>
      <w:r w:rsidR="004E1659">
        <w:t xml:space="preserve">request to </w:t>
      </w:r>
      <w:r>
        <w:t>activate a Code Black</w:t>
      </w:r>
      <w:r w:rsidR="000F0E33">
        <w:t xml:space="preserve"> if </w:t>
      </w:r>
      <w:r>
        <w:t>required.</w:t>
      </w:r>
    </w:p>
    <w:p w14:paraId="188BDA20" w14:textId="77777777" w:rsidR="003E35C9" w:rsidRDefault="003E35C9" w:rsidP="003E35C9">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65CF3111" w14:textId="77777777" w:rsidR="003E35C9" w:rsidRPr="000802F5" w:rsidRDefault="003E35C9" w:rsidP="006C2E21"/>
    <w:tbl>
      <w:tblPr>
        <w:tblpPr w:leftFromText="180" w:rightFromText="180" w:vertAnchor="text" w:horzAnchor="margin" w:tblpY="181"/>
        <w:tblW w:w="9158" w:type="dxa"/>
        <w:tblLook w:val="0000" w:firstRow="0" w:lastRow="0" w:firstColumn="0" w:lastColumn="0" w:noHBand="0" w:noVBand="0"/>
      </w:tblPr>
      <w:tblGrid>
        <w:gridCol w:w="9158"/>
      </w:tblGrid>
      <w:tr w:rsidR="00B802AB" w:rsidRPr="00CD1C0E" w14:paraId="4D361EBF" w14:textId="77777777" w:rsidTr="000E70BD">
        <w:trPr>
          <w:cantSplit/>
          <w:trHeight w:val="285"/>
        </w:trPr>
        <w:tc>
          <w:tcPr>
            <w:tcW w:w="9158" w:type="dxa"/>
            <w:shd w:val="clear" w:color="auto" w:fill="A6A6A6" w:themeFill="background1" w:themeFillShade="A6"/>
          </w:tcPr>
          <w:p w14:paraId="5D241B3F" w14:textId="6BDFB322" w:rsidR="00B802AB" w:rsidRPr="003D2D06" w:rsidRDefault="00B802AB" w:rsidP="00380D39">
            <w:pPr>
              <w:pStyle w:val="Heading1"/>
            </w:pPr>
            <w:bookmarkStart w:id="25" w:name="_Toc160461942"/>
            <w:r>
              <w:t xml:space="preserve">Section </w:t>
            </w:r>
            <w:r w:rsidR="009F1EC0">
              <w:t>5</w:t>
            </w:r>
            <w:r w:rsidRPr="003D2D06">
              <w:t xml:space="preserve"> –</w:t>
            </w:r>
            <w:r w:rsidR="00111910">
              <w:t>Managing</w:t>
            </w:r>
            <w:r w:rsidR="00240C55">
              <w:t xml:space="preserve"> escalating</w:t>
            </w:r>
            <w:r w:rsidR="00111910">
              <w:t xml:space="preserve"> behaviour</w:t>
            </w:r>
            <w:bookmarkEnd w:id="25"/>
          </w:p>
        </w:tc>
      </w:tr>
    </w:tbl>
    <w:p w14:paraId="15FF4893" w14:textId="7BFD4EF1" w:rsidR="006C2E21" w:rsidRDefault="006C2E21" w:rsidP="006C2E21">
      <w:pPr>
        <w:rPr>
          <w:rFonts w:cs="Arial"/>
          <w:b/>
          <w:szCs w:val="24"/>
        </w:rPr>
      </w:pPr>
    </w:p>
    <w:p w14:paraId="5575F675" w14:textId="0C283DF6" w:rsidR="001A32D8" w:rsidRDefault="001A32D8" w:rsidP="001A32D8">
      <w:r>
        <w:t xml:space="preserve">Once </w:t>
      </w:r>
      <w:r w:rsidR="000F0E33">
        <w:t>a</w:t>
      </w:r>
      <w:r>
        <w:t xml:space="preserve"> Grey Response has been activated</w:t>
      </w:r>
      <w:r w:rsidR="00E865D5">
        <w:t>,</w:t>
      </w:r>
      <w:r>
        <w:t xml:space="preserve"> Grey Responders, the bedside staff,</w:t>
      </w:r>
      <w:r w:rsidR="00126FA8">
        <w:t xml:space="preserve"> and</w:t>
      </w:r>
      <w:r>
        <w:t xml:space="preserve"> </w:t>
      </w:r>
      <w:r w:rsidR="00296159">
        <w:t xml:space="preserve">the </w:t>
      </w:r>
      <w:r w:rsidR="009F171E">
        <w:t>patient</w:t>
      </w:r>
      <w:r>
        <w:t xml:space="preserve"> will jointly decide on the most suitable management and location for the </w:t>
      </w:r>
      <w:r w:rsidR="004458F5">
        <w:t xml:space="preserve">person </w:t>
      </w:r>
      <w:r>
        <w:t>within the department.</w:t>
      </w:r>
      <w:r w:rsidR="00172BD4">
        <w:t xml:space="preserve"> </w:t>
      </w:r>
    </w:p>
    <w:p w14:paraId="1CA7F434" w14:textId="77777777" w:rsidR="000F0E33" w:rsidRDefault="000F0E33" w:rsidP="001A32D8"/>
    <w:p w14:paraId="72D86AB4" w14:textId="7EDDC3A8" w:rsidR="00AA6F66" w:rsidRDefault="00E17F7F" w:rsidP="001A32D8">
      <w:r>
        <w:t xml:space="preserve">The clinical team will ensure </w:t>
      </w:r>
      <w:r w:rsidR="00FC691A">
        <w:t xml:space="preserve">communication with </w:t>
      </w:r>
      <w:r w:rsidR="00E64FCD">
        <w:t>carers/family/</w:t>
      </w:r>
      <w:r w:rsidR="00FC691A">
        <w:t>significant others</w:t>
      </w:r>
      <w:r w:rsidR="005551D2">
        <w:t xml:space="preserve"> is maintained</w:t>
      </w:r>
      <w:r w:rsidR="00F66B05">
        <w:t>.</w:t>
      </w:r>
    </w:p>
    <w:p w14:paraId="3AA7B243" w14:textId="77777777" w:rsidR="005610E2" w:rsidRPr="00260E06" w:rsidRDefault="005610E2" w:rsidP="001A32D8"/>
    <w:p w14:paraId="3AF8693D" w14:textId="12B0F82F" w:rsidR="00137113" w:rsidRDefault="001A32D8" w:rsidP="009D4F12">
      <w:pPr>
        <w:rPr>
          <w:rFonts w:cs="Arial"/>
          <w:bCs/>
          <w:szCs w:val="24"/>
        </w:rPr>
      </w:pPr>
      <w:r>
        <w:rPr>
          <w:rFonts w:cs="Arial"/>
          <w:bCs/>
          <w:szCs w:val="24"/>
        </w:rPr>
        <w:t xml:space="preserve">The following </w:t>
      </w:r>
      <w:r w:rsidR="00137113">
        <w:rPr>
          <w:rFonts w:cs="Arial"/>
          <w:bCs/>
          <w:szCs w:val="24"/>
        </w:rPr>
        <w:t>factors should be considered when responding:</w:t>
      </w:r>
    </w:p>
    <w:p w14:paraId="7181FC9C" w14:textId="3A9B8DB5" w:rsidR="005B46E5" w:rsidRDefault="005B46E5" w:rsidP="00137113">
      <w:pPr>
        <w:pStyle w:val="ListParagraph"/>
        <w:numPr>
          <w:ilvl w:val="0"/>
          <w:numId w:val="21"/>
        </w:numPr>
        <w:rPr>
          <w:rFonts w:cs="Arial"/>
          <w:bCs/>
          <w:szCs w:val="24"/>
        </w:rPr>
      </w:pPr>
      <w:r>
        <w:rPr>
          <w:rFonts w:cs="Arial"/>
          <w:bCs/>
          <w:szCs w:val="24"/>
        </w:rPr>
        <w:t>Patient and staff safety</w:t>
      </w:r>
    </w:p>
    <w:p w14:paraId="3EEBCD12" w14:textId="696A43AE" w:rsidR="00137113" w:rsidRDefault="00137113" w:rsidP="00137113">
      <w:pPr>
        <w:pStyle w:val="ListParagraph"/>
        <w:numPr>
          <w:ilvl w:val="0"/>
          <w:numId w:val="21"/>
        </w:numPr>
        <w:rPr>
          <w:rFonts w:cs="Arial"/>
          <w:bCs/>
          <w:szCs w:val="24"/>
        </w:rPr>
      </w:pPr>
      <w:r>
        <w:rPr>
          <w:rFonts w:cs="Arial"/>
          <w:bCs/>
          <w:szCs w:val="24"/>
        </w:rPr>
        <w:t>Location</w:t>
      </w:r>
      <w:r w:rsidR="00657D77">
        <w:rPr>
          <w:rFonts w:cs="Arial"/>
          <w:bCs/>
          <w:szCs w:val="24"/>
        </w:rPr>
        <w:t xml:space="preserve"> within the department</w:t>
      </w:r>
    </w:p>
    <w:p w14:paraId="4ABB96ED" w14:textId="4F5C7DB7" w:rsidR="005B46E5" w:rsidRDefault="005B46E5" w:rsidP="00137113">
      <w:pPr>
        <w:pStyle w:val="ListParagraph"/>
        <w:numPr>
          <w:ilvl w:val="0"/>
          <w:numId w:val="21"/>
        </w:numPr>
        <w:rPr>
          <w:rFonts w:cs="Arial"/>
          <w:bCs/>
          <w:szCs w:val="24"/>
        </w:rPr>
      </w:pPr>
      <w:r>
        <w:rPr>
          <w:rFonts w:cs="Arial"/>
          <w:bCs/>
          <w:szCs w:val="24"/>
        </w:rPr>
        <w:t>Non-pharmacological management</w:t>
      </w:r>
      <w:r w:rsidR="00657D77">
        <w:rPr>
          <w:rFonts w:cs="Arial"/>
          <w:bCs/>
          <w:szCs w:val="24"/>
        </w:rPr>
        <w:t xml:space="preserve">, </w:t>
      </w:r>
      <w:r w:rsidR="00CA2C64">
        <w:rPr>
          <w:rFonts w:cs="Arial"/>
          <w:bCs/>
          <w:szCs w:val="24"/>
        </w:rPr>
        <w:t>i.e.,</w:t>
      </w:r>
      <w:r w:rsidR="00657D77">
        <w:rPr>
          <w:rFonts w:cs="Arial"/>
          <w:bCs/>
          <w:szCs w:val="24"/>
        </w:rPr>
        <w:t xml:space="preserve"> verbal de-escalation, stimulation management</w:t>
      </w:r>
      <w:r w:rsidR="00F35416">
        <w:rPr>
          <w:rFonts w:cs="Arial"/>
          <w:bCs/>
          <w:szCs w:val="24"/>
        </w:rPr>
        <w:t>, distraction</w:t>
      </w:r>
      <w:r w:rsidR="005610E2">
        <w:rPr>
          <w:rFonts w:cs="Arial"/>
          <w:bCs/>
          <w:szCs w:val="24"/>
        </w:rPr>
        <w:t>, comfort measures</w:t>
      </w:r>
    </w:p>
    <w:p w14:paraId="4562EE55" w14:textId="16AE654C" w:rsidR="005B46E5" w:rsidRDefault="005B46E5" w:rsidP="00137113">
      <w:pPr>
        <w:pStyle w:val="ListParagraph"/>
        <w:numPr>
          <w:ilvl w:val="0"/>
          <w:numId w:val="21"/>
        </w:numPr>
        <w:rPr>
          <w:rFonts w:cs="Arial"/>
          <w:bCs/>
          <w:szCs w:val="24"/>
        </w:rPr>
      </w:pPr>
      <w:r>
        <w:rPr>
          <w:rFonts w:cs="Arial"/>
          <w:bCs/>
          <w:szCs w:val="24"/>
        </w:rPr>
        <w:t>Pharmacological management</w:t>
      </w:r>
    </w:p>
    <w:p w14:paraId="651B70FC" w14:textId="37A2B890" w:rsidR="007412E8" w:rsidRDefault="17C2880A" w:rsidP="00137113">
      <w:pPr>
        <w:pStyle w:val="ListParagraph"/>
        <w:numPr>
          <w:ilvl w:val="0"/>
          <w:numId w:val="21"/>
        </w:numPr>
        <w:rPr>
          <w:rFonts w:cs="Arial"/>
        </w:rPr>
      </w:pPr>
      <w:r w:rsidRPr="550D7F95">
        <w:rPr>
          <w:rFonts w:cs="Arial"/>
        </w:rPr>
        <w:t xml:space="preserve">Identify and mitigate </w:t>
      </w:r>
      <w:r w:rsidR="636E1329" w:rsidRPr="350A5451">
        <w:rPr>
          <w:rFonts w:cs="Arial"/>
        </w:rPr>
        <w:t>t</w:t>
      </w:r>
      <w:r w:rsidR="00865712" w:rsidRPr="350A5451">
        <w:rPr>
          <w:rFonts w:cs="Arial"/>
        </w:rPr>
        <w:t>riggers</w:t>
      </w:r>
      <w:r w:rsidR="00865712" w:rsidRPr="550D7F95">
        <w:rPr>
          <w:rFonts w:cs="Arial"/>
        </w:rPr>
        <w:t xml:space="preserve"> for </w:t>
      </w:r>
      <w:r w:rsidR="00A64BED">
        <w:rPr>
          <w:rFonts w:cs="Arial"/>
        </w:rPr>
        <w:t>C</w:t>
      </w:r>
      <w:r w:rsidR="00865712" w:rsidRPr="4CD43C3B">
        <w:rPr>
          <w:rFonts w:cs="Arial"/>
        </w:rPr>
        <w:t xml:space="preserve">ode </w:t>
      </w:r>
      <w:r w:rsidR="00A64BED">
        <w:rPr>
          <w:rFonts w:cs="Arial"/>
        </w:rPr>
        <w:t>B</w:t>
      </w:r>
      <w:r w:rsidR="00865712" w:rsidRPr="550D7F95">
        <w:rPr>
          <w:rFonts w:cs="Arial"/>
        </w:rPr>
        <w:t xml:space="preserve">lack </w:t>
      </w:r>
      <w:r w:rsidR="006766E5" w:rsidRPr="550D7F95">
        <w:rPr>
          <w:rFonts w:cs="Arial"/>
        </w:rPr>
        <w:t>activation.</w:t>
      </w:r>
    </w:p>
    <w:p w14:paraId="296FEEC3" w14:textId="77777777" w:rsidR="00804758" w:rsidRDefault="00A20BC7" w:rsidP="00240C55">
      <w:pPr>
        <w:pStyle w:val="ListParagraph"/>
        <w:numPr>
          <w:ilvl w:val="0"/>
          <w:numId w:val="21"/>
        </w:numPr>
        <w:rPr>
          <w:rFonts w:cs="Arial"/>
          <w:bCs/>
          <w:szCs w:val="24"/>
        </w:rPr>
      </w:pPr>
      <w:r>
        <w:rPr>
          <w:rFonts w:cs="Arial"/>
          <w:bCs/>
          <w:szCs w:val="24"/>
        </w:rPr>
        <w:t xml:space="preserve">Cultural </w:t>
      </w:r>
      <w:r w:rsidR="00D95D55">
        <w:rPr>
          <w:rFonts w:cs="Arial"/>
          <w:bCs/>
          <w:szCs w:val="24"/>
        </w:rPr>
        <w:t xml:space="preserve">and linguistic </w:t>
      </w:r>
      <w:r>
        <w:rPr>
          <w:rFonts w:cs="Arial"/>
          <w:bCs/>
          <w:szCs w:val="24"/>
        </w:rPr>
        <w:t xml:space="preserve">diversity </w:t>
      </w:r>
      <w:r w:rsidR="009F2F87">
        <w:rPr>
          <w:rFonts w:cs="Arial"/>
          <w:bCs/>
          <w:szCs w:val="24"/>
        </w:rPr>
        <w:t>such as</w:t>
      </w:r>
      <w:r>
        <w:rPr>
          <w:rFonts w:cs="Arial"/>
          <w:bCs/>
          <w:szCs w:val="24"/>
        </w:rPr>
        <w:t xml:space="preserve"> early involvement from</w:t>
      </w:r>
      <w:r w:rsidR="009F2F87">
        <w:rPr>
          <w:rFonts w:cs="Arial"/>
          <w:bCs/>
          <w:szCs w:val="24"/>
        </w:rPr>
        <w:t xml:space="preserve"> the Aboriginal Liaison Officer or </w:t>
      </w:r>
      <w:r w:rsidR="00C550B1">
        <w:rPr>
          <w:rFonts w:cs="Arial"/>
          <w:bCs/>
          <w:szCs w:val="24"/>
        </w:rPr>
        <w:t>interpreter services</w:t>
      </w:r>
      <w:r w:rsidR="00784E72">
        <w:rPr>
          <w:rFonts w:cs="Arial"/>
          <w:bCs/>
          <w:szCs w:val="24"/>
        </w:rPr>
        <w:t xml:space="preserve"> </w:t>
      </w:r>
    </w:p>
    <w:p w14:paraId="6AEDF3A3" w14:textId="24F1F056" w:rsidR="00AF396D" w:rsidRPr="00240C55" w:rsidRDefault="00C445EE" w:rsidP="00240C55">
      <w:pPr>
        <w:pStyle w:val="ListParagraph"/>
        <w:numPr>
          <w:ilvl w:val="0"/>
          <w:numId w:val="21"/>
        </w:numPr>
        <w:rPr>
          <w:rFonts w:cs="Arial"/>
          <w:bCs/>
          <w:szCs w:val="24"/>
        </w:rPr>
      </w:pPr>
      <w:r>
        <w:rPr>
          <w:rFonts w:cs="Arial"/>
          <w:bCs/>
          <w:szCs w:val="24"/>
        </w:rPr>
        <w:t>Commence</w:t>
      </w:r>
      <w:r w:rsidR="001219FD">
        <w:rPr>
          <w:rFonts w:cs="Arial"/>
          <w:bCs/>
          <w:szCs w:val="24"/>
        </w:rPr>
        <w:t xml:space="preserve"> d</w:t>
      </w:r>
      <w:r w:rsidR="00AF396D">
        <w:rPr>
          <w:rFonts w:cs="Arial"/>
          <w:bCs/>
          <w:szCs w:val="24"/>
        </w:rPr>
        <w:t xml:space="preserve">ischarge </w:t>
      </w:r>
      <w:r w:rsidR="006766E5">
        <w:rPr>
          <w:rFonts w:cs="Arial"/>
          <w:bCs/>
          <w:szCs w:val="24"/>
        </w:rPr>
        <w:t>planning.</w:t>
      </w:r>
    </w:p>
    <w:p w14:paraId="79117F0A" w14:textId="77777777" w:rsidR="00405185" w:rsidRDefault="00405185" w:rsidP="00405185">
      <w:pPr>
        <w:jc w:val="right"/>
      </w:pPr>
    </w:p>
    <w:p w14:paraId="08E206E4" w14:textId="2F438C82" w:rsidR="00AD61F0" w:rsidRPr="00405185" w:rsidRDefault="003E35C9" w:rsidP="00405185">
      <w:pPr>
        <w:jc w:val="right"/>
        <w:rPr>
          <w:rFonts w:cs="Arial"/>
          <w:i/>
          <w:szCs w:val="24"/>
        </w:rPr>
      </w:pPr>
      <w:hyperlink w:anchor="Contents" w:history="1">
        <w:r w:rsidRPr="00405185">
          <w:rPr>
            <w:rStyle w:val="Hyperlink"/>
            <w:rFonts w:cs="Arial"/>
            <w:i/>
            <w:szCs w:val="24"/>
          </w:rPr>
          <w:t>Back to Table of Contents</w:t>
        </w:r>
      </w:hyperlink>
      <w:r w:rsidRPr="00405185">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4F5FFC" w:rsidRPr="00CD1C0E" w14:paraId="2A2125A4" w14:textId="77777777" w:rsidTr="000E70BD">
        <w:trPr>
          <w:cantSplit/>
          <w:trHeight w:val="285"/>
        </w:trPr>
        <w:tc>
          <w:tcPr>
            <w:tcW w:w="9158" w:type="dxa"/>
            <w:shd w:val="clear" w:color="auto" w:fill="A6A6A6" w:themeFill="background1" w:themeFillShade="A6"/>
          </w:tcPr>
          <w:p w14:paraId="5B92CF22" w14:textId="78830C19" w:rsidR="004F5FFC" w:rsidRPr="003D2D06" w:rsidRDefault="004F5FFC" w:rsidP="00380D39">
            <w:pPr>
              <w:pStyle w:val="Heading1"/>
            </w:pPr>
            <w:bookmarkStart w:id="26" w:name="_Toc160461943"/>
            <w:r>
              <w:t xml:space="preserve">Section </w:t>
            </w:r>
            <w:r w:rsidR="009F1EC0">
              <w:t>6</w:t>
            </w:r>
            <w:r w:rsidRPr="003D2D06">
              <w:t xml:space="preserve"> –</w:t>
            </w:r>
            <w:r>
              <w:t xml:space="preserve">Post </w:t>
            </w:r>
            <w:r w:rsidR="00862BA2">
              <w:t>Grey Response</w:t>
            </w:r>
            <w:bookmarkEnd w:id="26"/>
          </w:p>
        </w:tc>
      </w:tr>
    </w:tbl>
    <w:p w14:paraId="1A31489A" w14:textId="4F392DD2" w:rsidR="00EC1C2C" w:rsidRPr="00EC1C2C" w:rsidRDefault="00F63913" w:rsidP="00EC1C2C">
      <w:pPr>
        <w:pStyle w:val="Heading2"/>
      </w:pPr>
      <w:bookmarkStart w:id="27" w:name="_Toc160461944"/>
      <w:r>
        <w:t>Strategies</w:t>
      </w:r>
      <w:bookmarkEnd w:id="27"/>
    </w:p>
    <w:p w14:paraId="724ECA98" w14:textId="0854146B" w:rsidR="00EC1C2C" w:rsidRDefault="00F63913" w:rsidP="009505CA">
      <w:r>
        <w:t>T</w:t>
      </w:r>
      <w:r w:rsidR="00FA4DCA">
        <w:t xml:space="preserve">o promote </w:t>
      </w:r>
      <w:r w:rsidR="00E66052">
        <w:t>short- and long-term</w:t>
      </w:r>
      <w:r w:rsidR="00FA4DCA">
        <w:t xml:space="preserve"> recovery for patients, staff and </w:t>
      </w:r>
      <w:r w:rsidR="009F6B8D">
        <w:t>other persons involved</w:t>
      </w:r>
      <w:r w:rsidR="00946D5C">
        <w:t xml:space="preserve"> </w:t>
      </w:r>
      <w:r w:rsidR="002857AE">
        <w:t>in the grey response</w:t>
      </w:r>
      <w:r>
        <w:t>, support strategies</w:t>
      </w:r>
      <w:r w:rsidR="002857AE">
        <w:t xml:space="preserve"> can include:</w:t>
      </w:r>
    </w:p>
    <w:p w14:paraId="7434D0E3" w14:textId="72501F37" w:rsidR="002857AE" w:rsidRDefault="009660E8" w:rsidP="002857AE">
      <w:pPr>
        <w:pStyle w:val="ListParagraph"/>
        <w:numPr>
          <w:ilvl w:val="0"/>
          <w:numId w:val="21"/>
        </w:numPr>
      </w:pPr>
      <w:r>
        <w:t xml:space="preserve">Access to medical treatment if physical injury has </w:t>
      </w:r>
      <w:r w:rsidR="00E66052">
        <w:t>occurred</w:t>
      </w:r>
    </w:p>
    <w:p w14:paraId="5D70D57F" w14:textId="06CA8741" w:rsidR="009660E8" w:rsidRDefault="009660E8" w:rsidP="002857AE">
      <w:pPr>
        <w:pStyle w:val="ListParagraph"/>
        <w:numPr>
          <w:ilvl w:val="0"/>
          <w:numId w:val="21"/>
        </w:numPr>
      </w:pPr>
      <w:r>
        <w:t>De-briefing and on-going</w:t>
      </w:r>
      <w:r w:rsidR="00720D03">
        <w:t xml:space="preserve"> support to workers </w:t>
      </w:r>
      <w:r w:rsidR="005A7714">
        <w:t xml:space="preserve">other people involved in or witnessing an incident, as </w:t>
      </w:r>
      <w:r w:rsidR="00E66052">
        <w:t>required</w:t>
      </w:r>
    </w:p>
    <w:p w14:paraId="61FC13BB" w14:textId="22B38F46" w:rsidR="00867F5F" w:rsidRDefault="00867F5F" w:rsidP="00867F5F">
      <w:pPr>
        <w:pStyle w:val="ListParagraph"/>
        <w:numPr>
          <w:ilvl w:val="0"/>
          <w:numId w:val="21"/>
        </w:numPr>
        <w:spacing w:after="200"/>
      </w:pPr>
      <w:r>
        <w:t xml:space="preserve">De-briefing using open disclosure principles and practices, and discharge planning, with patient, nominated person, carer, and/or </w:t>
      </w:r>
      <w:r w:rsidR="00E66052">
        <w:t>family</w:t>
      </w:r>
    </w:p>
    <w:p w14:paraId="52283077" w14:textId="3D578BDA" w:rsidR="00E8451A" w:rsidRDefault="00516EA1" w:rsidP="00516EA1">
      <w:pPr>
        <w:pStyle w:val="ListParagraph"/>
        <w:numPr>
          <w:ilvl w:val="0"/>
          <w:numId w:val="21"/>
        </w:numPr>
        <w:spacing w:after="200"/>
      </w:pPr>
      <w:r>
        <w:t>Team review of the incident</w:t>
      </w:r>
    </w:p>
    <w:p w14:paraId="01CDC2C4" w14:textId="61A83CB4" w:rsidR="00516EA1" w:rsidRDefault="00516EA1" w:rsidP="00516EA1">
      <w:pPr>
        <w:pStyle w:val="ListParagraph"/>
        <w:numPr>
          <w:ilvl w:val="0"/>
          <w:numId w:val="21"/>
        </w:numPr>
        <w:spacing w:after="200"/>
      </w:pPr>
      <w:r>
        <w:lastRenderedPageBreak/>
        <w:t>Staff can access treatment and supportive counselling through manager or Employee Assistance Program (EAP)</w:t>
      </w:r>
    </w:p>
    <w:p w14:paraId="3538E027" w14:textId="31E88E82" w:rsidR="00867F5F" w:rsidRDefault="00CA235D" w:rsidP="00CA235D">
      <w:pPr>
        <w:pStyle w:val="ListParagraph"/>
        <w:numPr>
          <w:ilvl w:val="0"/>
          <w:numId w:val="21"/>
        </w:numPr>
        <w:spacing w:after="200"/>
      </w:pPr>
      <w:r>
        <w:t xml:space="preserve">Access to supportive counselling for </w:t>
      </w:r>
      <w:r w:rsidR="00E66052">
        <w:t>the nominated</w:t>
      </w:r>
      <w:r>
        <w:t xml:space="preserve"> person, family, carers, </w:t>
      </w:r>
      <w:r w:rsidR="009F171E">
        <w:t>witnesses,</w:t>
      </w:r>
      <w:r>
        <w:t xml:space="preserve"> and any other person affected. The person and carer(s) are be given the opportunity to make complaints if they feel that inappropriate care was provided, and/or be involved in system improvement </w:t>
      </w:r>
      <w:r w:rsidR="00E66052" w:rsidRPr="00F16F4F">
        <w:t>strategies.</w:t>
      </w:r>
      <w:r w:rsidRPr="00F16F4F">
        <w:t xml:space="preserve"> </w:t>
      </w:r>
    </w:p>
    <w:p w14:paraId="5B60C9CF" w14:textId="6FBAF4D0" w:rsidR="00B77D84" w:rsidRPr="00AE2760" w:rsidRDefault="005319F3" w:rsidP="00AE2760">
      <w:pPr>
        <w:pStyle w:val="Heading2"/>
      </w:pPr>
      <w:bookmarkStart w:id="28" w:name="_Toc160461945"/>
      <w:r>
        <w:t>Documentation and reporting</w:t>
      </w:r>
      <w:bookmarkEnd w:id="28"/>
    </w:p>
    <w:p w14:paraId="6BB0767B" w14:textId="29A215BA" w:rsidR="00976AA9" w:rsidRDefault="00976AA9" w:rsidP="00976AA9">
      <w:pPr>
        <w:pStyle w:val="ListParagraph"/>
        <w:numPr>
          <w:ilvl w:val="0"/>
          <w:numId w:val="21"/>
        </w:numPr>
        <w:rPr>
          <w:rFonts w:cs="Arial"/>
          <w:bCs/>
          <w:szCs w:val="24"/>
        </w:rPr>
      </w:pPr>
      <w:r w:rsidRPr="007B3DEA">
        <w:rPr>
          <w:rFonts w:cs="Arial"/>
          <w:bCs/>
          <w:szCs w:val="24"/>
        </w:rPr>
        <w:t xml:space="preserve">To assist with grey response management and documentation, use the following smart phrase in the electronic </w:t>
      </w:r>
      <w:r w:rsidR="00405185">
        <w:rPr>
          <w:rFonts w:cs="Arial"/>
          <w:bCs/>
          <w:szCs w:val="24"/>
        </w:rPr>
        <w:t>clinical</w:t>
      </w:r>
      <w:r w:rsidRPr="007B3DEA">
        <w:rPr>
          <w:rFonts w:cs="Arial"/>
          <w:bCs/>
          <w:szCs w:val="24"/>
        </w:rPr>
        <w:t xml:space="preserve"> record </w:t>
      </w:r>
      <w:proofErr w:type="gramStart"/>
      <w:r w:rsidR="00E52576">
        <w:rPr>
          <w:rFonts w:cs="Arial"/>
          <w:bCs/>
          <w:szCs w:val="24"/>
        </w:rPr>
        <w:t>“.</w:t>
      </w:r>
      <w:proofErr w:type="spellStart"/>
      <w:r w:rsidR="00E52576" w:rsidRPr="007B3DEA">
        <w:rPr>
          <w:rFonts w:cs="Arial"/>
          <w:bCs/>
          <w:szCs w:val="24"/>
        </w:rPr>
        <w:t>GreyResponse</w:t>
      </w:r>
      <w:proofErr w:type="spellEnd"/>
      <w:proofErr w:type="gramEnd"/>
      <w:r>
        <w:rPr>
          <w:rFonts w:cs="Arial"/>
          <w:bCs/>
          <w:szCs w:val="24"/>
        </w:rPr>
        <w:t>”</w:t>
      </w:r>
      <w:r w:rsidR="00405185">
        <w:rPr>
          <w:rFonts w:cs="Arial"/>
          <w:bCs/>
          <w:szCs w:val="24"/>
        </w:rPr>
        <w:t>.</w:t>
      </w:r>
    </w:p>
    <w:p w14:paraId="04799FBF" w14:textId="5D8C2EEB" w:rsidR="00BD4F03" w:rsidRPr="001B6910" w:rsidRDefault="008B28CD" w:rsidP="006E5F9F">
      <w:pPr>
        <w:pStyle w:val="ListParagraph"/>
        <w:numPr>
          <w:ilvl w:val="0"/>
          <w:numId w:val="21"/>
        </w:numPr>
        <w:rPr>
          <w:rFonts w:cs="Arial"/>
          <w:b/>
          <w:szCs w:val="24"/>
        </w:rPr>
      </w:pPr>
      <w:r>
        <w:rPr>
          <w:rFonts w:cs="Arial"/>
          <w:bCs/>
          <w:szCs w:val="24"/>
        </w:rPr>
        <w:t>Clinical and staff incidents that</w:t>
      </w:r>
      <w:r w:rsidR="002A7419">
        <w:rPr>
          <w:rFonts w:cs="Arial"/>
          <w:bCs/>
          <w:szCs w:val="24"/>
        </w:rPr>
        <w:t xml:space="preserve"> occur </w:t>
      </w:r>
      <w:r w:rsidR="009F171E">
        <w:rPr>
          <w:rFonts w:cs="Arial"/>
          <w:bCs/>
          <w:szCs w:val="24"/>
        </w:rPr>
        <w:t>because of</w:t>
      </w:r>
      <w:r w:rsidR="002A7419">
        <w:rPr>
          <w:rFonts w:cs="Arial"/>
          <w:bCs/>
          <w:szCs w:val="24"/>
        </w:rPr>
        <w:t xml:space="preserve"> </w:t>
      </w:r>
      <w:r w:rsidR="00A5159C">
        <w:rPr>
          <w:rFonts w:cs="Arial"/>
          <w:bCs/>
          <w:szCs w:val="24"/>
        </w:rPr>
        <w:t>a Grey Response</w:t>
      </w:r>
      <w:r w:rsidR="00CF316A">
        <w:rPr>
          <w:rFonts w:cs="Arial"/>
          <w:bCs/>
          <w:szCs w:val="24"/>
        </w:rPr>
        <w:t xml:space="preserve"> </w:t>
      </w:r>
      <w:r w:rsidR="00A533A7">
        <w:rPr>
          <w:rFonts w:cs="Arial"/>
          <w:bCs/>
          <w:szCs w:val="24"/>
        </w:rPr>
        <w:t xml:space="preserve">should be reported </w:t>
      </w:r>
      <w:r w:rsidR="00134F21">
        <w:rPr>
          <w:rFonts w:cs="Arial"/>
          <w:bCs/>
          <w:szCs w:val="24"/>
        </w:rPr>
        <w:t>via usual reporting mechanisms, including</w:t>
      </w:r>
      <w:r w:rsidR="00405185">
        <w:rPr>
          <w:rFonts w:cs="Arial"/>
          <w:bCs/>
          <w:szCs w:val="24"/>
        </w:rPr>
        <w:t xml:space="preserve"> clinical incident reporting system and staff incident reporting system</w:t>
      </w:r>
    </w:p>
    <w:p w14:paraId="5005C2CE" w14:textId="63E5D3F5" w:rsidR="005C5808" w:rsidRPr="005E283B" w:rsidRDefault="009968D1" w:rsidP="006E5F9F">
      <w:pPr>
        <w:pStyle w:val="ListParagraph"/>
        <w:numPr>
          <w:ilvl w:val="0"/>
          <w:numId w:val="21"/>
        </w:numPr>
        <w:rPr>
          <w:rFonts w:cs="Arial"/>
          <w:b/>
          <w:szCs w:val="24"/>
        </w:rPr>
      </w:pPr>
      <w:r>
        <w:rPr>
          <w:rFonts w:cs="Arial"/>
          <w:bCs/>
          <w:szCs w:val="24"/>
        </w:rPr>
        <w:t xml:space="preserve">The senior clinician is to </w:t>
      </w:r>
      <w:r w:rsidR="00DC4DB1">
        <w:rPr>
          <w:rFonts w:cs="Arial"/>
          <w:bCs/>
          <w:szCs w:val="24"/>
        </w:rPr>
        <w:t>notify the home team</w:t>
      </w:r>
      <w:r w:rsidR="00104E1D">
        <w:rPr>
          <w:rFonts w:cs="Arial"/>
          <w:bCs/>
          <w:szCs w:val="24"/>
        </w:rPr>
        <w:t xml:space="preserve"> where necessary</w:t>
      </w:r>
    </w:p>
    <w:p w14:paraId="5854ABEB" w14:textId="03013CF1" w:rsidR="00A039C8" w:rsidRDefault="00A039C8" w:rsidP="006C2E21">
      <w:pPr>
        <w:pStyle w:val="ListParagraph"/>
        <w:numPr>
          <w:ilvl w:val="0"/>
          <w:numId w:val="21"/>
        </w:numPr>
        <w:rPr>
          <w:rFonts w:cs="Arial"/>
          <w:bCs/>
          <w:szCs w:val="24"/>
        </w:rPr>
      </w:pPr>
      <w:r>
        <w:rPr>
          <w:rFonts w:cs="Arial"/>
          <w:bCs/>
          <w:szCs w:val="24"/>
        </w:rPr>
        <w:t xml:space="preserve">If </w:t>
      </w:r>
      <w:r w:rsidR="00703BC0">
        <w:rPr>
          <w:rFonts w:cs="Arial"/>
          <w:bCs/>
          <w:szCs w:val="24"/>
        </w:rPr>
        <w:t xml:space="preserve">the </w:t>
      </w:r>
      <w:r w:rsidR="00AC6367">
        <w:rPr>
          <w:rFonts w:cs="Arial"/>
          <w:bCs/>
          <w:szCs w:val="24"/>
        </w:rPr>
        <w:t>person</w:t>
      </w:r>
      <w:r w:rsidR="00703BC0">
        <w:rPr>
          <w:rFonts w:cs="Arial"/>
          <w:bCs/>
          <w:szCs w:val="24"/>
        </w:rPr>
        <w:t xml:space="preserve"> displays aggressive or violent behaviour, an FYI flag should be entered in the p</w:t>
      </w:r>
      <w:r w:rsidR="00AC6367">
        <w:rPr>
          <w:rFonts w:cs="Arial"/>
          <w:bCs/>
          <w:szCs w:val="24"/>
        </w:rPr>
        <w:t>erson</w:t>
      </w:r>
      <w:r w:rsidR="00703BC0">
        <w:rPr>
          <w:rFonts w:cs="Arial"/>
          <w:bCs/>
          <w:szCs w:val="24"/>
        </w:rPr>
        <w:t xml:space="preserve">’s </w:t>
      </w:r>
      <w:r w:rsidR="00405185">
        <w:rPr>
          <w:rFonts w:cs="Arial"/>
          <w:bCs/>
          <w:szCs w:val="24"/>
        </w:rPr>
        <w:t>clinic</w:t>
      </w:r>
      <w:r w:rsidR="00703BC0">
        <w:rPr>
          <w:rFonts w:cs="Arial"/>
          <w:bCs/>
          <w:szCs w:val="24"/>
        </w:rPr>
        <w:t>al record</w:t>
      </w:r>
    </w:p>
    <w:p w14:paraId="7D1FA0B1" w14:textId="3ECE7A62" w:rsidR="008B1D40" w:rsidRDefault="00A454C4" w:rsidP="006C2E21">
      <w:pPr>
        <w:pStyle w:val="ListParagraph"/>
        <w:numPr>
          <w:ilvl w:val="0"/>
          <w:numId w:val="21"/>
        </w:numPr>
        <w:rPr>
          <w:rFonts w:cs="Arial"/>
          <w:bCs/>
          <w:szCs w:val="24"/>
        </w:rPr>
      </w:pPr>
      <w:r>
        <w:rPr>
          <w:rFonts w:cs="Arial"/>
          <w:bCs/>
          <w:szCs w:val="24"/>
        </w:rPr>
        <w:t>Where necessary, make m</w:t>
      </w:r>
      <w:r w:rsidR="008B1D40">
        <w:rPr>
          <w:rFonts w:cs="Arial"/>
          <w:bCs/>
          <w:szCs w:val="24"/>
        </w:rPr>
        <w:t>odification</w:t>
      </w:r>
      <w:r>
        <w:rPr>
          <w:rFonts w:cs="Arial"/>
          <w:bCs/>
          <w:szCs w:val="24"/>
        </w:rPr>
        <w:t>s to</w:t>
      </w:r>
      <w:r w:rsidR="008B1D40">
        <w:rPr>
          <w:rFonts w:cs="Arial"/>
          <w:bCs/>
          <w:szCs w:val="24"/>
        </w:rPr>
        <w:t xml:space="preserve"> the </w:t>
      </w:r>
      <w:r w:rsidR="00AC6367">
        <w:rPr>
          <w:rFonts w:cs="Arial"/>
          <w:bCs/>
          <w:szCs w:val="24"/>
        </w:rPr>
        <w:t>person</w:t>
      </w:r>
      <w:r w:rsidR="008B1D40">
        <w:rPr>
          <w:rFonts w:cs="Arial"/>
          <w:bCs/>
          <w:szCs w:val="24"/>
        </w:rPr>
        <w:t>’s ED management plan</w:t>
      </w:r>
      <w:r w:rsidR="00A758B1">
        <w:rPr>
          <w:rFonts w:cs="Arial"/>
          <w:bCs/>
          <w:szCs w:val="24"/>
        </w:rPr>
        <w:t>.</w:t>
      </w:r>
    </w:p>
    <w:p w14:paraId="44DFFE09" w14:textId="77777777" w:rsidR="000F0E33" w:rsidRDefault="000F0E33" w:rsidP="000F0E33">
      <w:pPr>
        <w:pStyle w:val="ListParagraph"/>
        <w:ind w:left="360"/>
        <w:rPr>
          <w:rFonts w:cs="Arial"/>
          <w:bCs/>
          <w:szCs w:val="24"/>
        </w:rPr>
      </w:pPr>
    </w:p>
    <w:p w14:paraId="6123BEFC" w14:textId="241BD3E3" w:rsidR="003E35C9" w:rsidRPr="00405185" w:rsidRDefault="003E35C9" w:rsidP="00405185">
      <w:pPr>
        <w:jc w:val="right"/>
        <w:rPr>
          <w:rFonts w:cs="Arial"/>
          <w:i/>
          <w:szCs w:val="24"/>
        </w:rPr>
      </w:pPr>
      <w:hyperlink w:anchor="Contents" w:history="1">
        <w:r w:rsidRPr="00405185">
          <w:rPr>
            <w:rStyle w:val="Hyperlink"/>
            <w:rFonts w:cs="Arial"/>
            <w:i/>
            <w:szCs w:val="24"/>
          </w:rPr>
          <w:t>Back to Table of Contents</w:t>
        </w:r>
      </w:hyperlink>
      <w:r w:rsidRPr="00405185">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29" w:name="_Toc160461946"/>
            <w:r>
              <w:t>Evaluation</w:t>
            </w:r>
            <w:bookmarkEnd w:id="29"/>
            <w:r>
              <w:t xml:space="preserve"> </w:t>
            </w:r>
            <w:r w:rsidR="00E73459">
              <w:tab/>
            </w:r>
          </w:p>
        </w:tc>
      </w:tr>
    </w:tbl>
    <w:p w14:paraId="748D8352" w14:textId="043D0DC6" w:rsidR="00405185" w:rsidRDefault="00405185" w:rsidP="00405185">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62727ECF" w14:textId="644D5AB1" w:rsidR="00D90A40" w:rsidRPr="009F1170" w:rsidRDefault="00F51265" w:rsidP="000F0E33">
      <w:pPr>
        <w:pStyle w:val="ListBullet"/>
        <w:numPr>
          <w:ilvl w:val="0"/>
          <w:numId w:val="49"/>
        </w:numPr>
        <w:rPr>
          <w:rStyle w:val="cf01"/>
          <w:rFonts w:asciiTheme="minorHAnsi" w:hAnsiTheme="minorHAnsi" w:cstheme="minorHAnsi"/>
        </w:rPr>
      </w:pPr>
      <w:r>
        <w:rPr>
          <w:rStyle w:val="cf01"/>
          <w:rFonts w:asciiTheme="minorHAnsi" w:hAnsiTheme="minorHAnsi" w:cstheme="minorHAnsi"/>
          <w:sz w:val="24"/>
          <w:szCs w:val="24"/>
        </w:rPr>
        <w:t>People</w:t>
      </w:r>
      <w:r w:rsidR="00D90A40" w:rsidRPr="009F1170">
        <w:rPr>
          <w:rStyle w:val="cf01"/>
          <w:rFonts w:asciiTheme="minorHAnsi" w:hAnsiTheme="minorHAnsi" w:cstheme="minorHAnsi"/>
          <w:sz w:val="24"/>
          <w:szCs w:val="24"/>
        </w:rPr>
        <w:t xml:space="preserve"> presenting to ED with behaviours of concern are managed safely.</w:t>
      </w:r>
    </w:p>
    <w:p w14:paraId="48B8E9AA" w14:textId="39A68EB7" w:rsidR="00B90B19" w:rsidRPr="009F1170" w:rsidRDefault="00B90B19" w:rsidP="000F0E33">
      <w:pPr>
        <w:pStyle w:val="ListBullet"/>
        <w:numPr>
          <w:ilvl w:val="0"/>
          <w:numId w:val="49"/>
        </w:numPr>
        <w:rPr>
          <w:rStyle w:val="cf01"/>
          <w:rFonts w:asciiTheme="minorHAnsi" w:hAnsiTheme="minorHAnsi" w:cstheme="minorHAnsi"/>
        </w:rPr>
      </w:pPr>
      <w:r>
        <w:rPr>
          <w:rStyle w:val="cf01"/>
          <w:rFonts w:asciiTheme="minorHAnsi" w:hAnsiTheme="minorHAnsi" w:cstheme="minorHAnsi"/>
          <w:sz w:val="24"/>
          <w:szCs w:val="24"/>
        </w:rPr>
        <w:t>Anecdotal perceived reduction in oc</w:t>
      </w:r>
      <w:r w:rsidR="005A4987">
        <w:rPr>
          <w:rStyle w:val="cf01"/>
          <w:rFonts w:asciiTheme="minorHAnsi" w:hAnsiTheme="minorHAnsi" w:cstheme="minorHAnsi"/>
          <w:sz w:val="24"/>
          <w:szCs w:val="24"/>
        </w:rPr>
        <w:t xml:space="preserve">cupational violence by staff members due to early intervention. </w:t>
      </w:r>
    </w:p>
    <w:p w14:paraId="740F264B" w14:textId="77777777" w:rsidR="00405185" w:rsidRDefault="00405185" w:rsidP="00E43D7C">
      <w:pPr>
        <w:pStyle w:val="DHHSbody"/>
      </w:pPr>
    </w:p>
    <w:p w14:paraId="55B5F4D0" w14:textId="07F8EFAB" w:rsidR="00933D11" w:rsidRPr="00007A8A" w:rsidRDefault="00933D11" w:rsidP="00007A8A">
      <w:pPr>
        <w:rPr>
          <w:b/>
          <w:bCs/>
        </w:rPr>
      </w:pPr>
      <w:r w:rsidRPr="00007A8A">
        <w:rPr>
          <w:b/>
          <w:bCs/>
        </w:rPr>
        <w:t>Measures</w:t>
      </w:r>
    </w:p>
    <w:p w14:paraId="26A9CE36" w14:textId="77777777" w:rsidR="001D68F0" w:rsidRDefault="007B2D1A" w:rsidP="001D68F0">
      <w:pPr>
        <w:pStyle w:val="Default"/>
        <w:numPr>
          <w:ilvl w:val="0"/>
          <w:numId w:val="21"/>
        </w:numPr>
        <w:rPr>
          <w:rFonts w:ascii="Calibri" w:hAnsi="Calibri"/>
        </w:rPr>
      </w:pPr>
      <w:r>
        <w:rPr>
          <w:rFonts w:ascii="Calibri" w:hAnsi="Calibri"/>
        </w:rPr>
        <w:t>The ED OV Steering Committee will</w:t>
      </w:r>
      <w:r w:rsidR="001D68F0">
        <w:rPr>
          <w:rFonts w:ascii="Calibri" w:hAnsi="Calibri"/>
        </w:rPr>
        <w:t>:</w:t>
      </w:r>
    </w:p>
    <w:p w14:paraId="37C1D4EE" w14:textId="0E4A5E2D" w:rsidR="00B66680" w:rsidRDefault="001D68F0" w:rsidP="00B66680">
      <w:pPr>
        <w:pStyle w:val="Default"/>
        <w:numPr>
          <w:ilvl w:val="1"/>
          <w:numId w:val="21"/>
        </w:numPr>
        <w:rPr>
          <w:rFonts w:ascii="Calibri" w:hAnsi="Calibri"/>
        </w:rPr>
      </w:pPr>
      <w:r>
        <w:rPr>
          <w:rFonts w:ascii="Calibri" w:hAnsi="Calibri"/>
        </w:rPr>
        <w:t>R</w:t>
      </w:r>
      <w:r w:rsidR="007B2D1A">
        <w:rPr>
          <w:rFonts w:ascii="Calibri" w:hAnsi="Calibri"/>
        </w:rPr>
        <w:t xml:space="preserve">eview </w:t>
      </w:r>
      <w:r>
        <w:rPr>
          <w:rFonts w:ascii="Calibri" w:hAnsi="Calibri"/>
        </w:rPr>
        <w:t xml:space="preserve">Grey Response data and evaluate the consistency and effectiveness of Grey Responses across all areas of the </w:t>
      </w:r>
      <w:r w:rsidR="009F171E">
        <w:rPr>
          <w:rFonts w:ascii="Calibri" w:hAnsi="Calibri"/>
        </w:rPr>
        <w:t>department.</w:t>
      </w:r>
    </w:p>
    <w:p w14:paraId="51F5ECC5" w14:textId="456545D2" w:rsidR="007B2D1A" w:rsidRPr="00B66680" w:rsidRDefault="001D68F0" w:rsidP="00B66680">
      <w:pPr>
        <w:pStyle w:val="Default"/>
        <w:numPr>
          <w:ilvl w:val="1"/>
          <w:numId w:val="21"/>
        </w:numPr>
        <w:rPr>
          <w:rFonts w:ascii="Calibri" w:hAnsi="Calibri"/>
        </w:rPr>
      </w:pPr>
      <w:r w:rsidRPr="00B66680">
        <w:rPr>
          <w:rFonts w:ascii="Calibri" w:hAnsi="Calibri"/>
        </w:rPr>
        <w:t>Analyse trends to identify an</w:t>
      </w:r>
      <w:r w:rsidR="00B66680">
        <w:rPr>
          <w:rFonts w:ascii="Calibri" w:hAnsi="Calibri"/>
        </w:rPr>
        <w:t>y</w:t>
      </w:r>
      <w:r w:rsidRPr="00B66680">
        <w:rPr>
          <w:rFonts w:ascii="Calibri" w:hAnsi="Calibri"/>
        </w:rPr>
        <w:t xml:space="preserve"> patterns that may assist to improve prevention of OV and Grey Responses.</w:t>
      </w:r>
    </w:p>
    <w:p w14:paraId="78643C50" w14:textId="77777777" w:rsidR="006D01AA" w:rsidRDefault="006D01AA" w:rsidP="006D01AA">
      <w:pPr>
        <w:pStyle w:val="Default"/>
        <w:numPr>
          <w:ilvl w:val="0"/>
          <w:numId w:val="21"/>
        </w:numPr>
        <w:rPr>
          <w:rFonts w:ascii="Calibri" w:hAnsi="Calibri"/>
        </w:rPr>
      </w:pPr>
      <w:r>
        <w:rPr>
          <w:rFonts w:ascii="Calibri" w:hAnsi="Calibri"/>
        </w:rPr>
        <w:t>Incidents resulting from a Grey Response are reviewed by the ED ADON or CNCs.</w:t>
      </w:r>
    </w:p>
    <w:p w14:paraId="6E93670E" w14:textId="2E44AEF6" w:rsidR="00F9158A" w:rsidRDefault="002A202E" w:rsidP="007962A9">
      <w:pPr>
        <w:pStyle w:val="Default"/>
        <w:numPr>
          <w:ilvl w:val="0"/>
          <w:numId w:val="21"/>
        </w:numPr>
        <w:rPr>
          <w:rFonts w:ascii="Calibri" w:hAnsi="Calibri"/>
        </w:rPr>
      </w:pPr>
      <w:r>
        <w:rPr>
          <w:rFonts w:ascii="Calibri" w:hAnsi="Calibri"/>
        </w:rPr>
        <w:t xml:space="preserve">CHS OV Training Team will evaluate the effectiveness of training </w:t>
      </w:r>
      <w:r w:rsidR="008040BA">
        <w:rPr>
          <w:rFonts w:ascii="Calibri" w:hAnsi="Calibri"/>
        </w:rPr>
        <w:t xml:space="preserve">provided to team members who will respond </w:t>
      </w:r>
      <w:r w:rsidR="5AABA441" w:rsidRPr="52EE5285">
        <w:rPr>
          <w:rFonts w:ascii="Calibri" w:hAnsi="Calibri"/>
        </w:rPr>
        <w:t>to</w:t>
      </w:r>
      <w:r w:rsidR="008040BA">
        <w:rPr>
          <w:rFonts w:ascii="Calibri" w:hAnsi="Calibri"/>
        </w:rPr>
        <w:t xml:space="preserve"> a Grey Response to ensure that training programs meet their </w:t>
      </w:r>
      <w:r w:rsidR="00D469BC">
        <w:rPr>
          <w:rFonts w:ascii="Calibri" w:hAnsi="Calibri"/>
        </w:rPr>
        <w:t xml:space="preserve">stated </w:t>
      </w:r>
      <w:r w:rsidR="009F171E">
        <w:rPr>
          <w:rFonts w:ascii="Calibri" w:hAnsi="Calibri"/>
        </w:rPr>
        <w:t>objectives.</w:t>
      </w:r>
    </w:p>
    <w:p w14:paraId="0BF0A9AF" w14:textId="073E578D" w:rsidR="00D469BC" w:rsidRDefault="00D469BC" w:rsidP="007962A9">
      <w:pPr>
        <w:pStyle w:val="Default"/>
        <w:numPr>
          <w:ilvl w:val="0"/>
          <w:numId w:val="21"/>
        </w:numPr>
        <w:rPr>
          <w:rFonts w:ascii="Calibri" w:hAnsi="Calibri"/>
        </w:rPr>
      </w:pPr>
      <w:r>
        <w:rPr>
          <w:rFonts w:ascii="Calibri" w:hAnsi="Calibri"/>
        </w:rPr>
        <w:t>CHS</w:t>
      </w:r>
      <w:r w:rsidR="00353901">
        <w:rPr>
          <w:rFonts w:ascii="Calibri" w:hAnsi="Calibri"/>
        </w:rPr>
        <w:t xml:space="preserve"> OV Training Team will assess implementation of the knowledge and skills covered by the OV training program</w:t>
      </w:r>
      <w:r w:rsidR="00B253B2">
        <w:rPr>
          <w:rFonts w:ascii="Calibri" w:hAnsi="Calibri"/>
        </w:rPr>
        <w:t xml:space="preserve"> (including situational awareness, de-escalation, containment, and escalation) to provide ongoing opportunities for learning and </w:t>
      </w:r>
      <w:r w:rsidR="009F171E">
        <w:rPr>
          <w:rFonts w:ascii="Calibri" w:hAnsi="Calibri"/>
        </w:rPr>
        <w:t>improvement.</w:t>
      </w:r>
    </w:p>
    <w:p w14:paraId="27756F3B" w14:textId="77777777" w:rsidR="00845445" w:rsidRDefault="00845445" w:rsidP="00F9158A">
      <w:pPr>
        <w:pStyle w:val="Default"/>
        <w:rPr>
          <w:rFonts w:ascii="Calibri" w:hAnsi="Calibri" w:cs="Arial"/>
          <w:i/>
          <w:color w:val="auto"/>
          <w:lang w:eastAsia="en-US"/>
        </w:rPr>
      </w:pPr>
    </w:p>
    <w:p w14:paraId="119BA4AD" w14:textId="77777777" w:rsidR="00F9158A" w:rsidRPr="00253F5A" w:rsidRDefault="00F9158A" w:rsidP="00F9158A">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30" w:name="_Toc389473287"/>
            <w:bookmarkStart w:id="31" w:name="_Toc160461947"/>
            <w:r>
              <w:t xml:space="preserve">Related Policies, </w:t>
            </w:r>
            <w:r w:rsidR="007B6904">
              <w:t>Procedures</w:t>
            </w:r>
            <w:bookmarkEnd w:id="30"/>
            <w:r>
              <w:t>, Guidelines and Legislation</w:t>
            </w:r>
            <w:bookmarkEnd w:id="31"/>
          </w:p>
        </w:tc>
      </w:tr>
    </w:tbl>
    <w:p w14:paraId="2F51A8B7" w14:textId="77777777" w:rsidR="007B6904" w:rsidRDefault="007B6904" w:rsidP="007B6904">
      <w:pPr>
        <w:rPr>
          <w:szCs w:val="24"/>
        </w:rPr>
      </w:pPr>
    </w:p>
    <w:p w14:paraId="596AC17C" w14:textId="614006AF" w:rsidR="00114E38" w:rsidRDefault="00114E38" w:rsidP="00201FB6">
      <w:pPr>
        <w:rPr>
          <w:b/>
        </w:rPr>
      </w:pPr>
      <w:r>
        <w:rPr>
          <w:b/>
        </w:rPr>
        <w:lastRenderedPageBreak/>
        <w:t>Strategies</w:t>
      </w:r>
    </w:p>
    <w:p w14:paraId="2684DA90" w14:textId="77777777" w:rsidR="003A4BB5" w:rsidRPr="003A4BB5" w:rsidRDefault="003A4BB5" w:rsidP="003A4BB5">
      <w:pPr>
        <w:pStyle w:val="ListParagraph"/>
        <w:numPr>
          <w:ilvl w:val="0"/>
          <w:numId w:val="24"/>
        </w:numPr>
        <w:ind w:left="284" w:hanging="284"/>
        <w:rPr>
          <w:rFonts w:ascii="Times New Roman" w:hAnsi="Times New Roman"/>
        </w:rPr>
      </w:pPr>
      <w:r>
        <w:t>ACT Government Managing Occupational Violence Strategy 2019-2022</w:t>
      </w:r>
    </w:p>
    <w:p w14:paraId="51C18494" w14:textId="23FB6F62" w:rsidR="003A4BB5" w:rsidRDefault="003A4BB5" w:rsidP="003A4BB5">
      <w:pPr>
        <w:pStyle w:val="ListParagraph"/>
        <w:numPr>
          <w:ilvl w:val="0"/>
          <w:numId w:val="24"/>
        </w:numPr>
        <w:ind w:left="284" w:hanging="284"/>
      </w:pPr>
      <w:r>
        <w:t>ACT Government Work Health, Safety and Public Wellbeing Strategy 2019-2022</w:t>
      </w:r>
    </w:p>
    <w:p w14:paraId="0807F96F" w14:textId="0D903412" w:rsidR="003A4BB5" w:rsidRDefault="003A4BB5" w:rsidP="003A4BB5">
      <w:pPr>
        <w:pStyle w:val="ListParagraph"/>
        <w:numPr>
          <w:ilvl w:val="0"/>
          <w:numId w:val="24"/>
        </w:numPr>
        <w:ind w:left="284" w:hanging="284"/>
      </w:pPr>
      <w:r>
        <w:t>CHS Work Health Safety Strategy 2018–2022</w:t>
      </w:r>
    </w:p>
    <w:p w14:paraId="34F8DEBB" w14:textId="1584F0FB" w:rsidR="003A4BB5" w:rsidRDefault="003A4BB5" w:rsidP="003A4BB5">
      <w:pPr>
        <w:pStyle w:val="ListParagraph"/>
        <w:numPr>
          <w:ilvl w:val="0"/>
          <w:numId w:val="24"/>
        </w:numPr>
        <w:ind w:left="284" w:hanging="284"/>
      </w:pPr>
      <w:r>
        <w:t>CHS Occupational Violence Strategy 2020-2022</w:t>
      </w:r>
    </w:p>
    <w:p w14:paraId="3E5344C6" w14:textId="77777777" w:rsidR="00595DFF" w:rsidRDefault="00595DFF" w:rsidP="00595DFF"/>
    <w:p w14:paraId="6518914A" w14:textId="77777777" w:rsidR="00007A8A" w:rsidRDefault="00007A8A" w:rsidP="00595DFF"/>
    <w:p w14:paraId="472550AF" w14:textId="77777777" w:rsidR="00254D7C" w:rsidRDefault="00254D7C" w:rsidP="00254D7C">
      <w:pPr>
        <w:rPr>
          <w:rFonts w:ascii="Times New Roman" w:hAnsi="Times New Roman"/>
        </w:rPr>
      </w:pPr>
      <w:r w:rsidRPr="00254D7C">
        <w:rPr>
          <w:b/>
          <w:bCs/>
        </w:rPr>
        <w:t>Frameworks</w:t>
      </w:r>
    </w:p>
    <w:p w14:paraId="7D953684" w14:textId="637FAA9D" w:rsidR="00254D7C" w:rsidRDefault="00254D7C" w:rsidP="00254D7C">
      <w:pPr>
        <w:pStyle w:val="ListParagraph"/>
        <w:numPr>
          <w:ilvl w:val="0"/>
          <w:numId w:val="25"/>
        </w:numPr>
        <w:ind w:left="284"/>
      </w:pPr>
      <w:r>
        <w:t>ACT Government Respect, Equity and Diversity Framework</w:t>
      </w:r>
    </w:p>
    <w:p w14:paraId="60596A33" w14:textId="2D359204" w:rsidR="00254D7C" w:rsidRDefault="00254D7C" w:rsidP="00254D7C">
      <w:pPr>
        <w:pStyle w:val="ListParagraph"/>
        <w:numPr>
          <w:ilvl w:val="0"/>
          <w:numId w:val="25"/>
        </w:numPr>
        <w:ind w:left="284"/>
      </w:pPr>
      <w:r>
        <w:t>ACT Government Protective Security Policy Framework</w:t>
      </w:r>
    </w:p>
    <w:p w14:paraId="345FB018" w14:textId="37BE30D2" w:rsidR="000B744E" w:rsidRPr="000B744E" w:rsidRDefault="000B744E" w:rsidP="000B744E">
      <w:pPr>
        <w:numPr>
          <w:ilvl w:val="0"/>
          <w:numId w:val="25"/>
        </w:numPr>
        <w:ind w:left="284"/>
        <w:rPr>
          <w:rFonts w:cs="Arial"/>
          <w:szCs w:val="24"/>
        </w:rPr>
      </w:pPr>
      <w:r>
        <w:rPr>
          <w:rFonts w:cs="Arial"/>
          <w:szCs w:val="24"/>
        </w:rPr>
        <w:t>Partnering with Consumers Framework 2020- 2023</w:t>
      </w:r>
    </w:p>
    <w:p w14:paraId="25086BF5" w14:textId="77777777" w:rsidR="00114E38" w:rsidRDefault="00114E38" w:rsidP="00201FB6"/>
    <w:p w14:paraId="6B7BA197" w14:textId="77777777" w:rsidR="00A547B8" w:rsidRDefault="00A547B8" w:rsidP="00A547B8">
      <w:pPr>
        <w:rPr>
          <w:b/>
          <w:bCs/>
        </w:rPr>
      </w:pPr>
      <w:r w:rsidRPr="00A547B8">
        <w:rPr>
          <w:b/>
          <w:bCs/>
        </w:rPr>
        <w:t>Standards</w:t>
      </w:r>
    </w:p>
    <w:p w14:paraId="68DEC0CD" w14:textId="283A9BE6" w:rsidR="00A547B8" w:rsidRPr="00A547B8" w:rsidRDefault="00A547B8" w:rsidP="00A547B8">
      <w:pPr>
        <w:pStyle w:val="ListParagraph"/>
        <w:numPr>
          <w:ilvl w:val="0"/>
          <w:numId w:val="26"/>
        </w:numPr>
        <w:ind w:left="284"/>
        <w:rPr>
          <w:rFonts w:ascii="Times New Roman" w:hAnsi="Times New Roman"/>
        </w:rPr>
      </w:pPr>
      <w:r>
        <w:t>National Safety and Quality Health Service Standards – second edition</w:t>
      </w:r>
    </w:p>
    <w:p w14:paraId="58B7752C" w14:textId="77777777" w:rsidR="00A547B8" w:rsidRDefault="00A547B8" w:rsidP="00201FB6">
      <w:pPr>
        <w:rPr>
          <w:b/>
        </w:rPr>
      </w:pPr>
    </w:p>
    <w:p w14:paraId="2F51A8BA" w14:textId="6F8D9134" w:rsidR="001926F4" w:rsidRPr="00201FB6" w:rsidRDefault="001926F4" w:rsidP="00201FB6">
      <w:pPr>
        <w:rPr>
          <w:b/>
        </w:rPr>
      </w:pPr>
      <w:r w:rsidRPr="00201FB6">
        <w:rPr>
          <w:b/>
        </w:rPr>
        <w:t>Policies</w:t>
      </w:r>
    </w:p>
    <w:p w14:paraId="6416EAF4" w14:textId="74F943CE" w:rsidR="00440D1F" w:rsidRPr="00431054" w:rsidRDefault="00440D1F" w:rsidP="00431054">
      <w:pPr>
        <w:pStyle w:val="ListParagraph"/>
        <w:numPr>
          <w:ilvl w:val="0"/>
          <w:numId w:val="26"/>
        </w:numPr>
        <w:ind w:left="426" w:hanging="426"/>
        <w:rPr>
          <w:rFonts w:cs="Arial"/>
          <w:szCs w:val="24"/>
        </w:rPr>
      </w:pPr>
      <w:r w:rsidRPr="00431054">
        <w:rPr>
          <w:rFonts w:cs="Arial"/>
          <w:szCs w:val="24"/>
        </w:rPr>
        <w:t xml:space="preserve">Nursing and Midwifery Board of Australia Requirements of Practice </w:t>
      </w:r>
    </w:p>
    <w:p w14:paraId="5D8B4E2F" w14:textId="76458547" w:rsidR="00727861" w:rsidRPr="00431054" w:rsidRDefault="00727861" w:rsidP="00431054">
      <w:pPr>
        <w:pStyle w:val="ListParagraph"/>
        <w:numPr>
          <w:ilvl w:val="0"/>
          <w:numId w:val="26"/>
        </w:numPr>
        <w:ind w:left="426" w:hanging="426"/>
        <w:rPr>
          <w:rFonts w:cs="Arial"/>
          <w:szCs w:val="24"/>
        </w:rPr>
      </w:pPr>
      <w:r w:rsidRPr="00431054">
        <w:rPr>
          <w:rFonts w:cs="Arial"/>
          <w:szCs w:val="24"/>
        </w:rPr>
        <w:t>Emergency Management Plans- Code Black</w:t>
      </w:r>
    </w:p>
    <w:p w14:paraId="2F51A8BC" w14:textId="3F172257" w:rsidR="000A7335" w:rsidRPr="00431054" w:rsidRDefault="00277983" w:rsidP="00431054">
      <w:pPr>
        <w:pStyle w:val="ListParagraph"/>
        <w:numPr>
          <w:ilvl w:val="0"/>
          <w:numId w:val="26"/>
        </w:numPr>
        <w:ind w:left="426" w:hanging="426"/>
        <w:rPr>
          <w:rFonts w:cs="Arial"/>
          <w:szCs w:val="24"/>
        </w:rPr>
      </w:pPr>
      <w:r w:rsidRPr="00431054">
        <w:rPr>
          <w:rFonts w:cs="Arial"/>
          <w:szCs w:val="24"/>
        </w:rPr>
        <w:t>Informed consent (clinical)</w:t>
      </w:r>
    </w:p>
    <w:p w14:paraId="1FB58BEC" w14:textId="447B2FFB" w:rsidR="00AD3C68" w:rsidRPr="00431054" w:rsidRDefault="00AD3C68" w:rsidP="00431054">
      <w:pPr>
        <w:pStyle w:val="ListParagraph"/>
        <w:numPr>
          <w:ilvl w:val="0"/>
          <w:numId w:val="26"/>
        </w:numPr>
        <w:ind w:left="426" w:hanging="426"/>
        <w:rPr>
          <w:rFonts w:cs="Arial"/>
          <w:szCs w:val="24"/>
        </w:rPr>
      </w:pPr>
      <w:r w:rsidRPr="00431054">
        <w:rPr>
          <w:rFonts w:cs="Arial"/>
          <w:szCs w:val="24"/>
        </w:rPr>
        <w:t xml:space="preserve">ACT Language Services </w:t>
      </w:r>
    </w:p>
    <w:p w14:paraId="79DF2FCF" w14:textId="6F61E1A7" w:rsidR="007C0CDB" w:rsidRPr="00431054" w:rsidRDefault="001126A4" w:rsidP="00431054">
      <w:pPr>
        <w:pStyle w:val="ListParagraph"/>
        <w:numPr>
          <w:ilvl w:val="0"/>
          <w:numId w:val="26"/>
        </w:numPr>
        <w:ind w:left="426" w:hanging="426"/>
        <w:rPr>
          <w:rFonts w:cs="Arial"/>
          <w:szCs w:val="24"/>
        </w:rPr>
      </w:pPr>
      <w:r w:rsidRPr="00431054">
        <w:rPr>
          <w:rFonts w:cs="Arial"/>
          <w:szCs w:val="24"/>
        </w:rPr>
        <w:t xml:space="preserve">Occupational Violence </w:t>
      </w:r>
    </w:p>
    <w:p w14:paraId="06834DB8" w14:textId="13DA5A8D" w:rsidR="00452826" w:rsidRPr="00431054" w:rsidRDefault="00452826" w:rsidP="00431054">
      <w:pPr>
        <w:pStyle w:val="ListParagraph"/>
        <w:numPr>
          <w:ilvl w:val="0"/>
          <w:numId w:val="26"/>
        </w:numPr>
        <w:ind w:left="426" w:hanging="426"/>
        <w:rPr>
          <w:rFonts w:cs="Arial"/>
          <w:szCs w:val="24"/>
        </w:rPr>
      </w:pPr>
      <w:r w:rsidRPr="00431054">
        <w:rPr>
          <w:rFonts w:cs="Arial"/>
          <w:szCs w:val="24"/>
        </w:rPr>
        <w:t xml:space="preserve">Searching of a Consumer’s Person or Property </w:t>
      </w:r>
    </w:p>
    <w:p w14:paraId="1AABBA59" w14:textId="77777777" w:rsidR="00EC7FA4" w:rsidRPr="00431054" w:rsidRDefault="00EC7FA4" w:rsidP="00431054">
      <w:pPr>
        <w:pStyle w:val="ListParagraph"/>
        <w:numPr>
          <w:ilvl w:val="0"/>
          <w:numId w:val="26"/>
        </w:numPr>
        <w:ind w:left="426" w:hanging="426"/>
        <w:rPr>
          <w:rFonts w:cs="Arial"/>
          <w:szCs w:val="24"/>
        </w:rPr>
      </w:pPr>
      <w:r w:rsidRPr="00431054">
        <w:rPr>
          <w:rFonts w:cs="Arial"/>
          <w:szCs w:val="24"/>
        </w:rPr>
        <w:t xml:space="preserve">Incident Management – Clinical </w:t>
      </w:r>
    </w:p>
    <w:p w14:paraId="2BF91CBD" w14:textId="77777777" w:rsidR="005A2292" w:rsidRPr="00431054" w:rsidRDefault="005A2292" w:rsidP="00431054">
      <w:pPr>
        <w:pStyle w:val="ListParagraph"/>
        <w:numPr>
          <w:ilvl w:val="0"/>
          <w:numId w:val="26"/>
        </w:numPr>
        <w:ind w:left="426" w:hanging="426"/>
        <w:rPr>
          <w:rFonts w:cs="Arial"/>
          <w:szCs w:val="24"/>
        </w:rPr>
      </w:pPr>
      <w:r w:rsidRPr="00431054">
        <w:rPr>
          <w:rFonts w:cs="Arial"/>
          <w:szCs w:val="24"/>
        </w:rPr>
        <w:t>Clinical Records Management</w:t>
      </w:r>
    </w:p>
    <w:p w14:paraId="4EC5F097" w14:textId="25C1E6AA" w:rsidR="00EC7FA4" w:rsidRPr="00431054" w:rsidRDefault="009C0EE2" w:rsidP="00431054">
      <w:pPr>
        <w:pStyle w:val="ListParagraph"/>
        <w:numPr>
          <w:ilvl w:val="0"/>
          <w:numId w:val="26"/>
        </w:numPr>
        <w:ind w:left="426" w:hanging="426"/>
        <w:rPr>
          <w:rFonts w:cs="Arial"/>
          <w:szCs w:val="24"/>
        </w:rPr>
      </w:pPr>
      <w:r w:rsidRPr="00431054">
        <w:rPr>
          <w:rFonts w:cs="Arial"/>
          <w:szCs w:val="24"/>
        </w:rPr>
        <w:t>Work Health and Safety</w:t>
      </w:r>
    </w:p>
    <w:p w14:paraId="2F51A8BD" w14:textId="77777777" w:rsidR="000A7335" w:rsidRPr="000A7335" w:rsidRDefault="000A7335" w:rsidP="000A7335">
      <w:pPr>
        <w:rPr>
          <w:rFonts w:cs="Arial"/>
          <w:szCs w:val="24"/>
        </w:rPr>
      </w:pPr>
    </w:p>
    <w:p w14:paraId="2F51A8BE" w14:textId="77777777" w:rsidR="00931B93" w:rsidRPr="00201FB6" w:rsidRDefault="00931B93" w:rsidP="00201FB6">
      <w:pPr>
        <w:rPr>
          <w:b/>
        </w:rPr>
      </w:pPr>
      <w:r w:rsidRPr="00201FB6">
        <w:rPr>
          <w:b/>
        </w:rPr>
        <w:t>Procedures</w:t>
      </w:r>
    </w:p>
    <w:p w14:paraId="20D44240" w14:textId="77777777" w:rsidR="000F0E33" w:rsidRDefault="000F0E33" w:rsidP="007C0CDB">
      <w:pPr>
        <w:numPr>
          <w:ilvl w:val="0"/>
          <w:numId w:val="5"/>
        </w:numPr>
        <w:ind w:left="360"/>
        <w:rPr>
          <w:rFonts w:cs="Arial"/>
          <w:szCs w:val="24"/>
        </w:rPr>
      </w:pPr>
      <w:r w:rsidRPr="00431054">
        <w:rPr>
          <w:rFonts w:cs="Arial"/>
          <w:szCs w:val="24"/>
        </w:rPr>
        <w:t>Open Disclosure</w:t>
      </w:r>
    </w:p>
    <w:p w14:paraId="7AAF9EED" w14:textId="22DA8BEA" w:rsidR="007C0CDB" w:rsidRPr="000A7335" w:rsidRDefault="007C0CDB" w:rsidP="007C0CDB">
      <w:pPr>
        <w:numPr>
          <w:ilvl w:val="0"/>
          <w:numId w:val="5"/>
        </w:numPr>
        <w:ind w:left="360"/>
        <w:rPr>
          <w:rFonts w:cs="Arial"/>
          <w:szCs w:val="24"/>
        </w:rPr>
      </w:pPr>
      <w:r>
        <w:rPr>
          <w:rFonts w:cs="Arial"/>
          <w:szCs w:val="24"/>
        </w:rPr>
        <w:t xml:space="preserve">Language Services- Interpreters and Translated Materials </w:t>
      </w:r>
    </w:p>
    <w:p w14:paraId="6DB88B5C" w14:textId="77777777" w:rsidR="00D151B8" w:rsidRDefault="00D151B8" w:rsidP="00D151B8">
      <w:pPr>
        <w:pStyle w:val="ListParagraph"/>
        <w:numPr>
          <w:ilvl w:val="0"/>
          <w:numId w:val="5"/>
        </w:numPr>
        <w:ind w:left="426" w:hanging="426"/>
        <w:rPr>
          <w:rFonts w:cs="Arial"/>
          <w:szCs w:val="24"/>
        </w:rPr>
      </w:pPr>
      <w:r w:rsidRPr="001F2A9B">
        <w:rPr>
          <w:rFonts w:cs="Arial"/>
          <w:szCs w:val="24"/>
        </w:rPr>
        <w:t xml:space="preserve">Patient Identification and Procedure Matching </w:t>
      </w:r>
    </w:p>
    <w:p w14:paraId="5BC73B36" w14:textId="77777777" w:rsidR="00D151B8" w:rsidRDefault="00D151B8" w:rsidP="00D151B8">
      <w:pPr>
        <w:pStyle w:val="ListParagraph"/>
        <w:numPr>
          <w:ilvl w:val="0"/>
          <w:numId w:val="5"/>
        </w:numPr>
        <w:ind w:left="426" w:hanging="426"/>
        <w:rPr>
          <w:rFonts w:cs="Arial"/>
          <w:szCs w:val="24"/>
        </w:rPr>
      </w:pPr>
      <w:r>
        <w:rPr>
          <w:rFonts w:cs="Arial"/>
          <w:szCs w:val="24"/>
        </w:rPr>
        <w:t>Advanced Care Planning (Adults)</w:t>
      </w:r>
    </w:p>
    <w:p w14:paraId="05376AF3" w14:textId="77777777" w:rsidR="00D151B8" w:rsidRDefault="00D151B8" w:rsidP="00D151B8">
      <w:pPr>
        <w:pStyle w:val="ListParagraph"/>
        <w:numPr>
          <w:ilvl w:val="0"/>
          <w:numId w:val="5"/>
        </w:numPr>
        <w:ind w:left="426" w:hanging="426"/>
        <w:rPr>
          <w:rFonts w:cs="Arial"/>
          <w:szCs w:val="24"/>
        </w:rPr>
      </w:pPr>
      <w:r>
        <w:rPr>
          <w:rFonts w:cs="Arial"/>
          <w:szCs w:val="24"/>
        </w:rPr>
        <w:t>Clinical Handover</w:t>
      </w:r>
    </w:p>
    <w:p w14:paraId="3A0EA812" w14:textId="77777777" w:rsidR="00D151B8" w:rsidRDefault="00D151B8" w:rsidP="00D151B8">
      <w:pPr>
        <w:pStyle w:val="ListParagraph"/>
        <w:numPr>
          <w:ilvl w:val="0"/>
          <w:numId w:val="5"/>
        </w:numPr>
        <w:ind w:left="426" w:hanging="426"/>
        <w:rPr>
          <w:rFonts w:cs="Arial"/>
          <w:szCs w:val="24"/>
        </w:rPr>
      </w:pPr>
      <w:r>
        <w:rPr>
          <w:rFonts w:cs="Arial"/>
          <w:szCs w:val="24"/>
        </w:rPr>
        <w:t>Clinical Records Management</w:t>
      </w:r>
    </w:p>
    <w:p w14:paraId="5F52926E" w14:textId="77777777" w:rsidR="00D151B8" w:rsidRDefault="00D151B8" w:rsidP="00D151B8">
      <w:pPr>
        <w:pStyle w:val="ListParagraph"/>
        <w:numPr>
          <w:ilvl w:val="0"/>
          <w:numId w:val="5"/>
        </w:numPr>
        <w:ind w:left="426" w:hanging="426"/>
        <w:rPr>
          <w:rFonts w:cs="Arial"/>
          <w:szCs w:val="24"/>
        </w:rPr>
      </w:pPr>
      <w:r>
        <w:rPr>
          <w:rFonts w:cs="Arial"/>
          <w:szCs w:val="24"/>
        </w:rPr>
        <w:t>Consumer Feedback Management</w:t>
      </w:r>
    </w:p>
    <w:p w14:paraId="7DC86245" w14:textId="77777777" w:rsidR="00D151B8" w:rsidRDefault="00D151B8" w:rsidP="00D151B8">
      <w:pPr>
        <w:pStyle w:val="ListParagraph"/>
        <w:numPr>
          <w:ilvl w:val="0"/>
          <w:numId w:val="5"/>
        </w:numPr>
        <w:ind w:left="426" w:hanging="426"/>
        <w:rPr>
          <w:rFonts w:cs="Arial"/>
          <w:szCs w:val="24"/>
        </w:rPr>
      </w:pPr>
      <w:r>
        <w:rPr>
          <w:rFonts w:cs="Arial"/>
          <w:szCs w:val="24"/>
        </w:rPr>
        <w:t>Responding to Consumer use of Alcohol and/or Other Drugs</w:t>
      </w:r>
    </w:p>
    <w:p w14:paraId="0B6EE8E1" w14:textId="77777777" w:rsidR="00D151B8" w:rsidRDefault="00D151B8" w:rsidP="00D151B8">
      <w:pPr>
        <w:pStyle w:val="ListParagraph"/>
        <w:numPr>
          <w:ilvl w:val="0"/>
          <w:numId w:val="5"/>
        </w:numPr>
        <w:ind w:left="426" w:hanging="426"/>
        <w:rPr>
          <w:rFonts w:cs="Arial"/>
          <w:szCs w:val="24"/>
        </w:rPr>
      </w:pPr>
      <w:r>
        <w:rPr>
          <w:rFonts w:cs="Arial"/>
          <w:szCs w:val="24"/>
        </w:rPr>
        <w:t xml:space="preserve">Incident Management – Clinical </w:t>
      </w:r>
    </w:p>
    <w:p w14:paraId="38E8C44C" w14:textId="77777777" w:rsidR="00D151B8" w:rsidRDefault="00D151B8" w:rsidP="00D151B8">
      <w:pPr>
        <w:pStyle w:val="ListParagraph"/>
        <w:numPr>
          <w:ilvl w:val="0"/>
          <w:numId w:val="5"/>
        </w:numPr>
        <w:ind w:left="426" w:hanging="426"/>
        <w:rPr>
          <w:rFonts w:cs="Arial"/>
          <w:szCs w:val="24"/>
        </w:rPr>
      </w:pPr>
      <w:r>
        <w:rPr>
          <w:rFonts w:cs="Arial"/>
          <w:szCs w:val="24"/>
        </w:rPr>
        <w:t>Occupational Violence</w:t>
      </w:r>
    </w:p>
    <w:p w14:paraId="54BF792A" w14:textId="77777777" w:rsidR="00D151B8" w:rsidRDefault="00D151B8" w:rsidP="00D151B8">
      <w:pPr>
        <w:pStyle w:val="ListParagraph"/>
        <w:numPr>
          <w:ilvl w:val="0"/>
          <w:numId w:val="5"/>
        </w:numPr>
        <w:ind w:left="426" w:hanging="426"/>
        <w:rPr>
          <w:rFonts w:cs="Arial"/>
          <w:szCs w:val="24"/>
        </w:rPr>
      </w:pPr>
      <w:r>
        <w:rPr>
          <w:rFonts w:cs="Arial"/>
          <w:szCs w:val="24"/>
        </w:rPr>
        <w:t xml:space="preserve">Alerts Management </w:t>
      </w:r>
    </w:p>
    <w:p w14:paraId="50982D21" w14:textId="77777777" w:rsidR="00D151B8" w:rsidRDefault="00D151B8" w:rsidP="00D151B8">
      <w:pPr>
        <w:pStyle w:val="ListParagraph"/>
        <w:numPr>
          <w:ilvl w:val="0"/>
          <w:numId w:val="5"/>
        </w:numPr>
        <w:ind w:left="426" w:hanging="426"/>
        <w:rPr>
          <w:rFonts w:cs="Arial"/>
          <w:szCs w:val="24"/>
        </w:rPr>
      </w:pPr>
      <w:r>
        <w:rPr>
          <w:rFonts w:cs="Arial"/>
          <w:szCs w:val="24"/>
        </w:rPr>
        <w:t>Advanced Agreements, Advance Consent Directions and Nominated Persons under the Mental Health Act 2015</w:t>
      </w:r>
    </w:p>
    <w:p w14:paraId="790821E7" w14:textId="77777777" w:rsidR="00D151B8" w:rsidRDefault="00D151B8" w:rsidP="000F0E33">
      <w:pPr>
        <w:pStyle w:val="ListBullet"/>
      </w:pPr>
      <w:r>
        <w:t>Seclusion of a Person Detained under the Mental Health Act 2015</w:t>
      </w:r>
    </w:p>
    <w:p w14:paraId="5908AB45" w14:textId="39CAD01A" w:rsidR="00592FCC" w:rsidRDefault="00D151B8" w:rsidP="00D151B8">
      <w:pPr>
        <w:pStyle w:val="ListParagraph"/>
        <w:numPr>
          <w:ilvl w:val="0"/>
          <w:numId w:val="5"/>
        </w:numPr>
        <w:ind w:left="426" w:hanging="426"/>
        <w:rPr>
          <w:rFonts w:cs="Arial"/>
          <w:szCs w:val="24"/>
        </w:rPr>
      </w:pPr>
      <w:r>
        <w:rPr>
          <w:rFonts w:cs="Arial"/>
          <w:szCs w:val="24"/>
        </w:rPr>
        <w:t>Restraint of a Person Detainer under the Mental Health Act 2015</w:t>
      </w:r>
    </w:p>
    <w:p w14:paraId="174745D0" w14:textId="76A7DDA3" w:rsidR="00074679" w:rsidRDefault="00677B24" w:rsidP="00D151B8">
      <w:pPr>
        <w:pStyle w:val="ListParagraph"/>
        <w:numPr>
          <w:ilvl w:val="0"/>
          <w:numId w:val="5"/>
        </w:numPr>
        <w:ind w:left="426" w:hanging="426"/>
        <w:rPr>
          <w:rFonts w:cs="Arial"/>
          <w:szCs w:val="24"/>
        </w:rPr>
      </w:pPr>
      <w:r>
        <w:rPr>
          <w:rFonts w:cs="Arial"/>
          <w:szCs w:val="24"/>
        </w:rPr>
        <w:t>Management of People Subject to Section 309 of the Crimes Act 1900 Transferred to the Canberra Hospital (MHJHADS)</w:t>
      </w:r>
    </w:p>
    <w:p w14:paraId="1402C8E8" w14:textId="6D0D9FCF" w:rsidR="000F0E33" w:rsidRPr="00D151B8" w:rsidRDefault="000F0E33" w:rsidP="00D151B8">
      <w:pPr>
        <w:pStyle w:val="ListParagraph"/>
        <w:numPr>
          <w:ilvl w:val="0"/>
          <w:numId w:val="5"/>
        </w:numPr>
        <w:ind w:left="426" w:hanging="426"/>
        <w:rPr>
          <w:rFonts w:cs="Arial"/>
          <w:szCs w:val="24"/>
        </w:rPr>
      </w:pPr>
      <w:r>
        <w:rPr>
          <w:rFonts w:cs="Arial"/>
          <w:szCs w:val="24"/>
        </w:rPr>
        <w:lastRenderedPageBreak/>
        <w:t>Restrictive Practices for people NOT detained under the Mental Health Act 2015</w:t>
      </w:r>
    </w:p>
    <w:p w14:paraId="2F51A8C1" w14:textId="77777777" w:rsidR="000A7335" w:rsidRPr="000A7335" w:rsidRDefault="000A7335" w:rsidP="000A7335">
      <w:pPr>
        <w:ind w:left="360"/>
        <w:rPr>
          <w:rFonts w:cs="Arial"/>
          <w:szCs w:val="24"/>
        </w:rPr>
      </w:pPr>
    </w:p>
    <w:p w14:paraId="2F51A8C2" w14:textId="77777777" w:rsidR="00931B93" w:rsidRPr="00201FB6" w:rsidRDefault="00931B93" w:rsidP="00201FB6">
      <w:pPr>
        <w:rPr>
          <w:b/>
        </w:rPr>
      </w:pPr>
      <w:r w:rsidRPr="00201FB6">
        <w:rPr>
          <w:b/>
        </w:rPr>
        <w:t xml:space="preserve">Guidelines </w:t>
      </w:r>
    </w:p>
    <w:p w14:paraId="2F51A8C4" w14:textId="7F584394" w:rsidR="00931B93" w:rsidRPr="00405185" w:rsidRDefault="00A404F1" w:rsidP="000F0E33">
      <w:pPr>
        <w:pStyle w:val="ListBullet"/>
      </w:pPr>
      <w:r>
        <w:t xml:space="preserve">Challenging Behaviour Guideline for ACT Health Services </w:t>
      </w:r>
    </w:p>
    <w:p w14:paraId="1DEF6AD3" w14:textId="77777777" w:rsidR="00727861" w:rsidRDefault="00727861" w:rsidP="00201FB6">
      <w:pPr>
        <w:rPr>
          <w:b/>
        </w:rPr>
      </w:pPr>
    </w:p>
    <w:p w14:paraId="2F51A8C5" w14:textId="2B7AB7F1" w:rsidR="00931B93" w:rsidRPr="00201FB6" w:rsidRDefault="00931B93" w:rsidP="00201FB6">
      <w:pPr>
        <w:rPr>
          <w:b/>
        </w:rPr>
      </w:pPr>
      <w:r w:rsidRPr="00201FB6">
        <w:rPr>
          <w:b/>
        </w:rPr>
        <w:t>Legislation</w:t>
      </w:r>
    </w:p>
    <w:p w14:paraId="2F51A8C6" w14:textId="77777777" w:rsidR="000A7335" w:rsidRPr="000A7335" w:rsidRDefault="000A7335" w:rsidP="000A7335">
      <w:pPr>
        <w:numPr>
          <w:ilvl w:val="0"/>
          <w:numId w:val="5"/>
        </w:numPr>
        <w:ind w:left="360"/>
        <w:rPr>
          <w:rFonts w:cs="Arial"/>
          <w:szCs w:val="24"/>
        </w:rPr>
      </w:pPr>
      <w:r w:rsidRPr="001F2A9B">
        <w:rPr>
          <w:rFonts w:cs="Arial"/>
          <w:i/>
          <w:szCs w:val="24"/>
        </w:rPr>
        <w:t>Health Records (Privacy and Access) Act</w:t>
      </w:r>
      <w:r w:rsidRPr="000A7335">
        <w:rPr>
          <w:rFonts w:cs="Arial"/>
          <w:szCs w:val="24"/>
        </w:rPr>
        <w:t xml:space="preserve"> 1997</w:t>
      </w:r>
    </w:p>
    <w:p w14:paraId="2F51A8C7" w14:textId="77777777" w:rsidR="000A7335" w:rsidRPr="000A7335" w:rsidRDefault="000A7335" w:rsidP="000A7335">
      <w:pPr>
        <w:numPr>
          <w:ilvl w:val="0"/>
          <w:numId w:val="5"/>
        </w:numPr>
        <w:ind w:left="360"/>
        <w:rPr>
          <w:rFonts w:cs="Arial"/>
          <w:szCs w:val="24"/>
        </w:rPr>
      </w:pPr>
      <w:r w:rsidRPr="001F2A9B">
        <w:rPr>
          <w:rFonts w:cs="Arial"/>
          <w:i/>
          <w:szCs w:val="24"/>
        </w:rPr>
        <w:t>Human Rights Act</w:t>
      </w:r>
      <w:r w:rsidRPr="000A7335">
        <w:rPr>
          <w:rFonts w:cs="Arial"/>
          <w:szCs w:val="24"/>
        </w:rPr>
        <w:t xml:space="preserve"> 2004</w:t>
      </w:r>
    </w:p>
    <w:p w14:paraId="2F51A8C8" w14:textId="4F1D4C04" w:rsidR="000A7335" w:rsidRDefault="000A7335" w:rsidP="000A7335">
      <w:pPr>
        <w:numPr>
          <w:ilvl w:val="0"/>
          <w:numId w:val="5"/>
        </w:numPr>
        <w:ind w:left="360"/>
        <w:rPr>
          <w:rFonts w:cs="Arial"/>
          <w:szCs w:val="24"/>
        </w:rPr>
      </w:pPr>
      <w:r w:rsidRPr="001F2A9B">
        <w:rPr>
          <w:rFonts w:cs="Arial"/>
          <w:i/>
          <w:szCs w:val="24"/>
        </w:rPr>
        <w:t>Work Health and Safety Act</w:t>
      </w:r>
      <w:r w:rsidRPr="000A7335">
        <w:rPr>
          <w:rFonts w:cs="Arial"/>
          <w:szCs w:val="24"/>
        </w:rPr>
        <w:t xml:space="preserve"> 2011</w:t>
      </w:r>
    </w:p>
    <w:p w14:paraId="31FA0687" w14:textId="6F747F85" w:rsidR="004C39CF" w:rsidRPr="004C39CF" w:rsidRDefault="004C39CF" w:rsidP="000A7335">
      <w:pPr>
        <w:numPr>
          <w:ilvl w:val="0"/>
          <w:numId w:val="5"/>
        </w:numPr>
        <w:ind w:left="360"/>
        <w:rPr>
          <w:rFonts w:cs="Arial"/>
          <w:szCs w:val="24"/>
        </w:rPr>
      </w:pPr>
      <w:r>
        <w:rPr>
          <w:rFonts w:cs="Arial"/>
          <w:i/>
          <w:szCs w:val="24"/>
        </w:rPr>
        <w:t>Restrictive practices</w:t>
      </w:r>
    </w:p>
    <w:p w14:paraId="634CF605" w14:textId="5EAA2E6B" w:rsidR="004C39CF" w:rsidRPr="000A7335" w:rsidRDefault="004C39CF" w:rsidP="000A7335">
      <w:pPr>
        <w:numPr>
          <w:ilvl w:val="0"/>
          <w:numId w:val="5"/>
        </w:numPr>
        <w:ind w:left="360"/>
        <w:rPr>
          <w:rFonts w:cs="Arial"/>
          <w:szCs w:val="24"/>
        </w:rPr>
      </w:pPr>
      <w:r>
        <w:rPr>
          <w:rFonts w:cs="Arial"/>
          <w:i/>
          <w:szCs w:val="24"/>
        </w:rPr>
        <w:t>M</w:t>
      </w:r>
      <w:r w:rsidR="0005760E">
        <w:rPr>
          <w:rFonts w:cs="Arial"/>
          <w:i/>
          <w:szCs w:val="24"/>
        </w:rPr>
        <w:t>ental Health Act 2015</w:t>
      </w:r>
    </w:p>
    <w:p w14:paraId="2F51A8C9" w14:textId="77777777" w:rsidR="007B6904" w:rsidRDefault="007B6904" w:rsidP="00405185">
      <w:pPr>
        <w:rPr>
          <w:rFonts w:cs="Arial"/>
          <w:i/>
          <w:szCs w:val="24"/>
        </w:rPr>
      </w:pPr>
    </w:p>
    <w:p w14:paraId="56225D8B" w14:textId="518F29C8" w:rsidR="00405185" w:rsidRDefault="00405185" w:rsidP="00405185">
      <w:pPr>
        <w:rPr>
          <w:rFonts w:cs="Arial"/>
          <w:b/>
          <w:bCs/>
          <w:iCs/>
          <w:szCs w:val="24"/>
        </w:rPr>
      </w:pPr>
      <w:r>
        <w:rPr>
          <w:rFonts w:cs="Arial"/>
          <w:b/>
          <w:bCs/>
          <w:iCs/>
          <w:szCs w:val="24"/>
        </w:rPr>
        <w:t>Other</w:t>
      </w:r>
    </w:p>
    <w:p w14:paraId="27CB2632" w14:textId="0267E27C" w:rsidR="00405185" w:rsidRPr="00405185" w:rsidRDefault="00405185" w:rsidP="000F0E33">
      <w:pPr>
        <w:pStyle w:val="ListBullet"/>
      </w:pPr>
      <w:r>
        <w:t>Australian Charter of Healthcare Rights</w:t>
      </w:r>
    </w:p>
    <w:p w14:paraId="2F51A8CA" w14:textId="77777777" w:rsidR="007B6904" w:rsidRDefault="007B6904" w:rsidP="007B6904">
      <w:pPr>
        <w:pStyle w:val="ListParagraph"/>
        <w:jc w:val="right"/>
        <w:rPr>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32" w:name="_Toc389473288"/>
            <w:bookmarkStart w:id="33" w:name="_Toc160461948"/>
            <w:r>
              <w:t>References</w:t>
            </w:r>
            <w:bookmarkEnd w:id="32"/>
            <w:bookmarkEnd w:id="33"/>
          </w:p>
        </w:tc>
      </w:tr>
    </w:tbl>
    <w:p w14:paraId="2F51A8CD" w14:textId="77777777" w:rsidR="007B6904" w:rsidRPr="00DE4E25" w:rsidRDefault="007B6904" w:rsidP="007B6904">
      <w:pPr>
        <w:rPr>
          <w:rFonts w:asciiTheme="majorHAnsi" w:hAnsiTheme="majorHAnsi" w:cstheme="majorHAnsi"/>
          <w:szCs w:val="24"/>
        </w:rPr>
      </w:pPr>
      <w:bookmarkStart w:id="34" w:name="_Toc389131245"/>
    </w:p>
    <w:bookmarkEnd w:id="34"/>
    <w:p w14:paraId="3D95F44A" w14:textId="1BA51B87" w:rsidR="005C1E11" w:rsidRPr="00405185" w:rsidRDefault="00A3295A" w:rsidP="001563B5">
      <w:pPr>
        <w:pStyle w:val="ListParagraph"/>
        <w:numPr>
          <w:ilvl w:val="0"/>
          <w:numId w:val="36"/>
        </w:numPr>
        <w:rPr>
          <w:szCs w:val="24"/>
        </w:rPr>
      </w:pPr>
      <w:proofErr w:type="spellStart"/>
      <w:r w:rsidRPr="00405185">
        <w:rPr>
          <w:szCs w:val="24"/>
        </w:rPr>
        <w:t>Braitberg</w:t>
      </w:r>
      <w:proofErr w:type="spellEnd"/>
      <w:r w:rsidRPr="00405185">
        <w:rPr>
          <w:szCs w:val="24"/>
        </w:rPr>
        <w:t xml:space="preserve"> G, </w:t>
      </w:r>
      <w:proofErr w:type="spellStart"/>
      <w:r w:rsidR="008D3977" w:rsidRPr="00405185">
        <w:rPr>
          <w:szCs w:val="24"/>
        </w:rPr>
        <w:t>Gerdtz</w:t>
      </w:r>
      <w:proofErr w:type="spellEnd"/>
      <w:r w:rsidR="008D3977" w:rsidRPr="00405185">
        <w:rPr>
          <w:szCs w:val="24"/>
        </w:rPr>
        <w:t xml:space="preserve"> M, Harding S, Pincus S, Thompson M, Knott J.</w:t>
      </w:r>
      <w:r w:rsidR="00CD77A2" w:rsidRPr="00405185">
        <w:rPr>
          <w:szCs w:val="24"/>
        </w:rPr>
        <w:t xml:space="preserve"> Behavioural assessment unit improves outcomes from patients with complex psychosocial needs.</w:t>
      </w:r>
      <w:r w:rsidR="00375EED" w:rsidRPr="00405185">
        <w:rPr>
          <w:szCs w:val="24"/>
        </w:rPr>
        <w:t xml:space="preserve"> Emerg Med </w:t>
      </w:r>
      <w:proofErr w:type="spellStart"/>
      <w:r w:rsidR="00375EED" w:rsidRPr="00405185">
        <w:rPr>
          <w:szCs w:val="24"/>
        </w:rPr>
        <w:t>Australas</w:t>
      </w:r>
      <w:proofErr w:type="spellEnd"/>
      <w:r w:rsidR="00375EED" w:rsidRPr="00405185">
        <w:rPr>
          <w:szCs w:val="24"/>
        </w:rPr>
        <w:t xml:space="preserve">. 2018 </w:t>
      </w:r>
      <w:r w:rsidR="00C9070E" w:rsidRPr="00405185">
        <w:rPr>
          <w:szCs w:val="24"/>
        </w:rPr>
        <w:t>Jun; 30(3): 353-358.</w:t>
      </w:r>
    </w:p>
    <w:p w14:paraId="50770AB5" w14:textId="7B17D720" w:rsidR="00887B18" w:rsidRDefault="00887B18" w:rsidP="00405185">
      <w:pPr>
        <w:pStyle w:val="ListParagraph"/>
        <w:numPr>
          <w:ilvl w:val="0"/>
          <w:numId w:val="36"/>
        </w:numPr>
      </w:pPr>
      <w:r>
        <w:t xml:space="preserve">Cabilan, CJ, McRae J, Learmont B, </w:t>
      </w:r>
      <w:proofErr w:type="spellStart"/>
      <w:r>
        <w:t>Taurima</w:t>
      </w:r>
      <w:proofErr w:type="spellEnd"/>
      <w:r>
        <w:t xml:space="preserve"> K, Galbraith S, </w:t>
      </w:r>
      <w:r w:rsidR="00262B38">
        <w:t xml:space="preserve">Mason D, Eley R, </w:t>
      </w:r>
      <w:proofErr w:type="spellStart"/>
      <w:r w:rsidR="00262B38">
        <w:t>Snoswell</w:t>
      </w:r>
      <w:proofErr w:type="spellEnd"/>
      <w:r w:rsidR="00262B38">
        <w:t xml:space="preserve"> C, Johnston ANB.  Validity and reliability of the novel three-item occupational violence patient risk assessment tool</w:t>
      </w:r>
      <w:r w:rsidR="00B27508">
        <w:t>. 202</w:t>
      </w:r>
      <w:r w:rsidR="00992882">
        <w:t>2 Jan; 78: 1176-1185.</w:t>
      </w:r>
      <w:r w:rsidR="67ACE9AB">
        <w:t xml:space="preserve"> </w:t>
      </w:r>
    </w:p>
    <w:p w14:paraId="6EE4F777" w14:textId="6973EC53" w:rsidR="00887B18" w:rsidRPr="00405185" w:rsidRDefault="00A75DB2" w:rsidP="001563B5">
      <w:pPr>
        <w:pStyle w:val="pf0"/>
        <w:numPr>
          <w:ilvl w:val="0"/>
          <w:numId w:val="36"/>
        </w:numPr>
        <w:rPr>
          <w:rFonts w:asciiTheme="minorHAnsi" w:hAnsiTheme="minorHAnsi" w:cstheme="minorHAnsi"/>
        </w:rPr>
      </w:pPr>
      <w:r w:rsidRPr="00B05396">
        <w:rPr>
          <w:rStyle w:val="cf01"/>
          <w:rFonts w:asciiTheme="minorHAnsi" w:hAnsiTheme="minorHAnsi" w:cstheme="minorHAnsi"/>
          <w:sz w:val="24"/>
          <w:szCs w:val="24"/>
        </w:rPr>
        <w:t xml:space="preserve">Cabilan, C. J., &amp; Johnston, A. N. B. (2019). A scoping review of patient-related occupational violence risk factors and risk assessment tools in the emergency department. Emergency Medicine Australasia, 31(5), 730-740. </w:t>
      </w:r>
      <w:hyperlink r:id="rId11" w:history="1">
        <w:r w:rsidRPr="00B05396">
          <w:rPr>
            <w:rStyle w:val="cf01"/>
            <w:rFonts w:asciiTheme="minorHAnsi" w:hAnsiTheme="minorHAnsi" w:cstheme="minorHAnsi"/>
            <w:color w:val="0000FF"/>
            <w:sz w:val="24"/>
            <w:szCs w:val="24"/>
            <w:u w:val="single"/>
          </w:rPr>
          <w:t>https://doi.org/10.1111/1742-6723.13362</w:t>
        </w:r>
      </w:hyperlink>
      <w:r w:rsidRPr="00B05396">
        <w:rPr>
          <w:rStyle w:val="cf01"/>
          <w:rFonts w:asciiTheme="minorHAnsi" w:hAnsiTheme="minorHAnsi" w:cstheme="minorHAnsi"/>
          <w:sz w:val="24"/>
          <w:szCs w:val="24"/>
        </w:rPr>
        <w:t xml:space="preserve"> </w:t>
      </w:r>
    </w:p>
    <w:p w14:paraId="1FC9DCB7" w14:textId="4B70CE17" w:rsidR="006345B7" w:rsidRPr="00405185" w:rsidRDefault="005C1E11" w:rsidP="001563B5">
      <w:pPr>
        <w:pStyle w:val="ListParagraph"/>
        <w:numPr>
          <w:ilvl w:val="0"/>
          <w:numId w:val="36"/>
        </w:numPr>
        <w:rPr>
          <w:szCs w:val="24"/>
        </w:rPr>
      </w:pPr>
      <w:r w:rsidRPr="00405185">
        <w:rPr>
          <w:szCs w:val="24"/>
        </w:rPr>
        <w:t xml:space="preserve">Carison </w:t>
      </w:r>
      <w:r w:rsidR="00854FCA" w:rsidRPr="00405185">
        <w:rPr>
          <w:szCs w:val="24"/>
        </w:rPr>
        <w:t xml:space="preserve">A, </w:t>
      </w:r>
      <w:r w:rsidR="003601B4" w:rsidRPr="00405185">
        <w:rPr>
          <w:szCs w:val="24"/>
        </w:rPr>
        <w:t>Babl</w:t>
      </w:r>
      <w:r w:rsidR="007F38B2" w:rsidRPr="00405185">
        <w:rPr>
          <w:szCs w:val="24"/>
        </w:rPr>
        <w:t xml:space="preserve"> FE, Hill A, O’Donnell SM. Children and</w:t>
      </w:r>
      <w:r w:rsidR="009512C4" w:rsidRPr="00405185">
        <w:rPr>
          <w:szCs w:val="24"/>
        </w:rPr>
        <w:t xml:space="preserve"> adolescents with severe acute behavioural disturbance in the emergency department. Emerg Med Aus. </w:t>
      </w:r>
      <w:r w:rsidR="00086500" w:rsidRPr="00405185">
        <w:rPr>
          <w:szCs w:val="24"/>
        </w:rPr>
        <w:t>2020 Feb</w:t>
      </w:r>
      <w:r w:rsidR="001C41F7" w:rsidRPr="00405185">
        <w:rPr>
          <w:szCs w:val="24"/>
        </w:rPr>
        <w:t>; 32: 747-755.</w:t>
      </w:r>
    </w:p>
    <w:p w14:paraId="132AEF6C" w14:textId="1F1FBBCC" w:rsidR="006345B7" w:rsidRPr="00405185" w:rsidRDefault="006345B7" w:rsidP="00405185">
      <w:pPr>
        <w:pStyle w:val="ListParagraph"/>
        <w:numPr>
          <w:ilvl w:val="0"/>
          <w:numId w:val="36"/>
        </w:numPr>
        <w:rPr>
          <w:szCs w:val="24"/>
        </w:rPr>
      </w:pPr>
      <w:r w:rsidRPr="00405185">
        <w:rPr>
          <w:szCs w:val="24"/>
        </w:rPr>
        <w:t>Northern Territory Government. Unarmed Threat (Code Grey) RDH P</w:t>
      </w:r>
      <w:r w:rsidR="00997D8A" w:rsidRPr="00405185">
        <w:rPr>
          <w:szCs w:val="24"/>
        </w:rPr>
        <w:t xml:space="preserve">RH ED Guideline. </w:t>
      </w:r>
      <w:r w:rsidR="000E2BF1" w:rsidRPr="00405185">
        <w:rPr>
          <w:szCs w:val="24"/>
        </w:rPr>
        <w:t>2018 Jul</w:t>
      </w:r>
      <w:r w:rsidR="0062776C" w:rsidRPr="00405185">
        <w:rPr>
          <w:szCs w:val="24"/>
        </w:rPr>
        <w:t xml:space="preserve">. </w:t>
      </w:r>
    </w:p>
    <w:p w14:paraId="20548880" w14:textId="77777777" w:rsidR="00423BFC" w:rsidRPr="002D5ECF" w:rsidRDefault="00423BFC" w:rsidP="00405185">
      <w:pPr>
        <w:pStyle w:val="pf0"/>
        <w:numPr>
          <w:ilvl w:val="0"/>
          <w:numId w:val="36"/>
        </w:numPr>
        <w:rPr>
          <w:rFonts w:asciiTheme="minorHAnsi" w:hAnsiTheme="minorHAnsi" w:cstheme="minorHAnsi"/>
        </w:rPr>
      </w:pPr>
      <w:r w:rsidRPr="002D5ECF">
        <w:rPr>
          <w:rStyle w:val="cf01"/>
          <w:rFonts w:asciiTheme="minorHAnsi" w:hAnsiTheme="minorHAnsi" w:cstheme="minorHAnsi"/>
          <w:sz w:val="24"/>
          <w:szCs w:val="24"/>
        </w:rPr>
        <w:t xml:space="preserve">Choi, K. R., </w:t>
      </w:r>
      <w:proofErr w:type="spellStart"/>
      <w:r w:rsidRPr="002D5ECF">
        <w:rPr>
          <w:rStyle w:val="cf01"/>
          <w:rFonts w:asciiTheme="minorHAnsi" w:hAnsiTheme="minorHAnsi" w:cstheme="minorHAnsi"/>
          <w:sz w:val="24"/>
          <w:szCs w:val="24"/>
        </w:rPr>
        <w:t>Omery</w:t>
      </w:r>
      <w:proofErr w:type="spellEnd"/>
      <w:r w:rsidRPr="002D5ECF">
        <w:rPr>
          <w:rStyle w:val="cf01"/>
          <w:rFonts w:asciiTheme="minorHAnsi" w:hAnsiTheme="minorHAnsi" w:cstheme="minorHAnsi"/>
          <w:sz w:val="24"/>
          <w:szCs w:val="24"/>
        </w:rPr>
        <w:t xml:space="preserve">, A. K., &amp; Watkins, A. M. (2019). An integrative literature review of psychiatric rapid response teams and their implementation for de-escalating </w:t>
      </w:r>
      <w:proofErr w:type="spellStart"/>
      <w:r w:rsidRPr="002D5ECF">
        <w:rPr>
          <w:rStyle w:val="cf01"/>
          <w:rFonts w:asciiTheme="minorHAnsi" w:hAnsiTheme="minorHAnsi" w:cstheme="minorHAnsi"/>
          <w:sz w:val="24"/>
          <w:szCs w:val="24"/>
        </w:rPr>
        <w:t>behavioral</w:t>
      </w:r>
      <w:proofErr w:type="spellEnd"/>
      <w:r w:rsidRPr="002D5ECF">
        <w:rPr>
          <w:rStyle w:val="cf01"/>
          <w:rFonts w:asciiTheme="minorHAnsi" w:hAnsiTheme="minorHAnsi" w:cstheme="minorHAnsi"/>
          <w:sz w:val="24"/>
          <w:szCs w:val="24"/>
        </w:rPr>
        <w:t xml:space="preserve"> crises in nonpsychiatric hospital settings. Journal of Nursing Administration, 49(6), 297-302. </w:t>
      </w:r>
    </w:p>
    <w:p w14:paraId="039DAA45" w14:textId="493AB8B1" w:rsidR="00A3295A" w:rsidRPr="00405185" w:rsidRDefault="00423BFC" w:rsidP="00405185">
      <w:pPr>
        <w:pStyle w:val="ListParagraph"/>
        <w:numPr>
          <w:ilvl w:val="0"/>
          <w:numId w:val="36"/>
        </w:numPr>
        <w:rPr>
          <w:szCs w:val="24"/>
        </w:rPr>
      </w:pPr>
      <w:r w:rsidRPr="00405185">
        <w:rPr>
          <w:rStyle w:val="cf01"/>
          <w:rFonts w:asciiTheme="minorHAnsi" w:hAnsiTheme="minorHAnsi" w:cstheme="minorHAnsi"/>
          <w:sz w:val="24"/>
          <w:szCs w:val="24"/>
          <w:lang w:eastAsia="en-AU"/>
        </w:rPr>
        <w:t xml:space="preserve">Sammut, D., Hallett, N., Lees-Deutsch, L., &amp; Dickens, G. L. (2022). A systematic review of violence risk assessment tools currently used in emergency care settings. Journal of Emergency Nursing. </w:t>
      </w:r>
      <w:hyperlink r:id="rId12" w:history="1">
        <w:r w:rsidRPr="00405185">
          <w:rPr>
            <w:rStyle w:val="cf01"/>
            <w:rFonts w:asciiTheme="minorHAnsi" w:hAnsiTheme="minorHAnsi" w:cstheme="minorHAnsi"/>
            <w:color w:val="0000FF"/>
            <w:sz w:val="24"/>
            <w:szCs w:val="24"/>
            <w:u w:val="single"/>
            <w:lang w:eastAsia="en-AU"/>
          </w:rPr>
          <w:t>https://doi.org/10.1016/j.jen.2022.11.006</w:t>
        </w:r>
      </w:hyperlink>
    </w:p>
    <w:p w14:paraId="6295B3AD" w14:textId="0B782066" w:rsidR="00E130EB" w:rsidRPr="00405185" w:rsidRDefault="00A97C34" w:rsidP="001563B5">
      <w:pPr>
        <w:pStyle w:val="ListParagraph"/>
        <w:numPr>
          <w:ilvl w:val="0"/>
          <w:numId w:val="36"/>
        </w:numPr>
        <w:rPr>
          <w:szCs w:val="24"/>
        </w:rPr>
      </w:pPr>
      <w:r w:rsidRPr="00405185">
        <w:rPr>
          <w:szCs w:val="24"/>
        </w:rPr>
        <w:t>Senz A</w:t>
      </w:r>
      <w:r w:rsidR="00CD239B" w:rsidRPr="00405185">
        <w:rPr>
          <w:szCs w:val="24"/>
        </w:rPr>
        <w:t xml:space="preserve">, </w:t>
      </w:r>
      <w:proofErr w:type="spellStart"/>
      <w:r w:rsidR="00CD239B" w:rsidRPr="00405185">
        <w:rPr>
          <w:szCs w:val="24"/>
        </w:rPr>
        <w:t>Ilarda</w:t>
      </w:r>
      <w:proofErr w:type="spellEnd"/>
      <w:r w:rsidR="00CD239B" w:rsidRPr="00405185">
        <w:rPr>
          <w:szCs w:val="24"/>
        </w:rPr>
        <w:t xml:space="preserve"> E, Klim</w:t>
      </w:r>
      <w:r w:rsidR="00F74C59" w:rsidRPr="00405185">
        <w:rPr>
          <w:szCs w:val="24"/>
        </w:rPr>
        <w:t xml:space="preserve"> </w:t>
      </w:r>
      <w:r w:rsidR="00CD239B" w:rsidRPr="00405185">
        <w:rPr>
          <w:szCs w:val="24"/>
        </w:rPr>
        <w:t>S, Kelly AM.</w:t>
      </w:r>
      <w:r w:rsidR="00F74C59" w:rsidRPr="00405185">
        <w:rPr>
          <w:szCs w:val="24"/>
        </w:rPr>
        <w:t xml:space="preserve"> </w:t>
      </w:r>
      <w:r w:rsidR="00225942" w:rsidRPr="00405185">
        <w:rPr>
          <w:szCs w:val="24"/>
        </w:rPr>
        <w:t>Development, implementation and evaluation of a process to recognise and reduce aggression and violence in an Australian emergency department.</w:t>
      </w:r>
      <w:r w:rsidR="0008372A" w:rsidRPr="00405185">
        <w:rPr>
          <w:szCs w:val="24"/>
        </w:rPr>
        <w:t xml:space="preserve"> Emer</w:t>
      </w:r>
      <w:r w:rsidR="009E6AA7" w:rsidRPr="00405185">
        <w:rPr>
          <w:szCs w:val="24"/>
        </w:rPr>
        <w:t>g</w:t>
      </w:r>
      <w:r w:rsidR="0008372A" w:rsidRPr="00405185">
        <w:rPr>
          <w:szCs w:val="24"/>
        </w:rPr>
        <w:t xml:space="preserve"> Med </w:t>
      </w:r>
      <w:proofErr w:type="spellStart"/>
      <w:r w:rsidR="0008372A" w:rsidRPr="00405185">
        <w:rPr>
          <w:szCs w:val="24"/>
        </w:rPr>
        <w:t>Austral</w:t>
      </w:r>
      <w:r w:rsidR="004C2461" w:rsidRPr="00405185">
        <w:rPr>
          <w:szCs w:val="24"/>
        </w:rPr>
        <w:t>as</w:t>
      </w:r>
      <w:proofErr w:type="spellEnd"/>
      <w:r w:rsidR="00FB7D9E" w:rsidRPr="00405185">
        <w:rPr>
          <w:szCs w:val="24"/>
        </w:rPr>
        <w:t>. 202</w:t>
      </w:r>
      <w:r w:rsidR="004C2461" w:rsidRPr="00405185">
        <w:rPr>
          <w:szCs w:val="24"/>
        </w:rPr>
        <w:t>1</w:t>
      </w:r>
      <w:r w:rsidR="00FB7D9E" w:rsidRPr="00405185">
        <w:rPr>
          <w:szCs w:val="24"/>
        </w:rPr>
        <w:t xml:space="preserve"> </w:t>
      </w:r>
      <w:r w:rsidR="004C2461" w:rsidRPr="00405185">
        <w:rPr>
          <w:szCs w:val="24"/>
        </w:rPr>
        <w:t>Aug</w:t>
      </w:r>
      <w:r w:rsidR="00FB7D9E" w:rsidRPr="00405185">
        <w:rPr>
          <w:szCs w:val="24"/>
        </w:rPr>
        <w:t>;</w:t>
      </w:r>
      <w:r w:rsidR="004C2461" w:rsidRPr="00405185">
        <w:rPr>
          <w:szCs w:val="24"/>
        </w:rPr>
        <w:t xml:space="preserve"> 33(4):665-</w:t>
      </w:r>
      <w:r w:rsidR="00A3295A" w:rsidRPr="00405185">
        <w:rPr>
          <w:szCs w:val="24"/>
        </w:rPr>
        <w:t>671.</w:t>
      </w:r>
      <w:r w:rsidR="00FB7D9E" w:rsidRPr="00405185">
        <w:rPr>
          <w:szCs w:val="24"/>
        </w:rPr>
        <w:t xml:space="preserve"> </w:t>
      </w:r>
    </w:p>
    <w:p w14:paraId="1C30A958" w14:textId="527A04AA" w:rsidR="00680316" w:rsidRPr="00405185" w:rsidRDefault="00E130EB" w:rsidP="001563B5">
      <w:pPr>
        <w:pStyle w:val="ListParagraph"/>
        <w:numPr>
          <w:ilvl w:val="0"/>
          <w:numId w:val="36"/>
        </w:numPr>
        <w:rPr>
          <w:szCs w:val="24"/>
        </w:rPr>
      </w:pPr>
      <w:r w:rsidRPr="00405185">
        <w:rPr>
          <w:szCs w:val="24"/>
        </w:rPr>
        <w:t xml:space="preserve">Standards Australia, </w:t>
      </w:r>
      <w:r w:rsidR="00883366" w:rsidRPr="00405185">
        <w:rPr>
          <w:szCs w:val="24"/>
        </w:rPr>
        <w:t>Planning for Emergencies</w:t>
      </w:r>
      <w:r w:rsidR="00801DCE" w:rsidRPr="00405185">
        <w:rPr>
          <w:szCs w:val="24"/>
        </w:rPr>
        <w:t>—</w:t>
      </w:r>
      <w:r w:rsidR="00475F92" w:rsidRPr="00405185">
        <w:rPr>
          <w:szCs w:val="24"/>
        </w:rPr>
        <w:t>Health care facilities</w:t>
      </w:r>
      <w:r w:rsidR="00E546CF" w:rsidRPr="00405185">
        <w:rPr>
          <w:szCs w:val="24"/>
        </w:rPr>
        <w:t xml:space="preserve"> [AS 4088—2010]</w:t>
      </w:r>
      <w:r w:rsidR="001E26A7" w:rsidRPr="00405185">
        <w:rPr>
          <w:szCs w:val="24"/>
        </w:rPr>
        <w:t xml:space="preserve"> 3</w:t>
      </w:r>
      <w:r w:rsidR="001E26A7" w:rsidRPr="00405185">
        <w:rPr>
          <w:szCs w:val="24"/>
          <w:vertAlign w:val="superscript"/>
        </w:rPr>
        <w:t>rd</w:t>
      </w:r>
      <w:r w:rsidR="001E26A7" w:rsidRPr="00405185">
        <w:rPr>
          <w:szCs w:val="24"/>
        </w:rPr>
        <w:t xml:space="preserve"> </w:t>
      </w:r>
      <w:proofErr w:type="spellStart"/>
      <w:r w:rsidR="001E26A7" w:rsidRPr="00405185">
        <w:rPr>
          <w:szCs w:val="24"/>
        </w:rPr>
        <w:t>Edn</w:t>
      </w:r>
      <w:proofErr w:type="spellEnd"/>
      <w:r w:rsidR="001E26A7" w:rsidRPr="00405185">
        <w:rPr>
          <w:szCs w:val="24"/>
        </w:rPr>
        <w:t>.</w:t>
      </w:r>
      <w:r w:rsidR="003E64B3" w:rsidRPr="00405185">
        <w:rPr>
          <w:szCs w:val="24"/>
        </w:rPr>
        <w:t xml:space="preserve"> [Internet].</w:t>
      </w:r>
      <w:r w:rsidR="001E26A7" w:rsidRPr="00405185">
        <w:rPr>
          <w:szCs w:val="24"/>
        </w:rPr>
        <w:t xml:space="preserve"> Standards Australia Limited</w:t>
      </w:r>
      <w:r w:rsidR="005208A4" w:rsidRPr="00405185">
        <w:rPr>
          <w:szCs w:val="24"/>
        </w:rPr>
        <w:t xml:space="preserve">, </w:t>
      </w:r>
      <w:r w:rsidR="009D7F4F" w:rsidRPr="00405185">
        <w:rPr>
          <w:szCs w:val="24"/>
        </w:rPr>
        <w:t>2010</w:t>
      </w:r>
      <w:r w:rsidR="005208A4" w:rsidRPr="00405185">
        <w:rPr>
          <w:szCs w:val="24"/>
        </w:rPr>
        <w:t xml:space="preserve"> [cited 2021 </w:t>
      </w:r>
      <w:r w:rsidR="00E10126" w:rsidRPr="00405185">
        <w:rPr>
          <w:szCs w:val="24"/>
        </w:rPr>
        <w:t>Nov 11</w:t>
      </w:r>
      <w:r w:rsidR="00222F30" w:rsidRPr="00405185">
        <w:rPr>
          <w:szCs w:val="24"/>
        </w:rPr>
        <w:t>]</w:t>
      </w:r>
      <w:r w:rsidR="009D7F4F" w:rsidRPr="00405185">
        <w:rPr>
          <w:szCs w:val="24"/>
        </w:rPr>
        <w:t>.</w:t>
      </w:r>
      <w:r w:rsidR="004340D2" w:rsidRPr="00405185">
        <w:rPr>
          <w:szCs w:val="24"/>
        </w:rPr>
        <w:t xml:space="preserve"> </w:t>
      </w:r>
      <w:r w:rsidR="004340D2" w:rsidRPr="00405185">
        <w:rPr>
          <w:szCs w:val="24"/>
        </w:rPr>
        <w:lastRenderedPageBreak/>
        <w:t xml:space="preserve">Available from: </w:t>
      </w:r>
      <w:hyperlink r:id="rId13" w:history="1">
        <w:r w:rsidR="00E03A76" w:rsidRPr="00405185">
          <w:rPr>
            <w:rStyle w:val="Hyperlink"/>
            <w:szCs w:val="24"/>
          </w:rPr>
          <w:t>https://au.i2.saiglobal.com/management/viewer/?doc=/management/onlineviewer/download/cb1777e57f67417ae71e4b984b67b12b.pdf&amp;did=237812&amp;pid=1020428&amp;resid=137247&amp;bookmark=0</w:t>
        </w:r>
      </w:hyperlink>
      <w:r w:rsidR="00E03A76" w:rsidRPr="00405185">
        <w:rPr>
          <w:szCs w:val="24"/>
        </w:rPr>
        <w:t xml:space="preserve"> </w:t>
      </w:r>
    </w:p>
    <w:p w14:paraId="60245D0E" w14:textId="6BE6F975" w:rsidR="00225942" w:rsidRPr="00405185" w:rsidRDefault="00680316" w:rsidP="00405185">
      <w:pPr>
        <w:pStyle w:val="ListParagraph"/>
        <w:numPr>
          <w:ilvl w:val="0"/>
          <w:numId w:val="36"/>
        </w:numPr>
        <w:rPr>
          <w:rStyle w:val="Hyperlink"/>
          <w:color w:val="auto"/>
          <w:szCs w:val="24"/>
          <w:u w:val="none"/>
        </w:rPr>
      </w:pPr>
      <w:r w:rsidRPr="00405185">
        <w:rPr>
          <w:szCs w:val="24"/>
        </w:rPr>
        <w:t xml:space="preserve">Victorian Government. </w:t>
      </w:r>
      <w:r w:rsidR="002A53F0" w:rsidRPr="00405185">
        <w:rPr>
          <w:szCs w:val="24"/>
        </w:rPr>
        <w:t xml:space="preserve">[Internet]. </w:t>
      </w:r>
      <w:r w:rsidR="004F2DBC" w:rsidRPr="00405185">
        <w:rPr>
          <w:szCs w:val="24"/>
        </w:rPr>
        <w:t>Melbourne</w:t>
      </w:r>
      <w:r w:rsidR="003112E7" w:rsidRPr="00405185">
        <w:rPr>
          <w:szCs w:val="24"/>
        </w:rPr>
        <w:t xml:space="preserve">: Code Grey Standards, </w:t>
      </w:r>
      <w:r w:rsidR="00E03870" w:rsidRPr="00405185">
        <w:rPr>
          <w:szCs w:val="24"/>
        </w:rPr>
        <w:t>2017</w:t>
      </w:r>
      <w:r w:rsidR="003112E7" w:rsidRPr="00405185">
        <w:rPr>
          <w:szCs w:val="24"/>
        </w:rPr>
        <w:t xml:space="preserve"> [cited 2021 Nov 11</w:t>
      </w:r>
      <w:r w:rsidR="00271529" w:rsidRPr="00405185">
        <w:rPr>
          <w:szCs w:val="24"/>
        </w:rPr>
        <w:t>]</w:t>
      </w:r>
      <w:r w:rsidR="00D1031E" w:rsidRPr="00405185">
        <w:rPr>
          <w:szCs w:val="24"/>
        </w:rPr>
        <w:t>.</w:t>
      </w:r>
      <w:r w:rsidR="00E03870" w:rsidRPr="00405185">
        <w:rPr>
          <w:szCs w:val="24"/>
        </w:rPr>
        <w:t xml:space="preserve"> </w:t>
      </w:r>
      <w:hyperlink r:id="rId14" w:history="1">
        <w:r w:rsidR="00B93C0E">
          <w:rPr>
            <w:rStyle w:val="Hyperlink"/>
          </w:rPr>
          <w:t>Code Grey and Code Black (health.vic.gov.au)</w:t>
        </w:r>
      </w:hyperlink>
    </w:p>
    <w:p w14:paraId="7D2E32B7" w14:textId="77777777" w:rsidR="00405185" w:rsidRPr="00405185" w:rsidRDefault="00405185" w:rsidP="00405185">
      <w:pPr>
        <w:rPr>
          <w:szCs w:val="24"/>
        </w:rPr>
      </w:pPr>
    </w:p>
    <w:p w14:paraId="2F51A8D5" w14:textId="77777777" w:rsidR="00FF56DD" w:rsidRDefault="007B6904" w:rsidP="007B6904">
      <w:pPr>
        <w:jc w:val="right"/>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151BDC5C" w:rsidR="00FF56DD" w:rsidRPr="000F1F60" w:rsidRDefault="00FF56DD" w:rsidP="004213C3">
            <w:pPr>
              <w:pStyle w:val="Heading1"/>
            </w:pPr>
            <w:bookmarkStart w:id="35" w:name="_Toc160461949"/>
            <w:r>
              <w:t>Definition of Terms</w:t>
            </w:r>
            <w:bookmarkEnd w:id="35"/>
          </w:p>
        </w:tc>
      </w:tr>
    </w:tbl>
    <w:p w14:paraId="2F51A8D8" w14:textId="77777777" w:rsidR="00FF56DD" w:rsidRDefault="00FF56DD" w:rsidP="00FF56DD">
      <w:pPr>
        <w:rPr>
          <w:rFonts w:cs="Arial"/>
          <w:szCs w:val="24"/>
        </w:rPr>
      </w:pPr>
    </w:p>
    <w:p w14:paraId="62A2A492" w14:textId="2D87AA90" w:rsidR="006338AA" w:rsidRDefault="006338AA" w:rsidP="006338AA">
      <w:r>
        <w:rPr>
          <w:b/>
          <w:bCs/>
        </w:rPr>
        <w:t>Behaviour</w:t>
      </w:r>
      <w:r w:rsidR="00C93629">
        <w:rPr>
          <w:b/>
          <w:bCs/>
        </w:rPr>
        <w:t>s</w:t>
      </w:r>
      <w:r>
        <w:rPr>
          <w:b/>
          <w:bCs/>
        </w:rPr>
        <w:t xml:space="preserve"> of concern </w:t>
      </w:r>
      <w:r>
        <w:t xml:space="preserve">means actions and/or behaviours that may or have potential to physically or psychologically harm another person, self or property. Challenging behaviours and/or actions can be deliberate/intentional or unintentional and can take different forms, any of which can: </w:t>
      </w:r>
    </w:p>
    <w:p w14:paraId="14906DC0" w14:textId="44C598CF" w:rsidR="006338AA" w:rsidRDefault="006338AA" w:rsidP="7FDDA926">
      <w:pPr>
        <w:pStyle w:val="ListBullet"/>
        <w:numPr>
          <w:ilvl w:val="0"/>
          <w:numId w:val="0"/>
        </w:numPr>
      </w:pPr>
      <w:r>
        <w:t xml:space="preserve">potentially or </w:t>
      </w:r>
      <w:r w:rsidR="009F171E">
        <w:t>stop</w:t>
      </w:r>
      <w:r>
        <w:t xml:space="preserve">, </w:t>
      </w:r>
      <w:r w:rsidR="009F171E">
        <w:t>interrupt,</w:t>
      </w:r>
      <w:r>
        <w:t xml:space="preserve"> or limit the ability for health service or care to be provided in a way that is safe for both patient and health care </w:t>
      </w:r>
      <w:r w:rsidR="009F171E">
        <w:t>professionals.</w:t>
      </w:r>
      <w:r>
        <w:t xml:space="preserve"> </w:t>
      </w:r>
    </w:p>
    <w:p w14:paraId="6BC0E874" w14:textId="3FA985E4" w:rsidR="006338AA" w:rsidRPr="006338AA" w:rsidRDefault="006338AA" w:rsidP="7FDDA926">
      <w:pPr>
        <w:pStyle w:val="ListBullet"/>
        <w:numPr>
          <w:ilvl w:val="0"/>
          <w:numId w:val="0"/>
        </w:numPr>
      </w:pPr>
      <w:r>
        <w:t>result in a people feeling unsafe or threatened or feeling that intervention, or retreat /withdrawal, is warranted to avoid, or limit, physical or psychological harm to a person, or property.</w:t>
      </w:r>
    </w:p>
    <w:p w14:paraId="66161BA6" w14:textId="77777777" w:rsidR="000F0E33" w:rsidRDefault="000F0E33" w:rsidP="00F5554A">
      <w:pPr>
        <w:rPr>
          <w:rFonts w:asciiTheme="minorHAnsi" w:hAnsiTheme="minorHAnsi" w:cstheme="minorHAnsi"/>
          <w:b/>
          <w:bCs/>
          <w:szCs w:val="24"/>
        </w:rPr>
      </w:pPr>
    </w:p>
    <w:p w14:paraId="3B014CFA" w14:textId="509B04DB" w:rsidR="00F5554A" w:rsidRDefault="00FE0D7E" w:rsidP="00F5554A">
      <w:r w:rsidRPr="00405185">
        <w:rPr>
          <w:rFonts w:asciiTheme="minorHAnsi" w:hAnsiTheme="minorHAnsi" w:cstheme="minorHAnsi"/>
          <w:b/>
          <w:bCs/>
          <w:szCs w:val="24"/>
        </w:rPr>
        <w:t>Grey Response</w:t>
      </w:r>
      <w:r w:rsidRPr="00405185">
        <w:rPr>
          <w:rFonts w:asciiTheme="minorHAnsi" w:hAnsiTheme="minorHAnsi" w:cstheme="minorHAnsi"/>
          <w:szCs w:val="24"/>
        </w:rPr>
        <w:t xml:space="preserve"> </w:t>
      </w:r>
      <w:r w:rsidR="00F5554A" w:rsidRPr="00405185">
        <w:rPr>
          <w:szCs w:val="24"/>
        </w:rPr>
        <w:t xml:space="preserve">is primarily a </w:t>
      </w:r>
      <w:r w:rsidR="00F5554A" w:rsidRPr="00405185">
        <w:rPr>
          <w:i/>
          <w:iCs/>
          <w:szCs w:val="24"/>
        </w:rPr>
        <w:t>clinical</w:t>
      </w:r>
      <w:r w:rsidR="00F5554A" w:rsidRPr="00405185">
        <w:rPr>
          <w:szCs w:val="24"/>
        </w:rPr>
        <w:t xml:space="preserve"> response, comprising of medical and nursing staff</w:t>
      </w:r>
      <w:r w:rsidR="00F5554A">
        <w:t xml:space="preserve"> supported by security and </w:t>
      </w:r>
      <w:proofErr w:type="spellStart"/>
      <w:r w:rsidR="009F171E">
        <w:t>Wardspersons</w:t>
      </w:r>
      <w:proofErr w:type="spellEnd"/>
      <w:r w:rsidR="00B16048">
        <w:t xml:space="preserve"> </w:t>
      </w:r>
      <w:r w:rsidR="00F5554A">
        <w:t xml:space="preserve">as required. A Grey Response is activated when actual or potential escalating behaviour is exhibited by </w:t>
      </w:r>
      <w:r w:rsidR="006F7177">
        <w:t xml:space="preserve">a </w:t>
      </w:r>
      <w:r w:rsidR="00F5554A">
        <w:t>patient or visitors that creates a risk to health and safety to workers and/or patients or visitors.</w:t>
      </w:r>
    </w:p>
    <w:p w14:paraId="485A7566" w14:textId="54EF9648" w:rsidR="00FE0D7E" w:rsidRPr="006338AA" w:rsidRDefault="00F5554A" w:rsidP="006338AA">
      <w:r>
        <w:t xml:space="preserve">It is activated to coordinate senior clinical decision makers, security and </w:t>
      </w:r>
      <w:proofErr w:type="spellStart"/>
      <w:r w:rsidR="009F171E">
        <w:t>Wardspersons</w:t>
      </w:r>
      <w:proofErr w:type="spellEnd"/>
      <w:r>
        <w:t xml:space="preserve"> to provide early intervention to reduce the risk of further escalation and provide a clear management plan.</w:t>
      </w:r>
    </w:p>
    <w:p w14:paraId="69650D57" w14:textId="64BDA595" w:rsidR="008D4B9F" w:rsidRDefault="008D4B9F" w:rsidP="00FF56DD"/>
    <w:p w14:paraId="2F51A8DA" w14:textId="1D373125" w:rsidR="00FF56DD" w:rsidRDefault="00FE0D7E" w:rsidP="00FF56DD">
      <w:r w:rsidRPr="00FE0D7E">
        <w:rPr>
          <w:b/>
          <w:bCs/>
        </w:rPr>
        <w:t xml:space="preserve">Grey </w:t>
      </w:r>
      <w:r w:rsidR="009372C8">
        <w:rPr>
          <w:b/>
          <w:bCs/>
        </w:rPr>
        <w:t>Response T</w:t>
      </w:r>
      <w:r w:rsidRPr="00FE0D7E">
        <w:rPr>
          <w:b/>
          <w:bCs/>
        </w:rPr>
        <w:t>eam</w:t>
      </w:r>
      <w:r w:rsidRPr="00FE0D7E">
        <w:t xml:space="preserve"> comprises designated staff who are specifically trained and immediately available to respond to </w:t>
      </w:r>
      <w:r w:rsidR="00AE7C3E">
        <w:t xml:space="preserve">the </w:t>
      </w:r>
      <w:r w:rsidRPr="00FE0D7E">
        <w:t>Grey</w:t>
      </w:r>
      <w:r w:rsidR="00AE7C3E">
        <w:t xml:space="preserve"> Response</w:t>
      </w:r>
      <w:r w:rsidRPr="00FE0D7E">
        <w:t xml:space="preserve"> incidents.</w:t>
      </w:r>
      <w:r w:rsidR="00AE7C3E">
        <w:t xml:space="preserve"> </w:t>
      </w:r>
    </w:p>
    <w:p w14:paraId="67E58A2A" w14:textId="77777777" w:rsidR="008D4B9F" w:rsidRDefault="008D4B9F" w:rsidP="008D4B9F">
      <w:pPr>
        <w:pStyle w:val="ListBullet"/>
        <w:numPr>
          <w:ilvl w:val="0"/>
          <w:numId w:val="0"/>
        </w:numPr>
        <w:ind w:left="426" w:hanging="426"/>
        <w:rPr>
          <w:b/>
          <w:bCs/>
        </w:rPr>
      </w:pPr>
    </w:p>
    <w:p w14:paraId="5B587DBF" w14:textId="0DFE17D9" w:rsidR="006338AA" w:rsidRDefault="006338AA" w:rsidP="008D4B9F">
      <w:pPr>
        <w:pStyle w:val="ListBullet"/>
        <w:numPr>
          <w:ilvl w:val="0"/>
          <w:numId w:val="0"/>
        </w:numPr>
        <w:rPr>
          <w:szCs w:val="24"/>
        </w:rPr>
      </w:pPr>
      <w:r w:rsidRPr="62F24F76">
        <w:rPr>
          <w:b/>
          <w:bCs/>
        </w:rPr>
        <w:t>Occupational Violence (OV)</w:t>
      </w:r>
      <w:r>
        <w:t xml:space="preserve"> includes any situation where a staff member is abused, </w:t>
      </w:r>
      <w:r w:rsidR="009F171E">
        <w:t>threatened,</w:t>
      </w:r>
      <w:r>
        <w:t xml:space="preserve"> or assaulted by a patient, consumer or visitor in circumstances relating to their work. It can also include violence that occurs away from work but is a result of work.</w:t>
      </w:r>
    </w:p>
    <w:p w14:paraId="6CDCDE1A" w14:textId="77777777" w:rsidR="006338AA" w:rsidRPr="00FE0D7E" w:rsidRDefault="006338AA" w:rsidP="008D4B9F">
      <w:pPr>
        <w:rPr>
          <w:rFonts w:asciiTheme="minorHAnsi" w:hAnsiTheme="minorHAnsi" w:cstheme="minorBidi"/>
          <w:sz w:val="22"/>
          <w:szCs w:val="22"/>
        </w:rPr>
      </w:pPr>
      <w:r>
        <w:t xml:space="preserve">Examples </w:t>
      </w:r>
      <w:proofErr w:type="gramStart"/>
      <w:r>
        <w:t>includes</w:t>
      </w:r>
      <w:proofErr w:type="gramEnd"/>
      <w:r>
        <w:t xml:space="preserve"> verbal aggression such as shouting or threatening, as well as physical violence such as hitting, spitting, grabbing or inappropriate touching as well as targeted violence such as stalking.</w:t>
      </w:r>
    </w:p>
    <w:p w14:paraId="06A3F772" w14:textId="77777777" w:rsidR="006338AA" w:rsidRPr="0013086B" w:rsidRDefault="006338AA" w:rsidP="00FF56DD"/>
    <w:p w14:paraId="2F51A8DB" w14:textId="77777777" w:rsidR="00FF56DD" w:rsidRDefault="00FF56DD" w:rsidP="007B6904">
      <w:pPr>
        <w:jc w:val="right"/>
        <w:rPr>
          <w:rFonts w:cs="Calibri,Bold"/>
          <w:bCs/>
          <w:i/>
          <w:szCs w:val="24"/>
          <w:lang w:eastAsia="en-AU"/>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36" w:name="_Toc389473290"/>
            <w:bookmarkStart w:id="37" w:name="_Toc160461950"/>
            <w:r>
              <w:t>Search Terms</w:t>
            </w:r>
            <w:bookmarkEnd w:id="36"/>
            <w:bookmarkEnd w:id="37"/>
            <w:r>
              <w:t xml:space="preserve"> </w:t>
            </w:r>
          </w:p>
        </w:tc>
      </w:tr>
    </w:tbl>
    <w:p w14:paraId="2F51A8DE" w14:textId="77777777" w:rsidR="007B6904" w:rsidRDefault="007B6904" w:rsidP="007B6904">
      <w:pPr>
        <w:rPr>
          <w:rFonts w:cs="Calibri,Bold"/>
          <w:bCs/>
          <w:i/>
          <w:szCs w:val="24"/>
          <w:lang w:eastAsia="en-AU"/>
        </w:rPr>
      </w:pPr>
    </w:p>
    <w:p w14:paraId="2F51A8E0" w14:textId="20E61C98" w:rsidR="007B6904" w:rsidRPr="008D4B9F" w:rsidRDefault="00FE0D7E" w:rsidP="007B6904">
      <w:pPr>
        <w:jc w:val="both"/>
        <w:rPr>
          <w:rFonts w:asciiTheme="minorHAnsi" w:hAnsiTheme="minorHAnsi" w:cs="Arial"/>
          <w:bCs/>
          <w:iCs/>
          <w:szCs w:val="24"/>
        </w:rPr>
      </w:pPr>
      <w:r w:rsidRPr="008D4B9F">
        <w:rPr>
          <w:rFonts w:asciiTheme="minorHAnsi" w:hAnsiTheme="minorHAnsi" w:cs="Arial"/>
          <w:bCs/>
          <w:iCs/>
          <w:szCs w:val="24"/>
        </w:rPr>
        <w:t>Grey Response, Code Grey, Behaviours of concern, acute behavioural deterioration, ED, emergency department</w:t>
      </w:r>
      <w:r w:rsidR="00177E7F">
        <w:rPr>
          <w:rFonts w:asciiTheme="minorHAnsi" w:hAnsiTheme="minorHAnsi" w:cs="Arial"/>
          <w:bCs/>
          <w:iCs/>
          <w:szCs w:val="24"/>
        </w:rPr>
        <w:t>.</w:t>
      </w:r>
    </w:p>
    <w:p w14:paraId="2F51A8E1" w14:textId="77777777" w:rsidR="005F3214" w:rsidRPr="00AC7025" w:rsidRDefault="007B6904" w:rsidP="00AC7025">
      <w:pPr>
        <w:jc w:val="right"/>
        <w:rPr>
          <w:rFonts w:cs="Calibri,Bold"/>
          <w:bCs/>
          <w:i/>
          <w:szCs w:val="24"/>
          <w:lang w:eastAsia="en-AU"/>
        </w:rPr>
      </w:pPr>
      <w:hyperlink w:anchor="Contents" w:history="1">
        <w:r w:rsidRPr="00590902">
          <w:rPr>
            <w:rStyle w:val="Hyperlink"/>
            <w:rFonts w:cs="Arial"/>
            <w:i/>
            <w:szCs w:val="24"/>
          </w:rPr>
          <w:t>Back to Table of Contents</w:t>
        </w:r>
      </w:hyperlink>
      <w:bookmarkStart w:id="38"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2F51A8E3" w14:textId="77777777" w:rsidTr="0074223E">
        <w:trPr>
          <w:cantSplit/>
          <w:trHeight w:val="285"/>
        </w:trPr>
        <w:tc>
          <w:tcPr>
            <w:tcW w:w="9158" w:type="dxa"/>
            <w:shd w:val="clear" w:color="auto" w:fill="A6A6A6" w:themeFill="background1" w:themeFillShade="A6"/>
          </w:tcPr>
          <w:p w14:paraId="2F51A8E2" w14:textId="77777777" w:rsidR="002405CF" w:rsidRPr="000F1F60" w:rsidRDefault="002405CF" w:rsidP="00CC5D11">
            <w:pPr>
              <w:pStyle w:val="Heading1"/>
            </w:pPr>
            <w:bookmarkStart w:id="39" w:name="_Toc160461951"/>
            <w:r>
              <w:t>Attachments</w:t>
            </w:r>
            <w:bookmarkEnd w:id="39"/>
          </w:p>
        </w:tc>
      </w:tr>
      <w:bookmarkEnd w:id="38"/>
    </w:tbl>
    <w:p w14:paraId="2F51A8E4" w14:textId="77777777" w:rsidR="00DE4E25" w:rsidRDefault="00DE4E25" w:rsidP="007B6904">
      <w:pPr>
        <w:rPr>
          <w:rFonts w:cs="Arial"/>
          <w:iCs/>
          <w:szCs w:val="24"/>
        </w:rPr>
      </w:pPr>
    </w:p>
    <w:p w14:paraId="2E5B165B" w14:textId="7FAE4AD0" w:rsidR="00E4080C" w:rsidRDefault="00E4080C" w:rsidP="007B6904">
      <w:r>
        <w:rPr>
          <w:rFonts w:cs="Arial"/>
          <w:iCs/>
          <w:szCs w:val="24"/>
        </w:rPr>
        <w:t>Attachment 1</w:t>
      </w:r>
      <w:r w:rsidR="00E27BA3">
        <w:rPr>
          <w:rFonts w:cs="Arial"/>
          <w:iCs/>
          <w:szCs w:val="24"/>
        </w:rPr>
        <w:t>:</w:t>
      </w:r>
      <w:r w:rsidR="008D4B9F">
        <w:rPr>
          <w:rFonts w:cs="Arial"/>
          <w:iCs/>
          <w:szCs w:val="24"/>
        </w:rPr>
        <w:t xml:space="preserve"> </w:t>
      </w:r>
      <w:bookmarkStart w:id="40" w:name="_Hlk152152131"/>
      <w:r w:rsidR="008D4B9F">
        <w:t>Grey Response key features summary</w:t>
      </w:r>
      <w:bookmarkEnd w:id="40"/>
    </w:p>
    <w:p w14:paraId="3A1358D1" w14:textId="26B68127" w:rsidR="00DF51D9" w:rsidRPr="00E4080C" w:rsidRDefault="00DF51D9" w:rsidP="007B6904">
      <w:pPr>
        <w:rPr>
          <w:rFonts w:cs="Arial"/>
          <w:iCs/>
          <w:szCs w:val="24"/>
        </w:rPr>
      </w:pPr>
      <w:r>
        <w:t>Attachment 2: Grey Response Action Card for switch</w:t>
      </w:r>
    </w:p>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0E70BD">
        <w:tc>
          <w:tcPr>
            <w:tcW w:w="2265" w:type="dxa"/>
          </w:tcPr>
          <w:p w14:paraId="4CC3BE7E" w14:textId="77777777" w:rsidR="00ED46C3" w:rsidRPr="008202D3" w:rsidRDefault="00ED46C3" w:rsidP="000E70BD">
            <w:pPr>
              <w:rPr>
                <w:i/>
                <w:sz w:val="20"/>
              </w:rPr>
            </w:pPr>
            <w:r w:rsidRPr="008202D3">
              <w:rPr>
                <w:i/>
                <w:sz w:val="20"/>
              </w:rPr>
              <w:t>Date Amended</w:t>
            </w:r>
          </w:p>
        </w:tc>
        <w:tc>
          <w:tcPr>
            <w:tcW w:w="2265" w:type="dxa"/>
          </w:tcPr>
          <w:p w14:paraId="0C6FC403" w14:textId="77777777" w:rsidR="00ED46C3" w:rsidRPr="008202D3" w:rsidRDefault="00ED46C3" w:rsidP="000E70BD">
            <w:pPr>
              <w:rPr>
                <w:i/>
                <w:sz w:val="20"/>
              </w:rPr>
            </w:pPr>
            <w:r w:rsidRPr="008202D3">
              <w:rPr>
                <w:i/>
                <w:sz w:val="20"/>
              </w:rPr>
              <w:t>Section Amended</w:t>
            </w:r>
          </w:p>
        </w:tc>
        <w:tc>
          <w:tcPr>
            <w:tcW w:w="2265" w:type="dxa"/>
          </w:tcPr>
          <w:p w14:paraId="36BF7192" w14:textId="77777777" w:rsidR="00ED46C3" w:rsidRPr="008202D3" w:rsidRDefault="00ED46C3" w:rsidP="000E70BD">
            <w:pPr>
              <w:rPr>
                <w:i/>
                <w:sz w:val="20"/>
              </w:rPr>
            </w:pPr>
            <w:r w:rsidRPr="008202D3">
              <w:rPr>
                <w:i/>
                <w:sz w:val="20"/>
              </w:rPr>
              <w:t>Divisional Approval</w:t>
            </w:r>
          </w:p>
        </w:tc>
        <w:tc>
          <w:tcPr>
            <w:tcW w:w="2265" w:type="dxa"/>
          </w:tcPr>
          <w:p w14:paraId="6974B6A4" w14:textId="77777777" w:rsidR="00ED46C3" w:rsidRPr="008202D3" w:rsidRDefault="00ED46C3" w:rsidP="000E70BD">
            <w:pPr>
              <w:rPr>
                <w:i/>
                <w:sz w:val="20"/>
              </w:rPr>
            </w:pPr>
            <w:r w:rsidRPr="008202D3">
              <w:rPr>
                <w:i/>
                <w:sz w:val="20"/>
              </w:rPr>
              <w:t xml:space="preserve">Final Approval </w:t>
            </w:r>
          </w:p>
        </w:tc>
      </w:tr>
      <w:tr w:rsidR="00ED46C3" w:rsidRPr="008202D3" w14:paraId="69E49990" w14:textId="77777777" w:rsidTr="000E70BD">
        <w:tc>
          <w:tcPr>
            <w:tcW w:w="2265" w:type="dxa"/>
          </w:tcPr>
          <w:p w14:paraId="4CB276AE" w14:textId="52AC7A50" w:rsidR="00ED46C3" w:rsidRPr="008202D3" w:rsidRDefault="004152A4" w:rsidP="000E70BD">
            <w:pPr>
              <w:rPr>
                <w:i/>
                <w:sz w:val="20"/>
              </w:rPr>
            </w:pPr>
            <w:r>
              <w:rPr>
                <w:i/>
                <w:sz w:val="20"/>
              </w:rPr>
              <w:t>10/04/2024</w:t>
            </w:r>
          </w:p>
        </w:tc>
        <w:tc>
          <w:tcPr>
            <w:tcW w:w="2265" w:type="dxa"/>
          </w:tcPr>
          <w:p w14:paraId="757FDC5B" w14:textId="02D2581A" w:rsidR="00ED46C3" w:rsidRPr="008202D3" w:rsidRDefault="004152A4" w:rsidP="000E70BD">
            <w:pPr>
              <w:rPr>
                <w:i/>
                <w:sz w:val="20"/>
              </w:rPr>
            </w:pPr>
            <w:r>
              <w:rPr>
                <w:i/>
                <w:sz w:val="20"/>
              </w:rPr>
              <w:t>New Document</w:t>
            </w:r>
          </w:p>
        </w:tc>
        <w:tc>
          <w:tcPr>
            <w:tcW w:w="2265" w:type="dxa"/>
          </w:tcPr>
          <w:p w14:paraId="45358585" w14:textId="7C7B00EB" w:rsidR="00ED46C3" w:rsidRPr="008202D3" w:rsidRDefault="009305B4" w:rsidP="000E70BD">
            <w:pPr>
              <w:rPr>
                <w:i/>
                <w:sz w:val="20"/>
              </w:rPr>
            </w:pPr>
            <w:r>
              <w:rPr>
                <w:i/>
                <w:sz w:val="20"/>
              </w:rPr>
              <w:t>Andrew Slattery ED Medicine</w:t>
            </w:r>
          </w:p>
        </w:tc>
        <w:tc>
          <w:tcPr>
            <w:tcW w:w="2265" w:type="dxa"/>
          </w:tcPr>
          <w:p w14:paraId="31501FE6" w14:textId="4A7DFF52" w:rsidR="00ED46C3" w:rsidRPr="008202D3" w:rsidRDefault="004152A4" w:rsidP="000E70BD">
            <w:pPr>
              <w:rPr>
                <w:i/>
                <w:sz w:val="20"/>
              </w:rPr>
            </w:pPr>
            <w:r>
              <w:rPr>
                <w:i/>
                <w:sz w:val="20"/>
              </w:rPr>
              <w:t>CHS Policy Team</w:t>
            </w:r>
          </w:p>
        </w:tc>
      </w:tr>
      <w:tr w:rsidR="00ED46C3" w:rsidRPr="008202D3" w14:paraId="4B9C0359" w14:textId="77777777" w:rsidTr="000E70BD">
        <w:tc>
          <w:tcPr>
            <w:tcW w:w="2265" w:type="dxa"/>
          </w:tcPr>
          <w:p w14:paraId="01E40F72" w14:textId="71D5621B" w:rsidR="00ED46C3" w:rsidRPr="008202D3" w:rsidRDefault="00AF16CE" w:rsidP="000E70BD">
            <w:pPr>
              <w:rPr>
                <w:i/>
                <w:sz w:val="20"/>
              </w:rPr>
            </w:pPr>
            <w:r>
              <w:rPr>
                <w:i/>
                <w:sz w:val="20"/>
              </w:rPr>
              <w:t>23/05/2025</w:t>
            </w:r>
          </w:p>
        </w:tc>
        <w:tc>
          <w:tcPr>
            <w:tcW w:w="2265" w:type="dxa"/>
          </w:tcPr>
          <w:p w14:paraId="25312BA2" w14:textId="57EBDB28" w:rsidR="00ED46C3" w:rsidRPr="008202D3" w:rsidRDefault="00AF16CE" w:rsidP="000E70BD">
            <w:pPr>
              <w:rPr>
                <w:i/>
                <w:sz w:val="20"/>
              </w:rPr>
            </w:pPr>
            <w:r>
              <w:rPr>
                <w:i/>
                <w:sz w:val="20"/>
              </w:rPr>
              <w:t xml:space="preserve">Updated title and role of </w:t>
            </w:r>
            <w:r w:rsidR="000129F6">
              <w:rPr>
                <w:i/>
                <w:sz w:val="20"/>
              </w:rPr>
              <w:t>ED Medical Officer in Section 4.</w:t>
            </w:r>
          </w:p>
        </w:tc>
        <w:tc>
          <w:tcPr>
            <w:tcW w:w="2265" w:type="dxa"/>
          </w:tcPr>
          <w:p w14:paraId="6A63A790" w14:textId="560E5FAB" w:rsidR="00ED46C3" w:rsidRPr="008202D3" w:rsidRDefault="007304FE" w:rsidP="000E70BD">
            <w:pPr>
              <w:rPr>
                <w:i/>
                <w:sz w:val="20"/>
              </w:rPr>
            </w:pPr>
            <w:r>
              <w:rPr>
                <w:i/>
                <w:sz w:val="20"/>
              </w:rPr>
              <w:t>Jacob Hollis, CNC Emergency Department</w:t>
            </w:r>
          </w:p>
        </w:tc>
        <w:tc>
          <w:tcPr>
            <w:tcW w:w="2265" w:type="dxa"/>
          </w:tcPr>
          <w:p w14:paraId="0C203B9F" w14:textId="5D52F3B7" w:rsidR="00ED46C3" w:rsidRPr="008202D3" w:rsidRDefault="000129F6" w:rsidP="000E70BD">
            <w:pPr>
              <w:rPr>
                <w:i/>
                <w:sz w:val="20"/>
              </w:rPr>
            </w:pPr>
            <w:r>
              <w:rPr>
                <w:i/>
                <w:sz w:val="20"/>
              </w:rPr>
              <w:t>CHS Policy Team</w:t>
            </w: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0E70BD">
        <w:tc>
          <w:tcPr>
            <w:tcW w:w="2122" w:type="dxa"/>
          </w:tcPr>
          <w:p w14:paraId="3A0A8647" w14:textId="77777777" w:rsidR="00ED46C3" w:rsidRPr="008202D3" w:rsidRDefault="00ED46C3" w:rsidP="000E70BD">
            <w:pPr>
              <w:rPr>
                <w:i/>
                <w:sz w:val="20"/>
              </w:rPr>
            </w:pPr>
            <w:r w:rsidRPr="008202D3">
              <w:rPr>
                <w:i/>
                <w:sz w:val="20"/>
              </w:rPr>
              <w:t>Document Number</w:t>
            </w:r>
          </w:p>
        </w:tc>
        <w:tc>
          <w:tcPr>
            <w:tcW w:w="6938" w:type="dxa"/>
          </w:tcPr>
          <w:p w14:paraId="40CE1B13" w14:textId="77777777" w:rsidR="00ED46C3" w:rsidRPr="008202D3" w:rsidRDefault="00ED46C3" w:rsidP="000E70BD">
            <w:pPr>
              <w:rPr>
                <w:i/>
                <w:sz w:val="20"/>
              </w:rPr>
            </w:pPr>
            <w:r w:rsidRPr="008202D3">
              <w:rPr>
                <w:i/>
                <w:sz w:val="20"/>
              </w:rPr>
              <w:t>Document Name</w:t>
            </w:r>
          </w:p>
        </w:tc>
      </w:tr>
      <w:tr w:rsidR="00ED46C3" w:rsidRPr="008202D3" w14:paraId="389A2F7C" w14:textId="77777777" w:rsidTr="000E70BD">
        <w:tc>
          <w:tcPr>
            <w:tcW w:w="2122" w:type="dxa"/>
          </w:tcPr>
          <w:p w14:paraId="72FFFF3B" w14:textId="77777777" w:rsidR="00ED46C3" w:rsidRPr="008202D3" w:rsidRDefault="00ED46C3" w:rsidP="000E70BD">
            <w:pPr>
              <w:rPr>
                <w:i/>
                <w:sz w:val="20"/>
              </w:rPr>
            </w:pPr>
          </w:p>
        </w:tc>
        <w:tc>
          <w:tcPr>
            <w:tcW w:w="6938" w:type="dxa"/>
          </w:tcPr>
          <w:p w14:paraId="61EF68F3" w14:textId="77777777" w:rsidR="00ED46C3" w:rsidRPr="008202D3" w:rsidRDefault="00ED46C3" w:rsidP="000E70BD">
            <w:pPr>
              <w:rPr>
                <w:i/>
                <w:sz w:val="20"/>
              </w:rPr>
            </w:pPr>
          </w:p>
        </w:tc>
      </w:tr>
      <w:tr w:rsidR="00ED46C3" w:rsidRPr="008202D3" w14:paraId="4414C7E4" w14:textId="77777777" w:rsidTr="000E70BD">
        <w:tc>
          <w:tcPr>
            <w:tcW w:w="2122" w:type="dxa"/>
          </w:tcPr>
          <w:p w14:paraId="0E1C6F88" w14:textId="77777777" w:rsidR="00ED46C3" w:rsidRPr="008202D3" w:rsidRDefault="00ED46C3" w:rsidP="000E70BD">
            <w:pPr>
              <w:rPr>
                <w:i/>
                <w:sz w:val="20"/>
              </w:rPr>
            </w:pPr>
          </w:p>
        </w:tc>
        <w:tc>
          <w:tcPr>
            <w:tcW w:w="6938" w:type="dxa"/>
          </w:tcPr>
          <w:p w14:paraId="73EF72D2" w14:textId="77777777" w:rsidR="00ED46C3" w:rsidRPr="008202D3" w:rsidRDefault="00ED46C3" w:rsidP="000E70BD">
            <w:pPr>
              <w:rPr>
                <w:i/>
                <w:sz w:val="20"/>
              </w:rPr>
            </w:pPr>
          </w:p>
        </w:tc>
      </w:tr>
      <w:tr w:rsidR="003E6BF5" w:rsidRPr="008202D3" w14:paraId="4CF6D8BF" w14:textId="77777777" w:rsidTr="000E70BD">
        <w:tc>
          <w:tcPr>
            <w:tcW w:w="2122" w:type="dxa"/>
          </w:tcPr>
          <w:p w14:paraId="55F83429" w14:textId="77777777" w:rsidR="003E6BF5" w:rsidRPr="008202D3" w:rsidRDefault="003E6BF5" w:rsidP="000E70BD">
            <w:pPr>
              <w:rPr>
                <w:i/>
                <w:sz w:val="20"/>
              </w:rPr>
            </w:pPr>
          </w:p>
        </w:tc>
        <w:tc>
          <w:tcPr>
            <w:tcW w:w="6938" w:type="dxa"/>
          </w:tcPr>
          <w:p w14:paraId="2DF5E249" w14:textId="77777777" w:rsidR="003E6BF5" w:rsidRPr="008202D3" w:rsidRDefault="003E6BF5" w:rsidP="000E70BD">
            <w:pPr>
              <w:rPr>
                <w:i/>
                <w:sz w:val="20"/>
              </w:rPr>
            </w:pPr>
          </w:p>
        </w:tc>
      </w:tr>
    </w:tbl>
    <w:p w14:paraId="21E35BB1" w14:textId="77777777" w:rsidR="003E6BF5" w:rsidRDefault="003E6BF5">
      <w:pPr>
        <w:spacing w:after="200" w:line="276" w:lineRule="auto"/>
        <w:rPr>
          <w:iCs/>
          <w:sz w:val="20"/>
          <w:szCs w:val="24"/>
        </w:rPr>
      </w:pPr>
    </w:p>
    <w:p w14:paraId="745BB6FD" w14:textId="77777777" w:rsidR="003E6BF5" w:rsidRDefault="003E6BF5">
      <w:pPr>
        <w:spacing w:after="200" w:line="276" w:lineRule="auto"/>
        <w:rPr>
          <w:iCs/>
          <w:sz w:val="20"/>
          <w:szCs w:val="24"/>
        </w:rPr>
      </w:pPr>
    </w:p>
    <w:p w14:paraId="633566EE" w14:textId="4370E778" w:rsidR="003E6BF5" w:rsidRDefault="003E6BF5">
      <w:pPr>
        <w:spacing w:after="200" w:line="276" w:lineRule="auto"/>
        <w:rPr>
          <w:iCs/>
          <w:sz w:val="20"/>
          <w:szCs w:val="24"/>
        </w:rPr>
        <w:sectPr w:rsidR="003E6BF5" w:rsidSect="004213C3">
          <w:headerReference w:type="default" r:id="rId15"/>
          <w:footerReference w:type="default" r:id="rId16"/>
          <w:pgSz w:w="11906" w:h="16838"/>
          <w:pgMar w:top="663" w:right="1418" w:bottom="1440" w:left="1418" w:header="357" w:footer="306" w:gutter="0"/>
          <w:cols w:space="708"/>
          <w:docGrid w:linePitch="360"/>
        </w:sectPr>
      </w:pPr>
    </w:p>
    <w:p w14:paraId="43E79BE5" w14:textId="236B001C" w:rsidR="008D4B9F" w:rsidRDefault="00007A8A" w:rsidP="00007A8A">
      <w:pPr>
        <w:pStyle w:val="Heading2"/>
      </w:pPr>
      <w:bookmarkStart w:id="42" w:name="_Toc160461952"/>
      <w:r>
        <w:rPr>
          <w:rFonts w:cs="Arial"/>
          <w:iCs/>
          <w:szCs w:val="24"/>
        </w:rPr>
        <w:lastRenderedPageBreak/>
        <w:t xml:space="preserve">Attachment 1: </w:t>
      </w:r>
      <w:r>
        <w:t>Grey Response key features summary</w:t>
      </w:r>
      <w:bookmarkEnd w:id="42"/>
    </w:p>
    <w:tbl>
      <w:tblPr>
        <w:tblStyle w:val="TableGrid"/>
        <w:tblW w:w="22539"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0"/>
        <w:gridCol w:w="5523"/>
        <w:gridCol w:w="6101"/>
        <w:gridCol w:w="8505"/>
      </w:tblGrid>
      <w:tr w:rsidR="00EA34E0" w:rsidRPr="00EA34E0" w14:paraId="333C50A4" w14:textId="77777777" w:rsidTr="00007A8A">
        <w:trPr>
          <w:tblHeader/>
        </w:trPr>
        <w:tc>
          <w:tcPr>
            <w:tcW w:w="2410" w:type="dxa"/>
            <w:shd w:val="clear" w:color="auto" w:fill="D9D9D9" w:themeFill="background1" w:themeFillShade="D9"/>
          </w:tcPr>
          <w:p w14:paraId="12D12578" w14:textId="77777777" w:rsidR="00EA34E0" w:rsidRPr="00EA34E0" w:rsidRDefault="00EA34E0" w:rsidP="00EA34E0">
            <w:pPr>
              <w:rPr>
                <w:b/>
                <w:bCs/>
              </w:rPr>
            </w:pPr>
          </w:p>
        </w:tc>
        <w:tc>
          <w:tcPr>
            <w:tcW w:w="11624" w:type="dxa"/>
            <w:gridSpan w:val="2"/>
            <w:shd w:val="clear" w:color="auto" w:fill="D9D9D9" w:themeFill="background1" w:themeFillShade="D9"/>
          </w:tcPr>
          <w:p w14:paraId="7C9737AB" w14:textId="5A0ABDF5" w:rsidR="00EA34E0" w:rsidRPr="00E159FB" w:rsidRDefault="00EA34E0" w:rsidP="00EA34E0">
            <w:pPr>
              <w:rPr>
                <w:b/>
                <w:bCs/>
                <w:sz w:val="28"/>
                <w:szCs w:val="24"/>
              </w:rPr>
            </w:pPr>
            <w:r w:rsidRPr="00E159FB">
              <w:rPr>
                <w:b/>
                <w:bCs/>
                <w:sz w:val="28"/>
                <w:szCs w:val="24"/>
              </w:rPr>
              <w:t>Grey Response</w:t>
            </w:r>
          </w:p>
        </w:tc>
        <w:tc>
          <w:tcPr>
            <w:tcW w:w="8505" w:type="dxa"/>
            <w:shd w:val="clear" w:color="auto" w:fill="000000" w:themeFill="text1"/>
          </w:tcPr>
          <w:p w14:paraId="503F9B79" w14:textId="69263BA4" w:rsidR="00EA34E0" w:rsidRPr="00E159FB" w:rsidRDefault="00EA34E0" w:rsidP="00EA34E0">
            <w:pPr>
              <w:rPr>
                <w:b/>
                <w:bCs/>
                <w:color w:val="FFFFFF" w:themeColor="background1"/>
                <w:sz w:val="28"/>
                <w:szCs w:val="24"/>
              </w:rPr>
            </w:pPr>
            <w:r w:rsidRPr="00E159FB">
              <w:rPr>
                <w:b/>
                <w:bCs/>
                <w:color w:val="FFFFFF" w:themeColor="background1"/>
                <w:sz w:val="28"/>
                <w:szCs w:val="24"/>
              </w:rPr>
              <w:t>Code Black</w:t>
            </w:r>
          </w:p>
        </w:tc>
      </w:tr>
      <w:tr w:rsidR="00EA34E0" w14:paraId="1B27122E" w14:textId="77777777" w:rsidTr="00007A8A">
        <w:tc>
          <w:tcPr>
            <w:tcW w:w="2410" w:type="dxa"/>
          </w:tcPr>
          <w:p w14:paraId="2BEE7BB2" w14:textId="711F4D73" w:rsidR="00EA34E0" w:rsidRPr="00EA34E0" w:rsidRDefault="00EA34E0" w:rsidP="00EA34E0">
            <w:pPr>
              <w:rPr>
                <w:b/>
                <w:bCs/>
              </w:rPr>
            </w:pPr>
            <w:r w:rsidRPr="00EA34E0">
              <w:rPr>
                <w:b/>
                <w:bCs/>
              </w:rPr>
              <w:t>Definition</w:t>
            </w:r>
          </w:p>
        </w:tc>
        <w:tc>
          <w:tcPr>
            <w:tcW w:w="11624" w:type="dxa"/>
            <w:gridSpan w:val="2"/>
          </w:tcPr>
          <w:p w14:paraId="770C2684" w14:textId="455549FB" w:rsidR="00EA34E0" w:rsidRDefault="00EA34E0" w:rsidP="00EA34E0">
            <w:r w:rsidRPr="007237A6">
              <w:t xml:space="preserve">A </w:t>
            </w:r>
            <w:r w:rsidRPr="00EA34E0">
              <w:rPr>
                <w:b/>
                <w:bCs/>
              </w:rPr>
              <w:t>Grey Response</w:t>
            </w:r>
            <w:r w:rsidRPr="007237A6">
              <w:t xml:space="preserve"> is primarily a clinical response, comprising of medical and nursing staff supported by security and </w:t>
            </w:r>
            <w:proofErr w:type="spellStart"/>
            <w:r w:rsidR="006C33B3">
              <w:t>W</w:t>
            </w:r>
            <w:r w:rsidR="006C33B3" w:rsidRPr="007237A6">
              <w:t>ardspersons</w:t>
            </w:r>
            <w:proofErr w:type="spellEnd"/>
            <w:r w:rsidRPr="007237A6">
              <w:t xml:space="preserve"> as required. A Grey Response is activated when </w:t>
            </w:r>
            <w:r w:rsidRPr="00EA34E0">
              <w:rPr>
                <w:b/>
                <w:bCs/>
              </w:rPr>
              <w:t>actual or potential escalating behaviour is exhibited</w:t>
            </w:r>
            <w:r w:rsidRPr="007237A6">
              <w:t xml:space="preserve"> by patient or visitors that creates a risk to health and safety to workers and/or patients or visitors.</w:t>
            </w:r>
          </w:p>
        </w:tc>
        <w:tc>
          <w:tcPr>
            <w:tcW w:w="8505" w:type="dxa"/>
          </w:tcPr>
          <w:p w14:paraId="282E8167" w14:textId="2DFD6411" w:rsidR="00EA34E0" w:rsidRPr="00EA34E0" w:rsidRDefault="00EA34E0" w:rsidP="00EA34E0">
            <w:pPr>
              <w:rPr>
                <w:szCs w:val="24"/>
              </w:rPr>
            </w:pPr>
            <w:r w:rsidRPr="00E8178B">
              <w:rPr>
                <w:szCs w:val="24"/>
              </w:rPr>
              <w:t xml:space="preserve">A Code Black is an Australian emergency standard for </w:t>
            </w:r>
            <w:r w:rsidRPr="00E8178B">
              <w:rPr>
                <w:b/>
                <w:bCs/>
                <w:szCs w:val="24"/>
              </w:rPr>
              <w:t>immediate personal threat</w:t>
            </w:r>
            <w:r w:rsidRPr="00E8178B">
              <w:rPr>
                <w:szCs w:val="24"/>
              </w:rPr>
              <w:t xml:space="preserve"> (armed or unarmed, persons threatening injury to others or themselves, or illegal occupancy).</w:t>
            </w:r>
            <w:r w:rsidRPr="00E8178B">
              <w:rPr>
                <w:rFonts w:eastAsiaTheme="majorEastAsia" w:cstheme="majorBidi"/>
                <w:b/>
                <w:bCs/>
                <w:szCs w:val="24"/>
              </w:rPr>
              <w:t xml:space="preserve"> </w:t>
            </w:r>
            <w:r w:rsidRPr="00E8178B">
              <w:rPr>
                <w:rFonts w:eastAsiaTheme="majorEastAsia" w:cstheme="majorBidi"/>
                <w:szCs w:val="24"/>
              </w:rPr>
              <w:t>A Code Black</w:t>
            </w:r>
            <w:r w:rsidRPr="00E8178B">
              <w:rPr>
                <w:szCs w:val="24"/>
              </w:rPr>
              <w:t xml:space="preserve"> is primarily a security and wards person response.</w:t>
            </w:r>
          </w:p>
        </w:tc>
      </w:tr>
      <w:tr w:rsidR="00EA34E0" w14:paraId="348DA1B1" w14:textId="77777777" w:rsidTr="00007A8A">
        <w:trPr>
          <w:trHeight w:val="386"/>
        </w:trPr>
        <w:tc>
          <w:tcPr>
            <w:tcW w:w="2410" w:type="dxa"/>
          </w:tcPr>
          <w:p w14:paraId="44F1264F" w14:textId="6B52146E" w:rsidR="00EA34E0" w:rsidRPr="00EA34E0" w:rsidRDefault="00EA34E0" w:rsidP="00EA34E0">
            <w:pPr>
              <w:rPr>
                <w:b/>
                <w:bCs/>
              </w:rPr>
            </w:pPr>
            <w:r w:rsidRPr="00EA34E0">
              <w:rPr>
                <w:b/>
                <w:bCs/>
              </w:rPr>
              <w:t>Primary Purpose</w:t>
            </w:r>
          </w:p>
        </w:tc>
        <w:tc>
          <w:tcPr>
            <w:tcW w:w="11624" w:type="dxa"/>
            <w:gridSpan w:val="2"/>
          </w:tcPr>
          <w:p w14:paraId="725775FE" w14:textId="40D5D26C" w:rsidR="00A76F2A" w:rsidRDefault="00EA34E0" w:rsidP="00EA34E0">
            <w:r w:rsidRPr="00CD2F76">
              <w:t>Proactively minimise the likelihood of patien</w:t>
            </w:r>
            <w:r w:rsidR="003B3B1B">
              <w:t>t</w:t>
            </w:r>
            <w:r w:rsidRPr="00CD2F76">
              <w:t xml:space="preserve"> escalation.</w:t>
            </w:r>
          </w:p>
        </w:tc>
        <w:tc>
          <w:tcPr>
            <w:tcW w:w="8505" w:type="dxa"/>
          </w:tcPr>
          <w:p w14:paraId="2056948D" w14:textId="1BF6ED90" w:rsidR="00EA34E0" w:rsidRDefault="00EA34E0" w:rsidP="00EA34E0">
            <w:r w:rsidRPr="00CD2F76">
              <w:t>Mitigating risk of harm to others or self.</w:t>
            </w:r>
          </w:p>
        </w:tc>
      </w:tr>
      <w:tr w:rsidR="00EA34E0" w14:paraId="53A2F21D" w14:textId="77777777" w:rsidTr="00007A8A">
        <w:trPr>
          <w:trHeight w:val="3645"/>
        </w:trPr>
        <w:tc>
          <w:tcPr>
            <w:tcW w:w="2410" w:type="dxa"/>
          </w:tcPr>
          <w:p w14:paraId="3880CD2E" w14:textId="18671089" w:rsidR="00EA34E0" w:rsidRPr="00EA34E0" w:rsidRDefault="00EA34E0" w:rsidP="00EA34E0">
            <w:pPr>
              <w:rPr>
                <w:b/>
                <w:bCs/>
              </w:rPr>
            </w:pPr>
            <w:r w:rsidRPr="00EA34E0">
              <w:rPr>
                <w:b/>
                <w:bCs/>
              </w:rPr>
              <w:t xml:space="preserve">Call criteria </w:t>
            </w:r>
          </w:p>
        </w:tc>
        <w:tc>
          <w:tcPr>
            <w:tcW w:w="11624" w:type="dxa"/>
            <w:gridSpan w:val="2"/>
          </w:tcPr>
          <w:p w14:paraId="51013765" w14:textId="77777777" w:rsidR="00EA34E0" w:rsidRDefault="00EA34E0" w:rsidP="00EA34E0">
            <w:r w:rsidRPr="00125FCD">
              <w:t xml:space="preserve"> Examples can include*:</w:t>
            </w:r>
          </w:p>
          <w:tbl>
            <w:tblPr>
              <w:tblStyle w:val="TableGrid"/>
              <w:tblW w:w="10239" w:type="dxa"/>
              <w:tblLayout w:type="fixed"/>
              <w:tblLook w:val="04A0" w:firstRow="1" w:lastRow="0" w:firstColumn="1" w:lastColumn="0" w:noHBand="0" w:noVBand="1"/>
            </w:tblPr>
            <w:tblGrid>
              <w:gridCol w:w="1630"/>
              <w:gridCol w:w="8609"/>
            </w:tblGrid>
            <w:tr w:rsidR="00CE3189" w14:paraId="396566CA" w14:textId="77777777" w:rsidTr="00E159FB">
              <w:trPr>
                <w:trHeight w:val="300"/>
              </w:trPr>
              <w:tc>
                <w:tcPr>
                  <w:tcW w:w="1630" w:type="dxa"/>
                </w:tcPr>
                <w:p w14:paraId="69EFADAB" w14:textId="77777777" w:rsidR="00CE3189" w:rsidRDefault="00CE3189" w:rsidP="007408E9"/>
              </w:tc>
              <w:tc>
                <w:tcPr>
                  <w:tcW w:w="8609" w:type="dxa"/>
                  <w:shd w:val="clear" w:color="auto" w:fill="BFBFBF" w:themeFill="background1" w:themeFillShade="BF"/>
                </w:tcPr>
                <w:p w14:paraId="2AE65B64" w14:textId="77777777" w:rsidR="00CE3189" w:rsidRDefault="00CE3189" w:rsidP="007408E9">
                  <w:pPr>
                    <w:jc w:val="center"/>
                  </w:pPr>
                  <w:r>
                    <w:t xml:space="preserve">Grey Response </w:t>
                  </w:r>
                </w:p>
              </w:tc>
            </w:tr>
            <w:tr w:rsidR="00CE3189" w14:paraId="55BA7BA7" w14:textId="77777777" w:rsidTr="00E159FB">
              <w:trPr>
                <w:trHeight w:val="255"/>
              </w:trPr>
              <w:tc>
                <w:tcPr>
                  <w:tcW w:w="1630" w:type="dxa"/>
                </w:tcPr>
                <w:p w14:paraId="02251446" w14:textId="77777777" w:rsidR="00CE3189" w:rsidRDefault="00CE3189" w:rsidP="007408E9"/>
              </w:tc>
              <w:tc>
                <w:tcPr>
                  <w:tcW w:w="8609" w:type="dxa"/>
                </w:tcPr>
                <w:p w14:paraId="6057660A" w14:textId="77777777" w:rsidR="00CE3189" w:rsidRPr="00B51499" w:rsidRDefault="00CE3189" w:rsidP="007408E9">
                  <w:pPr>
                    <w:rPr>
                      <w:b/>
                      <w:bCs/>
                    </w:rPr>
                  </w:pPr>
                  <w:r>
                    <w:rPr>
                      <w:b/>
                      <w:bCs/>
                    </w:rPr>
                    <w:t>Early warning signs</w:t>
                  </w:r>
                </w:p>
              </w:tc>
            </w:tr>
            <w:tr w:rsidR="00CE3189" w14:paraId="29F5DAC4" w14:textId="77777777" w:rsidTr="00E159FB">
              <w:trPr>
                <w:trHeight w:val="300"/>
              </w:trPr>
              <w:tc>
                <w:tcPr>
                  <w:tcW w:w="1630" w:type="dxa"/>
                </w:tcPr>
                <w:p w14:paraId="6E26A35C" w14:textId="77777777" w:rsidR="00CE3189" w:rsidRPr="007547A4" w:rsidRDefault="00CE3189" w:rsidP="007408E9">
                  <w:pPr>
                    <w:rPr>
                      <w:i/>
                      <w:iCs/>
                    </w:rPr>
                  </w:pPr>
                  <w:r w:rsidRPr="007547A4">
                    <w:rPr>
                      <w:i/>
                      <w:iCs/>
                    </w:rPr>
                    <w:t>Verbal signs</w:t>
                  </w:r>
                </w:p>
              </w:tc>
              <w:tc>
                <w:tcPr>
                  <w:tcW w:w="8609" w:type="dxa"/>
                </w:tcPr>
                <w:p w14:paraId="0CEFD10C" w14:textId="74491C37" w:rsidR="00CE3189" w:rsidRDefault="00CE3189" w:rsidP="00820AF5">
                  <w:pPr>
                    <w:pStyle w:val="ListParagraph"/>
                    <w:numPr>
                      <w:ilvl w:val="0"/>
                      <w:numId w:val="43"/>
                    </w:numPr>
                    <w:ind w:left="289"/>
                  </w:pPr>
                  <w:r>
                    <w:t>Raised voice, verbally neutral comments uttered in an aggressive manner.</w:t>
                  </w:r>
                </w:p>
                <w:p w14:paraId="67337EBE" w14:textId="2235FBC4" w:rsidR="00CE3189" w:rsidRDefault="00CE3189" w:rsidP="00820AF5">
                  <w:pPr>
                    <w:pStyle w:val="ListParagraph"/>
                    <w:numPr>
                      <w:ilvl w:val="0"/>
                      <w:numId w:val="43"/>
                    </w:numPr>
                    <w:ind w:left="289"/>
                  </w:pPr>
                  <w:r>
                    <w:t>Name calling, raised voice at a safe distance</w:t>
                  </w:r>
                </w:p>
              </w:tc>
            </w:tr>
            <w:tr w:rsidR="00CE3189" w14:paraId="08BF6EF2" w14:textId="77777777" w:rsidTr="00E159FB">
              <w:trPr>
                <w:trHeight w:val="1389"/>
              </w:trPr>
              <w:tc>
                <w:tcPr>
                  <w:tcW w:w="1630" w:type="dxa"/>
                </w:tcPr>
                <w:p w14:paraId="57D66C3D" w14:textId="77777777" w:rsidR="00CE3189" w:rsidRPr="007547A4" w:rsidRDefault="00CE3189" w:rsidP="007408E9">
                  <w:pPr>
                    <w:rPr>
                      <w:i/>
                      <w:iCs/>
                    </w:rPr>
                  </w:pPr>
                  <w:r w:rsidRPr="007547A4">
                    <w:rPr>
                      <w:i/>
                      <w:iCs/>
                    </w:rPr>
                    <w:t>Physical signs</w:t>
                  </w:r>
                </w:p>
              </w:tc>
              <w:tc>
                <w:tcPr>
                  <w:tcW w:w="8609" w:type="dxa"/>
                </w:tcPr>
                <w:p w14:paraId="12D155C4" w14:textId="3615A9B8" w:rsidR="00CE3189" w:rsidRDefault="00CE3189" w:rsidP="00820AF5">
                  <w:pPr>
                    <w:pStyle w:val="ListParagraph"/>
                    <w:numPr>
                      <w:ilvl w:val="0"/>
                      <w:numId w:val="44"/>
                    </w:numPr>
                    <w:ind w:left="289"/>
                  </w:pPr>
                  <w:r>
                    <w:t xml:space="preserve">Hand ringing, staring, clenched fists. </w:t>
                  </w:r>
                </w:p>
                <w:p w14:paraId="74609594" w14:textId="74A16D01" w:rsidR="00CE3189" w:rsidRPr="00171962" w:rsidRDefault="00CE3189" w:rsidP="007408E9">
                  <w:pPr>
                    <w:pStyle w:val="ListParagraph"/>
                    <w:numPr>
                      <w:ilvl w:val="0"/>
                      <w:numId w:val="44"/>
                    </w:numPr>
                    <w:ind w:left="289"/>
                    <w:rPr>
                      <w:rFonts w:ascii="Times New Roman" w:hAnsi="Times New Roman"/>
                    </w:rPr>
                  </w:pPr>
                  <w:r>
                    <w:t xml:space="preserve">Aggressive stance, making fists, unable to sit still, pacing, </w:t>
                  </w:r>
                  <w:r w:rsidRPr="00820AF5">
                    <w:rPr>
                      <w:szCs w:val="24"/>
                    </w:rPr>
                    <w:t xml:space="preserve">taking items, </w:t>
                  </w:r>
                  <w:r>
                    <w:t>easily annoyed/angered, unable to tolerate the presence of others, reasonable belief of possessing weapons (with no current threat).</w:t>
                  </w:r>
                </w:p>
              </w:tc>
            </w:tr>
            <w:tr w:rsidR="00387464" w14:paraId="4FD0F4DF" w14:textId="77777777" w:rsidTr="00E159FB">
              <w:trPr>
                <w:trHeight w:val="1389"/>
              </w:trPr>
              <w:tc>
                <w:tcPr>
                  <w:tcW w:w="1630" w:type="dxa"/>
                </w:tcPr>
                <w:p w14:paraId="1ED7E4EB" w14:textId="1E9A7B6D" w:rsidR="00387464" w:rsidRPr="007547A4" w:rsidRDefault="00387464" w:rsidP="00387464">
                  <w:pPr>
                    <w:rPr>
                      <w:i/>
                      <w:iCs/>
                    </w:rPr>
                  </w:pPr>
                  <w:r>
                    <w:rPr>
                      <w:i/>
                      <w:iCs/>
                    </w:rPr>
                    <w:t>Other considerations</w:t>
                  </w:r>
                </w:p>
              </w:tc>
              <w:tc>
                <w:tcPr>
                  <w:tcW w:w="8609" w:type="dxa"/>
                </w:tcPr>
                <w:p w14:paraId="277DC9FC" w14:textId="77777777" w:rsidR="00387464" w:rsidRDefault="00387464" w:rsidP="00387464">
                  <w:pPr>
                    <w:pStyle w:val="ListBullet"/>
                    <w:ind w:left="245" w:hanging="245"/>
                  </w:pPr>
                  <w:r>
                    <w:t xml:space="preserve">Known history of violence or aggression. </w:t>
                  </w:r>
                </w:p>
                <w:p w14:paraId="1FBA83AB" w14:textId="77777777" w:rsidR="00387464" w:rsidRDefault="00387464" w:rsidP="00387464">
                  <w:pPr>
                    <w:pStyle w:val="ListBullet"/>
                    <w:ind w:left="245" w:hanging="245"/>
                  </w:pPr>
                  <w:r>
                    <w:t>Alerts for aggressive behaviour</w:t>
                  </w:r>
                </w:p>
                <w:p w14:paraId="5159F6A9" w14:textId="77777777" w:rsidR="00387464" w:rsidRDefault="00387464" w:rsidP="00387464">
                  <w:pPr>
                    <w:pStyle w:val="ListBullet"/>
                    <w:ind w:left="245" w:hanging="245"/>
                  </w:pPr>
                  <w:r>
                    <w:t>Altered mental state.</w:t>
                  </w:r>
                </w:p>
                <w:p w14:paraId="03588C70" w14:textId="77777777" w:rsidR="00387464" w:rsidRPr="003D2718" w:rsidRDefault="00387464" w:rsidP="00387464">
                  <w:pPr>
                    <w:pStyle w:val="ListBullet"/>
                    <w:tabs>
                      <w:tab w:val="num" w:pos="360"/>
                    </w:tabs>
                    <w:ind w:left="245" w:hanging="245"/>
                    <w:rPr>
                      <w:szCs w:val="24"/>
                    </w:rPr>
                  </w:pPr>
                  <w:r>
                    <w:rPr>
                      <w:szCs w:val="24"/>
                    </w:rPr>
                    <w:t>Cognitive status that affects people’s ability to communicate and capacity to understand information.</w:t>
                  </w:r>
                </w:p>
                <w:p w14:paraId="5B75C344" w14:textId="77104C65" w:rsidR="00387464" w:rsidRDefault="00387464" w:rsidP="00387464">
                  <w:pPr>
                    <w:pStyle w:val="ListParagraph"/>
                    <w:numPr>
                      <w:ilvl w:val="0"/>
                      <w:numId w:val="44"/>
                    </w:numPr>
                    <w:ind w:left="289"/>
                  </w:pPr>
                  <w:r w:rsidRPr="7FDDA926">
                    <w:rPr>
                      <w:szCs w:val="24"/>
                    </w:rPr>
                    <w:t>Neurodiversity and baseline cognitive status.</w:t>
                  </w:r>
                </w:p>
              </w:tc>
            </w:tr>
          </w:tbl>
          <w:p w14:paraId="404C3B4C" w14:textId="44F20D91" w:rsidR="00EA34E0" w:rsidRDefault="00EA34E0" w:rsidP="00EA34E0"/>
        </w:tc>
        <w:tc>
          <w:tcPr>
            <w:tcW w:w="8505" w:type="dxa"/>
          </w:tcPr>
          <w:p w14:paraId="4291F011" w14:textId="69890948" w:rsidR="00EA34E0" w:rsidRPr="00E8178B" w:rsidRDefault="00EA34E0" w:rsidP="00EA34E0">
            <w:pPr>
              <w:rPr>
                <w:rFonts w:eastAsia="Calibri" w:cs="Calibri"/>
                <w:szCs w:val="24"/>
              </w:rPr>
            </w:pPr>
            <w:r w:rsidRPr="00E8178B">
              <w:rPr>
                <w:rFonts w:eastAsia="Calibri" w:cs="Calibri"/>
                <w:szCs w:val="24"/>
              </w:rPr>
              <w:t>Staff require emergency assistance because a patient or other person(s) pose</w:t>
            </w:r>
            <w:r w:rsidR="00FB72FF">
              <w:rPr>
                <w:rFonts w:eastAsia="Calibri" w:cs="Calibri"/>
                <w:szCs w:val="24"/>
              </w:rPr>
              <w:t>(</w:t>
            </w:r>
            <w:r w:rsidRPr="00E8178B">
              <w:rPr>
                <w:rFonts w:eastAsia="Calibri" w:cs="Calibri"/>
                <w:szCs w:val="24"/>
              </w:rPr>
              <w:t>s</w:t>
            </w:r>
            <w:r w:rsidR="00FB72FF">
              <w:rPr>
                <w:rFonts w:eastAsia="Calibri" w:cs="Calibri"/>
                <w:szCs w:val="24"/>
              </w:rPr>
              <w:t>)</w:t>
            </w:r>
            <w:r w:rsidRPr="00E8178B">
              <w:rPr>
                <w:rFonts w:eastAsia="Calibri" w:cs="Calibri"/>
                <w:szCs w:val="24"/>
              </w:rPr>
              <w:t xml:space="preserve"> a serious safety risk to others.</w:t>
            </w:r>
          </w:p>
          <w:p w14:paraId="2CED9175" w14:textId="163C5F15" w:rsidR="00EA34E0" w:rsidRPr="000942CD" w:rsidRDefault="00EA34E0" w:rsidP="000942CD">
            <w:pPr>
              <w:rPr>
                <w:rFonts w:eastAsia="Calibri" w:cs="Calibri"/>
                <w:szCs w:val="24"/>
              </w:rPr>
            </w:pPr>
            <w:r w:rsidRPr="00E8178B">
              <w:rPr>
                <w:rFonts w:eastAsia="Calibri" w:cs="Calibri"/>
                <w:szCs w:val="24"/>
              </w:rPr>
              <w:t>Behaviours can include:</w:t>
            </w:r>
          </w:p>
          <w:tbl>
            <w:tblPr>
              <w:tblStyle w:val="TableGrid"/>
              <w:tblW w:w="7390" w:type="dxa"/>
              <w:tblLayout w:type="fixed"/>
              <w:tblLook w:val="04A0" w:firstRow="1" w:lastRow="0" w:firstColumn="1" w:lastColumn="0" w:noHBand="0" w:noVBand="1"/>
            </w:tblPr>
            <w:tblGrid>
              <w:gridCol w:w="1501"/>
              <w:gridCol w:w="5889"/>
            </w:tblGrid>
            <w:tr w:rsidR="00BB399A" w:rsidRPr="00401325" w14:paraId="76774F1F" w14:textId="77777777" w:rsidTr="00E159FB">
              <w:trPr>
                <w:trHeight w:val="300"/>
              </w:trPr>
              <w:tc>
                <w:tcPr>
                  <w:tcW w:w="1501" w:type="dxa"/>
                  <w:tcBorders>
                    <w:bottom w:val="nil"/>
                  </w:tcBorders>
                  <w:shd w:val="clear" w:color="auto" w:fill="000000" w:themeFill="text1"/>
                </w:tcPr>
                <w:p w14:paraId="52310340" w14:textId="77777777" w:rsidR="00BB399A" w:rsidRPr="00401325" w:rsidRDefault="00BB399A" w:rsidP="00BB399A">
                  <w:pPr>
                    <w:rPr>
                      <w:b/>
                      <w:bCs/>
                      <w:color w:val="FFFFFF" w:themeColor="background1"/>
                    </w:rPr>
                  </w:pPr>
                </w:p>
              </w:tc>
              <w:tc>
                <w:tcPr>
                  <w:tcW w:w="5889" w:type="dxa"/>
                  <w:tcBorders>
                    <w:bottom w:val="nil"/>
                  </w:tcBorders>
                  <w:shd w:val="clear" w:color="auto" w:fill="000000" w:themeFill="text1"/>
                </w:tcPr>
                <w:p w14:paraId="06BC0779" w14:textId="6ABF912B" w:rsidR="00BB399A" w:rsidRPr="00401325" w:rsidRDefault="00BB399A" w:rsidP="00BB399A">
                  <w:pPr>
                    <w:rPr>
                      <w:b/>
                      <w:bCs/>
                      <w:color w:val="FFFFFF" w:themeColor="background1"/>
                    </w:rPr>
                  </w:pPr>
                  <w:r w:rsidRPr="00401325">
                    <w:rPr>
                      <w:b/>
                      <w:bCs/>
                      <w:color w:val="FFFFFF" w:themeColor="background1"/>
                    </w:rPr>
                    <w:t>Code Black</w:t>
                  </w:r>
                </w:p>
              </w:tc>
            </w:tr>
            <w:tr w:rsidR="00BB399A" w:rsidRPr="00B51499" w14:paraId="1808AA5C" w14:textId="77777777" w:rsidTr="00E159FB">
              <w:trPr>
                <w:trHeight w:val="300"/>
              </w:trPr>
              <w:tc>
                <w:tcPr>
                  <w:tcW w:w="1501" w:type="dxa"/>
                  <w:tcBorders>
                    <w:top w:val="nil"/>
                  </w:tcBorders>
                </w:tcPr>
                <w:p w14:paraId="027FC62C" w14:textId="77777777" w:rsidR="00BB399A" w:rsidRDefault="00BB399A" w:rsidP="00BB399A">
                  <w:pPr>
                    <w:rPr>
                      <w:b/>
                      <w:bCs/>
                    </w:rPr>
                  </w:pPr>
                </w:p>
              </w:tc>
              <w:tc>
                <w:tcPr>
                  <w:tcW w:w="5889" w:type="dxa"/>
                  <w:tcBorders>
                    <w:top w:val="nil"/>
                  </w:tcBorders>
                </w:tcPr>
                <w:p w14:paraId="5A2351DE" w14:textId="5F6D631A" w:rsidR="00BB399A" w:rsidRPr="00B51499" w:rsidRDefault="00BB399A" w:rsidP="00BB399A">
                  <w:pPr>
                    <w:rPr>
                      <w:b/>
                      <w:bCs/>
                    </w:rPr>
                  </w:pPr>
                  <w:r>
                    <w:rPr>
                      <w:b/>
                      <w:bCs/>
                    </w:rPr>
                    <w:t>I</w:t>
                  </w:r>
                  <w:r w:rsidRPr="00B51499">
                    <w:rPr>
                      <w:b/>
                      <w:bCs/>
                    </w:rPr>
                    <w:t>mmediate personal threat</w:t>
                  </w:r>
                </w:p>
              </w:tc>
            </w:tr>
            <w:tr w:rsidR="00BB399A" w14:paraId="001AC5FA" w14:textId="77777777" w:rsidTr="00E159FB">
              <w:trPr>
                <w:trHeight w:val="300"/>
              </w:trPr>
              <w:tc>
                <w:tcPr>
                  <w:tcW w:w="1501" w:type="dxa"/>
                </w:tcPr>
                <w:p w14:paraId="533451D2" w14:textId="0B12FADE" w:rsidR="00BB399A" w:rsidRDefault="00BB399A" w:rsidP="00BB399A">
                  <w:pPr>
                    <w:pStyle w:val="ListParagraph"/>
                    <w:numPr>
                      <w:ilvl w:val="0"/>
                      <w:numId w:val="43"/>
                    </w:numPr>
                    <w:ind w:left="356"/>
                  </w:pPr>
                  <w:r w:rsidRPr="007547A4">
                    <w:rPr>
                      <w:i/>
                      <w:iCs/>
                    </w:rPr>
                    <w:t>Verbal signs</w:t>
                  </w:r>
                </w:p>
              </w:tc>
              <w:tc>
                <w:tcPr>
                  <w:tcW w:w="5889" w:type="dxa"/>
                </w:tcPr>
                <w:p w14:paraId="7DC3D443" w14:textId="7E2C0BCA" w:rsidR="00BB399A" w:rsidRDefault="00BB399A" w:rsidP="00387464">
                  <w:pPr>
                    <w:pStyle w:val="ListParagraph"/>
                    <w:numPr>
                      <w:ilvl w:val="0"/>
                      <w:numId w:val="43"/>
                    </w:numPr>
                  </w:pPr>
                  <w:r>
                    <w:t>Definite intent to intimidate/threaten, verbal attacks, abuse, raised voice with closing of personal distance</w:t>
                  </w:r>
                  <w:r w:rsidR="00392026">
                    <w:t>.</w:t>
                  </w:r>
                </w:p>
                <w:p w14:paraId="1F7C56CD" w14:textId="7E0A6DD4" w:rsidR="00387464" w:rsidRPr="000942CD" w:rsidRDefault="00387464" w:rsidP="00387464">
                  <w:pPr>
                    <w:pStyle w:val="ListParagraph"/>
                    <w:numPr>
                      <w:ilvl w:val="0"/>
                      <w:numId w:val="43"/>
                    </w:numPr>
                    <w:rPr>
                      <w:rFonts w:eastAsia="Calibri" w:cs="Calibri"/>
                      <w:szCs w:val="24"/>
                    </w:rPr>
                  </w:pPr>
                  <w:r w:rsidRPr="00E8178B">
                    <w:rPr>
                      <w:rFonts w:eastAsia="Calibri" w:cs="Calibri"/>
                      <w:szCs w:val="24"/>
                    </w:rPr>
                    <w:t>Threats of physical harm or violence to self, and/or others (armed or unarmed)</w:t>
                  </w:r>
                </w:p>
              </w:tc>
            </w:tr>
            <w:tr w:rsidR="00BB399A" w14:paraId="406816C7" w14:textId="77777777" w:rsidTr="00E159FB">
              <w:trPr>
                <w:trHeight w:val="1389"/>
              </w:trPr>
              <w:tc>
                <w:tcPr>
                  <w:tcW w:w="1501" w:type="dxa"/>
                </w:tcPr>
                <w:p w14:paraId="781B89D3" w14:textId="722EBF55" w:rsidR="00BB399A" w:rsidRDefault="00BB399A" w:rsidP="00BB399A">
                  <w:pPr>
                    <w:pStyle w:val="ListParagraph"/>
                    <w:numPr>
                      <w:ilvl w:val="0"/>
                      <w:numId w:val="44"/>
                    </w:numPr>
                    <w:ind w:left="356"/>
                  </w:pPr>
                  <w:r w:rsidRPr="007547A4">
                    <w:rPr>
                      <w:i/>
                      <w:iCs/>
                    </w:rPr>
                    <w:t>Physical signs</w:t>
                  </w:r>
                </w:p>
              </w:tc>
              <w:tc>
                <w:tcPr>
                  <w:tcW w:w="5889" w:type="dxa"/>
                </w:tcPr>
                <w:p w14:paraId="25859981" w14:textId="5DEDB481" w:rsidR="00387464" w:rsidRDefault="00BB399A" w:rsidP="00387464">
                  <w:pPr>
                    <w:pStyle w:val="ListParagraph"/>
                    <w:numPr>
                      <w:ilvl w:val="0"/>
                      <w:numId w:val="29"/>
                    </w:numPr>
                    <w:ind w:left="311"/>
                    <w:rPr>
                      <w:rFonts w:eastAsia="Calibri" w:cs="Calibri"/>
                      <w:szCs w:val="24"/>
                    </w:rPr>
                  </w:pPr>
                  <w:r>
                    <w:t>Severe behavioural changes include unwillingness to stay in area, absconding, unwillingness to return equipment, evidence of weapons</w:t>
                  </w:r>
                  <w:r w:rsidR="00392026">
                    <w:rPr>
                      <w:rFonts w:eastAsia="Calibri" w:cs="Calibri"/>
                      <w:szCs w:val="24"/>
                    </w:rPr>
                    <w:t>.</w:t>
                  </w:r>
                </w:p>
                <w:p w14:paraId="6D0B1B0A" w14:textId="11E8A81A" w:rsidR="00387464" w:rsidRPr="00E8178B" w:rsidRDefault="00387464" w:rsidP="00387464">
                  <w:pPr>
                    <w:pStyle w:val="ListParagraph"/>
                    <w:numPr>
                      <w:ilvl w:val="0"/>
                      <w:numId w:val="29"/>
                    </w:numPr>
                    <w:ind w:left="311"/>
                    <w:rPr>
                      <w:rFonts w:eastAsia="Calibri" w:cs="Calibri"/>
                      <w:szCs w:val="24"/>
                    </w:rPr>
                  </w:pPr>
                  <w:r w:rsidRPr="00E8178B">
                    <w:rPr>
                      <w:rFonts w:eastAsia="Calibri" w:cs="Calibri"/>
                      <w:szCs w:val="24"/>
                    </w:rPr>
                    <w:t>Absconding</w:t>
                  </w:r>
                </w:p>
                <w:p w14:paraId="1E29B095" w14:textId="5E193848" w:rsidR="00BB399A" w:rsidRDefault="00BB399A" w:rsidP="000942CD"/>
              </w:tc>
            </w:tr>
          </w:tbl>
          <w:p w14:paraId="478BA76E" w14:textId="77777777" w:rsidR="00EA34E0" w:rsidRDefault="00EA34E0" w:rsidP="00EA34E0"/>
        </w:tc>
      </w:tr>
      <w:tr w:rsidR="0016763E" w14:paraId="79EB450D" w14:textId="77777777" w:rsidTr="00007A8A">
        <w:trPr>
          <w:trHeight w:val="281"/>
        </w:trPr>
        <w:tc>
          <w:tcPr>
            <w:tcW w:w="22539" w:type="dxa"/>
            <w:gridSpan w:val="4"/>
            <w:shd w:val="clear" w:color="auto" w:fill="D9D9D9" w:themeFill="background1" w:themeFillShade="D9"/>
          </w:tcPr>
          <w:p w14:paraId="2444AE9B" w14:textId="2CA6CEC9" w:rsidR="0016763E" w:rsidRPr="0016763E" w:rsidRDefault="0016763E" w:rsidP="00EA34E0">
            <w:pPr>
              <w:rPr>
                <w:rFonts w:eastAsia="Calibri" w:cs="Calibri"/>
                <w:b/>
                <w:bCs/>
                <w:szCs w:val="24"/>
              </w:rPr>
            </w:pPr>
            <w:r w:rsidRPr="0016763E">
              <w:rPr>
                <w:rFonts w:eastAsia="Calibri" w:cs="Calibri"/>
                <w:b/>
                <w:bCs/>
                <w:szCs w:val="24"/>
              </w:rPr>
              <w:t>Responders</w:t>
            </w:r>
          </w:p>
        </w:tc>
      </w:tr>
      <w:tr w:rsidR="001F22DC" w14:paraId="22B58CBD" w14:textId="77777777" w:rsidTr="00007A8A">
        <w:trPr>
          <w:trHeight w:val="528"/>
        </w:trPr>
        <w:tc>
          <w:tcPr>
            <w:tcW w:w="2410" w:type="dxa"/>
            <w:vMerge w:val="restart"/>
          </w:tcPr>
          <w:p w14:paraId="2D2F237E" w14:textId="7C66983D" w:rsidR="001F22DC" w:rsidRDefault="001F22DC" w:rsidP="003E6BF5">
            <w:r w:rsidRPr="00E8178B">
              <w:rPr>
                <w:rFonts w:eastAsia="Calibri" w:cs="Calibri"/>
                <w:b/>
                <w:bCs/>
                <w:szCs w:val="24"/>
              </w:rPr>
              <w:t>Composition responders</w:t>
            </w:r>
          </w:p>
        </w:tc>
        <w:tc>
          <w:tcPr>
            <w:tcW w:w="5523" w:type="dxa"/>
          </w:tcPr>
          <w:p w14:paraId="31A3B872" w14:textId="5EDFA698" w:rsidR="001F22DC" w:rsidRDefault="001F22DC" w:rsidP="001F22DC">
            <w:pPr>
              <w:pStyle w:val="ListParagraph"/>
              <w:numPr>
                <w:ilvl w:val="0"/>
                <w:numId w:val="38"/>
              </w:numPr>
              <w:ind w:left="457" w:hanging="425"/>
            </w:pPr>
            <w:r>
              <w:t>Admitting Officer (AO)</w:t>
            </w:r>
          </w:p>
        </w:tc>
        <w:tc>
          <w:tcPr>
            <w:tcW w:w="6101" w:type="dxa"/>
          </w:tcPr>
          <w:p w14:paraId="04717444" w14:textId="62A8AE8F" w:rsidR="001F22DC" w:rsidRDefault="002C0595" w:rsidP="00A81056">
            <w:r>
              <w:t>Respond to the grey response, if unable to attend, ensure a senior delegate is sent to respond</w:t>
            </w:r>
          </w:p>
        </w:tc>
        <w:tc>
          <w:tcPr>
            <w:tcW w:w="8505" w:type="dxa"/>
            <w:vMerge w:val="restart"/>
          </w:tcPr>
          <w:p w14:paraId="4618EBE2" w14:textId="77777777" w:rsidR="001F22DC" w:rsidRPr="00E8178B" w:rsidRDefault="001F22DC" w:rsidP="00EA34E0">
            <w:pPr>
              <w:pStyle w:val="ListParagraph"/>
              <w:numPr>
                <w:ilvl w:val="0"/>
                <w:numId w:val="39"/>
              </w:numPr>
              <w:ind w:left="566" w:hanging="425"/>
              <w:rPr>
                <w:rFonts w:eastAsia="Calibri"/>
                <w:szCs w:val="24"/>
              </w:rPr>
            </w:pPr>
            <w:proofErr w:type="spellStart"/>
            <w:r w:rsidRPr="00E8178B">
              <w:rPr>
                <w:rFonts w:eastAsia="Calibri" w:cs="Calibri"/>
                <w:szCs w:val="24"/>
              </w:rPr>
              <w:t>Wardspersons</w:t>
            </w:r>
            <w:proofErr w:type="spellEnd"/>
          </w:p>
          <w:p w14:paraId="451E0C4E" w14:textId="77777777" w:rsidR="001F22DC" w:rsidRPr="00E8178B" w:rsidRDefault="001F22DC" w:rsidP="00EA34E0">
            <w:pPr>
              <w:pStyle w:val="ListParagraph"/>
              <w:numPr>
                <w:ilvl w:val="0"/>
                <w:numId w:val="39"/>
              </w:numPr>
              <w:ind w:left="566" w:hanging="425"/>
              <w:rPr>
                <w:rFonts w:eastAsia="Calibri"/>
                <w:szCs w:val="24"/>
              </w:rPr>
            </w:pPr>
            <w:r w:rsidRPr="00E8178B">
              <w:rPr>
                <w:rFonts w:eastAsia="Calibri" w:cs="Calibri"/>
                <w:szCs w:val="24"/>
              </w:rPr>
              <w:t>Security personnel</w:t>
            </w:r>
          </w:p>
          <w:p w14:paraId="0F85FFDD" w14:textId="2CCAD697" w:rsidR="001F22DC" w:rsidRDefault="001F22DC" w:rsidP="00EA34E0">
            <w:pPr>
              <w:pStyle w:val="ListParagraph"/>
              <w:numPr>
                <w:ilvl w:val="0"/>
                <w:numId w:val="39"/>
              </w:numPr>
              <w:ind w:left="566" w:hanging="425"/>
            </w:pPr>
            <w:r w:rsidRPr="00EA34E0">
              <w:rPr>
                <w:rFonts w:eastAsia="Calibri" w:cs="Calibri"/>
                <w:szCs w:val="24"/>
              </w:rPr>
              <w:t>ED Clinical Coordinator/Nursing Navigator or alternative who has been allocated</w:t>
            </w:r>
          </w:p>
        </w:tc>
      </w:tr>
      <w:tr w:rsidR="001F22DC" w14:paraId="405155B3" w14:textId="77777777" w:rsidTr="00007A8A">
        <w:trPr>
          <w:trHeight w:val="528"/>
        </w:trPr>
        <w:tc>
          <w:tcPr>
            <w:tcW w:w="2410" w:type="dxa"/>
            <w:vMerge/>
          </w:tcPr>
          <w:p w14:paraId="1A1FC4C2" w14:textId="77777777" w:rsidR="001F22DC" w:rsidRPr="00E8178B" w:rsidRDefault="001F22DC" w:rsidP="003E6BF5">
            <w:pPr>
              <w:rPr>
                <w:rFonts w:eastAsia="Calibri" w:cs="Calibri"/>
                <w:b/>
                <w:bCs/>
                <w:szCs w:val="24"/>
              </w:rPr>
            </w:pPr>
          </w:p>
        </w:tc>
        <w:tc>
          <w:tcPr>
            <w:tcW w:w="5523" w:type="dxa"/>
          </w:tcPr>
          <w:p w14:paraId="4FCC02F1" w14:textId="535ACF25" w:rsidR="001F22DC" w:rsidRDefault="001F22DC" w:rsidP="001F22DC">
            <w:pPr>
              <w:pStyle w:val="ListParagraph"/>
              <w:numPr>
                <w:ilvl w:val="0"/>
                <w:numId w:val="38"/>
              </w:numPr>
              <w:ind w:left="457" w:hanging="425"/>
            </w:pPr>
            <w:r>
              <w:t>ED Clinical Coordinator/Nursing Navigator, or alternative who has been allocated.</w:t>
            </w:r>
          </w:p>
        </w:tc>
        <w:tc>
          <w:tcPr>
            <w:tcW w:w="6101" w:type="dxa"/>
          </w:tcPr>
          <w:p w14:paraId="6099C7CB" w14:textId="4841A345" w:rsidR="001F22DC" w:rsidRDefault="002C0595" w:rsidP="00A81056">
            <w:r>
              <w:t>Respond to the grey response, if unable to attend, ensure a senior delegate is sent to respond</w:t>
            </w:r>
          </w:p>
        </w:tc>
        <w:tc>
          <w:tcPr>
            <w:tcW w:w="8505" w:type="dxa"/>
            <w:vMerge/>
          </w:tcPr>
          <w:p w14:paraId="06929456" w14:textId="77777777" w:rsidR="001F22DC" w:rsidRPr="00E8178B" w:rsidRDefault="001F22DC" w:rsidP="00EA34E0">
            <w:pPr>
              <w:pStyle w:val="ListParagraph"/>
              <w:numPr>
                <w:ilvl w:val="0"/>
                <w:numId w:val="39"/>
              </w:numPr>
              <w:ind w:left="566" w:hanging="425"/>
              <w:rPr>
                <w:rFonts w:eastAsia="Calibri" w:cs="Calibri"/>
                <w:szCs w:val="24"/>
              </w:rPr>
            </w:pPr>
          </w:p>
        </w:tc>
      </w:tr>
      <w:tr w:rsidR="001F22DC" w14:paraId="15988E9F" w14:textId="77777777" w:rsidTr="00007A8A">
        <w:trPr>
          <w:trHeight w:val="528"/>
        </w:trPr>
        <w:tc>
          <w:tcPr>
            <w:tcW w:w="2410" w:type="dxa"/>
            <w:vMerge/>
          </w:tcPr>
          <w:p w14:paraId="0B517F2F" w14:textId="77777777" w:rsidR="001F22DC" w:rsidRPr="00E8178B" w:rsidRDefault="001F22DC" w:rsidP="003E6BF5">
            <w:pPr>
              <w:rPr>
                <w:rFonts w:eastAsia="Calibri" w:cs="Calibri"/>
                <w:b/>
                <w:bCs/>
                <w:szCs w:val="24"/>
              </w:rPr>
            </w:pPr>
          </w:p>
        </w:tc>
        <w:tc>
          <w:tcPr>
            <w:tcW w:w="5523" w:type="dxa"/>
          </w:tcPr>
          <w:p w14:paraId="5088E8AB" w14:textId="72533D0A" w:rsidR="001F22DC" w:rsidRDefault="001F22DC" w:rsidP="001F22DC">
            <w:pPr>
              <w:pStyle w:val="ListParagraph"/>
              <w:numPr>
                <w:ilvl w:val="0"/>
                <w:numId w:val="38"/>
              </w:numPr>
              <w:ind w:left="457" w:hanging="425"/>
            </w:pPr>
            <w:r>
              <w:t xml:space="preserve">Mental Health Clinician Liaison (MHCL) when a person is presenting with mental health concerns. </w:t>
            </w:r>
          </w:p>
        </w:tc>
        <w:tc>
          <w:tcPr>
            <w:tcW w:w="6101" w:type="dxa"/>
          </w:tcPr>
          <w:p w14:paraId="6878CD32" w14:textId="77777777" w:rsidR="007E1C30" w:rsidRDefault="007E1C30" w:rsidP="007E1C30">
            <w:r>
              <w:t>Respond to the grey response if indicated.</w:t>
            </w:r>
          </w:p>
          <w:p w14:paraId="2F52C39C" w14:textId="7D64DA37" w:rsidR="001F22DC" w:rsidRDefault="007E1C30" w:rsidP="007E1C30">
            <w:r>
              <w:t>If in the ED, the allocated MHCL team member is to attend the location, if unsure of the location present to the nursing navigator</w:t>
            </w:r>
          </w:p>
        </w:tc>
        <w:tc>
          <w:tcPr>
            <w:tcW w:w="8505" w:type="dxa"/>
            <w:vMerge/>
          </w:tcPr>
          <w:p w14:paraId="15270932" w14:textId="77777777" w:rsidR="001F22DC" w:rsidRPr="00E8178B" w:rsidRDefault="001F22DC" w:rsidP="00EA34E0">
            <w:pPr>
              <w:pStyle w:val="ListParagraph"/>
              <w:numPr>
                <w:ilvl w:val="0"/>
                <w:numId w:val="39"/>
              </w:numPr>
              <w:ind w:left="566" w:hanging="425"/>
              <w:rPr>
                <w:rFonts w:eastAsia="Calibri" w:cs="Calibri"/>
                <w:szCs w:val="24"/>
              </w:rPr>
            </w:pPr>
          </w:p>
        </w:tc>
      </w:tr>
      <w:tr w:rsidR="001F22DC" w14:paraId="19EDDCF9" w14:textId="77777777" w:rsidTr="00007A8A">
        <w:trPr>
          <w:trHeight w:val="528"/>
        </w:trPr>
        <w:tc>
          <w:tcPr>
            <w:tcW w:w="2410" w:type="dxa"/>
            <w:vMerge/>
          </w:tcPr>
          <w:p w14:paraId="18A419DE" w14:textId="77777777" w:rsidR="001F22DC" w:rsidRPr="00E8178B" w:rsidRDefault="001F22DC" w:rsidP="003E6BF5">
            <w:pPr>
              <w:rPr>
                <w:rFonts w:eastAsia="Calibri" w:cs="Calibri"/>
                <w:b/>
                <w:bCs/>
                <w:szCs w:val="24"/>
              </w:rPr>
            </w:pPr>
          </w:p>
        </w:tc>
        <w:tc>
          <w:tcPr>
            <w:tcW w:w="5523" w:type="dxa"/>
          </w:tcPr>
          <w:p w14:paraId="6A8124A6" w14:textId="7C875DC5" w:rsidR="001F22DC" w:rsidRDefault="001F22DC" w:rsidP="001F22DC">
            <w:pPr>
              <w:pStyle w:val="ListParagraph"/>
              <w:numPr>
                <w:ilvl w:val="0"/>
                <w:numId w:val="38"/>
              </w:numPr>
              <w:ind w:left="457" w:hanging="425"/>
            </w:pPr>
            <w:r>
              <w:t>Wardsperson</w:t>
            </w:r>
          </w:p>
        </w:tc>
        <w:tc>
          <w:tcPr>
            <w:tcW w:w="6101" w:type="dxa"/>
          </w:tcPr>
          <w:p w14:paraId="7767EDAF" w14:textId="6495E8E2" w:rsidR="001F22DC" w:rsidRDefault="002C0595" w:rsidP="00A81056">
            <w:r>
              <w:t>Once pager received, one wardsperson who is available will be allocated by the wardsperson supervisor to respond and p</w:t>
            </w:r>
            <w:r w:rsidRPr="00443CB6">
              <w:t xml:space="preserve">resent to the </w:t>
            </w:r>
            <w:r>
              <w:t>ED navigator for further instructions</w:t>
            </w:r>
          </w:p>
        </w:tc>
        <w:tc>
          <w:tcPr>
            <w:tcW w:w="8505" w:type="dxa"/>
            <w:vMerge/>
          </w:tcPr>
          <w:p w14:paraId="69165CAA" w14:textId="77777777" w:rsidR="001F22DC" w:rsidRPr="00E8178B" w:rsidRDefault="001F22DC" w:rsidP="00EA34E0">
            <w:pPr>
              <w:pStyle w:val="ListParagraph"/>
              <w:numPr>
                <w:ilvl w:val="0"/>
                <w:numId w:val="39"/>
              </w:numPr>
              <w:ind w:left="566" w:hanging="425"/>
              <w:rPr>
                <w:rFonts w:eastAsia="Calibri" w:cs="Calibri"/>
                <w:szCs w:val="24"/>
              </w:rPr>
            </w:pPr>
          </w:p>
        </w:tc>
      </w:tr>
      <w:tr w:rsidR="001F22DC" w14:paraId="66BF24F9" w14:textId="77777777" w:rsidTr="00007A8A">
        <w:trPr>
          <w:trHeight w:val="528"/>
        </w:trPr>
        <w:tc>
          <w:tcPr>
            <w:tcW w:w="2410" w:type="dxa"/>
            <w:vMerge/>
          </w:tcPr>
          <w:p w14:paraId="5542EF8F" w14:textId="77777777" w:rsidR="001F22DC" w:rsidRPr="00E8178B" w:rsidRDefault="001F22DC" w:rsidP="003E6BF5">
            <w:pPr>
              <w:rPr>
                <w:rFonts w:eastAsia="Calibri" w:cs="Calibri"/>
                <w:b/>
                <w:bCs/>
                <w:szCs w:val="24"/>
              </w:rPr>
            </w:pPr>
          </w:p>
        </w:tc>
        <w:tc>
          <w:tcPr>
            <w:tcW w:w="5523" w:type="dxa"/>
          </w:tcPr>
          <w:p w14:paraId="03ED1626" w14:textId="482EB1B2" w:rsidR="001F22DC" w:rsidRDefault="001F22DC" w:rsidP="001F22DC">
            <w:pPr>
              <w:pStyle w:val="ListParagraph"/>
              <w:numPr>
                <w:ilvl w:val="0"/>
                <w:numId w:val="38"/>
              </w:numPr>
              <w:ind w:left="457" w:hanging="425"/>
            </w:pPr>
            <w:r>
              <w:t>Security Officer</w:t>
            </w:r>
          </w:p>
        </w:tc>
        <w:tc>
          <w:tcPr>
            <w:tcW w:w="6101" w:type="dxa"/>
          </w:tcPr>
          <w:p w14:paraId="39775113" w14:textId="01730151" w:rsidR="001F22DC" w:rsidRDefault="007E1C30" w:rsidP="00A81056">
            <w:r w:rsidRPr="00443CB6">
              <w:t xml:space="preserve">Present to the </w:t>
            </w:r>
            <w:r>
              <w:t>ED navigator for further instructions</w:t>
            </w:r>
          </w:p>
        </w:tc>
        <w:tc>
          <w:tcPr>
            <w:tcW w:w="8505" w:type="dxa"/>
            <w:vMerge/>
          </w:tcPr>
          <w:p w14:paraId="316E1241" w14:textId="77777777" w:rsidR="001F22DC" w:rsidRPr="00E8178B" w:rsidRDefault="001F22DC" w:rsidP="00EA34E0">
            <w:pPr>
              <w:pStyle w:val="ListParagraph"/>
              <w:numPr>
                <w:ilvl w:val="0"/>
                <w:numId w:val="39"/>
              </w:numPr>
              <w:ind w:left="566" w:hanging="425"/>
              <w:rPr>
                <w:rFonts w:eastAsia="Calibri" w:cs="Calibri"/>
                <w:szCs w:val="24"/>
              </w:rPr>
            </w:pPr>
          </w:p>
        </w:tc>
      </w:tr>
      <w:tr w:rsidR="00EA34E0" w14:paraId="03604CFB" w14:textId="77777777" w:rsidTr="00007A8A">
        <w:tc>
          <w:tcPr>
            <w:tcW w:w="2410" w:type="dxa"/>
          </w:tcPr>
          <w:p w14:paraId="29E50521" w14:textId="384B50B7" w:rsidR="00EA34E0" w:rsidRDefault="00EA34E0" w:rsidP="003E6BF5">
            <w:r w:rsidRPr="00E8178B">
              <w:rPr>
                <w:rFonts w:eastAsia="Calibri" w:cs="Calibri"/>
                <w:b/>
                <w:bCs/>
                <w:szCs w:val="24"/>
              </w:rPr>
              <w:t>Main Communicator</w:t>
            </w:r>
            <w:r w:rsidRPr="00E8178B">
              <w:rPr>
                <w:rFonts w:eastAsia="Calibri" w:cs="Calibri"/>
                <w:b/>
                <w:szCs w:val="24"/>
              </w:rPr>
              <w:t xml:space="preserve"> </w:t>
            </w:r>
            <w:r w:rsidRPr="00F36D95">
              <w:rPr>
                <w:rFonts w:eastAsia="Calibri" w:cs="Calibri"/>
                <w:bCs/>
                <w:i/>
                <w:iCs/>
                <w:sz w:val="18"/>
                <w:szCs w:val="18"/>
              </w:rPr>
              <w:t>leading the response</w:t>
            </w:r>
          </w:p>
        </w:tc>
        <w:tc>
          <w:tcPr>
            <w:tcW w:w="11624" w:type="dxa"/>
            <w:gridSpan w:val="2"/>
          </w:tcPr>
          <w:p w14:paraId="52576496" w14:textId="77777777" w:rsidR="00EA34E0" w:rsidRDefault="00EA34E0" w:rsidP="00EA34E0">
            <w:r>
              <w:t>Clinically led.</w:t>
            </w:r>
          </w:p>
          <w:p w14:paraId="52028DFE" w14:textId="4D30DD77" w:rsidR="00EA34E0" w:rsidRDefault="00EA34E0" w:rsidP="00EA34E0">
            <w:r>
              <w:t>Allocation of the role is to who has established the best rapport with the p</w:t>
            </w:r>
            <w:r w:rsidR="00BB72EA">
              <w:t>erson</w:t>
            </w:r>
            <w:r>
              <w:t>.</w:t>
            </w:r>
          </w:p>
        </w:tc>
        <w:tc>
          <w:tcPr>
            <w:tcW w:w="8505" w:type="dxa"/>
          </w:tcPr>
          <w:p w14:paraId="470E1C4B" w14:textId="3E39377B" w:rsidR="00EA34E0" w:rsidRDefault="1E4253CE" w:rsidP="003E6BF5">
            <w:r w:rsidRPr="30142B1D">
              <w:rPr>
                <w:rFonts w:eastAsia="Calibri" w:cs="Calibri"/>
              </w:rPr>
              <w:t xml:space="preserve">Potentially clinically led in conjunction with </w:t>
            </w:r>
            <w:proofErr w:type="spellStart"/>
            <w:r w:rsidR="00254523" w:rsidRPr="30142B1D">
              <w:rPr>
                <w:rFonts w:eastAsia="Calibri" w:cs="Calibri"/>
              </w:rPr>
              <w:t>Wardspersons</w:t>
            </w:r>
            <w:proofErr w:type="spellEnd"/>
            <w:r w:rsidRPr="30142B1D">
              <w:rPr>
                <w:rFonts w:eastAsia="Calibri" w:cs="Calibri"/>
              </w:rPr>
              <w:t xml:space="preserve"> and security personnel</w:t>
            </w:r>
          </w:p>
        </w:tc>
      </w:tr>
      <w:tr w:rsidR="00A76F2A" w14:paraId="0597FA5F" w14:textId="77777777" w:rsidTr="00007A8A">
        <w:trPr>
          <w:trHeight w:val="455"/>
        </w:trPr>
        <w:tc>
          <w:tcPr>
            <w:tcW w:w="2410" w:type="dxa"/>
          </w:tcPr>
          <w:p w14:paraId="2075E398" w14:textId="084F35E1" w:rsidR="00A76F2A" w:rsidRDefault="00A76F2A" w:rsidP="003E6BF5">
            <w:r w:rsidRPr="00E8178B">
              <w:rPr>
                <w:rFonts w:eastAsia="Calibri" w:cs="Calibri"/>
                <w:b/>
                <w:bCs/>
                <w:szCs w:val="24"/>
              </w:rPr>
              <w:t>Coordinator</w:t>
            </w:r>
          </w:p>
        </w:tc>
        <w:tc>
          <w:tcPr>
            <w:tcW w:w="20129" w:type="dxa"/>
            <w:gridSpan w:val="3"/>
          </w:tcPr>
          <w:p w14:paraId="21F315CC" w14:textId="362F28DF" w:rsidR="00A76F2A" w:rsidRPr="006E1393" w:rsidRDefault="00A76F2A" w:rsidP="003E6BF5">
            <w:pPr>
              <w:rPr>
                <w:rFonts w:eastAsia="Calibri" w:cs="Calibri"/>
                <w:szCs w:val="24"/>
              </w:rPr>
            </w:pPr>
            <w:r w:rsidRPr="00E8178B">
              <w:rPr>
                <w:rFonts w:eastAsia="Calibri" w:cs="Calibri"/>
                <w:szCs w:val="24"/>
              </w:rPr>
              <w:t>Clinically allocated role to coordinate other people in the area, equipment, medication and ensure documentation is completed.</w:t>
            </w:r>
          </w:p>
        </w:tc>
      </w:tr>
      <w:tr w:rsidR="00EA34E0" w14:paraId="52BC0293" w14:textId="77777777" w:rsidTr="00007A8A">
        <w:tc>
          <w:tcPr>
            <w:tcW w:w="22539" w:type="dxa"/>
            <w:gridSpan w:val="4"/>
            <w:shd w:val="clear" w:color="auto" w:fill="D9D9D9" w:themeFill="background1" w:themeFillShade="D9"/>
          </w:tcPr>
          <w:p w14:paraId="1A9EA210" w14:textId="36298E72" w:rsidR="00EA34E0" w:rsidRDefault="00EA34E0" w:rsidP="00EA34E0">
            <w:r w:rsidRPr="00E8178B">
              <w:rPr>
                <w:rFonts w:eastAsia="Calibri" w:cs="Calibri"/>
                <w:b/>
                <w:bCs/>
                <w:szCs w:val="24"/>
              </w:rPr>
              <w:t>Interventions</w:t>
            </w:r>
          </w:p>
        </w:tc>
      </w:tr>
      <w:tr w:rsidR="00EA34E0" w14:paraId="53B8E8E3" w14:textId="77777777" w:rsidTr="00007A8A">
        <w:tc>
          <w:tcPr>
            <w:tcW w:w="2410" w:type="dxa"/>
          </w:tcPr>
          <w:p w14:paraId="48DEEB36" w14:textId="00C4C6D9" w:rsidR="00EA34E0" w:rsidRPr="00EA34E0" w:rsidRDefault="00EA34E0" w:rsidP="00EA34E0">
            <w:pPr>
              <w:rPr>
                <w:b/>
                <w:bCs/>
              </w:rPr>
            </w:pPr>
            <w:r w:rsidRPr="00EA34E0">
              <w:rPr>
                <w:b/>
                <w:bCs/>
              </w:rPr>
              <w:t>Verbal de-escalation</w:t>
            </w:r>
          </w:p>
        </w:tc>
        <w:tc>
          <w:tcPr>
            <w:tcW w:w="11624" w:type="dxa"/>
            <w:gridSpan w:val="2"/>
          </w:tcPr>
          <w:p w14:paraId="2AF248D1" w14:textId="180D3286" w:rsidR="00EA34E0" w:rsidRDefault="00EA34E0" w:rsidP="00EA34E0">
            <w:r w:rsidRPr="001A6D61">
              <w:t>Yes</w:t>
            </w:r>
          </w:p>
        </w:tc>
        <w:tc>
          <w:tcPr>
            <w:tcW w:w="8505" w:type="dxa"/>
          </w:tcPr>
          <w:p w14:paraId="2BE0375E" w14:textId="4D58014B" w:rsidR="00EA34E0" w:rsidRDefault="00EA34E0" w:rsidP="00EA34E0">
            <w:r w:rsidRPr="001A6D61">
              <w:t>Yes</w:t>
            </w:r>
          </w:p>
        </w:tc>
      </w:tr>
      <w:tr w:rsidR="00EA34E0" w14:paraId="244071BD" w14:textId="77777777" w:rsidTr="00007A8A">
        <w:tc>
          <w:tcPr>
            <w:tcW w:w="2410" w:type="dxa"/>
          </w:tcPr>
          <w:p w14:paraId="71C5CDFA" w14:textId="16641EFE" w:rsidR="00EA34E0" w:rsidRPr="00EA34E0" w:rsidRDefault="00D12004" w:rsidP="00EA34E0">
            <w:pPr>
              <w:rPr>
                <w:b/>
                <w:bCs/>
              </w:rPr>
            </w:pPr>
            <w:r>
              <w:rPr>
                <w:b/>
                <w:bCs/>
              </w:rPr>
              <w:t>R</w:t>
            </w:r>
            <w:r w:rsidR="00EA34E0" w:rsidRPr="00EA34E0">
              <w:rPr>
                <w:b/>
                <w:bCs/>
              </w:rPr>
              <w:t>estraint</w:t>
            </w:r>
            <w:r>
              <w:rPr>
                <w:b/>
                <w:bCs/>
              </w:rPr>
              <w:t xml:space="preserve"> Medication</w:t>
            </w:r>
          </w:p>
        </w:tc>
        <w:tc>
          <w:tcPr>
            <w:tcW w:w="11624" w:type="dxa"/>
            <w:gridSpan w:val="2"/>
          </w:tcPr>
          <w:p w14:paraId="4C7BD712" w14:textId="582C8E04" w:rsidR="00EA34E0" w:rsidRDefault="00EA34E0" w:rsidP="00EA34E0">
            <w:r w:rsidRPr="00BF03A6">
              <w:t>Yes – voluntary</w:t>
            </w:r>
          </w:p>
        </w:tc>
        <w:tc>
          <w:tcPr>
            <w:tcW w:w="8505" w:type="dxa"/>
          </w:tcPr>
          <w:p w14:paraId="45F6B311" w14:textId="405112CF" w:rsidR="00EA34E0" w:rsidRDefault="00EA34E0" w:rsidP="00EA34E0">
            <w:r w:rsidRPr="00BF03A6">
              <w:t>Forcible giving of medications</w:t>
            </w:r>
          </w:p>
        </w:tc>
      </w:tr>
      <w:tr w:rsidR="00EA34E0" w14:paraId="06E463E4" w14:textId="77777777" w:rsidTr="00007A8A">
        <w:tc>
          <w:tcPr>
            <w:tcW w:w="2410" w:type="dxa"/>
          </w:tcPr>
          <w:p w14:paraId="1D229C60" w14:textId="4071E27C" w:rsidR="00EA34E0" w:rsidRPr="00EA34E0" w:rsidRDefault="00EA34E0" w:rsidP="00EA34E0">
            <w:pPr>
              <w:rPr>
                <w:b/>
                <w:bCs/>
              </w:rPr>
            </w:pPr>
            <w:r w:rsidRPr="00EA34E0">
              <w:rPr>
                <w:b/>
                <w:bCs/>
              </w:rPr>
              <w:t>Physical restraint</w:t>
            </w:r>
          </w:p>
        </w:tc>
        <w:tc>
          <w:tcPr>
            <w:tcW w:w="11624" w:type="dxa"/>
            <w:gridSpan w:val="2"/>
          </w:tcPr>
          <w:p w14:paraId="53D5D35C" w14:textId="0D24BFAC" w:rsidR="00A76F2A" w:rsidRPr="00BF03A6" w:rsidRDefault="00EA34E0" w:rsidP="00EA34E0">
            <w:r w:rsidRPr="00736FDC">
              <w:t>No</w:t>
            </w:r>
          </w:p>
        </w:tc>
        <w:tc>
          <w:tcPr>
            <w:tcW w:w="8505" w:type="dxa"/>
          </w:tcPr>
          <w:p w14:paraId="4D1A5965" w14:textId="686C3E14" w:rsidR="00EA34E0" w:rsidRPr="00BF03A6" w:rsidRDefault="00EA34E0" w:rsidP="00EA34E0">
            <w:r w:rsidRPr="00736FDC">
              <w:t>Yes</w:t>
            </w:r>
          </w:p>
        </w:tc>
      </w:tr>
    </w:tbl>
    <w:p w14:paraId="52727E49" w14:textId="4BFDC96E" w:rsidR="00B90EF9" w:rsidRDefault="00B90EF9" w:rsidP="003E6BF5">
      <w:pPr>
        <w:sectPr w:rsidR="00B90EF9" w:rsidSect="00007A8A">
          <w:pgSz w:w="23811" w:h="16838" w:orient="landscape" w:code="8"/>
          <w:pgMar w:top="426" w:right="663" w:bottom="851" w:left="1134" w:header="340" w:footer="306" w:gutter="0"/>
          <w:cols w:space="708"/>
          <w:docGrid w:linePitch="360"/>
        </w:sectPr>
      </w:pPr>
    </w:p>
    <w:tbl>
      <w:tblPr>
        <w:tblStyle w:val="TableGrid"/>
        <w:tblpPr w:leftFromText="180" w:rightFromText="180" w:horzAnchor="margin" w:tblpY="800"/>
        <w:tblW w:w="0" w:type="auto"/>
        <w:tblLook w:val="04A0" w:firstRow="1" w:lastRow="0" w:firstColumn="1" w:lastColumn="0" w:noHBand="0" w:noVBand="1"/>
      </w:tblPr>
      <w:tblGrid>
        <w:gridCol w:w="1838"/>
        <w:gridCol w:w="7178"/>
      </w:tblGrid>
      <w:tr w:rsidR="00050598" w:rsidRPr="00050598" w14:paraId="2AA0C57A" w14:textId="77777777" w:rsidTr="00007A8A">
        <w:trPr>
          <w:trHeight w:val="85"/>
        </w:trPr>
        <w:tc>
          <w:tcPr>
            <w:tcW w:w="9016" w:type="dxa"/>
            <w:gridSpan w:val="2"/>
            <w:shd w:val="clear" w:color="auto" w:fill="00797C"/>
          </w:tcPr>
          <w:p w14:paraId="76620D2F" w14:textId="77777777" w:rsidR="00050598" w:rsidRPr="00050598" w:rsidRDefault="00050598" w:rsidP="00007A8A">
            <w:pPr>
              <w:pStyle w:val="Tableheaderreverse"/>
              <w:rPr>
                <w:color w:val="auto"/>
              </w:rPr>
            </w:pPr>
            <w:r w:rsidRPr="00E5335B">
              <w:rPr>
                <w:color w:val="FFFFFF" w:themeColor="background1"/>
              </w:rPr>
              <w:lastRenderedPageBreak/>
              <w:t>Persons authorized to activate a grey response</w:t>
            </w:r>
          </w:p>
        </w:tc>
      </w:tr>
      <w:tr w:rsidR="00050598" w:rsidRPr="00050598" w14:paraId="0238F647" w14:textId="77777777" w:rsidTr="00007A8A">
        <w:trPr>
          <w:trHeight w:val="165"/>
        </w:trPr>
        <w:tc>
          <w:tcPr>
            <w:tcW w:w="1838" w:type="dxa"/>
          </w:tcPr>
          <w:p w14:paraId="74C4A778" w14:textId="77777777" w:rsidR="00050598" w:rsidRPr="00050598" w:rsidRDefault="00050598" w:rsidP="00007A8A">
            <w:pPr>
              <w:pStyle w:val="Tablesubheader"/>
              <w:rPr>
                <w:color w:val="auto"/>
              </w:rPr>
            </w:pPr>
            <w:r w:rsidRPr="00050598">
              <w:rPr>
                <w:color w:val="auto"/>
              </w:rPr>
              <w:t>Activate code</w:t>
            </w:r>
          </w:p>
        </w:tc>
        <w:tc>
          <w:tcPr>
            <w:tcW w:w="7178" w:type="dxa"/>
          </w:tcPr>
          <w:p w14:paraId="375991BE" w14:textId="77777777" w:rsidR="00050598" w:rsidRPr="00050598" w:rsidRDefault="00050598" w:rsidP="00007A8A">
            <w:pPr>
              <w:pStyle w:val="Tablesubheader"/>
              <w:rPr>
                <w:b w:val="0"/>
                <w:bCs w:val="0"/>
                <w:color w:val="auto"/>
              </w:rPr>
            </w:pPr>
            <w:r w:rsidRPr="00050598">
              <w:rPr>
                <w:b w:val="0"/>
                <w:bCs w:val="0"/>
                <w:color w:val="auto"/>
              </w:rPr>
              <w:t xml:space="preserve">Any Canberra Health Service’s staff </w:t>
            </w:r>
          </w:p>
        </w:tc>
      </w:tr>
      <w:tr w:rsidR="00050598" w:rsidRPr="00050598" w14:paraId="022DDFF8" w14:textId="77777777" w:rsidTr="00007A8A">
        <w:trPr>
          <w:trHeight w:val="49"/>
        </w:trPr>
        <w:tc>
          <w:tcPr>
            <w:tcW w:w="1838" w:type="dxa"/>
          </w:tcPr>
          <w:p w14:paraId="5E4CA382" w14:textId="77777777" w:rsidR="00050598" w:rsidRPr="00050598" w:rsidRDefault="00050598" w:rsidP="00007A8A">
            <w:pPr>
              <w:pStyle w:val="Tablebody"/>
              <w:rPr>
                <w:b/>
                <w:bCs w:val="0"/>
                <w:color w:val="auto"/>
              </w:rPr>
            </w:pPr>
            <w:r w:rsidRPr="00050598">
              <w:rPr>
                <w:b/>
                <w:bCs w:val="0"/>
                <w:color w:val="auto"/>
              </w:rPr>
              <w:t>De-activate code</w:t>
            </w:r>
          </w:p>
        </w:tc>
        <w:tc>
          <w:tcPr>
            <w:tcW w:w="7178" w:type="dxa"/>
          </w:tcPr>
          <w:p w14:paraId="3D29A864" w14:textId="77777777" w:rsidR="00050598" w:rsidRPr="00050598" w:rsidRDefault="00050598" w:rsidP="00007A8A">
            <w:pPr>
              <w:pStyle w:val="Tablebody"/>
              <w:rPr>
                <w:color w:val="auto"/>
              </w:rPr>
            </w:pPr>
            <w:r w:rsidRPr="00050598">
              <w:rPr>
                <w:color w:val="auto"/>
              </w:rPr>
              <w:t>No de-activation required</w:t>
            </w:r>
          </w:p>
        </w:tc>
      </w:tr>
    </w:tbl>
    <w:p w14:paraId="34F5E631" w14:textId="551DE4C4" w:rsidR="00050598" w:rsidRDefault="00007A8A" w:rsidP="00007A8A">
      <w:pPr>
        <w:pStyle w:val="Heading2"/>
      </w:pPr>
      <w:bookmarkStart w:id="43" w:name="_Toc160461953"/>
      <w:r>
        <w:t>Attachment 2: Grey Response Action Card</w:t>
      </w:r>
      <w:bookmarkEnd w:id="43"/>
    </w:p>
    <w:p w14:paraId="4EF5FEF8" w14:textId="77777777" w:rsidR="00007A8A" w:rsidRPr="00050598" w:rsidRDefault="00007A8A" w:rsidP="00050598">
      <w:pPr>
        <w:pStyle w:val="BodyCopy"/>
        <w:rPr>
          <w:color w:val="auto"/>
        </w:rPr>
      </w:pPr>
    </w:p>
    <w:tbl>
      <w:tblPr>
        <w:tblStyle w:val="TableGrid"/>
        <w:tblW w:w="0" w:type="auto"/>
        <w:tblLook w:val="04A0" w:firstRow="1" w:lastRow="0" w:firstColumn="1" w:lastColumn="0" w:noHBand="0" w:noVBand="1"/>
      </w:tblPr>
      <w:tblGrid>
        <w:gridCol w:w="1129"/>
        <w:gridCol w:w="7887"/>
      </w:tblGrid>
      <w:tr w:rsidR="00050598" w:rsidRPr="00050598" w14:paraId="6190A5F4" w14:textId="77777777" w:rsidTr="00E5335B">
        <w:trPr>
          <w:trHeight w:val="488"/>
        </w:trPr>
        <w:tc>
          <w:tcPr>
            <w:tcW w:w="1129" w:type="dxa"/>
            <w:shd w:val="clear" w:color="auto" w:fill="00797C"/>
          </w:tcPr>
          <w:p w14:paraId="588CA903" w14:textId="77777777" w:rsidR="00050598" w:rsidRPr="00E5335B" w:rsidRDefault="00050598" w:rsidP="00520AC5">
            <w:pPr>
              <w:pStyle w:val="BodyCopy"/>
              <w:rPr>
                <w:b/>
                <w:bCs w:val="0"/>
                <w:color w:val="FFFFFF" w:themeColor="background1"/>
              </w:rPr>
            </w:pPr>
            <w:r w:rsidRPr="00E5335B">
              <w:rPr>
                <w:b/>
                <w:bCs w:val="0"/>
                <w:color w:val="FFFFFF" w:themeColor="background1"/>
              </w:rPr>
              <w:t>Steps</w:t>
            </w:r>
          </w:p>
        </w:tc>
        <w:tc>
          <w:tcPr>
            <w:tcW w:w="7887" w:type="dxa"/>
            <w:shd w:val="clear" w:color="auto" w:fill="00797C"/>
          </w:tcPr>
          <w:p w14:paraId="273CC650" w14:textId="77777777" w:rsidR="00050598" w:rsidRPr="00E5335B" w:rsidRDefault="00050598" w:rsidP="00520AC5">
            <w:pPr>
              <w:pStyle w:val="BodyCopy"/>
              <w:rPr>
                <w:b/>
                <w:bCs w:val="0"/>
                <w:color w:val="FFFFFF" w:themeColor="background1"/>
              </w:rPr>
            </w:pPr>
            <w:r w:rsidRPr="00E5335B">
              <w:rPr>
                <w:b/>
                <w:bCs w:val="0"/>
                <w:color w:val="FFFFFF" w:themeColor="background1"/>
              </w:rPr>
              <w:t>Action required</w:t>
            </w:r>
          </w:p>
        </w:tc>
      </w:tr>
      <w:tr w:rsidR="00050598" w:rsidRPr="00050598" w14:paraId="227AF304" w14:textId="77777777" w:rsidTr="00520AC5">
        <w:tc>
          <w:tcPr>
            <w:tcW w:w="1129" w:type="dxa"/>
          </w:tcPr>
          <w:p w14:paraId="053B7901" w14:textId="77777777" w:rsidR="00050598" w:rsidRPr="00050598" w:rsidRDefault="00050598" w:rsidP="00520AC5">
            <w:pPr>
              <w:pStyle w:val="BodyCopy"/>
              <w:spacing w:line="240" w:lineRule="auto"/>
              <w:jc w:val="center"/>
              <w:rPr>
                <w:color w:val="auto"/>
                <w:sz w:val="52"/>
                <w:szCs w:val="52"/>
              </w:rPr>
            </w:pPr>
            <w:r w:rsidRPr="00050598">
              <w:rPr>
                <w:color w:val="auto"/>
                <w:sz w:val="52"/>
                <w:szCs w:val="52"/>
              </w:rPr>
              <w:t>1</w:t>
            </w:r>
          </w:p>
        </w:tc>
        <w:tc>
          <w:tcPr>
            <w:tcW w:w="7887" w:type="dxa"/>
          </w:tcPr>
          <w:p w14:paraId="559DDC66" w14:textId="77777777" w:rsidR="00050598" w:rsidRPr="00050598" w:rsidRDefault="00050598" w:rsidP="00520AC5">
            <w:pPr>
              <w:pStyle w:val="BodyCopy"/>
              <w:rPr>
                <w:color w:val="auto"/>
              </w:rPr>
            </w:pPr>
            <w:r w:rsidRPr="00050598">
              <w:rPr>
                <w:color w:val="auto"/>
              </w:rPr>
              <w:t>Receive a call via emergency line “2222”.</w:t>
            </w:r>
          </w:p>
          <w:p w14:paraId="241D285F" w14:textId="77777777" w:rsidR="00050598" w:rsidRPr="00050598" w:rsidRDefault="00050598" w:rsidP="00520AC5">
            <w:pPr>
              <w:pStyle w:val="BodyCopy"/>
              <w:rPr>
                <w:color w:val="auto"/>
              </w:rPr>
            </w:pPr>
            <w:r w:rsidRPr="00050598">
              <w:rPr>
                <w:color w:val="auto"/>
              </w:rPr>
              <w:t>Ask for the following information:</w:t>
            </w:r>
          </w:p>
          <w:p w14:paraId="0DA28CE5" w14:textId="77777777" w:rsidR="00050598" w:rsidRPr="00050598" w:rsidRDefault="00050598" w:rsidP="00520AC5">
            <w:pPr>
              <w:pStyle w:val="BodyCopy"/>
              <w:rPr>
                <w:color w:val="auto"/>
              </w:rPr>
            </w:pPr>
            <w:r w:rsidRPr="00050598">
              <w:rPr>
                <w:color w:val="auto"/>
              </w:rPr>
              <w:t>“Please state your emergency.”</w:t>
            </w:r>
          </w:p>
          <w:p w14:paraId="3003F280" w14:textId="77777777" w:rsidR="00050598" w:rsidRPr="00050598" w:rsidRDefault="00050598" w:rsidP="00520AC5">
            <w:pPr>
              <w:pStyle w:val="BodyCopy"/>
              <w:rPr>
                <w:color w:val="auto"/>
              </w:rPr>
            </w:pPr>
            <w:r w:rsidRPr="00050598">
              <w:rPr>
                <w:color w:val="auto"/>
              </w:rPr>
              <w:t>“What is the location of your emergency?”</w:t>
            </w:r>
          </w:p>
        </w:tc>
      </w:tr>
      <w:tr w:rsidR="00050598" w:rsidRPr="00050598" w14:paraId="183CBB0D" w14:textId="77777777" w:rsidTr="00520AC5">
        <w:tc>
          <w:tcPr>
            <w:tcW w:w="1129" w:type="dxa"/>
          </w:tcPr>
          <w:p w14:paraId="61C9A41D" w14:textId="77777777" w:rsidR="00050598" w:rsidRPr="00050598" w:rsidRDefault="00050598" w:rsidP="00520AC5">
            <w:pPr>
              <w:pStyle w:val="BodyCopy"/>
              <w:spacing w:line="240" w:lineRule="auto"/>
              <w:jc w:val="center"/>
              <w:rPr>
                <w:color w:val="auto"/>
                <w:sz w:val="52"/>
                <w:szCs w:val="52"/>
              </w:rPr>
            </w:pPr>
            <w:r w:rsidRPr="00050598">
              <w:rPr>
                <w:color w:val="auto"/>
                <w:sz w:val="52"/>
                <w:szCs w:val="52"/>
              </w:rPr>
              <w:t>2</w:t>
            </w:r>
          </w:p>
        </w:tc>
        <w:tc>
          <w:tcPr>
            <w:tcW w:w="7887" w:type="dxa"/>
          </w:tcPr>
          <w:p w14:paraId="0FA9C734" w14:textId="77777777" w:rsidR="00050598" w:rsidRPr="00050598" w:rsidRDefault="00050598" w:rsidP="00520AC5">
            <w:pPr>
              <w:pStyle w:val="BodyCopy"/>
              <w:rPr>
                <w:color w:val="auto"/>
              </w:rPr>
            </w:pPr>
            <w:r w:rsidRPr="00050598">
              <w:rPr>
                <w:color w:val="auto"/>
              </w:rPr>
              <w:t xml:space="preserve">Select </w:t>
            </w:r>
            <w:r w:rsidRPr="00050598">
              <w:rPr>
                <w:b/>
                <w:bCs w:val="0"/>
                <w:color w:val="auto"/>
              </w:rPr>
              <w:t>GREY RESPONSE</w:t>
            </w:r>
            <w:r w:rsidRPr="00050598">
              <w:rPr>
                <w:color w:val="auto"/>
              </w:rPr>
              <w:t xml:space="preserve"> Hotkey</w:t>
            </w:r>
          </w:p>
          <w:p w14:paraId="7F4BC11F" w14:textId="77777777" w:rsidR="00050598" w:rsidRPr="00050598" w:rsidRDefault="00050598" w:rsidP="00520AC5">
            <w:pPr>
              <w:pStyle w:val="BodyCopy"/>
              <w:rPr>
                <w:color w:val="auto"/>
              </w:rPr>
            </w:pPr>
            <w:r w:rsidRPr="00050598">
              <w:rPr>
                <w:color w:val="auto"/>
              </w:rPr>
              <w:t xml:space="preserve">Example: </w:t>
            </w:r>
            <w:r w:rsidRPr="00050598">
              <w:rPr>
                <w:b/>
                <w:bCs w:val="0"/>
                <w:color w:val="auto"/>
              </w:rPr>
              <w:t xml:space="preserve">GREY RESPONSE </w:t>
            </w:r>
            <w:r w:rsidRPr="00050598">
              <w:rPr>
                <w:color w:val="auto"/>
              </w:rPr>
              <w:t xml:space="preserve">B12 L2 EMERG DEPT AMBULANCE ENTRY </w:t>
            </w:r>
          </w:p>
        </w:tc>
      </w:tr>
      <w:tr w:rsidR="00050598" w:rsidRPr="00050598" w14:paraId="1F6E7106" w14:textId="77777777" w:rsidTr="00520AC5">
        <w:tc>
          <w:tcPr>
            <w:tcW w:w="1129" w:type="dxa"/>
          </w:tcPr>
          <w:p w14:paraId="6CE08DB4" w14:textId="77777777" w:rsidR="00050598" w:rsidRPr="00050598" w:rsidRDefault="00050598" w:rsidP="00520AC5">
            <w:pPr>
              <w:pStyle w:val="BodyCopy"/>
              <w:spacing w:line="240" w:lineRule="auto"/>
              <w:jc w:val="center"/>
              <w:rPr>
                <w:color w:val="auto"/>
                <w:sz w:val="52"/>
                <w:szCs w:val="52"/>
              </w:rPr>
            </w:pPr>
            <w:r w:rsidRPr="00050598">
              <w:rPr>
                <w:color w:val="auto"/>
                <w:sz w:val="52"/>
                <w:szCs w:val="52"/>
              </w:rPr>
              <w:t>3</w:t>
            </w:r>
          </w:p>
        </w:tc>
        <w:tc>
          <w:tcPr>
            <w:tcW w:w="7887" w:type="dxa"/>
          </w:tcPr>
          <w:p w14:paraId="7DA92421" w14:textId="77777777" w:rsidR="00050598" w:rsidRPr="00050598" w:rsidRDefault="00050598" w:rsidP="00520AC5">
            <w:pPr>
              <w:pStyle w:val="BodyCopy"/>
              <w:rPr>
                <w:color w:val="auto"/>
              </w:rPr>
            </w:pPr>
            <w:r w:rsidRPr="00050598">
              <w:rPr>
                <w:color w:val="auto"/>
              </w:rPr>
              <w:t>Record details in code book:</w:t>
            </w:r>
          </w:p>
          <w:p w14:paraId="5CDBFC00" w14:textId="77777777" w:rsidR="00050598" w:rsidRPr="00050598" w:rsidRDefault="00050598" w:rsidP="00050598">
            <w:pPr>
              <w:pStyle w:val="BodyCopy"/>
              <w:numPr>
                <w:ilvl w:val="0"/>
                <w:numId w:val="48"/>
              </w:numPr>
              <w:rPr>
                <w:color w:val="auto"/>
              </w:rPr>
            </w:pPr>
            <w:r w:rsidRPr="00050598">
              <w:rPr>
                <w:color w:val="auto"/>
              </w:rPr>
              <w:t>Time of notification (using satellite clock)</w:t>
            </w:r>
          </w:p>
          <w:p w14:paraId="7E5F6922" w14:textId="77777777" w:rsidR="00050598" w:rsidRPr="00050598" w:rsidRDefault="00050598" w:rsidP="00050598">
            <w:pPr>
              <w:pStyle w:val="BodyCopy"/>
              <w:numPr>
                <w:ilvl w:val="0"/>
                <w:numId w:val="48"/>
              </w:numPr>
              <w:rPr>
                <w:color w:val="auto"/>
              </w:rPr>
            </w:pPr>
            <w:r w:rsidRPr="00050598">
              <w:rPr>
                <w:color w:val="auto"/>
              </w:rPr>
              <w:t xml:space="preserve">Code details- Example </w:t>
            </w:r>
            <w:r w:rsidRPr="00050598">
              <w:rPr>
                <w:b/>
                <w:bCs w:val="0"/>
                <w:color w:val="auto"/>
              </w:rPr>
              <w:t xml:space="preserve">GREY RESPONSE </w:t>
            </w:r>
            <w:r w:rsidRPr="00050598">
              <w:rPr>
                <w:color w:val="auto"/>
              </w:rPr>
              <w:t>B12 L2 EMERG DEPT AMBULANCE ENTRY</w:t>
            </w:r>
          </w:p>
          <w:p w14:paraId="2D513517" w14:textId="77777777" w:rsidR="00050598" w:rsidRPr="00050598" w:rsidRDefault="00050598" w:rsidP="00050598">
            <w:pPr>
              <w:pStyle w:val="BodyCopy"/>
              <w:numPr>
                <w:ilvl w:val="0"/>
                <w:numId w:val="48"/>
              </w:numPr>
              <w:rPr>
                <w:color w:val="auto"/>
              </w:rPr>
            </w:pPr>
            <w:r w:rsidRPr="00050598">
              <w:rPr>
                <w:color w:val="auto"/>
              </w:rPr>
              <w:t>Date and sign/initial your name</w:t>
            </w:r>
          </w:p>
        </w:tc>
      </w:tr>
    </w:tbl>
    <w:p w14:paraId="6AF2B976" w14:textId="77777777" w:rsidR="00050598" w:rsidRPr="00050598" w:rsidRDefault="00050598" w:rsidP="00050598">
      <w:pPr>
        <w:pStyle w:val="BodyCopy"/>
        <w:rPr>
          <w:color w:val="auto"/>
        </w:rPr>
      </w:pPr>
    </w:p>
    <w:p w14:paraId="47CDB0AE" w14:textId="77777777" w:rsidR="003E6BF5" w:rsidRPr="003E6BF5" w:rsidRDefault="003E6BF5" w:rsidP="003E6BF5"/>
    <w:sectPr w:rsidR="003E6BF5" w:rsidRPr="003E6BF5" w:rsidSect="00906D5B">
      <w:pgSz w:w="11906" w:h="16838"/>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E1EFA" w14:textId="77777777" w:rsidR="0078028B" w:rsidRDefault="0078028B" w:rsidP="00F66CB0">
      <w:r>
        <w:separator/>
      </w:r>
    </w:p>
  </w:endnote>
  <w:endnote w:type="continuationSeparator" w:id="0">
    <w:p w14:paraId="20DF81B8" w14:textId="77777777" w:rsidR="0078028B" w:rsidRDefault="0078028B" w:rsidP="00F66CB0">
      <w:r>
        <w:continuationSeparator/>
      </w:r>
    </w:p>
  </w:endnote>
  <w:endnote w:type="continuationNotice" w:id="1">
    <w:p w14:paraId="066A14D9" w14:textId="77777777" w:rsidR="0078028B" w:rsidRDefault="00780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0A0" w:firstRow="1" w:lastRow="0" w:firstColumn="1" w:lastColumn="0" w:noHBand="0" w:noVBand="0"/>
    </w:tblPr>
    <w:tblGrid>
      <w:gridCol w:w="1509"/>
      <w:gridCol w:w="963"/>
      <w:gridCol w:w="1547"/>
      <w:gridCol w:w="1452"/>
      <w:gridCol w:w="1738"/>
      <w:gridCol w:w="1817"/>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4C9D4D7F" w:rsidR="00E90708" w:rsidRPr="00542EE6" w:rsidRDefault="004152A4" w:rsidP="004213C3">
          <w:pPr>
            <w:pStyle w:val="Footer"/>
            <w:rPr>
              <w:rFonts w:cs="Arial"/>
              <w:b/>
              <w:bCs/>
              <w:sz w:val="20"/>
            </w:rPr>
          </w:pPr>
          <w:r>
            <w:rPr>
              <w:b/>
              <w:sz w:val="20"/>
            </w:rPr>
            <w:t>CHS24/160</w:t>
          </w:r>
        </w:p>
      </w:tc>
      <w:tc>
        <w:tcPr>
          <w:tcW w:w="965" w:type="dxa"/>
        </w:tcPr>
        <w:p w14:paraId="2F51A916" w14:textId="6F3C66D5" w:rsidR="00E90708" w:rsidRPr="00B3752F" w:rsidRDefault="004152A4" w:rsidP="004213C3">
          <w:pPr>
            <w:pStyle w:val="Footer"/>
            <w:rPr>
              <w:rFonts w:cs="Arial"/>
              <w:b/>
              <w:bCs/>
              <w:sz w:val="20"/>
            </w:rPr>
          </w:pPr>
          <w:r>
            <w:rPr>
              <w:rFonts w:cs="Arial"/>
              <w:b/>
              <w:bCs/>
              <w:sz w:val="20"/>
            </w:rPr>
            <w:t>1</w:t>
          </w:r>
        </w:p>
      </w:tc>
      <w:tc>
        <w:tcPr>
          <w:tcW w:w="1552" w:type="dxa"/>
        </w:tcPr>
        <w:p w14:paraId="2F51A917" w14:textId="55654B27" w:rsidR="00E90708" w:rsidRPr="00B3752F" w:rsidRDefault="004152A4" w:rsidP="004213C3">
          <w:pPr>
            <w:pStyle w:val="Footer"/>
            <w:rPr>
              <w:rFonts w:cs="Arial"/>
              <w:b/>
              <w:bCs/>
              <w:sz w:val="20"/>
            </w:rPr>
          </w:pPr>
          <w:r>
            <w:rPr>
              <w:rFonts w:cs="Arial"/>
              <w:b/>
              <w:bCs/>
              <w:sz w:val="20"/>
            </w:rPr>
            <w:t>10/04/2024</w:t>
          </w:r>
        </w:p>
      </w:tc>
      <w:tc>
        <w:tcPr>
          <w:tcW w:w="1456" w:type="dxa"/>
        </w:tcPr>
        <w:p w14:paraId="2F51A918" w14:textId="33EF914F" w:rsidR="00E90708" w:rsidRPr="00B3752F" w:rsidRDefault="004152A4" w:rsidP="004213C3">
          <w:pPr>
            <w:pStyle w:val="Footer"/>
            <w:rPr>
              <w:rFonts w:cs="Arial"/>
              <w:b/>
              <w:bCs/>
              <w:sz w:val="20"/>
            </w:rPr>
          </w:pPr>
          <w:r>
            <w:rPr>
              <w:rFonts w:cs="Arial"/>
              <w:b/>
              <w:bCs/>
              <w:sz w:val="20"/>
            </w:rPr>
            <w:t>10/04/2026</w:t>
          </w:r>
        </w:p>
      </w:tc>
      <w:tc>
        <w:tcPr>
          <w:tcW w:w="1746" w:type="dxa"/>
        </w:tcPr>
        <w:p w14:paraId="2F51A919" w14:textId="5263616A" w:rsidR="00E90708" w:rsidRPr="00B3752F" w:rsidRDefault="004152A4" w:rsidP="004213C3">
          <w:pPr>
            <w:pStyle w:val="Footer"/>
            <w:rPr>
              <w:rFonts w:cs="Arial"/>
              <w:b/>
              <w:bCs/>
              <w:sz w:val="20"/>
            </w:rPr>
          </w:pPr>
          <w:r>
            <w:rPr>
              <w:rFonts w:cs="Arial"/>
              <w:b/>
              <w:bCs/>
              <w:sz w:val="20"/>
            </w:rPr>
            <w:t>Medicine</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0E70BD">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30AEB" w14:textId="77777777" w:rsidR="0078028B" w:rsidRDefault="0078028B" w:rsidP="00F66CB0">
      <w:r>
        <w:separator/>
      </w:r>
    </w:p>
  </w:footnote>
  <w:footnote w:type="continuationSeparator" w:id="0">
    <w:p w14:paraId="1555BC94" w14:textId="77777777" w:rsidR="0078028B" w:rsidRDefault="0078028B" w:rsidP="00F66CB0">
      <w:r>
        <w:continuationSeparator/>
      </w:r>
    </w:p>
  </w:footnote>
  <w:footnote w:type="continuationNotice" w:id="1">
    <w:p w14:paraId="7452D48C" w14:textId="77777777" w:rsidR="0078028B" w:rsidRDefault="007802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2"/>
      <w:gridCol w:w="3484"/>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6" name="Picture 6"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7E910947" w:rsidR="00E90708" w:rsidRDefault="00E90708">
          <w:pPr>
            <w:pStyle w:val="Header"/>
            <w:tabs>
              <w:tab w:val="left" w:pos="720"/>
            </w:tabs>
            <w:jc w:val="right"/>
            <w:rPr>
              <w:sz w:val="20"/>
            </w:rPr>
          </w:pPr>
          <w:bookmarkStart w:id="41" w:name="_top"/>
          <w:bookmarkEnd w:id="41"/>
          <w:r>
            <w:rPr>
              <w:sz w:val="20"/>
            </w:rPr>
            <w:t>CHS</w:t>
          </w:r>
          <w:r w:rsidR="004152A4">
            <w:rPr>
              <w:sz w:val="20"/>
            </w:rPr>
            <w:t>24/160</w:t>
          </w:r>
        </w:p>
      </w:tc>
    </w:tr>
  </w:tbl>
  <w:p w14:paraId="2F51A90D" w14:textId="402D2713"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1C1D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A9700BE"/>
    <w:multiLevelType w:val="hybridMultilevel"/>
    <w:tmpl w:val="C7689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21756"/>
    <w:multiLevelType w:val="hybridMultilevel"/>
    <w:tmpl w:val="9BC2F87A"/>
    <w:lvl w:ilvl="0" w:tplc="0BF4F9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5B3891"/>
    <w:multiLevelType w:val="hybridMultilevel"/>
    <w:tmpl w:val="2396A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D5158F"/>
    <w:multiLevelType w:val="hybridMultilevel"/>
    <w:tmpl w:val="66CC12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3F35FC"/>
    <w:multiLevelType w:val="hybridMultilevel"/>
    <w:tmpl w:val="6BFAA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5A5497"/>
    <w:multiLevelType w:val="hybridMultilevel"/>
    <w:tmpl w:val="FF364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E8072C"/>
    <w:multiLevelType w:val="hybridMultilevel"/>
    <w:tmpl w:val="F95C0A6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294AD2"/>
    <w:multiLevelType w:val="hybridMultilevel"/>
    <w:tmpl w:val="32E26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25571E"/>
    <w:multiLevelType w:val="hybridMultilevel"/>
    <w:tmpl w:val="D3203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E62815"/>
    <w:multiLevelType w:val="hybridMultilevel"/>
    <w:tmpl w:val="16D8C5A6"/>
    <w:lvl w:ilvl="0" w:tplc="0C090001">
      <w:start w:val="1"/>
      <w:numFmt w:val="bullet"/>
      <w:lvlText w:val=""/>
      <w:lvlJc w:val="left"/>
      <w:pPr>
        <w:ind w:left="720" w:hanging="360"/>
      </w:pPr>
      <w:rPr>
        <w:rFonts w:ascii="Symbol" w:hAnsi="Symbol" w:hint="default"/>
      </w:rPr>
    </w:lvl>
    <w:lvl w:ilvl="1" w:tplc="F5DA4552">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7E0966"/>
    <w:multiLevelType w:val="hybridMultilevel"/>
    <w:tmpl w:val="96F0E102"/>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DE503B3"/>
    <w:multiLevelType w:val="hybridMultilevel"/>
    <w:tmpl w:val="AE6CF3B2"/>
    <w:lvl w:ilvl="0" w:tplc="A858A83E">
      <w:start w:val="1"/>
      <w:numFmt w:val="bullet"/>
      <w:lvlText w:val=""/>
      <w:lvlJc w:val="left"/>
      <w:pPr>
        <w:ind w:left="720" w:hanging="360"/>
      </w:pPr>
      <w:rPr>
        <w:rFonts w:ascii="Symbol" w:hAnsi="Symbol" w:hint="default"/>
      </w:rPr>
    </w:lvl>
    <w:lvl w:ilvl="1" w:tplc="F078AF9C">
      <w:start w:val="1"/>
      <w:numFmt w:val="bullet"/>
      <w:lvlText w:val="o"/>
      <w:lvlJc w:val="left"/>
      <w:pPr>
        <w:ind w:left="1440" w:hanging="360"/>
      </w:pPr>
      <w:rPr>
        <w:rFonts w:ascii="Courier New" w:hAnsi="Courier New" w:hint="default"/>
      </w:rPr>
    </w:lvl>
    <w:lvl w:ilvl="2" w:tplc="7ABCE95E">
      <w:start w:val="1"/>
      <w:numFmt w:val="bullet"/>
      <w:lvlText w:val=""/>
      <w:lvlJc w:val="left"/>
      <w:pPr>
        <w:ind w:left="2160" w:hanging="360"/>
      </w:pPr>
      <w:rPr>
        <w:rFonts w:ascii="Wingdings" w:hAnsi="Wingdings" w:hint="default"/>
      </w:rPr>
    </w:lvl>
    <w:lvl w:ilvl="3" w:tplc="7244110A">
      <w:start w:val="1"/>
      <w:numFmt w:val="bullet"/>
      <w:lvlText w:val=""/>
      <w:lvlJc w:val="left"/>
      <w:pPr>
        <w:ind w:left="2880" w:hanging="360"/>
      </w:pPr>
      <w:rPr>
        <w:rFonts w:ascii="Symbol" w:hAnsi="Symbol" w:hint="default"/>
      </w:rPr>
    </w:lvl>
    <w:lvl w:ilvl="4" w:tplc="0F58FD90">
      <w:start w:val="1"/>
      <w:numFmt w:val="bullet"/>
      <w:lvlText w:val="o"/>
      <w:lvlJc w:val="left"/>
      <w:pPr>
        <w:ind w:left="3600" w:hanging="360"/>
      </w:pPr>
      <w:rPr>
        <w:rFonts w:ascii="Courier New" w:hAnsi="Courier New" w:hint="default"/>
      </w:rPr>
    </w:lvl>
    <w:lvl w:ilvl="5" w:tplc="4B962E28">
      <w:start w:val="1"/>
      <w:numFmt w:val="bullet"/>
      <w:lvlText w:val=""/>
      <w:lvlJc w:val="left"/>
      <w:pPr>
        <w:ind w:left="4320" w:hanging="360"/>
      </w:pPr>
      <w:rPr>
        <w:rFonts w:ascii="Wingdings" w:hAnsi="Wingdings" w:hint="default"/>
      </w:rPr>
    </w:lvl>
    <w:lvl w:ilvl="6" w:tplc="1C040D50">
      <w:start w:val="1"/>
      <w:numFmt w:val="bullet"/>
      <w:lvlText w:val=""/>
      <w:lvlJc w:val="left"/>
      <w:pPr>
        <w:ind w:left="5040" w:hanging="360"/>
      </w:pPr>
      <w:rPr>
        <w:rFonts w:ascii="Symbol" w:hAnsi="Symbol" w:hint="default"/>
      </w:rPr>
    </w:lvl>
    <w:lvl w:ilvl="7" w:tplc="04DEF7EE">
      <w:start w:val="1"/>
      <w:numFmt w:val="bullet"/>
      <w:lvlText w:val="o"/>
      <w:lvlJc w:val="left"/>
      <w:pPr>
        <w:ind w:left="5760" w:hanging="360"/>
      </w:pPr>
      <w:rPr>
        <w:rFonts w:ascii="Courier New" w:hAnsi="Courier New" w:hint="default"/>
      </w:rPr>
    </w:lvl>
    <w:lvl w:ilvl="8" w:tplc="1CC2A75C">
      <w:start w:val="1"/>
      <w:numFmt w:val="bullet"/>
      <w:lvlText w:val=""/>
      <w:lvlJc w:val="left"/>
      <w:pPr>
        <w:ind w:left="6480" w:hanging="360"/>
      </w:pPr>
      <w:rPr>
        <w:rFonts w:ascii="Wingdings" w:hAnsi="Wingdings" w:hint="default"/>
      </w:rPr>
    </w:lvl>
  </w:abstractNum>
  <w:abstractNum w:abstractNumId="16" w15:restartNumberingAfterBreak="0">
    <w:nsid w:val="30C3576F"/>
    <w:multiLevelType w:val="hybridMultilevel"/>
    <w:tmpl w:val="B4CC8028"/>
    <w:lvl w:ilvl="0" w:tplc="C4A217C8">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7E19F9"/>
    <w:multiLevelType w:val="hybridMultilevel"/>
    <w:tmpl w:val="34527C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1F4A06"/>
    <w:multiLevelType w:val="hybridMultilevel"/>
    <w:tmpl w:val="F98C3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16FF3C"/>
    <w:multiLevelType w:val="hybridMultilevel"/>
    <w:tmpl w:val="5644CF1E"/>
    <w:lvl w:ilvl="0" w:tplc="53B4828E">
      <w:start w:val="1"/>
      <w:numFmt w:val="bullet"/>
      <w:lvlText w:val=""/>
      <w:lvlJc w:val="left"/>
      <w:pPr>
        <w:ind w:left="720" w:hanging="360"/>
      </w:pPr>
      <w:rPr>
        <w:rFonts w:ascii="Symbol" w:hAnsi="Symbol" w:hint="default"/>
      </w:rPr>
    </w:lvl>
    <w:lvl w:ilvl="1" w:tplc="E1E4780E">
      <w:start w:val="1"/>
      <w:numFmt w:val="bullet"/>
      <w:lvlText w:val="o"/>
      <w:lvlJc w:val="left"/>
      <w:pPr>
        <w:ind w:left="1440" w:hanging="360"/>
      </w:pPr>
      <w:rPr>
        <w:rFonts w:ascii="Courier New" w:hAnsi="Courier New" w:hint="default"/>
      </w:rPr>
    </w:lvl>
    <w:lvl w:ilvl="2" w:tplc="34922E2A">
      <w:start w:val="1"/>
      <w:numFmt w:val="bullet"/>
      <w:lvlText w:val=""/>
      <w:lvlJc w:val="left"/>
      <w:pPr>
        <w:ind w:left="2160" w:hanging="360"/>
      </w:pPr>
      <w:rPr>
        <w:rFonts w:ascii="Wingdings" w:hAnsi="Wingdings" w:hint="default"/>
      </w:rPr>
    </w:lvl>
    <w:lvl w:ilvl="3" w:tplc="5C4A0074">
      <w:start w:val="1"/>
      <w:numFmt w:val="bullet"/>
      <w:lvlText w:val=""/>
      <w:lvlJc w:val="left"/>
      <w:pPr>
        <w:ind w:left="2880" w:hanging="360"/>
      </w:pPr>
      <w:rPr>
        <w:rFonts w:ascii="Symbol" w:hAnsi="Symbol" w:hint="default"/>
      </w:rPr>
    </w:lvl>
    <w:lvl w:ilvl="4" w:tplc="E30E0B36">
      <w:start w:val="1"/>
      <w:numFmt w:val="bullet"/>
      <w:lvlText w:val="o"/>
      <w:lvlJc w:val="left"/>
      <w:pPr>
        <w:ind w:left="3600" w:hanging="360"/>
      </w:pPr>
      <w:rPr>
        <w:rFonts w:ascii="Courier New" w:hAnsi="Courier New" w:hint="default"/>
      </w:rPr>
    </w:lvl>
    <w:lvl w:ilvl="5" w:tplc="6DA00D22">
      <w:start w:val="1"/>
      <w:numFmt w:val="bullet"/>
      <w:lvlText w:val=""/>
      <w:lvlJc w:val="left"/>
      <w:pPr>
        <w:ind w:left="4320" w:hanging="360"/>
      </w:pPr>
      <w:rPr>
        <w:rFonts w:ascii="Wingdings" w:hAnsi="Wingdings" w:hint="default"/>
      </w:rPr>
    </w:lvl>
    <w:lvl w:ilvl="6" w:tplc="29700054">
      <w:start w:val="1"/>
      <w:numFmt w:val="bullet"/>
      <w:lvlText w:val=""/>
      <w:lvlJc w:val="left"/>
      <w:pPr>
        <w:ind w:left="5040" w:hanging="360"/>
      </w:pPr>
      <w:rPr>
        <w:rFonts w:ascii="Symbol" w:hAnsi="Symbol" w:hint="default"/>
      </w:rPr>
    </w:lvl>
    <w:lvl w:ilvl="7" w:tplc="10FCFAAA">
      <w:start w:val="1"/>
      <w:numFmt w:val="bullet"/>
      <w:lvlText w:val="o"/>
      <w:lvlJc w:val="left"/>
      <w:pPr>
        <w:ind w:left="5760" w:hanging="360"/>
      </w:pPr>
      <w:rPr>
        <w:rFonts w:ascii="Courier New" w:hAnsi="Courier New" w:hint="default"/>
      </w:rPr>
    </w:lvl>
    <w:lvl w:ilvl="8" w:tplc="D456809C">
      <w:start w:val="1"/>
      <w:numFmt w:val="bullet"/>
      <w:lvlText w:val=""/>
      <w:lvlJc w:val="left"/>
      <w:pPr>
        <w:ind w:left="6480" w:hanging="360"/>
      </w:pPr>
      <w:rPr>
        <w:rFonts w:ascii="Wingdings" w:hAnsi="Wingdings" w:hint="default"/>
      </w:rPr>
    </w:lvl>
  </w:abstractNum>
  <w:abstractNum w:abstractNumId="20" w15:restartNumberingAfterBreak="0">
    <w:nsid w:val="3CBB88A0"/>
    <w:multiLevelType w:val="hybridMultilevel"/>
    <w:tmpl w:val="1E365CFE"/>
    <w:lvl w:ilvl="0" w:tplc="D19AA85C">
      <w:start w:val="1"/>
      <w:numFmt w:val="bullet"/>
      <w:lvlText w:val=""/>
      <w:lvlJc w:val="left"/>
      <w:pPr>
        <w:ind w:left="720" w:hanging="360"/>
      </w:pPr>
      <w:rPr>
        <w:rFonts w:ascii="Symbol" w:hAnsi="Symbol" w:hint="default"/>
      </w:rPr>
    </w:lvl>
    <w:lvl w:ilvl="1" w:tplc="4B7423DA">
      <w:start w:val="1"/>
      <w:numFmt w:val="bullet"/>
      <w:lvlText w:val="o"/>
      <w:lvlJc w:val="left"/>
      <w:pPr>
        <w:ind w:left="1440" w:hanging="360"/>
      </w:pPr>
      <w:rPr>
        <w:rFonts w:ascii="Courier New" w:hAnsi="Courier New" w:hint="default"/>
      </w:rPr>
    </w:lvl>
    <w:lvl w:ilvl="2" w:tplc="D0B0AB12">
      <w:start w:val="1"/>
      <w:numFmt w:val="bullet"/>
      <w:lvlText w:val=""/>
      <w:lvlJc w:val="left"/>
      <w:pPr>
        <w:ind w:left="2160" w:hanging="360"/>
      </w:pPr>
      <w:rPr>
        <w:rFonts w:ascii="Wingdings" w:hAnsi="Wingdings" w:hint="default"/>
      </w:rPr>
    </w:lvl>
    <w:lvl w:ilvl="3" w:tplc="7B8E79F0">
      <w:start w:val="1"/>
      <w:numFmt w:val="bullet"/>
      <w:lvlText w:val=""/>
      <w:lvlJc w:val="left"/>
      <w:pPr>
        <w:ind w:left="2880" w:hanging="360"/>
      </w:pPr>
      <w:rPr>
        <w:rFonts w:ascii="Symbol" w:hAnsi="Symbol" w:hint="default"/>
      </w:rPr>
    </w:lvl>
    <w:lvl w:ilvl="4" w:tplc="7B167BC8">
      <w:start w:val="1"/>
      <w:numFmt w:val="bullet"/>
      <w:lvlText w:val="o"/>
      <w:lvlJc w:val="left"/>
      <w:pPr>
        <w:ind w:left="3600" w:hanging="360"/>
      </w:pPr>
      <w:rPr>
        <w:rFonts w:ascii="Courier New" w:hAnsi="Courier New" w:hint="default"/>
      </w:rPr>
    </w:lvl>
    <w:lvl w:ilvl="5" w:tplc="226A89DC">
      <w:start w:val="1"/>
      <w:numFmt w:val="bullet"/>
      <w:lvlText w:val=""/>
      <w:lvlJc w:val="left"/>
      <w:pPr>
        <w:ind w:left="4320" w:hanging="360"/>
      </w:pPr>
      <w:rPr>
        <w:rFonts w:ascii="Wingdings" w:hAnsi="Wingdings" w:hint="default"/>
      </w:rPr>
    </w:lvl>
    <w:lvl w:ilvl="6" w:tplc="5FCC9FE4">
      <w:start w:val="1"/>
      <w:numFmt w:val="bullet"/>
      <w:lvlText w:val=""/>
      <w:lvlJc w:val="left"/>
      <w:pPr>
        <w:ind w:left="5040" w:hanging="360"/>
      </w:pPr>
      <w:rPr>
        <w:rFonts w:ascii="Symbol" w:hAnsi="Symbol" w:hint="default"/>
      </w:rPr>
    </w:lvl>
    <w:lvl w:ilvl="7" w:tplc="6150904A">
      <w:start w:val="1"/>
      <w:numFmt w:val="bullet"/>
      <w:lvlText w:val="o"/>
      <w:lvlJc w:val="left"/>
      <w:pPr>
        <w:ind w:left="5760" w:hanging="360"/>
      </w:pPr>
      <w:rPr>
        <w:rFonts w:ascii="Courier New" w:hAnsi="Courier New" w:hint="default"/>
      </w:rPr>
    </w:lvl>
    <w:lvl w:ilvl="8" w:tplc="CC8A6026">
      <w:start w:val="1"/>
      <w:numFmt w:val="bullet"/>
      <w:lvlText w:val=""/>
      <w:lvlJc w:val="left"/>
      <w:pPr>
        <w:ind w:left="6480" w:hanging="360"/>
      </w:pPr>
      <w:rPr>
        <w:rFonts w:ascii="Wingdings" w:hAnsi="Wingdings" w:hint="default"/>
      </w:rPr>
    </w:lvl>
  </w:abstractNum>
  <w:abstractNum w:abstractNumId="21" w15:restartNumberingAfterBreak="0">
    <w:nsid w:val="3D9252B5"/>
    <w:multiLevelType w:val="hybridMultilevel"/>
    <w:tmpl w:val="92F086C2"/>
    <w:lvl w:ilvl="0" w:tplc="3D2876A0">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E5173F2"/>
    <w:multiLevelType w:val="hybridMultilevel"/>
    <w:tmpl w:val="C0A2A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331F5B"/>
    <w:multiLevelType w:val="hybridMultilevel"/>
    <w:tmpl w:val="F9FAAC04"/>
    <w:lvl w:ilvl="0" w:tplc="D4624882">
      <w:start w:val="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E6FB0"/>
    <w:multiLevelType w:val="hybridMultilevel"/>
    <w:tmpl w:val="25381D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A12E27"/>
    <w:multiLevelType w:val="hybridMultilevel"/>
    <w:tmpl w:val="67D6E78C"/>
    <w:lvl w:ilvl="0" w:tplc="E9B4438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8" w15:restartNumberingAfterBreak="0">
    <w:nsid w:val="50D07FD9"/>
    <w:multiLevelType w:val="hybridMultilevel"/>
    <w:tmpl w:val="0A0A9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4150F"/>
    <w:multiLevelType w:val="hybridMultilevel"/>
    <w:tmpl w:val="4BEAA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28445F"/>
    <w:multiLevelType w:val="hybridMultilevel"/>
    <w:tmpl w:val="40AC5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53A4907"/>
    <w:multiLevelType w:val="hybridMultilevel"/>
    <w:tmpl w:val="9F04E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B2517D"/>
    <w:multiLevelType w:val="hybridMultilevel"/>
    <w:tmpl w:val="122CA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BB7DAF"/>
    <w:multiLevelType w:val="hybridMultilevel"/>
    <w:tmpl w:val="F0D2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D1082F"/>
    <w:multiLevelType w:val="hybridMultilevel"/>
    <w:tmpl w:val="9BC2F87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860606"/>
    <w:multiLevelType w:val="hybridMultilevel"/>
    <w:tmpl w:val="AB4293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6F075B"/>
    <w:multiLevelType w:val="hybridMultilevel"/>
    <w:tmpl w:val="AB3A4DEA"/>
    <w:lvl w:ilvl="0" w:tplc="8F3C61CE">
      <w:start w:val="1"/>
      <w:numFmt w:val="bullet"/>
      <w:lvlText w:val=""/>
      <w:lvlJc w:val="left"/>
      <w:pPr>
        <w:ind w:left="720" w:hanging="360"/>
      </w:pPr>
      <w:rPr>
        <w:rFonts w:ascii="Symbol" w:hAnsi="Symbol" w:hint="default"/>
      </w:rPr>
    </w:lvl>
    <w:lvl w:ilvl="1" w:tplc="8DF0A078">
      <w:start w:val="1"/>
      <w:numFmt w:val="bullet"/>
      <w:lvlText w:val="o"/>
      <w:lvlJc w:val="left"/>
      <w:pPr>
        <w:ind w:left="1440" w:hanging="360"/>
      </w:pPr>
      <w:rPr>
        <w:rFonts w:ascii="Courier New" w:hAnsi="Courier New" w:hint="default"/>
      </w:rPr>
    </w:lvl>
    <w:lvl w:ilvl="2" w:tplc="8DEACE6E">
      <w:start w:val="1"/>
      <w:numFmt w:val="bullet"/>
      <w:lvlText w:val=""/>
      <w:lvlJc w:val="left"/>
      <w:pPr>
        <w:ind w:left="2160" w:hanging="360"/>
      </w:pPr>
      <w:rPr>
        <w:rFonts w:ascii="Wingdings" w:hAnsi="Wingdings" w:hint="default"/>
      </w:rPr>
    </w:lvl>
    <w:lvl w:ilvl="3" w:tplc="0EA06B42">
      <w:start w:val="1"/>
      <w:numFmt w:val="bullet"/>
      <w:lvlText w:val=""/>
      <w:lvlJc w:val="left"/>
      <w:pPr>
        <w:ind w:left="2880" w:hanging="360"/>
      </w:pPr>
      <w:rPr>
        <w:rFonts w:ascii="Symbol" w:hAnsi="Symbol" w:hint="default"/>
      </w:rPr>
    </w:lvl>
    <w:lvl w:ilvl="4" w:tplc="3B2A22DE">
      <w:start w:val="1"/>
      <w:numFmt w:val="bullet"/>
      <w:lvlText w:val="o"/>
      <w:lvlJc w:val="left"/>
      <w:pPr>
        <w:ind w:left="3600" w:hanging="360"/>
      </w:pPr>
      <w:rPr>
        <w:rFonts w:ascii="Courier New" w:hAnsi="Courier New" w:hint="default"/>
      </w:rPr>
    </w:lvl>
    <w:lvl w:ilvl="5" w:tplc="072C7936">
      <w:start w:val="1"/>
      <w:numFmt w:val="bullet"/>
      <w:lvlText w:val=""/>
      <w:lvlJc w:val="left"/>
      <w:pPr>
        <w:ind w:left="4320" w:hanging="360"/>
      </w:pPr>
      <w:rPr>
        <w:rFonts w:ascii="Wingdings" w:hAnsi="Wingdings" w:hint="default"/>
      </w:rPr>
    </w:lvl>
    <w:lvl w:ilvl="6" w:tplc="B14AED0A">
      <w:start w:val="1"/>
      <w:numFmt w:val="bullet"/>
      <w:lvlText w:val=""/>
      <w:lvlJc w:val="left"/>
      <w:pPr>
        <w:ind w:left="5040" w:hanging="360"/>
      </w:pPr>
      <w:rPr>
        <w:rFonts w:ascii="Symbol" w:hAnsi="Symbol" w:hint="default"/>
      </w:rPr>
    </w:lvl>
    <w:lvl w:ilvl="7" w:tplc="4A1206A4">
      <w:start w:val="1"/>
      <w:numFmt w:val="bullet"/>
      <w:lvlText w:val="o"/>
      <w:lvlJc w:val="left"/>
      <w:pPr>
        <w:ind w:left="5760" w:hanging="360"/>
      </w:pPr>
      <w:rPr>
        <w:rFonts w:ascii="Courier New" w:hAnsi="Courier New" w:hint="default"/>
      </w:rPr>
    </w:lvl>
    <w:lvl w:ilvl="8" w:tplc="25C2DABC">
      <w:start w:val="1"/>
      <w:numFmt w:val="bullet"/>
      <w:lvlText w:val=""/>
      <w:lvlJc w:val="left"/>
      <w:pPr>
        <w:ind w:left="6480" w:hanging="360"/>
      </w:pPr>
      <w:rPr>
        <w:rFonts w:ascii="Wingdings" w:hAnsi="Wingdings" w:hint="default"/>
      </w:rPr>
    </w:lvl>
  </w:abstractNum>
  <w:abstractNum w:abstractNumId="38" w15:restartNumberingAfterBreak="0">
    <w:nsid w:val="6CFF3DF8"/>
    <w:multiLevelType w:val="hybridMultilevel"/>
    <w:tmpl w:val="54AA897C"/>
    <w:lvl w:ilvl="0" w:tplc="52108D2C">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1650EF"/>
    <w:multiLevelType w:val="hybridMultilevel"/>
    <w:tmpl w:val="55B0969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E65208"/>
    <w:multiLevelType w:val="hybridMultilevel"/>
    <w:tmpl w:val="A8CC3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FD4EDA"/>
    <w:multiLevelType w:val="hybridMultilevel"/>
    <w:tmpl w:val="76726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837006"/>
    <w:multiLevelType w:val="hybridMultilevel"/>
    <w:tmpl w:val="6B1A4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D8536BA"/>
    <w:multiLevelType w:val="hybridMultilevel"/>
    <w:tmpl w:val="FFFFFFFF"/>
    <w:lvl w:ilvl="0" w:tplc="EABCCEAE">
      <w:start w:val="1"/>
      <w:numFmt w:val="bullet"/>
      <w:lvlText w:val=""/>
      <w:lvlJc w:val="left"/>
      <w:pPr>
        <w:ind w:left="720" w:hanging="360"/>
      </w:pPr>
      <w:rPr>
        <w:rFonts w:ascii="Symbol" w:hAnsi="Symbol" w:hint="default"/>
      </w:rPr>
    </w:lvl>
    <w:lvl w:ilvl="1" w:tplc="908CBA90">
      <w:start w:val="1"/>
      <w:numFmt w:val="bullet"/>
      <w:lvlText w:val="o"/>
      <w:lvlJc w:val="left"/>
      <w:pPr>
        <w:ind w:left="1440" w:hanging="360"/>
      </w:pPr>
      <w:rPr>
        <w:rFonts w:ascii="Courier New" w:hAnsi="Courier New" w:hint="default"/>
      </w:rPr>
    </w:lvl>
    <w:lvl w:ilvl="2" w:tplc="95404A16">
      <w:start w:val="1"/>
      <w:numFmt w:val="bullet"/>
      <w:lvlText w:val=""/>
      <w:lvlJc w:val="left"/>
      <w:pPr>
        <w:ind w:left="2160" w:hanging="360"/>
      </w:pPr>
      <w:rPr>
        <w:rFonts w:ascii="Wingdings" w:hAnsi="Wingdings" w:hint="default"/>
      </w:rPr>
    </w:lvl>
    <w:lvl w:ilvl="3" w:tplc="98824338">
      <w:start w:val="1"/>
      <w:numFmt w:val="bullet"/>
      <w:lvlText w:val=""/>
      <w:lvlJc w:val="left"/>
      <w:pPr>
        <w:ind w:left="2880" w:hanging="360"/>
      </w:pPr>
      <w:rPr>
        <w:rFonts w:ascii="Symbol" w:hAnsi="Symbol" w:hint="default"/>
      </w:rPr>
    </w:lvl>
    <w:lvl w:ilvl="4" w:tplc="0F384834">
      <w:start w:val="1"/>
      <w:numFmt w:val="bullet"/>
      <w:lvlText w:val="o"/>
      <w:lvlJc w:val="left"/>
      <w:pPr>
        <w:ind w:left="3600" w:hanging="360"/>
      </w:pPr>
      <w:rPr>
        <w:rFonts w:ascii="Courier New" w:hAnsi="Courier New" w:hint="default"/>
      </w:rPr>
    </w:lvl>
    <w:lvl w:ilvl="5" w:tplc="64489C9E">
      <w:start w:val="1"/>
      <w:numFmt w:val="bullet"/>
      <w:lvlText w:val=""/>
      <w:lvlJc w:val="left"/>
      <w:pPr>
        <w:ind w:left="4320" w:hanging="360"/>
      </w:pPr>
      <w:rPr>
        <w:rFonts w:ascii="Wingdings" w:hAnsi="Wingdings" w:hint="default"/>
      </w:rPr>
    </w:lvl>
    <w:lvl w:ilvl="6" w:tplc="FB662C1E">
      <w:start w:val="1"/>
      <w:numFmt w:val="bullet"/>
      <w:lvlText w:val=""/>
      <w:lvlJc w:val="left"/>
      <w:pPr>
        <w:ind w:left="5040" w:hanging="360"/>
      </w:pPr>
      <w:rPr>
        <w:rFonts w:ascii="Symbol" w:hAnsi="Symbol" w:hint="default"/>
      </w:rPr>
    </w:lvl>
    <w:lvl w:ilvl="7" w:tplc="EEFA8C1A">
      <w:start w:val="1"/>
      <w:numFmt w:val="bullet"/>
      <w:lvlText w:val="o"/>
      <w:lvlJc w:val="left"/>
      <w:pPr>
        <w:ind w:left="5760" w:hanging="360"/>
      </w:pPr>
      <w:rPr>
        <w:rFonts w:ascii="Courier New" w:hAnsi="Courier New" w:hint="default"/>
      </w:rPr>
    </w:lvl>
    <w:lvl w:ilvl="8" w:tplc="64EE90D6">
      <w:start w:val="1"/>
      <w:numFmt w:val="bullet"/>
      <w:lvlText w:val=""/>
      <w:lvlJc w:val="left"/>
      <w:pPr>
        <w:ind w:left="6480" w:hanging="360"/>
      </w:pPr>
      <w:rPr>
        <w:rFonts w:ascii="Wingdings" w:hAnsi="Wingdings" w:hint="default"/>
      </w:rPr>
    </w:lvl>
  </w:abstractNum>
  <w:abstractNum w:abstractNumId="45" w15:restartNumberingAfterBreak="0">
    <w:nsid w:val="7EAC5EB8"/>
    <w:multiLevelType w:val="hybridMultilevel"/>
    <w:tmpl w:val="A28A1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8050894">
    <w:abstractNumId w:val="19"/>
  </w:num>
  <w:num w:numId="2" w16cid:durableId="1786383766">
    <w:abstractNumId w:val="20"/>
  </w:num>
  <w:num w:numId="3" w16cid:durableId="444159764">
    <w:abstractNumId w:val="0"/>
  </w:num>
  <w:num w:numId="4" w16cid:durableId="329449810">
    <w:abstractNumId w:val="1"/>
  </w:num>
  <w:num w:numId="5" w16cid:durableId="1070156778">
    <w:abstractNumId w:val="42"/>
  </w:num>
  <w:num w:numId="6" w16cid:durableId="524057985">
    <w:abstractNumId w:val="6"/>
  </w:num>
  <w:num w:numId="7" w16cid:durableId="1959754000">
    <w:abstractNumId w:val="11"/>
  </w:num>
  <w:num w:numId="8" w16cid:durableId="812983846">
    <w:abstractNumId w:val="43"/>
  </w:num>
  <w:num w:numId="9" w16cid:durableId="536237791">
    <w:abstractNumId w:val="27"/>
  </w:num>
  <w:num w:numId="10" w16cid:durableId="1731884367">
    <w:abstractNumId w:val="0"/>
  </w:num>
  <w:num w:numId="11" w16cid:durableId="1503012160">
    <w:abstractNumId w:val="0"/>
  </w:num>
  <w:num w:numId="12" w16cid:durableId="291906751">
    <w:abstractNumId w:val="26"/>
  </w:num>
  <w:num w:numId="13" w16cid:durableId="1295721548">
    <w:abstractNumId w:val="31"/>
  </w:num>
  <w:num w:numId="14" w16cid:durableId="663826029">
    <w:abstractNumId w:val="38"/>
  </w:num>
  <w:num w:numId="15" w16cid:durableId="512258306">
    <w:abstractNumId w:val="2"/>
  </w:num>
  <w:num w:numId="16" w16cid:durableId="1805002871">
    <w:abstractNumId w:val="5"/>
  </w:num>
  <w:num w:numId="17" w16cid:durableId="1339502282">
    <w:abstractNumId w:val="25"/>
  </w:num>
  <w:num w:numId="18" w16cid:durableId="1180772920">
    <w:abstractNumId w:val="13"/>
  </w:num>
  <w:num w:numId="19" w16cid:durableId="1614898518">
    <w:abstractNumId w:val="23"/>
  </w:num>
  <w:num w:numId="20" w16cid:durableId="1013799654">
    <w:abstractNumId w:val="36"/>
  </w:num>
  <w:num w:numId="21" w16cid:durableId="598371283">
    <w:abstractNumId w:val="39"/>
  </w:num>
  <w:num w:numId="22" w16cid:durableId="1335185873">
    <w:abstractNumId w:val="40"/>
  </w:num>
  <w:num w:numId="23" w16cid:durableId="606814514">
    <w:abstractNumId w:val="18"/>
  </w:num>
  <w:num w:numId="24" w16cid:durableId="290673666">
    <w:abstractNumId w:val="10"/>
  </w:num>
  <w:num w:numId="25" w16cid:durableId="1220021543">
    <w:abstractNumId w:val="30"/>
  </w:num>
  <w:num w:numId="26" w16cid:durableId="995307452">
    <w:abstractNumId w:val="45"/>
  </w:num>
  <w:num w:numId="27" w16cid:durableId="279192905">
    <w:abstractNumId w:val="22"/>
  </w:num>
  <w:num w:numId="28" w16cid:durableId="1558513912">
    <w:abstractNumId w:val="44"/>
  </w:num>
  <w:num w:numId="29" w16cid:durableId="490103816">
    <w:abstractNumId w:val="34"/>
  </w:num>
  <w:num w:numId="30" w16cid:durableId="1422681401">
    <w:abstractNumId w:val="7"/>
  </w:num>
  <w:num w:numId="31" w16cid:durableId="1472748669">
    <w:abstractNumId w:val="9"/>
  </w:num>
  <w:num w:numId="32" w16cid:durableId="1254784720">
    <w:abstractNumId w:val="14"/>
  </w:num>
  <w:num w:numId="33" w16cid:durableId="1104231363">
    <w:abstractNumId w:val="32"/>
  </w:num>
  <w:num w:numId="34" w16cid:durableId="896162572">
    <w:abstractNumId w:val="12"/>
  </w:num>
  <w:num w:numId="35" w16cid:durableId="1674603831">
    <w:abstractNumId w:val="8"/>
  </w:num>
  <w:num w:numId="36" w16cid:durableId="1648973153">
    <w:abstractNumId w:val="17"/>
  </w:num>
  <w:num w:numId="37" w16cid:durableId="134492204">
    <w:abstractNumId w:val="24"/>
  </w:num>
  <w:num w:numId="38" w16cid:durableId="558589878">
    <w:abstractNumId w:val="3"/>
  </w:num>
  <w:num w:numId="39" w16cid:durableId="422146395">
    <w:abstractNumId w:val="35"/>
  </w:num>
  <w:num w:numId="40" w16cid:durableId="651299758">
    <w:abstractNumId w:val="28"/>
  </w:num>
  <w:num w:numId="41" w16cid:durableId="2108622416">
    <w:abstractNumId w:val="33"/>
  </w:num>
  <w:num w:numId="42" w16cid:durableId="999960781">
    <w:abstractNumId w:val="29"/>
  </w:num>
  <w:num w:numId="43" w16cid:durableId="214512359">
    <w:abstractNumId w:val="41"/>
  </w:num>
  <w:num w:numId="44" w16cid:durableId="179853901">
    <w:abstractNumId w:val="4"/>
  </w:num>
  <w:num w:numId="45" w16cid:durableId="269707422">
    <w:abstractNumId w:val="15"/>
  </w:num>
  <w:num w:numId="46" w16cid:durableId="1350794768">
    <w:abstractNumId w:val="37"/>
  </w:num>
  <w:num w:numId="47" w16cid:durableId="1233856719">
    <w:abstractNumId w:val="0"/>
  </w:num>
  <w:num w:numId="48" w16cid:durableId="376273344">
    <w:abstractNumId w:val="16"/>
  </w:num>
  <w:num w:numId="49" w16cid:durableId="12157750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1E00"/>
    <w:rsid w:val="000044F3"/>
    <w:rsid w:val="00005175"/>
    <w:rsid w:val="000075BD"/>
    <w:rsid w:val="00007A8A"/>
    <w:rsid w:val="00010A9B"/>
    <w:rsid w:val="0001131D"/>
    <w:rsid w:val="000121C3"/>
    <w:rsid w:val="00012784"/>
    <w:rsid w:val="000129F6"/>
    <w:rsid w:val="00012D70"/>
    <w:rsid w:val="000146C5"/>
    <w:rsid w:val="00015B90"/>
    <w:rsid w:val="00015E6F"/>
    <w:rsid w:val="0001607A"/>
    <w:rsid w:val="00016D33"/>
    <w:rsid w:val="000170C5"/>
    <w:rsid w:val="000209B0"/>
    <w:rsid w:val="00020CBB"/>
    <w:rsid w:val="00021839"/>
    <w:rsid w:val="000234DE"/>
    <w:rsid w:val="00023822"/>
    <w:rsid w:val="0002456D"/>
    <w:rsid w:val="00026ABB"/>
    <w:rsid w:val="00027FBF"/>
    <w:rsid w:val="00030AE0"/>
    <w:rsid w:val="000369A7"/>
    <w:rsid w:val="00036EAA"/>
    <w:rsid w:val="00036FAE"/>
    <w:rsid w:val="000402CA"/>
    <w:rsid w:val="000440B5"/>
    <w:rsid w:val="000448E8"/>
    <w:rsid w:val="00046E8B"/>
    <w:rsid w:val="000478DD"/>
    <w:rsid w:val="00050598"/>
    <w:rsid w:val="00051C57"/>
    <w:rsid w:val="00051E62"/>
    <w:rsid w:val="000526D7"/>
    <w:rsid w:val="00052DEC"/>
    <w:rsid w:val="00052FA9"/>
    <w:rsid w:val="00053157"/>
    <w:rsid w:val="00053BE0"/>
    <w:rsid w:val="000552D5"/>
    <w:rsid w:val="00055B28"/>
    <w:rsid w:val="000568B3"/>
    <w:rsid w:val="0005760E"/>
    <w:rsid w:val="00060FDB"/>
    <w:rsid w:val="000610C3"/>
    <w:rsid w:val="00063C58"/>
    <w:rsid w:val="00066DFE"/>
    <w:rsid w:val="000673A0"/>
    <w:rsid w:val="00071C7A"/>
    <w:rsid w:val="00074035"/>
    <w:rsid w:val="00074679"/>
    <w:rsid w:val="00077E47"/>
    <w:rsid w:val="000802F5"/>
    <w:rsid w:val="00080E30"/>
    <w:rsid w:val="00081858"/>
    <w:rsid w:val="0008372A"/>
    <w:rsid w:val="000844A1"/>
    <w:rsid w:val="00085252"/>
    <w:rsid w:val="00085ADA"/>
    <w:rsid w:val="00086500"/>
    <w:rsid w:val="000905C2"/>
    <w:rsid w:val="00090878"/>
    <w:rsid w:val="00090885"/>
    <w:rsid w:val="00091AC9"/>
    <w:rsid w:val="00093460"/>
    <w:rsid w:val="0009374C"/>
    <w:rsid w:val="00093990"/>
    <w:rsid w:val="000942CD"/>
    <w:rsid w:val="00095371"/>
    <w:rsid w:val="0009571A"/>
    <w:rsid w:val="00095ECD"/>
    <w:rsid w:val="000A1F7E"/>
    <w:rsid w:val="000A41CA"/>
    <w:rsid w:val="000A7335"/>
    <w:rsid w:val="000A7758"/>
    <w:rsid w:val="000A7BFB"/>
    <w:rsid w:val="000B1620"/>
    <w:rsid w:val="000B162A"/>
    <w:rsid w:val="000B1E43"/>
    <w:rsid w:val="000B5C8C"/>
    <w:rsid w:val="000B71ED"/>
    <w:rsid w:val="000B744E"/>
    <w:rsid w:val="000C2ED7"/>
    <w:rsid w:val="000C526E"/>
    <w:rsid w:val="000C59E2"/>
    <w:rsid w:val="000C5FF2"/>
    <w:rsid w:val="000C7B2D"/>
    <w:rsid w:val="000D0EA5"/>
    <w:rsid w:val="000D2571"/>
    <w:rsid w:val="000D2996"/>
    <w:rsid w:val="000D50C6"/>
    <w:rsid w:val="000D5137"/>
    <w:rsid w:val="000D594F"/>
    <w:rsid w:val="000D622F"/>
    <w:rsid w:val="000D7B65"/>
    <w:rsid w:val="000E04F0"/>
    <w:rsid w:val="000E094A"/>
    <w:rsid w:val="000E2BF1"/>
    <w:rsid w:val="000E70BD"/>
    <w:rsid w:val="000E79B7"/>
    <w:rsid w:val="000E79ED"/>
    <w:rsid w:val="000F0DC4"/>
    <w:rsid w:val="000F0E33"/>
    <w:rsid w:val="000F53D4"/>
    <w:rsid w:val="000F717E"/>
    <w:rsid w:val="000F7B7E"/>
    <w:rsid w:val="000F7CD5"/>
    <w:rsid w:val="00100BC1"/>
    <w:rsid w:val="0010293A"/>
    <w:rsid w:val="00102CEB"/>
    <w:rsid w:val="001032F6"/>
    <w:rsid w:val="00103B95"/>
    <w:rsid w:val="00103EEA"/>
    <w:rsid w:val="00104A9C"/>
    <w:rsid w:val="00104E1D"/>
    <w:rsid w:val="00105CC7"/>
    <w:rsid w:val="0010608F"/>
    <w:rsid w:val="00107212"/>
    <w:rsid w:val="00107F85"/>
    <w:rsid w:val="001115D7"/>
    <w:rsid w:val="00111910"/>
    <w:rsid w:val="00111CE0"/>
    <w:rsid w:val="001126A4"/>
    <w:rsid w:val="00114E38"/>
    <w:rsid w:val="001152E7"/>
    <w:rsid w:val="0011567D"/>
    <w:rsid w:val="00116D5D"/>
    <w:rsid w:val="0012036D"/>
    <w:rsid w:val="0012055B"/>
    <w:rsid w:val="001219FD"/>
    <w:rsid w:val="00125A86"/>
    <w:rsid w:val="00126FA8"/>
    <w:rsid w:val="0013086B"/>
    <w:rsid w:val="00131068"/>
    <w:rsid w:val="00133E74"/>
    <w:rsid w:val="00134F21"/>
    <w:rsid w:val="001361F2"/>
    <w:rsid w:val="00136FFD"/>
    <w:rsid w:val="00137113"/>
    <w:rsid w:val="00141D2A"/>
    <w:rsid w:val="00142552"/>
    <w:rsid w:val="001438C2"/>
    <w:rsid w:val="00144BAB"/>
    <w:rsid w:val="00145080"/>
    <w:rsid w:val="0014604F"/>
    <w:rsid w:val="00146D38"/>
    <w:rsid w:val="0015550C"/>
    <w:rsid w:val="00155DE8"/>
    <w:rsid w:val="001563B5"/>
    <w:rsid w:val="00156C15"/>
    <w:rsid w:val="00157C72"/>
    <w:rsid w:val="00164C5F"/>
    <w:rsid w:val="0016763E"/>
    <w:rsid w:val="00167CDE"/>
    <w:rsid w:val="00170664"/>
    <w:rsid w:val="00171962"/>
    <w:rsid w:val="0017225B"/>
    <w:rsid w:val="00172BD4"/>
    <w:rsid w:val="00174831"/>
    <w:rsid w:val="0017486E"/>
    <w:rsid w:val="00174B27"/>
    <w:rsid w:val="001750B7"/>
    <w:rsid w:val="00177082"/>
    <w:rsid w:val="00177593"/>
    <w:rsid w:val="00177E7F"/>
    <w:rsid w:val="00180A22"/>
    <w:rsid w:val="001817AB"/>
    <w:rsid w:val="00182E7E"/>
    <w:rsid w:val="001835F5"/>
    <w:rsid w:val="00183726"/>
    <w:rsid w:val="00184697"/>
    <w:rsid w:val="00186E51"/>
    <w:rsid w:val="00191109"/>
    <w:rsid w:val="00191235"/>
    <w:rsid w:val="0019154C"/>
    <w:rsid w:val="001926F4"/>
    <w:rsid w:val="0019386B"/>
    <w:rsid w:val="0019449F"/>
    <w:rsid w:val="001972B1"/>
    <w:rsid w:val="00197415"/>
    <w:rsid w:val="00197949"/>
    <w:rsid w:val="001A0053"/>
    <w:rsid w:val="001A0665"/>
    <w:rsid w:val="001A122A"/>
    <w:rsid w:val="001A32D8"/>
    <w:rsid w:val="001A42E6"/>
    <w:rsid w:val="001A4DEB"/>
    <w:rsid w:val="001B104D"/>
    <w:rsid w:val="001B1FFB"/>
    <w:rsid w:val="001B2465"/>
    <w:rsid w:val="001B26FD"/>
    <w:rsid w:val="001B3435"/>
    <w:rsid w:val="001B3F5E"/>
    <w:rsid w:val="001B6910"/>
    <w:rsid w:val="001B7A2E"/>
    <w:rsid w:val="001C0A5B"/>
    <w:rsid w:val="001C2F73"/>
    <w:rsid w:val="001C3143"/>
    <w:rsid w:val="001C41AF"/>
    <w:rsid w:val="001C41F7"/>
    <w:rsid w:val="001C77D6"/>
    <w:rsid w:val="001D5D24"/>
    <w:rsid w:val="001D6313"/>
    <w:rsid w:val="001D68F0"/>
    <w:rsid w:val="001D6FA8"/>
    <w:rsid w:val="001E26A7"/>
    <w:rsid w:val="001E280D"/>
    <w:rsid w:val="001E2CD5"/>
    <w:rsid w:val="001E3053"/>
    <w:rsid w:val="001F22DC"/>
    <w:rsid w:val="001F2A9B"/>
    <w:rsid w:val="001F431A"/>
    <w:rsid w:val="001F4985"/>
    <w:rsid w:val="001F6D2D"/>
    <w:rsid w:val="002005C2"/>
    <w:rsid w:val="00200D04"/>
    <w:rsid w:val="00201F6B"/>
    <w:rsid w:val="00201FB6"/>
    <w:rsid w:val="0020339F"/>
    <w:rsid w:val="00203EE5"/>
    <w:rsid w:val="0020425B"/>
    <w:rsid w:val="00205230"/>
    <w:rsid w:val="002102F1"/>
    <w:rsid w:val="00210B01"/>
    <w:rsid w:val="002114EC"/>
    <w:rsid w:val="0021211F"/>
    <w:rsid w:val="002125A7"/>
    <w:rsid w:val="0021387B"/>
    <w:rsid w:val="00213FE9"/>
    <w:rsid w:val="00216EA4"/>
    <w:rsid w:val="00221913"/>
    <w:rsid w:val="00222F30"/>
    <w:rsid w:val="00224633"/>
    <w:rsid w:val="00224ADE"/>
    <w:rsid w:val="00225942"/>
    <w:rsid w:val="002318B0"/>
    <w:rsid w:val="00232423"/>
    <w:rsid w:val="00232E06"/>
    <w:rsid w:val="00232F07"/>
    <w:rsid w:val="00235F66"/>
    <w:rsid w:val="002405CF"/>
    <w:rsid w:val="00240B97"/>
    <w:rsid w:val="00240C55"/>
    <w:rsid w:val="00241048"/>
    <w:rsid w:val="00241717"/>
    <w:rsid w:val="002430FC"/>
    <w:rsid w:val="002439BA"/>
    <w:rsid w:val="00245001"/>
    <w:rsid w:val="002456FB"/>
    <w:rsid w:val="00245EA0"/>
    <w:rsid w:val="00251685"/>
    <w:rsid w:val="00251E8D"/>
    <w:rsid w:val="0025382D"/>
    <w:rsid w:val="00253CEE"/>
    <w:rsid w:val="00253ED0"/>
    <w:rsid w:val="00254523"/>
    <w:rsid w:val="00254D7C"/>
    <w:rsid w:val="002556E5"/>
    <w:rsid w:val="00255C06"/>
    <w:rsid w:val="00256E6A"/>
    <w:rsid w:val="00260E06"/>
    <w:rsid w:val="00260EAB"/>
    <w:rsid w:val="00261389"/>
    <w:rsid w:val="00262B38"/>
    <w:rsid w:val="00263BA6"/>
    <w:rsid w:val="00266DB8"/>
    <w:rsid w:val="00266FC7"/>
    <w:rsid w:val="0027008E"/>
    <w:rsid w:val="00270194"/>
    <w:rsid w:val="00271529"/>
    <w:rsid w:val="002717DA"/>
    <w:rsid w:val="0027264D"/>
    <w:rsid w:val="0027272B"/>
    <w:rsid w:val="00272FDB"/>
    <w:rsid w:val="00273874"/>
    <w:rsid w:val="002756F4"/>
    <w:rsid w:val="00276788"/>
    <w:rsid w:val="00277983"/>
    <w:rsid w:val="00280F44"/>
    <w:rsid w:val="002857AE"/>
    <w:rsid w:val="00285D38"/>
    <w:rsid w:val="00293E43"/>
    <w:rsid w:val="002957D5"/>
    <w:rsid w:val="00295F3E"/>
    <w:rsid w:val="00296159"/>
    <w:rsid w:val="002A202E"/>
    <w:rsid w:val="002A53F0"/>
    <w:rsid w:val="002A5B4F"/>
    <w:rsid w:val="002A703C"/>
    <w:rsid w:val="002A7419"/>
    <w:rsid w:val="002B0961"/>
    <w:rsid w:val="002B3FAB"/>
    <w:rsid w:val="002B45CC"/>
    <w:rsid w:val="002B5F43"/>
    <w:rsid w:val="002C0595"/>
    <w:rsid w:val="002C4244"/>
    <w:rsid w:val="002C5E48"/>
    <w:rsid w:val="002C69C1"/>
    <w:rsid w:val="002C7F61"/>
    <w:rsid w:val="002D4596"/>
    <w:rsid w:val="002D4CCA"/>
    <w:rsid w:val="002D50A5"/>
    <w:rsid w:val="002D5D0E"/>
    <w:rsid w:val="002D5ECF"/>
    <w:rsid w:val="002D7B4D"/>
    <w:rsid w:val="002D7BB1"/>
    <w:rsid w:val="002E10BF"/>
    <w:rsid w:val="002E1859"/>
    <w:rsid w:val="002E3054"/>
    <w:rsid w:val="002E3061"/>
    <w:rsid w:val="002E332A"/>
    <w:rsid w:val="002E5D61"/>
    <w:rsid w:val="002E7F61"/>
    <w:rsid w:val="002F1995"/>
    <w:rsid w:val="002F2514"/>
    <w:rsid w:val="002F3BE8"/>
    <w:rsid w:val="002F4467"/>
    <w:rsid w:val="002F5872"/>
    <w:rsid w:val="002F5C64"/>
    <w:rsid w:val="002F6BFB"/>
    <w:rsid w:val="002F7094"/>
    <w:rsid w:val="002F7F96"/>
    <w:rsid w:val="00300442"/>
    <w:rsid w:val="00302E6C"/>
    <w:rsid w:val="0030379D"/>
    <w:rsid w:val="00303CED"/>
    <w:rsid w:val="00306FD2"/>
    <w:rsid w:val="00310F0F"/>
    <w:rsid w:val="003112E7"/>
    <w:rsid w:val="003115A7"/>
    <w:rsid w:val="0031164D"/>
    <w:rsid w:val="00311952"/>
    <w:rsid w:val="00313707"/>
    <w:rsid w:val="00321811"/>
    <w:rsid w:val="0032270B"/>
    <w:rsid w:val="00323B48"/>
    <w:rsid w:val="00330370"/>
    <w:rsid w:val="00330464"/>
    <w:rsid w:val="00330C06"/>
    <w:rsid w:val="0033176C"/>
    <w:rsid w:val="00332DDA"/>
    <w:rsid w:val="00337E7C"/>
    <w:rsid w:val="00343F93"/>
    <w:rsid w:val="00344C83"/>
    <w:rsid w:val="003459A1"/>
    <w:rsid w:val="00345EF5"/>
    <w:rsid w:val="00350D76"/>
    <w:rsid w:val="00351CD9"/>
    <w:rsid w:val="00353901"/>
    <w:rsid w:val="00353CBB"/>
    <w:rsid w:val="00354655"/>
    <w:rsid w:val="00354701"/>
    <w:rsid w:val="003549ED"/>
    <w:rsid w:val="003567D6"/>
    <w:rsid w:val="003571FB"/>
    <w:rsid w:val="003601B4"/>
    <w:rsid w:val="00363FBF"/>
    <w:rsid w:val="00364DFB"/>
    <w:rsid w:val="00366924"/>
    <w:rsid w:val="00370976"/>
    <w:rsid w:val="00370BBE"/>
    <w:rsid w:val="00371D05"/>
    <w:rsid w:val="00375EED"/>
    <w:rsid w:val="003763F0"/>
    <w:rsid w:val="00376861"/>
    <w:rsid w:val="00376A6D"/>
    <w:rsid w:val="00377D87"/>
    <w:rsid w:val="00377EDD"/>
    <w:rsid w:val="00380978"/>
    <w:rsid w:val="00380B98"/>
    <w:rsid w:val="00380D39"/>
    <w:rsid w:val="00386752"/>
    <w:rsid w:val="003867EE"/>
    <w:rsid w:val="00387464"/>
    <w:rsid w:val="00390A3A"/>
    <w:rsid w:val="00390D45"/>
    <w:rsid w:val="00390E58"/>
    <w:rsid w:val="00391696"/>
    <w:rsid w:val="00391D11"/>
    <w:rsid w:val="00392026"/>
    <w:rsid w:val="00395E36"/>
    <w:rsid w:val="00396023"/>
    <w:rsid w:val="003A0A79"/>
    <w:rsid w:val="003A4BB5"/>
    <w:rsid w:val="003A64F4"/>
    <w:rsid w:val="003A68E2"/>
    <w:rsid w:val="003B08F6"/>
    <w:rsid w:val="003B130F"/>
    <w:rsid w:val="003B1D7F"/>
    <w:rsid w:val="003B3B1B"/>
    <w:rsid w:val="003B4FBB"/>
    <w:rsid w:val="003B57B5"/>
    <w:rsid w:val="003B6439"/>
    <w:rsid w:val="003B741D"/>
    <w:rsid w:val="003C204E"/>
    <w:rsid w:val="003C2676"/>
    <w:rsid w:val="003C29A6"/>
    <w:rsid w:val="003C2A00"/>
    <w:rsid w:val="003C4308"/>
    <w:rsid w:val="003C4BB5"/>
    <w:rsid w:val="003C54A3"/>
    <w:rsid w:val="003C7D20"/>
    <w:rsid w:val="003D0278"/>
    <w:rsid w:val="003D2718"/>
    <w:rsid w:val="003D2BFE"/>
    <w:rsid w:val="003D5C0E"/>
    <w:rsid w:val="003D629E"/>
    <w:rsid w:val="003E148E"/>
    <w:rsid w:val="003E234E"/>
    <w:rsid w:val="003E235B"/>
    <w:rsid w:val="003E24A5"/>
    <w:rsid w:val="003E35C9"/>
    <w:rsid w:val="003E3FE7"/>
    <w:rsid w:val="003E4CC0"/>
    <w:rsid w:val="003E64B3"/>
    <w:rsid w:val="003E686D"/>
    <w:rsid w:val="003E6BF5"/>
    <w:rsid w:val="003E6C60"/>
    <w:rsid w:val="003F1B84"/>
    <w:rsid w:val="003F3523"/>
    <w:rsid w:val="003F3D8F"/>
    <w:rsid w:val="003F65EC"/>
    <w:rsid w:val="003F6B94"/>
    <w:rsid w:val="003F6BEF"/>
    <w:rsid w:val="003F6F1A"/>
    <w:rsid w:val="00401325"/>
    <w:rsid w:val="00401F4B"/>
    <w:rsid w:val="004032A2"/>
    <w:rsid w:val="004035B7"/>
    <w:rsid w:val="004048F9"/>
    <w:rsid w:val="00405185"/>
    <w:rsid w:val="004063B5"/>
    <w:rsid w:val="00406754"/>
    <w:rsid w:val="00407AE8"/>
    <w:rsid w:val="00410409"/>
    <w:rsid w:val="00412CED"/>
    <w:rsid w:val="004152A4"/>
    <w:rsid w:val="00415399"/>
    <w:rsid w:val="004163EF"/>
    <w:rsid w:val="00416751"/>
    <w:rsid w:val="00420641"/>
    <w:rsid w:val="00420F9E"/>
    <w:rsid w:val="004213C3"/>
    <w:rsid w:val="00422B26"/>
    <w:rsid w:val="00423238"/>
    <w:rsid w:val="00423BFC"/>
    <w:rsid w:val="00423C4F"/>
    <w:rsid w:val="0042413C"/>
    <w:rsid w:val="00425A77"/>
    <w:rsid w:val="00427139"/>
    <w:rsid w:val="00430F3F"/>
    <w:rsid w:val="00431054"/>
    <w:rsid w:val="0043185A"/>
    <w:rsid w:val="00431A1C"/>
    <w:rsid w:val="004328CA"/>
    <w:rsid w:val="00433590"/>
    <w:rsid w:val="00433BB2"/>
    <w:rsid w:val="004340D2"/>
    <w:rsid w:val="004341B1"/>
    <w:rsid w:val="0043515D"/>
    <w:rsid w:val="004358E9"/>
    <w:rsid w:val="00440D1F"/>
    <w:rsid w:val="00443CB6"/>
    <w:rsid w:val="00444B5B"/>
    <w:rsid w:val="004458F5"/>
    <w:rsid w:val="00445F76"/>
    <w:rsid w:val="00451434"/>
    <w:rsid w:val="00451E79"/>
    <w:rsid w:val="00452826"/>
    <w:rsid w:val="0045340D"/>
    <w:rsid w:val="0045368F"/>
    <w:rsid w:val="004537B3"/>
    <w:rsid w:val="0045501E"/>
    <w:rsid w:val="00457CE6"/>
    <w:rsid w:val="00460C30"/>
    <w:rsid w:val="00461554"/>
    <w:rsid w:val="00461876"/>
    <w:rsid w:val="004637A4"/>
    <w:rsid w:val="00465D0B"/>
    <w:rsid w:val="004668A0"/>
    <w:rsid w:val="004674EF"/>
    <w:rsid w:val="004675C9"/>
    <w:rsid w:val="00471C75"/>
    <w:rsid w:val="00472DDD"/>
    <w:rsid w:val="004750CB"/>
    <w:rsid w:val="00475F92"/>
    <w:rsid w:val="004771B6"/>
    <w:rsid w:val="0047755D"/>
    <w:rsid w:val="0048006F"/>
    <w:rsid w:val="0048050C"/>
    <w:rsid w:val="0048079A"/>
    <w:rsid w:val="004827AA"/>
    <w:rsid w:val="00483E2C"/>
    <w:rsid w:val="00486E45"/>
    <w:rsid w:val="00487B9E"/>
    <w:rsid w:val="00487DD5"/>
    <w:rsid w:val="00492DEE"/>
    <w:rsid w:val="00493E47"/>
    <w:rsid w:val="004947A7"/>
    <w:rsid w:val="00495851"/>
    <w:rsid w:val="004A15BC"/>
    <w:rsid w:val="004A2E02"/>
    <w:rsid w:val="004A3689"/>
    <w:rsid w:val="004A427F"/>
    <w:rsid w:val="004A6979"/>
    <w:rsid w:val="004A787D"/>
    <w:rsid w:val="004B1231"/>
    <w:rsid w:val="004B1B31"/>
    <w:rsid w:val="004B2960"/>
    <w:rsid w:val="004B3CA0"/>
    <w:rsid w:val="004B4CEA"/>
    <w:rsid w:val="004B7C43"/>
    <w:rsid w:val="004C0254"/>
    <w:rsid w:val="004C0863"/>
    <w:rsid w:val="004C19F6"/>
    <w:rsid w:val="004C2111"/>
    <w:rsid w:val="004C2461"/>
    <w:rsid w:val="004C2B20"/>
    <w:rsid w:val="004C39CF"/>
    <w:rsid w:val="004C57FF"/>
    <w:rsid w:val="004C6DBC"/>
    <w:rsid w:val="004C7B45"/>
    <w:rsid w:val="004D074B"/>
    <w:rsid w:val="004D26D7"/>
    <w:rsid w:val="004D329D"/>
    <w:rsid w:val="004D3823"/>
    <w:rsid w:val="004D6932"/>
    <w:rsid w:val="004E079E"/>
    <w:rsid w:val="004E1659"/>
    <w:rsid w:val="004E21AA"/>
    <w:rsid w:val="004E2303"/>
    <w:rsid w:val="004E28AD"/>
    <w:rsid w:val="004E438C"/>
    <w:rsid w:val="004E52DF"/>
    <w:rsid w:val="004E55BC"/>
    <w:rsid w:val="004E5C6E"/>
    <w:rsid w:val="004E721F"/>
    <w:rsid w:val="004E7A1F"/>
    <w:rsid w:val="004F0F49"/>
    <w:rsid w:val="004F1D05"/>
    <w:rsid w:val="004F2008"/>
    <w:rsid w:val="004F29BB"/>
    <w:rsid w:val="004F2CA3"/>
    <w:rsid w:val="004F2DBC"/>
    <w:rsid w:val="004F4242"/>
    <w:rsid w:val="004F55D3"/>
    <w:rsid w:val="004F5FFC"/>
    <w:rsid w:val="0050098C"/>
    <w:rsid w:val="00500D4C"/>
    <w:rsid w:val="0050313E"/>
    <w:rsid w:val="00503704"/>
    <w:rsid w:val="00505B5D"/>
    <w:rsid w:val="005067CA"/>
    <w:rsid w:val="00511EFD"/>
    <w:rsid w:val="00513EF7"/>
    <w:rsid w:val="00515819"/>
    <w:rsid w:val="00516EA1"/>
    <w:rsid w:val="005205BA"/>
    <w:rsid w:val="005208A4"/>
    <w:rsid w:val="00520E9D"/>
    <w:rsid w:val="0052443C"/>
    <w:rsid w:val="005247A5"/>
    <w:rsid w:val="00525DCF"/>
    <w:rsid w:val="005271B6"/>
    <w:rsid w:val="0052775E"/>
    <w:rsid w:val="005319F3"/>
    <w:rsid w:val="0053220B"/>
    <w:rsid w:val="00532F54"/>
    <w:rsid w:val="005416F0"/>
    <w:rsid w:val="00542514"/>
    <w:rsid w:val="00545401"/>
    <w:rsid w:val="00546AED"/>
    <w:rsid w:val="005474EC"/>
    <w:rsid w:val="005476C7"/>
    <w:rsid w:val="00547916"/>
    <w:rsid w:val="005511B3"/>
    <w:rsid w:val="005512EF"/>
    <w:rsid w:val="00553C68"/>
    <w:rsid w:val="0055490B"/>
    <w:rsid w:val="005551D2"/>
    <w:rsid w:val="00556CA6"/>
    <w:rsid w:val="00557855"/>
    <w:rsid w:val="005579F2"/>
    <w:rsid w:val="005610E2"/>
    <w:rsid w:val="005621E4"/>
    <w:rsid w:val="005631FE"/>
    <w:rsid w:val="0056357B"/>
    <w:rsid w:val="00564304"/>
    <w:rsid w:val="00564E84"/>
    <w:rsid w:val="00571061"/>
    <w:rsid w:val="00575BD0"/>
    <w:rsid w:val="00577D61"/>
    <w:rsid w:val="005800F3"/>
    <w:rsid w:val="005803EE"/>
    <w:rsid w:val="005827B9"/>
    <w:rsid w:val="00583280"/>
    <w:rsid w:val="00584431"/>
    <w:rsid w:val="00587595"/>
    <w:rsid w:val="00590902"/>
    <w:rsid w:val="00592A14"/>
    <w:rsid w:val="00592FCC"/>
    <w:rsid w:val="00593727"/>
    <w:rsid w:val="00594316"/>
    <w:rsid w:val="00595DFF"/>
    <w:rsid w:val="00596A56"/>
    <w:rsid w:val="00596B15"/>
    <w:rsid w:val="00596CD4"/>
    <w:rsid w:val="00596FD7"/>
    <w:rsid w:val="0059761E"/>
    <w:rsid w:val="005A2292"/>
    <w:rsid w:val="005A2AFD"/>
    <w:rsid w:val="005A2DF0"/>
    <w:rsid w:val="005A3625"/>
    <w:rsid w:val="005A39BE"/>
    <w:rsid w:val="005A4987"/>
    <w:rsid w:val="005A7621"/>
    <w:rsid w:val="005A7714"/>
    <w:rsid w:val="005A7872"/>
    <w:rsid w:val="005B2E58"/>
    <w:rsid w:val="005B44F3"/>
    <w:rsid w:val="005B46E5"/>
    <w:rsid w:val="005B4738"/>
    <w:rsid w:val="005B5737"/>
    <w:rsid w:val="005B7FD4"/>
    <w:rsid w:val="005C060D"/>
    <w:rsid w:val="005C1AE0"/>
    <w:rsid w:val="005C1E11"/>
    <w:rsid w:val="005C212D"/>
    <w:rsid w:val="005C3CB0"/>
    <w:rsid w:val="005C5016"/>
    <w:rsid w:val="005C5808"/>
    <w:rsid w:val="005C729C"/>
    <w:rsid w:val="005D4046"/>
    <w:rsid w:val="005D4BC3"/>
    <w:rsid w:val="005D5211"/>
    <w:rsid w:val="005D57AB"/>
    <w:rsid w:val="005D6E47"/>
    <w:rsid w:val="005D78A3"/>
    <w:rsid w:val="005E05E7"/>
    <w:rsid w:val="005E1140"/>
    <w:rsid w:val="005E2109"/>
    <w:rsid w:val="005E283B"/>
    <w:rsid w:val="005E7F94"/>
    <w:rsid w:val="005F01AD"/>
    <w:rsid w:val="005F0509"/>
    <w:rsid w:val="005F057C"/>
    <w:rsid w:val="005F1B95"/>
    <w:rsid w:val="005F2988"/>
    <w:rsid w:val="005F3214"/>
    <w:rsid w:val="005F584A"/>
    <w:rsid w:val="005F69E5"/>
    <w:rsid w:val="005F7F4B"/>
    <w:rsid w:val="006002FF"/>
    <w:rsid w:val="0060107B"/>
    <w:rsid w:val="0060580C"/>
    <w:rsid w:val="00605A5C"/>
    <w:rsid w:val="00605FE6"/>
    <w:rsid w:val="00607052"/>
    <w:rsid w:val="0061027A"/>
    <w:rsid w:val="00610498"/>
    <w:rsid w:val="00612231"/>
    <w:rsid w:val="0061279A"/>
    <w:rsid w:val="00616232"/>
    <w:rsid w:val="00616300"/>
    <w:rsid w:val="00617083"/>
    <w:rsid w:val="00620387"/>
    <w:rsid w:val="00620C94"/>
    <w:rsid w:val="00623377"/>
    <w:rsid w:val="006260F5"/>
    <w:rsid w:val="00626584"/>
    <w:rsid w:val="00626935"/>
    <w:rsid w:val="0062776C"/>
    <w:rsid w:val="00627FD2"/>
    <w:rsid w:val="00631EBC"/>
    <w:rsid w:val="00633348"/>
    <w:rsid w:val="006335DE"/>
    <w:rsid w:val="006338AA"/>
    <w:rsid w:val="006345B7"/>
    <w:rsid w:val="00634AEE"/>
    <w:rsid w:val="00635E50"/>
    <w:rsid w:val="00635EB1"/>
    <w:rsid w:val="0063732A"/>
    <w:rsid w:val="0063777E"/>
    <w:rsid w:val="006403F7"/>
    <w:rsid w:val="00641829"/>
    <w:rsid w:val="00641B79"/>
    <w:rsid w:val="00642197"/>
    <w:rsid w:val="00644846"/>
    <w:rsid w:val="0064494D"/>
    <w:rsid w:val="0064518D"/>
    <w:rsid w:val="006455F1"/>
    <w:rsid w:val="006455F6"/>
    <w:rsid w:val="006473BB"/>
    <w:rsid w:val="00651501"/>
    <w:rsid w:val="0065177F"/>
    <w:rsid w:val="00651807"/>
    <w:rsid w:val="00655F42"/>
    <w:rsid w:val="00656202"/>
    <w:rsid w:val="006578BF"/>
    <w:rsid w:val="00657D77"/>
    <w:rsid w:val="00662566"/>
    <w:rsid w:val="0066331E"/>
    <w:rsid w:val="0066495D"/>
    <w:rsid w:val="006714CD"/>
    <w:rsid w:val="00674B64"/>
    <w:rsid w:val="006756EB"/>
    <w:rsid w:val="006766E5"/>
    <w:rsid w:val="006767D1"/>
    <w:rsid w:val="0067751A"/>
    <w:rsid w:val="006777F1"/>
    <w:rsid w:val="00677B24"/>
    <w:rsid w:val="006802DB"/>
    <w:rsid w:val="00680316"/>
    <w:rsid w:val="006858F1"/>
    <w:rsid w:val="00685A26"/>
    <w:rsid w:val="006865F5"/>
    <w:rsid w:val="00687E23"/>
    <w:rsid w:val="00690C24"/>
    <w:rsid w:val="00691155"/>
    <w:rsid w:val="00695EB6"/>
    <w:rsid w:val="006A0A59"/>
    <w:rsid w:val="006A1575"/>
    <w:rsid w:val="006A1CFF"/>
    <w:rsid w:val="006A2910"/>
    <w:rsid w:val="006A3770"/>
    <w:rsid w:val="006A4D46"/>
    <w:rsid w:val="006A6024"/>
    <w:rsid w:val="006A6B56"/>
    <w:rsid w:val="006B1F9C"/>
    <w:rsid w:val="006B36F6"/>
    <w:rsid w:val="006B4797"/>
    <w:rsid w:val="006B57CC"/>
    <w:rsid w:val="006B6EDE"/>
    <w:rsid w:val="006B7618"/>
    <w:rsid w:val="006C089E"/>
    <w:rsid w:val="006C1D66"/>
    <w:rsid w:val="006C2891"/>
    <w:rsid w:val="006C2E21"/>
    <w:rsid w:val="006C31FF"/>
    <w:rsid w:val="006C33B3"/>
    <w:rsid w:val="006C3D9D"/>
    <w:rsid w:val="006C4078"/>
    <w:rsid w:val="006C6256"/>
    <w:rsid w:val="006C6B6C"/>
    <w:rsid w:val="006C704D"/>
    <w:rsid w:val="006C740F"/>
    <w:rsid w:val="006C7BB9"/>
    <w:rsid w:val="006D01AA"/>
    <w:rsid w:val="006D0C38"/>
    <w:rsid w:val="006D1352"/>
    <w:rsid w:val="006D25AF"/>
    <w:rsid w:val="006D31A2"/>
    <w:rsid w:val="006D6D11"/>
    <w:rsid w:val="006D7898"/>
    <w:rsid w:val="006D78F8"/>
    <w:rsid w:val="006D7C54"/>
    <w:rsid w:val="006E0A23"/>
    <w:rsid w:val="006E1393"/>
    <w:rsid w:val="006E20AC"/>
    <w:rsid w:val="006E474A"/>
    <w:rsid w:val="006E5F9F"/>
    <w:rsid w:val="006E78BC"/>
    <w:rsid w:val="006F0407"/>
    <w:rsid w:val="006F0ABA"/>
    <w:rsid w:val="006F24D2"/>
    <w:rsid w:val="006F27A5"/>
    <w:rsid w:val="006F344E"/>
    <w:rsid w:val="006F35C1"/>
    <w:rsid w:val="006F5B45"/>
    <w:rsid w:val="006F692B"/>
    <w:rsid w:val="006F7177"/>
    <w:rsid w:val="006F74C6"/>
    <w:rsid w:val="006F7D65"/>
    <w:rsid w:val="0070331D"/>
    <w:rsid w:val="007033A1"/>
    <w:rsid w:val="00703BC0"/>
    <w:rsid w:val="007052B1"/>
    <w:rsid w:val="00706090"/>
    <w:rsid w:val="00711BF4"/>
    <w:rsid w:val="00711CA5"/>
    <w:rsid w:val="00712217"/>
    <w:rsid w:val="0071257D"/>
    <w:rsid w:val="00712797"/>
    <w:rsid w:val="007130F7"/>
    <w:rsid w:val="0071647E"/>
    <w:rsid w:val="007167DF"/>
    <w:rsid w:val="00720D03"/>
    <w:rsid w:val="00721112"/>
    <w:rsid w:val="00722168"/>
    <w:rsid w:val="00724992"/>
    <w:rsid w:val="007254E5"/>
    <w:rsid w:val="0072560B"/>
    <w:rsid w:val="00727846"/>
    <w:rsid w:val="00727861"/>
    <w:rsid w:val="007304FE"/>
    <w:rsid w:val="00731128"/>
    <w:rsid w:val="00731F89"/>
    <w:rsid w:val="0073250E"/>
    <w:rsid w:val="00732A37"/>
    <w:rsid w:val="007346BC"/>
    <w:rsid w:val="00735F8B"/>
    <w:rsid w:val="0073619B"/>
    <w:rsid w:val="007401F0"/>
    <w:rsid w:val="0074046B"/>
    <w:rsid w:val="007408E9"/>
    <w:rsid w:val="007412E8"/>
    <w:rsid w:val="00741B43"/>
    <w:rsid w:val="0074223E"/>
    <w:rsid w:val="0074272E"/>
    <w:rsid w:val="00742E57"/>
    <w:rsid w:val="007435A8"/>
    <w:rsid w:val="00743D0A"/>
    <w:rsid w:val="007444D6"/>
    <w:rsid w:val="0074743A"/>
    <w:rsid w:val="007500A0"/>
    <w:rsid w:val="0075169F"/>
    <w:rsid w:val="00752ADC"/>
    <w:rsid w:val="00753A7F"/>
    <w:rsid w:val="007543AC"/>
    <w:rsid w:val="007547A4"/>
    <w:rsid w:val="0075649A"/>
    <w:rsid w:val="00756537"/>
    <w:rsid w:val="00756A2B"/>
    <w:rsid w:val="007578F3"/>
    <w:rsid w:val="00757D4F"/>
    <w:rsid w:val="00765360"/>
    <w:rsid w:val="0076770B"/>
    <w:rsid w:val="00771D44"/>
    <w:rsid w:val="0077329C"/>
    <w:rsid w:val="00773456"/>
    <w:rsid w:val="00776373"/>
    <w:rsid w:val="00777ADF"/>
    <w:rsid w:val="007801D1"/>
    <w:rsid w:val="0078028B"/>
    <w:rsid w:val="00782B2C"/>
    <w:rsid w:val="00784E72"/>
    <w:rsid w:val="00785D91"/>
    <w:rsid w:val="0078670D"/>
    <w:rsid w:val="00786BE8"/>
    <w:rsid w:val="0079300D"/>
    <w:rsid w:val="0079398A"/>
    <w:rsid w:val="00793E4B"/>
    <w:rsid w:val="00794A5E"/>
    <w:rsid w:val="0079588E"/>
    <w:rsid w:val="00795CC8"/>
    <w:rsid w:val="007962A9"/>
    <w:rsid w:val="007A0EBC"/>
    <w:rsid w:val="007A41F7"/>
    <w:rsid w:val="007A4F55"/>
    <w:rsid w:val="007A71C1"/>
    <w:rsid w:val="007B27F1"/>
    <w:rsid w:val="007B2D1A"/>
    <w:rsid w:val="007B3DEA"/>
    <w:rsid w:val="007B4ABB"/>
    <w:rsid w:val="007B66DC"/>
    <w:rsid w:val="007B6904"/>
    <w:rsid w:val="007B7628"/>
    <w:rsid w:val="007C0996"/>
    <w:rsid w:val="007C0B04"/>
    <w:rsid w:val="007C0CDB"/>
    <w:rsid w:val="007C36E4"/>
    <w:rsid w:val="007C3D21"/>
    <w:rsid w:val="007C4287"/>
    <w:rsid w:val="007C6567"/>
    <w:rsid w:val="007D39B7"/>
    <w:rsid w:val="007E1C30"/>
    <w:rsid w:val="007E3F10"/>
    <w:rsid w:val="007E6C23"/>
    <w:rsid w:val="007F0C20"/>
    <w:rsid w:val="007F1B59"/>
    <w:rsid w:val="007F1E19"/>
    <w:rsid w:val="007F22C4"/>
    <w:rsid w:val="007F38B2"/>
    <w:rsid w:val="007F4713"/>
    <w:rsid w:val="007F6B9E"/>
    <w:rsid w:val="007F7FD1"/>
    <w:rsid w:val="00800176"/>
    <w:rsid w:val="00801DCE"/>
    <w:rsid w:val="00802A1F"/>
    <w:rsid w:val="00803EBF"/>
    <w:rsid w:val="008040BA"/>
    <w:rsid w:val="00804758"/>
    <w:rsid w:val="00805E6F"/>
    <w:rsid w:val="00806D17"/>
    <w:rsid w:val="00807471"/>
    <w:rsid w:val="00807BDB"/>
    <w:rsid w:val="00811A19"/>
    <w:rsid w:val="00811E28"/>
    <w:rsid w:val="00812B3C"/>
    <w:rsid w:val="008138BA"/>
    <w:rsid w:val="00814C1C"/>
    <w:rsid w:val="00816782"/>
    <w:rsid w:val="008202EC"/>
    <w:rsid w:val="00820AF5"/>
    <w:rsid w:val="0082141D"/>
    <w:rsid w:val="00823D6F"/>
    <w:rsid w:val="0082439B"/>
    <w:rsid w:val="008245F4"/>
    <w:rsid w:val="00825A38"/>
    <w:rsid w:val="00825C87"/>
    <w:rsid w:val="00827F24"/>
    <w:rsid w:val="00830A74"/>
    <w:rsid w:val="00830F4B"/>
    <w:rsid w:val="0083141E"/>
    <w:rsid w:val="00831844"/>
    <w:rsid w:val="00832115"/>
    <w:rsid w:val="00832503"/>
    <w:rsid w:val="00836E36"/>
    <w:rsid w:val="00837AC2"/>
    <w:rsid w:val="00837BDE"/>
    <w:rsid w:val="00844DBF"/>
    <w:rsid w:val="00845445"/>
    <w:rsid w:val="008476AD"/>
    <w:rsid w:val="00852629"/>
    <w:rsid w:val="0085318F"/>
    <w:rsid w:val="00854DEC"/>
    <w:rsid w:val="00854FCA"/>
    <w:rsid w:val="008551F8"/>
    <w:rsid w:val="0085588F"/>
    <w:rsid w:val="00855C07"/>
    <w:rsid w:val="00855DA8"/>
    <w:rsid w:val="008579E1"/>
    <w:rsid w:val="00861BA2"/>
    <w:rsid w:val="00862221"/>
    <w:rsid w:val="00862BA2"/>
    <w:rsid w:val="00862CF3"/>
    <w:rsid w:val="00865712"/>
    <w:rsid w:val="00866367"/>
    <w:rsid w:val="00866590"/>
    <w:rsid w:val="00867F5F"/>
    <w:rsid w:val="00870182"/>
    <w:rsid w:val="008704B1"/>
    <w:rsid w:val="00870B9E"/>
    <w:rsid w:val="008725A0"/>
    <w:rsid w:val="00874010"/>
    <w:rsid w:val="00875564"/>
    <w:rsid w:val="0087756A"/>
    <w:rsid w:val="008807E7"/>
    <w:rsid w:val="00881771"/>
    <w:rsid w:val="00881E73"/>
    <w:rsid w:val="008827BC"/>
    <w:rsid w:val="00882FDE"/>
    <w:rsid w:val="00883366"/>
    <w:rsid w:val="00884D23"/>
    <w:rsid w:val="00886000"/>
    <w:rsid w:val="00886399"/>
    <w:rsid w:val="00887B18"/>
    <w:rsid w:val="008914FB"/>
    <w:rsid w:val="008937DA"/>
    <w:rsid w:val="008957D9"/>
    <w:rsid w:val="00896608"/>
    <w:rsid w:val="008974CA"/>
    <w:rsid w:val="00897BF3"/>
    <w:rsid w:val="008A08B4"/>
    <w:rsid w:val="008A1116"/>
    <w:rsid w:val="008A57FA"/>
    <w:rsid w:val="008A7509"/>
    <w:rsid w:val="008B036E"/>
    <w:rsid w:val="008B1D40"/>
    <w:rsid w:val="008B28CD"/>
    <w:rsid w:val="008B4712"/>
    <w:rsid w:val="008B53FD"/>
    <w:rsid w:val="008B54DC"/>
    <w:rsid w:val="008B5C06"/>
    <w:rsid w:val="008B6A79"/>
    <w:rsid w:val="008B79AD"/>
    <w:rsid w:val="008C03CB"/>
    <w:rsid w:val="008C046F"/>
    <w:rsid w:val="008C3997"/>
    <w:rsid w:val="008C3C9B"/>
    <w:rsid w:val="008C4E9A"/>
    <w:rsid w:val="008C502C"/>
    <w:rsid w:val="008C63FF"/>
    <w:rsid w:val="008C6646"/>
    <w:rsid w:val="008C7689"/>
    <w:rsid w:val="008D03A8"/>
    <w:rsid w:val="008D27CB"/>
    <w:rsid w:val="008D3977"/>
    <w:rsid w:val="008D4B9F"/>
    <w:rsid w:val="008D71B7"/>
    <w:rsid w:val="008D7CDC"/>
    <w:rsid w:val="008D7CE6"/>
    <w:rsid w:val="008E10EA"/>
    <w:rsid w:val="008E1F7F"/>
    <w:rsid w:val="008E292E"/>
    <w:rsid w:val="008E2D1D"/>
    <w:rsid w:val="008E4DF0"/>
    <w:rsid w:val="008E5D41"/>
    <w:rsid w:val="008F00E8"/>
    <w:rsid w:val="008F0FFE"/>
    <w:rsid w:val="008F1DAF"/>
    <w:rsid w:val="008F2F34"/>
    <w:rsid w:val="008F39FD"/>
    <w:rsid w:val="008F4D6A"/>
    <w:rsid w:val="008F76B2"/>
    <w:rsid w:val="00901E10"/>
    <w:rsid w:val="009026AA"/>
    <w:rsid w:val="009052FD"/>
    <w:rsid w:val="00905B05"/>
    <w:rsid w:val="00906056"/>
    <w:rsid w:val="00906142"/>
    <w:rsid w:val="009069E4"/>
    <w:rsid w:val="00910FFA"/>
    <w:rsid w:val="0091284E"/>
    <w:rsid w:val="00912B02"/>
    <w:rsid w:val="00912F1C"/>
    <w:rsid w:val="00913D18"/>
    <w:rsid w:val="00916D2C"/>
    <w:rsid w:val="00917271"/>
    <w:rsid w:val="0092034B"/>
    <w:rsid w:val="0092391E"/>
    <w:rsid w:val="00924A20"/>
    <w:rsid w:val="00926592"/>
    <w:rsid w:val="009305B4"/>
    <w:rsid w:val="00931B93"/>
    <w:rsid w:val="00932213"/>
    <w:rsid w:val="009335BF"/>
    <w:rsid w:val="00933D11"/>
    <w:rsid w:val="00933EED"/>
    <w:rsid w:val="00934652"/>
    <w:rsid w:val="009372C8"/>
    <w:rsid w:val="00937EAC"/>
    <w:rsid w:val="00940CDE"/>
    <w:rsid w:val="00940E6E"/>
    <w:rsid w:val="00944002"/>
    <w:rsid w:val="0094508B"/>
    <w:rsid w:val="00946A3E"/>
    <w:rsid w:val="00946D5C"/>
    <w:rsid w:val="0095016D"/>
    <w:rsid w:val="009505BD"/>
    <w:rsid w:val="009505CA"/>
    <w:rsid w:val="00950D42"/>
    <w:rsid w:val="009512C4"/>
    <w:rsid w:val="009538B0"/>
    <w:rsid w:val="00956A80"/>
    <w:rsid w:val="0095707E"/>
    <w:rsid w:val="00957EAF"/>
    <w:rsid w:val="00961E59"/>
    <w:rsid w:val="00962BA3"/>
    <w:rsid w:val="00962C46"/>
    <w:rsid w:val="00963F21"/>
    <w:rsid w:val="00964597"/>
    <w:rsid w:val="00966084"/>
    <w:rsid w:val="009660E8"/>
    <w:rsid w:val="00970744"/>
    <w:rsid w:val="00971200"/>
    <w:rsid w:val="009714B6"/>
    <w:rsid w:val="009715F0"/>
    <w:rsid w:val="00972746"/>
    <w:rsid w:val="0097560B"/>
    <w:rsid w:val="00975F35"/>
    <w:rsid w:val="00976AA9"/>
    <w:rsid w:val="0097742A"/>
    <w:rsid w:val="0097744F"/>
    <w:rsid w:val="00980A7C"/>
    <w:rsid w:val="00980EED"/>
    <w:rsid w:val="009820A7"/>
    <w:rsid w:val="00982B6F"/>
    <w:rsid w:val="00987B84"/>
    <w:rsid w:val="0099089C"/>
    <w:rsid w:val="0099110C"/>
    <w:rsid w:val="00991670"/>
    <w:rsid w:val="00992882"/>
    <w:rsid w:val="009929BA"/>
    <w:rsid w:val="0099688A"/>
    <w:rsid w:val="009968D1"/>
    <w:rsid w:val="009972AB"/>
    <w:rsid w:val="00997D8A"/>
    <w:rsid w:val="009A01F5"/>
    <w:rsid w:val="009A0C95"/>
    <w:rsid w:val="009A2515"/>
    <w:rsid w:val="009A37BF"/>
    <w:rsid w:val="009A4B69"/>
    <w:rsid w:val="009A5308"/>
    <w:rsid w:val="009A58F0"/>
    <w:rsid w:val="009A713F"/>
    <w:rsid w:val="009A7221"/>
    <w:rsid w:val="009A7A09"/>
    <w:rsid w:val="009B4BF4"/>
    <w:rsid w:val="009B58E4"/>
    <w:rsid w:val="009B6C8C"/>
    <w:rsid w:val="009C0EE2"/>
    <w:rsid w:val="009C0FCA"/>
    <w:rsid w:val="009C2A61"/>
    <w:rsid w:val="009C2FBD"/>
    <w:rsid w:val="009C3963"/>
    <w:rsid w:val="009C6A66"/>
    <w:rsid w:val="009C6EC2"/>
    <w:rsid w:val="009C76AD"/>
    <w:rsid w:val="009D133C"/>
    <w:rsid w:val="009D1897"/>
    <w:rsid w:val="009D323C"/>
    <w:rsid w:val="009D49ED"/>
    <w:rsid w:val="009D4F12"/>
    <w:rsid w:val="009D511E"/>
    <w:rsid w:val="009D5312"/>
    <w:rsid w:val="009D750E"/>
    <w:rsid w:val="009D7A6D"/>
    <w:rsid w:val="009D7F4F"/>
    <w:rsid w:val="009E23A0"/>
    <w:rsid w:val="009E3570"/>
    <w:rsid w:val="009E36D4"/>
    <w:rsid w:val="009E3780"/>
    <w:rsid w:val="009E3A7D"/>
    <w:rsid w:val="009E6AA7"/>
    <w:rsid w:val="009E70F4"/>
    <w:rsid w:val="009E7486"/>
    <w:rsid w:val="009E798D"/>
    <w:rsid w:val="009F1170"/>
    <w:rsid w:val="009F171E"/>
    <w:rsid w:val="009F1DAB"/>
    <w:rsid w:val="009F1EC0"/>
    <w:rsid w:val="009F2B15"/>
    <w:rsid w:val="009F2F87"/>
    <w:rsid w:val="009F3122"/>
    <w:rsid w:val="009F5D3B"/>
    <w:rsid w:val="009F649E"/>
    <w:rsid w:val="009F6B8D"/>
    <w:rsid w:val="009F72ED"/>
    <w:rsid w:val="009F7B62"/>
    <w:rsid w:val="00A027A2"/>
    <w:rsid w:val="00A039C8"/>
    <w:rsid w:val="00A06F7A"/>
    <w:rsid w:val="00A076E3"/>
    <w:rsid w:val="00A11108"/>
    <w:rsid w:val="00A112E8"/>
    <w:rsid w:val="00A120F8"/>
    <w:rsid w:val="00A170FD"/>
    <w:rsid w:val="00A17E3E"/>
    <w:rsid w:val="00A20BC7"/>
    <w:rsid w:val="00A22E8C"/>
    <w:rsid w:val="00A22FEC"/>
    <w:rsid w:val="00A233AC"/>
    <w:rsid w:val="00A24DF4"/>
    <w:rsid w:val="00A26876"/>
    <w:rsid w:val="00A31A22"/>
    <w:rsid w:val="00A3295A"/>
    <w:rsid w:val="00A346B1"/>
    <w:rsid w:val="00A35E2D"/>
    <w:rsid w:val="00A37617"/>
    <w:rsid w:val="00A404F1"/>
    <w:rsid w:val="00A41C6A"/>
    <w:rsid w:val="00A41F91"/>
    <w:rsid w:val="00A4373A"/>
    <w:rsid w:val="00A454C4"/>
    <w:rsid w:val="00A46B81"/>
    <w:rsid w:val="00A46E6B"/>
    <w:rsid w:val="00A46F25"/>
    <w:rsid w:val="00A477B3"/>
    <w:rsid w:val="00A50D48"/>
    <w:rsid w:val="00A5159C"/>
    <w:rsid w:val="00A52BFA"/>
    <w:rsid w:val="00A533A7"/>
    <w:rsid w:val="00A547B8"/>
    <w:rsid w:val="00A54CB3"/>
    <w:rsid w:val="00A628AF"/>
    <w:rsid w:val="00A64BED"/>
    <w:rsid w:val="00A6652A"/>
    <w:rsid w:val="00A677B0"/>
    <w:rsid w:val="00A7005D"/>
    <w:rsid w:val="00A70227"/>
    <w:rsid w:val="00A7090F"/>
    <w:rsid w:val="00A709BF"/>
    <w:rsid w:val="00A71220"/>
    <w:rsid w:val="00A72560"/>
    <w:rsid w:val="00A74B8A"/>
    <w:rsid w:val="00A758B1"/>
    <w:rsid w:val="00A75DB2"/>
    <w:rsid w:val="00A76F2A"/>
    <w:rsid w:val="00A806FE"/>
    <w:rsid w:val="00A81056"/>
    <w:rsid w:val="00A8455C"/>
    <w:rsid w:val="00A85F61"/>
    <w:rsid w:val="00A86238"/>
    <w:rsid w:val="00A86DB3"/>
    <w:rsid w:val="00A87B9F"/>
    <w:rsid w:val="00A91A7C"/>
    <w:rsid w:val="00A92E4F"/>
    <w:rsid w:val="00A9521B"/>
    <w:rsid w:val="00A95A5A"/>
    <w:rsid w:val="00A97C34"/>
    <w:rsid w:val="00AA038B"/>
    <w:rsid w:val="00AA1D4D"/>
    <w:rsid w:val="00AA25DC"/>
    <w:rsid w:val="00AA5220"/>
    <w:rsid w:val="00AA6A32"/>
    <w:rsid w:val="00AA6F66"/>
    <w:rsid w:val="00AB07A9"/>
    <w:rsid w:val="00AB09D8"/>
    <w:rsid w:val="00AB0E23"/>
    <w:rsid w:val="00AB50DD"/>
    <w:rsid w:val="00AB5694"/>
    <w:rsid w:val="00AC3D28"/>
    <w:rsid w:val="00AC41AE"/>
    <w:rsid w:val="00AC4CE9"/>
    <w:rsid w:val="00AC58B4"/>
    <w:rsid w:val="00AC6367"/>
    <w:rsid w:val="00AC7025"/>
    <w:rsid w:val="00AD064B"/>
    <w:rsid w:val="00AD0C15"/>
    <w:rsid w:val="00AD196F"/>
    <w:rsid w:val="00AD3C68"/>
    <w:rsid w:val="00AD3CCE"/>
    <w:rsid w:val="00AD40B3"/>
    <w:rsid w:val="00AD4815"/>
    <w:rsid w:val="00AD61F0"/>
    <w:rsid w:val="00AD66AB"/>
    <w:rsid w:val="00AD726E"/>
    <w:rsid w:val="00AE232C"/>
    <w:rsid w:val="00AE2760"/>
    <w:rsid w:val="00AE3976"/>
    <w:rsid w:val="00AE72D5"/>
    <w:rsid w:val="00AE7C3E"/>
    <w:rsid w:val="00AF0A6A"/>
    <w:rsid w:val="00AF16CE"/>
    <w:rsid w:val="00AF1702"/>
    <w:rsid w:val="00AF20E3"/>
    <w:rsid w:val="00AF2183"/>
    <w:rsid w:val="00AF2422"/>
    <w:rsid w:val="00AF2BA9"/>
    <w:rsid w:val="00AF396D"/>
    <w:rsid w:val="00AF3EB1"/>
    <w:rsid w:val="00AF48A6"/>
    <w:rsid w:val="00AF5BA9"/>
    <w:rsid w:val="00B006CF"/>
    <w:rsid w:val="00B0212B"/>
    <w:rsid w:val="00B02714"/>
    <w:rsid w:val="00B05322"/>
    <w:rsid w:val="00B063AD"/>
    <w:rsid w:val="00B07A46"/>
    <w:rsid w:val="00B07DCE"/>
    <w:rsid w:val="00B1076A"/>
    <w:rsid w:val="00B10D94"/>
    <w:rsid w:val="00B12123"/>
    <w:rsid w:val="00B13A16"/>
    <w:rsid w:val="00B151E5"/>
    <w:rsid w:val="00B155BE"/>
    <w:rsid w:val="00B16048"/>
    <w:rsid w:val="00B16EF2"/>
    <w:rsid w:val="00B21043"/>
    <w:rsid w:val="00B21309"/>
    <w:rsid w:val="00B240C9"/>
    <w:rsid w:val="00B253B2"/>
    <w:rsid w:val="00B25FAB"/>
    <w:rsid w:val="00B26E82"/>
    <w:rsid w:val="00B27508"/>
    <w:rsid w:val="00B325D0"/>
    <w:rsid w:val="00B32C07"/>
    <w:rsid w:val="00B33AA1"/>
    <w:rsid w:val="00B344E6"/>
    <w:rsid w:val="00B3456A"/>
    <w:rsid w:val="00B347EA"/>
    <w:rsid w:val="00B37772"/>
    <w:rsid w:val="00B4023A"/>
    <w:rsid w:val="00B407D8"/>
    <w:rsid w:val="00B42EA0"/>
    <w:rsid w:val="00B43935"/>
    <w:rsid w:val="00B44CAC"/>
    <w:rsid w:val="00B45030"/>
    <w:rsid w:val="00B46089"/>
    <w:rsid w:val="00B462A5"/>
    <w:rsid w:val="00B469BF"/>
    <w:rsid w:val="00B47027"/>
    <w:rsid w:val="00B47A2B"/>
    <w:rsid w:val="00B47FBB"/>
    <w:rsid w:val="00B501D2"/>
    <w:rsid w:val="00B51499"/>
    <w:rsid w:val="00B534CB"/>
    <w:rsid w:val="00B548E7"/>
    <w:rsid w:val="00B570AE"/>
    <w:rsid w:val="00B573D6"/>
    <w:rsid w:val="00B6130D"/>
    <w:rsid w:val="00B64CCC"/>
    <w:rsid w:val="00B651D7"/>
    <w:rsid w:val="00B6579F"/>
    <w:rsid w:val="00B66680"/>
    <w:rsid w:val="00B67222"/>
    <w:rsid w:val="00B715EA"/>
    <w:rsid w:val="00B72C84"/>
    <w:rsid w:val="00B7397F"/>
    <w:rsid w:val="00B73A30"/>
    <w:rsid w:val="00B73E65"/>
    <w:rsid w:val="00B76720"/>
    <w:rsid w:val="00B76A4B"/>
    <w:rsid w:val="00B76E49"/>
    <w:rsid w:val="00B77778"/>
    <w:rsid w:val="00B7796A"/>
    <w:rsid w:val="00B77B77"/>
    <w:rsid w:val="00B77C33"/>
    <w:rsid w:val="00B77D84"/>
    <w:rsid w:val="00B802AB"/>
    <w:rsid w:val="00B803D5"/>
    <w:rsid w:val="00B80DE0"/>
    <w:rsid w:val="00B81455"/>
    <w:rsid w:val="00B81AA1"/>
    <w:rsid w:val="00B85B5E"/>
    <w:rsid w:val="00B86C5D"/>
    <w:rsid w:val="00B90B19"/>
    <w:rsid w:val="00B90EF9"/>
    <w:rsid w:val="00B91379"/>
    <w:rsid w:val="00B9185C"/>
    <w:rsid w:val="00B93C0E"/>
    <w:rsid w:val="00B9627F"/>
    <w:rsid w:val="00B96290"/>
    <w:rsid w:val="00B97D20"/>
    <w:rsid w:val="00BA1DCE"/>
    <w:rsid w:val="00BA2415"/>
    <w:rsid w:val="00BA34EB"/>
    <w:rsid w:val="00BA4DB2"/>
    <w:rsid w:val="00BA4F95"/>
    <w:rsid w:val="00BB00EA"/>
    <w:rsid w:val="00BB2173"/>
    <w:rsid w:val="00BB33F9"/>
    <w:rsid w:val="00BB399A"/>
    <w:rsid w:val="00BB4295"/>
    <w:rsid w:val="00BB461F"/>
    <w:rsid w:val="00BB5A2A"/>
    <w:rsid w:val="00BB6F30"/>
    <w:rsid w:val="00BB72EA"/>
    <w:rsid w:val="00BC0338"/>
    <w:rsid w:val="00BC2CE7"/>
    <w:rsid w:val="00BC3405"/>
    <w:rsid w:val="00BC3CE6"/>
    <w:rsid w:val="00BC4889"/>
    <w:rsid w:val="00BC63DA"/>
    <w:rsid w:val="00BD139A"/>
    <w:rsid w:val="00BD19E0"/>
    <w:rsid w:val="00BD3331"/>
    <w:rsid w:val="00BD3ACF"/>
    <w:rsid w:val="00BD4F03"/>
    <w:rsid w:val="00BD522C"/>
    <w:rsid w:val="00BD58BB"/>
    <w:rsid w:val="00BD595A"/>
    <w:rsid w:val="00BD70A6"/>
    <w:rsid w:val="00BE4A18"/>
    <w:rsid w:val="00BE56D5"/>
    <w:rsid w:val="00BE5E41"/>
    <w:rsid w:val="00BE6C7F"/>
    <w:rsid w:val="00BE7F03"/>
    <w:rsid w:val="00BF078E"/>
    <w:rsid w:val="00BF3A06"/>
    <w:rsid w:val="00C00721"/>
    <w:rsid w:val="00C007E2"/>
    <w:rsid w:val="00C00A55"/>
    <w:rsid w:val="00C046CA"/>
    <w:rsid w:val="00C1133B"/>
    <w:rsid w:val="00C11DF1"/>
    <w:rsid w:val="00C13A3F"/>
    <w:rsid w:val="00C1451F"/>
    <w:rsid w:val="00C14D90"/>
    <w:rsid w:val="00C160A1"/>
    <w:rsid w:val="00C2204C"/>
    <w:rsid w:val="00C23E23"/>
    <w:rsid w:val="00C24EDC"/>
    <w:rsid w:val="00C24F09"/>
    <w:rsid w:val="00C25A76"/>
    <w:rsid w:val="00C27472"/>
    <w:rsid w:val="00C275FD"/>
    <w:rsid w:val="00C3062C"/>
    <w:rsid w:val="00C31591"/>
    <w:rsid w:val="00C31EB3"/>
    <w:rsid w:val="00C32206"/>
    <w:rsid w:val="00C32F79"/>
    <w:rsid w:val="00C33E7C"/>
    <w:rsid w:val="00C35510"/>
    <w:rsid w:val="00C3559A"/>
    <w:rsid w:val="00C377D6"/>
    <w:rsid w:val="00C40D40"/>
    <w:rsid w:val="00C422C8"/>
    <w:rsid w:val="00C445EE"/>
    <w:rsid w:val="00C45C67"/>
    <w:rsid w:val="00C45FD1"/>
    <w:rsid w:val="00C46324"/>
    <w:rsid w:val="00C47091"/>
    <w:rsid w:val="00C51199"/>
    <w:rsid w:val="00C523FF"/>
    <w:rsid w:val="00C52533"/>
    <w:rsid w:val="00C550B1"/>
    <w:rsid w:val="00C619E4"/>
    <w:rsid w:val="00C6486D"/>
    <w:rsid w:val="00C65971"/>
    <w:rsid w:val="00C65C43"/>
    <w:rsid w:val="00C66B27"/>
    <w:rsid w:val="00C70093"/>
    <w:rsid w:val="00C71C3C"/>
    <w:rsid w:val="00C7235F"/>
    <w:rsid w:val="00C725A3"/>
    <w:rsid w:val="00C74961"/>
    <w:rsid w:val="00C7588E"/>
    <w:rsid w:val="00C75EA1"/>
    <w:rsid w:val="00C75EF5"/>
    <w:rsid w:val="00C76998"/>
    <w:rsid w:val="00C77115"/>
    <w:rsid w:val="00C779F3"/>
    <w:rsid w:val="00C802EC"/>
    <w:rsid w:val="00C808C3"/>
    <w:rsid w:val="00C8775C"/>
    <w:rsid w:val="00C9070E"/>
    <w:rsid w:val="00C91E16"/>
    <w:rsid w:val="00C92F08"/>
    <w:rsid w:val="00C93629"/>
    <w:rsid w:val="00C93E83"/>
    <w:rsid w:val="00C96706"/>
    <w:rsid w:val="00C96A87"/>
    <w:rsid w:val="00C979E9"/>
    <w:rsid w:val="00CA235D"/>
    <w:rsid w:val="00CA2C64"/>
    <w:rsid w:val="00CA3031"/>
    <w:rsid w:val="00CA307D"/>
    <w:rsid w:val="00CA48C3"/>
    <w:rsid w:val="00CA505F"/>
    <w:rsid w:val="00CA5841"/>
    <w:rsid w:val="00CA593D"/>
    <w:rsid w:val="00CA65FC"/>
    <w:rsid w:val="00CA687E"/>
    <w:rsid w:val="00CB195B"/>
    <w:rsid w:val="00CB45F2"/>
    <w:rsid w:val="00CB716C"/>
    <w:rsid w:val="00CC2A8F"/>
    <w:rsid w:val="00CC2C5F"/>
    <w:rsid w:val="00CC3EF2"/>
    <w:rsid w:val="00CC4927"/>
    <w:rsid w:val="00CC5D11"/>
    <w:rsid w:val="00CC68FF"/>
    <w:rsid w:val="00CD1505"/>
    <w:rsid w:val="00CD1B5B"/>
    <w:rsid w:val="00CD239B"/>
    <w:rsid w:val="00CD385B"/>
    <w:rsid w:val="00CD45A3"/>
    <w:rsid w:val="00CD497E"/>
    <w:rsid w:val="00CD7023"/>
    <w:rsid w:val="00CD77A2"/>
    <w:rsid w:val="00CE0131"/>
    <w:rsid w:val="00CE0620"/>
    <w:rsid w:val="00CE0C99"/>
    <w:rsid w:val="00CE0F68"/>
    <w:rsid w:val="00CE1361"/>
    <w:rsid w:val="00CE1CBC"/>
    <w:rsid w:val="00CE2226"/>
    <w:rsid w:val="00CE2864"/>
    <w:rsid w:val="00CE3189"/>
    <w:rsid w:val="00CE3436"/>
    <w:rsid w:val="00CE5C6F"/>
    <w:rsid w:val="00CE5CA8"/>
    <w:rsid w:val="00CE7915"/>
    <w:rsid w:val="00CF10BE"/>
    <w:rsid w:val="00CF11EE"/>
    <w:rsid w:val="00CF309F"/>
    <w:rsid w:val="00CF316A"/>
    <w:rsid w:val="00CF3625"/>
    <w:rsid w:val="00D0076A"/>
    <w:rsid w:val="00D01A0D"/>
    <w:rsid w:val="00D021B8"/>
    <w:rsid w:val="00D02EF5"/>
    <w:rsid w:val="00D0327E"/>
    <w:rsid w:val="00D04A59"/>
    <w:rsid w:val="00D05041"/>
    <w:rsid w:val="00D053F3"/>
    <w:rsid w:val="00D1031E"/>
    <w:rsid w:val="00D113FA"/>
    <w:rsid w:val="00D12004"/>
    <w:rsid w:val="00D151B8"/>
    <w:rsid w:val="00D20BBD"/>
    <w:rsid w:val="00D21780"/>
    <w:rsid w:val="00D23346"/>
    <w:rsid w:val="00D243B8"/>
    <w:rsid w:val="00D2682A"/>
    <w:rsid w:val="00D309AC"/>
    <w:rsid w:val="00D32963"/>
    <w:rsid w:val="00D33FEB"/>
    <w:rsid w:val="00D34794"/>
    <w:rsid w:val="00D34FF0"/>
    <w:rsid w:val="00D35BA4"/>
    <w:rsid w:val="00D369EF"/>
    <w:rsid w:val="00D4128B"/>
    <w:rsid w:val="00D41F7B"/>
    <w:rsid w:val="00D44CB9"/>
    <w:rsid w:val="00D4502D"/>
    <w:rsid w:val="00D46415"/>
    <w:rsid w:val="00D46923"/>
    <w:rsid w:val="00D469BC"/>
    <w:rsid w:val="00D52CC2"/>
    <w:rsid w:val="00D530CE"/>
    <w:rsid w:val="00D53E3C"/>
    <w:rsid w:val="00D55F59"/>
    <w:rsid w:val="00D57674"/>
    <w:rsid w:val="00D60B67"/>
    <w:rsid w:val="00D63250"/>
    <w:rsid w:val="00D6351C"/>
    <w:rsid w:val="00D66EBC"/>
    <w:rsid w:val="00D70472"/>
    <w:rsid w:val="00D71AA3"/>
    <w:rsid w:val="00D752B6"/>
    <w:rsid w:val="00D76B32"/>
    <w:rsid w:val="00D77950"/>
    <w:rsid w:val="00D81515"/>
    <w:rsid w:val="00D81C98"/>
    <w:rsid w:val="00D85418"/>
    <w:rsid w:val="00D8634E"/>
    <w:rsid w:val="00D90A40"/>
    <w:rsid w:val="00D90E6D"/>
    <w:rsid w:val="00D91792"/>
    <w:rsid w:val="00D921B2"/>
    <w:rsid w:val="00D93AC6"/>
    <w:rsid w:val="00D95254"/>
    <w:rsid w:val="00D95291"/>
    <w:rsid w:val="00D9572F"/>
    <w:rsid w:val="00D95A88"/>
    <w:rsid w:val="00D95BD2"/>
    <w:rsid w:val="00D95D55"/>
    <w:rsid w:val="00D97BD4"/>
    <w:rsid w:val="00DA234D"/>
    <w:rsid w:val="00DA2393"/>
    <w:rsid w:val="00DA328C"/>
    <w:rsid w:val="00DA37BC"/>
    <w:rsid w:val="00DA43D1"/>
    <w:rsid w:val="00DB1896"/>
    <w:rsid w:val="00DB361D"/>
    <w:rsid w:val="00DB6171"/>
    <w:rsid w:val="00DB698C"/>
    <w:rsid w:val="00DC0527"/>
    <w:rsid w:val="00DC1694"/>
    <w:rsid w:val="00DC35E4"/>
    <w:rsid w:val="00DC3762"/>
    <w:rsid w:val="00DC43BC"/>
    <w:rsid w:val="00DC4DB1"/>
    <w:rsid w:val="00DC5C47"/>
    <w:rsid w:val="00DC705B"/>
    <w:rsid w:val="00DC7D7A"/>
    <w:rsid w:val="00DD0356"/>
    <w:rsid w:val="00DD4A87"/>
    <w:rsid w:val="00DD616A"/>
    <w:rsid w:val="00DD6AEB"/>
    <w:rsid w:val="00DD6B48"/>
    <w:rsid w:val="00DE0465"/>
    <w:rsid w:val="00DE2CD6"/>
    <w:rsid w:val="00DE3E16"/>
    <w:rsid w:val="00DE40FE"/>
    <w:rsid w:val="00DE47AA"/>
    <w:rsid w:val="00DE48E0"/>
    <w:rsid w:val="00DE4E25"/>
    <w:rsid w:val="00DE7216"/>
    <w:rsid w:val="00DE77AF"/>
    <w:rsid w:val="00DF07C1"/>
    <w:rsid w:val="00DF51D9"/>
    <w:rsid w:val="00DF6D90"/>
    <w:rsid w:val="00E007AF"/>
    <w:rsid w:val="00E03870"/>
    <w:rsid w:val="00E03A76"/>
    <w:rsid w:val="00E049ED"/>
    <w:rsid w:val="00E06A1B"/>
    <w:rsid w:val="00E10126"/>
    <w:rsid w:val="00E10D2E"/>
    <w:rsid w:val="00E11CA7"/>
    <w:rsid w:val="00E130EB"/>
    <w:rsid w:val="00E14E99"/>
    <w:rsid w:val="00E15241"/>
    <w:rsid w:val="00E159FB"/>
    <w:rsid w:val="00E16DD4"/>
    <w:rsid w:val="00E17B47"/>
    <w:rsid w:val="00E17F7F"/>
    <w:rsid w:val="00E207E3"/>
    <w:rsid w:val="00E20CC6"/>
    <w:rsid w:val="00E2108C"/>
    <w:rsid w:val="00E24640"/>
    <w:rsid w:val="00E24EF2"/>
    <w:rsid w:val="00E25357"/>
    <w:rsid w:val="00E263CE"/>
    <w:rsid w:val="00E26F9F"/>
    <w:rsid w:val="00E27B5A"/>
    <w:rsid w:val="00E27BA3"/>
    <w:rsid w:val="00E31349"/>
    <w:rsid w:val="00E314DD"/>
    <w:rsid w:val="00E32867"/>
    <w:rsid w:val="00E34E6D"/>
    <w:rsid w:val="00E356BA"/>
    <w:rsid w:val="00E35A69"/>
    <w:rsid w:val="00E37CD4"/>
    <w:rsid w:val="00E4080C"/>
    <w:rsid w:val="00E408E3"/>
    <w:rsid w:val="00E40BC2"/>
    <w:rsid w:val="00E415A8"/>
    <w:rsid w:val="00E415AC"/>
    <w:rsid w:val="00E42C50"/>
    <w:rsid w:val="00E43D7C"/>
    <w:rsid w:val="00E43F39"/>
    <w:rsid w:val="00E47397"/>
    <w:rsid w:val="00E47D32"/>
    <w:rsid w:val="00E47D47"/>
    <w:rsid w:val="00E5006F"/>
    <w:rsid w:val="00E516F5"/>
    <w:rsid w:val="00E52576"/>
    <w:rsid w:val="00E5335B"/>
    <w:rsid w:val="00E546CF"/>
    <w:rsid w:val="00E57848"/>
    <w:rsid w:val="00E603C2"/>
    <w:rsid w:val="00E6172E"/>
    <w:rsid w:val="00E6196E"/>
    <w:rsid w:val="00E635F2"/>
    <w:rsid w:val="00E64FCD"/>
    <w:rsid w:val="00E66052"/>
    <w:rsid w:val="00E66202"/>
    <w:rsid w:val="00E72ED8"/>
    <w:rsid w:val="00E73459"/>
    <w:rsid w:val="00E7350F"/>
    <w:rsid w:val="00E7463D"/>
    <w:rsid w:val="00E750BF"/>
    <w:rsid w:val="00E772D0"/>
    <w:rsid w:val="00E80FA5"/>
    <w:rsid w:val="00E82FA5"/>
    <w:rsid w:val="00E8451A"/>
    <w:rsid w:val="00E865D5"/>
    <w:rsid w:val="00E90708"/>
    <w:rsid w:val="00E9170A"/>
    <w:rsid w:val="00E91AFD"/>
    <w:rsid w:val="00E92A5B"/>
    <w:rsid w:val="00E936D4"/>
    <w:rsid w:val="00E94F1F"/>
    <w:rsid w:val="00E96E5E"/>
    <w:rsid w:val="00EA34E0"/>
    <w:rsid w:val="00EA3B3D"/>
    <w:rsid w:val="00EB0A35"/>
    <w:rsid w:val="00EB1C2B"/>
    <w:rsid w:val="00EB2B90"/>
    <w:rsid w:val="00EB31C9"/>
    <w:rsid w:val="00EB34A2"/>
    <w:rsid w:val="00EB46D1"/>
    <w:rsid w:val="00EB508E"/>
    <w:rsid w:val="00EB5900"/>
    <w:rsid w:val="00EC1069"/>
    <w:rsid w:val="00EC1C2C"/>
    <w:rsid w:val="00EC27E6"/>
    <w:rsid w:val="00EC7FA4"/>
    <w:rsid w:val="00ED0135"/>
    <w:rsid w:val="00ED0949"/>
    <w:rsid w:val="00ED16EF"/>
    <w:rsid w:val="00ED21C3"/>
    <w:rsid w:val="00ED388C"/>
    <w:rsid w:val="00ED3A6B"/>
    <w:rsid w:val="00ED46C3"/>
    <w:rsid w:val="00ED5717"/>
    <w:rsid w:val="00ED572F"/>
    <w:rsid w:val="00ED5BBF"/>
    <w:rsid w:val="00ED6567"/>
    <w:rsid w:val="00EE4F89"/>
    <w:rsid w:val="00EE6384"/>
    <w:rsid w:val="00EE7A7B"/>
    <w:rsid w:val="00EF021B"/>
    <w:rsid w:val="00EF02B0"/>
    <w:rsid w:val="00EF13A4"/>
    <w:rsid w:val="00EF2D0F"/>
    <w:rsid w:val="00EF3853"/>
    <w:rsid w:val="00EF70E0"/>
    <w:rsid w:val="00F0194D"/>
    <w:rsid w:val="00F01B61"/>
    <w:rsid w:val="00F038C4"/>
    <w:rsid w:val="00F03E36"/>
    <w:rsid w:val="00F0621D"/>
    <w:rsid w:val="00F11338"/>
    <w:rsid w:val="00F13AE5"/>
    <w:rsid w:val="00F14285"/>
    <w:rsid w:val="00F149FD"/>
    <w:rsid w:val="00F14EC1"/>
    <w:rsid w:val="00F14FE8"/>
    <w:rsid w:val="00F1500C"/>
    <w:rsid w:val="00F1523B"/>
    <w:rsid w:val="00F20F75"/>
    <w:rsid w:val="00F22E75"/>
    <w:rsid w:val="00F2542A"/>
    <w:rsid w:val="00F2586A"/>
    <w:rsid w:val="00F26227"/>
    <w:rsid w:val="00F31E5C"/>
    <w:rsid w:val="00F35416"/>
    <w:rsid w:val="00F36519"/>
    <w:rsid w:val="00F36D95"/>
    <w:rsid w:val="00F409F9"/>
    <w:rsid w:val="00F42330"/>
    <w:rsid w:val="00F4262F"/>
    <w:rsid w:val="00F433B0"/>
    <w:rsid w:val="00F434AE"/>
    <w:rsid w:val="00F43DFA"/>
    <w:rsid w:val="00F45358"/>
    <w:rsid w:val="00F46776"/>
    <w:rsid w:val="00F478EF"/>
    <w:rsid w:val="00F47C13"/>
    <w:rsid w:val="00F50580"/>
    <w:rsid w:val="00F51265"/>
    <w:rsid w:val="00F5256E"/>
    <w:rsid w:val="00F527DB"/>
    <w:rsid w:val="00F53719"/>
    <w:rsid w:val="00F5554A"/>
    <w:rsid w:val="00F5642B"/>
    <w:rsid w:val="00F57291"/>
    <w:rsid w:val="00F57372"/>
    <w:rsid w:val="00F61870"/>
    <w:rsid w:val="00F63913"/>
    <w:rsid w:val="00F64759"/>
    <w:rsid w:val="00F661C7"/>
    <w:rsid w:val="00F66B05"/>
    <w:rsid w:val="00F66CB0"/>
    <w:rsid w:val="00F722E1"/>
    <w:rsid w:val="00F7240A"/>
    <w:rsid w:val="00F72611"/>
    <w:rsid w:val="00F74C59"/>
    <w:rsid w:val="00F768BD"/>
    <w:rsid w:val="00F76900"/>
    <w:rsid w:val="00F76C89"/>
    <w:rsid w:val="00F77ADD"/>
    <w:rsid w:val="00F77D39"/>
    <w:rsid w:val="00F80648"/>
    <w:rsid w:val="00F807E1"/>
    <w:rsid w:val="00F8085C"/>
    <w:rsid w:val="00F835C3"/>
    <w:rsid w:val="00F83AF8"/>
    <w:rsid w:val="00F83F04"/>
    <w:rsid w:val="00F86A84"/>
    <w:rsid w:val="00F87176"/>
    <w:rsid w:val="00F90FD5"/>
    <w:rsid w:val="00F9158A"/>
    <w:rsid w:val="00F91DCA"/>
    <w:rsid w:val="00F92073"/>
    <w:rsid w:val="00F92E99"/>
    <w:rsid w:val="00F95F49"/>
    <w:rsid w:val="00F964F4"/>
    <w:rsid w:val="00FA066F"/>
    <w:rsid w:val="00FA12C4"/>
    <w:rsid w:val="00FA29B8"/>
    <w:rsid w:val="00FA4DCA"/>
    <w:rsid w:val="00FA58FF"/>
    <w:rsid w:val="00FA61A5"/>
    <w:rsid w:val="00FB263E"/>
    <w:rsid w:val="00FB2CB7"/>
    <w:rsid w:val="00FB38C1"/>
    <w:rsid w:val="00FB3BEA"/>
    <w:rsid w:val="00FB4F15"/>
    <w:rsid w:val="00FB72FF"/>
    <w:rsid w:val="00FB7D9E"/>
    <w:rsid w:val="00FC41D8"/>
    <w:rsid w:val="00FC5726"/>
    <w:rsid w:val="00FC6404"/>
    <w:rsid w:val="00FC691A"/>
    <w:rsid w:val="00FC7CBC"/>
    <w:rsid w:val="00FD3B1F"/>
    <w:rsid w:val="00FD3D92"/>
    <w:rsid w:val="00FD4143"/>
    <w:rsid w:val="00FD4EC6"/>
    <w:rsid w:val="00FD7261"/>
    <w:rsid w:val="00FE0D7E"/>
    <w:rsid w:val="00FE148B"/>
    <w:rsid w:val="00FE2E3D"/>
    <w:rsid w:val="00FE3135"/>
    <w:rsid w:val="00FE3997"/>
    <w:rsid w:val="00FF0785"/>
    <w:rsid w:val="00FF1501"/>
    <w:rsid w:val="00FF4B0D"/>
    <w:rsid w:val="00FF56DD"/>
    <w:rsid w:val="00FF5C37"/>
    <w:rsid w:val="00FF5CF7"/>
    <w:rsid w:val="00FF6D61"/>
    <w:rsid w:val="01D8D76A"/>
    <w:rsid w:val="02049869"/>
    <w:rsid w:val="029E1C55"/>
    <w:rsid w:val="02C11274"/>
    <w:rsid w:val="02E9CA9A"/>
    <w:rsid w:val="03ABD78C"/>
    <w:rsid w:val="041AE13E"/>
    <w:rsid w:val="049BD990"/>
    <w:rsid w:val="0548866C"/>
    <w:rsid w:val="068E6B09"/>
    <w:rsid w:val="069A35DA"/>
    <w:rsid w:val="085A7713"/>
    <w:rsid w:val="09469B29"/>
    <w:rsid w:val="0A2449BC"/>
    <w:rsid w:val="0A363A9D"/>
    <w:rsid w:val="0A781DA2"/>
    <w:rsid w:val="0BA607AD"/>
    <w:rsid w:val="0BE89F72"/>
    <w:rsid w:val="0CBD119D"/>
    <w:rsid w:val="0D8B77B6"/>
    <w:rsid w:val="0DF02A00"/>
    <w:rsid w:val="0E4185F9"/>
    <w:rsid w:val="0F22DA12"/>
    <w:rsid w:val="0FF5956C"/>
    <w:rsid w:val="10E79A90"/>
    <w:rsid w:val="11035165"/>
    <w:rsid w:val="111D464D"/>
    <w:rsid w:val="138FD4C2"/>
    <w:rsid w:val="13B0D8AB"/>
    <w:rsid w:val="13B46185"/>
    <w:rsid w:val="141EB453"/>
    <w:rsid w:val="143AF227"/>
    <w:rsid w:val="148E1A7E"/>
    <w:rsid w:val="1548AA02"/>
    <w:rsid w:val="1567ACED"/>
    <w:rsid w:val="15BAB676"/>
    <w:rsid w:val="167F37DA"/>
    <w:rsid w:val="17C2880A"/>
    <w:rsid w:val="1856B0DE"/>
    <w:rsid w:val="18C2B102"/>
    <w:rsid w:val="1B0B3684"/>
    <w:rsid w:val="1BD0499A"/>
    <w:rsid w:val="1CA38E22"/>
    <w:rsid w:val="1CCC611F"/>
    <w:rsid w:val="1D1D8EAB"/>
    <w:rsid w:val="1D361A10"/>
    <w:rsid w:val="1D589F0E"/>
    <w:rsid w:val="1D854BF5"/>
    <w:rsid w:val="1E4253CE"/>
    <w:rsid w:val="1EB9F104"/>
    <w:rsid w:val="1ED4BD10"/>
    <w:rsid w:val="1F49E174"/>
    <w:rsid w:val="1F7933E5"/>
    <w:rsid w:val="201C949B"/>
    <w:rsid w:val="206B6FD5"/>
    <w:rsid w:val="20B6E111"/>
    <w:rsid w:val="20E25674"/>
    <w:rsid w:val="221E9928"/>
    <w:rsid w:val="22501706"/>
    <w:rsid w:val="23157E20"/>
    <w:rsid w:val="2332F783"/>
    <w:rsid w:val="240B9EF5"/>
    <w:rsid w:val="245F9812"/>
    <w:rsid w:val="24962EFA"/>
    <w:rsid w:val="24A64ED5"/>
    <w:rsid w:val="24E94C8B"/>
    <w:rsid w:val="2527B573"/>
    <w:rsid w:val="26051D88"/>
    <w:rsid w:val="2676A49C"/>
    <w:rsid w:val="27B833E4"/>
    <w:rsid w:val="2868C21D"/>
    <w:rsid w:val="2873606D"/>
    <w:rsid w:val="28C41DE7"/>
    <w:rsid w:val="2908047A"/>
    <w:rsid w:val="29103C46"/>
    <w:rsid w:val="2914298A"/>
    <w:rsid w:val="2A313AB3"/>
    <w:rsid w:val="2B476669"/>
    <w:rsid w:val="2BAE2FEA"/>
    <w:rsid w:val="2D286AF6"/>
    <w:rsid w:val="2DC71071"/>
    <w:rsid w:val="2E04C53B"/>
    <w:rsid w:val="2E0858BE"/>
    <w:rsid w:val="2E42D36C"/>
    <w:rsid w:val="2EB80707"/>
    <w:rsid w:val="2EFBD76E"/>
    <w:rsid w:val="2FA2F4AF"/>
    <w:rsid w:val="2FDDF5BA"/>
    <w:rsid w:val="300CB0EB"/>
    <w:rsid w:val="30142B1D"/>
    <w:rsid w:val="309ECC8D"/>
    <w:rsid w:val="30BAFAD8"/>
    <w:rsid w:val="30CE1EF8"/>
    <w:rsid w:val="30DACB36"/>
    <w:rsid w:val="30ECEA5E"/>
    <w:rsid w:val="3161FA83"/>
    <w:rsid w:val="32697A2B"/>
    <w:rsid w:val="32FB90F2"/>
    <w:rsid w:val="334E67F6"/>
    <w:rsid w:val="336A5E8A"/>
    <w:rsid w:val="33BBDB79"/>
    <w:rsid w:val="33BFAD43"/>
    <w:rsid w:val="3413FF8F"/>
    <w:rsid w:val="34DE3BB0"/>
    <w:rsid w:val="350A5451"/>
    <w:rsid w:val="36A1E4A3"/>
    <w:rsid w:val="36D70361"/>
    <w:rsid w:val="38473CFB"/>
    <w:rsid w:val="38E22F37"/>
    <w:rsid w:val="396D3806"/>
    <w:rsid w:val="39B016EA"/>
    <w:rsid w:val="39C98DBF"/>
    <w:rsid w:val="3A11CCA3"/>
    <w:rsid w:val="3AB9BFB2"/>
    <w:rsid w:val="3B27A535"/>
    <w:rsid w:val="3B762F35"/>
    <w:rsid w:val="3BA406F9"/>
    <w:rsid w:val="3CA3FE78"/>
    <w:rsid w:val="3CDA285D"/>
    <w:rsid w:val="3D02EB6E"/>
    <w:rsid w:val="3D6B3BD4"/>
    <w:rsid w:val="3E0D87C6"/>
    <w:rsid w:val="40302423"/>
    <w:rsid w:val="4068C78A"/>
    <w:rsid w:val="408525A2"/>
    <w:rsid w:val="40B9A713"/>
    <w:rsid w:val="4113EEF0"/>
    <w:rsid w:val="42029FAD"/>
    <w:rsid w:val="422252D4"/>
    <w:rsid w:val="42845AEB"/>
    <w:rsid w:val="42A3D5C1"/>
    <w:rsid w:val="42AA4874"/>
    <w:rsid w:val="432D2225"/>
    <w:rsid w:val="4370899E"/>
    <w:rsid w:val="43952F7A"/>
    <w:rsid w:val="43A46919"/>
    <w:rsid w:val="43C41540"/>
    <w:rsid w:val="44BF8A3F"/>
    <w:rsid w:val="45BC929A"/>
    <w:rsid w:val="4620C17F"/>
    <w:rsid w:val="46C7FD27"/>
    <w:rsid w:val="46EF2064"/>
    <w:rsid w:val="47255A13"/>
    <w:rsid w:val="47E593E4"/>
    <w:rsid w:val="48067885"/>
    <w:rsid w:val="48C8BE02"/>
    <w:rsid w:val="49441022"/>
    <w:rsid w:val="495241D5"/>
    <w:rsid w:val="496F1102"/>
    <w:rsid w:val="49B29100"/>
    <w:rsid w:val="4A6FAE16"/>
    <w:rsid w:val="4ADACFF7"/>
    <w:rsid w:val="4B2620A3"/>
    <w:rsid w:val="4BCCEC62"/>
    <w:rsid w:val="4C6C33DE"/>
    <w:rsid w:val="4C950F31"/>
    <w:rsid w:val="4CD43C3B"/>
    <w:rsid w:val="4CE0429C"/>
    <w:rsid w:val="4D0A8E59"/>
    <w:rsid w:val="4DA18E1D"/>
    <w:rsid w:val="4E64BA6A"/>
    <w:rsid w:val="4E8B0AE6"/>
    <w:rsid w:val="4E8D365D"/>
    <w:rsid w:val="4EC388D4"/>
    <w:rsid w:val="4EFACD82"/>
    <w:rsid w:val="4FDDCE52"/>
    <w:rsid w:val="50896FEB"/>
    <w:rsid w:val="509C5FA1"/>
    <w:rsid w:val="513D9169"/>
    <w:rsid w:val="5168883F"/>
    <w:rsid w:val="51DE8147"/>
    <w:rsid w:val="52EE5285"/>
    <w:rsid w:val="5318E7DF"/>
    <w:rsid w:val="550D7F95"/>
    <w:rsid w:val="5515A03E"/>
    <w:rsid w:val="5559F2E9"/>
    <w:rsid w:val="5585B3E8"/>
    <w:rsid w:val="56EAE927"/>
    <w:rsid w:val="57C449EF"/>
    <w:rsid w:val="584D7640"/>
    <w:rsid w:val="58B7F7BC"/>
    <w:rsid w:val="593C29DE"/>
    <w:rsid w:val="595A6190"/>
    <w:rsid w:val="596C0C6F"/>
    <w:rsid w:val="596D1CCD"/>
    <w:rsid w:val="5AABA441"/>
    <w:rsid w:val="5BE42661"/>
    <w:rsid w:val="5CAB7B2A"/>
    <w:rsid w:val="5D71DBF4"/>
    <w:rsid w:val="5E1C0064"/>
    <w:rsid w:val="5E4D7C0B"/>
    <w:rsid w:val="5E9332E6"/>
    <w:rsid w:val="5EB7EDAE"/>
    <w:rsid w:val="5F6E004D"/>
    <w:rsid w:val="5FE94C6C"/>
    <w:rsid w:val="609F6421"/>
    <w:rsid w:val="6125241A"/>
    <w:rsid w:val="61851CCD"/>
    <w:rsid w:val="61D64457"/>
    <w:rsid w:val="61DCDF5F"/>
    <w:rsid w:val="62863F4B"/>
    <w:rsid w:val="62F24F76"/>
    <w:rsid w:val="636E1329"/>
    <w:rsid w:val="63E6477C"/>
    <w:rsid w:val="64220FAC"/>
    <w:rsid w:val="65017AF4"/>
    <w:rsid w:val="650AC697"/>
    <w:rsid w:val="66B65992"/>
    <w:rsid w:val="66C18F5A"/>
    <w:rsid w:val="6726079A"/>
    <w:rsid w:val="67ACE9AB"/>
    <w:rsid w:val="685229F3"/>
    <w:rsid w:val="6899464B"/>
    <w:rsid w:val="68A2CF7D"/>
    <w:rsid w:val="68FE4AE7"/>
    <w:rsid w:val="69721BBE"/>
    <w:rsid w:val="69808E9A"/>
    <w:rsid w:val="6996199D"/>
    <w:rsid w:val="6A9E1A52"/>
    <w:rsid w:val="6B57D58A"/>
    <w:rsid w:val="6C13F934"/>
    <w:rsid w:val="6C70DAC5"/>
    <w:rsid w:val="6EC16B77"/>
    <w:rsid w:val="6F0E4D8F"/>
    <w:rsid w:val="6FDDA751"/>
    <w:rsid w:val="701B9788"/>
    <w:rsid w:val="70884D50"/>
    <w:rsid w:val="7094B905"/>
    <w:rsid w:val="710AA4CE"/>
    <w:rsid w:val="71952FA4"/>
    <w:rsid w:val="71A3874C"/>
    <w:rsid w:val="71A840F5"/>
    <w:rsid w:val="72C43018"/>
    <w:rsid w:val="72FF0F68"/>
    <w:rsid w:val="730DF4CF"/>
    <w:rsid w:val="7381F2D2"/>
    <w:rsid w:val="74DFBCB0"/>
    <w:rsid w:val="752CD2FB"/>
    <w:rsid w:val="75AD53E8"/>
    <w:rsid w:val="769A76EA"/>
    <w:rsid w:val="76E18614"/>
    <w:rsid w:val="770B966F"/>
    <w:rsid w:val="7710455B"/>
    <w:rsid w:val="772839E3"/>
    <w:rsid w:val="775EDE7B"/>
    <w:rsid w:val="785E6C9C"/>
    <w:rsid w:val="78A7505F"/>
    <w:rsid w:val="78DDF012"/>
    <w:rsid w:val="791A2E47"/>
    <w:rsid w:val="795C10B0"/>
    <w:rsid w:val="79C67FAC"/>
    <w:rsid w:val="79CB7574"/>
    <w:rsid w:val="79FF678C"/>
    <w:rsid w:val="7A3335ED"/>
    <w:rsid w:val="7AED16A5"/>
    <w:rsid w:val="7B0C97F6"/>
    <w:rsid w:val="7C4CFDE5"/>
    <w:rsid w:val="7CEB055C"/>
    <w:rsid w:val="7CFCBAF1"/>
    <w:rsid w:val="7DC8654D"/>
    <w:rsid w:val="7FDDA9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6B391CE6-AD49-4828-B9FF-EA158491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uiPriority w:val="99"/>
    <w:rsid w:val="007B6904"/>
    <w:pPr>
      <w:tabs>
        <w:tab w:val="center" w:pos="4153"/>
        <w:tab w:val="right" w:pos="8306"/>
      </w:tabs>
    </w:pPr>
  </w:style>
  <w:style w:type="character" w:customStyle="1" w:styleId="HeaderChar">
    <w:name w:val="Header Char"/>
    <w:basedOn w:val="DefaultParagraphFont"/>
    <w:link w:val="Header"/>
    <w:uiPriority w:val="99"/>
    <w:rsid w:val="007B6904"/>
    <w:rPr>
      <w:rFonts w:ascii="Times New Roman" w:eastAsia="Times New Roman" w:hAnsi="Times New Roman" w:cs="Times New Roman"/>
      <w:sz w:val="24"/>
      <w:szCs w:val="20"/>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3"/>
      </w:numPr>
      <w:tabs>
        <w:tab w:val="clear" w:pos="36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A404F1"/>
    <w:rPr>
      <w:color w:val="605E5C"/>
      <w:shd w:val="clear" w:color="auto" w:fill="E1DFDD"/>
    </w:rPr>
  </w:style>
  <w:style w:type="paragraph" w:customStyle="1" w:styleId="DHHSbody">
    <w:name w:val="DHHS body"/>
    <w:qFormat/>
    <w:rsid w:val="00FE0D7E"/>
    <w:pPr>
      <w:spacing w:after="120" w:line="270" w:lineRule="atLeast"/>
    </w:pPr>
    <w:rPr>
      <w:rFonts w:ascii="Arial" w:eastAsia="Times" w:hAnsi="Arial" w:cs="Times New Roman"/>
      <w:sz w:val="20"/>
      <w:szCs w:val="20"/>
    </w:rPr>
  </w:style>
  <w:style w:type="paragraph" w:customStyle="1" w:styleId="DHHSbullet1">
    <w:name w:val="DHHS bullet 1"/>
    <w:basedOn w:val="DHHSbody"/>
    <w:qFormat/>
    <w:rsid w:val="00FE0D7E"/>
    <w:pPr>
      <w:numPr>
        <w:numId w:val="13"/>
      </w:numPr>
      <w:spacing w:after="40"/>
    </w:pPr>
  </w:style>
  <w:style w:type="character" w:styleId="FootnoteReference">
    <w:name w:val="footnote reference"/>
    <w:uiPriority w:val="8"/>
    <w:rsid w:val="00FE0D7E"/>
    <w:rPr>
      <w:vertAlign w:val="superscript"/>
    </w:rPr>
  </w:style>
  <w:style w:type="paragraph" w:customStyle="1" w:styleId="DHHSbullet2">
    <w:name w:val="DHHS bullet 2"/>
    <w:basedOn w:val="DHHSbody"/>
    <w:uiPriority w:val="2"/>
    <w:qFormat/>
    <w:rsid w:val="00FE0D7E"/>
    <w:pPr>
      <w:numPr>
        <w:ilvl w:val="2"/>
        <w:numId w:val="13"/>
      </w:numPr>
      <w:spacing w:after="40"/>
    </w:pPr>
  </w:style>
  <w:style w:type="paragraph" w:customStyle="1" w:styleId="DHHStablebullet">
    <w:name w:val="DHHS table bullet"/>
    <w:basedOn w:val="Normal"/>
    <w:uiPriority w:val="3"/>
    <w:qFormat/>
    <w:rsid w:val="00FE0D7E"/>
    <w:pPr>
      <w:numPr>
        <w:ilvl w:val="6"/>
        <w:numId w:val="13"/>
      </w:numPr>
      <w:spacing w:before="80" w:after="60"/>
    </w:pPr>
    <w:rPr>
      <w:rFonts w:ascii="Arial" w:hAnsi="Arial"/>
      <w:sz w:val="20"/>
    </w:rPr>
  </w:style>
  <w:style w:type="paragraph" w:customStyle="1" w:styleId="DHHSbulletindent">
    <w:name w:val="DHHS bullet indent"/>
    <w:basedOn w:val="DHHSbody"/>
    <w:uiPriority w:val="4"/>
    <w:rsid w:val="00FE0D7E"/>
    <w:pPr>
      <w:numPr>
        <w:ilvl w:val="4"/>
        <w:numId w:val="13"/>
      </w:numPr>
      <w:spacing w:after="40"/>
    </w:pPr>
  </w:style>
  <w:style w:type="paragraph" w:customStyle="1" w:styleId="DHHSbullet1lastline">
    <w:name w:val="DHHS bullet 1 last line"/>
    <w:basedOn w:val="DHHSbullet1"/>
    <w:qFormat/>
    <w:rsid w:val="00FE0D7E"/>
    <w:pPr>
      <w:numPr>
        <w:ilvl w:val="1"/>
      </w:numPr>
      <w:spacing w:after="120"/>
    </w:pPr>
  </w:style>
  <w:style w:type="paragraph" w:customStyle="1" w:styleId="DHHSbullet2lastline">
    <w:name w:val="DHHS bullet 2 last line"/>
    <w:basedOn w:val="DHHSbullet2"/>
    <w:uiPriority w:val="2"/>
    <w:qFormat/>
    <w:rsid w:val="00FE0D7E"/>
    <w:pPr>
      <w:numPr>
        <w:ilvl w:val="3"/>
      </w:numPr>
      <w:spacing w:after="120"/>
    </w:pPr>
  </w:style>
  <w:style w:type="paragraph" w:styleId="FootnoteText">
    <w:name w:val="footnote text"/>
    <w:basedOn w:val="Normal"/>
    <w:link w:val="FootnoteTextChar"/>
    <w:uiPriority w:val="8"/>
    <w:rsid w:val="00FE0D7E"/>
    <w:pPr>
      <w:spacing w:before="60" w:after="60" w:line="200" w:lineRule="atLeast"/>
    </w:pPr>
    <w:rPr>
      <w:rFonts w:ascii="Arial" w:eastAsia="MS Gothic" w:hAnsi="Arial" w:cs="Arial"/>
      <w:sz w:val="16"/>
      <w:szCs w:val="16"/>
    </w:rPr>
  </w:style>
  <w:style w:type="character" w:customStyle="1" w:styleId="FootnoteTextChar">
    <w:name w:val="Footnote Text Char"/>
    <w:basedOn w:val="DefaultParagraphFont"/>
    <w:link w:val="FootnoteText"/>
    <w:uiPriority w:val="8"/>
    <w:rsid w:val="00FE0D7E"/>
    <w:rPr>
      <w:rFonts w:ascii="Arial" w:eastAsia="MS Gothic" w:hAnsi="Arial" w:cs="Arial"/>
      <w:sz w:val="16"/>
      <w:szCs w:val="16"/>
    </w:rPr>
  </w:style>
  <w:style w:type="numbering" w:customStyle="1" w:styleId="ZZBullets">
    <w:name w:val="ZZ Bullets"/>
    <w:rsid w:val="00FE0D7E"/>
    <w:pPr>
      <w:numPr>
        <w:numId w:val="13"/>
      </w:numPr>
    </w:pPr>
  </w:style>
  <w:style w:type="paragraph" w:customStyle="1" w:styleId="DHHSbulletindentlastline">
    <w:name w:val="DHHS bullet indent last line"/>
    <w:basedOn w:val="DHHSbody"/>
    <w:uiPriority w:val="4"/>
    <w:rsid w:val="00FE0D7E"/>
    <w:pPr>
      <w:numPr>
        <w:ilvl w:val="5"/>
        <w:numId w:val="13"/>
      </w:numPr>
    </w:pPr>
  </w:style>
  <w:style w:type="paragraph" w:styleId="NormalWeb">
    <w:name w:val="Normal (Web)"/>
    <w:basedOn w:val="Normal"/>
    <w:uiPriority w:val="99"/>
    <w:unhideWhenUsed/>
    <w:rsid w:val="00FF5C37"/>
    <w:pPr>
      <w:spacing w:before="100" w:beforeAutospacing="1" w:after="100" w:afterAutospacing="1"/>
    </w:pPr>
    <w:rPr>
      <w:rFonts w:ascii="Times New Roman" w:hAnsi="Times New Roman"/>
      <w:szCs w:val="24"/>
      <w:lang w:eastAsia="en-AU"/>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link w:val="ListParagraph"/>
    <w:uiPriority w:val="34"/>
    <w:locked/>
    <w:rsid w:val="00D151B8"/>
    <w:rPr>
      <w:rFonts w:ascii="Calibri" w:eastAsia="Times New Roman" w:hAnsi="Calibri" w:cs="Times New Roman"/>
      <w:sz w:val="24"/>
      <w:szCs w:val="20"/>
    </w:rPr>
  </w:style>
  <w:style w:type="character" w:styleId="Mention">
    <w:name w:val="Mention"/>
    <w:basedOn w:val="DefaultParagraphFont"/>
    <w:uiPriority w:val="99"/>
    <w:unhideWhenUsed/>
    <w:rsid w:val="00AA038B"/>
    <w:rPr>
      <w:color w:val="2B579A"/>
      <w:shd w:val="clear" w:color="auto" w:fill="E1DFDD"/>
    </w:rPr>
  </w:style>
  <w:style w:type="paragraph" w:styleId="Revision">
    <w:name w:val="Revision"/>
    <w:hidden/>
    <w:uiPriority w:val="99"/>
    <w:semiHidden/>
    <w:rsid w:val="00423BFC"/>
    <w:pPr>
      <w:spacing w:after="0" w:line="240" w:lineRule="auto"/>
    </w:pPr>
    <w:rPr>
      <w:rFonts w:ascii="Calibri" w:eastAsia="Times New Roman" w:hAnsi="Calibri" w:cs="Times New Roman"/>
      <w:sz w:val="24"/>
      <w:szCs w:val="20"/>
    </w:rPr>
  </w:style>
  <w:style w:type="paragraph" w:customStyle="1" w:styleId="pf0">
    <w:name w:val="pf0"/>
    <w:basedOn w:val="Normal"/>
    <w:rsid w:val="00423BFC"/>
    <w:pPr>
      <w:spacing w:before="100" w:beforeAutospacing="1" w:after="100" w:afterAutospacing="1"/>
    </w:pPr>
    <w:rPr>
      <w:rFonts w:ascii="Times New Roman" w:hAnsi="Times New Roman"/>
      <w:szCs w:val="24"/>
      <w:lang w:eastAsia="en-AU"/>
    </w:rPr>
  </w:style>
  <w:style w:type="character" w:customStyle="1" w:styleId="cf01">
    <w:name w:val="cf01"/>
    <w:basedOn w:val="DefaultParagraphFont"/>
    <w:rsid w:val="00423BFC"/>
    <w:rPr>
      <w:rFonts w:ascii="Segoe UI" w:hAnsi="Segoe UI" w:cs="Segoe UI" w:hint="default"/>
      <w:sz w:val="18"/>
      <w:szCs w:val="18"/>
    </w:rPr>
  </w:style>
  <w:style w:type="paragraph" w:customStyle="1" w:styleId="Tablebody">
    <w:name w:val="Table_body"/>
    <w:basedOn w:val="BodyText"/>
    <w:qFormat/>
    <w:rsid w:val="00050598"/>
    <w:pPr>
      <w:spacing w:before="60"/>
    </w:pPr>
    <w:rPr>
      <w:rFonts w:cs="Arial"/>
      <w:bCs/>
      <w:iCs/>
      <w:color w:val="323232"/>
      <w:szCs w:val="24"/>
      <w:lang w:val="en-US"/>
    </w:rPr>
  </w:style>
  <w:style w:type="paragraph" w:customStyle="1" w:styleId="Tableheaderreverse">
    <w:name w:val="Table_header_reverse"/>
    <w:qFormat/>
    <w:rsid w:val="00050598"/>
    <w:pPr>
      <w:spacing w:before="60" w:after="60" w:line="240" w:lineRule="auto"/>
    </w:pPr>
    <w:rPr>
      <w:rFonts w:ascii="Calibri" w:eastAsia="Times New Roman" w:hAnsi="Calibri" w:cs="Arial"/>
      <w:b/>
      <w:bCs/>
      <w:iCs/>
      <w:color w:val="FFFFFF"/>
      <w:sz w:val="24"/>
      <w:szCs w:val="24"/>
      <w:lang w:val="en-US"/>
    </w:rPr>
  </w:style>
  <w:style w:type="paragraph" w:customStyle="1" w:styleId="Tablesubheader">
    <w:name w:val="Table sub header"/>
    <w:basedOn w:val="Tablebody"/>
    <w:qFormat/>
    <w:rsid w:val="00050598"/>
    <w:rPr>
      <w:b/>
    </w:rPr>
  </w:style>
  <w:style w:type="paragraph" w:customStyle="1" w:styleId="BodyCopy">
    <w:name w:val="Body Copy"/>
    <w:basedOn w:val="BodyText"/>
    <w:qFormat/>
    <w:rsid w:val="00050598"/>
    <w:pPr>
      <w:spacing w:before="120" w:after="240" w:line="280" w:lineRule="exact"/>
    </w:pPr>
    <w:rPr>
      <w:rFonts w:cs="Arial"/>
      <w:bCs/>
      <w:iCs/>
      <w:color w:val="76923C" w:themeColor="accent3" w:themeShade="BF"/>
      <w:szCs w:val="24"/>
    </w:rPr>
  </w:style>
  <w:style w:type="paragraph" w:customStyle="1" w:styleId="Division">
    <w:name w:val="Division"/>
    <w:basedOn w:val="Normal"/>
    <w:qFormat/>
    <w:rsid w:val="00050598"/>
    <w:pPr>
      <w:spacing w:line="480" w:lineRule="exact"/>
    </w:pPr>
    <w:rPr>
      <w:rFonts w:ascii="Arial" w:eastAsia="Calibri" w:hAnsi="Arial"/>
      <w:color w:val="FFFFFF" w:themeColor="background1"/>
      <w:sz w:val="40"/>
      <w:szCs w:val="40"/>
    </w:rPr>
  </w:style>
  <w:style w:type="paragraph" w:styleId="BodyText">
    <w:name w:val="Body Text"/>
    <w:basedOn w:val="Normal"/>
    <w:link w:val="BodyTextChar"/>
    <w:uiPriority w:val="99"/>
    <w:semiHidden/>
    <w:unhideWhenUsed/>
    <w:rsid w:val="00050598"/>
    <w:pPr>
      <w:spacing w:after="120"/>
    </w:pPr>
  </w:style>
  <w:style w:type="character" w:customStyle="1" w:styleId="BodyTextChar">
    <w:name w:val="Body Text Char"/>
    <w:basedOn w:val="DefaultParagraphFont"/>
    <w:link w:val="BodyText"/>
    <w:uiPriority w:val="99"/>
    <w:semiHidden/>
    <w:rsid w:val="00050598"/>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394">
      <w:bodyDiv w:val="1"/>
      <w:marLeft w:val="0"/>
      <w:marRight w:val="0"/>
      <w:marTop w:val="0"/>
      <w:marBottom w:val="0"/>
      <w:divBdr>
        <w:top w:val="none" w:sz="0" w:space="0" w:color="auto"/>
        <w:left w:val="none" w:sz="0" w:space="0" w:color="auto"/>
        <w:bottom w:val="none" w:sz="0" w:space="0" w:color="auto"/>
        <w:right w:val="none" w:sz="0" w:space="0" w:color="auto"/>
      </w:divBdr>
    </w:div>
    <w:div w:id="307440770">
      <w:bodyDiv w:val="1"/>
      <w:marLeft w:val="0"/>
      <w:marRight w:val="0"/>
      <w:marTop w:val="0"/>
      <w:marBottom w:val="0"/>
      <w:divBdr>
        <w:top w:val="none" w:sz="0" w:space="0" w:color="auto"/>
        <w:left w:val="none" w:sz="0" w:space="0" w:color="auto"/>
        <w:bottom w:val="none" w:sz="0" w:space="0" w:color="auto"/>
        <w:right w:val="none" w:sz="0" w:space="0" w:color="auto"/>
      </w:divBdr>
    </w:div>
    <w:div w:id="656232212">
      <w:bodyDiv w:val="1"/>
      <w:marLeft w:val="0"/>
      <w:marRight w:val="0"/>
      <w:marTop w:val="0"/>
      <w:marBottom w:val="0"/>
      <w:divBdr>
        <w:top w:val="none" w:sz="0" w:space="0" w:color="auto"/>
        <w:left w:val="none" w:sz="0" w:space="0" w:color="auto"/>
        <w:bottom w:val="none" w:sz="0" w:space="0" w:color="auto"/>
        <w:right w:val="none" w:sz="0" w:space="0" w:color="auto"/>
      </w:divBdr>
    </w:div>
    <w:div w:id="848566994">
      <w:bodyDiv w:val="1"/>
      <w:marLeft w:val="0"/>
      <w:marRight w:val="0"/>
      <w:marTop w:val="0"/>
      <w:marBottom w:val="0"/>
      <w:divBdr>
        <w:top w:val="none" w:sz="0" w:space="0" w:color="auto"/>
        <w:left w:val="none" w:sz="0" w:space="0" w:color="auto"/>
        <w:bottom w:val="none" w:sz="0" w:space="0" w:color="auto"/>
        <w:right w:val="none" w:sz="0" w:space="0" w:color="auto"/>
      </w:divBdr>
    </w:div>
    <w:div w:id="924611402">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525093064">
      <w:bodyDiv w:val="1"/>
      <w:marLeft w:val="0"/>
      <w:marRight w:val="0"/>
      <w:marTop w:val="0"/>
      <w:marBottom w:val="0"/>
      <w:divBdr>
        <w:top w:val="none" w:sz="0" w:space="0" w:color="auto"/>
        <w:left w:val="none" w:sz="0" w:space="0" w:color="auto"/>
        <w:bottom w:val="none" w:sz="0" w:space="0" w:color="auto"/>
        <w:right w:val="none" w:sz="0" w:space="0" w:color="auto"/>
      </w:divBdr>
    </w:div>
    <w:div w:id="1591159666">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i2.saiglobal.com/management/viewer/?doc=/management/onlineviewer/download/cb1777e57f67417ae71e4b984b67b12b.pdf&amp;did=237812&amp;pid=1020428&amp;resid=137247&amp;bookmark=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16/j.jen.2022.11.00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11/1742-6723.1336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vic.gov.au/worker-health-wellbeing/code-grey-and-code-blac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239a80-7f07-4ed7-82c3-24ad7d76ada5">
      <Value>418</Value>
      <Value>417</Value>
      <Value>416</Value>
      <Value>415</Value>
    </TaxCatchAll>
    <SharedWithUsers xmlns="c0239a80-7f07-4ed7-82c3-24ad7d76ada5">
      <UserInfo>
        <DisplayName>Hart, Jessie (Health)</DisplayName>
        <AccountId>79</AccountId>
        <AccountType/>
      </UserInfo>
    </SharedWithUsers>
    <Progress xmlns="690b2128-8961-48af-a473-22c34a9accba" xsi:nil="true"/>
    <Approval_x0020_Date xmlns="690b2128-8961-48af-a473-22c34a9accba">2024-04-09T14:00:00+00:00</Approval_x0020_Date>
    <Review_x0020_Date xmlns="690b2128-8961-48af-a473-22c34a9accba">2025-04-09T14:00:00+00:00</Review_x0020_Date>
    <Version_x0020_Number xmlns="690b2128-8961-48af-a473-22c34a9accba">1</Version_x0020_Number>
    <Notes0 xmlns="690b2128-8961-48af-a473-22c34a9accba">23/05/2025 Updated title and role of ED Medical Officer in Section 4.</Notes0>
    <Key_x0020_Words xmlns="690b2128-8961-48af-a473-22c34a9accba">Grey, Response, Code, Behaviours, concern, acute, behavioural, deterioration, ED, emergency, department.</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High</Risk_x0020_Rating>
    <Description0 xmlns="690b2128-8961-48af-a473-22c34a9accba">The purpose of this procedure is to provide Canberra Health Service (CHS) staff with information on activating and responding to a Grey Response in the Emergency Department.</Description0>
    <Display_x0020_on_x0020_Internet xmlns="690b2128-8961-48af-a473-22c34a9accba">true</Display_x0020_on_x0020_Internet>
    <Related_x0020_Documents xmlns="690b2128-8961-48af-a473-22c34a9accba" xsi:nil="true"/>
    <Decision_x0020_Number xmlns="690b2128-8961-48af-a473-22c34a9accba">CHS24/160</Decision_x0020_Number>
    <RelatedPolicies_x002c_ProceduresGuidelines xmlns="690b2128-8961-48af-a473-22c34a9accba">
      <Value>14889</Value>
      <Value>13724</Value>
      <Value>14491</Value>
      <Value>14595</Value>
      <Value>16176</Value>
      <Value>15357</Value>
      <Value>14402</Value>
      <Value>16465</Value>
      <Value>15722</Value>
      <Value>17009</Value>
      <Value>16293</Value>
      <Value>16472</Value>
      <Value>14436</Value>
      <Value>16795</Value>
      <Value>14408</Value>
      <Value>16177</Value>
      <Value>16588</Value>
      <Value>14657</Value>
      <Value>16371</Value>
      <Value>16544</Value>
      <Value>13456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Mental Health Act 2015 (Territory)</TermName>
          <TermId xmlns="http://schemas.microsoft.com/office/infopath/2007/PartnerControls">f8701ef3-747f-4928-a8d6-c930591714da</TermId>
        </TermInfo>
      </Terms>
    </k0794e393e1f41c2810d090eedba34a0>
    <New_x0020_Owner xmlns="690b2128-8961-48af-a473-22c34a9accba">Medicine</New_x0020_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8a3a0a429ce902ce229eb031e74df78">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d3a2a646d0b40e36e309a43689e00bb"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F58B0-E6BF-4237-9984-6DF2E01C04FA}">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690b2128-8961-48af-a473-22c34a9accba"/>
    <ds:schemaRef ds:uri="http://schemas.openxmlformats.org/package/2006/metadata/core-properties"/>
    <ds:schemaRef ds:uri="http://purl.org/dc/terms/"/>
    <ds:schemaRef ds:uri="c0239a80-7f07-4ed7-82c3-24ad7d76ada5"/>
    <ds:schemaRef ds:uri="http://www.w3.org/XML/1998/namespace"/>
    <ds:schemaRef ds:uri="http://purl.org/dc/dcmitype/"/>
  </ds:schemaRefs>
</ds:datastoreItem>
</file>

<file path=customXml/itemProps2.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A48649AF-E27A-4165-8754-02C0A3169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4087</Words>
  <Characters>23298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 Response for the Emergency Department </dc:title>
  <dc:subject/>
  <dc:creator>Kerryn Hunter</dc:creator>
  <cp:keywords/>
  <cp:lastModifiedBy>Rusanov, Zoia</cp:lastModifiedBy>
  <cp:revision>16</cp:revision>
  <cp:lastPrinted>2015-01-23T07:40:00Z</cp:lastPrinted>
  <dcterms:created xsi:type="dcterms:W3CDTF">2024-02-12T01:36:00Z</dcterms:created>
  <dcterms:modified xsi:type="dcterms:W3CDTF">2025-05-23T05:02:00Z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MediaServiceImageTags">
    <vt:lpwstr/>
  </property>
  <property fmtid="{D5CDD505-2E9C-101B-9397-08002B2CF9AE}" pid="4" name="Related Legislation &amp; Guidelines">
    <vt:lpwstr>415;#Health Records (Privacy and Access) Act 1997 (Territory)|d07d1347-0355-417c-badf-2bae9c7c0e3b;#416;#Human Rights Act 2004 (Territory)|bbb6fb4a-2117-4ff9-8364-021a762deae2;#417;#Work Health and Safety Act 2011 (Territory)|ff017976-c7e7-4dc1-b890-63352415bc5e;#418;#Mental Health Act 2015 (Territory)|f8701ef3-747f-4928-a8d6-c930591714da</vt:lpwstr>
  </property>
  <property fmtid="{D5CDD505-2E9C-101B-9397-08002B2CF9AE}" pid="5" name="MSIP_Label_69af8531-eb46-4968-8cb3-105d2f5ea87e_Enabled">
    <vt:lpwstr>true</vt:lpwstr>
  </property>
  <property fmtid="{D5CDD505-2E9C-101B-9397-08002B2CF9AE}" pid="6" name="MSIP_Label_69af8531-eb46-4968-8cb3-105d2f5ea87e_SetDate">
    <vt:lpwstr>2024-04-11T03:42:47Z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737c38ac-c74f-4651-b0f6-3cadae251d37</vt:lpwstr>
  </property>
  <property fmtid="{D5CDD505-2E9C-101B-9397-08002B2CF9AE}" pid="11" name="MSIP_Label_69af8531-eb46-4968-8cb3-105d2f5ea87e_ContentBits">
    <vt:lpwstr>0</vt:lpwstr>
  </property>
  <property fmtid="{D5CDD505-2E9C-101B-9397-08002B2CF9AE}" pid="12"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(Territory)|ff017976-c7e7-4dc1-b890-63352415bc5e;#418;#Mental Health Act 2015 (Territory)|f8701ef3-747f-4928-a8d6-c930591714da</vt:lpwstr>
  </property>
</Properties>
</file>