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C57C" w14:textId="77777777" w:rsidR="00197F2E" w:rsidRPr="0007270D" w:rsidRDefault="008606A0" w:rsidP="00241A68">
      <w:pPr>
        <w:pStyle w:val="Heading1"/>
      </w:pPr>
      <w:bookmarkStart w:id="0" w:name="_top"/>
      <w:bookmarkEnd w:id="0"/>
      <w:r w:rsidRPr="0007270D">
        <w:t xml:space="preserve">Guideline </w:t>
      </w:r>
      <w:r w:rsidRPr="00241A68">
        <w:rPr>
          <w:b w:val="0"/>
          <w:bCs w:val="0"/>
        </w:rPr>
        <w:t xml:space="preserve">| </w:t>
      </w:r>
      <w:r w:rsidR="00481A6C" w:rsidRPr="00241A68">
        <w:rPr>
          <w:b w:val="0"/>
          <w:bCs w:val="0"/>
        </w:rPr>
        <w:t>Canberra Health Services</w:t>
      </w:r>
    </w:p>
    <w:p w14:paraId="5587FDD9" w14:textId="4A997602" w:rsidR="00CA4FDE" w:rsidRDefault="00716914" w:rsidP="00666A4C">
      <w:pPr>
        <w:pStyle w:val="Heading2"/>
      </w:pPr>
      <w:r>
        <w:t>Electrolyte Replacement (Adults)</w:t>
      </w:r>
      <w:bookmarkStart w:id="1" w:name="_Hlk157074578"/>
    </w:p>
    <w:p w14:paraId="4C73917A" w14:textId="00388F43" w:rsidR="00666A4C" w:rsidRPr="00666A4C" w:rsidRDefault="0059618F" w:rsidP="00666A4C">
      <w:pPr>
        <w:pStyle w:val="BodyCopy"/>
      </w:pPr>
      <w:r>
        <w:t>CHS25/101</w:t>
      </w:r>
    </w:p>
    <w:p w14:paraId="5D225408" w14:textId="77777777" w:rsidR="001311B9" w:rsidRPr="001311B9" w:rsidRDefault="001311B9" w:rsidP="001311B9">
      <w:pPr>
        <w:pStyle w:val="Heading4"/>
      </w:pPr>
      <w:bookmarkStart w:id="2" w:name="_Toc180420446"/>
      <w:r w:rsidRPr="001311B9">
        <w:t>Contents</w:t>
      </w:r>
      <w:bookmarkEnd w:id="2"/>
    </w:p>
    <w:sdt>
      <w:sdtPr>
        <w:rPr>
          <w:sz w:val="32"/>
        </w:rPr>
        <w:id w:val="-1206019646"/>
        <w:docPartObj>
          <w:docPartGallery w:val="Table of Contents"/>
          <w:docPartUnique/>
        </w:docPartObj>
      </w:sdtPr>
      <w:sdtEndPr>
        <w:rPr>
          <w:noProof/>
        </w:rPr>
      </w:sdtEndPr>
      <w:sdtContent>
        <w:p w14:paraId="08FEADD2" w14:textId="77777777" w:rsidR="00A731B8" w:rsidRPr="000E7683" w:rsidRDefault="00A731B8">
          <w:pPr>
            <w:pStyle w:val="TOCHeading"/>
            <w:rPr>
              <w:rStyle w:val="Heading3Char"/>
              <w:b/>
              <w:bCs w:val="0"/>
            </w:rPr>
          </w:pPr>
        </w:p>
        <w:p w14:paraId="2D5F0EE2" w14:textId="77777777" w:rsidR="001311B9"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80420446" w:history="1">
            <w:r w:rsidR="001311B9" w:rsidRPr="006B74DA">
              <w:rPr>
                <w:rStyle w:val="Hyperlink"/>
              </w:rPr>
              <w:t>Contents</w:t>
            </w:r>
            <w:r w:rsidR="001311B9">
              <w:rPr>
                <w:webHidden/>
              </w:rPr>
              <w:tab/>
            </w:r>
            <w:r w:rsidR="001311B9">
              <w:rPr>
                <w:webHidden/>
              </w:rPr>
              <w:fldChar w:fldCharType="begin"/>
            </w:r>
            <w:r w:rsidR="001311B9">
              <w:rPr>
                <w:webHidden/>
              </w:rPr>
              <w:instrText xml:space="preserve"> PAGEREF _Toc180420446 \h </w:instrText>
            </w:r>
            <w:r w:rsidR="001311B9">
              <w:rPr>
                <w:webHidden/>
              </w:rPr>
            </w:r>
            <w:r w:rsidR="001311B9">
              <w:rPr>
                <w:webHidden/>
              </w:rPr>
              <w:fldChar w:fldCharType="separate"/>
            </w:r>
            <w:r w:rsidR="001311B9">
              <w:rPr>
                <w:webHidden/>
              </w:rPr>
              <w:t>1</w:t>
            </w:r>
            <w:r w:rsidR="001311B9">
              <w:rPr>
                <w:webHidden/>
              </w:rPr>
              <w:fldChar w:fldCharType="end"/>
            </w:r>
          </w:hyperlink>
        </w:p>
        <w:p w14:paraId="32CAB36B" w14:textId="77777777" w:rsidR="001311B9" w:rsidRDefault="0059618F">
          <w:pPr>
            <w:pStyle w:val="TOC1"/>
            <w:rPr>
              <w:rFonts w:asciiTheme="minorHAnsi" w:eastAsiaTheme="minorEastAsia" w:hAnsiTheme="minorHAnsi" w:cstheme="minorBidi"/>
              <w:color w:val="auto"/>
              <w:kern w:val="2"/>
              <w14:ligatures w14:val="standardContextual"/>
            </w:rPr>
          </w:pPr>
          <w:hyperlink w:anchor="_Toc180420447" w:history="1">
            <w:r w:rsidR="001311B9" w:rsidRPr="006B74DA">
              <w:rPr>
                <w:rStyle w:val="Hyperlink"/>
              </w:rPr>
              <w:t>Guideline statement</w:t>
            </w:r>
            <w:r w:rsidR="001311B9">
              <w:rPr>
                <w:webHidden/>
              </w:rPr>
              <w:tab/>
            </w:r>
            <w:r w:rsidR="001311B9">
              <w:rPr>
                <w:webHidden/>
              </w:rPr>
              <w:fldChar w:fldCharType="begin"/>
            </w:r>
            <w:r w:rsidR="001311B9">
              <w:rPr>
                <w:webHidden/>
              </w:rPr>
              <w:instrText xml:space="preserve"> PAGEREF _Toc180420447 \h </w:instrText>
            </w:r>
            <w:r w:rsidR="001311B9">
              <w:rPr>
                <w:webHidden/>
              </w:rPr>
            </w:r>
            <w:r w:rsidR="001311B9">
              <w:rPr>
                <w:webHidden/>
              </w:rPr>
              <w:fldChar w:fldCharType="separate"/>
            </w:r>
            <w:r w:rsidR="001311B9">
              <w:rPr>
                <w:webHidden/>
              </w:rPr>
              <w:t>2</w:t>
            </w:r>
            <w:r w:rsidR="001311B9">
              <w:rPr>
                <w:webHidden/>
              </w:rPr>
              <w:fldChar w:fldCharType="end"/>
            </w:r>
          </w:hyperlink>
        </w:p>
        <w:p w14:paraId="2551D602" w14:textId="77777777" w:rsidR="001311B9" w:rsidRDefault="0059618F">
          <w:pPr>
            <w:pStyle w:val="TOC1"/>
            <w:rPr>
              <w:rFonts w:asciiTheme="minorHAnsi" w:eastAsiaTheme="minorEastAsia" w:hAnsiTheme="minorHAnsi" w:cstheme="minorBidi"/>
              <w:color w:val="auto"/>
              <w:kern w:val="2"/>
              <w14:ligatures w14:val="standardContextual"/>
            </w:rPr>
          </w:pPr>
          <w:hyperlink w:anchor="_Toc180420448" w:history="1">
            <w:r w:rsidR="001311B9" w:rsidRPr="006B74DA">
              <w:rPr>
                <w:rStyle w:val="Hyperlink"/>
              </w:rPr>
              <w:t>Scope</w:t>
            </w:r>
            <w:r w:rsidR="001311B9">
              <w:rPr>
                <w:webHidden/>
              </w:rPr>
              <w:tab/>
            </w:r>
            <w:r w:rsidR="001311B9">
              <w:rPr>
                <w:webHidden/>
              </w:rPr>
              <w:fldChar w:fldCharType="begin"/>
            </w:r>
            <w:r w:rsidR="001311B9">
              <w:rPr>
                <w:webHidden/>
              </w:rPr>
              <w:instrText xml:space="preserve"> PAGEREF _Toc180420448 \h </w:instrText>
            </w:r>
            <w:r w:rsidR="001311B9">
              <w:rPr>
                <w:webHidden/>
              </w:rPr>
            </w:r>
            <w:r w:rsidR="001311B9">
              <w:rPr>
                <w:webHidden/>
              </w:rPr>
              <w:fldChar w:fldCharType="separate"/>
            </w:r>
            <w:r w:rsidR="001311B9">
              <w:rPr>
                <w:webHidden/>
              </w:rPr>
              <w:t>2</w:t>
            </w:r>
            <w:r w:rsidR="001311B9">
              <w:rPr>
                <w:webHidden/>
              </w:rPr>
              <w:fldChar w:fldCharType="end"/>
            </w:r>
          </w:hyperlink>
        </w:p>
        <w:p w14:paraId="4F8BBECD" w14:textId="77777777" w:rsidR="001311B9" w:rsidRDefault="0059618F">
          <w:pPr>
            <w:pStyle w:val="TOC1"/>
            <w:rPr>
              <w:rFonts w:asciiTheme="minorHAnsi" w:eastAsiaTheme="minorEastAsia" w:hAnsiTheme="minorHAnsi" w:cstheme="minorBidi"/>
              <w:color w:val="auto"/>
              <w:kern w:val="2"/>
              <w14:ligatures w14:val="standardContextual"/>
            </w:rPr>
          </w:pPr>
          <w:hyperlink w:anchor="_Toc180420449" w:history="1">
            <w:r w:rsidR="001311B9" w:rsidRPr="006B74DA">
              <w:rPr>
                <w:rStyle w:val="Hyperlink"/>
              </w:rPr>
              <w:t>Section 1 - Potassium</w:t>
            </w:r>
            <w:r w:rsidR="001311B9">
              <w:rPr>
                <w:webHidden/>
              </w:rPr>
              <w:tab/>
            </w:r>
            <w:r w:rsidR="001311B9">
              <w:rPr>
                <w:webHidden/>
              </w:rPr>
              <w:fldChar w:fldCharType="begin"/>
            </w:r>
            <w:r w:rsidR="001311B9">
              <w:rPr>
                <w:webHidden/>
              </w:rPr>
              <w:instrText xml:space="preserve"> PAGEREF _Toc180420449 \h </w:instrText>
            </w:r>
            <w:r w:rsidR="001311B9">
              <w:rPr>
                <w:webHidden/>
              </w:rPr>
            </w:r>
            <w:r w:rsidR="001311B9">
              <w:rPr>
                <w:webHidden/>
              </w:rPr>
              <w:fldChar w:fldCharType="separate"/>
            </w:r>
            <w:r w:rsidR="001311B9">
              <w:rPr>
                <w:webHidden/>
              </w:rPr>
              <w:t>3</w:t>
            </w:r>
            <w:r w:rsidR="001311B9">
              <w:rPr>
                <w:webHidden/>
              </w:rPr>
              <w:fldChar w:fldCharType="end"/>
            </w:r>
          </w:hyperlink>
        </w:p>
        <w:p w14:paraId="3F23A187" w14:textId="77777777" w:rsidR="001311B9" w:rsidRDefault="0059618F">
          <w:pPr>
            <w:pStyle w:val="TOC1"/>
            <w:rPr>
              <w:rFonts w:asciiTheme="minorHAnsi" w:eastAsiaTheme="minorEastAsia" w:hAnsiTheme="minorHAnsi" w:cstheme="minorBidi"/>
              <w:color w:val="auto"/>
              <w:kern w:val="2"/>
              <w14:ligatures w14:val="standardContextual"/>
            </w:rPr>
          </w:pPr>
          <w:hyperlink w:anchor="_Toc180420450" w:history="1">
            <w:r w:rsidR="001311B9" w:rsidRPr="006B74DA">
              <w:rPr>
                <w:rStyle w:val="Hyperlink"/>
              </w:rPr>
              <w:t>Section 2 - Phosphate</w:t>
            </w:r>
            <w:r w:rsidR="001311B9">
              <w:rPr>
                <w:webHidden/>
              </w:rPr>
              <w:tab/>
            </w:r>
            <w:r w:rsidR="001311B9">
              <w:rPr>
                <w:webHidden/>
              </w:rPr>
              <w:fldChar w:fldCharType="begin"/>
            </w:r>
            <w:r w:rsidR="001311B9">
              <w:rPr>
                <w:webHidden/>
              </w:rPr>
              <w:instrText xml:space="preserve"> PAGEREF _Toc180420450 \h </w:instrText>
            </w:r>
            <w:r w:rsidR="001311B9">
              <w:rPr>
                <w:webHidden/>
              </w:rPr>
            </w:r>
            <w:r w:rsidR="001311B9">
              <w:rPr>
                <w:webHidden/>
              </w:rPr>
              <w:fldChar w:fldCharType="separate"/>
            </w:r>
            <w:r w:rsidR="001311B9">
              <w:rPr>
                <w:webHidden/>
              </w:rPr>
              <w:t>8</w:t>
            </w:r>
            <w:r w:rsidR="001311B9">
              <w:rPr>
                <w:webHidden/>
              </w:rPr>
              <w:fldChar w:fldCharType="end"/>
            </w:r>
          </w:hyperlink>
        </w:p>
        <w:p w14:paraId="54F896D4" w14:textId="77777777" w:rsidR="001311B9" w:rsidRDefault="0059618F">
          <w:pPr>
            <w:pStyle w:val="TOC1"/>
            <w:rPr>
              <w:rFonts w:asciiTheme="minorHAnsi" w:eastAsiaTheme="minorEastAsia" w:hAnsiTheme="minorHAnsi" w:cstheme="minorBidi"/>
              <w:color w:val="auto"/>
              <w:kern w:val="2"/>
              <w14:ligatures w14:val="standardContextual"/>
            </w:rPr>
          </w:pPr>
          <w:hyperlink w:anchor="_Toc180420451" w:history="1">
            <w:r w:rsidR="001311B9" w:rsidRPr="006B74DA">
              <w:rPr>
                <w:rStyle w:val="Hyperlink"/>
              </w:rPr>
              <w:t>Section 3 - Magnesium</w:t>
            </w:r>
            <w:r w:rsidR="001311B9">
              <w:rPr>
                <w:webHidden/>
              </w:rPr>
              <w:tab/>
            </w:r>
            <w:r w:rsidR="001311B9">
              <w:rPr>
                <w:webHidden/>
              </w:rPr>
              <w:fldChar w:fldCharType="begin"/>
            </w:r>
            <w:r w:rsidR="001311B9">
              <w:rPr>
                <w:webHidden/>
              </w:rPr>
              <w:instrText xml:space="preserve"> PAGEREF _Toc180420451 \h </w:instrText>
            </w:r>
            <w:r w:rsidR="001311B9">
              <w:rPr>
                <w:webHidden/>
              </w:rPr>
            </w:r>
            <w:r w:rsidR="001311B9">
              <w:rPr>
                <w:webHidden/>
              </w:rPr>
              <w:fldChar w:fldCharType="separate"/>
            </w:r>
            <w:r w:rsidR="001311B9">
              <w:rPr>
                <w:webHidden/>
              </w:rPr>
              <w:t>10</w:t>
            </w:r>
            <w:r w:rsidR="001311B9">
              <w:rPr>
                <w:webHidden/>
              </w:rPr>
              <w:fldChar w:fldCharType="end"/>
            </w:r>
          </w:hyperlink>
        </w:p>
        <w:p w14:paraId="5FBF143C" w14:textId="77777777" w:rsidR="001311B9" w:rsidRDefault="0059618F">
          <w:pPr>
            <w:pStyle w:val="TOC1"/>
            <w:rPr>
              <w:rFonts w:asciiTheme="minorHAnsi" w:eastAsiaTheme="minorEastAsia" w:hAnsiTheme="minorHAnsi" w:cstheme="minorBidi"/>
              <w:color w:val="auto"/>
              <w:kern w:val="2"/>
              <w14:ligatures w14:val="standardContextual"/>
            </w:rPr>
          </w:pPr>
          <w:hyperlink w:anchor="_Toc180420452" w:history="1">
            <w:r w:rsidR="001311B9" w:rsidRPr="006B74DA">
              <w:rPr>
                <w:rStyle w:val="Hyperlink"/>
              </w:rPr>
              <w:t>Section 4 – Calcium</w:t>
            </w:r>
            <w:r w:rsidR="001311B9">
              <w:rPr>
                <w:webHidden/>
              </w:rPr>
              <w:tab/>
            </w:r>
            <w:r w:rsidR="001311B9">
              <w:rPr>
                <w:webHidden/>
              </w:rPr>
              <w:fldChar w:fldCharType="begin"/>
            </w:r>
            <w:r w:rsidR="001311B9">
              <w:rPr>
                <w:webHidden/>
              </w:rPr>
              <w:instrText xml:space="preserve"> PAGEREF _Toc180420452 \h </w:instrText>
            </w:r>
            <w:r w:rsidR="001311B9">
              <w:rPr>
                <w:webHidden/>
              </w:rPr>
            </w:r>
            <w:r w:rsidR="001311B9">
              <w:rPr>
                <w:webHidden/>
              </w:rPr>
              <w:fldChar w:fldCharType="separate"/>
            </w:r>
            <w:r w:rsidR="001311B9">
              <w:rPr>
                <w:webHidden/>
              </w:rPr>
              <w:t>12</w:t>
            </w:r>
            <w:r w:rsidR="001311B9">
              <w:rPr>
                <w:webHidden/>
              </w:rPr>
              <w:fldChar w:fldCharType="end"/>
            </w:r>
          </w:hyperlink>
        </w:p>
        <w:p w14:paraId="40783E1A" w14:textId="77777777" w:rsidR="001311B9" w:rsidRDefault="0059618F">
          <w:pPr>
            <w:pStyle w:val="TOC1"/>
            <w:rPr>
              <w:rFonts w:asciiTheme="minorHAnsi" w:eastAsiaTheme="minorEastAsia" w:hAnsiTheme="minorHAnsi" w:cstheme="minorBidi"/>
              <w:color w:val="auto"/>
              <w:kern w:val="2"/>
              <w14:ligatures w14:val="standardContextual"/>
            </w:rPr>
          </w:pPr>
          <w:hyperlink w:anchor="_Toc180420453" w:history="1">
            <w:r w:rsidR="001311B9" w:rsidRPr="006B74DA">
              <w:rPr>
                <w:rStyle w:val="Hyperlink"/>
              </w:rPr>
              <w:t>Evaluation</w:t>
            </w:r>
            <w:r w:rsidR="001311B9">
              <w:rPr>
                <w:webHidden/>
              </w:rPr>
              <w:tab/>
            </w:r>
            <w:r w:rsidR="001311B9">
              <w:rPr>
                <w:webHidden/>
              </w:rPr>
              <w:fldChar w:fldCharType="begin"/>
            </w:r>
            <w:r w:rsidR="001311B9">
              <w:rPr>
                <w:webHidden/>
              </w:rPr>
              <w:instrText xml:space="preserve"> PAGEREF _Toc180420453 \h </w:instrText>
            </w:r>
            <w:r w:rsidR="001311B9">
              <w:rPr>
                <w:webHidden/>
              </w:rPr>
            </w:r>
            <w:r w:rsidR="001311B9">
              <w:rPr>
                <w:webHidden/>
              </w:rPr>
              <w:fldChar w:fldCharType="separate"/>
            </w:r>
            <w:r w:rsidR="001311B9">
              <w:rPr>
                <w:webHidden/>
              </w:rPr>
              <w:t>14</w:t>
            </w:r>
            <w:r w:rsidR="001311B9">
              <w:rPr>
                <w:webHidden/>
              </w:rPr>
              <w:fldChar w:fldCharType="end"/>
            </w:r>
          </w:hyperlink>
        </w:p>
        <w:p w14:paraId="5FF35265" w14:textId="77777777" w:rsidR="001311B9" w:rsidRDefault="0059618F">
          <w:pPr>
            <w:pStyle w:val="TOC1"/>
            <w:rPr>
              <w:rFonts w:asciiTheme="minorHAnsi" w:eastAsiaTheme="minorEastAsia" w:hAnsiTheme="minorHAnsi" w:cstheme="minorBidi"/>
              <w:color w:val="auto"/>
              <w:kern w:val="2"/>
              <w14:ligatures w14:val="standardContextual"/>
            </w:rPr>
          </w:pPr>
          <w:hyperlink w:anchor="_Toc180420454" w:history="1">
            <w:r w:rsidR="001311B9" w:rsidRPr="006B74DA">
              <w:rPr>
                <w:rStyle w:val="Hyperlink"/>
              </w:rPr>
              <w:t>Related policies, procedures, guidelines and legislation</w:t>
            </w:r>
            <w:r w:rsidR="001311B9">
              <w:rPr>
                <w:webHidden/>
              </w:rPr>
              <w:tab/>
            </w:r>
            <w:r w:rsidR="001311B9">
              <w:rPr>
                <w:webHidden/>
              </w:rPr>
              <w:fldChar w:fldCharType="begin"/>
            </w:r>
            <w:r w:rsidR="001311B9">
              <w:rPr>
                <w:webHidden/>
              </w:rPr>
              <w:instrText xml:space="preserve"> PAGEREF _Toc180420454 \h </w:instrText>
            </w:r>
            <w:r w:rsidR="001311B9">
              <w:rPr>
                <w:webHidden/>
              </w:rPr>
            </w:r>
            <w:r w:rsidR="001311B9">
              <w:rPr>
                <w:webHidden/>
              </w:rPr>
              <w:fldChar w:fldCharType="separate"/>
            </w:r>
            <w:r w:rsidR="001311B9">
              <w:rPr>
                <w:webHidden/>
              </w:rPr>
              <w:t>14</w:t>
            </w:r>
            <w:r w:rsidR="001311B9">
              <w:rPr>
                <w:webHidden/>
              </w:rPr>
              <w:fldChar w:fldCharType="end"/>
            </w:r>
          </w:hyperlink>
        </w:p>
        <w:p w14:paraId="14ACDC90" w14:textId="77777777" w:rsidR="001311B9" w:rsidRDefault="0059618F">
          <w:pPr>
            <w:pStyle w:val="TOC1"/>
            <w:rPr>
              <w:rFonts w:asciiTheme="minorHAnsi" w:eastAsiaTheme="minorEastAsia" w:hAnsiTheme="minorHAnsi" w:cstheme="minorBidi"/>
              <w:color w:val="auto"/>
              <w:kern w:val="2"/>
              <w14:ligatures w14:val="standardContextual"/>
            </w:rPr>
          </w:pPr>
          <w:hyperlink w:anchor="_Toc180420455" w:history="1">
            <w:r w:rsidR="001311B9" w:rsidRPr="006B74DA">
              <w:rPr>
                <w:rStyle w:val="Hyperlink"/>
              </w:rPr>
              <w:t>References</w:t>
            </w:r>
            <w:r w:rsidR="001311B9">
              <w:rPr>
                <w:webHidden/>
              </w:rPr>
              <w:tab/>
            </w:r>
            <w:r w:rsidR="001311B9">
              <w:rPr>
                <w:webHidden/>
              </w:rPr>
              <w:fldChar w:fldCharType="begin"/>
            </w:r>
            <w:r w:rsidR="001311B9">
              <w:rPr>
                <w:webHidden/>
              </w:rPr>
              <w:instrText xml:space="preserve"> PAGEREF _Toc180420455 \h </w:instrText>
            </w:r>
            <w:r w:rsidR="001311B9">
              <w:rPr>
                <w:webHidden/>
              </w:rPr>
            </w:r>
            <w:r w:rsidR="001311B9">
              <w:rPr>
                <w:webHidden/>
              </w:rPr>
              <w:fldChar w:fldCharType="separate"/>
            </w:r>
            <w:r w:rsidR="001311B9">
              <w:rPr>
                <w:webHidden/>
              </w:rPr>
              <w:t>15</w:t>
            </w:r>
            <w:r w:rsidR="001311B9">
              <w:rPr>
                <w:webHidden/>
              </w:rPr>
              <w:fldChar w:fldCharType="end"/>
            </w:r>
          </w:hyperlink>
        </w:p>
        <w:p w14:paraId="46963B0E" w14:textId="77777777" w:rsidR="001311B9" w:rsidRDefault="0059618F">
          <w:pPr>
            <w:pStyle w:val="TOC1"/>
            <w:rPr>
              <w:rFonts w:asciiTheme="minorHAnsi" w:eastAsiaTheme="minorEastAsia" w:hAnsiTheme="minorHAnsi" w:cstheme="minorBidi"/>
              <w:color w:val="auto"/>
              <w:kern w:val="2"/>
              <w14:ligatures w14:val="standardContextual"/>
            </w:rPr>
          </w:pPr>
          <w:hyperlink w:anchor="_Toc180420456" w:history="1">
            <w:r w:rsidR="001311B9" w:rsidRPr="006B74DA">
              <w:rPr>
                <w:rStyle w:val="Hyperlink"/>
              </w:rPr>
              <w:t>Definition of terms</w:t>
            </w:r>
            <w:r w:rsidR="001311B9">
              <w:rPr>
                <w:webHidden/>
              </w:rPr>
              <w:tab/>
            </w:r>
            <w:r w:rsidR="001311B9">
              <w:rPr>
                <w:webHidden/>
              </w:rPr>
              <w:fldChar w:fldCharType="begin"/>
            </w:r>
            <w:r w:rsidR="001311B9">
              <w:rPr>
                <w:webHidden/>
              </w:rPr>
              <w:instrText xml:space="preserve"> PAGEREF _Toc180420456 \h </w:instrText>
            </w:r>
            <w:r w:rsidR="001311B9">
              <w:rPr>
                <w:webHidden/>
              </w:rPr>
            </w:r>
            <w:r w:rsidR="001311B9">
              <w:rPr>
                <w:webHidden/>
              </w:rPr>
              <w:fldChar w:fldCharType="separate"/>
            </w:r>
            <w:r w:rsidR="001311B9">
              <w:rPr>
                <w:webHidden/>
              </w:rPr>
              <w:t>15</w:t>
            </w:r>
            <w:r w:rsidR="001311B9">
              <w:rPr>
                <w:webHidden/>
              </w:rPr>
              <w:fldChar w:fldCharType="end"/>
            </w:r>
          </w:hyperlink>
        </w:p>
        <w:p w14:paraId="0C647183" w14:textId="77777777" w:rsidR="001311B9" w:rsidRDefault="0059618F">
          <w:pPr>
            <w:pStyle w:val="TOC1"/>
            <w:rPr>
              <w:rFonts w:asciiTheme="minorHAnsi" w:eastAsiaTheme="minorEastAsia" w:hAnsiTheme="minorHAnsi" w:cstheme="minorBidi"/>
              <w:color w:val="auto"/>
              <w:kern w:val="2"/>
              <w14:ligatures w14:val="standardContextual"/>
            </w:rPr>
          </w:pPr>
          <w:hyperlink w:anchor="_Toc180420457" w:history="1">
            <w:r w:rsidR="001311B9" w:rsidRPr="006B74DA">
              <w:rPr>
                <w:rStyle w:val="Hyperlink"/>
              </w:rPr>
              <w:t>Search terms</w:t>
            </w:r>
            <w:r w:rsidR="001311B9">
              <w:rPr>
                <w:webHidden/>
              </w:rPr>
              <w:tab/>
            </w:r>
            <w:r w:rsidR="001311B9">
              <w:rPr>
                <w:webHidden/>
              </w:rPr>
              <w:fldChar w:fldCharType="begin"/>
            </w:r>
            <w:r w:rsidR="001311B9">
              <w:rPr>
                <w:webHidden/>
              </w:rPr>
              <w:instrText xml:space="preserve"> PAGEREF _Toc180420457 \h </w:instrText>
            </w:r>
            <w:r w:rsidR="001311B9">
              <w:rPr>
                <w:webHidden/>
              </w:rPr>
            </w:r>
            <w:r w:rsidR="001311B9">
              <w:rPr>
                <w:webHidden/>
              </w:rPr>
              <w:fldChar w:fldCharType="separate"/>
            </w:r>
            <w:r w:rsidR="001311B9">
              <w:rPr>
                <w:webHidden/>
              </w:rPr>
              <w:t>16</w:t>
            </w:r>
            <w:r w:rsidR="001311B9">
              <w:rPr>
                <w:webHidden/>
              </w:rPr>
              <w:fldChar w:fldCharType="end"/>
            </w:r>
          </w:hyperlink>
        </w:p>
        <w:p w14:paraId="046377E0" w14:textId="77777777"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76FA7236" w14:textId="77777777" w:rsidR="00FE46F1" w:rsidRDefault="00FE46F1">
      <w:pPr>
        <w:spacing w:before="0" w:after="0" w:line="240" w:lineRule="auto"/>
        <w:rPr>
          <w:rFonts w:eastAsia="Times New Roman"/>
          <w:b/>
          <w:color w:val="FFFFFF" w:themeColor="background1"/>
          <w:szCs w:val="80"/>
          <w:lang w:eastAsia="en-US"/>
        </w:rPr>
      </w:pPr>
    </w:p>
    <w:p w14:paraId="00FC7769" w14:textId="77777777" w:rsidR="00201AF6" w:rsidRDefault="00201AF6">
      <w:pPr>
        <w:spacing w:before="0" w:after="0" w:line="240" w:lineRule="auto"/>
        <w:rPr>
          <w:rFonts w:eastAsia="Times New Roman"/>
          <w:b/>
          <w:bCs/>
          <w:iCs/>
          <w:color w:val="FFFFFF" w:themeColor="background1"/>
          <w:lang w:eastAsia="en-US"/>
        </w:rPr>
      </w:pPr>
      <w:r>
        <w:br w:type="page"/>
      </w:r>
    </w:p>
    <w:p w14:paraId="707D98EF" w14:textId="77777777" w:rsidR="0078367D" w:rsidRPr="00036249" w:rsidRDefault="0078367D" w:rsidP="00036249">
      <w:pPr>
        <w:pStyle w:val="Heading4"/>
      </w:pPr>
      <w:bookmarkStart w:id="3" w:name="_Toc180420447"/>
      <w:r w:rsidRPr="00036249">
        <w:lastRenderedPageBreak/>
        <w:t>Guideline statement</w:t>
      </w:r>
      <w:bookmarkEnd w:id="3"/>
    </w:p>
    <w:p w14:paraId="1D6105F5" w14:textId="77777777" w:rsidR="00A6051F" w:rsidRDefault="00A6051F" w:rsidP="00DA5524">
      <w:pPr>
        <w:pStyle w:val="Heading5"/>
        <w:rPr>
          <w:rStyle w:val="Heading5Char"/>
          <w:b/>
          <w:bCs/>
          <w:iCs/>
        </w:rPr>
      </w:pPr>
      <w:r w:rsidRPr="00A6051F">
        <w:rPr>
          <w:rStyle w:val="Heading5Char"/>
          <w:b/>
          <w:bCs/>
          <w:iCs/>
        </w:rPr>
        <w:t>Backgro</w:t>
      </w:r>
      <w:r>
        <w:rPr>
          <w:rStyle w:val="Heading5Char"/>
          <w:b/>
          <w:bCs/>
          <w:iCs/>
        </w:rPr>
        <w:t>und</w:t>
      </w:r>
    </w:p>
    <w:p w14:paraId="2E2E540F" w14:textId="77777777" w:rsidR="001F3ED6" w:rsidRPr="001F3ED6" w:rsidRDefault="00716914" w:rsidP="001F3ED6">
      <w:pPr>
        <w:pStyle w:val="BodyCopy"/>
        <w:rPr>
          <w:rFonts w:eastAsiaTheme="majorEastAsia"/>
        </w:rPr>
      </w:pPr>
      <w:r>
        <w:rPr>
          <w:rFonts w:eastAsiaTheme="majorEastAsia"/>
        </w:rPr>
        <w:t>This document has been developed to describe and guide the best practice for electrolyte replacement in adult patients across Canberra Health Services (CHS).</w:t>
      </w:r>
    </w:p>
    <w:p w14:paraId="425B84F0" w14:textId="77777777" w:rsidR="00DA5524" w:rsidRDefault="00DA5524" w:rsidP="00DA5524">
      <w:pPr>
        <w:pStyle w:val="Heading5"/>
        <w:rPr>
          <w:rStyle w:val="Heading5Char"/>
          <w:b/>
          <w:bCs/>
          <w:iCs/>
        </w:rPr>
      </w:pPr>
      <w:r>
        <w:rPr>
          <w:rStyle w:val="Heading5Char"/>
          <w:b/>
          <w:bCs/>
          <w:iCs/>
        </w:rPr>
        <w:t>Key Objective</w:t>
      </w:r>
    </w:p>
    <w:p w14:paraId="4C07BB96" w14:textId="77777777" w:rsidR="00DA5524" w:rsidRDefault="00716914" w:rsidP="00DA5524">
      <w:pPr>
        <w:pStyle w:val="BodyCopy"/>
      </w:pPr>
      <w:r>
        <w:t>This document aims to:</w:t>
      </w:r>
    </w:p>
    <w:p w14:paraId="5FB43F82" w14:textId="77777777" w:rsidR="00716914" w:rsidRDefault="00716914" w:rsidP="00716914">
      <w:pPr>
        <w:pStyle w:val="BodyCopy"/>
        <w:numPr>
          <w:ilvl w:val="0"/>
          <w:numId w:val="27"/>
        </w:numPr>
      </w:pPr>
      <w:r>
        <w:t>Provide guidance to clinicians on the safe and appropriate use of oral and intravenous electrolyte replacement for potassium, phosphate, magnesium and calcium</w:t>
      </w:r>
      <w:r w:rsidR="00C8468D">
        <w:t>.</w:t>
      </w:r>
    </w:p>
    <w:p w14:paraId="20F54C26" w14:textId="77777777" w:rsidR="00716914" w:rsidRDefault="00716914" w:rsidP="00716914">
      <w:pPr>
        <w:pStyle w:val="BodyCopy"/>
        <w:numPr>
          <w:ilvl w:val="0"/>
          <w:numId w:val="27"/>
        </w:numPr>
      </w:pPr>
      <w:r>
        <w:t>Describe the products that are available across CHS and how to safely prescribe and administer them</w:t>
      </w:r>
      <w:r w:rsidR="00C8468D">
        <w:t>.</w:t>
      </w:r>
    </w:p>
    <w:p w14:paraId="7D77132F" w14:textId="77777777" w:rsidR="00716914" w:rsidRPr="00DA5524" w:rsidRDefault="00716914" w:rsidP="00716914">
      <w:pPr>
        <w:pStyle w:val="BodyCopy"/>
        <w:numPr>
          <w:ilvl w:val="0"/>
          <w:numId w:val="27"/>
        </w:numPr>
        <w:rPr>
          <w:rFonts w:eastAsiaTheme="majorEastAsia"/>
        </w:rPr>
      </w:pPr>
      <w:r>
        <w:t>Document the expected standard for intravenous electrolyte prescribing and administration in the context of replacement therapy</w:t>
      </w:r>
      <w:r w:rsidR="00C8468D">
        <w:t>.</w:t>
      </w:r>
    </w:p>
    <w:p w14:paraId="5C27F9EB" w14:textId="77777777" w:rsidR="00DA5524" w:rsidRPr="00DA5524" w:rsidRDefault="00DA5524" w:rsidP="00DA5524">
      <w:pPr>
        <w:pStyle w:val="Heading5"/>
      </w:pPr>
      <w:r w:rsidRPr="00DA5524">
        <w:t>Alerts</w:t>
      </w:r>
    </w:p>
    <w:p w14:paraId="16B1E57C" w14:textId="77777777" w:rsidR="009679D6" w:rsidRDefault="00716914" w:rsidP="00DA5524">
      <w:pPr>
        <w:pStyle w:val="BodyCopy"/>
      </w:pPr>
      <w:r>
        <w:t xml:space="preserve">Concentrated electrolytes, in particular potassium, are high risk medications, which means if an error is made in dispensing, preparation or administration it is more likely to lead to patient harm. To prevent causing avoidable harm to patients, extra care must be taken when prescribing and administering electrolytes, particularly via the intravenous route. </w:t>
      </w:r>
    </w:p>
    <w:p w14:paraId="04AB925A" w14:textId="60E6F0D4" w:rsidR="00481A6C" w:rsidRPr="00716914" w:rsidRDefault="00716914" w:rsidP="00DA5524">
      <w:pPr>
        <w:pStyle w:val="BodyCopy"/>
        <w:rPr>
          <w:i/>
          <w:iCs w:val="0"/>
        </w:rPr>
      </w:pPr>
      <w:r>
        <w:t xml:space="preserve">All staff should follow the standards for the storage and use of intravenous potassium described in the </w:t>
      </w:r>
      <w:r>
        <w:rPr>
          <w:i/>
          <w:iCs w:val="0"/>
        </w:rPr>
        <w:t>Medication Handling Policy</w:t>
      </w:r>
      <w:r>
        <w:t xml:space="preserve"> and the </w:t>
      </w:r>
      <w:r>
        <w:rPr>
          <w:i/>
          <w:iCs w:val="0"/>
        </w:rPr>
        <w:t xml:space="preserve">High-Risk Medicine Standard – Concentrated Potassium and other Electrolytes. </w:t>
      </w:r>
    </w:p>
    <w:p w14:paraId="451A4257" w14:textId="77777777" w:rsidR="00481A6C" w:rsidRDefault="0059618F" w:rsidP="00481A6C">
      <w:pPr>
        <w:pStyle w:val="BodyCopy"/>
        <w:rPr>
          <w:rStyle w:val="Hyperlink"/>
          <w:iCs w:val="0"/>
        </w:rPr>
      </w:pPr>
      <w:hyperlink w:anchor="_top" w:history="1">
        <w:r w:rsidR="00481A6C" w:rsidRPr="00481A6C">
          <w:rPr>
            <w:rStyle w:val="Hyperlink"/>
            <w:iCs w:val="0"/>
          </w:rPr>
          <w:t>Back to Contents</w:t>
        </w:r>
      </w:hyperlink>
    </w:p>
    <w:p w14:paraId="1B6FCD90" w14:textId="77777777" w:rsidR="0078367D" w:rsidRPr="00AC2EDE" w:rsidRDefault="0078367D" w:rsidP="00197F2E">
      <w:pPr>
        <w:pStyle w:val="Heading4"/>
      </w:pPr>
      <w:bookmarkStart w:id="4" w:name="_Toc180420448"/>
      <w:r w:rsidRPr="00AC2EDE">
        <w:rPr>
          <w:rStyle w:val="Hyperlink"/>
          <w:color w:val="FFFFFF" w:themeColor="background1"/>
          <w:u w:val="none"/>
        </w:rPr>
        <w:t>Scope</w:t>
      </w:r>
      <w:bookmarkEnd w:id="4"/>
    </w:p>
    <w:p w14:paraId="2B2DCB81" w14:textId="05EA9556" w:rsidR="00481A6C" w:rsidRDefault="005E7F4A" w:rsidP="004A7A7F">
      <w:pPr>
        <w:pStyle w:val="BodyCopy"/>
      </w:pPr>
      <w:r>
        <w:t xml:space="preserve">The Clinical Guideline – Electrolyte Replacement (Adults) </w:t>
      </w:r>
      <w:r w:rsidR="00716914">
        <w:t>applies to nursing, pharmacy and medical staff caring for adult patients</w:t>
      </w:r>
      <w:r>
        <w:t xml:space="preserve"> in a CHS facility</w:t>
      </w:r>
      <w:r w:rsidR="00666A4C">
        <w:t>, including North Canberra Hospital (NCH)</w:t>
      </w:r>
      <w:r>
        <w:t xml:space="preserve">. </w:t>
      </w:r>
    </w:p>
    <w:p w14:paraId="16E4E490" w14:textId="77777777" w:rsidR="005E7F4A" w:rsidRDefault="005E7F4A" w:rsidP="004A7A7F">
      <w:pPr>
        <w:pStyle w:val="BodyCopy"/>
      </w:pPr>
      <w:r>
        <w:t>The following are out of scope:</w:t>
      </w:r>
    </w:p>
    <w:p w14:paraId="662133D7" w14:textId="6EAB09BA" w:rsidR="005E7F4A" w:rsidRDefault="005E7F4A" w:rsidP="005E7F4A">
      <w:pPr>
        <w:pStyle w:val="BodyCopy"/>
        <w:numPr>
          <w:ilvl w:val="0"/>
          <w:numId w:val="28"/>
        </w:numPr>
      </w:pPr>
      <w:r>
        <w:t xml:space="preserve">Administration of electrolytes to patients in the Intensive Care Unit (ICU) or </w:t>
      </w:r>
      <w:r w:rsidR="00A51781">
        <w:t>r</w:t>
      </w:r>
      <w:r>
        <w:t xml:space="preserve">esuscitation </w:t>
      </w:r>
      <w:r w:rsidR="00A51781">
        <w:t>b</w:t>
      </w:r>
      <w:r>
        <w:t>ay of the Emergency Department (ED)</w:t>
      </w:r>
      <w:r w:rsidR="00C8468D">
        <w:t>.</w:t>
      </w:r>
    </w:p>
    <w:p w14:paraId="22CE9C8B" w14:textId="77777777" w:rsidR="005E7F4A" w:rsidRDefault="005E7F4A" w:rsidP="005E7F4A">
      <w:pPr>
        <w:pStyle w:val="BodyCopy"/>
        <w:numPr>
          <w:ilvl w:val="0"/>
          <w:numId w:val="28"/>
        </w:numPr>
      </w:pPr>
      <w:r>
        <w:t>Administration of electrolytes in emergency conditions such as asthma and cardiac arrhythmia</w:t>
      </w:r>
      <w:r w:rsidR="00C8468D">
        <w:t>.</w:t>
      </w:r>
    </w:p>
    <w:p w14:paraId="6B584760" w14:textId="77777777" w:rsidR="00481A6C" w:rsidRPr="005E7F4A" w:rsidRDefault="005E7F4A" w:rsidP="005E7F4A">
      <w:pPr>
        <w:pStyle w:val="BodyCopy"/>
        <w:numPr>
          <w:ilvl w:val="0"/>
          <w:numId w:val="28"/>
        </w:numPr>
      </w:pPr>
      <w:r>
        <w:lastRenderedPageBreak/>
        <w:t>Patients with complex alterations in electrolyte balance, acid base status, renal function or disturbance of other components of plasma</w:t>
      </w:r>
      <w:r w:rsidR="00C8468D">
        <w:t>.</w:t>
      </w:r>
      <w:r w:rsidR="00481A6C">
        <w:br/>
      </w:r>
      <w:r w:rsidR="00481A6C">
        <w:br/>
      </w:r>
      <w:hyperlink w:anchor="_top" w:history="1">
        <w:r w:rsidR="00481A6C" w:rsidRPr="00481A6C">
          <w:rPr>
            <w:rStyle w:val="Hyperlink"/>
            <w:iCs w:val="0"/>
          </w:rPr>
          <w:t>Back to Contents</w:t>
        </w:r>
      </w:hyperlink>
    </w:p>
    <w:p w14:paraId="34B727A2" w14:textId="77777777" w:rsidR="0078367D" w:rsidRDefault="0078367D" w:rsidP="00197F2E">
      <w:pPr>
        <w:pStyle w:val="Heading4"/>
      </w:pPr>
      <w:bookmarkStart w:id="5" w:name="_Toc180420449"/>
      <w:r>
        <w:t xml:space="preserve">Section 1 - </w:t>
      </w:r>
      <w:r w:rsidR="005E7F4A">
        <w:t>Potassium</w:t>
      </w:r>
      <w:bookmarkEnd w:id="5"/>
    </w:p>
    <w:p w14:paraId="71785222" w14:textId="77777777" w:rsidR="002D4BB3" w:rsidRPr="00A6051F" w:rsidRDefault="00EF7E5C" w:rsidP="00A6051F">
      <w:pPr>
        <w:pStyle w:val="Heading5"/>
      </w:pPr>
      <w:r>
        <w:t xml:space="preserve">1.1 </w:t>
      </w:r>
      <w:r w:rsidR="005E7F4A">
        <w:t>High-risk Medication</w:t>
      </w:r>
      <w:r w:rsidR="00C8468D" w:rsidRPr="00C8468D">
        <w:rPr>
          <w:vertAlign w:val="superscript"/>
        </w:rPr>
        <w:t>1</w:t>
      </w:r>
    </w:p>
    <w:p w14:paraId="2FF3CBDA" w14:textId="77777777" w:rsidR="001311B9" w:rsidRDefault="00935DC5" w:rsidP="00A6051F">
      <w:pPr>
        <w:pStyle w:val="BodyCopy"/>
      </w:pPr>
      <w:r>
        <w:t>The administration of intravenous (IV) potassium i</w:t>
      </w:r>
      <w:r w:rsidR="001311B9">
        <w:t>s</w:t>
      </w:r>
      <w:r>
        <w:t xml:space="preserve"> a potentially dangerous procedure: </w:t>
      </w:r>
    </w:p>
    <w:p w14:paraId="36E03A72" w14:textId="77777777" w:rsidR="002D4BB3" w:rsidRDefault="00935DC5" w:rsidP="001311B9">
      <w:pPr>
        <w:pStyle w:val="BodyCopy"/>
        <w:numPr>
          <w:ilvl w:val="0"/>
          <w:numId w:val="28"/>
        </w:numPr>
      </w:pPr>
      <w:r>
        <w:t>Errors in calculation or admixture of concentrated potassium containing solutions can result in serious adverse reactions and even death.</w:t>
      </w:r>
    </w:p>
    <w:p w14:paraId="532EEF7F" w14:textId="0EDE9B08" w:rsidR="00935DC5" w:rsidRDefault="00935DC5" w:rsidP="001311B9">
      <w:pPr>
        <w:pStyle w:val="BodyCopy"/>
        <w:numPr>
          <w:ilvl w:val="0"/>
          <w:numId w:val="28"/>
        </w:numPr>
      </w:pPr>
      <w:r>
        <w:t xml:space="preserve">IV bolus administration of concentrated potassium can be </w:t>
      </w:r>
      <w:r w:rsidR="00D16A76">
        <w:t>fatal.</w:t>
      </w:r>
    </w:p>
    <w:p w14:paraId="4AA6AAEF" w14:textId="0BFB1078" w:rsidR="00935DC5" w:rsidRDefault="00935DC5" w:rsidP="001311B9">
      <w:pPr>
        <w:pStyle w:val="BodyCopy"/>
        <w:numPr>
          <w:ilvl w:val="0"/>
          <w:numId w:val="28"/>
        </w:numPr>
      </w:pPr>
      <w:r>
        <w:t>When high concentrations are used, even minor divergence from the recommended rate of administration can be cardiotoxi</w:t>
      </w:r>
      <w:r w:rsidR="00D16A76">
        <w:t xml:space="preserve">c, thus all potassium-containing infusions should be administered using an infusion pump. </w:t>
      </w:r>
    </w:p>
    <w:p w14:paraId="76F87DD2" w14:textId="77777777" w:rsidR="00935DC5" w:rsidRDefault="00935DC5" w:rsidP="00A6051F">
      <w:pPr>
        <w:pStyle w:val="BodyCopy"/>
      </w:pPr>
      <w:r>
        <w:t xml:space="preserve">The expected standard of practice is to prescribe pre-mixed potassium </w:t>
      </w:r>
      <w:r w:rsidR="00AF3254">
        <w:t xml:space="preserve">containing infusion bags. There are pre-mixed bags available to suit almost all clinical situations and it is MANDATORY for these to be considered as the first option. </w:t>
      </w:r>
    </w:p>
    <w:p w14:paraId="35FFC9D1" w14:textId="77777777" w:rsidR="00AF3254" w:rsidRDefault="00AF3254" w:rsidP="00A6051F">
      <w:pPr>
        <w:pStyle w:val="BodyCopy"/>
      </w:pPr>
      <w:r>
        <w:t xml:space="preserve">Preparation of a boutique potassium containing solution for intravenous infusion is a high-risk process </w:t>
      </w:r>
      <w:r w:rsidR="00EF7E5C">
        <w:t>and not recommended due to the following risks:</w:t>
      </w:r>
    </w:p>
    <w:p w14:paraId="30EE1963" w14:textId="77777777" w:rsidR="00EF7E5C" w:rsidRDefault="00EF7E5C" w:rsidP="001311B9">
      <w:pPr>
        <w:pStyle w:val="BodyCopy"/>
        <w:numPr>
          <w:ilvl w:val="0"/>
          <w:numId w:val="28"/>
        </w:numPr>
      </w:pPr>
      <w:r>
        <w:t>Errors in calculation of potassium additive, leading to confusion regarding the final concentration.</w:t>
      </w:r>
    </w:p>
    <w:p w14:paraId="3950C93A" w14:textId="77777777" w:rsidR="00EF7E5C" w:rsidRDefault="00EF7E5C" w:rsidP="001311B9">
      <w:pPr>
        <w:pStyle w:val="BodyCopy"/>
        <w:numPr>
          <w:ilvl w:val="0"/>
          <w:numId w:val="28"/>
        </w:numPr>
      </w:pPr>
      <w:r>
        <w:t>Inadequate mixing of potassium and infusion, leading to pooling of the potassium additive and inadvertent potassium bolus.</w:t>
      </w:r>
    </w:p>
    <w:p w14:paraId="6B447CE0" w14:textId="77777777" w:rsidR="00EF7E5C" w:rsidRDefault="00EF7E5C" w:rsidP="00A6051F">
      <w:pPr>
        <w:pStyle w:val="BodyCopy"/>
      </w:pPr>
      <w:r>
        <w:t>Additional potassium chloride MUST NEVER be added to a pre-mix potassium bag and MUST NEVER be added to hanging or running IV bags.</w:t>
      </w:r>
    </w:p>
    <w:p w14:paraId="3D77902A" w14:textId="77777777" w:rsidR="00EF7E5C" w:rsidRPr="00EF7E5C" w:rsidRDefault="00EF7E5C" w:rsidP="00A6051F">
      <w:pPr>
        <w:pStyle w:val="BodyCopy"/>
        <w:rPr>
          <w:i/>
          <w:iCs w:val="0"/>
        </w:rPr>
      </w:pPr>
      <w:r>
        <w:t xml:space="preserve">The standards for storage and use of intravenous potassium is described in the </w:t>
      </w:r>
      <w:r>
        <w:rPr>
          <w:i/>
          <w:iCs w:val="0"/>
        </w:rPr>
        <w:t xml:space="preserve">Medication Handling Policy </w:t>
      </w:r>
      <w:r>
        <w:t xml:space="preserve">and the </w:t>
      </w:r>
      <w:r>
        <w:rPr>
          <w:i/>
          <w:iCs w:val="0"/>
        </w:rPr>
        <w:t>High-Risk Medicine Standard</w:t>
      </w:r>
      <w:r>
        <w:t xml:space="preserve"> - </w:t>
      </w:r>
      <w:r>
        <w:rPr>
          <w:i/>
          <w:iCs w:val="0"/>
        </w:rPr>
        <w:t xml:space="preserve">Concentrated Potassium and other Electrolytes. </w:t>
      </w:r>
    </w:p>
    <w:p w14:paraId="2EE27F97" w14:textId="77777777" w:rsidR="00935DC5" w:rsidRDefault="00EF7E5C" w:rsidP="00EF7E5C">
      <w:pPr>
        <w:pStyle w:val="Heading5"/>
        <w:rPr>
          <w:rFonts w:eastAsia="Times New Roman"/>
        </w:rPr>
      </w:pPr>
      <w:r>
        <w:rPr>
          <w:rFonts w:eastAsia="Times New Roman"/>
        </w:rPr>
        <w:t>1.2 Potassium Replacement Recommendations</w:t>
      </w:r>
      <w:r w:rsidR="001311B9" w:rsidRPr="001311B9">
        <w:rPr>
          <w:rFonts w:eastAsia="Times New Roman"/>
          <w:vertAlign w:val="superscript"/>
        </w:rPr>
        <w:t>1-8, 13</w:t>
      </w:r>
    </w:p>
    <w:p w14:paraId="42457FA6" w14:textId="77777777" w:rsidR="00EF7E5C" w:rsidRDefault="00EF7E5C" w:rsidP="00EF7E5C">
      <w:pPr>
        <w:pStyle w:val="BodyCopy"/>
      </w:pPr>
      <w:r>
        <w:t xml:space="preserve">Check magnesium levels – repletion of magnesium stores will facilitate more rapid correction of hypokalaemia. </w:t>
      </w:r>
    </w:p>
    <w:p w14:paraId="7F3EDB31" w14:textId="5C1538BC" w:rsidR="00EF7E5C" w:rsidRDefault="00EF7E5C" w:rsidP="00EF7E5C">
      <w:pPr>
        <w:pStyle w:val="BodyCopy"/>
      </w:pPr>
      <w:r>
        <w:lastRenderedPageBreak/>
        <w:t xml:space="preserve">All of the below recommendations can be prescribed on </w:t>
      </w:r>
      <w:r w:rsidR="001F6DB5">
        <w:t>Digital Health Record (</w:t>
      </w:r>
      <w:r>
        <w:t>DHR</w:t>
      </w:r>
      <w:r w:rsidR="001F6DB5">
        <w:t>)</w:t>
      </w:r>
      <w:r>
        <w:t xml:space="preserve"> using the hypokalaemia order set b</w:t>
      </w:r>
      <w:r w:rsidR="001E0177">
        <w:t>y</w:t>
      </w:r>
      <w:r>
        <w:t xml:space="preserve"> searching ‘hypokalaemia’ in the ‘orders’ tab.</w:t>
      </w:r>
    </w:p>
    <w:tbl>
      <w:tblPr>
        <w:tblStyle w:val="TableGrid"/>
        <w:tblW w:w="0" w:type="auto"/>
        <w:tblLook w:val="04A0" w:firstRow="1" w:lastRow="0" w:firstColumn="1" w:lastColumn="0" w:noHBand="0" w:noVBand="1"/>
      </w:tblPr>
      <w:tblGrid>
        <w:gridCol w:w="2008"/>
        <w:gridCol w:w="1350"/>
        <w:gridCol w:w="4589"/>
        <w:gridCol w:w="1964"/>
      </w:tblGrid>
      <w:tr w:rsidR="00C8468D" w14:paraId="2EB910B1" w14:textId="77777777" w:rsidTr="00C8468D">
        <w:tc>
          <w:tcPr>
            <w:tcW w:w="2008" w:type="dxa"/>
            <w:shd w:val="clear" w:color="auto" w:fill="3D2262" w:themeFill="accent1"/>
          </w:tcPr>
          <w:p w14:paraId="296BE97A" w14:textId="77777777" w:rsidR="00494388" w:rsidRPr="00A7246E" w:rsidRDefault="00494388" w:rsidP="00EF7E5C">
            <w:pPr>
              <w:pStyle w:val="BodyCopy"/>
              <w:rPr>
                <w:b/>
                <w:bCs w:val="0"/>
                <w:color w:val="FFFFFF" w:themeColor="background1"/>
              </w:rPr>
            </w:pPr>
            <w:r w:rsidRPr="00A7246E">
              <w:rPr>
                <w:b/>
                <w:bCs w:val="0"/>
                <w:color w:val="FFFFFF" w:themeColor="background1"/>
              </w:rPr>
              <w:t>Serum Potassium</w:t>
            </w:r>
          </w:p>
        </w:tc>
        <w:tc>
          <w:tcPr>
            <w:tcW w:w="1350" w:type="dxa"/>
            <w:shd w:val="clear" w:color="auto" w:fill="3D2262" w:themeFill="accent1"/>
          </w:tcPr>
          <w:p w14:paraId="2BE8BEC5" w14:textId="77777777" w:rsidR="00494388" w:rsidRPr="00A7246E" w:rsidRDefault="00494388" w:rsidP="00EF7E5C">
            <w:pPr>
              <w:pStyle w:val="BodyCopy"/>
              <w:rPr>
                <w:b/>
                <w:bCs w:val="0"/>
                <w:color w:val="FFFFFF" w:themeColor="background1"/>
              </w:rPr>
            </w:pPr>
            <w:r w:rsidRPr="00A7246E">
              <w:rPr>
                <w:b/>
                <w:bCs w:val="0"/>
                <w:color w:val="FFFFFF" w:themeColor="background1"/>
              </w:rPr>
              <w:t>Route</w:t>
            </w:r>
          </w:p>
        </w:tc>
        <w:tc>
          <w:tcPr>
            <w:tcW w:w="4589" w:type="dxa"/>
            <w:shd w:val="clear" w:color="auto" w:fill="3D2262" w:themeFill="accent1"/>
          </w:tcPr>
          <w:p w14:paraId="1AEB500E" w14:textId="77777777" w:rsidR="00494388" w:rsidRPr="00A7246E" w:rsidRDefault="00494388" w:rsidP="00EF7E5C">
            <w:pPr>
              <w:pStyle w:val="BodyCopy"/>
              <w:rPr>
                <w:b/>
                <w:bCs w:val="0"/>
                <w:color w:val="FFFFFF" w:themeColor="background1"/>
              </w:rPr>
            </w:pPr>
            <w:r w:rsidRPr="00A7246E">
              <w:rPr>
                <w:b/>
                <w:bCs w:val="0"/>
                <w:color w:val="FFFFFF" w:themeColor="background1"/>
              </w:rPr>
              <w:t>Potassium Dosage</w:t>
            </w:r>
          </w:p>
        </w:tc>
        <w:tc>
          <w:tcPr>
            <w:tcW w:w="1964" w:type="dxa"/>
            <w:shd w:val="clear" w:color="auto" w:fill="3D2262" w:themeFill="accent1"/>
          </w:tcPr>
          <w:p w14:paraId="506ADD4F" w14:textId="77777777" w:rsidR="00494388" w:rsidRPr="00A7246E" w:rsidRDefault="00494388" w:rsidP="00EF7E5C">
            <w:pPr>
              <w:pStyle w:val="BodyCopy"/>
              <w:rPr>
                <w:b/>
                <w:bCs w:val="0"/>
                <w:color w:val="FFFFFF" w:themeColor="background1"/>
              </w:rPr>
            </w:pPr>
            <w:r w:rsidRPr="00A7246E">
              <w:rPr>
                <w:b/>
                <w:bCs w:val="0"/>
                <w:color w:val="FFFFFF" w:themeColor="background1"/>
              </w:rPr>
              <w:t>Monitoring Required</w:t>
            </w:r>
          </w:p>
        </w:tc>
      </w:tr>
      <w:tr w:rsidR="00C8468D" w14:paraId="42E2B1BE" w14:textId="77777777" w:rsidTr="00C8468D">
        <w:tc>
          <w:tcPr>
            <w:tcW w:w="2008" w:type="dxa"/>
          </w:tcPr>
          <w:p w14:paraId="0CC22CD9" w14:textId="77777777" w:rsidR="00494388" w:rsidRDefault="00494388" w:rsidP="00EF7E5C">
            <w:pPr>
              <w:pStyle w:val="BodyCopy"/>
              <w:rPr>
                <w:b/>
                <w:bCs w:val="0"/>
              </w:rPr>
            </w:pPr>
            <w:r>
              <w:rPr>
                <w:b/>
                <w:bCs w:val="0"/>
              </w:rPr>
              <w:t>Mild Deficit:</w:t>
            </w:r>
          </w:p>
          <w:p w14:paraId="103F2C72" w14:textId="77777777" w:rsidR="00494388" w:rsidRDefault="00494388" w:rsidP="00EF7E5C">
            <w:pPr>
              <w:pStyle w:val="BodyCopy"/>
            </w:pPr>
            <w:r>
              <w:t>Serum Potassium:</w:t>
            </w:r>
          </w:p>
          <w:p w14:paraId="6298B9F3" w14:textId="77777777" w:rsidR="00494388" w:rsidRPr="00494388" w:rsidRDefault="00494388" w:rsidP="00EF7E5C">
            <w:pPr>
              <w:pStyle w:val="BodyCopy"/>
            </w:pPr>
            <w:r>
              <w:t>3.1 – 3.5 mmol/L</w:t>
            </w:r>
          </w:p>
        </w:tc>
        <w:tc>
          <w:tcPr>
            <w:tcW w:w="1350" w:type="dxa"/>
          </w:tcPr>
          <w:p w14:paraId="18228362" w14:textId="15D15A32" w:rsidR="00494388" w:rsidRDefault="00494388" w:rsidP="00A9025F">
            <w:pPr>
              <w:pStyle w:val="BodyCopy"/>
              <w:jc w:val="center"/>
            </w:pPr>
            <w:r>
              <w:t>Oral</w:t>
            </w:r>
            <w:r w:rsidR="00D16A76">
              <w:t xml:space="preserve"> / Enteral</w:t>
            </w:r>
          </w:p>
        </w:tc>
        <w:tc>
          <w:tcPr>
            <w:tcW w:w="4589" w:type="dxa"/>
          </w:tcPr>
          <w:p w14:paraId="7F1713D9" w14:textId="60D7B8C5" w:rsidR="00494388" w:rsidRDefault="00494388" w:rsidP="00494388">
            <w:pPr>
              <w:pStyle w:val="BodyCopy"/>
              <w:numPr>
                <w:ilvl w:val="0"/>
                <w:numId w:val="28"/>
              </w:numPr>
            </w:pPr>
            <w:r>
              <w:t xml:space="preserve">Potassium chloride </w:t>
            </w:r>
            <w:r w:rsidR="00F27C69">
              <w:t>slow-release</w:t>
            </w:r>
            <w:r>
              <w:t xml:space="preserve"> tablets</w:t>
            </w:r>
            <w:r w:rsidR="00BC3F24">
              <w:t xml:space="preserve"> 600 mg (8 mmol/tablet)</w:t>
            </w:r>
            <w:r>
              <w:t>: 2 tablets (16 mmol K</w:t>
            </w:r>
            <w:r w:rsidR="00A9025F" w:rsidRPr="00A9025F">
              <w:rPr>
                <w:vertAlign w:val="superscript"/>
              </w:rPr>
              <w:t>+</w:t>
            </w:r>
            <w:r>
              <w:t>) BD or TDS</w:t>
            </w:r>
          </w:p>
          <w:p w14:paraId="33617673" w14:textId="77777777" w:rsidR="00A9025F" w:rsidRDefault="00A9025F" w:rsidP="00A9025F">
            <w:pPr>
              <w:pStyle w:val="BodyCopy"/>
              <w:ind w:left="360"/>
              <w:jc w:val="center"/>
              <w:rPr>
                <w:b/>
                <w:bCs w:val="0"/>
              </w:rPr>
            </w:pPr>
            <w:r>
              <w:rPr>
                <w:b/>
                <w:bCs w:val="0"/>
              </w:rPr>
              <w:t>OR</w:t>
            </w:r>
          </w:p>
          <w:p w14:paraId="3D09F51E" w14:textId="4D540B95" w:rsidR="00A9025F" w:rsidRPr="00A9025F" w:rsidRDefault="00A9025F" w:rsidP="00BC3F24">
            <w:pPr>
              <w:pStyle w:val="BodyCopy"/>
              <w:numPr>
                <w:ilvl w:val="0"/>
                <w:numId w:val="28"/>
              </w:numPr>
            </w:pPr>
            <w:r>
              <w:t>Potassium chloride effervescent tablets</w:t>
            </w:r>
            <w:r w:rsidR="00BC3F24">
              <w:t xml:space="preserve"> (14 mmol/tablet)</w:t>
            </w:r>
            <w:r>
              <w:t>: 1</w:t>
            </w:r>
            <w:r w:rsidR="00A91F9D">
              <w:t xml:space="preserve"> to </w:t>
            </w:r>
            <w:r>
              <w:t>2</w:t>
            </w:r>
            <w:r w:rsidR="001311B9">
              <w:t xml:space="preserve"> tablets</w:t>
            </w:r>
            <w:r>
              <w:t xml:space="preserve"> (14</w:t>
            </w:r>
            <w:r w:rsidR="00A91F9D">
              <w:t xml:space="preserve"> to </w:t>
            </w:r>
            <w:r>
              <w:t>28 mmol K</w:t>
            </w:r>
            <w:r w:rsidRPr="00A9025F">
              <w:rPr>
                <w:vertAlign w:val="superscript"/>
              </w:rPr>
              <w:t>+</w:t>
            </w:r>
            <w:r>
              <w:rPr>
                <w:vertAlign w:val="superscript"/>
              </w:rPr>
              <w:t xml:space="preserve">) </w:t>
            </w:r>
            <w:r>
              <w:t>BD or TDS</w:t>
            </w:r>
          </w:p>
        </w:tc>
        <w:tc>
          <w:tcPr>
            <w:tcW w:w="1964" w:type="dxa"/>
          </w:tcPr>
          <w:p w14:paraId="420D437C" w14:textId="77777777" w:rsidR="00494388" w:rsidRDefault="00A9025F" w:rsidP="00EF7E5C">
            <w:pPr>
              <w:pStyle w:val="BodyCopy"/>
            </w:pPr>
            <w:r>
              <w:t>Daily serum potassium</w:t>
            </w:r>
          </w:p>
          <w:p w14:paraId="11E2BFBF" w14:textId="77777777" w:rsidR="00A9025F" w:rsidRDefault="00A9025F" w:rsidP="00EF7E5C">
            <w:pPr>
              <w:pStyle w:val="BodyCopy"/>
            </w:pPr>
            <w:r>
              <w:br/>
              <w:t>ECG not required</w:t>
            </w:r>
          </w:p>
        </w:tc>
      </w:tr>
      <w:tr w:rsidR="00C8468D" w14:paraId="20121F94" w14:textId="77777777" w:rsidTr="00C8468D">
        <w:tc>
          <w:tcPr>
            <w:tcW w:w="2008" w:type="dxa"/>
          </w:tcPr>
          <w:p w14:paraId="0DC99813" w14:textId="77777777" w:rsidR="00494388" w:rsidRDefault="00A9025F" w:rsidP="00EF7E5C">
            <w:pPr>
              <w:pStyle w:val="BodyCopy"/>
              <w:rPr>
                <w:b/>
                <w:bCs w:val="0"/>
              </w:rPr>
            </w:pPr>
            <w:r>
              <w:rPr>
                <w:b/>
                <w:bCs w:val="0"/>
              </w:rPr>
              <w:t>Moderate Deficit:</w:t>
            </w:r>
          </w:p>
          <w:p w14:paraId="09DBC069" w14:textId="77777777" w:rsidR="00C8468D" w:rsidRDefault="00A9025F" w:rsidP="00EF7E5C">
            <w:pPr>
              <w:pStyle w:val="BodyCopy"/>
            </w:pPr>
            <w:r>
              <w:t xml:space="preserve">Serum Potassium: </w:t>
            </w:r>
          </w:p>
          <w:p w14:paraId="4E7135C4" w14:textId="33380EA3" w:rsidR="00A9025F" w:rsidRPr="00A9025F" w:rsidRDefault="00A9025F" w:rsidP="00EF7E5C">
            <w:pPr>
              <w:pStyle w:val="BodyCopy"/>
            </w:pPr>
            <w:r>
              <w:t xml:space="preserve">2.5 </w:t>
            </w:r>
            <w:r w:rsidR="00FA2E62">
              <w:t xml:space="preserve">– </w:t>
            </w:r>
            <w:r>
              <w:t>3.0 mmol/L</w:t>
            </w:r>
          </w:p>
        </w:tc>
        <w:tc>
          <w:tcPr>
            <w:tcW w:w="1350" w:type="dxa"/>
          </w:tcPr>
          <w:p w14:paraId="68286DD4" w14:textId="5C90E180" w:rsidR="00494388" w:rsidRDefault="00A9025F" w:rsidP="00A9025F">
            <w:pPr>
              <w:pStyle w:val="BodyCopy"/>
              <w:jc w:val="center"/>
            </w:pPr>
            <w:r>
              <w:t xml:space="preserve">Oral </w:t>
            </w:r>
            <w:r w:rsidR="00D16A76">
              <w:t xml:space="preserve">/ Enteral </w:t>
            </w:r>
            <w:r>
              <w:t>(</w:t>
            </w:r>
            <w:r w:rsidR="00585762">
              <w:t>preferred</w:t>
            </w:r>
            <w:r>
              <w:t>)</w:t>
            </w:r>
          </w:p>
          <w:p w14:paraId="720A3EBF" w14:textId="77777777" w:rsidR="00A9025F" w:rsidRDefault="00A9025F" w:rsidP="00A9025F">
            <w:pPr>
              <w:pStyle w:val="BodyCopy"/>
              <w:jc w:val="center"/>
            </w:pPr>
          </w:p>
          <w:p w14:paraId="0E161256" w14:textId="77777777" w:rsidR="00A9025F" w:rsidRDefault="00A9025F" w:rsidP="00A9025F">
            <w:pPr>
              <w:pStyle w:val="BodyCopy"/>
              <w:jc w:val="center"/>
              <w:rPr>
                <w:b/>
                <w:bCs w:val="0"/>
                <w:i/>
                <w:iCs w:val="0"/>
                <w:u w:val="single"/>
              </w:rPr>
            </w:pPr>
            <w:r>
              <w:rPr>
                <w:b/>
                <w:bCs w:val="0"/>
                <w:i/>
                <w:iCs w:val="0"/>
                <w:u w:val="single"/>
              </w:rPr>
              <w:t>AND/OR</w:t>
            </w:r>
          </w:p>
          <w:p w14:paraId="7FCA24E9" w14:textId="77777777" w:rsidR="00A9025F" w:rsidRDefault="00A9025F" w:rsidP="00A9025F">
            <w:pPr>
              <w:pStyle w:val="BodyCopy"/>
              <w:jc w:val="center"/>
            </w:pPr>
          </w:p>
          <w:p w14:paraId="08F6FD47" w14:textId="77777777" w:rsidR="00A9025F" w:rsidRPr="00A9025F" w:rsidRDefault="00A9025F" w:rsidP="00A9025F">
            <w:pPr>
              <w:pStyle w:val="BodyCopy"/>
              <w:jc w:val="center"/>
            </w:pPr>
            <w:r>
              <w:t>IV</w:t>
            </w:r>
          </w:p>
        </w:tc>
        <w:tc>
          <w:tcPr>
            <w:tcW w:w="4589" w:type="dxa"/>
          </w:tcPr>
          <w:p w14:paraId="065F3F60" w14:textId="07DAE276" w:rsidR="00494388" w:rsidRDefault="00A9025F" w:rsidP="00A9025F">
            <w:pPr>
              <w:pStyle w:val="BodyCopy"/>
              <w:numPr>
                <w:ilvl w:val="0"/>
                <w:numId w:val="28"/>
              </w:numPr>
            </w:pPr>
            <w:r>
              <w:t xml:space="preserve">Potassium chloride </w:t>
            </w:r>
            <w:r w:rsidR="00F27C69">
              <w:t>slow-release</w:t>
            </w:r>
            <w:r>
              <w:t xml:space="preserve"> tablets</w:t>
            </w:r>
            <w:r w:rsidR="00BC3F24">
              <w:t xml:space="preserve"> 600 mg (8 mmol/tablet):</w:t>
            </w:r>
            <w:r>
              <w:t xml:space="preserve"> 3 tablets (</w:t>
            </w:r>
            <w:r w:rsidR="001311B9">
              <w:t>24</w:t>
            </w:r>
            <w:r>
              <w:t xml:space="preserve"> mmol K</w:t>
            </w:r>
            <w:r w:rsidRPr="00A9025F">
              <w:rPr>
                <w:vertAlign w:val="superscript"/>
              </w:rPr>
              <w:t>+</w:t>
            </w:r>
            <w:r>
              <w:t>) BD or TDS</w:t>
            </w:r>
          </w:p>
          <w:p w14:paraId="0F0EEA4B" w14:textId="77777777" w:rsidR="00A9025F" w:rsidRDefault="00A9025F" w:rsidP="00A9025F">
            <w:pPr>
              <w:pStyle w:val="BodyCopy"/>
              <w:ind w:left="360"/>
              <w:jc w:val="center"/>
              <w:rPr>
                <w:b/>
                <w:bCs w:val="0"/>
              </w:rPr>
            </w:pPr>
            <w:r>
              <w:rPr>
                <w:b/>
                <w:bCs w:val="0"/>
              </w:rPr>
              <w:t>OR</w:t>
            </w:r>
          </w:p>
          <w:p w14:paraId="4A3EFD5D" w14:textId="1DBC4D83" w:rsidR="00A9025F" w:rsidRDefault="00A9025F" w:rsidP="00A9025F">
            <w:pPr>
              <w:pStyle w:val="BodyCopy"/>
              <w:numPr>
                <w:ilvl w:val="0"/>
                <w:numId w:val="28"/>
              </w:numPr>
            </w:pPr>
            <w:r>
              <w:t>Potassium chloride effervescent tablets</w:t>
            </w:r>
            <w:r w:rsidR="00BC3F24">
              <w:t xml:space="preserve"> (14 mmol/tablet):</w:t>
            </w:r>
            <w:r>
              <w:t xml:space="preserve"> 2</w:t>
            </w:r>
            <w:r w:rsidR="00A91F9D">
              <w:t xml:space="preserve"> to </w:t>
            </w:r>
            <w:r>
              <w:t>3 tablets (28</w:t>
            </w:r>
            <w:r w:rsidR="00A91F9D">
              <w:t xml:space="preserve"> to </w:t>
            </w:r>
            <w:r>
              <w:t>42 mmol K</w:t>
            </w:r>
            <w:r w:rsidRPr="008F649A">
              <w:rPr>
                <w:vertAlign w:val="superscript"/>
              </w:rPr>
              <w:t>+</w:t>
            </w:r>
            <w:r>
              <w:t>) TDS</w:t>
            </w:r>
          </w:p>
          <w:p w14:paraId="6D8AA283" w14:textId="77777777" w:rsidR="00A9025F" w:rsidRDefault="00A9025F" w:rsidP="00A9025F">
            <w:pPr>
              <w:pStyle w:val="BodyCopy"/>
              <w:ind w:left="360"/>
              <w:jc w:val="center"/>
              <w:rPr>
                <w:b/>
                <w:bCs w:val="0"/>
              </w:rPr>
            </w:pPr>
            <w:r>
              <w:rPr>
                <w:b/>
                <w:bCs w:val="0"/>
              </w:rPr>
              <w:t>AND/OR</w:t>
            </w:r>
          </w:p>
          <w:p w14:paraId="7A897199" w14:textId="671E4FE8" w:rsidR="00A9025F" w:rsidRPr="00BC3F24" w:rsidRDefault="00A9025F" w:rsidP="00A9025F">
            <w:pPr>
              <w:pStyle w:val="BodyCopy"/>
              <w:ind w:left="360"/>
              <w:rPr>
                <w:b/>
                <w:bCs w:val="0"/>
              </w:rPr>
            </w:pPr>
            <w:r w:rsidRPr="00BC3F24">
              <w:rPr>
                <w:b/>
                <w:bCs w:val="0"/>
              </w:rPr>
              <w:t>IV Peripheral</w:t>
            </w:r>
            <w:r w:rsidR="009726AE">
              <w:rPr>
                <w:b/>
                <w:bCs w:val="0"/>
              </w:rPr>
              <w:t>/Central</w:t>
            </w:r>
            <w:r w:rsidRPr="00BC3F24">
              <w:rPr>
                <w:b/>
                <w:bCs w:val="0"/>
              </w:rPr>
              <w:t xml:space="preserve"> Line (rate not to exceed 10</w:t>
            </w:r>
            <w:r w:rsidR="003E1915" w:rsidRPr="00BC3F24">
              <w:rPr>
                <w:b/>
                <w:bCs w:val="0"/>
              </w:rPr>
              <w:t xml:space="preserve"> </w:t>
            </w:r>
            <w:r w:rsidRPr="00BC3F24">
              <w:rPr>
                <w:b/>
                <w:bCs w:val="0"/>
              </w:rPr>
              <w:t>mmol/</w:t>
            </w:r>
            <w:proofErr w:type="spellStart"/>
            <w:r w:rsidRPr="00BC3F24">
              <w:rPr>
                <w:b/>
                <w:bCs w:val="0"/>
              </w:rPr>
              <w:t>hr</w:t>
            </w:r>
            <w:proofErr w:type="spellEnd"/>
            <w:r w:rsidRPr="00BC3F24">
              <w:rPr>
                <w:b/>
                <w:bCs w:val="0"/>
              </w:rPr>
              <w:t>)</w:t>
            </w:r>
          </w:p>
          <w:p w14:paraId="05D7FE16" w14:textId="375194EC" w:rsidR="00A9025F" w:rsidRPr="00A9025F" w:rsidRDefault="00A9025F" w:rsidP="00A9025F">
            <w:pPr>
              <w:pStyle w:val="BodyCopy"/>
              <w:numPr>
                <w:ilvl w:val="0"/>
                <w:numId w:val="28"/>
              </w:numPr>
              <w:rPr>
                <w:b/>
                <w:bCs w:val="0"/>
              </w:rPr>
            </w:pPr>
            <w:r>
              <w:t>30 mmol potassium chloride in 1000</w:t>
            </w:r>
            <w:r w:rsidR="003E1915">
              <w:t xml:space="preserve"> </w:t>
            </w:r>
            <w:r>
              <w:t>mL pre-mixed bag</w:t>
            </w:r>
          </w:p>
          <w:p w14:paraId="4A3B3D13" w14:textId="77777777" w:rsidR="00A9025F" w:rsidRDefault="00A9025F" w:rsidP="00A9025F">
            <w:pPr>
              <w:pStyle w:val="BodyCopy"/>
              <w:ind w:left="360"/>
              <w:jc w:val="center"/>
              <w:rPr>
                <w:b/>
              </w:rPr>
            </w:pPr>
            <w:r>
              <w:rPr>
                <w:b/>
              </w:rPr>
              <w:t>OR</w:t>
            </w:r>
          </w:p>
          <w:p w14:paraId="5DA2ECC0" w14:textId="5F1DCA86" w:rsidR="00A9025F" w:rsidRPr="00A9025F" w:rsidRDefault="00A9025F" w:rsidP="00A9025F">
            <w:pPr>
              <w:pStyle w:val="BodyCopy"/>
              <w:numPr>
                <w:ilvl w:val="0"/>
                <w:numId w:val="28"/>
              </w:numPr>
              <w:rPr>
                <w:bCs w:val="0"/>
              </w:rPr>
            </w:pPr>
            <w:r>
              <w:rPr>
                <w:bCs w:val="0"/>
              </w:rPr>
              <w:t>10 mmol potassium chloride in 0.29% sodium chloride (isotonic) pre-mixed bag (100</w:t>
            </w:r>
            <w:r w:rsidR="003E1915">
              <w:rPr>
                <w:bCs w:val="0"/>
              </w:rPr>
              <w:t xml:space="preserve"> </w:t>
            </w:r>
            <w:r>
              <w:rPr>
                <w:bCs w:val="0"/>
              </w:rPr>
              <w:t>mL)</w:t>
            </w:r>
          </w:p>
        </w:tc>
        <w:tc>
          <w:tcPr>
            <w:tcW w:w="1964" w:type="dxa"/>
          </w:tcPr>
          <w:p w14:paraId="4E615C56" w14:textId="77777777" w:rsidR="00494388" w:rsidRDefault="00A9025F" w:rsidP="00EF7E5C">
            <w:pPr>
              <w:pStyle w:val="BodyCopy"/>
            </w:pPr>
            <w:r>
              <w:t>Serum potassium at least every 6-12 hours</w:t>
            </w:r>
          </w:p>
          <w:p w14:paraId="0820403D" w14:textId="77777777" w:rsidR="00A9025F" w:rsidRDefault="00A9025F" w:rsidP="00EF7E5C">
            <w:pPr>
              <w:pStyle w:val="BodyCopy"/>
            </w:pPr>
          </w:p>
          <w:p w14:paraId="584D1457" w14:textId="2529770D" w:rsidR="00A9025F" w:rsidRDefault="009726AE" w:rsidP="00EF7E5C">
            <w:pPr>
              <w:pStyle w:val="BodyCopy"/>
            </w:pPr>
            <w:r>
              <w:t xml:space="preserve">Baseline </w:t>
            </w:r>
            <w:r w:rsidR="00A9025F">
              <w:t>ECG</w:t>
            </w:r>
            <w:r>
              <w:t xml:space="preserve"> </w:t>
            </w:r>
            <w:r w:rsidR="00A9025F">
              <w:t>required</w:t>
            </w:r>
          </w:p>
        </w:tc>
      </w:tr>
      <w:tr w:rsidR="00C8468D" w14:paraId="115F6310" w14:textId="77777777" w:rsidTr="00C8468D">
        <w:tc>
          <w:tcPr>
            <w:tcW w:w="2008" w:type="dxa"/>
          </w:tcPr>
          <w:p w14:paraId="72523FAA" w14:textId="77777777" w:rsidR="00494388" w:rsidRDefault="00A9025F" w:rsidP="00EF7E5C">
            <w:pPr>
              <w:pStyle w:val="BodyCopy"/>
              <w:rPr>
                <w:b/>
                <w:bCs w:val="0"/>
              </w:rPr>
            </w:pPr>
            <w:r>
              <w:rPr>
                <w:b/>
                <w:bCs w:val="0"/>
              </w:rPr>
              <w:t>Severe Deficit:</w:t>
            </w:r>
          </w:p>
          <w:p w14:paraId="5B8012B4" w14:textId="77777777" w:rsidR="00A9025F" w:rsidRDefault="00A9025F" w:rsidP="00EF7E5C">
            <w:pPr>
              <w:pStyle w:val="BodyCopy"/>
            </w:pPr>
            <w:r>
              <w:lastRenderedPageBreak/>
              <w:t>Serum Potassium: Less than 2.5 mmol/L</w:t>
            </w:r>
          </w:p>
          <w:p w14:paraId="360D82B7" w14:textId="77777777" w:rsidR="00012A31" w:rsidRDefault="00012A31" w:rsidP="00EF7E5C">
            <w:pPr>
              <w:pStyle w:val="BodyCopy"/>
            </w:pPr>
          </w:p>
          <w:p w14:paraId="2DB26577" w14:textId="77777777" w:rsidR="00012A31" w:rsidRDefault="00012A31" w:rsidP="00EF7E5C">
            <w:pPr>
              <w:pStyle w:val="BodyCopy"/>
            </w:pPr>
            <w:r>
              <w:t xml:space="preserve">OR </w:t>
            </w:r>
          </w:p>
          <w:p w14:paraId="70816A5C" w14:textId="77777777" w:rsidR="00012A31" w:rsidRDefault="00012A31" w:rsidP="00EF7E5C">
            <w:pPr>
              <w:pStyle w:val="BodyCopy"/>
            </w:pPr>
          </w:p>
          <w:p w14:paraId="586140DC" w14:textId="22AB831D" w:rsidR="00012A31" w:rsidRPr="00A9025F" w:rsidRDefault="00012A31" w:rsidP="00EF7E5C">
            <w:pPr>
              <w:pStyle w:val="BodyCopy"/>
            </w:pPr>
            <w:r>
              <w:t>Serum Potassium: Less than 3 mmol/L with symptoms</w:t>
            </w:r>
            <w:r w:rsidR="00AD2BBF">
              <w:t xml:space="preserve"> of </w:t>
            </w:r>
            <w:proofErr w:type="spellStart"/>
            <w:r w:rsidR="00AD2BBF">
              <w:t>hypokalaemia</w:t>
            </w:r>
            <w:proofErr w:type="spellEnd"/>
            <w:r w:rsidR="00AD2BBF">
              <w:t xml:space="preserve"> (i.e. ECG changes, muscle weakness)</w:t>
            </w:r>
          </w:p>
        </w:tc>
        <w:tc>
          <w:tcPr>
            <w:tcW w:w="1350" w:type="dxa"/>
          </w:tcPr>
          <w:p w14:paraId="26022B8A" w14:textId="77777777" w:rsidR="00494388" w:rsidRDefault="00A9025F" w:rsidP="00585762">
            <w:pPr>
              <w:pStyle w:val="BodyCopy"/>
              <w:jc w:val="center"/>
            </w:pPr>
            <w:r>
              <w:lastRenderedPageBreak/>
              <w:t>Oral</w:t>
            </w:r>
          </w:p>
          <w:p w14:paraId="3C4D0B06" w14:textId="77777777" w:rsidR="00A9025F" w:rsidRDefault="00A9025F" w:rsidP="00585762">
            <w:pPr>
              <w:pStyle w:val="BodyCopy"/>
              <w:jc w:val="center"/>
            </w:pPr>
          </w:p>
          <w:p w14:paraId="72ACC05D" w14:textId="77777777" w:rsidR="00A9025F" w:rsidRDefault="00A9025F" w:rsidP="00585762">
            <w:pPr>
              <w:pStyle w:val="BodyCopy"/>
              <w:jc w:val="center"/>
              <w:rPr>
                <w:b/>
                <w:bCs w:val="0"/>
                <w:i/>
                <w:iCs w:val="0"/>
                <w:u w:val="single"/>
              </w:rPr>
            </w:pPr>
            <w:r>
              <w:rPr>
                <w:b/>
                <w:bCs w:val="0"/>
                <w:i/>
                <w:iCs w:val="0"/>
                <w:u w:val="single"/>
              </w:rPr>
              <w:lastRenderedPageBreak/>
              <w:t>AND/OR</w:t>
            </w:r>
          </w:p>
          <w:p w14:paraId="685CB229" w14:textId="77777777" w:rsidR="00A9025F" w:rsidRPr="00A9025F" w:rsidRDefault="00A9025F" w:rsidP="00585762">
            <w:pPr>
              <w:pStyle w:val="BodyCopy"/>
              <w:jc w:val="center"/>
            </w:pPr>
            <w:r>
              <w:t>IV</w:t>
            </w:r>
          </w:p>
        </w:tc>
        <w:tc>
          <w:tcPr>
            <w:tcW w:w="4589" w:type="dxa"/>
          </w:tcPr>
          <w:p w14:paraId="472BAAD5" w14:textId="4E8D1C4D" w:rsidR="00494388" w:rsidRDefault="00A9025F" w:rsidP="00585762">
            <w:pPr>
              <w:pStyle w:val="BodyCopy"/>
              <w:numPr>
                <w:ilvl w:val="0"/>
                <w:numId w:val="28"/>
              </w:numPr>
              <w:jc w:val="center"/>
            </w:pPr>
            <w:r>
              <w:lastRenderedPageBreak/>
              <w:t xml:space="preserve">Potassium chloride </w:t>
            </w:r>
            <w:r w:rsidR="00F27C69">
              <w:t>slow-release</w:t>
            </w:r>
            <w:r>
              <w:t xml:space="preserve"> tablets: 3 tablets (24</w:t>
            </w:r>
            <w:r w:rsidR="00A577C6">
              <w:t xml:space="preserve"> </w:t>
            </w:r>
            <w:r>
              <w:t>mmol K</w:t>
            </w:r>
            <w:r w:rsidRPr="008F649A">
              <w:rPr>
                <w:vertAlign w:val="superscript"/>
              </w:rPr>
              <w:t>+</w:t>
            </w:r>
            <w:r>
              <w:t>) TDS</w:t>
            </w:r>
          </w:p>
          <w:p w14:paraId="71458258" w14:textId="77777777" w:rsidR="00A9025F" w:rsidRPr="00585762" w:rsidRDefault="00A9025F" w:rsidP="00585762">
            <w:pPr>
              <w:pStyle w:val="BodyCopy"/>
              <w:ind w:left="360"/>
              <w:jc w:val="center"/>
              <w:rPr>
                <w:b/>
                <w:bCs w:val="0"/>
              </w:rPr>
            </w:pPr>
            <w:r w:rsidRPr="00585762">
              <w:rPr>
                <w:b/>
                <w:bCs w:val="0"/>
              </w:rPr>
              <w:lastRenderedPageBreak/>
              <w:t>AND/OR</w:t>
            </w:r>
          </w:p>
          <w:p w14:paraId="12A6696D" w14:textId="77777777" w:rsidR="00A9025F" w:rsidRDefault="00A9025F" w:rsidP="00A9025F">
            <w:pPr>
              <w:pStyle w:val="BodyCopy"/>
              <w:numPr>
                <w:ilvl w:val="0"/>
                <w:numId w:val="28"/>
              </w:numPr>
            </w:pPr>
            <w:r>
              <w:t>Potassium chloride effervescent tablets 2 tablets (28 mmol K</w:t>
            </w:r>
            <w:r w:rsidRPr="008F649A">
              <w:rPr>
                <w:vertAlign w:val="superscript"/>
              </w:rPr>
              <w:t>+</w:t>
            </w:r>
            <w:r>
              <w:t>) TDS</w:t>
            </w:r>
          </w:p>
          <w:p w14:paraId="15272D07" w14:textId="77777777" w:rsidR="00A9025F" w:rsidRDefault="00A9025F" w:rsidP="00585762">
            <w:pPr>
              <w:pStyle w:val="BodyCopy"/>
              <w:ind w:left="360"/>
              <w:jc w:val="center"/>
              <w:rPr>
                <w:b/>
                <w:bCs w:val="0"/>
              </w:rPr>
            </w:pPr>
            <w:r>
              <w:rPr>
                <w:b/>
                <w:bCs w:val="0"/>
              </w:rPr>
              <w:t>AND</w:t>
            </w:r>
          </w:p>
          <w:p w14:paraId="1AF72263" w14:textId="076C401A" w:rsidR="00A9025F" w:rsidRPr="00BC3F24" w:rsidRDefault="00A9025F" w:rsidP="00A9025F">
            <w:pPr>
              <w:pStyle w:val="BodyCopy"/>
              <w:ind w:left="360"/>
              <w:rPr>
                <w:b/>
                <w:bCs w:val="0"/>
              </w:rPr>
            </w:pPr>
            <w:r w:rsidRPr="00BC3F24">
              <w:rPr>
                <w:b/>
                <w:bCs w:val="0"/>
              </w:rPr>
              <w:t>IV Peripheral</w:t>
            </w:r>
            <w:r w:rsidR="00E42438">
              <w:rPr>
                <w:b/>
                <w:bCs w:val="0"/>
              </w:rPr>
              <w:t>/Central</w:t>
            </w:r>
            <w:r w:rsidRPr="00BC3F24">
              <w:rPr>
                <w:b/>
                <w:bCs w:val="0"/>
              </w:rPr>
              <w:t xml:space="preserve"> Line (rate not to exceed 10</w:t>
            </w:r>
            <w:r w:rsidR="00A577C6" w:rsidRPr="00BC3F24">
              <w:rPr>
                <w:b/>
                <w:bCs w:val="0"/>
              </w:rPr>
              <w:t xml:space="preserve"> </w:t>
            </w:r>
            <w:r w:rsidRPr="00BC3F24">
              <w:rPr>
                <w:b/>
                <w:bCs w:val="0"/>
              </w:rPr>
              <w:t>mmol/</w:t>
            </w:r>
            <w:proofErr w:type="spellStart"/>
            <w:r w:rsidRPr="00BC3F24">
              <w:rPr>
                <w:b/>
                <w:bCs w:val="0"/>
              </w:rPr>
              <w:t>hr</w:t>
            </w:r>
            <w:proofErr w:type="spellEnd"/>
            <w:r w:rsidRPr="00BC3F24">
              <w:rPr>
                <w:b/>
                <w:bCs w:val="0"/>
              </w:rPr>
              <w:t>)</w:t>
            </w:r>
          </w:p>
          <w:p w14:paraId="15EEF653" w14:textId="77777777" w:rsidR="00A9025F" w:rsidRDefault="00A9025F" w:rsidP="00A9025F">
            <w:pPr>
              <w:pStyle w:val="BodyCopy"/>
              <w:numPr>
                <w:ilvl w:val="0"/>
                <w:numId w:val="28"/>
              </w:numPr>
            </w:pPr>
            <w:r>
              <w:t>10 mmol potassium chloride in 0.29% sodium chloride (isotonic) pre-mixed bag (100mL)</w:t>
            </w:r>
          </w:p>
          <w:p w14:paraId="0B6C9723" w14:textId="77777777" w:rsidR="008F649A" w:rsidRDefault="008F649A" w:rsidP="00C8468D">
            <w:pPr>
              <w:pStyle w:val="BodyCopy"/>
              <w:ind w:left="360"/>
              <w:jc w:val="center"/>
              <w:rPr>
                <w:b/>
                <w:bCs w:val="0"/>
              </w:rPr>
            </w:pPr>
            <w:r>
              <w:rPr>
                <w:b/>
                <w:bCs w:val="0"/>
              </w:rPr>
              <w:t>OR</w:t>
            </w:r>
          </w:p>
          <w:p w14:paraId="5FEECA0B" w14:textId="37FA2A44" w:rsidR="008F649A" w:rsidRDefault="008F649A" w:rsidP="008F649A">
            <w:pPr>
              <w:pStyle w:val="BodyCopy"/>
              <w:ind w:left="360"/>
              <w:rPr>
                <w:b/>
                <w:bCs w:val="0"/>
              </w:rPr>
            </w:pPr>
            <w:r>
              <w:rPr>
                <w:b/>
                <w:bCs w:val="0"/>
              </w:rPr>
              <w:t xml:space="preserve">IV </w:t>
            </w:r>
            <w:r w:rsidR="00E42438">
              <w:rPr>
                <w:b/>
                <w:bCs w:val="0"/>
              </w:rPr>
              <w:t>Peripheral/</w:t>
            </w:r>
            <w:r>
              <w:rPr>
                <w:b/>
                <w:bCs w:val="0"/>
              </w:rPr>
              <w:t>Central Line (</w:t>
            </w:r>
            <w:r w:rsidR="00BC3F24">
              <w:rPr>
                <w:b/>
                <w:bCs w:val="0"/>
              </w:rPr>
              <w:t xml:space="preserve">maximum rate </w:t>
            </w:r>
            <w:r>
              <w:rPr>
                <w:b/>
                <w:bCs w:val="0"/>
              </w:rPr>
              <w:t>20</w:t>
            </w:r>
            <w:r w:rsidR="00FA2E62">
              <w:rPr>
                <w:b/>
                <w:bCs w:val="0"/>
              </w:rPr>
              <w:t xml:space="preserve"> </w:t>
            </w:r>
            <w:r>
              <w:rPr>
                <w:b/>
                <w:bCs w:val="0"/>
              </w:rPr>
              <w:t>mmol/</w:t>
            </w:r>
            <w:proofErr w:type="spellStart"/>
            <w:r>
              <w:rPr>
                <w:b/>
                <w:bCs w:val="0"/>
              </w:rPr>
              <w:t>hr</w:t>
            </w:r>
            <w:proofErr w:type="spellEnd"/>
            <w:r>
              <w:rPr>
                <w:b/>
                <w:bCs w:val="0"/>
              </w:rPr>
              <w:t xml:space="preserve"> </w:t>
            </w:r>
            <w:r>
              <w:rPr>
                <w:b/>
                <w:bCs w:val="0"/>
                <w:u w:val="single"/>
              </w:rPr>
              <w:t>without</w:t>
            </w:r>
            <w:r>
              <w:rPr>
                <w:b/>
                <w:bCs w:val="0"/>
              </w:rPr>
              <w:t xml:space="preserve"> continuous ECG monitoring)</w:t>
            </w:r>
          </w:p>
          <w:p w14:paraId="66C9E7E7" w14:textId="7DC34EE9" w:rsidR="008F649A" w:rsidRPr="008F649A" w:rsidRDefault="008F649A" w:rsidP="008F649A">
            <w:pPr>
              <w:pStyle w:val="BodyCopy"/>
              <w:numPr>
                <w:ilvl w:val="0"/>
                <w:numId w:val="28"/>
              </w:numPr>
              <w:rPr>
                <w:b/>
                <w:bCs w:val="0"/>
              </w:rPr>
            </w:pPr>
            <w:r>
              <w:t>10</w:t>
            </w:r>
            <w:r w:rsidR="00A577C6">
              <w:t xml:space="preserve"> </w:t>
            </w:r>
            <w:r>
              <w:t>mmol potassium chloride in 0.29% sodium chloride (isotonic) pre-mixed bag (100</w:t>
            </w:r>
            <w:r w:rsidR="00A577C6">
              <w:t xml:space="preserve"> </w:t>
            </w:r>
            <w:r>
              <w:t>mL)</w:t>
            </w:r>
          </w:p>
          <w:p w14:paraId="6AD275F0" w14:textId="36F57011" w:rsidR="00A9025F" w:rsidRPr="00A9025F" w:rsidRDefault="00A9025F" w:rsidP="00A9025F">
            <w:pPr>
              <w:pStyle w:val="BodyCopy"/>
            </w:pPr>
            <w:r>
              <w:t>Continue this regimen until serum potassium is persistently above 3</w:t>
            </w:r>
            <w:r w:rsidR="00A577C6">
              <w:t xml:space="preserve"> </w:t>
            </w:r>
            <w:r>
              <w:t>mmol/L then continue as per mild to moderate deficit above.</w:t>
            </w:r>
          </w:p>
        </w:tc>
        <w:tc>
          <w:tcPr>
            <w:tcW w:w="1964" w:type="dxa"/>
          </w:tcPr>
          <w:p w14:paraId="27035D0B" w14:textId="77777777" w:rsidR="00494388" w:rsidRDefault="00A9025F" w:rsidP="00EF7E5C">
            <w:pPr>
              <w:pStyle w:val="BodyCopy"/>
            </w:pPr>
            <w:r>
              <w:lastRenderedPageBreak/>
              <w:t>ECG required</w:t>
            </w:r>
          </w:p>
          <w:p w14:paraId="4715355B" w14:textId="77777777" w:rsidR="00A9025F" w:rsidRDefault="00A9025F" w:rsidP="00EF7E5C">
            <w:pPr>
              <w:pStyle w:val="BodyCopy"/>
            </w:pPr>
          </w:p>
          <w:p w14:paraId="36027613" w14:textId="77777777" w:rsidR="009726AE" w:rsidRDefault="00A9025F" w:rsidP="00EF7E5C">
            <w:pPr>
              <w:pStyle w:val="BodyCopy"/>
            </w:pPr>
            <w:r>
              <w:lastRenderedPageBreak/>
              <w:t xml:space="preserve">Serum potassium </w:t>
            </w:r>
            <w:r w:rsidR="009726AE">
              <w:t xml:space="preserve">every 4 hours until potassium &gt; 3 mmol/L </w:t>
            </w:r>
          </w:p>
          <w:p w14:paraId="330EE9B0" w14:textId="6A5BDABA" w:rsidR="009726AE" w:rsidRDefault="009726AE" w:rsidP="00EF7E5C">
            <w:pPr>
              <w:pStyle w:val="BodyCopy"/>
            </w:pPr>
            <w:r>
              <w:t xml:space="preserve">ECG monitoring </w:t>
            </w:r>
            <w:r w:rsidR="009F46AA">
              <w:t>e</w:t>
            </w:r>
            <w:r w:rsidR="00A9025F">
              <w:t xml:space="preserve">very 4 hours </w:t>
            </w:r>
            <w:r>
              <w:t xml:space="preserve">until resolution of </w:t>
            </w:r>
            <w:proofErr w:type="spellStart"/>
            <w:r>
              <w:t>hypokalaemia</w:t>
            </w:r>
            <w:proofErr w:type="spellEnd"/>
            <w:r>
              <w:t xml:space="preserve"> induced symptoms have resolved</w:t>
            </w:r>
          </w:p>
          <w:p w14:paraId="37C30AAF" w14:textId="5962B0BD" w:rsidR="009726AE" w:rsidRDefault="009726AE" w:rsidP="00EF7E5C">
            <w:pPr>
              <w:pStyle w:val="BodyCopy"/>
            </w:pPr>
            <w:r>
              <w:t>Continuous ECG monitoring if rate exceeds 20 mmol/</w:t>
            </w:r>
            <w:proofErr w:type="spellStart"/>
            <w:r>
              <w:t>hr</w:t>
            </w:r>
            <w:proofErr w:type="spellEnd"/>
          </w:p>
          <w:p w14:paraId="62772F53" w14:textId="7504B3A5" w:rsidR="00A9025F" w:rsidRDefault="003C2305" w:rsidP="00EF7E5C">
            <w:pPr>
              <w:pStyle w:val="BodyCopy"/>
            </w:pPr>
            <w:r>
              <w:t>L</w:t>
            </w:r>
            <w:r w:rsidR="0080546C">
              <w:t xml:space="preserve">arge amounts of potassium of 60-80 mmol are </w:t>
            </w:r>
            <w:r w:rsidR="009F4FFD">
              <w:t xml:space="preserve">typically </w:t>
            </w:r>
            <w:r w:rsidR="0080546C">
              <w:t xml:space="preserve">required to replace the deficit over the first 24 hours </w:t>
            </w:r>
          </w:p>
        </w:tc>
      </w:tr>
    </w:tbl>
    <w:p w14:paraId="13682379" w14:textId="77777777" w:rsidR="00494388" w:rsidRDefault="00494388" w:rsidP="00EF7E5C">
      <w:pPr>
        <w:pStyle w:val="BodyCopy"/>
      </w:pPr>
    </w:p>
    <w:tbl>
      <w:tblPr>
        <w:tblStyle w:val="TableGrid"/>
        <w:tblW w:w="0" w:type="auto"/>
        <w:tblLook w:val="04A0" w:firstRow="1" w:lastRow="0" w:firstColumn="1" w:lastColumn="0" w:noHBand="0" w:noVBand="1"/>
      </w:tblPr>
      <w:tblGrid>
        <w:gridCol w:w="9911"/>
      </w:tblGrid>
      <w:tr w:rsidR="00585762" w14:paraId="353D90F4" w14:textId="77777777" w:rsidTr="00585762">
        <w:tc>
          <w:tcPr>
            <w:tcW w:w="9911" w:type="dxa"/>
          </w:tcPr>
          <w:p w14:paraId="1D259773" w14:textId="77777777" w:rsidR="00585762" w:rsidRDefault="00585762" w:rsidP="00EF7E5C">
            <w:pPr>
              <w:pStyle w:val="BodyCopy"/>
              <w:rPr>
                <w:b/>
                <w:bCs w:val="0"/>
              </w:rPr>
            </w:pPr>
            <w:r>
              <w:rPr>
                <w:b/>
                <w:bCs w:val="0"/>
              </w:rPr>
              <w:t xml:space="preserve">Note: </w:t>
            </w:r>
          </w:p>
          <w:p w14:paraId="462FDCFC" w14:textId="77777777" w:rsidR="00585762" w:rsidRPr="00585762" w:rsidRDefault="00585762" w:rsidP="00585762">
            <w:pPr>
              <w:pStyle w:val="BodyCopy"/>
              <w:numPr>
                <w:ilvl w:val="0"/>
                <w:numId w:val="28"/>
              </w:numPr>
              <w:rPr>
                <w:b/>
                <w:bCs w:val="0"/>
              </w:rPr>
            </w:pPr>
            <w:r>
              <w:t>Information on the use of potassium acetate is not included in this guideline. This should only be used for potassium replacement in critical care areas.</w:t>
            </w:r>
          </w:p>
        </w:tc>
      </w:tr>
    </w:tbl>
    <w:p w14:paraId="15EEBF94" w14:textId="77777777" w:rsidR="00585762" w:rsidRDefault="00585762" w:rsidP="00585762">
      <w:pPr>
        <w:pStyle w:val="Heading5"/>
      </w:pPr>
      <w:r>
        <w:t>1.3 Available Oral Potassium Supplements in CHS</w:t>
      </w:r>
    </w:p>
    <w:p w14:paraId="03384991" w14:textId="1D090D41" w:rsidR="00585762" w:rsidRDefault="00585762" w:rsidP="00585762">
      <w:pPr>
        <w:pStyle w:val="BodyCopy"/>
      </w:pPr>
      <w:r>
        <w:t>Gradual replacement of potassium (via oral</w:t>
      </w:r>
      <w:r w:rsidR="00D16A76">
        <w:t>/enteral rout</w:t>
      </w:r>
      <w:r>
        <w:t>e) is preferred, if clinically appropriate since the relatively slow absorption from the gastrointestinal tract prevents sudden large increases in plasma potassium concentrations. If a patient is fluid restricted, ALWAYS consider giving potassium via the oral</w:t>
      </w:r>
      <w:r w:rsidR="00D16A76">
        <w:t>/enteral</w:t>
      </w:r>
      <w:r>
        <w:t xml:space="preserve"> route.</w:t>
      </w:r>
    </w:p>
    <w:p w14:paraId="216AE704" w14:textId="77777777" w:rsidR="008F649A" w:rsidRDefault="008F649A" w:rsidP="00585762">
      <w:pPr>
        <w:pStyle w:val="BodyCopy"/>
      </w:pPr>
    </w:p>
    <w:tbl>
      <w:tblPr>
        <w:tblStyle w:val="TableGrid"/>
        <w:tblW w:w="0" w:type="auto"/>
        <w:tblLook w:val="04A0" w:firstRow="1" w:lastRow="0" w:firstColumn="1" w:lastColumn="0" w:noHBand="0" w:noVBand="1"/>
      </w:tblPr>
      <w:tblGrid>
        <w:gridCol w:w="2547"/>
        <w:gridCol w:w="2410"/>
        <w:gridCol w:w="4954"/>
      </w:tblGrid>
      <w:tr w:rsidR="00585762" w14:paraId="1D823545" w14:textId="77777777" w:rsidTr="008F649A">
        <w:tc>
          <w:tcPr>
            <w:tcW w:w="2547" w:type="dxa"/>
            <w:shd w:val="clear" w:color="auto" w:fill="3D2262" w:themeFill="accent1"/>
          </w:tcPr>
          <w:p w14:paraId="1D2D45CC" w14:textId="77777777" w:rsidR="00585762" w:rsidRPr="00A7246E" w:rsidRDefault="00585762" w:rsidP="008F649A">
            <w:pPr>
              <w:pStyle w:val="BodyCopy"/>
              <w:jc w:val="center"/>
              <w:rPr>
                <w:b/>
                <w:bCs w:val="0"/>
                <w:color w:val="FFFFFF" w:themeColor="background1"/>
              </w:rPr>
            </w:pPr>
            <w:r w:rsidRPr="00A7246E">
              <w:rPr>
                <w:b/>
                <w:bCs w:val="0"/>
                <w:color w:val="FFFFFF" w:themeColor="background1"/>
              </w:rPr>
              <w:lastRenderedPageBreak/>
              <w:t>Potassium Chloride Product</w:t>
            </w:r>
          </w:p>
        </w:tc>
        <w:tc>
          <w:tcPr>
            <w:tcW w:w="2410" w:type="dxa"/>
            <w:shd w:val="clear" w:color="auto" w:fill="3D2262" w:themeFill="accent1"/>
          </w:tcPr>
          <w:p w14:paraId="6CDB5635" w14:textId="77777777" w:rsidR="00585762" w:rsidRPr="00A7246E" w:rsidRDefault="00585762" w:rsidP="00585762">
            <w:pPr>
              <w:pStyle w:val="BodyCopy"/>
              <w:rPr>
                <w:b/>
                <w:bCs w:val="0"/>
                <w:color w:val="FFFFFF" w:themeColor="background1"/>
              </w:rPr>
            </w:pPr>
            <w:r w:rsidRPr="00A7246E">
              <w:rPr>
                <w:b/>
                <w:bCs w:val="0"/>
                <w:color w:val="FFFFFF" w:themeColor="background1"/>
              </w:rPr>
              <w:t>Potassium content</w:t>
            </w:r>
          </w:p>
        </w:tc>
        <w:tc>
          <w:tcPr>
            <w:tcW w:w="4954" w:type="dxa"/>
            <w:shd w:val="clear" w:color="auto" w:fill="3D2262" w:themeFill="accent1"/>
          </w:tcPr>
          <w:p w14:paraId="35872AD0" w14:textId="77777777" w:rsidR="00585762" w:rsidRPr="00A7246E" w:rsidRDefault="00585762" w:rsidP="00585762">
            <w:pPr>
              <w:pStyle w:val="BodyCopy"/>
              <w:rPr>
                <w:b/>
                <w:bCs w:val="0"/>
                <w:color w:val="FFFFFF" w:themeColor="background1"/>
              </w:rPr>
            </w:pPr>
            <w:r w:rsidRPr="00A7246E">
              <w:rPr>
                <w:b/>
                <w:bCs w:val="0"/>
                <w:color w:val="FFFFFF" w:themeColor="background1"/>
              </w:rPr>
              <w:t>Brand Names</w:t>
            </w:r>
          </w:p>
        </w:tc>
      </w:tr>
      <w:tr w:rsidR="00585762" w14:paraId="26BF737E" w14:textId="77777777" w:rsidTr="008F649A">
        <w:tc>
          <w:tcPr>
            <w:tcW w:w="2547" w:type="dxa"/>
          </w:tcPr>
          <w:p w14:paraId="27426B63" w14:textId="04551F52" w:rsidR="00585762" w:rsidRDefault="00F27C69" w:rsidP="00585762">
            <w:pPr>
              <w:pStyle w:val="BodyCopy"/>
            </w:pPr>
            <w:r>
              <w:t>Slow-release</w:t>
            </w:r>
            <w:r w:rsidR="00585762">
              <w:t xml:space="preserve"> tablet</w:t>
            </w:r>
          </w:p>
        </w:tc>
        <w:tc>
          <w:tcPr>
            <w:tcW w:w="2410" w:type="dxa"/>
          </w:tcPr>
          <w:p w14:paraId="3A1E8E35" w14:textId="77777777" w:rsidR="00585762" w:rsidRDefault="00585762" w:rsidP="00585762">
            <w:pPr>
              <w:pStyle w:val="BodyCopy"/>
            </w:pPr>
            <w:r>
              <w:t>8 mmol (600 mg)</w:t>
            </w:r>
          </w:p>
        </w:tc>
        <w:tc>
          <w:tcPr>
            <w:tcW w:w="4954" w:type="dxa"/>
          </w:tcPr>
          <w:p w14:paraId="4142478B" w14:textId="77777777" w:rsidR="00585762" w:rsidRDefault="00585762" w:rsidP="00585762">
            <w:pPr>
              <w:pStyle w:val="BodyCopy"/>
            </w:pPr>
            <w:r w:rsidRPr="00585762">
              <w:t>Span K®</w:t>
            </w:r>
          </w:p>
        </w:tc>
      </w:tr>
      <w:tr w:rsidR="00585762" w14:paraId="2D365921" w14:textId="77777777" w:rsidTr="008F649A">
        <w:tc>
          <w:tcPr>
            <w:tcW w:w="2547" w:type="dxa"/>
          </w:tcPr>
          <w:p w14:paraId="19BE7401" w14:textId="77777777" w:rsidR="00585762" w:rsidRDefault="00585762" w:rsidP="00585762">
            <w:pPr>
              <w:pStyle w:val="BodyCopy"/>
            </w:pPr>
            <w:r>
              <w:t>Effervescent tablets</w:t>
            </w:r>
          </w:p>
        </w:tc>
        <w:tc>
          <w:tcPr>
            <w:tcW w:w="2410" w:type="dxa"/>
          </w:tcPr>
          <w:p w14:paraId="3A750BED" w14:textId="77777777" w:rsidR="00585762" w:rsidRDefault="00585762" w:rsidP="00585762">
            <w:pPr>
              <w:pStyle w:val="BodyCopy"/>
            </w:pPr>
            <w:r>
              <w:t>14 mmol</w:t>
            </w:r>
          </w:p>
        </w:tc>
        <w:tc>
          <w:tcPr>
            <w:tcW w:w="4954" w:type="dxa"/>
          </w:tcPr>
          <w:p w14:paraId="37575A77" w14:textId="22C65432" w:rsidR="00585762" w:rsidRPr="00585762" w:rsidRDefault="00585762" w:rsidP="00585762">
            <w:pPr>
              <w:pStyle w:val="BodyCopy"/>
            </w:pPr>
            <w:proofErr w:type="spellStart"/>
            <w:r w:rsidRPr="00585762">
              <w:t>Chlorvescent</w:t>
            </w:r>
            <w:proofErr w:type="spellEnd"/>
            <w:r w:rsidRPr="00585762">
              <w:t>® (Dissolve in 100-150</w:t>
            </w:r>
            <w:r w:rsidR="00A577C6">
              <w:t xml:space="preserve"> </w:t>
            </w:r>
            <w:r w:rsidRPr="00585762">
              <w:t>mL</w:t>
            </w:r>
            <w:r w:rsidR="00F64350">
              <w:t xml:space="preserve"> of cold</w:t>
            </w:r>
            <w:r w:rsidRPr="00585762">
              <w:t xml:space="preserve"> water)</w:t>
            </w:r>
          </w:p>
        </w:tc>
      </w:tr>
      <w:tr w:rsidR="00585762" w14:paraId="076E9F49" w14:textId="77777777" w:rsidTr="008F649A">
        <w:tc>
          <w:tcPr>
            <w:tcW w:w="2547" w:type="dxa"/>
          </w:tcPr>
          <w:p w14:paraId="19060EEC" w14:textId="77777777" w:rsidR="00585762" w:rsidRDefault="00585762" w:rsidP="00585762">
            <w:pPr>
              <w:pStyle w:val="BodyCopy"/>
            </w:pPr>
            <w:r>
              <w:t>Oral mixture#</w:t>
            </w:r>
          </w:p>
        </w:tc>
        <w:tc>
          <w:tcPr>
            <w:tcW w:w="2410" w:type="dxa"/>
          </w:tcPr>
          <w:p w14:paraId="18773599" w14:textId="1A26EF34" w:rsidR="00585762" w:rsidRDefault="00585762" w:rsidP="00585762">
            <w:pPr>
              <w:pStyle w:val="BodyCopy"/>
            </w:pPr>
            <w:r>
              <w:t>20 mmol (1.5</w:t>
            </w:r>
            <w:r w:rsidR="00FA2E62">
              <w:t xml:space="preserve"> </w:t>
            </w:r>
            <w:r>
              <w:t>g) in 15</w:t>
            </w:r>
            <w:r w:rsidR="00A577C6">
              <w:t xml:space="preserve"> </w:t>
            </w:r>
            <w:r>
              <w:t>mL</w:t>
            </w:r>
          </w:p>
        </w:tc>
        <w:tc>
          <w:tcPr>
            <w:tcW w:w="4954" w:type="dxa"/>
          </w:tcPr>
          <w:p w14:paraId="304FFB76" w14:textId="4BB8629C" w:rsidR="00585762" w:rsidRPr="00585762" w:rsidRDefault="00585762" w:rsidP="00585762">
            <w:pPr>
              <w:pStyle w:val="BodyCopy"/>
            </w:pPr>
            <w:r w:rsidRPr="00585762">
              <w:t>Potassium chloride Oral Mixture 10% w/v (Note: Res</w:t>
            </w:r>
            <w:r w:rsidR="00D16A76">
              <w:t xml:space="preserve">tricted to </w:t>
            </w:r>
            <w:r w:rsidRPr="00585762">
              <w:t xml:space="preserve">paediatric patients unable to tolerate </w:t>
            </w:r>
            <w:proofErr w:type="spellStart"/>
            <w:r w:rsidRPr="00585762">
              <w:t>Chlorvescent</w:t>
            </w:r>
            <w:proofErr w:type="spellEnd"/>
            <w:r w:rsidRPr="00585762">
              <w:t>® preparation)</w:t>
            </w:r>
          </w:p>
        </w:tc>
      </w:tr>
    </w:tbl>
    <w:p w14:paraId="39E15696" w14:textId="77777777" w:rsidR="00585762" w:rsidRDefault="003078B8" w:rsidP="00585762">
      <w:pPr>
        <w:pStyle w:val="BodyCopy"/>
        <w:rPr>
          <w:i/>
          <w:iCs w:val="0"/>
        </w:rPr>
      </w:pPr>
      <w:r>
        <w:t xml:space="preserve"># </w:t>
      </w:r>
      <w:r>
        <w:rPr>
          <w:i/>
          <w:iCs w:val="0"/>
        </w:rPr>
        <w:t>not stocked at NCH</w:t>
      </w:r>
    </w:p>
    <w:tbl>
      <w:tblPr>
        <w:tblStyle w:val="TableGrid"/>
        <w:tblW w:w="0" w:type="auto"/>
        <w:tblLook w:val="04A0" w:firstRow="1" w:lastRow="0" w:firstColumn="1" w:lastColumn="0" w:noHBand="0" w:noVBand="1"/>
      </w:tblPr>
      <w:tblGrid>
        <w:gridCol w:w="9911"/>
      </w:tblGrid>
      <w:tr w:rsidR="003078B8" w14:paraId="2DDD1809" w14:textId="77777777" w:rsidTr="003078B8">
        <w:tc>
          <w:tcPr>
            <w:tcW w:w="9911" w:type="dxa"/>
          </w:tcPr>
          <w:p w14:paraId="14C392A2" w14:textId="330C0D54" w:rsidR="003078B8" w:rsidRPr="003078B8" w:rsidRDefault="003078B8" w:rsidP="00585762">
            <w:pPr>
              <w:pStyle w:val="BodyCopy"/>
            </w:pPr>
            <w:r>
              <w:rPr>
                <w:b/>
                <w:bCs w:val="0"/>
              </w:rPr>
              <w:t>Note</w:t>
            </w:r>
            <w:r>
              <w:t xml:space="preserve"> Potassium citrate products are also available but are indicated for the prevention of kidney stones an</w:t>
            </w:r>
            <w:r w:rsidR="00DF294D">
              <w:t>d</w:t>
            </w:r>
            <w:r>
              <w:t xml:space="preserve"> increasing urine pH.</w:t>
            </w:r>
          </w:p>
        </w:tc>
      </w:tr>
    </w:tbl>
    <w:p w14:paraId="15EFDA2D" w14:textId="77777777" w:rsidR="003078B8" w:rsidRPr="003078B8" w:rsidRDefault="003078B8" w:rsidP="003078B8">
      <w:pPr>
        <w:pStyle w:val="Heading5"/>
      </w:pPr>
      <w:r>
        <w:t>1.4 Available Pre-mixed Potassium Bags for Intravenous Infusion</w:t>
      </w:r>
    </w:p>
    <w:p w14:paraId="2D91C013" w14:textId="303BE89D" w:rsidR="00585762" w:rsidRDefault="003078B8" w:rsidP="00EF7E5C">
      <w:pPr>
        <w:pStyle w:val="BodyCopy"/>
      </w:pPr>
      <w:r>
        <w:t xml:space="preserve">The pre-mixed potassium bags for intravenous infusion </w:t>
      </w:r>
      <w:r w:rsidR="00D16A76">
        <w:t>used for the management of hypokalaemia a</w:t>
      </w:r>
      <w:r>
        <w:t>vailable at TCH and U</w:t>
      </w:r>
      <w:r w:rsidR="005842B5">
        <w:t>CH</w:t>
      </w:r>
      <w:r>
        <w:t xml:space="preserve"> are detailed in the table below:</w:t>
      </w:r>
    </w:p>
    <w:tbl>
      <w:tblPr>
        <w:tblStyle w:val="TableGrid"/>
        <w:tblW w:w="0" w:type="auto"/>
        <w:tblLook w:val="04A0" w:firstRow="1" w:lastRow="0" w:firstColumn="1" w:lastColumn="0" w:noHBand="0" w:noVBand="1"/>
      </w:tblPr>
      <w:tblGrid>
        <w:gridCol w:w="2477"/>
        <w:gridCol w:w="4039"/>
        <w:gridCol w:w="1276"/>
        <w:gridCol w:w="2119"/>
      </w:tblGrid>
      <w:tr w:rsidR="003078B8" w14:paraId="0C821B13" w14:textId="77777777" w:rsidTr="00A7246E">
        <w:tc>
          <w:tcPr>
            <w:tcW w:w="2477" w:type="dxa"/>
            <w:shd w:val="clear" w:color="auto" w:fill="3D2262" w:themeFill="accent1"/>
          </w:tcPr>
          <w:p w14:paraId="4B825691" w14:textId="77777777" w:rsidR="003078B8" w:rsidRPr="00A7246E" w:rsidRDefault="003078B8" w:rsidP="00EF7E5C">
            <w:pPr>
              <w:pStyle w:val="BodyCopy"/>
              <w:rPr>
                <w:b/>
                <w:bCs w:val="0"/>
                <w:color w:val="FFFFFF" w:themeColor="background1"/>
              </w:rPr>
            </w:pPr>
            <w:r w:rsidRPr="00A7246E">
              <w:rPr>
                <w:b/>
                <w:bCs w:val="0"/>
                <w:color w:val="FFFFFF" w:themeColor="background1"/>
              </w:rPr>
              <w:t>Potassium (mmol)</w:t>
            </w:r>
          </w:p>
        </w:tc>
        <w:tc>
          <w:tcPr>
            <w:tcW w:w="4039" w:type="dxa"/>
            <w:shd w:val="clear" w:color="auto" w:fill="3D2262" w:themeFill="accent1"/>
          </w:tcPr>
          <w:p w14:paraId="623FE552" w14:textId="77777777" w:rsidR="003078B8" w:rsidRPr="00A7246E" w:rsidRDefault="003078B8" w:rsidP="00EF7E5C">
            <w:pPr>
              <w:pStyle w:val="BodyCopy"/>
              <w:rPr>
                <w:b/>
                <w:bCs w:val="0"/>
                <w:color w:val="FFFFFF" w:themeColor="background1"/>
              </w:rPr>
            </w:pPr>
            <w:r w:rsidRPr="00A7246E">
              <w:rPr>
                <w:b/>
                <w:bCs w:val="0"/>
                <w:color w:val="FFFFFF" w:themeColor="background1"/>
              </w:rPr>
              <w:t>Fluid</w:t>
            </w:r>
          </w:p>
        </w:tc>
        <w:tc>
          <w:tcPr>
            <w:tcW w:w="1276" w:type="dxa"/>
            <w:shd w:val="clear" w:color="auto" w:fill="3D2262" w:themeFill="accent1"/>
          </w:tcPr>
          <w:p w14:paraId="484D632A" w14:textId="77777777" w:rsidR="003078B8" w:rsidRPr="00A7246E" w:rsidRDefault="003078B8" w:rsidP="00EF7E5C">
            <w:pPr>
              <w:pStyle w:val="BodyCopy"/>
              <w:rPr>
                <w:b/>
                <w:bCs w:val="0"/>
                <w:color w:val="FFFFFF" w:themeColor="background1"/>
              </w:rPr>
            </w:pPr>
            <w:r w:rsidRPr="00A7246E">
              <w:rPr>
                <w:b/>
                <w:bCs w:val="0"/>
                <w:color w:val="FFFFFF" w:themeColor="background1"/>
              </w:rPr>
              <w:t>Volume</w:t>
            </w:r>
          </w:p>
        </w:tc>
        <w:tc>
          <w:tcPr>
            <w:tcW w:w="2119" w:type="dxa"/>
            <w:shd w:val="clear" w:color="auto" w:fill="3D2262" w:themeFill="accent1"/>
          </w:tcPr>
          <w:p w14:paraId="5BE21D12" w14:textId="77777777" w:rsidR="003078B8" w:rsidRPr="00A7246E" w:rsidRDefault="003078B8" w:rsidP="00EF7E5C">
            <w:pPr>
              <w:pStyle w:val="BodyCopy"/>
              <w:rPr>
                <w:b/>
                <w:bCs w:val="0"/>
                <w:color w:val="FFFFFF" w:themeColor="background1"/>
              </w:rPr>
            </w:pPr>
            <w:r w:rsidRPr="00A7246E">
              <w:rPr>
                <w:b/>
                <w:bCs w:val="0"/>
                <w:color w:val="FFFFFF" w:themeColor="background1"/>
              </w:rPr>
              <w:t>Order Form</w:t>
            </w:r>
          </w:p>
        </w:tc>
      </w:tr>
      <w:tr w:rsidR="001A2A69" w14:paraId="0F0D4297" w14:textId="77777777" w:rsidTr="001A2A69">
        <w:tc>
          <w:tcPr>
            <w:tcW w:w="2477" w:type="dxa"/>
            <w:vAlign w:val="center"/>
          </w:tcPr>
          <w:p w14:paraId="76557214" w14:textId="77777777" w:rsidR="001A2A69" w:rsidRDefault="001A2A69" w:rsidP="001A2A69">
            <w:pPr>
              <w:pStyle w:val="BodyCopy"/>
              <w:jc w:val="center"/>
            </w:pPr>
            <w:r>
              <w:t>10</w:t>
            </w:r>
          </w:p>
        </w:tc>
        <w:tc>
          <w:tcPr>
            <w:tcW w:w="4039" w:type="dxa"/>
          </w:tcPr>
          <w:p w14:paraId="470662B9" w14:textId="77777777" w:rsidR="001A2A69" w:rsidRDefault="001A2A69" w:rsidP="00EF7E5C">
            <w:pPr>
              <w:pStyle w:val="BodyCopy"/>
            </w:pPr>
            <w:r>
              <w:t xml:space="preserve">0.29% sodium chloride (isotonic) </w:t>
            </w:r>
          </w:p>
        </w:tc>
        <w:tc>
          <w:tcPr>
            <w:tcW w:w="1276" w:type="dxa"/>
            <w:vAlign w:val="center"/>
          </w:tcPr>
          <w:p w14:paraId="5B063DFB" w14:textId="77777777" w:rsidR="001A2A69" w:rsidRDefault="001A2A69" w:rsidP="001A2A69">
            <w:pPr>
              <w:pStyle w:val="BodyCopy"/>
              <w:jc w:val="center"/>
            </w:pPr>
            <w:r>
              <w:t>100 mL*</w:t>
            </w:r>
          </w:p>
        </w:tc>
        <w:tc>
          <w:tcPr>
            <w:tcW w:w="2119" w:type="dxa"/>
            <w:vAlign w:val="center"/>
          </w:tcPr>
          <w:p w14:paraId="198499CE" w14:textId="77777777" w:rsidR="001A2A69" w:rsidRDefault="001A2A69" w:rsidP="001A2A69">
            <w:pPr>
              <w:pStyle w:val="BodyCopy"/>
              <w:jc w:val="center"/>
            </w:pPr>
            <w:r>
              <w:t>Pharmacy</w:t>
            </w:r>
          </w:p>
        </w:tc>
      </w:tr>
      <w:tr w:rsidR="001A2A69" w14:paraId="509AB189" w14:textId="77777777" w:rsidTr="001A2A69">
        <w:tc>
          <w:tcPr>
            <w:tcW w:w="2477" w:type="dxa"/>
            <w:vMerge w:val="restart"/>
            <w:vAlign w:val="center"/>
          </w:tcPr>
          <w:p w14:paraId="021E1749" w14:textId="77777777" w:rsidR="001A2A69" w:rsidRDefault="001A2A69" w:rsidP="001A2A69">
            <w:pPr>
              <w:pStyle w:val="BodyCopy"/>
              <w:jc w:val="center"/>
            </w:pPr>
            <w:r>
              <w:t>30</w:t>
            </w:r>
          </w:p>
        </w:tc>
        <w:tc>
          <w:tcPr>
            <w:tcW w:w="4039" w:type="dxa"/>
          </w:tcPr>
          <w:p w14:paraId="576FF70D" w14:textId="77777777" w:rsidR="001A2A69" w:rsidRDefault="001A2A69" w:rsidP="00EF7E5C">
            <w:pPr>
              <w:pStyle w:val="BodyCopy"/>
            </w:pPr>
            <w:r>
              <w:t>0.18% sodium chloride and 4% glucose</w:t>
            </w:r>
          </w:p>
        </w:tc>
        <w:tc>
          <w:tcPr>
            <w:tcW w:w="1276" w:type="dxa"/>
            <w:vAlign w:val="center"/>
          </w:tcPr>
          <w:p w14:paraId="7D659C04" w14:textId="546924F4" w:rsidR="001A2A69" w:rsidRDefault="001A2A69" w:rsidP="001A2A69">
            <w:pPr>
              <w:pStyle w:val="BodyCopy"/>
              <w:jc w:val="center"/>
            </w:pPr>
            <w:r>
              <w:t>1000</w:t>
            </w:r>
            <w:r w:rsidR="00A577C6">
              <w:t xml:space="preserve"> </w:t>
            </w:r>
            <w:r>
              <w:t>mL</w:t>
            </w:r>
          </w:p>
        </w:tc>
        <w:tc>
          <w:tcPr>
            <w:tcW w:w="2119" w:type="dxa"/>
            <w:vMerge w:val="restart"/>
            <w:vAlign w:val="center"/>
          </w:tcPr>
          <w:p w14:paraId="3E1F44AF" w14:textId="77777777" w:rsidR="001A2A69" w:rsidRDefault="001A2A69" w:rsidP="001A2A69">
            <w:pPr>
              <w:pStyle w:val="BodyCopy"/>
              <w:jc w:val="center"/>
            </w:pPr>
            <w:r>
              <w:t xml:space="preserve">Supply Services, </w:t>
            </w:r>
            <w:r w:rsidR="005C2EC7">
              <w:t>Hume</w:t>
            </w:r>
          </w:p>
        </w:tc>
      </w:tr>
      <w:tr w:rsidR="001A2A69" w14:paraId="06801976" w14:textId="77777777" w:rsidTr="001A2A69">
        <w:tc>
          <w:tcPr>
            <w:tcW w:w="2477" w:type="dxa"/>
            <w:vMerge/>
            <w:vAlign w:val="center"/>
          </w:tcPr>
          <w:p w14:paraId="5999A4F1" w14:textId="77777777" w:rsidR="001A2A69" w:rsidRDefault="001A2A69" w:rsidP="001A2A69">
            <w:pPr>
              <w:pStyle w:val="BodyCopy"/>
              <w:jc w:val="center"/>
            </w:pPr>
          </w:p>
        </w:tc>
        <w:tc>
          <w:tcPr>
            <w:tcW w:w="4039" w:type="dxa"/>
          </w:tcPr>
          <w:p w14:paraId="76599906" w14:textId="77777777" w:rsidR="001A2A69" w:rsidRDefault="001A2A69" w:rsidP="00EF7E5C">
            <w:pPr>
              <w:pStyle w:val="BodyCopy"/>
            </w:pPr>
            <w:r>
              <w:t>5% glucose</w:t>
            </w:r>
          </w:p>
        </w:tc>
        <w:tc>
          <w:tcPr>
            <w:tcW w:w="1276" w:type="dxa"/>
            <w:vAlign w:val="center"/>
          </w:tcPr>
          <w:p w14:paraId="66507576" w14:textId="084F7F16" w:rsidR="001A2A69" w:rsidRDefault="001A2A69" w:rsidP="001A2A69">
            <w:pPr>
              <w:pStyle w:val="BodyCopy"/>
              <w:jc w:val="center"/>
            </w:pPr>
            <w:r>
              <w:t>1000</w:t>
            </w:r>
            <w:r w:rsidR="00A577C6">
              <w:t xml:space="preserve"> </w:t>
            </w:r>
            <w:r>
              <w:t>mL</w:t>
            </w:r>
          </w:p>
        </w:tc>
        <w:tc>
          <w:tcPr>
            <w:tcW w:w="2119" w:type="dxa"/>
            <w:vMerge/>
          </w:tcPr>
          <w:p w14:paraId="37B71A7E" w14:textId="77777777" w:rsidR="001A2A69" w:rsidRDefault="001A2A69" w:rsidP="00EF7E5C">
            <w:pPr>
              <w:pStyle w:val="BodyCopy"/>
            </w:pPr>
          </w:p>
        </w:tc>
      </w:tr>
      <w:tr w:rsidR="001A2A69" w14:paraId="400BEA9F" w14:textId="77777777" w:rsidTr="001A2A69">
        <w:tc>
          <w:tcPr>
            <w:tcW w:w="2477" w:type="dxa"/>
            <w:vMerge/>
            <w:vAlign w:val="center"/>
          </w:tcPr>
          <w:p w14:paraId="6D2A2307" w14:textId="77777777" w:rsidR="001A2A69" w:rsidRDefault="001A2A69" w:rsidP="001A2A69">
            <w:pPr>
              <w:pStyle w:val="BodyCopy"/>
              <w:jc w:val="center"/>
            </w:pPr>
          </w:p>
        </w:tc>
        <w:tc>
          <w:tcPr>
            <w:tcW w:w="4039" w:type="dxa"/>
          </w:tcPr>
          <w:p w14:paraId="048EA9F9" w14:textId="77777777" w:rsidR="001A2A69" w:rsidRDefault="001A2A69" w:rsidP="00EF7E5C">
            <w:pPr>
              <w:pStyle w:val="BodyCopy"/>
            </w:pPr>
            <w:r>
              <w:t>0.9% sodium chloride</w:t>
            </w:r>
          </w:p>
        </w:tc>
        <w:tc>
          <w:tcPr>
            <w:tcW w:w="1276" w:type="dxa"/>
            <w:vAlign w:val="center"/>
          </w:tcPr>
          <w:p w14:paraId="701B749E" w14:textId="62260F60" w:rsidR="001A2A69" w:rsidRDefault="001A2A69" w:rsidP="001A2A69">
            <w:pPr>
              <w:pStyle w:val="BodyCopy"/>
              <w:jc w:val="center"/>
            </w:pPr>
            <w:r>
              <w:t>1000</w:t>
            </w:r>
            <w:r w:rsidR="00A577C6">
              <w:t xml:space="preserve"> </w:t>
            </w:r>
            <w:r>
              <w:t>mL</w:t>
            </w:r>
          </w:p>
        </w:tc>
        <w:tc>
          <w:tcPr>
            <w:tcW w:w="2119" w:type="dxa"/>
            <w:vMerge/>
          </w:tcPr>
          <w:p w14:paraId="6855D652" w14:textId="77777777" w:rsidR="001A2A69" w:rsidRDefault="001A2A69" w:rsidP="00EF7E5C">
            <w:pPr>
              <w:pStyle w:val="BodyCopy"/>
            </w:pPr>
          </w:p>
        </w:tc>
      </w:tr>
    </w:tbl>
    <w:p w14:paraId="4AB0D360" w14:textId="77777777" w:rsidR="003078B8" w:rsidRDefault="003078B8" w:rsidP="00EF7E5C">
      <w:pPr>
        <w:pStyle w:val="BodyCopy"/>
      </w:pPr>
    </w:p>
    <w:p w14:paraId="7CA9D746" w14:textId="77777777" w:rsidR="001A2A69" w:rsidRDefault="001A2A69" w:rsidP="00EF7E5C">
      <w:pPr>
        <w:pStyle w:val="BodyCopy"/>
      </w:pPr>
      <w:r>
        <w:t>The pre-mixed potassium bags for intravenous infusion available at NCH are detailed in the table below:</w:t>
      </w:r>
    </w:p>
    <w:tbl>
      <w:tblPr>
        <w:tblStyle w:val="TableGrid"/>
        <w:tblW w:w="0" w:type="auto"/>
        <w:tblLook w:val="04A0" w:firstRow="1" w:lastRow="0" w:firstColumn="1" w:lastColumn="0" w:noHBand="0" w:noVBand="1"/>
      </w:tblPr>
      <w:tblGrid>
        <w:gridCol w:w="2477"/>
        <w:gridCol w:w="2478"/>
        <w:gridCol w:w="2478"/>
        <w:gridCol w:w="2478"/>
      </w:tblGrid>
      <w:tr w:rsidR="001A2A69" w14:paraId="54F0C6F4" w14:textId="77777777" w:rsidTr="00A7246E">
        <w:tc>
          <w:tcPr>
            <w:tcW w:w="2477" w:type="dxa"/>
            <w:shd w:val="clear" w:color="auto" w:fill="3D2262" w:themeFill="accent1"/>
          </w:tcPr>
          <w:p w14:paraId="1AB48A9F" w14:textId="77777777" w:rsidR="001A2A69" w:rsidRPr="00A7246E" w:rsidRDefault="001A2A69" w:rsidP="00EF7E5C">
            <w:pPr>
              <w:pStyle w:val="BodyCopy"/>
              <w:rPr>
                <w:b/>
                <w:bCs w:val="0"/>
                <w:color w:val="FFFFFF" w:themeColor="background1"/>
              </w:rPr>
            </w:pPr>
            <w:r w:rsidRPr="00A7246E">
              <w:rPr>
                <w:b/>
                <w:bCs w:val="0"/>
                <w:color w:val="FFFFFF" w:themeColor="background1"/>
              </w:rPr>
              <w:t>Potassium (mmol)</w:t>
            </w:r>
          </w:p>
        </w:tc>
        <w:tc>
          <w:tcPr>
            <w:tcW w:w="2478" w:type="dxa"/>
            <w:shd w:val="clear" w:color="auto" w:fill="3D2262" w:themeFill="accent1"/>
          </w:tcPr>
          <w:p w14:paraId="1B36C8B6" w14:textId="77777777" w:rsidR="001A2A69" w:rsidRPr="00A7246E" w:rsidRDefault="001A2A69" w:rsidP="00EF7E5C">
            <w:pPr>
              <w:pStyle w:val="BodyCopy"/>
              <w:rPr>
                <w:b/>
                <w:bCs w:val="0"/>
                <w:color w:val="FFFFFF" w:themeColor="background1"/>
              </w:rPr>
            </w:pPr>
            <w:r w:rsidRPr="00A7246E">
              <w:rPr>
                <w:b/>
                <w:bCs w:val="0"/>
                <w:color w:val="FFFFFF" w:themeColor="background1"/>
              </w:rPr>
              <w:t>Fluid</w:t>
            </w:r>
          </w:p>
        </w:tc>
        <w:tc>
          <w:tcPr>
            <w:tcW w:w="2478" w:type="dxa"/>
            <w:shd w:val="clear" w:color="auto" w:fill="3D2262" w:themeFill="accent1"/>
          </w:tcPr>
          <w:p w14:paraId="1FBEA484" w14:textId="77777777" w:rsidR="001A2A69" w:rsidRPr="00A7246E" w:rsidRDefault="001A2A69" w:rsidP="00EF7E5C">
            <w:pPr>
              <w:pStyle w:val="BodyCopy"/>
              <w:rPr>
                <w:b/>
                <w:bCs w:val="0"/>
                <w:color w:val="FFFFFF" w:themeColor="background1"/>
              </w:rPr>
            </w:pPr>
            <w:r w:rsidRPr="00A7246E">
              <w:rPr>
                <w:b/>
                <w:bCs w:val="0"/>
                <w:color w:val="FFFFFF" w:themeColor="background1"/>
              </w:rPr>
              <w:t>Volume</w:t>
            </w:r>
          </w:p>
        </w:tc>
        <w:tc>
          <w:tcPr>
            <w:tcW w:w="2478" w:type="dxa"/>
            <w:shd w:val="clear" w:color="auto" w:fill="3D2262" w:themeFill="accent1"/>
          </w:tcPr>
          <w:p w14:paraId="6FBA30D8" w14:textId="77777777" w:rsidR="001A2A69" w:rsidRPr="00A7246E" w:rsidRDefault="001A2A69" w:rsidP="00EF7E5C">
            <w:pPr>
              <w:pStyle w:val="BodyCopy"/>
              <w:rPr>
                <w:b/>
                <w:bCs w:val="0"/>
                <w:color w:val="FFFFFF" w:themeColor="background1"/>
              </w:rPr>
            </w:pPr>
            <w:r w:rsidRPr="00A7246E">
              <w:rPr>
                <w:b/>
                <w:bCs w:val="0"/>
                <w:color w:val="FFFFFF" w:themeColor="background1"/>
              </w:rPr>
              <w:t>Order Form</w:t>
            </w:r>
          </w:p>
        </w:tc>
      </w:tr>
      <w:tr w:rsidR="001A2A69" w14:paraId="5BD78EBF" w14:textId="77777777" w:rsidTr="001A2A69">
        <w:tc>
          <w:tcPr>
            <w:tcW w:w="2477" w:type="dxa"/>
          </w:tcPr>
          <w:p w14:paraId="340D5B7A" w14:textId="77777777" w:rsidR="001A2A69" w:rsidRDefault="001A2A69" w:rsidP="00666A4C">
            <w:pPr>
              <w:pStyle w:val="BodyCopy"/>
              <w:jc w:val="center"/>
            </w:pPr>
            <w:r>
              <w:lastRenderedPageBreak/>
              <w:t>10</w:t>
            </w:r>
          </w:p>
        </w:tc>
        <w:tc>
          <w:tcPr>
            <w:tcW w:w="2478" w:type="dxa"/>
          </w:tcPr>
          <w:p w14:paraId="7F7B332E" w14:textId="77777777" w:rsidR="001A2A69" w:rsidRDefault="001A2A69" w:rsidP="00EF7E5C">
            <w:pPr>
              <w:pStyle w:val="BodyCopy"/>
            </w:pPr>
            <w:r>
              <w:t>0.29% sodium chloride (isotonic)</w:t>
            </w:r>
          </w:p>
        </w:tc>
        <w:tc>
          <w:tcPr>
            <w:tcW w:w="2478" w:type="dxa"/>
          </w:tcPr>
          <w:p w14:paraId="34676013" w14:textId="7596C942" w:rsidR="001A2A69" w:rsidRDefault="001A2A69" w:rsidP="00EF7E5C">
            <w:pPr>
              <w:pStyle w:val="BodyCopy"/>
            </w:pPr>
            <w:r>
              <w:t>100</w:t>
            </w:r>
            <w:r w:rsidR="00A577C6">
              <w:t xml:space="preserve"> </w:t>
            </w:r>
            <w:r>
              <w:t>mL*</w:t>
            </w:r>
          </w:p>
        </w:tc>
        <w:tc>
          <w:tcPr>
            <w:tcW w:w="2478" w:type="dxa"/>
          </w:tcPr>
          <w:p w14:paraId="7CDD962F" w14:textId="77777777" w:rsidR="001A2A69" w:rsidRDefault="001A2A69" w:rsidP="00F27C69">
            <w:pPr>
              <w:pStyle w:val="BodyCopy"/>
              <w:jc w:val="center"/>
            </w:pPr>
            <w:r>
              <w:t>Supply Services</w:t>
            </w:r>
          </w:p>
        </w:tc>
      </w:tr>
      <w:tr w:rsidR="00F64350" w14:paraId="03AE17D7" w14:textId="77777777" w:rsidTr="001A2A69">
        <w:tc>
          <w:tcPr>
            <w:tcW w:w="2477" w:type="dxa"/>
            <w:vMerge w:val="restart"/>
          </w:tcPr>
          <w:p w14:paraId="66D2101D" w14:textId="77777777" w:rsidR="00F64350" w:rsidRDefault="00F64350" w:rsidP="00F64350">
            <w:pPr>
              <w:pStyle w:val="BodyCopy"/>
              <w:jc w:val="center"/>
              <w:rPr>
                <w:color w:val="auto"/>
              </w:rPr>
            </w:pPr>
          </w:p>
          <w:p w14:paraId="7B0E2780" w14:textId="77777777" w:rsidR="00F64350" w:rsidRDefault="00F64350" w:rsidP="00F64350">
            <w:pPr>
              <w:pStyle w:val="BodyCopy"/>
              <w:jc w:val="center"/>
              <w:rPr>
                <w:color w:val="auto"/>
              </w:rPr>
            </w:pPr>
          </w:p>
          <w:p w14:paraId="39DFDB61" w14:textId="77777777" w:rsidR="00F64350" w:rsidRDefault="00F64350" w:rsidP="00F64350">
            <w:pPr>
              <w:pStyle w:val="BodyCopy"/>
              <w:jc w:val="center"/>
              <w:rPr>
                <w:color w:val="auto"/>
              </w:rPr>
            </w:pPr>
          </w:p>
          <w:p w14:paraId="778C1105" w14:textId="23E8EAFC" w:rsidR="00F64350" w:rsidRPr="00F64350" w:rsidRDefault="00F64350" w:rsidP="00F64350">
            <w:pPr>
              <w:pStyle w:val="BodyCopy"/>
              <w:jc w:val="center"/>
              <w:rPr>
                <w:color w:val="auto"/>
              </w:rPr>
            </w:pPr>
            <w:r>
              <w:rPr>
                <w:color w:val="auto"/>
              </w:rPr>
              <w:t>30</w:t>
            </w:r>
          </w:p>
        </w:tc>
        <w:tc>
          <w:tcPr>
            <w:tcW w:w="2478" w:type="dxa"/>
          </w:tcPr>
          <w:p w14:paraId="5375F2A3" w14:textId="77777777" w:rsidR="00F64350" w:rsidRDefault="00F64350" w:rsidP="00EF7E5C">
            <w:pPr>
              <w:pStyle w:val="BodyCopy"/>
            </w:pPr>
            <w:r>
              <w:t>0.18% sodium chloride and 4% glucose</w:t>
            </w:r>
          </w:p>
        </w:tc>
        <w:tc>
          <w:tcPr>
            <w:tcW w:w="2478" w:type="dxa"/>
          </w:tcPr>
          <w:p w14:paraId="6EEA40F0" w14:textId="4C792396" w:rsidR="00F64350" w:rsidRDefault="00F64350" w:rsidP="00EF7E5C">
            <w:pPr>
              <w:pStyle w:val="BodyCopy"/>
            </w:pPr>
            <w:r>
              <w:t>1000 mL</w:t>
            </w:r>
          </w:p>
        </w:tc>
        <w:tc>
          <w:tcPr>
            <w:tcW w:w="2478" w:type="dxa"/>
            <w:vMerge w:val="restart"/>
            <w:vAlign w:val="center"/>
          </w:tcPr>
          <w:p w14:paraId="2BCA1C58" w14:textId="77777777" w:rsidR="00F64350" w:rsidRDefault="00F64350" w:rsidP="001A2A69">
            <w:pPr>
              <w:pStyle w:val="BodyCopy"/>
              <w:jc w:val="center"/>
            </w:pPr>
            <w:r>
              <w:t>Supply Services</w:t>
            </w:r>
          </w:p>
        </w:tc>
      </w:tr>
      <w:tr w:rsidR="00F64350" w14:paraId="37113F11" w14:textId="77777777" w:rsidTr="001A2A69">
        <w:tc>
          <w:tcPr>
            <w:tcW w:w="2477" w:type="dxa"/>
            <w:vMerge/>
          </w:tcPr>
          <w:p w14:paraId="48D54B9A" w14:textId="26F70EB9" w:rsidR="00F64350" w:rsidRPr="00F64350" w:rsidRDefault="00F64350" w:rsidP="00EF7E5C">
            <w:pPr>
              <w:pStyle w:val="BodyCopy"/>
              <w:rPr>
                <w:color w:val="auto"/>
              </w:rPr>
            </w:pPr>
          </w:p>
        </w:tc>
        <w:tc>
          <w:tcPr>
            <w:tcW w:w="2478" w:type="dxa"/>
          </w:tcPr>
          <w:p w14:paraId="39C22B23" w14:textId="77777777" w:rsidR="00F64350" w:rsidRDefault="00F64350" w:rsidP="00EF7E5C">
            <w:pPr>
              <w:pStyle w:val="BodyCopy"/>
            </w:pPr>
            <w:r>
              <w:t>5% glucose</w:t>
            </w:r>
          </w:p>
        </w:tc>
        <w:tc>
          <w:tcPr>
            <w:tcW w:w="2478" w:type="dxa"/>
          </w:tcPr>
          <w:p w14:paraId="68FDAF89" w14:textId="301A17BF" w:rsidR="00F64350" w:rsidRDefault="00F64350" w:rsidP="00EF7E5C">
            <w:pPr>
              <w:pStyle w:val="BodyCopy"/>
            </w:pPr>
            <w:r>
              <w:t>1000 mL</w:t>
            </w:r>
          </w:p>
        </w:tc>
        <w:tc>
          <w:tcPr>
            <w:tcW w:w="2478" w:type="dxa"/>
            <w:vMerge/>
          </w:tcPr>
          <w:p w14:paraId="67440218" w14:textId="77777777" w:rsidR="00F64350" w:rsidRDefault="00F64350" w:rsidP="00EF7E5C">
            <w:pPr>
              <w:pStyle w:val="BodyCopy"/>
            </w:pPr>
          </w:p>
        </w:tc>
      </w:tr>
      <w:tr w:rsidR="00F64350" w14:paraId="67D7C76E" w14:textId="77777777" w:rsidTr="001A2A69">
        <w:tc>
          <w:tcPr>
            <w:tcW w:w="2477" w:type="dxa"/>
            <w:vMerge/>
          </w:tcPr>
          <w:p w14:paraId="2BAD3BAE" w14:textId="2666C0DF" w:rsidR="00F64350" w:rsidRPr="00F64350" w:rsidRDefault="00F64350" w:rsidP="00EF7E5C">
            <w:pPr>
              <w:pStyle w:val="BodyCopy"/>
              <w:rPr>
                <w:color w:val="auto"/>
              </w:rPr>
            </w:pPr>
          </w:p>
        </w:tc>
        <w:tc>
          <w:tcPr>
            <w:tcW w:w="2478" w:type="dxa"/>
          </w:tcPr>
          <w:p w14:paraId="2FD74725" w14:textId="77777777" w:rsidR="00F64350" w:rsidRDefault="00F64350" w:rsidP="00EF7E5C">
            <w:pPr>
              <w:pStyle w:val="BodyCopy"/>
            </w:pPr>
            <w:r>
              <w:t>Hartmann’s solution</w:t>
            </w:r>
          </w:p>
        </w:tc>
        <w:tc>
          <w:tcPr>
            <w:tcW w:w="2478" w:type="dxa"/>
          </w:tcPr>
          <w:p w14:paraId="70D13479" w14:textId="4C5BD9DC" w:rsidR="00F64350" w:rsidRDefault="00F64350" w:rsidP="00EF7E5C">
            <w:pPr>
              <w:pStyle w:val="BodyCopy"/>
            </w:pPr>
            <w:r>
              <w:t>1000 mL</w:t>
            </w:r>
          </w:p>
        </w:tc>
        <w:tc>
          <w:tcPr>
            <w:tcW w:w="2478" w:type="dxa"/>
            <w:vMerge/>
          </w:tcPr>
          <w:p w14:paraId="24D70496" w14:textId="77777777" w:rsidR="00F64350" w:rsidRDefault="00F64350" w:rsidP="00EF7E5C">
            <w:pPr>
              <w:pStyle w:val="BodyCopy"/>
            </w:pPr>
          </w:p>
        </w:tc>
      </w:tr>
      <w:tr w:rsidR="00F64350" w14:paraId="5139B4D1" w14:textId="77777777" w:rsidTr="001A2A69">
        <w:tc>
          <w:tcPr>
            <w:tcW w:w="2477" w:type="dxa"/>
            <w:vMerge/>
          </w:tcPr>
          <w:p w14:paraId="5C0AB81A" w14:textId="27D19874" w:rsidR="00F64350" w:rsidRPr="00F64350" w:rsidRDefault="00F64350" w:rsidP="00EF7E5C">
            <w:pPr>
              <w:pStyle w:val="BodyCopy"/>
              <w:rPr>
                <w:color w:val="auto"/>
              </w:rPr>
            </w:pPr>
          </w:p>
        </w:tc>
        <w:tc>
          <w:tcPr>
            <w:tcW w:w="2478" w:type="dxa"/>
          </w:tcPr>
          <w:p w14:paraId="2245A1ED" w14:textId="77777777" w:rsidR="00F64350" w:rsidRDefault="00F64350" w:rsidP="00EF7E5C">
            <w:pPr>
              <w:pStyle w:val="BodyCopy"/>
            </w:pPr>
            <w:r>
              <w:t>0.9% sodium chloride</w:t>
            </w:r>
          </w:p>
        </w:tc>
        <w:tc>
          <w:tcPr>
            <w:tcW w:w="2478" w:type="dxa"/>
          </w:tcPr>
          <w:p w14:paraId="6461CAD3" w14:textId="2B595848" w:rsidR="00F64350" w:rsidRDefault="00F64350" w:rsidP="00EF7E5C">
            <w:pPr>
              <w:pStyle w:val="BodyCopy"/>
            </w:pPr>
            <w:r>
              <w:t>1000 mL</w:t>
            </w:r>
          </w:p>
        </w:tc>
        <w:tc>
          <w:tcPr>
            <w:tcW w:w="2478" w:type="dxa"/>
            <w:vMerge/>
          </w:tcPr>
          <w:p w14:paraId="16AEF6AB" w14:textId="77777777" w:rsidR="00F64350" w:rsidRDefault="00F64350" w:rsidP="00EF7E5C">
            <w:pPr>
              <w:pStyle w:val="BodyCopy"/>
            </w:pPr>
          </w:p>
        </w:tc>
      </w:tr>
    </w:tbl>
    <w:p w14:paraId="2DDAA6B2" w14:textId="77777777" w:rsidR="001A2A69" w:rsidRDefault="001A2A69" w:rsidP="00EF7E5C">
      <w:pPr>
        <w:pStyle w:val="BodyCopy"/>
        <w:rPr>
          <w:i/>
          <w:iCs w:val="0"/>
        </w:rPr>
      </w:pPr>
      <w:r>
        <w:t>*</w:t>
      </w:r>
      <w:r>
        <w:rPr>
          <w:i/>
          <w:iCs w:val="0"/>
        </w:rPr>
        <w:t xml:space="preserve">The isotonic formulations contain a different concentration of sodium chloride to the other pre-mixed bags. This enables safe peripheral administration. The same concentration cannot be made with normal saline (sodium chloride 0.9%) bags. </w:t>
      </w:r>
    </w:p>
    <w:tbl>
      <w:tblPr>
        <w:tblStyle w:val="TableGrid"/>
        <w:tblW w:w="0" w:type="auto"/>
        <w:tblLook w:val="04A0" w:firstRow="1" w:lastRow="0" w:firstColumn="1" w:lastColumn="0" w:noHBand="0" w:noVBand="1"/>
      </w:tblPr>
      <w:tblGrid>
        <w:gridCol w:w="9911"/>
      </w:tblGrid>
      <w:tr w:rsidR="001A2A69" w14:paraId="3A9C01A7" w14:textId="77777777" w:rsidTr="001A2A69">
        <w:tc>
          <w:tcPr>
            <w:tcW w:w="9911" w:type="dxa"/>
          </w:tcPr>
          <w:p w14:paraId="3839BC4D" w14:textId="77777777" w:rsidR="001A2A69" w:rsidRDefault="001A2A69" w:rsidP="00EF7E5C">
            <w:pPr>
              <w:pStyle w:val="BodyCopy"/>
            </w:pPr>
            <w:r>
              <w:rPr>
                <w:b/>
                <w:bCs w:val="0"/>
              </w:rPr>
              <w:t xml:space="preserve">Note: </w:t>
            </w:r>
          </w:p>
          <w:p w14:paraId="19F9B44F" w14:textId="77777777" w:rsidR="001A2A69" w:rsidRDefault="001A2A69" w:rsidP="00EF7E5C">
            <w:pPr>
              <w:pStyle w:val="BodyCopy"/>
            </w:pPr>
            <w:r>
              <w:t>Information on using potassium dihydrogen phosphate should be reserved for phosphate replacement and can be found in the Phosphate section of this document.</w:t>
            </w:r>
          </w:p>
          <w:p w14:paraId="1B87087A" w14:textId="77777777" w:rsidR="001A2A69" w:rsidRDefault="001A2A69" w:rsidP="00EF7E5C">
            <w:pPr>
              <w:pStyle w:val="BodyCopy"/>
            </w:pPr>
            <w:r>
              <w:t>0.9% sodium chloride is the preferred infusion fluid as 5% glucose may cause trans-cellular shift of potassium into cells</w:t>
            </w:r>
            <w:r w:rsidRPr="001A2A69">
              <w:rPr>
                <w:vertAlign w:val="superscript"/>
              </w:rPr>
              <w:t>5</w:t>
            </w:r>
            <w:r>
              <w:t>.</w:t>
            </w:r>
          </w:p>
          <w:p w14:paraId="265DC775" w14:textId="6BBAB089" w:rsidR="00173F53" w:rsidRDefault="001A2A69" w:rsidP="00666A4C">
            <w:pPr>
              <w:pStyle w:val="BodyCopy"/>
            </w:pPr>
            <w:r>
              <w:t>Monitor the injection site closely due to the risk of</w:t>
            </w:r>
            <w:r w:rsidR="00173F53">
              <w:t xml:space="preserve"> pain and</w:t>
            </w:r>
            <w:r w:rsidR="00666A4C">
              <w:t xml:space="preserve"> phlebitis.</w:t>
            </w:r>
            <w:r w:rsidR="00666A4C" w:rsidRPr="00666A4C">
              <w:rPr>
                <w:vertAlign w:val="superscript"/>
              </w:rPr>
              <w:t>5</w:t>
            </w:r>
            <w:r w:rsidR="00173F53">
              <w:rPr>
                <w:vertAlign w:val="superscript"/>
              </w:rPr>
              <w:t xml:space="preserve"> </w:t>
            </w:r>
            <w:r w:rsidR="00173F53">
              <w:t>If patient experiences pain at injection site slow the rate of infusion and if pain persists suspend administration pending MO review.</w:t>
            </w:r>
          </w:p>
          <w:p w14:paraId="57BAF6D4" w14:textId="0CC2C074" w:rsidR="001A2A69" w:rsidRPr="001A2A69" w:rsidRDefault="001A2A69" w:rsidP="00666A4C">
            <w:pPr>
              <w:pStyle w:val="BodyCopy"/>
              <w:rPr>
                <w:i/>
                <w:iCs w:val="0"/>
              </w:rPr>
            </w:pPr>
            <w:r>
              <w:t xml:space="preserve">Supply of potassium chloride 10mmol/10mL ampoules as </w:t>
            </w:r>
            <w:proofErr w:type="spellStart"/>
            <w:r>
              <w:t>imprest</w:t>
            </w:r>
            <w:proofErr w:type="spellEnd"/>
            <w:r>
              <w:t xml:space="preserve"> is restricted to the I</w:t>
            </w:r>
            <w:r w:rsidR="001F6DB5">
              <w:t>CU</w:t>
            </w:r>
            <w:r>
              <w:t>, Operating Theatres, the Resuscitation Bay in the E</w:t>
            </w:r>
            <w:r w:rsidR="001F6DB5">
              <w:t>D</w:t>
            </w:r>
            <w:r>
              <w:t xml:space="preserve">, and this stock is not to be provided to other patient care areas. All staff must refer to the standards for storage and supply of intravenous potassium stated in the </w:t>
            </w:r>
            <w:r>
              <w:rPr>
                <w:i/>
                <w:iCs w:val="0"/>
              </w:rPr>
              <w:t xml:space="preserve">Medication Handling Policy </w:t>
            </w:r>
            <w:r>
              <w:t xml:space="preserve">and the </w:t>
            </w:r>
            <w:r>
              <w:rPr>
                <w:i/>
                <w:iCs w:val="0"/>
              </w:rPr>
              <w:t xml:space="preserve">High-Risk Medicine Standard – Concentrated Potassium and other Electrolytes. </w:t>
            </w:r>
          </w:p>
        </w:tc>
      </w:tr>
    </w:tbl>
    <w:p w14:paraId="0DF826F5" w14:textId="77777777" w:rsidR="00481A6C" w:rsidRDefault="0059618F" w:rsidP="005C5F49">
      <w:pPr>
        <w:pStyle w:val="BodyCopy"/>
        <w:spacing w:before="240"/>
        <w:rPr>
          <w:rStyle w:val="Hyperlink"/>
          <w:iCs w:val="0"/>
        </w:rPr>
      </w:pPr>
      <w:hyperlink w:anchor="_top" w:history="1">
        <w:r w:rsidR="00481A6C" w:rsidRPr="00481A6C">
          <w:rPr>
            <w:rStyle w:val="Hyperlink"/>
            <w:iCs w:val="0"/>
          </w:rPr>
          <w:t>Back to Contents</w:t>
        </w:r>
      </w:hyperlink>
    </w:p>
    <w:p w14:paraId="2F55E8D3" w14:textId="77777777" w:rsidR="00E43879" w:rsidRDefault="00E43879" w:rsidP="005C5F49">
      <w:pPr>
        <w:pStyle w:val="BodyCopy"/>
        <w:spacing w:before="240"/>
        <w:rPr>
          <w:rStyle w:val="Hyperlink"/>
          <w:iCs w:val="0"/>
        </w:rPr>
      </w:pPr>
    </w:p>
    <w:p w14:paraId="41348612" w14:textId="77777777" w:rsidR="00E43879" w:rsidRPr="00481A6C" w:rsidRDefault="00E43879" w:rsidP="005C5F49">
      <w:pPr>
        <w:pStyle w:val="BodyCopy"/>
        <w:spacing w:before="240"/>
      </w:pPr>
    </w:p>
    <w:p w14:paraId="03FB3CD4" w14:textId="77777777" w:rsidR="0078367D" w:rsidRDefault="0078367D" w:rsidP="00A6051F">
      <w:pPr>
        <w:pStyle w:val="Heading4"/>
      </w:pPr>
      <w:bookmarkStart w:id="6" w:name="_Toc180420450"/>
      <w:r>
        <w:lastRenderedPageBreak/>
        <w:t xml:space="preserve">Section 2 - </w:t>
      </w:r>
      <w:r w:rsidR="005E7F4A">
        <w:t>Phosphate</w:t>
      </w:r>
      <w:bookmarkEnd w:id="6"/>
    </w:p>
    <w:p w14:paraId="585950DA" w14:textId="77777777" w:rsidR="00481A6C" w:rsidRDefault="001A2A69" w:rsidP="001A2A69">
      <w:pPr>
        <w:pStyle w:val="Heading5"/>
        <w:rPr>
          <w:b w:val="0"/>
          <w:bCs w:val="0"/>
          <w:color w:val="auto"/>
          <w:vertAlign w:val="superscript"/>
        </w:rPr>
      </w:pPr>
      <w:r>
        <w:t>2.1 Phosphate replacement recommendations</w:t>
      </w:r>
      <w:r w:rsidRPr="001A2A69">
        <w:rPr>
          <w:b w:val="0"/>
          <w:bCs w:val="0"/>
          <w:color w:val="auto"/>
          <w:vertAlign w:val="superscript"/>
        </w:rPr>
        <w:t>2-6, 9, 13</w:t>
      </w:r>
    </w:p>
    <w:p w14:paraId="757FB21B" w14:textId="6346DA0D" w:rsidR="001A2A69" w:rsidRDefault="001A2A69" w:rsidP="001A2A69">
      <w:pPr>
        <w:pStyle w:val="BodyCopy"/>
      </w:pPr>
      <w:r>
        <w:t xml:space="preserve">There are no national guidelines for the treatment of acute </w:t>
      </w:r>
      <w:r w:rsidR="00666A4C">
        <w:t>hypophosphatemia</w:t>
      </w:r>
      <w:r>
        <w:t xml:space="preserve"> and practice varies widely across Australian hospitals. The use of phosphate for other indications such as re-feeding syndrome or use in the critical care setting is out</w:t>
      </w:r>
      <w:r w:rsidR="00DE014A">
        <w:t xml:space="preserve">side the </w:t>
      </w:r>
      <w:r>
        <w:t>scope</w:t>
      </w:r>
      <w:r w:rsidR="00DE014A">
        <w:t xml:space="preserve"> </w:t>
      </w:r>
      <w:r w:rsidR="001B05C9">
        <w:t>of this guideline</w:t>
      </w:r>
      <w:r>
        <w:t xml:space="preserve"> and specialist advice should be sought.</w:t>
      </w:r>
    </w:p>
    <w:p w14:paraId="3EE099C3" w14:textId="77777777" w:rsidR="001A2A69" w:rsidRDefault="001A2A69" w:rsidP="001A2A69">
      <w:pPr>
        <w:pStyle w:val="BodyCopy"/>
      </w:pPr>
      <w:r>
        <w:t xml:space="preserve">Concomitant hypocalcaemia should also be corrected before treating </w:t>
      </w:r>
      <w:proofErr w:type="spellStart"/>
      <w:r>
        <w:t>hypophosphataemia</w:t>
      </w:r>
      <w:proofErr w:type="spellEnd"/>
      <w:r>
        <w:t xml:space="preserve"> to prevent further hypocalcaemia.</w:t>
      </w:r>
    </w:p>
    <w:p w14:paraId="4977B3AB" w14:textId="77777777" w:rsidR="001A2A69" w:rsidRDefault="001A2A69" w:rsidP="001A2A69">
      <w:pPr>
        <w:pStyle w:val="BodyCopy"/>
      </w:pPr>
      <w:r>
        <w:t xml:space="preserve">All of the below recommendations can be prescribed on DHR using the </w:t>
      </w:r>
      <w:proofErr w:type="spellStart"/>
      <w:r>
        <w:t>hypophosphataemia</w:t>
      </w:r>
      <w:proofErr w:type="spellEnd"/>
      <w:r>
        <w:t xml:space="preserve"> order set by searching ‘</w:t>
      </w:r>
      <w:proofErr w:type="spellStart"/>
      <w:r>
        <w:t>hypophosphataemia</w:t>
      </w:r>
      <w:proofErr w:type="spellEnd"/>
      <w:r>
        <w:t>’ in the ‘orders’ tab.</w:t>
      </w:r>
    </w:p>
    <w:tbl>
      <w:tblPr>
        <w:tblStyle w:val="TableGrid"/>
        <w:tblW w:w="0" w:type="auto"/>
        <w:tblLook w:val="04A0" w:firstRow="1" w:lastRow="0" w:firstColumn="1" w:lastColumn="0" w:noHBand="0" w:noVBand="1"/>
      </w:tblPr>
      <w:tblGrid>
        <w:gridCol w:w="2263"/>
        <w:gridCol w:w="1701"/>
        <w:gridCol w:w="4263"/>
        <w:gridCol w:w="1684"/>
      </w:tblGrid>
      <w:tr w:rsidR="001A2A69" w14:paraId="2673CA1F" w14:textId="77777777" w:rsidTr="00A7246E">
        <w:tc>
          <w:tcPr>
            <w:tcW w:w="2263" w:type="dxa"/>
            <w:shd w:val="clear" w:color="auto" w:fill="3D2262" w:themeFill="accent1"/>
          </w:tcPr>
          <w:p w14:paraId="10347B32" w14:textId="77777777" w:rsidR="001A2A69" w:rsidRPr="00A7246E" w:rsidRDefault="001A2A69" w:rsidP="00E84ABC">
            <w:pPr>
              <w:pStyle w:val="BodyCopy"/>
              <w:jc w:val="center"/>
              <w:rPr>
                <w:b/>
                <w:bCs w:val="0"/>
                <w:color w:val="FFFFFF" w:themeColor="background1"/>
              </w:rPr>
            </w:pPr>
            <w:r w:rsidRPr="00A7246E">
              <w:rPr>
                <w:b/>
                <w:bCs w:val="0"/>
                <w:color w:val="FFFFFF" w:themeColor="background1"/>
              </w:rPr>
              <w:t>Serum Phosphate</w:t>
            </w:r>
          </w:p>
        </w:tc>
        <w:tc>
          <w:tcPr>
            <w:tcW w:w="1701" w:type="dxa"/>
            <w:shd w:val="clear" w:color="auto" w:fill="3D2262" w:themeFill="accent1"/>
          </w:tcPr>
          <w:p w14:paraId="4866D8FF" w14:textId="77777777" w:rsidR="001A2A69" w:rsidRPr="00A7246E" w:rsidRDefault="001A2A69" w:rsidP="00E84ABC">
            <w:pPr>
              <w:pStyle w:val="BodyCopy"/>
              <w:jc w:val="center"/>
              <w:rPr>
                <w:b/>
                <w:bCs w:val="0"/>
                <w:color w:val="FFFFFF" w:themeColor="background1"/>
              </w:rPr>
            </w:pPr>
            <w:r w:rsidRPr="00A7246E">
              <w:rPr>
                <w:b/>
                <w:bCs w:val="0"/>
                <w:color w:val="FFFFFF" w:themeColor="background1"/>
              </w:rPr>
              <w:t>Route</w:t>
            </w:r>
          </w:p>
        </w:tc>
        <w:tc>
          <w:tcPr>
            <w:tcW w:w="4263" w:type="dxa"/>
            <w:shd w:val="clear" w:color="auto" w:fill="3D2262" w:themeFill="accent1"/>
          </w:tcPr>
          <w:p w14:paraId="2C9F9271" w14:textId="77777777" w:rsidR="001A2A69" w:rsidRPr="00A7246E" w:rsidRDefault="001A2A69" w:rsidP="00E84ABC">
            <w:pPr>
              <w:pStyle w:val="BodyCopy"/>
              <w:jc w:val="center"/>
              <w:rPr>
                <w:b/>
                <w:bCs w:val="0"/>
                <w:color w:val="FFFFFF" w:themeColor="background1"/>
              </w:rPr>
            </w:pPr>
            <w:r w:rsidRPr="00A7246E">
              <w:rPr>
                <w:b/>
                <w:bCs w:val="0"/>
                <w:color w:val="FFFFFF" w:themeColor="background1"/>
              </w:rPr>
              <w:t>Phosphate Dosage</w:t>
            </w:r>
          </w:p>
        </w:tc>
        <w:tc>
          <w:tcPr>
            <w:tcW w:w="1684" w:type="dxa"/>
            <w:shd w:val="clear" w:color="auto" w:fill="3D2262" w:themeFill="accent1"/>
          </w:tcPr>
          <w:p w14:paraId="00C1D0CC" w14:textId="77777777" w:rsidR="001A2A69" w:rsidRPr="00A7246E" w:rsidRDefault="001A2A69" w:rsidP="00E84ABC">
            <w:pPr>
              <w:pStyle w:val="BodyCopy"/>
              <w:jc w:val="center"/>
              <w:rPr>
                <w:b/>
                <w:bCs w:val="0"/>
                <w:color w:val="FFFFFF" w:themeColor="background1"/>
              </w:rPr>
            </w:pPr>
            <w:r w:rsidRPr="00A7246E">
              <w:rPr>
                <w:b/>
                <w:bCs w:val="0"/>
                <w:color w:val="FFFFFF" w:themeColor="background1"/>
              </w:rPr>
              <w:t>Monitoring</w:t>
            </w:r>
          </w:p>
        </w:tc>
      </w:tr>
      <w:tr w:rsidR="00E84ABC" w14:paraId="56AB5F22" w14:textId="77777777" w:rsidTr="00E84ABC">
        <w:tc>
          <w:tcPr>
            <w:tcW w:w="2263" w:type="dxa"/>
          </w:tcPr>
          <w:p w14:paraId="431DE0F4" w14:textId="77777777" w:rsidR="00E84ABC" w:rsidRDefault="00E84ABC" w:rsidP="001A2A69">
            <w:pPr>
              <w:pStyle w:val="BodyCopy"/>
              <w:rPr>
                <w:b/>
                <w:bCs w:val="0"/>
              </w:rPr>
            </w:pPr>
            <w:r>
              <w:rPr>
                <w:b/>
                <w:bCs w:val="0"/>
              </w:rPr>
              <w:t>Mild Deficit:</w:t>
            </w:r>
          </w:p>
          <w:p w14:paraId="6C4BBFE0" w14:textId="77777777" w:rsidR="00E84ABC" w:rsidRPr="00E84ABC" w:rsidRDefault="00E84ABC" w:rsidP="001A2A69">
            <w:pPr>
              <w:pStyle w:val="BodyCopy"/>
            </w:pPr>
            <w:r>
              <w:t>Serum Phosphate:0.5 – 0.75 mmol/L</w:t>
            </w:r>
          </w:p>
        </w:tc>
        <w:tc>
          <w:tcPr>
            <w:tcW w:w="7648" w:type="dxa"/>
            <w:gridSpan w:val="3"/>
          </w:tcPr>
          <w:p w14:paraId="310CE49E" w14:textId="233478F8" w:rsidR="00E84ABC" w:rsidRPr="00E84ABC" w:rsidRDefault="00E84ABC" w:rsidP="001A2A69">
            <w:pPr>
              <w:pStyle w:val="BodyCopy"/>
            </w:pPr>
            <w:r>
              <w:t xml:space="preserve">Treatment not usually required as can be treated by increasing dietary intake of food high in phosphate (e.g. dairy products), except if alcoholism/withdrawal, malnutrition, re-feeding syndrome, receiving </w:t>
            </w:r>
            <w:r w:rsidR="001F6DB5">
              <w:t>Total Parenteral Nutrition</w:t>
            </w:r>
            <w:r w:rsidR="00185D97">
              <w:t xml:space="preserve"> </w:t>
            </w:r>
            <w:r w:rsidR="001F6DB5">
              <w:t>(</w:t>
            </w:r>
            <w:r>
              <w:t>TPN</w:t>
            </w:r>
            <w:r w:rsidR="001F6DB5">
              <w:t>)</w:t>
            </w:r>
            <w:r>
              <w:t xml:space="preserve">, renal phosphate wasting, recovery from </w:t>
            </w:r>
            <w:r w:rsidR="001F6DB5">
              <w:t>Diabetic Keto Acidosis (</w:t>
            </w:r>
            <w:r>
              <w:t>DKA</w:t>
            </w:r>
            <w:r w:rsidR="001F6DB5">
              <w:t>)</w:t>
            </w:r>
            <w:r>
              <w:t xml:space="preserve"> or respiratory failure.</w:t>
            </w:r>
          </w:p>
        </w:tc>
      </w:tr>
      <w:tr w:rsidR="00E84ABC" w14:paraId="70DAB895" w14:textId="77777777" w:rsidTr="00E84ABC">
        <w:tc>
          <w:tcPr>
            <w:tcW w:w="2263" w:type="dxa"/>
          </w:tcPr>
          <w:p w14:paraId="076D7E1C" w14:textId="77777777" w:rsidR="00E84ABC" w:rsidRPr="00C8468D" w:rsidRDefault="00E84ABC" w:rsidP="001A2A69">
            <w:pPr>
              <w:pStyle w:val="BodyCopy"/>
              <w:rPr>
                <w:b/>
                <w:bCs w:val="0"/>
              </w:rPr>
            </w:pPr>
            <w:r w:rsidRPr="00C8468D">
              <w:rPr>
                <w:b/>
                <w:bCs w:val="0"/>
              </w:rPr>
              <w:t>Moderate Deficit:</w:t>
            </w:r>
          </w:p>
          <w:p w14:paraId="0E8BBB16" w14:textId="77777777" w:rsidR="00E84ABC" w:rsidRPr="00E84ABC" w:rsidRDefault="00E84ABC" w:rsidP="001A2A69">
            <w:pPr>
              <w:pStyle w:val="BodyCopy"/>
            </w:pPr>
            <w:r>
              <w:t>Serum Phosphate: 0.3-0.49 mmol/L</w:t>
            </w:r>
          </w:p>
        </w:tc>
        <w:tc>
          <w:tcPr>
            <w:tcW w:w="1701" w:type="dxa"/>
          </w:tcPr>
          <w:p w14:paraId="2194F656" w14:textId="01BEDEB2" w:rsidR="00E84ABC" w:rsidRPr="00E84ABC" w:rsidRDefault="00E84ABC" w:rsidP="00E84ABC">
            <w:pPr>
              <w:pStyle w:val="BodyCopy"/>
              <w:jc w:val="center"/>
            </w:pPr>
            <w:r w:rsidRPr="00E84ABC">
              <w:t>Oral</w:t>
            </w:r>
            <w:r w:rsidR="00A541FB">
              <w:t xml:space="preserve"> / Enteral</w:t>
            </w:r>
          </w:p>
          <w:p w14:paraId="6ABB15AF" w14:textId="77777777" w:rsidR="00E84ABC" w:rsidRDefault="00E84ABC" w:rsidP="00E84ABC">
            <w:pPr>
              <w:pStyle w:val="BodyCopy"/>
              <w:jc w:val="center"/>
              <w:rPr>
                <w:b/>
                <w:bCs w:val="0"/>
              </w:rPr>
            </w:pPr>
          </w:p>
          <w:p w14:paraId="263BCF9D" w14:textId="77777777" w:rsidR="00E84ABC" w:rsidRDefault="00E84ABC" w:rsidP="00E84ABC">
            <w:pPr>
              <w:pStyle w:val="BodyCopy"/>
              <w:jc w:val="center"/>
              <w:rPr>
                <w:b/>
                <w:bCs w:val="0"/>
              </w:rPr>
            </w:pPr>
            <w:r>
              <w:rPr>
                <w:b/>
                <w:bCs w:val="0"/>
              </w:rPr>
              <w:t>OR</w:t>
            </w:r>
          </w:p>
          <w:p w14:paraId="5F98893C" w14:textId="77777777" w:rsidR="00E84ABC" w:rsidRDefault="00E84ABC" w:rsidP="00E84ABC">
            <w:pPr>
              <w:pStyle w:val="BodyCopy"/>
              <w:jc w:val="center"/>
              <w:rPr>
                <w:b/>
                <w:bCs w:val="0"/>
              </w:rPr>
            </w:pPr>
          </w:p>
          <w:p w14:paraId="79D59C68" w14:textId="77777777" w:rsidR="00E84ABC" w:rsidRPr="00E84ABC" w:rsidRDefault="00E84ABC" w:rsidP="00E84ABC">
            <w:pPr>
              <w:pStyle w:val="BodyCopy"/>
              <w:jc w:val="center"/>
            </w:pPr>
            <w:r w:rsidRPr="00E84ABC">
              <w:t>IV (if symptomatic)</w:t>
            </w:r>
          </w:p>
        </w:tc>
        <w:tc>
          <w:tcPr>
            <w:tcW w:w="4263" w:type="dxa"/>
          </w:tcPr>
          <w:p w14:paraId="12DE4B47" w14:textId="196AF062" w:rsidR="00E84ABC" w:rsidRPr="00E84ABC" w:rsidRDefault="00E84ABC" w:rsidP="001A2A69">
            <w:pPr>
              <w:pStyle w:val="BodyCopy"/>
            </w:pPr>
            <w:r>
              <w:t>Effervescent phosphate tablet 500mg* (Phosphate Sandoz</w:t>
            </w:r>
            <w:r w:rsidRPr="00E84ABC">
              <w:t>®): 1</w:t>
            </w:r>
            <w:r w:rsidR="00A91F9D">
              <w:t xml:space="preserve"> to 2</w:t>
            </w:r>
            <w:r w:rsidRPr="00E84ABC">
              <w:t xml:space="preserve"> tablets (16.1 </w:t>
            </w:r>
            <w:r w:rsidR="00A91F9D">
              <w:t>to</w:t>
            </w:r>
            <w:r w:rsidRPr="00E84ABC">
              <w:t xml:space="preserve"> 32.2 mmol phosphate) up to </w:t>
            </w:r>
            <w:r w:rsidR="00185D97">
              <w:t>three times daily</w:t>
            </w:r>
          </w:p>
          <w:p w14:paraId="74FAA241" w14:textId="77777777" w:rsidR="00E84ABC" w:rsidRDefault="00E84ABC" w:rsidP="001A2A69">
            <w:pPr>
              <w:pStyle w:val="BodyCopy"/>
            </w:pPr>
            <w:r>
              <w:t>*Dose may be limited by diarrhoea</w:t>
            </w:r>
          </w:p>
          <w:p w14:paraId="4E2F920C" w14:textId="77777777" w:rsidR="00E84ABC" w:rsidRDefault="00E84ABC" w:rsidP="00E84ABC">
            <w:pPr>
              <w:pStyle w:val="BodyCopy"/>
              <w:jc w:val="center"/>
              <w:rPr>
                <w:b/>
                <w:bCs w:val="0"/>
              </w:rPr>
            </w:pPr>
            <w:r>
              <w:rPr>
                <w:b/>
                <w:bCs w:val="0"/>
              </w:rPr>
              <w:t>OR</w:t>
            </w:r>
          </w:p>
          <w:p w14:paraId="6F4B2554" w14:textId="361D3A32" w:rsidR="00C55212" w:rsidRDefault="00E84ABC" w:rsidP="001A2A69">
            <w:pPr>
              <w:pStyle w:val="BodyCopy"/>
              <w:rPr>
                <w:b/>
                <w:bCs w:val="0"/>
              </w:rPr>
            </w:pPr>
            <w:r>
              <w:rPr>
                <w:b/>
                <w:bCs w:val="0"/>
              </w:rPr>
              <w:t>IV Peripheral Line (Administer over 2-6 hours)</w:t>
            </w:r>
          </w:p>
          <w:p w14:paraId="4D25DB75" w14:textId="3AEA3A45" w:rsidR="00C55212" w:rsidRPr="00C55212" w:rsidRDefault="00C55212" w:rsidP="001A2A69">
            <w:pPr>
              <w:pStyle w:val="BodyCopy"/>
            </w:pPr>
            <w:r>
              <w:t xml:space="preserve">If the patient has </w:t>
            </w:r>
            <w:proofErr w:type="spellStart"/>
            <w:r>
              <w:t>hypokalaemia</w:t>
            </w:r>
            <w:proofErr w:type="spellEnd"/>
            <w:r>
              <w:t xml:space="preserve"> as well as </w:t>
            </w:r>
            <w:proofErr w:type="spellStart"/>
            <w:r>
              <w:t>hypophosphataemia</w:t>
            </w:r>
            <w:proofErr w:type="spellEnd"/>
            <w:r>
              <w:t>:</w:t>
            </w:r>
          </w:p>
          <w:p w14:paraId="0B0EF323" w14:textId="319D37F8" w:rsidR="00E84ABC" w:rsidRDefault="00E84ABC" w:rsidP="00E84ABC">
            <w:pPr>
              <w:pStyle w:val="Bullet"/>
            </w:pPr>
            <w:r>
              <w:t>10 mmol potassium dihydrogen phosphate in 0.9% sodium chloride pre-mixed bag (250</w:t>
            </w:r>
            <w:r w:rsidR="00FA2E62">
              <w:t xml:space="preserve"> </w:t>
            </w:r>
            <w:r>
              <w:t>mL)</w:t>
            </w:r>
          </w:p>
          <w:p w14:paraId="62A87EEC" w14:textId="77777777" w:rsidR="00C55212" w:rsidRDefault="00C55212" w:rsidP="00C55212">
            <w:pPr>
              <w:pStyle w:val="Bullet"/>
              <w:numPr>
                <w:ilvl w:val="0"/>
                <w:numId w:val="0"/>
              </w:numPr>
              <w:ind w:left="360"/>
            </w:pPr>
          </w:p>
          <w:p w14:paraId="1E1C3052" w14:textId="77777777" w:rsidR="00E84ABC" w:rsidRDefault="00E84ABC" w:rsidP="00E84ABC">
            <w:pPr>
              <w:pStyle w:val="Bullet"/>
              <w:numPr>
                <w:ilvl w:val="0"/>
                <w:numId w:val="0"/>
              </w:numPr>
              <w:ind w:left="360" w:hanging="360"/>
              <w:jc w:val="center"/>
              <w:rPr>
                <w:b/>
                <w:bCs/>
              </w:rPr>
            </w:pPr>
            <w:r w:rsidRPr="00E84ABC">
              <w:rPr>
                <w:b/>
                <w:bCs/>
              </w:rPr>
              <w:t>OR</w:t>
            </w:r>
          </w:p>
          <w:p w14:paraId="6000465B" w14:textId="77777777" w:rsidR="00C55212" w:rsidRDefault="00C55212" w:rsidP="00E84ABC">
            <w:pPr>
              <w:pStyle w:val="Bullet"/>
              <w:numPr>
                <w:ilvl w:val="0"/>
                <w:numId w:val="0"/>
              </w:numPr>
              <w:ind w:left="360" w:hanging="360"/>
              <w:jc w:val="center"/>
              <w:rPr>
                <w:b/>
                <w:bCs/>
              </w:rPr>
            </w:pPr>
          </w:p>
          <w:p w14:paraId="282C66D2" w14:textId="6A167C48" w:rsidR="00C55212" w:rsidRDefault="00C55212" w:rsidP="00C55212">
            <w:pPr>
              <w:pStyle w:val="Bullet"/>
              <w:numPr>
                <w:ilvl w:val="0"/>
                <w:numId w:val="0"/>
              </w:numPr>
              <w:ind w:left="360" w:hanging="360"/>
            </w:pPr>
            <w:r>
              <w:lastRenderedPageBreak/>
              <w:t>If the patient’s potassium is normal:</w:t>
            </w:r>
          </w:p>
          <w:p w14:paraId="3379A46E" w14:textId="77777777" w:rsidR="00C55212" w:rsidRPr="00C55212" w:rsidRDefault="00C55212" w:rsidP="00C55212">
            <w:pPr>
              <w:pStyle w:val="Bullet"/>
              <w:numPr>
                <w:ilvl w:val="0"/>
                <w:numId w:val="0"/>
              </w:numPr>
              <w:ind w:left="360" w:hanging="360"/>
            </w:pPr>
          </w:p>
          <w:p w14:paraId="3A768C70" w14:textId="77777777" w:rsidR="00E84ABC" w:rsidRDefault="00E84ABC" w:rsidP="00E84ABC">
            <w:pPr>
              <w:pStyle w:val="Bullet"/>
            </w:pPr>
            <w:r>
              <w:t>10 mmol sodium dihydrogen phosphate in 250mL 0.9% sodium chloride (or in 100mL 0.9% sodium chloride for patients with fluid restrictions)</w:t>
            </w:r>
          </w:p>
          <w:p w14:paraId="70F66593" w14:textId="77777777" w:rsidR="00E84ABC" w:rsidRDefault="00E84ABC" w:rsidP="00E84ABC">
            <w:pPr>
              <w:pStyle w:val="Bullet"/>
              <w:numPr>
                <w:ilvl w:val="0"/>
                <w:numId w:val="0"/>
              </w:numPr>
              <w:ind w:left="360" w:hanging="360"/>
            </w:pPr>
          </w:p>
          <w:p w14:paraId="37A39DC8" w14:textId="07EF7D1F" w:rsidR="00E84ABC" w:rsidRPr="00E84ABC" w:rsidRDefault="00E84ABC" w:rsidP="00E84ABC">
            <w:pPr>
              <w:pStyle w:val="Bullet"/>
              <w:numPr>
                <w:ilvl w:val="0"/>
                <w:numId w:val="0"/>
              </w:numPr>
              <w:ind w:left="360" w:hanging="360"/>
            </w:pPr>
            <w:r>
              <w:t>Stop phosphate repletion once serum</w:t>
            </w:r>
            <w:r w:rsidR="0058780C">
              <w:t xml:space="preserve"> </w:t>
            </w:r>
            <w:r>
              <w:t xml:space="preserve">phosphate concentration reaches </w:t>
            </w:r>
            <w:r w:rsidR="0058780C">
              <w:t>0.48 m</w:t>
            </w:r>
            <w:r>
              <w:t>mol/L unless there is an indication for ongoing therapy.</w:t>
            </w:r>
          </w:p>
        </w:tc>
        <w:tc>
          <w:tcPr>
            <w:tcW w:w="1684" w:type="dxa"/>
          </w:tcPr>
          <w:p w14:paraId="1AE8D25B" w14:textId="77777777" w:rsidR="00E84ABC" w:rsidRPr="00E84ABC" w:rsidRDefault="00E84ABC" w:rsidP="001A2A69">
            <w:pPr>
              <w:pStyle w:val="BodyCopy"/>
            </w:pPr>
            <w:r w:rsidRPr="00E84ABC">
              <w:lastRenderedPageBreak/>
              <w:t xml:space="preserve">Daily </w:t>
            </w:r>
            <w:r>
              <w:t>serum phosphate and calcium</w:t>
            </w:r>
          </w:p>
        </w:tc>
      </w:tr>
      <w:tr w:rsidR="007F1FDA" w14:paraId="53B48C87" w14:textId="77777777" w:rsidTr="00E84ABC">
        <w:tc>
          <w:tcPr>
            <w:tcW w:w="2263" w:type="dxa"/>
          </w:tcPr>
          <w:p w14:paraId="11E82FEE" w14:textId="77777777" w:rsidR="007F1FDA" w:rsidRDefault="007F1FDA" w:rsidP="001A2A69">
            <w:pPr>
              <w:pStyle w:val="BodyCopy"/>
              <w:rPr>
                <w:b/>
                <w:bCs w:val="0"/>
              </w:rPr>
            </w:pPr>
            <w:r>
              <w:rPr>
                <w:b/>
                <w:bCs w:val="0"/>
              </w:rPr>
              <w:t>Severe Deficit:</w:t>
            </w:r>
          </w:p>
          <w:p w14:paraId="1383846C" w14:textId="77777777" w:rsidR="007F1FDA" w:rsidRPr="007F1FDA" w:rsidRDefault="007F1FDA" w:rsidP="001A2A69">
            <w:pPr>
              <w:pStyle w:val="BodyCopy"/>
            </w:pPr>
            <w:r>
              <w:t>Serum Phosphate: Less than 0.3 mmol/L</w:t>
            </w:r>
          </w:p>
        </w:tc>
        <w:tc>
          <w:tcPr>
            <w:tcW w:w="1701" w:type="dxa"/>
          </w:tcPr>
          <w:p w14:paraId="377BD73C" w14:textId="77777777" w:rsidR="007F1FDA" w:rsidRPr="00E84ABC" w:rsidRDefault="007F1FDA" w:rsidP="00E84ABC">
            <w:pPr>
              <w:pStyle w:val="BodyCopy"/>
              <w:jc w:val="center"/>
            </w:pPr>
            <w:r>
              <w:t>IV</w:t>
            </w:r>
          </w:p>
        </w:tc>
        <w:tc>
          <w:tcPr>
            <w:tcW w:w="4263" w:type="dxa"/>
          </w:tcPr>
          <w:p w14:paraId="24FCF4E3" w14:textId="77777777" w:rsidR="007F1FDA" w:rsidRDefault="007F1FDA" w:rsidP="001A2A69">
            <w:pPr>
              <w:pStyle w:val="BodyCopy"/>
              <w:rPr>
                <w:b/>
                <w:bCs w:val="0"/>
              </w:rPr>
            </w:pPr>
            <w:r>
              <w:rPr>
                <w:b/>
                <w:bCs w:val="0"/>
              </w:rPr>
              <w:t>IV Peripheral Line (Administer over 2 hours)</w:t>
            </w:r>
          </w:p>
          <w:p w14:paraId="174B6502" w14:textId="27A0D5EB" w:rsidR="007F1FDA" w:rsidRDefault="007F1FDA" w:rsidP="007F1FDA">
            <w:pPr>
              <w:pStyle w:val="Bullet"/>
            </w:pPr>
            <w:r>
              <w:t>10 mmol potassium dihydrogen phosphate in 0.9% sodium chloride pre-mixed bag (250</w:t>
            </w:r>
            <w:r w:rsidR="001E055B">
              <w:t xml:space="preserve"> </w:t>
            </w:r>
            <w:r>
              <w:t>mL)</w:t>
            </w:r>
          </w:p>
          <w:p w14:paraId="426ECE93" w14:textId="77777777" w:rsidR="007F1FDA" w:rsidRPr="007F1FDA" w:rsidRDefault="007F1FDA" w:rsidP="007F1FDA">
            <w:pPr>
              <w:pStyle w:val="Bullet"/>
              <w:numPr>
                <w:ilvl w:val="0"/>
                <w:numId w:val="0"/>
              </w:numPr>
              <w:ind w:left="360" w:hanging="360"/>
              <w:jc w:val="center"/>
              <w:rPr>
                <w:b/>
                <w:bCs/>
              </w:rPr>
            </w:pPr>
            <w:r w:rsidRPr="007F1FDA">
              <w:rPr>
                <w:b/>
                <w:bCs/>
              </w:rPr>
              <w:t>OR</w:t>
            </w:r>
          </w:p>
          <w:p w14:paraId="2FF7B6DE" w14:textId="77777777" w:rsidR="007F1FDA" w:rsidRDefault="007F1FDA" w:rsidP="007F1FDA">
            <w:pPr>
              <w:pStyle w:val="Bullet"/>
              <w:numPr>
                <w:ilvl w:val="0"/>
                <w:numId w:val="0"/>
              </w:numPr>
              <w:ind w:left="360" w:hanging="360"/>
            </w:pPr>
          </w:p>
          <w:p w14:paraId="4D2F37D7" w14:textId="09C5D3F3" w:rsidR="007F1FDA" w:rsidRDefault="007F1FDA" w:rsidP="007F1FDA">
            <w:pPr>
              <w:pStyle w:val="Bullet"/>
            </w:pPr>
            <w:r>
              <w:t>10 mmol sodium dihydrogen phosphate in 250</w:t>
            </w:r>
            <w:r w:rsidR="001E055B">
              <w:t xml:space="preserve"> </w:t>
            </w:r>
            <w:r>
              <w:t>mL 0.9% sodium chloride (or in 100</w:t>
            </w:r>
            <w:r w:rsidR="001E055B">
              <w:t xml:space="preserve"> </w:t>
            </w:r>
            <w:r>
              <w:t>mL 0.9% sodium chloride for patients with fluid restrictions)</w:t>
            </w:r>
          </w:p>
          <w:p w14:paraId="277E211A" w14:textId="77777777" w:rsidR="007F1FDA" w:rsidRDefault="007F1FDA" w:rsidP="007F1FDA">
            <w:pPr>
              <w:pStyle w:val="Bullet"/>
              <w:numPr>
                <w:ilvl w:val="0"/>
                <w:numId w:val="0"/>
              </w:numPr>
              <w:ind w:left="360" w:hanging="360"/>
            </w:pPr>
          </w:p>
          <w:p w14:paraId="29E6A579" w14:textId="263345C8" w:rsidR="007F1FDA" w:rsidRPr="00E43879" w:rsidRDefault="007F1FDA" w:rsidP="00E43879">
            <w:pPr>
              <w:pStyle w:val="Bullet"/>
              <w:numPr>
                <w:ilvl w:val="0"/>
                <w:numId w:val="0"/>
              </w:numPr>
              <w:ind w:left="360" w:hanging="360"/>
              <w:jc w:val="both"/>
              <w:rPr>
                <w:bCs/>
              </w:rPr>
            </w:pPr>
            <w:r>
              <w:t xml:space="preserve">Switch to </w:t>
            </w:r>
            <w:r w:rsidR="00185D97">
              <w:t xml:space="preserve">oral </w:t>
            </w:r>
            <w:r>
              <w:t>replacement as per</w:t>
            </w:r>
            <w:r w:rsidR="00185D97">
              <w:t xml:space="preserve"> </w:t>
            </w:r>
            <w:r>
              <w:t>moderate deficit above when serum phosphate concentration reaches 0.48</w:t>
            </w:r>
            <w:r w:rsidR="001E055B">
              <w:t xml:space="preserve"> </w:t>
            </w:r>
            <w:r>
              <w:t xml:space="preserve">mmol/L </w:t>
            </w:r>
            <w:r>
              <w:rPr>
                <w:b/>
              </w:rPr>
              <w:t xml:space="preserve">and </w:t>
            </w:r>
            <w:r>
              <w:rPr>
                <w:bCs/>
              </w:rPr>
              <w:t xml:space="preserve">patient has no symptoms of severe </w:t>
            </w:r>
            <w:proofErr w:type="spellStart"/>
            <w:r>
              <w:rPr>
                <w:bCs/>
              </w:rPr>
              <w:t>hypophosphat</w:t>
            </w:r>
            <w:r w:rsidR="00DC249F">
              <w:rPr>
                <w:bCs/>
              </w:rPr>
              <w:t>a</w:t>
            </w:r>
            <w:r>
              <w:rPr>
                <w:bCs/>
              </w:rPr>
              <w:t>emia</w:t>
            </w:r>
            <w:proofErr w:type="spellEnd"/>
          </w:p>
        </w:tc>
        <w:tc>
          <w:tcPr>
            <w:tcW w:w="1684" w:type="dxa"/>
          </w:tcPr>
          <w:p w14:paraId="1066D2E0" w14:textId="77777777" w:rsidR="007F1FDA" w:rsidRPr="00E84ABC" w:rsidRDefault="007F1FDA" w:rsidP="001A2A69">
            <w:pPr>
              <w:pStyle w:val="BodyCopy"/>
            </w:pPr>
            <w:r>
              <w:t>Serum phosphate &amp; calcium and renal function every 6 hours</w:t>
            </w:r>
          </w:p>
        </w:tc>
      </w:tr>
    </w:tbl>
    <w:p w14:paraId="507FF6E0" w14:textId="77777777" w:rsidR="001A2A69" w:rsidRDefault="001A2A69" w:rsidP="001A2A69">
      <w:pPr>
        <w:pStyle w:val="BodyCopy"/>
      </w:pPr>
    </w:p>
    <w:p w14:paraId="1D3EDA5E" w14:textId="77777777" w:rsidR="00FC20D4" w:rsidRDefault="00FC20D4" w:rsidP="001A2A69">
      <w:pPr>
        <w:pStyle w:val="BodyCopy"/>
      </w:pPr>
    </w:p>
    <w:p w14:paraId="70F57B50" w14:textId="77777777" w:rsidR="00FC20D4" w:rsidRDefault="00FC20D4" w:rsidP="001A2A69">
      <w:pPr>
        <w:pStyle w:val="BodyCopy"/>
      </w:pPr>
    </w:p>
    <w:p w14:paraId="582ED56D" w14:textId="77777777" w:rsidR="007F1FDA" w:rsidRDefault="007F1FDA" w:rsidP="00E43879">
      <w:pPr>
        <w:pStyle w:val="Heading5"/>
      </w:pPr>
      <w:r>
        <w:lastRenderedPageBreak/>
        <w:t>2.2 Available Oral replacement</w:t>
      </w:r>
    </w:p>
    <w:tbl>
      <w:tblPr>
        <w:tblStyle w:val="TableGrid"/>
        <w:tblW w:w="0" w:type="auto"/>
        <w:tblLook w:val="04A0" w:firstRow="1" w:lastRow="0" w:firstColumn="1" w:lastColumn="0" w:noHBand="0" w:noVBand="1"/>
      </w:tblPr>
      <w:tblGrid>
        <w:gridCol w:w="3303"/>
        <w:gridCol w:w="3304"/>
        <w:gridCol w:w="3304"/>
      </w:tblGrid>
      <w:tr w:rsidR="007F1FDA" w14:paraId="1444D6C0" w14:textId="77777777" w:rsidTr="00A7246E">
        <w:tc>
          <w:tcPr>
            <w:tcW w:w="3303" w:type="dxa"/>
            <w:shd w:val="clear" w:color="auto" w:fill="3D2262" w:themeFill="accent1"/>
          </w:tcPr>
          <w:p w14:paraId="17BE9F93" w14:textId="77777777" w:rsidR="007F1FDA" w:rsidRPr="00A7246E" w:rsidRDefault="007F1FDA" w:rsidP="001A2A69">
            <w:pPr>
              <w:pStyle w:val="BodyCopy"/>
              <w:rPr>
                <w:color w:val="FFFFFF" w:themeColor="background1"/>
              </w:rPr>
            </w:pPr>
            <w:r w:rsidRPr="00A7246E">
              <w:rPr>
                <w:color w:val="FFFFFF" w:themeColor="background1"/>
              </w:rPr>
              <w:t>Phosphate Product</w:t>
            </w:r>
          </w:p>
        </w:tc>
        <w:tc>
          <w:tcPr>
            <w:tcW w:w="3304" w:type="dxa"/>
            <w:shd w:val="clear" w:color="auto" w:fill="3D2262" w:themeFill="accent1"/>
          </w:tcPr>
          <w:p w14:paraId="06FC903D" w14:textId="77777777" w:rsidR="007F1FDA" w:rsidRPr="00A7246E" w:rsidRDefault="007F1FDA" w:rsidP="001A2A69">
            <w:pPr>
              <w:pStyle w:val="BodyCopy"/>
              <w:rPr>
                <w:color w:val="FFFFFF" w:themeColor="background1"/>
              </w:rPr>
            </w:pPr>
            <w:r w:rsidRPr="00A7246E">
              <w:rPr>
                <w:color w:val="FFFFFF" w:themeColor="background1"/>
              </w:rPr>
              <w:t>Phosphate content</w:t>
            </w:r>
          </w:p>
        </w:tc>
        <w:tc>
          <w:tcPr>
            <w:tcW w:w="3304" w:type="dxa"/>
            <w:shd w:val="clear" w:color="auto" w:fill="3D2262" w:themeFill="accent1"/>
          </w:tcPr>
          <w:p w14:paraId="223632BA" w14:textId="77777777" w:rsidR="007F1FDA" w:rsidRPr="00A7246E" w:rsidRDefault="007F1FDA" w:rsidP="001A2A69">
            <w:pPr>
              <w:pStyle w:val="BodyCopy"/>
              <w:rPr>
                <w:color w:val="FFFFFF" w:themeColor="background1"/>
              </w:rPr>
            </w:pPr>
            <w:r w:rsidRPr="00A7246E">
              <w:rPr>
                <w:color w:val="FFFFFF" w:themeColor="background1"/>
              </w:rPr>
              <w:t>Brand Names</w:t>
            </w:r>
          </w:p>
        </w:tc>
      </w:tr>
      <w:tr w:rsidR="007F1FDA" w14:paraId="7D83090F" w14:textId="77777777" w:rsidTr="007F1FDA">
        <w:tc>
          <w:tcPr>
            <w:tcW w:w="3303" w:type="dxa"/>
          </w:tcPr>
          <w:p w14:paraId="2FEF3AAC" w14:textId="77777777" w:rsidR="007F1FDA" w:rsidRDefault="007F1FDA" w:rsidP="001A2A69">
            <w:pPr>
              <w:pStyle w:val="BodyCopy"/>
            </w:pPr>
            <w:r>
              <w:t>Effervescent tablets*</w:t>
            </w:r>
          </w:p>
        </w:tc>
        <w:tc>
          <w:tcPr>
            <w:tcW w:w="3304" w:type="dxa"/>
          </w:tcPr>
          <w:p w14:paraId="1B4C65C8" w14:textId="77777777" w:rsidR="007F1FDA" w:rsidRDefault="007F1FDA" w:rsidP="001A2A69">
            <w:pPr>
              <w:pStyle w:val="BodyCopy"/>
            </w:pPr>
            <w:r>
              <w:t>16.1 mmol (500</w:t>
            </w:r>
            <w:r w:rsidR="00FA2E62">
              <w:t xml:space="preserve"> </w:t>
            </w:r>
            <w:r>
              <w:t>mg)</w:t>
            </w:r>
          </w:p>
          <w:p w14:paraId="07AAB7CC" w14:textId="6137863D" w:rsidR="00FC20D4" w:rsidRDefault="00FC20D4" w:rsidP="001A2A69">
            <w:pPr>
              <w:pStyle w:val="BodyCopy"/>
            </w:pPr>
            <w:r>
              <w:t>Note: each tablet also contains 20.4 mmol of sodium and 3.1 mmol of potassium</w:t>
            </w:r>
          </w:p>
        </w:tc>
        <w:tc>
          <w:tcPr>
            <w:tcW w:w="3304" w:type="dxa"/>
          </w:tcPr>
          <w:p w14:paraId="3B59C262" w14:textId="77777777" w:rsidR="007F1FDA" w:rsidRDefault="007F1FDA" w:rsidP="001A2A69">
            <w:pPr>
              <w:pStyle w:val="BodyCopy"/>
            </w:pPr>
            <w:r w:rsidRPr="007F1FDA">
              <w:t>Phosphate Sandoz®</w:t>
            </w:r>
          </w:p>
        </w:tc>
      </w:tr>
    </w:tbl>
    <w:p w14:paraId="26FF6E06" w14:textId="77777777" w:rsidR="007F1FDA" w:rsidRDefault="007F1FDA" w:rsidP="001A2A69">
      <w:pPr>
        <w:pStyle w:val="BodyCopy"/>
        <w:rPr>
          <w:i/>
          <w:iCs w:val="0"/>
        </w:rPr>
      </w:pPr>
      <w:r>
        <w:t>*</w:t>
      </w:r>
      <w:r>
        <w:rPr>
          <w:i/>
          <w:iCs w:val="0"/>
        </w:rPr>
        <w:t>Tablet should be dissolved in approximately 75mL of water and taken orally.</w:t>
      </w:r>
    </w:p>
    <w:p w14:paraId="302CB379" w14:textId="77777777" w:rsidR="007F1FDA" w:rsidRDefault="007F1FDA" w:rsidP="001A2A69">
      <w:pPr>
        <w:pStyle w:val="BodyCopy"/>
      </w:pPr>
      <w:r>
        <w:t>2.3 Available Intravenous replacement</w:t>
      </w:r>
    </w:p>
    <w:tbl>
      <w:tblPr>
        <w:tblStyle w:val="TableGrid"/>
        <w:tblW w:w="0" w:type="auto"/>
        <w:tblLook w:val="04A0" w:firstRow="1" w:lastRow="0" w:firstColumn="1" w:lastColumn="0" w:noHBand="0" w:noVBand="1"/>
      </w:tblPr>
      <w:tblGrid>
        <w:gridCol w:w="3303"/>
        <w:gridCol w:w="3304"/>
        <w:gridCol w:w="3304"/>
      </w:tblGrid>
      <w:tr w:rsidR="007F1FDA" w14:paraId="4BD45162" w14:textId="77777777" w:rsidTr="00A7246E">
        <w:tc>
          <w:tcPr>
            <w:tcW w:w="3303" w:type="dxa"/>
            <w:shd w:val="clear" w:color="auto" w:fill="3D2262" w:themeFill="accent1"/>
          </w:tcPr>
          <w:p w14:paraId="3DEDF3E3" w14:textId="77777777" w:rsidR="007F1FDA" w:rsidRPr="00A7246E" w:rsidRDefault="007F1FDA" w:rsidP="001A2A69">
            <w:pPr>
              <w:pStyle w:val="BodyCopy"/>
              <w:rPr>
                <w:color w:val="FFFFFF" w:themeColor="background1"/>
              </w:rPr>
            </w:pPr>
            <w:r w:rsidRPr="00A7246E">
              <w:rPr>
                <w:color w:val="FFFFFF" w:themeColor="background1"/>
              </w:rPr>
              <w:t>Form</w:t>
            </w:r>
          </w:p>
        </w:tc>
        <w:tc>
          <w:tcPr>
            <w:tcW w:w="3304" w:type="dxa"/>
            <w:shd w:val="clear" w:color="auto" w:fill="3D2262" w:themeFill="accent1"/>
          </w:tcPr>
          <w:p w14:paraId="6CB21784" w14:textId="77777777" w:rsidR="007F1FDA" w:rsidRPr="00A7246E" w:rsidRDefault="007F1FDA" w:rsidP="001A2A69">
            <w:pPr>
              <w:pStyle w:val="BodyCopy"/>
              <w:rPr>
                <w:color w:val="FFFFFF" w:themeColor="background1"/>
              </w:rPr>
            </w:pPr>
            <w:r w:rsidRPr="00A7246E">
              <w:rPr>
                <w:color w:val="FFFFFF" w:themeColor="background1"/>
              </w:rPr>
              <w:t>Electrolyte Content</w:t>
            </w:r>
          </w:p>
        </w:tc>
        <w:tc>
          <w:tcPr>
            <w:tcW w:w="3304" w:type="dxa"/>
            <w:shd w:val="clear" w:color="auto" w:fill="3D2262" w:themeFill="accent1"/>
          </w:tcPr>
          <w:p w14:paraId="073D0ACF" w14:textId="77777777" w:rsidR="007F1FDA" w:rsidRPr="00A7246E" w:rsidRDefault="007F1FDA" w:rsidP="001A2A69">
            <w:pPr>
              <w:pStyle w:val="BodyCopy"/>
              <w:rPr>
                <w:color w:val="FFFFFF" w:themeColor="background1"/>
              </w:rPr>
            </w:pPr>
            <w:r w:rsidRPr="00A7246E">
              <w:rPr>
                <w:color w:val="FFFFFF" w:themeColor="background1"/>
              </w:rPr>
              <w:t>Availability</w:t>
            </w:r>
          </w:p>
        </w:tc>
      </w:tr>
      <w:tr w:rsidR="007F1FDA" w14:paraId="27659F2F" w14:textId="77777777" w:rsidTr="007F1FDA">
        <w:tc>
          <w:tcPr>
            <w:tcW w:w="3303" w:type="dxa"/>
          </w:tcPr>
          <w:p w14:paraId="2B43008F" w14:textId="77777777" w:rsidR="007F1FDA" w:rsidRPr="007F1FDA" w:rsidRDefault="007F1FDA" w:rsidP="001A2A69">
            <w:pPr>
              <w:pStyle w:val="BodyCopy"/>
            </w:pPr>
            <w:r>
              <w:rPr>
                <w:i/>
                <w:iCs w:val="0"/>
              </w:rPr>
              <w:t xml:space="preserve">Potassium </w:t>
            </w:r>
            <w:r>
              <w:t>dihydrogen phosphate</w:t>
            </w:r>
          </w:p>
        </w:tc>
        <w:tc>
          <w:tcPr>
            <w:tcW w:w="3304" w:type="dxa"/>
          </w:tcPr>
          <w:p w14:paraId="44792D44" w14:textId="77777777" w:rsidR="007F1FDA" w:rsidRDefault="007F1FDA" w:rsidP="001A2A69">
            <w:pPr>
              <w:pStyle w:val="BodyCopy"/>
            </w:pPr>
            <w:r>
              <w:t>10 mmol potassium and 10 mmol phosphate in 0.9% sodium chloride pre-mixed bag (250mL)</w:t>
            </w:r>
          </w:p>
        </w:tc>
        <w:tc>
          <w:tcPr>
            <w:tcW w:w="3304" w:type="dxa"/>
          </w:tcPr>
          <w:p w14:paraId="77CA4FD5" w14:textId="77777777" w:rsidR="007F1FDA" w:rsidRDefault="00860735" w:rsidP="001A2A69">
            <w:pPr>
              <w:pStyle w:val="BodyCopy"/>
            </w:pPr>
            <w:r>
              <w:t xml:space="preserve">Pre-mixed bags available from Pharmacy and is </w:t>
            </w:r>
            <w:proofErr w:type="spellStart"/>
            <w:r>
              <w:t>imprest</w:t>
            </w:r>
            <w:proofErr w:type="spellEnd"/>
            <w:r>
              <w:t xml:space="preserve"> in multiple locations – see global </w:t>
            </w:r>
            <w:proofErr w:type="spellStart"/>
            <w:r>
              <w:t>imprest</w:t>
            </w:r>
            <w:proofErr w:type="spellEnd"/>
            <w:r>
              <w:t xml:space="preserve"> list.</w:t>
            </w:r>
          </w:p>
        </w:tc>
      </w:tr>
      <w:tr w:rsidR="00860735" w14:paraId="7A8BD01C" w14:textId="77777777" w:rsidTr="007F1FDA">
        <w:tc>
          <w:tcPr>
            <w:tcW w:w="3303" w:type="dxa"/>
          </w:tcPr>
          <w:p w14:paraId="00988AD8" w14:textId="77777777" w:rsidR="00860735" w:rsidRPr="00860735" w:rsidRDefault="00860735" w:rsidP="001A2A69">
            <w:pPr>
              <w:pStyle w:val="BodyCopy"/>
            </w:pPr>
            <w:r>
              <w:rPr>
                <w:i/>
                <w:iCs w:val="0"/>
              </w:rPr>
              <w:t xml:space="preserve">Sodium </w:t>
            </w:r>
            <w:r w:rsidRPr="00860735">
              <w:rPr>
                <w:iCs w:val="0"/>
              </w:rPr>
              <w:t>dihydrogen phosphate</w:t>
            </w:r>
          </w:p>
        </w:tc>
        <w:tc>
          <w:tcPr>
            <w:tcW w:w="3304" w:type="dxa"/>
          </w:tcPr>
          <w:p w14:paraId="77133FDB" w14:textId="77777777" w:rsidR="00860735" w:rsidRDefault="00860735" w:rsidP="001A2A69">
            <w:pPr>
              <w:pStyle w:val="BodyCopy"/>
            </w:pPr>
            <w:r>
              <w:t>10mmol sodium and 10mmol phosphate in 10mL vial</w:t>
            </w:r>
          </w:p>
        </w:tc>
        <w:tc>
          <w:tcPr>
            <w:tcW w:w="3304" w:type="dxa"/>
          </w:tcPr>
          <w:p w14:paraId="3885A806" w14:textId="5AE2F4A4" w:rsidR="00860735" w:rsidRDefault="00860735" w:rsidP="001A2A69">
            <w:pPr>
              <w:pStyle w:val="BodyCopy"/>
            </w:pPr>
            <w:r>
              <w:t xml:space="preserve">Vial available in Pharmacy and via the afterhours </w:t>
            </w:r>
            <w:r w:rsidR="001F6DB5">
              <w:t>Clinical Nurse Consultant (</w:t>
            </w:r>
            <w:r>
              <w:t>CNC</w:t>
            </w:r>
            <w:r w:rsidR="001F6DB5">
              <w:t>)</w:t>
            </w:r>
            <w:r>
              <w:t>.</w:t>
            </w:r>
          </w:p>
        </w:tc>
      </w:tr>
    </w:tbl>
    <w:p w14:paraId="60BBAB85" w14:textId="77777777" w:rsidR="00481A6C" w:rsidRDefault="0059618F" w:rsidP="0091462B">
      <w:pPr>
        <w:pStyle w:val="BodyCopy"/>
        <w:rPr>
          <w:rStyle w:val="Hyperlink"/>
          <w:iCs w:val="0"/>
        </w:rPr>
      </w:pPr>
      <w:hyperlink w:anchor="_top" w:history="1">
        <w:r w:rsidR="00481A6C" w:rsidRPr="00481A6C">
          <w:rPr>
            <w:rStyle w:val="Hyperlink"/>
            <w:iCs w:val="0"/>
          </w:rPr>
          <w:t>Back to Contents</w:t>
        </w:r>
      </w:hyperlink>
    </w:p>
    <w:p w14:paraId="1F7F1E50" w14:textId="77777777" w:rsidR="00E43879" w:rsidRDefault="00E43879" w:rsidP="0091462B">
      <w:pPr>
        <w:pStyle w:val="BodyCopy"/>
      </w:pPr>
    </w:p>
    <w:p w14:paraId="1AAFF625" w14:textId="77777777" w:rsidR="0078367D" w:rsidRDefault="0078367D" w:rsidP="00A6051F">
      <w:pPr>
        <w:pStyle w:val="Heading4"/>
      </w:pPr>
      <w:bookmarkStart w:id="7" w:name="_Toc180420451"/>
      <w:r w:rsidRPr="0078367D">
        <w:t xml:space="preserve">Section </w:t>
      </w:r>
      <w:r w:rsidR="005E7F4A">
        <w:t>3</w:t>
      </w:r>
      <w:r w:rsidRPr="0078367D">
        <w:t xml:space="preserve"> - </w:t>
      </w:r>
      <w:r w:rsidR="005E7F4A">
        <w:t>Magnesium</w:t>
      </w:r>
      <w:bookmarkEnd w:id="7"/>
    </w:p>
    <w:p w14:paraId="6B82A156" w14:textId="77777777" w:rsidR="00481A6C" w:rsidRDefault="00860735" w:rsidP="00481A6C">
      <w:pPr>
        <w:pStyle w:val="BodyCopy"/>
      </w:pPr>
      <w:r>
        <w:t>Please note that the use of Magnesium in the treatment of eclampsia or severe asthma is not specifically covered here. Refer to the relevant policy/protocols for guidance.</w:t>
      </w:r>
    </w:p>
    <w:p w14:paraId="0D744D6B" w14:textId="77777777" w:rsidR="00860735" w:rsidRDefault="00860735" w:rsidP="00860735">
      <w:pPr>
        <w:pStyle w:val="Heading5"/>
        <w:rPr>
          <w:b w:val="0"/>
          <w:bCs w:val="0"/>
          <w:color w:val="auto"/>
          <w:vertAlign w:val="superscript"/>
        </w:rPr>
      </w:pPr>
      <w:r>
        <w:t>3.1 Magnesium replacement recommendations</w:t>
      </w:r>
      <w:r w:rsidRPr="00860735">
        <w:rPr>
          <w:b w:val="0"/>
          <w:bCs w:val="0"/>
          <w:color w:val="auto"/>
          <w:vertAlign w:val="superscript"/>
        </w:rPr>
        <w:t>2-6, 10, 11, 13</w:t>
      </w:r>
    </w:p>
    <w:p w14:paraId="41CAA803" w14:textId="09C1D808" w:rsidR="00860735" w:rsidRDefault="00860735" w:rsidP="00860735">
      <w:pPr>
        <w:pStyle w:val="BodyCopy"/>
      </w:pPr>
      <w:r>
        <w:t>All of the below recommendations can be prescribed on DHR using the hypomagnes</w:t>
      </w:r>
      <w:r w:rsidR="00E615C6">
        <w:t>a</w:t>
      </w:r>
      <w:r>
        <w:t xml:space="preserve">emia order set by searching ‘hypomagnesemia’ in the ‘orders tab’. </w:t>
      </w:r>
    </w:p>
    <w:p w14:paraId="56ECE4FD" w14:textId="77777777" w:rsidR="00FC20D4" w:rsidRDefault="00FC20D4" w:rsidP="00860735">
      <w:pPr>
        <w:pStyle w:val="BodyCopy"/>
      </w:pPr>
    </w:p>
    <w:p w14:paraId="46EAC665" w14:textId="77777777" w:rsidR="00FC20D4" w:rsidRDefault="00FC20D4" w:rsidP="00860735">
      <w:pPr>
        <w:pStyle w:val="BodyCopy"/>
      </w:pPr>
    </w:p>
    <w:tbl>
      <w:tblPr>
        <w:tblStyle w:val="TableGrid"/>
        <w:tblW w:w="0" w:type="auto"/>
        <w:tblLook w:val="04A0" w:firstRow="1" w:lastRow="0" w:firstColumn="1" w:lastColumn="0" w:noHBand="0" w:noVBand="1"/>
      </w:tblPr>
      <w:tblGrid>
        <w:gridCol w:w="2477"/>
        <w:gridCol w:w="1062"/>
        <w:gridCol w:w="3894"/>
        <w:gridCol w:w="2478"/>
      </w:tblGrid>
      <w:tr w:rsidR="00860735" w14:paraId="2796C60F" w14:textId="77777777" w:rsidTr="006C048C">
        <w:tc>
          <w:tcPr>
            <w:tcW w:w="2477" w:type="dxa"/>
            <w:shd w:val="clear" w:color="auto" w:fill="3D2262" w:themeFill="accent1"/>
          </w:tcPr>
          <w:p w14:paraId="169C4007" w14:textId="77777777" w:rsidR="00860735" w:rsidRPr="00A7246E" w:rsidRDefault="00860735" w:rsidP="00860735">
            <w:pPr>
              <w:pStyle w:val="BodyCopy"/>
              <w:rPr>
                <w:b/>
                <w:bCs w:val="0"/>
                <w:color w:val="FFFFFF" w:themeColor="background1"/>
              </w:rPr>
            </w:pPr>
            <w:r w:rsidRPr="00A7246E">
              <w:rPr>
                <w:b/>
                <w:bCs w:val="0"/>
                <w:color w:val="FFFFFF" w:themeColor="background1"/>
              </w:rPr>
              <w:lastRenderedPageBreak/>
              <w:t>Serum Magnesium</w:t>
            </w:r>
          </w:p>
        </w:tc>
        <w:tc>
          <w:tcPr>
            <w:tcW w:w="1062" w:type="dxa"/>
            <w:shd w:val="clear" w:color="auto" w:fill="3D2262" w:themeFill="accent1"/>
          </w:tcPr>
          <w:p w14:paraId="03510438" w14:textId="77777777" w:rsidR="00860735" w:rsidRPr="00A7246E" w:rsidRDefault="00860735" w:rsidP="005C2EC7">
            <w:pPr>
              <w:pStyle w:val="BodyCopy"/>
              <w:jc w:val="center"/>
              <w:rPr>
                <w:b/>
                <w:bCs w:val="0"/>
                <w:color w:val="FFFFFF" w:themeColor="background1"/>
              </w:rPr>
            </w:pPr>
            <w:r w:rsidRPr="00A7246E">
              <w:rPr>
                <w:b/>
                <w:bCs w:val="0"/>
                <w:color w:val="FFFFFF" w:themeColor="background1"/>
              </w:rPr>
              <w:t>Route</w:t>
            </w:r>
          </w:p>
        </w:tc>
        <w:tc>
          <w:tcPr>
            <w:tcW w:w="3894" w:type="dxa"/>
            <w:shd w:val="clear" w:color="auto" w:fill="3D2262" w:themeFill="accent1"/>
          </w:tcPr>
          <w:p w14:paraId="561B8A3F" w14:textId="77777777" w:rsidR="00860735" w:rsidRPr="00A7246E" w:rsidRDefault="00860735" w:rsidP="00860735">
            <w:pPr>
              <w:pStyle w:val="BodyCopy"/>
              <w:rPr>
                <w:b/>
                <w:bCs w:val="0"/>
                <w:color w:val="FFFFFF" w:themeColor="background1"/>
              </w:rPr>
            </w:pPr>
            <w:r w:rsidRPr="00A7246E">
              <w:rPr>
                <w:b/>
                <w:bCs w:val="0"/>
                <w:color w:val="FFFFFF" w:themeColor="background1"/>
              </w:rPr>
              <w:t>Magnesium Dosage</w:t>
            </w:r>
          </w:p>
        </w:tc>
        <w:tc>
          <w:tcPr>
            <w:tcW w:w="2478" w:type="dxa"/>
            <w:shd w:val="clear" w:color="auto" w:fill="3D2262" w:themeFill="accent1"/>
          </w:tcPr>
          <w:p w14:paraId="79936BAD" w14:textId="77777777" w:rsidR="00860735" w:rsidRPr="00A7246E" w:rsidRDefault="00860735" w:rsidP="00860735">
            <w:pPr>
              <w:pStyle w:val="BodyCopy"/>
              <w:rPr>
                <w:b/>
                <w:bCs w:val="0"/>
                <w:color w:val="FFFFFF" w:themeColor="background1"/>
              </w:rPr>
            </w:pPr>
            <w:r w:rsidRPr="00A7246E">
              <w:rPr>
                <w:b/>
                <w:bCs w:val="0"/>
                <w:color w:val="FFFFFF" w:themeColor="background1"/>
              </w:rPr>
              <w:t>Monitoring Required</w:t>
            </w:r>
          </w:p>
        </w:tc>
      </w:tr>
      <w:tr w:rsidR="00860735" w14:paraId="43F5A3C7" w14:textId="77777777" w:rsidTr="006C048C">
        <w:tc>
          <w:tcPr>
            <w:tcW w:w="2477" w:type="dxa"/>
          </w:tcPr>
          <w:p w14:paraId="5E38EAD0" w14:textId="77777777" w:rsidR="00860735" w:rsidRDefault="00860735" w:rsidP="00860735">
            <w:pPr>
              <w:pStyle w:val="BodyCopy"/>
              <w:rPr>
                <w:b/>
                <w:bCs w:val="0"/>
              </w:rPr>
            </w:pPr>
            <w:r>
              <w:rPr>
                <w:b/>
                <w:bCs w:val="0"/>
              </w:rPr>
              <w:t>Mild to Moderate Deficit:</w:t>
            </w:r>
          </w:p>
          <w:p w14:paraId="489524B3" w14:textId="77777777" w:rsidR="00860735" w:rsidRPr="00860735" w:rsidRDefault="00860735" w:rsidP="00860735">
            <w:pPr>
              <w:pStyle w:val="BodyCopy"/>
            </w:pPr>
            <w:r>
              <w:t>Serum Magnesium: 0.4 – 0.7 mmol/L</w:t>
            </w:r>
          </w:p>
        </w:tc>
        <w:tc>
          <w:tcPr>
            <w:tcW w:w="1062" w:type="dxa"/>
          </w:tcPr>
          <w:p w14:paraId="1CADB987" w14:textId="67372DB7" w:rsidR="00860735" w:rsidRDefault="00860735" w:rsidP="005C2EC7">
            <w:pPr>
              <w:pStyle w:val="BodyCopy"/>
              <w:jc w:val="center"/>
            </w:pPr>
            <w:r>
              <w:t>Oral</w:t>
            </w:r>
            <w:r w:rsidR="00A541FB">
              <w:t xml:space="preserve"> / Enteral</w:t>
            </w:r>
          </w:p>
        </w:tc>
        <w:tc>
          <w:tcPr>
            <w:tcW w:w="3894" w:type="dxa"/>
          </w:tcPr>
          <w:p w14:paraId="4FB322FE" w14:textId="66015F70" w:rsidR="00860735" w:rsidRDefault="00860735" w:rsidP="00860735">
            <w:pPr>
              <w:pStyle w:val="BodyCopy"/>
            </w:pPr>
            <w:r>
              <w:t>Magnesium aspartate (500</w:t>
            </w:r>
            <w:r w:rsidR="00A541FB">
              <w:t xml:space="preserve"> </w:t>
            </w:r>
            <w:r>
              <w:t xml:space="preserve">mg): 1 to 2 tablets (1.54 </w:t>
            </w:r>
            <w:r w:rsidR="00A91F9D">
              <w:t>to</w:t>
            </w:r>
            <w:r>
              <w:t xml:space="preserve"> 3.08 mmol) </w:t>
            </w:r>
            <w:r w:rsidR="00185D97">
              <w:t>twice daily, u</w:t>
            </w:r>
            <w:r>
              <w:t>p to 6 tablets (9.24</w:t>
            </w:r>
            <w:r w:rsidR="009F1C23">
              <w:t xml:space="preserve"> </w:t>
            </w:r>
            <w:r>
              <w:t>mmol) daily in divided doses may be required.</w:t>
            </w:r>
          </w:p>
          <w:p w14:paraId="265257E5" w14:textId="77777777" w:rsidR="00860735" w:rsidRPr="00860735" w:rsidRDefault="00860735" w:rsidP="00860735">
            <w:pPr>
              <w:pStyle w:val="BodyCopy"/>
              <w:rPr>
                <w:i/>
                <w:iCs w:val="0"/>
              </w:rPr>
            </w:pPr>
            <w:r>
              <w:t>*</w:t>
            </w:r>
            <w:r>
              <w:rPr>
                <w:i/>
                <w:iCs w:val="0"/>
              </w:rPr>
              <w:t>Dose may be limited by diarrhoea. Poor oral absorption</w:t>
            </w:r>
          </w:p>
        </w:tc>
        <w:tc>
          <w:tcPr>
            <w:tcW w:w="2478" w:type="dxa"/>
          </w:tcPr>
          <w:p w14:paraId="4002BC11" w14:textId="77777777" w:rsidR="00860735" w:rsidRDefault="00860735" w:rsidP="00860735">
            <w:pPr>
              <w:pStyle w:val="BodyCopy"/>
            </w:pPr>
            <w:r>
              <w:t>Daily or second daily serum magnesium</w:t>
            </w:r>
          </w:p>
        </w:tc>
      </w:tr>
      <w:tr w:rsidR="00860735" w14:paraId="7E98D0BD" w14:textId="77777777" w:rsidTr="006C048C">
        <w:tc>
          <w:tcPr>
            <w:tcW w:w="2477" w:type="dxa"/>
          </w:tcPr>
          <w:p w14:paraId="4198EDB2" w14:textId="77777777" w:rsidR="00860735" w:rsidRDefault="00860735" w:rsidP="00860735">
            <w:pPr>
              <w:pStyle w:val="BodyCopy"/>
              <w:rPr>
                <w:b/>
                <w:bCs w:val="0"/>
              </w:rPr>
            </w:pPr>
            <w:r>
              <w:rPr>
                <w:b/>
                <w:bCs w:val="0"/>
              </w:rPr>
              <w:t>Severe Deficit:</w:t>
            </w:r>
          </w:p>
          <w:p w14:paraId="22E3AECA" w14:textId="77777777" w:rsidR="00860735" w:rsidRDefault="00860735" w:rsidP="00860735">
            <w:pPr>
              <w:pStyle w:val="BodyCopy"/>
            </w:pPr>
            <w:r>
              <w:t>Serum Magnesium: Less than 0.4mmol/L</w:t>
            </w:r>
          </w:p>
          <w:p w14:paraId="13B54F28" w14:textId="77777777" w:rsidR="00860735" w:rsidRPr="00C8468D" w:rsidRDefault="00860735" w:rsidP="00C8468D">
            <w:pPr>
              <w:pStyle w:val="BodyCopy"/>
              <w:jc w:val="center"/>
              <w:rPr>
                <w:b/>
                <w:bCs w:val="0"/>
              </w:rPr>
            </w:pPr>
            <w:r w:rsidRPr="00C8468D">
              <w:rPr>
                <w:b/>
                <w:bCs w:val="0"/>
              </w:rPr>
              <w:t>OR</w:t>
            </w:r>
          </w:p>
          <w:p w14:paraId="2DAA67DB" w14:textId="77777777" w:rsidR="00860735" w:rsidRPr="00860735" w:rsidRDefault="00860735" w:rsidP="00860735">
            <w:pPr>
              <w:pStyle w:val="BodyCopy"/>
            </w:pPr>
            <w:r>
              <w:t>Symptomatic (e.g. tremor, weakness, cardiac arrythmias, convulsions)</w:t>
            </w:r>
          </w:p>
        </w:tc>
        <w:tc>
          <w:tcPr>
            <w:tcW w:w="1062" w:type="dxa"/>
          </w:tcPr>
          <w:p w14:paraId="7D5F0A7B" w14:textId="77777777" w:rsidR="00860735" w:rsidRDefault="00860735" w:rsidP="005C2EC7">
            <w:pPr>
              <w:pStyle w:val="BodyCopy"/>
              <w:jc w:val="center"/>
            </w:pPr>
            <w:r>
              <w:t>IV</w:t>
            </w:r>
          </w:p>
        </w:tc>
        <w:tc>
          <w:tcPr>
            <w:tcW w:w="3894" w:type="dxa"/>
          </w:tcPr>
          <w:p w14:paraId="42220D4A" w14:textId="31142BC2" w:rsidR="00860735" w:rsidRDefault="00860735" w:rsidP="00860735">
            <w:pPr>
              <w:pStyle w:val="BodyCopy"/>
              <w:rPr>
                <w:b/>
                <w:bCs w:val="0"/>
              </w:rPr>
            </w:pPr>
            <w:r>
              <w:rPr>
                <w:b/>
                <w:bCs w:val="0"/>
              </w:rPr>
              <w:t>IV Peripheral Line</w:t>
            </w:r>
            <w:r w:rsidR="00722475">
              <w:rPr>
                <w:b/>
                <w:bCs w:val="0"/>
              </w:rPr>
              <w:t xml:space="preserve"> (Administer over 1 hour*)</w:t>
            </w:r>
          </w:p>
          <w:p w14:paraId="2F64AC6C" w14:textId="7A0C0D65" w:rsidR="00860735" w:rsidRDefault="00860735" w:rsidP="00860735">
            <w:pPr>
              <w:pStyle w:val="BodyCopy"/>
            </w:pPr>
            <w:r>
              <w:t>10 to 20 mmol magnesium sul</w:t>
            </w:r>
            <w:r w:rsidR="00052B48">
              <w:t>f</w:t>
            </w:r>
            <w:r>
              <w:t>ate in</w:t>
            </w:r>
            <w:r w:rsidR="00722475">
              <w:t xml:space="preserve"> 50 </w:t>
            </w:r>
            <w:r w:rsidR="00A91F9D">
              <w:t xml:space="preserve">to </w:t>
            </w:r>
            <w:r w:rsidR="00722475">
              <w:t xml:space="preserve">100 mL 0.9% </w:t>
            </w:r>
            <w:r>
              <w:t>sodium chloride over 1 hour*. Repeat, if necessary, at 4 hourly intervals according to response.</w:t>
            </w:r>
          </w:p>
          <w:p w14:paraId="1D194832" w14:textId="20743C1F" w:rsidR="00860735" w:rsidRDefault="00860735" w:rsidP="00860735">
            <w:pPr>
              <w:pStyle w:val="BodyCopy"/>
              <w:rPr>
                <w:i/>
                <w:iCs w:val="0"/>
              </w:rPr>
            </w:pPr>
            <w:r>
              <w:t>*</w:t>
            </w:r>
            <w:r>
              <w:rPr>
                <w:i/>
                <w:iCs w:val="0"/>
              </w:rPr>
              <w:t>Maximum infusion rate 36 mmol/hour.</w:t>
            </w:r>
          </w:p>
          <w:p w14:paraId="2C0A9705" w14:textId="5D4AFA61" w:rsidR="00860735" w:rsidRPr="00860735" w:rsidRDefault="00860735" w:rsidP="00860735">
            <w:pPr>
              <w:pStyle w:val="BodyCopy"/>
            </w:pPr>
            <w:r>
              <w:t>Note: in the presence of life-threatening cardiac arrythmia 4-8</w:t>
            </w:r>
            <w:r w:rsidR="00445878">
              <w:t xml:space="preserve"> </w:t>
            </w:r>
            <w:r>
              <w:t>mmol magnesium can be given over 5-10 minutes</w:t>
            </w:r>
          </w:p>
        </w:tc>
        <w:tc>
          <w:tcPr>
            <w:tcW w:w="2478" w:type="dxa"/>
          </w:tcPr>
          <w:p w14:paraId="29BB8A09" w14:textId="52DB45F9" w:rsidR="00E43879" w:rsidRDefault="00860735" w:rsidP="00860735">
            <w:pPr>
              <w:pStyle w:val="BodyCopy"/>
            </w:pPr>
            <w:r>
              <w:t>Serum magnesium levels</w:t>
            </w:r>
            <w:r w:rsidR="00E43879">
              <w:t xml:space="preserve"> within 4 hours</w:t>
            </w:r>
          </w:p>
          <w:p w14:paraId="2D5059FC" w14:textId="54F2E7DC" w:rsidR="00860735" w:rsidRDefault="00E43879" w:rsidP="00860735">
            <w:pPr>
              <w:pStyle w:val="BodyCopy"/>
            </w:pPr>
            <w:r>
              <w:t>C</w:t>
            </w:r>
            <w:r w:rsidR="00860735">
              <w:t>linical s</w:t>
            </w:r>
            <w:r>
              <w:t>igns of administration reactions</w:t>
            </w:r>
            <w:r w:rsidR="005141F4">
              <w:t xml:space="preserve"> (e.g. phlebitis)</w:t>
            </w:r>
            <w:r>
              <w:t>; resolution of hypomagnesaemia induced symptoms; and signs of magnesium toxicity (e.g. facial flushing, hypotension, decreased tendon reflexes)</w:t>
            </w:r>
          </w:p>
        </w:tc>
      </w:tr>
    </w:tbl>
    <w:p w14:paraId="478CEBB4" w14:textId="77777777" w:rsidR="00860735" w:rsidRDefault="00860735" w:rsidP="00860735">
      <w:pPr>
        <w:pStyle w:val="BodyCopy"/>
      </w:pPr>
    </w:p>
    <w:tbl>
      <w:tblPr>
        <w:tblStyle w:val="TableGrid"/>
        <w:tblW w:w="0" w:type="auto"/>
        <w:tblLook w:val="04A0" w:firstRow="1" w:lastRow="0" w:firstColumn="1" w:lastColumn="0" w:noHBand="0" w:noVBand="1"/>
      </w:tblPr>
      <w:tblGrid>
        <w:gridCol w:w="9911"/>
      </w:tblGrid>
      <w:tr w:rsidR="00860735" w14:paraId="6F4A845C" w14:textId="77777777" w:rsidTr="00860735">
        <w:tc>
          <w:tcPr>
            <w:tcW w:w="9911" w:type="dxa"/>
          </w:tcPr>
          <w:p w14:paraId="043B3AC7" w14:textId="76D68B22" w:rsidR="00860735" w:rsidRPr="00860735" w:rsidRDefault="00860735" w:rsidP="00860735">
            <w:pPr>
              <w:pStyle w:val="BodyCopy"/>
            </w:pPr>
            <w:r>
              <w:rPr>
                <w:b/>
                <w:bCs w:val="0"/>
              </w:rPr>
              <w:t xml:space="preserve">Note: </w:t>
            </w:r>
            <w:r w:rsidRPr="00860735">
              <w:rPr>
                <w:bCs w:val="0"/>
              </w:rPr>
              <w:t>Hypomagnes</w:t>
            </w:r>
            <w:r w:rsidR="008C64DA">
              <w:rPr>
                <w:bCs w:val="0"/>
              </w:rPr>
              <w:t>a</w:t>
            </w:r>
            <w:r w:rsidRPr="00860735">
              <w:rPr>
                <w:bCs w:val="0"/>
              </w:rPr>
              <w:t>emia</w:t>
            </w:r>
            <w:r>
              <w:rPr>
                <w:bCs w:val="0"/>
              </w:rPr>
              <w:t xml:space="preserve"> may cause concomitant refractory </w:t>
            </w:r>
            <w:proofErr w:type="spellStart"/>
            <w:r>
              <w:rPr>
                <w:bCs w:val="0"/>
              </w:rPr>
              <w:t>hypokal</w:t>
            </w:r>
            <w:r w:rsidR="008C64DA">
              <w:rPr>
                <w:bCs w:val="0"/>
              </w:rPr>
              <w:t>a</w:t>
            </w:r>
            <w:r>
              <w:rPr>
                <w:bCs w:val="0"/>
              </w:rPr>
              <w:t>emia</w:t>
            </w:r>
            <w:proofErr w:type="spellEnd"/>
            <w:r>
              <w:rPr>
                <w:bCs w:val="0"/>
              </w:rPr>
              <w:t xml:space="preserve"> and </w:t>
            </w:r>
            <w:proofErr w:type="spellStart"/>
            <w:r>
              <w:rPr>
                <w:bCs w:val="0"/>
              </w:rPr>
              <w:t>hypocalc</w:t>
            </w:r>
            <w:r w:rsidR="008C64DA">
              <w:rPr>
                <w:bCs w:val="0"/>
              </w:rPr>
              <w:t>a</w:t>
            </w:r>
            <w:r>
              <w:rPr>
                <w:bCs w:val="0"/>
              </w:rPr>
              <w:t>emia</w:t>
            </w:r>
            <w:proofErr w:type="spellEnd"/>
            <w:r>
              <w:rPr>
                <w:bCs w:val="0"/>
              </w:rPr>
              <w:t>, ongoing monitoring and replacement of all electrolytes is required.</w:t>
            </w:r>
          </w:p>
        </w:tc>
      </w:tr>
    </w:tbl>
    <w:p w14:paraId="58345535" w14:textId="77777777" w:rsidR="00FC20D4" w:rsidRDefault="00FC20D4" w:rsidP="00E43879">
      <w:pPr>
        <w:pStyle w:val="Heading5"/>
      </w:pPr>
    </w:p>
    <w:p w14:paraId="430761F3" w14:textId="77777777" w:rsidR="00E43879" w:rsidRDefault="00E43879" w:rsidP="00E43879">
      <w:pPr>
        <w:pStyle w:val="BodyCopy"/>
      </w:pPr>
    </w:p>
    <w:p w14:paraId="3F79E1EE" w14:textId="77777777" w:rsidR="00E43879" w:rsidRDefault="00E43879" w:rsidP="00E43879">
      <w:pPr>
        <w:pStyle w:val="BodyCopy"/>
      </w:pPr>
    </w:p>
    <w:p w14:paraId="61F6636F" w14:textId="77777777" w:rsidR="00E43879" w:rsidRPr="00E43879" w:rsidRDefault="00E43879" w:rsidP="00E43879">
      <w:pPr>
        <w:pStyle w:val="BodyCopy"/>
      </w:pPr>
    </w:p>
    <w:p w14:paraId="18C4B3BD" w14:textId="37C9EA75" w:rsidR="00860735" w:rsidRDefault="00860735" w:rsidP="00860735">
      <w:pPr>
        <w:pStyle w:val="Heading5"/>
      </w:pPr>
      <w:r>
        <w:lastRenderedPageBreak/>
        <w:t xml:space="preserve">3.2 Available </w:t>
      </w:r>
      <w:r w:rsidR="00F63DDE">
        <w:t>o</w:t>
      </w:r>
      <w:r>
        <w:t>ral replacement</w:t>
      </w:r>
    </w:p>
    <w:tbl>
      <w:tblPr>
        <w:tblStyle w:val="TableGrid"/>
        <w:tblW w:w="0" w:type="auto"/>
        <w:tblLook w:val="04A0" w:firstRow="1" w:lastRow="0" w:firstColumn="1" w:lastColumn="0" w:noHBand="0" w:noVBand="1"/>
      </w:tblPr>
      <w:tblGrid>
        <w:gridCol w:w="1838"/>
        <w:gridCol w:w="2693"/>
        <w:gridCol w:w="2902"/>
        <w:gridCol w:w="2478"/>
      </w:tblGrid>
      <w:tr w:rsidR="00860735" w14:paraId="7B6759D8" w14:textId="77777777" w:rsidTr="006C048C">
        <w:tc>
          <w:tcPr>
            <w:tcW w:w="1838" w:type="dxa"/>
            <w:shd w:val="clear" w:color="auto" w:fill="3D2262" w:themeFill="accent1"/>
          </w:tcPr>
          <w:p w14:paraId="4D3005F1" w14:textId="77777777" w:rsidR="00860735" w:rsidRPr="00A7246E" w:rsidRDefault="00860735" w:rsidP="00860735">
            <w:pPr>
              <w:pStyle w:val="BodyCopy"/>
              <w:rPr>
                <w:color w:val="FFFFFF" w:themeColor="background1"/>
              </w:rPr>
            </w:pPr>
            <w:r w:rsidRPr="00A7246E">
              <w:rPr>
                <w:color w:val="FFFFFF" w:themeColor="background1"/>
              </w:rPr>
              <w:t>Form</w:t>
            </w:r>
          </w:p>
        </w:tc>
        <w:tc>
          <w:tcPr>
            <w:tcW w:w="2693" w:type="dxa"/>
            <w:shd w:val="clear" w:color="auto" w:fill="3D2262" w:themeFill="accent1"/>
          </w:tcPr>
          <w:p w14:paraId="4660D5CD" w14:textId="77777777" w:rsidR="00860735" w:rsidRPr="00A7246E" w:rsidRDefault="00860735" w:rsidP="00860735">
            <w:pPr>
              <w:pStyle w:val="BodyCopy"/>
              <w:rPr>
                <w:color w:val="FFFFFF" w:themeColor="background1"/>
              </w:rPr>
            </w:pPr>
            <w:r w:rsidRPr="00A7246E">
              <w:rPr>
                <w:color w:val="FFFFFF" w:themeColor="background1"/>
              </w:rPr>
              <w:t>Approved Name</w:t>
            </w:r>
          </w:p>
        </w:tc>
        <w:tc>
          <w:tcPr>
            <w:tcW w:w="2902" w:type="dxa"/>
            <w:shd w:val="clear" w:color="auto" w:fill="3D2262" w:themeFill="accent1"/>
          </w:tcPr>
          <w:p w14:paraId="0BF6FEDB" w14:textId="77777777" w:rsidR="00860735" w:rsidRPr="00A7246E" w:rsidRDefault="00860735" w:rsidP="00860735">
            <w:pPr>
              <w:pStyle w:val="BodyCopy"/>
              <w:rPr>
                <w:color w:val="FFFFFF" w:themeColor="background1"/>
              </w:rPr>
            </w:pPr>
            <w:r w:rsidRPr="00A7246E">
              <w:rPr>
                <w:color w:val="FFFFFF" w:themeColor="background1"/>
              </w:rPr>
              <w:t>Magnesium content</w:t>
            </w:r>
          </w:p>
        </w:tc>
        <w:tc>
          <w:tcPr>
            <w:tcW w:w="2478" w:type="dxa"/>
            <w:shd w:val="clear" w:color="auto" w:fill="3D2262" w:themeFill="accent1"/>
          </w:tcPr>
          <w:p w14:paraId="1D9BC1D2" w14:textId="77777777" w:rsidR="00860735" w:rsidRPr="00A7246E" w:rsidRDefault="00860735" w:rsidP="00860735">
            <w:pPr>
              <w:pStyle w:val="BodyCopy"/>
              <w:rPr>
                <w:color w:val="FFFFFF" w:themeColor="background1"/>
              </w:rPr>
            </w:pPr>
            <w:r w:rsidRPr="00A7246E">
              <w:rPr>
                <w:color w:val="FFFFFF" w:themeColor="background1"/>
              </w:rPr>
              <w:t>CHS Restriction</w:t>
            </w:r>
          </w:p>
        </w:tc>
      </w:tr>
      <w:tr w:rsidR="00860735" w14:paraId="304E7988" w14:textId="77777777" w:rsidTr="006C048C">
        <w:tc>
          <w:tcPr>
            <w:tcW w:w="1838" w:type="dxa"/>
          </w:tcPr>
          <w:p w14:paraId="46EEBB63" w14:textId="77777777" w:rsidR="00860735" w:rsidRDefault="00860735" w:rsidP="00860735">
            <w:pPr>
              <w:pStyle w:val="BodyCopy"/>
            </w:pPr>
            <w:r>
              <w:t>Tablet</w:t>
            </w:r>
          </w:p>
        </w:tc>
        <w:tc>
          <w:tcPr>
            <w:tcW w:w="2693" w:type="dxa"/>
          </w:tcPr>
          <w:p w14:paraId="4F97B1FC" w14:textId="77777777" w:rsidR="00860735" w:rsidRDefault="00860735" w:rsidP="00860735">
            <w:pPr>
              <w:pStyle w:val="BodyCopy"/>
            </w:pPr>
            <w:r>
              <w:t>Magnesium aspartate*</w:t>
            </w:r>
          </w:p>
        </w:tc>
        <w:tc>
          <w:tcPr>
            <w:tcW w:w="2902" w:type="dxa"/>
          </w:tcPr>
          <w:p w14:paraId="0993F567" w14:textId="606F2150" w:rsidR="00860735" w:rsidRDefault="00860735" w:rsidP="00860735">
            <w:pPr>
              <w:pStyle w:val="BodyCopy"/>
            </w:pPr>
            <w:r>
              <w:t>500</w:t>
            </w:r>
            <w:r w:rsidR="00276489">
              <w:t xml:space="preserve"> </w:t>
            </w:r>
            <w:r>
              <w:t>mg</w:t>
            </w:r>
            <w:r w:rsidR="004233F7">
              <w:t xml:space="preserve"> Tablets (containing 37.4mg elemental magnesium = </w:t>
            </w:r>
            <w:r>
              <w:t>1.54</w:t>
            </w:r>
            <w:r w:rsidR="00A541FB">
              <w:t xml:space="preserve"> </w:t>
            </w:r>
            <w:r>
              <w:t>mmol of elemental magnesium per tablet)</w:t>
            </w:r>
          </w:p>
        </w:tc>
        <w:tc>
          <w:tcPr>
            <w:tcW w:w="2478" w:type="dxa"/>
          </w:tcPr>
          <w:p w14:paraId="0C3A36A1" w14:textId="0E045002" w:rsidR="00860735" w:rsidRDefault="004233F7" w:rsidP="00860735">
            <w:pPr>
              <w:pStyle w:val="BodyCopy"/>
            </w:pPr>
            <w:r>
              <w:t>N/A</w:t>
            </w:r>
          </w:p>
        </w:tc>
      </w:tr>
      <w:tr w:rsidR="00860735" w14:paraId="6EE74038" w14:textId="77777777" w:rsidTr="006C048C">
        <w:tc>
          <w:tcPr>
            <w:tcW w:w="1838" w:type="dxa"/>
          </w:tcPr>
          <w:p w14:paraId="5B9D82A0" w14:textId="77777777" w:rsidR="00860735" w:rsidRDefault="00860735" w:rsidP="00860735">
            <w:pPr>
              <w:pStyle w:val="BodyCopy"/>
            </w:pPr>
            <w:r>
              <w:t>Oral solution</w:t>
            </w:r>
          </w:p>
          <w:p w14:paraId="4D993557" w14:textId="44A916BB" w:rsidR="0014777A" w:rsidRDefault="0014777A" w:rsidP="00860735">
            <w:pPr>
              <w:pStyle w:val="BodyCopy"/>
            </w:pPr>
            <w:r>
              <w:t>(100 mL bottle)</w:t>
            </w:r>
          </w:p>
        </w:tc>
        <w:tc>
          <w:tcPr>
            <w:tcW w:w="2693" w:type="dxa"/>
          </w:tcPr>
          <w:p w14:paraId="3256270A" w14:textId="77777777" w:rsidR="00860735" w:rsidRDefault="00860735" w:rsidP="00860735">
            <w:pPr>
              <w:pStyle w:val="BodyCopy"/>
            </w:pPr>
            <w:r>
              <w:t>Magnesium C</w:t>
            </w:r>
            <w:r w:rsidR="004233F7">
              <w:t>omplex</w:t>
            </w:r>
            <w:r>
              <w:t>#</w:t>
            </w:r>
            <w:r w:rsidR="00764C36">
              <w:t xml:space="preserve"> </w:t>
            </w:r>
          </w:p>
          <w:p w14:paraId="09A029C5" w14:textId="1DCF7561" w:rsidR="0014777A" w:rsidRDefault="0014777A" w:rsidP="00860735">
            <w:pPr>
              <w:pStyle w:val="BodyCopy"/>
            </w:pPr>
          </w:p>
        </w:tc>
        <w:tc>
          <w:tcPr>
            <w:tcW w:w="2902" w:type="dxa"/>
          </w:tcPr>
          <w:p w14:paraId="606F11E7" w14:textId="39910B85" w:rsidR="00860735" w:rsidRDefault="0014777A" w:rsidP="00860735">
            <w:pPr>
              <w:pStyle w:val="BodyCopy"/>
            </w:pPr>
            <w:r>
              <w:t>2.06</w:t>
            </w:r>
            <w:r w:rsidR="004233F7">
              <w:t xml:space="preserve"> </w:t>
            </w:r>
            <w:r w:rsidR="00860735">
              <w:t>mmo</w:t>
            </w:r>
            <w:r>
              <w:t xml:space="preserve">l elemental magnesium per </w:t>
            </w:r>
            <w:r w:rsidR="00860735">
              <w:t xml:space="preserve">mL </w:t>
            </w:r>
            <w:r w:rsidR="004233F7">
              <w:t>(containing 50 mg elemental magnesium per mL)</w:t>
            </w:r>
          </w:p>
        </w:tc>
        <w:tc>
          <w:tcPr>
            <w:tcW w:w="2478" w:type="dxa"/>
          </w:tcPr>
          <w:p w14:paraId="200EB29F" w14:textId="2E572922" w:rsidR="00860735" w:rsidRDefault="00860735" w:rsidP="00860735">
            <w:pPr>
              <w:pStyle w:val="BodyCopy"/>
            </w:pPr>
            <w:r>
              <w:t>Restricted for paediatric patients with narrow bore</w:t>
            </w:r>
            <w:r w:rsidR="00185D97">
              <w:t xml:space="preserve"> </w:t>
            </w:r>
            <w:r w:rsidR="004774EC">
              <w:t>NG/PEG tubes or for whom tablets are not suitable.</w:t>
            </w:r>
          </w:p>
        </w:tc>
      </w:tr>
    </w:tbl>
    <w:p w14:paraId="3897A8F8" w14:textId="77777777" w:rsidR="00860735" w:rsidRDefault="00270D49" w:rsidP="00860735">
      <w:pPr>
        <w:pStyle w:val="BodyCopy"/>
        <w:rPr>
          <w:i/>
          <w:iCs w:val="0"/>
        </w:rPr>
      </w:pPr>
      <w:r>
        <w:t>*</w:t>
      </w:r>
      <w:r>
        <w:rPr>
          <w:i/>
          <w:iCs w:val="0"/>
        </w:rPr>
        <w:t>Poor oral absorption</w:t>
      </w:r>
    </w:p>
    <w:p w14:paraId="2D39F90D" w14:textId="77777777" w:rsidR="00270D49" w:rsidRDefault="00270D49" w:rsidP="00860735">
      <w:pPr>
        <w:pStyle w:val="BodyCopy"/>
        <w:rPr>
          <w:i/>
          <w:iCs w:val="0"/>
        </w:rPr>
      </w:pPr>
      <w:r>
        <w:rPr>
          <w:i/>
          <w:iCs w:val="0"/>
        </w:rPr>
        <w:t># Not stocked at NCH</w:t>
      </w:r>
    </w:p>
    <w:p w14:paraId="24144217" w14:textId="45231229" w:rsidR="00270D49" w:rsidRDefault="00270D49" w:rsidP="00270D49">
      <w:pPr>
        <w:pStyle w:val="Heading5"/>
        <w:rPr>
          <w:b w:val="0"/>
          <w:bCs w:val="0"/>
          <w:color w:val="auto"/>
          <w:vertAlign w:val="superscript"/>
        </w:rPr>
      </w:pPr>
      <w:r>
        <w:t xml:space="preserve">3.3 Available </w:t>
      </w:r>
      <w:r w:rsidR="00F63DDE">
        <w:t>i</w:t>
      </w:r>
      <w:r>
        <w:t>ntravenous replacement in CHS</w:t>
      </w:r>
      <w:r w:rsidRPr="00270D49">
        <w:rPr>
          <w:b w:val="0"/>
          <w:bCs w:val="0"/>
          <w:color w:val="auto"/>
          <w:vertAlign w:val="superscript"/>
        </w:rPr>
        <w:t>5</w:t>
      </w:r>
    </w:p>
    <w:tbl>
      <w:tblPr>
        <w:tblStyle w:val="TableGrid"/>
        <w:tblW w:w="0" w:type="auto"/>
        <w:tblLook w:val="04A0" w:firstRow="1" w:lastRow="0" w:firstColumn="1" w:lastColumn="0" w:noHBand="0" w:noVBand="1"/>
      </w:tblPr>
      <w:tblGrid>
        <w:gridCol w:w="2477"/>
        <w:gridCol w:w="2478"/>
        <w:gridCol w:w="2478"/>
        <w:gridCol w:w="2478"/>
      </w:tblGrid>
      <w:tr w:rsidR="00270D49" w14:paraId="3EEE3BAA" w14:textId="77777777" w:rsidTr="00A7246E">
        <w:tc>
          <w:tcPr>
            <w:tcW w:w="2477" w:type="dxa"/>
            <w:shd w:val="clear" w:color="auto" w:fill="3D2262" w:themeFill="accent1"/>
          </w:tcPr>
          <w:p w14:paraId="38382214" w14:textId="77777777" w:rsidR="00270D49" w:rsidRPr="00A7246E" w:rsidRDefault="00270D49" w:rsidP="00270D49">
            <w:pPr>
              <w:pStyle w:val="BodyCopy"/>
              <w:rPr>
                <w:color w:val="FFFFFF" w:themeColor="background1"/>
              </w:rPr>
            </w:pPr>
            <w:r w:rsidRPr="00A7246E">
              <w:rPr>
                <w:color w:val="FFFFFF" w:themeColor="background1"/>
              </w:rPr>
              <w:t>Form</w:t>
            </w:r>
          </w:p>
        </w:tc>
        <w:tc>
          <w:tcPr>
            <w:tcW w:w="2478" w:type="dxa"/>
            <w:shd w:val="clear" w:color="auto" w:fill="3D2262" w:themeFill="accent1"/>
          </w:tcPr>
          <w:p w14:paraId="5C803C2B" w14:textId="77777777" w:rsidR="00270D49" w:rsidRPr="00A7246E" w:rsidRDefault="00270D49" w:rsidP="00270D49">
            <w:pPr>
              <w:pStyle w:val="BodyCopy"/>
              <w:rPr>
                <w:color w:val="FFFFFF" w:themeColor="background1"/>
              </w:rPr>
            </w:pPr>
            <w:r w:rsidRPr="00A7246E">
              <w:rPr>
                <w:color w:val="FFFFFF" w:themeColor="background1"/>
              </w:rPr>
              <w:t>Electrolyte Content</w:t>
            </w:r>
          </w:p>
        </w:tc>
        <w:tc>
          <w:tcPr>
            <w:tcW w:w="2478" w:type="dxa"/>
            <w:shd w:val="clear" w:color="auto" w:fill="3D2262" w:themeFill="accent1"/>
          </w:tcPr>
          <w:p w14:paraId="3E9134D5" w14:textId="77777777" w:rsidR="00270D49" w:rsidRPr="00A7246E" w:rsidRDefault="00270D49" w:rsidP="00270D49">
            <w:pPr>
              <w:pStyle w:val="BodyCopy"/>
              <w:rPr>
                <w:color w:val="FFFFFF" w:themeColor="background1"/>
              </w:rPr>
            </w:pPr>
            <w:r w:rsidRPr="00A7246E">
              <w:rPr>
                <w:color w:val="FFFFFF" w:themeColor="background1"/>
              </w:rPr>
              <w:t>TCH/UCH Availability</w:t>
            </w:r>
          </w:p>
        </w:tc>
        <w:tc>
          <w:tcPr>
            <w:tcW w:w="2478" w:type="dxa"/>
            <w:shd w:val="clear" w:color="auto" w:fill="3D2262" w:themeFill="accent1"/>
          </w:tcPr>
          <w:p w14:paraId="63A4A8D7" w14:textId="77777777" w:rsidR="00270D49" w:rsidRPr="00A7246E" w:rsidRDefault="00270D49" w:rsidP="00270D49">
            <w:pPr>
              <w:pStyle w:val="BodyCopy"/>
              <w:rPr>
                <w:color w:val="FFFFFF" w:themeColor="background1"/>
              </w:rPr>
            </w:pPr>
            <w:r w:rsidRPr="00A7246E">
              <w:rPr>
                <w:color w:val="FFFFFF" w:themeColor="background1"/>
              </w:rPr>
              <w:t>NCH Availability</w:t>
            </w:r>
          </w:p>
        </w:tc>
      </w:tr>
      <w:tr w:rsidR="00270D49" w14:paraId="531B0DAF" w14:textId="77777777" w:rsidTr="00270D49">
        <w:tc>
          <w:tcPr>
            <w:tcW w:w="2477" w:type="dxa"/>
          </w:tcPr>
          <w:p w14:paraId="5473B063" w14:textId="21B872EA" w:rsidR="00270D49" w:rsidRDefault="00270D49" w:rsidP="00270D49">
            <w:pPr>
              <w:pStyle w:val="BodyCopy"/>
            </w:pPr>
            <w:r>
              <w:t>Magnesium sul</w:t>
            </w:r>
            <w:r w:rsidR="00052B48">
              <w:t>f</w:t>
            </w:r>
            <w:r>
              <w:t xml:space="preserve">ate 2.5 g/5mL concentrated ampoule </w:t>
            </w:r>
          </w:p>
        </w:tc>
        <w:tc>
          <w:tcPr>
            <w:tcW w:w="2478" w:type="dxa"/>
          </w:tcPr>
          <w:p w14:paraId="7542B8AD" w14:textId="332FA2FC" w:rsidR="00270D49" w:rsidRDefault="00270D49" w:rsidP="00270D49">
            <w:pPr>
              <w:pStyle w:val="BodyCopy"/>
            </w:pPr>
            <w:r>
              <w:t xml:space="preserve">10 mmol magnesium </w:t>
            </w:r>
            <w:r w:rsidR="00CE5F5B">
              <w:t>ions i</w:t>
            </w:r>
            <w:r>
              <w:t>n 5 mL</w:t>
            </w:r>
          </w:p>
        </w:tc>
        <w:tc>
          <w:tcPr>
            <w:tcW w:w="2478" w:type="dxa"/>
          </w:tcPr>
          <w:p w14:paraId="1BB3C893" w14:textId="77777777" w:rsidR="00270D49" w:rsidRDefault="00270D49" w:rsidP="00270D49">
            <w:pPr>
              <w:pStyle w:val="BodyCopy"/>
            </w:pPr>
            <w:r>
              <w:t xml:space="preserve">Vial available from Pharmacy and is </w:t>
            </w:r>
            <w:proofErr w:type="spellStart"/>
            <w:r>
              <w:t>imprest</w:t>
            </w:r>
            <w:proofErr w:type="spellEnd"/>
            <w:r>
              <w:t xml:space="preserve"> in multiple locations – see global </w:t>
            </w:r>
            <w:proofErr w:type="spellStart"/>
            <w:r>
              <w:t>imprest</w:t>
            </w:r>
            <w:proofErr w:type="spellEnd"/>
            <w:r>
              <w:t xml:space="preserve"> list</w:t>
            </w:r>
          </w:p>
        </w:tc>
        <w:tc>
          <w:tcPr>
            <w:tcW w:w="2478" w:type="dxa"/>
          </w:tcPr>
          <w:p w14:paraId="5B226F77" w14:textId="6F579B6B" w:rsidR="00270D49" w:rsidRDefault="00270D49" w:rsidP="00270D49">
            <w:pPr>
              <w:pStyle w:val="BodyCopy"/>
            </w:pPr>
            <w:r>
              <w:t xml:space="preserve">Vial available as </w:t>
            </w:r>
            <w:proofErr w:type="spellStart"/>
            <w:r>
              <w:t>imprest</w:t>
            </w:r>
            <w:proofErr w:type="spellEnd"/>
            <w:r>
              <w:t xml:space="preserve"> in Medical, Surgical, Th</w:t>
            </w:r>
            <w:r w:rsidR="00185D97">
              <w:t>ea</w:t>
            </w:r>
            <w:r>
              <w:t xml:space="preserve">tres and Critical Care areas – see global </w:t>
            </w:r>
            <w:proofErr w:type="spellStart"/>
            <w:r>
              <w:t>imprest</w:t>
            </w:r>
            <w:proofErr w:type="spellEnd"/>
            <w:r>
              <w:t xml:space="preserve"> list</w:t>
            </w:r>
          </w:p>
        </w:tc>
      </w:tr>
    </w:tbl>
    <w:p w14:paraId="2C0F33F2" w14:textId="77777777" w:rsidR="00270D49" w:rsidRPr="00270D49" w:rsidRDefault="00270D49" w:rsidP="00270D49">
      <w:pPr>
        <w:pStyle w:val="BodyCopy"/>
      </w:pPr>
    </w:p>
    <w:p w14:paraId="5E4899F6" w14:textId="77777777" w:rsidR="00481A6C" w:rsidRDefault="0059618F" w:rsidP="0091462B">
      <w:pPr>
        <w:pStyle w:val="BodyCopy"/>
        <w:rPr>
          <w:rStyle w:val="Hyperlink"/>
          <w:iCs w:val="0"/>
        </w:rPr>
      </w:pPr>
      <w:hyperlink w:anchor="_top" w:history="1">
        <w:r w:rsidR="00481A6C" w:rsidRPr="00481A6C">
          <w:rPr>
            <w:rStyle w:val="Hyperlink"/>
            <w:iCs w:val="0"/>
          </w:rPr>
          <w:t>Back to Contents</w:t>
        </w:r>
      </w:hyperlink>
    </w:p>
    <w:p w14:paraId="5724C00D" w14:textId="77777777" w:rsidR="00FC20D4" w:rsidRDefault="00FC20D4" w:rsidP="0091462B">
      <w:pPr>
        <w:pStyle w:val="BodyCopy"/>
        <w:rPr>
          <w:rStyle w:val="Hyperlink"/>
          <w:iCs w:val="0"/>
        </w:rPr>
      </w:pPr>
    </w:p>
    <w:p w14:paraId="738FB200" w14:textId="77777777" w:rsidR="00FC20D4" w:rsidRDefault="00FC20D4" w:rsidP="0091462B">
      <w:pPr>
        <w:pStyle w:val="BodyCopy"/>
        <w:rPr>
          <w:rStyle w:val="Hyperlink"/>
          <w:iCs w:val="0"/>
        </w:rPr>
      </w:pPr>
    </w:p>
    <w:p w14:paraId="05DE0B5D" w14:textId="77777777" w:rsidR="00E43879" w:rsidRDefault="00E43879" w:rsidP="0091462B">
      <w:pPr>
        <w:pStyle w:val="BodyCopy"/>
        <w:rPr>
          <w:rStyle w:val="Hyperlink"/>
          <w:iCs w:val="0"/>
        </w:rPr>
      </w:pPr>
    </w:p>
    <w:p w14:paraId="39A5FB5B" w14:textId="77777777" w:rsidR="00FC20D4" w:rsidRDefault="00FC20D4" w:rsidP="0091462B">
      <w:pPr>
        <w:pStyle w:val="BodyCopy"/>
        <w:rPr>
          <w:rStyle w:val="Hyperlink"/>
          <w:iCs w:val="0"/>
        </w:rPr>
      </w:pPr>
    </w:p>
    <w:p w14:paraId="22476469" w14:textId="77777777" w:rsidR="00270D49" w:rsidRDefault="00270D49" w:rsidP="00270D49">
      <w:pPr>
        <w:pStyle w:val="Heading4"/>
      </w:pPr>
      <w:bookmarkStart w:id="8" w:name="_Toc180420452"/>
      <w:r w:rsidRPr="0078367D">
        <w:lastRenderedPageBreak/>
        <w:t xml:space="preserve">Section </w:t>
      </w:r>
      <w:r>
        <w:t>4</w:t>
      </w:r>
      <w:r w:rsidRPr="0078367D">
        <w:t xml:space="preserve"> </w:t>
      </w:r>
      <w:r>
        <w:t>– Calcium</w:t>
      </w:r>
      <w:bookmarkEnd w:id="8"/>
      <w:r>
        <w:tab/>
      </w:r>
    </w:p>
    <w:p w14:paraId="27E3D528" w14:textId="77777777" w:rsidR="00270D49" w:rsidRDefault="00270D49" w:rsidP="00270D49">
      <w:pPr>
        <w:pStyle w:val="Heading5"/>
        <w:rPr>
          <w:vertAlign w:val="superscript"/>
        </w:rPr>
      </w:pPr>
      <w:r>
        <w:t>4.1 Calcium replacement recommendations</w:t>
      </w:r>
      <w:r w:rsidRPr="00270D49">
        <w:rPr>
          <w:vertAlign w:val="superscript"/>
        </w:rPr>
        <w:t>2-6, 12, 13</w:t>
      </w:r>
    </w:p>
    <w:p w14:paraId="686765F5" w14:textId="56237385" w:rsidR="004774EC" w:rsidRDefault="004774EC" w:rsidP="00270D49">
      <w:pPr>
        <w:pStyle w:val="BodyCopy"/>
      </w:pPr>
      <w:bookmarkStart w:id="9" w:name="_Hlk188566791"/>
      <w:r>
        <w:t>Ionised</w:t>
      </w:r>
      <w:r w:rsidR="00695F16">
        <w:t xml:space="preserve"> calcium is the gold-standard measurement of functional calcium and can be obtained via an arterial blood gas (ABG) or venous blood gas (VBG)</w:t>
      </w:r>
      <w:r w:rsidR="00096784">
        <w:t xml:space="preserve">. </w:t>
      </w:r>
      <w:r w:rsidR="00A87CAE">
        <w:t>However, ionised calcium is not routinely used due to cost and sample handling requirements, i</w:t>
      </w:r>
      <w:r w:rsidR="00096784">
        <w:t xml:space="preserve">n </w:t>
      </w:r>
      <w:r w:rsidR="00A87CAE">
        <w:t>lieu</w:t>
      </w:r>
      <w:r w:rsidR="00096784">
        <w:t xml:space="preserve"> of ionised calcium </w:t>
      </w:r>
      <w:r w:rsidR="00695B6E">
        <w:t>serum</w:t>
      </w:r>
      <w:r w:rsidR="00096784">
        <w:t xml:space="preserve"> calcium corrected for </w:t>
      </w:r>
      <w:r w:rsidR="00A87CAE">
        <w:t xml:space="preserve">albumin is </w:t>
      </w:r>
      <w:r w:rsidR="00AD2BBF">
        <w:t xml:space="preserve">commonly </w:t>
      </w:r>
      <w:r w:rsidR="00A87CAE">
        <w:t>used.</w:t>
      </w:r>
    </w:p>
    <w:bookmarkEnd w:id="9"/>
    <w:p w14:paraId="2A135221" w14:textId="77777777" w:rsidR="00270D49" w:rsidRDefault="00270D49" w:rsidP="00270D49">
      <w:pPr>
        <w:pStyle w:val="BodyCopy"/>
      </w:pPr>
      <w:r>
        <w:t>If resistant to treatment, exclude hypomagnesaemia.</w:t>
      </w:r>
    </w:p>
    <w:tbl>
      <w:tblPr>
        <w:tblStyle w:val="TableGrid"/>
        <w:tblW w:w="0" w:type="auto"/>
        <w:tblLook w:val="04A0" w:firstRow="1" w:lastRow="0" w:firstColumn="1" w:lastColumn="0" w:noHBand="0" w:noVBand="1"/>
      </w:tblPr>
      <w:tblGrid>
        <w:gridCol w:w="2844"/>
        <w:gridCol w:w="979"/>
        <w:gridCol w:w="4110"/>
        <w:gridCol w:w="1978"/>
      </w:tblGrid>
      <w:tr w:rsidR="006C048C" w14:paraId="4BD15A74" w14:textId="77777777" w:rsidTr="006C048C">
        <w:tc>
          <w:tcPr>
            <w:tcW w:w="2844" w:type="dxa"/>
            <w:shd w:val="clear" w:color="auto" w:fill="3D2262" w:themeFill="accent1"/>
          </w:tcPr>
          <w:p w14:paraId="42429527" w14:textId="77777777" w:rsidR="00270D49" w:rsidRPr="00A7246E" w:rsidRDefault="00270D49" w:rsidP="00270D49">
            <w:pPr>
              <w:pStyle w:val="BodyCopy"/>
              <w:rPr>
                <w:b/>
                <w:bCs w:val="0"/>
                <w:color w:val="FFFFFF" w:themeColor="background1"/>
              </w:rPr>
            </w:pPr>
            <w:r w:rsidRPr="00A7246E">
              <w:rPr>
                <w:b/>
                <w:bCs w:val="0"/>
                <w:color w:val="FFFFFF" w:themeColor="background1"/>
              </w:rPr>
              <w:t>Serum Corrected Calcium</w:t>
            </w:r>
          </w:p>
        </w:tc>
        <w:tc>
          <w:tcPr>
            <w:tcW w:w="979" w:type="dxa"/>
            <w:shd w:val="clear" w:color="auto" w:fill="3D2262" w:themeFill="accent1"/>
          </w:tcPr>
          <w:p w14:paraId="0F60D8DB" w14:textId="77777777" w:rsidR="00270D49" w:rsidRPr="00A7246E" w:rsidRDefault="00270D49" w:rsidP="00270D49">
            <w:pPr>
              <w:pStyle w:val="BodyCopy"/>
              <w:rPr>
                <w:b/>
                <w:bCs w:val="0"/>
                <w:color w:val="FFFFFF" w:themeColor="background1"/>
              </w:rPr>
            </w:pPr>
            <w:r w:rsidRPr="00A7246E">
              <w:rPr>
                <w:b/>
                <w:bCs w:val="0"/>
                <w:color w:val="FFFFFF" w:themeColor="background1"/>
              </w:rPr>
              <w:t>Route</w:t>
            </w:r>
          </w:p>
        </w:tc>
        <w:tc>
          <w:tcPr>
            <w:tcW w:w="4110" w:type="dxa"/>
            <w:shd w:val="clear" w:color="auto" w:fill="3D2262" w:themeFill="accent1"/>
          </w:tcPr>
          <w:p w14:paraId="116BFB50" w14:textId="77777777" w:rsidR="00270D49" w:rsidRPr="00A7246E" w:rsidRDefault="00270D49" w:rsidP="00270D49">
            <w:pPr>
              <w:pStyle w:val="BodyCopy"/>
              <w:rPr>
                <w:b/>
                <w:bCs w:val="0"/>
                <w:color w:val="FFFFFF" w:themeColor="background1"/>
              </w:rPr>
            </w:pPr>
            <w:r w:rsidRPr="00A7246E">
              <w:rPr>
                <w:b/>
                <w:bCs w:val="0"/>
                <w:color w:val="FFFFFF" w:themeColor="background1"/>
              </w:rPr>
              <w:t>Calcium Dosage</w:t>
            </w:r>
          </w:p>
        </w:tc>
        <w:tc>
          <w:tcPr>
            <w:tcW w:w="1978" w:type="dxa"/>
            <w:shd w:val="clear" w:color="auto" w:fill="3D2262" w:themeFill="accent1"/>
          </w:tcPr>
          <w:p w14:paraId="7694F6EA" w14:textId="77777777" w:rsidR="00270D49" w:rsidRPr="00A7246E" w:rsidRDefault="00270D49" w:rsidP="00270D49">
            <w:pPr>
              <w:pStyle w:val="BodyCopy"/>
              <w:rPr>
                <w:b/>
                <w:bCs w:val="0"/>
                <w:color w:val="FFFFFF" w:themeColor="background1"/>
              </w:rPr>
            </w:pPr>
            <w:r w:rsidRPr="00A7246E">
              <w:rPr>
                <w:b/>
                <w:bCs w:val="0"/>
                <w:color w:val="FFFFFF" w:themeColor="background1"/>
              </w:rPr>
              <w:t>Monitoring Required</w:t>
            </w:r>
          </w:p>
        </w:tc>
      </w:tr>
      <w:tr w:rsidR="00270D49" w14:paraId="5F3ADBA6" w14:textId="77777777" w:rsidTr="006C048C">
        <w:tc>
          <w:tcPr>
            <w:tcW w:w="2844" w:type="dxa"/>
          </w:tcPr>
          <w:p w14:paraId="39880043" w14:textId="0DF04F31" w:rsidR="00270D49" w:rsidRPr="00270D49" w:rsidRDefault="00270D49" w:rsidP="00270D49">
            <w:pPr>
              <w:pStyle w:val="BodyCopy"/>
            </w:pPr>
            <w:r>
              <w:rPr>
                <w:b/>
                <w:bCs w:val="0"/>
              </w:rPr>
              <w:t xml:space="preserve">Mild Deficit: </w:t>
            </w:r>
            <w:r>
              <w:t>Serum corrected calcium: 1.90 – 2.</w:t>
            </w:r>
            <w:r w:rsidR="00A91F9D">
              <w:t>09</w:t>
            </w:r>
            <w:r w:rsidR="004F5DD9">
              <w:t xml:space="preserve"> </w:t>
            </w:r>
            <w:r>
              <w:t>mmol/L</w:t>
            </w:r>
          </w:p>
        </w:tc>
        <w:tc>
          <w:tcPr>
            <w:tcW w:w="979" w:type="dxa"/>
          </w:tcPr>
          <w:p w14:paraId="317EE84D" w14:textId="77777777" w:rsidR="00270D49" w:rsidRDefault="00270D49" w:rsidP="00270D49">
            <w:pPr>
              <w:pStyle w:val="BodyCopy"/>
            </w:pPr>
            <w:r>
              <w:t xml:space="preserve">Oral </w:t>
            </w:r>
          </w:p>
        </w:tc>
        <w:tc>
          <w:tcPr>
            <w:tcW w:w="4110" w:type="dxa"/>
          </w:tcPr>
          <w:p w14:paraId="6CA2A344" w14:textId="06424446" w:rsidR="00270D49" w:rsidRDefault="00270D49" w:rsidP="00270D49">
            <w:pPr>
              <w:pStyle w:val="Bullet"/>
            </w:pPr>
            <w:r>
              <w:t>Calcium carbonate 1500</w:t>
            </w:r>
            <w:r w:rsidR="00A541FB">
              <w:t xml:space="preserve"> </w:t>
            </w:r>
            <w:r>
              <w:t>mg (elemental calcium 600</w:t>
            </w:r>
            <w:r w:rsidR="00A541FB">
              <w:t xml:space="preserve"> </w:t>
            </w:r>
            <w:r>
              <w:t>mg)</w:t>
            </w:r>
            <w:r w:rsidR="00A91F9D">
              <w:t>:</w:t>
            </w:r>
            <w:r>
              <w:t xml:space="preserve"> 1</w:t>
            </w:r>
            <w:r w:rsidR="00A91F9D">
              <w:t xml:space="preserve"> to </w:t>
            </w:r>
            <w:r>
              <w:t>2 tablets (15-30</w:t>
            </w:r>
            <w:r w:rsidR="004F5DD9">
              <w:t xml:space="preserve"> </w:t>
            </w:r>
            <w:r>
              <w:t>mmol) daily.</w:t>
            </w:r>
          </w:p>
        </w:tc>
        <w:tc>
          <w:tcPr>
            <w:tcW w:w="1978" w:type="dxa"/>
          </w:tcPr>
          <w:p w14:paraId="365E6AFA" w14:textId="77777777" w:rsidR="00270D49" w:rsidRDefault="00270D49" w:rsidP="00270D49">
            <w:pPr>
              <w:pStyle w:val="BodyCopy"/>
            </w:pPr>
            <w:r>
              <w:t>Serum corrected calcium second daily</w:t>
            </w:r>
          </w:p>
        </w:tc>
      </w:tr>
      <w:tr w:rsidR="00270D49" w14:paraId="2F98DE20" w14:textId="77777777" w:rsidTr="006C048C">
        <w:tc>
          <w:tcPr>
            <w:tcW w:w="2844" w:type="dxa"/>
          </w:tcPr>
          <w:p w14:paraId="70095F8B" w14:textId="77777777" w:rsidR="00270D49" w:rsidRPr="00270D49" w:rsidRDefault="00270D49" w:rsidP="00270D49">
            <w:pPr>
              <w:pStyle w:val="BodyCopy"/>
            </w:pPr>
            <w:r w:rsidRPr="00C8468D">
              <w:rPr>
                <w:b/>
                <w:bCs w:val="0"/>
              </w:rPr>
              <w:t>Moderate Deficit:</w:t>
            </w:r>
            <w:r>
              <w:t xml:space="preserve"> Serum corrected calcium: 1.5 – 1.89 mmol/L</w:t>
            </w:r>
          </w:p>
        </w:tc>
        <w:tc>
          <w:tcPr>
            <w:tcW w:w="979" w:type="dxa"/>
          </w:tcPr>
          <w:p w14:paraId="32A35B72" w14:textId="77777777" w:rsidR="00270D49" w:rsidRDefault="00270D49" w:rsidP="00270D49">
            <w:pPr>
              <w:pStyle w:val="BodyCopy"/>
            </w:pPr>
            <w:r>
              <w:t>Oral</w:t>
            </w:r>
          </w:p>
        </w:tc>
        <w:tc>
          <w:tcPr>
            <w:tcW w:w="4110" w:type="dxa"/>
          </w:tcPr>
          <w:p w14:paraId="3FF7F94F" w14:textId="3B852373" w:rsidR="00270D49" w:rsidRDefault="00270D49" w:rsidP="00270D49">
            <w:pPr>
              <w:pStyle w:val="Bullet"/>
            </w:pPr>
            <w:r>
              <w:t>Calcium carbonate 1500</w:t>
            </w:r>
            <w:r w:rsidR="00FA2E62">
              <w:t xml:space="preserve"> </w:t>
            </w:r>
            <w:r>
              <w:t>mg (elemental calcium 600</w:t>
            </w:r>
            <w:r w:rsidR="000F6736">
              <w:t xml:space="preserve"> </w:t>
            </w:r>
            <w:r>
              <w:t>mg)</w:t>
            </w:r>
            <w:r w:rsidR="00A91F9D">
              <w:t>:</w:t>
            </w:r>
            <w:r>
              <w:t xml:space="preserve"> 2</w:t>
            </w:r>
            <w:r w:rsidR="00A91F9D">
              <w:t xml:space="preserve"> to </w:t>
            </w:r>
            <w:r>
              <w:t>3 tablets (30-45</w:t>
            </w:r>
            <w:r w:rsidR="000F6736">
              <w:t xml:space="preserve"> </w:t>
            </w:r>
            <w:r>
              <w:t>mmol) BD-TDS</w:t>
            </w:r>
          </w:p>
        </w:tc>
        <w:tc>
          <w:tcPr>
            <w:tcW w:w="1978" w:type="dxa"/>
          </w:tcPr>
          <w:p w14:paraId="27241DD3" w14:textId="77777777" w:rsidR="00270D49" w:rsidRDefault="00270D49" w:rsidP="00270D49">
            <w:pPr>
              <w:pStyle w:val="BodyCopy"/>
            </w:pPr>
            <w:r>
              <w:t>Serum corrected calcium daily</w:t>
            </w:r>
          </w:p>
        </w:tc>
      </w:tr>
      <w:tr w:rsidR="00270D49" w14:paraId="326C6306" w14:textId="77777777" w:rsidTr="00E43879">
        <w:trPr>
          <w:trHeight w:val="3251"/>
        </w:trPr>
        <w:tc>
          <w:tcPr>
            <w:tcW w:w="2844" w:type="dxa"/>
          </w:tcPr>
          <w:p w14:paraId="662FDF3B" w14:textId="77777777" w:rsidR="00BA24E0" w:rsidRDefault="00270D49" w:rsidP="00270D49">
            <w:pPr>
              <w:pStyle w:val="BodyCopy"/>
              <w:rPr>
                <w:b/>
                <w:bCs w:val="0"/>
              </w:rPr>
            </w:pPr>
            <w:r>
              <w:rPr>
                <w:b/>
                <w:bCs w:val="0"/>
              </w:rPr>
              <w:t xml:space="preserve">Severe Deficit: </w:t>
            </w:r>
          </w:p>
          <w:p w14:paraId="29BB39C4" w14:textId="245660AF" w:rsidR="00154E5A" w:rsidRDefault="00270D49" w:rsidP="00270D49">
            <w:pPr>
              <w:pStyle w:val="BodyCopy"/>
            </w:pPr>
            <w:r>
              <w:t>Serum corrected calcium: Less than 1.5</w:t>
            </w:r>
            <w:r w:rsidR="00154E5A">
              <w:t xml:space="preserve"> </w:t>
            </w:r>
            <w:r>
              <w:t xml:space="preserve">mmol/L </w:t>
            </w:r>
          </w:p>
          <w:p w14:paraId="56026EA1" w14:textId="77777777" w:rsidR="004A7031" w:rsidRDefault="00154E5A" w:rsidP="00270D49">
            <w:pPr>
              <w:pStyle w:val="BodyCopy"/>
            </w:pPr>
            <w:r>
              <w:t>O</w:t>
            </w:r>
            <w:r w:rsidR="004A7031">
              <w:t>R</w:t>
            </w:r>
          </w:p>
          <w:p w14:paraId="168E4D7D" w14:textId="2D955C4B" w:rsidR="00270D49" w:rsidRDefault="00154E5A" w:rsidP="00270D49">
            <w:pPr>
              <w:pStyle w:val="BodyCopy"/>
            </w:pPr>
            <w:proofErr w:type="spellStart"/>
            <w:r>
              <w:t>Ionised</w:t>
            </w:r>
            <w:proofErr w:type="spellEnd"/>
            <w:r>
              <w:t xml:space="preserve"> calcium: </w:t>
            </w:r>
            <w:r w:rsidR="00270D49">
              <w:t xml:space="preserve"> </w:t>
            </w:r>
            <w:r>
              <w:t xml:space="preserve">Less than </w:t>
            </w:r>
            <w:r w:rsidR="00270D49">
              <w:t>0.75mmol</w:t>
            </w:r>
            <w:r>
              <w:t>/L</w:t>
            </w:r>
          </w:p>
          <w:p w14:paraId="6C3F8268" w14:textId="77777777" w:rsidR="00A7246E" w:rsidRPr="00C8468D" w:rsidRDefault="00A7246E" w:rsidP="00C8468D">
            <w:pPr>
              <w:pStyle w:val="BodyCopy"/>
              <w:jc w:val="center"/>
              <w:rPr>
                <w:b/>
                <w:bCs w:val="0"/>
              </w:rPr>
            </w:pPr>
            <w:r w:rsidRPr="00C8468D">
              <w:rPr>
                <w:b/>
                <w:bCs w:val="0"/>
              </w:rPr>
              <w:t>OR</w:t>
            </w:r>
          </w:p>
          <w:p w14:paraId="120B2267" w14:textId="328F3B13" w:rsidR="00A7246E" w:rsidRPr="00270D49" w:rsidRDefault="00A7246E" w:rsidP="00CE5F5B">
            <w:pPr>
              <w:pStyle w:val="BodyCopy"/>
            </w:pPr>
            <w:r w:rsidRPr="00C8468D">
              <w:rPr>
                <w:b/>
                <w:bCs w:val="0"/>
              </w:rPr>
              <w:t xml:space="preserve">Symptomatic </w:t>
            </w:r>
            <w:proofErr w:type="spellStart"/>
            <w:r w:rsidRPr="00C8468D">
              <w:rPr>
                <w:b/>
                <w:bCs w:val="0"/>
              </w:rPr>
              <w:t>hypocalcaemia</w:t>
            </w:r>
            <w:proofErr w:type="spellEnd"/>
            <w:r>
              <w:rPr>
                <w:b/>
                <w:bCs w:val="0"/>
              </w:rPr>
              <w:t xml:space="preserve"> </w:t>
            </w:r>
            <w:r>
              <w:t xml:space="preserve">(e.g. perioral/finger </w:t>
            </w:r>
            <w:proofErr w:type="spellStart"/>
            <w:r>
              <w:t>paraesthesia</w:t>
            </w:r>
            <w:proofErr w:type="spellEnd"/>
            <w:r>
              <w:t xml:space="preserve">, seizures, tetany, positive Chvostek’s/Trousseau’s) or high risk of becoming </w:t>
            </w:r>
            <w:r>
              <w:lastRenderedPageBreak/>
              <w:t xml:space="preserve">symptomatic (e.g. post-parathyroidectomy) </w:t>
            </w:r>
          </w:p>
        </w:tc>
        <w:tc>
          <w:tcPr>
            <w:tcW w:w="979" w:type="dxa"/>
          </w:tcPr>
          <w:p w14:paraId="503382D0" w14:textId="77777777" w:rsidR="00270D49" w:rsidRDefault="00A7246E" w:rsidP="006C048C">
            <w:pPr>
              <w:pStyle w:val="BodyCopy"/>
              <w:jc w:val="center"/>
            </w:pPr>
            <w:r>
              <w:lastRenderedPageBreak/>
              <w:t>IV</w:t>
            </w:r>
          </w:p>
        </w:tc>
        <w:tc>
          <w:tcPr>
            <w:tcW w:w="4110" w:type="dxa"/>
          </w:tcPr>
          <w:p w14:paraId="78F9EAF4" w14:textId="77777777" w:rsidR="00B9019C" w:rsidRDefault="00A7246E" w:rsidP="00B9019C">
            <w:pPr>
              <w:pStyle w:val="Bullet"/>
              <w:numPr>
                <w:ilvl w:val="0"/>
                <w:numId w:val="0"/>
              </w:numPr>
              <w:tabs>
                <w:tab w:val="clear" w:pos="425"/>
                <w:tab w:val="left" w:pos="0"/>
              </w:tabs>
              <w:ind w:left="417" w:hanging="360"/>
              <w:rPr>
                <w:b/>
                <w:bCs/>
              </w:rPr>
            </w:pPr>
            <w:r>
              <w:rPr>
                <w:b/>
                <w:bCs/>
              </w:rPr>
              <w:t>IV Periphera</w:t>
            </w:r>
            <w:r w:rsidR="00B9019C">
              <w:rPr>
                <w:b/>
                <w:bCs/>
              </w:rPr>
              <w:t>l</w:t>
            </w:r>
            <w:r>
              <w:rPr>
                <w:b/>
                <w:bCs/>
              </w:rPr>
              <w:t>/Central Line</w:t>
            </w:r>
          </w:p>
          <w:p w14:paraId="28A9E78F" w14:textId="77777777" w:rsidR="00B9019C" w:rsidRDefault="009726AE" w:rsidP="00B9019C">
            <w:pPr>
              <w:pStyle w:val="Bullet"/>
              <w:numPr>
                <w:ilvl w:val="0"/>
                <w:numId w:val="0"/>
              </w:numPr>
              <w:tabs>
                <w:tab w:val="clear" w:pos="425"/>
                <w:tab w:val="left" w:pos="0"/>
              </w:tabs>
              <w:ind w:left="417" w:hanging="360"/>
              <w:rPr>
                <w:b/>
                <w:bCs/>
              </w:rPr>
            </w:pPr>
            <w:r>
              <w:rPr>
                <w:b/>
                <w:bCs/>
              </w:rPr>
              <w:t>(Administer over 20 to 30</w:t>
            </w:r>
          </w:p>
          <w:p w14:paraId="77617F3E" w14:textId="77777777" w:rsidR="00B9019C" w:rsidRDefault="009726AE" w:rsidP="00B9019C">
            <w:pPr>
              <w:pStyle w:val="Bullet"/>
              <w:numPr>
                <w:ilvl w:val="0"/>
                <w:numId w:val="0"/>
              </w:numPr>
              <w:tabs>
                <w:tab w:val="clear" w:pos="425"/>
                <w:tab w:val="left" w:pos="0"/>
              </w:tabs>
              <w:ind w:left="417" w:hanging="360"/>
              <w:rPr>
                <w:b/>
                <w:bCs/>
              </w:rPr>
            </w:pPr>
            <w:r>
              <w:rPr>
                <w:b/>
                <w:bCs/>
              </w:rPr>
              <w:t>minutes followed by continuous</w:t>
            </w:r>
          </w:p>
          <w:p w14:paraId="632E44A5" w14:textId="404021E7" w:rsidR="00270D49" w:rsidRDefault="009726AE" w:rsidP="00B9019C">
            <w:pPr>
              <w:pStyle w:val="Bullet"/>
              <w:numPr>
                <w:ilvl w:val="0"/>
                <w:numId w:val="0"/>
              </w:numPr>
              <w:tabs>
                <w:tab w:val="clear" w:pos="425"/>
                <w:tab w:val="left" w:pos="0"/>
              </w:tabs>
              <w:ind w:left="417" w:hanging="360"/>
              <w:rPr>
                <w:b/>
                <w:bCs/>
              </w:rPr>
            </w:pPr>
            <w:r>
              <w:rPr>
                <w:b/>
                <w:bCs/>
              </w:rPr>
              <w:t>infusion)</w:t>
            </w:r>
          </w:p>
          <w:p w14:paraId="09BEAE5F" w14:textId="77777777" w:rsidR="00154E5A" w:rsidRDefault="008729CD" w:rsidP="00A7246E">
            <w:pPr>
              <w:pStyle w:val="Bullet"/>
              <w:numPr>
                <w:ilvl w:val="0"/>
                <w:numId w:val="0"/>
              </w:numPr>
              <w:tabs>
                <w:tab w:val="clear" w:pos="425"/>
                <w:tab w:val="left" w:pos="0"/>
              </w:tabs>
              <w:ind w:left="421" w:hanging="360"/>
            </w:pPr>
            <w:r>
              <w:t>Note: if giving peripherally</w:t>
            </w:r>
          </w:p>
          <w:p w14:paraId="294CD1F9" w14:textId="2D2BF0B9" w:rsidR="008729CD" w:rsidRDefault="008729CD" w:rsidP="00A7246E">
            <w:pPr>
              <w:pStyle w:val="Bullet"/>
              <w:numPr>
                <w:ilvl w:val="0"/>
                <w:numId w:val="0"/>
              </w:numPr>
              <w:tabs>
                <w:tab w:val="clear" w:pos="425"/>
                <w:tab w:val="left" w:pos="0"/>
              </w:tabs>
              <w:ind w:left="421" w:hanging="360"/>
            </w:pPr>
            <w:r>
              <w:t>administer via a large vein</w:t>
            </w:r>
          </w:p>
          <w:p w14:paraId="7759393A" w14:textId="77777777" w:rsidR="008729CD" w:rsidRPr="008729CD" w:rsidRDefault="008729CD" w:rsidP="00A7246E">
            <w:pPr>
              <w:pStyle w:val="Bullet"/>
              <w:numPr>
                <w:ilvl w:val="0"/>
                <w:numId w:val="0"/>
              </w:numPr>
              <w:tabs>
                <w:tab w:val="clear" w:pos="425"/>
                <w:tab w:val="left" w:pos="0"/>
              </w:tabs>
              <w:ind w:left="421" w:hanging="360"/>
            </w:pPr>
          </w:p>
          <w:p w14:paraId="010C5B0B" w14:textId="356F58BF" w:rsidR="00A7246E" w:rsidRDefault="00A7246E" w:rsidP="00A7246E">
            <w:pPr>
              <w:pStyle w:val="Bullet"/>
            </w:pPr>
            <w:r>
              <w:t xml:space="preserve">Calcium </w:t>
            </w:r>
            <w:r w:rsidR="0099693F">
              <w:t>g</w:t>
            </w:r>
            <w:r>
              <w:t>luconate 10% (10mL vial) 1 to 2 vials (2.2 to 4.4 mmol) in 100 mL 0.9% sodium chloride over 20 to 30 minutes</w:t>
            </w:r>
          </w:p>
          <w:p w14:paraId="6D361E0A" w14:textId="77777777" w:rsidR="00CE5F5B" w:rsidRDefault="00CE5F5B" w:rsidP="00CE5F5B">
            <w:pPr>
              <w:pStyle w:val="Bullet"/>
              <w:numPr>
                <w:ilvl w:val="0"/>
                <w:numId w:val="0"/>
              </w:numPr>
              <w:ind w:left="360" w:hanging="360"/>
            </w:pPr>
          </w:p>
          <w:p w14:paraId="7F56FB6B" w14:textId="77777777" w:rsidR="00CE5F5B" w:rsidRDefault="00CE5F5B" w:rsidP="00CE5F5B">
            <w:pPr>
              <w:pStyle w:val="Bullet"/>
              <w:numPr>
                <w:ilvl w:val="0"/>
                <w:numId w:val="0"/>
              </w:numPr>
              <w:ind w:left="360" w:hanging="360"/>
              <w:rPr>
                <w:b/>
                <w:bCs/>
              </w:rPr>
            </w:pPr>
            <w:r>
              <w:rPr>
                <w:b/>
                <w:bCs/>
              </w:rPr>
              <w:t>FOLLOWED BY</w:t>
            </w:r>
          </w:p>
          <w:p w14:paraId="0E65A9F9" w14:textId="77777777" w:rsidR="00CE5F5B" w:rsidRDefault="00CE5F5B" w:rsidP="00CE5F5B">
            <w:pPr>
              <w:pStyle w:val="Bullet"/>
              <w:numPr>
                <w:ilvl w:val="0"/>
                <w:numId w:val="0"/>
              </w:numPr>
            </w:pPr>
          </w:p>
          <w:p w14:paraId="2D24E409" w14:textId="77777777" w:rsidR="00537976" w:rsidRDefault="00CE5F5B" w:rsidP="00CE5F5B">
            <w:pPr>
              <w:pStyle w:val="Bullet"/>
            </w:pPr>
            <w:r>
              <w:t xml:space="preserve">Calcium gluconate 10% (10 mL vial) 10 vials (22 mmol) in 900 mL 0.9% sodium chloride at 50 </w:t>
            </w:r>
            <w:r>
              <w:lastRenderedPageBreak/>
              <w:t>mL/</w:t>
            </w:r>
            <w:proofErr w:type="spellStart"/>
            <w:r>
              <w:t>hr</w:t>
            </w:r>
            <w:proofErr w:type="spellEnd"/>
            <w:r>
              <w:t xml:space="preserve"> (adjusted for</w:t>
            </w:r>
            <w:r w:rsidR="007C0875">
              <w:t xml:space="preserve"> corrected</w:t>
            </w:r>
            <w:r>
              <w:t xml:space="preserve"> calcium levels for next 1 to 2 days</w:t>
            </w:r>
            <w:r w:rsidR="007C0875">
              <w:t>)</w:t>
            </w:r>
          </w:p>
          <w:p w14:paraId="52816C96" w14:textId="77777777" w:rsidR="00B9019C" w:rsidRDefault="00B9019C" w:rsidP="00B9019C">
            <w:pPr>
              <w:pStyle w:val="Bullet"/>
              <w:numPr>
                <w:ilvl w:val="0"/>
                <w:numId w:val="0"/>
              </w:numPr>
              <w:ind w:left="360" w:hanging="360"/>
            </w:pPr>
          </w:p>
          <w:p w14:paraId="54A5C6A9" w14:textId="77777777" w:rsidR="00B9019C" w:rsidRDefault="00B9019C" w:rsidP="00B9019C">
            <w:pPr>
              <w:pStyle w:val="Bullet"/>
              <w:numPr>
                <w:ilvl w:val="0"/>
                <w:numId w:val="0"/>
              </w:numPr>
              <w:ind w:left="360" w:hanging="360"/>
            </w:pPr>
            <w:r>
              <w:t>Note: the initial dose of IV calcium</w:t>
            </w:r>
          </w:p>
          <w:p w14:paraId="24E8CA08" w14:textId="77777777" w:rsidR="00B9019C" w:rsidRDefault="00B9019C" w:rsidP="00B9019C">
            <w:pPr>
              <w:pStyle w:val="Bullet"/>
              <w:numPr>
                <w:ilvl w:val="0"/>
                <w:numId w:val="0"/>
              </w:numPr>
              <w:ind w:left="360" w:hanging="360"/>
            </w:pPr>
            <w:r>
              <w:t>will quickly raise serum calcium but</w:t>
            </w:r>
          </w:p>
          <w:p w14:paraId="0ABD89C0" w14:textId="73FB86D3" w:rsidR="00B9019C" w:rsidRDefault="00B9019C" w:rsidP="00B9019C">
            <w:pPr>
              <w:pStyle w:val="Bullet"/>
              <w:numPr>
                <w:ilvl w:val="0"/>
                <w:numId w:val="0"/>
              </w:numPr>
              <w:ind w:left="360" w:hanging="360"/>
            </w:pPr>
            <w:r>
              <w:t>they will return to normal after 2 to 3</w:t>
            </w:r>
          </w:p>
          <w:p w14:paraId="5A9A5AFA" w14:textId="77777777" w:rsidR="00B9019C" w:rsidRDefault="00B9019C" w:rsidP="00B9019C">
            <w:pPr>
              <w:pStyle w:val="Bullet"/>
              <w:numPr>
                <w:ilvl w:val="0"/>
                <w:numId w:val="0"/>
              </w:numPr>
              <w:ind w:left="360" w:hanging="360"/>
            </w:pPr>
            <w:r>
              <w:t>hours, thus the clinical rationale for</w:t>
            </w:r>
          </w:p>
          <w:p w14:paraId="645FDECE" w14:textId="35D57FF3" w:rsidR="00B9019C" w:rsidRPr="00CE5F5B" w:rsidRDefault="00B9019C" w:rsidP="00B9019C">
            <w:pPr>
              <w:pStyle w:val="Bullet"/>
              <w:numPr>
                <w:ilvl w:val="0"/>
                <w:numId w:val="0"/>
              </w:numPr>
              <w:ind w:left="360" w:hanging="360"/>
            </w:pPr>
            <w:r>
              <w:t xml:space="preserve">prescribing the continuous infusion. </w:t>
            </w:r>
          </w:p>
        </w:tc>
        <w:tc>
          <w:tcPr>
            <w:tcW w:w="1978" w:type="dxa"/>
          </w:tcPr>
          <w:p w14:paraId="4CF37215" w14:textId="77777777" w:rsidR="00270D49" w:rsidRDefault="00537976" w:rsidP="00270D49">
            <w:pPr>
              <w:pStyle w:val="BodyCopy"/>
            </w:pPr>
            <w:r>
              <w:lastRenderedPageBreak/>
              <w:t>Serum corrected calcium at least every 4 hours</w:t>
            </w:r>
          </w:p>
        </w:tc>
      </w:tr>
    </w:tbl>
    <w:p w14:paraId="031FBD64" w14:textId="6DBDC6BF" w:rsidR="00270D49" w:rsidRDefault="00537976" w:rsidP="00537976">
      <w:pPr>
        <w:pStyle w:val="Heading5"/>
      </w:pPr>
      <w:r>
        <w:t xml:space="preserve">4.3 Available </w:t>
      </w:r>
      <w:r w:rsidR="00F63DDE">
        <w:t>o</w:t>
      </w:r>
      <w:r>
        <w:t>ral replacement</w:t>
      </w:r>
    </w:p>
    <w:tbl>
      <w:tblPr>
        <w:tblStyle w:val="TableGrid"/>
        <w:tblW w:w="0" w:type="auto"/>
        <w:tblLook w:val="04A0" w:firstRow="1" w:lastRow="0" w:firstColumn="1" w:lastColumn="0" w:noHBand="0" w:noVBand="1"/>
      </w:tblPr>
      <w:tblGrid>
        <w:gridCol w:w="3303"/>
        <w:gridCol w:w="3304"/>
        <w:gridCol w:w="3304"/>
      </w:tblGrid>
      <w:tr w:rsidR="00537976" w14:paraId="01D89764" w14:textId="77777777" w:rsidTr="00537976">
        <w:tc>
          <w:tcPr>
            <w:tcW w:w="3303" w:type="dxa"/>
            <w:shd w:val="clear" w:color="auto" w:fill="3D2262" w:themeFill="accent1"/>
          </w:tcPr>
          <w:p w14:paraId="73B1617E" w14:textId="77777777" w:rsidR="00537976" w:rsidRPr="00537976" w:rsidRDefault="00537976" w:rsidP="00537976">
            <w:pPr>
              <w:pStyle w:val="BodyCopy"/>
              <w:rPr>
                <w:b/>
                <w:bCs w:val="0"/>
                <w:color w:val="FFFFFF" w:themeColor="background1"/>
              </w:rPr>
            </w:pPr>
            <w:r w:rsidRPr="00537976">
              <w:rPr>
                <w:b/>
                <w:bCs w:val="0"/>
                <w:color w:val="FFFFFF" w:themeColor="background1"/>
              </w:rPr>
              <w:t>Calcium Product</w:t>
            </w:r>
          </w:p>
        </w:tc>
        <w:tc>
          <w:tcPr>
            <w:tcW w:w="3304" w:type="dxa"/>
            <w:shd w:val="clear" w:color="auto" w:fill="3D2262" w:themeFill="accent1"/>
          </w:tcPr>
          <w:p w14:paraId="76F61981" w14:textId="77777777" w:rsidR="00537976" w:rsidRPr="00537976" w:rsidRDefault="00537976" w:rsidP="00537976">
            <w:pPr>
              <w:pStyle w:val="BodyCopy"/>
              <w:rPr>
                <w:b/>
                <w:bCs w:val="0"/>
                <w:color w:val="FFFFFF" w:themeColor="background1"/>
              </w:rPr>
            </w:pPr>
            <w:r w:rsidRPr="00537976">
              <w:rPr>
                <w:b/>
                <w:bCs w:val="0"/>
                <w:color w:val="FFFFFF" w:themeColor="background1"/>
              </w:rPr>
              <w:t>Calcium content</w:t>
            </w:r>
          </w:p>
        </w:tc>
        <w:tc>
          <w:tcPr>
            <w:tcW w:w="3304" w:type="dxa"/>
            <w:shd w:val="clear" w:color="auto" w:fill="3D2262" w:themeFill="accent1"/>
          </w:tcPr>
          <w:p w14:paraId="5A3D6F02" w14:textId="77777777" w:rsidR="00537976" w:rsidRPr="00537976" w:rsidRDefault="00537976" w:rsidP="00537976">
            <w:pPr>
              <w:pStyle w:val="BodyCopy"/>
              <w:rPr>
                <w:b/>
                <w:bCs w:val="0"/>
                <w:color w:val="FFFFFF" w:themeColor="background1"/>
              </w:rPr>
            </w:pPr>
            <w:r w:rsidRPr="00537976">
              <w:rPr>
                <w:b/>
                <w:bCs w:val="0"/>
                <w:color w:val="FFFFFF" w:themeColor="background1"/>
              </w:rPr>
              <w:t>Brand Names</w:t>
            </w:r>
          </w:p>
        </w:tc>
      </w:tr>
      <w:tr w:rsidR="00537976" w14:paraId="1F1A323C" w14:textId="77777777" w:rsidTr="00537976">
        <w:tc>
          <w:tcPr>
            <w:tcW w:w="3303" w:type="dxa"/>
          </w:tcPr>
          <w:p w14:paraId="6D348DE0" w14:textId="3BC3E585" w:rsidR="00537976" w:rsidRPr="00537976" w:rsidRDefault="00537976" w:rsidP="00537976">
            <w:pPr>
              <w:pStyle w:val="BodyCopy"/>
            </w:pPr>
            <w:r>
              <w:t xml:space="preserve">Calcium </w:t>
            </w:r>
            <w:r w:rsidR="00075C9A">
              <w:t>c</w:t>
            </w:r>
            <w:r>
              <w:t>arbonate tablet</w:t>
            </w:r>
          </w:p>
        </w:tc>
        <w:tc>
          <w:tcPr>
            <w:tcW w:w="3304" w:type="dxa"/>
          </w:tcPr>
          <w:p w14:paraId="1433AD36" w14:textId="43E7D084" w:rsidR="00537976" w:rsidRPr="00537976" w:rsidRDefault="00537976" w:rsidP="00537976">
            <w:pPr>
              <w:pStyle w:val="BodyCopy"/>
            </w:pPr>
            <w:r w:rsidRPr="00537976">
              <w:t>1500</w:t>
            </w:r>
            <w:r w:rsidR="00A541FB">
              <w:t xml:space="preserve"> </w:t>
            </w:r>
            <w:r w:rsidRPr="00537976">
              <w:t>mg (elemental calcium 600 mg)</w:t>
            </w:r>
          </w:p>
        </w:tc>
        <w:tc>
          <w:tcPr>
            <w:tcW w:w="3304" w:type="dxa"/>
          </w:tcPr>
          <w:p w14:paraId="1D88AB23" w14:textId="77777777" w:rsidR="00537976" w:rsidRPr="00537976" w:rsidRDefault="00537976" w:rsidP="00537976">
            <w:pPr>
              <w:pStyle w:val="BodyCopy"/>
              <w:rPr>
                <w:b/>
                <w:bCs w:val="0"/>
              </w:rPr>
            </w:pPr>
            <w:r w:rsidRPr="00537976">
              <w:t xml:space="preserve">Caltrate®, </w:t>
            </w:r>
            <w:proofErr w:type="spellStart"/>
            <w:r w:rsidRPr="00537976">
              <w:t>Calci</w:t>
            </w:r>
            <w:proofErr w:type="spellEnd"/>
            <w:r w:rsidRPr="00537976">
              <w:t>-Tab 600®, Cal-600®</w:t>
            </w:r>
          </w:p>
        </w:tc>
      </w:tr>
    </w:tbl>
    <w:p w14:paraId="4B05FD71" w14:textId="6E6C96D5" w:rsidR="00537976" w:rsidRDefault="00537976" w:rsidP="00537976">
      <w:pPr>
        <w:pStyle w:val="Heading5"/>
      </w:pPr>
      <w:r>
        <w:t xml:space="preserve">4.4 Available </w:t>
      </w:r>
      <w:r w:rsidR="004E1F5A">
        <w:t>i</w:t>
      </w:r>
      <w:r>
        <w:t>ntravenous replacement</w:t>
      </w:r>
    </w:p>
    <w:tbl>
      <w:tblPr>
        <w:tblStyle w:val="TableGrid"/>
        <w:tblW w:w="0" w:type="auto"/>
        <w:tblLook w:val="04A0" w:firstRow="1" w:lastRow="0" w:firstColumn="1" w:lastColumn="0" w:noHBand="0" w:noVBand="1"/>
      </w:tblPr>
      <w:tblGrid>
        <w:gridCol w:w="3303"/>
        <w:gridCol w:w="3304"/>
        <w:gridCol w:w="3304"/>
      </w:tblGrid>
      <w:tr w:rsidR="00537976" w14:paraId="25951D1C" w14:textId="77777777" w:rsidTr="00537976">
        <w:tc>
          <w:tcPr>
            <w:tcW w:w="3303" w:type="dxa"/>
            <w:shd w:val="clear" w:color="auto" w:fill="3D2262" w:themeFill="accent1"/>
          </w:tcPr>
          <w:p w14:paraId="3FD8A321" w14:textId="77777777" w:rsidR="00537976" w:rsidRPr="00537976" w:rsidRDefault="00537976" w:rsidP="00537976">
            <w:pPr>
              <w:pStyle w:val="BodyCopy"/>
              <w:rPr>
                <w:b/>
                <w:bCs w:val="0"/>
                <w:color w:val="FFFFFF" w:themeColor="background1"/>
              </w:rPr>
            </w:pPr>
            <w:r w:rsidRPr="00537976">
              <w:rPr>
                <w:b/>
                <w:bCs w:val="0"/>
                <w:color w:val="FFFFFF" w:themeColor="background1"/>
              </w:rPr>
              <w:t>Form</w:t>
            </w:r>
          </w:p>
        </w:tc>
        <w:tc>
          <w:tcPr>
            <w:tcW w:w="3304" w:type="dxa"/>
            <w:shd w:val="clear" w:color="auto" w:fill="3D2262" w:themeFill="accent1"/>
          </w:tcPr>
          <w:p w14:paraId="74F702F9" w14:textId="77777777" w:rsidR="00537976" w:rsidRPr="00537976" w:rsidRDefault="00537976" w:rsidP="00537976">
            <w:pPr>
              <w:pStyle w:val="BodyCopy"/>
              <w:rPr>
                <w:b/>
                <w:bCs w:val="0"/>
                <w:color w:val="FFFFFF" w:themeColor="background1"/>
              </w:rPr>
            </w:pPr>
            <w:r w:rsidRPr="00537976">
              <w:rPr>
                <w:b/>
                <w:bCs w:val="0"/>
                <w:color w:val="FFFFFF" w:themeColor="background1"/>
              </w:rPr>
              <w:t>Electrolyte Content</w:t>
            </w:r>
          </w:p>
        </w:tc>
        <w:tc>
          <w:tcPr>
            <w:tcW w:w="3304" w:type="dxa"/>
            <w:shd w:val="clear" w:color="auto" w:fill="3D2262" w:themeFill="accent1"/>
          </w:tcPr>
          <w:p w14:paraId="433A106E" w14:textId="77777777" w:rsidR="00537976" w:rsidRPr="00537976" w:rsidRDefault="00537976" w:rsidP="00537976">
            <w:pPr>
              <w:pStyle w:val="BodyCopy"/>
              <w:rPr>
                <w:b/>
                <w:bCs w:val="0"/>
                <w:color w:val="FFFFFF" w:themeColor="background1"/>
              </w:rPr>
            </w:pPr>
            <w:r w:rsidRPr="00537976">
              <w:rPr>
                <w:b/>
                <w:bCs w:val="0"/>
                <w:color w:val="FFFFFF" w:themeColor="background1"/>
              </w:rPr>
              <w:t>Availability</w:t>
            </w:r>
          </w:p>
        </w:tc>
      </w:tr>
      <w:tr w:rsidR="00537976" w14:paraId="288C0F42" w14:textId="77777777" w:rsidTr="00537976">
        <w:tc>
          <w:tcPr>
            <w:tcW w:w="3303" w:type="dxa"/>
          </w:tcPr>
          <w:p w14:paraId="648A8A25" w14:textId="71E3C65E" w:rsidR="00537976" w:rsidRDefault="00537976" w:rsidP="00537976">
            <w:pPr>
              <w:pStyle w:val="BodyCopy"/>
            </w:pPr>
            <w:r>
              <w:t xml:space="preserve">Calcium </w:t>
            </w:r>
            <w:r w:rsidR="00075C9A">
              <w:t>g</w:t>
            </w:r>
            <w:r>
              <w:t>luconate</w:t>
            </w:r>
          </w:p>
        </w:tc>
        <w:tc>
          <w:tcPr>
            <w:tcW w:w="3304" w:type="dxa"/>
          </w:tcPr>
          <w:p w14:paraId="31E29884" w14:textId="4243D166" w:rsidR="00537976" w:rsidRDefault="00537976" w:rsidP="00537976">
            <w:pPr>
              <w:pStyle w:val="BodyCopy"/>
            </w:pPr>
            <w:r>
              <w:t>10% (2.2 mmol/</w:t>
            </w:r>
            <w:r w:rsidR="00075C9A">
              <w:t xml:space="preserve"> </w:t>
            </w:r>
            <w:r>
              <w:t>10</w:t>
            </w:r>
            <w:r w:rsidR="00075C9A">
              <w:t xml:space="preserve"> </w:t>
            </w:r>
            <w:r>
              <w:t>mL)</w:t>
            </w:r>
          </w:p>
        </w:tc>
        <w:tc>
          <w:tcPr>
            <w:tcW w:w="3304" w:type="dxa"/>
          </w:tcPr>
          <w:p w14:paraId="5D01C915" w14:textId="77777777" w:rsidR="00537976" w:rsidRDefault="00537976" w:rsidP="00537976">
            <w:pPr>
              <w:pStyle w:val="BodyCopy"/>
            </w:pPr>
            <w:r>
              <w:t xml:space="preserve">Vial available from Pharmacy and is </w:t>
            </w:r>
            <w:proofErr w:type="spellStart"/>
            <w:r>
              <w:t>imprest</w:t>
            </w:r>
            <w:proofErr w:type="spellEnd"/>
            <w:r>
              <w:t xml:space="preserve"> in multiple locations – see global </w:t>
            </w:r>
            <w:proofErr w:type="spellStart"/>
            <w:r>
              <w:t>imprest</w:t>
            </w:r>
            <w:proofErr w:type="spellEnd"/>
            <w:r>
              <w:t xml:space="preserve"> list</w:t>
            </w:r>
          </w:p>
        </w:tc>
      </w:tr>
    </w:tbl>
    <w:p w14:paraId="20322EA5" w14:textId="77777777" w:rsidR="00537976" w:rsidRDefault="00537976" w:rsidP="00537976">
      <w:pPr>
        <w:pStyle w:val="BodyCopy"/>
      </w:pPr>
    </w:p>
    <w:tbl>
      <w:tblPr>
        <w:tblStyle w:val="TableGrid"/>
        <w:tblW w:w="0" w:type="auto"/>
        <w:tblLook w:val="04A0" w:firstRow="1" w:lastRow="0" w:firstColumn="1" w:lastColumn="0" w:noHBand="0" w:noVBand="1"/>
      </w:tblPr>
      <w:tblGrid>
        <w:gridCol w:w="9911"/>
      </w:tblGrid>
      <w:tr w:rsidR="00537976" w14:paraId="2E3C2F25" w14:textId="77777777" w:rsidTr="00537976">
        <w:tc>
          <w:tcPr>
            <w:tcW w:w="9911" w:type="dxa"/>
          </w:tcPr>
          <w:p w14:paraId="40343759" w14:textId="77777777" w:rsidR="00537976" w:rsidRPr="00537976" w:rsidRDefault="00537976" w:rsidP="00537976">
            <w:pPr>
              <w:pStyle w:val="BodyCopy"/>
            </w:pPr>
            <w:r>
              <w:rPr>
                <w:b/>
                <w:bCs w:val="0"/>
              </w:rPr>
              <w:t xml:space="preserve">Note: </w:t>
            </w:r>
            <w:r>
              <w:t>Calcium gluconate is preferred to calcium chloride as it is less toxic to peripheral veins. Extravasation of calcium can cause localized skin necrosis.</w:t>
            </w:r>
          </w:p>
        </w:tc>
      </w:tr>
    </w:tbl>
    <w:p w14:paraId="55E961CD" w14:textId="77777777" w:rsidR="00537976" w:rsidRDefault="00537976" w:rsidP="00537976">
      <w:pPr>
        <w:pStyle w:val="BodyCopy"/>
      </w:pPr>
    </w:p>
    <w:p w14:paraId="02647BDE" w14:textId="77777777" w:rsidR="00FC20D4" w:rsidRDefault="00FC20D4" w:rsidP="00537976">
      <w:pPr>
        <w:pStyle w:val="BodyCopy"/>
      </w:pPr>
    </w:p>
    <w:p w14:paraId="789855C9" w14:textId="77777777" w:rsidR="00E43879" w:rsidRDefault="00E43879" w:rsidP="00537976">
      <w:pPr>
        <w:pStyle w:val="BodyCopy"/>
      </w:pPr>
    </w:p>
    <w:p w14:paraId="715680CB" w14:textId="77777777" w:rsidR="00E43879" w:rsidRDefault="00E43879" w:rsidP="00537976">
      <w:pPr>
        <w:pStyle w:val="BodyCopy"/>
      </w:pPr>
    </w:p>
    <w:p w14:paraId="2176BF03" w14:textId="77777777" w:rsidR="00E43879" w:rsidRPr="00537976" w:rsidRDefault="00E43879" w:rsidP="00537976">
      <w:pPr>
        <w:pStyle w:val="BodyCopy"/>
      </w:pPr>
    </w:p>
    <w:p w14:paraId="7559DA9F" w14:textId="77777777" w:rsidR="0078367D" w:rsidRDefault="0078367D" w:rsidP="00A6051F">
      <w:pPr>
        <w:pStyle w:val="Heading4"/>
      </w:pPr>
      <w:bookmarkStart w:id="10" w:name="_Toc176348490"/>
      <w:bookmarkStart w:id="11" w:name="_Toc180420453"/>
      <w:r>
        <w:lastRenderedPageBreak/>
        <w:t>Evaluation</w:t>
      </w:r>
      <w:bookmarkStart w:id="12" w:name="_Hlk43366294"/>
      <w:bookmarkEnd w:id="10"/>
      <w:bookmarkEnd w:id="11"/>
    </w:p>
    <w:p w14:paraId="13250E36" w14:textId="77777777" w:rsidR="00481A6C" w:rsidRDefault="00481A6C" w:rsidP="00C34A10">
      <w:pPr>
        <w:pStyle w:val="Heading5"/>
      </w:pPr>
      <w:bookmarkStart w:id="13" w:name="_Hlk170467190"/>
      <w:bookmarkEnd w:id="12"/>
      <w:r w:rsidRPr="00C34A10">
        <w:t>Outcome</w:t>
      </w:r>
    </w:p>
    <w:p w14:paraId="0F9ED841" w14:textId="77777777" w:rsidR="00537976" w:rsidRPr="00537976" w:rsidRDefault="00537976" w:rsidP="00537976">
      <w:pPr>
        <w:pStyle w:val="BodyCopy"/>
      </w:pPr>
      <w:r>
        <w:t>Safer prescribing and administration, and standardised process for prescribing potassium, phosphate, magnesium and calcium.</w:t>
      </w:r>
    </w:p>
    <w:p w14:paraId="5BDAF6A6" w14:textId="77777777" w:rsidR="00481A6C" w:rsidRPr="00C34A10" w:rsidRDefault="00C34A10" w:rsidP="00C34A10">
      <w:pPr>
        <w:pStyle w:val="Heading5"/>
      </w:pPr>
      <w:bookmarkStart w:id="14" w:name="_Hlk170467240"/>
      <w:bookmarkEnd w:id="13"/>
      <w:r>
        <w:t>Measures</w:t>
      </w:r>
    </w:p>
    <w:bookmarkEnd w:id="14"/>
    <w:p w14:paraId="7A35319E" w14:textId="77777777" w:rsidR="00537976" w:rsidRDefault="00537976" w:rsidP="002D7682">
      <w:pPr>
        <w:pStyle w:val="BodyCopy"/>
        <w:spacing w:after="120"/>
      </w:pPr>
      <w:r>
        <w:t xml:space="preserve">Monitoring and review of incidents associated with electrolyte replacement for potassium, phosphate, magnesium and calcium. </w:t>
      </w:r>
    </w:p>
    <w:p w14:paraId="65BD6924" w14:textId="77777777" w:rsidR="00481A6C" w:rsidRDefault="0059618F" w:rsidP="002D7682">
      <w:pPr>
        <w:pStyle w:val="BodyCopy"/>
        <w:spacing w:after="120"/>
        <w:rPr>
          <w:rStyle w:val="Hyperlink"/>
          <w:iCs w:val="0"/>
        </w:rPr>
      </w:pPr>
      <w:hyperlink w:anchor="_top" w:history="1">
        <w:r w:rsidR="00481A6C" w:rsidRPr="00481A6C">
          <w:rPr>
            <w:rStyle w:val="Hyperlink"/>
            <w:iCs w:val="0"/>
          </w:rPr>
          <w:t>Back to Contents</w:t>
        </w:r>
      </w:hyperlink>
    </w:p>
    <w:p w14:paraId="2E7775E7" w14:textId="77777777" w:rsidR="00A6051F" w:rsidRDefault="00A6051F" w:rsidP="00A6051F">
      <w:pPr>
        <w:pStyle w:val="Heading4"/>
      </w:pPr>
      <w:bookmarkStart w:id="15" w:name="_Toc180420454"/>
      <w:r>
        <w:t>Related policies, procedures, guidelines and legislation</w:t>
      </w:r>
      <w:bookmarkEnd w:id="15"/>
    </w:p>
    <w:p w14:paraId="37F2E101" w14:textId="77777777" w:rsidR="00481A6C" w:rsidRPr="00A66966" w:rsidRDefault="00481A6C" w:rsidP="00A6051F">
      <w:pPr>
        <w:pStyle w:val="Heading5"/>
      </w:pPr>
      <w:r w:rsidRPr="00A66966">
        <w:t>Policies</w:t>
      </w:r>
    </w:p>
    <w:p w14:paraId="7ACDF7DA" w14:textId="68AA3A94" w:rsidR="00537976" w:rsidRDefault="00537976" w:rsidP="00997834">
      <w:pPr>
        <w:pStyle w:val="Bullet"/>
        <w:numPr>
          <w:ilvl w:val="0"/>
          <w:numId w:val="26"/>
        </w:numPr>
      </w:pPr>
      <w:r>
        <w:t>Medication Handling Policy</w:t>
      </w:r>
    </w:p>
    <w:p w14:paraId="4AAA571D" w14:textId="05A9DB3C" w:rsidR="00537976" w:rsidRDefault="00537976" w:rsidP="00997834">
      <w:pPr>
        <w:pStyle w:val="Bullet"/>
        <w:numPr>
          <w:ilvl w:val="0"/>
          <w:numId w:val="26"/>
        </w:numPr>
      </w:pPr>
      <w:r>
        <w:t>High-Risk Medicine standard – Concentrated Potassium and other Electrolytes</w:t>
      </w:r>
    </w:p>
    <w:p w14:paraId="03DCC330" w14:textId="406254B7" w:rsidR="00537976" w:rsidRDefault="00537976" w:rsidP="00997834">
      <w:pPr>
        <w:pStyle w:val="Bullet"/>
        <w:numPr>
          <w:ilvl w:val="0"/>
          <w:numId w:val="26"/>
        </w:numPr>
      </w:pPr>
      <w:r>
        <w:t>Patient Identification and Procedure Matching Policy</w:t>
      </w:r>
    </w:p>
    <w:p w14:paraId="4738BF23" w14:textId="77777777" w:rsidR="00481A6C" w:rsidRDefault="00481A6C" w:rsidP="00A6051F">
      <w:pPr>
        <w:pStyle w:val="Heading5"/>
      </w:pPr>
      <w:r>
        <w:t>Procedures</w:t>
      </w:r>
    </w:p>
    <w:p w14:paraId="67096C1E" w14:textId="121BF831" w:rsidR="00481A6C" w:rsidRDefault="00537976" w:rsidP="000E7683">
      <w:pPr>
        <w:pStyle w:val="Bullet"/>
      </w:pPr>
      <w:r>
        <w:t>Pathology requests and specimens Procedure</w:t>
      </w:r>
    </w:p>
    <w:p w14:paraId="6F85A2E5" w14:textId="6BC90D8A" w:rsidR="00537976" w:rsidRDefault="00537976" w:rsidP="000E7683">
      <w:pPr>
        <w:pStyle w:val="Bullet"/>
      </w:pPr>
      <w:r>
        <w:t>Patient Identification and Procedure Matching Procedure</w:t>
      </w:r>
    </w:p>
    <w:p w14:paraId="4D138AE7" w14:textId="6F27B543" w:rsidR="009679D6" w:rsidRDefault="009679D6" w:rsidP="009679D6">
      <w:pPr>
        <w:pStyle w:val="Heading5"/>
      </w:pPr>
      <w:r>
        <w:t>Guideline</w:t>
      </w:r>
    </w:p>
    <w:p w14:paraId="0599E204" w14:textId="36B16D71" w:rsidR="009679D6" w:rsidRPr="000E7683" w:rsidRDefault="009679D6" w:rsidP="009679D6">
      <w:pPr>
        <w:pStyle w:val="Bullet"/>
      </w:pPr>
      <w:r>
        <w:t>Consent for Healthcare Treatment</w:t>
      </w:r>
    </w:p>
    <w:p w14:paraId="74C72FE3" w14:textId="77777777" w:rsidR="00481A6C" w:rsidRDefault="00481A6C" w:rsidP="00A6051F">
      <w:pPr>
        <w:pStyle w:val="Heading5"/>
      </w:pPr>
      <w:r>
        <w:t>Legislation</w:t>
      </w:r>
    </w:p>
    <w:p w14:paraId="18850BAE" w14:textId="77777777" w:rsidR="00481A6C" w:rsidRPr="00537976" w:rsidRDefault="00537976" w:rsidP="000E7683">
      <w:pPr>
        <w:pStyle w:val="Bullet"/>
      </w:pPr>
      <w:r>
        <w:rPr>
          <w:i/>
          <w:iCs/>
        </w:rPr>
        <w:t>Medicines, Poisons and Therapeutic Goods Act 2008</w:t>
      </w:r>
    </w:p>
    <w:p w14:paraId="431DE18F" w14:textId="77777777" w:rsidR="00537976" w:rsidRPr="00537976" w:rsidRDefault="00537976" w:rsidP="000E7683">
      <w:pPr>
        <w:pStyle w:val="Bullet"/>
      </w:pPr>
      <w:r>
        <w:rPr>
          <w:i/>
          <w:iCs/>
        </w:rPr>
        <w:t>Medicines, Poisons and Therapeutic Goods Regulation 2008</w:t>
      </w:r>
    </w:p>
    <w:p w14:paraId="6C63127F" w14:textId="77777777" w:rsidR="00537976" w:rsidRPr="00537976" w:rsidRDefault="00537976" w:rsidP="000E7683">
      <w:pPr>
        <w:pStyle w:val="Bullet"/>
      </w:pPr>
      <w:r>
        <w:rPr>
          <w:i/>
          <w:iCs/>
        </w:rPr>
        <w:t>Therapeutic Goods Act 1989</w:t>
      </w:r>
    </w:p>
    <w:p w14:paraId="2FC99364" w14:textId="77777777" w:rsidR="00537976" w:rsidRPr="009679D6" w:rsidRDefault="00537976" w:rsidP="000E7683">
      <w:pPr>
        <w:pStyle w:val="Bullet"/>
      </w:pPr>
      <w:r>
        <w:rPr>
          <w:i/>
          <w:iCs/>
        </w:rPr>
        <w:t>Therapeutic Goods Regulation 1990</w:t>
      </w:r>
    </w:p>
    <w:p w14:paraId="306A571D" w14:textId="60A472CC" w:rsidR="009679D6" w:rsidRPr="009679D6" w:rsidRDefault="009679D6" w:rsidP="009679D6">
      <w:pPr>
        <w:pStyle w:val="Bullet"/>
      </w:pPr>
      <w:r>
        <w:rPr>
          <w:i/>
          <w:iCs/>
        </w:rPr>
        <w:t>Human Rights Act 2004</w:t>
      </w:r>
    </w:p>
    <w:p w14:paraId="640841F0" w14:textId="017CA7D0" w:rsidR="009679D6" w:rsidRDefault="009679D6" w:rsidP="009679D6">
      <w:pPr>
        <w:pStyle w:val="Heading5"/>
      </w:pPr>
      <w:r w:rsidRPr="009679D6">
        <w:t xml:space="preserve">Other </w:t>
      </w:r>
    </w:p>
    <w:p w14:paraId="69E68556" w14:textId="091E31C9" w:rsidR="009679D6" w:rsidRPr="000E7683" w:rsidRDefault="009679D6" w:rsidP="00106B88">
      <w:pPr>
        <w:pStyle w:val="ListParagraph"/>
        <w:numPr>
          <w:ilvl w:val="0"/>
          <w:numId w:val="28"/>
        </w:numPr>
      </w:pPr>
      <w:r w:rsidRPr="00DD0346">
        <w:t>Australian Charter of Healthcare Rights</w:t>
      </w:r>
    </w:p>
    <w:p w14:paraId="6328238A" w14:textId="77777777" w:rsidR="000E7683" w:rsidRPr="000E7683" w:rsidRDefault="0059618F" w:rsidP="002D7682">
      <w:pPr>
        <w:pStyle w:val="BodyCopy"/>
      </w:pPr>
      <w:hyperlink w:anchor="_top" w:history="1">
        <w:r w:rsidR="000E7683" w:rsidRPr="004A7A7F">
          <w:rPr>
            <w:rStyle w:val="Hyperlink"/>
          </w:rPr>
          <w:t>Back to Contents</w:t>
        </w:r>
      </w:hyperlink>
    </w:p>
    <w:p w14:paraId="15E85886" w14:textId="77777777" w:rsidR="0078367D" w:rsidRPr="0078367D" w:rsidRDefault="0078367D" w:rsidP="00A6051F">
      <w:pPr>
        <w:pStyle w:val="Heading4"/>
      </w:pPr>
      <w:bookmarkStart w:id="16" w:name="_Toc180420455"/>
      <w:r w:rsidRPr="0078367D">
        <w:t>References</w:t>
      </w:r>
      <w:bookmarkEnd w:id="16"/>
    </w:p>
    <w:p w14:paraId="0D98DC08" w14:textId="0E06604C" w:rsidR="00250299" w:rsidRPr="00250299" w:rsidRDefault="00250299" w:rsidP="00250299">
      <w:pPr>
        <w:numPr>
          <w:ilvl w:val="0"/>
          <w:numId w:val="30"/>
        </w:numPr>
        <w:spacing w:before="0" w:after="0" w:line="240" w:lineRule="auto"/>
        <w:contextualSpacing/>
        <w:rPr>
          <w:rFonts w:eastAsia="Times New Roman"/>
          <w:bCs/>
          <w:iCs/>
          <w:lang w:val="en-US" w:eastAsia="en-US"/>
        </w:rPr>
      </w:pPr>
      <w:r w:rsidRPr="00250299">
        <w:rPr>
          <w:rFonts w:eastAsia="Times New Roman"/>
          <w:bCs/>
          <w:iCs/>
          <w:lang w:val="en-US" w:eastAsia="en-US"/>
        </w:rPr>
        <w:lastRenderedPageBreak/>
        <w:t xml:space="preserve">High Risk Medication Alert – Intravenous Potassium Chloride, Australian Commission on Quality and Safety in Healthcare. </w:t>
      </w:r>
      <w:r w:rsidR="00106B88">
        <w:rPr>
          <w:rFonts w:eastAsia="Times New Roman"/>
          <w:bCs/>
          <w:iCs/>
          <w:lang w:val="en-US" w:eastAsia="en-US"/>
        </w:rPr>
        <w:t>Published 2019.</w:t>
      </w:r>
    </w:p>
    <w:p w14:paraId="3C3DE018" w14:textId="6FEE3C71" w:rsidR="00250299" w:rsidRPr="00250299" w:rsidRDefault="00250299" w:rsidP="00250299">
      <w:pPr>
        <w:numPr>
          <w:ilvl w:val="0"/>
          <w:numId w:val="30"/>
        </w:numPr>
        <w:spacing w:before="0" w:after="0" w:line="240" w:lineRule="auto"/>
        <w:contextualSpacing/>
        <w:rPr>
          <w:rFonts w:eastAsia="Times New Roman"/>
          <w:bCs/>
          <w:iCs/>
          <w:lang w:val="en-US" w:eastAsia="en-US"/>
        </w:rPr>
      </w:pPr>
      <w:r w:rsidRPr="00250299">
        <w:rPr>
          <w:rFonts w:eastAsia="Times New Roman"/>
          <w:bCs/>
          <w:iCs/>
          <w:lang w:val="en-US" w:eastAsia="en-US"/>
        </w:rPr>
        <w:t xml:space="preserve">Electrolyte Abnormalities. Australian Therapeutic Guidelines. Published March 2014. Amended </w:t>
      </w:r>
      <w:r w:rsidR="00106B88">
        <w:rPr>
          <w:rFonts w:eastAsia="Times New Roman"/>
          <w:bCs/>
          <w:iCs/>
          <w:lang w:val="en-US" w:eastAsia="en-US"/>
        </w:rPr>
        <w:t>March 2021</w:t>
      </w:r>
      <w:r w:rsidRPr="00250299">
        <w:rPr>
          <w:rFonts w:eastAsia="Times New Roman"/>
          <w:bCs/>
          <w:iCs/>
          <w:lang w:val="en-US" w:eastAsia="en-US"/>
        </w:rPr>
        <w:t xml:space="preserve"> © Therapeutic Guidelines Ltd (</w:t>
      </w:r>
      <w:proofErr w:type="spellStart"/>
      <w:r w:rsidRPr="00250299">
        <w:rPr>
          <w:rFonts w:eastAsia="Times New Roman"/>
          <w:bCs/>
          <w:iCs/>
          <w:lang w:val="en-US" w:eastAsia="en-US"/>
        </w:rPr>
        <w:t>eTG</w:t>
      </w:r>
      <w:proofErr w:type="spellEnd"/>
      <w:r w:rsidR="00106B88">
        <w:rPr>
          <w:rFonts w:eastAsia="Times New Roman"/>
          <w:bCs/>
          <w:iCs/>
          <w:lang w:val="en-US" w:eastAsia="en-US"/>
        </w:rPr>
        <w:t xml:space="preserve"> June 2023</w:t>
      </w:r>
      <w:r w:rsidRPr="00250299">
        <w:rPr>
          <w:rFonts w:eastAsia="Times New Roman"/>
          <w:bCs/>
          <w:iCs/>
          <w:lang w:val="en-US" w:eastAsia="en-US"/>
        </w:rPr>
        <w:t xml:space="preserve"> edition).</w:t>
      </w:r>
    </w:p>
    <w:p w14:paraId="2CCAD39C" w14:textId="77777777" w:rsidR="00250299" w:rsidRPr="00250299" w:rsidRDefault="00250299" w:rsidP="00250299">
      <w:pPr>
        <w:numPr>
          <w:ilvl w:val="0"/>
          <w:numId w:val="30"/>
        </w:numPr>
        <w:spacing w:before="0" w:after="0" w:line="240" w:lineRule="auto"/>
        <w:contextualSpacing/>
        <w:rPr>
          <w:rFonts w:eastAsia="Times New Roman"/>
          <w:bCs/>
          <w:iCs/>
          <w:lang w:val="en-US" w:eastAsia="en-US"/>
        </w:rPr>
      </w:pPr>
      <w:r w:rsidRPr="00250299">
        <w:rPr>
          <w:rFonts w:eastAsia="Times New Roman"/>
          <w:bCs/>
          <w:iCs/>
          <w:lang w:val="en-US" w:eastAsia="en-US"/>
        </w:rPr>
        <w:t>MIMS Online. Full Product Information (online). Available at: https://www.mimsonline.com.au/</w:t>
      </w:r>
    </w:p>
    <w:p w14:paraId="7C24C7CF" w14:textId="64857C98" w:rsidR="00250299" w:rsidRPr="00250299" w:rsidRDefault="00250299" w:rsidP="00250299">
      <w:pPr>
        <w:numPr>
          <w:ilvl w:val="0"/>
          <w:numId w:val="30"/>
        </w:numPr>
        <w:spacing w:before="0" w:after="0" w:line="240" w:lineRule="auto"/>
        <w:contextualSpacing/>
        <w:rPr>
          <w:rFonts w:eastAsia="Times New Roman"/>
          <w:bCs/>
          <w:iCs/>
          <w:lang w:val="en-US" w:eastAsia="en-US"/>
        </w:rPr>
      </w:pPr>
      <w:r w:rsidRPr="00250299">
        <w:rPr>
          <w:rFonts w:eastAsia="Times New Roman"/>
          <w:bCs/>
          <w:iCs/>
          <w:lang w:val="en-US" w:eastAsia="en-US"/>
        </w:rPr>
        <w:t>Australian Medicines Handbook 202</w:t>
      </w:r>
      <w:r w:rsidR="00EE4CF8">
        <w:rPr>
          <w:rFonts w:eastAsia="Times New Roman"/>
          <w:bCs/>
          <w:iCs/>
          <w:lang w:val="en-US" w:eastAsia="en-US"/>
        </w:rPr>
        <w:t>4</w:t>
      </w:r>
      <w:r w:rsidRPr="00250299">
        <w:rPr>
          <w:rFonts w:eastAsia="Times New Roman"/>
          <w:bCs/>
          <w:iCs/>
          <w:lang w:val="en-US" w:eastAsia="en-US"/>
        </w:rPr>
        <w:t xml:space="preserve"> (online). Available at: https://amhonline.amh.net.au/</w:t>
      </w:r>
    </w:p>
    <w:p w14:paraId="2A123C9F" w14:textId="3FB0D991" w:rsidR="00250299" w:rsidRPr="00250299" w:rsidRDefault="00250299" w:rsidP="00250299">
      <w:pPr>
        <w:numPr>
          <w:ilvl w:val="0"/>
          <w:numId w:val="30"/>
        </w:numPr>
        <w:spacing w:before="0" w:after="0" w:line="240" w:lineRule="auto"/>
        <w:contextualSpacing/>
        <w:rPr>
          <w:rFonts w:eastAsia="Times New Roman"/>
          <w:bCs/>
          <w:iCs/>
          <w:lang w:val="en-US" w:eastAsia="en-US"/>
        </w:rPr>
      </w:pPr>
      <w:r w:rsidRPr="00250299">
        <w:rPr>
          <w:rFonts w:eastAsia="Times New Roman"/>
          <w:bCs/>
          <w:iCs/>
          <w:lang w:val="en-US" w:eastAsia="en-US"/>
        </w:rPr>
        <w:t xml:space="preserve">Australian Injectable Drugs Handbook </w:t>
      </w:r>
      <w:r w:rsidR="00EE4CF8">
        <w:rPr>
          <w:rFonts w:eastAsia="Times New Roman"/>
          <w:bCs/>
          <w:iCs/>
          <w:lang w:val="en-US" w:eastAsia="en-US"/>
        </w:rPr>
        <w:t>9</w:t>
      </w:r>
      <w:r w:rsidRPr="00250299">
        <w:rPr>
          <w:rFonts w:eastAsia="Times New Roman"/>
          <w:bCs/>
          <w:iCs/>
          <w:lang w:val="en-US" w:eastAsia="en-US"/>
        </w:rPr>
        <w:t xml:space="preserve">th </w:t>
      </w:r>
      <w:proofErr w:type="spellStart"/>
      <w:r w:rsidRPr="00250299">
        <w:rPr>
          <w:rFonts w:eastAsia="Times New Roman"/>
          <w:bCs/>
          <w:iCs/>
          <w:lang w:val="en-US" w:eastAsia="en-US"/>
        </w:rPr>
        <w:t>edn</w:t>
      </w:r>
      <w:proofErr w:type="spellEnd"/>
      <w:r w:rsidRPr="00250299">
        <w:rPr>
          <w:rFonts w:eastAsia="Times New Roman"/>
          <w:bCs/>
          <w:iCs/>
          <w:lang w:val="en-US" w:eastAsia="en-US"/>
        </w:rPr>
        <w:t xml:space="preserve"> (online). Available at: https://aidh.hcn.com.au/</w:t>
      </w:r>
    </w:p>
    <w:p w14:paraId="18AC734F" w14:textId="131C2E97" w:rsidR="00250299" w:rsidRPr="00213A39" w:rsidRDefault="00250299" w:rsidP="00250299">
      <w:pPr>
        <w:numPr>
          <w:ilvl w:val="0"/>
          <w:numId w:val="30"/>
        </w:numPr>
        <w:spacing w:before="0" w:after="0" w:line="240" w:lineRule="auto"/>
        <w:contextualSpacing/>
        <w:rPr>
          <w:rFonts w:ascii="Calibri" w:hAnsi="Calibri" w:cs="Calibri"/>
        </w:rPr>
      </w:pPr>
      <w:r w:rsidRPr="00250299">
        <w:rPr>
          <w:rFonts w:eastAsia="Times New Roman"/>
          <w:bCs/>
          <w:iCs/>
          <w:lang w:val="en-US" w:eastAsia="en-US"/>
        </w:rPr>
        <w:t>Micromedex 202</w:t>
      </w:r>
      <w:r w:rsidR="00EE4CF8">
        <w:rPr>
          <w:rFonts w:eastAsia="Times New Roman"/>
          <w:bCs/>
          <w:iCs/>
          <w:lang w:val="en-US" w:eastAsia="en-US"/>
        </w:rPr>
        <w:t>4</w:t>
      </w:r>
      <w:r w:rsidRPr="00250299">
        <w:rPr>
          <w:rFonts w:eastAsia="Times New Roman"/>
          <w:bCs/>
          <w:iCs/>
          <w:lang w:val="en-US" w:eastAsia="en-US"/>
        </w:rPr>
        <w:t xml:space="preserve"> (online) Available at:</w:t>
      </w:r>
      <w:r w:rsidRPr="00250299">
        <w:rPr>
          <w:rFonts w:asciiTheme="majorHAnsi" w:eastAsia="Times New Roman" w:hAnsiTheme="majorHAnsi" w:cstheme="majorHAnsi"/>
          <w:lang w:val="en"/>
        </w:rPr>
        <w:t xml:space="preserve"> </w:t>
      </w:r>
      <w:hyperlink r:id="rId11" w:history="1">
        <w:r w:rsidRPr="00250299">
          <w:rPr>
            <w:rFonts w:asciiTheme="majorHAnsi" w:eastAsia="Times New Roman" w:hAnsiTheme="majorHAnsi" w:cstheme="majorHAnsi"/>
            <w:color w:val="0000FF"/>
            <w:u w:val="single"/>
            <w:lang w:val="en"/>
          </w:rPr>
          <w:t>https://www.micromedexsolutions.com/</w:t>
        </w:r>
      </w:hyperlink>
    </w:p>
    <w:p w14:paraId="17D1F9FA" w14:textId="7B4D0D2D" w:rsidR="00250299" w:rsidRPr="00213A39" w:rsidRDefault="00250299" w:rsidP="00250299">
      <w:pPr>
        <w:numPr>
          <w:ilvl w:val="0"/>
          <w:numId w:val="30"/>
        </w:numPr>
        <w:spacing w:before="0" w:after="0" w:line="240" w:lineRule="auto"/>
        <w:contextualSpacing/>
        <w:rPr>
          <w:rFonts w:ascii="Calibri" w:hAnsi="Calibri" w:cs="Calibri"/>
        </w:rPr>
      </w:pPr>
      <w:r w:rsidRPr="00250299">
        <w:rPr>
          <w:rFonts w:eastAsia="Times New Roman"/>
          <w:bCs/>
          <w:iCs/>
          <w:lang w:val="en-US" w:eastAsia="en-US"/>
        </w:rPr>
        <w:t>Mount, D., 2020</w:t>
      </w:r>
      <w:r w:rsidR="00EE4CF8">
        <w:rPr>
          <w:rFonts w:eastAsia="Times New Roman"/>
          <w:bCs/>
          <w:iCs/>
          <w:lang w:val="en-US" w:eastAsia="en-US"/>
        </w:rPr>
        <w:t xml:space="preserve"> (Updated February 2024)</w:t>
      </w:r>
      <w:r w:rsidRPr="00250299">
        <w:rPr>
          <w:rFonts w:eastAsia="Times New Roman"/>
          <w:bCs/>
          <w:iCs/>
          <w:lang w:val="en-US" w:eastAsia="en-US"/>
        </w:rPr>
        <w:t xml:space="preserve">. Clinical Manifestations </w:t>
      </w:r>
      <w:proofErr w:type="gramStart"/>
      <w:r w:rsidRPr="00250299">
        <w:rPr>
          <w:rFonts w:eastAsia="Times New Roman"/>
          <w:bCs/>
          <w:iCs/>
          <w:lang w:val="en-US" w:eastAsia="en-US"/>
        </w:rPr>
        <w:t>And</w:t>
      </w:r>
      <w:proofErr w:type="gramEnd"/>
      <w:r w:rsidRPr="00250299">
        <w:rPr>
          <w:rFonts w:eastAsia="Times New Roman"/>
          <w:bCs/>
          <w:iCs/>
          <w:lang w:val="en-US" w:eastAsia="en-US"/>
        </w:rPr>
        <w:t xml:space="preserve"> Treatment Of Hypokalemia In Adults. </w:t>
      </w:r>
      <w:proofErr w:type="spellStart"/>
      <w:r w:rsidRPr="00250299">
        <w:rPr>
          <w:rFonts w:eastAsia="Times New Roman"/>
          <w:bCs/>
          <w:iCs/>
          <w:lang w:val="en-US" w:eastAsia="en-US"/>
        </w:rPr>
        <w:t>Uptodate</w:t>
      </w:r>
      <w:proofErr w:type="spellEnd"/>
      <w:r w:rsidRPr="00250299">
        <w:rPr>
          <w:rFonts w:eastAsia="Times New Roman"/>
          <w:bCs/>
          <w:iCs/>
          <w:lang w:val="en-US" w:eastAsia="en-US"/>
        </w:rPr>
        <w:t>. Available</w:t>
      </w:r>
      <w:r w:rsidRPr="00213A39">
        <w:rPr>
          <w:rFonts w:ascii="Calibri" w:eastAsia="Times New Roman" w:hAnsi="Calibri" w:cs="Times New Roman"/>
          <w:lang w:val="en"/>
        </w:rPr>
        <w:t xml:space="preserve"> </w:t>
      </w:r>
      <w:hyperlink r:id="rId12" w:history="1">
        <w:r w:rsidRPr="00250299">
          <w:rPr>
            <w:rFonts w:asciiTheme="majorHAnsi" w:eastAsia="Times New Roman" w:hAnsiTheme="majorHAnsi" w:cstheme="majorHAnsi"/>
            <w:color w:val="0000FF"/>
            <w:u w:val="single"/>
            <w:lang w:val="en"/>
          </w:rPr>
          <w:t>here</w:t>
        </w:r>
      </w:hyperlink>
      <w:r w:rsidRPr="00250299">
        <w:rPr>
          <w:rFonts w:asciiTheme="majorHAnsi" w:eastAsia="Times New Roman" w:hAnsiTheme="majorHAnsi" w:cstheme="majorHAnsi"/>
          <w:lang w:val="en"/>
        </w:rPr>
        <w:t xml:space="preserve"> </w:t>
      </w:r>
    </w:p>
    <w:p w14:paraId="6D6F9A93" w14:textId="56F86112" w:rsidR="00250299" w:rsidRPr="00213A39" w:rsidRDefault="00250299" w:rsidP="00250299">
      <w:pPr>
        <w:numPr>
          <w:ilvl w:val="0"/>
          <w:numId w:val="30"/>
        </w:numPr>
        <w:spacing w:before="0" w:after="0" w:line="240" w:lineRule="auto"/>
        <w:contextualSpacing/>
        <w:rPr>
          <w:rFonts w:ascii="Calibri" w:hAnsi="Calibri" w:cs="Calibri"/>
        </w:rPr>
      </w:pPr>
      <w:r w:rsidRPr="00250299">
        <w:rPr>
          <w:rFonts w:eastAsia="Times New Roman"/>
          <w:bCs/>
          <w:iCs/>
          <w:lang w:val="en-US" w:eastAsia="en-US"/>
        </w:rPr>
        <w:t>Yu, A. and Stubbs, J., 2020</w:t>
      </w:r>
      <w:r w:rsidR="00EE4CF8">
        <w:rPr>
          <w:rFonts w:eastAsia="Times New Roman"/>
          <w:bCs/>
          <w:iCs/>
          <w:lang w:val="en-US" w:eastAsia="en-US"/>
        </w:rPr>
        <w:t xml:space="preserve"> (Updated September 2024)</w:t>
      </w:r>
      <w:r w:rsidRPr="00250299">
        <w:rPr>
          <w:rFonts w:eastAsia="Times New Roman"/>
          <w:bCs/>
          <w:iCs/>
          <w:lang w:val="en-US" w:eastAsia="en-US"/>
        </w:rPr>
        <w:t xml:space="preserve">. Hypophosphatemia: Evaluation And Treatment. </w:t>
      </w:r>
      <w:proofErr w:type="spellStart"/>
      <w:r w:rsidRPr="00250299">
        <w:rPr>
          <w:rFonts w:eastAsia="Times New Roman"/>
          <w:bCs/>
          <w:iCs/>
          <w:lang w:val="en-US" w:eastAsia="en-US"/>
        </w:rPr>
        <w:t>Uptodate</w:t>
      </w:r>
      <w:proofErr w:type="spellEnd"/>
      <w:r w:rsidRPr="00250299">
        <w:rPr>
          <w:rFonts w:eastAsia="Times New Roman"/>
          <w:bCs/>
          <w:iCs/>
          <w:lang w:val="en-US" w:eastAsia="en-US"/>
        </w:rPr>
        <w:t>. Available</w:t>
      </w:r>
      <w:r w:rsidRPr="00213A39">
        <w:rPr>
          <w:rFonts w:ascii="Calibri" w:eastAsia="Times New Roman" w:hAnsi="Calibri" w:cs="Times New Roman"/>
          <w:lang w:val="en"/>
        </w:rPr>
        <w:t xml:space="preserve"> </w:t>
      </w:r>
      <w:hyperlink r:id="rId13" w:history="1">
        <w:r w:rsidRPr="00250299">
          <w:rPr>
            <w:rFonts w:asciiTheme="minorHAnsi" w:eastAsia="Times New Roman" w:hAnsiTheme="minorHAnsi" w:cstheme="minorHAnsi"/>
            <w:color w:val="0000FF"/>
            <w:u w:val="single"/>
            <w:lang w:val="en"/>
          </w:rPr>
          <w:t>here</w:t>
        </w:r>
      </w:hyperlink>
      <w:r w:rsidRPr="00250299">
        <w:rPr>
          <w:rFonts w:asciiTheme="minorHAnsi" w:eastAsia="Times New Roman" w:hAnsiTheme="minorHAnsi" w:cstheme="minorHAnsi"/>
          <w:lang w:val="en"/>
        </w:rPr>
        <w:t xml:space="preserve"> </w:t>
      </w:r>
      <w:r w:rsidRPr="00213A39">
        <w:rPr>
          <w:rFonts w:ascii="Calibri" w:eastAsia="Times New Roman" w:hAnsi="Calibri" w:cs="Times New Roman"/>
          <w:lang w:val="en"/>
        </w:rPr>
        <w:t xml:space="preserve"> </w:t>
      </w:r>
    </w:p>
    <w:p w14:paraId="6D89E06D" w14:textId="77777777" w:rsidR="00250299" w:rsidRPr="00213A39" w:rsidRDefault="00250299" w:rsidP="00250299">
      <w:pPr>
        <w:numPr>
          <w:ilvl w:val="0"/>
          <w:numId w:val="30"/>
        </w:numPr>
        <w:spacing w:before="0" w:after="0" w:line="240" w:lineRule="auto"/>
        <w:contextualSpacing/>
        <w:rPr>
          <w:rFonts w:ascii="Calibri" w:hAnsi="Calibri" w:cs="Calibri"/>
        </w:rPr>
      </w:pPr>
      <w:r w:rsidRPr="00250299">
        <w:rPr>
          <w:rFonts w:eastAsia="Times New Roman"/>
          <w:bCs/>
          <w:iCs/>
          <w:lang w:val="en-US" w:eastAsia="en-US"/>
        </w:rPr>
        <w:t xml:space="preserve">Joyce Wu and Andrew Carter. Magnesium: the forgotten electrolyte, Australian Prescriber: 2007;30:102-5. Available </w:t>
      </w:r>
      <w:hyperlink r:id="rId14" w:history="1">
        <w:r w:rsidRPr="00250299">
          <w:rPr>
            <w:rFonts w:asciiTheme="minorHAnsi" w:hAnsiTheme="minorHAnsi" w:cstheme="minorHAnsi"/>
            <w:color w:val="0000FF"/>
            <w:u w:val="single"/>
          </w:rPr>
          <w:t>here</w:t>
        </w:r>
      </w:hyperlink>
    </w:p>
    <w:p w14:paraId="5D73AC82" w14:textId="7643D5E9" w:rsidR="00250299" w:rsidRPr="00213A39" w:rsidRDefault="00250299" w:rsidP="00250299">
      <w:pPr>
        <w:numPr>
          <w:ilvl w:val="0"/>
          <w:numId w:val="30"/>
        </w:numPr>
        <w:spacing w:before="0" w:after="0" w:line="240" w:lineRule="auto"/>
        <w:contextualSpacing/>
        <w:rPr>
          <w:rFonts w:ascii="Calibri" w:hAnsi="Calibri" w:cs="Calibri"/>
        </w:rPr>
      </w:pPr>
      <w:r w:rsidRPr="00250299">
        <w:rPr>
          <w:rFonts w:eastAsia="Times New Roman"/>
          <w:bCs/>
          <w:iCs/>
          <w:lang w:val="en-US" w:eastAsia="en-US"/>
        </w:rPr>
        <w:t>Yu, A., 2020</w:t>
      </w:r>
      <w:r w:rsidR="00106B88">
        <w:rPr>
          <w:rFonts w:eastAsia="Times New Roman"/>
          <w:bCs/>
          <w:iCs/>
          <w:lang w:val="en-US" w:eastAsia="en-US"/>
        </w:rPr>
        <w:t xml:space="preserve"> (</w:t>
      </w:r>
      <w:r w:rsidR="00EE4CF8">
        <w:rPr>
          <w:rFonts w:eastAsia="Times New Roman"/>
          <w:bCs/>
          <w:iCs/>
          <w:lang w:val="en-US" w:eastAsia="en-US"/>
        </w:rPr>
        <w:t>U</w:t>
      </w:r>
      <w:r w:rsidR="00106B88">
        <w:rPr>
          <w:rFonts w:eastAsia="Times New Roman"/>
          <w:bCs/>
          <w:iCs/>
          <w:lang w:val="en-US" w:eastAsia="en-US"/>
        </w:rPr>
        <w:t>pdated August 2024)</w:t>
      </w:r>
      <w:r w:rsidRPr="00250299">
        <w:rPr>
          <w:rFonts w:eastAsia="Times New Roman"/>
          <w:bCs/>
          <w:iCs/>
          <w:lang w:val="en-US" w:eastAsia="en-US"/>
        </w:rPr>
        <w:t xml:space="preserve">. Hypomagnesemia: Evaluation And Treatment. </w:t>
      </w:r>
      <w:proofErr w:type="spellStart"/>
      <w:r w:rsidRPr="00250299">
        <w:rPr>
          <w:rFonts w:eastAsia="Times New Roman"/>
          <w:bCs/>
          <w:iCs/>
          <w:lang w:val="en-US" w:eastAsia="en-US"/>
        </w:rPr>
        <w:t>Uptodate</w:t>
      </w:r>
      <w:proofErr w:type="spellEnd"/>
      <w:r w:rsidRPr="00250299">
        <w:rPr>
          <w:rFonts w:eastAsia="Times New Roman"/>
          <w:bCs/>
          <w:iCs/>
          <w:lang w:val="en-US" w:eastAsia="en-US"/>
        </w:rPr>
        <w:t>. Available</w:t>
      </w:r>
      <w:r w:rsidRPr="00250299">
        <w:rPr>
          <w:rFonts w:asciiTheme="majorHAnsi" w:eastAsia="Times New Roman" w:hAnsiTheme="majorHAnsi" w:cstheme="majorHAnsi"/>
          <w:lang w:val="en"/>
        </w:rPr>
        <w:t xml:space="preserve"> </w:t>
      </w:r>
      <w:hyperlink r:id="rId15" w:history="1">
        <w:r w:rsidRPr="00250299">
          <w:rPr>
            <w:rFonts w:asciiTheme="majorHAnsi" w:eastAsia="Times New Roman" w:hAnsiTheme="majorHAnsi" w:cstheme="majorHAnsi"/>
            <w:color w:val="0000FF"/>
            <w:u w:val="single"/>
            <w:lang w:val="en"/>
          </w:rPr>
          <w:t>here</w:t>
        </w:r>
      </w:hyperlink>
      <w:r w:rsidRPr="00250299">
        <w:rPr>
          <w:rFonts w:asciiTheme="majorHAnsi" w:eastAsia="Times New Roman" w:hAnsiTheme="majorHAnsi" w:cstheme="majorHAnsi"/>
          <w:lang w:val="en"/>
        </w:rPr>
        <w:t xml:space="preserve"> </w:t>
      </w:r>
      <w:hyperlink r:id="rId16" w:history="1">
        <w:r w:rsidRPr="00250299">
          <w:rPr>
            <w:rFonts w:asciiTheme="minorHAnsi" w:eastAsia="Times New Roman" w:hAnsiTheme="minorHAnsi" w:cstheme="minorHAnsi"/>
            <w:color w:val="0000FF"/>
            <w:u w:val="single"/>
            <w:lang w:val="en"/>
          </w:rPr>
          <w:t>https://www.uptodate.com/</w:t>
        </w:r>
      </w:hyperlink>
      <w:r w:rsidRPr="00213A39">
        <w:rPr>
          <w:rFonts w:ascii="Calibri" w:eastAsia="Times New Roman" w:hAnsi="Calibri" w:cs="Times New Roman"/>
          <w:lang w:val="en"/>
        </w:rPr>
        <w:t xml:space="preserve"> </w:t>
      </w:r>
    </w:p>
    <w:p w14:paraId="39ADDB42" w14:textId="0D8F0EDD" w:rsidR="00250299" w:rsidRPr="00213A39" w:rsidRDefault="00250299" w:rsidP="00250299">
      <w:pPr>
        <w:numPr>
          <w:ilvl w:val="0"/>
          <w:numId w:val="30"/>
        </w:numPr>
        <w:spacing w:before="0" w:after="0" w:line="240" w:lineRule="auto"/>
        <w:contextualSpacing/>
        <w:rPr>
          <w:rFonts w:ascii="Calibri" w:hAnsi="Calibri" w:cs="Calibri"/>
        </w:rPr>
      </w:pPr>
      <w:proofErr w:type="spellStart"/>
      <w:r w:rsidRPr="00250299">
        <w:rPr>
          <w:rFonts w:eastAsia="Times New Roman"/>
          <w:bCs/>
          <w:iCs/>
          <w:lang w:val="en-US" w:eastAsia="en-US"/>
        </w:rPr>
        <w:t>Goltzman</w:t>
      </w:r>
      <w:proofErr w:type="spellEnd"/>
      <w:r w:rsidRPr="00250299">
        <w:rPr>
          <w:rFonts w:eastAsia="Times New Roman"/>
          <w:bCs/>
          <w:iCs/>
          <w:lang w:val="en-US" w:eastAsia="en-US"/>
        </w:rPr>
        <w:t>, D., 2020</w:t>
      </w:r>
      <w:r w:rsidR="00EE4CF8">
        <w:rPr>
          <w:rFonts w:eastAsia="Times New Roman"/>
          <w:bCs/>
          <w:iCs/>
          <w:lang w:val="en-US" w:eastAsia="en-US"/>
        </w:rPr>
        <w:t xml:space="preserve"> (Updated September 2024)</w:t>
      </w:r>
      <w:r w:rsidRPr="00250299">
        <w:rPr>
          <w:rFonts w:eastAsia="Times New Roman"/>
          <w:bCs/>
          <w:iCs/>
          <w:lang w:val="en-US" w:eastAsia="en-US"/>
        </w:rPr>
        <w:t xml:space="preserve">. Treatment Of Hypocalcemia. </w:t>
      </w:r>
      <w:proofErr w:type="spellStart"/>
      <w:r w:rsidRPr="00250299">
        <w:rPr>
          <w:rFonts w:eastAsia="Times New Roman"/>
          <w:bCs/>
          <w:iCs/>
          <w:lang w:val="en-US" w:eastAsia="en-US"/>
        </w:rPr>
        <w:t>Uptodate</w:t>
      </w:r>
      <w:proofErr w:type="spellEnd"/>
      <w:r w:rsidRPr="00250299">
        <w:rPr>
          <w:rFonts w:eastAsia="Times New Roman"/>
          <w:bCs/>
          <w:iCs/>
          <w:lang w:val="en-US" w:eastAsia="en-US"/>
        </w:rPr>
        <w:t>. Available</w:t>
      </w:r>
      <w:r w:rsidRPr="00213A39">
        <w:rPr>
          <w:rFonts w:ascii="Calibri" w:eastAsia="Times New Roman" w:hAnsi="Calibri" w:cs="Times New Roman"/>
          <w:lang w:val="en"/>
        </w:rPr>
        <w:t xml:space="preserve"> </w:t>
      </w:r>
      <w:r w:rsidRPr="00250299">
        <w:rPr>
          <w:rFonts w:asciiTheme="minorHAnsi" w:eastAsia="Times New Roman" w:hAnsiTheme="minorHAnsi" w:cstheme="minorHAnsi"/>
          <w:color w:val="0000FF"/>
          <w:u w:val="single"/>
          <w:lang w:val="en"/>
        </w:rPr>
        <w:t xml:space="preserve"> </w:t>
      </w:r>
      <w:hyperlink r:id="rId17" w:history="1">
        <w:r w:rsidRPr="00250299">
          <w:rPr>
            <w:rFonts w:asciiTheme="minorHAnsi" w:eastAsia="Times New Roman" w:hAnsiTheme="minorHAnsi" w:cstheme="minorHAnsi"/>
            <w:color w:val="0000FF"/>
            <w:u w:val="single"/>
            <w:lang w:val="en"/>
          </w:rPr>
          <w:t>here</w:t>
        </w:r>
      </w:hyperlink>
    </w:p>
    <w:p w14:paraId="5DC13942" w14:textId="584496DC" w:rsidR="00250299" w:rsidRPr="00213A39" w:rsidRDefault="00250299" w:rsidP="00250299">
      <w:pPr>
        <w:numPr>
          <w:ilvl w:val="0"/>
          <w:numId w:val="30"/>
        </w:numPr>
        <w:spacing w:before="0" w:after="0" w:line="240" w:lineRule="auto"/>
        <w:contextualSpacing/>
        <w:rPr>
          <w:rFonts w:ascii="Calibri" w:hAnsi="Calibri" w:cs="Calibri"/>
        </w:rPr>
      </w:pPr>
      <w:r w:rsidRPr="00250299">
        <w:rPr>
          <w:rFonts w:eastAsia="Times New Roman"/>
          <w:bCs/>
          <w:iCs/>
          <w:lang w:val="en-US" w:eastAsia="en-US"/>
        </w:rPr>
        <w:t>Queensland Health Medicines Regulation and Quality, Fluid and Electrolyte Guideline Working Party, 2</w:t>
      </w:r>
      <w:r w:rsidR="00EE4CF8">
        <w:rPr>
          <w:rFonts w:eastAsia="Times New Roman"/>
          <w:bCs/>
          <w:iCs/>
          <w:lang w:val="en-US" w:eastAsia="en-US"/>
        </w:rPr>
        <w:t>023</w:t>
      </w:r>
      <w:r w:rsidRPr="00250299">
        <w:rPr>
          <w:rFonts w:eastAsia="Times New Roman"/>
          <w:bCs/>
          <w:iCs/>
          <w:lang w:val="en-US" w:eastAsia="en-US"/>
        </w:rPr>
        <w:t xml:space="preserve">. Prescribing HYPO-Electrolyte Disturbances </w:t>
      </w:r>
      <w:proofErr w:type="gramStart"/>
      <w:r w:rsidRPr="00250299">
        <w:rPr>
          <w:rFonts w:eastAsia="Times New Roman"/>
          <w:bCs/>
          <w:iCs/>
          <w:lang w:val="en-US" w:eastAsia="en-US"/>
        </w:rPr>
        <w:t>In</w:t>
      </w:r>
      <w:proofErr w:type="gramEnd"/>
      <w:r w:rsidRPr="00250299">
        <w:rPr>
          <w:rFonts w:eastAsia="Times New Roman"/>
          <w:bCs/>
          <w:iCs/>
          <w:lang w:val="en-US" w:eastAsia="en-US"/>
        </w:rPr>
        <w:t xml:space="preserve"> Adults. The State of Queensland, p.1. Available</w:t>
      </w:r>
      <w:r w:rsidRPr="00213A39">
        <w:rPr>
          <w:rFonts w:ascii="Calibri" w:eastAsia="Times New Roman" w:hAnsi="Calibri" w:cs="Times New Roman"/>
          <w:color w:val="000000"/>
          <w:szCs w:val="20"/>
          <w:lang w:val="en"/>
        </w:rPr>
        <w:t xml:space="preserve"> </w:t>
      </w:r>
      <w:hyperlink r:id="rId18" w:history="1">
        <w:r w:rsidRPr="00250299">
          <w:rPr>
            <w:rFonts w:asciiTheme="majorHAnsi" w:eastAsia="Times New Roman" w:hAnsiTheme="majorHAnsi" w:cstheme="majorHAnsi"/>
            <w:color w:val="0000FF"/>
            <w:szCs w:val="20"/>
            <w:u w:val="single"/>
            <w:lang w:val="en"/>
          </w:rPr>
          <w:t>here</w:t>
        </w:r>
      </w:hyperlink>
    </w:p>
    <w:p w14:paraId="58BE815A" w14:textId="77777777" w:rsidR="00250299" w:rsidRDefault="00250299" w:rsidP="002D7682">
      <w:pPr>
        <w:pStyle w:val="Bullet"/>
        <w:numPr>
          <w:ilvl w:val="0"/>
          <w:numId w:val="0"/>
        </w:numPr>
        <w:tabs>
          <w:tab w:val="clear" w:pos="425"/>
        </w:tabs>
        <w:spacing w:after="240"/>
        <w:ind w:left="357" w:hanging="357"/>
      </w:pPr>
    </w:p>
    <w:p w14:paraId="1F753483" w14:textId="77777777" w:rsidR="00280C5D" w:rsidRDefault="0059618F" w:rsidP="002D7682">
      <w:pPr>
        <w:pStyle w:val="Bullet"/>
        <w:numPr>
          <w:ilvl w:val="0"/>
          <w:numId w:val="0"/>
        </w:numPr>
        <w:tabs>
          <w:tab w:val="clear" w:pos="425"/>
        </w:tabs>
        <w:spacing w:after="240"/>
        <w:ind w:left="357" w:hanging="357"/>
        <w:rPr>
          <w:lang w:eastAsia="en-US"/>
        </w:rPr>
      </w:pPr>
      <w:hyperlink w:anchor="_top" w:history="1">
        <w:r w:rsidR="00280C5D" w:rsidRPr="004A7A7F">
          <w:rPr>
            <w:rStyle w:val="Hyperlink"/>
          </w:rPr>
          <w:t>Back to Contents</w:t>
        </w:r>
      </w:hyperlink>
    </w:p>
    <w:p w14:paraId="6E6C3EC2" w14:textId="77777777" w:rsidR="0078367D" w:rsidRDefault="0078367D" w:rsidP="00A6051F">
      <w:pPr>
        <w:pStyle w:val="Heading4"/>
      </w:pPr>
      <w:bookmarkStart w:id="17" w:name="_Toc180420456"/>
      <w:r>
        <w:t>Definition of terms</w:t>
      </w:r>
      <w:bookmarkEnd w:id="17"/>
      <w:r>
        <w:t xml:space="preserve"> </w:t>
      </w:r>
    </w:p>
    <w:p w14:paraId="1FB357F5" w14:textId="77777777" w:rsidR="00250299" w:rsidRPr="00250299" w:rsidRDefault="00250299" w:rsidP="00250299">
      <w:pPr>
        <w:tabs>
          <w:tab w:val="num" w:pos="720"/>
        </w:tabs>
        <w:spacing w:after="0" w:line="240" w:lineRule="auto"/>
        <w:ind w:left="426" w:hanging="426"/>
        <w:rPr>
          <w:rFonts w:eastAsia="Times New Roman"/>
          <w:bCs/>
          <w:iCs/>
          <w:lang w:val="en-US" w:eastAsia="en-US"/>
        </w:rPr>
      </w:pPr>
      <w:proofErr w:type="spellStart"/>
      <w:r w:rsidRPr="00250299">
        <w:rPr>
          <w:rFonts w:eastAsia="Times New Roman"/>
          <w:bCs/>
          <w:iCs/>
          <w:lang w:val="en-US" w:eastAsia="en-US"/>
        </w:rPr>
        <w:t>Hypokalaemia</w:t>
      </w:r>
      <w:proofErr w:type="spellEnd"/>
      <w:r w:rsidRPr="00250299">
        <w:rPr>
          <w:rFonts w:eastAsia="Times New Roman"/>
          <w:bCs/>
          <w:iCs/>
          <w:lang w:val="en-US" w:eastAsia="en-US"/>
        </w:rPr>
        <w:t xml:space="preserve"> = Low potassium</w:t>
      </w:r>
    </w:p>
    <w:p w14:paraId="3E420DDF" w14:textId="77777777" w:rsidR="00250299" w:rsidRPr="00250299" w:rsidRDefault="00250299" w:rsidP="00250299">
      <w:pPr>
        <w:tabs>
          <w:tab w:val="num" w:pos="720"/>
        </w:tabs>
        <w:spacing w:after="0" w:line="240" w:lineRule="auto"/>
        <w:ind w:left="426" w:hanging="426"/>
        <w:rPr>
          <w:rFonts w:eastAsia="Times New Roman"/>
          <w:bCs/>
          <w:iCs/>
          <w:lang w:val="en-US" w:eastAsia="en-US"/>
        </w:rPr>
      </w:pPr>
      <w:proofErr w:type="spellStart"/>
      <w:r w:rsidRPr="00250299">
        <w:rPr>
          <w:rFonts w:eastAsia="Times New Roman"/>
          <w:bCs/>
          <w:iCs/>
          <w:lang w:val="en-US" w:eastAsia="en-US"/>
        </w:rPr>
        <w:t>Hypophosphataemia</w:t>
      </w:r>
      <w:proofErr w:type="spellEnd"/>
      <w:r w:rsidRPr="00250299">
        <w:rPr>
          <w:rFonts w:eastAsia="Times New Roman"/>
          <w:bCs/>
          <w:iCs/>
          <w:lang w:val="en-US" w:eastAsia="en-US"/>
        </w:rPr>
        <w:t xml:space="preserve"> = Low phosphate</w:t>
      </w:r>
    </w:p>
    <w:p w14:paraId="071B02E0" w14:textId="77777777" w:rsidR="00250299" w:rsidRPr="00250299" w:rsidRDefault="00250299" w:rsidP="00250299">
      <w:pPr>
        <w:tabs>
          <w:tab w:val="num" w:pos="720"/>
        </w:tabs>
        <w:spacing w:after="0" w:line="240" w:lineRule="auto"/>
        <w:ind w:left="426" w:hanging="426"/>
        <w:rPr>
          <w:rFonts w:eastAsia="Times New Roman"/>
          <w:bCs/>
          <w:iCs/>
          <w:lang w:val="en-US" w:eastAsia="en-US"/>
        </w:rPr>
      </w:pPr>
      <w:r w:rsidRPr="00250299">
        <w:rPr>
          <w:rFonts w:eastAsia="Times New Roman"/>
          <w:bCs/>
          <w:iCs/>
          <w:lang w:val="en-US" w:eastAsia="en-US"/>
        </w:rPr>
        <w:t>Hypomagnesaemia = Low magnesium</w:t>
      </w:r>
    </w:p>
    <w:p w14:paraId="5B8385B6" w14:textId="0EF25514" w:rsidR="00250299" w:rsidRDefault="00250299" w:rsidP="00185D97">
      <w:pPr>
        <w:tabs>
          <w:tab w:val="num" w:pos="720"/>
        </w:tabs>
        <w:spacing w:after="0" w:line="240" w:lineRule="auto"/>
        <w:ind w:left="426" w:hanging="426"/>
        <w:rPr>
          <w:rFonts w:eastAsia="Times New Roman"/>
          <w:bCs/>
          <w:iCs/>
          <w:lang w:val="en-US" w:eastAsia="en-US"/>
        </w:rPr>
      </w:pPr>
      <w:proofErr w:type="spellStart"/>
      <w:r w:rsidRPr="00250299">
        <w:rPr>
          <w:rFonts w:eastAsia="Times New Roman"/>
          <w:bCs/>
          <w:iCs/>
          <w:lang w:val="en-US" w:eastAsia="en-US"/>
        </w:rPr>
        <w:t>Hypocalcaemia</w:t>
      </w:r>
      <w:proofErr w:type="spellEnd"/>
      <w:r w:rsidRPr="00250299">
        <w:rPr>
          <w:rFonts w:eastAsia="Times New Roman"/>
          <w:bCs/>
          <w:iCs/>
          <w:lang w:val="en-US" w:eastAsia="en-US"/>
        </w:rPr>
        <w:t xml:space="preserve"> = Low calcium</w:t>
      </w:r>
    </w:p>
    <w:p w14:paraId="57510F09" w14:textId="77777777" w:rsidR="00185D97" w:rsidRPr="00185D97" w:rsidRDefault="00185D97" w:rsidP="00185D97">
      <w:pPr>
        <w:tabs>
          <w:tab w:val="num" w:pos="720"/>
        </w:tabs>
        <w:spacing w:after="0" w:line="240" w:lineRule="auto"/>
        <w:ind w:left="426" w:hanging="426"/>
        <w:rPr>
          <w:rFonts w:eastAsia="Times New Roman"/>
          <w:bCs/>
          <w:iCs/>
          <w:lang w:val="en-US" w:eastAsia="en-US"/>
        </w:rPr>
      </w:pPr>
    </w:p>
    <w:p w14:paraId="23A89BA8" w14:textId="55FF7779" w:rsidR="00185D97" w:rsidRPr="00EE4CF8" w:rsidRDefault="0059618F" w:rsidP="002D7682">
      <w:pPr>
        <w:pStyle w:val="BodyCopy"/>
        <w:rPr>
          <w:iCs w:val="0"/>
          <w:color w:val="auto"/>
          <w:u w:val="single"/>
        </w:rPr>
      </w:pPr>
      <w:hyperlink w:anchor="_top" w:history="1">
        <w:r w:rsidR="00280C5D" w:rsidRPr="00481A6C">
          <w:rPr>
            <w:rStyle w:val="Hyperlink"/>
            <w:iCs w:val="0"/>
          </w:rPr>
          <w:t>Back to Contents</w:t>
        </w:r>
      </w:hyperlink>
    </w:p>
    <w:p w14:paraId="1DD8A166" w14:textId="77777777" w:rsidR="0078367D" w:rsidRDefault="0078367D" w:rsidP="00A6051F">
      <w:pPr>
        <w:pStyle w:val="Heading4"/>
      </w:pPr>
      <w:bookmarkStart w:id="18" w:name="_Toc180420457"/>
      <w:r>
        <w:t>Search terms</w:t>
      </w:r>
      <w:bookmarkEnd w:id="18"/>
    </w:p>
    <w:p w14:paraId="1AB4928F" w14:textId="77777777" w:rsidR="00250299" w:rsidRPr="00250299" w:rsidRDefault="00250299" w:rsidP="00250299">
      <w:pPr>
        <w:spacing w:after="0" w:line="240" w:lineRule="auto"/>
        <w:rPr>
          <w:rFonts w:eastAsia="Times New Roman"/>
          <w:bCs/>
          <w:iCs/>
          <w:lang w:val="en-US" w:eastAsia="en-US"/>
        </w:rPr>
      </w:pPr>
      <w:r w:rsidRPr="00250299">
        <w:rPr>
          <w:rFonts w:eastAsia="Times New Roman"/>
          <w:bCs/>
          <w:iCs/>
          <w:lang w:val="en-US" w:eastAsia="en-US"/>
        </w:rPr>
        <w:t xml:space="preserve">Potassium, </w:t>
      </w:r>
      <w:proofErr w:type="spellStart"/>
      <w:r w:rsidRPr="00250299">
        <w:rPr>
          <w:rFonts w:eastAsia="Times New Roman"/>
          <w:bCs/>
          <w:iCs/>
          <w:lang w:val="en-US" w:eastAsia="en-US"/>
        </w:rPr>
        <w:t>Hypokalaemia</w:t>
      </w:r>
      <w:proofErr w:type="spellEnd"/>
      <w:r w:rsidRPr="00250299">
        <w:rPr>
          <w:rFonts w:eastAsia="Times New Roman"/>
          <w:bCs/>
          <w:iCs/>
          <w:lang w:val="en-US" w:eastAsia="en-US"/>
        </w:rPr>
        <w:t xml:space="preserve">, Phosphate, </w:t>
      </w:r>
      <w:proofErr w:type="spellStart"/>
      <w:r w:rsidRPr="00250299">
        <w:rPr>
          <w:rFonts w:eastAsia="Times New Roman"/>
          <w:bCs/>
          <w:iCs/>
          <w:lang w:val="en-US" w:eastAsia="en-US"/>
        </w:rPr>
        <w:t>Hypophosphataemia</w:t>
      </w:r>
      <w:proofErr w:type="spellEnd"/>
      <w:r w:rsidRPr="00250299">
        <w:rPr>
          <w:rFonts w:eastAsia="Times New Roman"/>
          <w:bCs/>
          <w:iCs/>
          <w:lang w:val="en-US" w:eastAsia="en-US"/>
        </w:rPr>
        <w:t xml:space="preserve">, Magnesium, Hypomagnesaemia, Calcium, </w:t>
      </w:r>
      <w:proofErr w:type="spellStart"/>
      <w:r w:rsidRPr="00250299">
        <w:rPr>
          <w:rFonts w:eastAsia="Times New Roman"/>
          <w:bCs/>
          <w:iCs/>
          <w:lang w:val="en-US" w:eastAsia="en-US"/>
        </w:rPr>
        <w:t>Hypocalcaemia</w:t>
      </w:r>
      <w:proofErr w:type="spellEnd"/>
      <w:r w:rsidRPr="00250299">
        <w:rPr>
          <w:rFonts w:eastAsia="Times New Roman"/>
          <w:bCs/>
          <w:iCs/>
          <w:lang w:val="en-US" w:eastAsia="en-US"/>
        </w:rPr>
        <w:t>, Electrolyte</w:t>
      </w:r>
    </w:p>
    <w:p w14:paraId="1C673CE3" w14:textId="77777777" w:rsidR="00280C5D" w:rsidRDefault="0059618F" w:rsidP="002D7682">
      <w:pPr>
        <w:pStyle w:val="Bullet"/>
        <w:numPr>
          <w:ilvl w:val="0"/>
          <w:numId w:val="0"/>
        </w:numPr>
        <w:spacing w:after="240"/>
        <w:rPr>
          <w:lang w:eastAsia="en-US"/>
        </w:rPr>
      </w:pPr>
      <w:hyperlink w:anchor="_top" w:history="1">
        <w:r w:rsidR="00280C5D" w:rsidRPr="00481A6C">
          <w:rPr>
            <w:rStyle w:val="Hyperlink"/>
          </w:rPr>
          <w:t>Back to Contents</w:t>
        </w:r>
      </w:hyperlink>
    </w:p>
    <w:p w14:paraId="3F978823" w14:textId="44974E2C" w:rsidR="007B1A7B" w:rsidRDefault="007B1A7B">
      <w:pPr>
        <w:spacing w:before="0" w:after="0" w:line="240" w:lineRule="auto"/>
        <w:rPr>
          <w:rStyle w:val="Hyperlink"/>
          <w:rFonts w:eastAsia="Times New Roman"/>
        </w:rPr>
      </w:pPr>
    </w:p>
    <w:p w14:paraId="334E7EFB" w14:textId="77777777" w:rsidR="009A5010" w:rsidRPr="001F3ED6" w:rsidRDefault="00280C5D" w:rsidP="001F3ED6">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0191C370"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656A3BF9" w14:textId="77777777" w:rsidR="00280C5D" w:rsidRDefault="00280C5D" w:rsidP="003B0E72">
            <w:pPr>
              <w:pStyle w:val="Tableheader"/>
            </w:pPr>
            <w:r>
              <w:lastRenderedPageBreak/>
              <w:t>Date amended</w:t>
            </w:r>
          </w:p>
        </w:tc>
        <w:tc>
          <w:tcPr>
            <w:tcW w:w="2477" w:type="dxa"/>
          </w:tcPr>
          <w:p w14:paraId="378BA2AA" w14:textId="77777777" w:rsidR="00280C5D" w:rsidRDefault="00280C5D" w:rsidP="003B0E72">
            <w:pPr>
              <w:pStyle w:val="Tableheader"/>
            </w:pPr>
            <w:r>
              <w:t>Section amended</w:t>
            </w:r>
          </w:p>
        </w:tc>
        <w:tc>
          <w:tcPr>
            <w:tcW w:w="2555" w:type="dxa"/>
          </w:tcPr>
          <w:p w14:paraId="02EC1A1F" w14:textId="77777777" w:rsidR="00280C5D" w:rsidRDefault="00280C5D" w:rsidP="003B0E72">
            <w:pPr>
              <w:pStyle w:val="Tableheader"/>
            </w:pPr>
            <w:r>
              <w:t>Divisional approval</w:t>
            </w:r>
          </w:p>
        </w:tc>
        <w:tc>
          <w:tcPr>
            <w:tcW w:w="2403" w:type="dxa"/>
          </w:tcPr>
          <w:p w14:paraId="36B2B9E1" w14:textId="77777777" w:rsidR="00280C5D" w:rsidRDefault="00280C5D" w:rsidP="003B0E72">
            <w:pPr>
              <w:pStyle w:val="Tableheader"/>
            </w:pPr>
            <w:r>
              <w:t>Final approval</w:t>
            </w:r>
          </w:p>
        </w:tc>
      </w:tr>
      <w:tr w:rsidR="00280C5D" w14:paraId="65EE1180" w14:textId="77777777" w:rsidTr="003B0E72">
        <w:tc>
          <w:tcPr>
            <w:tcW w:w="2476" w:type="dxa"/>
          </w:tcPr>
          <w:p w14:paraId="500349DF" w14:textId="2681C467" w:rsidR="00280C5D" w:rsidRDefault="0059618F" w:rsidP="003B0E72">
            <w:pPr>
              <w:pStyle w:val="Tablebody"/>
              <w:rPr>
                <w:lang w:eastAsia="en-US"/>
              </w:rPr>
            </w:pPr>
            <w:r>
              <w:rPr>
                <w:lang w:eastAsia="en-US"/>
              </w:rPr>
              <w:t>11/02/2025</w:t>
            </w:r>
          </w:p>
        </w:tc>
        <w:tc>
          <w:tcPr>
            <w:tcW w:w="2477" w:type="dxa"/>
          </w:tcPr>
          <w:p w14:paraId="2935D3F8" w14:textId="754CB22C" w:rsidR="00280C5D" w:rsidRDefault="0059618F" w:rsidP="003B0E72">
            <w:pPr>
              <w:pStyle w:val="Tablebody"/>
              <w:rPr>
                <w:lang w:eastAsia="en-US"/>
              </w:rPr>
            </w:pPr>
            <w:r>
              <w:rPr>
                <w:lang w:eastAsia="en-US"/>
              </w:rPr>
              <w:t>Complete review</w:t>
            </w:r>
          </w:p>
        </w:tc>
        <w:tc>
          <w:tcPr>
            <w:tcW w:w="2555" w:type="dxa"/>
          </w:tcPr>
          <w:p w14:paraId="11119BE0" w14:textId="7C073CB4" w:rsidR="00280C5D" w:rsidRDefault="0059618F" w:rsidP="003B0E72">
            <w:pPr>
              <w:pStyle w:val="Tablebody"/>
              <w:rPr>
                <w:lang w:eastAsia="en-US"/>
              </w:rPr>
            </w:pPr>
            <w:r>
              <w:rPr>
                <w:lang w:eastAsia="en-US"/>
              </w:rPr>
              <w:t xml:space="preserve">Lance </w:t>
            </w:r>
            <w:proofErr w:type="spellStart"/>
            <w:r>
              <w:rPr>
                <w:lang w:eastAsia="en-US"/>
              </w:rPr>
              <w:t>Lasersohn</w:t>
            </w:r>
            <w:proofErr w:type="spellEnd"/>
            <w:r>
              <w:rPr>
                <w:lang w:eastAsia="en-US"/>
              </w:rPr>
              <w:t>, A/g ED of Medical Services</w:t>
            </w:r>
          </w:p>
        </w:tc>
        <w:tc>
          <w:tcPr>
            <w:tcW w:w="2403" w:type="dxa"/>
          </w:tcPr>
          <w:p w14:paraId="6B959E7D" w14:textId="671BFC68" w:rsidR="00280C5D" w:rsidRDefault="0059618F" w:rsidP="003B0E72">
            <w:pPr>
              <w:pStyle w:val="Tablebody"/>
              <w:rPr>
                <w:lang w:eastAsia="en-US"/>
              </w:rPr>
            </w:pPr>
            <w:r>
              <w:rPr>
                <w:lang w:eastAsia="en-US"/>
              </w:rPr>
              <w:t>CHS Policy Document Review Panel</w:t>
            </w:r>
          </w:p>
        </w:tc>
      </w:tr>
      <w:tr w:rsidR="00280C5D" w14:paraId="5FE1023F" w14:textId="77777777" w:rsidTr="003B0E72">
        <w:tc>
          <w:tcPr>
            <w:tcW w:w="2476" w:type="dxa"/>
          </w:tcPr>
          <w:p w14:paraId="79225182" w14:textId="77777777" w:rsidR="00280C5D" w:rsidRDefault="00280C5D" w:rsidP="003B0E72">
            <w:pPr>
              <w:pStyle w:val="Tablebody"/>
              <w:rPr>
                <w:lang w:eastAsia="en-US"/>
              </w:rPr>
            </w:pPr>
          </w:p>
        </w:tc>
        <w:tc>
          <w:tcPr>
            <w:tcW w:w="2477" w:type="dxa"/>
          </w:tcPr>
          <w:p w14:paraId="349DEBA7" w14:textId="77777777" w:rsidR="00280C5D" w:rsidRDefault="00280C5D" w:rsidP="003B0E72">
            <w:pPr>
              <w:pStyle w:val="Tablebody"/>
              <w:rPr>
                <w:lang w:eastAsia="en-US"/>
              </w:rPr>
            </w:pPr>
          </w:p>
        </w:tc>
        <w:tc>
          <w:tcPr>
            <w:tcW w:w="2555" w:type="dxa"/>
          </w:tcPr>
          <w:p w14:paraId="29663039" w14:textId="77777777" w:rsidR="00280C5D" w:rsidRDefault="00280C5D" w:rsidP="003B0E72">
            <w:pPr>
              <w:pStyle w:val="Tablebody"/>
              <w:rPr>
                <w:lang w:eastAsia="en-US"/>
              </w:rPr>
            </w:pPr>
          </w:p>
        </w:tc>
        <w:tc>
          <w:tcPr>
            <w:tcW w:w="2403" w:type="dxa"/>
          </w:tcPr>
          <w:p w14:paraId="5054CA48" w14:textId="77777777" w:rsidR="00280C5D" w:rsidRDefault="00280C5D" w:rsidP="003B0E72">
            <w:pPr>
              <w:pStyle w:val="Tablebody"/>
              <w:rPr>
                <w:lang w:eastAsia="en-US"/>
              </w:rPr>
            </w:pPr>
          </w:p>
        </w:tc>
      </w:tr>
    </w:tbl>
    <w:p w14:paraId="56201FC6"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4C69BC6E"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296FD68F" w14:textId="77777777" w:rsidR="00280C5D" w:rsidRDefault="00280C5D" w:rsidP="003B0E72">
            <w:pPr>
              <w:pStyle w:val="Tableheader"/>
            </w:pPr>
            <w:r>
              <w:t>Document number</w:t>
            </w:r>
          </w:p>
        </w:tc>
        <w:tc>
          <w:tcPr>
            <w:tcW w:w="7653" w:type="dxa"/>
          </w:tcPr>
          <w:p w14:paraId="4286E771" w14:textId="77777777" w:rsidR="00280C5D" w:rsidRDefault="00280C5D" w:rsidP="003B0E72">
            <w:pPr>
              <w:pStyle w:val="Tableheader"/>
            </w:pPr>
            <w:r>
              <w:t>Document name</w:t>
            </w:r>
          </w:p>
        </w:tc>
      </w:tr>
      <w:tr w:rsidR="00280C5D" w14:paraId="55AF962B" w14:textId="77777777" w:rsidTr="003B0E72">
        <w:tc>
          <w:tcPr>
            <w:tcW w:w="2548" w:type="dxa"/>
          </w:tcPr>
          <w:p w14:paraId="0F6EB4C3" w14:textId="556838EB" w:rsidR="00280C5D" w:rsidRDefault="0059618F" w:rsidP="003B0E72">
            <w:pPr>
              <w:pStyle w:val="Tablebody"/>
              <w:rPr>
                <w:lang w:eastAsia="en-US"/>
              </w:rPr>
            </w:pPr>
            <w:r w:rsidRPr="0059618F">
              <w:rPr>
                <w:lang w:eastAsia="en-US"/>
              </w:rPr>
              <w:t>CHS20/258</w:t>
            </w:r>
          </w:p>
        </w:tc>
        <w:tc>
          <w:tcPr>
            <w:tcW w:w="7653" w:type="dxa"/>
          </w:tcPr>
          <w:p w14:paraId="2519466D" w14:textId="00B12182" w:rsidR="00280C5D" w:rsidRDefault="0059618F" w:rsidP="003B0E72">
            <w:pPr>
              <w:pStyle w:val="Tablebody"/>
              <w:rPr>
                <w:lang w:eastAsia="en-US"/>
              </w:rPr>
            </w:pPr>
            <w:r w:rsidRPr="0059618F">
              <w:rPr>
                <w:lang w:val="en-AU" w:eastAsia="en-US"/>
              </w:rPr>
              <w:t>Electrolyte Replacement Guidelines (Adults</w:t>
            </w:r>
            <w:r>
              <w:rPr>
                <w:lang w:val="en-AU" w:eastAsia="en-US"/>
              </w:rPr>
              <w:t>)</w:t>
            </w:r>
          </w:p>
        </w:tc>
      </w:tr>
      <w:tr w:rsidR="00280C5D" w14:paraId="79006B1E" w14:textId="77777777" w:rsidTr="003B0E72">
        <w:tc>
          <w:tcPr>
            <w:tcW w:w="2548" w:type="dxa"/>
          </w:tcPr>
          <w:p w14:paraId="4C20CFE7" w14:textId="77777777" w:rsidR="00280C5D" w:rsidRDefault="00280C5D" w:rsidP="003B0E72">
            <w:pPr>
              <w:pStyle w:val="Tablebody"/>
              <w:rPr>
                <w:lang w:eastAsia="en-US"/>
              </w:rPr>
            </w:pPr>
          </w:p>
        </w:tc>
        <w:tc>
          <w:tcPr>
            <w:tcW w:w="7653" w:type="dxa"/>
          </w:tcPr>
          <w:p w14:paraId="21D4BA6B" w14:textId="77777777" w:rsidR="00280C5D" w:rsidRDefault="00280C5D" w:rsidP="003B0E72">
            <w:pPr>
              <w:pStyle w:val="Tablebody"/>
              <w:rPr>
                <w:lang w:eastAsia="en-US"/>
              </w:rPr>
            </w:pPr>
          </w:p>
        </w:tc>
      </w:tr>
    </w:tbl>
    <w:p w14:paraId="201A4C58" w14:textId="77777777" w:rsidR="00280C5D" w:rsidRPr="001F3ED6" w:rsidRDefault="00280C5D" w:rsidP="001F3ED6">
      <w:pPr>
        <w:pStyle w:val="BodyCopy"/>
        <w:rPr>
          <w:rStyle w:val="Bold"/>
        </w:rPr>
      </w:pPr>
      <w:r w:rsidRPr="001F3ED6">
        <w:rPr>
          <w:rStyle w:val="Bold"/>
        </w:rPr>
        <w:t>Disclaimer</w:t>
      </w:r>
    </w:p>
    <w:p w14:paraId="2BEF9BEB"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223D58F2" w14:textId="77777777" w:rsidR="00280C5D" w:rsidRDefault="0059618F" w:rsidP="00280C5D">
      <w:pPr>
        <w:pStyle w:val="Bullet"/>
        <w:numPr>
          <w:ilvl w:val="0"/>
          <w:numId w:val="0"/>
        </w:numPr>
        <w:rPr>
          <w:rStyle w:val="Hyperlink"/>
        </w:rPr>
      </w:pPr>
      <w:hyperlink w:anchor="_top" w:history="1">
        <w:r w:rsidR="00280C5D" w:rsidRPr="00481A6C">
          <w:rPr>
            <w:rStyle w:val="Hyperlink"/>
          </w:rPr>
          <w:t>Back to Contents</w:t>
        </w:r>
      </w:hyperlink>
    </w:p>
    <w:p w14:paraId="2689F5D6"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150C3522" w14:textId="77777777" w:rsidTr="003B0E72">
        <w:tc>
          <w:tcPr>
            <w:tcW w:w="5529" w:type="dxa"/>
            <w:shd w:val="clear" w:color="auto" w:fill="F4F3EE"/>
            <w:tcMar>
              <w:top w:w="142" w:type="dxa"/>
              <w:left w:w="170" w:type="dxa"/>
              <w:bottom w:w="142" w:type="dxa"/>
              <w:right w:w="170" w:type="dxa"/>
            </w:tcMar>
          </w:tcPr>
          <w:bookmarkStart w:id="19" w:name="_Hlk160027189" w:displacedByCustomXml="next"/>
          <w:sdt>
            <w:sdtPr>
              <w:rPr>
                <w:color w:val="auto"/>
                <w:u w:val="single"/>
              </w:rPr>
              <w:id w:val="643171884"/>
              <w:placeholder>
                <w:docPart w:val="041F5B00AF5F42ECAA81D2C169DEFE0A"/>
              </w:placeholder>
            </w:sdtPr>
            <w:sdtEndPr>
              <w:rPr>
                <w:color w:val="000000" w:themeColor="text1"/>
                <w:u w:val="none"/>
              </w:rPr>
            </w:sdtEndPr>
            <w:sdtContent>
              <w:p w14:paraId="15A8D5E1" w14:textId="77777777" w:rsidR="00280C5D" w:rsidRPr="00350211" w:rsidRDefault="00280C5D" w:rsidP="003B0E72">
                <w:pPr>
                  <w:pStyle w:val="Bottomblocktext"/>
                  <w:rPr>
                    <w:b/>
                    <w:bCs w:val="0"/>
                    <w:sz w:val="20"/>
                    <w:szCs w:val="20"/>
                  </w:rPr>
                </w:pPr>
                <w:r>
                  <w:rPr>
                    <w:noProof/>
                    <w:sz w:val="20"/>
                    <w:szCs w:val="20"/>
                  </w:rPr>
                  <w:drawing>
                    <wp:inline distT="0" distB="0" distL="0" distR="0" wp14:anchorId="04D0FE07" wp14:editId="60AE1215">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9"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0921E8FD" w14:textId="77777777" w:rsidR="00280C5D" w:rsidRDefault="00280C5D" w:rsidP="003B0E72">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74F3F9FD"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CBA84ABEA7704C41A777D00F62AF93A3"/>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5F986FFBA81F41948085A72F4B364CDD"/>
            </w:placeholder>
            <w:showingPlcHdr/>
          </w:sdtPr>
          <w:sdtEndPr/>
          <w:sdtContent>
            <w:tc>
              <w:tcPr>
                <w:tcW w:w="4665" w:type="dxa"/>
                <w:shd w:val="clear" w:color="auto" w:fill="F4F3EE"/>
                <w:tcMar>
                  <w:top w:w="142" w:type="dxa"/>
                  <w:left w:w="170" w:type="dxa"/>
                  <w:bottom w:w="142" w:type="dxa"/>
                  <w:right w:w="170" w:type="dxa"/>
                </w:tcMar>
              </w:tcPr>
              <w:p w14:paraId="4ECA5512"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10F88AAC" wp14:editId="29EC9033">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20"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364B257" wp14:editId="791AAE2F">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1"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432E7E9D"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0F994793" wp14:editId="065B87AE">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2"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0070D74F" wp14:editId="0400B4EA">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1"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69BC162A" w14:textId="77777777" w:rsidR="00280C5D" w:rsidRDefault="0059618F" w:rsidP="003B0E72">
                <w:pPr>
                  <w:pStyle w:val="Bottomblocktext"/>
                  <w:rPr>
                    <w:sz w:val="20"/>
                    <w:szCs w:val="20"/>
                  </w:rPr>
                </w:pPr>
                <w:hyperlink r:id="rId23" w:history="1">
                  <w:r w:rsidR="00280C5D" w:rsidRPr="00350211">
                    <w:rPr>
                      <w:rStyle w:val="Hyperlink"/>
                      <w:sz w:val="20"/>
                      <w:szCs w:val="20"/>
                    </w:rPr>
                    <w:t>canberrahealthservices.act.gov.au/accessibility</w:t>
                  </w:r>
                </w:hyperlink>
              </w:p>
              <w:p w14:paraId="6FAB2DE2" w14:textId="77777777" w:rsidR="00280C5D" w:rsidRDefault="00280C5D" w:rsidP="003B0E72">
                <w:pPr>
                  <w:pStyle w:val="Bottomblocktext"/>
                </w:pPr>
                <w:r>
                  <w:rPr>
                    <w:b/>
                    <w:bCs w:val="0"/>
                    <w:noProof/>
                  </w:rPr>
                  <w:drawing>
                    <wp:inline distT="0" distB="0" distL="0" distR="0" wp14:anchorId="2A2925DD" wp14:editId="079E5EBF">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4"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
      <w:bookmarkEnd w:id="19"/>
    </w:tbl>
    <w:p w14:paraId="105F20E9" w14:textId="77777777" w:rsidR="00201AF6" w:rsidRDefault="00201AF6" w:rsidP="000E7683">
      <w:pPr>
        <w:rPr>
          <w:lang w:eastAsia="en-US"/>
        </w:rPr>
      </w:pPr>
    </w:p>
    <w:p w14:paraId="2C7E5008" w14:textId="77777777" w:rsidR="00A513AA" w:rsidRDefault="00A513AA" w:rsidP="00250299">
      <w:pPr>
        <w:spacing w:before="0" w:after="0" w:line="240" w:lineRule="auto"/>
        <w:rPr>
          <w:lang w:eastAsia="en-US"/>
        </w:rPr>
      </w:pPr>
    </w:p>
    <w:sectPr w:rsidR="00A513AA" w:rsidSect="0007270D">
      <w:footerReference w:type="default" r:id="rId25"/>
      <w:headerReference w:type="first" r:id="rId26"/>
      <w:footerReference w:type="first" r:id="rId27"/>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532B3" w14:textId="77777777" w:rsidR="00F4075C" w:rsidRDefault="00F4075C" w:rsidP="00225769">
      <w:pPr>
        <w:spacing w:after="0" w:line="240" w:lineRule="auto"/>
      </w:pPr>
      <w:r>
        <w:separator/>
      </w:r>
    </w:p>
    <w:p w14:paraId="2B56B2AD" w14:textId="77777777" w:rsidR="00F4075C" w:rsidRDefault="00F4075C"/>
    <w:p w14:paraId="381172C9" w14:textId="77777777" w:rsidR="00F4075C" w:rsidRDefault="00F4075C"/>
    <w:p w14:paraId="106D5DFE" w14:textId="77777777" w:rsidR="00F4075C" w:rsidRDefault="00F4075C"/>
    <w:p w14:paraId="4EBB8C00" w14:textId="77777777" w:rsidR="00F4075C" w:rsidRDefault="00F4075C"/>
    <w:p w14:paraId="0BF6B4B8" w14:textId="77777777" w:rsidR="00F4075C" w:rsidRDefault="00F4075C"/>
    <w:p w14:paraId="127FACB8" w14:textId="77777777" w:rsidR="00F4075C" w:rsidRDefault="00F4075C"/>
  </w:endnote>
  <w:endnote w:type="continuationSeparator" w:id="0">
    <w:p w14:paraId="12CB0DC3" w14:textId="77777777" w:rsidR="00F4075C" w:rsidRDefault="00F4075C" w:rsidP="00225769">
      <w:pPr>
        <w:spacing w:after="0" w:line="240" w:lineRule="auto"/>
      </w:pPr>
      <w:r>
        <w:continuationSeparator/>
      </w:r>
    </w:p>
    <w:p w14:paraId="12DBA5B1" w14:textId="77777777" w:rsidR="00F4075C" w:rsidRDefault="00F4075C"/>
    <w:p w14:paraId="0F704574" w14:textId="77777777" w:rsidR="00F4075C" w:rsidRDefault="00F4075C"/>
    <w:p w14:paraId="612537EC" w14:textId="77777777" w:rsidR="00F4075C" w:rsidRDefault="00F4075C"/>
    <w:p w14:paraId="6BDF4F32" w14:textId="77777777" w:rsidR="00F4075C" w:rsidRDefault="00F4075C"/>
    <w:p w14:paraId="70EE11AB" w14:textId="77777777" w:rsidR="00F4075C" w:rsidRDefault="00F4075C"/>
    <w:p w14:paraId="7828CB86" w14:textId="77777777" w:rsidR="00F4075C" w:rsidRDefault="00F40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4309DF71" w14:textId="77777777" w:rsidTr="003B0E72">
      <w:trPr>
        <w:jc w:val="center"/>
      </w:trPr>
      <w:tc>
        <w:tcPr>
          <w:tcW w:w="1515" w:type="dxa"/>
        </w:tcPr>
        <w:p w14:paraId="2BDD23B6"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5DAFC80B"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3B9A406A"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27A5E3FF"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22287E09"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0677F54B"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648BFEA8" w14:textId="77777777" w:rsidTr="003B0E72">
      <w:trPr>
        <w:jc w:val="center"/>
      </w:trPr>
      <w:tc>
        <w:tcPr>
          <w:tcW w:w="1515" w:type="dxa"/>
        </w:tcPr>
        <w:p w14:paraId="6CCDB76F" w14:textId="63A2DD64" w:rsidR="00481A6C" w:rsidRPr="00954F7B" w:rsidRDefault="00250299" w:rsidP="00481A6C">
          <w:pPr>
            <w:pStyle w:val="Footer"/>
            <w:jc w:val="center"/>
            <w:rPr>
              <w:bCs/>
              <w:iCs/>
              <w:sz w:val="20"/>
              <w:szCs w:val="20"/>
            </w:rPr>
          </w:pPr>
          <w:r>
            <w:rPr>
              <w:bCs/>
              <w:iCs/>
              <w:sz w:val="20"/>
              <w:szCs w:val="20"/>
            </w:rPr>
            <w:t>CHS2</w:t>
          </w:r>
          <w:r w:rsidR="0059618F">
            <w:rPr>
              <w:bCs/>
              <w:iCs/>
              <w:sz w:val="20"/>
              <w:szCs w:val="20"/>
            </w:rPr>
            <w:t>5/101</w:t>
          </w:r>
        </w:p>
      </w:tc>
      <w:tc>
        <w:tcPr>
          <w:tcW w:w="965" w:type="dxa"/>
        </w:tcPr>
        <w:p w14:paraId="2B02FECF" w14:textId="77777777" w:rsidR="00481A6C" w:rsidRPr="00954F7B" w:rsidRDefault="00250299" w:rsidP="00481A6C">
          <w:pPr>
            <w:pStyle w:val="Footer"/>
            <w:jc w:val="center"/>
            <w:rPr>
              <w:bCs/>
              <w:iCs/>
              <w:sz w:val="20"/>
              <w:szCs w:val="20"/>
            </w:rPr>
          </w:pPr>
          <w:r>
            <w:rPr>
              <w:bCs/>
              <w:iCs/>
              <w:sz w:val="20"/>
              <w:szCs w:val="20"/>
            </w:rPr>
            <w:t>1</w:t>
          </w:r>
        </w:p>
      </w:tc>
      <w:tc>
        <w:tcPr>
          <w:tcW w:w="1552" w:type="dxa"/>
        </w:tcPr>
        <w:p w14:paraId="2CF60AD1" w14:textId="5FDFA3F7" w:rsidR="00481A6C" w:rsidRPr="00954F7B" w:rsidRDefault="0059618F" w:rsidP="00481A6C">
          <w:pPr>
            <w:pStyle w:val="Footer"/>
            <w:jc w:val="center"/>
            <w:rPr>
              <w:bCs/>
              <w:iCs/>
              <w:sz w:val="20"/>
              <w:szCs w:val="20"/>
            </w:rPr>
          </w:pPr>
          <w:r>
            <w:rPr>
              <w:bCs/>
              <w:iCs/>
              <w:sz w:val="20"/>
              <w:szCs w:val="20"/>
            </w:rPr>
            <w:t>11/02/2025</w:t>
          </w:r>
        </w:p>
      </w:tc>
      <w:tc>
        <w:tcPr>
          <w:tcW w:w="1456" w:type="dxa"/>
        </w:tcPr>
        <w:p w14:paraId="7609AF91" w14:textId="5B820F67" w:rsidR="00481A6C" w:rsidRPr="00954F7B" w:rsidRDefault="0059618F" w:rsidP="00481A6C">
          <w:pPr>
            <w:pStyle w:val="Footer"/>
            <w:jc w:val="center"/>
            <w:rPr>
              <w:bCs/>
              <w:iCs/>
              <w:sz w:val="20"/>
              <w:szCs w:val="20"/>
            </w:rPr>
          </w:pPr>
          <w:r>
            <w:rPr>
              <w:bCs/>
              <w:iCs/>
              <w:sz w:val="20"/>
              <w:szCs w:val="20"/>
            </w:rPr>
            <w:t>01/01/2028</w:t>
          </w:r>
        </w:p>
      </w:tc>
      <w:tc>
        <w:tcPr>
          <w:tcW w:w="1746" w:type="dxa"/>
        </w:tcPr>
        <w:p w14:paraId="6CA13DFE" w14:textId="77777777" w:rsidR="00481A6C" w:rsidRPr="00954F7B" w:rsidRDefault="00250299" w:rsidP="00481A6C">
          <w:pPr>
            <w:pStyle w:val="Footer"/>
            <w:jc w:val="center"/>
            <w:rPr>
              <w:bCs/>
              <w:iCs/>
              <w:sz w:val="20"/>
              <w:szCs w:val="20"/>
            </w:rPr>
          </w:pPr>
          <w:r>
            <w:rPr>
              <w:bCs/>
              <w:iCs/>
              <w:sz w:val="20"/>
              <w:szCs w:val="20"/>
            </w:rPr>
            <w:t>Medical Services Group – Pharmacy</w:t>
          </w:r>
        </w:p>
      </w:tc>
      <w:tc>
        <w:tcPr>
          <w:tcW w:w="1836" w:type="dxa"/>
        </w:tcPr>
        <w:p w14:paraId="00D41DE8"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69B567C5"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0FCE323F" w14:textId="77777777" w:rsidTr="008E1ED9">
      <w:trPr>
        <w:jc w:val="center"/>
      </w:trPr>
      <w:tc>
        <w:tcPr>
          <w:tcW w:w="1515" w:type="dxa"/>
        </w:tcPr>
        <w:p w14:paraId="16D29E1F"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2908D837"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535B7E5C"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780B7B17"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6B7E223B"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60F41B75"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59618F" w:rsidRPr="006B62B4" w14:paraId="16715413" w14:textId="77777777" w:rsidTr="008E1ED9">
      <w:trPr>
        <w:jc w:val="center"/>
      </w:trPr>
      <w:tc>
        <w:tcPr>
          <w:tcW w:w="1515" w:type="dxa"/>
        </w:tcPr>
        <w:p w14:paraId="746A4D16" w14:textId="0B5B0D08" w:rsidR="0059618F" w:rsidRPr="00954F7B" w:rsidRDefault="0059618F" w:rsidP="0059618F">
          <w:pPr>
            <w:pStyle w:val="Footer"/>
            <w:jc w:val="center"/>
            <w:rPr>
              <w:bCs/>
              <w:iCs/>
              <w:sz w:val="20"/>
              <w:szCs w:val="20"/>
            </w:rPr>
          </w:pPr>
          <w:r>
            <w:rPr>
              <w:bCs/>
              <w:iCs/>
              <w:sz w:val="20"/>
              <w:szCs w:val="20"/>
            </w:rPr>
            <w:t>CHS25/101</w:t>
          </w:r>
        </w:p>
      </w:tc>
      <w:tc>
        <w:tcPr>
          <w:tcW w:w="965" w:type="dxa"/>
        </w:tcPr>
        <w:p w14:paraId="2D1C39A8" w14:textId="54A76CAE" w:rsidR="0059618F" w:rsidRPr="00954F7B" w:rsidRDefault="0059618F" w:rsidP="0059618F">
          <w:pPr>
            <w:pStyle w:val="Footer"/>
            <w:jc w:val="center"/>
            <w:rPr>
              <w:bCs/>
              <w:iCs/>
              <w:sz w:val="20"/>
              <w:szCs w:val="20"/>
            </w:rPr>
          </w:pPr>
          <w:r>
            <w:rPr>
              <w:bCs/>
              <w:iCs/>
              <w:sz w:val="20"/>
              <w:szCs w:val="20"/>
            </w:rPr>
            <w:t>1</w:t>
          </w:r>
        </w:p>
      </w:tc>
      <w:tc>
        <w:tcPr>
          <w:tcW w:w="1552" w:type="dxa"/>
        </w:tcPr>
        <w:p w14:paraId="2EDCB4D4" w14:textId="65658B55" w:rsidR="0059618F" w:rsidRPr="00954F7B" w:rsidRDefault="0059618F" w:rsidP="0059618F">
          <w:pPr>
            <w:pStyle w:val="Footer"/>
            <w:jc w:val="center"/>
            <w:rPr>
              <w:bCs/>
              <w:iCs/>
              <w:sz w:val="20"/>
              <w:szCs w:val="20"/>
            </w:rPr>
          </w:pPr>
          <w:r>
            <w:rPr>
              <w:bCs/>
              <w:iCs/>
              <w:sz w:val="20"/>
              <w:szCs w:val="20"/>
            </w:rPr>
            <w:t>11/02/2025</w:t>
          </w:r>
        </w:p>
      </w:tc>
      <w:tc>
        <w:tcPr>
          <w:tcW w:w="1456" w:type="dxa"/>
        </w:tcPr>
        <w:p w14:paraId="6411F7D7" w14:textId="0C837DD1" w:rsidR="0059618F" w:rsidRPr="00954F7B" w:rsidRDefault="0059618F" w:rsidP="0059618F">
          <w:pPr>
            <w:pStyle w:val="Footer"/>
            <w:jc w:val="center"/>
            <w:rPr>
              <w:bCs/>
              <w:iCs/>
              <w:sz w:val="20"/>
              <w:szCs w:val="20"/>
            </w:rPr>
          </w:pPr>
          <w:r>
            <w:rPr>
              <w:bCs/>
              <w:iCs/>
              <w:sz w:val="20"/>
              <w:szCs w:val="20"/>
            </w:rPr>
            <w:t>01/01/2028</w:t>
          </w:r>
        </w:p>
      </w:tc>
      <w:tc>
        <w:tcPr>
          <w:tcW w:w="1746" w:type="dxa"/>
        </w:tcPr>
        <w:p w14:paraId="205DD03E" w14:textId="2C6C9672" w:rsidR="0059618F" w:rsidRPr="00954F7B" w:rsidRDefault="0059618F" w:rsidP="0059618F">
          <w:pPr>
            <w:pStyle w:val="Footer"/>
            <w:jc w:val="center"/>
            <w:rPr>
              <w:bCs/>
              <w:iCs/>
              <w:sz w:val="20"/>
              <w:szCs w:val="20"/>
            </w:rPr>
          </w:pPr>
          <w:r>
            <w:rPr>
              <w:bCs/>
              <w:iCs/>
              <w:sz w:val="20"/>
              <w:szCs w:val="20"/>
            </w:rPr>
            <w:t>Medical Services Group – Pharmacy</w:t>
          </w:r>
        </w:p>
      </w:tc>
      <w:tc>
        <w:tcPr>
          <w:tcW w:w="1836" w:type="dxa"/>
        </w:tcPr>
        <w:p w14:paraId="4A0AABE5" w14:textId="77777777" w:rsidR="0059618F" w:rsidRPr="00954F7B" w:rsidRDefault="0059618F" w:rsidP="0059618F">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14B31540"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BE44B" w14:textId="77777777" w:rsidR="00F4075C" w:rsidRDefault="00F4075C" w:rsidP="009D493B">
      <w:pPr>
        <w:spacing w:after="0" w:line="240" w:lineRule="auto"/>
      </w:pPr>
      <w:r>
        <w:separator/>
      </w:r>
    </w:p>
  </w:footnote>
  <w:footnote w:type="continuationSeparator" w:id="0">
    <w:p w14:paraId="2C7CC728" w14:textId="77777777" w:rsidR="00F4075C" w:rsidRDefault="00F4075C" w:rsidP="00A9080B">
      <w:pPr>
        <w:spacing w:after="0" w:line="240" w:lineRule="auto"/>
      </w:pPr>
      <w:r>
        <w:continuationSeparator/>
      </w:r>
    </w:p>
    <w:p w14:paraId="49F11E21" w14:textId="77777777" w:rsidR="00F4075C" w:rsidRDefault="00F4075C"/>
    <w:p w14:paraId="421DA53D" w14:textId="77777777" w:rsidR="00F4075C" w:rsidRDefault="00F40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D5EE" w14:textId="77777777" w:rsidR="008A3DD8" w:rsidRDefault="008A3DD8">
    <w:pPr>
      <w:pStyle w:val="Header"/>
    </w:pPr>
    <w:r w:rsidRPr="00324CF9">
      <w:rPr>
        <w:noProof/>
      </w:rPr>
      <w:drawing>
        <wp:inline distT="0" distB="0" distL="0" distR="0" wp14:anchorId="04CBB2AE" wp14:editId="159263E0">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6911194"/>
    <w:multiLevelType w:val="hybridMultilevel"/>
    <w:tmpl w:val="2FFC2EDA"/>
    <w:lvl w:ilvl="0" w:tplc="BC882612">
      <w:start w:val="1"/>
      <w:numFmt w:val="bullet"/>
      <w:lvlText w:val=""/>
      <w:lvlJc w:val="left"/>
      <w:pPr>
        <w:ind w:left="1080" w:hanging="360"/>
      </w:pPr>
      <w:rPr>
        <w:rFonts w:ascii="Symbol" w:hAnsi="Symbol"/>
      </w:rPr>
    </w:lvl>
    <w:lvl w:ilvl="1" w:tplc="0E9E1878">
      <w:start w:val="1"/>
      <w:numFmt w:val="bullet"/>
      <w:lvlText w:val=""/>
      <w:lvlJc w:val="left"/>
      <w:pPr>
        <w:ind w:left="1080" w:hanging="360"/>
      </w:pPr>
      <w:rPr>
        <w:rFonts w:ascii="Symbol" w:hAnsi="Symbol"/>
      </w:rPr>
    </w:lvl>
    <w:lvl w:ilvl="2" w:tplc="0528111E">
      <w:start w:val="1"/>
      <w:numFmt w:val="bullet"/>
      <w:lvlText w:val=""/>
      <w:lvlJc w:val="left"/>
      <w:pPr>
        <w:ind w:left="1080" w:hanging="360"/>
      </w:pPr>
      <w:rPr>
        <w:rFonts w:ascii="Symbol" w:hAnsi="Symbol"/>
      </w:rPr>
    </w:lvl>
    <w:lvl w:ilvl="3" w:tplc="EA204DE8">
      <w:start w:val="1"/>
      <w:numFmt w:val="bullet"/>
      <w:lvlText w:val=""/>
      <w:lvlJc w:val="left"/>
      <w:pPr>
        <w:ind w:left="1080" w:hanging="360"/>
      </w:pPr>
      <w:rPr>
        <w:rFonts w:ascii="Symbol" w:hAnsi="Symbol"/>
      </w:rPr>
    </w:lvl>
    <w:lvl w:ilvl="4" w:tplc="10108B3A">
      <w:start w:val="1"/>
      <w:numFmt w:val="bullet"/>
      <w:lvlText w:val=""/>
      <w:lvlJc w:val="left"/>
      <w:pPr>
        <w:ind w:left="1080" w:hanging="360"/>
      </w:pPr>
      <w:rPr>
        <w:rFonts w:ascii="Symbol" w:hAnsi="Symbol"/>
      </w:rPr>
    </w:lvl>
    <w:lvl w:ilvl="5" w:tplc="C854FA22">
      <w:start w:val="1"/>
      <w:numFmt w:val="bullet"/>
      <w:lvlText w:val=""/>
      <w:lvlJc w:val="left"/>
      <w:pPr>
        <w:ind w:left="1080" w:hanging="360"/>
      </w:pPr>
      <w:rPr>
        <w:rFonts w:ascii="Symbol" w:hAnsi="Symbol"/>
      </w:rPr>
    </w:lvl>
    <w:lvl w:ilvl="6" w:tplc="900209F0">
      <w:start w:val="1"/>
      <w:numFmt w:val="bullet"/>
      <w:lvlText w:val=""/>
      <w:lvlJc w:val="left"/>
      <w:pPr>
        <w:ind w:left="1080" w:hanging="360"/>
      </w:pPr>
      <w:rPr>
        <w:rFonts w:ascii="Symbol" w:hAnsi="Symbol"/>
      </w:rPr>
    </w:lvl>
    <w:lvl w:ilvl="7" w:tplc="B6463DE4">
      <w:start w:val="1"/>
      <w:numFmt w:val="bullet"/>
      <w:lvlText w:val=""/>
      <w:lvlJc w:val="left"/>
      <w:pPr>
        <w:ind w:left="1080" w:hanging="360"/>
      </w:pPr>
      <w:rPr>
        <w:rFonts w:ascii="Symbol" w:hAnsi="Symbol"/>
      </w:rPr>
    </w:lvl>
    <w:lvl w:ilvl="8" w:tplc="BEC88A96">
      <w:start w:val="1"/>
      <w:numFmt w:val="bullet"/>
      <w:lvlText w:val=""/>
      <w:lvlJc w:val="left"/>
      <w:pPr>
        <w:ind w:left="1080" w:hanging="360"/>
      </w:pPr>
      <w:rPr>
        <w:rFonts w:ascii="Symbol" w:hAnsi="Symbol"/>
      </w:rPr>
    </w:lvl>
  </w:abstractNum>
  <w:abstractNum w:abstractNumId="2" w15:restartNumberingAfterBreak="0">
    <w:nsid w:val="0BFD0C51"/>
    <w:multiLevelType w:val="hybridMultilevel"/>
    <w:tmpl w:val="786A1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FA573B"/>
    <w:multiLevelType w:val="hybridMultilevel"/>
    <w:tmpl w:val="9B48B32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7" w15:restartNumberingAfterBreak="0">
    <w:nsid w:val="203F47DE"/>
    <w:multiLevelType w:val="hybridMultilevel"/>
    <w:tmpl w:val="BD2AA044"/>
    <w:lvl w:ilvl="0" w:tplc="FCFE275C">
      <w:start w:val="1"/>
      <w:numFmt w:val="bullet"/>
      <w:lvlText w:val=""/>
      <w:lvlJc w:val="left"/>
      <w:pPr>
        <w:ind w:left="1080" w:hanging="360"/>
      </w:pPr>
      <w:rPr>
        <w:rFonts w:ascii="Symbol" w:hAnsi="Symbol"/>
      </w:rPr>
    </w:lvl>
    <w:lvl w:ilvl="1" w:tplc="6B4264DE">
      <w:start w:val="1"/>
      <w:numFmt w:val="bullet"/>
      <w:lvlText w:val=""/>
      <w:lvlJc w:val="left"/>
      <w:pPr>
        <w:ind w:left="1080" w:hanging="360"/>
      </w:pPr>
      <w:rPr>
        <w:rFonts w:ascii="Symbol" w:hAnsi="Symbol"/>
      </w:rPr>
    </w:lvl>
    <w:lvl w:ilvl="2" w:tplc="22706FA4">
      <w:start w:val="1"/>
      <w:numFmt w:val="bullet"/>
      <w:lvlText w:val=""/>
      <w:lvlJc w:val="left"/>
      <w:pPr>
        <w:ind w:left="1080" w:hanging="360"/>
      </w:pPr>
      <w:rPr>
        <w:rFonts w:ascii="Symbol" w:hAnsi="Symbol"/>
      </w:rPr>
    </w:lvl>
    <w:lvl w:ilvl="3" w:tplc="4208B840">
      <w:start w:val="1"/>
      <w:numFmt w:val="bullet"/>
      <w:lvlText w:val=""/>
      <w:lvlJc w:val="left"/>
      <w:pPr>
        <w:ind w:left="1080" w:hanging="360"/>
      </w:pPr>
      <w:rPr>
        <w:rFonts w:ascii="Symbol" w:hAnsi="Symbol"/>
      </w:rPr>
    </w:lvl>
    <w:lvl w:ilvl="4" w:tplc="28A833F2">
      <w:start w:val="1"/>
      <w:numFmt w:val="bullet"/>
      <w:lvlText w:val=""/>
      <w:lvlJc w:val="left"/>
      <w:pPr>
        <w:ind w:left="1080" w:hanging="360"/>
      </w:pPr>
      <w:rPr>
        <w:rFonts w:ascii="Symbol" w:hAnsi="Symbol"/>
      </w:rPr>
    </w:lvl>
    <w:lvl w:ilvl="5" w:tplc="47B69D3A">
      <w:start w:val="1"/>
      <w:numFmt w:val="bullet"/>
      <w:lvlText w:val=""/>
      <w:lvlJc w:val="left"/>
      <w:pPr>
        <w:ind w:left="1080" w:hanging="360"/>
      </w:pPr>
      <w:rPr>
        <w:rFonts w:ascii="Symbol" w:hAnsi="Symbol"/>
      </w:rPr>
    </w:lvl>
    <w:lvl w:ilvl="6" w:tplc="21C49D06">
      <w:start w:val="1"/>
      <w:numFmt w:val="bullet"/>
      <w:lvlText w:val=""/>
      <w:lvlJc w:val="left"/>
      <w:pPr>
        <w:ind w:left="1080" w:hanging="360"/>
      </w:pPr>
      <w:rPr>
        <w:rFonts w:ascii="Symbol" w:hAnsi="Symbol"/>
      </w:rPr>
    </w:lvl>
    <w:lvl w:ilvl="7" w:tplc="7242B90E">
      <w:start w:val="1"/>
      <w:numFmt w:val="bullet"/>
      <w:lvlText w:val=""/>
      <w:lvlJc w:val="left"/>
      <w:pPr>
        <w:ind w:left="1080" w:hanging="360"/>
      </w:pPr>
      <w:rPr>
        <w:rFonts w:ascii="Symbol" w:hAnsi="Symbol"/>
      </w:rPr>
    </w:lvl>
    <w:lvl w:ilvl="8" w:tplc="DF6A788A">
      <w:start w:val="1"/>
      <w:numFmt w:val="bullet"/>
      <w:lvlText w:val=""/>
      <w:lvlJc w:val="left"/>
      <w:pPr>
        <w:ind w:left="1080" w:hanging="360"/>
      </w:pPr>
      <w:rPr>
        <w:rFonts w:ascii="Symbol" w:hAnsi="Symbol"/>
      </w:rPr>
    </w:lvl>
  </w:abstractNum>
  <w:abstractNum w:abstractNumId="8"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9" w15:restartNumberingAfterBreak="0">
    <w:nsid w:val="26CF0941"/>
    <w:multiLevelType w:val="hybridMultilevel"/>
    <w:tmpl w:val="7916D0B0"/>
    <w:lvl w:ilvl="0" w:tplc="712C116E">
      <w:start w:val="1"/>
      <w:numFmt w:val="bullet"/>
      <w:lvlText w:val=""/>
      <w:lvlJc w:val="left"/>
      <w:pPr>
        <w:ind w:left="1080" w:hanging="360"/>
      </w:pPr>
      <w:rPr>
        <w:rFonts w:ascii="Symbol" w:hAnsi="Symbol"/>
      </w:rPr>
    </w:lvl>
    <w:lvl w:ilvl="1" w:tplc="0E80B5D8">
      <w:start w:val="1"/>
      <w:numFmt w:val="bullet"/>
      <w:lvlText w:val=""/>
      <w:lvlJc w:val="left"/>
      <w:pPr>
        <w:ind w:left="1080" w:hanging="360"/>
      </w:pPr>
      <w:rPr>
        <w:rFonts w:ascii="Symbol" w:hAnsi="Symbol"/>
      </w:rPr>
    </w:lvl>
    <w:lvl w:ilvl="2" w:tplc="9B80F24A">
      <w:start w:val="1"/>
      <w:numFmt w:val="bullet"/>
      <w:lvlText w:val=""/>
      <w:lvlJc w:val="left"/>
      <w:pPr>
        <w:ind w:left="1080" w:hanging="360"/>
      </w:pPr>
      <w:rPr>
        <w:rFonts w:ascii="Symbol" w:hAnsi="Symbol"/>
      </w:rPr>
    </w:lvl>
    <w:lvl w:ilvl="3" w:tplc="A5B82BE4">
      <w:start w:val="1"/>
      <w:numFmt w:val="bullet"/>
      <w:lvlText w:val=""/>
      <w:lvlJc w:val="left"/>
      <w:pPr>
        <w:ind w:left="1080" w:hanging="360"/>
      </w:pPr>
      <w:rPr>
        <w:rFonts w:ascii="Symbol" w:hAnsi="Symbol"/>
      </w:rPr>
    </w:lvl>
    <w:lvl w:ilvl="4" w:tplc="59741052">
      <w:start w:val="1"/>
      <w:numFmt w:val="bullet"/>
      <w:lvlText w:val=""/>
      <w:lvlJc w:val="left"/>
      <w:pPr>
        <w:ind w:left="1080" w:hanging="360"/>
      </w:pPr>
      <w:rPr>
        <w:rFonts w:ascii="Symbol" w:hAnsi="Symbol"/>
      </w:rPr>
    </w:lvl>
    <w:lvl w:ilvl="5" w:tplc="8AD6A894">
      <w:start w:val="1"/>
      <w:numFmt w:val="bullet"/>
      <w:lvlText w:val=""/>
      <w:lvlJc w:val="left"/>
      <w:pPr>
        <w:ind w:left="1080" w:hanging="360"/>
      </w:pPr>
      <w:rPr>
        <w:rFonts w:ascii="Symbol" w:hAnsi="Symbol"/>
      </w:rPr>
    </w:lvl>
    <w:lvl w:ilvl="6" w:tplc="DA7A1A76">
      <w:start w:val="1"/>
      <w:numFmt w:val="bullet"/>
      <w:lvlText w:val=""/>
      <w:lvlJc w:val="left"/>
      <w:pPr>
        <w:ind w:left="1080" w:hanging="360"/>
      </w:pPr>
      <w:rPr>
        <w:rFonts w:ascii="Symbol" w:hAnsi="Symbol"/>
      </w:rPr>
    </w:lvl>
    <w:lvl w:ilvl="7" w:tplc="67220B28">
      <w:start w:val="1"/>
      <w:numFmt w:val="bullet"/>
      <w:lvlText w:val=""/>
      <w:lvlJc w:val="left"/>
      <w:pPr>
        <w:ind w:left="1080" w:hanging="360"/>
      </w:pPr>
      <w:rPr>
        <w:rFonts w:ascii="Symbol" w:hAnsi="Symbol"/>
      </w:rPr>
    </w:lvl>
    <w:lvl w:ilvl="8" w:tplc="7BC8499A">
      <w:start w:val="1"/>
      <w:numFmt w:val="bullet"/>
      <w:lvlText w:val=""/>
      <w:lvlJc w:val="left"/>
      <w:pPr>
        <w:ind w:left="1080" w:hanging="360"/>
      </w:pPr>
      <w:rPr>
        <w:rFonts w:ascii="Symbol" w:hAnsi="Symbol"/>
      </w:rPr>
    </w:lvl>
  </w:abstractNum>
  <w:abstractNum w:abstractNumId="10"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5" w15:restartNumberingAfterBreak="0">
    <w:nsid w:val="479C5F40"/>
    <w:multiLevelType w:val="hybridMultilevel"/>
    <w:tmpl w:val="DC007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8" w15:restartNumberingAfterBreak="0">
    <w:nsid w:val="5F742245"/>
    <w:multiLevelType w:val="hybridMultilevel"/>
    <w:tmpl w:val="AFA253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8"/>
  </w:num>
  <w:num w:numId="2" w16cid:durableId="842209657">
    <w:abstractNumId w:val="6"/>
  </w:num>
  <w:num w:numId="3" w16cid:durableId="660542573">
    <w:abstractNumId w:val="19"/>
  </w:num>
  <w:num w:numId="4" w16cid:durableId="1971085616">
    <w:abstractNumId w:val="12"/>
  </w:num>
  <w:num w:numId="5" w16cid:durableId="252517802">
    <w:abstractNumId w:val="13"/>
  </w:num>
  <w:num w:numId="6" w16cid:durableId="420297118">
    <w:abstractNumId w:val="17"/>
  </w:num>
  <w:num w:numId="7" w16cid:durableId="3533880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2"/>
    <w:lvlOverride w:ilvl="0">
      <w:startOverride w:val="1"/>
    </w:lvlOverride>
  </w:num>
  <w:num w:numId="9" w16cid:durableId="1747920389">
    <w:abstractNumId w:val="13"/>
    <w:lvlOverride w:ilvl="0">
      <w:startOverride w:val="1"/>
    </w:lvlOverride>
  </w:num>
  <w:num w:numId="10" w16cid:durableId="1001813381">
    <w:abstractNumId w:val="12"/>
    <w:lvlOverride w:ilvl="0">
      <w:startOverride w:val="1"/>
    </w:lvlOverride>
  </w:num>
  <w:num w:numId="11" w16cid:durableId="1103450744">
    <w:abstractNumId w:val="13"/>
    <w:lvlOverride w:ilvl="0">
      <w:startOverride w:val="1"/>
    </w:lvlOverride>
  </w:num>
  <w:num w:numId="12" w16cid:durableId="1549294228">
    <w:abstractNumId w:val="12"/>
    <w:lvlOverride w:ilvl="0">
      <w:startOverride w:val="1"/>
    </w:lvlOverride>
  </w:num>
  <w:num w:numId="13" w16cid:durableId="8758549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3"/>
    <w:lvlOverride w:ilvl="0">
      <w:startOverride w:val="1"/>
    </w:lvlOverride>
  </w:num>
  <w:num w:numId="15" w16cid:durableId="1246453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19"/>
  </w:num>
  <w:num w:numId="17" w16cid:durableId="434129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10"/>
  </w:num>
  <w:num w:numId="19" w16cid:durableId="836698820">
    <w:abstractNumId w:val="14"/>
  </w:num>
  <w:num w:numId="20" w16cid:durableId="402803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6"/>
  </w:num>
  <w:num w:numId="22" w16cid:durableId="200242115">
    <w:abstractNumId w:val="0"/>
  </w:num>
  <w:num w:numId="23" w16cid:durableId="585068731">
    <w:abstractNumId w:val="5"/>
  </w:num>
  <w:num w:numId="24" w16cid:durableId="1431437445">
    <w:abstractNumId w:val="4"/>
  </w:num>
  <w:num w:numId="25" w16cid:durableId="507214046">
    <w:abstractNumId w:val="11"/>
  </w:num>
  <w:num w:numId="26" w16cid:durableId="753861848">
    <w:abstractNumId w:val="8"/>
  </w:num>
  <w:num w:numId="27" w16cid:durableId="75514043">
    <w:abstractNumId w:val="2"/>
  </w:num>
  <w:num w:numId="28" w16cid:durableId="1686591285">
    <w:abstractNumId w:val="15"/>
  </w:num>
  <w:num w:numId="29" w16cid:durableId="84352021">
    <w:abstractNumId w:val="3"/>
  </w:num>
  <w:num w:numId="30" w16cid:durableId="76633382">
    <w:abstractNumId w:val="18"/>
  </w:num>
  <w:num w:numId="31" w16cid:durableId="1880508290">
    <w:abstractNumId w:val="8"/>
  </w:num>
  <w:num w:numId="32" w16cid:durableId="2135828740">
    <w:abstractNumId w:val="9"/>
  </w:num>
  <w:num w:numId="33" w16cid:durableId="1573076348">
    <w:abstractNumId w:val="7"/>
  </w:num>
  <w:num w:numId="34" w16cid:durableId="39054309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B5"/>
    <w:rsid w:val="00000822"/>
    <w:rsid w:val="00003728"/>
    <w:rsid w:val="00004B91"/>
    <w:rsid w:val="00006344"/>
    <w:rsid w:val="000068B9"/>
    <w:rsid w:val="000115AB"/>
    <w:rsid w:val="00012A31"/>
    <w:rsid w:val="00012DA7"/>
    <w:rsid w:val="00014646"/>
    <w:rsid w:val="0001473F"/>
    <w:rsid w:val="00014D0A"/>
    <w:rsid w:val="00015018"/>
    <w:rsid w:val="000246D6"/>
    <w:rsid w:val="00025C12"/>
    <w:rsid w:val="000347FB"/>
    <w:rsid w:val="00035A11"/>
    <w:rsid w:val="00036249"/>
    <w:rsid w:val="0004010E"/>
    <w:rsid w:val="000403A2"/>
    <w:rsid w:val="00040EE7"/>
    <w:rsid w:val="00041D05"/>
    <w:rsid w:val="00042268"/>
    <w:rsid w:val="00043534"/>
    <w:rsid w:val="00046D4C"/>
    <w:rsid w:val="00047707"/>
    <w:rsid w:val="00050A6B"/>
    <w:rsid w:val="000513FD"/>
    <w:rsid w:val="00052B48"/>
    <w:rsid w:val="00052D11"/>
    <w:rsid w:val="00053BD7"/>
    <w:rsid w:val="00053CC3"/>
    <w:rsid w:val="00053D2F"/>
    <w:rsid w:val="0005461D"/>
    <w:rsid w:val="00056204"/>
    <w:rsid w:val="0005626F"/>
    <w:rsid w:val="0005685E"/>
    <w:rsid w:val="000570A6"/>
    <w:rsid w:val="00061582"/>
    <w:rsid w:val="000707E9"/>
    <w:rsid w:val="00070945"/>
    <w:rsid w:val="000717BA"/>
    <w:rsid w:val="0007270D"/>
    <w:rsid w:val="00075506"/>
    <w:rsid w:val="00075C9A"/>
    <w:rsid w:val="00080F06"/>
    <w:rsid w:val="00080FC2"/>
    <w:rsid w:val="000825CF"/>
    <w:rsid w:val="00082C60"/>
    <w:rsid w:val="00082EB1"/>
    <w:rsid w:val="00083D66"/>
    <w:rsid w:val="000848B6"/>
    <w:rsid w:val="000858DB"/>
    <w:rsid w:val="000905E4"/>
    <w:rsid w:val="0009157D"/>
    <w:rsid w:val="000962E3"/>
    <w:rsid w:val="00096784"/>
    <w:rsid w:val="00096D01"/>
    <w:rsid w:val="00097F70"/>
    <w:rsid w:val="000A0C18"/>
    <w:rsid w:val="000A2300"/>
    <w:rsid w:val="000A3AA0"/>
    <w:rsid w:val="000A3F9B"/>
    <w:rsid w:val="000A4C7E"/>
    <w:rsid w:val="000A6268"/>
    <w:rsid w:val="000B04DE"/>
    <w:rsid w:val="000B1A95"/>
    <w:rsid w:val="000B4346"/>
    <w:rsid w:val="000B4DF9"/>
    <w:rsid w:val="000B6A88"/>
    <w:rsid w:val="000B73E8"/>
    <w:rsid w:val="000C36A3"/>
    <w:rsid w:val="000C3973"/>
    <w:rsid w:val="000C48B1"/>
    <w:rsid w:val="000C5796"/>
    <w:rsid w:val="000C57C6"/>
    <w:rsid w:val="000C76AA"/>
    <w:rsid w:val="000D0A42"/>
    <w:rsid w:val="000D713F"/>
    <w:rsid w:val="000D742A"/>
    <w:rsid w:val="000E058F"/>
    <w:rsid w:val="000E07C3"/>
    <w:rsid w:val="000E1D08"/>
    <w:rsid w:val="000E5739"/>
    <w:rsid w:val="000E7683"/>
    <w:rsid w:val="000E77F0"/>
    <w:rsid w:val="000F15F0"/>
    <w:rsid w:val="000F1EB3"/>
    <w:rsid w:val="000F288B"/>
    <w:rsid w:val="000F300A"/>
    <w:rsid w:val="000F3A4B"/>
    <w:rsid w:val="000F5C20"/>
    <w:rsid w:val="000F6736"/>
    <w:rsid w:val="000F79EA"/>
    <w:rsid w:val="0010164B"/>
    <w:rsid w:val="00106B88"/>
    <w:rsid w:val="00107118"/>
    <w:rsid w:val="00110D97"/>
    <w:rsid w:val="00112DAD"/>
    <w:rsid w:val="001171E4"/>
    <w:rsid w:val="0012007C"/>
    <w:rsid w:val="00120E2E"/>
    <w:rsid w:val="00121181"/>
    <w:rsid w:val="00121C0E"/>
    <w:rsid w:val="00122329"/>
    <w:rsid w:val="001232C3"/>
    <w:rsid w:val="00124B00"/>
    <w:rsid w:val="00126471"/>
    <w:rsid w:val="00126ADF"/>
    <w:rsid w:val="00126BEE"/>
    <w:rsid w:val="00127D91"/>
    <w:rsid w:val="001311B9"/>
    <w:rsid w:val="001324A3"/>
    <w:rsid w:val="00135EF0"/>
    <w:rsid w:val="0013675B"/>
    <w:rsid w:val="00136C50"/>
    <w:rsid w:val="00137347"/>
    <w:rsid w:val="00143C66"/>
    <w:rsid w:val="00144A90"/>
    <w:rsid w:val="0014777A"/>
    <w:rsid w:val="00154D8C"/>
    <w:rsid w:val="00154E5A"/>
    <w:rsid w:val="001575C5"/>
    <w:rsid w:val="001600FA"/>
    <w:rsid w:val="001616DD"/>
    <w:rsid w:val="00161AE4"/>
    <w:rsid w:val="00161FDC"/>
    <w:rsid w:val="00164201"/>
    <w:rsid w:val="00164AA5"/>
    <w:rsid w:val="00166052"/>
    <w:rsid w:val="001660FE"/>
    <w:rsid w:val="00167C17"/>
    <w:rsid w:val="0017051B"/>
    <w:rsid w:val="0017128C"/>
    <w:rsid w:val="00173EDD"/>
    <w:rsid w:val="00173F53"/>
    <w:rsid w:val="00174ECE"/>
    <w:rsid w:val="00175212"/>
    <w:rsid w:val="00175FF8"/>
    <w:rsid w:val="001767CA"/>
    <w:rsid w:val="00176D11"/>
    <w:rsid w:val="00181504"/>
    <w:rsid w:val="00181729"/>
    <w:rsid w:val="001819E4"/>
    <w:rsid w:val="00183E97"/>
    <w:rsid w:val="00184284"/>
    <w:rsid w:val="00184480"/>
    <w:rsid w:val="00184D07"/>
    <w:rsid w:val="00184D6D"/>
    <w:rsid w:val="00184F59"/>
    <w:rsid w:val="00185C37"/>
    <w:rsid w:val="00185D97"/>
    <w:rsid w:val="00186FB7"/>
    <w:rsid w:val="00187537"/>
    <w:rsid w:val="00191413"/>
    <w:rsid w:val="0019193E"/>
    <w:rsid w:val="00192C70"/>
    <w:rsid w:val="001935B4"/>
    <w:rsid w:val="00193907"/>
    <w:rsid w:val="00195EFB"/>
    <w:rsid w:val="00197F2E"/>
    <w:rsid w:val="001A0124"/>
    <w:rsid w:val="001A1DD6"/>
    <w:rsid w:val="001A2273"/>
    <w:rsid w:val="001A2A69"/>
    <w:rsid w:val="001B05C9"/>
    <w:rsid w:val="001B08A3"/>
    <w:rsid w:val="001B0DC3"/>
    <w:rsid w:val="001B1A6A"/>
    <w:rsid w:val="001B3430"/>
    <w:rsid w:val="001C0F5C"/>
    <w:rsid w:val="001C108E"/>
    <w:rsid w:val="001C223C"/>
    <w:rsid w:val="001C24A7"/>
    <w:rsid w:val="001C263F"/>
    <w:rsid w:val="001C5958"/>
    <w:rsid w:val="001D12A9"/>
    <w:rsid w:val="001D140D"/>
    <w:rsid w:val="001D150B"/>
    <w:rsid w:val="001D195F"/>
    <w:rsid w:val="001D780B"/>
    <w:rsid w:val="001D7907"/>
    <w:rsid w:val="001E0177"/>
    <w:rsid w:val="001E055B"/>
    <w:rsid w:val="001E0BEA"/>
    <w:rsid w:val="001E0BED"/>
    <w:rsid w:val="001E2C6F"/>
    <w:rsid w:val="001E30A5"/>
    <w:rsid w:val="001E3991"/>
    <w:rsid w:val="001E3D5B"/>
    <w:rsid w:val="001E4A13"/>
    <w:rsid w:val="001E4EF9"/>
    <w:rsid w:val="001E579B"/>
    <w:rsid w:val="001E5FF2"/>
    <w:rsid w:val="001E626E"/>
    <w:rsid w:val="001E7077"/>
    <w:rsid w:val="001E7A17"/>
    <w:rsid w:val="001F0765"/>
    <w:rsid w:val="001F1300"/>
    <w:rsid w:val="001F19EC"/>
    <w:rsid w:val="001F26B1"/>
    <w:rsid w:val="001F29F4"/>
    <w:rsid w:val="001F3ED6"/>
    <w:rsid w:val="001F4369"/>
    <w:rsid w:val="001F49DF"/>
    <w:rsid w:val="001F5AE3"/>
    <w:rsid w:val="001F656A"/>
    <w:rsid w:val="001F68D1"/>
    <w:rsid w:val="001F6D1A"/>
    <w:rsid w:val="001F6DB5"/>
    <w:rsid w:val="001F6E03"/>
    <w:rsid w:val="002012D2"/>
    <w:rsid w:val="00201AF6"/>
    <w:rsid w:val="0020360D"/>
    <w:rsid w:val="0020612C"/>
    <w:rsid w:val="00211BFA"/>
    <w:rsid w:val="00212F1D"/>
    <w:rsid w:val="002140AE"/>
    <w:rsid w:val="0022138F"/>
    <w:rsid w:val="00222191"/>
    <w:rsid w:val="00225769"/>
    <w:rsid w:val="00225E3B"/>
    <w:rsid w:val="00227104"/>
    <w:rsid w:val="00230054"/>
    <w:rsid w:val="0023668B"/>
    <w:rsid w:val="00240DC9"/>
    <w:rsid w:val="00241A68"/>
    <w:rsid w:val="00242601"/>
    <w:rsid w:val="002427B0"/>
    <w:rsid w:val="00244149"/>
    <w:rsid w:val="00245BF4"/>
    <w:rsid w:val="00246EDC"/>
    <w:rsid w:val="00247BAF"/>
    <w:rsid w:val="00250299"/>
    <w:rsid w:val="00251D96"/>
    <w:rsid w:val="00253A48"/>
    <w:rsid w:val="00253EC8"/>
    <w:rsid w:val="0025483C"/>
    <w:rsid w:val="00256701"/>
    <w:rsid w:val="0026085A"/>
    <w:rsid w:val="002627C9"/>
    <w:rsid w:val="002700D3"/>
    <w:rsid w:val="00270D49"/>
    <w:rsid w:val="0027262B"/>
    <w:rsid w:val="00274308"/>
    <w:rsid w:val="00276489"/>
    <w:rsid w:val="00280051"/>
    <w:rsid w:val="00280C5D"/>
    <w:rsid w:val="00281798"/>
    <w:rsid w:val="00281830"/>
    <w:rsid w:val="002827C4"/>
    <w:rsid w:val="00283F9F"/>
    <w:rsid w:val="00284D13"/>
    <w:rsid w:val="002877BB"/>
    <w:rsid w:val="00291366"/>
    <w:rsid w:val="00292A6B"/>
    <w:rsid w:val="00293B6B"/>
    <w:rsid w:val="00294B76"/>
    <w:rsid w:val="00294F1A"/>
    <w:rsid w:val="00295D79"/>
    <w:rsid w:val="0029655B"/>
    <w:rsid w:val="002A0163"/>
    <w:rsid w:val="002A295E"/>
    <w:rsid w:val="002B2713"/>
    <w:rsid w:val="002B3511"/>
    <w:rsid w:val="002B3D19"/>
    <w:rsid w:val="002B3F13"/>
    <w:rsid w:val="002B434C"/>
    <w:rsid w:val="002B5D29"/>
    <w:rsid w:val="002C39F9"/>
    <w:rsid w:val="002C58B8"/>
    <w:rsid w:val="002C7500"/>
    <w:rsid w:val="002C75BC"/>
    <w:rsid w:val="002D1CA0"/>
    <w:rsid w:val="002D22CF"/>
    <w:rsid w:val="002D4BB3"/>
    <w:rsid w:val="002D56A1"/>
    <w:rsid w:val="002D59A9"/>
    <w:rsid w:val="002D5A00"/>
    <w:rsid w:val="002D7682"/>
    <w:rsid w:val="002E1E63"/>
    <w:rsid w:val="002E1FA1"/>
    <w:rsid w:val="002E63E1"/>
    <w:rsid w:val="002E6515"/>
    <w:rsid w:val="002E6517"/>
    <w:rsid w:val="002E6687"/>
    <w:rsid w:val="002F2A26"/>
    <w:rsid w:val="002F3A0F"/>
    <w:rsid w:val="002F6957"/>
    <w:rsid w:val="002F6CB3"/>
    <w:rsid w:val="002F7DE5"/>
    <w:rsid w:val="002F7DF1"/>
    <w:rsid w:val="003007EA"/>
    <w:rsid w:val="003027B6"/>
    <w:rsid w:val="00306981"/>
    <w:rsid w:val="00306E9B"/>
    <w:rsid w:val="003078B8"/>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30349"/>
    <w:rsid w:val="003303F9"/>
    <w:rsid w:val="00330A1E"/>
    <w:rsid w:val="00331947"/>
    <w:rsid w:val="00331E2B"/>
    <w:rsid w:val="003321DE"/>
    <w:rsid w:val="00333A73"/>
    <w:rsid w:val="00334700"/>
    <w:rsid w:val="003352BA"/>
    <w:rsid w:val="003366C8"/>
    <w:rsid w:val="0033770B"/>
    <w:rsid w:val="0034072B"/>
    <w:rsid w:val="003412E9"/>
    <w:rsid w:val="00342839"/>
    <w:rsid w:val="003432BF"/>
    <w:rsid w:val="00343A44"/>
    <w:rsid w:val="003444DC"/>
    <w:rsid w:val="00350211"/>
    <w:rsid w:val="003518BF"/>
    <w:rsid w:val="00352DA1"/>
    <w:rsid w:val="0035392C"/>
    <w:rsid w:val="00354558"/>
    <w:rsid w:val="00363564"/>
    <w:rsid w:val="0036465D"/>
    <w:rsid w:val="003717C1"/>
    <w:rsid w:val="00372477"/>
    <w:rsid w:val="00372544"/>
    <w:rsid w:val="0037341B"/>
    <w:rsid w:val="00373563"/>
    <w:rsid w:val="00374BE0"/>
    <w:rsid w:val="00376B5F"/>
    <w:rsid w:val="00377AD9"/>
    <w:rsid w:val="00380288"/>
    <w:rsid w:val="003817A2"/>
    <w:rsid w:val="00385359"/>
    <w:rsid w:val="00385468"/>
    <w:rsid w:val="00390CE7"/>
    <w:rsid w:val="00390DAE"/>
    <w:rsid w:val="00391DFD"/>
    <w:rsid w:val="00393C61"/>
    <w:rsid w:val="00393FF3"/>
    <w:rsid w:val="0039618C"/>
    <w:rsid w:val="0039633A"/>
    <w:rsid w:val="00396B90"/>
    <w:rsid w:val="003A0BC9"/>
    <w:rsid w:val="003A0D26"/>
    <w:rsid w:val="003A21CD"/>
    <w:rsid w:val="003A2A9E"/>
    <w:rsid w:val="003A3557"/>
    <w:rsid w:val="003A40A7"/>
    <w:rsid w:val="003A55FF"/>
    <w:rsid w:val="003A5ADA"/>
    <w:rsid w:val="003A6511"/>
    <w:rsid w:val="003B28A5"/>
    <w:rsid w:val="003B31E2"/>
    <w:rsid w:val="003B3665"/>
    <w:rsid w:val="003B3F9A"/>
    <w:rsid w:val="003B537C"/>
    <w:rsid w:val="003B57A1"/>
    <w:rsid w:val="003B661D"/>
    <w:rsid w:val="003B720D"/>
    <w:rsid w:val="003B760C"/>
    <w:rsid w:val="003C218A"/>
    <w:rsid w:val="003C2305"/>
    <w:rsid w:val="003C4430"/>
    <w:rsid w:val="003C5F3E"/>
    <w:rsid w:val="003C7810"/>
    <w:rsid w:val="003D10DD"/>
    <w:rsid w:val="003D1C0C"/>
    <w:rsid w:val="003D3B16"/>
    <w:rsid w:val="003D60E0"/>
    <w:rsid w:val="003D709B"/>
    <w:rsid w:val="003D7463"/>
    <w:rsid w:val="003E0103"/>
    <w:rsid w:val="003E0A22"/>
    <w:rsid w:val="003E1915"/>
    <w:rsid w:val="003E727F"/>
    <w:rsid w:val="003E7D3D"/>
    <w:rsid w:val="003F01DF"/>
    <w:rsid w:val="003F2C18"/>
    <w:rsid w:val="003F6C0E"/>
    <w:rsid w:val="00407C75"/>
    <w:rsid w:val="00411B14"/>
    <w:rsid w:val="00412C91"/>
    <w:rsid w:val="004132C5"/>
    <w:rsid w:val="00414064"/>
    <w:rsid w:val="00415DFF"/>
    <w:rsid w:val="00417745"/>
    <w:rsid w:val="004233F7"/>
    <w:rsid w:val="00423CA6"/>
    <w:rsid w:val="00430454"/>
    <w:rsid w:val="004326A8"/>
    <w:rsid w:val="004328A4"/>
    <w:rsid w:val="00436B86"/>
    <w:rsid w:val="0043706A"/>
    <w:rsid w:val="004401B0"/>
    <w:rsid w:val="00441154"/>
    <w:rsid w:val="00441D90"/>
    <w:rsid w:val="00442224"/>
    <w:rsid w:val="004444EE"/>
    <w:rsid w:val="00445878"/>
    <w:rsid w:val="0044611A"/>
    <w:rsid w:val="004524CF"/>
    <w:rsid w:val="00452582"/>
    <w:rsid w:val="00454812"/>
    <w:rsid w:val="004549FE"/>
    <w:rsid w:val="00454D38"/>
    <w:rsid w:val="00455C81"/>
    <w:rsid w:val="00457272"/>
    <w:rsid w:val="00457DCC"/>
    <w:rsid w:val="004604A8"/>
    <w:rsid w:val="00461A18"/>
    <w:rsid w:val="00462060"/>
    <w:rsid w:val="00463C1A"/>
    <w:rsid w:val="00463EEC"/>
    <w:rsid w:val="004640FF"/>
    <w:rsid w:val="00465490"/>
    <w:rsid w:val="00473FD3"/>
    <w:rsid w:val="00474746"/>
    <w:rsid w:val="00474A6A"/>
    <w:rsid w:val="00475AAB"/>
    <w:rsid w:val="00477432"/>
    <w:rsid w:val="004774EC"/>
    <w:rsid w:val="00480537"/>
    <w:rsid w:val="00480DA2"/>
    <w:rsid w:val="00481A6C"/>
    <w:rsid w:val="00483709"/>
    <w:rsid w:val="0048389D"/>
    <w:rsid w:val="00486165"/>
    <w:rsid w:val="0049014C"/>
    <w:rsid w:val="00492356"/>
    <w:rsid w:val="00494388"/>
    <w:rsid w:val="004957A2"/>
    <w:rsid w:val="004A0201"/>
    <w:rsid w:val="004A178D"/>
    <w:rsid w:val="004A1C33"/>
    <w:rsid w:val="004A7031"/>
    <w:rsid w:val="004A7A7F"/>
    <w:rsid w:val="004B031B"/>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1F5A"/>
    <w:rsid w:val="004E2562"/>
    <w:rsid w:val="004E2E2F"/>
    <w:rsid w:val="004E7CE8"/>
    <w:rsid w:val="004F1BEF"/>
    <w:rsid w:val="004F2430"/>
    <w:rsid w:val="004F2B91"/>
    <w:rsid w:val="004F3034"/>
    <w:rsid w:val="004F435E"/>
    <w:rsid w:val="004F5DD9"/>
    <w:rsid w:val="00506D24"/>
    <w:rsid w:val="005077D2"/>
    <w:rsid w:val="005118F6"/>
    <w:rsid w:val="0051350A"/>
    <w:rsid w:val="005141F4"/>
    <w:rsid w:val="00514D01"/>
    <w:rsid w:val="00517604"/>
    <w:rsid w:val="00517DA5"/>
    <w:rsid w:val="00517FA4"/>
    <w:rsid w:val="005216E4"/>
    <w:rsid w:val="00525801"/>
    <w:rsid w:val="00530642"/>
    <w:rsid w:val="00530F88"/>
    <w:rsid w:val="00532B1C"/>
    <w:rsid w:val="00532EB9"/>
    <w:rsid w:val="00533388"/>
    <w:rsid w:val="00534E1F"/>
    <w:rsid w:val="00537269"/>
    <w:rsid w:val="00537976"/>
    <w:rsid w:val="005412CE"/>
    <w:rsid w:val="005443C8"/>
    <w:rsid w:val="0054683B"/>
    <w:rsid w:val="00552527"/>
    <w:rsid w:val="005558E1"/>
    <w:rsid w:val="005564A4"/>
    <w:rsid w:val="0055674C"/>
    <w:rsid w:val="005606CB"/>
    <w:rsid w:val="00563265"/>
    <w:rsid w:val="00563FD8"/>
    <w:rsid w:val="00564817"/>
    <w:rsid w:val="0056512E"/>
    <w:rsid w:val="0056561D"/>
    <w:rsid w:val="005668C6"/>
    <w:rsid w:val="005706E9"/>
    <w:rsid w:val="00570849"/>
    <w:rsid w:val="0057158C"/>
    <w:rsid w:val="00576416"/>
    <w:rsid w:val="005778BD"/>
    <w:rsid w:val="00577C65"/>
    <w:rsid w:val="00581121"/>
    <w:rsid w:val="005840B8"/>
    <w:rsid w:val="005842B5"/>
    <w:rsid w:val="00585762"/>
    <w:rsid w:val="005867DF"/>
    <w:rsid w:val="0058780C"/>
    <w:rsid w:val="005900D8"/>
    <w:rsid w:val="005916F1"/>
    <w:rsid w:val="00592081"/>
    <w:rsid w:val="0059618F"/>
    <w:rsid w:val="005A0348"/>
    <w:rsid w:val="005A1F73"/>
    <w:rsid w:val="005A1FA3"/>
    <w:rsid w:val="005A27C0"/>
    <w:rsid w:val="005A4691"/>
    <w:rsid w:val="005A74FF"/>
    <w:rsid w:val="005A7C67"/>
    <w:rsid w:val="005B194A"/>
    <w:rsid w:val="005B234E"/>
    <w:rsid w:val="005B3D8A"/>
    <w:rsid w:val="005B3EC2"/>
    <w:rsid w:val="005C1D68"/>
    <w:rsid w:val="005C2EC7"/>
    <w:rsid w:val="005C58FA"/>
    <w:rsid w:val="005C5F49"/>
    <w:rsid w:val="005C71BC"/>
    <w:rsid w:val="005D2629"/>
    <w:rsid w:val="005D4A78"/>
    <w:rsid w:val="005D54F1"/>
    <w:rsid w:val="005D5820"/>
    <w:rsid w:val="005D7FCF"/>
    <w:rsid w:val="005E00F8"/>
    <w:rsid w:val="005E03EB"/>
    <w:rsid w:val="005E0F63"/>
    <w:rsid w:val="005E3D07"/>
    <w:rsid w:val="005E6B49"/>
    <w:rsid w:val="005E7252"/>
    <w:rsid w:val="005E7AA8"/>
    <w:rsid w:val="005E7F4A"/>
    <w:rsid w:val="005F02C2"/>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66A4C"/>
    <w:rsid w:val="0067005A"/>
    <w:rsid w:val="00680130"/>
    <w:rsid w:val="006824E0"/>
    <w:rsid w:val="00684A68"/>
    <w:rsid w:val="00685883"/>
    <w:rsid w:val="00691C90"/>
    <w:rsid w:val="00692458"/>
    <w:rsid w:val="0069388D"/>
    <w:rsid w:val="00695B6E"/>
    <w:rsid w:val="00695F16"/>
    <w:rsid w:val="006A0160"/>
    <w:rsid w:val="006A31AB"/>
    <w:rsid w:val="006A5215"/>
    <w:rsid w:val="006B18B2"/>
    <w:rsid w:val="006B3640"/>
    <w:rsid w:val="006B61AC"/>
    <w:rsid w:val="006B6C90"/>
    <w:rsid w:val="006B7CA7"/>
    <w:rsid w:val="006C048C"/>
    <w:rsid w:val="006C1521"/>
    <w:rsid w:val="006C39B7"/>
    <w:rsid w:val="006C3C89"/>
    <w:rsid w:val="006C4E7E"/>
    <w:rsid w:val="006C7001"/>
    <w:rsid w:val="006C7362"/>
    <w:rsid w:val="006D11DF"/>
    <w:rsid w:val="006D2547"/>
    <w:rsid w:val="006D3EF5"/>
    <w:rsid w:val="006D47A7"/>
    <w:rsid w:val="006D5286"/>
    <w:rsid w:val="006D6308"/>
    <w:rsid w:val="006E0951"/>
    <w:rsid w:val="006E10A6"/>
    <w:rsid w:val="006E1D32"/>
    <w:rsid w:val="006E4456"/>
    <w:rsid w:val="006E462E"/>
    <w:rsid w:val="006E5856"/>
    <w:rsid w:val="006E5886"/>
    <w:rsid w:val="006E71A5"/>
    <w:rsid w:val="006E73F9"/>
    <w:rsid w:val="006F0585"/>
    <w:rsid w:val="006F47AA"/>
    <w:rsid w:val="006F73C8"/>
    <w:rsid w:val="00700549"/>
    <w:rsid w:val="00700B1E"/>
    <w:rsid w:val="00700B46"/>
    <w:rsid w:val="00702088"/>
    <w:rsid w:val="00702564"/>
    <w:rsid w:val="007033DE"/>
    <w:rsid w:val="00703CCF"/>
    <w:rsid w:val="00705460"/>
    <w:rsid w:val="00712F00"/>
    <w:rsid w:val="00716914"/>
    <w:rsid w:val="00721B04"/>
    <w:rsid w:val="00721E2A"/>
    <w:rsid w:val="00722475"/>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4C36"/>
    <w:rsid w:val="00765ED8"/>
    <w:rsid w:val="00766E67"/>
    <w:rsid w:val="007678AC"/>
    <w:rsid w:val="00770769"/>
    <w:rsid w:val="0077225F"/>
    <w:rsid w:val="00774042"/>
    <w:rsid w:val="007741B9"/>
    <w:rsid w:val="00774FDE"/>
    <w:rsid w:val="00775D89"/>
    <w:rsid w:val="00777EE3"/>
    <w:rsid w:val="007812CF"/>
    <w:rsid w:val="0078367D"/>
    <w:rsid w:val="00784D38"/>
    <w:rsid w:val="00785234"/>
    <w:rsid w:val="00794435"/>
    <w:rsid w:val="00794ACF"/>
    <w:rsid w:val="007A1603"/>
    <w:rsid w:val="007A682A"/>
    <w:rsid w:val="007A7F29"/>
    <w:rsid w:val="007B03DA"/>
    <w:rsid w:val="007B0B0C"/>
    <w:rsid w:val="007B1A7B"/>
    <w:rsid w:val="007B3138"/>
    <w:rsid w:val="007B40DC"/>
    <w:rsid w:val="007B6F78"/>
    <w:rsid w:val="007B75F4"/>
    <w:rsid w:val="007C0875"/>
    <w:rsid w:val="007C10BA"/>
    <w:rsid w:val="007C17C8"/>
    <w:rsid w:val="007C2324"/>
    <w:rsid w:val="007C2806"/>
    <w:rsid w:val="007C5C1B"/>
    <w:rsid w:val="007D3448"/>
    <w:rsid w:val="007E04CD"/>
    <w:rsid w:val="007E4E9A"/>
    <w:rsid w:val="007E6EE6"/>
    <w:rsid w:val="007F1FDA"/>
    <w:rsid w:val="007F29F8"/>
    <w:rsid w:val="007F2D82"/>
    <w:rsid w:val="007F43F2"/>
    <w:rsid w:val="007F48B2"/>
    <w:rsid w:val="007F4EF0"/>
    <w:rsid w:val="007F5CFF"/>
    <w:rsid w:val="0080546C"/>
    <w:rsid w:val="0081013E"/>
    <w:rsid w:val="00810C0D"/>
    <w:rsid w:val="008113B4"/>
    <w:rsid w:val="008114F0"/>
    <w:rsid w:val="00814D74"/>
    <w:rsid w:val="00814DE5"/>
    <w:rsid w:val="00820942"/>
    <w:rsid w:val="008248D1"/>
    <w:rsid w:val="0082586A"/>
    <w:rsid w:val="008261B4"/>
    <w:rsid w:val="00827EDE"/>
    <w:rsid w:val="00832EAB"/>
    <w:rsid w:val="008358B4"/>
    <w:rsid w:val="00842EF4"/>
    <w:rsid w:val="00843D15"/>
    <w:rsid w:val="00845AA0"/>
    <w:rsid w:val="008510FF"/>
    <w:rsid w:val="008518CE"/>
    <w:rsid w:val="008530BE"/>
    <w:rsid w:val="008540FA"/>
    <w:rsid w:val="008606A0"/>
    <w:rsid w:val="00860735"/>
    <w:rsid w:val="00861E1B"/>
    <w:rsid w:val="00863446"/>
    <w:rsid w:val="00863E4E"/>
    <w:rsid w:val="00867895"/>
    <w:rsid w:val="008729CD"/>
    <w:rsid w:val="00875FE9"/>
    <w:rsid w:val="0087684F"/>
    <w:rsid w:val="00876CAC"/>
    <w:rsid w:val="00885A76"/>
    <w:rsid w:val="00886079"/>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1C7C"/>
    <w:rsid w:val="008C208A"/>
    <w:rsid w:val="008C64DA"/>
    <w:rsid w:val="008D0538"/>
    <w:rsid w:val="008D0D9A"/>
    <w:rsid w:val="008D2CA8"/>
    <w:rsid w:val="008D4AA6"/>
    <w:rsid w:val="008E0CD4"/>
    <w:rsid w:val="008E2267"/>
    <w:rsid w:val="008E6827"/>
    <w:rsid w:val="008F0F03"/>
    <w:rsid w:val="008F1341"/>
    <w:rsid w:val="008F2CF5"/>
    <w:rsid w:val="008F3034"/>
    <w:rsid w:val="008F3194"/>
    <w:rsid w:val="008F5E84"/>
    <w:rsid w:val="008F649A"/>
    <w:rsid w:val="008F65FF"/>
    <w:rsid w:val="00901E01"/>
    <w:rsid w:val="00904BC8"/>
    <w:rsid w:val="00904F19"/>
    <w:rsid w:val="00906582"/>
    <w:rsid w:val="00906D5B"/>
    <w:rsid w:val="00907133"/>
    <w:rsid w:val="009071E8"/>
    <w:rsid w:val="009118F6"/>
    <w:rsid w:val="00911EB8"/>
    <w:rsid w:val="00912168"/>
    <w:rsid w:val="009133DF"/>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27A97"/>
    <w:rsid w:val="009306ED"/>
    <w:rsid w:val="00932D30"/>
    <w:rsid w:val="00933BFA"/>
    <w:rsid w:val="00934370"/>
    <w:rsid w:val="00935DC5"/>
    <w:rsid w:val="009369C2"/>
    <w:rsid w:val="00936C28"/>
    <w:rsid w:val="00936DC9"/>
    <w:rsid w:val="00936E45"/>
    <w:rsid w:val="00936F4C"/>
    <w:rsid w:val="0093796A"/>
    <w:rsid w:val="00940816"/>
    <w:rsid w:val="00942585"/>
    <w:rsid w:val="0094333E"/>
    <w:rsid w:val="00943B8D"/>
    <w:rsid w:val="009448F7"/>
    <w:rsid w:val="00945A1D"/>
    <w:rsid w:val="00945CC4"/>
    <w:rsid w:val="00946533"/>
    <w:rsid w:val="00947A11"/>
    <w:rsid w:val="0095050A"/>
    <w:rsid w:val="0095266F"/>
    <w:rsid w:val="00953E59"/>
    <w:rsid w:val="0095533A"/>
    <w:rsid w:val="0095646B"/>
    <w:rsid w:val="00957565"/>
    <w:rsid w:val="00957A99"/>
    <w:rsid w:val="00962D1C"/>
    <w:rsid w:val="00964D8D"/>
    <w:rsid w:val="00964EDA"/>
    <w:rsid w:val="00965A01"/>
    <w:rsid w:val="00965EA8"/>
    <w:rsid w:val="0096731B"/>
    <w:rsid w:val="0096785D"/>
    <w:rsid w:val="009679D6"/>
    <w:rsid w:val="00970842"/>
    <w:rsid w:val="00971125"/>
    <w:rsid w:val="00971F4F"/>
    <w:rsid w:val="009726AE"/>
    <w:rsid w:val="00972D70"/>
    <w:rsid w:val="0097363B"/>
    <w:rsid w:val="00973D2E"/>
    <w:rsid w:val="00974609"/>
    <w:rsid w:val="009746B1"/>
    <w:rsid w:val="00975A13"/>
    <w:rsid w:val="00977BFB"/>
    <w:rsid w:val="00982385"/>
    <w:rsid w:val="00982810"/>
    <w:rsid w:val="009903CC"/>
    <w:rsid w:val="00995B1B"/>
    <w:rsid w:val="0099693F"/>
    <w:rsid w:val="00997834"/>
    <w:rsid w:val="009A1396"/>
    <w:rsid w:val="009A2981"/>
    <w:rsid w:val="009A336D"/>
    <w:rsid w:val="009A5010"/>
    <w:rsid w:val="009A63B5"/>
    <w:rsid w:val="009A7037"/>
    <w:rsid w:val="009C11CF"/>
    <w:rsid w:val="009C13FA"/>
    <w:rsid w:val="009C2AED"/>
    <w:rsid w:val="009C3490"/>
    <w:rsid w:val="009C3BB0"/>
    <w:rsid w:val="009C575D"/>
    <w:rsid w:val="009C72D3"/>
    <w:rsid w:val="009D1FC0"/>
    <w:rsid w:val="009D2863"/>
    <w:rsid w:val="009D4238"/>
    <w:rsid w:val="009D493B"/>
    <w:rsid w:val="009D500B"/>
    <w:rsid w:val="009D5E09"/>
    <w:rsid w:val="009D5EE5"/>
    <w:rsid w:val="009D5F1E"/>
    <w:rsid w:val="009D7580"/>
    <w:rsid w:val="009E00C4"/>
    <w:rsid w:val="009E0C7A"/>
    <w:rsid w:val="009E0E38"/>
    <w:rsid w:val="009E31CD"/>
    <w:rsid w:val="009E53F4"/>
    <w:rsid w:val="009E59FA"/>
    <w:rsid w:val="009F1C23"/>
    <w:rsid w:val="009F46AA"/>
    <w:rsid w:val="009F4FFD"/>
    <w:rsid w:val="009F72C8"/>
    <w:rsid w:val="00A006D5"/>
    <w:rsid w:val="00A01509"/>
    <w:rsid w:val="00A02651"/>
    <w:rsid w:val="00A0337B"/>
    <w:rsid w:val="00A035E4"/>
    <w:rsid w:val="00A03809"/>
    <w:rsid w:val="00A0459A"/>
    <w:rsid w:val="00A07C43"/>
    <w:rsid w:val="00A116EA"/>
    <w:rsid w:val="00A11739"/>
    <w:rsid w:val="00A14311"/>
    <w:rsid w:val="00A143F3"/>
    <w:rsid w:val="00A1579B"/>
    <w:rsid w:val="00A20CEA"/>
    <w:rsid w:val="00A24C42"/>
    <w:rsid w:val="00A2629A"/>
    <w:rsid w:val="00A26F1E"/>
    <w:rsid w:val="00A272D4"/>
    <w:rsid w:val="00A2737A"/>
    <w:rsid w:val="00A303C6"/>
    <w:rsid w:val="00A31E06"/>
    <w:rsid w:val="00A32873"/>
    <w:rsid w:val="00A32B6F"/>
    <w:rsid w:val="00A333F2"/>
    <w:rsid w:val="00A33C82"/>
    <w:rsid w:val="00A34660"/>
    <w:rsid w:val="00A34EAB"/>
    <w:rsid w:val="00A41E01"/>
    <w:rsid w:val="00A435C8"/>
    <w:rsid w:val="00A455F2"/>
    <w:rsid w:val="00A45D6C"/>
    <w:rsid w:val="00A45FBA"/>
    <w:rsid w:val="00A470E3"/>
    <w:rsid w:val="00A513AA"/>
    <w:rsid w:val="00A51781"/>
    <w:rsid w:val="00A541FB"/>
    <w:rsid w:val="00A56985"/>
    <w:rsid w:val="00A577C6"/>
    <w:rsid w:val="00A6051F"/>
    <w:rsid w:val="00A60EED"/>
    <w:rsid w:val="00A621FE"/>
    <w:rsid w:val="00A6232E"/>
    <w:rsid w:val="00A64430"/>
    <w:rsid w:val="00A6480E"/>
    <w:rsid w:val="00A65C0A"/>
    <w:rsid w:val="00A66966"/>
    <w:rsid w:val="00A721C0"/>
    <w:rsid w:val="00A7246E"/>
    <w:rsid w:val="00A7294C"/>
    <w:rsid w:val="00A731B8"/>
    <w:rsid w:val="00A7517C"/>
    <w:rsid w:val="00A774B1"/>
    <w:rsid w:val="00A84013"/>
    <w:rsid w:val="00A84E3E"/>
    <w:rsid w:val="00A856B1"/>
    <w:rsid w:val="00A865E1"/>
    <w:rsid w:val="00A875F3"/>
    <w:rsid w:val="00A87CAE"/>
    <w:rsid w:val="00A9025F"/>
    <w:rsid w:val="00A9080B"/>
    <w:rsid w:val="00A90E16"/>
    <w:rsid w:val="00A91F9D"/>
    <w:rsid w:val="00A94E61"/>
    <w:rsid w:val="00A957B0"/>
    <w:rsid w:val="00A95C4E"/>
    <w:rsid w:val="00A96564"/>
    <w:rsid w:val="00A96CD8"/>
    <w:rsid w:val="00A979FD"/>
    <w:rsid w:val="00AA15EB"/>
    <w:rsid w:val="00AA2D7A"/>
    <w:rsid w:val="00AA2E86"/>
    <w:rsid w:val="00AA3549"/>
    <w:rsid w:val="00AA5307"/>
    <w:rsid w:val="00AB3BAC"/>
    <w:rsid w:val="00AB4AD3"/>
    <w:rsid w:val="00AC0797"/>
    <w:rsid w:val="00AC2EDE"/>
    <w:rsid w:val="00AC53AF"/>
    <w:rsid w:val="00AD1215"/>
    <w:rsid w:val="00AD2BBF"/>
    <w:rsid w:val="00AD4F9D"/>
    <w:rsid w:val="00AD628A"/>
    <w:rsid w:val="00AE05E1"/>
    <w:rsid w:val="00AE0AC0"/>
    <w:rsid w:val="00AE2123"/>
    <w:rsid w:val="00AE486F"/>
    <w:rsid w:val="00AE59E5"/>
    <w:rsid w:val="00AE629D"/>
    <w:rsid w:val="00AE6938"/>
    <w:rsid w:val="00AE6DBC"/>
    <w:rsid w:val="00AF098B"/>
    <w:rsid w:val="00AF0A65"/>
    <w:rsid w:val="00AF223D"/>
    <w:rsid w:val="00AF22E7"/>
    <w:rsid w:val="00AF3254"/>
    <w:rsid w:val="00AF3F61"/>
    <w:rsid w:val="00AF532B"/>
    <w:rsid w:val="00AF5C4F"/>
    <w:rsid w:val="00AF62FB"/>
    <w:rsid w:val="00AF67A9"/>
    <w:rsid w:val="00B003F0"/>
    <w:rsid w:val="00B024D9"/>
    <w:rsid w:val="00B03FFF"/>
    <w:rsid w:val="00B0502D"/>
    <w:rsid w:val="00B058EF"/>
    <w:rsid w:val="00B07F75"/>
    <w:rsid w:val="00B10AB7"/>
    <w:rsid w:val="00B1151B"/>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2163"/>
    <w:rsid w:val="00B55EF6"/>
    <w:rsid w:val="00B56950"/>
    <w:rsid w:val="00B61582"/>
    <w:rsid w:val="00B6217E"/>
    <w:rsid w:val="00B625F2"/>
    <w:rsid w:val="00B627C5"/>
    <w:rsid w:val="00B64367"/>
    <w:rsid w:val="00B64C8C"/>
    <w:rsid w:val="00B65F91"/>
    <w:rsid w:val="00B6769D"/>
    <w:rsid w:val="00B6772A"/>
    <w:rsid w:val="00B83559"/>
    <w:rsid w:val="00B853F1"/>
    <w:rsid w:val="00B86A43"/>
    <w:rsid w:val="00B9019C"/>
    <w:rsid w:val="00B91976"/>
    <w:rsid w:val="00B92CED"/>
    <w:rsid w:val="00B94117"/>
    <w:rsid w:val="00B968C2"/>
    <w:rsid w:val="00BA028D"/>
    <w:rsid w:val="00BA1722"/>
    <w:rsid w:val="00BA24E0"/>
    <w:rsid w:val="00BA3E7C"/>
    <w:rsid w:val="00BA62AA"/>
    <w:rsid w:val="00BA6C5D"/>
    <w:rsid w:val="00BA6DD4"/>
    <w:rsid w:val="00BB1636"/>
    <w:rsid w:val="00BB1B98"/>
    <w:rsid w:val="00BB5BAF"/>
    <w:rsid w:val="00BB6801"/>
    <w:rsid w:val="00BB7B1F"/>
    <w:rsid w:val="00BC12C5"/>
    <w:rsid w:val="00BC3F24"/>
    <w:rsid w:val="00BC4D26"/>
    <w:rsid w:val="00BC5518"/>
    <w:rsid w:val="00BD054F"/>
    <w:rsid w:val="00BD078D"/>
    <w:rsid w:val="00BD429D"/>
    <w:rsid w:val="00BD44A9"/>
    <w:rsid w:val="00BD6D69"/>
    <w:rsid w:val="00BE1539"/>
    <w:rsid w:val="00BE4EDA"/>
    <w:rsid w:val="00BE535E"/>
    <w:rsid w:val="00BF27FA"/>
    <w:rsid w:val="00BF35EB"/>
    <w:rsid w:val="00BF36A0"/>
    <w:rsid w:val="00BF3884"/>
    <w:rsid w:val="00BF52DE"/>
    <w:rsid w:val="00BF6116"/>
    <w:rsid w:val="00C00318"/>
    <w:rsid w:val="00C01BE9"/>
    <w:rsid w:val="00C034D3"/>
    <w:rsid w:val="00C049CA"/>
    <w:rsid w:val="00C055ED"/>
    <w:rsid w:val="00C0693B"/>
    <w:rsid w:val="00C069C1"/>
    <w:rsid w:val="00C07276"/>
    <w:rsid w:val="00C11030"/>
    <w:rsid w:val="00C111B1"/>
    <w:rsid w:val="00C11E48"/>
    <w:rsid w:val="00C12554"/>
    <w:rsid w:val="00C15F4D"/>
    <w:rsid w:val="00C202F8"/>
    <w:rsid w:val="00C20D92"/>
    <w:rsid w:val="00C221C1"/>
    <w:rsid w:val="00C24670"/>
    <w:rsid w:val="00C247EA"/>
    <w:rsid w:val="00C25557"/>
    <w:rsid w:val="00C26441"/>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ADB"/>
    <w:rsid w:val="00C51E26"/>
    <w:rsid w:val="00C54D16"/>
    <w:rsid w:val="00C55135"/>
    <w:rsid w:val="00C55212"/>
    <w:rsid w:val="00C57A55"/>
    <w:rsid w:val="00C62A0C"/>
    <w:rsid w:val="00C635E2"/>
    <w:rsid w:val="00C704CF"/>
    <w:rsid w:val="00C724D0"/>
    <w:rsid w:val="00C72507"/>
    <w:rsid w:val="00C74397"/>
    <w:rsid w:val="00C74A04"/>
    <w:rsid w:val="00C76E2D"/>
    <w:rsid w:val="00C76FFF"/>
    <w:rsid w:val="00C77386"/>
    <w:rsid w:val="00C80421"/>
    <w:rsid w:val="00C818BB"/>
    <w:rsid w:val="00C81DFC"/>
    <w:rsid w:val="00C82214"/>
    <w:rsid w:val="00C8468D"/>
    <w:rsid w:val="00C84E28"/>
    <w:rsid w:val="00C84F08"/>
    <w:rsid w:val="00C90647"/>
    <w:rsid w:val="00C91310"/>
    <w:rsid w:val="00CA0192"/>
    <w:rsid w:val="00CA25AD"/>
    <w:rsid w:val="00CA43F1"/>
    <w:rsid w:val="00CA4FDE"/>
    <w:rsid w:val="00CA70E7"/>
    <w:rsid w:val="00CB228A"/>
    <w:rsid w:val="00CB2E17"/>
    <w:rsid w:val="00CB3056"/>
    <w:rsid w:val="00CB3987"/>
    <w:rsid w:val="00CB7157"/>
    <w:rsid w:val="00CB7E08"/>
    <w:rsid w:val="00CC42B1"/>
    <w:rsid w:val="00CC4F4F"/>
    <w:rsid w:val="00CC5AD8"/>
    <w:rsid w:val="00CD434F"/>
    <w:rsid w:val="00CE1D90"/>
    <w:rsid w:val="00CE2446"/>
    <w:rsid w:val="00CE5F47"/>
    <w:rsid w:val="00CE5F5B"/>
    <w:rsid w:val="00CE6986"/>
    <w:rsid w:val="00CE78F5"/>
    <w:rsid w:val="00CF24D4"/>
    <w:rsid w:val="00CF3925"/>
    <w:rsid w:val="00D01536"/>
    <w:rsid w:val="00D027B9"/>
    <w:rsid w:val="00D0489B"/>
    <w:rsid w:val="00D052B4"/>
    <w:rsid w:val="00D061EE"/>
    <w:rsid w:val="00D07A8B"/>
    <w:rsid w:val="00D10F72"/>
    <w:rsid w:val="00D16A76"/>
    <w:rsid w:val="00D17891"/>
    <w:rsid w:val="00D206E0"/>
    <w:rsid w:val="00D223CA"/>
    <w:rsid w:val="00D228B8"/>
    <w:rsid w:val="00D25E0F"/>
    <w:rsid w:val="00D26E0D"/>
    <w:rsid w:val="00D27637"/>
    <w:rsid w:val="00D30343"/>
    <w:rsid w:val="00D3635A"/>
    <w:rsid w:val="00D36920"/>
    <w:rsid w:val="00D36B09"/>
    <w:rsid w:val="00D434D3"/>
    <w:rsid w:val="00D4358F"/>
    <w:rsid w:val="00D443D7"/>
    <w:rsid w:val="00D5188B"/>
    <w:rsid w:val="00D520E7"/>
    <w:rsid w:val="00D53C66"/>
    <w:rsid w:val="00D56DA0"/>
    <w:rsid w:val="00D62793"/>
    <w:rsid w:val="00D627BE"/>
    <w:rsid w:val="00D6578B"/>
    <w:rsid w:val="00D6578F"/>
    <w:rsid w:val="00D65905"/>
    <w:rsid w:val="00D67E6B"/>
    <w:rsid w:val="00D71B35"/>
    <w:rsid w:val="00D74DFD"/>
    <w:rsid w:val="00D770C8"/>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0C73"/>
    <w:rsid w:val="00DA48F8"/>
    <w:rsid w:val="00DA5524"/>
    <w:rsid w:val="00DA60A4"/>
    <w:rsid w:val="00DB0295"/>
    <w:rsid w:val="00DB207B"/>
    <w:rsid w:val="00DB3285"/>
    <w:rsid w:val="00DB5138"/>
    <w:rsid w:val="00DB6108"/>
    <w:rsid w:val="00DC008F"/>
    <w:rsid w:val="00DC249F"/>
    <w:rsid w:val="00DD4464"/>
    <w:rsid w:val="00DD6074"/>
    <w:rsid w:val="00DD6163"/>
    <w:rsid w:val="00DD693A"/>
    <w:rsid w:val="00DE014A"/>
    <w:rsid w:val="00DE0369"/>
    <w:rsid w:val="00DE125D"/>
    <w:rsid w:val="00DE5620"/>
    <w:rsid w:val="00DE5C6B"/>
    <w:rsid w:val="00DE6056"/>
    <w:rsid w:val="00DE6090"/>
    <w:rsid w:val="00DF1CBC"/>
    <w:rsid w:val="00DF294D"/>
    <w:rsid w:val="00DF3EFE"/>
    <w:rsid w:val="00E02685"/>
    <w:rsid w:val="00E0642F"/>
    <w:rsid w:val="00E104DF"/>
    <w:rsid w:val="00E17DC5"/>
    <w:rsid w:val="00E21634"/>
    <w:rsid w:val="00E22B87"/>
    <w:rsid w:val="00E25BA6"/>
    <w:rsid w:val="00E27141"/>
    <w:rsid w:val="00E272E4"/>
    <w:rsid w:val="00E31382"/>
    <w:rsid w:val="00E31596"/>
    <w:rsid w:val="00E3510F"/>
    <w:rsid w:val="00E3663A"/>
    <w:rsid w:val="00E367AD"/>
    <w:rsid w:val="00E3733D"/>
    <w:rsid w:val="00E40792"/>
    <w:rsid w:val="00E41BFA"/>
    <w:rsid w:val="00E42438"/>
    <w:rsid w:val="00E43879"/>
    <w:rsid w:val="00E43DCB"/>
    <w:rsid w:val="00E45226"/>
    <w:rsid w:val="00E45436"/>
    <w:rsid w:val="00E47EAF"/>
    <w:rsid w:val="00E55664"/>
    <w:rsid w:val="00E563D9"/>
    <w:rsid w:val="00E56F2D"/>
    <w:rsid w:val="00E5710E"/>
    <w:rsid w:val="00E577E9"/>
    <w:rsid w:val="00E615C6"/>
    <w:rsid w:val="00E63F4F"/>
    <w:rsid w:val="00E64DA3"/>
    <w:rsid w:val="00E679F9"/>
    <w:rsid w:val="00E7101C"/>
    <w:rsid w:val="00E710F2"/>
    <w:rsid w:val="00E72731"/>
    <w:rsid w:val="00E73A87"/>
    <w:rsid w:val="00E76C52"/>
    <w:rsid w:val="00E80174"/>
    <w:rsid w:val="00E80B1C"/>
    <w:rsid w:val="00E84ABC"/>
    <w:rsid w:val="00E870E4"/>
    <w:rsid w:val="00E8796B"/>
    <w:rsid w:val="00E90C07"/>
    <w:rsid w:val="00E928D9"/>
    <w:rsid w:val="00E93F27"/>
    <w:rsid w:val="00E94350"/>
    <w:rsid w:val="00E97B77"/>
    <w:rsid w:val="00EA060C"/>
    <w:rsid w:val="00EA4041"/>
    <w:rsid w:val="00EA4C6B"/>
    <w:rsid w:val="00EA7109"/>
    <w:rsid w:val="00EB103A"/>
    <w:rsid w:val="00EB256E"/>
    <w:rsid w:val="00EB26B6"/>
    <w:rsid w:val="00EB44CD"/>
    <w:rsid w:val="00EB70EE"/>
    <w:rsid w:val="00EC0190"/>
    <w:rsid w:val="00EC3146"/>
    <w:rsid w:val="00EC3F43"/>
    <w:rsid w:val="00EC4BB0"/>
    <w:rsid w:val="00EC4C64"/>
    <w:rsid w:val="00EC7202"/>
    <w:rsid w:val="00ED2843"/>
    <w:rsid w:val="00ED2D73"/>
    <w:rsid w:val="00ED2DE6"/>
    <w:rsid w:val="00ED4AAB"/>
    <w:rsid w:val="00EE285A"/>
    <w:rsid w:val="00EE3372"/>
    <w:rsid w:val="00EE4CF8"/>
    <w:rsid w:val="00EE5549"/>
    <w:rsid w:val="00EE5A45"/>
    <w:rsid w:val="00EE6F7A"/>
    <w:rsid w:val="00EF1F94"/>
    <w:rsid w:val="00EF273A"/>
    <w:rsid w:val="00EF46D9"/>
    <w:rsid w:val="00EF6148"/>
    <w:rsid w:val="00EF61E9"/>
    <w:rsid w:val="00EF7E3E"/>
    <w:rsid w:val="00EF7E5C"/>
    <w:rsid w:val="00F03A6B"/>
    <w:rsid w:val="00F04F4D"/>
    <w:rsid w:val="00F071B9"/>
    <w:rsid w:val="00F07604"/>
    <w:rsid w:val="00F109DA"/>
    <w:rsid w:val="00F122F6"/>
    <w:rsid w:val="00F14625"/>
    <w:rsid w:val="00F15189"/>
    <w:rsid w:val="00F1598A"/>
    <w:rsid w:val="00F20F66"/>
    <w:rsid w:val="00F21E51"/>
    <w:rsid w:val="00F25056"/>
    <w:rsid w:val="00F26716"/>
    <w:rsid w:val="00F26C97"/>
    <w:rsid w:val="00F27C69"/>
    <w:rsid w:val="00F30FA6"/>
    <w:rsid w:val="00F3287A"/>
    <w:rsid w:val="00F34BCF"/>
    <w:rsid w:val="00F351DC"/>
    <w:rsid w:val="00F3576A"/>
    <w:rsid w:val="00F35EB0"/>
    <w:rsid w:val="00F373D8"/>
    <w:rsid w:val="00F4075C"/>
    <w:rsid w:val="00F40A6B"/>
    <w:rsid w:val="00F41308"/>
    <w:rsid w:val="00F41387"/>
    <w:rsid w:val="00F4308C"/>
    <w:rsid w:val="00F43818"/>
    <w:rsid w:val="00F43B50"/>
    <w:rsid w:val="00F44AAE"/>
    <w:rsid w:val="00F4545C"/>
    <w:rsid w:val="00F52326"/>
    <w:rsid w:val="00F53EE8"/>
    <w:rsid w:val="00F545A8"/>
    <w:rsid w:val="00F5475F"/>
    <w:rsid w:val="00F54857"/>
    <w:rsid w:val="00F5666F"/>
    <w:rsid w:val="00F56E41"/>
    <w:rsid w:val="00F571EC"/>
    <w:rsid w:val="00F57ABE"/>
    <w:rsid w:val="00F60B1B"/>
    <w:rsid w:val="00F622D7"/>
    <w:rsid w:val="00F63DDE"/>
    <w:rsid w:val="00F64350"/>
    <w:rsid w:val="00F658A9"/>
    <w:rsid w:val="00F71652"/>
    <w:rsid w:val="00F73F7C"/>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2E62"/>
    <w:rsid w:val="00FA4E6F"/>
    <w:rsid w:val="00FA5C1A"/>
    <w:rsid w:val="00FA6EFF"/>
    <w:rsid w:val="00FB0F2E"/>
    <w:rsid w:val="00FB3E04"/>
    <w:rsid w:val="00FB4F23"/>
    <w:rsid w:val="00FB7092"/>
    <w:rsid w:val="00FC1860"/>
    <w:rsid w:val="00FC1B7F"/>
    <w:rsid w:val="00FC1F3B"/>
    <w:rsid w:val="00FC20D4"/>
    <w:rsid w:val="00FC4A8E"/>
    <w:rsid w:val="00FC5688"/>
    <w:rsid w:val="00FC7C00"/>
    <w:rsid w:val="00FC7EAD"/>
    <w:rsid w:val="00FD13BC"/>
    <w:rsid w:val="00FD3169"/>
    <w:rsid w:val="00FD4961"/>
    <w:rsid w:val="00FD7976"/>
    <w:rsid w:val="00FE0686"/>
    <w:rsid w:val="00FE46F1"/>
    <w:rsid w:val="00FE492D"/>
    <w:rsid w:val="00FE508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3D483BC2"/>
  <w15:docId w15:val="{33075815-F36D-424E-9A45-E1F1CDDF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1311B9"/>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1311B9"/>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Paragraph">
    <w:name w:val="List Paragraph"/>
    <w:basedOn w:val="Normal"/>
    <w:uiPriority w:val="34"/>
    <w:locked/>
    <w:rsid w:val="00967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05879888">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todate.com/contents/hypophosphatemia-evaluation-and-treatment?search=hypophosphataemia&amp;source=search_result&amp;selectedTitle=1%7E150&amp;usage_type=default&amp;display_rank=1" TargetMode="External"/><Relationship Id="rId18" Type="http://schemas.openxmlformats.org/officeDocument/2006/relationships/hyperlink" Target="https://www.health.qld.gov.au/__data/assets/pdf_file/0027/1006587/electrolyte-prescribe-gline-adult.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uptodate.com/contents/clinical-manifestations-and-treatment-of-hypokalemia-in-adults?search=hypokalaemia&amp;source=search_result&amp;selectedTitle=1%7E150&amp;usage_type=default&amp;display_rank=1" TargetMode="External"/><Relationship Id="rId17" Type="http://schemas.openxmlformats.org/officeDocument/2006/relationships/hyperlink" Target="https://www.uptodate.com/contents/treatment-of-hypocalcemia?search=goltzman%20hypocalcemia&amp;source=search_result&amp;selectedTitle=5%7E150&amp;usage_type=default&amp;display_rank=4"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ptodate.com/" TargetMode="External"/><Relationship Id="rId20" Type="http://schemas.openxmlformats.org/officeDocument/2006/relationships/image" Target="media/image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cromedexsolutions.com/"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www.uptodate.com/contents/hypomagnesemia-evaluation-and-treatment?search=hypomagnesemia&amp;source=search_result&amp;selectedTitle=1%7E150&amp;usage_type=default&amp;display_rank=1" TargetMode="External"/><Relationship Id="rId23" Type="http://schemas.openxmlformats.org/officeDocument/2006/relationships/hyperlink" Target="https://www.canberrahealthservices.act.gov.au/accessibilit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tralianprescriber.tg.org.au/articles/magnesium-the-forgotten-electrolyte.html"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1F5B00AF5F42ECAA81D2C169DEFE0A"/>
        <w:category>
          <w:name w:val="General"/>
          <w:gallery w:val="placeholder"/>
        </w:category>
        <w:types>
          <w:type w:val="bbPlcHdr"/>
        </w:types>
        <w:behaviors>
          <w:behavior w:val="content"/>
        </w:behaviors>
        <w:guid w:val="{5A321791-0CF9-4488-8865-1641E04CC2B9}"/>
      </w:docPartPr>
      <w:docPartBody>
        <w:p w:rsidR="00252DBB" w:rsidRDefault="00252DBB">
          <w:pPr>
            <w:pStyle w:val="041F5B00AF5F42ECAA81D2C169DEFE0A"/>
          </w:pPr>
          <w:r>
            <w:rPr>
              <w:noProof/>
              <w:sz w:val="20"/>
              <w:szCs w:val="20"/>
            </w:rPr>
            <w:drawing>
              <wp:inline distT="0" distB="0" distL="0" distR="0" wp14:anchorId="08DF4276" wp14:editId="08DF4277">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CBA84ABEA7704C41A777D00F62AF93A3"/>
        <w:category>
          <w:name w:val="General"/>
          <w:gallery w:val="placeholder"/>
        </w:category>
        <w:types>
          <w:type w:val="bbPlcHdr"/>
        </w:types>
        <w:behaviors>
          <w:behavior w:val="content"/>
        </w:behaviors>
        <w:guid w:val="{29847790-DDBD-40DD-9E6A-720E081470B1}"/>
      </w:docPartPr>
      <w:docPartBody>
        <w:p w:rsidR="00252DBB" w:rsidRDefault="00252DBB">
          <w:pPr>
            <w:pStyle w:val="CBA84ABEA7704C41A777D00F62AF93A3"/>
          </w:pPr>
          <w:r w:rsidRPr="00EE29F8">
            <w:rPr>
              <w:rStyle w:val="PlaceholderText"/>
            </w:rPr>
            <w:t>Choose an item.</w:t>
          </w:r>
        </w:p>
      </w:docPartBody>
    </w:docPart>
    <w:docPart>
      <w:docPartPr>
        <w:name w:val="5F986FFBA81F41948085A72F4B364CDD"/>
        <w:category>
          <w:name w:val="General"/>
          <w:gallery w:val="placeholder"/>
        </w:category>
        <w:types>
          <w:type w:val="bbPlcHdr"/>
        </w:types>
        <w:behaviors>
          <w:behavior w:val="content"/>
        </w:behaviors>
        <w:guid w:val="{91719AF8-8F07-4BBC-A7E0-9BE43FF95095}"/>
      </w:docPartPr>
      <w:docPartBody>
        <w:p w:rsidR="00252DBB" w:rsidRPr="00F26C97" w:rsidRDefault="00252DBB" w:rsidP="003B0E72">
          <w:pPr>
            <w:pStyle w:val="Bottomblocktext"/>
            <w:rPr>
              <w:b/>
              <w:bCs w:val="0"/>
              <w:sz w:val="20"/>
              <w:szCs w:val="20"/>
            </w:rPr>
          </w:pPr>
          <w:r>
            <w:rPr>
              <w:b/>
              <w:bCs w:val="0"/>
              <w:noProof/>
              <w:sz w:val="20"/>
              <w:szCs w:val="20"/>
            </w:rPr>
            <w:drawing>
              <wp:inline distT="0" distB="0" distL="0" distR="0" wp14:anchorId="08DF4278" wp14:editId="08DF4279">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8DF427A" wp14:editId="08DF427B">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252DBB" w:rsidRPr="00F26C97" w:rsidRDefault="00252DBB" w:rsidP="003B0E72">
          <w:pPr>
            <w:pStyle w:val="Bottomblocktext"/>
            <w:rPr>
              <w:b/>
              <w:bCs w:val="0"/>
              <w:sz w:val="20"/>
              <w:szCs w:val="20"/>
            </w:rPr>
          </w:pPr>
          <w:r>
            <w:rPr>
              <w:b/>
              <w:bCs w:val="0"/>
              <w:noProof/>
              <w:sz w:val="20"/>
              <w:szCs w:val="20"/>
            </w:rPr>
            <w:drawing>
              <wp:inline distT="0" distB="0" distL="0" distR="0" wp14:anchorId="08DF427C" wp14:editId="08DF427D">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08DF427E" wp14:editId="08DF427F">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252DBB" w:rsidRDefault="00542A61" w:rsidP="003B0E72">
          <w:pPr>
            <w:pStyle w:val="Bottomblocktext"/>
            <w:rPr>
              <w:sz w:val="20"/>
              <w:szCs w:val="20"/>
            </w:rPr>
          </w:pPr>
          <w:hyperlink r:id="rId8" w:history="1">
            <w:r w:rsidR="00252DBB" w:rsidRPr="00350211">
              <w:rPr>
                <w:rStyle w:val="Hyperlink"/>
                <w:sz w:val="20"/>
                <w:szCs w:val="20"/>
              </w:rPr>
              <w:t>canberrahealthservices.act.gov.au/accessibility</w:t>
            </w:r>
          </w:hyperlink>
        </w:p>
        <w:p w:rsidR="00252DBB" w:rsidRDefault="00252DBB">
          <w:pPr>
            <w:pStyle w:val="5F986FFBA81F41948085A72F4B364CDD"/>
          </w:pPr>
          <w:r>
            <w:rPr>
              <w:b/>
              <w:bCs/>
              <w:noProof/>
            </w:rPr>
            <w:drawing>
              <wp:inline distT="0" distB="0" distL="0" distR="0" wp14:anchorId="08DF4280" wp14:editId="08DF4281">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BB"/>
    <w:rsid w:val="0004010E"/>
    <w:rsid w:val="001F1300"/>
    <w:rsid w:val="00252DBB"/>
    <w:rsid w:val="003B537C"/>
    <w:rsid w:val="00613AD3"/>
    <w:rsid w:val="006B57DF"/>
    <w:rsid w:val="006C0AA0"/>
    <w:rsid w:val="006D5286"/>
    <w:rsid w:val="00765ED8"/>
    <w:rsid w:val="007C17C8"/>
    <w:rsid w:val="009133DF"/>
    <w:rsid w:val="00973D2E"/>
    <w:rsid w:val="00974609"/>
    <w:rsid w:val="009B743D"/>
    <w:rsid w:val="009C751E"/>
    <w:rsid w:val="00A211DB"/>
    <w:rsid w:val="00B003F0"/>
    <w:rsid w:val="00C0693B"/>
    <w:rsid w:val="00C069C1"/>
    <w:rsid w:val="00C94DEC"/>
    <w:rsid w:val="00DB43C2"/>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ml-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1F5B00AF5F42ECAA81D2C169DEFE0A">
    <w:name w:val="041F5B00AF5F42ECAA81D2C169DEFE0A"/>
    <w:rPr>
      <w:rFonts w:cs="Arial Unicode MS"/>
    </w:rPr>
  </w:style>
  <w:style w:type="character" w:styleId="PlaceholderText">
    <w:name w:val="Placeholder Text"/>
    <w:basedOn w:val="DefaultParagraphFont"/>
    <w:uiPriority w:val="99"/>
    <w:semiHidden/>
    <w:rPr>
      <w:color w:val="808080"/>
    </w:rPr>
  </w:style>
  <w:style w:type="paragraph" w:customStyle="1" w:styleId="CBA84ABEA7704C41A777D00F62AF93A3">
    <w:name w:val="CBA84ABEA7704C41A777D00F62AF93A3"/>
    <w:rPr>
      <w:rFonts w:cs="Arial Unicode MS"/>
    </w:rPr>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bidi="ar-SA"/>
      <w14:ligatures w14:val="none"/>
    </w:rPr>
  </w:style>
  <w:style w:type="paragraph" w:customStyle="1" w:styleId="5F986FFBA81F41948085A72F4B364CDD">
    <w:name w:val="5F986FFBA81F41948085A72F4B364CDD"/>
    <w:rPr>
      <w:rFonts w:cs="Arial Unicode M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42CE7937AD647A0B45B4D5544D171" ma:contentTypeVersion="12" ma:contentTypeDescription="Create a new document." ma:contentTypeScope="" ma:versionID="dc0b1bf963f4b8165c5fef1134a318f1">
  <xsd:schema xmlns:xsd="http://www.w3.org/2001/XMLSchema" xmlns:xs="http://www.w3.org/2001/XMLSchema" xmlns:p="http://schemas.microsoft.com/office/2006/metadata/properties" xmlns:ns2="0c8e588b-9c83-49d3-a6c8-a54de8f95e6a" xmlns:ns3="f3ff228f-843a-44fe-af81-06058022e5cf" targetNamespace="http://schemas.microsoft.com/office/2006/metadata/properties" ma:root="true" ma:fieldsID="25eb1eb3e58beb9e55c075f651cd9151" ns2:_="" ns3:_="">
    <xsd:import namespace="0c8e588b-9c83-49d3-a6c8-a54de8f95e6a"/>
    <xsd:import namespace="f3ff228f-843a-44fe-af81-06058022e5cf"/>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ff228f-843a-44fe-af81-06058022e5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85D02-0E57-4E7C-8EC4-038B366E1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f3ff228f-843a-44fe-af81-06058022e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3.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0c8e588b-9c83-49d3-a6c8-a54de8f95e6a"/>
  </ds:schemaRefs>
</ds:datastoreItem>
</file>

<file path=customXml/itemProps4.xml><?xml version="1.0" encoding="utf-8"?>
<ds:datastoreItem xmlns:ds="http://schemas.openxmlformats.org/officeDocument/2006/customXml" ds:itemID="{B2AA44A3-6D18-4ED3-A200-2EEC34EF0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3478</Words>
  <Characters>19829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23261</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Report Template</dc:title>
  <dc:creator>Thomas, Raichel (Health)</dc:creator>
  <cp:lastModifiedBy>Rusanov, Zoia</cp:lastModifiedBy>
  <cp:revision>3</cp:revision>
  <cp:lastPrinted>2017-05-22T07:29:00Z</cp:lastPrinted>
  <dcterms:created xsi:type="dcterms:W3CDTF">2025-01-30T23:20:00Z</dcterms:created>
  <dcterms:modified xsi:type="dcterms:W3CDTF">2025-02-11T00:44:00Z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0x0101008CF42CE7937AD647A0B45B4D5544D171</vt:lpwstr>
  </property>
</Properties>
</file>