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50D5" w14:textId="1B60CE54" w:rsidR="004F3DA2" w:rsidRPr="004F3DA2" w:rsidRDefault="00EE0C5F" w:rsidP="004F3DA2">
      <w:pPr>
        <w:pStyle w:val="Heading1"/>
        <w:rPr>
          <w:b w:val="0"/>
          <w:bCs w:val="0"/>
        </w:rPr>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652E7B0D" w14:textId="7BBFA9A2" w:rsidR="00197F2E" w:rsidRPr="009A71C6" w:rsidRDefault="004F3DA2" w:rsidP="00197F2E">
      <w:pPr>
        <w:pStyle w:val="Heading2"/>
        <w:rPr>
          <w:color w:val="595959" w:themeColor="text1" w:themeTint="A6"/>
          <w:sz w:val="36"/>
          <w:szCs w:val="36"/>
        </w:rPr>
      </w:pPr>
      <w:r w:rsidRPr="009A71C6">
        <w:rPr>
          <w:color w:val="595959" w:themeColor="text1" w:themeTint="A6"/>
          <w:sz w:val="36"/>
          <w:szCs w:val="36"/>
        </w:rPr>
        <w:t xml:space="preserve">Heavy Vehicle </w:t>
      </w:r>
      <w:r w:rsidR="00307145" w:rsidRPr="009A71C6">
        <w:rPr>
          <w:color w:val="595959" w:themeColor="text1" w:themeTint="A6"/>
          <w:sz w:val="36"/>
          <w:szCs w:val="36"/>
        </w:rPr>
        <w:t xml:space="preserve">Driver </w:t>
      </w:r>
      <w:r w:rsidRPr="009A71C6">
        <w:rPr>
          <w:color w:val="595959" w:themeColor="text1" w:themeTint="A6"/>
          <w:sz w:val="36"/>
          <w:szCs w:val="36"/>
        </w:rPr>
        <w:t>Licence</w:t>
      </w:r>
      <w:r w:rsidR="00307145" w:rsidRPr="009A71C6">
        <w:rPr>
          <w:color w:val="595959" w:themeColor="text1" w:themeTint="A6"/>
          <w:sz w:val="36"/>
          <w:szCs w:val="36"/>
        </w:rPr>
        <w:t xml:space="preserve"> Medica</w:t>
      </w:r>
      <w:r w:rsidR="00D50070" w:rsidRPr="009A71C6">
        <w:rPr>
          <w:color w:val="595959" w:themeColor="text1" w:themeTint="A6"/>
          <w:sz w:val="36"/>
          <w:szCs w:val="36"/>
        </w:rPr>
        <w:t>l</w:t>
      </w:r>
      <w:r w:rsidR="00307145" w:rsidRPr="009A71C6">
        <w:rPr>
          <w:color w:val="595959" w:themeColor="text1" w:themeTint="A6"/>
          <w:sz w:val="36"/>
          <w:szCs w:val="36"/>
        </w:rPr>
        <w:t xml:space="preserve"> Conditions – Mandatory Reporting</w:t>
      </w:r>
    </w:p>
    <w:p w14:paraId="43339350" w14:textId="1C4712AD" w:rsidR="00CA4FDE" w:rsidRPr="00C34A10" w:rsidRDefault="00E31596" w:rsidP="00C34A10">
      <w:pPr>
        <w:pStyle w:val="BodyCopy"/>
        <w:spacing w:before="0" w:line="240" w:lineRule="auto"/>
        <w:rPr>
          <w:color w:val="575757" w:themeColor="text2"/>
        </w:rPr>
      </w:pPr>
      <w:r w:rsidRPr="00197F2E">
        <w:t>CHS</w:t>
      </w:r>
      <w:r w:rsidR="005A39B7">
        <w:t>2</w:t>
      </w:r>
      <w:r w:rsidR="00120CF6">
        <w:t>6</w:t>
      </w:r>
      <w:r w:rsidRPr="00197F2E">
        <w:t>/</w:t>
      </w:r>
      <w:r w:rsidR="00120CF6">
        <w:t>078</w:t>
      </w:r>
      <w:r w:rsidRPr="00E31596">
        <w:t xml:space="preserve"> </w:t>
      </w:r>
      <w:bookmarkStart w:id="0" w:name="_Hlk157074578"/>
    </w:p>
    <w:sdt>
      <w:sdtPr>
        <w:rPr>
          <w:sz w:val="32"/>
          <w:szCs w:val="32"/>
        </w:rPr>
        <w:id w:val="-1206019646"/>
        <w:docPartObj>
          <w:docPartGallery w:val="Table of Contents"/>
          <w:docPartUnique/>
        </w:docPartObj>
      </w:sdtPr>
      <w:sdtEndPr>
        <w:rPr>
          <w:noProof/>
        </w:rPr>
      </w:sdtEndPr>
      <w:sdtContent>
        <w:p w14:paraId="2CA74BFD" w14:textId="77777777" w:rsidR="00A731B8" w:rsidRPr="000E7683" w:rsidRDefault="00A731B8">
          <w:pPr>
            <w:pStyle w:val="TOCHeading"/>
            <w:rPr>
              <w:rStyle w:val="Heading3Char"/>
              <w:b/>
              <w:bCs w:val="0"/>
            </w:rPr>
          </w:pPr>
          <w:r w:rsidRPr="007B1A7B">
            <w:rPr>
              <w:rStyle w:val="Heading3Char"/>
              <w:b/>
              <w:bCs w:val="0"/>
            </w:rPr>
            <w:t>Contents</w:t>
          </w:r>
        </w:p>
        <w:p w14:paraId="7D35655B" w14:textId="11A63936" w:rsidR="00B55FC1"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25406741" w:history="1">
            <w:r w:rsidR="00B55FC1" w:rsidRPr="00214264">
              <w:rPr>
                <w:rStyle w:val="Hyperlink"/>
              </w:rPr>
              <w:t>Purpose</w:t>
            </w:r>
            <w:r w:rsidR="00B55FC1">
              <w:rPr>
                <w:webHidden/>
              </w:rPr>
              <w:tab/>
            </w:r>
            <w:r w:rsidR="00B55FC1">
              <w:rPr>
                <w:webHidden/>
              </w:rPr>
              <w:fldChar w:fldCharType="begin"/>
            </w:r>
            <w:r w:rsidR="00B55FC1">
              <w:rPr>
                <w:webHidden/>
              </w:rPr>
              <w:instrText xml:space="preserve"> PAGEREF _Toc225406741 \h </w:instrText>
            </w:r>
            <w:r w:rsidR="00B55FC1">
              <w:rPr>
                <w:webHidden/>
              </w:rPr>
            </w:r>
            <w:r w:rsidR="00B55FC1">
              <w:rPr>
                <w:webHidden/>
              </w:rPr>
              <w:fldChar w:fldCharType="separate"/>
            </w:r>
            <w:r w:rsidR="00B55FC1">
              <w:rPr>
                <w:webHidden/>
              </w:rPr>
              <w:t>2</w:t>
            </w:r>
            <w:r w:rsidR="00B55FC1">
              <w:rPr>
                <w:webHidden/>
              </w:rPr>
              <w:fldChar w:fldCharType="end"/>
            </w:r>
          </w:hyperlink>
        </w:p>
        <w:p w14:paraId="047E51F1" w14:textId="25490882" w:rsidR="00B55FC1" w:rsidRDefault="00B55FC1">
          <w:pPr>
            <w:pStyle w:val="TOC1"/>
            <w:rPr>
              <w:rFonts w:asciiTheme="minorHAnsi" w:eastAsiaTheme="minorEastAsia" w:hAnsiTheme="minorHAnsi" w:cstheme="minorBidi"/>
              <w:color w:val="auto"/>
              <w:kern w:val="2"/>
              <w14:ligatures w14:val="standardContextual"/>
            </w:rPr>
          </w:pPr>
          <w:hyperlink w:anchor="_Toc225406742" w:history="1">
            <w:r w:rsidRPr="00214264">
              <w:rPr>
                <w:rStyle w:val="Hyperlink"/>
              </w:rPr>
              <w:t>Scope</w:t>
            </w:r>
            <w:r>
              <w:rPr>
                <w:webHidden/>
              </w:rPr>
              <w:tab/>
            </w:r>
            <w:r>
              <w:rPr>
                <w:webHidden/>
              </w:rPr>
              <w:fldChar w:fldCharType="begin"/>
            </w:r>
            <w:r>
              <w:rPr>
                <w:webHidden/>
              </w:rPr>
              <w:instrText xml:space="preserve"> PAGEREF _Toc225406742 \h </w:instrText>
            </w:r>
            <w:r>
              <w:rPr>
                <w:webHidden/>
              </w:rPr>
            </w:r>
            <w:r>
              <w:rPr>
                <w:webHidden/>
              </w:rPr>
              <w:fldChar w:fldCharType="separate"/>
            </w:r>
            <w:r>
              <w:rPr>
                <w:webHidden/>
              </w:rPr>
              <w:t>2</w:t>
            </w:r>
            <w:r>
              <w:rPr>
                <w:webHidden/>
              </w:rPr>
              <w:fldChar w:fldCharType="end"/>
            </w:r>
          </w:hyperlink>
        </w:p>
        <w:p w14:paraId="7D1A4404" w14:textId="6AC59131" w:rsidR="00B55FC1" w:rsidRDefault="00B55FC1">
          <w:pPr>
            <w:pStyle w:val="TOC1"/>
            <w:rPr>
              <w:rFonts w:asciiTheme="minorHAnsi" w:eastAsiaTheme="minorEastAsia" w:hAnsiTheme="minorHAnsi" w:cstheme="minorBidi"/>
              <w:color w:val="auto"/>
              <w:kern w:val="2"/>
              <w14:ligatures w14:val="standardContextual"/>
            </w:rPr>
          </w:pPr>
          <w:hyperlink w:anchor="_Toc225406743" w:history="1">
            <w:r w:rsidRPr="00214264">
              <w:rPr>
                <w:rStyle w:val="Hyperlink"/>
              </w:rPr>
              <w:t>Section 1 - Procedure</w:t>
            </w:r>
            <w:r>
              <w:rPr>
                <w:webHidden/>
              </w:rPr>
              <w:tab/>
            </w:r>
            <w:r>
              <w:rPr>
                <w:webHidden/>
              </w:rPr>
              <w:fldChar w:fldCharType="begin"/>
            </w:r>
            <w:r>
              <w:rPr>
                <w:webHidden/>
              </w:rPr>
              <w:instrText xml:space="preserve"> PAGEREF _Toc225406743 \h </w:instrText>
            </w:r>
            <w:r>
              <w:rPr>
                <w:webHidden/>
              </w:rPr>
            </w:r>
            <w:r>
              <w:rPr>
                <w:webHidden/>
              </w:rPr>
              <w:fldChar w:fldCharType="separate"/>
            </w:r>
            <w:r>
              <w:rPr>
                <w:webHidden/>
              </w:rPr>
              <w:t>2</w:t>
            </w:r>
            <w:r>
              <w:rPr>
                <w:webHidden/>
              </w:rPr>
              <w:fldChar w:fldCharType="end"/>
            </w:r>
          </w:hyperlink>
        </w:p>
        <w:p w14:paraId="73B059DE" w14:textId="544B6487" w:rsidR="00B55FC1" w:rsidRDefault="00B55FC1">
          <w:pPr>
            <w:pStyle w:val="TOC1"/>
            <w:rPr>
              <w:rFonts w:asciiTheme="minorHAnsi" w:eastAsiaTheme="minorEastAsia" w:hAnsiTheme="minorHAnsi" w:cstheme="minorBidi"/>
              <w:color w:val="auto"/>
              <w:kern w:val="2"/>
              <w14:ligatures w14:val="standardContextual"/>
            </w:rPr>
          </w:pPr>
          <w:hyperlink w:anchor="_Toc225406744" w:history="1">
            <w:r w:rsidRPr="00214264">
              <w:rPr>
                <w:rStyle w:val="Hyperlink"/>
              </w:rPr>
              <w:t>Evaluation</w:t>
            </w:r>
            <w:r>
              <w:rPr>
                <w:webHidden/>
              </w:rPr>
              <w:tab/>
            </w:r>
            <w:r>
              <w:rPr>
                <w:webHidden/>
              </w:rPr>
              <w:fldChar w:fldCharType="begin"/>
            </w:r>
            <w:r>
              <w:rPr>
                <w:webHidden/>
              </w:rPr>
              <w:instrText xml:space="preserve"> PAGEREF _Toc225406744 \h </w:instrText>
            </w:r>
            <w:r>
              <w:rPr>
                <w:webHidden/>
              </w:rPr>
            </w:r>
            <w:r>
              <w:rPr>
                <w:webHidden/>
              </w:rPr>
              <w:fldChar w:fldCharType="separate"/>
            </w:r>
            <w:r>
              <w:rPr>
                <w:webHidden/>
              </w:rPr>
              <w:t>5</w:t>
            </w:r>
            <w:r>
              <w:rPr>
                <w:webHidden/>
              </w:rPr>
              <w:fldChar w:fldCharType="end"/>
            </w:r>
          </w:hyperlink>
        </w:p>
        <w:p w14:paraId="4F7482C6" w14:textId="52DD1B86" w:rsidR="00B55FC1" w:rsidRDefault="00B55FC1">
          <w:pPr>
            <w:pStyle w:val="TOC1"/>
            <w:rPr>
              <w:rFonts w:asciiTheme="minorHAnsi" w:eastAsiaTheme="minorEastAsia" w:hAnsiTheme="minorHAnsi" w:cstheme="minorBidi"/>
              <w:color w:val="auto"/>
              <w:kern w:val="2"/>
              <w14:ligatures w14:val="standardContextual"/>
            </w:rPr>
          </w:pPr>
          <w:hyperlink w:anchor="_Toc225406745" w:history="1">
            <w:r w:rsidRPr="00214264">
              <w:rPr>
                <w:rStyle w:val="Hyperlink"/>
              </w:rPr>
              <w:t>Related policies, procedures, guidelines and legislation</w:t>
            </w:r>
            <w:r>
              <w:rPr>
                <w:webHidden/>
              </w:rPr>
              <w:tab/>
            </w:r>
            <w:r>
              <w:rPr>
                <w:webHidden/>
              </w:rPr>
              <w:fldChar w:fldCharType="begin"/>
            </w:r>
            <w:r>
              <w:rPr>
                <w:webHidden/>
              </w:rPr>
              <w:instrText xml:space="preserve"> PAGEREF _Toc225406745 \h </w:instrText>
            </w:r>
            <w:r>
              <w:rPr>
                <w:webHidden/>
              </w:rPr>
            </w:r>
            <w:r>
              <w:rPr>
                <w:webHidden/>
              </w:rPr>
              <w:fldChar w:fldCharType="separate"/>
            </w:r>
            <w:r>
              <w:rPr>
                <w:webHidden/>
              </w:rPr>
              <w:t>5</w:t>
            </w:r>
            <w:r>
              <w:rPr>
                <w:webHidden/>
              </w:rPr>
              <w:fldChar w:fldCharType="end"/>
            </w:r>
          </w:hyperlink>
        </w:p>
        <w:p w14:paraId="43C9B9C6" w14:textId="4B8FA201" w:rsidR="00B55FC1" w:rsidRDefault="00B55FC1">
          <w:pPr>
            <w:pStyle w:val="TOC1"/>
            <w:rPr>
              <w:rFonts w:asciiTheme="minorHAnsi" w:eastAsiaTheme="minorEastAsia" w:hAnsiTheme="minorHAnsi" w:cstheme="minorBidi"/>
              <w:color w:val="auto"/>
              <w:kern w:val="2"/>
              <w14:ligatures w14:val="standardContextual"/>
            </w:rPr>
          </w:pPr>
          <w:hyperlink w:anchor="_Toc225406746" w:history="1">
            <w:r w:rsidRPr="00214264">
              <w:rPr>
                <w:rStyle w:val="Hyperlink"/>
              </w:rPr>
              <w:t>References</w:t>
            </w:r>
            <w:r>
              <w:rPr>
                <w:webHidden/>
              </w:rPr>
              <w:tab/>
            </w:r>
            <w:r>
              <w:rPr>
                <w:webHidden/>
              </w:rPr>
              <w:fldChar w:fldCharType="begin"/>
            </w:r>
            <w:r>
              <w:rPr>
                <w:webHidden/>
              </w:rPr>
              <w:instrText xml:space="preserve"> PAGEREF _Toc225406746 \h </w:instrText>
            </w:r>
            <w:r>
              <w:rPr>
                <w:webHidden/>
              </w:rPr>
            </w:r>
            <w:r>
              <w:rPr>
                <w:webHidden/>
              </w:rPr>
              <w:fldChar w:fldCharType="separate"/>
            </w:r>
            <w:r>
              <w:rPr>
                <w:webHidden/>
              </w:rPr>
              <w:t>6</w:t>
            </w:r>
            <w:r>
              <w:rPr>
                <w:webHidden/>
              </w:rPr>
              <w:fldChar w:fldCharType="end"/>
            </w:r>
          </w:hyperlink>
        </w:p>
        <w:p w14:paraId="2CE8C496" w14:textId="1A41C226" w:rsidR="00B55FC1" w:rsidRDefault="00B55FC1">
          <w:pPr>
            <w:pStyle w:val="TOC1"/>
            <w:rPr>
              <w:rFonts w:asciiTheme="minorHAnsi" w:eastAsiaTheme="minorEastAsia" w:hAnsiTheme="minorHAnsi" w:cstheme="minorBidi"/>
              <w:color w:val="auto"/>
              <w:kern w:val="2"/>
              <w14:ligatures w14:val="standardContextual"/>
            </w:rPr>
          </w:pPr>
          <w:hyperlink w:anchor="_Toc225406747" w:history="1">
            <w:r w:rsidRPr="00214264">
              <w:rPr>
                <w:rStyle w:val="Hyperlink"/>
              </w:rPr>
              <w:t>Definition of terms</w:t>
            </w:r>
            <w:r>
              <w:rPr>
                <w:webHidden/>
              </w:rPr>
              <w:tab/>
            </w:r>
            <w:r>
              <w:rPr>
                <w:webHidden/>
              </w:rPr>
              <w:fldChar w:fldCharType="begin"/>
            </w:r>
            <w:r>
              <w:rPr>
                <w:webHidden/>
              </w:rPr>
              <w:instrText xml:space="preserve"> PAGEREF _Toc225406747 \h </w:instrText>
            </w:r>
            <w:r>
              <w:rPr>
                <w:webHidden/>
              </w:rPr>
            </w:r>
            <w:r>
              <w:rPr>
                <w:webHidden/>
              </w:rPr>
              <w:fldChar w:fldCharType="separate"/>
            </w:r>
            <w:r>
              <w:rPr>
                <w:webHidden/>
              </w:rPr>
              <w:t>6</w:t>
            </w:r>
            <w:r>
              <w:rPr>
                <w:webHidden/>
              </w:rPr>
              <w:fldChar w:fldCharType="end"/>
            </w:r>
          </w:hyperlink>
        </w:p>
        <w:p w14:paraId="78CA784B" w14:textId="17823216" w:rsidR="00B55FC1" w:rsidRDefault="00B55FC1">
          <w:pPr>
            <w:pStyle w:val="TOC1"/>
            <w:rPr>
              <w:rFonts w:asciiTheme="minorHAnsi" w:eastAsiaTheme="minorEastAsia" w:hAnsiTheme="minorHAnsi" w:cstheme="minorBidi"/>
              <w:color w:val="auto"/>
              <w:kern w:val="2"/>
              <w14:ligatures w14:val="standardContextual"/>
            </w:rPr>
          </w:pPr>
          <w:hyperlink w:anchor="_Toc225406748" w:history="1">
            <w:r w:rsidRPr="00214264">
              <w:rPr>
                <w:rStyle w:val="Hyperlink"/>
              </w:rPr>
              <w:t>Search terms</w:t>
            </w:r>
            <w:r>
              <w:rPr>
                <w:webHidden/>
              </w:rPr>
              <w:tab/>
            </w:r>
            <w:r>
              <w:rPr>
                <w:webHidden/>
              </w:rPr>
              <w:fldChar w:fldCharType="begin"/>
            </w:r>
            <w:r>
              <w:rPr>
                <w:webHidden/>
              </w:rPr>
              <w:instrText xml:space="preserve"> PAGEREF _Toc225406748 \h </w:instrText>
            </w:r>
            <w:r>
              <w:rPr>
                <w:webHidden/>
              </w:rPr>
            </w:r>
            <w:r>
              <w:rPr>
                <w:webHidden/>
              </w:rPr>
              <w:fldChar w:fldCharType="separate"/>
            </w:r>
            <w:r>
              <w:rPr>
                <w:webHidden/>
              </w:rPr>
              <w:t>6</w:t>
            </w:r>
            <w:r>
              <w:rPr>
                <w:webHidden/>
              </w:rPr>
              <w:fldChar w:fldCharType="end"/>
            </w:r>
          </w:hyperlink>
        </w:p>
        <w:p w14:paraId="0A75D23B" w14:textId="30E33E2A" w:rsidR="00B55FC1" w:rsidRDefault="00B55FC1">
          <w:pPr>
            <w:pStyle w:val="TOC1"/>
            <w:rPr>
              <w:rFonts w:asciiTheme="minorHAnsi" w:eastAsiaTheme="minorEastAsia" w:hAnsiTheme="minorHAnsi" w:cstheme="minorBidi"/>
              <w:color w:val="auto"/>
              <w:kern w:val="2"/>
              <w14:ligatures w14:val="standardContextual"/>
            </w:rPr>
          </w:pPr>
          <w:hyperlink w:anchor="_Toc225406749" w:history="1">
            <w:r w:rsidRPr="00214264">
              <w:rPr>
                <w:rStyle w:val="Hyperlink"/>
              </w:rPr>
              <w:t>Attachments</w:t>
            </w:r>
            <w:r>
              <w:rPr>
                <w:webHidden/>
              </w:rPr>
              <w:tab/>
            </w:r>
            <w:r>
              <w:rPr>
                <w:webHidden/>
              </w:rPr>
              <w:fldChar w:fldCharType="begin"/>
            </w:r>
            <w:r>
              <w:rPr>
                <w:webHidden/>
              </w:rPr>
              <w:instrText xml:space="preserve"> PAGEREF _Toc225406749 \h </w:instrText>
            </w:r>
            <w:r>
              <w:rPr>
                <w:webHidden/>
              </w:rPr>
            </w:r>
            <w:r>
              <w:rPr>
                <w:webHidden/>
              </w:rPr>
              <w:fldChar w:fldCharType="separate"/>
            </w:r>
            <w:r>
              <w:rPr>
                <w:webHidden/>
              </w:rPr>
              <w:t>6</w:t>
            </w:r>
            <w:r>
              <w:rPr>
                <w:webHidden/>
              </w:rPr>
              <w:fldChar w:fldCharType="end"/>
            </w:r>
          </w:hyperlink>
        </w:p>
        <w:p w14:paraId="650ED402" w14:textId="30FCB808" w:rsidR="00B55FC1" w:rsidRDefault="00B55FC1">
          <w:pPr>
            <w:pStyle w:val="TOC1"/>
            <w:rPr>
              <w:rFonts w:asciiTheme="minorHAnsi" w:eastAsiaTheme="minorEastAsia" w:hAnsiTheme="minorHAnsi" w:cstheme="minorBidi"/>
              <w:color w:val="auto"/>
              <w:kern w:val="2"/>
              <w14:ligatures w14:val="standardContextual"/>
            </w:rPr>
          </w:pPr>
          <w:hyperlink w:anchor="_Toc225406750" w:history="1">
            <w:r w:rsidRPr="00214264">
              <w:rPr>
                <w:rStyle w:val="Hyperlink"/>
              </w:rPr>
              <w:t>Attachment 1 – Frequently Asked Questions</w:t>
            </w:r>
            <w:r>
              <w:rPr>
                <w:webHidden/>
              </w:rPr>
              <w:tab/>
            </w:r>
            <w:r>
              <w:rPr>
                <w:webHidden/>
              </w:rPr>
              <w:fldChar w:fldCharType="begin"/>
            </w:r>
            <w:r>
              <w:rPr>
                <w:webHidden/>
              </w:rPr>
              <w:instrText xml:space="preserve"> PAGEREF _Toc225406750 \h </w:instrText>
            </w:r>
            <w:r>
              <w:rPr>
                <w:webHidden/>
              </w:rPr>
            </w:r>
            <w:r>
              <w:rPr>
                <w:webHidden/>
              </w:rPr>
              <w:fldChar w:fldCharType="separate"/>
            </w:r>
            <w:r>
              <w:rPr>
                <w:webHidden/>
              </w:rPr>
              <w:t>8</w:t>
            </w:r>
            <w:r>
              <w:rPr>
                <w:webHidden/>
              </w:rPr>
              <w:fldChar w:fldCharType="end"/>
            </w:r>
          </w:hyperlink>
        </w:p>
        <w:p w14:paraId="75C14CF9" w14:textId="04E841DF"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13B2E6AB" w14:textId="77777777" w:rsidR="00FE46F1" w:rsidRDefault="00FE46F1">
      <w:pPr>
        <w:spacing w:before="0" w:after="0" w:line="240" w:lineRule="auto"/>
        <w:rPr>
          <w:rFonts w:eastAsia="Times New Roman"/>
          <w:b/>
          <w:color w:val="FFFFFF" w:themeColor="background1"/>
          <w:szCs w:val="80"/>
          <w:lang w:eastAsia="en-US"/>
        </w:rPr>
      </w:pPr>
    </w:p>
    <w:p w14:paraId="5147EB7D" w14:textId="77777777" w:rsidR="00201AF6" w:rsidRDefault="00201AF6">
      <w:pPr>
        <w:spacing w:before="0" w:after="0" w:line="240" w:lineRule="auto"/>
        <w:rPr>
          <w:rFonts w:eastAsia="Times New Roman"/>
          <w:b/>
          <w:bCs/>
          <w:iCs/>
          <w:color w:val="FFFFFF" w:themeColor="background1"/>
          <w:lang w:eastAsia="en-US"/>
        </w:rPr>
      </w:pPr>
      <w:r>
        <w:br w:type="page"/>
      </w:r>
    </w:p>
    <w:p w14:paraId="4F21EB2F" w14:textId="3B157947" w:rsidR="0078367D" w:rsidRPr="00036249" w:rsidRDefault="003254E1" w:rsidP="00036249">
      <w:pPr>
        <w:pStyle w:val="Heading4"/>
      </w:pPr>
      <w:bookmarkStart w:id="1" w:name="_Toc225406741"/>
      <w:r>
        <w:lastRenderedPageBreak/>
        <w:t>Purpose</w:t>
      </w:r>
      <w:bookmarkEnd w:id="1"/>
      <w:r w:rsidR="009746B1" w:rsidRPr="00036249">
        <w:t xml:space="preserve"> </w:t>
      </w:r>
    </w:p>
    <w:p w14:paraId="2228FA4B" w14:textId="32E1E1F4" w:rsidR="00A50796" w:rsidRPr="00BA236B" w:rsidRDefault="00A50796" w:rsidP="003254E1">
      <w:pPr>
        <w:pStyle w:val="BodyCopy"/>
      </w:pPr>
      <w:r>
        <w:t>The purpose of this procedure is to provide advice to health practitioners on the mandatory reporting of a patient</w:t>
      </w:r>
      <w:r w:rsidR="00C14AB1">
        <w:t xml:space="preserve"> </w:t>
      </w:r>
      <w:r w:rsidR="00E936C4">
        <w:t xml:space="preserve">who </w:t>
      </w:r>
      <w:r w:rsidR="00C14AB1">
        <w:t>holds or may be applying for a heavy vehicle licence</w:t>
      </w:r>
      <w:r w:rsidR="00E936C4">
        <w:t>, and who has</w:t>
      </w:r>
      <w:r w:rsidR="005722DC">
        <w:t xml:space="preserve"> </w:t>
      </w:r>
      <w:r w:rsidR="0031201D">
        <w:t xml:space="preserve">a </w:t>
      </w:r>
      <w:r>
        <w:t xml:space="preserve">permanent or long-term illness, injury or incapacity </w:t>
      </w:r>
      <w:r w:rsidR="00307145">
        <w:t>that is likely to</w:t>
      </w:r>
      <w:r>
        <w:t xml:space="preserve"> impair their fitness to drive heavy vehicles safely</w:t>
      </w:r>
      <w:r w:rsidR="00C14AB1">
        <w:t>.</w:t>
      </w:r>
    </w:p>
    <w:p w14:paraId="1A547494" w14:textId="46CCEC96" w:rsidR="003254E1" w:rsidRPr="00BA236B" w:rsidRDefault="003254E1" w:rsidP="003254E1">
      <w:pPr>
        <w:pStyle w:val="BodyCopy"/>
      </w:pPr>
      <w:r>
        <w:t xml:space="preserve">This procedure provides </w:t>
      </w:r>
      <w:r w:rsidR="00A50796">
        <w:t>health practitioners</w:t>
      </w:r>
      <w:r>
        <w:t xml:space="preserve"> with</w:t>
      </w:r>
      <w:r w:rsidR="00A50796">
        <w:t xml:space="preserve"> information on how and when to undertake a mandatory report of a person under section 90B of the ACT Government legislation, </w:t>
      </w:r>
      <w:r w:rsidR="00A50796" w:rsidRPr="454A50E5">
        <w:rPr>
          <w:i/>
        </w:rPr>
        <w:t>Road Transport (Driver Licensing) Regulation</w:t>
      </w:r>
      <w:r w:rsidR="00A50796" w:rsidRPr="005243E7">
        <w:rPr>
          <w:i/>
        </w:rPr>
        <w:t xml:space="preserve"> 200</w:t>
      </w:r>
      <w:r w:rsidR="7FD5720E" w:rsidRPr="005243E7">
        <w:rPr>
          <w:i/>
        </w:rPr>
        <w:t>0</w:t>
      </w:r>
      <w:r w:rsidR="00A50796" w:rsidRPr="454A50E5">
        <w:rPr>
          <w:i/>
        </w:rPr>
        <w:t xml:space="preserve"> </w:t>
      </w:r>
      <w:r w:rsidR="68842372" w:rsidRPr="005C2037">
        <w:rPr>
          <w:iCs w:val="0"/>
        </w:rPr>
        <w:t>(ACT)</w:t>
      </w:r>
      <w:r w:rsidR="68842372" w:rsidRPr="454A50E5">
        <w:rPr>
          <w:i/>
        </w:rPr>
        <w:t xml:space="preserve"> </w:t>
      </w:r>
      <w:r w:rsidR="00A50796" w:rsidRPr="005C2037">
        <w:rPr>
          <w:iCs w:val="0"/>
        </w:rPr>
        <w:t>(</w:t>
      </w:r>
      <w:r w:rsidR="00E936C4">
        <w:rPr>
          <w:iCs w:val="0"/>
        </w:rPr>
        <w:t>‘</w:t>
      </w:r>
      <w:r w:rsidR="00A50796" w:rsidRPr="005C2037">
        <w:rPr>
          <w:iCs w:val="0"/>
        </w:rPr>
        <w:t>the Regulation</w:t>
      </w:r>
      <w:r w:rsidR="6DA1BBAA" w:rsidRPr="454A50E5">
        <w:rPr>
          <w:iCs w:val="0"/>
        </w:rPr>
        <w:t>’</w:t>
      </w:r>
      <w:r w:rsidR="00A50796" w:rsidRPr="005C2037">
        <w:rPr>
          <w:iCs w:val="0"/>
        </w:rPr>
        <w:t>)</w:t>
      </w:r>
      <w:r w:rsidR="00A50796">
        <w:t>.</w:t>
      </w:r>
    </w:p>
    <w:p w14:paraId="35090FCF"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07E40AD8" w14:textId="77777777" w:rsidR="003254E1" w:rsidRDefault="003254E1" w:rsidP="003254E1">
      <w:pPr>
        <w:pStyle w:val="Heading4"/>
      </w:pPr>
      <w:bookmarkStart w:id="2" w:name="_Toc225406742"/>
      <w:r>
        <w:t>Scope</w:t>
      </w:r>
      <w:bookmarkEnd w:id="2"/>
    </w:p>
    <w:p w14:paraId="76E35431" w14:textId="74ECF5C1" w:rsidR="003254E1" w:rsidRDefault="003254E1" w:rsidP="003254E1">
      <w:pPr>
        <w:pStyle w:val="BodyCopy"/>
      </w:pPr>
      <w:r>
        <w:t>This document applies to the following</w:t>
      </w:r>
      <w:r w:rsidR="00B56A46">
        <w:t xml:space="preserve"> Canberra Health Services (CHS)</w:t>
      </w:r>
      <w:r>
        <w:t xml:space="preserve"> staff working within their scope of practice</w:t>
      </w:r>
      <w:r w:rsidR="00126A72">
        <w:t>, in the following professions only</w:t>
      </w:r>
      <w:r>
        <w:t>:</w:t>
      </w:r>
    </w:p>
    <w:p w14:paraId="0A21C621" w14:textId="41F354BF" w:rsidR="003254E1" w:rsidRPr="00BA236B" w:rsidRDefault="001E78CB" w:rsidP="003254E1">
      <w:pPr>
        <w:pStyle w:val="Bullet"/>
      </w:pPr>
      <w:r>
        <w:t>m</w:t>
      </w:r>
      <w:r w:rsidR="003254E1" w:rsidRPr="00BA236B">
        <w:t xml:space="preserve">edical </w:t>
      </w:r>
      <w:r w:rsidR="00E936C4">
        <w:t>o</w:t>
      </w:r>
      <w:r w:rsidR="003254E1" w:rsidRPr="00BA236B">
        <w:t>fficers</w:t>
      </w:r>
    </w:p>
    <w:p w14:paraId="4CBA89DF" w14:textId="07549EAF" w:rsidR="003254E1" w:rsidRDefault="00E936C4" w:rsidP="003254E1">
      <w:pPr>
        <w:pStyle w:val="Bullet"/>
      </w:pPr>
      <w:r>
        <w:t>o</w:t>
      </w:r>
      <w:r w:rsidR="00430D0D">
        <w:t xml:space="preserve">ccupational </w:t>
      </w:r>
      <w:r>
        <w:t>t</w:t>
      </w:r>
      <w:r w:rsidR="00430D0D">
        <w:t>herapists</w:t>
      </w:r>
    </w:p>
    <w:p w14:paraId="6C44C2CB" w14:textId="6098E234" w:rsidR="005A2D1F" w:rsidRPr="00BA236B" w:rsidRDefault="00E936C4" w:rsidP="003254E1">
      <w:pPr>
        <w:pStyle w:val="Bullet"/>
      </w:pPr>
      <w:r>
        <w:t>o</w:t>
      </w:r>
      <w:r w:rsidR="005A2D1F">
        <w:t>ptometrists</w:t>
      </w:r>
    </w:p>
    <w:p w14:paraId="2B481E75" w14:textId="303646D4" w:rsidR="003254E1" w:rsidRDefault="00E936C4" w:rsidP="003254E1">
      <w:pPr>
        <w:pStyle w:val="Bullet"/>
      </w:pPr>
      <w:r>
        <w:t>p</w:t>
      </w:r>
      <w:r w:rsidR="00430D0D">
        <w:t>hysiotherapists</w:t>
      </w:r>
    </w:p>
    <w:p w14:paraId="331D7DB2" w14:textId="14CDFCAE" w:rsidR="00430D0D" w:rsidRDefault="00E936C4" w:rsidP="003254E1">
      <w:pPr>
        <w:pStyle w:val="Bullet"/>
      </w:pPr>
      <w:r>
        <w:t>p</w:t>
      </w:r>
      <w:r w:rsidR="00430D0D">
        <w:t>sychologists</w:t>
      </w:r>
      <w:r w:rsidR="001E78CB">
        <w:t>.</w:t>
      </w:r>
    </w:p>
    <w:p w14:paraId="4B97CECF" w14:textId="77777777" w:rsidR="00E936C4" w:rsidRDefault="00E936C4" w:rsidP="00430D0D">
      <w:pPr>
        <w:pStyle w:val="Bullet"/>
        <w:numPr>
          <w:ilvl w:val="0"/>
          <w:numId w:val="0"/>
        </w:numPr>
      </w:pPr>
    </w:p>
    <w:p w14:paraId="070517E6" w14:textId="7A5FE316" w:rsidR="00430D0D" w:rsidRDefault="00430D0D" w:rsidP="00430D0D">
      <w:pPr>
        <w:pStyle w:val="Bullet"/>
        <w:numPr>
          <w:ilvl w:val="0"/>
          <w:numId w:val="0"/>
        </w:numPr>
      </w:pPr>
      <w:r>
        <w:t>This include</w:t>
      </w:r>
      <w:r w:rsidR="00B56A46">
        <w:t>s</w:t>
      </w:r>
      <w:r>
        <w:t xml:space="preserve"> any staff in the above professions holding limited or provisional registration, to the extent that person is allowed to do the activity under their professional registration.</w:t>
      </w:r>
    </w:p>
    <w:p w14:paraId="6079A55C" w14:textId="77777777" w:rsidR="00E936C4" w:rsidRDefault="00E936C4" w:rsidP="00430D0D">
      <w:pPr>
        <w:pStyle w:val="Bullet"/>
        <w:numPr>
          <w:ilvl w:val="0"/>
          <w:numId w:val="0"/>
        </w:numPr>
      </w:pPr>
    </w:p>
    <w:p w14:paraId="29087E61" w14:textId="351AF9CC" w:rsidR="00E936C4" w:rsidRDefault="00E936C4" w:rsidP="00430D0D">
      <w:pPr>
        <w:pStyle w:val="Bullet"/>
        <w:numPr>
          <w:ilvl w:val="0"/>
          <w:numId w:val="0"/>
        </w:numPr>
      </w:pPr>
      <w:r>
        <w:t>For the purpose of this procedure, the term ‘health practitioner’ refers to a person working in one of the above professions only.</w:t>
      </w:r>
    </w:p>
    <w:p w14:paraId="09E1E201" w14:textId="77777777" w:rsidR="00E936C4" w:rsidRDefault="00E936C4" w:rsidP="00430D0D">
      <w:pPr>
        <w:pStyle w:val="Bullet"/>
        <w:numPr>
          <w:ilvl w:val="0"/>
          <w:numId w:val="0"/>
        </w:numPr>
      </w:pPr>
    </w:p>
    <w:p w14:paraId="7A9FDDB3" w14:textId="1DF98EA4" w:rsidR="00A112DC" w:rsidRPr="00BA236B" w:rsidRDefault="00A112DC" w:rsidP="00430D0D">
      <w:pPr>
        <w:pStyle w:val="Bullet"/>
        <w:numPr>
          <w:ilvl w:val="0"/>
          <w:numId w:val="0"/>
        </w:numPr>
      </w:pPr>
      <w:r>
        <w:t>CHS includes</w:t>
      </w:r>
      <w:r w:rsidR="00E936C4">
        <w:t xml:space="preserve"> </w:t>
      </w:r>
      <w:r w:rsidR="00E936C4" w:rsidRPr="00E936C4">
        <w:t>the inpatient and outpatient facilities at the Canberra Hospital, Clare Holland House, North Canberra Hospital, University of Canberra Hospital and community-based services.</w:t>
      </w:r>
    </w:p>
    <w:p w14:paraId="08C53E4E" w14:textId="77777777" w:rsidR="003254E1" w:rsidRPr="003254E1" w:rsidRDefault="003254E1" w:rsidP="003254E1">
      <w:pPr>
        <w:pStyle w:val="BodyCopy"/>
        <w:spacing w:before="240"/>
      </w:pPr>
      <w:hyperlink w:anchor="_top" w:history="1">
        <w:r w:rsidRPr="00481A6C">
          <w:rPr>
            <w:rStyle w:val="Hyperlink"/>
            <w:iCs w:val="0"/>
          </w:rPr>
          <w:t>Back to Contents</w:t>
        </w:r>
      </w:hyperlink>
    </w:p>
    <w:p w14:paraId="11F3FAF9" w14:textId="546F7ACA" w:rsidR="0078367D" w:rsidRDefault="00D43B30" w:rsidP="00197F2E">
      <w:pPr>
        <w:pStyle w:val="Heading4"/>
      </w:pPr>
      <w:bookmarkStart w:id="3" w:name="_Toc225406743"/>
      <w:r>
        <w:t xml:space="preserve">Section 1 - </w:t>
      </w:r>
      <w:r w:rsidR="00280E99">
        <w:t>Procedure</w:t>
      </w:r>
      <w:bookmarkEnd w:id="3"/>
    </w:p>
    <w:p w14:paraId="57EFE49E" w14:textId="5221DA9F" w:rsidR="003254E1" w:rsidRDefault="009F0F42" w:rsidP="003254E1">
      <w:pPr>
        <w:pStyle w:val="Heading5"/>
      </w:pPr>
      <w:r>
        <w:t>Overview</w:t>
      </w:r>
    </w:p>
    <w:p w14:paraId="087C9B6C" w14:textId="3940D922" w:rsidR="00001569" w:rsidRDefault="00453C18" w:rsidP="009F0F42">
      <w:pPr>
        <w:pStyle w:val="BodyCopy"/>
      </w:pPr>
      <w:r>
        <w:t>A health practitioner</w:t>
      </w:r>
      <w:r w:rsidR="009F0F42">
        <w:t xml:space="preserve"> is required to report to the Road Transport Authority (RTA) on a person’s fitness to drive a heavy vehicle safely under section 90B of the Regulation.</w:t>
      </w:r>
      <w:r w:rsidR="00001569">
        <w:t xml:space="preserve"> For more information, see the </w:t>
      </w:r>
      <w:r w:rsidR="00A112DC" w:rsidRPr="00A112DC">
        <w:t>new health reporting rules for heavy vehicle drivers factsheet</w:t>
      </w:r>
      <w:r w:rsidR="009F0F42">
        <w:t xml:space="preserve"> </w:t>
      </w:r>
      <w:r w:rsidR="00001569">
        <w:t xml:space="preserve">available on </w:t>
      </w:r>
      <w:r w:rsidR="00E936C4">
        <w:t xml:space="preserve">the </w:t>
      </w:r>
      <w:r w:rsidR="00001569">
        <w:t>ACT Government City Services website</w:t>
      </w:r>
      <w:r w:rsidR="00A112DC">
        <w:t xml:space="preserve"> (available at:</w:t>
      </w:r>
      <w:r w:rsidR="00A112DC" w:rsidRPr="00A112DC">
        <w:rPr>
          <w:rFonts w:eastAsia="Calibri"/>
          <w:bCs w:val="0"/>
          <w:iCs w:val="0"/>
        </w:rPr>
        <w:t xml:space="preserve"> </w:t>
      </w:r>
      <w:hyperlink r:id="rId11" w:anchor="Medical" w:history="1">
        <w:r w:rsidR="00A23688" w:rsidRPr="00A8078E">
          <w:rPr>
            <w:rStyle w:val="Hyperlink"/>
          </w:rPr>
          <w:t>https://www.cityservices.act.gov.au/roads-and-paths/road-safety/reporting-fitness-to-</w:t>
        </w:r>
        <w:r w:rsidR="00A23688" w:rsidRPr="00A8078E">
          <w:rPr>
            <w:rStyle w:val="Hyperlink"/>
          </w:rPr>
          <w:lastRenderedPageBreak/>
          <w:t>drive#Medical</w:t>
        </w:r>
      </w:hyperlink>
      <w:r w:rsidR="00A112DC">
        <w:t>)</w:t>
      </w:r>
      <w:r w:rsidR="00001569">
        <w:t>.</w:t>
      </w:r>
      <w:r w:rsidR="00A23688">
        <w:t xml:space="preserve"> See Attachment 1 for responses to frequently asked questions concerning mandatory reporting.</w:t>
      </w:r>
    </w:p>
    <w:p w14:paraId="7062C34B" w14:textId="08A0A16D" w:rsidR="009F0F42" w:rsidRPr="009F0F42" w:rsidRDefault="009F0F42" w:rsidP="009F0F42">
      <w:pPr>
        <w:pStyle w:val="BodyCopy"/>
      </w:pPr>
      <w:r w:rsidRPr="009F0F42">
        <w:t xml:space="preserve">A report must be made </w:t>
      </w:r>
      <w:r w:rsidR="00B96F5F">
        <w:t>when all of the following apply</w:t>
      </w:r>
      <w:r w:rsidR="00A112DC">
        <w:t xml:space="preserve">: </w:t>
      </w:r>
    </w:p>
    <w:p w14:paraId="3BCAEF93" w14:textId="72E511D2" w:rsidR="009F0F42" w:rsidRDefault="00A112DC" w:rsidP="00966602">
      <w:pPr>
        <w:pStyle w:val="Bullet"/>
      </w:pPr>
      <w:r w:rsidRPr="009F0F42">
        <w:t>the practitioner</w:t>
      </w:r>
      <w:r>
        <w:t xml:space="preserve"> h</w:t>
      </w:r>
      <w:r w:rsidR="009F0F42">
        <w:t>as examined or assessed the person</w:t>
      </w:r>
      <w:r w:rsidR="005E60C8">
        <w:t xml:space="preserve"> (e.g. in-person, by telehealth or by examining their medical history)</w:t>
      </w:r>
      <w:r w:rsidR="00EE29D2">
        <w:t xml:space="preserve">, this excludes the triaging of a patient referral </w:t>
      </w:r>
    </w:p>
    <w:p w14:paraId="4F2955BD" w14:textId="7628C441" w:rsidR="009F0F42" w:rsidRDefault="00A112DC" w:rsidP="00966602">
      <w:pPr>
        <w:pStyle w:val="Bullet"/>
      </w:pPr>
      <w:r w:rsidRPr="009F0F42">
        <w:t xml:space="preserve">the practitioner </w:t>
      </w:r>
      <w:r>
        <w:t>r</w:t>
      </w:r>
      <w:r w:rsidR="009F0F42" w:rsidRPr="009F0F42">
        <w:t>easonably believes that the person holds, or is applying for, a heavy vehicle licence</w:t>
      </w:r>
      <w:r w:rsidR="005E60C8">
        <w:t xml:space="preserve"> anywhere in Australia or overseas (e.g. truck driver listed as their occupation, or they have otherwise indicated</w:t>
      </w:r>
      <w:r w:rsidR="005A2D1F">
        <w:t>)</w:t>
      </w:r>
      <w:r w:rsidR="00952BFB">
        <w:t>. This does not need to be confirmed by the patient nor with a sighting of the licence</w:t>
      </w:r>
      <w:r w:rsidR="00DB29D9">
        <w:t xml:space="preserve">. </w:t>
      </w:r>
      <w:r w:rsidR="00952BFB">
        <w:t xml:space="preserve">Access Canberra </w:t>
      </w:r>
      <w:r w:rsidR="005150B9">
        <w:t>can</w:t>
      </w:r>
      <w:r w:rsidR="00DB29D9">
        <w:t xml:space="preserve"> provide licence details to the health practitioner </w:t>
      </w:r>
      <w:r w:rsidR="005150B9">
        <w:t xml:space="preserve">directly </w:t>
      </w:r>
      <w:r w:rsidR="00DB29D9">
        <w:t>if requested</w:t>
      </w:r>
      <w:r w:rsidR="005150B9">
        <w:t xml:space="preserve"> </w:t>
      </w:r>
      <w:r w:rsidR="00DB29D9">
        <w:t xml:space="preserve">but are also able </w:t>
      </w:r>
      <w:r w:rsidR="002859F3">
        <w:t xml:space="preserve">to </w:t>
      </w:r>
      <w:r w:rsidR="0031201D">
        <w:t>undertake these checks once the mandatory report is received by them</w:t>
      </w:r>
      <w:r w:rsidR="00DB29D9">
        <w:t xml:space="preserve">. </w:t>
      </w:r>
    </w:p>
    <w:p w14:paraId="29226A26" w14:textId="0487216E" w:rsidR="003254E1" w:rsidRDefault="00A112DC" w:rsidP="00966602">
      <w:pPr>
        <w:pStyle w:val="Bullet"/>
      </w:pPr>
      <w:r w:rsidRPr="00A112DC">
        <w:t xml:space="preserve"> </w:t>
      </w:r>
      <w:r w:rsidRPr="009F0F42">
        <w:t xml:space="preserve">the practitioner </w:t>
      </w:r>
      <w:r>
        <w:t>f</w:t>
      </w:r>
      <w:r w:rsidR="009F0F42" w:rsidRPr="009F0F42">
        <w:t xml:space="preserve">orms an opinion that the person has a permanent or long-term illness, injury or incapacity that is likely to impair their ability to drive a heavy vehicle safely. </w:t>
      </w:r>
    </w:p>
    <w:p w14:paraId="284F0B19" w14:textId="5667FA70" w:rsidR="003254E1" w:rsidRDefault="0004445A" w:rsidP="003254E1">
      <w:pPr>
        <w:pStyle w:val="Heading5"/>
      </w:pPr>
      <w:r>
        <w:t>Considerations</w:t>
      </w:r>
      <w:r w:rsidR="003254E1">
        <w:t xml:space="preserve"> </w:t>
      </w:r>
    </w:p>
    <w:p w14:paraId="0DC4CD89" w14:textId="6DA4A9C7" w:rsidR="00966602" w:rsidRDefault="00966602" w:rsidP="00966602">
      <w:pPr>
        <w:pStyle w:val="BodyCopy"/>
      </w:pPr>
      <w:r>
        <w:t xml:space="preserve">When considering whether a permanent or </w:t>
      </w:r>
      <w:r w:rsidR="02AC58F2">
        <w:t>long-term</w:t>
      </w:r>
      <w:r>
        <w:t xml:space="preserve"> illness, injury or incapacity is likely to impair a person’s ability to drive a heavy vehicle safely, the health practitioner may: </w:t>
      </w:r>
    </w:p>
    <w:p w14:paraId="6AEF3754" w14:textId="14FDE575" w:rsidR="00966602" w:rsidRPr="00966602" w:rsidRDefault="006A5F3E" w:rsidP="00D43B30">
      <w:pPr>
        <w:pStyle w:val="Bullet"/>
        <w:rPr>
          <w:rFonts w:eastAsia="Calibri"/>
          <w:b/>
          <w:bCs/>
          <w:iCs/>
        </w:rPr>
      </w:pPr>
      <w:r>
        <w:t>r</w:t>
      </w:r>
      <w:r w:rsidR="00966602" w:rsidRPr="00966602">
        <w:t>efer to the medical standards set out in th</w:t>
      </w:r>
      <w:r w:rsidR="00966602" w:rsidRPr="005D29A9">
        <w:rPr>
          <w:color w:val="auto"/>
        </w:rPr>
        <w:t xml:space="preserve">e Austroads publication ‘Assessing Fitness to Drive,’ available on the Austroads website at </w:t>
      </w:r>
      <w:hyperlink r:id="rId12" w:history="1">
        <w:r>
          <w:rPr>
            <w:rStyle w:val="Hyperlink"/>
          </w:rPr>
          <w:t>https://austroads.gov.au/drivers-and-vehicles/assessing-fitness-to-drive</w:t>
        </w:r>
      </w:hyperlink>
      <w:r w:rsidR="002859F3">
        <w:t xml:space="preserve">. </w:t>
      </w:r>
      <w:r w:rsidR="00966602" w:rsidRPr="005D29A9">
        <w:rPr>
          <w:color w:val="auto"/>
        </w:rPr>
        <w:t>For example, an injury, illness or incapacity may not likely impair a person’s ability to drive a heavy vehicle safely if it aligns with the requirements for conditional licences</w:t>
      </w:r>
      <w:r w:rsidR="002859F3">
        <w:rPr>
          <w:color w:val="auto"/>
        </w:rPr>
        <w:t>.</w:t>
      </w:r>
      <w:r w:rsidR="00966602" w:rsidRPr="005D29A9">
        <w:rPr>
          <w:color w:val="auto"/>
        </w:rPr>
        <w:t xml:space="preserve"> </w:t>
      </w:r>
    </w:p>
    <w:p w14:paraId="1E50A1C8" w14:textId="15CC3872" w:rsidR="00966602" w:rsidRPr="00966602" w:rsidRDefault="006A5F3E" w:rsidP="00D43B30">
      <w:pPr>
        <w:pStyle w:val="Bullet"/>
      </w:pPr>
      <w:r>
        <w:t>c</w:t>
      </w:r>
      <w:r w:rsidR="00966602" w:rsidRPr="00966602">
        <w:t xml:space="preserve">onsider if the condition has no impact on a person’s fitness to drive factors: </w:t>
      </w:r>
    </w:p>
    <w:p w14:paraId="4102C257" w14:textId="77777777" w:rsidR="00966602" w:rsidRDefault="00966602" w:rsidP="00966602">
      <w:pPr>
        <w:pStyle w:val="Bullet"/>
        <w:numPr>
          <w:ilvl w:val="1"/>
          <w:numId w:val="1"/>
        </w:numPr>
      </w:pPr>
      <w:r w:rsidRPr="00966602">
        <w:t xml:space="preserve">in the short to medium term; and/or </w:t>
      </w:r>
    </w:p>
    <w:p w14:paraId="43EF3BE2" w14:textId="237B01DA" w:rsidR="00966602" w:rsidRPr="00966602" w:rsidRDefault="00966602" w:rsidP="00966602">
      <w:pPr>
        <w:pStyle w:val="Bullet"/>
        <w:numPr>
          <w:ilvl w:val="1"/>
          <w:numId w:val="1"/>
        </w:numPr>
      </w:pPr>
      <w:r w:rsidRPr="00966602">
        <w:t xml:space="preserve">because the condition is well-controlled and well-managed. </w:t>
      </w:r>
    </w:p>
    <w:p w14:paraId="488A1411" w14:textId="774D51D7" w:rsidR="00966602" w:rsidRDefault="00966602" w:rsidP="00966602">
      <w:pPr>
        <w:pStyle w:val="BodyCopy"/>
      </w:pPr>
      <w:r>
        <w:t xml:space="preserve">When considering whether a permanent or </w:t>
      </w:r>
      <w:r w:rsidR="4D1D5A16">
        <w:t>long-term</w:t>
      </w:r>
      <w:r>
        <w:t xml:space="preserve"> illness, injury or incapacity is likely to impair a person’s ability to drive a heavy vehicle safely, the relevant health practitioner is not required to undertake an additional assessment or examination of the person for the sole purpose of forming an opinion.</w:t>
      </w:r>
    </w:p>
    <w:p w14:paraId="55D1E3C0" w14:textId="77777777" w:rsidR="000C0DC9" w:rsidRPr="001926C9" w:rsidRDefault="000C0DC9" w:rsidP="000C0DC9">
      <w:pPr>
        <w:spacing w:before="0" w:after="0"/>
        <w:rPr>
          <w:rFonts w:asciiTheme="minorHAnsi" w:hAnsiTheme="minorHAnsi" w:cstheme="minorHAnsi"/>
        </w:rPr>
      </w:pPr>
      <w:r w:rsidRPr="001926C9">
        <w:rPr>
          <w:rFonts w:asciiTheme="minorHAnsi" w:hAnsiTheme="minorHAnsi" w:cstheme="minorHAnsi"/>
        </w:rPr>
        <w:t>Fitness to drive factors means all of the following:</w:t>
      </w:r>
    </w:p>
    <w:p w14:paraId="701B1D8E" w14:textId="77777777" w:rsidR="000C0DC9" w:rsidRPr="001926C9" w:rsidRDefault="000C0DC9" w:rsidP="000C0DC9">
      <w:pPr>
        <w:pStyle w:val="ListParagraph"/>
        <w:numPr>
          <w:ilvl w:val="0"/>
          <w:numId w:val="44"/>
        </w:numPr>
        <w:spacing w:before="120"/>
        <w:rPr>
          <w:rFonts w:cstheme="minorHAnsi"/>
        </w:rPr>
      </w:pPr>
      <w:r w:rsidRPr="001926C9">
        <w:rPr>
          <w:rFonts w:cstheme="minorHAnsi"/>
        </w:rPr>
        <w:t>alertness.</w:t>
      </w:r>
    </w:p>
    <w:p w14:paraId="5B49C480" w14:textId="77777777" w:rsidR="000C0DC9" w:rsidRPr="001926C9" w:rsidRDefault="000C0DC9" w:rsidP="000C0DC9">
      <w:pPr>
        <w:pStyle w:val="ListParagraph"/>
        <w:numPr>
          <w:ilvl w:val="0"/>
          <w:numId w:val="44"/>
        </w:numPr>
        <w:spacing w:before="120"/>
        <w:rPr>
          <w:rFonts w:cstheme="minorHAnsi"/>
        </w:rPr>
      </w:pPr>
      <w:r w:rsidRPr="001926C9">
        <w:rPr>
          <w:rFonts w:cstheme="minorHAnsi"/>
        </w:rPr>
        <w:t>cognition, memory or judgement.</w:t>
      </w:r>
    </w:p>
    <w:p w14:paraId="38043C57" w14:textId="77777777" w:rsidR="000C0DC9" w:rsidRPr="001926C9" w:rsidRDefault="000C0DC9" w:rsidP="000C0DC9">
      <w:pPr>
        <w:pStyle w:val="ListParagraph"/>
        <w:numPr>
          <w:ilvl w:val="0"/>
          <w:numId w:val="44"/>
        </w:numPr>
        <w:spacing w:before="120"/>
        <w:rPr>
          <w:rFonts w:cstheme="minorHAnsi"/>
        </w:rPr>
      </w:pPr>
      <w:r w:rsidRPr="001926C9">
        <w:rPr>
          <w:rFonts w:cstheme="minorHAnsi"/>
        </w:rPr>
        <w:t>reflexes or motor function.</w:t>
      </w:r>
    </w:p>
    <w:p w14:paraId="158BA748" w14:textId="77777777" w:rsidR="000C0DC9" w:rsidRPr="001926C9" w:rsidRDefault="000C0DC9" w:rsidP="000C0DC9">
      <w:pPr>
        <w:pStyle w:val="ListParagraph"/>
        <w:numPr>
          <w:ilvl w:val="0"/>
          <w:numId w:val="44"/>
        </w:numPr>
        <w:spacing w:before="120"/>
        <w:rPr>
          <w:rFonts w:cstheme="minorHAnsi"/>
        </w:rPr>
      </w:pPr>
      <w:r w:rsidRPr="001926C9">
        <w:rPr>
          <w:rFonts w:cstheme="minorHAnsi"/>
        </w:rPr>
        <w:t>ability to understand or apply the road rules</w:t>
      </w:r>
    </w:p>
    <w:p w14:paraId="299D282F" w14:textId="77777777" w:rsidR="000C0DC9" w:rsidRPr="001926C9" w:rsidRDefault="000C0DC9" w:rsidP="000C0DC9">
      <w:pPr>
        <w:pStyle w:val="ListParagraph"/>
        <w:numPr>
          <w:ilvl w:val="0"/>
          <w:numId w:val="44"/>
        </w:numPr>
        <w:spacing w:before="120"/>
        <w:rPr>
          <w:rFonts w:cstheme="minorHAnsi"/>
        </w:rPr>
      </w:pPr>
      <w:r w:rsidRPr="001926C9">
        <w:rPr>
          <w:rFonts w:cstheme="minorHAnsi"/>
        </w:rPr>
        <w:t>reaction times.</w:t>
      </w:r>
    </w:p>
    <w:p w14:paraId="0560C7F1" w14:textId="77777777" w:rsidR="000C0DC9" w:rsidRPr="00966602" w:rsidRDefault="000C0DC9" w:rsidP="00966602">
      <w:pPr>
        <w:pStyle w:val="BodyCopy"/>
      </w:pPr>
    </w:p>
    <w:p w14:paraId="6C55149A" w14:textId="5493CEA6" w:rsidR="00CF173E" w:rsidRDefault="00CF173E" w:rsidP="00CF173E">
      <w:pPr>
        <w:pStyle w:val="Heading5"/>
      </w:pPr>
      <w:r>
        <w:lastRenderedPageBreak/>
        <w:t>Reporting</w:t>
      </w:r>
    </w:p>
    <w:p w14:paraId="0E9E8206" w14:textId="1EFB964D" w:rsidR="00966602" w:rsidRDefault="00CF173E" w:rsidP="00CF173E">
      <w:pPr>
        <w:pStyle w:val="BodyCopy"/>
      </w:pPr>
      <w:r>
        <w:t>Once a d</w:t>
      </w:r>
      <w:r w:rsidR="003704BA">
        <w:t>etermination o</w:t>
      </w:r>
      <w:r w:rsidR="00307145">
        <w:t>f</w:t>
      </w:r>
      <w:r w:rsidR="003704BA">
        <w:t xml:space="preserve"> impairment has bee</w:t>
      </w:r>
      <w:r w:rsidR="00BC5051">
        <w:t>n made, t</w:t>
      </w:r>
      <w:r w:rsidR="003704BA">
        <w:t xml:space="preserve">he health practitioner must make a report </w:t>
      </w:r>
      <w:r w:rsidR="00BC5051" w:rsidRPr="454A50E5">
        <w:rPr>
          <w:b/>
        </w:rPr>
        <w:t>within seven days</w:t>
      </w:r>
      <w:r w:rsidR="00BC5051">
        <w:t xml:space="preserve"> of forming </w:t>
      </w:r>
      <w:r w:rsidR="00A431CB">
        <w:t xml:space="preserve">an opinion about a person’s fitness to drive. There does not need to be a formal diagnosis. The report must contain the </w:t>
      </w:r>
      <w:r w:rsidR="00995E30">
        <w:t>person’s</w:t>
      </w:r>
      <w:r w:rsidR="00A431CB">
        <w:t xml:space="preserve"> name, address, dat</w:t>
      </w:r>
      <w:r w:rsidR="175CDC9B">
        <w:t>e</w:t>
      </w:r>
      <w:r w:rsidR="00A431CB">
        <w:t xml:space="preserve"> of birth and the nature of the condition </w:t>
      </w:r>
      <w:r w:rsidR="00307145">
        <w:t xml:space="preserve">possibly </w:t>
      </w:r>
      <w:r w:rsidR="00A431CB">
        <w:t>affecting the person’s driving ability. The smartform to report is available from the Access Canberra website or the following link:</w:t>
      </w:r>
      <w:r w:rsidR="004A3C32">
        <w:t xml:space="preserve"> </w:t>
      </w:r>
      <w:hyperlink r:id="rId13" w:history="1">
        <w:r w:rsidR="004A3C32">
          <w:rPr>
            <w:rStyle w:val="Hyperlink"/>
          </w:rPr>
          <w:t>https://services.accesscanberra.act.gov.au/s/forms/driver-licence-medical-conditions-report</w:t>
        </w:r>
      </w:hyperlink>
      <w:r w:rsidR="004A3C32">
        <w:t>.</w:t>
      </w:r>
    </w:p>
    <w:p w14:paraId="439C754B" w14:textId="77777777" w:rsidR="004A3C32" w:rsidRDefault="005A2D1F" w:rsidP="00B24CC6">
      <w:pPr>
        <w:pStyle w:val="BodyCopy"/>
      </w:pPr>
      <w:r>
        <w:t xml:space="preserve">Health practitioners </w:t>
      </w:r>
      <w:r w:rsidR="00B24CC6">
        <w:t xml:space="preserve">are encouraged to report </w:t>
      </w:r>
      <w:r w:rsidR="0039600C">
        <w:t xml:space="preserve">all </w:t>
      </w:r>
      <w:r w:rsidR="00B24CC6">
        <w:t>concerns</w:t>
      </w:r>
      <w:r w:rsidR="0039600C">
        <w:t xml:space="preserve"> that may meet the reporting criteria for the further assessment of Access Canberra</w:t>
      </w:r>
      <w:r w:rsidR="00B24CC6">
        <w:t xml:space="preserve">. </w:t>
      </w:r>
    </w:p>
    <w:p w14:paraId="0D5FFAED" w14:textId="7A2E5A45" w:rsidR="005A2D1F" w:rsidRPr="00EE7874" w:rsidRDefault="00B24CC6" w:rsidP="005A2D1F">
      <w:pPr>
        <w:pStyle w:val="BodyCopy"/>
        <w:rPr>
          <w:rStyle w:val="Hyperlink"/>
        </w:rPr>
      </w:pPr>
      <w:r>
        <w:t xml:space="preserve">Health practitioners </w:t>
      </w:r>
      <w:r w:rsidR="00D0C79A">
        <w:t>are</w:t>
      </w:r>
      <w:r w:rsidR="005A2D1F">
        <w:t xml:space="preserve"> required to take all reasonable steps to tell the person as soon as possible about the report and its content</w:t>
      </w:r>
      <w:r w:rsidR="00DB29D9">
        <w:t xml:space="preserve">, including the legislated requirement that the person must be informed on any differences between any draft and final report. </w:t>
      </w:r>
      <w:r>
        <w:t>Access Canberra has developed a fact sheet that can help facilitate the conversation with the patient and provide them with more information, including the process they can expect after the report has been made</w:t>
      </w:r>
      <w:r w:rsidR="004A3C32">
        <w:t xml:space="preserve"> (accessible at:</w:t>
      </w:r>
      <w:hyperlink r:id="rId14" w:history="1">
        <w:r w:rsidR="0045562C" w:rsidRPr="00EE7874">
          <w:rPr>
            <w:rStyle w:val="Hyperlink"/>
          </w:rPr>
          <w:t>https://www.cityservices.act.gov.au/__data/assets/pdf_file/0006/2864418/New-health-reporting-rules-for-heavy-vehicle-drivers.pdf</w:t>
        </w:r>
      </w:hyperlink>
      <w:r w:rsidR="004A3C32">
        <w:rPr>
          <w:color w:val="auto"/>
        </w:rPr>
        <w:t>).</w:t>
      </w:r>
    </w:p>
    <w:p w14:paraId="6BABC06E" w14:textId="444D8C4D" w:rsidR="0045562C" w:rsidRPr="0004445A" w:rsidRDefault="0045562C" w:rsidP="005A2D1F">
      <w:pPr>
        <w:pStyle w:val="BodyCopy"/>
        <w:rPr>
          <w:rStyle w:val="Hyperlink"/>
          <w:color w:val="0000FF"/>
        </w:rPr>
      </w:pPr>
      <w:r w:rsidRPr="001926C9">
        <w:rPr>
          <w:rFonts w:asciiTheme="minorHAnsi" w:hAnsiTheme="minorHAnsi" w:cstheme="minorHAnsi"/>
        </w:rPr>
        <w:t>If a team is jointly assessing and managing the patient, it is appropriate for the primary practitioner responsible for the patient to submit the report on behalf of the team. However, if the patient is being seen by different practitioners separately—each forming their own clinical judgment—it may be necessary for each practitioner to report concerns individually.</w:t>
      </w:r>
    </w:p>
    <w:p w14:paraId="0760A103" w14:textId="52D2A52A" w:rsidR="00DE7D07" w:rsidRDefault="00B24CC6" w:rsidP="00A6051F">
      <w:pPr>
        <w:pStyle w:val="BodyCopy"/>
      </w:pPr>
      <w:r>
        <w:t xml:space="preserve">Access Canberra will then assess the report and may take one of </w:t>
      </w:r>
      <w:r w:rsidR="004A3C32">
        <w:t xml:space="preserve">the following </w:t>
      </w:r>
      <w:r>
        <w:t>actions:</w:t>
      </w:r>
    </w:p>
    <w:p w14:paraId="1001F5B2" w14:textId="2B3C7508" w:rsidR="00B24CC6" w:rsidRDefault="004A3C32" w:rsidP="00B24CC6">
      <w:pPr>
        <w:pStyle w:val="Bullet"/>
      </w:pPr>
      <w:r>
        <w:t>t</w:t>
      </w:r>
      <w:r w:rsidR="00B24CC6">
        <w:t>ake no action</w:t>
      </w:r>
    </w:p>
    <w:p w14:paraId="6BB3CE9F" w14:textId="79D30540" w:rsidR="00B24CC6" w:rsidRDefault="004A3C32" w:rsidP="00B24CC6">
      <w:pPr>
        <w:pStyle w:val="Bullet"/>
      </w:pPr>
      <w:r>
        <w:t>r</w:t>
      </w:r>
      <w:r w:rsidR="00B24CC6">
        <w:t>ecommend further investigation</w:t>
      </w:r>
    </w:p>
    <w:p w14:paraId="388358DE" w14:textId="18544992" w:rsidR="0031201D" w:rsidRDefault="004A3C32" w:rsidP="00B24CC6">
      <w:pPr>
        <w:pStyle w:val="Bullet"/>
      </w:pPr>
      <w:r>
        <w:t>m</w:t>
      </w:r>
      <w:r w:rsidR="00B24CC6">
        <w:t xml:space="preserve">ake </w:t>
      </w:r>
      <w:r w:rsidR="53EF32A9">
        <w:t>c</w:t>
      </w:r>
      <w:r w:rsidR="00B24CC6">
        <w:t>hanges to the person’s licence</w:t>
      </w:r>
    </w:p>
    <w:p w14:paraId="4BD23659" w14:textId="5C1212BF" w:rsidR="00B24CC6" w:rsidRDefault="004A3C32" w:rsidP="00B24CC6">
      <w:pPr>
        <w:pStyle w:val="Bullet"/>
      </w:pPr>
      <w:r>
        <w:t>e</w:t>
      </w:r>
      <w:r w:rsidR="0031201D">
        <w:t>nsure the report is provided to the relevant interstate/territory authority for their action, as appropriate</w:t>
      </w:r>
      <w:r w:rsidR="00B24CC6">
        <w:t xml:space="preserve">. </w:t>
      </w:r>
    </w:p>
    <w:p w14:paraId="1CF0C5E2" w14:textId="77777777" w:rsidR="00307145" w:rsidRDefault="00B24CC6" w:rsidP="00B24CC6">
      <w:pPr>
        <w:pStyle w:val="BodyCopy"/>
      </w:pPr>
      <w:r>
        <w:t xml:space="preserve">Patients will </w:t>
      </w:r>
      <w:r w:rsidR="00126A72">
        <w:t xml:space="preserve">be contacted by Access Canberra, as appropriate, but will </w:t>
      </w:r>
      <w:r>
        <w:t xml:space="preserve">not be contacted by Access Canberra if no action is taken. </w:t>
      </w:r>
      <w:r w:rsidR="00126A72">
        <w:t xml:space="preserve">The </w:t>
      </w:r>
      <w:r w:rsidR="004A3C32">
        <w:t>h</w:t>
      </w:r>
      <w:r w:rsidR="00126A72">
        <w:t xml:space="preserve">ealth practitioner (reporter) will </w:t>
      </w:r>
      <w:r w:rsidR="00126A72" w:rsidRPr="004A3C32">
        <w:rPr>
          <w:b/>
          <w:bCs w:val="0"/>
        </w:rPr>
        <w:t>not</w:t>
      </w:r>
      <w:r w:rsidR="00126A72">
        <w:t xml:space="preserve"> be contacted by Access Canberra following a mandatory report unless further details are required. </w:t>
      </w:r>
    </w:p>
    <w:p w14:paraId="6B5FEA32" w14:textId="3516F947" w:rsidR="00B24CC6" w:rsidRDefault="00126A72" w:rsidP="00B24CC6">
      <w:pPr>
        <w:pStyle w:val="BodyCopy"/>
      </w:pPr>
      <w:r>
        <w:t xml:space="preserve">The reporter should </w:t>
      </w:r>
      <w:r w:rsidR="00F73FAA">
        <w:rPr>
          <w:rFonts w:asciiTheme="minorHAnsi" w:hAnsiTheme="minorHAnsi" w:cstheme="minorHAnsi"/>
        </w:rPr>
        <w:t xml:space="preserve">record the mandatory report in the patient progress notes and </w:t>
      </w:r>
      <w:r w:rsidR="004B3B95">
        <w:t>create a flag (General category)</w:t>
      </w:r>
      <w:r>
        <w:t xml:space="preserve"> that a mandatory report has been undertaken in the patients’ </w:t>
      </w:r>
      <w:r w:rsidR="004A3C32">
        <w:t>D</w:t>
      </w:r>
      <w:r>
        <w:t xml:space="preserve">igital </w:t>
      </w:r>
      <w:r w:rsidR="004A3C32">
        <w:t>H</w:t>
      </w:r>
      <w:r>
        <w:t xml:space="preserve">ealth </w:t>
      </w:r>
      <w:r w:rsidR="004A3C32">
        <w:t>R</w:t>
      </w:r>
      <w:r>
        <w:t>ecord (DHR), so that other clinicians are aware that a report has been made.</w:t>
      </w:r>
      <w:r w:rsidR="00307145">
        <w:t xml:space="preserve"> The reporter should also make note of the date that the patient was advised of the report.</w:t>
      </w:r>
      <w:r>
        <w:t xml:space="preserve"> </w:t>
      </w:r>
      <w:r w:rsidR="00A22C0B">
        <w:t xml:space="preserve">Health practitioners are not required to make a fitness to drive assessment or to make any decisions on the </w:t>
      </w:r>
      <w:r w:rsidR="004F7C93">
        <w:t>patient’s</w:t>
      </w:r>
      <w:r w:rsidR="00A22C0B">
        <w:t xml:space="preserve"> licence under the </w:t>
      </w:r>
      <w:r w:rsidR="005243E7">
        <w:t>R</w:t>
      </w:r>
      <w:r w:rsidR="00A22C0B">
        <w:t>egulation.</w:t>
      </w:r>
    </w:p>
    <w:p w14:paraId="0D35A295" w14:textId="7003541A" w:rsidR="00481A6C" w:rsidRDefault="00481A6C" w:rsidP="00280E99">
      <w:pPr>
        <w:pStyle w:val="BodyCopy"/>
        <w:spacing w:before="240"/>
      </w:pPr>
      <w:hyperlink w:anchor="_top" w:history="1">
        <w:r w:rsidRPr="00481A6C">
          <w:rPr>
            <w:rStyle w:val="Hyperlink"/>
            <w:iCs w:val="0"/>
          </w:rPr>
          <w:t>Back to Contents</w:t>
        </w:r>
      </w:hyperlink>
    </w:p>
    <w:p w14:paraId="1A25E04D" w14:textId="77777777" w:rsidR="00650995" w:rsidRDefault="00650995" w:rsidP="00280E99">
      <w:pPr>
        <w:pStyle w:val="BodyCopy"/>
        <w:spacing w:before="240"/>
      </w:pPr>
    </w:p>
    <w:p w14:paraId="56D18D4D" w14:textId="77777777" w:rsidR="00650995" w:rsidRDefault="00650995" w:rsidP="00280E99">
      <w:pPr>
        <w:pStyle w:val="BodyCopy"/>
        <w:spacing w:before="240"/>
      </w:pPr>
    </w:p>
    <w:p w14:paraId="5DAAF4A3" w14:textId="77777777" w:rsidR="0078367D" w:rsidRDefault="0078367D" w:rsidP="00A6051F">
      <w:pPr>
        <w:pStyle w:val="Heading4"/>
      </w:pPr>
      <w:bookmarkStart w:id="4" w:name="_Toc176348490"/>
      <w:bookmarkStart w:id="5" w:name="_Toc225406744"/>
      <w:r>
        <w:t>Evaluation</w:t>
      </w:r>
      <w:bookmarkStart w:id="6" w:name="_Hlk43366294"/>
      <w:bookmarkEnd w:id="4"/>
      <w:bookmarkEnd w:id="5"/>
    </w:p>
    <w:p w14:paraId="1D7F8009" w14:textId="4D65DC4E" w:rsidR="00481A6C" w:rsidRPr="004F3DA2" w:rsidRDefault="00481A6C" w:rsidP="00C34A10">
      <w:pPr>
        <w:pStyle w:val="Heading5"/>
      </w:pPr>
      <w:bookmarkStart w:id="7" w:name="_Hlk170467190"/>
      <w:bookmarkEnd w:id="6"/>
      <w:r w:rsidRPr="004F3DA2">
        <w:t>Outcome</w:t>
      </w:r>
      <w:r w:rsidR="00307145">
        <w:t>s</w:t>
      </w:r>
    </w:p>
    <w:bookmarkEnd w:id="7"/>
    <w:p w14:paraId="0BAFCB6E" w14:textId="0E61BEF1" w:rsidR="002B608C" w:rsidRPr="00065022" w:rsidRDefault="002B608C" w:rsidP="009A5010">
      <w:pPr>
        <w:pStyle w:val="Bullet"/>
        <w:rPr>
          <w:color w:val="auto"/>
        </w:rPr>
      </w:pPr>
      <w:r w:rsidRPr="00065022">
        <w:rPr>
          <w:color w:val="auto"/>
        </w:rPr>
        <w:t>Health practitioners understand</w:t>
      </w:r>
      <w:r w:rsidR="00E17226" w:rsidRPr="00065022">
        <w:rPr>
          <w:color w:val="auto"/>
        </w:rPr>
        <w:t xml:space="preserve"> and comply with their</w:t>
      </w:r>
      <w:r w:rsidRPr="00065022">
        <w:rPr>
          <w:color w:val="auto"/>
        </w:rPr>
        <w:t xml:space="preserve"> mandatory reporting requirements</w:t>
      </w:r>
      <w:r w:rsidR="004A3C32">
        <w:rPr>
          <w:color w:val="auto"/>
        </w:rPr>
        <w:t>.</w:t>
      </w:r>
    </w:p>
    <w:p w14:paraId="4D47A6C7" w14:textId="1B850075" w:rsidR="00B56A46" w:rsidRDefault="00B56A46" w:rsidP="00B56A46">
      <w:pPr>
        <w:pStyle w:val="Bullet"/>
      </w:pPr>
      <w:r>
        <w:t>Health practitioners know how to make a report to the RTA</w:t>
      </w:r>
      <w:r w:rsidR="004A3C32">
        <w:t>.</w:t>
      </w:r>
    </w:p>
    <w:p w14:paraId="425D8AC2" w14:textId="77777777" w:rsidR="00481A6C" w:rsidRPr="004F3DA2" w:rsidRDefault="00C34A10" w:rsidP="00C34A10">
      <w:pPr>
        <w:pStyle w:val="Heading5"/>
      </w:pPr>
      <w:bookmarkStart w:id="8" w:name="_Hlk170467240"/>
      <w:r w:rsidRPr="004F3DA2">
        <w:t>Measures</w:t>
      </w:r>
    </w:p>
    <w:bookmarkEnd w:id="8"/>
    <w:p w14:paraId="7AD06A14" w14:textId="3C0352CC" w:rsidR="00481A6C" w:rsidRPr="00EE6B2E" w:rsidRDefault="00EE6B2E" w:rsidP="00C34A10">
      <w:pPr>
        <w:pStyle w:val="Bullet"/>
        <w:rPr>
          <w:color w:val="auto"/>
        </w:rPr>
      </w:pPr>
      <w:r w:rsidRPr="7463DB3A">
        <w:rPr>
          <w:color w:val="auto"/>
        </w:rPr>
        <w:t>Health practitioners</w:t>
      </w:r>
      <w:r w:rsidR="0045562C">
        <w:rPr>
          <w:color w:val="auto"/>
        </w:rPr>
        <w:t xml:space="preserve"> who are identified as mandated reporters</w:t>
      </w:r>
      <w:r w:rsidR="001D41E9" w:rsidRPr="7463DB3A">
        <w:rPr>
          <w:color w:val="auto"/>
        </w:rPr>
        <w:t xml:space="preserve"> to</w:t>
      </w:r>
      <w:r w:rsidRPr="7463DB3A">
        <w:rPr>
          <w:color w:val="auto"/>
        </w:rPr>
        <w:t xml:space="preserve"> participate in a regular survey</w:t>
      </w:r>
      <w:r w:rsidR="0045562C">
        <w:rPr>
          <w:color w:val="auto"/>
        </w:rPr>
        <w:t xml:space="preserve"> from the Office of the Chief Operating Officer (COO)</w:t>
      </w:r>
      <w:r w:rsidRPr="7463DB3A">
        <w:rPr>
          <w:color w:val="auto"/>
        </w:rPr>
        <w:t xml:space="preserve"> </w:t>
      </w:r>
      <w:r w:rsidR="009C07EF">
        <w:rPr>
          <w:color w:val="auto"/>
        </w:rPr>
        <w:t>to</w:t>
      </w:r>
      <w:r w:rsidRPr="7463DB3A">
        <w:rPr>
          <w:color w:val="auto"/>
        </w:rPr>
        <w:t xml:space="preserve"> confirm their understanding of and compliance with the </w:t>
      </w:r>
      <w:r w:rsidR="7607C586" w:rsidRPr="005C2037">
        <w:rPr>
          <w:color w:val="auto"/>
        </w:rPr>
        <w:t>Regulation</w:t>
      </w:r>
      <w:r w:rsidRPr="7463DB3A">
        <w:rPr>
          <w:color w:val="auto"/>
        </w:rPr>
        <w:t xml:space="preserve"> and how to make a report to the RTA.</w:t>
      </w:r>
    </w:p>
    <w:p w14:paraId="28828178" w14:textId="77777777" w:rsidR="00481A6C" w:rsidRDefault="00481A6C" w:rsidP="002D7682">
      <w:pPr>
        <w:pStyle w:val="BodyCopy"/>
        <w:spacing w:after="120"/>
        <w:rPr>
          <w:rStyle w:val="Hyperlink"/>
          <w:iCs w:val="0"/>
        </w:rPr>
      </w:pPr>
      <w:hyperlink w:anchor="_top" w:history="1">
        <w:r w:rsidRPr="00481A6C">
          <w:rPr>
            <w:rStyle w:val="Hyperlink"/>
            <w:iCs w:val="0"/>
          </w:rPr>
          <w:t>Back to Contents</w:t>
        </w:r>
      </w:hyperlink>
    </w:p>
    <w:p w14:paraId="31ADAA57" w14:textId="77777777" w:rsidR="00A6051F" w:rsidRDefault="00A6051F" w:rsidP="00A6051F">
      <w:pPr>
        <w:pStyle w:val="Heading4"/>
      </w:pPr>
      <w:bookmarkStart w:id="9" w:name="_Toc225406745"/>
      <w:r>
        <w:t>Related policies, procedures, guidelines and legislation</w:t>
      </w:r>
      <w:bookmarkEnd w:id="9"/>
    </w:p>
    <w:p w14:paraId="1C98C975" w14:textId="77777777" w:rsidR="004A3C32" w:rsidRDefault="004A3C32" w:rsidP="00A6051F">
      <w:pPr>
        <w:pStyle w:val="Heading5"/>
      </w:pPr>
      <w:r>
        <w:t>Policies</w:t>
      </w:r>
    </w:p>
    <w:p w14:paraId="00A6AC16" w14:textId="0F75AF13" w:rsidR="005243E7" w:rsidRDefault="005243E7" w:rsidP="005243E7">
      <w:pPr>
        <w:pStyle w:val="Bullet"/>
      </w:pPr>
      <w:r>
        <w:t>Clinical Records Management</w:t>
      </w:r>
    </w:p>
    <w:p w14:paraId="28FF1D73" w14:textId="1D166ED5" w:rsidR="005243E7" w:rsidRDefault="005243E7" w:rsidP="005243E7">
      <w:pPr>
        <w:pStyle w:val="Bullet"/>
      </w:pPr>
      <w:r>
        <w:t>Consumer Privacy</w:t>
      </w:r>
    </w:p>
    <w:p w14:paraId="4E9A0202" w14:textId="32868B30" w:rsidR="005243E7" w:rsidRDefault="005243E7" w:rsidP="005243E7">
      <w:pPr>
        <w:pStyle w:val="Bullet"/>
      </w:pPr>
      <w:r>
        <w:t>Information Privacy</w:t>
      </w:r>
    </w:p>
    <w:p w14:paraId="49419F19" w14:textId="77777777" w:rsidR="004A3C32" w:rsidRDefault="004A3C32" w:rsidP="00A6051F">
      <w:pPr>
        <w:pStyle w:val="Heading5"/>
      </w:pPr>
      <w:r>
        <w:t>Procedures</w:t>
      </w:r>
    </w:p>
    <w:p w14:paraId="1894B802" w14:textId="120B5A2D" w:rsidR="004A3C32" w:rsidRDefault="005243E7" w:rsidP="00EE7874">
      <w:pPr>
        <w:pStyle w:val="Bullet"/>
      </w:pPr>
      <w:r>
        <w:t>Clinical Records Management</w:t>
      </w:r>
    </w:p>
    <w:p w14:paraId="213FD9B0" w14:textId="1986BE9F" w:rsidR="00481A6C" w:rsidRDefault="00481A6C" w:rsidP="00A6051F">
      <w:pPr>
        <w:pStyle w:val="Heading5"/>
      </w:pPr>
      <w:r>
        <w:t>Legislation</w:t>
      </w:r>
    </w:p>
    <w:p w14:paraId="638B41E7" w14:textId="176B1A9B" w:rsidR="00481A6C" w:rsidRPr="000E7683" w:rsidRDefault="004F7C93" w:rsidP="000E7683">
      <w:pPr>
        <w:pStyle w:val="Bullet"/>
      </w:pPr>
      <w:r>
        <w:rPr>
          <w:i/>
          <w:iCs/>
        </w:rPr>
        <w:t xml:space="preserve">Health Practitioner Regulation National Law (ACT) 2010 </w:t>
      </w:r>
    </w:p>
    <w:p w14:paraId="0629F428" w14:textId="74805DF1" w:rsidR="00280E99" w:rsidRPr="00280E99" w:rsidRDefault="00280E99" w:rsidP="000E7683">
      <w:pPr>
        <w:pStyle w:val="Bullet"/>
      </w:pPr>
      <w:r w:rsidRPr="7463DB3A">
        <w:rPr>
          <w:i/>
          <w:iCs/>
        </w:rPr>
        <w:t>Road Transport (Driver Licensing) Regulation 2000</w:t>
      </w:r>
      <w:r w:rsidR="2303878E" w:rsidRPr="7463DB3A">
        <w:rPr>
          <w:i/>
          <w:iCs/>
        </w:rPr>
        <w:t xml:space="preserve"> </w:t>
      </w:r>
      <w:r w:rsidR="2303878E" w:rsidRPr="005C2037">
        <w:t>(ACT)</w:t>
      </w:r>
    </w:p>
    <w:p w14:paraId="427497BB" w14:textId="62A87E00" w:rsidR="00280E99" w:rsidRPr="00187D4A" w:rsidRDefault="00280E99" w:rsidP="000E7683">
      <w:pPr>
        <w:pStyle w:val="Bullet"/>
      </w:pPr>
      <w:r w:rsidRPr="7463DB3A">
        <w:rPr>
          <w:i/>
          <w:iCs/>
        </w:rPr>
        <w:t>Road Transport (Driver Licensing) Mandatory Reporting of Fitness to Drive Guidelines 2025 (No 1)</w:t>
      </w:r>
      <w:r w:rsidR="681A38AA" w:rsidRPr="7463DB3A">
        <w:rPr>
          <w:i/>
          <w:iCs/>
        </w:rPr>
        <w:t xml:space="preserve"> </w:t>
      </w:r>
      <w:r w:rsidR="681A38AA" w:rsidRPr="005C2037">
        <w:t>(ACT)</w:t>
      </w:r>
    </w:p>
    <w:p w14:paraId="3D34A4B1" w14:textId="42C357BB" w:rsidR="00187D4A" w:rsidRPr="00187D4A" w:rsidRDefault="00187D4A" w:rsidP="000E7683">
      <w:pPr>
        <w:pStyle w:val="Bullet"/>
      </w:pPr>
      <w:r>
        <w:rPr>
          <w:i/>
          <w:iCs/>
        </w:rPr>
        <w:t>Privacy Act 1988 (Cth)</w:t>
      </w:r>
    </w:p>
    <w:p w14:paraId="1505979F" w14:textId="756F94BA" w:rsidR="00187D4A" w:rsidRPr="00EE7874" w:rsidRDefault="00187D4A" w:rsidP="000E7683">
      <w:pPr>
        <w:pStyle w:val="Bullet"/>
      </w:pPr>
      <w:r>
        <w:rPr>
          <w:i/>
          <w:iCs/>
        </w:rPr>
        <w:t>Health Records (Privacy and Access) Act 1997</w:t>
      </w:r>
    </w:p>
    <w:p w14:paraId="274F097D" w14:textId="75459246" w:rsidR="00437C63" w:rsidRPr="00EE7874" w:rsidRDefault="00437C63" w:rsidP="000E7683">
      <w:pPr>
        <w:pStyle w:val="Bullet"/>
      </w:pPr>
      <w:r>
        <w:rPr>
          <w:i/>
          <w:iCs/>
        </w:rPr>
        <w:t>Human Rights Act 2004</w:t>
      </w:r>
    </w:p>
    <w:p w14:paraId="6885AD7E" w14:textId="5B09335B" w:rsidR="00437C63" w:rsidRPr="00EE7874" w:rsidRDefault="00437C63" w:rsidP="000E7683">
      <w:pPr>
        <w:pStyle w:val="Bullet"/>
      </w:pPr>
      <w:r>
        <w:rPr>
          <w:i/>
          <w:iCs/>
        </w:rPr>
        <w:t>Work Health and Safety Act 2011</w:t>
      </w:r>
    </w:p>
    <w:p w14:paraId="656C7B7C" w14:textId="1B036EB1" w:rsidR="00A112DC" w:rsidRDefault="00A112DC" w:rsidP="00EE7874">
      <w:pPr>
        <w:pStyle w:val="Heading5"/>
      </w:pPr>
      <w:r>
        <w:t>Other</w:t>
      </w:r>
    </w:p>
    <w:p w14:paraId="250D57A3" w14:textId="31438BAD" w:rsidR="00A112DC" w:rsidRPr="000E7683" w:rsidRDefault="004A3C32" w:rsidP="00EE7874">
      <w:pPr>
        <w:pStyle w:val="Bullet"/>
        <w:numPr>
          <w:ilvl w:val="0"/>
          <w:numId w:val="0"/>
        </w:numPr>
        <w:ind w:left="360"/>
      </w:pPr>
      <w:r>
        <w:rPr>
          <w:i/>
          <w:iCs/>
        </w:rPr>
        <w:t xml:space="preserve">Australian </w:t>
      </w:r>
      <w:r w:rsidR="00A112DC">
        <w:rPr>
          <w:i/>
          <w:iCs/>
        </w:rPr>
        <w:t>Charter of Healthcare Rights</w:t>
      </w:r>
    </w:p>
    <w:p w14:paraId="2829F9B2" w14:textId="54A994DC" w:rsidR="000E7683" w:rsidRPr="000E7683" w:rsidRDefault="000E7683" w:rsidP="002D7682">
      <w:pPr>
        <w:pStyle w:val="BodyCopy"/>
      </w:pPr>
      <w:hyperlink w:anchor="_top" w:history="1">
        <w:r w:rsidRPr="004A7A7F">
          <w:rPr>
            <w:rStyle w:val="Hyperlink"/>
          </w:rPr>
          <w:t>Back to Contents</w:t>
        </w:r>
      </w:hyperlink>
    </w:p>
    <w:p w14:paraId="6D5CF2C6" w14:textId="77777777" w:rsidR="0078367D" w:rsidRPr="0078367D" w:rsidRDefault="0078367D" w:rsidP="00A6051F">
      <w:pPr>
        <w:pStyle w:val="Heading4"/>
      </w:pPr>
      <w:bookmarkStart w:id="10" w:name="_Toc225406746"/>
      <w:r w:rsidRPr="0078367D">
        <w:lastRenderedPageBreak/>
        <w:t>References</w:t>
      </w:r>
      <w:bookmarkEnd w:id="10"/>
    </w:p>
    <w:p w14:paraId="4DFFBC79" w14:textId="4BD35EB6" w:rsidR="00280C5D" w:rsidRPr="00F314E9" w:rsidRDefault="00723A03" w:rsidP="0078367D">
      <w:pPr>
        <w:pStyle w:val="Numberedlist"/>
        <w:rPr>
          <w:color w:val="auto"/>
          <w:lang w:eastAsia="en-US"/>
        </w:rPr>
      </w:pPr>
      <w:r w:rsidRPr="00F314E9">
        <w:rPr>
          <w:color w:val="auto"/>
          <w:lang w:eastAsia="en-US"/>
        </w:rPr>
        <w:t>Assessing Fitness to Drive [Internet]. Austroads.gov.au. Austroads; 2022. Available from: https://austroads.gov.au/drivers-and-vehicles/assessing-fitness-to-drive</w:t>
      </w:r>
    </w:p>
    <w:p w14:paraId="0986C958" w14:textId="566167CB" w:rsidR="00F314E9" w:rsidRDefault="00F314E9" w:rsidP="00F314E9">
      <w:pPr>
        <w:pStyle w:val="Numberedlist"/>
        <w:rPr>
          <w:color w:val="auto"/>
          <w:lang w:eastAsia="en-US"/>
        </w:rPr>
      </w:pPr>
      <w:r w:rsidRPr="00F314E9">
        <w:rPr>
          <w:color w:val="auto"/>
          <w:lang w:eastAsia="en-US"/>
        </w:rPr>
        <w:t xml:space="preserve">Reporting fitness to drive - City Services [Internet]. Act.gov.au. 2025 [cited 2025 Oct 29]. Available from: </w:t>
      </w:r>
      <w:hyperlink r:id="rId15" w:history="1">
        <w:r w:rsidRPr="00F314E9">
          <w:rPr>
            <w:color w:val="auto"/>
            <w:lang w:eastAsia="en-US"/>
          </w:rPr>
          <w:t>https://www.cityservices.act.gov.au/roads-and-paths/road-safety/reporting-fitness-to-drive</w:t>
        </w:r>
      </w:hyperlink>
    </w:p>
    <w:p w14:paraId="5CA46188" w14:textId="00C10FC6" w:rsidR="00280C5D" w:rsidRDefault="00280C5D" w:rsidP="00F314E9">
      <w:pPr>
        <w:pStyle w:val="Numberedlist"/>
        <w:numPr>
          <w:ilvl w:val="0"/>
          <w:numId w:val="0"/>
        </w:numPr>
        <w:rPr>
          <w:lang w:eastAsia="en-US"/>
        </w:rPr>
      </w:pPr>
      <w:hyperlink w:anchor="_top" w:history="1">
        <w:r w:rsidRPr="004A7A7F">
          <w:rPr>
            <w:rStyle w:val="Hyperlink"/>
          </w:rPr>
          <w:t>Back to Contents</w:t>
        </w:r>
      </w:hyperlink>
    </w:p>
    <w:p w14:paraId="293E8DE7" w14:textId="2B604DEF" w:rsidR="0078367D" w:rsidRDefault="0078367D" w:rsidP="00A6051F">
      <w:pPr>
        <w:pStyle w:val="Heading4"/>
      </w:pPr>
      <w:bookmarkStart w:id="11" w:name="_Toc225406747"/>
      <w:r>
        <w:t>Definition of terms</w:t>
      </w:r>
      <w:bookmarkEnd w:id="11"/>
    </w:p>
    <w:p w14:paraId="2F40075E" w14:textId="37897D2B" w:rsidR="00966602" w:rsidRDefault="00966602" w:rsidP="005C2037">
      <w:pPr>
        <w:pStyle w:val="BodyCopy"/>
      </w:pPr>
      <w:r w:rsidRPr="7463DB3A">
        <w:rPr>
          <w:b/>
        </w:rPr>
        <w:t xml:space="preserve">Heavy Vehicle Licence </w:t>
      </w:r>
      <w:r>
        <w:t>means any of the following licence</w:t>
      </w:r>
      <w:r w:rsidR="00B12F2C">
        <w:t xml:space="preserve"> classes</w:t>
      </w:r>
      <w:r>
        <w:t>:</w:t>
      </w:r>
    </w:p>
    <w:p w14:paraId="0286DD38" w14:textId="1AB185E7" w:rsidR="00966602" w:rsidRPr="009D107B" w:rsidRDefault="00B12F2C" w:rsidP="009D107B">
      <w:pPr>
        <w:pStyle w:val="Bullet"/>
      </w:pPr>
      <w:r w:rsidRPr="009D107B">
        <w:t>Light Rigid</w:t>
      </w:r>
      <w:r w:rsidR="00966602" w:rsidRPr="009D107B">
        <w:t xml:space="preserve"> </w:t>
      </w:r>
      <w:r w:rsidRPr="009D107B">
        <w:t>(</w:t>
      </w:r>
      <w:r w:rsidR="00966602" w:rsidRPr="009D107B">
        <w:t>LR</w:t>
      </w:r>
      <w:r w:rsidRPr="009D107B">
        <w:t>)</w:t>
      </w:r>
      <w:r w:rsidR="00966602" w:rsidRPr="009D107B">
        <w:t xml:space="preserve"> Licence</w:t>
      </w:r>
    </w:p>
    <w:p w14:paraId="0399C67A" w14:textId="3345AC1F" w:rsidR="00966602" w:rsidRPr="009D107B" w:rsidRDefault="00B12F2C" w:rsidP="009D107B">
      <w:pPr>
        <w:pStyle w:val="Bullet"/>
      </w:pPr>
      <w:r w:rsidRPr="009D107B">
        <w:t>Medium Rigid (</w:t>
      </w:r>
      <w:r w:rsidR="00966602" w:rsidRPr="009D107B">
        <w:t>MR</w:t>
      </w:r>
      <w:r w:rsidRPr="009D107B">
        <w:t>)</w:t>
      </w:r>
      <w:r w:rsidR="00966602" w:rsidRPr="009D107B">
        <w:t xml:space="preserve"> Licence</w:t>
      </w:r>
    </w:p>
    <w:p w14:paraId="77783C06" w14:textId="3B8346A5" w:rsidR="00966602" w:rsidRPr="009D107B" w:rsidRDefault="00B12F2C" w:rsidP="009D107B">
      <w:pPr>
        <w:pStyle w:val="Bullet"/>
      </w:pPr>
      <w:r w:rsidRPr="009D107B">
        <w:t>Heavy Rigid</w:t>
      </w:r>
      <w:r w:rsidR="00966602" w:rsidRPr="009D107B">
        <w:t xml:space="preserve"> </w:t>
      </w:r>
      <w:r w:rsidRPr="009D107B">
        <w:t>(</w:t>
      </w:r>
      <w:r w:rsidR="00966602" w:rsidRPr="009D107B">
        <w:t>HR</w:t>
      </w:r>
      <w:r w:rsidRPr="009D107B">
        <w:t>)</w:t>
      </w:r>
      <w:r w:rsidR="00966602" w:rsidRPr="009D107B">
        <w:t xml:space="preserve"> Licence</w:t>
      </w:r>
    </w:p>
    <w:p w14:paraId="4F494A97" w14:textId="6402E871" w:rsidR="00966602" w:rsidRPr="009D107B" w:rsidRDefault="00B12F2C" w:rsidP="009D107B">
      <w:pPr>
        <w:pStyle w:val="Bullet"/>
      </w:pPr>
      <w:r w:rsidRPr="009D107B">
        <w:t>Heavy Combination (</w:t>
      </w:r>
      <w:r w:rsidR="00966602" w:rsidRPr="009D107B">
        <w:t>HC</w:t>
      </w:r>
      <w:r w:rsidRPr="009D107B">
        <w:t>)</w:t>
      </w:r>
      <w:r w:rsidR="00966602" w:rsidRPr="009D107B">
        <w:t xml:space="preserve"> Licence</w:t>
      </w:r>
    </w:p>
    <w:p w14:paraId="57A8123A" w14:textId="4ACA132D" w:rsidR="00966602" w:rsidRPr="009D107B" w:rsidRDefault="00B12F2C" w:rsidP="009D107B">
      <w:pPr>
        <w:pStyle w:val="Bullet"/>
      </w:pPr>
      <w:r w:rsidRPr="009D107B">
        <w:t>Multi-combination</w:t>
      </w:r>
      <w:r w:rsidR="00966602" w:rsidRPr="009D107B">
        <w:t xml:space="preserve"> </w:t>
      </w:r>
      <w:r w:rsidRPr="009D107B">
        <w:t>(</w:t>
      </w:r>
      <w:r w:rsidR="00966602" w:rsidRPr="009D107B">
        <w:t>MC</w:t>
      </w:r>
      <w:r w:rsidRPr="009D107B">
        <w:t>)</w:t>
      </w:r>
      <w:r w:rsidR="00966602" w:rsidRPr="009D107B">
        <w:t xml:space="preserve"> Licence</w:t>
      </w:r>
      <w:r w:rsidR="00F311A0" w:rsidRPr="009D107B">
        <w:t>.</w:t>
      </w:r>
    </w:p>
    <w:p w14:paraId="462603BE" w14:textId="77777777" w:rsidR="00280C5D" w:rsidRDefault="00280C5D" w:rsidP="002D7682">
      <w:pPr>
        <w:pStyle w:val="BodyCopy"/>
      </w:pPr>
      <w:hyperlink w:anchor="_top" w:history="1">
        <w:r w:rsidRPr="00481A6C">
          <w:rPr>
            <w:rStyle w:val="Hyperlink"/>
            <w:iCs w:val="0"/>
          </w:rPr>
          <w:t>Back to Contents</w:t>
        </w:r>
      </w:hyperlink>
    </w:p>
    <w:p w14:paraId="3B6A576E" w14:textId="77777777" w:rsidR="0078367D" w:rsidRDefault="0078367D" w:rsidP="00A6051F">
      <w:pPr>
        <w:pStyle w:val="Heading4"/>
      </w:pPr>
      <w:bookmarkStart w:id="12" w:name="_Toc225406748"/>
      <w:r>
        <w:t>Search terms</w:t>
      </w:r>
      <w:bookmarkEnd w:id="12"/>
    </w:p>
    <w:p w14:paraId="79A8F4C5" w14:textId="412F9131" w:rsidR="00280C5D" w:rsidRDefault="004F7C93" w:rsidP="0078367D">
      <w:pPr>
        <w:pStyle w:val="BodyCopy"/>
        <w:rPr>
          <w:lang w:eastAsia="en-US"/>
        </w:rPr>
      </w:pPr>
      <w:r>
        <w:rPr>
          <w:lang w:eastAsia="en-US"/>
        </w:rPr>
        <w:t xml:space="preserve">Heavy Vehicle, </w:t>
      </w:r>
      <w:r w:rsidR="007952E4">
        <w:rPr>
          <w:lang w:eastAsia="en-US"/>
        </w:rPr>
        <w:t>Driver’s</w:t>
      </w:r>
      <w:r>
        <w:rPr>
          <w:lang w:eastAsia="en-US"/>
        </w:rPr>
        <w:t xml:space="preserve"> licence, mandatory reporting, Access Canberra, Fitness to drive</w:t>
      </w:r>
      <w:r w:rsidR="00F311A0">
        <w:rPr>
          <w:lang w:eastAsia="en-US"/>
        </w:rPr>
        <w:t>, north</w:t>
      </w:r>
      <w:r w:rsidR="005150B9">
        <w:rPr>
          <w:lang w:eastAsia="en-US"/>
        </w:rPr>
        <w:t>, driver licence medical conditions reporting</w:t>
      </w:r>
    </w:p>
    <w:p w14:paraId="61C3134A" w14:textId="77777777"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13C7E31D" w14:textId="300D3B78" w:rsidR="0078367D" w:rsidRPr="009A5010" w:rsidRDefault="0078367D" w:rsidP="00A6051F">
      <w:pPr>
        <w:pStyle w:val="Heading4"/>
      </w:pPr>
      <w:bookmarkStart w:id="13" w:name="_Toc225406749"/>
      <w:r>
        <w:t>Attachments</w:t>
      </w:r>
      <w:bookmarkEnd w:id="13"/>
      <w:r w:rsidR="009746B1">
        <w:t xml:space="preserve"> </w:t>
      </w:r>
    </w:p>
    <w:p w14:paraId="1142D7B0" w14:textId="506FEDE3" w:rsidR="00184832" w:rsidRDefault="00D43B30" w:rsidP="00D43B30">
      <w:pPr>
        <w:pStyle w:val="Heading7"/>
        <w:rPr>
          <w:lang w:eastAsia="en-US"/>
        </w:rPr>
      </w:pPr>
      <w:r w:rsidRPr="00D43B30">
        <w:rPr>
          <w:lang w:eastAsia="en-US"/>
        </w:rPr>
        <w:t>Attachment 1 – Frequently Asked Questions</w:t>
      </w:r>
    </w:p>
    <w:p w14:paraId="0C1370F5" w14:textId="3774A81A" w:rsidR="00D43B30" w:rsidRPr="001F3ED6" w:rsidRDefault="00D43B30" w:rsidP="00D43B30">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D43B30" w14:paraId="332E2154" w14:textId="77777777" w:rsidTr="00ED0DD2">
        <w:trPr>
          <w:cnfStyle w:val="100000000000" w:firstRow="1" w:lastRow="0" w:firstColumn="0" w:lastColumn="0" w:oddVBand="0" w:evenVBand="0" w:oddHBand="0" w:evenHBand="0" w:firstRowFirstColumn="0" w:firstRowLastColumn="0" w:lastRowFirstColumn="0" w:lastRowLastColumn="0"/>
        </w:trPr>
        <w:tc>
          <w:tcPr>
            <w:tcW w:w="2476" w:type="dxa"/>
          </w:tcPr>
          <w:p w14:paraId="60E12139" w14:textId="77777777" w:rsidR="00D43B30" w:rsidRDefault="00D43B30" w:rsidP="00ED0DD2">
            <w:pPr>
              <w:pStyle w:val="Tableheader"/>
            </w:pPr>
            <w:r>
              <w:t>Date amended</w:t>
            </w:r>
          </w:p>
        </w:tc>
        <w:tc>
          <w:tcPr>
            <w:tcW w:w="2477" w:type="dxa"/>
          </w:tcPr>
          <w:p w14:paraId="37C466B8" w14:textId="77777777" w:rsidR="00D43B30" w:rsidRDefault="00D43B30" w:rsidP="00ED0DD2">
            <w:pPr>
              <w:pStyle w:val="Tableheader"/>
            </w:pPr>
            <w:r>
              <w:t>Section amended</w:t>
            </w:r>
          </w:p>
        </w:tc>
        <w:tc>
          <w:tcPr>
            <w:tcW w:w="2555" w:type="dxa"/>
          </w:tcPr>
          <w:p w14:paraId="04A5609D" w14:textId="77777777" w:rsidR="00D43B30" w:rsidRDefault="00D43B30" w:rsidP="00ED0DD2">
            <w:pPr>
              <w:pStyle w:val="Tableheader"/>
            </w:pPr>
            <w:r>
              <w:t>Divisional approval</w:t>
            </w:r>
          </w:p>
        </w:tc>
        <w:tc>
          <w:tcPr>
            <w:tcW w:w="2403" w:type="dxa"/>
          </w:tcPr>
          <w:p w14:paraId="57780A40" w14:textId="77777777" w:rsidR="00D43B30" w:rsidRDefault="00D43B30" w:rsidP="00ED0DD2">
            <w:pPr>
              <w:pStyle w:val="Tableheader"/>
            </w:pPr>
            <w:r>
              <w:t>Final approval</w:t>
            </w:r>
          </w:p>
        </w:tc>
      </w:tr>
      <w:tr w:rsidR="00D43B30" w:rsidRPr="009B1FA7" w14:paraId="21902D86" w14:textId="77777777" w:rsidTr="00ED0DD2">
        <w:tc>
          <w:tcPr>
            <w:tcW w:w="2476" w:type="dxa"/>
          </w:tcPr>
          <w:p w14:paraId="0BC15275" w14:textId="2FA1B0D0" w:rsidR="00D43B30" w:rsidRDefault="009B1FA7" w:rsidP="00ED0DD2">
            <w:pPr>
              <w:pStyle w:val="Tablebody"/>
              <w:rPr>
                <w:lang w:eastAsia="en-US"/>
              </w:rPr>
            </w:pPr>
            <w:r>
              <w:rPr>
                <w:lang w:eastAsia="en-US"/>
              </w:rPr>
              <w:t>26/03/2026</w:t>
            </w:r>
          </w:p>
        </w:tc>
        <w:tc>
          <w:tcPr>
            <w:tcW w:w="2477" w:type="dxa"/>
          </w:tcPr>
          <w:p w14:paraId="12851C29" w14:textId="64E32054" w:rsidR="00D43B30" w:rsidRDefault="009B1FA7" w:rsidP="00ED0DD2">
            <w:pPr>
              <w:pStyle w:val="Tablebody"/>
              <w:rPr>
                <w:lang w:eastAsia="en-US"/>
              </w:rPr>
            </w:pPr>
            <w:r>
              <w:rPr>
                <w:lang w:eastAsia="en-US"/>
              </w:rPr>
              <w:t>New Document</w:t>
            </w:r>
          </w:p>
        </w:tc>
        <w:tc>
          <w:tcPr>
            <w:tcW w:w="2555" w:type="dxa"/>
          </w:tcPr>
          <w:p w14:paraId="17961994" w14:textId="42EB0593" w:rsidR="00D43B30" w:rsidRPr="009B1FA7" w:rsidRDefault="009B1FA7" w:rsidP="00ED0DD2">
            <w:pPr>
              <w:pStyle w:val="Tablebody"/>
              <w:rPr>
                <w:lang w:val="en-AU" w:eastAsia="en-US"/>
              </w:rPr>
            </w:pPr>
            <w:r w:rsidRPr="009B1FA7">
              <w:rPr>
                <w:lang w:val="en-AU" w:eastAsia="en-US"/>
              </w:rPr>
              <w:t>Katie McKenzie, Chief Operating Of</w:t>
            </w:r>
            <w:r>
              <w:rPr>
                <w:lang w:val="en-AU" w:eastAsia="en-US"/>
              </w:rPr>
              <w:t>ficer</w:t>
            </w:r>
          </w:p>
        </w:tc>
        <w:tc>
          <w:tcPr>
            <w:tcW w:w="2403" w:type="dxa"/>
          </w:tcPr>
          <w:p w14:paraId="745FFD95" w14:textId="4CCC7A50" w:rsidR="00D43B30" w:rsidRPr="009B1FA7" w:rsidRDefault="009B1FA7" w:rsidP="00ED0DD2">
            <w:pPr>
              <w:pStyle w:val="Tablebody"/>
              <w:rPr>
                <w:lang w:val="en-AU" w:eastAsia="en-US"/>
              </w:rPr>
            </w:pPr>
            <w:r>
              <w:rPr>
                <w:lang w:val="en-AU" w:eastAsia="en-US"/>
              </w:rPr>
              <w:t>CHS Policy Committee</w:t>
            </w:r>
          </w:p>
        </w:tc>
      </w:tr>
      <w:tr w:rsidR="00D43B30" w:rsidRPr="009B1FA7" w14:paraId="756C036F" w14:textId="77777777" w:rsidTr="00ED0DD2">
        <w:tc>
          <w:tcPr>
            <w:tcW w:w="2476" w:type="dxa"/>
          </w:tcPr>
          <w:p w14:paraId="332F32D7" w14:textId="77777777" w:rsidR="00D43B30" w:rsidRPr="009B1FA7" w:rsidRDefault="00D43B30" w:rsidP="00ED0DD2">
            <w:pPr>
              <w:pStyle w:val="Tablebody"/>
              <w:rPr>
                <w:lang w:val="en-AU" w:eastAsia="en-US"/>
              </w:rPr>
            </w:pPr>
          </w:p>
        </w:tc>
        <w:tc>
          <w:tcPr>
            <w:tcW w:w="2477" w:type="dxa"/>
          </w:tcPr>
          <w:p w14:paraId="34BE2EAF" w14:textId="77777777" w:rsidR="00D43B30" w:rsidRPr="009B1FA7" w:rsidRDefault="00D43B30" w:rsidP="00ED0DD2">
            <w:pPr>
              <w:pStyle w:val="Tablebody"/>
              <w:rPr>
                <w:lang w:val="en-AU" w:eastAsia="en-US"/>
              </w:rPr>
            </w:pPr>
          </w:p>
        </w:tc>
        <w:tc>
          <w:tcPr>
            <w:tcW w:w="2555" w:type="dxa"/>
          </w:tcPr>
          <w:p w14:paraId="7F11BB79" w14:textId="77777777" w:rsidR="00D43B30" w:rsidRPr="009B1FA7" w:rsidRDefault="00D43B30" w:rsidP="00ED0DD2">
            <w:pPr>
              <w:pStyle w:val="Tablebody"/>
              <w:rPr>
                <w:lang w:val="en-AU" w:eastAsia="en-US"/>
              </w:rPr>
            </w:pPr>
          </w:p>
        </w:tc>
        <w:tc>
          <w:tcPr>
            <w:tcW w:w="2403" w:type="dxa"/>
          </w:tcPr>
          <w:p w14:paraId="6652113B" w14:textId="77777777" w:rsidR="00D43B30" w:rsidRPr="009B1FA7" w:rsidRDefault="00D43B30" w:rsidP="00ED0DD2">
            <w:pPr>
              <w:pStyle w:val="Tablebody"/>
              <w:rPr>
                <w:lang w:val="en-AU" w:eastAsia="en-US"/>
              </w:rPr>
            </w:pPr>
          </w:p>
        </w:tc>
      </w:tr>
    </w:tbl>
    <w:p w14:paraId="4BCCB4F5" w14:textId="77777777" w:rsidR="00D43B30" w:rsidRDefault="00D43B30" w:rsidP="00D43B30">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D43B30" w14:paraId="13C10AA7" w14:textId="77777777" w:rsidTr="00ED0DD2">
        <w:trPr>
          <w:cnfStyle w:val="100000000000" w:firstRow="1" w:lastRow="0" w:firstColumn="0" w:lastColumn="0" w:oddVBand="0" w:evenVBand="0" w:oddHBand="0" w:evenHBand="0" w:firstRowFirstColumn="0" w:firstRowLastColumn="0" w:lastRowFirstColumn="0" w:lastRowLastColumn="0"/>
        </w:trPr>
        <w:tc>
          <w:tcPr>
            <w:tcW w:w="2548" w:type="dxa"/>
          </w:tcPr>
          <w:p w14:paraId="0746E9C2" w14:textId="77777777" w:rsidR="00D43B30" w:rsidRDefault="00D43B30" w:rsidP="00ED0DD2">
            <w:pPr>
              <w:pStyle w:val="Tableheader"/>
            </w:pPr>
            <w:r>
              <w:t>Document number</w:t>
            </w:r>
          </w:p>
        </w:tc>
        <w:tc>
          <w:tcPr>
            <w:tcW w:w="7653" w:type="dxa"/>
          </w:tcPr>
          <w:p w14:paraId="46826748" w14:textId="77777777" w:rsidR="00D43B30" w:rsidRDefault="00D43B30" w:rsidP="00ED0DD2">
            <w:pPr>
              <w:pStyle w:val="Tableheader"/>
            </w:pPr>
            <w:r>
              <w:t>Document name</w:t>
            </w:r>
          </w:p>
        </w:tc>
      </w:tr>
      <w:tr w:rsidR="00D43B30" w14:paraId="1D8C92E6" w14:textId="77777777" w:rsidTr="00ED0DD2">
        <w:tc>
          <w:tcPr>
            <w:tcW w:w="2548" w:type="dxa"/>
          </w:tcPr>
          <w:p w14:paraId="6FC265CF" w14:textId="77777777" w:rsidR="00D43B30" w:rsidRDefault="00D43B30" w:rsidP="00ED0DD2">
            <w:pPr>
              <w:pStyle w:val="Tablebody"/>
              <w:rPr>
                <w:lang w:eastAsia="en-US"/>
              </w:rPr>
            </w:pPr>
          </w:p>
        </w:tc>
        <w:tc>
          <w:tcPr>
            <w:tcW w:w="7653" w:type="dxa"/>
          </w:tcPr>
          <w:p w14:paraId="0FC8986F" w14:textId="77777777" w:rsidR="00D43B30" w:rsidRDefault="00D43B30" w:rsidP="00ED0DD2">
            <w:pPr>
              <w:pStyle w:val="Tablebody"/>
              <w:rPr>
                <w:lang w:eastAsia="en-US"/>
              </w:rPr>
            </w:pPr>
          </w:p>
        </w:tc>
      </w:tr>
      <w:tr w:rsidR="00D43B30" w14:paraId="14F07665" w14:textId="77777777" w:rsidTr="00ED0DD2">
        <w:tc>
          <w:tcPr>
            <w:tcW w:w="2548" w:type="dxa"/>
          </w:tcPr>
          <w:p w14:paraId="34EC3A5A" w14:textId="77777777" w:rsidR="00D43B30" w:rsidRDefault="00D43B30" w:rsidP="00ED0DD2">
            <w:pPr>
              <w:pStyle w:val="Tablebody"/>
              <w:rPr>
                <w:lang w:eastAsia="en-US"/>
              </w:rPr>
            </w:pPr>
          </w:p>
        </w:tc>
        <w:tc>
          <w:tcPr>
            <w:tcW w:w="7653" w:type="dxa"/>
          </w:tcPr>
          <w:p w14:paraId="65875C65" w14:textId="77777777" w:rsidR="00D43B30" w:rsidRDefault="00D43B30" w:rsidP="00ED0DD2">
            <w:pPr>
              <w:pStyle w:val="Tablebody"/>
              <w:rPr>
                <w:lang w:eastAsia="en-US"/>
              </w:rPr>
            </w:pPr>
          </w:p>
        </w:tc>
      </w:tr>
    </w:tbl>
    <w:p w14:paraId="67FAC327" w14:textId="77777777" w:rsidR="00D43B30" w:rsidRPr="001F3ED6" w:rsidRDefault="00D43B30" w:rsidP="00D43B30">
      <w:pPr>
        <w:pStyle w:val="BodyCopy"/>
        <w:rPr>
          <w:rStyle w:val="Bold"/>
        </w:rPr>
      </w:pPr>
      <w:r w:rsidRPr="001F3ED6">
        <w:rPr>
          <w:rStyle w:val="Bold"/>
        </w:rPr>
        <w:t>Disclaimer</w:t>
      </w:r>
    </w:p>
    <w:p w14:paraId="1A1D8D6E" w14:textId="77777777" w:rsidR="00D43B30" w:rsidRDefault="00D43B30" w:rsidP="00D43B30">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7AC77BC4" w14:textId="77777777" w:rsidR="00D43B30" w:rsidRDefault="00D43B30" w:rsidP="00D43B30">
      <w:pPr>
        <w:pStyle w:val="Bullet"/>
        <w:numPr>
          <w:ilvl w:val="0"/>
          <w:numId w:val="0"/>
        </w:numPr>
        <w:rPr>
          <w:rStyle w:val="Hyperlink"/>
        </w:rPr>
      </w:pPr>
      <w:hyperlink w:anchor="_top" w:history="1">
        <w:r w:rsidRPr="00481A6C">
          <w:rPr>
            <w:rStyle w:val="Hyperlink"/>
          </w:rPr>
          <w:t>Back to Contents</w:t>
        </w:r>
      </w:hyperlink>
    </w:p>
    <w:p w14:paraId="51E400FE" w14:textId="77777777" w:rsidR="00D43B30" w:rsidRDefault="00D43B30" w:rsidP="00D43B30">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D43B30" w14:paraId="6BD2E604" w14:textId="77777777" w:rsidTr="00ED0DD2">
        <w:tc>
          <w:tcPr>
            <w:tcW w:w="5529" w:type="dxa"/>
            <w:shd w:val="clear" w:color="auto" w:fill="F4F3EE"/>
            <w:tcMar>
              <w:top w:w="142" w:type="dxa"/>
              <w:left w:w="170" w:type="dxa"/>
              <w:bottom w:w="142" w:type="dxa"/>
              <w:right w:w="170" w:type="dxa"/>
            </w:tcMar>
          </w:tcPr>
          <w:bookmarkStart w:id="14" w:name="_Hlk160027189" w:displacedByCustomXml="next"/>
          <w:sdt>
            <w:sdtPr>
              <w:rPr>
                <w:color w:val="auto"/>
                <w:u w:val="single"/>
              </w:rPr>
              <w:id w:val="643171884"/>
              <w:placeholder>
                <w:docPart w:val="7D8BF86FA6274644BB8484C18926B973"/>
              </w:placeholder>
            </w:sdtPr>
            <w:sdtEndPr>
              <w:rPr>
                <w:color w:val="000000" w:themeColor="text1"/>
                <w:u w:val="none"/>
              </w:rPr>
            </w:sdtEndPr>
            <w:sdtContent>
              <w:p w14:paraId="3306F49B" w14:textId="77777777" w:rsidR="00D43B30" w:rsidRPr="00350211" w:rsidRDefault="00D43B30" w:rsidP="00ED0DD2">
                <w:pPr>
                  <w:pStyle w:val="Bottomblocktext"/>
                  <w:rPr>
                    <w:b/>
                    <w:bCs w:val="0"/>
                    <w:sz w:val="20"/>
                    <w:szCs w:val="20"/>
                  </w:rPr>
                </w:pPr>
                <w:r>
                  <w:rPr>
                    <w:noProof/>
                    <w:sz w:val="20"/>
                    <w:szCs w:val="20"/>
                  </w:rPr>
                  <w:drawing>
                    <wp:inline distT="0" distB="0" distL="0" distR="0" wp14:anchorId="14CF245D" wp14:editId="69B2AF77">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6"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CE29A1A" w14:textId="77777777" w:rsidR="00D43B30" w:rsidRDefault="00D43B30" w:rsidP="00ED0DD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0C3EAF57" w14:textId="77777777" w:rsidR="00D43B30" w:rsidRPr="00350211" w:rsidRDefault="00D43B30" w:rsidP="00ED0DD2">
                <w:pPr>
                  <w:pStyle w:val="Bottomblocktext"/>
                </w:pPr>
                <w:r w:rsidRPr="00AF532B">
                  <w:t>© Australian Capital Territory, C</w:t>
                </w:r>
                <w:r w:rsidRPr="003F6C0E">
                  <w:t>anberra 20</w:t>
                </w:r>
                <w:sdt>
                  <w:sdtPr>
                    <w:alias w:val="Year selector"/>
                    <w:tag w:val="Year selector"/>
                    <w:id w:val="1385675321"/>
                    <w:placeholder>
                      <w:docPart w:val="594E8144097F4AAB87CE6728D0303BA8"/>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71D99F33A8DD448286E8158C085588A0"/>
            </w:placeholder>
            <w:showingPlcHdr/>
          </w:sdtPr>
          <w:sdtEndPr/>
          <w:sdtContent>
            <w:tc>
              <w:tcPr>
                <w:tcW w:w="4665" w:type="dxa"/>
                <w:shd w:val="clear" w:color="auto" w:fill="F4F3EE"/>
                <w:tcMar>
                  <w:top w:w="142" w:type="dxa"/>
                  <w:left w:w="170" w:type="dxa"/>
                  <w:bottom w:w="142" w:type="dxa"/>
                  <w:right w:w="170" w:type="dxa"/>
                </w:tcMar>
              </w:tcPr>
              <w:p w14:paraId="5BD9528D" w14:textId="77777777" w:rsidR="00D43B30" w:rsidRPr="00F26C97" w:rsidRDefault="00D43B30" w:rsidP="00ED0DD2">
                <w:pPr>
                  <w:pStyle w:val="Bottomblocktext"/>
                  <w:rPr>
                    <w:b/>
                    <w:bCs w:val="0"/>
                    <w:sz w:val="20"/>
                    <w:szCs w:val="20"/>
                  </w:rPr>
                </w:pPr>
                <w:r>
                  <w:rPr>
                    <w:b/>
                    <w:bCs w:val="0"/>
                    <w:noProof/>
                    <w:sz w:val="20"/>
                    <w:szCs w:val="20"/>
                  </w:rPr>
                  <w:drawing>
                    <wp:inline distT="0" distB="0" distL="0" distR="0" wp14:anchorId="07026477" wp14:editId="01D4E2DB">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7"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F0F92D2" wp14:editId="73806305">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B40E309" w14:textId="77777777" w:rsidR="00D43B30" w:rsidRPr="00F26C97" w:rsidRDefault="00D43B30" w:rsidP="00ED0DD2">
                <w:pPr>
                  <w:pStyle w:val="Bottomblocktext"/>
                  <w:rPr>
                    <w:b/>
                    <w:bCs w:val="0"/>
                    <w:sz w:val="20"/>
                    <w:szCs w:val="20"/>
                  </w:rPr>
                </w:pPr>
                <w:r>
                  <w:rPr>
                    <w:b/>
                    <w:bCs w:val="0"/>
                    <w:noProof/>
                    <w:sz w:val="20"/>
                    <w:szCs w:val="20"/>
                  </w:rPr>
                  <w:drawing>
                    <wp:inline distT="0" distB="0" distL="0" distR="0" wp14:anchorId="1F63BAC4" wp14:editId="5000C619">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9"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8BC7F34" wp14:editId="0268CABB">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435294C1" w14:textId="77777777" w:rsidR="00D43B30" w:rsidRDefault="00D43B30" w:rsidP="00ED0DD2">
                <w:pPr>
                  <w:pStyle w:val="Bottomblocktext"/>
                  <w:rPr>
                    <w:sz w:val="20"/>
                    <w:szCs w:val="20"/>
                  </w:rPr>
                </w:pPr>
                <w:hyperlink r:id="rId20" w:history="1">
                  <w:r w:rsidRPr="00350211">
                    <w:rPr>
                      <w:rStyle w:val="Hyperlink"/>
                      <w:sz w:val="20"/>
                      <w:szCs w:val="20"/>
                    </w:rPr>
                    <w:t>canberrahealthservices.act.gov.au/accessibility</w:t>
                  </w:r>
                </w:hyperlink>
              </w:p>
              <w:p w14:paraId="52218AB3" w14:textId="77777777" w:rsidR="00D43B30" w:rsidRDefault="00D43B30" w:rsidP="00ED0DD2">
                <w:pPr>
                  <w:pStyle w:val="Bottomblocktext"/>
                </w:pPr>
                <w:r>
                  <w:rPr>
                    <w:b/>
                    <w:bCs w:val="0"/>
                    <w:noProof/>
                  </w:rPr>
                  <w:drawing>
                    <wp:inline distT="0" distB="0" distL="0" distR="0" wp14:anchorId="09361D70" wp14:editId="7C13F953">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1"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4"/>
    </w:tbl>
    <w:p w14:paraId="40ABB6D0" w14:textId="77777777" w:rsidR="001926C9" w:rsidRDefault="001926C9">
      <w:pPr>
        <w:spacing w:before="0" w:after="0" w:line="240" w:lineRule="auto"/>
        <w:rPr>
          <w:rFonts w:asciiTheme="majorHAnsi" w:eastAsiaTheme="majorEastAsia" w:hAnsiTheme="majorHAnsi" w:cstheme="majorBidi"/>
          <w:b/>
          <w:iCs/>
          <w:color w:val="auto"/>
          <w:lang w:eastAsia="en-US"/>
        </w:rPr>
      </w:pPr>
      <w:r>
        <w:rPr>
          <w:color w:val="auto"/>
          <w:lang w:eastAsia="en-US"/>
        </w:rPr>
        <w:br w:type="page"/>
      </w:r>
    </w:p>
    <w:p w14:paraId="755E3BB3" w14:textId="6FC564F7" w:rsidR="00E77CDE" w:rsidRPr="00E174FB" w:rsidRDefault="00E77CDE" w:rsidP="00065022">
      <w:pPr>
        <w:pStyle w:val="Heading4"/>
      </w:pPr>
      <w:bookmarkStart w:id="15" w:name="_Toc225406750"/>
      <w:r>
        <w:lastRenderedPageBreak/>
        <w:t xml:space="preserve">Attachment </w:t>
      </w:r>
      <w:r w:rsidR="00C75C91">
        <w:t>1</w:t>
      </w:r>
      <w:r>
        <w:t xml:space="preserve"> – </w:t>
      </w:r>
      <w:r w:rsidR="00ED728D">
        <w:t>Frequently Asked Questions</w:t>
      </w:r>
      <w:bookmarkEnd w:id="15"/>
    </w:p>
    <w:p w14:paraId="6C05B3CB" w14:textId="512461FC" w:rsidR="001926C9" w:rsidRPr="00E174FB" w:rsidRDefault="00E174FB" w:rsidP="00D43B30">
      <w:pPr>
        <w:pStyle w:val="Heading5"/>
      </w:pPr>
      <w:r w:rsidRPr="00E174FB">
        <w:t xml:space="preserve">Q1. </w:t>
      </w:r>
      <w:r w:rsidRPr="00E174FB">
        <w:tab/>
      </w:r>
      <w:r w:rsidR="001926C9" w:rsidRPr="00E174FB">
        <w:t>What licence classes are considered heavy vehicle licences for the reporting requirement?</w:t>
      </w:r>
    </w:p>
    <w:p w14:paraId="31CF68D6" w14:textId="77777777"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The mandatory reporting legislation applies to the following licence classes:</w:t>
      </w:r>
    </w:p>
    <w:p w14:paraId="7CF59768" w14:textId="77777777" w:rsidR="001926C9" w:rsidRPr="001926C9" w:rsidRDefault="001926C9" w:rsidP="001926C9">
      <w:pPr>
        <w:pStyle w:val="ListParagraph"/>
        <w:numPr>
          <w:ilvl w:val="0"/>
          <w:numId w:val="45"/>
        </w:numPr>
        <w:spacing w:before="120"/>
        <w:rPr>
          <w:rFonts w:cstheme="minorHAnsi"/>
        </w:rPr>
      </w:pPr>
      <w:r w:rsidRPr="001926C9">
        <w:rPr>
          <w:rFonts w:cstheme="minorHAnsi"/>
        </w:rPr>
        <w:t>Light rigid (LR)</w:t>
      </w:r>
    </w:p>
    <w:p w14:paraId="74BE5D6D" w14:textId="77777777" w:rsidR="001926C9" w:rsidRPr="001926C9" w:rsidRDefault="001926C9" w:rsidP="001926C9">
      <w:pPr>
        <w:pStyle w:val="ListParagraph"/>
        <w:numPr>
          <w:ilvl w:val="0"/>
          <w:numId w:val="45"/>
        </w:numPr>
        <w:spacing w:before="120"/>
        <w:rPr>
          <w:rFonts w:cstheme="minorHAnsi"/>
        </w:rPr>
      </w:pPr>
      <w:r w:rsidRPr="001926C9">
        <w:rPr>
          <w:rFonts w:cstheme="minorHAnsi"/>
        </w:rPr>
        <w:t>Medium rigid (MR)</w:t>
      </w:r>
    </w:p>
    <w:p w14:paraId="4613071F" w14:textId="77777777" w:rsidR="001926C9" w:rsidRPr="001926C9" w:rsidRDefault="001926C9" w:rsidP="001926C9">
      <w:pPr>
        <w:pStyle w:val="ListParagraph"/>
        <w:numPr>
          <w:ilvl w:val="0"/>
          <w:numId w:val="45"/>
        </w:numPr>
        <w:spacing w:before="120"/>
        <w:rPr>
          <w:rFonts w:cstheme="minorHAnsi"/>
        </w:rPr>
      </w:pPr>
      <w:r w:rsidRPr="001926C9">
        <w:rPr>
          <w:rFonts w:cstheme="minorHAnsi"/>
        </w:rPr>
        <w:t>Heavy rigid (HR)</w:t>
      </w:r>
    </w:p>
    <w:p w14:paraId="63051916" w14:textId="77777777" w:rsidR="001926C9" w:rsidRPr="001926C9" w:rsidRDefault="001926C9" w:rsidP="001926C9">
      <w:pPr>
        <w:pStyle w:val="ListParagraph"/>
        <w:numPr>
          <w:ilvl w:val="0"/>
          <w:numId w:val="45"/>
        </w:numPr>
        <w:spacing w:before="120"/>
        <w:rPr>
          <w:rFonts w:cstheme="minorHAnsi"/>
        </w:rPr>
      </w:pPr>
      <w:r w:rsidRPr="001926C9">
        <w:rPr>
          <w:rFonts w:cstheme="minorHAnsi"/>
        </w:rPr>
        <w:t>Heavy combination (HC)</w:t>
      </w:r>
    </w:p>
    <w:p w14:paraId="55A03F40" w14:textId="77777777" w:rsidR="001926C9" w:rsidRPr="001926C9" w:rsidRDefault="001926C9" w:rsidP="001926C9">
      <w:pPr>
        <w:pStyle w:val="ListParagraph"/>
        <w:numPr>
          <w:ilvl w:val="0"/>
          <w:numId w:val="45"/>
        </w:numPr>
        <w:spacing w:before="120"/>
        <w:rPr>
          <w:rFonts w:cstheme="minorHAnsi"/>
        </w:rPr>
      </w:pPr>
      <w:r w:rsidRPr="001926C9">
        <w:rPr>
          <w:rFonts w:cstheme="minorHAnsi"/>
        </w:rPr>
        <w:t>Multi-combination (MC).</w:t>
      </w:r>
    </w:p>
    <w:p w14:paraId="7FA7676B" w14:textId="0475D385" w:rsidR="001926C9" w:rsidRPr="001926C9" w:rsidRDefault="001926C9" w:rsidP="7463DB3A">
      <w:pPr>
        <w:rPr>
          <w:rFonts w:asciiTheme="minorHAnsi" w:hAnsiTheme="minorHAnsi" w:cstheme="minorBidi"/>
        </w:rPr>
      </w:pPr>
      <w:r w:rsidRPr="7463DB3A">
        <w:rPr>
          <w:rFonts w:asciiTheme="minorHAnsi" w:hAnsiTheme="minorHAnsi" w:cstheme="minorBidi"/>
        </w:rPr>
        <w:t>This differs to the Austroads Assessing Fitness to Drive Guidelines which categorises the LR licence class with private medical standards and classes from MR and above with commercial medical standards. However, the mandatory reporting requirement doesn’t distinguish between private and commercial standards. Therefore, a patient who holds</w:t>
      </w:r>
      <w:r w:rsidR="44401F36" w:rsidRPr="7463DB3A">
        <w:rPr>
          <w:rFonts w:asciiTheme="minorHAnsi" w:hAnsiTheme="minorHAnsi" w:cstheme="minorBidi"/>
        </w:rPr>
        <w:t>,</w:t>
      </w:r>
      <w:r w:rsidRPr="7463DB3A">
        <w:rPr>
          <w:rFonts w:asciiTheme="minorHAnsi" w:hAnsiTheme="minorHAnsi" w:cstheme="minorBidi"/>
        </w:rPr>
        <w:t xml:space="preserve"> or is applying for any licence class LR or above should be considered a heavy vehicle driver when considering if a mandatory report is required. </w:t>
      </w:r>
    </w:p>
    <w:p w14:paraId="543766A9" w14:textId="6F968430" w:rsidR="001926C9" w:rsidRPr="001926C9" w:rsidRDefault="001926C9" w:rsidP="001926C9">
      <w:pPr>
        <w:rPr>
          <w:rFonts w:asciiTheme="minorHAnsi" w:hAnsiTheme="minorHAnsi" w:cstheme="minorHAnsi"/>
        </w:rPr>
      </w:pPr>
      <w:r w:rsidRPr="001926C9">
        <w:rPr>
          <w:rFonts w:asciiTheme="minorHAnsi" w:hAnsiTheme="minorHAnsi" w:cstheme="minorHAnsi"/>
        </w:rPr>
        <w:t xml:space="preserve">If uncertain about a patient’s licence class, practitioners should contact Access Canberra </w:t>
      </w:r>
      <w:r w:rsidR="00674ABF">
        <w:rPr>
          <w:rFonts w:asciiTheme="minorHAnsi" w:hAnsiTheme="minorHAnsi" w:cstheme="minorHAnsi"/>
        </w:rPr>
        <w:t xml:space="preserve">  (13 22 81) </w:t>
      </w:r>
      <w:r w:rsidRPr="001926C9">
        <w:rPr>
          <w:rFonts w:asciiTheme="minorHAnsi" w:hAnsiTheme="minorHAnsi" w:cstheme="minorHAnsi"/>
        </w:rPr>
        <w:t>for clarification.</w:t>
      </w:r>
    </w:p>
    <w:p w14:paraId="6C6A45B9" w14:textId="0397DB8F" w:rsidR="001926C9" w:rsidRPr="001926C9" w:rsidRDefault="00E174FB" w:rsidP="00D43B30">
      <w:pPr>
        <w:pStyle w:val="Heading5"/>
      </w:pPr>
      <w:r>
        <w:t>Q2.</w:t>
      </w:r>
      <w:r>
        <w:tab/>
      </w:r>
      <w:r w:rsidR="001926C9">
        <w:t>What if the health practitioner isn’t sure if a person is a heavy vehicle driver?</w:t>
      </w:r>
    </w:p>
    <w:p w14:paraId="4401AC5D" w14:textId="43BC4590"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The </w:t>
      </w:r>
      <w:r w:rsidR="00FA7D12">
        <w:rPr>
          <w:rFonts w:asciiTheme="minorHAnsi" w:hAnsiTheme="minorHAnsi" w:cstheme="minorHAnsi"/>
        </w:rPr>
        <w:t xml:space="preserve">legislation states that </w:t>
      </w:r>
      <w:r w:rsidRPr="001926C9">
        <w:rPr>
          <w:rFonts w:asciiTheme="minorHAnsi" w:hAnsiTheme="minorHAnsi" w:cstheme="minorHAnsi"/>
        </w:rPr>
        <w:t xml:space="preserve">health practitioner </w:t>
      </w:r>
      <w:r w:rsidR="00FA7D12">
        <w:rPr>
          <w:rFonts w:asciiTheme="minorHAnsi" w:hAnsiTheme="minorHAnsi" w:cstheme="minorHAnsi"/>
        </w:rPr>
        <w:t xml:space="preserve">must report if they </w:t>
      </w:r>
      <w:r w:rsidR="00FA7D12" w:rsidRPr="00A23688">
        <w:rPr>
          <w:rFonts w:asciiTheme="minorHAnsi" w:hAnsiTheme="minorHAnsi" w:cstheme="minorHAnsi"/>
          <w:b/>
          <w:bCs/>
        </w:rPr>
        <w:t>reasonably believe</w:t>
      </w:r>
      <w:r w:rsidR="00FA7D12">
        <w:rPr>
          <w:rFonts w:asciiTheme="minorHAnsi" w:hAnsiTheme="minorHAnsi" w:cstheme="minorHAnsi"/>
        </w:rPr>
        <w:t xml:space="preserve"> that the person holds or is applying for a heavy vehicle licence. It is not necessary, but the health practitioner </w:t>
      </w:r>
      <w:r w:rsidRPr="001926C9">
        <w:rPr>
          <w:rFonts w:asciiTheme="minorHAnsi" w:hAnsiTheme="minorHAnsi" w:cstheme="minorHAnsi"/>
        </w:rPr>
        <w:t xml:space="preserve">may </w:t>
      </w:r>
      <w:r w:rsidR="00FA7D12">
        <w:rPr>
          <w:rFonts w:asciiTheme="minorHAnsi" w:hAnsiTheme="minorHAnsi" w:cstheme="minorHAnsi"/>
        </w:rPr>
        <w:t xml:space="preserve">wish to </w:t>
      </w:r>
      <w:r w:rsidRPr="001926C9">
        <w:rPr>
          <w:rFonts w:asciiTheme="minorHAnsi" w:hAnsiTheme="minorHAnsi" w:cstheme="minorHAnsi"/>
        </w:rPr>
        <w:t>contact Access Canberra to confirm a patient’s licence status. Access Canberra can provide information about the type, class, conditions, and status of their licence. However, no other personal details will be shared.</w:t>
      </w:r>
    </w:p>
    <w:p w14:paraId="02E66A21" w14:textId="0CBF5D54" w:rsidR="001926C9" w:rsidRPr="001926C9" w:rsidRDefault="00E174FB" w:rsidP="00D43B30">
      <w:pPr>
        <w:pStyle w:val="Heading5"/>
      </w:pPr>
      <w:r>
        <w:t>Q</w:t>
      </w:r>
      <w:r w:rsidR="00204771">
        <w:t>3</w:t>
      </w:r>
      <w:r>
        <w:t>.</w:t>
      </w:r>
      <w:r>
        <w:tab/>
      </w:r>
      <w:r w:rsidR="001926C9" w:rsidRPr="001926C9">
        <w:t>What if I’m unsure whether a patient’s condition meets the threshold for reporting?</w:t>
      </w:r>
    </w:p>
    <w:p w14:paraId="5C8212DB" w14:textId="2DF548A8" w:rsidR="001926C9" w:rsidRPr="001926C9" w:rsidRDefault="001926C9" w:rsidP="001926C9">
      <w:pPr>
        <w:rPr>
          <w:rFonts w:asciiTheme="minorHAnsi" w:hAnsiTheme="minorHAnsi" w:cstheme="minorHAnsi"/>
        </w:rPr>
      </w:pPr>
      <w:r w:rsidRPr="001926C9">
        <w:rPr>
          <w:rFonts w:asciiTheme="minorHAnsi" w:hAnsiTheme="minorHAnsi" w:cstheme="minorHAnsi"/>
          <w:b/>
          <w:bCs/>
        </w:rPr>
        <w:t xml:space="preserve">Answer:  </w:t>
      </w:r>
      <w:r w:rsidRPr="001926C9">
        <w:rPr>
          <w:rFonts w:asciiTheme="minorHAnsi" w:hAnsiTheme="minorHAnsi" w:cstheme="minorHAnsi"/>
        </w:rPr>
        <w:t xml:space="preserve">The </w:t>
      </w:r>
      <w:r w:rsidR="001153FB" w:rsidRPr="7463DB3A">
        <w:rPr>
          <w:rFonts w:asciiTheme="minorHAnsi" w:hAnsiTheme="minorHAnsi" w:cstheme="minorBidi"/>
        </w:rPr>
        <w:t xml:space="preserve">Assessing Fitness to Drive Guidelines </w:t>
      </w:r>
      <w:r w:rsidRPr="001926C9">
        <w:rPr>
          <w:rFonts w:asciiTheme="minorHAnsi" w:hAnsiTheme="minorHAnsi" w:cstheme="minorHAnsi"/>
        </w:rPr>
        <w:t>cannot address all medical conditions that affect a person’s ability to drive heavy vehicles safely. Practitioners should report any conditions that are likely to impair fitness to drive, even if they are not listed in the Guidelines. Reporting filters patient conditions into the existing assessment of fitness to drive framework for the RTA to determine if action is needed.</w:t>
      </w:r>
    </w:p>
    <w:p w14:paraId="051A5579" w14:textId="228906DF" w:rsidR="001926C9" w:rsidRPr="001926C9" w:rsidRDefault="001926C9" w:rsidP="001926C9">
      <w:pPr>
        <w:rPr>
          <w:rFonts w:asciiTheme="minorHAnsi" w:hAnsiTheme="minorHAnsi" w:cstheme="minorHAnsi"/>
        </w:rPr>
      </w:pPr>
      <w:r w:rsidRPr="001926C9">
        <w:rPr>
          <w:rFonts w:asciiTheme="minorHAnsi" w:hAnsiTheme="minorHAnsi" w:cstheme="minorHAnsi"/>
        </w:rPr>
        <w:t>A notifiable instrument is available under the</w:t>
      </w:r>
      <w:r w:rsidRPr="00204771">
        <w:rPr>
          <w:rFonts w:asciiTheme="minorHAnsi" w:hAnsiTheme="minorHAnsi" w:cstheme="minorHAnsi"/>
          <w:i/>
          <w:iCs/>
        </w:rPr>
        <w:t xml:space="preserve"> </w:t>
      </w:r>
      <w:r w:rsidR="00925149" w:rsidRPr="00925149">
        <w:rPr>
          <w:rFonts w:asciiTheme="minorHAnsi" w:hAnsiTheme="minorHAnsi" w:cstheme="minorHAnsi"/>
        </w:rPr>
        <w:t>Regulation</w:t>
      </w:r>
      <w:r w:rsidRPr="00204771">
        <w:rPr>
          <w:rFonts w:asciiTheme="minorHAnsi" w:hAnsiTheme="minorHAnsi" w:cstheme="minorHAnsi"/>
          <w:i/>
          <w:iCs/>
        </w:rPr>
        <w:t xml:space="preserve"> </w:t>
      </w:r>
      <w:r w:rsidRPr="001926C9">
        <w:rPr>
          <w:rFonts w:asciiTheme="minorHAnsi" w:hAnsiTheme="minorHAnsi" w:cstheme="minorHAnsi"/>
        </w:rPr>
        <w:t xml:space="preserve">which further clarifies the reporting threshold. For example, a person’s condition may not be likely to impair their ability to drive a heavy vehicle safely if it is managed in a way that meets the requirements for a conditional licence. The instrument is titled the Road Transport (Driver Licensing) Mandatory Reporting of Fitness to Drive Guidelines 2025. </w:t>
      </w:r>
    </w:p>
    <w:p w14:paraId="5E4DBB60" w14:textId="77777777" w:rsidR="001926C9" w:rsidRPr="001926C9" w:rsidRDefault="001926C9" w:rsidP="001926C9">
      <w:pPr>
        <w:rPr>
          <w:rFonts w:asciiTheme="minorHAnsi" w:hAnsiTheme="minorHAnsi" w:cstheme="minorHAnsi"/>
        </w:rPr>
      </w:pPr>
      <w:r w:rsidRPr="001926C9">
        <w:rPr>
          <w:rFonts w:asciiTheme="minorHAnsi" w:hAnsiTheme="minorHAnsi" w:cstheme="minorHAnsi"/>
        </w:rPr>
        <w:lastRenderedPageBreak/>
        <w:t xml:space="preserve">Access Canberra can provide clarification about the legal reporting obligations, but it is the practitioner’s responsibility to identify when they form the opinion based on their professional expertise and clinical assessment. </w:t>
      </w:r>
    </w:p>
    <w:p w14:paraId="671A4975" w14:textId="63F5CB5A" w:rsidR="001926C9" w:rsidRPr="001926C9" w:rsidRDefault="00E174FB" w:rsidP="00D43B30">
      <w:pPr>
        <w:pStyle w:val="Heading5"/>
      </w:pPr>
      <w:r>
        <w:t>Q</w:t>
      </w:r>
      <w:r w:rsidR="00204771">
        <w:t>4</w:t>
      </w:r>
      <w:r>
        <w:t>.</w:t>
      </w:r>
      <w:r>
        <w:tab/>
      </w:r>
      <w:r w:rsidR="001926C9" w:rsidRPr="001926C9">
        <w:t>What if the patient is under treatment but may still have an undiagnosed condition? Should I report it?</w:t>
      </w:r>
    </w:p>
    <w:p w14:paraId="768109CF" w14:textId="77777777" w:rsidR="001926C9" w:rsidRPr="001926C9" w:rsidRDefault="001926C9" w:rsidP="00D43B30">
      <w:pPr>
        <w:pStyle w:val="BodyCopy"/>
      </w:pPr>
      <w:r w:rsidRPr="001926C9">
        <w:rPr>
          <w:b/>
        </w:rPr>
        <w:t>Answer</w:t>
      </w:r>
      <w:r w:rsidRPr="001926C9">
        <w:t>: Yes, if a practitioner reasonably believes a patient who is a heavy vehicle licence holder/applicant has a permanent or long-term condition that is likely to impair driving—even if not yet formally diagnosed—reporting is still required.</w:t>
      </w:r>
    </w:p>
    <w:p w14:paraId="4F623126" w14:textId="1152033E" w:rsidR="001926C9" w:rsidRPr="001926C9" w:rsidRDefault="001926C9" w:rsidP="00D43B30">
      <w:pPr>
        <w:pStyle w:val="BodyCopy"/>
      </w:pPr>
      <w:r w:rsidRPr="001926C9">
        <w:t xml:space="preserve">Section 2.2.4 of the </w:t>
      </w:r>
      <w:r w:rsidR="0002494A">
        <w:t xml:space="preserve">Austroads </w:t>
      </w:r>
      <w:hyperlink r:id="rId22" w:history="1">
        <w:r w:rsidR="0002494A">
          <w:t>a</w:t>
        </w:r>
        <w:r w:rsidRPr="001926C9">
          <w:t>ssessing fitness to drive for commercial and private vehicle drivers: Medical standards for licensing and clinical management guidelines</w:t>
        </w:r>
      </w:hyperlink>
      <w:r w:rsidRPr="001926C9">
        <w:t xml:space="preserve"> refers to “undifferentiated conditions” where a patient may present with symptoms that could have implications for their ability to drive, but the diagnosis may not be clear. This could mean that there is a period before a formal diagnosis where licensing requirements cannot confidently be applied.</w:t>
      </w:r>
    </w:p>
    <w:p w14:paraId="05046ED4" w14:textId="77777777" w:rsidR="001926C9" w:rsidRPr="001926C9" w:rsidRDefault="001926C9" w:rsidP="00D43B30">
      <w:pPr>
        <w:pStyle w:val="BodyCopy"/>
      </w:pPr>
      <w:r w:rsidRPr="001926C9">
        <w:t xml:space="preserve">In such circumstances, each patient must be assessed individually, considering the likelihood of a serious or long-term condition that may impact driving as well as the context in which driving may be required. The obligation is based on the practitioner’s opinion, not a confirmed diagnosis. </w:t>
      </w:r>
    </w:p>
    <w:p w14:paraId="161C5D56" w14:textId="4998FDA8" w:rsidR="001926C9" w:rsidRPr="001926C9" w:rsidRDefault="00E174FB" w:rsidP="00D43B30">
      <w:pPr>
        <w:pStyle w:val="Heading5"/>
      </w:pPr>
      <w:r>
        <w:t>Q</w:t>
      </w:r>
      <w:r w:rsidR="00204771">
        <w:t>5</w:t>
      </w:r>
      <w:r>
        <w:t>.</w:t>
      </w:r>
      <w:r>
        <w:tab/>
      </w:r>
      <w:r w:rsidR="001926C9" w:rsidRPr="001926C9">
        <w:t>How do I ensure I am following the law and meeting my professional obligations?</w:t>
      </w:r>
    </w:p>
    <w:p w14:paraId="5935670F" w14:textId="3AB1246C"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To ensure compliance with legal and professional obligations, health </w:t>
      </w:r>
      <w:r w:rsidR="00701135">
        <w:rPr>
          <w:rFonts w:asciiTheme="minorHAnsi" w:hAnsiTheme="minorHAnsi" w:cstheme="minorHAnsi"/>
        </w:rPr>
        <w:t>practitioners</w:t>
      </w:r>
      <w:r w:rsidR="00701135" w:rsidRPr="001926C9">
        <w:rPr>
          <w:rFonts w:asciiTheme="minorHAnsi" w:hAnsiTheme="minorHAnsi" w:cstheme="minorHAnsi"/>
        </w:rPr>
        <w:t xml:space="preserve"> </w:t>
      </w:r>
      <w:r w:rsidRPr="001926C9">
        <w:rPr>
          <w:rFonts w:asciiTheme="minorHAnsi" w:hAnsiTheme="minorHAnsi" w:cstheme="minorHAnsi"/>
        </w:rPr>
        <w:t xml:space="preserve">must follow the </w:t>
      </w:r>
      <w:r w:rsidR="005243E7" w:rsidRPr="00AB6B63">
        <w:rPr>
          <w:rFonts w:asciiTheme="minorHAnsi" w:hAnsiTheme="minorHAnsi" w:cstheme="minorHAnsi"/>
        </w:rPr>
        <w:t>Regulation</w:t>
      </w:r>
      <w:r w:rsidRPr="001926C9">
        <w:rPr>
          <w:rFonts w:asciiTheme="minorHAnsi" w:hAnsiTheme="minorHAnsi" w:cstheme="minorHAnsi"/>
        </w:rPr>
        <w:t xml:space="preserve">, which mandates reporting fitness to drive concerns while safeguarding patient privacy. They must also adhere to key legislation such as the </w:t>
      </w:r>
      <w:r w:rsidRPr="001926C9">
        <w:rPr>
          <w:rFonts w:asciiTheme="minorHAnsi" w:hAnsiTheme="minorHAnsi" w:cstheme="minorHAnsi"/>
          <w:i/>
          <w:iCs/>
        </w:rPr>
        <w:t xml:space="preserve">Privacy Act 1988 </w:t>
      </w:r>
      <w:r w:rsidRPr="001926C9">
        <w:rPr>
          <w:rFonts w:asciiTheme="minorHAnsi" w:hAnsiTheme="minorHAnsi" w:cstheme="minorHAnsi"/>
        </w:rPr>
        <w:t xml:space="preserve">(Cth), </w:t>
      </w:r>
      <w:r w:rsidRPr="001926C9">
        <w:rPr>
          <w:rFonts w:asciiTheme="minorHAnsi" w:hAnsiTheme="minorHAnsi" w:cstheme="minorHAnsi"/>
          <w:i/>
          <w:iCs/>
        </w:rPr>
        <w:t>Health Records (Privacy and Access) Act 1997</w:t>
      </w:r>
      <w:r w:rsidRPr="001926C9">
        <w:rPr>
          <w:rFonts w:asciiTheme="minorHAnsi" w:hAnsiTheme="minorHAnsi" w:cstheme="minorHAnsi"/>
        </w:rPr>
        <w:t xml:space="preserve">, </w:t>
      </w:r>
      <w:r w:rsidRPr="00222BAE">
        <w:rPr>
          <w:rFonts w:asciiTheme="minorHAnsi" w:hAnsiTheme="minorHAnsi" w:cstheme="minorHAnsi"/>
          <w:i/>
          <w:iCs/>
        </w:rPr>
        <w:t>Road Transport (General) Regulation 2000</w:t>
      </w:r>
      <w:r w:rsidRPr="001926C9">
        <w:rPr>
          <w:rFonts w:asciiTheme="minorHAnsi" w:hAnsiTheme="minorHAnsi" w:cstheme="minorHAnsi"/>
        </w:rPr>
        <w:t>, and the</w:t>
      </w:r>
      <w:r w:rsidRPr="001926C9">
        <w:rPr>
          <w:rFonts w:asciiTheme="minorHAnsi" w:hAnsiTheme="minorHAnsi" w:cstheme="minorHAnsi"/>
          <w:i/>
          <w:iCs/>
        </w:rPr>
        <w:t xml:space="preserve"> Health Practitioner Regulation National Law (ACT)</w:t>
      </w:r>
      <w:r w:rsidR="000F73E9">
        <w:rPr>
          <w:rFonts w:asciiTheme="minorHAnsi" w:hAnsiTheme="minorHAnsi" w:cstheme="minorHAnsi"/>
          <w:i/>
          <w:iCs/>
        </w:rPr>
        <w:t xml:space="preserve"> 2010</w:t>
      </w:r>
      <w:r w:rsidRPr="001926C9">
        <w:rPr>
          <w:rFonts w:asciiTheme="minorHAnsi" w:hAnsiTheme="minorHAnsi" w:cstheme="minorHAnsi"/>
        </w:rPr>
        <w:t xml:space="preserve">. </w:t>
      </w:r>
    </w:p>
    <w:p w14:paraId="70BF9AD7" w14:textId="3D944667" w:rsidR="001926C9" w:rsidRPr="001926C9" w:rsidRDefault="001926C9" w:rsidP="001926C9">
      <w:pPr>
        <w:rPr>
          <w:rFonts w:asciiTheme="minorHAnsi" w:hAnsiTheme="minorHAnsi" w:cstheme="minorHAnsi"/>
        </w:rPr>
      </w:pPr>
      <w:r w:rsidRPr="001926C9">
        <w:rPr>
          <w:rFonts w:asciiTheme="minorHAnsi" w:hAnsiTheme="minorHAnsi" w:cstheme="minorHAnsi"/>
        </w:rPr>
        <w:t>Supporting frameworks like the Australian Health Practitioner Regulation Agency (A</w:t>
      </w:r>
      <w:r>
        <w:rPr>
          <w:rFonts w:asciiTheme="minorHAnsi" w:hAnsiTheme="minorHAnsi" w:cstheme="minorHAnsi"/>
        </w:rPr>
        <w:t>HPRA</w:t>
      </w:r>
      <w:r w:rsidRPr="001926C9">
        <w:rPr>
          <w:rFonts w:asciiTheme="minorHAnsi" w:hAnsiTheme="minorHAnsi" w:cstheme="minorHAnsi"/>
        </w:rPr>
        <w:t>) guidelines, Australian Privacy Principles, and the Medical Board of Australia's confidentiality standards further guide appropriate handling of medical information. Referring to the Assessing Fitness to Drive Guidelines and thoroughly documenting decisions helps ensure lawful and ethical practice.</w:t>
      </w:r>
    </w:p>
    <w:p w14:paraId="01A415A2" w14:textId="77777777" w:rsidR="001926C9" w:rsidRPr="00E174FB" w:rsidRDefault="001926C9" w:rsidP="001926C9">
      <w:pPr>
        <w:rPr>
          <w:rFonts w:asciiTheme="minorHAnsi" w:hAnsiTheme="minorHAnsi" w:cstheme="minorHAnsi"/>
        </w:rPr>
      </w:pPr>
      <w:r w:rsidRPr="00E174FB">
        <w:rPr>
          <w:rFonts w:asciiTheme="minorHAnsi" w:hAnsiTheme="minorHAnsi" w:cstheme="minorHAnsi"/>
        </w:rPr>
        <w:t xml:space="preserve">Further Information: </w:t>
      </w:r>
    </w:p>
    <w:p w14:paraId="0EDE8E25" w14:textId="17CE469E" w:rsidR="001926C9" w:rsidRPr="001926C9" w:rsidRDefault="001926C9" w:rsidP="001926C9">
      <w:pPr>
        <w:pStyle w:val="ListParagraph"/>
        <w:numPr>
          <w:ilvl w:val="0"/>
          <w:numId w:val="44"/>
        </w:numPr>
        <w:spacing w:before="120"/>
        <w:rPr>
          <w:rFonts w:cstheme="minorHAnsi"/>
        </w:rPr>
      </w:pPr>
      <w:r w:rsidRPr="001926C9">
        <w:rPr>
          <w:rFonts w:cstheme="minorHAnsi"/>
          <w:i/>
          <w:iCs/>
        </w:rPr>
        <w:t>Privacy Act 1988</w:t>
      </w:r>
      <w:r w:rsidRPr="001926C9">
        <w:rPr>
          <w:rFonts w:cstheme="minorHAnsi"/>
        </w:rPr>
        <w:t xml:space="preserve"> (Cth)</w:t>
      </w:r>
      <w:r w:rsidRPr="001926C9">
        <w:rPr>
          <w:rFonts w:cstheme="minorHAnsi"/>
        </w:rPr>
        <w:br/>
      </w:r>
      <w:r w:rsidRPr="001926C9">
        <w:rPr>
          <w:rFonts w:cstheme="minorHAnsi"/>
          <w:i/>
          <w:iCs/>
        </w:rPr>
        <w:t>The Privacy Act 1988</w:t>
      </w:r>
      <w:r w:rsidRPr="001926C9">
        <w:rPr>
          <w:rFonts w:cstheme="minorHAnsi"/>
        </w:rPr>
        <w:t xml:space="preserve"> (Commonwealth of Australia) regulates the handling of personal information, including health records. It establishes principles for how health </w:t>
      </w:r>
      <w:r w:rsidR="00701135">
        <w:rPr>
          <w:rFonts w:cstheme="minorHAnsi"/>
        </w:rPr>
        <w:t xml:space="preserve">practitioners </w:t>
      </w:r>
      <w:r w:rsidRPr="001926C9">
        <w:rPr>
          <w:rFonts w:cstheme="minorHAnsi"/>
        </w:rPr>
        <w:t>and organisations must protect patient privacy and outlines the patient’s right to access and correct their personal data.</w:t>
      </w:r>
    </w:p>
    <w:p w14:paraId="0AFFCDF4" w14:textId="77777777" w:rsidR="001926C9" w:rsidRPr="001926C9" w:rsidRDefault="001926C9" w:rsidP="001926C9">
      <w:pPr>
        <w:pStyle w:val="ListParagraph"/>
        <w:numPr>
          <w:ilvl w:val="0"/>
          <w:numId w:val="44"/>
        </w:numPr>
        <w:spacing w:before="120"/>
        <w:rPr>
          <w:rFonts w:cstheme="minorHAnsi"/>
        </w:rPr>
      </w:pPr>
      <w:r w:rsidRPr="001926C9">
        <w:rPr>
          <w:rFonts w:cstheme="minorHAnsi"/>
          <w:i/>
          <w:iCs/>
        </w:rPr>
        <w:t>Health Records (Privacy and Access) Act 1997</w:t>
      </w:r>
      <w:r w:rsidRPr="001926C9">
        <w:rPr>
          <w:rFonts w:cstheme="minorHAnsi"/>
        </w:rPr>
        <w:br/>
        <w:t xml:space="preserve">This Act governs the use of health records in the ACT. It ensures that health </w:t>
      </w:r>
      <w:r w:rsidRPr="001926C9">
        <w:rPr>
          <w:rFonts w:cstheme="minorHAnsi"/>
        </w:rPr>
        <w:lastRenderedPageBreak/>
        <w:t>practitioners uphold the confidentiality of patient health information, and that patient consent is obtained for the use or disclosure of personal health data.</w:t>
      </w:r>
    </w:p>
    <w:p w14:paraId="128CC493" w14:textId="77777777" w:rsidR="001926C9" w:rsidRPr="001926C9" w:rsidRDefault="001926C9" w:rsidP="001926C9">
      <w:pPr>
        <w:pStyle w:val="ListParagraph"/>
        <w:numPr>
          <w:ilvl w:val="0"/>
          <w:numId w:val="44"/>
        </w:numPr>
        <w:spacing w:before="120"/>
        <w:rPr>
          <w:rFonts w:cstheme="minorHAnsi"/>
        </w:rPr>
      </w:pPr>
      <w:r w:rsidRPr="00204771">
        <w:rPr>
          <w:rFonts w:cstheme="minorHAnsi"/>
          <w:i/>
          <w:iCs/>
        </w:rPr>
        <w:t>Road Transport (General) Regulation 2000</w:t>
      </w:r>
      <w:r w:rsidRPr="001926C9">
        <w:rPr>
          <w:rFonts w:cstheme="minorHAnsi"/>
        </w:rPr>
        <w:br/>
        <w:t>This regulation is the complementary legislation to the Road Transport (Driver Licensing) Regulation 2000 and outlines how health information can be used within the context of road transport laws.</w:t>
      </w:r>
    </w:p>
    <w:p w14:paraId="3D5DFCB4" w14:textId="21AD2852" w:rsidR="001926C9" w:rsidRPr="001926C9" w:rsidRDefault="001926C9" w:rsidP="001926C9">
      <w:pPr>
        <w:pStyle w:val="ListParagraph"/>
        <w:numPr>
          <w:ilvl w:val="0"/>
          <w:numId w:val="44"/>
        </w:numPr>
        <w:spacing w:before="120"/>
        <w:rPr>
          <w:rFonts w:cstheme="minorHAnsi"/>
        </w:rPr>
      </w:pPr>
      <w:r w:rsidRPr="001926C9">
        <w:rPr>
          <w:rFonts w:cstheme="minorHAnsi"/>
          <w:i/>
          <w:iCs/>
        </w:rPr>
        <w:t>Health Practitioner Regulation National Law (ACT)</w:t>
      </w:r>
      <w:r w:rsidR="000F73E9">
        <w:rPr>
          <w:rFonts w:cstheme="minorHAnsi"/>
          <w:i/>
          <w:iCs/>
        </w:rPr>
        <w:t xml:space="preserve"> 2010</w:t>
      </w:r>
      <w:r w:rsidRPr="001926C9">
        <w:rPr>
          <w:rFonts w:cstheme="minorHAnsi"/>
        </w:rPr>
        <w:br/>
        <w:t xml:space="preserve">This law establishes the framework for the regulation of health </w:t>
      </w:r>
      <w:r w:rsidR="00701135">
        <w:rPr>
          <w:rFonts w:cstheme="minorHAnsi"/>
        </w:rPr>
        <w:t>practitioners</w:t>
      </w:r>
      <w:r w:rsidR="00701135" w:rsidRPr="001926C9">
        <w:rPr>
          <w:rFonts w:cstheme="minorHAnsi"/>
        </w:rPr>
        <w:t xml:space="preserve"> </w:t>
      </w:r>
      <w:r w:rsidRPr="001926C9">
        <w:rPr>
          <w:rFonts w:cstheme="minorHAnsi"/>
        </w:rPr>
        <w:t>in the ACT, ensuring that they practice in compliance with national standards. It includes the duties of health practitioners regarding patient confidentiality, consent, and the reporting of impairments that affect the ability to drive safely.</w:t>
      </w:r>
    </w:p>
    <w:p w14:paraId="59B4578C" w14:textId="189C7504" w:rsidR="001926C9" w:rsidRPr="001926C9" w:rsidRDefault="001926C9" w:rsidP="001926C9">
      <w:pPr>
        <w:pStyle w:val="ListParagraph"/>
        <w:numPr>
          <w:ilvl w:val="0"/>
          <w:numId w:val="44"/>
        </w:numPr>
        <w:spacing w:before="120"/>
        <w:rPr>
          <w:rFonts w:cstheme="minorHAnsi"/>
        </w:rPr>
      </w:pPr>
      <w:r w:rsidRPr="001926C9">
        <w:rPr>
          <w:rFonts w:cstheme="minorHAnsi"/>
        </w:rPr>
        <w:t xml:space="preserve">Australian Health Practitioner Regulation Agency </w:t>
      </w:r>
      <w:r w:rsidR="00204771">
        <w:rPr>
          <w:rFonts w:cstheme="minorHAnsi"/>
        </w:rPr>
        <w:t>(</w:t>
      </w:r>
      <w:r w:rsidRPr="001926C9">
        <w:rPr>
          <w:rFonts w:cstheme="minorHAnsi"/>
        </w:rPr>
        <w:t>A</w:t>
      </w:r>
      <w:r w:rsidR="00204771">
        <w:rPr>
          <w:rFonts w:cstheme="minorHAnsi"/>
        </w:rPr>
        <w:t>HPRA</w:t>
      </w:r>
      <w:r w:rsidRPr="001926C9">
        <w:rPr>
          <w:rFonts w:cstheme="minorHAnsi"/>
        </w:rPr>
        <w:t>)</w:t>
      </w:r>
      <w:r w:rsidRPr="001926C9">
        <w:rPr>
          <w:rFonts w:cstheme="minorHAnsi"/>
        </w:rPr>
        <w:br/>
      </w:r>
      <w:r w:rsidR="00204771">
        <w:rPr>
          <w:rFonts w:cstheme="minorHAnsi"/>
        </w:rPr>
        <w:t>AHPRA</w:t>
      </w:r>
      <w:r w:rsidRPr="001926C9">
        <w:rPr>
          <w:rFonts w:cstheme="minorHAnsi"/>
        </w:rPr>
        <w:t xml:space="preserve"> oversees the registration and regulation of health practitioners across Australia. Their guidelines on confidentiality, privacy, and the handling of medical information are crucial for understanding the responsibilities of health </w:t>
      </w:r>
      <w:r w:rsidR="00701135">
        <w:rPr>
          <w:rFonts w:cstheme="minorHAnsi"/>
        </w:rPr>
        <w:t>practitioner</w:t>
      </w:r>
      <w:r w:rsidR="00701135" w:rsidRPr="001926C9">
        <w:rPr>
          <w:rFonts w:cstheme="minorHAnsi"/>
        </w:rPr>
        <w:t xml:space="preserve">s </w:t>
      </w:r>
      <w:r w:rsidRPr="001926C9">
        <w:rPr>
          <w:rFonts w:cstheme="minorHAnsi"/>
        </w:rPr>
        <w:t>when handling fitness to drive assessments.</w:t>
      </w:r>
    </w:p>
    <w:p w14:paraId="768F8965" w14:textId="54629F55" w:rsidR="001926C9" w:rsidRPr="001926C9" w:rsidRDefault="001926C9" w:rsidP="001926C9">
      <w:pPr>
        <w:pStyle w:val="ListParagraph"/>
        <w:numPr>
          <w:ilvl w:val="0"/>
          <w:numId w:val="44"/>
        </w:numPr>
        <w:spacing w:before="120"/>
        <w:rPr>
          <w:rFonts w:cstheme="minorHAnsi"/>
        </w:rPr>
      </w:pPr>
      <w:r w:rsidRPr="001926C9">
        <w:rPr>
          <w:rFonts w:cstheme="minorHAnsi"/>
        </w:rPr>
        <w:t xml:space="preserve">Australian Privacy Principles </w:t>
      </w:r>
      <w:r w:rsidRPr="001926C9">
        <w:rPr>
          <w:rFonts w:cstheme="minorHAnsi"/>
        </w:rPr>
        <w:br/>
        <w:t xml:space="preserve">The Australian Privacy Principles are part of the </w:t>
      </w:r>
      <w:r w:rsidRPr="001926C9">
        <w:rPr>
          <w:rFonts w:cstheme="minorHAnsi"/>
          <w:i/>
          <w:iCs/>
        </w:rPr>
        <w:t>Privacy Act 1988</w:t>
      </w:r>
      <w:r w:rsidRPr="001926C9">
        <w:rPr>
          <w:rFonts w:cstheme="minorHAnsi"/>
        </w:rPr>
        <w:t xml:space="preserve"> and set out the standards for the collection, use, and disclosure of personal information by Australian Government agencies and certain private organisations, including health </w:t>
      </w:r>
      <w:r w:rsidR="00701135" w:rsidRPr="001926C9">
        <w:rPr>
          <w:rFonts w:cstheme="minorHAnsi"/>
        </w:rPr>
        <w:t>pr</w:t>
      </w:r>
      <w:r w:rsidR="00701135">
        <w:rPr>
          <w:rFonts w:cstheme="minorHAnsi"/>
        </w:rPr>
        <w:t>actitioners</w:t>
      </w:r>
      <w:r w:rsidRPr="001926C9">
        <w:rPr>
          <w:rFonts w:cstheme="minorHAnsi"/>
        </w:rPr>
        <w:t>.</w:t>
      </w:r>
    </w:p>
    <w:p w14:paraId="7B96EB56" w14:textId="2DD4459A" w:rsidR="001926C9" w:rsidRPr="001926C9" w:rsidRDefault="001926C9" w:rsidP="001926C9">
      <w:pPr>
        <w:pStyle w:val="ListParagraph"/>
        <w:numPr>
          <w:ilvl w:val="0"/>
          <w:numId w:val="44"/>
        </w:numPr>
        <w:spacing w:before="120"/>
        <w:rPr>
          <w:rFonts w:cstheme="minorHAnsi"/>
        </w:rPr>
      </w:pPr>
      <w:r w:rsidRPr="001926C9">
        <w:rPr>
          <w:rFonts w:cstheme="minorHAnsi"/>
        </w:rPr>
        <w:t>Medical Board of Australia – Confidentiality Guidelines for Medical Practitioners</w:t>
      </w:r>
      <w:r w:rsidRPr="001926C9">
        <w:rPr>
          <w:rFonts w:cstheme="minorHAnsi"/>
        </w:rPr>
        <w:br/>
        <w:t>The Medical Board of Australia provides detailed guidelines regarding the confidentiality of patient information, including under situations where disclosure is legally required, such as for fitness to drive assessments</w:t>
      </w:r>
      <w:r w:rsidR="000F73E9">
        <w:rPr>
          <w:rFonts w:cstheme="minorHAnsi"/>
        </w:rPr>
        <w:t xml:space="preserve"> </w:t>
      </w:r>
      <w:r w:rsidR="006E6C18">
        <w:rPr>
          <w:rFonts w:cstheme="minorHAnsi"/>
        </w:rPr>
        <w:t xml:space="preserve">(accessible at: </w:t>
      </w:r>
      <w:hyperlink r:id="rId23" w:history="1">
        <w:r w:rsidR="006E6C18" w:rsidRPr="006E6C18">
          <w:rPr>
            <w:rStyle w:val="Hyperlink"/>
            <w:rFonts w:cstheme="minorHAnsi"/>
            <w:lang w:val="en-AU"/>
          </w:rPr>
          <w:t>https://www.medicalboard.gov.au/codes-guidelines-policies.aspx</w:t>
        </w:r>
      </w:hyperlink>
      <w:r w:rsidR="006E6C18">
        <w:rPr>
          <w:rFonts w:cstheme="minorHAnsi"/>
        </w:rPr>
        <w:t xml:space="preserve"> )</w:t>
      </w:r>
    </w:p>
    <w:p w14:paraId="67CF47FD" w14:textId="1EA9EE94" w:rsidR="001926C9" w:rsidRPr="001926C9" w:rsidRDefault="00E174FB" w:rsidP="00D43B30">
      <w:pPr>
        <w:pStyle w:val="Heading5"/>
      </w:pPr>
      <w:r>
        <w:t>Q</w:t>
      </w:r>
      <w:r w:rsidR="00204771">
        <w:t>6</w:t>
      </w:r>
      <w:r>
        <w:t>.</w:t>
      </w:r>
      <w:r>
        <w:tab/>
      </w:r>
      <w:r w:rsidR="001926C9" w:rsidRPr="001926C9">
        <w:t>What if I do not have specific training in fitness to drive assessments?</w:t>
      </w:r>
    </w:p>
    <w:p w14:paraId="16099798" w14:textId="4C9777AC" w:rsidR="001926C9" w:rsidRPr="001926C9" w:rsidRDefault="001926C9" w:rsidP="001926C9">
      <w:pPr>
        <w:rPr>
          <w:rFonts w:asciiTheme="minorHAnsi" w:hAnsiTheme="minorHAnsi" w:cstheme="minorHAnsi"/>
        </w:rPr>
      </w:pPr>
      <w:r w:rsidRPr="001926C9">
        <w:rPr>
          <w:rFonts w:asciiTheme="minorHAnsi" w:hAnsiTheme="minorHAnsi" w:cstheme="minorHAnsi"/>
          <w:b/>
          <w:bCs/>
        </w:rPr>
        <w:t xml:space="preserve">Answer: </w:t>
      </w:r>
      <w:r w:rsidRPr="001926C9">
        <w:rPr>
          <w:rFonts w:asciiTheme="minorHAnsi" w:hAnsiTheme="minorHAnsi" w:cstheme="minorHAnsi"/>
        </w:rPr>
        <w:t xml:space="preserve">The legislation does not require a health practitioner to have specific training to assess </w:t>
      </w:r>
      <w:r w:rsidR="00ED593C" w:rsidRPr="001926C9">
        <w:rPr>
          <w:rFonts w:asciiTheme="minorHAnsi" w:hAnsiTheme="minorHAnsi" w:cstheme="minorHAnsi"/>
        </w:rPr>
        <w:t>whether</w:t>
      </w:r>
      <w:r w:rsidRPr="001926C9">
        <w:rPr>
          <w:rFonts w:asciiTheme="minorHAnsi" w:hAnsiTheme="minorHAnsi" w:cstheme="minorHAnsi"/>
        </w:rPr>
        <w:t xml:space="preserve"> a person is fit to drive. </w:t>
      </w:r>
      <w:r w:rsidR="00222BAE">
        <w:rPr>
          <w:rFonts w:asciiTheme="minorHAnsi" w:hAnsiTheme="minorHAnsi" w:cstheme="minorHAnsi"/>
        </w:rPr>
        <w:t>S</w:t>
      </w:r>
      <w:r w:rsidRPr="001926C9">
        <w:rPr>
          <w:rFonts w:asciiTheme="minorHAnsi" w:hAnsiTheme="minorHAnsi" w:cstheme="minorHAnsi"/>
        </w:rPr>
        <w:t xml:space="preserve">ection 90B requires a health professional to report if they form an opinion that a person has a permanent or long-term illness, injury or incapacity that is likely to impair the person’s ability to drive a heavy vehicle safely. If the practitioner is not trained or does not specialise in a specific condition their patient has, this may mean they are less likely to form the opinion and therefore may not be required to report. </w:t>
      </w:r>
    </w:p>
    <w:p w14:paraId="09095E2A" w14:textId="77777777" w:rsidR="001926C9" w:rsidRPr="001926C9" w:rsidRDefault="001926C9" w:rsidP="001926C9">
      <w:pPr>
        <w:rPr>
          <w:rFonts w:asciiTheme="minorHAnsi" w:hAnsiTheme="minorHAnsi" w:cstheme="minorHAnsi"/>
        </w:rPr>
      </w:pPr>
      <w:r w:rsidRPr="001926C9">
        <w:rPr>
          <w:rFonts w:asciiTheme="minorHAnsi" w:hAnsiTheme="minorHAnsi" w:cstheme="minorHAnsi"/>
        </w:rPr>
        <w:t xml:space="preserve">Even specialists or other practitioners without specific training in fitness to drive assessments are still required to report conditions that could impair a person’s ability to drive safely. They can rely on their expertise in the management of the medical condition and refer the patient to an appropriate professional qualified in fitness to drive assessments. </w:t>
      </w:r>
    </w:p>
    <w:p w14:paraId="476E30B9" w14:textId="411856DD" w:rsidR="001926C9" w:rsidRPr="001926C9" w:rsidRDefault="00E174FB" w:rsidP="00D43B30">
      <w:pPr>
        <w:pStyle w:val="Heading5"/>
      </w:pPr>
      <w:r>
        <w:t>Q</w:t>
      </w:r>
      <w:r w:rsidR="00204771">
        <w:t>7</w:t>
      </w:r>
      <w:r>
        <w:t>.</w:t>
      </w:r>
      <w:r>
        <w:tab/>
      </w:r>
      <w:r w:rsidR="001926C9" w:rsidRPr="001926C9">
        <w:t>What if I’m concerned that a patient may retaliate or be upset by a mandatory report?</w:t>
      </w:r>
    </w:p>
    <w:p w14:paraId="694FFD46" w14:textId="77777777"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Under the legislation, practitioners must explain to the patient the contents of the report and that they are required by law to give a written report to the RTA. </w:t>
      </w:r>
    </w:p>
    <w:p w14:paraId="3CB45EFD" w14:textId="77777777" w:rsidR="001926C9" w:rsidRPr="001926C9" w:rsidRDefault="001926C9" w:rsidP="001926C9">
      <w:pPr>
        <w:rPr>
          <w:rFonts w:asciiTheme="minorHAnsi" w:hAnsiTheme="minorHAnsi" w:cstheme="minorHAnsi"/>
        </w:rPr>
      </w:pPr>
      <w:r w:rsidRPr="001926C9">
        <w:rPr>
          <w:rFonts w:asciiTheme="minorHAnsi" w:hAnsiTheme="minorHAnsi" w:cstheme="minorHAnsi"/>
        </w:rPr>
        <w:lastRenderedPageBreak/>
        <w:t xml:space="preserve">Practitioners can also choose to explain to them the reasons for the mandatory report, how it may mean no action is taken, how they are not a decision maker and have no role in deciding the patient’s licence status (this is the role of the RTA), and highlight the importance of public safety and the role reporting plays in ensuring safe road use. </w:t>
      </w:r>
    </w:p>
    <w:p w14:paraId="6EACF3B6" w14:textId="0BF1B282" w:rsidR="001926C9" w:rsidRPr="001926C9" w:rsidRDefault="00E174FB" w:rsidP="00D43B30">
      <w:pPr>
        <w:pStyle w:val="Heading5"/>
      </w:pPr>
      <w:r>
        <w:t>Q</w:t>
      </w:r>
      <w:r w:rsidR="00204771">
        <w:t>8</w:t>
      </w:r>
      <w:r>
        <w:t>.</w:t>
      </w:r>
      <w:r>
        <w:tab/>
      </w:r>
      <w:r w:rsidR="001926C9" w:rsidRPr="001926C9">
        <w:t>Are there any exemptions or exceptions to the reporting requirements for specific types of health conditions?</w:t>
      </w:r>
    </w:p>
    <w:p w14:paraId="7C0E8B38" w14:textId="77777777" w:rsidR="001926C9" w:rsidRPr="001926C9" w:rsidRDefault="001926C9" w:rsidP="001926C9">
      <w:pPr>
        <w:rPr>
          <w:rFonts w:asciiTheme="minorHAnsi" w:hAnsiTheme="minorHAnsi" w:cstheme="minorHAnsi"/>
        </w:rPr>
      </w:pPr>
      <w:r w:rsidRPr="001926C9">
        <w:rPr>
          <w:rFonts w:asciiTheme="minorHAnsi" w:hAnsiTheme="minorHAnsi" w:cstheme="minorHAnsi"/>
          <w:b/>
          <w:bCs/>
        </w:rPr>
        <w:t xml:space="preserve">Answer: </w:t>
      </w:r>
      <w:bookmarkStart w:id="16" w:name="_Hlk197673664"/>
      <w:r w:rsidRPr="001926C9">
        <w:rPr>
          <w:rFonts w:asciiTheme="minorHAnsi" w:hAnsiTheme="minorHAnsi" w:cstheme="minorHAnsi"/>
        </w:rPr>
        <w:t>No exemptions apply based on the type of condition. If the health practitioner forms an opinion that a heavy vehicle driver has a permanent or long-term illness, injury or incapacity that is likely to impair the person’s ability to drive a heavy vehicle safely, then the practitioner must report. Temporary conditions may not require reporting unless they have a significant, sustained impact.</w:t>
      </w:r>
    </w:p>
    <w:bookmarkEnd w:id="16"/>
    <w:p w14:paraId="54FFD828" w14:textId="3D1993EA" w:rsidR="001926C9" w:rsidRPr="001926C9" w:rsidRDefault="00E174FB" w:rsidP="00D43B30">
      <w:pPr>
        <w:pStyle w:val="Heading5"/>
      </w:pPr>
      <w:r>
        <w:t>Q</w:t>
      </w:r>
      <w:r w:rsidR="00204771">
        <w:t>9</w:t>
      </w:r>
      <w:r>
        <w:t>.</w:t>
      </w:r>
      <w:r>
        <w:tab/>
      </w:r>
      <w:r w:rsidR="001926C9" w:rsidRPr="001926C9">
        <w:t>What happens if I report a patient’s condition, but Access Canberra decides they are still fit to drive?</w:t>
      </w:r>
    </w:p>
    <w:p w14:paraId="76145743" w14:textId="77777777"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If Access Canberra determines that no further action is required, no changes will be made to their licence, and you will not be contacted. If further investigation or changes to the licence are required, Access Canberra may refer the patient on for further assessment. </w:t>
      </w:r>
    </w:p>
    <w:p w14:paraId="0564924A" w14:textId="20965BE0" w:rsidR="001926C9" w:rsidRPr="001926C9" w:rsidRDefault="00E174FB" w:rsidP="00D43B30">
      <w:pPr>
        <w:pStyle w:val="Heading5"/>
      </w:pPr>
      <w:r>
        <w:t>Q1</w:t>
      </w:r>
      <w:r w:rsidR="00204771">
        <w:t>0</w:t>
      </w:r>
      <w:r>
        <w:t>.</w:t>
      </w:r>
      <w:r>
        <w:tab/>
      </w:r>
      <w:r w:rsidR="001926C9" w:rsidRPr="001926C9">
        <w:t>What if the reporting requirement is outside my scope of practice?</w:t>
      </w:r>
    </w:p>
    <w:p w14:paraId="7E4CD88D" w14:textId="77777777" w:rsidR="001926C9" w:rsidRPr="001926C9" w:rsidRDefault="001926C9" w:rsidP="001926C9">
      <w:pPr>
        <w:rPr>
          <w:rFonts w:asciiTheme="minorHAnsi" w:hAnsiTheme="minorHAnsi" w:cstheme="minorHAnsi"/>
        </w:rPr>
      </w:pPr>
      <w:r w:rsidRPr="001926C9">
        <w:rPr>
          <w:rFonts w:asciiTheme="minorHAnsi" w:hAnsiTheme="minorHAnsi" w:cstheme="minorHAnsi"/>
          <w:b/>
          <w:bCs/>
        </w:rPr>
        <w:t xml:space="preserve">Answer: </w:t>
      </w:r>
      <w:r w:rsidRPr="001926C9">
        <w:rPr>
          <w:rFonts w:asciiTheme="minorHAnsi" w:hAnsiTheme="minorHAnsi" w:cstheme="minorHAnsi"/>
        </w:rPr>
        <w:t xml:space="preserve">Even if the reporting requirement falls outside a practitioner’s usual scope of practice, relevant practitioners are still legally obligated to report if they form an opinion that a heavy vehicle driver has a permanent or long-term condition likely to impair their ability to drive a heavy vehicle safely, as outlined in section 90B. While they are not expected to assess conditions beyond their expertise, they should rely on their clinical judgment within their area of practice. </w:t>
      </w:r>
    </w:p>
    <w:p w14:paraId="651C97D9" w14:textId="590DD8CD" w:rsidR="001926C9" w:rsidRPr="001926C9" w:rsidRDefault="00E174FB" w:rsidP="00D43B30">
      <w:pPr>
        <w:pStyle w:val="Heading5"/>
      </w:pPr>
      <w:r>
        <w:t>Q1</w:t>
      </w:r>
      <w:r w:rsidR="00204771">
        <w:t>1</w:t>
      </w:r>
      <w:r>
        <w:t>.</w:t>
      </w:r>
      <w:r>
        <w:tab/>
      </w:r>
      <w:r w:rsidR="001926C9" w:rsidRPr="001926C9">
        <w:t>How will this impact my professional liability or insurance?</w:t>
      </w:r>
    </w:p>
    <w:p w14:paraId="14FA5F23" w14:textId="1297B1B7"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The </w:t>
      </w:r>
      <w:r w:rsidR="000F73E9" w:rsidRPr="000F73E9">
        <w:rPr>
          <w:rFonts w:asciiTheme="minorHAnsi" w:hAnsiTheme="minorHAnsi" w:cstheme="minorHAnsi"/>
        </w:rPr>
        <w:t>Regulation</w:t>
      </w:r>
      <w:r w:rsidRPr="001926C9">
        <w:rPr>
          <w:rFonts w:asciiTheme="minorHAnsi" w:hAnsiTheme="minorHAnsi" w:cstheme="minorHAnsi"/>
        </w:rPr>
        <w:t xml:space="preserve"> mandates health </w:t>
      </w:r>
      <w:r w:rsidR="00701135">
        <w:rPr>
          <w:rFonts w:asciiTheme="minorHAnsi" w:hAnsiTheme="minorHAnsi" w:cstheme="minorHAnsi"/>
        </w:rPr>
        <w:t>practitioners</w:t>
      </w:r>
      <w:r w:rsidR="00701135" w:rsidRPr="001926C9">
        <w:rPr>
          <w:rFonts w:asciiTheme="minorHAnsi" w:hAnsiTheme="minorHAnsi" w:cstheme="minorHAnsi"/>
        </w:rPr>
        <w:t xml:space="preserve"> </w:t>
      </w:r>
      <w:r w:rsidRPr="001926C9">
        <w:rPr>
          <w:rFonts w:asciiTheme="minorHAnsi" w:hAnsiTheme="minorHAnsi" w:cstheme="minorHAnsi"/>
        </w:rPr>
        <w:t xml:space="preserve">report fitness to drive concerns while safeguarding patient privacy. This aligns with the </w:t>
      </w:r>
      <w:r w:rsidRPr="001926C9">
        <w:rPr>
          <w:rFonts w:asciiTheme="minorHAnsi" w:hAnsiTheme="minorHAnsi" w:cstheme="minorHAnsi"/>
          <w:i/>
          <w:iCs/>
        </w:rPr>
        <w:t>Privacy Act 1988</w:t>
      </w:r>
      <w:r w:rsidRPr="001926C9">
        <w:rPr>
          <w:rFonts w:asciiTheme="minorHAnsi" w:hAnsiTheme="minorHAnsi" w:cstheme="minorHAnsi"/>
        </w:rPr>
        <w:t xml:space="preserve"> (Cth), </w:t>
      </w:r>
      <w:r w:rsidRPr="001926C9">
        <w:rPr>
          <w:rFonts w:asciiTheme="minorHAnsi" w:hAnsiTheme="minorHAnsi" w:cstheme="minorHAnsi"/>
          <w:i/>
          <w:iCs/>
        </w:rPr>
        <w:t>Health Records (Privacy and Access) Act 1997,</w:t>
      </w:r>
      <w:r w:rsidRPr="001926C9">
        <w:rPr>
          <w:rFonts w:asciiTheme="minorHAnsi" w:hAnsiTheme="minorHAnsi" w:cstheme="minorHAnsi"/>
        </w:rPr>
        <w:t xml:space="preserve"> and the </w:t>
      </w:r>
      <w:r w:rsidRPr="00204771">
        <w:rPr>
          <w:rFonts w:asciiTheme="minorHAnsi" w:hAnsiTheme="minorHAnsi" w:cstheme="minorHAnsi"/>
          <w:i/>
          <w:iCs/>
        </w:rPr>
        <w:t>Health Practitioner Regulation National Law (ACT)</w:t>
      </w:r>
      <w:r w:rsidR="000F73E9">
        <w:rPr>
          <w:rFonts w:asciiTheme="minorHAnsi" w:hAnsiTheme="minorHAnsi" w:cstheme="minorHAnsi"/>
          <w:i/>
          <w:iCs/>
        </w:rPr>
        <w:t xml:space="preserve"> 2010</w:t>
      </w:r>
      <w:r w:rsidRPr="00204771">
        <w:rPr>
          <w:rFonts w:asciiTheme="minorHAnsi" w:hAnsiTheme="minorHAnsi" w:cstheme="minorHAnsi"/>
          <w:i/>
          <w:iCs/>
        </w:rPr>
        <w:t>,</w:t>
      </w:r>
      <w:r w:rsidRPr="001926C9">
        <w:rPr>
          <w:rFonts w:asciiTheme="minorHAnsi" w:hAnsiTheme="minorHAnsi" w:cstheme="minorHAnsi"/>
        </w:rPr>
        <w:t xml:space="preserve"> which govern the handling of personal health information. Failure to comply with these regulations or with the reporting requirement can lead to professional liability risks, including potential legal actions and reputational damage.</w:t>
      </w:r>
    </w:p>
    <w:p w14:paraId="64208C7E" w14:textId="77777777" w:rsidR="001926C9" w:rsidRPr="001926C9" w:rsidRDefault="001926C9" w:rsidP="001926C9">
      <w:pPr>
        <w:rPr>
          <w:rFonts w:asciiTheme="minorHAnsi" w:hAnsiTheme="minorHAnsi" w:cstheme="minorHAnsi"/>
        </w:rPr>
      </w:pPr>
      <w:r w:rsidRPr="001926C9">
        <w:rPr>
          <w:rFonts w:asciiTheme="minorHAnsi" w:hAnsiTheme="minorHAnsi" w:cstheme="minorHAnsi"/>
        </w:rPr>
        <w:t xml:space="preserve">To mitigate these risks, health professionals should adhere to reporting requirement, Australian Privacy Principles and the Medical Board of Australia's confidentiality guidelines. </w:t>
      </w:r>
    </w:p>
    <w:p w14:paraId="4FBAA240" w14:textId="3F2E8261" w:rsidR="001926C9" w:rsidRPr="001926C9" w:rsidRDefault="00E174FB" w:rsidP="00D43B30">
      <w:pPr>
        <w:pStyle w:val="Heading5"/>
      </w:pPr>
      <w:r>
        <w:t>Q1</w:t>
      </w:r>
      <w:r w:rsidR="00204771">
        <w:t>2</w:t>
      </w:r>
      <w:r>
        <w:t>.</w:t>
      </w:r>
      <w:r>
        <w:tab/>
      </w:r>
      <w:r w:rsidR="001926C9" w:rsidRPr="001926C9">
        <w:t>What should I do if the patient refuses to consent to a report being made?</w:t>
      </w:r>
    </w:p>
    <w:p w14:paraId="45EF6158" w14:textId="6C1EC16F"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Health </w:t>
      </w:r>
      <w:r w:rsidR="00701135" w:rsidRPr="001926C9">
        <w:rPr>
          <w:rFonts w:asciiTheme="minorHAnsi" w:hAnsiTheme="minorHAnsi" w:cstheme="minorHAnsi"/>
        </w:rPr>
        <w:t>pr</w:t>
      </w:r>
      <w:r w:rsidR="00701135">
        <w:rPr>
          <w:rFonts w:asciiTheme="minorHAnsi" w:hAnsiTheme="minorHAnsi" w:cstheme="minorHAnsi"/>
        </w:rPr>
        <w:t>actitioners</w:t>
      </w:r>
      <w:r w:rsidR="00701135" w:rsidRPr="001926C9">
        <w:rPr>
          <w:rFonts w:asciiTheme="minorHAnsi" w:hAnsiTheme="minorHAnsi" w:cstheme="minorHAnsi"/>
        </w:rPr>
        <w:t xml:space="preserve"> </w:t>
      </w:r>
      <w:r w:rsidRPr="001926C9">
        <w:rPr>
          <w:rFonts w:asciiTheme="minorHAnsi" w:hAnsiTheme="minorHAnsi" w:cstheme="minorHAnsi"/>
        </w:rPr>
        <w:t>must explain the fitness to drive reporting requirement to patients and provide clear information on the process. While patients can object to the sharing of their medical information, the law requires reporting to the RTA if the practitioner believes that the person poses a risk to public safety.</w:t>
      </w:r>
    </w:p>
    <w:p w14:paraId="0B763C9F" w14:textId="77777777" w:rsidR="001926C9" w:rsidRPr="001926C9" w:rsidRDefault="001926C9" w:rsidP="001926C9">
      <w:pPr>
        <w:spacing w:line="259" w:lineRule="auto"/>
        <w:rPr>
          <w:rFonts w:asciiTheme="minorHAnsi" w:hAnsiTheme="minorHAnsi" w:cstheme="minorHAnsi"/>
        </w:rPr>
      </w:pPr>
      <w:r w:rsidRPr="001926C9">
        <w:rPr>
          <w:rFonts w:asciiTheme="minorHAnsi" w:hAnsiTheme="minorHAnsi" w:cstheme="minorHAnsi"/>
        </w:rPr>
        <w:lastRenderedPageBreak/>
        <w:t xml:space="preserve">Patients have the right to challenge the outcome of any resulting licence decision through formal RTA processes. </w:t>
      </w:r>
    </w:p>
    <w:p w14:paraId="52005675" w14:textId="77777777" w:rsidR="001926C9" w:rsidRPr="001926C9" w:rsidRDefault="001926C9" w:rsidP="001926C9">
      <w:pPr>
        <w:rPr>
          <w:rFonts w:asciiTheme="minorHAnsi" w:hAnsiTheme="minorHAnsi" w:cstheme="minorHAnsi"/>
        </w:rPr>
      </w:pPr>
      <w:r w:rsidRPr="001926C9">
        <w:rPr>
          <w:rFonts w:asciiTheme="minorHAnsi" w:hAnsiTheme="minorHAnsi" w:cstheme="minorHAnsi"/>
        </w:rPr>
        <w:t xml:space="preserve">The RTA, in turn, is responsible for securely handling all personal and medical information in line with privacy laws and ensuring it is not disclosed to unauthorised parties. </w:t>
      </w:r>
    </w:p>
    <w:p w14:paraId="7201B745" w14:textId="7491CCAB" w:rsidR="001926C9" w:rsidRPr="001926C9" w:rsidRDefault="00E174FB" w:rsidP="00D43B30">
      <w:pPr>
        <w:pStyle w:val="Heading5"/>
      </w:pPr>
      <w:r>
        <w:t>Q1</w:t>
      </w:r>
      <w:r w:rsidR="00204771">
        <w:t>3</w:t>
      </w:r>
      <w:r>
        <w:t>.</w:t>
      </w:r>
      <w:r>
        <w:tab/>
      </w:r>
      <w:r w:rsidR="001926C9" w:rsidRPr="001926C9">
        <w:t>Can I be penalised if I don’t report when I believe I should have?</w:t>
      </w:r>
    </w:p>
    <w:p w14:paraId="46E0BA11" w14:textId="4EBFE68C"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w:t>
      </w:r>
      <w:bookmarkStart w:id="17" w:name="_Hlk197675204"/>
      <w:r w:rsidRPr="001926C9">
        <w:rPr>
          <w:rFonts w:asciiTheme="minorHAnsi" w:hAnsiTheme="minorHAnsi" w:cstheme="minorHAnsi"/>
        </w:rPr>
        <w:t xml:space="preserve">No, practitioners cannot be penalised by the RTA, as there is no offence attached to the reporting requirement in the </w:t>
      </w:r>
      <w:r w:rsidR="00354334">
        <w:rPr>
          <w:rFonts w:asciiTheme="minorHAnsi" w:hAnsiTheme="minorHAnsi" w:cstheme="minorHAnsi"/>
        </w:rPr>
        <w:t>regulation</w:t>
      </w:r>
      <w:r w:rsidRPr="001926C9">
        <w:rPr>
          <w:rFonts w:asciiTheme="minorHAnsi" w:hAnsiTheme="minorHAnsi" w:cstheme="minorHAnsi"/>
        </w:rPr>
        <w:t xml:space="preserve">. </w:t>
      </w:r>
    </w:p>
    <w:p w14:paraId="364EFC83" w14:textId="5EB48E9B" w:rsidR="001926C9" w:rsidRPr="001926C9" w:rsidRDefault="001926C9" w:rsidP="001926C9">
      <w:pPr>
        <w:rPr>
          <w:rFonts w:asciiTheme="minorHAnsi" w:hAnsiTheme="minorHAnsi" w:cstheme="minorHAnsi"/>
        </w:rPr>
      </w:pPr>
      <w:r w:rsidRPr="001926C9">
        <w:rPr>
          <w:rFonts w:asciiTheme="minorHAnsi" w:hAnsiTheme="minorHAnsi" w:cstheme="minorHAnsi"/>
        </w:rPr>
        <w:t>However, failure to meet mandatory reporting requirements under legislation can lead to a notification with</w:t>
      </w:r>
      <w:r w:rsidR="00204771">
        <w:rPr>
          <w:rFonts w:asciiTheme="minorHAnsi" w:hAnsiTheme="minorHAnsi" w:cstheme="minorHAnsi"/>
        </w:rPr>
        <w:t xml:space="preserve"> AHPRA</w:t>
      </w:r>
      <w:r w:rsidRPr="001926C9">
        <w:rPr>
          <w:rFonts w:asciiTheme="minorHAnsi" w:hAnsiTheme="minorHAnsi" w:cstheme="minorHAnsi"/>
        </w:rPr>
        <w:t>, which would then have the power to investigate. For information on the notification process visit the A</w:t>
      </w:r>
      <w:r w:rsidR="00204771">
        <w:rPr>
          <w:rFonts w:asciiTheme="minorHAnsi" w:hAnsiTheme="minorHAnsi" w:cstheme="minorHAnsi"/>
        </w:rPr>
        <w:t>HPRA</w:t>
      </w:r>
      <w:r w:rsidRPr="001926C9">
        <w:rPr>
          <w:rFonts w:asciiTheme="minorHAnsi" w:hAnsiTheme="minorHAnsi" w:cstheme="minorHAnsi"/>
        </w:rPr>
        <w:t xml:space="preserve"> </w:t>
      </w:r>
      <w:r w:rsidR="00381B2E" w:rsidRPr="00AB6B63">
        <w:t>website</w:t>
      </w:r>
      <w:r w:rsidR="00381B2E">
        <w:rPr>
          <w:rFonts w:asciiTheme="minorHAnsi" w:hAnsiTheme="minorHAnsi" w:cstheme="minorHAnsi"/>
        </w:rPr>
        <w:t xml:space="preserve"> (</w:t>
      </w:r>
      <w:hyperlink r:id="rId24" w:history="1">
        <w:r w:rsidR="00381B2E">
          <w:rPr>
            <w:rStyle w:val="Hyperlink"/>
            <w:rFonts w:asciiTheme="minorHAnsi" w:hAnsiTheme="minorHAnsi" w:cstheme="minorHAnsi"/>
          </w:rPr>
          <w:t>https://www.ahpra.gov.au/Notifications/How-we-manage-concerns.aspx</w:t>
        </w:r>
      </w:hyperlink>
      <w:r w:rsidR="00381B2E">
        <w:rPr>
          <w:rFonts w:asciiTheme="minorHAnsi" w:hAnsiTheme="minorHAnsi" w:cstheme="minorHAnsi"/>
        </w:rPr>
        <w:t>).</w:t>
      </w:r>
    </w:p>
    <w:bookmarkEnd w:id="17"/>
    <w:p w14:paraId="0F39FB5E" w14:textId="132CFFEF" w:rsidR="001926C9" w:rsidRPr="001926C9" w:rsidRDefault="00E174FB" w:rsidP="00D43B30">
      <w:pPr>
        <w:pStyle w:val="Heading5"/>
      </w:pPr>
      <w:r>
        <w:t>Q1</w:t>
      </w:r>
      <w:r w:rsidR="00204771">
        <w:t>4</w:t>
      </w:r>
      <w:r>
        <w:t>.</w:t>
      </w:r>
      <w:r>
        <w:tab/>
      </w:r>
      <w:r w:rsidR="001926C9" w:rsidRPr="001926C9">
        <w:t>What if a team of practitioners are treating the same patient? Do they all need to report?</w:t>
      </w:r>
    </w:p>
    <w:p w14:paraId="3E6D0D74" w14:textId="77777777"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If a team is jointly assessing and managing the patient, it is generally appropriate for the primary practitioner responsible for the patient to submit the report on behalf of the team. However, if the patient is being seen by different practitioners separately—each forming their own clinical judgment—it may be necessary for each practitioner to report concerns individually.</w:t>
      </w:r>
    </w:p>
    <w:p w14:paraId="78A9FFD7" w14:textId="3A2C0103" w:rsidR="001926C9" w:rsidRPr="001926C9" w:rsidRDefault="00E174FB" w:rsidP="00D43B30">
      <w:pPr>
        <w:pStyle w:val="Heading5"/>
      </w:pPr>
      <w:r>
        <w:t>Q1</w:t>
      </w:r>
      <w:r w:rsidR="00204771">
        <w:t>5</w:t>
      </w:r>
      <w:r>
        <w:t>.</w:t>
      </w:r>
      <w:r>
        <w:tab/>
      </w:r>
      <w:r w:rsidR="001926C9" w:rsidRPr="001926C9">
        <w:t>What if I feel that the patient may have a condition that will fluctuate over time (e.g. a chronic condition)?</w:t>
      </w:r>
    </w:p>
    <w:p w14:paraId="2CC8E01B" w14:textId="0A46FE5B" w:rsidR="001926C9" w:rsidRPr="001926C9" w:rsidRDefault="001926C9" w:rsidP="001926C9">
      <w:pPr>
        <w:rPr>
          <w:rFonts w:asciiTheme="minorHAnsi" w:hAnsiTheme="minorHAnsi" w:cstheme="minorHAnsi"/>
        </w:rPr>
      </w:pPr>
      <w:r w:rsidRPr="001926C9">
        <w:rPr>
          <w:rFonts w:asciiTheme="minorHAnsi" w:hAnsiTheme="minorHAnsi" w:cstheme="minorHAnsi"/>
          <w:b/>
          <w:bCs/>
        </w:rPr>
        <w:t xml:space="preserve">Answer: </w:t>
      </w:r>
      <w:r w:rsidRPr="001926C9">
        <w:rPr>
          <w:rFonts w:asciiTheme="minorHAnsi" w:hAnsiTheme="minorHAnsi" w:cstheme="minorHAnsi"/>
        </w:rPr>
        <w:t>If a chronic condition intermittently impairs the patient’s ability to drive a heavy vehicle safely, it may still meet the threshold for reporting. Practitioners should use their clinical judgment, guided by the Assessing Fitness to Drive Guidelines, to determine whether the condition warrants reporting to the RTA. Regular monitoring and follow-up assessments are important, especially for conditions that may fluctuate, to ensure the patient’s fitness to drive is continually evaluated.</w:t>
      </w:r>
    </w:p>
    <w:p w14:paraId="314A2F2C" w14:textId="4F07531C" w:rsidR="001926C9" w:rsidRPr="001926C9" w:rsidRDefault="00E174FB" w:rsidP="00D43B30">
      <w:pPr>
        <w:pStyle w:val="Heading5"/>
      </w:pPr>
      <w:r>
        <w:t>Q1</w:t>
      </w:r>
      <w:r w:rsidR="00204771">
        <w:t>6</w:t>
      </w:r>
      <w:r>
        <w:t>.</w:t>
      </w:r>
      <w:r>
        <w:tab/>
      </w:r>
      <w:r w:rsidR="001926C9" w:rsidRPr="001926C9">
        <w:t>What if I feel that the reporting threshold is too low or unclear?</w:t>
      </w:r>
    </w:p>
    <w:p w14:paraId="060069C7" w14:textId="77777777"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The threshold is for a mandatory report to be made; however, voluntary reporting is encouraged. The aim is to balance public safety with practical reporting requirements, ensuring that conditions likely to impair driving are captured while not placing unnecessary burden on health practitioners. </w:t>
      </w:r>
    </w:p>
    <w:p w14:paraId="15CADE83" w14:textId="6AC3FE87" w:rsidR="009D0C2F" w:rsidRDefault="001926C9" w:rsidP="009D0C2F">
      <w:pPr>
        <w:spacing w:after="120"/>
        <w:rPr>
          <w:rFonts w:asciiTheme="minorHAnsi" w:hAnsiTheme="minorHAnsi" w:cstheme="minorHAnsi"/>
        </w:rPr>
      </w:pPr>
      <w:r w:rsidRPr="00E174FB">
        <w:rPr>
          <w:rFonts w:asciiTheme="minorHAnsi" w:hAnsiTheme="minorHAnsi" w:cstheme="minorHAnsi"/>
        </w:rPr>
        <w:t>Further Information:</w:t>
      </w:r>
      <w:r w:rsidRPr="001926C9">
        <w:rPr>
          <w:rFonts w:asciiTheme="minorHAnsi" w:hAnsiTheme="minorHAnsi" w:cstheme="minorHAnsi"/>
          <w:b/>
          <w:bCs/>
        </w:rPr>
        <w:t xml:space="preserve"> </w:t>
      </w:r>
      <w:r w:rsidRPr="001926C9">
        <w:rPr>
          <w:rFonts w:asciiTheme="minorHAnsi" w:hAnsiTheme="minorHAnsi" w:cstheme="minorHAnsi"/>
        </w:rPr>
        <w:t xml:space="preserve">In determining </w:t>
      </w:r>
      <w:r w:rsidR="009D0C2F" w:rsidRPr="001926C9">
        <w:rPr>
          <w:rFonts w:asciiTheme="minorHAnsi" w:hAnsiTheme="minorHAnsi" w:cstheme="minorHAnsi"/>
        </w:rPr>
        <w:t>whether</w:t>
      </w:r>
      <w:r w:rsidRPr="001926C9">
        <w:rPr>
          <w:rFonts w:asciiTheme="minorHAnsi" w:hAnsiTheme="minorHAnsi" w:cstheme="minorHAnsi"/>
        </w:rPr>
        <w:t xml:space="preserve"> a patient’s long-term illness, injury or incapacity is likely to impair their ability to safely drive a heavy vehicle, a health practitioner may:</w:t>
      </w:r>
    </w:p>
    <w:p w14:paraId="256E4B04" w14:textId="607EA53B" w:rsidR="001926C9" w:rsidRPr="001926C9" w:rsidRDefault="001926C9" w:rsidP="001926C9">
      <w:pPr>
        <w:pStyle w:val="ListParagraph"/>
        <w:numPr>
          <w:ilvl w:val="0"/>
          <w:numId w:val="41"/>
        </w:numPr>
        <w:spacing w:after="0" w:line="278" w:lineRule="auto"/>
        <w:ind w:left="1434" w:hanging="357"/>
        <w:rPr>
          <w:rFonts w:cstheme="minorHAnsi"/>
        </w:rPr>
      </w:pPr>
      <w:r w:rsidRPr="001926C9">
        <w:rPr>
          <w:rFonts w:cstheme="minorHAnsi"/>
        </w:rPr>
        <w:t xml:space="preserve">consider the Austroads publication ‘Assessing Fitness to Drive’, which sets out the required medical standards of drivers in the ACT. </w:t>
      </w:r>
    </w:p>
    <w:p w14:paraId="13409287" w14:textId="0C507D22" w:rsidR="001926C9" w:rsidRPr="001926C9" w:rsidRDefault="001926C9" w:rsidP="001926C9">
      <w:pPr>
        <w:pStyle w:val="ListParagraph"/>
        <w:numPr>
          <w:ilvl w:val="0"/>
          <w:numId w:val="41"/>
        </w:numPr>
        <w:spacing w:before="120"/>
        <w:rPr>
          <w:rFonts w:cstheme="minorHAnsi"/>
        </w:rPr>
      </w:pPr>
      <w:r w:rsidRPr="001926C9">
        <w:rPr>
          <w:rFonts w:cstheme="minorHAnsi"/>
        </w:rPr>
        <w:t>determine that the condition is unlikely to impair a person’s ability to drive a heavy vehicle safely because the condition has no impact on a person’s fitness to drive factors:</w:t>
      </w:r>
    </w:p>
    <w:p w14:paraId="2F41EFC1" w14:textId="71F25BA6" w:rsidR="001926C9" w:rsidRPr="001926C9" w:rsidRDefault="001926C9" w:rsidP="001926C9">
      <w:pPr>
        <w:pStyle w:val="ListParagraph"/>
        <w:numPr>
          <w:ilvl w:val="0"/>
          <w:numId w:val="42"/>
        </w:numPr>
        <w:spacing w:before="120"/>
        <w:rPr>
          <w:rFonts w:cstheme="minorHAnsi"/>
        </w:rPr>
      </w:pPr>
      <w:r w:rsidRPr="001926C9">
        <w:rPr>
          <w:rFonts w:cstheme="minorHAnsi"/>
        </w:rPr>
        <w:lastRenderedPageBreak/>
        <w:t>in the short to medium term; or</w:t>
      </w:r>
    </w:p>
    <w:p w14:paraId="0F97871F" w14:textId="29E52AC0" w:rsidR="001926C9" w:rsidRPr="001926C9" w:rsidRDefault="001926C9" w:rsidP="001926C9">
      <w:pPr>
        <w:pStyle w:val="ListParagraph"/>
        <w:numPr>
          <w:ilvl w:val="0"/>
          <w:numId w:val="42"/>
        </w:numPr>
        <w:spacing w:before="120"/>
        <w:rPr>
          <w:rFonts w:cstheme="minorHAnsi"/>
        </w:rPr>
      </w:pPr>
      <w:r w:rsidRPr="001926C9">
        <w:rPr>
          <w:rFonts w:cstheme="minorHAnsi"/>
        </w:rPr>
        <w:t>because the condition is well-controlled and actively managed/maintained.</w:t>
      </w:r>
    </w:p>
    <w:p w14:paraId="2F0041B9" w14:textId="1DA61E7F" w:rsidR="001926C9" w:rsidRPr="001926C9" w:rsidRDefault="001926C9" w:rsidP="001926C9">
      <w:pPr>
        <w:rPr>
          <w:rFonts w:asciiTheme="minorHAnsi" w:hAnsiTheme="minorHAnsi" w:cstheme="minorHAnsi"/>
        </w:rPr>
      </w:pPr>
      <w:r w:rsidRPr="001926C9">
        <w:rPr>
          <w:rFonts w:asciiTheme="minorHAnsi" w:hAnsiTheme="minorHAnsi" w:cstheme="minorHAnsi"/>
        </w:rPr>
        <w:t xml:space="preserve">When assessing </w:t>
      </w:r>
      <w:r w:rsidR="00ED593C" w:rsidRPr="001926C9">
        <w:rPr>
          <w:rFonts w:asciiTheme="minorHAnsi" w:hAnsiTheme="minorHAnsi" w:cstheme="minorHAnsi"/>
        </w:rPr>
        <w:t>whether</w:t>
      </w:r>
      <w:r w:rsidRPr="001926C9">
        <w:rPr>
          <w:rFonts w:asciiTheme="minorHAnsi" w:hAnsiTheme="minorHAnsi" w:cstheme="minorHAnsi"/>
        </w:rPr>
        <w:t xml:space="preserve"> a patient is in scope, the relevant health practitioner is not required to undertake an additional assessment or examination of the person for the sole purpose of forming an opinion under the legislation. </w:t>
      </w:r>
    </w:p>
    <w:p w14:paraId="37E631FF" w14:textId="5997F110" w:rsidR="001926C9" w:rsidRPr="001926C9" w:rsidRDefault="00E174FB" w:rsidP="00D43B30">
      <w:pPr>
        <w:pStyle w:val="Heading5"/>
      </w:pPr>
      <w:r>
        <w:t>Q1</w:t>
      </w:r>
      <w:r w:rsidR="00204771">
        <w:t>7</w:t>
      </w:r>
      <w:r>
        <w:t>.</w:t>
      </w:r>
      <w:r>
        <w:tab/>
      </w:r>
      <w:r w:rsidR="001926C9" w:rsidRPr="001926C9">
        <w:t>If Access Canberra believes a health practitioner has failed to report, what process is followed?</w:t>
      </w:r>
    </w:p>
    <w:p w14:paraId="1518CAAC" w14:textId="3BBC81EE"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If Access Canberra believes a health professional has failed to report, they can contact the practitioner to clarify the situation. In practice, Access Canberra will usually first educate the practitioner on the requirement to report. If the practitioner continues to fail to comply, Access Canberra may then escalate the matter by notifying A</w:t>
      </w:r>
      <w:r w:rsidR="00204771">
        <w:rPr>
          <w:rFonts w:asciiTheme="minorHAnsi" w:hAnsiTheme="minorHAnsi" w:cstheme="minorHAnsi"/>
        </w:rPr>
        <w:t>HPRA</w:t>
      </w:r>
      <w:r w:rsidRPr="001926C9">
        <w:rPr>
          <w:rFonts w:asciiTheme="minorHAnsi" w:hAnsiTheme="minorHAnsi" w:cstheme="minorHAnsi"/>
        </w:rPr>
        <w:t>. However, escalation would generally occur only after education and engagement efforts.</w:t>
      </w:r>
    </w:p>
    <w:p w14:paraId="7323E373" w14:textId="0984BA59" w:rsidR="001926C9" w:rsidRPr="001926C9" w:rsidRDefault="00E174FB" w:rsidP="00D43B30">
      <w:pPr>
        <w:pStyle w:val="Heading5"/>
      </w:pPr>
      <w:r>
        <w:t>Q1</w:t>
      </w:r>
      <w:r w:rsidR="00204771">
        <w:t>8</w:t>
      </w:r>
      <w:r>
        <w:t>.</w:t>
      </w:r>
      <w:r>
        <w:tab/>
      </w:r>
      <w:r w:rsidR="001926C9" w:rsidRPr="001926C9">
        <w:t>Which patients are in scope for mandatory reporting?</w:t>
      </w:r>
    </w:p>
    <w:p w14:paraId="42D9B11B" w14:textId="38EDA6FA" w:rsidR="001926C9" w:rsidRPr="001926C9" w:rsidRDefault="001926C9" w:rsidP="001926C9">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Any patient who the practitioner reasonably believes holds or is applying to hold a</w:t>
      </w:r>
      <w:r w:rsidR="00204771">
        <w:rPr>
          <w:rFonts w:asciiTheme="minorHAnsi" w:hAnsiTheme="minorHAnsi" w:cstheme="minorHAnsi"/>
        </w:rPr>
        <w:t xml:space="preserve"> </w:t>
      </w:r>
      <w:r w:rsidRPr="001926C9">
        <w:rPr>
          <w:rFonts w:asciiTheme="minorHAnsi" w:hAnsiTheme="minorHAnsi" w:cstheme="minorHAnsi"/>
        </w:rPr>
        <w:t xml:space="preserve">heavy vehicle licence. </w:t>
      </w:r>
    </w:p>
    <w:p w14:paraId="346C3C3D" w14:textId="77777777" w:rsidR="001926C9" w:rsidRPr="001926C9" w:rsidRDefault="001926C9" w:rsidP="7463DB3A">
      <w:pPr>
        <w:rPr>
          <w:rFonts w:asciiTheme="minorHAnsi" w:hAnsiTheme="minorHAnsi" w:cstheme="minorBidi"/>
        </w:rPr>
      </w:pPr>
      <w:r w:rsidRPr="7463DB3A">
        <w:rPr>
          <w:rFonts w:asciiTheme="minorHAnsi" w:hAnsiTheme="minorHAnsi" w:cstheme="minorBidi"/>
        </w:rPr>
        <w:t>The mandatory reporting requirements apply to all patients seen by ACT-based health practitioners, not just ACT residents. If a patient from New South Wales (NSW) or another state receives treatment in the ACT, their details may still be shared with Access Canberra, and the reporting requirement would apply. Access Canberra can also share report findings with other jurisdictions, such as NSW, to ensure consistency and safety across states.</w:t>
      </w:r>
    </w:p>
    <w:p w14:paraId="115E42AC" w14:textId="2DF8CF94" w:rsidR="00FA7D12" w:rsidRPr="001926C9" w:rsidRDefault="00FA7D12" w:rsidP="00D43B30">
      <w:pPr>
        <w:pStyle w:val="Heading5"/>
      </w:pPr>
      <w:r>
        <w:t>Q1</w:t>
      </w:r>
      <w:r w:rsidR="00420358">
        <w:t>9</w:t>
      </w:r>
      <w:r>
        <w:t>.</w:t>
      </w:r>
      <w:r>
        <w:tab/>
        <w:t>How do I know if the patient has already been subject to a</w:t>
      </w:r>
      <w:r w:rsidR="00127167">
        <w:t xml:space="preserve"> report for a condition</w:t>
      </w:r>
      <w:r w:rsidRPr="001926C9">
        <w:t>?</w:t>
      </w:r>
    </w:p>
    <w:p w14:paraId="68307156" w14:textId="52F417B9" w:rsidR="00FA7D12" w:rsidRDefault="00FA7D12" w:rsidP="00FA7D12">
      <w:pPr>
        <w:rPr>
          <w:rFonts w:asciiTheme="minorHAnsi" w:hAnsiTheme="minorHAnsi" w:cstheme="minorHAnsi"/>
        </w:rPr>
      </w:pPr>
      <w:r w:rsidRPr="001926C9">
        <w:rPr>
          <w:rFonts w:asciiTheme="minorHAnsi" w:hAnsiTheme="minorHAnsi" w:cstheme="minorHAnsi"/>
          <w:b/>
          <w:bCs/>
        </w:rPr>
        <w:t>Answer:</w:t>
      </w:r>
      <w:r w:rsidRPr="001926C9">
        <w:rPr>
          <w:rFonts w:asciiTheme="minorHAnsi" w:hAnsiTheme="minorHAnsi" w:cstheme="minorHAnsi"/>
        </w:rPr>
        <w:t xml:space="preserve"> </w:t>
      </w:r>
      <w:r w:rsidR="00127167">
        <w:rPr>
          <w:rFonts w:asciiTheme="minorHAnsi" w:hAnsiTheme="minorHAnsi" w:cstheme="minorHAnsi"/>
        </w:rPr>
        <w:t xml:space="preserve">The reporter should </w:t>
      </w:r>
      <w:r w:rsidR="00F73FAA">
        <w:rPr>
          <w:rFonts w:asciiTheme="minorHAnsi" w:hAnsiTheme="minorHAnsi" w:cstheme="minorHAnsi"/>
        </w:rPr>
        <w:t>record the mandatory report in the patient progress notes and create a flag (General option)</w:t>
      </w:r>
      <w:r w:rsidR="00127167">
        <w:rPr>
          <w:rFonts w:asciiTheme="minorHAnsi" w:hAnsiTheme="minorHAnsi" w:cstheme="minorHAnsi"/>
        </w:rPr>
        <w:t xml:space="preserve"> of a mandatory report in the patients’ electronic health record (DHR)</w:t>
      </w:r>
      <w:r w:rsidR="003F0916">
        <w:rPr>
          <w:rFonts w:asciiTheme="minorHAnsi" w:hAnsiTheme="minorHAnsi" w:cstheme="minorHAnsi"/>
        </w:rPr>
        <w:t>, p</w:t>
      </w:r>
      <w:r w:rsidR="00127167">
        <w:rPr>
          <w:rFonts w:asciiTheme="minorHAnsi" w:hAnsiTheme="minorHAnsi" w:cstheme="minorHAnsi"/>
        </w:rPr>
        <w:t>rovid</w:t>
      </w:r>
      <w:r w:rsidR="003F0916">
        <w:rPr>
          <w:rFonts w:asciiTheme="minorHAnsi" w:hAnsiTheme="minorHAnsi" w:cstheme="minorHAnsi"/>
        </w:rPr>
        <w:t>ing</w:t>
      </w:r>
      <w:r w:rsidR="00127167">
        <w:rPr>
          <w:rFonts w:asciiTheme="minorHAnsi" w:hAnsiTheme="minorHAnsi" w:cstheme="minorHAnsi"/>
        </w:rPr>
        <w:t xml:space="preserve"> a full account of actions taken</w:t>
      </w:r>
      <w:r w:rsidR="005150B9">
        <w:rPr>
          <w:rFonts w:asciiTheme="minorHAnsi" w:hAnsiTheme="minorHAnsi" w:cstheme="minorHAnsi"/>
        </w:rPr>
        <w:t>, including the date the patient was notified of the report</w:t>
      </w:r>
      <w:r w:rsidR="00127167">
        <w:rPr>
          <w:rFonts w:asciiTheme="minorHAnsi" w:hAnsiTheme="minorHAnsi" w:cstheme="minorHAnsi"/>
        </w:rPr>
        <w:t>.</w:t>
      </w:r>
      <w:r w:rsidRPr="001926C9">
        <w:rPr>
          <w:rFonts w:asciiTheme="minorHAnsi" w:hAnsiTheme="minorHAnsi" w:cstheme="minorHAnsi"/>
        </w:rPr>
        <w:t xml:space="preserve"> </w:t>
      </w:r>
      <w:r w:rsidR="003F0916">
        <w:rPr>
          <w:rFonts w:asciiTheme="minorHAnsi" w:hAnsiTheme="minorHAnsi" w:cstheme="minorHAnsi"/>
        </w:rPr>
        <w:t>Under the legislation, this would not remove the requirement for subsequent health practitioners to be required to provide a mandatory report.</w:t>
      </w:r>
    </w:p>
    <w:p w14:paraId="73898AD0" w14:textId="3C0354E7" w:rsidR="007B1A7B" w:rsidRDefault="002D7682" w:rsidP="002D7682">
      <w:pPr>
        <w:pStyle w:val="Bullet"/>
        <w:numPr>
          <w:ilvl w:val="0"/>
          <w:numId w:val="0"/>
        </w:numPr>
        <w:spacing w:after="240"/>
        <w:rPr>
          <w:rStyle w:val="Hyperlink"/>
        </w:rPr>
      </w:pPr>
      <w:hyperlink w:anchor="_top" w:history="1">
        <w:r w:rsidRPr="00481A6C">
          <w:rPr>
            <w:rStyle w:val="Hyperlink"/>
          </w:rPr>
          <w:t>Back to Contents</w:t>
        </w:r>
      </w:hyperlink>
      <w:bookmarkEnd w:id="0"/>
    </w:p>
    <w:sectPr w:rsidR="007B1A7B" w:rsidSect="0007270D">
      <w:footerReference w:type="default" r:id="rId25"/>
      <w:headerReference w:type="first" r:id="rId26"/>
      <w:footerReference w:type="first" r:id="rId27"/>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9060" w14:textId="77777777" w:rsidR="001D4562" w:rsidRDefault="001D4562" w:rsidP="00225769">
      <w:pPr>
        <w:spacing w:after="0" w:line="240" w:lineRule="auto"/>
      </w:pPr>
      <w:r>
        <w:separator/>
      </w:r>
    </w:p>
    <w:p w14:paraId="3BB266F3" w14:textId="77777777" w:rsidR="001D4562" w:rsidRDefault="001D4562"/>
    <w:p w14:paraId="46245B55" w14:textId="77777777" w:rsidR="001D4562" w:rsidRDefault="001D4562"/>
    <w:p w14:paraId="7BD0AAA9" w14:textId="77777777" w:rsidR="001D4562" w:rsidRDefault="001D4562"/>
    <w:p w14:paraId="0F300CFC" w14:textId="77777777" w:rsidR="001D4562" w:rsidRDefault="001D4562"/>
    <w:p w14:paraId="416ECF20" w14:textId="77777777" w:rsidR="001D4562" w:rsidRDefault="001D4562"/>
    <w:p w14:paraId="530CE593" w14:textId="77777777" w:rsidR="001D4562" w:rsidRDefault="001D4562"/>
  </w:endnote>
  <w:endnote w:type="continuationSeparator" w:id="0">
    <w:p w14:paraId="3CA5C02D" w14:textId="77777777" w:rsidR="001D4562" w:rsidRDefault="001D4562" w:rsidP="00225769">
      <w:pPr>
        <w:spacing w:after="0" w:line="240" w:lineRule="auto"/>
      </w:pPr>
      <w:r>
        <w:continuationSeparator/>
      </w:r>
    </w:p>
    <w:p w14:paraId="3DCA4169" w14:textId="77777777" w:rsidR="001D4562" w:rsidRDefault="001D4562"/>
    <w:p w14:paraId="133C226D" w14:textId="77777777" w:rsidR="001D4562" w:rsidRDefault="001D4562"/>
    <w:p w14:paraId="05017BCE" w14:textId="77777777" w:rsidR="001D4562" w:rsidRDefault="001D4562"/>
    <w:p w14:paraId="24F736E6" w14:textId="77777777" w:rsidR="001D4562" w:rsidRDefault="001D4562"/>
    <w:p w14:paraId="3B01DDB6" w14:textId="77777777" w:rsidR="001D4562" w:rsidRDefault="001D4562"/>
    <w:p w14:paraId="51A365E2" w14:textId="77777777" w:rsidR="001D4562" w:rsidRDefault="001D4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65BEDEF7" w14:textId="77777777" w:rsidTr="003B0E72">
      <w:trPr>
        <w:jc w:val="center"/>
      </w:trPr>
      <w:tc>
        <w:tcPr>
          <w:tcW w:w="1515" w:type="dxa"/>
        </w:tcPr>
        <w:p w14:paraId="596641E7"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42FB0FA9"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3494B0F2"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4754F2A1"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20ECE59A"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3B3119FD"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0D9045C7" w14:textId="77777777" w:rsidTr="003B0E72">
      <w:trPr>
        <w:jc w:val="center"/>
      </w:trPr>
      <w:tc>
        <w:tcPr>
          <w:tcW w:w="1515" w:type="dxa"/>
        </w:tcPr>
        <w:p w14:paraId="667CA4B0" w14:textId="412E0BF7" w:rsidR="00481A6C" w:rsidRPr="00954F7B" w:rsidRDefault="00120CF6" w:rsidP="00481A6C">
          <w:pPr>
            <w:pStyle w:val="Footer"/>
            <w:jc w:val="center"/>
            <w:rPr>
              <w:bCs/>
              <w:iCs/>
              <w:sz w:val="20"/>
              <w:szCs w:val="20"/>
            </w:rPr>
          </w:pPr>
          <w:r>
            <w:rPr>
              <w:bCs/>
              <w:iCs/>
              <w:sz w:val="20"/>
              <w:szCs w:val="20"/>
            </w:rPr>
            <w:t>CHS26</w:t>
          </w:r>
          <w:r w:rsidR="00481A6C" w:rsidRPr="00954F7B">
            <w:rPr>
              <w:bCs/>
              <w:iCs/>
              <w:sz w:val="20"/>
              <w:szCs w:val="20"/>
            </w:rPr>
            <w:t>/</w:t>
          </w:r>
          <w:r>
            <w:rPr>
              <w:bCs/>
              <w:iCs/>
              <w:sz w:val="20"/>
              <w:szCs w:val="20"/>
            </w:rPr>
            <w:t>078</w:t>
          </w:r>
        </w:p>
      </w:tc>
      <w:tc>
        <w:tcPr>
          <w:tcW w:w="965" w:type="dxa"/>
        </w:tcPr>
        <w:p w14:paraId="56C6D08C" w14:textId="448FD07C" w:rsidR="00481A6C" w:rsidRPr="00954F7B" w:rsidRDefault="00120CF6" w:rsidP="00481A6C">
          <w:pPr>
            <w:pStyle w:val="Footer"/>
            <w:jc w:val="center"/>
            <w:rPr>
              <w:bCs/>
              <w:iCs/>
              <w:sz w:val="20"/>
              <w:szCs w:val="20"/>
            </w:rPr>
          </w:pPr>
          <w:r>
            <w:rPr>
              <w:bCs/>
              <w:iCs/>
              <w:sz w:val="20"/>
              <w:szCs w:val="20"/>
            </w:rPr>
            <w:t>1</w:t>
          </w:r>
        </w:p>
      </w:tc>
      <w:tc>
        <w:tcPr>
          <w:tcW w:w="1552" w:type="dxa"/>
        </w:tcPr>
        <w:p w14:paraId="243B782F" w14:textId="4F2FB189" w:rsidR="00481A6C" w:rsidRPr="00954F7B" w:rsidRDefault="00120CF6" w:rsidP="00481A6C">
          <w:pPr>
            <w:pStyle w:val="Footer"/>
            <w:jc w:val="center"/>
            <w:rPr>
              <w:bCs/>
              <w:iCs/>
              <w:sz w:val="20"/>
              <w:szCs w:val="20"/>
            </w:rPr>
          </w:pPr>
          <w:r>
            <w:rPr>
              <w:bCs/>
              <w:iCs/>
              <w:sz w:val="20"/>
              <w:szCs w:val="20"/>
            </w:rPr>
            <w:t>26</w:t>
          </w:r>
          <w:r w:rsidR="00481A6C" w:rsidRPr="00954F7B">
            <w:rPr>
              <w:bCs/>
              <w:iCs/>
              <w:sz w:val="20"/>
              <w:szCs w:val="20"/>
            </w:rPr>
            <w:t>/</w:t>
          </w:r>
          <w:r>
            <w:rPr>
              <w:bCs/>
              <w:iCs/>
              <w:sz w:val="20"/>
              <w:szCs w:val="20"/>
            </w:rPr>
            <w:t>03</w:t>
          </w:r>
          <w:r w:rsidR="00481A6C" w:rsidRPr="00954F7B">
            <w:rPr>
              <w:bCs/>
              <w:iCs/>
              <w:sz w:val="20"/>
              <w:szCs w:val="20"/>
            </w:rPr>
            <w:t>/</w:t>
          </w:r>
          <w:r>
            <w:rPr>
              <w:bCs/>
              <w:iCs/>
              <w:sz w:val="20"/>
              <w:szCs w:val="20"/>
            </w:rPr>
            <w:t>2026</w:t>
          </w:r>
        </w:p>
      </w:tc>
      <w:tc>
        <w:tcPr>
          <w:tcW w:w="1456" w:type="dxa"/>
        </w:tcPr>
        <w:p w14:paraId="187E5714" w14:textId="74FC43F5" w:rsidR="00481A6C" w:rsidRPr="00954F7B" w:rsidRDefault="00120CF6"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03</w:t>
          </w:r>
          <w:r w:rsidR="00481A6C" w:rsidRPr="00954F7B">
            <w:rPr>
              <w:bCs/>
              <w:iCs/>
              <w:sz w:val="20"/>
              <w:szCs w:val="20"/>
            </w:rPr>
            <w:t>/</w:t>
          </w:r>
          <w:r>
            <w:rPr>
              <w:bCs/>
              <w:iCs/>
              <w:sz w:val="20"/>
              <w:szCs w:val="20"/>
            </w:rPr>
            <w:t>2031</w:t>
          </w:r>
        </w:p>
      </w:tc>
      <w:tc>
        <w:tcPr>
          <w:tcW w:w="1746" w:type="dxa"/>
        </w:tcPr>
        <w:p w14:paraId="41DF4FFD" w14:textId="4DC24AE6" w:rsidR="00481A6C" w:rsidRPr="00954F7B" w:rsidRDefault="004F3DA2" w:rsidP="00481A6C">
          <w:pPr>
            <w:pStyle w:val="Footer"/>
            <w:jc w:val="center"/>
            <w:rPr>
              <w:bCs/>
              <w:iCs/>
              <w:sz w:val="20"/>
              <w:szCs w:val="20"/>
            </w:rPr>
          </w:pPr>
          <w:r>
            <w:rPr>
              <w:bCs/>
              <w:iCs/>
              <w:sz w:val="20"/>
              <w:szCs w:val="20"/>
            </w:rPr>
            <w:t>COO</w:t>
          </w:r>
        </w:p>
      </w:tc>
      <w:tc>
        <w:tcPr>
          <w:tcW w:w="1836" w:type="dxa"/>
        </w:tcPr>
        <w:p w14:paraId="2F0C7FD1"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72D19664"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5E1AF653" w14:textId="77777777" w:rsidTr="008E1ED9">
      <w:trPr>
        <w:jc w:val="center"/>
      </w:trPr>
      <w:tc>
        <w:tcPr>
          <w:tcW w:w="1515" w:type="dxa"/>
        </w:tcPr>
        <w:p w14:paraId="315EBD73"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1A96A0F3"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1FA93849"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39E1103A"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0A385465"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2E0A5992"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69AD9315" w14:textId="77777777" w:rsidTr="008E1ED9">
      <w:trPr>
        <w:jc w:val="center"/>
      </w:trPr>
      <w:tc>
        <w:tcPr>
          <w:tcW w:w="1515" w:type="dxa"/>
        </w:tcPr>
        <w:p w14:paraId="4B68C883" w14:textId="3A264BE1" w:rsidR="008A3DD8" w:rsidRPr="00954F7B" w:rsidRDefault="00120CF6" w:rsidP="008A3DD8">
          <w:pPr>
            <w:pStyle w:val="Footer"/>
            <w:jc w:val="center"/>
            <w:rPr>
              <w:bCs/>
              <w:iCs/>
              <w:sz w:val="20"/>
              <w:szCs w:val="20"/>
            </w:rPr>
          </w:pPr>
          <w:r>
            <w:rPr>
              <w:bCs/>
              <w:iCs/>
              <w:sz w:val="20"/>
              <w:szCs w:val="20"/>
            </w:rPr>
            <w:t>CHS26/078</w:t>
          </w:r>
        </w:p>
      </w:tc>
      <w:tc>
        <w:tcPr>
          <w:tcW w:w="965" w:type="dxa"/>
        </w:tcPr>
        <w:p w14:paraId="0DE114D2" w14:textId="46AA7372" w:rsidR="008A3DD8" w:rsidRPr="00954F7B" w:rsidRDefault="00120CF6" w:rsidP="008A3DD8">
          <w:pPr>
            <w:pStyle w:val="Footer"/>
            <w:jc w:val="center"/>
            <w:rPr>
              <w:bCs/>
              <w:iCs/>
              <w:sz w:val="20"/>
              <w:szCs w:val="20"/>
            </w:rPr>
          </w:pPr>
          <w:r>
            <w:rPr>
              <w:bCs/>
              <w:iCs/>
              <w:sz w:val="20"/>
              <w:szCs w:val="20"/>
            </w:rPr>
            <w:t>1</w:t>
          </w:r>
        </w:p>
      </w:tc>
      <w:tc>
        <w:tcPr>
          <w:tcW w:w="1552" w:type="dxa"/>
        </w:tcPr>
        <w:p w14:paraId="0EE87DDB" w14:textId="605C56BC" w:rsidR="008A3DD8" w:rsidRPr="00954F7B" w:rsidRDefault="00120CF6" w:rsidP="008A3DD8">
          <w:pPr>
            <w:pStyle w:val="Footer"/>
            <w:jc w:val="center"/>
            <w:rPr>
              <w:bCs/>
              <w:iCs/>
              <w:sz w:val="20"/>
              <w:szCs w:val="20"/>
            </w:rPr>
          </w:pPr>
          <w:r>
            <w:rPr>
              <w:bCs/>
              <w:iCs/>
              <w:sz w:val="20"/>
              <w:szCs w:val="20"/>
            </w:rPr>
            <w:t xml:space="preserve"> 26</w:t>
          </w:r>
          <w:r w:rsidR="008A3DD8" w:rsidRPr="00954F7B">
            <w:rPr>
              <w:bCs/>
              <w:iCs/>
              <w:sz w:val="20"/>
              <w:szCs w:val="20"/>
            </w:rPr>
            <w:t>/</w:t>
          </w:r>
          <w:r>
            <w:rPr>
              <w:bCs/>
              <w:iCs/>
              <w:sz w:val="20"/>
              <w:szCs w:val="20"/>
            </w:rPr>
            <w:t>03</w:t>
          </w:r>
          <w:r w:rsidR="008A3DD8" w:rsidRPr="00954F7B">
            <w:rPr>
              <w:bCs/>
              <w:iCs/>
              <w:sz w:val="20"/>
              <w:szCs w:val="20"/>
            </w:rPr>
            <w:t>/</w:t>
          </w:r>
          <w:r>
            <w:rPr>
              <w:bCs/>
              <w:iCs/>
              <w:sz w:val="20"/>
              <w:szCs w:val="20"/>
            </w:rPr>
            <w:t>2026</w:t>
          </w:r>
        </w:p>
      </w:tc>
      <w:tc>
        <w:tcPr>
          <w:tcW w:w="1456" w:type="dxa"/>
        </w:tcPr>
        <w:p w14:paraId="0830EB91" w14:textId="786F6CE0" w:rsidR="008A3DD8" w:rsidRPr="00954F7B" w:rsidRDefault="00120CF6" w:rsidP="008A3DD8">
          <w:pPr>
            <w:pStyle w:val="Footer"/>
            <w:jc w:val="center"/>
            <w:rPr>
              <w:bCs/>
              <w:iCs/>
              <w:sz w:val="20"/>
              <w:szCs w:val="20"/>
            </w:rPr>
          </w:pPr>
          <w:r>
            <w:rPr>
              <w:bCs/>
              <w:iCs/>
              <w:sz w:val="20"/>
              <w:szCs w:val="20"/>
            </w:rPr>
            <w:t xml:space="preserve"> 01</w:t>
          </w:r>
          <w:r w:rsidR="008A3DD8" w:rsidRPr="00954F7B">
            <w:rPr>
              <w:bCs/>
              <w:iCs/>
              <w:sz w:val="20"/>
              <w:szCs w:val="20"/>
            </w:rPr>
            <w:t>/</w:t>
          </w:r>
          <w:r>
            <w:rPr>
              <w:bCs/>
              <w:iCs/>
              <w:sz w:val="20"/>
              <w:szCs w:val="20"/>
            </w:rPr>
            <w:t>03</w:t>
          </w:r>
          <w:r w:rsidR="008A3DD8" w:rsidRPr="00954F7B">
            <w:rPr>
              <w:bCs/>
              <w:iCs/>
              <w:sz w:val="20"/>
              <w:szCs w:val="20"/>
            </w:rPr>
            <w:t>/</w:t>
          </w:r>
          <w:r>
            <w:rPr>
              <w:bCs/>
              <w:iCs/>
              <w:sz w:val="20"/>
              <w:szCs w:val="20"/>
            </w:rPr>
            <w:t>2031</w:t>
          </w:r>
        </w:p>
      </w:tc>
      <w:tc>
        <w:tcPr>
          <w:tcW w:w="1746" w:type="dxa"/>
        </w:tcPr>
        <w:p w14:paraId="57C9C535" w14:textId="33FC0846" w:rsidR="008A3DD8" w:rsidRPr="00954F7B" w:rsidRDefault="004F3DA2" w:rsidP="008A3DD8">
          <w:pPr>
            <w:pStyle w:val="Footer"/>
            <w:jc w:val="center"/>
            <w:rPr>
              <w:bCs/>
              <w:iCs/>
              <w:sz w:val="20"/>
              <w:szCs w:val="20"/>
            </w:rPr>
          </w:pPr>
          <w:r>
            <w:rPr>
              <w:bCs/>
              <w:iCs/>
              <w:sz w:val="20"/>
              <w:szCs w:val="20"/>
            </w:rPr>
            <w:t>COO</w:t>
          </w:r>
        </w:p>
      </w:tc>
      <w:tc>
        <w:tcPr>
          <w:tcW w:w="1836" w:type="dxa"/>
        </w:tcPr>
        <w:p w14:paraId="729F708C"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42F07FF2"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ED39" w14:textId="77777777" w:rsidR="001D4562" w:rsidRDefault="001D4562" w:rsidP="009D493B">
      <w:pPr>
        <w:spacing w:after="0" w:line="240" w:lineRule="auto"/>
      </w:pPr>
      <w:r>
        <w:separator/>
      </w:r>
    </w:p>
  </w:footnote>
  <w:footnote w:type="continuationSeparator" w:id="0">
    <w:p w14:paraId="4FF13090" w14:textId="77777777" w:rsidR="001D4562" w:rsidRDefault="001D4562" w:rsidP="00A9080B">
      <w:pPr>
        <w:spacing w:after="0" w:line="240" w:lineRule="auto"/>
      </w:pPr>
      <w:r>
        <w:continuationSeparator/>
      </w:r>
    </w:p>
    <w:p w14:paraId="72E0F228" w14:textId="77777777" w:rsidR="001D4562" w:rsidRDefault="001D4562"/>
    <w:p w14:paraId="3AB6CD4F" w14:textId="77777777" w:rsidR="001D4562" w:rsidRDefault="001D4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4D2B" w14:textId="77777777" w:rsidR="008A3DD8" w:rsidRDefault="008A3DD8">
    <w:pPr>
      <w:pStyle w:val="Header"/>
    </w:pPr>
    <w:r w:rsidRPr="00324CF9">
      <w:rPr>
        <w:noProof/>
      </w:rPr>
      <w:drawing>
        <wp:inline distT="0" distB="0" distL="0" distR="0" wp14:anchorId="6B2F80E2" wp14:editId="18704821">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0A8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9A94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6" w15:restartNumberingAfterBreak="0">
    <w:nsid w:val="1A417730"/>
    <w:multiLevelType w:val="hybridMultilevel"/>
    <w:tmpl w:val="9D8C7DEE"/>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7"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8" w15:restartNumberingAfterBreak="0">
    <w:nsid w:val="22AA0717"/>
    <w:multiLevelType w:val="hybridMultilevel"/>
    <w:tmpl w:val="5D760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935AB"/>
    <w:multiLevelType w:val="multilevel"/>
    <w:tmpl w:val="1A9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20762"/>
    <w:multiLevelType w:val="hybridMultilevel"/>
    <w:tmpl w:val="E0B4E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54251C"/>
    <w:multiLevelType w:val="hybridMultilevel"/>
    <w:tmpl w:val="37064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47115A"/>
    <w:multiLevelType w:val="hybridMultilevel"/>
    <w:tmpl w:val="DCC4F038"/>
    <w:lvl w:ilvl="0" w:tplc="4F7014D8">
      <w:start w:val="1"/>
      <w:numFmt w:val="bullet"/>
      <w:lvlText w:val=""/>
      <w:lvlJc w:val="left"/>
      <w:pPr>
        <w:ind w:left="1080" w:hanging="360"/>
      </w:pPr>
      <w:rPr>
        <w:rFonts w:ascii="Symbol" w:hAnsi="Symbol"/>
      </w:rPr>
    </w:lvl>
    <w:lvl w:ilvl="1" w:tplc="ED044914">
      <w:start w:val="1"/>
      <w:numFmt w:val="bullet"/>
      <w:lvlText w:val=""/>
      <w:lvlJc w:val="left"/>
      <w:pPr>
        <w:ind w:left="1080" w:hanging="360"/>
      </w:pPr>
      <w:rPr>
        <w:rFonts w:ascii="Symbol" w:hAnsi="Symbol"/>
      </w:rPr>
    </w:lvl>
    <w:lvl w:ilvl="2" w:tplc="11927C16">
      <w:start w:val="1"/>
      <w:numFmt w:val="bullet"/>
      <w:lvlText w:val=""/>
      <w:lvlJc w:val="left"/>
      <w:pPr>
        <w:ind w:left="1080" w:hanging="360"/>
      </w:pPr>
      <w:rPr>
        <w:rFonts w:ascii="Symbol" w:hAnsi="Symbol"/>
      </w:rPr>
    </w:lvl>
    <w:lvl w:ilvl="3" w:tplc="DE38CD0C">
      <w:start w:val="1"/>
      <w:numFmt w:val="bullet"/>
      <w:lvlText w:val=""/>
      <w:lvlJc w:val="left"/>
      <w:pPr>
        <w:ind w:left="1080" w:hanging="360"/>
      </w:pPr>
      <w:rPr>
        <w:rFonts w:ascii="Symbol" w:hAnsi="Symbol"/>
      </w:rPr>
    </w:lvl>
    <w:lvl w:ilvl="4" w:tplc="F96A0D84">
      <w:start w:val="1"/>
      <w:numFmt w:val="bullet"/>
      <w:lvlText w:val=""/>
      <w:lvlJc w:val="left"/>
      <w:pPr>
        <w:ind w:left="1080" w:hanging="360"/>
      </w:pPr>
      <w:rPr>
        <w:rFonts w:ascii="Symbol" w:hAnsi="Symbol"/>
      </w:rPr>
    </w:lvl>
    <w:lvl w:ilvl="5" w:tplc="EFBEF2BA">
      <w:start w:val="1"/>
      <w:numFmt w:val="bullet"/>
      <w:lvlText w:val=""/>
      <w:lvlJc w:val="left"/>
      <w:pPr>
        <w:ind w:left="1080" w:hanging="360"/>
      </w:pPr>
      <w:rPr>
        <w:rFonts w:ascii="Symbol" w:hAnsi="Symbol"/>
      </w:rPr>
    </w:lvl>
    <w:lvl w:ilvl="6" w:tplc="6028782A">
      <w:start w:val="1"/>
      <w:numFmt w:val="bullet"/>
      <w:lvlText w:val=""/>
      <w:lvlJc w:val="left"/>
      <w:pPr>
        <w:ind w:left="1080" w:hanging="360"/>
      </w:pPr>
      <w:rPr>
        <w:rFonts w:ascii="Symbol" w:hAnsi="Symbol"/>
      </w:rPr>
    </w:lvl>
    <w:lvl w:ilvl="7" w:tplc="592EBC48">
      <w:start w:val="1"/>
      <w:numFmt w:val="bullet"/>
      <w:lvlText w:val=""/>
      <w:lvlJc w:val="left"/>
      <w:pPr>
        <w:ind w:left="1080" w:hanging="360"/>
      </w:pPr>
      <w:rPr>
        <w:rFonts w:ascii="Symbol" w:hAnsi="Symbol"/>
      </w:rPr>
    </w:lvl>
    <w:lvl w:ilvl="8" w:tplc="8E606EE8">
      <w:start w:val="1"/>
      <w:numFmt w:val="bullet"/>
      <w:lvlText w:val=""/>
      <w:lvlJc w:val="left"/>
      <w:pPr>
        <w:ind w:left="1080" w:hanging="360"/>
      </w:pPr>
      <w:rPr>
        <w:rFonts w:ascii="Symbol" w:hAnsi="Symbol"/>
      </w:rPr>
    </w:lvl>
  </w:abstractNum>
  <w:abstractNum w:abstractNumId="14"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FA252D"/>
    <w:multiLevelType w:val="hybridMultilevel"/>
    <w:tmpl w:val="414C529C"/>
    <w:lvl w:ilvl="0" w:tplc="A142E466">
      <w:start w:val="2"/>
      <w:numFmt w:val="decimal"/>
      <w:lvlText w:val="Q%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1" w15:restartNumberingAfterBreak="0">
    <w:nsid w:val="4A53181A"/>
    <w:multiLevelType w:val="hybridMultilevel"/>
    <w:tmpl w:val="15E8B6B6"/>
    <w:lvl w:ilvl="0" w:tplc="078245BE">
      <w:start w:val="1"/>
      <w:numFmt w:val="decimal"/>
      <w:lvlText w:val="Q%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D20537"/>
    <w:multiLevelType w:val="hybridMultilevel"/>
    <w:tmpl w:val="66683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FB4539"/>
    <w:multiLevelType w:val="hybridMultilevel"/>
    <w:tmpl w:val="CC4AB73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4" w15:restartNumberingAfterBreak="0">
    <w:nsid w:val="5EE7185F"/>
    <w:multiLevelType w:val="hybridMultilevel"/>
    <w:tmpl w:val="4D6A5A22"/>
    <w:lvl w:ilvl="0" w:tplc="23AC02AE">
      <w:start w:val="1"/>
      <w:numFmt w:val="bullet"/>
      <w:lvlText w:val=""/>
      <w:lvlJc w:val="left"/>
      <w:pPr>
        <w:ind w:left="720" w:hanging="360"/>
      </w:pPr>
      <w:rPr>
        <w:rFonts w:ascii="Symbol" w:hAnsi="Symbol"/>
      </w:rPr>
    </w:lvl>
    <w:lvl w:ilvl="1" w:tplc="406E22E2">
      <w:start w:val="1"/>
      <w:numFmt w:val="bullet"/>
      <w:lvlText w:val=""/>
      <w:lvlJc w:val="left"/>
      <w:pPr>
        <w:ind w:left="720" w:hanging="360"/>
      </w:pPr>
      <w:rPr>
        <w:rFonts w:ascii="Symbol" w:hAnsi="Symbol"/>
      </w:rPr>
    </w:lvl>
    <w:lvl w:ilvl="2" w:tplc="98A454CA">
      <w:start w:val="1"/>
      <w:numFmt w:val="bullet"/>
      <w:lvlText w:val=""/>
      <w:lvlJc w:val="left"/>
      <w:pPr>
        <w:ind w:left="720" w:hanging="360"/>
      </w:pPr>
      <w:rPr>
        <w:rFonts w:ascii="Symbol" w:hAnsi="Symbol"/>
      </w:rPr>
    </w:lvl>
    <w:lvl w:ilvl="3" w:tplc="351E527A">
      <w:start w:val="1"/>
      <w:numFmt w:val="bullet"/>
      <w:lvlText w:val=""/>
      <w:lvlJc w:val="left"/>
      <w:pPr>
        <w:ind w:left="720" w:hanging="360"/>
      </w:pPr>
      <w:rPr>
        <w:rFonts w:ascii="Symbol" w:hAnsi="Symbol"/>
      </w:rPr>
    </w:lvl>
    <w:lvl w:ilvl="4" w:tplc="9146A312">
      <w:start w:val="1"/>
      <w:numFmt w:val="bullet"/>
      <w:lvlText w:val=""/>
      <w:lvlJc w:val="left"/>
      <w:pPr>
        <w:ind w:left="720" w:hanging="360"/>
      </w:pPr>
      <w:rPr>
        <w:rFonts w:ascii="Symbol" w:hAnsi="Symbol"/>
      </w:rPr>
    </w:lvl>
    <w:lvl w:ilvl="5" w:tplc="86062AC0">
      <w:start w:val="1"/>
      <w:numFmt w:val="bullet"/>
      <w:lvlText w:val=""/>
      <w:lvlJc w:val="left"/>
      <w:pPr>
        <w:ind w:left="720" w:hanging="360"/>
      </w:pPr>
      <w:rPr>
        <w:rFonts w:ascii="Symbol" w:hAnsi="Symbol"/>
      </w:rPr>
    </w:lvl>
    <w:lvl w:ilvl="6" w:tplc="960003DE">
      <w:start w:val="1"/>
      <w:numFmt w:val="bullet"/>
      <w:lvlText w:val=""/>
      <w:lvlJc w:val="left"/>
      <w:pPr>
        <w:ind w:left="720" w:hanging="360"/>
      </w:pPr>
      <w:rPr>
        <w:rFonts w:ascii="Symbol" w:hAnsi="Symbol"/>
      </w:rPr>
    </w:lvl>
    <w:lvl w:ilvl="7" w:tplc="94B09DE4">
      <w:start w:val="1"/>
      <w:numFmt w:val="bullet"/>
      <w:lvlText w:val=""/>
      <w:lvlJc w:val="left"/>
      <w:pPr>
        <w:ind w:left="720" w:hanging="360"/>
      </w:pPr>
      <w:rPr>
        <w:rFonts w:ascii="Symbol" w:hAnsi="Symbol"/>
      </w:rPr>
    </w:lvl>
    <w:lvl w:ilvl="8" w:tplc="DC04246C">
      <w:start w:val="1"/>
      <w:numFmt w:val="bullet"/>
      <w:lvlText w:val=""/>
      <w:lvlJc w:val="left"/>
      <w:pPr>
        <w:ind w:left="720" w:hanging="360"/>
      </w:pPr>
      <w:rPr>
        <w:rFonts w:ascii="Symbol" w:hAnsi="Symbol"/>
      </w:rPr>
    </w:lvl>
  </w:abstractNum>
  <w:abstractNum w:abstractNumId="25"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6" w15:restartNumberingAfterBreak="0">
    <w:nsid w:val="685428F2"/>
    <w:multiLevelType w:val="hybridMultilevel"/>
    <w:tmpl w:val="2E420E96"/>
    <w:lvl w:ilvl="0" w:tplc="D5A26134">
      <w:start w:val="1"/>
      <w:numFmt w:val="lowerLetter"/>
      <w:lvlText w:val="%1)"/>
      <w:lvlJc w:val="left"/>
      <w:pPr>
        <w:ind w:left="1440" w:hanging="360"/>
      </w:pPr>
      <w:rPr>
        <w:rFonts w:asciiTheme="minorHAnsi" w:eastAsia="Calibri" w:hAnsiTheme="minorHAnsi" w:cstheme="minorHAns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70FA24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BDB45D6"/>
    <w:multiLevelType w:val="hybridMultilevel"/>
    <w:tmpl w:val="5AE6C78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8431774">
    <w:abstractNumId w:val="7"/>
  </w:num>
  <w:num w:numId="2" w16cid:durableId="842209657">
    <w:abstractNumId w:val="5"/>
  </w:num>
  <w:num w:numId="3" w16cid:durableId="660542573">
    <w:abstractNumId w:val="25"/>
  </w:num>
  <w:num w:numId="4" w16cid:durableId="1971085616">
    <w:abstractNumId w:val="15"/>
  </w:num>
  <w:num w:numId="5" w16cid:durableId="252517802">
    <w:abstractNumId w:val="16"/>
  </w:num>
  <w:num w:numId="6" w16cid:durableId="420297118">
    <w:abstractNumId w:val="20"/>
  </w:num>
  <w:num w:numId="7" w16cid:durableId="3533880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5"/>
    <w:lvlOverride w:ilvl="0">
      <w:startOverride w:val="1"/>
    </w:lvlOverride>
  </w:num>
  <w:num w:numId="9" w16cid:durableId="1747920389">
    <w:abstractNumId w:val="16"/>
    <w:lvlOverride w:ilvl="0">
      <w:startOverride w:val="1"/>
    </w:lvlOverride>
  </w:num>
  <w:num w:numId="10" w16cid:durableId="1001813381">
    <w:abstractNumId w:val="15"/>
    <w:lvlOverride w:ilvl="0">
      <w:startOverride w:val="1"/>
    </w:lvlOverride>
  </w:num>
  <w:num w:numId="11" w16cid:durableId="1103450744">
    <w:abstractNumId w:val="16"/>
    <w:lvlOverride w:ilvl="0">
      <w:startOverride w:val="1"/>
    </w:lvlOverride>
  </w:num>
  <w:num w:numId="12" w16cid:durableId="1549294228">
    <w:abstractNumId w:val="15"/>
    <w:lvlOverride w:ilvl="0">
      <w:startOverride w:val="1"/>
    </w:lvlOverride>
  </w:num>
  <w:num w:numId="13" w16cid:durableId="875854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6"/>
    <w:lvlOverride w:ilvl="0">
      <w:startOverride w:val="1"/>
    </w:lvlOverride>
  </w:num>
  <w:num w:numId="15" w16cid:durableId="12464539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5"/>
  </w:num>
  <w:num w:numId="17" w16cid:durableId="434129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2"/>
  </w:num>
  <w:num w:numId="19" w16cid:durableId="836698820">
    <w:abstractNumId w:val="18"/>
  </w:num>
  <w:num w:numId="20" w16cid:durableId="402803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9"/>
  </w:num>
  <w:num w:numId="22" w16cid:durableId="200242115">
    <w:abstractNumId w:val="2"/>
  </w:num>
  <w:num w:numId="23" w16cid:durableId="585068731">
    <w:abstractNumId w:val="4"/>
  </w:num>
  <w:num w:numId="24" w16cid:durableId="1431437445">
    <w:abstractNumId w:val="3"/>
  </w:num>
  <w:num w:numId="25" w16cid:durableId="507214046">
    <w:abstractNumId w:val="14"/>
  </w:num>
  <w:num w:numId="26" w16cid:durableId="913591473">
    <w:abstractNumId w:val="7"/>
  </w:num>
  <w:num w:numId="27" w16cid:durableId="1521772403">
    <w:abstractNumId w:val="1"/>
  </w:num>
  <w:num w:numId="28" w16cid:durableId="1974483305">
    <w:abstractNumId w:val="10"/>
  </w:num>
  <w:num w:numId="29" w16cid:durableId="25107355">
    <w:abstractNumId w:val="22"/>
  </w:num>
  <w:num w:numId="30" w16cid:durableId="680818853">
    <w:abstractNumId w:val="7"/>
  </w:num>
  <w:num w:numId="31" w16cid:durableId="160119297">
    <w:abstractNumId w:val="0"/>
  </w:num>
  <w:num w:numId="32" w16cid:durableId="2141799067">
    <w:abstractNumId w:val="27"/>
  </w:num>
  <w:num w:numId="33" w16cid:durableId="688677414">
    <w:abstractNumId w:val="8"/>
  </w:num>
  <w:num w:numId="34" w16cid:durableId="304702055">
    <w:abstractNumId w:val="7"/>
  </w:num>
  <w:num w:numId="35" w16cid:durableId="1705979379">
    <w:abstractNumId w:val="7"/>
  </w:num>
  <w:num w:numId="36" w16cid:durableId="77944979">
    <w:abstractNumId w:val="9"/>
  </w:num>
  <w:num w:numId="37" w16cid:durableId="858356253">
    <w:abstractNumId w:val="7"/>
  </w:num>
  <w:num w:numId="38" w16cid:durableId="1763837456">
    <w:abstractNumId w:val="25"/>
  </w:num>
  <w:num w:numId="39" w16cid:durableId="202718928">
    <w:abstractNumId w:val="25"/>
  </w:num>
  <w:num w:numId="40" w16cid:durableId="866911887">
    <w:abstractNumId w:val="21"/>
  </w:num>
  <w:num w:numId="41" w16cid:durableId="1113092496">
    <w:abstractNumId w:val="26"/>
  </w:num>
  <w:num w:numId="42" w16cid:durableId="351688419">
    <w:abstractNumId w:val="6"/>
  </w:num>
  <w:num w:numId="43" w16cid:durableId="992368097">
    <w:abstractNumId w:val="23"/>
  </w:num>
  <w:num w:numId="44" w16cid:durableId="2122260339">
    <w:abstractNumId w:val="11"/>
  </w:num>
  <w:num w:numId="45" w16cid:durableId="477189012">
    <w:abstractNumId w:val="28"/>
  </w:num>
  <w:num w:numId="46" w16cid:durableId="1093742462">
    <w:abstractNumId w:val="17"/>
  </w:num>
  <w:num w:numId="47" w16cid:durableId="159467683">
    <w:abstractNumId w:val="13"/>
  </w:num>
  <w:num w:numId="48" w16cid:durableId="1207109570">
    <w:abstractNumId w:val="24"/>
  </w:num>
  <w:num w:numId="49" w16cid:durableId="116296660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0D"/>
    <w:rsid w:val="00000822"/>
    <w:rsid w:val="00001569"/>
    <w:rsid w:val="00003728"/>
    <w:rsid w:val="00004B91"/>
    <w:rsid w:val="00006344"/>
    <w:rsid w:val="000068B9"/>
    <w:rsid w:val="000115AB"/>
    <w:rsid w:val="00012DA7"/>
    <w:rsid w:val="00014646"/>
    <w:rsid w:val="0001473F"/>
    <w:rsid w:val="00014D0A"/>
    <w:rsid w:val="00015018"/>
    <w:rsid w:val="000246D6"/>
    <w:rsid w:val="0002494A"/>
    <w:rsid w:val="00025C12"/>
    <w:rsid w:val="000347FB"/>
    <w:rsid w:val="00035A11"/>
    <w:rsid w:val="00036249"/>
    <w:rsid w:val="00041D05"/>
    <w:rsid w:val="00042268"/>
    <w:rsid w:val="00043534"/>
    <w:rsid w:val="0004445A"/>
    <w:rsid w:val="00046D4C"/>
    <w:rsid w:val="00047707"/>
    <w:rsid w:val="00050A6B"/>
    <w:rsid w:val="000513FD"/>
    <w:rsid w:val="00052D11"/>
    <w:rsid w:val="00053BD7"/>
    <w:rsid w:val="00053CC3"/>
    <w:rsid w:val="00053D2F"/>
    <w:rsid w:val="0005461D"/>
    <w:rsid w:val="0005626F"/>
    <w:rsid w:val="0005685E"/>
    <w:rsid w:val="000570A6"/>
    <w:rsid w:val="00061582"/>
    <w:rsid w:val="00065022"/>
    <w:rsid w:val="000707E9"/>
    <w:rsid w:val="00070945"/>
    <w:rsid w:val="000717BA"/>
    <w:rsid w:val="0007270D"/>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4346"/>
    <w:rsid w:val="000B4DF9"/>
    <w:rsid w:val="000B6A88"/>
    <w:rsid w:val="000C0DC9"/>
    <w:rsid w:val="000C36A3"/>
    <w:rsid w:val="000C3973"/>
    <w:rsid w:val="000C48B1"/>
    <w:rsid w:val="000C57C6"/>
    <w:rsid w:val="000C76AA"/>
    <w:rsid w:val="000D0A42"/>
    <w:rsid w:val="000D1F50"/>
    <w:rsid w:val="000D713F"/>
    <w:rsid w:val="000D742A"/>
    <w:rsid w:val="000E058F"/>
    <w:rsid w:val="000E07C3"/>
    <w:rsid w:val="000E1D08"/>
    <w:rsid w:val="000E5739"/>
    <w:rsid w:val="000E6809"/>
    <w:rsid w:val="000E7683"/>
    <w:rsid w:val="000E77F0"/>
    <w:rsid w:val="000F1EB3"/>
    <w:rsid w:val="000F288B"/>
    <w:rsid w:val="000F300A"/>
    <w:rsid w:val="000F3A4B"/>
    <w:rsid w:val="000F5C20"/>
    <w:rsid w:val="000F73E9"/>
    <w:rsid w:val="000F79EA"/>
    <w:rsid w:val="0010164B"/>
    <w:rsid w:val="00107118"/>
    <w:rsid w:val="00110D97"/>
    <w:rsid w:val="00112DAD"/>
    <w:rsid w:val="0011535E"/>
    <w:rsid w:val="001153FB"/>
    <w:rsid w:val="001171E4"/>
    <w:rsid w:val="0012007C"/>
    <w:rsid w:val="00120CF6"/>
    <w:rsid w:val="00120E2E"/>
    <w:rsid w:val="00121181"/>
    <w:rsid w:val="00122329"/>
    <w:rsid w:val="001232C3"/>
    <w:rsid w:val="00124B00"/>
    <w:rsid w:val="00126471"/>
    <w:rsid w:val="00126A72"/>
    <w:rsid w:val="00126ADF"/>
    <w:rsid w:val="00126BEE"/>
    <w:rsid w:val="00127167"/>
    <w:rsid w:val="00127D91"/>
    <w:rsid w:val="001324A3"/>
    <w:rsid w:val="00132D92"/>
    <w:rsid w:val="00135EF0"/>
    <w:rsid w:val="0013675B"/>
    <w:rsid w:val="00136C50"/>
    <w:rsid w:val="00137347"/>
    <w:rsid w:val="00143C66"/>
    <w:rsid w:val="00144A90"/>
    <w:rsid w:val="0015281A"/>
    <w:rsid w:val="00153AF6"/>
    <w:rsid w:val="00154D8C"/>
    <w:rsid w:val="001572CE"/>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832"/>
    <w:rsid w:val="00184D6D"/>
    <w:rsid w:val="00184F59"/>
    <w:rsid w:val="00185C37"/>
    <w:rsid w:val="00186FB7"/>
    <w:rsid w:val="00187537"/>
    <w:rsid w:val="00187D4A"/>
    <w:rsid w:val="00191413"/>
    <w:rsid w:val="0019193E"/>
    <w:rsid w:val="001926C9"/>
    <w:rsid w:val="00192C70"/>
    <w:rsid w:val="001935B4"/>
    <w:rsid w:val="00193907"/>
    <w:rsid w:val="00195EFB"/>
    <w:rsid w:val="00197F2E"/>
    <w:rsid w:val="001A0124"/>
    <w:rsid w:val="001A1DD6"/>
    <w:rsid w:val="001A2273"/>
    <w:rsid w:val="001B0DC3"/>
    <w:rsid w:val="001B1A6A"/>
    <w:rsid w:val="001B3430"/>
    <w:rsid w:val="001B7DA3"/>
    <w:rsid w:val="001C0F5C"/>
    <w:rsid w:val="001C108E"/>
    <w:rsid w:val="001C223C"/>
    <w:rsid w:val="001C24A7"/>
    <w:rsid w:val="001C263F"/>
    <w:rsid w:val="001C564F"/>
    <w:rsid w:val="001C5958"/>
    <w:rsid w:val="001D12A9"/>
    <w:rsid w:val="001D140D"/>
    <w:rsid w:val="001D150B"/>
    <w:rsid w:val="001D195F"/>
    <w:rsid w:val="001D41E9"/>
    <w:rsid w:val="001D4562"/>
    <w:rsid w:val="001D780B"/>
    <w:rsid w:val="001D7907"/>
    <w:rsid w:val="001E0BEA"/>
    <w:rsid w:val="001E0BED"/>
    <w:rsid w:val="001E2C6F"/>
    <w:rsid w:val="001E30A5"/>
    <w:rsid w:val="001E3D5B"/>
    <w:rsid w:val="001E4A13"/>
    <w:rsid w:val="001E4EF9"/>
    <w:rsid w:val="001E579B"/>
    <w:rsid w:val="001E5FF2"/>
    <w:rsid w:val="001E626E"/>
    <w:rsid w:val="001E7077"/>
    <w:rsid w:val="001E78CB"/>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4771"/>
    <w:rsid w:val="0020612C"/>
    <w:rsid w:val="00211BFA"/>
    <w:rsid w:val="00212F1D"/>
    <w:rsid w:val="002140AE"/>
    <w:rsid w:val="0022138F"/>
    <w:rsid w:val="00222BAE"/>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56EC0"/>
    <w:rsid w:val="0026085A"/>
    <w:rsid w:val="00265E05"/>
    <w:rsid w:val="002700D3"/>
    <w:rsid w:val="0027262B"/>
    <w:rsid w:val="00274308"/>
    <w:rsid w:val="00280051"/>
    <w:rsid w:val="00280C5D"/>
    <w:rsid w:val="00280E99"/>
    <w:rsid w:val="00281798"/>
    <w:rsid w:val="00281830"/>
    <w:rsid w:val="002827C4"/>
    <w:rsid w:val="00284D13"/>
    <w:rsid w:val="002859F3"/>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B608C"/>
    <w:rsid w:val="002C39F9"/>
    <w:rsid w:val="002C58B8"/>
    <w:rsid w:val="002C7500"/>
    <w:rsid w:val="002C75BC"/>
    <w:rsid w:val="002D1CA0"/>
    <w:rsid w:val="002D22CF"/>
    <w:rsid w:val="002D4BB3"/>
    <w:rsid w:val="002D56A1"/>
    <w:rsid w:val="002D59A9"/>
    <w:rsid w:val="002D5A00"/>
    <w:rsid w:val="002D7682"/>
    <w:rsid w:val="002E0F2D"/>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145"/>
    <w:rsid w:val="00307FDA"/>
    <w:rsid w:val="0031196F"/>
    <w:rsid w:val="0031201D"/>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4A30"/>
    <w:rsid w:val="003352BA"/>
    <w:rsid w:val="00335CF1"/>
    <w:rsid w:val="003366C8"/>
    <w:rsid w:val="0033770B"/>
    <w:rsid w:val="0034072B"/>
    <w:rsid w:val="003412E9"/>
    <w:rsid w:val="00342839"/>
    <w:rsid w:val="00343A44"/>
    <w:rsid w:val="003444DC"/>
    <w:rsid w:val="00350211"/>
    <w:rsid w:val="003518BF"/>
    <w:rsid w:val="00352DA1"/>
    <w:rsid w:val="0035392C"/>
    <w:rsid w:val="00354334"/>
    <w:rsid w:val="00354558"/>
    <w:rsid w:val="00354EDD"/>
    <w:rsid w:val="00363564"/>
    <w:rsid w:val="00363FFA"/>
    <w:rsid w:val="0036465D"/>
    <w:rsid w:val="003704BA"/>
    <w:rsid w:val="00370664"/>
    <w:rsid w:val="00372477"/>
    <w:rsid w:val="00372544"/>
    <w:rsid w:val="0037341B"/>
    <w:rsid w:val="00376B5F"/>
    <w:rsid w:val="00377AD9"/>
    <w:rsid w:val="00380288"/>
    <w:rsid w:val="003817A2"/>
    <w:rsid w:val="00381B2E"/>
    <w:rsid w:val="00385359"/>
    <w:rsid w:val="00385468"/>
    <w:rsid w:val="00390CE7"/>
    <w:rsid w:val="00390DAE"/>
    <w:rsid w:val="00393C61"/>
    <w:rsid w:val="00393FF3"/>
    <w:rsid w:val="0039600C"/>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0916"/>
    <w:rsid w:val="003F2C18"/>
    <w:rsid w:val="003F6C0E"/>
    <w:rsid w:val="00407C75"/>
    <w:rsid w:val="00411B14"/>
    <w:rsid w:val="00412C91"/>
    <w:rsid w:val="004132C5"/>
    <w:rsid w:val="00414064"/>
    <w:rsid w:val="00415DFF"/>
    <w:rsid w:val="00417745"/>
    <w:rsid w:val="00420358"/>
    <w:rsid w:val="00423CA6"/>
    <w:rsid w:val="00430454"/>
    <w:rsid w:val="00430D0D"/>
    <w:rsid w:val="004326A8"/>
    <w:rsid w:val="004328A4"/>
    <w:rsid w:val="00436B86"/>
    <w:rsid w:val="0043706A"/>
    <w:rsid w:val="00437C63"/>
    <w:rsid w:val="004401B0"/>
    <w:rsid w:val="00441154"/>
    <w:rsid w:val="00441D90"/>
    <w:rsid w:val="00442224"/>
    <w:rsid w:val="004444EE"/>
    <w:rsid w:val="0044611A"/>
    <w:rsid w:val="004524CF"/>
    <w:rsid w:val="00452582"/>
    <w:rsid w:val="00453C18"/>
    <w:rsid w:val="00454812"/>
    <w:rsid w:val="004549FE"/>
    <w:rsid w:val="00454D38"/>
    <w:rsid w:val="0045562C"/>
    <w:rsid w:val="00455C81"/>
    <w:rsid w:val="00455F59"/>
    <w:rsid w:val="00457272"/>
    <w:rsid w:val="00457D10"/>
    <w:rsid w:val="00457DCC"/>
    <w:rsid w:val="00461A18"/>
    <w:rsid w:val="00462060"/>
    <w:rsid w:val="00463C1A"/>
    <w:rsid w:val="00463EEC"/>
    <w:rsid w:val="004640FF"/>
    <w:rsid w:val="00465490"/>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3C32"/>
    <w:rsid w:val="004A7A7F"/>
    <w:rsid w:val="004B031B"/>
    <w:rsid w:val="004B3B95"/>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3DA2"/>
    <w:rsid w:val="004F435E"/>
    <w:rsid w:val="004F7C93"/>
    <w:rsid w:val="00506D24"/>
    <w:rsid w:val="005077D2"/>
    <w:rsid w:val="005118F6"/>
    <w:rsid w:val="0051350A"/>
    <w:rsid w:val="005150B9"/>
    <w:rsid w:val="00517604"/>
    <w:rsid w:val="00517DA5"/>
    <w:rsid w:val="00517FA4"/>
    <w:rsid w:val="005216E4"/>
    <w:rsid w:val="005243E7"/>
    <w:rsid w:val="00525801"/>
    <w:rsid w:val="00530642"/>
    <w:rsid w:val="00530F88"/>
    <w:rsid w:val="00532B1C"/>
    <w:rsid w:val="00532EB9"/>
    <w:rsid w:val="00533388"/>
    <w:rsid w:val="00534E1F"/>
    <w:rsid w:val="00537269"/>
    <w:rsid w:val="005412CE"/>
    <w:rsid w:val="005443C8"/>
    <w:rsid w:val="0054683B"/>
    <w:rsid w:val="00552527"/>
    <w:rsid w:val="0055415C"/>
    <w:rsid w:val="005558E1"/>
    <w:rsid w:val="005564A4"/>
    <w:rsid w:val="0055674C"/>
    <w:rsid w:val="005606CB"/>
    <w:rsid w:val="0056112B"/>
    <w:rsid w:val="00563265"/>
    <w:rsid w:val="00563FD8"/>
    <w:rsid w:val="00564817"/>
    <w:rsid w:val="0056512E"/>
    <w:rsid w:val="0056561D"/>
    <w:rsid w:val="005706E9"/>
    <w:rsid w:val="00570849"/>
    <w:rsid w:val="0057158C"/>
    <w:rsid w:val="005722DC"/>
    <w:rsid w:val="0057393D"/>
    <w:rsid w:val="00576416"/>
    <w:rsid w:val="005778BD"/>
    <w:rsid w:val="00577C65"/>
    <w:rsid w:val="00581121"/>
    <w:rsid w:val="005840B8"/>
    <w:rsid w:val="005867DF"/>
    <w:rsid w:val="005900D8"/>
    <w:rsid w:val="005916F1"/>
    <w:rsid w:val="00592081"/>
    <w:rsid w:val="0059226C"/>
    <w:rsid w:val="005A0348"/>
    <w:rsid w:val="005A1FA3"/>
    <w:rsid w:val="005A27C0"/>
    <w:rsid w:val="005A2D1F"/>
    <w:rsid w:val="005A39B7"/>
    <w:rsid w:val="005A4691"/>
    <w:rsid w:val="005A74FF"/>
    <w:rsid w:val="005A7C67"/>
    <w:rsid w:val="005B194A"/>
    <w:rsid w:val="005B234E"/>
    <w:rsid w:val="005B3D8A"/>
    <w:rsid w:val="005B3EC2"/>
    <w:rsid w:val="005B6841"/>
    <w:rsid w:val="005C1D68"/>
    <w:rsid w:val="005C2037"/>
    <w:rsid w:val="005C58FA"/>
    <w:rsid w:val="005C5F49"/>
    <w:rsid w:val="005C71BC"/>
    <w:rsid w:val="005D2629"/>
    <w:rsid w:val="005D29A9"/>
    <w:rsid w:val="005D4A78"/>
    <w:rsid w:val="005D54F1"/>
    <w:rsid w:val="005D5820"/>
    <w:rsid w:val="005E03EB"/>
    <w:rsid w:val="005E3D07"/>
    <w:rsid w:val="005E60C8"/>
    <w:rsid w:val="005E6B49"/>
    <w:rsid w:val="005E7252"/>
    <w:rsid w:val="005E7AA8"/>
    <w:rsid w:val="005F02C2"/>
    <w:rsid w:val="005F70F7"/>
    <w:rsid w:val="005F797F"/>
    <w:rsid w:val="006046D3"/>
    <w:rsid w:val="00605E3B"/>
    <w:rsid w:val="006065E8"/>
    <w:rsid w:val="00607B4C"/>
    <w:rsid w:val="00610940"/>
    <w:rsid w:val="0061280D"/>
    <w:rsid w:val="006155F0"/>
    <w:rsid w:val="00616766"/>
    <w:rsid w:val="00620386"/>
    <w:rsid w:val="006253B6"/>
    <w:rsid w:val="00625A15"/>
    <w:rsid w:val="00627714"/>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0995"/>
    <w:rsid w:val="006553EC"/>
    <w:rsid w:val="00655674"/>
    <w:rsid w:val="00656027"/>
    <w:rsid w:val="00656746"/>
    <w:rsid w:val="006623D2"/>
    <w:rsid w:val="00662A44"/>
    <w:rsid w:val="0067005A"/>
    <w:rsid w:val="00674ABF"/>
    <w:rsid w:val="00680130"/>
    <w:rsid w:val="006824E0"/>
    <w:rsid w:val="00684A68"/>
    <w:rsid w:val="00685883"/>
    <w:rsid w:val="00685F2E"/>
    <w:rsid w:val="00691C90"/>
    <w:rsid w:val="00692458"/>
    <w:rsid w:val="0069388D"/>
    <w:rsid w:val="006A0160"/>
    <w:rsid w:val="006A31AB"/>
    <w:rsid w:val="006A5215"/>
    <w:rsid w:val="006A5423"/>
    <w:rsid w:val="006A5F3E"/>
    <w:rsid w:val="006B18B2"/>
    <w:rsid w:val="006B3640"/>
    <w:rsid w:val="006B61AC"/>
    <w:rsid w:val="006B6C90"/>
    <w:rsid w:val="006B7CA7"/>
    <w:rsid w:val="006C0039"/>
    <w:rsid w:val="006C1521"/>
    <w:rsid w:val="006C39B7"/>
    <w:rsid w:val="006C3C89"/>
    <w:rsid w:val="006C4E7E"/>
    <w:rsid w:val="006C7001"/>
    <w:rsid w:val="006C7362"/>
    <w:rsid w:val="006D11DF"/>
    <w:rsid w:val="006D2547"/>
    <w:rsid w:val="006D3EF5"/>
    <w:rsid w:val="006D47A7"/>
    <w:rsid w:val="006D47E3"/>
    <w:rsid w:val="006E0951"/>
    <w:rsid w:val="006E10A6"/>
    <w:rsid w:val="006E4456"/>
    <w:rsid w:val="006E462E"/>
    <w:rsid w:val="006E5856"/>
    <w:rsid w:val="006E6C18"/>
    <w:rsid w:val="006E71A5"/>
    <w:rsid w:val="006E73F9"/>
    <w:rsid w:val="006F0585"/>
    <w:rsid w:val="006F4657"/>
    <w:rsid w:val="006F47AA"/>
    <w:rsid w:val="006F73C8"/>
    <w:rsid w:val="00700549"/>
    <w:rsid w:val="00700B1E"/>
    <w:rsid w:val="00700B46"/>
    <w:rsid w:val="00701135"/>
    <w:rsid w:val="00702088"/>
    <w:rsid w:val="00702564"/>
    <w:rsid w:val="007033DE"/>
    <w:rsid w:val="00703506"/>
    <w:rsid w:val="00703CCF"/>
    <w:rsid w:val="00705460"/>
    <w:rsid w:val="00712F00"/>
    <w:rsid w:val="00721B04"/>
    <w:rsid w:val="00721E2A"/>
    <w:rsid w:val="00723A03"/>
    <w:rsid w:val="00724D61"/>
    <w:rsid w:val="007277AF"/>
    <w:rsid w:val="00735CAA"/>
    <w:rsid w:val="0073719C"/>
    <w:rsid w:val="00742E09"/>
    <w:rsid w:val="00745452"/>
    <w:rsid w:val="00745946"/>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872DA"/>
    <w:rsid w:val="00794435"/>
    <w:rsid w:val="00794ACF"/>
    <w:rsid w:val="007952E4"/>
    <w:rsid w:val="007A1603"/>
    <w:rsid w:val="007A682A"/>
    <w:rsid w:val="007A7923"/>
    <w:rsid w:val="007A7F29"/>
    <w:rsid w:val="007B03DA"/>
    <w:rsid w:val="007B1A7B"/>
    <w:rsid w:val="007B3138"/>
    <w:rsid w:val="007B40DC"/>
    <w:rsid w:val="007B6F78"/>
    <w:rsid w:val="007B75F4"/>
    <w:rsid w:val="007C10BA"/>
    <w:rsid w:val="007C2324"/>
    <w:rsid w:val="007C2806"/>
    <w:rsid w:val="007C5C1B"/>
    <w:rsid w:val="007D3448"/>
    <w:rsid w:val="007E04CD"/>
    <w:rsid w:val="007E4E9A"/>
    <w:rsid w:val="007E6EE6"/>
    <w:rsid w:val="007F29F8"/>
    <w:rsid w:val="007F2D82"/>
    <w:rsid w:val="007F43F2"/>
    <w:rsid w:val="007F48B2"/>
    <w:rsid w:val="007F4EF0"/>
    <w:rsid w:val="007F5CFF"/>
    <w:rsid w:val="0081013E"/>
    <w:rsid w:val="00810C0D"/>
    <w:rsid w:val="008113B4"/>
    <w:rsid w:val="008114F0"/>
    <w:rsid w:val="00814D74"/>
    <w:rsid w:val="00814DE5"/>
    <w:rsid w:val="00820942"/>
    <w:rsid w:val="008248D1"/>
    <w:rsid w:val="0082586A"/>
    <w:rsid w:val="008261B4"/>
    <w:rsid w:val="00827EDE"/>
    <w:rsid w:val="00832EAB"/>
    <w:rsid w:val="008358B4"/>
    <w:rsid w:val="00842EF4"/>
    <w:rsid w:val="00843D15"/>
    <w:rsid w:val="00845AA0"/>
    <w:rsid w:val="008510FF"/>
    <w:rsid w:val="008530BE"/>
    <w:rsid w:val="008540FA"/>
    <w:rsid w:val="008606A0"/>
    <w:rsid w:val="00861E1B"/>
    <w:rsid w:val="00863446"/>
    <w:rsid w:val="00863E4E"/>
    <w:rsid w:val="00867895"/>
    <w:rsid w:val="00875FE9"/>
    <w:rsid w:val="0087684F"/>
    <w:rsid w:val="00876CAC"/>
    <w:rsid w:val="00885A76"/>
    <w:rsid w:val="00886079"/>
    <w:rsid w:val="00891F34"/>
    <w:rsid w:val="00895C04"/>
    <w:rsid w:val="008970B7"/>
    <w:rsid w:val="008A0530"/>
    <w:rsid w:val="008A1B21"/>
    <w:rsid w:val="008A2087"/>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149"/>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2D6"/>
    <w:rsid w:val="009448F7"/>
    <w:rsid w:val="00945A1D"/>
    <w:rsid w:val="00945CC4"/>
    <w:rsid w:val="00946533"/>
    <w:rsid w:val="00947A11"/>
    <w:rsid w:val="0095050A"/>
    <w:rsid w:val="0095266F"/>
    <w:rsid w:val="00952BFB"/>
    <w:rsid w:val="00953E59"/>
    <w:rsid w:val="0095533A"/>
    <w:rsid w:val="0095646B"/>
    <w:rsid w:val="00957565"/>
    <w:rsid w:val="00957A99"/>
    <w:rsid w:val="00962118"/>
    <w:rsid w:val="00964D8D"/>
    <w:rsid w:val="00964EDA"/>
    <w:rsid w:val="00965A01"/>
    <w:rsid w:val="00965EA8"/>
    <w:rsid w:val="00966602"/>
    <w:rsid w:val="0096731B"/>
    <w:rsid w:val="0096785D"/>
    <w:rsid w:val="00970842"/>
    <w:rsid w:val="00971125"/>
    <w:rsid w:val="00971F4F"/>
    <w:rsid w:val="00972D70"/>
    <w:rsid w:val="0097363B"/>
    <w:rsid w:val="009746B1"/>
    <w:rsid w:val="00975A13"/>
    <w:rsid w:val="00977BFB"/>
    <w:rsid w:val="0098150D"/>
    <w:rsid w:val="00982385"/>
    <w:rsid w:val="00982810"/>
    <w:rsid w:val="009903CC"/>
    <w:rsid w:val="00995B1B"/>
    <w:rsid w:val="00995E30"/>
    <w:rsid w:val="009A1396"/>
    <w:rsid w:val="009A2981"/>
    <w:rsid w:val="009A336D"/>
    <w:rsid w:val="009A5010"/>
    <w:rsid w:val="009A63B5"/>
    <w:rsid w:val="009A7037"/>
    <w:rsid w:val="009A71C6"/>
    <w:rsid w:val="009B1FA7"/>
    <w:rsid w:val="009C07EF"/>
    <w:rsid w:val="009C100E"/>
    <w:rsid w:val="009C11CF"/>
    <w:rsid w:val="009C13FA"/>
    <w:rsid w:val="009C2AED"/>
    <w:rsid w:val="009C3490"/>
    <w:rsid w:val="009C3BB0"/>
    <w:rsid w:val="009C575D"/>
    <w:rsid w:val="009C72D3"/>
    <w:rsid w:val="009D0C2F"/>
    <w:rsid w:val="009D107B"/>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0F42"/>
    <w:rsid w:val="009F72C8"/>
    <w:rsid w:val="00A006D5"/>
    <w:rsid w:val="00A01509"/>
    <w:rsid w:val="00A02651"/>
    <w:rsid w:val="00A0337B"/>
    <w:rsid w:val="00A035E4"/>
    <w:rsid w:val="00A03809"/>
    <w:rsid w:val="00A0459A"/>
    <w:rsid w:val="00A07C43"/>
    <w:rsid w:val="00A112DC"/>
    <w:rsid w:val="00A116EA"/>
    <w:rsid w:val="00A11739"/>
    <w:rsid w:val="00A14311"/>
    <w:rsid w:val="00A1579B"/>
    <w:rsid w:val="00A20CEA"/>
    <w:rsid w:val="00A22C0B"/>
    <w:rsid w:val="00A23688"/>
    <w:rsid w:val="00A24C42"/>
    <w:rsid w:val="00A2629A"/>
    <w:rsid w:val="00A26F1E"/>
    <w:rsid w:val="00A272D4"/>
    <w:rsid w:val="00A2737A"/>
    <w:rsid w:val="00A303C6"/>
    <w:rsid w:val="00A31E06"/>
    <w:rsid w:val="00A32873"/>
    <w:rsid w:val="00A32B6F"/>
    <w:rsid w:val="00A333F2"/>
    <w:rsid w:val="00A34EAB"/>
    <w:rsid w:val="00A41E01"/>
    <w:rsid w:val="00A431CB"/>
    <w:rsid w:val="00A435C8"/>
    <w:rsid w:val="00A45D6C"/>
    <w:rsid w:val="00A470E3"/>
    <w:rsid w:val="00A50796"/>
    <w:rsid w:val="00A513AA"/>
    <w:rsid w:val="00A548E5"/>
    <w:rsid w:val="00A6051F"/>
    <w:rsid w:val="00A60EED"/>
    <w:rsid w:val="00A621FE"/>
    <w:rsid w:val="00A6232E"/>
    <w:rsid w:val="00A64430"/>
    <w:rsid w:val="00A65C0A"/>
    <w:rsid w:val="00A66966"/>
    <w:rsid w:val="00A721C0"/>
    <w:rsid w:val="00A7294C"/>
    <w:rsid w:val="00A731B8"/>
    <w:rsid w:val="00A7517C"/>
    <w:rsid w:val="00A774B1"/>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B5FAF"/>
    <w:rsid w:val="00AB6B63"/>
    <w:rsid w:val="00AC0797"/>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2F2C"/>
    <w:rsid w:val="00B170A2"/>
    <w:rsid w:val="00B17F72"/>
    <w:rsid w:val="00B203FF"/>
    <w:rsid w:val="00B21356"/>
    <w:rsid w:val="00B22277"/>
    <w:rsid w:val="00B22944"/>
    <w:rsid w:val="00B24CC6"/>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4255"/>
    <w:rsid w:val="00B55EF6"/>
    <w:rsid w:val="00B55FC1"/>
    <w:rsid w:val="00B56A46"/>
    <w:rsid w:val="00B61582"/>
    <w:rsid w:val="00B6217E"/>
    <w:rsid w:val="00B625F2"/>
    <w:rsid w:val="00B627C5"/>
    <w:rsid w:val="00B64367"/>
    <w:rsid w:val="00B64C8C"/>
    <w:rsid w:val="00B65F91"/>
    <w:rsid w:val="00B6769D"/>
    <w:rsid w:val="00B6772A"/>
    <w:rsid w:val="00B72316"/>
    <w:rsid w:val="00B83559"/>
    <w:rsid w:val="00B853F1"/>
    <w:rsid w:val="00B86A43"/>
    <w:rsid w:val="00B91976"/>
    <w:rsid w:val="00B92CED"/>
    <w:rsid w:val="00B94117"/>
    <w:rsid w:val="00B968C2"/>
    <w:rsid w:val="00B96F5F"/>
    <w:rsid w:val="00BA028D"/>
    <w:rsid w:val="00BA1722"/>
    <w:rsid w:val="00BA3E7C"/>
    <w:rsid w:val="00BA62AA"/>
    <w:rsid w:val="00BA6A5E"/>
    <w:rsid w:val="00BA6C5D"/>
    <w:rsid w:val="00BA6DD4"/>
    <w:rsid w:val="00BB1636"/>
    <w:rsid w:val="00BB1B98"/>
    <w:rsid w:val="00BB5BAF"/>
    <w:rsid w:val="00BB6801"/>
    <w:rsid w:val="00BB7B1F"/>
    <w:rsid w:val="00BC12C5"/>
    <w:rsid w:val="00BC4D26"/>
    <w:rsid w:val="00BC5051"/>
    <w:rsid w:val="00BC5518"/>
    <w:rsid w:val="00BD054F"/>
    <w:rsid w:val="00BD078D"/>
    <w:rsid w:val="00BD429D"/>
    <w:rsid w:val="00BD44A9"/>
    <w:rsid w:val="00BD476A"/>
    <w:rsid w:val="00BD6D69"/>
    <w:rsid w:val="00BE1539"/>
    <w:rsid w:val="00BE46A3"/>
    <w:rsid w:val="00BE4EDA"/>
    <w:rsid w:val="00BE6208"/>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4AB1"/>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47D08"/>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5C91"/>
    <w:rsid w:val="00C76C28"/>
    <w:rsid w:val="00C76E2D"/>
    <w:rsid w:val="00C76FFF"/>
    <w:rsid w:val="00C77386"/>
    <w:rsid w:val="00C80421"/>
    <w:rsid w:val="00C818BB"/>
    <w:rsid w:val="00C81DFC"/>
    <w:rsid w:val="00C82214"/>
    <w:rsid w:val="00C84D78"/>
    <w:rsid w:val="00C84E28"/>
    <w:rsid w:val="00C84F08"/>
    <w:rsid w:val="00C90647"/>
    <w:rsid w:val="00C91310"/>
    <w:rsid w:val="00CA0192"/>
    <w:rsid w:val="00CA43F1"/>
    <w:rsid w:val="00CA4FDE"/>
    <w:rsid w:val="00CA70E7"/>
    <w:rsid w:val="00CB228A"/>
    <w:rsid w:val="00CB2E17"/>
    <w:rsid w:val="00CB3056"/>
    <w:rsid w:val="00CB34FC"/>
    <w:rsid w:val="00CB3987"/>
    <w:rsid w:val="00CB7E08"/>
    <w:rsid w:val="00CC4F4F"/>
    <w:rsid w:val="00CC5AD8"/>
    <w:rsid w:val="00CD434F"/>
    <w:rsid w:val="00CE1D90"/>
    <w:rsid w:val="00CE2446"/>
    <w:rsid w:val="00CE5F47"/>
    <w:rsid w:val="00CE6986"/>
    <w:rsid w:val="00CE78F5"/>
    <w:rsid w:val="00CF173E"/>
    <w:rsid w:val="00CF24D4"/>
    <w:rsid w:val="00CF3925"/>
    <w:rsid w:val="00D01536"/>
    <w:rsid w:val="00D027B9"/>
    <w:rsid w:val="00D0489B"/>
    <w:rsid w:val="00D052B4"/>
    <w:rsid w:val="00D07A8B"/>
    <w:rsid w:val="00D0C79A"/>
    <w:rsid w:val="00D10F72"/>
    <w:rsid w:val="00D17891"/>
    <w:rsid w:val="00D206E0"/>
    <w:rsid w:val="00D223CA"/>
    <w:rsid w:val="00D228B8"/>
    <w:rsid w:val="00D25E0F"/>
    <w:rsid w:val="00D27637"/>
    <w:rsid w:val="00D30343"/>
    <w:rsid w:val="00D3635A"/>
    <w:rsid w:val="00D36920"/>
    <w:rsid w:val="00D36B09"/>
    <w:rsid w:val="00D434D3"/>
    <w:rsid w:val="00D4358F"/>
    <w:rsid w:val="00D43B30"/>
    <w:rsid w:val="00D443D7"/>
    <w:rsid w:val="00D50070"/>
    <w:rsid w:val="00D5188B"/>
    <w:rsid w:val="00D520E7"/>
    <w:rsid w:val="00D53C66"/>
    <w:rsid w:val="00D56DA0"/>
    <w:rsid w:val="00D609A1"/>
    <w:rsid w:val="00D62793"/>
    <w:rsid w:val="00D627BE"/>
    <w:rsid w:val="00D6578B"/>
    <w:rsid w:val="00D65905"/>
    <w:rsid w:val="00D67E6B"/>
    <w:rsid w:val="00D71B35"/>
    <w:rsid w:val="00D74DFD"/>
    <w:rsid w:val="00D770C8"/>
    <w:rsid w:val="00D80302"/>
    <w:rsid w:val="00D81A2D"/>
    <w:rsid w:val="00D81CB0"/>
    <w:rsid w:val="00D82211"/>
    <w:rsid w:val="00D8365B"/>
    <w:rsid w:val="00D84C1F"/>
    <w:rsid w:val="00D8559E"/>
    <w:rsid w:val="00D863DB"/>
    <w:rsid w:val="00D87671"/>
    <w:rsid w:val="00D90346"/>
    <w:rsid w:val="00D92132"/>
    <w:rsid w:val="00D92CE7"/>
    <w:rsid w:val="00D93105"/>
    <w:rsid w:val="00D931B6"/>
    <w:rsid w:val="00D95849"/>
    <w:rsid w:val="00D9595A"/>
    <w:rsid w:val="00D967DA"/>
    <w:rsid w:val="00D96A05"/>
    <w:rsid w:val="00D96ACC"/>
    <w:rsid w:val="00D974FB"/>
    <w:rsid w:val="00DA031B"/>
    <w:rsid w:val="00DA48F8"/>
    <w:rsid w:val="00DA5524"/>
    <w:rsid w:val="00DA60A4"/>
    <w:rsid w:val="00DB0295"/>
    <w:rsid w:val="00DB207B"/>
    <w:rsid w:val="00DB29D9"/>
    <w:rsid w:val="00DB3285"/>
    <w:rsid w:val="00DB5138"/>
    <w:rsid w:val="00DB6108"/>
    <w:rsid w:val="00DC008F"/>
    <w:rsid w:val="00DD4464"/>
    <w:rsid w:val="00DD6074"/>
    <w:rsid w:val="00DD693A"/>
    <w:rsid w:val="00DE125D"/>
    <w:rsid w:val="00DE5620"/>
    <w:rsid w:val="00DE5C6B"/>
    <w:rsid w:val="00DE6056"/>
    <w:rsid w:val="00DE6090"/>
    <w:rsid w:val="00DE7D07"/>
    <w:rsid w:val="00DF1CBC"/>
    <w:rsid w:val="00DF3EFE"/>
    <w:rsid w:val="00E02685"/>
    <w:rsid w:val="00E0642F"/>
    <w:rsid w:val="00E104B6"/>
    <w:rsid w:val="00E104DF"/>
    <w:rsid w:val="00E17226"/>
    <w:rsid w:val="00E174FB"/>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77CDE"/>
    <w:rsid w:val="00E80B1C"/>
    <w:rsid w:val="00E870E4"/>
    <w:rsid w:val="00E8796B"/>
    <w:rsid w:val="00E90C07"/>
    <w:rsid w:val="00E936C4"/>
    <w:rsid w:val="00E93F27"/>
    <w:rsid w:val="00E94350"/>
    <w:rsid w:val="00E97B77"/>
    <w:rsid w:val="00EA060C"/>
    <w:rsid w:val="00EA18A6"/>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D593C"/>
    <w:rsid w:val="00ED728D"/>
    <w:rsid w:val="00EE0C5F"/>
    <w:rsid w:val="00EE285A"/>
    <w:rsid w:val="00EE29D2"/>
    <w:rsid w:val="00EE3372"/>
    <w:rsid w:val="00EE5549"/>
    <w:rsid w:val="00EE5A45"/>
    <w:rsid w:val="00EE6B2E"/>
    <w:rsid w:val="00EE6F7A"/>
    <w:rsid w:val="00EE7874"/>
    <w:rsid w:val="00EF1F94"/>
    <w:rsid w:val="00EF273A"/>
    <w:rsid w:val="00EF46D9"/>
    <w:rsid w:val="00EF6148"/>
    <w:rsid w:val="00EF7E3E"/>
    <w:rsid w:val="00F03A6B"/>
    <w:rsid w:val="00F04F4D"/>
    <w:rsid w:val="00F071B9"/>
    <w:rsid w:val="00F07604"/>
    <w:rsid w:val="00F109DA"/>
    <w:rsid w:val="00F10D10"/>
    <w:rsid w:val="00F122F6"/>
    <w:rsid w:val="00F14625"/>
    <w:rsid w:val="00F14B9D"/>
    <w:rsid w:val="00F15189"/>
    <w:rsid w:val="00F1598A"/>
    <w:rsid w:val="00F20F66"/>
    <w:rsid w:val="00F21E51"/>
    <w:rsid w:val="00F25056"/>
    <w:rsid w:val="00F26716"/>
    <w:rsid w:val="00F26C97"/>
    <w:rsid w:val="00F30FA6"/>
    <w:rsid w:val="00F311A0"/>
    <w:rsid w:val="00F314E9"/>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225E"/>
    <w:rsid w:val="00F622D7"/>
    <w:rsid w:val="00F658A9"/>
    <w:rsid w:val="00F71652"/>
    <w:rsid w:val="00F72647"/>
    <w:rsid w:val="00F73FAA"/>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0D71"/>
    <w:rsid w:val="00FA16AF"/>
    <w:rsid w:val="00FA4E6F"/>
    <w:rsid w:val="00FA5C1A"/>
    <w:rsid w:val="00FA6EFF"/>
    <w:rsid w:val="00FA7D12"/>
    <w:rsid w:val="00FB0F2E"/>
    <w:rsid w:val="00FB3E04"/>
    <w:rsid w:val="00FB4F23"/>
    <w:rsid w:val="00FB7092"/>
    <w:rsid w:val="00FC1860"/>
    <w:rsid w:val="00FC1B7F"/>
    <w:rsid w:val="00FC1F3B"/>
    <w:rsid w:val="00FC4A8E"/>
    <w:rsid w:val="00FC5688"/>
    <w:rsid w:val="00FD13BC"/>
    <w:rsid w:val="00FD207A"/>
    <w:rsid w:val="00FD3169"/>
    <w:rsid w:val="00FD4961"/>
    <w:rsid w:val="00FD7976"/>
    <w:rsid w:val="00FE0686"/>
    <w:rsid w:val="00FE46F1"/>
    <w:rsid w:val="00FE5081"/>
    <w:rsid w:val="00FE70A6"/>
    <w:rsid w:val="00FE7FF1"/>
    <w:rsid w:val="00FF0A0C"/>
    <w:rsid w:val="00FF0FE9"/>
    <w:rsid w:val="00FF248A"/>
    <w:rsid w:val="00FF3F96"/>
    <w:rsid w:val="00FF55B2"/>
    <w:rsid w:val="00FF674A"/>
    <w:rsid w:val="00FF680D"/>
    <w:rsid w:val="025CAA90"/>
    <w:rsid w:val="02AC58F2"/>
    <w:rsid w:val="093B5AAB"/>
    <w:rsid w:val="0BD85514"/>
    <w:rsid w:val="0DA67BDB"/>
    <w:rsid w:val="175CDC9B"/>
    <w:rsid w:val="1BD5B43B"/>
    <w:rsid w:val="2303878E"/>
    <w:rsid w:val="26AE0521"/>
    <w:rsid w:val="2C555A16"/>
    <w:rsid w:val="2CBAA975"/>
    <w:rsid w:val="3330DCB6"/>
    <w:rsid w:val="33D0C96B"/>
    <w:rsid w:val="34291215"/>
    <w:rsid w:val="44401F36"/>
    <w:rsid w:val="454A50E5"/>
    <w:rsid w:val="4D1D5A16"/>
    <w:rsid w:val="517D0C67"/>
    <w:rsid w:val="53EA329B"/>
    <w:rsid w:val="53EF32A9"/>
    <w:rsid w:val="5600521B"/>
    <w:rsid w:val="61B5BA51"/>
    <w:rsid w:val="681A38AA"/>
    <w:rsid w:val="682DF319"/>
    <w:rsid w:val="68842372"/>
    <w:rsid w:val="69E16A98"/>
    <w:rsid w:val="6ABCCD35"/>
    <w:rsid w:val="6BFCB626"/>
    <w:rsid w:val="6CC909FC"/>
    <w:rsid w:val="6DA1BBAA"/>
    <w:rsid w:val="7463DB3A"/>
    <w:rsid w:val="7607C586"/>
    <w:rsid w:val="7B07676F"/>
    <w:rsid w:val="7FD57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5C789E59"/>
  <w15:docId w15:val="{8EA2BCD9-3AD4-465C-BBFB-15743A8B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E174FB"/>
    <w:pPr>
      <w:keepNext/>
      <w:keepLines/>
      <w:tabs>
        <w:tab w:val="clear" w:pos="4513"/>
        <w:tab w:val="clear" w:pos="9026"/>
      </w:tabs>
      <w:spacing w:before="120" w:after="160" w:line="278" w:lineRule="auto"/>
      <w:outlineLvl w:val="2"/>
    </w:pPr>
    <w:rPr>
      <w:b/>
      <w:bCs/>
      <w:iCs/>
      <w:sz w:val="24"/>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E174FB"/>
    <w:rPr>
      <w:b/>
      <w:bCs/>
      <w:iCs/>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qFormat/>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customStyle="1" w:styleId="Default">
    <w:name w:val="Default"/>
    <w:rsid w:val="009F0F42"/>
    <w:pPr>
      <w:autoSpaceDE w:val="0"/>
      <w:autoSpaceDN w:val="0"/>
      <w:adjustRightInd w:val="0"/>
    </w:pPr>
    <w:rPr>
      <w:rFonts w:ascii="Times New Roman" w:hAnsi="Times New Roman" w:cs="Times New Roman"/>
      <w:color w:val="000000"/>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Bullets"/>
    <w:basedOn w:val="Normal"/>
    <w:link w:val="ListParagraphChar"/>
    <w:uiPriority w:val="34"/>
    <w:qFormat/>
    <w:locked/>
    <w:rsid w:val="001926C9"/>
    <w:pPr>
      <w:spacing w:before="0" w:after="160" w:line="279" w:lineRule="auto"/>
      <w:ind w:left="720"/>
      <w:contextualSpacing/>
    </w:pPr>
    <w:rPr>
      <w:rFonts w:asciiTheme="minorHAnsi" w:eastAsiaTheme="minorEastAsia" w:hAnsiTheme="minorHAnsi" w:cstheme="minorBidi"/>
      <w:color w:val="auto"/>
      <w:lang w:val="en-GB" w:eastAsia="ja-JP"/>
      <w14:ligatures w14:val="standardContextual"/>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qFormat/>
    <w:rsid w:val="001926C9"/>
    <w:rPr>
      <w:rFonts w:asciiTheme="minorHAnsi" w:eastAsiaTheme="minorEastAsia" w:hAnsiTheme="minorHAnsi" w:cstheme="minorBidi"/>
      <w:color w:val="auto"/>
      <w:lang w:val="en-GB" w:eastAsia="ja-JP"/>
      <w14:ligatures w14:val="standardContextual"/>
    </w:rPr>
  </w:style>
  <w:style w:type="paragraph" w:styleId="NormalWeb">
    <w:name w:val="Normal (Web)"/>
    <w:basedOn w:val="Normal"/>
    <w:uiPriority w:val="99"/>
    <w:semiHidden/>
    <w:unhideWhenUsed/>
    <w:rsid w:val="00B56A46"/>
    <w:pPr>
      <w:spacing w:before="100" w:beforeAutospacing="1" w:after="100" w:afterAutospacing="1" w:line="240"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858085285">
      <w:bodyDiv w:val="1"/>
      <w:marLeft w:val="0"/>
      <w:marRight w:val="0"/>
      <w:marTop w:val="0"/>
      <w:marBottom w:val="0"/>
      <w:divBdr>
        <w:top w:val="none" w:sz="0" w:space="0" w:color="auto"/>
        <w:left w:val="none" w:sz="0" w:space="0" w:color="auto"/>
        <w:bottom w:val="none" w:sz="0" w:space="0" w:color="auto"/>
        <w:right w:val="none" w:sz="0" w:space="0" w:color="auto"/>
      </w:divBdr>
    </w:div>
    <w:div w:id="1070274394">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accesscanberra.act.gov.au/s/forms/driver-licence-medical-conditions-report"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austroads.gov.au/drivers-and-vehicles/assessing-fitness-to-drive"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canberrahealthservices.act.gov.au/accessibility"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yservices.act.gov.au/roads-and-paths/road-safety/reporting-fitness-to-drive" TargetMode="External"/><Relationship Id="rId24" Type="http://schemas.openxmlformats.org/officeDocument/2006/relationships/hyperlink" Target="https://www.ahpra.gov.au/Notifications/How-we-manage-concerns.aspx" TargetMode="External"/><Relationship Id="rId5" Type="http://schemas.openxmlformats.org/officeDocument/2006/relationships/numbering" Target="numbering.xml"/><Relationship Id="rId15" Type="http://schemas.openxmlformats.org/officeDocument/2006/relationships/hyperlink" Target="https://www.cityservices.act.gov.au/roads-and-paths/road-safety/reporting-fitness-to-drive" TargetMode="External"/><Relationship Id="rId23" Type="http://schemas.openxmlformats.org/officeDocument/2006/relationships/hyperlink" Target="https://www.medicalboard.gov.au/codes-guidelines-policies.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yservices.act.gov.au/__data/assets/pdf_file/0006/2864418/New-health-reporting-rules-for-heavy-vehicle-drivers.pdf" TargetMode="External"/><Relationship Id="rId22" Type="http://schemas.openxmlformats.org/officeDocument/2006/relationships/hyperlink" Target="https://austroads.gov.au/__data/assets/pdf_file/0037/498691/AP-G56-22_Assessing_Fitness_Drive.pdf"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BF86FA6274644BB8484C18926B973"/>
        <w:category>
          <w:name w:val="General"/>
          <w:gallery w:val="placeholder"/>
        </w:category>
        <w:types>
          <w:type w:val="bbPlcHdr"/>
        </w:types>
        <w:behaviors>
          <w:behavior w:val="content"/>
        </w:behaviors>
        <w:guid w:val="{C9554C84-2A00-4E54-B264-D3645F06E861}"/>
      </w:docPartPr>
      <w:docPartBody>
        <w:p w:rsidR="008E0961" w:rsidRDefault="008E0961" w:rsidP="008E0961">
          <w:pPr>
            <w:pStyle w:val="7D8BF86FA6274644BB8484C18926B973"/>
          </w:pPr>
          <w:r>
            <w:rPr>
              <w:noProof/>
              <w:sz w:val="20"/>
              <w:szCs w:val="20"/>
            </w:rPr>
            <w:drawing>
              <wp:inline distT="0" distB="0" distL="0" distR="0" wp14:anchorId="0C48CAE0" wp14:editId="0C48CAE1">
                <wp:extent cx="282575" cy="285750"/>
                <wp:effectExtent l="0" t="0" r="3175" b="0"/>
                <wp:docPr id="1937380929"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594E8144097F4AAB87CE6728D0303BA8"/>
        <w:category>
          <w:name w:val="General"/>
          <w:gallery w:val="placeholder"/>
        </w:category>
        <w:types>
          <w:type w:val="bbPlcHdr"/>
        </w:types>
        <w:behaviors>
          <w:behavior w:val="content"/>
        </w:behaviors>
        <w:guid w:val="{889C59BE-1A79-4A46-A6DD-2C800BDA3961}"/>
      </w:docPartPr>
      <w:docPartBody>
        <w:p w:rsidR="008E0961" w:rsidRDefault="008E0961" w:rsidP="008E0961">
          <w:pPr>
            <w:pStyle w:val="594E8144097F4AAB87CE6728D0303BA8"/>
          </w:pPr>
          <w:r w:rsidRPr="00EE29F8">
            <w:rPr>
              <w:rStyle w:val="PlaceholderText"/>
            </w:rPr>
            <w:t>Choose an item.</w:t>
          </w:r>
        </w:p>
      </w:docPartBody>
    </w:docPart>
    <w:docPart>
      <w:docPartPr>
        <w:name w:val="71D99F33A8DD448286E8158C085588A0"/>
        <w:category>
          <w:name w:val="General"/>
          <w:gallery w:val="placeholder"/>
        </w:category>
        <w:types>
          <w:type w:val="bbPlcHdr"/>
        </w:types>
        <w:behaviors>
          <w:behavior w:val="content"/>
        </w:behaviors>
        <w:guid w:val="{A0BFA0CC-C39C-4B17-B003-68313FBF205E}"/>
      </w:docPartPr>
      <w:docPartBody>
        <w:p w:rsidR="008E0961" w:rsidRPr="00F26C97" w:rsidRDefault="008E0961" w:rsidP="003B0E72">
          <w:pPr>
            <w:pStyle w:val="Bottomblocktext"/>
            <w:rPr>
              <w:b/>
              <w:bCs w:val="0"/>
              <w:sz w:val="20"/>
              <w:szCs w:val="20"/>
            </w:rPr>
          </w:pPr>
          <w:r>
            <w:rPr>
              <w:b/>
              <w:bCs w:val="0"/>
              <w:noProof/>
              <w:sz w:val="20"/>
              <w:szCs w:val="20"/>
            </w:rPr>
            <w:drawing>
              <wp:inline distT="0" distB="0" distL="0" distR="0" wp14:anchorId="0C48CAE2" wp14:editId="0C48CAE3">
                <wp:extent cx="338275" cy="331065"/>
                <wp:effectExtent l="0" t="0" r="5080" b="0"/>
                <wp:docPr id="1569625196"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C48CAE4" wp14:editId="0C48CAE5">
                <wp:extent cx="143919" cy="139700"/>
                <wp:effectExtent l="0" t="0" r="8890" b="0"/>
                <wp:docPr id="174867019"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8E0961" w:rsidRPr="00F26C97" w:rsidRDefault="008E0961" w:rsidP="003B0E72">
          <w:pPr>
            <w:pStyle w:val="Bottomblocktext"/>
            <w:rPr>
              <w:b/>
              <w:bCs w:val="0"/>
              <w:sz w:val="20"/>
              <w:szCs w:val="20"/>
            </w:rPr>
          </w:pPr>
          <w:r>
            <w:rPr>
              <w:b/>
              <w:bCs w:val="0"/>
              <w:noProof/>
              <w:sz w:val="20"/>
              <w:szCs w:val="20"/>
            </w:rPr>
            <w:drawing>
              <wp:inline distT="0" distB="0" distL="0" distR="0" wp14:anchorId="0C48CAE6" wp14:editId="0C48CAE7">
                <wp:extent cx="326104" cy="323850"/>
                <wp:effectExtent l="0" t="0" r="0" b="0"/>
                <wp:docPr id="1201865181"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C48CAE8" wp14:editId="0C48CAE9">
                <wp:extent cx="143919" cy="139700"/>
                <wp:effectExtent l="0" t="0" r="8890" b="0"/>
                <wp:docPr id="114683407"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8E0961" w:rsidRDefault="008E0961" w:rsidP="003B0E72">
          <w:pPr>
            <w:pStyle w:val="Bottomblocktext"/>
            <w:rPr>
              <w:sz w:val="20"/>
              <w:szCs w:val="20"/>
            </w:rPr>
          </w:pPr>
          <w:hyperlink r:id="rId8" w:history="1">
            <w:r w:rsidRPr="00350211">
              <w:rPr>
                <w:rStyle w:val="Hyperlink"/>
                <w:sz w:val="20"/>
                <w:szCs w:val="20"/>
              </w:rPr>
              <w:t>canberrahealthservices.act.gov.au/accessibility</w:t>
            </w:r>
          </w:hyperlink>
        </w:p>
        <w:p w:rsidR="008E0961" w:rsidRDefault="008E0961" w:rsidP="008E0961">
          <w:pPr>
            <w:pStyle w:val="71D99F33A8DD448286E8158C085588A0"/>
          </w:pPr>
          <w:r>
            <w:rPr>
              <w:b/>
              <w:bCs/>
              <w:noProof/>
            </w:rPr>
            <w:drawing>
              <wp:inline distT="0" distB="0" distL="0" distR="0" wp14:anchorId="0C48CAEA" wp14:editId="0C48CAEB">
                <wp:extent cx="1323833" cy="309418"/>
                <wp:effectExtent l="0" t="0" r="0" b="0"/>
                <wp:docPr id="21678245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F6"/>
    <w:rsid w:val="00153AF6"/>
    <w:rsid w:val="001572CE"/>
    <w:rsid w:val="001B7DA3"/>
    <w:rsid w:val="00256EC0"/>
    <w:rsid w:val="00265E05"/>
    <w:rsid w:val="00354EDD"/>
    <w:rsid w:val="00455F59"/>
    <w:rsid w:val="005565DC"/>
    <w:rsid w:val="0059226C"/>
    <w:rsid w:val="005B6841"/>
    <w:rsid w:val="00662A44"/>
    <w:rsid w:val="00703506"/>
    <w:rsid w:val="00745946"/>
    <w:rsid w:val="007872DA"/>
    <w:rsid w:val="007A7923"/>
    <w:rsid w:val="008759D2"/>
    <w:rsid w:val="008A2087"/>
    <w:rsid w:val="008E0961"/>
    <w:rsid w:val="009442D6"/>
    <w:rsid w:val="009C100E"/>
    <w:rsid w:val="00BA6A5E"/>
    <w:rsid w:val="00BE6208"/>
    <w:rsid w:val="00E104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961"/>
    <w:rPr>
      <w:color w:val="808080"/>
    </w:rPr>
  </w:style>
  <w:style w:type="character" w:styleId="Hyperlink">
    <w:name w:val="Hyperlink"/>
    <w:uiPriority w:val="99"/>
    <w:rsid w:val="008E0961"/>
    <w:rPr>
      <w:color w:val="auto"/>
      <w:u w:val="single"/>
    </w:rPr>
  </w:style>
  <w:style w:type="paragraph" w:customStyle="1" w:styleId="Bottomblocktext">
    <w:name w:val="Bottom block text"/>
    <w:basedOn w:val="Normal"/>
    <w:uiPriority w:val="99"/>
    <w:rsid w:val="008E0961"/>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7D8BF86FA6274644BB8484C18926B973">
    <w:name w:val="7D8BF86FA6274644BB8484C18926B973"/>
    <w:rsid w:val="008E0961"/>
  </w:style>
  <w:style w:type="paragraph" w:customStyle="1" w:styleId="594E8144097F4AAB87CE6728D0303BA8">
    <w:name w:val="594E8144097F4AAB87CE6728D0303BA8"/>
    <w:rsid w:val="008E0961"/>
  </w:style>
  <w:style w:type="paragraph" w:customStyle="1" w:styleId="71D99F33A8DD448286E8158C085588A0">
    <w:name w:val="71D99F33A8DD448286E8158C085588A0"/>
    <w:rsid w:val="008E0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2026-02-25T13:00:00+00:00</Approval_x0020_Date>
    <Review_x0020_Date xmlns="690b2128-8961-48af-a473-22c34a9accba">2031-02-28T13:00:00+00:00</Review_x0020_Date>
    <TaxCatchAll xmlns="c0239a80-7f07-4ed7-82c3-24ad7d76ada5">
      <Value>490</Value>
      <Value>437</Value>
      <Value>434</Value>
      <Value>416</Value>
      <Value>415</Value>
      <Value>1700</Value>
    </TaxCatchAll>
    <Version_x0020_Number xmlns="690b2128-8961-48af-a473-22c34a9accba">1</Version_x0020_Number>
    <Notes0 xmlns="690b2128-8961-48af-a473-22c34a9accba" xsi:nil="true"/>
    <Key_x0020_Words xmlns="690b2128-8961-48af-a473-22c34a9accba">Heavy Vehicle, Driver’s licence, mandatory reporting, Access Canberra, Fitness to drive, north, driver, licence, medical conditions, reporting</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Low</Risk_x0020_Rating>
    <Description0 xmlns="690b2128-8961-48af-a473-22c34a9accba">To provide advice on the mandatory reporting of a patient who holds or is applying for a heavy vehicle licence, and who has a permanent or long-term illness, injury or incapacity that is likely to impair their fitness to drive heavy vehicles safely.</Description0>
    <Display_x0020_on_x0020_Internet xmlns="690b2128-8961-48af-a473-22c34a9accba">true</Display_x0020_on_x0020_Internet>
    <Related_x0020_Documents xmlns="690b2128-8961-48af-a473-22c34a9accba" xsi:nil="true"/>
    <Decision_x0020_Number xmlns="690b2128-8961-48af-a473-22c34a9accba">CHS26/078</Decision_x0020_Number>
    <RelatedPolicies_x002c_ProceduresGuidelines xmlns="690b2128-8961-48af-a473-22c34a9accba">
      <Value>16465</Value>
      <Value>16472</Value>
      <Value>17513</Value>
      <Value>17362</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Practitioner Regulation National Law Act 2010 (Territory)</TermName>
          <TermId xmlns="http://schemas.microsoft.com/office/infopath/2007/PartnerControls">5cf4d844-a9cf-4787-98ba-e0d28c369acc</TermId>
        </TermInfo>
        <TermInfo xmlns="http://schemas.microsoft.com/office/infopath/2007/PartnerControls">
          <TermName xmlns="http://schemas.microsoft.com/office/infopath/2007/PartnerControls">Road Transport (Driver Licensing) Act 1999 (Territory)</TermName>
          <TermId xmlns="http://schemas.microsoft.com/office/infopath/2007/PartnerControls">96724f72-b83e-46ee-8e2e-08cc2bed2b37</TermId>
        </TermInfo>
        <TermInfo xmlns="http://schemas.microsoft.com/office/infopath/2007/PartnerControls">
          <TermName xmlns="http://schemas.microsoft.com/office/infopath/2007/PartnerControls">Privacy Act 1988 (Cth)</TermName>
          <TermId xmlns="http://schemas.microsoft.com/office/infopath/2007/PartnerControls">d0362750-89c1-43aa-94ce-921d8e4022be</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Regulation 2011 (Territory)</TermName>
          <TermId xmlns="http://schemas.microsoft.com/office/infopath/2007/PartnerControls">23a70d9a-89d9-4b75-b578-d35a5b871b27</TermId>
        </TermInfo>
      </Terms>
    </k0794e393e1f41c2810d090eedba34a0>
    <New_x0020_Owner xmlns="690b2128-8961-48af-a473-22c34a9accba">COO</New_x0020_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601980E5-CEA5-42BD-A760-82D3946AF97E}">
  <ds:schemaRefs>
    <ds:schemaRef ds:uri="http://purl.org/dc/elements/1.1/"/>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c0239a80-7f07-4ed7-82c3-24ad7d76ada5"/>
    <ds:schemaRef ds:uri="690b2128-8961-48af-a473-22c34a9accba"/>
  </ds:schemaRefs>
</ds:datastoreItem>
</file>

<file path=customXml/itemProps4.xml><?xml version="1.0" encoding="utf-8"?>
<ds:datastoreItem xmlns:ds="http://schemas.openxmlformats.org/officeDocument/2006/customXml" ds:itemID="{8E65AAE0-8E99-46D2-8AFE-10138039F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4170</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Heavy Vehicle Driver Licence Medical Conditions – Mandatory Reporting Procedure</dc:title>
  <dc:creator>Corey, Janelle (Health)</dc:creator>
  <cp:lastModifiedBy>Rusanov, Zoia</cp:lastModifiedBy>
  <cp:revision>10</cp:revision>
  <cp:lastPrinted>2017-05-22T07:29:00Z</cp:lastPrinted>
  <dcterms:created xsi:type="dcterms:W3CDTF">2026-03-19T22:52:00Z</dcterms:created>
  <dcterms:modified xsi:type="dcterms:W3CDTF">2026-05-25T23:36:00Z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434;#Health Practitioner Regulation National Law Act 2010 (Territory)|5cf4d844-a9cf-4787-98ba-e0d28c369acc;#1700;#Road Transport (Driver Licensing) Act 1999 (Territory)|96724f72-b83e-46ee-8e2e-08cc2bed2b37;#437;#Privacy Act 1988 (Cth)|d0362750-89c1-43aa-94ce-921d8e4022be;#415;#Health Records (Privacy and Access) Act 1997 (Territory)|d07d1347-0355-417c-badf-2bae9c7c0e3b;#416;#Human Rights Act 2004 (Territory)|bbb6fb4a-2117-4ff9-8364-021a762deae2;#490;#Work Health and Safety Regulation 2011 (Territory)|23a70d9a-89d9-4b75-b578-d35a5b871b27</vt:lpwstr>
  </property>
  <property fmtid="{D5CDD505-2E9C-101B-9397-08002B2CF9AE}" pid="11" name="Related_x0020_Legislation_x0020__x0026__x0020_Guidelines">
    <vt:lpwstr>434;#Health Practitioner Regulation National Law Act 2010 (Territory)|5cf4d844-a9cf-4787-98ba-e0d28c369acc;#1700;#Road Transport (Driver Licensing) Act 1999 (Territory)|96724f72-b83e-46ee-8e2e-08cc2bed2b37;#437;#Privacy Act 1988 (Cth)|d0362750-89c1-43aa-94ce-921d8e4022be;#415;#Health Records (Privacy and Access) Act 1997 (Territory)|d07d1347-0355-417c-badf-2bae9c7c0e3b;#416;#Human Rights Act 2004 (Territory)|bbb6fb4a-2117-4ff9-8364-021a762deae2;#490;#Work Health and Safety Regulation 2011 (Territory)|23a70d9a-89d9-4b75-b578-d35a5b871b27</vt:lpwstr>
  </property>
</Properties>
</file>