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1A84E" w14:textId="267635CF" w:rsidR="00EF02B0" w:rsidRPr="00EF02B0"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EF02B0">
        <w:rPr>
          <w:rFonts w:cs="Arial"/>
          <w:b/>
          <w:sz w:val="44"/>
          <w:szCs w:val="44"/>
        </w:rPr>
        <w:t>Canberra Health Services</w:t>
      </w:r>
    </w:p>
    <w:bookmarkEnd w:id="0"/>
    <w:bookmarkEnd w:id="1"/>
    <w:bookmarkEnd w:id="2"/>
    <w:bookmarkEnd w:id="3"/>
    <w:bookmarkEnd w:id="4"/>
    <w:p w14:paraId="2F51A84F" w14:textId="4D7238DE" w:rsidR="00EF02B0" w:rsidRPr="00931B93" w:rsidRDefault="00EF02B0" w:rsidP="00EF02B0">
      <w:pPr>
        <w:rPr>
          <w:rFonts w:cs="Arial"/>
          <w:b/>
          <w:i/>
          <w:sz w:val="28"/>
          <w:szCs w:val="44"/>
        </w:rPr>
      </w:pPr>
      <w:r w:rsidRPr="00EF02B0">
        <w:rPr>
          <w:rFonts w:cs="Arial"/>
          <w:b/>
          <w:sz w:val="44"/>
          <w:szCs w:val="44"/>
        </w:rPr>
        <w:t>Procedure</w:t>
      </w:r>
      <w:r w:rsidR="00931B93">
        <w:rPr>
          <w:rFonts w:cs="Arial"/>
          <w:b/>
          <w:sz w:val="44"/>
          <w:szCs w:val="44"/>
        </w:rPr>
        <w:t xml:space="preserve"> </w:t>
      </w:r>
    </w:p>
    <w:p w14:paraId="2F51A850" w14:textId="7388CF57" w:rsidR="007B6904" w:rsidRPr="006A3770" w:rsidRDefault="009D23DA" w:rsidP="006A3770">
      <w:pPr>
        <w:rPr>
          <w:rFonts w:cs="Arial"/>
          <w:b/>
          <w:i/>
          <w:sz w:val="36"/>
          <w:szCs w:val="36"/>
        </w:rPr>
      </w:pPr>
      <w:r>
        <w:rPr>
          <w:rFonts w:cs="Arial"/>
          <w:b/>
          <w:sz w:val="36"/>
          <w:szCs w:val="36"/>
        </w:rPr>
        <w:t xml:space="preserve">North Canberra Hospital (NCH) – Antimicrobial Stewardship </w:t>
      </w:r>
      <w:r w:rsidR="007B6904">
        <w:rPr>
          <w:rFonts w:cs="Arial"/>
          <w:b/>
          <w:i/>
          <w:sz w:val="36"/>
          <w:szCs w:val="36"/>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52" w14:textId="77777777" w:rsidTr="0074223E">
        <w:trPr>
          <w:cantSplit/>
          <w:trHeight w:val="285"/>
        </w:trPr>
        <w:tc>
          <w:tcPr>
            <w:tcW w:w="9158" w:type="dxa"/>
            <w:shd w:val="clear" w:color="auto" w:fill="A6A6A6" w:themeFill="background1" w:themeFillShade="A6"/>
          </w:tcPr>
          <w:p w14:paraId="2F51A851" w14:textId="77777777" w:rsidR="007B6904" w:rsidRPr="00CD1C0E" w:rsidRDefault="007B6904" w:rsidP="004213C3">
            <w:pPr>
              <w:pStyle w:val="Heading1"/>
            </w:pPr>
            <w:bookmarkStart w:id="5" w:name="_Toc389473273"/>
            <w:bookmarkStart w:id="6" w:name="Contents"/>
            <w:bookmarkStart w:id="7" w:name="_Toc159339610"/>
            <w:r w:rsidRPr="00CD1C0E">
              <w:t>Contents</w:t>
            </w:r>
            <w:bookmarkEnd w:id="5"/>
            <w:bookmarkEnd w:id="6"/>
            <w:bookmarkEnd w:id="7"/>
          </w:p>
        </w:tc>
      </w:tr>
    </w:tbl>
    <w:p w14:paraId="2F51A853" w14:textId="77777777" w:rsidR="007B6904" w:rsidRDefault="007B6904" w:rsidP="007B6904"/>
    <w:p w14:paraId="04A6588F" w14:textId="7B9D692B" w:rsidR="007934B5" w:rsidRDefault="007B7628">
      <w:pPr>
        <w:pStyle w:val="TOC1"/>
        <w:tabs>
          <w:tab w:val="right" w:leader="dot" w:pos="9060"/>
        </w:tabs>
        <w:rPr>
          <w:rFonts w:eastAsiaTheme="minorEastAsia" w:cstheme="minorBidi"/>
          <w:noProof/>
          <w:sz w:val="22"/>
          <w:szCs w:val="22"/>
          <w:lang w:eastAsia="en-AU"/>
        </w:rPr>
      </w:pPr>
      <w:r>
        <w:fldChar w:fldCharType="begin"/>
      </w:r>
      <w:r w:rsidR="007052B1">
        <w:instrText xml:space="preserve"> TOC \h \z \t "Heading 1,1" </w:instrText>
      </w:r>
      <w:r>
        <w:fldChar w:fldCharType="separate"/>
      </w:r>
      <w:hyperlink w:anchor="_Toc159339610" w:history="1">
        <w:r w:rsidR="007934B5" w:rsidRPr="00040C53">
          <w:rPr>
            <w:rStyle w:val="Hyperlink"/>
            <w:noProof/>
          </w:rPr>
          <w:t>Contents</w:t>
        </w:r>
        <w:r w:rsidR="007934B5">
          <w:rPr>
            <w:noProof/>
            <w:webHidden/>
          </w:rPr>
          <w:tab/>
        </w:r>
        <w:r w:rsidR="007934B5">
          <w:rPr>
            <w:noProof/>
            <w:webHidden/>
          </w:rPr>
          <w:fldChar w:fldCharType="begin"/>
        </w:r>
        <w:r w:rsidR="007934B5">
          <w:rPr>
            <w:noProof/>
            <w:webHidden/>
          </w:rPr>
          <w:instrText xml:space="preserve"> PAGEREF _Toc159339610 \h </w:instrText>
        </w:r>
        <w:r w:rsidR="007934B5">
          <w:rPr>
            <w:noProof/>
            <w:webHidden/>
          </w:rPr>
        </w:r>
        <w:r w:rsidR="007934B5">
          <w:rPr>
            <w:noProof/>
            <w:webHidden/>
          </w:rPr>
          <w:fldChar w:fldCharType="separate"/>
        </w:r>
        <w:r w:rsidR="007934B5">
          <w:rPr>
            <w:noProof/>
            <w:webHidden/>
          </w:rPr>
          <w:t>1</w:t>
        </w:r>
        <w:r w:rsidR="007934B5">
          <w:rPr>
            <w:noProof/>
            <w:webHidden/>
          </w:rPr>
          <w:fldChar w:fldCharType="end"/>
        </w:r>
      </w:hyperlink>
    </w:p>
    <w:p w14:paraId="7CA00CE9" w14:textId="26E00432" w:rsidR="007934B5" w:rsidRDefault="00F517F5">
      <w:pPr>
        <w:pStyle w:val="TOC1"/>
        <w:tabs>
          <w:tab w:val="right" w:leader="dot" w:pos="9060"/>
        </w:tabs>
        <w:rPr>
          <w:rFonts w:eastAsiaTheme="minorEastAsia" w:cstheme="minorBidi"/>
          <w:noProof/>
          <w:sz w:val="22"/>
          <w:szCs w:val="22"/>
          <w:lang w:eastAsia="en-AU"/>
        </w:rPr>
      </w:pPr>
      <w:hyperlink w:anchor="_Toc159339611" w:history="1">
        <w:r w:rsidR="007934B5" w:rsidRPr="00040C53">
          <w:rPr>
            <w:rStyle w:val="Hyperlink"/>
            <w:noProof/>
          </w:rPr>
          <w:t>Purpose</w:t>
        </w:r>
        <w:r w:rsidR="007934B5">
          <w:rPr>
            <w:noProof/>
            <w:webHidden/>
          </w:rPr>
          <w:tab/>
        </w:r>
        <w:r w:rsidR="007934B5">
          <w:rPr>
            <w:noProof/>
            <w:webHidden/>
          </w:rPr>
          <w:fldChar w:fldCharType="begin"/>
        </w:r>
        <w:r w:rsidR="007934B5">
          <w:rPr>
            <w:noProof/>
            <w:webHidden/>
          </w:rPr>
          <w:instrText xml:space="preserve"> PAGEREF _Toc159339611 \h </w:instrText>
        </w:r>
        <w:r w:rsidR="007934B5">
          <w:rPr>
            <w:noProof/>
            <w:webHidden/>
          </w:rPr>
        </w:r>
        <w:r w:rsidR="007934B5">
          <w:rPr>
            <w:noProof/>
            <w:webHidden/>
          </w:rPr>
          <w:fldChar w:fldCharType="separate"/>
        </w:r>
        <w:r w:rsidR="007934B5">
          <w:rPr>
            <w:noProof/>
            <w:webHidden/>
          </w:rPr>
          <w:t>2</w:t>
        </w:r>
        <w:r w:rsidR="007934B5">
          <w:rPr>
            <w:noProof/>
            <w:webHidden/>
          </w:rPr>
          <w:fldChar w:fldCharType="end"/>
        </w:r>
      </w:hyperlink>
    </w:p>
    <w:p w14:paraId="231C31DE" w14:textId="64DCD382" w:rsidR="007934B5" w:rsidRDefault="00F517F5">
      <w:pPr>
        <w:pStyle w:val="TOC1"/>
        <w:tabs>
          <w:tab w:val="right" w:leader="dot" w:pos="9060"/>
        </w:tabs>
        <w:rPr>
          <w:rFonts w:eastAsiaTheme="minorEastAsia" w:cstheme="minorBidi"/>
          <w:noProof/>
          <w:sz w:val="22"/>
          <w:szCs w:val="22"/>
          <w:lang w:eastAsia="en-AU"/>
        </w:rPr>
      </w:pPr>
      <w:hyperlink w:anchor="_Toc159339612" w:history="1">
        <w:r w:rsidR="007934B5" w:rsidRPr="00040C53">
          <w:rPr>
            <w:rStyle w:val="Hyperlink"/>
            <w:noProof/>
          </w:rPr>
          <w:t>Scope</w:t>
        </w:r>
        <w:r w:rsidR="007934B5">
          <w:rPr>
            <w:noProof/>
            <w:webHidden/>
          </w:rPr>
          <w:tab/>
        </w:r>
        <w:r w:rsidR="007934B5">
          <w:rPr>
            <w:noProof/>
            <w:webHidden/>
          </w:rPr>
          <w:fldChar w:fldCharType="begin"/>
        </w:r>
        <w:r w:rsidR="007934B5">
          <w:rPr>
            <w:noProof/>
            <w:webHidden/>
          </w:rPr>
          <w:instrText xml:space="preserve"> PAGEREF _Toc159339612 \h </w:instrText>
        </w:r>
        <w:r w:rsidR="007934B5">
          <w:rPr>
            <w:noProof/>
            <w:webHidden/>
          </w:rPr>
        </w:r>
        <w:r w:rsidR="007934B5">
          <w:rPr>
            <w:noProof/>
            <w:webHidden/>
          </w:rPr>
          <w:fldChar w:fldCharType="separate"/>
        </w:r>
        <w:r w:rsidR="007934B5">
          <w:rPr>
            <w:noProof/>
            <w:webHidden/>
          </w:rPr>
          <w:t>2</w:t>
        </w:r>
        <w:r w:rsidR="007934B5">
          <w:rPr>
            <w:noProof/>
            <w:webHidden/>
          </w:rPr>
          <w:fldChar w:fldCharType="end"/>
        </w:r>
      </w:hyperlink>
    </w:p>
    <w:p w14:paraId="0BB1E8CB" w14:textId="38D69BDE" w:rsidR="007934B5" w:rsidRDefault="00F517F5">
      <w:pPr>
        <w:pStyle w:val="TOC1"/>
        <w:tabs>
          <w:tab w:val="right" w:leader="dot" w:pos="9060"/>
        </w:tabs>
        <w:rPr>
          <w:rFonts w:eastAsiaTheme="minorEastAsia" w:cstheme="minorBidi"/>
          <w:noProof/>
          <w:sz w:val="22"/>
          <w:szCs w:val="22"/>
          <w:lang w:eastAsia="en-AU"/>
        </w:rPr>
      </w:pPr>
      <w:hyperlink w:anchor="_Toc159339613" w:history="1">
        <w:r w:rsidR="007934B5" w:rsidRPr="00040C53">
          <w:rPr>
            <w:rStyle w:val="Hyperlink"/>
            <w:noProof/>
          </w:rPr>
          <w:t>Alerts</w:t>
        </w:r>
        <w:r w:rsidR="007934B5">
          <w:rPr>
            <w:noProof/>
            <w:webHidden/>
          </w:rPr>
          <w:tab/>
        </w:r>
        <w:r w:rsidR="007934B5">
          <w:rPr>
            <w:noProof/>
            <w:webHidden/>
          </w:rPr>
          <w:fldChar w:fldCharType="begin"/>
        </w:r>
        <w:r w:rsidR="007934B5">
          <w:rPr>
            <w:noProof/>
            <w:webHidden/>
          </w:rPr>
          <w:instrText xml:space="preserve"> PAGEREF _Toc159339613 \h </w:instrText>
        </w:r>
        <w:r w:rsidR="007934B5">
          <w:rPr>
            <w:noProof/>
            <w:webHidden/>
          </w:rPr>
        </w:r>
        <w:r w:rsidR="007934B5">
          <w:rPr>
            <w:noProof/>
            <w:webHidden/>
          </w:rPr>
          <w:fldChar w:fldCharType="separate"/>
        </w:r>
        <w:r w:rsidR="007934B5">
          <w:rPr>
            <w:noProof/>
            <w:webHidden/>
          </w:rPr>
          <w:t>2</w:t>
        </w:r>
        <w:r w:rsidR="007934B5">
          <w:rPr>
            <w:noProof/>
            <w:webHidden/>
          </w:rPr>
          <w:fldChar w:fldCharType="end"/>
        </w:r>
      </w:hyperlink>
    </w:p>
    <w:p w14:paraId="433C70BD" w14:textId="17EB3518" w:rsidR="007934B5" w:rsidRDefault="00F517F5">
      <w:pPr>
        <w:pStyle w:val="TOC1"/>
        <w:tabs>
          <w:tab w:val="right" w:leader="dot" w:pos="9060"/>
        </w:tabs>
        <w:rPr>
          <w:rFonts w:eastAsiaTheme="minorEastAsia" w:cstheme="minorBidi"/>
          <w:noProof/>
          <w:sz w:val="22"/>
          <w:szCs w:val="22"/>
          <w:lang w:eastAsia="en-AU"/>
        </w:rPr>
      </w:pPr>
      <w:hyperlink w:anchor="_Toc159339614" w:history="1">
        <w:r w:rsidR="007934B5" w:rsidRPr="00040C53">
          <w:rPr>
            <w:rStyle w:val="Hyperlink"/>
            <w:noProof/>
          </w:rPr>
          <w:t>Section 1 – Responsibilities</w:t>
        </w:r>
        <w:r w:rsidR="007934B5">
          <w:rPr>
            <w:noProof/>
            <w:webHidden/>
          </w:rPr>
          <w:tab/>
        </w:r>
        <w:r w:rsidR="007934B5">
          <w:rPr>
            <w:noProof/>
            <w:webHidden/>
          </w:rPr>
          <w:fldChar w:fldCharType="begin"/>
        </w:r>
        <w:r w:rsidR="007934B5">
          <w:rPr>
            <w:noProof/>
            <w:webHidden/>
          </w:rPr>
          <w:instrText xml:space="preserve"> PAGEREF _Toc159339614 \h </w:instrText>
        </w:r>
        <w:r w:rsidR="007934B5">
          <w:rPr>
            <w:noProof/>
            <w:webHidden/>
          </w:rPr>
        </w:r>
        <w:r w:rsidR="007934B5">
          <w:rPr>
            <w:noProof/>
            <w:webHidden/>
          </w:rPr>
          <w:fldChar w:fldCharType="separate"/>
        </w:r>
        <w:r w:rsidR="007934B5">
          <w:rPr>
            <w:noProof/>
            <w:webHidden/>
          </w:rPr>
          <w:t>3</w:t>
        </w:r>
        <w:r w:rsidR="007934B5">
          <w:rPr>
            <w:noProof/>
            <w:webHidden/>
          </w:rPr>
          <w:fldChar w:fldCharType="end"/>
        </w:r>
      </w:hyperlink>
    </w:p>
    <w:p w14:paraId="00BDD6F5" w14:textId="48CF3027" w:rsidR="007934B5" w:rsidRDefault="00F517F5">
      <w:pPr>
        <w:pStyle w:val="TOC1"/>
        <w:tabs>
          <w:tab w:val="right" w:leader="dot" w:pos="9060"/>
        </w:tabs>
        <w:rPr>
          <w:rFonts w:eastAsiaTheme="minorEastAsia" w:cstheme="minorBidi"/>
          <w:noProof/>
          <w:sz w:val="22"/>
          <w:szCs w:val="22"/>
          <w:lang w:eastAsia="en-AU"/>
        </w:rPr>
      </w:pPr>
      <w:hyperlink w:anchor="_Toc159339615" w:history="1">
        <w:r w:rsidR="007934B5" w:rsidRPr="00040C53">
          <w:rPr>
            <w:rStyle w:val="Hyperlink"/>
            <w:noProof/>
          </w:rPr>
          <w:t>Section 2 – Prescribing Restricted Antimicrobials</w:t>
        </w:r>
        <w:r w:rsidR="007934B5">
          <w:rPr>
            <w:noProof/>
            <w:webHidden/>
          </w:rPr>
          <w:tab/>
        </w:r>
        <w:r w:rsidR="007934B5">
          <w:rPr>
            <w:noProof/>
            <w:webHidden/>
          </w:rPr>
          <w:fldChar w:fldCharType="begin"/>
        </w:r>
        <w:r w:rsidR="007934B5">
          <w:rPr>
            <w:noProof/>
            <w:webHidden/>
          </w:rPr>
          <w:instrText xml:space="preserve"> PAGEREF _Toc159339615 \h </w:instrText>
        </w:r>
        <w:r w:rsidR="007934B5">
          <w:rPr>
            <w:noProof/>
            <w:webHidden/>
          </w:rPr>
        </w:r>
        <w:r w:rsidR="007934B5">
          <w:rPr>
            <w:noProof/>
            <w:webHidden/>
          </w:rPr>
          <w:fldChar w:fldCharType="separate"/>
        </w:r>
        <w:r w:rsidR="007934B5">
          <w:rPr>
            <w:noProof/>
            <w:webHidden/>
          </w:rPr>
          <w:t>5</w:t>
        </w:r>
        <w:r w:rsidR="007934B5">
          <w:rPr>
            <w:noProof/>
            <w:webHidden/>
          </w:rPr>
          <w:fldChar w:fldCharType="end"/>
        </w:r>
      </w:hyperlink>
    </w:p>
    <w:p w14:paraId="0DEC35BF" w14:textId="5005C06B" w:rsidR="007934B5" w:rsidRDefault="00F517F5">
      <w:pPr>
        <w:pStyle w:val="TOC1"/>
        <w:tabs>
          <w:tab w:val="right" w:leader="dot" w:pos="9060"/>
        </w:tabs>
        <w:rPr>
          <w:rFonts w:eastAsiaTheme="minorEastAsia" w:cstheme="minorBidi"/>
          <w:noProof/>
          <w:sz w:val="22"/>
          <w:szCs w:val="22"/>
          <w:lang w:eastAsia="en-AU"/>
        </w:rPr>
      </w:pPr>
      <w:hyperlink w:anchor="_Toc159339616" w:history="1">
        <w:r w:rsidR="007934B5" w:rsidRPr="00040C53">
          <w:rPr>
            <w:rStyle w:val="Hyperlink"/>
            <w:noProof/>
          </w:rPr>
          <w:t>Section 3 – Approval description</w:t>
        </w:r>
        <w:r w:rsidR="007934B5">
          <w:rPr>
            <w:noProof/>
            <w:webHidden/>
          </w:rPr>
          <w:tab/>
        </w:r>
        <w:r w:rsidR="007934B5">
          <w:rPr>
            <w:noProof/>
            <w:webHidden/>
          </w:rPr>
          <w:fldChar w:fldCharType="begin"/>
        </w:r>
        <w:r w:rsidR="007934B5">
          <w:rPr>
            <w:noProof/>
            <w:webHidden/>
          </w:rPr>
          <w:instrText xml:space="preserve"> PAGEREF _Toc159339616 \h </w:instrText>
        </w:r>
        <w:r w:rsidR="007934B5">
          <w:rPr>
            <w:noProof/>
            <w:webHidden/>
          </w:rPr>
        </w:r>
        <w:r w:rsidR="007934B5">
          <w:rPr>
            <w:noProof/>
            <w:webHidden/>
          </w:rPr>
          <w:fldChar w:fldCharType="separate"/>
        </w:r>
        <w:r w:rsidR="007934B5">
          <w:rPr>
            <w:noProof/>
            <w:webHidden/>
          </w:rPr>
          <w:t>5</w:t>
        </w:r>
        <w:r w:rsidR="007934B5">
          <w:rPr>
            <w:noProof/>
            <w:webHidden/>
          </w:rPr>
          <w:fldChar w:fldCharType="end"/>
        </w:r>
      </w:hyperlink>
    </w:p>
    <w:p w14:paraId="39D69177" w14:textId="6B9287EA" w:rsidR="007934B5" w:rsidRDefault="00F517F5">
      <w:pPr>
        <w:pStyle w:val="TOC1"/>
        <w:tabs>
          <w:tab w:val="right" w:leader="dot" w:pos="9060"/>
        </w:tabs>
        <w:rPr>
          <w:rFonts w:eastAsiaTheme="minorEastAsia" w:cstheme="minorBidi"/>
          <w:noProof/>
          <w:sz w:val="22"/>
          <w:szCs w:val="22"/>
          <w:lang w:eastAsia="en-AU"/>
        </w:rPr>
      </w:pPr>
      <w:hyperlink w:anchor="_Toc159339617" w:history="1">
        <w:r w:rsidR="007934B5" w:rsidRPr="00040C53">
          <w:rPr>
            <w:rStyle w:val="Hyperlink"/>
            <w:noProof/>
          </w:rPr>
          <w:t>Section 4 – Antimicrobial Classifications and Restrictions</w:t>
        </w:r>
        <w:r w:rsidR="007934B5">
          <w:rPr>
            <w:noProof/>
            <w:webHidden/>
          </w:rPr>
          <w:tab/>
        </w:r>
        <w:r w:rsidR="007934B5">
          <w:rPr>
            <w:noProof/>
            <w:webHidden/>
          </w:rPr>
          <w:fldChar w:fldCharType="begin"/>
        </w:r>
        <w:r w:rsidR="007934B5">
          <w:rPr>
            <w:noProof/>
            <w:webHidden/>
          </w:rPr>
          <w:instrText xml:space="preserve"> PAGEREF _Toc159339617 \h </w:instrText>
        </w:r>
        <w:r w:rsidR="007934B5">
          <w:rPr>
            <w:noProof/>
            <w:webHidden/>
          </w:rPr>
        </w:r>
        <w:r w:rsidR="007934B5">
          <w:rPr>
            <w:noProof/>
            <w:webHidden/>
          </w:rPr>
          <w:fldChar w:fldCharType="separate"/>
        </w:r>
        <w:r w:rsidR="007934B5">
          <w:rPr>
            <w:noProof/>
            <w:webHidden/>
          </w:rPr>
          <w:t>6</w:t>
        </w:r>
        <w:r w:rsidR="007934B5">
          <w:rPr>
            <w:noProof/>
            <w:webHidden/>
          </w:rPr>
          <w:fldChar w:fldCharType="end"/>
        </w:r>
      </w:hyperlink>
    </w:p>
    <w:p w14:paraId="77976698" w14:textId="00BE53D9" w:rsidR="007934B5" w:rsidRDefault="00F517F5">
      <w:pPr>
        <w:pStyle w:val="TOC1"/>
        <w:tabs>
          <w:tab w:val="right" w:leader="dot" w:pos="9060"/>
        </w:tabs>
        <w:rPr>
          <w:rFonts w:eastAsiaTheme="minorEastAsia" w:cstheme="minorBidi"/>
          <w:noProof/>
          <w:sz w:val="22"/>
          <w:szCs w:val="22"/>
          <w:lang w:eastAsia="en-AU"/>
        </w:rPr>
      </w:pPr>
      <w:hyperlink w:anchor="_Toc159339618" w:history="1">
        <w:r w:rsidR="007934B5" w:rsidRPr="00040C53">
          <w:rPr>
            <w:rStyle w:val="Hyperlink"/>
            <w:noProof/>
          </w:rPr>
          <w:t>Section 5 – Process for Requesting Antimicrobial Approval and Supply Monday – Friday</w:t>
        </w:r>
        <w:r w:rsidR="007934B5">
          <w:rPr>
            <w:noProof/>
            <w:webHidden/>
          </w:rPr>
          <w:tab/>
        </w:r>
        <w:r w:rsidR="007934B5">
          <w:rPr>
            <w:noProof/>
            <w:webHidden/>
          </w:rPr>
          <w:fldChar w:fldCharType="begin"/>
        </w:r>
        <w:r w:rsidR="007934B5">
          <w:rPr>
            <w:noProof/>
            <w:webHidden/>
          </w:rPr>
          <w:instrText xml:space="preserve"> PAGEREF _Toc159339618 \h </w:instrText>
        </w:r>
        <w:r w:rsidR="007934B5">
          <w:rPr>
            <w:noProof/>
            <w:webHidden/>
          </w:rPr>
        </w:r>
        <w:r w:rsidR="007934B5">
          <w:rPr>
            <w:noProof/>
            <w:webHidden/>
          </w:rPr>
          <w:fldChar w:fldCharType="separate"/>
        </w:r>
        <w:r w:rsidR="007934B5">
          <w:rPr>
            <w:noProof/>
            <w:webHidden/>
          </w:rPr>
          <w:t>7</w:t>
        </w:r>
        <w:r w:rsidR="007934B5">
          <w:rPr>
            <w:noProof/>
            <w:webHidden/>
          </w:rPr>
          <w:fldChar w:fldCharType="end"/>
        </w:r>
      </w:hyperlink>
    </w:p>
    <w:p w14:paraId="0647CE02" w14:textId="7962576E" w:rsidR="007934B5" w:rsidRDefault="00F517F5">
      <w:pPr>
        <w:pStyle w:val="TOC1"/>
        <w:tabs>
          <w:tab w:val="right" w:leader="dot" w:pos="9060"/>
        </w:tabs>
        <w:rPr>
          <w:rFonts w:eastAsiaTheme="minorEastAsia" w:cstheme="minorBidi"/>
          <w:noProof/>
          <w:sz w:val="22"/>
          <w:szCs w:val="22"/>
          <w:lang w:eastAsia="en-AU"/>
        </w:rPr>
      </w:pPr>
      <w:hyperlink w:anchor="_Toc159339619" w:history="1">
        <w:r w:rsidR="007934B5" w:rsidRPr="00040C53">
          <w:rPr>
            <w:rStyle w:val="Hyperlink"/>
            <w:noProof/>
          </w:rPr>
          <w:t>Section 6 – Process for Requesting Antimicrobials and Supply on Weekends</w:t>
        </w:r>
        <w:r w:rsidR="007934B5">
          <w:rPr>
            <w:noProof/>
            <w:webHidden/>
          </w:rPr>
          <w:tab/>
        </w:r>
        <w:r w:rsidR="007934B5">
          <w:rPr>
            <w:noProof/>
            <w:webHidden/>
          </w:rPr>
          <w:fldChar w:fldCharType="begin"/>
        </w:r>
        <w:r w:rsidR="007934B5">
          <w:rPr>
            <w:noProof/>
            <w:webHidden/>
          </w:rPr>
          <w:instrText xml:space="preserve"> PAGEREF _Toc159339619 \h </w:instrText>
        </w:r>
        <w:r w:rsidR="007934B5">
          <w:rPr>
            <w:noProof/>
            <w:webHidden/>
          </w:rPr>
        </w:r>
        <w:r w:rsidR="007934B5">
          <w:rPr>
            <w:noProof/>
            <w:webHidden/>
          </w:rPr>
          <w:fldChar w:fldCharType="separate"/>
        </w:r>
        <w:r w:rsidR="007934B5">
          <w:rPr>
            <w:noProof/>
            <w:webHidden/>
          </w:rPr>
          <w:t>8</w:t>
        </w:r>
        <w:r w:rsidR="007934B5">
          <w:rPr>
            <w:noProof/>
            <w:webHidden/>
          </w:rPr>
          <w:fldChar w:fldCharType="end"/>
        </w:r>
      </w:hyperlink>
    </w:p>
    <w:p w14:paraId="0BB6CEB7" w14:textId="59C93EA3" w:rsidR="007934B5" w:rsidRDefault="00F517F5">
      <w:pPr>
        <w:pStyle w:val="TOC1"/>
        <w:tabs>
          <w:tab w:val="right" w:leader="dot" w:pos="9060"/>
        </w:tabs>
        <w:rPr>
          <w:rFonts w:eastAsiaTheme="minorEastAsia" w:cstheme="minorBidi"/>
          <w:noProof/>
          <w:sz w:val="22"/>
          <w:szCs w:val="22"/>
          <w:lang w:eastAsia="en-AU"/>
        </w:rPr>
      </w:pPr>
      <w:hyperlink w:anchor="_Toc159339620" w:history="1">
        <w:r w:rsidR="007934B5" w:rsidRPr="00040C53">
          <w:rPr>
            <w:rStyle w:val="Hyperlink"/>
            <w:noProof/>
          </w:rPr>
          <w:t>Section 7 – Requesting an Extension of Approval</w:t>
        </w:r>
        <w:r w:rsidR="007934B5">
          <w:rPr>
            <w:noProof/>
            <w:webHidden/>
          </w:rPr>
          <w:tab/>
        </w:r>
        <w:r w:rsidR="007934B5">
          <w:rPr>
            <w:noProof/>
            <w:webHidden/>
          </w:rPr>
          <w:fldChar w:fldCharType="begin"/>
        </w:r>
        <w:r w:rsidR="007934B5">
          <w:rPr>
            <w:noProof/>
            <w:webHidden/>
          </w:rPr>
          <w:instrText xml:space="preserve"> PAGEREF _Toc159339620 \h </w:instrText>
        </w:r>
        <w:r w:rsidR="007934B5">
          <w:rPr>
            <w:noProof/>
            <w:webHidden/>
          </w:rPr>
        </w:r>
        <w:r w:rsidR="007934B5">
          <w:rPr>
            <w:noProof/>
            <w:webHidden/>
          </w:rPr>
          <w:fldChar w:fldCharType="separate"/>
        </w:r>
        <w:r w:rsidR="007934B5">
          <w:rPr>
            <w:noProof/>
            <w:webHidden/>
          </w:rPr>
          <w:t>8</w:t>
        </w:r>
        <w:r w:rsidR="007934B5">
          <w:rPr>
            <w:noProof/>
            <w:webHidden/>
          </w:rPr>
          <w:fldChar w:fldCharType="end"/>
        </w:r>
      </w:hyperlink>
    </w:p>
    <w:p w14:paraId="7F24E77E" w14:textId="353A21C6" w:rsidR="007934B5" w:rsidRDefault="00F517F5">
      <w:pPr>
        <w:pStyle w:val="TOC1"/>
        <w:tabs>
          <w:tab w:val="right" w:leader="dot" w:pos="9060"/>
        </w:tabs>
        <w:rPr>
          <w:rFonts w:eastAsiaTheme="minorEastAsia" w:cstheme="minorBidi"/>
          <w:noProof/>
          <w:sz w:val="22"/>
          <w:szCs w:val="22"/>
          <w:lang w:eastAsia="en-AU"/>
        </w:rPr>
      </w:pPr>
      <w:hyperlink w:anchor="_Toc159339621" w:history="1">
        <w:r w:rsidR="007934B5" w:rsidRPr="00040C53">
          <w:rPr>
            <w:rStyle w:val="Hyperlink"/>
            <w:noProof/>
          </w:rPr>
          <w:t>Section 8 – Exemptions to Seeking Approval for Restricted Antimicrobials</w:t>
        </w:r>
        <w:r w:rsidR="007934B5">
          <w:rPr>
            <w:noProof/>
            <w:webHidden/>
          </w:rPr>
          <w:tab/>
        </w:r>
        <w:r w:rsidR="007934B5">
          <w:rPr>
            <w:noProof/>
            <w:webHidden/>
          </w:rPr>
          <w:fldChar w:fldCharType="begin"/>
        </w:r>
        <w:r w:rsidR="007934B5">
          <w:rPr>
            <w:noProof/>
            <w:webHidden/>
          </w:rPr>
          <w:instrText xml:space="preserve"> PAGEREF _Toc159339621 \h </w:instrText>
        </w:r>
        <w:r w:rsidR="007934B5">
          <w:rPr>
            <w:noProof/>
            <w:webHidden/>
          </w:rPr>
        </w:r>
        <w:r w:rsidR="007934B5">
          <w:rPr>
            <w:noProof/>
            <w:webHidden/>
          </w:rPr>
          <w:fldChar w:fldCharType="separate"/>
        </w:r>
        <w:r w:rsidR="007934B5">
          <w:rPr>
            <w:noProof/>
            <w:webHidden/>
          </w:rPr>
          <w:t>9</w:t>
        </w:r>
        <w:r w:rsidR="007934B5">
          <w:rPr>
            <w:noProof/>
            <w:webHidden/>
          </w:rPr>
          <w:fldChar w:fldCharType="end"/>
        </w:r>
      </w:hyperlink>
    </w:p>
    <w:p w14:paraId="45D1C2A3" w14:textId="1991DEE0" w:rsidR="007934B5" w:rsidRDefault="00F517F5">
      <w:pPr>
        <w:pStyle w:val="TOC1"/>
        <w:tabs>
          <w:tab w:val="right" w:leader="dot" w:pos="9060"/>
        </w:tabs>
        <w:rPr>
          <w:rFonts w:eastAsiaTheme="minorEastAsia" w:cstheme="minorBidi"/>
          <w:noProof/>
          <w:sz w:val="22"/>
          <w:szCs w:val="22"/>
          <w:lang w:eastAsia="en-AU"/>
        </w:rPr>
      </w:pPr>
      <w:hyperlink w:anchor="_Toc159339622" w:history="1">
        <w:r w:rsidR="007934B5" w:rsidRPr="00040C53">
          <w:rPr>
            <w:rStyle w:val="Hyperlink"/>
            <w:noProof/>
          </w:rPr>
          <w:t>Section 9 – Antimicrobial Shortages</w:t>
        </w:r>
        <w:r w:rsidR="007934B5">
          <w:rPr>
            <w:noProof/>
            <w:webHidden/>
          </w:rPr>
          <w:tab/>
        </w:r>
        <w:r w:rsidR="007934B5">
          <w:rPr>
            <w:noProof/>
            <w:webHidden/>
          </w:rPr>
          <w:fldChar w:fldCharType="begin"/>
        </w:r>
        <w:r w:rsidR="007934B5">
          <w:rPr>
            <w:noProof/>
            <w:webHidden/>
          </w:rPr>
          <w:instrText xml:space="preserve"> PAGEREF _Toc159339622 \h </w:instrText>
        </w:r>
        <w:r w:rsidR="007934B5">
          <w:rPr>
            <w:noProof/>
            <w:webHidden/>
          </w:rPr>
        </w:r>
        <w:r w:rsidR="007934B5">
          <w:rPr>
            <w:noProof/>
            <w:webHidden/>
          </w:rPr>
          <w:fldChar w:fldCharType="separate"/>
        </w:r>
        <w:r w:rsidR="007934B5">
          <w:rPr>
            <w:noProof/>
            <w:webHidden/>
          </w:rPr>
          <w:t>9</w:t>
        </w:r>
        <w:r w:rsidR="007934B5">
          <w:rPr>
            <w:noProof/>
            <w:webHidden/>
          </w:rPr>
          <w:fldChar w:fldCharType="end"/>
        </w:r>
      </w:hyperlink>
    </w:p>
    <w:p w14:paraId="1B24B66B" w14:textId="510AB136" w:rsidR="007934B5" w:rsidRDefault="00F517F5">
      <w:pPr>
        <w:pStyle w:val="TOC1"/>
        <w:tabs>
          <w:tab w:val="right" w:leader="dot" w:pos="9060"/>
        </w:tabs>
        <w:rPr>
          <w:rFonts w:eastAsiaTheme="minorEastAsia" w:cstheme="minorBidi"/>
          <w:noProof/>
          <w:sz w:val="22"/>
          <w:szCs w:val="22"/>
          <w:lang w:eastAsia="en-AU"/>
        </w:rPr>
      </w:pPr>
      <w:hyperlink w:anchor="_Toc159339623" w:history="1">
        <w:r w:rsidR="007934B5" w:rsidRPr="00040C53">
          <w:rPr>
            <w:rStyle w:val="Hyperlink"/>
            <w:noProof/>
          </w:rPr>
          <w:t>Section 10 – After-hours Supply Service</w:t>
        </w:r>
        <w:r w:rsidR="007934B5">
          <w:rPr>
            <w:noProof/>
            <w:webHidden/>
          </w:rPr>
          <w:tab/>
        </w:r>
        <w:r w:rsidR="007934B5">
          <w:rPr>
            <w:noProof/>
            <w:webHidden/>
          </w:rPr>
          <w:fldChar w:fldCharType="begin"/>
        </w:r>
        <w:r w:rsidR="007934B5">
          <w:rPr>
            <w:noProof/>
            <w:webHidden/>
          </w:rPr>
          <w:instrText xml:space="preserve"> PAGEREF _Toc159339623 \h </w:instrText>
        </w:r>
        <w:r w:rsidR="007934B5">
          <w:rPr>
            <w:noProof/>
            <w:webHidden/>
          </w:rPr>
        </w:r>
        <w:r w:rsidR="007934B5">
          <w:rPr>
            <w:noProof/>
            <w:webHidden/>
          </w:rPr>
          <w:fldChar w:fldCharType="separate"/>
        </w:r>
        <w:r w:rsidR="007934B5">
          <w:rPr>
            <w:noProof/>
            <w:webHidden/>
          </w:rPr>
          <w:t>9</w:t>
        </w:r>
        <w:r w:rsidR="007934B5">
          <w:rPr>
            <w:noProof/>
            <w:webHidden/>
          </w:rPr>
          <w:fldChar w:fldCharType="end"/>
        </w:r>
      </w:hyperlink>
    </w:p>
    <w:p w14:paraId="6A76DA1F" w14:textId="1D72C928" w:rsidR="007934B5" w:rsidRDefault="00F517F5">
      <w:pPr>
        <w:pStyle w:val="TOC1"/>
        <w:tabs>
          <w:tab w:val="right" w:leader="dot" w:pos="9060"/>
        </w:tabs>
        <w:rPr>
          <w:rFonts w:eastAsiaTheme="minorEastAsia" w:cstheme="minorBidi"/>
          <w:noProof/>
          <w:sz w:val="22"/>
          <w:szCs w:val="22"/>
          <w:lang w:eastAsia="en-AU"/>
        </w:rPr>
      </w:pPr>
      <w:hyperlink w:anchor="_Toc159339624" w:history="1">
        <w:r w:rsidR="007934B5" w:rsidRPr="00040C53">
          <w:rPr>
            <w:rStyle w:val="Hyperlink"/>
            <w:noProof/>
          </w:rPr>
          <w:t>Section 11 – AMS Review</w:t>
        </w:r>
        <w:r w:rsidR="007934B5">
          <w:rPr>
            <w:noProof/>
            <w:webHidden/>
          </w:rPr>
          <w:tab/>
        </w:r>
        <w:r w:rsidR="007934B5">
          <w:rPr>
            <w:noProof/>
            <w:webHidden/>
          </w:rPr>
          <w:fldChar w:fldCharType="begin"/>
        </w:r>
        <w:r w:rsidR="007934B5">
          <w:rPr>
            <w:noProof/>
            <w:webHidden/>
          </w:rPr>
          <w:instrText xml:space="preserve"> PAGEREF _Toc159339624 \h </w:instrText>
        </w:r>
        <w:r w:rsidR="007934B5">
          <w:rPr>
            <w:noProof/>
            <w:webHidden/>
          </w:rPr>
        </w:r>
        <w:r w:rsidR="007934B5">
          <w:rPr>
            <w:noProof/>
            <w:webHidden/>
          </w:rPr>
          <w:fldChar w:fldCharType="separate"/>
        </w:r>
        <w:r w:rsidR="007934B5">
          <w:rPr>
            <w:noProof/>
            <w:webHidden/>
          </w:rPr>
          <w:t>9</w:t>
        </w:r>
        <w:r w:rsidR="007934B5">
          <w:rPr>
            <w:noProof/>
            <w:webHidden/>
          </w:rPr>
          <w:fldChar w:fldCharType="end"/>
        </w:r>
      </w:hyperlink>
    </w:p>
    <w:p w14:paraId="6C9ABA64" w14:textId="108F9A83" w:rsidR="007934B5" w:rsidRDefault="00F517F5">
      <w:pPr>
        <w:pStyle w:val="TOC1"/>
        <w:tabs>
          <w:tab w:val="right" w:leader="dot" w:pos="9060"/>
        </w:tabs>
        <w:rPr>
          <w:rFonts w:eastAsiaTheme="minorEastAsia" w:cstheme="minorBidi"/>
          <w:noProof/>
          <w:sz w:val="22"/>
          <w:szCs w:val="22"/>
          <w:lang w:eastAsia="en-AU"/>
        </w:rPr>
      </w:pPr>
      <w:hyperlink w:anchor="_Toc159339625" w:history="1">
        <w:r w:rsidR="007934B5" w:rsidRPr="00040C53">
          <w:rPr>
            <w:rStyle w:val="Hyperlink"/>
            <w:noProof/>
          </w:rPr>
          <w:t>Section 12 – IV to Oral Switch</w:t>
        </w:r>
        <w:r w:rsidR="007934B5">
          <w:rPr>
            <w:noProof/>
            <w:webHidden/>
          </w:rPr>
          <w:tab/>
        </w:r>
        <w:r w:rsidR="007934B5">
          <w:rPr>
            <w:noProof/>
            <w:webHidden/>
          </w:rPr>
          <w:fldChar w:fldCharType="begin"/>
        </w:r>
        <w:r w:rsidR="007934B5">
          <w:rPr>
            <w:noProof/>
            <w:webHidden/>
          </w:rPr>
          <w:instrText xml:space="preserve"> PAGEREF _Toc159339625 \h </w:instrText>
        </w:r>
        <w:r w:rsidR="007934B5">
          <w:rPr>
            <w:noProof/>
            <w:webHidden/>
          </w:rPr>
        </w:r>
        <w:r w:rsidR="007934B5">
          <w:rPr>
            <w:noProof/>
            <w:webHidden/>
          </w:rPr>
          <w:fldChar w:fldCharType="separate"/>
        </w:r>
        <w:r w:rsidR="007934B5">
          <w:rPr>
            <w:noProof/>
            <w:webHidden/>
          </w:rPr>
          <w:t>10</w:t>
        </w:r>
        <w:r w:rsidR="007934B5">
          <w:rPr>
            <w:noProof/>
            <w:webHidden/>
          </w:rPr>
          <w:fldChar w:fldCharType="end"/>
        </w:r>
      </w:hyperlink>
    </w:p>
    <w:p w14:paraId="06ED7416" w14:textId="2E774465" w:rsidR="007934B5" w:rsidRDefault="00F517F5">
      <w:pPr>
        <w:pStyle w:val="TOC1"/>
        <w:tabs>
          <w:tab w:val="right" w:leader="dot" w:pos="9060"/>
        </w:tabs>
        <w:rPr>
          <w:rFonts w:eastAsiaTheme="minorEastAsia" w:cstheme="minorBidi"/>
          <w:noProof/>
          <w:sz w:val="22"/>
          <w:szCs w:val="22"/>
          <w:lang w:eastAsia="en-AU"/>
        </w:rPr>
      </w:pPr>
      <w:hyperlink w:anchor="_Toc159339626" w:history="1">
        <w:r w:rsidR="007934B5" w:rsidRPr="00040C53">
          <w:rPr>
            <w:rStyle w:val="Hyperlink"/>
            <w:noProof/>
          </w:rPr>
          <w:t>Related Policies, Procedures, Guidelines and Legislation</w:t>
        </w:r>
        <w:r w:rsidR="007934B5">
          <w:rPr>
            <w:noProof/>
            <w:webHidden/>
          </w:rPr>
          <w:tab/>
        </w:r>
        <w:r w:rsidR="007934B5">
          <w:rPr>
            <w:noProof/>
            <w:webHidden/>
          </w:rPr>
          <w:fldChar w:fldCharType="begin"/>
        </w:r>
        <w:r w:rsidR="007934B5">
          <w:rPr>
            <w:noProof/>
            <w:webHidden/>
          </w:rPr>
          <w:instrText xml:space="preserve"> PAGEREF _Toc159339626 \h </w:instrText>
        </w:r>
        <w:r w:rsidR="007934B5">
          <w:rPr>
            <w:noProof/>
            <w:webHidden/>
          </w:rPr>
        </w:r>
        <w:r w:rsidR="007934B5">
          <w:rPr>
            <w:noProof/>
            <w:webHidden/>
          </w:rPr>
          <w:fldChar w:fldCharType="separate"/>
        </w:r>
        <w:r w:rsidR="007934B5">
          <w:rPr>
            <w:noProof/>
            <w:webHidden/>
          </w:rPr>
          <w:t>12</w:t>
        </w:r>
        <w:r w:rsidR="007934B5">
          <w:rPr>
            <w:noProof/>
            <w:webHidden/>
          </w:rPr>
          <w:fldChar w:fldCharType="end"/>
        </w:r>
      </w:hyperlink>
    </w:p>
    <w:p w14:paraId="5E8B16E1" w14:textId="2A975DD3" w:rsidR="007934B5" w:rsidRDefault="00F517F5">
      <w:pPr>
        <w:pStyle w:val="TOC1"/>
        <w:tabs>
          <w:tab w:val="right" w:leader="dot" w:pos="9060"/>
        </w:tabs>
        <w:rPr>
          <w:rFonts w:eastAsiaTheme="minorEastAsia" w:cstheme="minorBidi"/>
          <w:noProof/>
          <w:sz w:val="22"/>
          <w:szCs w:val="22"/>
          <w:lang w:eastAsia="en-AU"/>
        </w:rPr>
      </w:pPr>
      <w:hyperlink w:anchor="_Toc159339627" w:history="1">
        <w:r w:rsidR="007934B5" w:rsidRPr="00040C53">
          <w:rPr>
            <w:rStyle w:val="Hyperlink"/>
            <w:noProof/>
          </w:rPr>
          <w:t>References</w:t>
        </w:r>
        <w:r w:rsidR="007934B5">
          <w:rPr>
            <w:noProof/>
            <w:webHidden/>
          </w:rPr>
          <w:tab/>
        </w:r>
        <w:r w:rsidR="007934B5">
          <w:rPr>
            <w:noProof/>
            <w:webHidden/>
          </w:rPr>
          <w:fldChar w:fldCharType="begin"/>
        </w:r>
        <w:r w:rsidR="007934B5">
          <w:rPr>
            <w:noProof/>
            <w:webHidden/>
          </w:rPr>
          <w:instrText xml:space="preserve"> PAGEREF _Toc159339627 \h </w:instrText>
        </w:r>
        <w:r w:rsidR="007934B5">
          <w:rPr>
            <w:noProof/>
            <w:webHidden/>
          </w:rPr>
        </w:r>
        <w:r w:rsidR="007934B5">
          <w:rPr>
            <w:noProof/>
            <w:webHidden/>
          </w:rPr>
          <w:fldChar w:fldCharType="separate"/>
        </w:r>
        <w:r w:rsidR="007934B5">
          <w:rPr>
            <w:noProof/>
            <w:webHidden/>
          </w:rPr>
          <w:t>13</w:t>
        </w:r>
        <w:r w:rsidR="007934B5">
          <w:rPr>
            <w:noProof/>
            <w:webHidden/>
          </w:rPr>
          <w:fldChar w:fldCharType="end"/>
        </w:r>
      </w:hyperlink>
    </w:p>
    <w:p w14:paraId="18F999FF" w14:textId="45BD2293" w:rsidR="007934B5" w:rsidRDefault="00F517F5">
      <w:pPr>
        <w:pStyle w:val="TOC1"/>
        <w:tabs>
          <w:tab w:val="right" w:leader="dot" w:pos="9060"/>
        </w:tabs>
        <w:rPr>
          <w:rFonts w:eastAsiaTheme="minorEastAsia" w:cstheme="minorBidi"/>
          <w:noProof/>
          <w:sz w:val="22"/>
          <w:szCs w:val="22"/>
          <w:lang w:eastAsia="en-AU"/>
        </w:rPr>
      </w:pPr>
      <w:hyperlink w:anchor="_Toc159339628" w:history="1">
        <w:r w:rsidR="007934B5" w:rsidRPr="00040C53">
          <w:rPr>
            <w:rStyle w:val="Hyperlink"/>
            <w:noProof/>
          </w:rPr>
          <w:t>Definition of Terms</w:t>
        </w:r>
        <w:r w:rsidR="007934B5">
          <w:rPr>
            <w:noProof/>
            <w:webHidden/>
          </w:rPr>
          <w:tab/>
        </w:r>
        <w:r w:rsidR="007934B5">
          <w:rPr>
            <w:noProof/>
            <w:webHidden/>
          </w:rPr>
          <w:fldChar w:fldCharType="begin"/>
        </w:r>
        <w:r w:rsidR="007934B5">
          <w:rPr>
            <w:noProof/>
            <w:webHidden/>
          </w:rPr>
          <w:instrText xml:space="preserve"> PAGEREF _Toc159339628 \h </w:instrText>
        </w:r>
        <w:r w:rsidR="007934B5">
          <w:rPr>
            <w:noProof/>
            <w:webHidden/>
          </w:rPr>
        </w:r>
        <w:r w:rsidR="007934B5">
          <w:rPr>
            <w:noProof/>
            <w:webHidden/>
          </w:rPr>
          <w:fldChar w:fldCharType="separate"/>
        </w:r>
        <w:r w:rsidR="007934B5">
          <w:rPr>
            <w:noProof/>
            <w:webHidden/>
          </w:rPr>
          <w:t>13</w:t>
        </w:r>
        <w:r w:rsidR="007934B5">
          <w:rPr>
            <w:noProof/>
            <w:webHidden/>
          </w:rPr>
          <w:fldChar w:fldCharType="end"/>
        </w:r>
      </w:hyperlink>
    </w:p>
    <w:p w14:paraId="3A958076" w14:textId="5008C6B3" w:rsidR="007934B5" w:rsidRDefault="00F517F5">
      <w:pPr>
        <w:pStyle w:val="TOC1"/>
        <w:tabs>
          <w:tab w:val="right" w:leader="dot" w:pos="9060"/>
        </w:tabs>
        <w:rPr>
          <w:rFonts w:eastAsiaTheme="minorEastAsia" w:cstheme="minorBidi"/>
          <w:noProof/>
          <w:sz w:val="22"/>
          <w:szCs w:val="22"/>
          <w:lang w:eastAsia="en-AU"/>
        </w:rPr>
      </w:pPr>
      <w:hyperlink w:anchor="_Toc159339629" w:history="1">
        <w:r w:rsidR="007934B5" w:rsidRPr="00040C53">
          <w:rPr>
            <w:rStyle w:val="Hyperlink"/>
            <w:noProof/>
          </w:rPr>
          <w:t>Search Terms</w:t>
        </w:r>
        <w:r w:rsidR="007934B5">
          <w:rPr>
            <w:noProof/>
            <w:webHidden/>
          </w:rPr>
          <w:tab/>
        </w:r>
        <w:r w:rsidR="007934B5">
          <w:rPr>
            <w:noProof/>
            <w:webHidden/>
          </w:rPr>
          <w:fldChar w:fldCharType="begin"/>
        </w:r>
        <w:r w:rsidR="007934B5">
          <w:rPr>
            <w:noProof/>
            <w:webHidden/>
          </w:rPr>
          <w:instrText xml:space="preserve"> PAGEREF _Toc159339629 \h </w:instrText>
        </w:r>
        <w:r w:rsidR="007934B5">
          <w:rPr>
            <w:noProof/>
            <w:webHidden/>
          </w:rPr>
        </w:r>
        <w:r w:rsidR="007934B5">
          <w:rPr>
            <w:noProof/>
            <w:webHidden/>
          </w:rPr>
          <w:fldChar w:fldCharType="separate"/>
        </w:r>
        <w:r w:rsidR="007934B5">
          <w:rPr>
            <w:noProof/>
            <w:webHidden/>
          </w:rPr>
          <w:t>13</w:t>
        </w:r>
        <w:r w:rsidR="007934B5">
          <w:rPr>
            <w:noProof/>
            <w:webHidden/>
          </w:rPr>
          <w:fldChar w:fldCharType="end"/>
        </w:r>
      </w:hyperlink>
    </w:p>
    <w:p w14:paraId="146E0AE2" w14:textId="57395D6A" w:rsidR="007934B5" w:rsidRDefault="00F517F5">
      <w:pPr>
        <w:pStyle w:val="TOC1"/>
        <w:tabs>
          <w:tab w:val="right" w:leader="dot" w:pos="9060"/>
        </w:tabs>
        <w:rPr>
          <w:rFonts w:eastAsiaTheme="minorEastAsia" w:cstheme="minorBidi"/>
          <w:noProof/>
          <w:sz w:val="22"/>
          <w:szCs w:val="22"/>
          <w:lang w:eastAsia="en-AU"/>
        </w:rPr>
      </w:pPr>
      <w:hyperlink w:anchor="_Toc159339630" w:history="1">
        <w:r w:rsidR="007934B5" w:rsidRPr="00040C53">
          <w:rPr>
            <w:rStyle w:val="Hyperlink"/>
            <w:noProof/>
          </w:rPr>
          <w:t>Attachments</w:t>
        </w:r>
        <w:r w:rsidR="007934B5">
          <w:rPr>
            <w:noProof/>
            <w:webHidden/>
          </w:rPr>
          <w:tab/>
        </w:r>
        <w:r w:rsidR="007934B5">
          <w:rPr>
            <w:noProof/>
            <w:webHidden/>
          </w:rPr>
          <w:fldChar w:fldCharType="begin"/>
        </w:r>
        <w:r w:rsidR="007934B5">
          <w:rPr>
            <w:noProof/>
            <w:webHidden/>
          </w:rPr>
          <w:instrText xml:space="preserve"> PAGEREF _Toc159339630 \h </w:instrText>
        </w:r>
        <w:r w:rsidR="007934B5">
          <w:rPr>
            <w:noProof/>
            <w:webHidden/>
          </w:rPr>
        </w:r>
        <w:r w:rsidR="007934B5">
          <w:rPr>
            <w:noProof/>
            <w:webHidden/>
          </w:rPr>
          <w:fldChar w:fldCharType="separate"/>
        </w:r>
        <w:r w:rsidR="007934B5">
          <w:rPr>
            <w:noProof/>
            <w:webHidden/>
          </w:rPr>
          <w:t>13</w:t>
        </w:r>
        <w:r w:rsidR="007934B5">
          <w:rPr>
            <w:noProof/>
            <w:webHidden/>
          </w:rPr>
          <w:fldChar w:fldCharType="end"/>
        </w:r>
      </w:hyperlink>
    </w:p>
    <w:p w14:paraId="2F51A861" w14:textId="4EA0A9FE" w:rsidR="007052B1" w:rsidRDefault="007B7628" w:rsidP="007B6904">
      <w:pPr>
        <w:rPr>
          <w:rFonts w:asciiTheme="minorHAnsi" w:hAnsiTheme="minorHAnsi"/>
        </w:rPr>
      </w:pPr>
      <w:r>
        <w:rPr>
          <w:rFonts w:asciiTheme="minorHAnsi" w:hAnsiTheme="minorHAnsi"/>
        </w:rPr>
        <w:fldChar w:fldCharType="end"/>
      </w:r>
    </w:p>
    <w:p w14:paraId="2F51A862" w14:textId="77777777" w:rsidR="007052B1" w:rsidRDefault="007052B1">
      <w:pPr>
        <w:spacing w:after="200" w:line="276" w:lineRule="auto"/>
        <w:rPr>
          <w:rFonts w:asciiTheme="minorHAnsi" w:hAnsiTheme="minorHAnsi"/>
        </w:rPr>
      </w:pPr>
      <w:r>
        <w:rPr>
          <w:rFonts w:asciiTheme="minorHAnsi" w:hAnsiTheme="minorHAnsi"/>
        </w:rPr>
        <w:br w:type="page"/>
      </w:r>
    </w:p>
    <w:p w14:paraId="2F51A863" w14:textId="77777777" w:rsidR="007B6904" w:rsidRPr="00763141" w:rsidRDefault="007B6904" w:rsidP="007B6904"/>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65" w14:textId="77777777" w:rsidTr="0074223E">
        <w:trPr>
          <w:cantSplit/>
          <w:trHeight w:val="285"/>
        </w:trPr>
        <w:tc>
          <w:tcPr>
            <w:tcW w:w="9158" w:type="dxa"/>
            <w:shd w:val="clear" w:color="auto" w:fill="A6A6A6" w:themeFill="background1" w:themeFillShade="A6"/>
          </w:tcPr>
          <w:p w14:paraId="2F51A864" w14:textId="77777777" w:rsidR="007B6904" w:rsidRPr="00CD1C0E" w:rsidRDefault="007B6904" w:rsidP="004213C3">
            <w:pPr>
              <w:pStyle w:val="Heading1"/>
            </w:pPr>
            <w:bookmarkStart w:id="8" w:name="_Toc389473274"/>
            <w:bookmarkStart w:id="9" w:name="_Toc159339611"/>
            <w:r w:rsidRPr="00CD1C0E">
              <w:t>Purpose</w:t>
            </w:r>
            <w:bookmarkEnd w:id="8"/>
            <w:bookmarkEnd w:id="9"/>
          </w:p>
        </w:tc>
      </w:tr>
    </w:tbl>
    <w:p w14:paraId="2CEF1BFB" w14:textId="77777777" w:rsidR="009D23DA" w:rsidRDefault="009D23DA" w:rsidP="00BF078E">
      <w:pPr>
        <w:rPr>
          <w:rFonts w:cs="Arial"/>
          <w:i/>
          <w:szCs w:val="24"/>
        </w:rPr>
      </w:pPr>
    </w:p>
    <w:p w14:paraId="21A1564B" w14:textId="77777777" w:rsidR="009D23DA" w:rsidRDefault="009D23DA" w:rsidP="009D23DA">
      <w:pPr>
        <w:overflowPunct w:val="0"/>
        <w:ind w:right="452"/>
        <w:jc w:val="both"/>
      </w:pPr>
      <w:r w:rsidRPr="002E399E">
        <w:t xml:space="preserve">The purpose of this procedure </w:t>
      </w:r>
      <w:r>
        <w:t>is:</w:t>
      </w:r>
    </w:p>
    <w:p w14:paraId="66926C13" w14:textId="77777777" w:rsidR="00456268" w:rsidRDefault="00456268" w:rsidP="00456268">
      <w:pPr>
        <w:pStyle w:val="ListParagraph"/>
        <w:numPr>
          <w:ilvl w:val="0"/>
          <w:numId w:val="48"/>
        </w:numPr>
        <w:overflowPunct w:val="0"/>
        <w:autoSpaceDE w:val="0"/>
        <w:autoSpaceDN w:val="0"/>
        <w:adjustRightInd w:val="0"/>
        <w:spacing w:line="276" w:lineRule="auto"/>
        <w:ind w:left="360"/>
        <w:contextualSpacing w:val="0"/>
        <w:rPr>
          <w:rFonts w:cs="Arial"/>
        </w:rPr>
      </w:pPr>
      <w:r>
        <w:rPr>
          <w:rFonts w:cs="Arial"/>
        </w:rPr>
        <w:t xml:space="preserve">Promote the judicious use of antimicrobial agents via formulary restriction, education, decision support, </w:t>
      </w:r>
      <w:proofErr w:type="gramStart"/>
      <w:r>
        <w:rPr>
          <w:rFonts w:cs="Arial"/>
        </w:rPr>
        <w:t>feedback</w:t>
      </w:r>
      <w:proofErr w:type="gramEnd"/>
      <w:r>
        <w:rPr>
          <w:rFonts w:cs="Arial"/>
        </w:rPr>
        <w:t xml:space="preserve"> and evidenced-based protocol development</w:t>
      </w:r>
    </w:p>
    <w:p w14:paraId="11671E53" w14:textId="77777777" w:rsidR="00456268" w:rsidRPr="00456268" w:rsidRDefault="00456268" w:rsidP="00456268">
      <w:pPr>
        <w:pStyle w:val="ListBullet"/>
        <w:ind w:left="426" w:hanging="426"/>
      </w:pPr>
      <w:r w:rsidRPr="001E21A5">
        <w:rPr>
          <w:rFonts w:cs="Arial"/>
        </w:rPr>
        <w:t xml:space="preserve">Assist and support clinicians with decisions regarding the optimal selection, </w:t>
      </w:r>
      <w:proofErr w:type="gramStart"/>
      <w:r w:rsidRPr="001E21A5">
        <w:rPr>
          <w:rFonts w:cs="Arial"/>
        </w:rPr>
        <w:t>dose</w:t>
      </w:r>
      <w:proofErr w:type="gramEnd"/>
      <w:r w:rsidRPr="001E21A5">
        <w:rPr>
          <w:rFonts w:cs="Arial"/>
        </w:rPr>
        <w:t xml:space="preserve"> and d</w:t>
      </w:r>
      <w:r>
        <w:rPr>
          <w:rFonts w:cs="Arial"/>
        </w:rPr>
        <w:t xml:space="preserve">uration of antimicrobial agents </w:t>
      </w:r>
    </w:p>
    <w:p w14:paraId="2083B55F" w14:textId="1112983D" w:rsidR="00456268" w:rsidRDefault="00456268" w:rsidP="00456268">
      <w:pPr>
        <w:pStyle w:val="ListBullet"/>
        <w:ind w:left="426" w:hanging="426"/>
      </w:pPr>
      <w:r>
        <w:t xml:space="preserve">To outline </w:t>
      </w:r>
      <w:r w:rsidRPr="00754C2B">
        <w:t xml:space="preserve">how to prescribe restricted antimicrobials based on the ‘traffic light’ system, </w:t>
      </w:r>
      <w:r w:rsidRPr="00754C2B">
        <w:rPr>
          <w:b/>
        </w:rPr>
        <w:t>BLACK</w:t>
      </w:r>
      <w:r w:rsidRPr="00754C2B">
        <w:t xml:space="preserve">, </w:t>
      </w:r>
      <w:r w:rsidRPr="00754C2B">
        <w:rPr>
          <w:b/>
        </w:rPr>
        <w:t>RED, ORANGE and GREEN</w:t>
      </w:r>
    </w:p>
    <w:p w14:paraId="00346490" w14:textId="77777777" w:rsidR="00456268" w:rsidRPr="001E0245" w:rsidRDefault="00456268" w:rsidP="00456268">
      <w:pPr>
        <w:pStyle w:val="ListParagraph"/>
        <w:numPr>
          <w:ilvl w:val="0"/>
          <w:numId w:val="48"/>
        </w:numPr>
        <w:overflowPunct w:val="0"/>
        <w:autoSpaceDE w:val="0"/>
        <w:autoSpaceDN w:val="0"/>
        <w:adjustRightInd w:val="0"/>
        <w:spacing w:line="276" w:lineRule="auto"/>
        <w:ind w:left="360" w:right="452"/>
        <w:contextualSpacing w:val="0"/>
        <w:jc w:val="both"/>
        <w:rPr>
          <w:rFonts w:cs="Arial"/>
        </w:rPr>
      </w:pPr>
      <w:r>
        <w:rPr>
          <w:rFonts w:cs="Arial"/>
        </w:rPr>
        <w:t>Minimise antimicrobial-related adverse effects</w:t>
      </w:r>
    </w:p>
    <w:p w14:paraId="75029D35" w14:textId="77777777" w:rsidR="00456268" w:rsidRDefault="00456268" w:rsidP="00456268">
      <w:pPr>
        <w:pStyle w:val="ListParagraph"/>
        <w:numPr>
          <w:ilvl w:val="0"/>
          <w:numId w:val="48"/>
        </w:numPr>
        <w:overflowPunct w:val="0"/>
        <w:autoSpaceDE w:val="0"/>
        <w:autoSpaceDN w:val="0"/>
        <w:adjustRightInd w:val="0"/>
        <w:spacing w:line="276" w:lineRule="auto"/>
        <w:ind w:left="360" w:right="452"/>
        <w:contextualSpacing w:val="0"/>
        <w:jc w:val="both"/>
        <w:rPr>
          <w:rFonts w:cs="Arial"/>
        </w:rPr>
      </w:pPr>
      <w:r w:rsidRPr="001E0245">
        <w:rPr>
          <w:rFonts w:cs="Arial"/>
        </w:rPr>
        <w:t xml:space="preserve">Reduce the selection pressure driving </w:t>
      </w:r>
      <w:r>
        <w:rPr>
          <w:rFonts w:cs="Arial"/>
        </w:rPr>
        <w:t xml:space="preserve">the development of </w:t>
      </w:r>
      <w:r w:rsidRPr="001E0245">
        <w:rPr>
          <w:rFonts w:cs="Arial"/>
        </w:rPr>
        <w:t xml:space="preserve">multi-resistant organisms (MROs) and </w:t>
      </w:r>
      <w:r w:rsidRPr="00221A61">
        <w:rPr>
          <w:rFonts w:cs="Arial"/>
          <w:i/>
        </w:rPr>
        <w:t>Clostridium difficile</w:t>
      </w:r>
      <w:r w:rsidRPr="001E0245">
        <w:rPr>
          <w:rFonts w:cs="Arial"/>
        </w:rPr>
        <w:t xml:space="preserve"> </w:t>
      </w:r>
    </w:p>
    <w:p w14:paraId="2F51A86F" w14:textId="38186F99" w:rsidR="007B6904" w:rsidRPr="002F7E3C" w:rsidRDefault="00456268" w:rsidP="00456268">
      <w:pPr>
        <w:pStyle w:val="ListParagraph"/>
        <w:numPr>
          <w:ilvl w:val="0"/>
          <w:numId w:val="48"/>
        </w:numPr>
        <w:overflowPunct w:val="0"/>
        <w:autoSpaceDE w:val="0"/>
        <w:autoSpaceDN w:val="0"/>
        <w:adjustRightInd w:val="0"/>
        <w:spacing w:line="276" w:lineRule="auto"/>
        <w:ind w:left="360"/>
        <w:contextualSpacing w:val="0"/>
        <w:rPr>
          <w:rFonts w:cs="Arial"/>
          <w:szCs w:val="24"/>
        </w:rPr>
      </w:pPr>
      <w:r>
        <w:rPr>
          <w:rFonts w:cs="Arial"/>
        </w:rPr>
        <w:t>Streamline the process of obtaining approvals for restricted antimicrobials and d</w:t>
      </w:r>
      <w:r w:rsidRPr="001E21A5">
        <w:rPr>
          <w:rFonts w:cs="Arial"/>
        </w:rPr>
        <w:t xml:space="preserve">efine the roles and responsibilities of all staff involved with the </w:t>
      </w:r>
      <w:r>
        <w:rPr>
          <w:rFonts w:cs="Arial"/>
        </w:rPr>
        <w:t>Antimicrobial Stewardship (AMS) process</w:t>
      </w:r>
    </w:p>
    <w:p w14:paraId="1C7E1FE5" w14:textId="099F9F83" w:rsidR="002F7E3C" w:rsidRDefault="0DE79513" w:rsidP="00456268">
      <w:pPr>
        <w:pStyle w:val="ListParagraph"/>
        <w:numPr>
          <w:ilvl w:val="0"/>
          <w:numId w:val="48"/>
        </w:numPr>
        <w:overflowPunct w:val="0"/>
        <w:autoSpaceDE w:val="0"/>
        <w:autoSpaceDN w:val="0"/>
        <w:adjustRightInd w:val="0"/>
        <w:spacing w:line="276" w:lineRule="auto"/>
        <w:ind w:left="360"/>
        <w:contextualSpacing w:val="0"/>
        <w:rPr>
          <w:rFonts w:cs="Arial"/>
          <w:szCs w:val="24"/>
        </w:rPr>
      </w:pPr>
      <w:r w:rsidRPr="4E36F89C">
        <w:rPr>
          <w:rFonts w:cs="Arial"/>
        </w:rPr>
        <w:t xml:space="preserve">To facilitate adherence to the </w:t>
      </w:r>
      <w:r>
        <w:t>National Antimicrobial Stewardship Clinical Care Standard (ASCCS)</w:t>
      </w:r>
    </w:p>
    <w:p w14:paraId="2F51A879" w14:textId="6022D22F" w:rsidR="009E70F4" w:rsidRPr="00891C7F" w:rsidRDefault="00F517F5" w:rsidP="00891C7F">
      <w:pPr>
        <w:jc w:val="right"/>
        <w:rPr>
          <w:rFonts w:cs="Arial"/>
          <w:szCs w:val="24"/>
        </w:rPr>
      </w:pPr>
      <w:hyperlink w:anchor="Contents" w:history="1">
        <w:r w:rsidR="009E70F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7B" w14:textId="77777777" w:rsidTr="0074223E">
        <w:trPr>
          <w:cantSplit/>
          <w:trHeight w:val="285"/>
        </w:trPr>
        <w:tc>
          <w:tcPr>
            <w:tcW w:w="9158" w:type="dxa"/>
            <w:shd w:val="clear" w:color="auto" w:fill="A6A6A6" w:themeFill="background1" w:themeFillShade="A6"/>
          </w:tcPr>
          <w:p w14:paraId="2F51A87A" w14:textId="77777777" w:rsidR="007B6904" w:rsidRPr="003D2D06" w:rsidRDefault="007B6904" w:rsidP="004213C3">
            <w:pPr>
              <w:pStyle w:val="Heading1"/>
            </w:pPr>
            <w:bookmarkStart w:id="10" w:name="_Toc389473277"/>
            <w:bookmarkStart w:id="11" w:name="_Toc159339612"/>
            <w:r w:rsidRPr="003D2D06">
              <w:t>Scope</w:t>
            </w:r>
            <w:bookmarkEnd w:id="10"/>
            <w:bookmarkEnd w:id="11"/>
          </w:p>
        </w:tc>
      </w:tr>
    </w:tbl>
    <w:p w14:paraId="2F51A881" w14:textId="77777777" w:rsidR="00BF078E" w:rsidRPr="00BF078E" w:rsidRDefault="00BF078E" w:rsidP="00BF078E">
      <w:pPr>
        <w:outlineLvl w:val="0"/>
        <w:rPr>
          <w:rFonts w:cs="Arial"/>
          <w:i/>
          <w:szCs w:val="24"/>
        </w:rPr>
      </w:pPr>
    </w:p>
    <w:p w14:paraId="2F51A883" w14:textId="172E87FE" w:rsidR="00BF078E" w:rsidRDefault="680316F5" w:rsidP="4E36F89C">
      <w:pPr>
        <w:outlineLvl w:val="0"/>
        <w:rPr>
          <w:rFonts w:cs="Arial"/>
        </w:rPr>
      </w:pPr>
      <w:r w:rsidRPr="4E36F89C">
        <w:rPr>
          <w:rFonts w:cs="Arial"/>
        </w:rPr>
        <w:t>This document applies to</w:t>
      </w:r>
      <w:r w:rsidR="00582DBC" w:rsidRPr="4E36F89C">
        <w:rPr>
          <w:rFonts w:cs="Arial"/>
        </w:rPr>
        <w:t xml:space="preserve"> </w:t>
      </w:r>
      <w:r w:rsidR="5596A3A4" w:rsidRPr="4E36F89C">
        <w:rPr>
          <w:rFonts w:cs="Arial"/>
        </w:rPr>
        <w:t xml:space="preserve">all North Canberra Hospital </w:t>
      </w:r>
      <w:r w:rsidR="142539D6" w:rsidRPr="4E36F89C">
        <w:rPr>
          <w:rFonts w:cs="Arial"/>
        </w:rPr>
        <w:t>team members</w:t>
      </w:r>
      <w:r w:rsidR="5596A3A4" w:rsidRPr="4E36F89C">
        <w:rPr>
          <w:rFonts w:cs="Arial"/>
        </w:rPr>
        <w:t xml:space="preserve"> involved in the prescribing, preparation, administration, and dispensing of antimicrobials.</w:t>
      </w:r>
    </w:p>
    <w:p w14:paraId="23B60B6D" w14:textId="77777777" w:rsidR="007720B4" w:rsidRDefault="007720B4" w:rsidP="007C6933">
      <w:pPr>
        <w:outlineLvl w:val="0"/>
        <w:rPr>
          <w:rFonts w:cs="Arial"/>
          <w:iCs/>
          <w:szCs w:val="24"/>
        </w:rPr>
      </w:pPr>
    </w:p>
    <w:p w14:paraId="27445B86" w14:textId="702EA410" w:rsidR="00456268" w:rsidRDefault="00456268" w:rsidP="00456268">
      <w:pPr>
        <w:outlineLvl w:val="0"/>
        <w:rPr>
          <w:iCs/>
        </w:rPr>
      </w:pPr>
      <w:r w:rsidRPr="00456268">
        <w:rPr>
          <w:iCs/>
        </w:rPr>
        <w:t>This p</w:t>
      </w:r>
      <w:r w:rsidR="007720B4">
        <w:rPr>
          <w:iCs/>
        </w:rPr>
        <w:t xml:space="preserve">rocedure </w:t>
      </w:r>
      <w:r w:rsidRPr="00456268">
        <w:rPr>
          <w:iCs/>
        </w:rPr>
        <w:t>aligns with the National Antimicrobial Stewardship Clinical Care Standard (ASCCS). The ASCCS consists of eight nationally agreed quality statements developed by the Australian Commission for Safety and Quality in Health Care (ACSQHC) about the care that a patient should be offered in line with current best evidence. It describes key aspects of care when antimicrobials are being considered for treatment of a bacterial infection or for prophylaxis.</w:t>
      </w:r>
    </w:p>
    <w:p w14:paraId="6414427B" w14:textId="77777777" w:rsidR="007720B4" w:rsidRPr="00456268" w:rsidRDefault="007720B4" w:rsidP="00456268">
      <w:pPr>
        <w:outlineLvl w:val="0"/>
        <w:rPr>
          <w:iCs/>
        </w:rPr>
      </w:pPr>
    </w:p>
    <w:p w14:paraId="184E3F46" w14:textId="394EE243" w:rsidR="007720B4" w:rsidRDefault="00456268" w:rsidP="007720B4">
      <w:pPr>
        <w:outlineLvl w:val="0"/>
        <w:rPr>
          <w:iCs/>
        </w:rPr>
      </w:pPr>
      <w:r w:rsidRPr="00456268">
        <w:rPr>
          <w:iCs/>
        </w:rPr>
        <w:t xml:space="preserve">The quality statements relate to high-priority areas for improvement regarding antimicrobial prescribing and it complements the National Safety and Quality Health Service Standards (NSQHS) and other national efforts that support AMS. </w:t>
      </w:r>
    </w:p>
    <w:p w14:paraId="32D4F313" w14:textId="77777777" w:rsidR="007720B4" w:rsidRDefault="007720B4" w:rsidP="007720B4">
      <w:pPr>
        <w:outlineLvl w:val="0"/>
      </w:pPr>
    </w:p>
    <w:p w14:paraId="79CC3199" w14:textId="32E63A4E" w:rsidR="00A02ED1" w:rsidRDefault="00F517F5" w:rsidP="00891C7F">
      <w:pPr>
        <w:jc w:val="right"/>
        <w:rPr>
          <w:rStyle w:val="Hyperlink"/>
          <w:rFonts w:cs="Arial"/>
          <w:i/>
          <w:szCs w:val="24"/>
        </w:rPr>
      </w:pPr>
      <w:hyperlink w:anchor="Contents" w:history="1">
        <w:r w:rsidR="009E70F4" w:rsidRPr="00590902">
          <w:rPr>
            <w:rStyle w:val="Hyperlink"/>
            <w:rFonts w:cs="Arial"/>
            <w:i/>
            <w:szCs w:val="24"/>
          </w:rPr>
          <w:t>Back to Table of Contents</w:t>
        </w:r>
      </w:hyperlink>
    </w:p>
    <w:p w14:paraId="499703FB" w14:textId="77777777" w:rsidR="00891C7F" w:rsidRDefault="00891C7F" w:rsidP="00891C7F">
      <w:pPr>
        <w:jc w:val="right"/>
        <w:rPr>
          <w:rFonts w:cs="Arial"/>
          <w:i/>
          <w:color w:val="0000FF"/>
          <w:szCs w:val="24"/>
          <w:u w:val="single"/>
        </w:rPr>
      </w:pPr>
    </w:p>
    <w:p w14:paraId="164FD4BA" w14:textId="77777777" w:rsidR="00891C7F" w:rsidRDefault="00891C7F" w:rsidP="00891C7F">
      <w:pPr>
        <w:jc w:val="right"/>
      </w:pPr>
    </w:p>
    <w:p w14:paraId="30432E7C" w14:textId="77777777" w:rsidR="00891C7F" w:rsidRDefault="00891C7F" w:rsidP="00891C7F">
      <w:pPr>
        <w:jc w:val="right"/>
      </w:pPr>
    </w:p>
    <w:p w14:paraId="0A1D0253" w14:textId="77777777" w:rsidR="00891C7F" w:rsidRPr="00891C7F" w:rsidRDefault="00891C7F" w:rsidP="00891C7F">
      <w:pPr>
        <w:jc w:val="right"/>
        <w:rPr>
          <w:rFonts w:cs="Arial"/>
          <w:i/>
          <w:color w:val="0000FF"/>
          <w:szCs w:val="24"/>
          <w:u w:val="single"/>
        </w:rPr>
      </w:pPr>
    </w:p>
    <w:tbl>
      <w:tblPr>
        <w:tblpPr w:leftFromText="180" w:rightFromText="180" w:vertAnchor="text" w:horzAnchor="margin" w:tblpY="181"/>
        <w:tblW w:w="9158" w:type="dxa"/>
        <w:tblLook w:val="0000" w:firstRow="0" w:lastRow="0" w:firstColumn="0" w:lastColumn="0" w:noHBand="0" w:noVBand="0"/>
      </w:tblPr>
      <w:tblGrid>
        <w:gridCol w:w="9158"/>
      </w:tblGrid>
      <w:tr w:rsidR="00A02ED1" w:rsidRPr="00CD1C0E" w14:paraId="3AAF3C52" w14:textId="77777777" w:rsidTr="006F09E0">
        <w:trPr>
          <w:cantSplit/>
          <w:trHeight w:val="285"/>
        </w:trPr>
        <w:tc>
          <w:tcPr>
            <w:tcW w:w="9158" w:type="dxa"/>
            <w:shd w:val="clear" w:color="auto" w:fill="A6A6A6" w:themeFill="background1" w:themeFillShade="A6"/>
          </w:tcPr>
          <w:p w14:paraId="2997AC06" w14:textId="5822EB1F" w:rsidR="00A02ED1" w:rsidRPr="003D2D06" w:rsidRDefault="00A02ED1" w:rsidP="006F09E0">
            <w:pPr>
              <w:pStyle w:val="Heading1"/>
            </w:pPr>
            <w:bookmarkStart w:id="12" w:name="_Toc159339613"/>
            <w:r>
              <w:lastRenderedPageBreak/>
              <w:t>Alert</w:t>
            </w:r>
            <w:r w:rsidR="00DE6B14">
              <w:t>s</w:t>
            </w:r>
            <w:bookmarkEnd w:id="12"/>
          </w:p>
        </w:tc>
      </w:tr>
    </w:tbl>
    <w:p w14:paraId="53AE17AB" w14:textId="77777777" w:rsidR="00A02ED1" w:rsidRDefault="00A02ED1" w:rsidP="00A02ED1">
      <w:pPr>
        <w:outlineLvl w:val="0"/>
        <w:rPr>
          <w:iCs/>
        </w:rPr>
      </w:pPr>
    </w:p>
    <w:p w14:paraId="2E7DDD1F" w14:textId="7D79DEDA" w:rsidR="007720B4" w:rsidRDefault="007720B4" w:rsidP="007720B4">
      <w:pPr>
        <w:ind w:right="452"/>
        <w:rPr>
          <w:rStyle w:val="Hyperlink"/>
        </w:rPr>
      </w:pPr>
      <w:r>
        <w:t xml:space="preserve">This process applies to all antimicrobials prescribed as per the </w:t>
      </w:r>
      <w:hyperlink r:id="rId11" w:history="1">
        <w:r w:rsidRPr="006E4A71">
          <w:rPr>
            <w:rStyle w:val="Hyperlink"/>
          </w:rPr>
          <w:t>Therapeutic Guidelines: Antibiotic</w:t>
        </w:r>
      </w:hyperlink>
      <w:r>
        <w:rPr>
          <w:rStyle w:val="Hyperlink"/>
        </w:rPr>
        <w:t xml:space="preserve">, </w:t>
      </w:r>
      <w:r>
        <w:t>NCH policies, the clinical condition of the patient, and/or results from microbiological testing</w:t>
      </w:r>
    </w:p>
    <w:p w14:paraId="55CEE6D2" w14:textId="77777777" w:rsidR="007720B4" w:rsidRDefault="007720B4" w:rsidP="00A02ED1">
      <w:pPr>
        <w:outlineLvl w:val="0"/>
        <w:rPr>
          <w:iCs/>
        </w:rPr>
      </w:pPr>
    </w:p>
    <w:p w14:paraId="3D20F2E1" w14:textId="5EC313C4" w:rsidR="00A02ED1" w:rsidRDefault="00A02ED1" w:rsidP="00A02ED1">
      <w:pPr>
        <w:outlineLvl w:val="0"/>
        <w:rPr>
          <w:szCs w:val="24"/>
        </w:rPr>
      </w:pPr>
      <w:r w:rsidRPr="00456268">
        <w:rPr>
          <w:iCs/>
        </w:rPr>
        <w:t xml:space="preserve">Executive, AMS team, Prescribers, Pharmacists and Nursing Staff </w:t>
      </w:r>
      <w:r w:rsidRPr="00A02ED1">
        <w:rPr>
          <w:b/>
          <w:bCs/>
          <w:iCs/>
        </w:rPr>
        <w:t>must</w:t>
      </w:r>
      <w:r w:rsidRPr="00456268">
        <w:rPr>
          <w:iCs/>
        </w:rPr>
        <w:t xml:space="preserve"> </w:t>
      </w:r>
      <w:proofErr w:type="gramStart"/>
      <w:r w:rsidRPr="00456268">
        <w:rPr>
          <w:iCs/>
        </w:rPr>
        <w:t>at all times</w:t>
      </w:r>
      <w:proofErr w:type="gramEnd"/>
      <w:r w:rsidRPr="00456268">
        <w:rPr>
          <w:iCs/>
        </w:rPr>
        <w:t xml:space="preserve"> adhere to the eight </w:t>
      </w:r>
      <w:proofErr w:type="spellStart"/>
      <w:r w:rsidRPr="00456268">
        <w:rPr>
          <w:szCs w:val="24"/>
        </w:rPr>
        <w:t>eight</w:t>
      </w:r>
      <w:proofErr w:type="spellEnd"/>
      <w:r w:rsidRPr="00456268">
        <w:rPr>
          <w:szCs w:val="24"/>
        </w:rPr>
        <w:t xml:space="preserve"> Antimicrobial Stewardship Clinical Care Standards of the Australian Commission for Safety and Quality in Health Care (A</w:t>
      </w:r>
      <w:r>
        <w:rPr>
          <w:szCs w:val="24"/>
        </w:rPr>
        <w:t xml:space="preserve">ttachment </w:t>
      </w:r>
      <w:r w:rsidRPr="00456268">
        <w:rPr>
          <w:szCs w:val="24"/>
        </w:rPr>
        <w:t>1)</w:t>
      </w:r>
    </w:p>
    <w:p w14:paraId="5FEFDBB7" w14:textId="77777777" w:rsidR="007720B4" w:rsidRPr="00456268" w:rsidRDefault="007720B4" w:rsidP="00A02ED1">
      <w:pPr>
        <w:outlineLvl w:val="0"/>
        <w:rPr>
          <w:szCs w:val="24"/>
        </w:rPr>
      </w:pPr>
    </w:p>
    <w:p w14:paraId="680AAF84" w14:textId="7F41B2B0" w:rsidR="00456268" w:rsidRPr="00891C7F" w:rsidRDefault="00F517F5" w:rsidP="00891C7F">
      <w:pPr>
        <w:jc w:val="right"/>
        <w:rPr>
          <w:rFonts w:cs="Arial"/>
          <w:szCs w:val="24"/>
        </w:rPr>
      </w:pPr>
      <w:hyperlink w:anchor="Contents" w:history="1">
        <w:r w:rsidR="00A02ED1"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56268" w:rsidRPr="00CD1C0E" w14:paraId="77C364E4" w14:textId="77777777" w:rsidTr="006F09E0">
        <w:trPr>
          <w:cantSplit/>
          <w:trHeight w:val="285"/>
        </w:trPr>
        <w:tc>
          <w:tcPr>
            <w:tcW w:w="9158" w:type="dxa"/>
            <w:shd w:val="clear" w:color="auto" w:fill="A6A6A6" w:themeFill="background1" w:themeFillShade="A6"/>
          </w:tcPr>
          <w:p w14:paraId="7CFC57DB" w14:textId="249B9C7D" w:rsidR="00456268" w:rsidRPr="003D2D06" w:rsidRDefault="00ED4C97" w:rsidP="006F09E0">
            <w:pPr>
              <w:pStyle w:val="Heading1"/>
            </w:pPr>
            <w:bookmarkStart w:id="13" w:name="_Toc159339614"/>
            <w:r>
              <w:t>Section 1 –</w:t>
            </w:r>
            <w:r w:rsidR="00A36096">
              <w:t xml:space="preserve"> </w:t>
            </w:r>
            <w:r w:rsidR="00456268">
              <w:t>Responsibilities</w:t>
            </w:r>
            <w:bookmarkEnd w:id="13"/>
          </w:p>
        </w:tc>
      </w:tr>
    </w:tbl>
    <w:p w14:paraId="3750A433" w14:textId="77777777" w:rsidR="007C6933" w:rsidRPr="00456268" w:rsidRDefault="007C6933" w:rsidP="007D11F7">
      <w:pPr>
        <w:pStyle w:val="NoSpacing"/>
        <w:rPr>
          <w:b/>
          <w:sz w:val="24"/>
          <w:szCs w:val="24"/>
        </w:rPr>
      </w:pPr>
    </w:p>
    <w:p w14:paraId="3223D747" w14:textId="77777777" w:rsidR="00456268" w:rsidRPr="00C709F9" w:rsidRDefault="00456268" w:rsidP="00456268">
      <w:pPr>
        <w:pStyle w:val="Heading2"/>
        <w:spacing w:line="276" w:lineRule="auto"/>
        <w:ind w:right="452"/>
        <w:jc w:val="both"/>
      </w:pPr>
      <w:r>
        <w:t>Executive staff:</w:t>
      </w:r>
    </w:p>
    <w:p w14:paraId="24069689" w14:textId="77777777" w:rsidR="00456268" w:rsidRDefault="00456268" w:rsidP="00456268">
      <w:pPr>
        <w:pStyle w:val="ListParagraph"/>
        <w:numPr>
          <w:ilvl w:val="0"/>
          <w:numId w:val="50"/>
        </w:numPr>
        <w:autoSpaceDE w:val="0"/>
        <w:autoSpaceDN w:val="0"/>
        <w:adjustRightInd w:val="0"/>
        <w:spacing w:line="276" w:lineRule="auto"/>
        <w:ind w:right="452"/>
        <w:contextualSpacing w:val="0"/>
        <w:jc w:val="both"/>
      </w:pPr>
      <w:r>
        <w:t>To ensure resources are available to facilitate a sustainable, efficient AMS program</w:t>
      </w:r>
    </w:p>
    <w:p w14:paraId="2BC9D425" w14:textId="2012CDE3" w:rsidR="00456268" w:rsidRDefault="00456268" w:rsidP="00456268">
      <w:pPr>
        <w:pStyle w:val="ListParagraph"/>
        <w:numPr>
          <w:ilvl w:val="0"/>
          <w:numId w:val="50"/>
        </w:numPr>
        <w:autoSpaceDE w:val="0"/>
        <w:autoSpaceDN w:val="0"/>
        <w:adjustRightInd w:val="0"/>
        <w:spacing w:line="276" w:lineRule="auto"/>
        <w:ind w:right="452"/>
        <w:contextualSpacing w:val="0"/>
        <w:jc w:val="both"/>
      </w:pPr>
      <w:r>
        <w:t>To promote prescribing within their division and departments that is concordant with this procedure</w:t>
      </w:r>
    </w:p>
    <w:p w14:paraId="78DC6921" w14:textId="6976DC16" w:rsidR="00456268" w:rsidRDefault="00456268" w:rsidP="00456268">
      <w:pPr>
        <w:pStyle w:val="ListParagraph"/>
        <w:numPr>
          <w:ilvl w:val="0"/>
          <w:numId w:val="50"/>
        </w:numPr>
        <w:autoSpaceDE w:val="0"/>
        <w:autoSpaceDN w:val="0"/>
        <w:adjustRightInd w:val="0"/>
        <w:spacing w:line="276" w:lineRule="auto"/>
        <w:ind w:right="452"/>
        <w:contextualSpacing w:val="0"/>
        <w:jc w:val="both"/>
      </w:pPr>
      <w:r>
        <w:t>To collaborate with the AMS team to encourage the optimal use of antimicrobials</w:t>
      </w:r>
    </w:p>
    <w:p w14:paraId="2A8DCCD6" w14:textId="77777777" w:rsidR="00A02ED1" w:rsidRPr="00456268" w:rsidRDefault="00A02ED1" w:rsidP="00A02ED1">
      <w:pPr>
        <w:pStyle w:val="ListBullet"/>
        <w:numPr>
          <w:ilvl w:val="0"/>
          <w:numId w:val="50"/>
        </w:numPr>
        <w:rPr>
          <w:szCs w:val="24"/>
        </w:rPr>
      </w:pPr>
      <w:r w:rsidRPr="00456268">
        <w:rPr>
          <w:szCs w:val="24"/>
        </w:rPr>
        <w:t>Must adhere to the eight Antimicrobial Stewardship Clinical Care Standards of the Australian Commission for Safety and Quality in Health Care</w:t>
      </w:r>
      <w:r>
        <w:rPr>
          <w:szCs w:val="24"/>
        </w:rPr>
        <w:t>.</w:t>
      </w:r>
    </w:p>
    <w:p w14:paraId="6D79104C" w14:textId="77777777" w:rsidR="00456268" w:rsidRDefault="00456268" w:rsidP="007D11F7">
      <w:pPr>
        <w:pStyle w:val="NoSpacing"/>
        <w:rPr>
          <w:b/>
          <w:sz w:val="24"/>
          <w:szCs w:val="24"/>
        </w:rPr>
      </w:pPr>
    </w:p>
    <w:p w14:paraId="555C23AE" w14:textId="1A91FBE4" w:rsidR="007C6933" w:rsidRPr="00456268" w:rsidRDefault="007C6933" w:rsidP="007D11F7">
      <w:pPr>
        <w:pStyle w:val="NoSpacing"/>
        <w:rPr>
          <w:b/>
          <w:sz w:val="24"/>
          <w:szCs w:val="24"/>
        </w:rPr>
      </w:pPr>
      <w:r w:rsidRPr="00456268">
        <w:rPr>
          <w:b/>
          <w:sz w:val="24"/>
          <w:szCs w:val="24"/>
        </w:rPr>
        <w:t>Antimicrobial stewardship team:</w:t>
      </w:r>
    </w:p>
    <w:p w14:paraId="4AD1B92E" w14:textId="7928E40F" w:rsidR="007C6933" w:rsidRDefault="007C6933" w:rsidP="007D11F7">
      <w:pPr>
        <w:pStyle w:val="ListBullet"/>
        <w:ind w:left="426" w:hanging="426"/>
        <w:rPr>
          <w:szCs w:val="24"/>
        </w:rPr>
      </w:pPr>
      <w:r w:rsidRPr="00456268">
        <w:rPr>
          <w:szCs w:val="24"/>
        </w:rPr>
        <w:t>Respond to and review antimicrobial approval requests during weekdays in a timely manner and provide antimicrobial advice and recommendations (</w:t>
      </w:r>
      <w:proofErr w:type="spellStart"/>
      <w:r w:rsidRPr="00456268">
        <w:rPr>
          <w:szCs w:val="24"/>
        </w:rPr>
        <w:t>ie</w:t>
      </w:r>
      <w:proofErr w:type="spellEnd"/>
      <w:r w:rsidRPr="00456268">
        <w:rPr>
          <w:szCs w:val="24"/>
        </w:rPr>
        <w:t>, decision support) to clinical staff</w:t>
      </w:r>
    </w:p>
    <w:p w14:paraId="33B42903" w14:textId="46EFC550" w:rsidR="00456268" w:rsidRPr="00A02ED1" w:rsidRDefault="6E69AD59" w:rsidP="4E36F89C">
      <w:pPr>
        <w:pStyle w:val="ListBullet"/>
        <w:rPr>
          <w:b/>
          <w:bCs/>
        </w:rPr>
      </w:pPr>
      <w:r w:rsidRPr="4E36F89C">
        <w:rPr>
          <w:b/>
          <w:bCs/>
        </w:rPr>
        <w:t xml:space="preserve">The role of the AMS team </w:t>
      </w:r>
      <w:r w:rsidRPr="4E36F89C">
        <w:rPr>
          <w:b/>
          <w:bCs/>
          <w:u w:val="single"/>
        </w:rPr>
        <w:t>is distinct to the Infectious Diseases (ID) consult service</w:t>
      </w:r>
      <w:r w:rsidRPr="4E36F89C">
        <w:rPr>
          <w:b/>
          <w:bCs/>
        </w:rPr>
        <w:t>. It is not within the scope of an AMS review to clinically examine patients or provide definitive diagnostic advice.</w:t>
      </w:r>
      <w:r>
        <w:t xml:space="preserve"> If the prescribing team require ID consultation, contact NCH </w:t>
      </w:r>
      <w:proofErr w:type="gramStart"/>
      <w:r>
        <w:t>switchboard</w:t>
      </w:r>
      <w:proofErr w:type="gramEnd"/>
      <w:r>
        <w:t xml:space="preserve"> and request the ID registrar</w:t>
      </w:r>
    </w:p>
    <w:p w14:paraId="2F0B268C" w14:textId="5A7584DC" w:rsidR="00A02ED1" w:rsidRPr="00A02ED1" w:rsidRDefault="00A02ED1" w:rsidP="00A02ED1">
      <w:pPr>
        <w:pStyle w:val="ListBullet"/>
        <w:ind w:left="426" w:hanging="426"/>
        <w:rPr>
          <w:szCs w:val="24"/>
        </w:rPr>
      </w:pPr>
      <w:r w:rsidRPr="00456268">
        <w:rPr>
          <w:szCs w:val="24"/>
        </w:rPr>
        <w:t>Must adhere to the eight Antimicrobial Stewardship Clinical Care Standards of the</w:t>
      </w:r>
      <w:r>
        <w:rPr>
          <w:szCs w:val="24"/>
        </w:rPr>
        <w:t xml:space="preserve"> </w:t>
      </w:r>
      <w:r w:rsidRPr="00A02ED1">
        <w:rPr>
          <w:szCs w:val="24"/>
        </w:rPr>
        <w:t>Australian Commission for Safety and Quality in Health Care.</w:t>
      </w:r>
    </w:p>
    <w:p w14:paraId="0435A26E" w14:textId="30FD2EA6" w:rsidR="007C6933" w:rsidRPr="00456268" w:rsidRDefault="39F608B6" w:rsidP="4E36F89C">
      <w:pPr>
        <w:pStyle w:val="ListBullet"/>
        <w:rPr>
          <w:b/>
          <w:bCs/>
        </w:rPr>
      </w:pPr>
      <w:r w:rsidRPr="4E36F89C">
        <w:rPr>
          <w:b/>
          <w:bCs/>
        </w:rPr>
        <w:t>AMS Pharmacist:</w:t>
      </w:r>
    </w:p>
    <w:p w14:paraId="24522992" w14:textId="77777777" w:rsidR="007C6933" w:rsidRPr="00456268" w:rsidRDefault="39F608B6" w:rsidP="007067A0">
      <w:pPr>
        <w:pStyle w:val="ListBullet"/>
        <w:numPr>
          <w:ilvl w:val="0"/>
          <w:numId w:val="59"/>
        </w:numPr>
        <w:rPr>
          <w:b/>
          <w:bCs/>
        </w:rPr>
      </w:pPr>
      <w:r>
        <w:t>Assists in orientation and education of clinical team members of AMS practices at NCH</w:t>
      </w:r>
    </w:p>
    <w:p w14:paraId="3949A599" w14:textId="77777777" w:rsidR="007C6933" w:rsidRPr="00456268" w:rsidRDefault="39F608B6" w:rsidP="007067A0">
      <w:pPr>
        <w:pStyle w:val="ListBullet"/>
        <w:numPr>
          <w:ilvl w:val="0"/>
          <w:numId w:val="59"/>
        </w:numPr>
      </w:pPr>
      <w:r>
        <w:t xml:space="preserve">Educates and upskills clinical team members in antimicrobial knowledge </w:t>
      </w:r>
    </w:p>
    <w:p w14:paraId="76458164" w14:textId="77777777" w:rsidR="007C6933" w:rsidRPr="00456268" w:rsidRDefault="39F608B6" w:rsidP="007067A0">
      <w:pPr>
        <w:pStyle w:val="ListBullet"/>
        <w:numPr>
          <w:ilvl w:val="0"/>
          <w:numId w:val="59"/>
        </w:numPr>
      </w:pPr>
      <w:r>
        <w:t>Routinely evaluates and reviews the effectiveness of the AMS program, including:</w:t>
      </w:r>
    </w:p>
    <w:p w14:paraId="46C0D8A3" w14:textId="77777777" w:rsidR="007C6933" w:rsidRPr="00456268" w:rsidRDefault="39F608B6" w:rsidP="007067A0">
      <w:pPr>
        <w:pStyle w:val="ListParagraph"/>
        <w:numPr>
          <w:ilvl w:val="0"/>
          <w:numId w:val="60"/>
        </w:numPr>
        <w:ind w:right="452"/>
      </w:pPr>
      <w:r w:rsidRPr="4E36F89C">
        <w:rPr>
          <w:rFonts w:cs="Arial"/>
        </w:rPr>
        <w:t xml:space="preserve">Compliance with Antimicrobial Stewardship from </w:t>
      </w:r>
      <w:r w:rsidRPr="4E36F89C">
        <w:rPr>
          <w:rFonts w:cs="Museo Sans 300"/>
          <w:color w:val="000000" w:themeColor="text1"/>
        </w:rPr>
        <w:t>National Safety and Quality Health Service Standards</w:t>
      </w:r>
      <w:r w:rsidRPr="4E36F89C">
        <w:rPr>
          <w:rFonts w:cs="Museo Sans 300"/>
          <w:color w:val="000000" w:themeColor="text1"/>
          <w:sz w:val="20"/>
        </w:rPr>
        <w:t xml:space="preserve"> </w:t>
      </w:r>
      <w:r w:rsidRPr="4E36F89C">
        <w:rPr>
          <w:rFonts w:cs="Calluna"/>
          <w:color w:val="000000" w:themeColor="text1"/>
        </w:rPr>
        <w:t>(NSQHS)</w:t>
      </w:r>
      <w:r w:rsidRPr="4E36F89C">
        <w:rPr>
          <w:rFonts w:cs="Arial"/>
        </w:rPr>
        <w:t xml:space="preserve"> Preventing and Controlling Healthcare-Associated Infection Standard 3</w:t>
      </w:r>
    </w:p>
    <w:p w14:paraId="3D41BCA8" w14:textId="77777777" w:rsidR="007C6933" w:rsidRPr="00456268" w:rsidRDefault="39F608B6" w:rsidP="007067A0">
      <w:pPr>
        <w:pStyle w:val="ListParagraph"/>
        <w:numPr>
          <w:ilvl w:val="0"/>
          <w:numId w:val="60"/>
        </w:numPr>
        <w:ind w:right="452"/>
      </w:pPr>
      <w:r w:rsidRPr="4E36F89C">
        <w:rPr>
          <w:rFonts w:cs="Arial"/>
        </w:rPr>
        <w:t>Monitoring and auditing antibiotic usage data and benchmarking against similar hospitals</w:t>
      </w:r>
    </w:p>
    <w:p w14:paraId="5F759B94" w14:textId="77777777" w:rsidR="007C6933" w:rsidRPr="00456268" w:rsidRDefault="39F608B6" w:rsidP="007067A0">
      <w:pPr>
        <w:pStyle w:val="ListParagraph"/>
        <w:numPr>
          <w:ilvl w:val="0"/>
          <w:numId w:val="60"/>
        </w:numPr>
        <w:ind w:right="452"/>
      </w:pPr>
      <w:r w:rsidRPr="4E36F89C">
        <w:rPr>
          <w:rFonts w:cs="Arial"/>
        </w:rPr>
        <w:lastRenderedPageBreak/>
        <w:t xml:space="preserve">Reviews NCH antibiogram and multi-resistant organism data from microbiology laboratory </w:t>
      </w:r>
    </w:p>
    <w:p w14:paraId="01172284" w14:textId="6A498C2E" w:rsidR="007C6933" w:rsidRPr="00456268" w:rsidRDefault="39F608B6" w:rsidP="007067A0">
      <w:pPr>
        <w:pStyle w:val="ListParagraph"/>
        <w:numPr>
          <w:ilvl w:val="0"/>
          <w:numId w:val="61"/>
        </w:numPr>
        <w:ind w:right="452"/>
        <w:rPr>
          <w:b/>
          <w:bCs/>
          <w:szCs w:val="24"/>
        </w:rPr>
      </w:pPr>
      <w:r w:rsidRPr="4E36F89C">
        <w:rPr>
          <w:rFonts w:cs="Arial"/>
        </w:rPr>
        <w:t xml:space="preserve">Adheres to any other key performance indicators required from Infection Preventing and Controlling </w:t>
      </w:r>
      <w:proofErr w:type="spellStart"/>
      <w:r w:rsidRPr="4E36F89C">
        <w:rPr>
          <w:rFonts w:cs="Arial"/>
        </w:rPr>
        <w:t>Infcetrions</w:t>
      </w:r>
      <w:proofErr w:type="spellEnd"/>
      <w:r w:rsidRPr="4E36F89C">
        <w:rPr>
          <w:rFonts w:cs="Arial"/>
        </w:rPr>
        <w:t xml:space="preserve"> Standard Committee, Drug and Therapeutics (DTC) committee or from NCH executive.</w:t>
      </w:r>
      <w:r w:rsidRPr="4E36F89C">
        <w:rPr>
          <w:b/>
          <w:bCs/>
          <w:szCs w:val="24"/>
        </w:rPr>
        <w:t xml:space="preserve"> </w:t>
      </w:r>
    </w:p>
    <w:p w14:paraId="1E751FA8" w14:textId="2C2BF680" w:rsidR="007C6933" w:rsidRPr="00456268" w:rsidRDefault="007C6933" w:rsidP="007067A0">
      <w:pPr>
        <w:ind w:left="720" w:right="452"/>
        <w:rPr>
          <w:b/>
          <w:bCs/>
          <w:szCs w:val="24"/>
        </w:rPr>
      </w:pPr>
    </w:p>
    <w:p w14:paraId="7ACF993F" w14:textId="14A9A7EE" w:rsidR="007C6933" w:rsidRPr="00456268" w:rsidRDefault="5596A3A4" w:rsidP="4E36F89C">
      <w:pPr>
        <w:pStyle w:val="NoSpacing"/>
        <w:rPr>
          <w:b/>
          <w:bCs/>
          <w:sz w:val="24"/>
          <w:szCs w:val="24"/>
        </w:rPr>
      </w:pPr>
      <w:r w:rsidRPr="4E36F89C">
        <w:rPr>
          <w:b/>
          <w:bCs/>
          <w:sz w:val="24"/>
          <w:szCs w:val="24"/>
        </w:rPr>
        <w:t>Prescribing staff:</w:t>
      </w:r>
    </w:p>
    <w:p w14:paraId="0936F10A" w14:textId="5F66A617" w:rsidR="007C6933" w:rsidRDefault="5596A3A4" w:rsidP="007D11F7">
      <w:pPr>
        <w:pStyle w:val="ListBullet"/>
        <w:ind w:left="426" w:hanging="426"/>
        <w:rPr>
          <w:szCs w:val="24"/>
        </w:rPr>
      </w:pPr>
      <w:r>
        <w:t xml:space="preserve">Responsible for prescribing antimicrobials in accordance with the </w:t>
      </w:r>
      <w:hyperlink r:id="rId12">
        <w:r>
          <w:t>Therapeutic Guidelines: Antibiotic</w:t>
        </w:r>
      </w:hyperlink>
      <w:r>
        <w:t>, NCH policies</w:t>
      </w:r>
      <w:r w:rsidR="3D832163">
        <w:t xml:space="preserve"> and procedures</w:t>
      </w:r>
      <w:r>
        <w:t>, the clinical condition of the patient, and/or the results of microbiological testing</w:t>
      </w:r>
    </w:p>
    <w:p w14:paraId="101DDBC2" w14:textId="0EACB536" w:rsidR="00456268" w:rsidRDefault="6E69AD59" w:rsidP="00456268">
      <w:pPr>
        <w:pStyle w:val="ListBullet"/>
      </w:pPr>
      <w:r>
        <w:t xml:space="preserve">Must be familiar with how to </w:t>
      </w:r>
      <w:r w:rsidR="509BD635">
        <w:t xml:space="preserve">place </w:t>
      </w:r>
      <w:proofErr w:type="gramStart"/>
      <w:r w:rsidR="509BD635">
        <w:t>a</w:t>
      </w:r>
      <w:proofErr w:type="gramEnd"/>
      <w:r w:rsidR="509BD635">
        <w:t xml:space="preserve"> AMS consult in the Digital Health Record (DHR) </w:t>
      </w:r>
    </w:p>
    <w:p w14:paraId="1BC9B685" w14:textId="3708E7F8" w:rsidR="007C6933" w:rsidRDefault="5596A3A4" w:rsidP="007D11F7">
      <w:pPr>
        <w:pStyle w:val="ListBullet"/>
        <w:ind w:left="426" w:hanging="426"/>
        <w:rPr>
          <w:szCs w:val="24"/>
        </w:rPr>
      </w:pPr>
      <w:r>
        <w:t>Responsible for seeking prompt approval of restricted antimicrobials within specified timeframes</w:t>
      </w:r>
    </w:p>
    <w:p w14:paraId="7546329D" w14:textId="12B095C3" w:rsidR="00456268" w:rsidRPr="007D0834" w:rsidRDefault="472717C6" w:rsidP="00456268">
      <w:pPr>
        <w:pStyle w:val="ListBullet"/>
      </w:pPr>
      <w:r>
        <w:t>Responsible</w:t>
      </w:r>
      <w:r w:rsidR="6E69AD59">
        <w:t xml:space="preserve"> for engaging with clinical pharmacists and/or the AMS team to clarify the rationale of recommended antimicrobials, as required</w:t>
      </w:r>
    </w:p>
    <w:p w14:paraId="246BD466" w14:textId="7D9A5914" w:rsidR="007C6933" w:rsidRPr="00456268" w:rsidRDefault="5596A3A4" w:rsidP="007D11F7">
      <w:pPr>
        <w:pStyle w:val="ListBullet"/>
        <w:ind w:left="426" w:hanging="426"/>
        <w:rPr>
          <w:szCs w:val="24"/>
        </w:rPr>
      </w:pPr>
      <w:r>
        <w:t>Must adhere to the eight Antimicrobial Stewardship Clinical Care Standards of the Australian Commission for Safety and Quality in Health Care</w:t>
      </w:r>
      <w:r w:rsidR="4A78F20A">
        <w:t>.</w:t>
      </w:r>
    </w:p>
    <w:p w14:paraId="57C01CDA" w14:textId="77777777" w:rsidR="007C6933" w:rsidRPr="00456268" w:rsidRDefault="007C6933" w:rsidP="007D11F7">
      <w:pPr>
        <w:pStyle w:val="NoSpacing"/>
        <w:rPr>
          <w:sz w:val="24"/>
          <w:szCs w:val="24"/>
        </w:rPr>
      </w:pPr>
    </w:p>
    <w:p w14:paraId="001FC232" w14:textId="77777777" w:rsidR="007C6933" w:rsidRPr="00456268" w:rsidRDefault="007C6933" w:rsidP="007D11F7">
      <w:pPr>
        <w:pStyle w:val="NoSpacing"/>
        <w:rPr>
          <w:b/>
          <w:sz w:val="24"/>
          <w:szCs w:val="24"/>
        </w:rPr>
      </w:pPr>
      <w:r w:rsidRPr="00456268">
        <w:rPr>
          <w:b/>
          <w:sz w:val="24"/>
          <w:szCs w:val="24"/>
        </w:rPr>
        <w:t>Pharmacists:</w:t>
      </w:r>
    </w:p>
    <w:p w14:paraId="5A6C5ECE" w14:textId="3B42E015" w:rsidR="006F09E0" w:rsidRDefault="2E28C210" w:rsidP="007067A0">
      <w:pPr>
        <w:pStyle w:val="ListBullet"/>
        <w:ind w:left="426" w:hanging="426"/>
      </w:pPr>
      <w:r>
        <w:t>Responsible for clinical review of antimicrobial prescriptions and must dispense antimicrobials in accordance with</w:t>
      </w:r>
      <w:r w:rsidR="07AEA8C9">
        <w:t xml:space="preserve"> this procedure </w:t>
      </w:r>
    </w:p>
    <w:p w14:paraId="64ECF5A3" w14:textId="60FB385E" w:rsidR="006F09E0" w:rsidRDefault="6E69AD59" w:rsidP="007067A0">
      <w:pPr>
        <w:pStyle w:val="ListBullet"/>
        <w:ind w:left="426" w:hanging="426"/>
      </w:pPr>
      <w:r>
        <w:t>Will alert prescribing teams when AMS approval is required for restricted antimicrobials</w:t>
      </w:r>
    </w:p>
    <w:p w14:paraId="61917651" w14:textId="3643DFC9" w:rsidR="00A02ED1" w:rsidRDefault="07AEA8C9" w:rsidP="007067A0">
      <w:pPr>
        <w:pStyle w:val="ListBullet"/>
        <w:numPr>
          <w:ilvl w:val="0"/>
          <w:numId w:val="57"/>
        </w:numPr>
      </w:pPr>
      <w:r>
        <w:t>Will notify the AMS team if approval is not sought for restricted antimicrobials</w:t>
      </w:r>
    </w:p>
    <w:p w14:paraId="2474DE90" w14:textId="77777777" w:rsidR="00A02ED1" w:rsidRDefault="4A78F20A" w:rsidP="00A02ED1">
      <w:pPr>
        <w:pStyle w:val="ListBullet"/>
        <w:ind w:left="426" w:hanging="426"/>
        <w:rPr>
          <w:szCs w:val="24"/>
        </w:rPr>
      </w:pPr>
      <w:r>
        <w:t>Must adhere to the eight Antimicrobial Stewardship Clinical Care Standards of the Australian Commission for Safety and Quality in Health Care.</w:t>
      </w:r>
    </w:p>
    <w:p w14:paraId="3C1DEAE7" w14:textId="1870B838" w:rsidR="007C6933" w:rsidRPr="00456268" w:rsidRDefault="007C6933" w:rsidP="007D11F7">
      <w:pPr>
        <w:pStyle w:val="NoSpacing"/>
        <w:rPr>
          <w:sz w:val="24"/>
          <w:szCs w:val="24"/>
        </w:rPr>
      </w:pPr>
    </w:p>
    <w:p w14:paraId="62C98598" w14:textId="77777777" w:rsidR="007C6933" w:rsidRPr="00456268" w:rsidRDefault="007C6933" w:rsidP="007D11F7">
      <w:pPr>
        <w:pStyle w:val="NoSpacing"/>
        <w:rPr>
          <w:b/>
          <w:sz w:val="24"/>
          <w:szCs w:val="24"/>
        </w:rPr>
      </w:pPr>
      <w:r w:rsidRPr="00456268">
        <w:rPr>
          <w:b/>
          <w:sz w:val="24"/>
          <w:szCs w:val="24"/>
        </w:rPr>
        <w:t>Nursing staff:</w:t>
      </w:r>
    </w:p>
    <w:p w14:paraId="681704B6" w14:textId="77777777" w:rsidR="007C6933" w:rsidRDefault="5596A3A4" w:rsidP="007D11F7">
      <w:pPr>
        <w:pStyle w:val="ListBullet"/>
        <w:ind w:left="426" w:hanging="426"/>
        <w:rPr>
          <w:szCs w:val="24"/>
        </w:rPr>
      </w:pPr>
      <w:r>
        <w:t>Responsible for arranging supply from pharmacy or after-hours cupboard for antimicrobials which are not ward stock and administering antimicrobials at the correct time, as prescribed.</w:t>
      </w:r>
    </w:p>
    <w:p w14:paraId="07AEABFC" w14:textId="60BBFBAB" w:rsidR="00456268" w:rsidRDefault="6E69AD59" w:rsidP="00456268">
      <w:pPr>
        <w:pStyle w:val="ListBullet"/>
      </w:pPr>
      <w:r>
        <w:t xml:space="preserve">Should advocate for patient care by promoting adherence to this policy, including documentation of antimicrobial </w:t>
      </w:r>
      <w:proofErr w:type="gramStart"/>
      <w:r>
        <w:t>indications</w:t>
      </w:r>
      <w:proofErr w:type="gramEnd"/>
      <w:r>
        <w:t xml:space="preserve"> and expiring or missing </w:t>
      </w:r>
      <w:r w:rsidR="509BD635">
        <w:t xml:space="preserve">AMS </w:t>
      </w:r>
      <w:r>
        <w:t>approval</w:t>
      </w:r>
      <w:r w:rsidR="509BD635">
        <w:t>s</w:t>
      </w:r>
      <w:r>
        <w:t xml:space="preserve"> </w:t>
      </w:r>
    </w:p>
    <w:p w14:paraId="778D6D7F" w14:textId="328B0BB0" w:rsidR="00456268" w:rsidRPr="00A02ED1" w:rsidRDefault="6E69AD59" w:rsidP="006F09E0">
      <w:pPr>
        <w:pStyle w:val="ListBullet"/>
        <w:ind w:left="426" w:hanging="426"/>
        <w:rPr>
          <w:szCs w:val="24"/>
        </w:rPr>
      </w:pPr>
      <w:r>
        <w:t>Should alert the clinical pharmacist and prescribing team with concerns of non-compliance, if necessary</w:t>
      </w:r>
    </w:p>
    <w:p w14:paraId="2BF818B2" w14:textId="77777777" w:rsidR="00A02ED1" w:rsidRPr="00456268" w:rsidRDefault="4A78F20A" w:rsidP="00A02ED1">
      <w:pPr>
        <w:pStyle w:val="ListBullet"/>
        <w:ind w:left="426" w:hanging="426"/>
        <w:rPr>
          <w:szCs w:val="24"/>
        </w:rPr>
      </w:pPr>
      <w:r>
        <w:t>Must adhere to the eight Antimicrobial Stewardship Clinical Care Standards of the Australian Commission for Safety and Quality in Health Care.</w:t>
      </w:r>
    </w:p>
    <w:p w14:paraId="6C953B89" w14:textId="77777777" w:rsidR="00A02ED1" w:rsidRDefault="00A02ED1" w:rsidP="00456268">
      <w:pPr>
        <w:jc w:val="right"/>
      </w:pPr>
    </w:p>
    <w:p w14:paraId="25A8FCE7" w14:textId="67D835CF" w:rsidR="00456268" w:rsidRDefault="00F517F5" w:rsidP="00456268">
      <w:pPr>
        <w:jc w:val="right"/>
        <w:rPr>
          <w:rFonts w:cs="Arial"/>
          <w:i/>
          <w:szCs w:val="24"/>
        </w:rPr>
      </w:pPr>
      <w:hyperlink w:anchor="Contents" w:history="1">
        <w:r w:rsidR="00456268" w:rsidRPr="00590902">
          <w:rPr>
            <w:rStyle w:val="Hyperlink"/>
            <w:rFonts w:cs="Arial"/>
            <w:i/>
            <w:szCs w:val="24"/>
          </w:rPr>
          <w:t>Back to Table of Contents</w:t>
        </w:r>
      </w:hyperlink>
      <w:r w:rsidR="00456268">
        <w:rPr>
          <w:rFonts w:cs="Arial"/>
          <w:i/>
          <w:szCs w:val="24"/>
        </w:rPr>
        <w:t xml:space="preserve"> </w:t>
      </w:r>
    </w:p>
    <w:p w14:paraId="4AB7EB55" w14:textId="77777777" w:rsidR="007C6933" w:rsidRPr="00CD1C0E" w:rsidRDefault="007C6933" w:rsidP="00F14EC1">
      <w:pPr>
        <w:jc w:val="right"/>
      </w:pPr>
    </w:p>
    <w:p w14:paraId="0DD46D02" w14:textId="77777777" w:rsidR="007514C0" w:rsidRDefault="007514C0">
      <w:bookmarkStart w:id="14" w:name="_Toc389473278"/>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89" w14:textId="77777777" w:rsidTr="0074223E">
        <w:trPr>
          <w:cantSplit/>
          <w:trHeight w:val="285"/>
        </w:trPr>
        <w:tc>
          <w:tcPr>
            <w:tcW w:w="9158" w:type="dxa"/>
            <w:shd w:val="clear" w:color="auto" w:fill="A6A6A6" w:themeFill="background1" w:themeFillShade="A6"/>
          </w:tcPr>
          <w:p w14:paraId="2F51A888" w14:textId="07F6457C" w:rsidR="007B6904" w:rsidRPr="00C76688" w:rsidRDefault="007B6904" w:rsidP="00931B93">
            <w:pPr>
              <w:pStyle w:val="Heading1"/>
            </w:pPr>
            <w:bookmarkStart w:id="15" w:name="_Toc159339615"/>
            <w:r w:rsidRPr="00C76688">
              <w:lastRenderedPageBreak/>
              <w:t xml:space="preserve">Section </w:t>
            </w:r>
            <w:r w:rsidR="00ED4C97">
              <w:t>2</w:t>
            </w:r>
            <w:r w:rsidRPr="00C76688">
              <w:t xml:space="preserve"> –</w:t>
            </w:r>
            <w:r>
              <w:t xml:space="preserve"> </w:t>
            </w:r>
            <w:bookmarkEnd w:id="14"/>
            <w:r w:rsidR="009D23DA">
              <w:t>Prescribing Restricted Antimicrobials</w:t>
            </w:r>
            <w:bookmarkEnd w:id="15"/>
          </w:p>
        </w:tc>
      </w:tr>
    </w:tbl>
    <w:p w14:paraId="2F51A88D" w14:textId="77777777" w:rsidR="00756A2B" w:rsidRDefault="00756A2B" w:rsidP="007B6904">
      <w:bookmarkStart w:id="16" w:name="_Toc389473280"/>
    </w:p>
    <w:bookmarkEnd w:id="16"/>
    <w:p w14:paraId="72B248CC" w14:textId="30ECB421" w:rsidR="009D23DA" w:rsidRDefault="009D23DA" w:rsidP="007D11F7">
      <w:pPr>
        <w:ind w:right="452"/>
        <w:rPr>
          <w:iCs/>
        </w:rPr>
      </w:pPr>
      <w:r w:rsidRPr="009D23DA">
        <w:rPr>
          <w:iCs/>
        </w:rPr>
        <w:t xml:space="preserve">To ensure judicious management of broad-spectrum antimicrobial prescribing, the </w:t>
      </w:r>
      <w:r>
        <w:rPr>
          <w:iCs/>
        </w:rPr>
        <w:t>North Canberra Hospital (NCH)</w:t>
      </w:r>
      <w:r w:rsidRPr="009D23DA">
        <w:rPr>
          <w:iCs/>
        </w:rPr>
        <w:t xml:space="preserve"> ‘traffic light system’ (colours of </w:t>
      </w:r>
      <w:r w:rsidRPr="009D23DA">
        <w:rPr>
          <w:b/>
          <w:bCs/>
          <w:iCs/>
        </w:rPr>
        <w:t>BLACK, RED, ORANGE and GREEN</w:t>
      </w:r>
      <w:r w:rsidRPr="009D23DA">
        <w:rPr>
          <w:iCs/>
        </w:rPr>
        <w:t>) whether approval is required to prescribe and in the required time frame.</w:t>
      </w:r>
    </w:p>
    <w:p w14:paraId="2C777D9C" w14:textId="77777777" w:rsidR="00456268" w:rsidRDefault="00456268" w:rsidP="007D11F7">
      <w:pPr>
        <w:ind w:right="452"/>
        <w:rPr>
          <w:iCs/>
        </w:rPr>
      </w:pPr>
    </w:p>
    <w:tbl>
      <w:tblPr>
        <w:tblStyle w:val="TableGrid"/>
        <w:tblW w:w="9209" w:type="dxa"/>
        <w:tblLayout w:type="fixed"/>
        <w:tblLook w:val="04A0" w:firstRow="1" w:lastRow="0" w:firstColumn="1" w:lastColumn="0" w:noHBand="0" w:noVBand="1"/>
      </w:tblPr>
      <w:tblGrid>
        <w:gridCol w:w="1635"/>
        <w:gridCol w:w="1904"/>
        <w:gridCol w:w="1701"/>
        <w:gridCol w:w="1701"/>
        <w:gridCol w:w="2268"/>
      </w:tblGrid>
      <w:tr w:rsidR="00456268" w14:paraId="172AA01F" w14:textId="77777777" w:rsidTr="007067A0">
        <w:trPr>
          <w:trHeight w:val="437"/>
        </w:trPr>
        <w:tc>
          <w:tcPr>
            <w:tcW w:w="1635" w:type="dxa"/>
            <w:shd w:val="clear" w:color="auto" w:fill="D9D9D9" w:themeFill="background1" w:themeFillShade="D9"/>
            <w:vAlign w:val="center"/>
          </w:tcPr>
          <w:p w14:paraId="4A8010F1" w14:textId="0687629C" w:rsidR="00456268" w:rsidRPr="00BB5EA9" w:rsidRDefault="007514C0">
            <w:pPr>
              <w:overflowPunct w:val="0"/>
              <w:autoSpaceDE w:val="0"/>
              <w:autoSpaceDN w:val="0"/>
              <w:adjustRightInd w:val="0"/>
              <w:jc w:val="center"/>
              <w:rPr>
                <w:rFonts w:cs="Arial"/>
                <w:b/>
              </w:rPr>
            </w:pPr>
            <w:r>
              <w:rPr>
                <w:rFonts w:cs="Arial"/>
                <w:b/>
              </w:rPr>
              <w:t>COLOUR</w:t>
            </w:r>
          </w:p>
        </w:tc>
        <w:tc>
          <w:tcPr>
            <w:tcW w:w="1904" w:type="dxa"/>
            <w:tcBorders>
              <w:bottom w:val="single" w:sz="4" w:space="0" w:color="auto"/>
            </w:tcBorders>
            <w:vAlign w:val="center"/>
          </w:tcPr>
          <w:p w14:paraId="2E16BF39" w14:textId="77777777" w:rsidR="00456268" w:rsidRPr="009A2F69" w:rsidRDefault="00456268" w:rsidP="007067A0">
            <w:pPr>
              <w:overflowPunct w:val="0"/>
              <w:autoSpaceDE w:val="0"/>
              <w:autoSpaceDN w:val="0"/>
              <w:adjustRightInd w:val="0"/>
              <w:jc w:val="center"/>
              <w:rPr>
                <w:rFonts w:cs="Arial"/>
                <w:b/>
              </w:rPr>
            </w:pPr>
            <w:r w:rsidRPr="009A2F69">
              <w:rPr>
                <w:rFonts w:cs="Arial"/>
                <w:b/>
              </w:rPr>
              <w:t>BLACK</w:t>
            </w:r>
          </w:p>
        </w:tc>
        <w:tc>
          <w:tcPr>
            <w:tcW w:w="1701" w:type="dxa"/>
            <w:tcBorders>
              <w:bottom w:val="single" w:sz="4" w:space="0" w:color="auto"/>
            </w:tcBorders>
            <w:shd w:val="clear" w:color="auto" w:fill="E5B8B7" w:themeFill="accent2" w:themeFillTint="66"/>
            <w:vAlign w:val="center"/>
          </w:tcPr>
          <w:p w14:paraId="39B2C719" w14:textId="77777777" w:rsidR="00456268" w:rsidRPr="00885B85" w:rsidRDefault="00456268" w:rsidP="007067A0">
            <w:pPr>
              <w:overflowPunct w:val="0"/>
              <w:autoSpaceDE w:val="0"/>
              <w:autoSpaceDN w:val="0"/>
              <w:adjustRightInd w:val="0"/>
              <w:jc w:val="center"/>
              <w:rPr>
                <w:rFonts w:cs="Arial"/>
              </w:rPr>
            </w:pPr>
            <w:r w:rsidRPr="00885B85">
              <w:rPr>
                <w:b/>
              </w:rPr>
              <w:t>RED</w:t>
            </w:r>
          </w:p>
        </w:tc>
        <w:tc>
          <w:tcPr>
            <w:tcW w:w="1701" w:type="dxa"/>
            <w:tcBorders>
              <w:bottom w:val="single" w:sz="4" w:space="0" w:color="auto"/>
            </w:tcBorders>
            <w:shd w:val="clear" w:color="auto" w:fill="FBD4B4" w:themeFill="accent6" w:themeFillTint="66"/>
            <w:vAlign w:val="center"/>
          </w:tcPr>
          <w:p w14:paraId="1A8CD84F" w14:textId="77777777" w:rsidR="00456268" w:rsidRPr="00885B85" w:rsidRDefault="00456268" w:rsidP="007067A0">
            <w:pPr>
              <w:overflowPunct w:val="0"/>
              <w:autoSpaceDE w:val="0"/>
              <w:autoSpaceDN w:val="0"/>
              <w:adjustRightInd w:val="0"/>
              <w:jc w:val="center"/>
              <w:rPr>
                <w:rFonts w:cs="Arial"/>
              </w:rPr>
            </w:pPr>
            <w:r w:rsidRPr="00885B85">
              <w:rPr>
                <w:b/>
              </w:rPr>
              <w:t>ORANGE</w:t>
            </w:r>
          </w:p>
        </w:tc>
        <w:tc>
          <w:tcPr>
            <w:tcW w:w="2268" w:type="dxa"/>
            <w:tcBorders>
              <w:bottom w:val="single" w:sz="4" w:space="0" w:color="auto"/>
            </w:tcBorders>
            <w:shd w:val="clear" w:color="auto" w:fill="D6E3BC" w:themeFill="accent3" w:themeFillTint="66"/>
            <w:vAlign w:val="center"/>
          </w:tcPr>
          <w:p w14:paraId="28531A74" w14:textId="77777777" w:rsidR="00456268" w:rsidRPr="00885B85" w:rsidRDefault="00456268" w:rsidP="007067A0">
            <w:pPr>
              <w:overflowPunct w:val="0"/>
              <w:autoSpaceDE w:val="0"/>
              <w:autoSpaceDN w:val="0"/>
              <w:adjustRightInd w:val="0"/>
              <w:jc w:val="center"/>
              <w:rPr>
                <w:rFonts w:cs="Arial"/>
              </w:rPr>
            </w:pPr>
            <w:r w:rsidRPr="00885B85">
              <w:rPr>
                <w:b/>
              </w:rPr>
              <w:t>GREEN</w:t>
            </w:r>
          </w:p>
        </w:tc>
      </w:tr>
      <w:tr w:rsidR="00456268" w14:paraId="44748C49" w14:textId="77777777" w:rsidTr="007067A0">
        <w:trPr>
          <w:trHeight w:val="544"/>
        </w:trPr>
        <w:tc>
          <w:tcPr>
            <w:tcW w:w="1635" w:type="dxa"/>
            <w:shd w:val="clear" w:color="auto" w:fill="D9D9D9" w:themeFill="background1" w:themeFillShade="D9"/>
            <w:vAlign w:val="center"/>
          </w:tcPr>
          <w:p w14:paraId="594D7FC8" w14:textId="77777777" w:rsidR="00456268" w:rsidRPr="00BB5EA9" w:rsidRDefault="00456268">
            <w:pPr>
              <w:overflowPunct w:val="0"/>
              <w:autoSpaceDE w:val="0"/>
              <w:autoSpaceDN w:val="0"/>
              <w:adjustRightInd w:val="0"/>
              <w:jc w:val="center"/>
              <w:rPr>
                <w:rFonts w:cs="Arial"/>
                <w:b/>
              </w:rPr>
            </w:pPr>
            <w:r w:rsidRPr="00BB5EA9">
              <w:rPr>
                <w:rFonts w:cs="Arial"/>
                <w:b/>
              </w:rPr>
              <w:t>Restriction</w:t>
            </w:r>
          </w:p>
        </w:tc>
        <w:tc>
          <w:tcPr>
            <w:tcW w:w="1904" w:type="dxa"/>
            <w:tcBorders>
              <w:bottom w:val="single" w:sz="4" w:space="0" w:color="auto"/>
            </w:tcBorders>
            <w:shd w:val="clear" w:color="auto" w:fill="FFFFFF" w:themeFill="background1"/>
            <w:vAlign w:val="center"/>
          </w:tcPr>
          <w:p w14:paraId="0D2BF02E" w14:textId="77777777" w:rsidR="00456268" w:rsidRDefault="00456268" w:rsidP="007067A0">
            <w:pPr>
              <w:overflowPunct w:val="0"/>
              <w:autoSpaceDE w:val="0"/>
              <w:autoSpaceDN w:val="0"/>
              <w:adjustRightInd w:val="0"/>
              <w:jc w:val="center"/>
              <w:rPr>
                <w:rFonts w:cs="Arial"/>
              </w:rPr>
            </w:pPr>
            <w:r>
              <w:rPr>
                <w:rFonts w:cs="Arial"/>
              </w:rPr>
              <w:t>Highly Restricted</w:t>
            </w:r>
          </w:p>
        </w:tc>
        <w:tc>
          <w:tcPr>
            <w:tcW w:w="1701" w:type="dxa"/>
            <w:tcBorders>
              <w:bottom w:val="single" w:sz="4" w:space="0" w:color="auto"/>
            </w:tcBorders>
            <w:shd w:val="clear" w:color="auto" w:fill="FFFFFF" w:themeFill="background1"/>
            <w:vAlign w:val="center"/>
          </w:tcPr>
          <w:p w14:paraId="30D0B25A" w14:textId="54F27E3F" w:rsidR="00456268" w:rsidRDefault="00456268" w:rsidP="007067A0">
            <w:pPr>
              <w:overflowPunct w:val="0"/>
              <w:autoSpaceDE w:val="0"/>
              <w:autoSpaceDN w:val="0"/>
              <w:adjustRightInd w:val="0"/>
              <w:jc w:val="center"/>
              <w:rPr>
                <w:rFonts w:cs="Arial"/>
              </w:rPr>
            </w:pPr>
            <w:r>
              <w:rPr>
                <w:rFonts w:cs="Arial"/>
              </w:rPr>
              <w:t>Restricted</w:t>
            </w:r>
          </w:p>
        </w:tc>
        <w:tc>
          <w:tcPr>
            <w:tcW w:w="1701" w:type="dxa"/>
            <w:tcBorders>
              <w:bottom w:val="single" w:sz="4" w:space="0" w:color="auto"/>
            </w:tcBorders>
            <w:shd w:val="clear" w:color="auto" w:fill="FFFFFF" w:themeFill="background1"/>
            <w:vAlign w:val="center"/>
          </w:tcPr>
          <w:p w14:paraId="11C21930" w14:textId="1EC4E199" w:rsidR="00456268" w:rsidRDefault="00456268" w:rsidP="007067A0">
            <w:pPr>
              <w:overflowPunct w:val="0"/>
              <w:autoSpaceDE w:val="0"/>
              <w:autoSpaceDN w:val="0"/>
              <w:adjustRightInd w:val="0"/>
              <w:jc w:val="center"/>
              <w:rPr>
                <w:rFonts w:cs="Arial"/>
              </w:rPr>
            </w:pPr>
            <w:r>
              <w:rPr>
                <w:rFonts w:cs="Arial"/>
              </w:rPr>
              <w:t>Restricted</w:t>
            </w:r>
          </w:p>
        </w:tc>
        <w:tc>
          <w:tcPr>
            <w:tcW w:w="2268" w:type="dxa"/>
            <w:tcBorders>
              <w:bottom w:val="single" w:sz="4" w:space="0" w:color="auto"/>
            </w:tcBorders>
            <w:vAlign w:val="center"/>
          </w:tcPr>
          <w:p w14:paraId="48CEE6AE" w14:textId="1F2D6960" w:rsidR="00456268" w:rsidRDefault="00456268" w:rsidP="007067A0">
            <w:pPr>
              <w:overflowPunct w:val="0"/>
              <w:autoSpaceDE w:val="0"/>
              <w:autoSpaceDN w:val="0"/>
              <w:adjustRightInd w:val="0"/>
              <w:jc w:val="center"/>
              <w:rPr>
                <w:rFonts w:cs="Arial"/>
              </w:rPr>
            </w:pPr>
            <w:r>
              <w:rPr>
                <w:rFonts w:cs="Arial"/>
              </w:rPr>
              <w:t>Not restricted</w:t>
            </w:r>
          </w:p>
        </w:tc>
      </w:tr>
      <w:tr w:rsidR="00456268" w14:paraId="73D6D771" w14:textId="77777777" w:rsidTr="007067A0">
        <w:trPr>
          <w:trHeight w:val="1337"/>
        </w:trPr>
        <w:tc>
          <w:tcPr>
            <w:tcW w:w="1635" w:type="dxa"/>
            <w:vMerge w:val="restart"/>
            <w:shd w:val="clear" w:color="auto" w:fill="D9D9D9" w:themeFill="background1" w:themeFillShade="D9"/>
            <w:vAlign w:val="center"/>
          </w:tcPr>
          <w:p w14:paraId="463695A6" w14:textId="77777777" w:rsidR="00456268" w:rsidRPr="00BB5EA9" w:rsidRDefault="00456268">
            <w:pPr>
              <w:overflowPunct w:val="0"/>
              <w:autoSpaceDE w:val="0"/>
              <w:autoSpaceDN w:val="0"/>
              <w:adjustRightInd w:val="0"/>
              <w:jc w:val="center"/>
              <w:rPr>
                <w:rFonts w:cs="Arial"/>
                <w:b/>
              </w:rPr>
            </w:pPr>
            <w:r w:rsidRPr="00BB5EA9">
              <w:rPr>
                <w:rFonts w:cs="Arial"/>
                <w:b/>
              </w:rPr>
              <w:t>Approval Process</w:t>
            </w:r>
          </w:p>
        </w:tc>
        <w:tc>
          <w:tcPr>
            <w:tcW w:w="1904" w:type="dxa"/>
            <w:tcBorders>
              <w:top w:val="single" w:sz="4" w:space="0" w:color="auto"/>
            </w:tcBorders>
            <w:shd w:val="clear" w:color="auto" w:fill="FFFFFF" w:themeFill="background1"/>
            <w:vAlign w:val="center"/>
          </w:tcPr>
          <w:p w14:paraId="3717E5EF" w14:textId="77777777" w:rsidR="00456268" w:rsidRDefault="00456268" w:rsidP="007067A0">
            <w:pPr>
              <w:overflowPunct w:val="0"/>
              <w:autoSpaceDE w:val="0"/>
              <w:autoSpaceDN w:val="0"/>
              <w:adjustRightInd w:val="0"/>
              <w:jc w:val="center"/>
              <w:rPr>
                <w:rFonts w:cs="Arial"/>
              </w:rPr>
            </w:pPr>
            <w:r>
              <w:t xml:space="preserve">Infectious diseases (ID) approval required </w:t>
            </w:r>
            <w:r w:rsidRPr="00277D40">
              <w:rPr>
                <w:b/>
                <w:u w:val="single"/>
              </w:rPr>
              <w:t>PRIOR</w:t>
            </w:r>
            <w:r>
              <w:t xml:space="preserve"> to prescribing</w:t>
            </w:r>
          </w:p>
        </w:tc>
        <w:tc>
          <w:tcPr>
            <w:tcW w:w="1701" w:type="dxa"/>
            <w:tcBorders>
              <w:top w:val="single" w:sz="4" w:space="0" w:color="auto"/>
            </w:tcBorders>
            <w:shd w:val="clear" w:color="auto" w:fill="FFFFFF" w:themeFill="background1"/>
            <w:vAlign w:val="center"/>
          </w:tcPr>
          <w:p w14:paraId="75907E2D" w14:textId="776CF1A0" w:rsidR="00456268" w:rsidRDefault="00456268" w:rsidP="007067A0">
            <w:pPr>
              <w:overflowPunct w:val="0"/>
              <w:autoSpaceDE w:val="0"/>
              <w:autoSpaceDN w:val="0"/>
              <w:adjustRightInd w:val="0"/>
              <w:jc w:val="center"/>
              <w:rPr>
                <w:rFonts w:cs="Arial"/>
              </w:rPr>
            </w:pPr>
            <w:r>
              <w:rPr>
                <w:rFonts w:cs="Arial"/>
              </w:rPr>
              <w:t xml:space="preserve">Approval is required </w:t>
            </w:r>
            <w:r w:rsidRPr="009A2F69">
              <w:rPr>
                <w:rFonts w:cs="Arial"/>
                <w:b/>
                <w:u w:val="single"/>
              </w:rPr>
              <w:t>within 24 hours</w:t>
            </w:r>
            <w:r>
              <w:rPr>
                <w:rFonts w:cs="Arial"/>
              </w:rPr>
              <w:t xml:space="preserve"> of prescribing</w:t>
            </w:r>
          </w:p>
        </w:tc>
        <w:tc>
          <w:tcPr>
            <w:tcW w:w="1701" w:type="dxa"/>
            <w:tcBorders>
              <w:top w:val="single" w:sz="4" w:space="0" w:color="auto"/>
            </w:tcBorders>
            <w:shd w:val="clear" w:color="auto" w:fill="FFFFFF" w:themeFill="background1"/>
            <w:vAlign w:val="center"/>
          </w:tcPr>
          <w:p w14:paraId="5D93400A" w14:textId="1B299B08" w:rsidR="00456268" w:rsidRDefault="00456268" w:rsidP="007067A0">
            <w:pPr>
              <w:overflowPunct w:val="0"/>
              <w:autoSpaceDE w:val="0"/>
              <w:autoSpaceDN w:val="0"/>
              <w:adjustRightInd w:val="0"/>
              <w:jc w:val="center"/>
              <w:rPr>
                <w:rFonts w:cs="Arial"/>
              </w:rPr>
            </w:pPr>
            <w:r w:rsidRPr="00B95A9C">
              <w:rPr>
                <w:rFonts w:cs="Arial"/>
              </w:rPr>
              <w:t xml:space="preserve">Approval is required </w:t>
            </w:r>
            <w:r w:rsidRPr="00486D39">
              <w:rPr>
                <w:rFonts w:cs="Arial"/>
                <w:b/>
                <w:u w:val="single"/>
              </w:rPr>
              <w:t xml:space="preserve">within 72 hours </w:t>
            </w:r>
            <w:r>
              <w:rPr>
                <w:rFonts w:cs="Arial"/>
              </w:rPr>
              <w:t>of prescribing</w:t>
            </w:r>
          </w:p>
        </w:tc>
        <w:tc>
          <w:tcPr>
            <w:tcW w:w="2268" w:type="dxa"/>
            <w:vMerge w:val="restart"/>
            <w:tcBorders>
              <w:top w:val="single" w:sz="4" w:space="0" w:color="auto"/>
            </w:tcBorders>
            <w:vAlign w:val="center"/>
          </w:tcPr>
          <w:p w14:paraId="011A951B" w14:textId="262D31CA" w:rsidR="00456268" w:rsidRDefault="00456268" w:rsidP="007067A0">
            <w:pPr>
              <w:overflowPunct w:val="0"/>
              <w:autoSpaceDE w:val="0"/>
              <w:autoSpaceDN w:val="0"/>
              <w:adjustRightInd w:val="0"/>
              <w:jc w:val="center"/>
              <w:rPr>
                <w:rFonts w:cs="Arial"/>
              </w:rPr>
            </w:pPr>
            <w:r>
              <w:rPr>
                <w:rFonts w:cs="Arial"/>
              </w:rPr>
              <w:t>Antimicrobial agent should be p</w:t>
            </w:r>
            <w:r w:rsidRPr="00095456">
              <w:rPr>
                <w:rFonts w:cs="Arial"/>
              </w:rPr>
              <w:t xml:space="preserve">rescribed </w:t>
            </w:r>
            <w:r>
              <w:rPr>
                <w:rFonts w:cs="Arial"/>
              </w:rPr>
              <w:t xml:space="preserve">in accordance with the latest version of </w:t>
            </w:r>
            <w:hyperlink r:id="rId13" w:history="1">
              <w:r w:rsidRPr="00486D39">
                <w:rPr>
                  <w:rStyle w:val="Hyperlink"/>
                  <w:rFonts w:cs="Arial"/>
                </w:rPr>
                <w:t>Therapeutic Guidelines: Antibiotic</w:t>
              </w:r>
            </w:hyperlink>
            <w:r>
              <w:rPr>
                <w:rFonts w:cs="Arial"/>
              </w:rPr>
              <w:t>, and/or NCH policy document</w:t>
            </w:r>
          </w:p>
        </w:tc>
      </w:tr>
      <w:tr w:rsidR="00456268" w14:paraId="7F629CD9" w14:textId="77777777" w:rsidTr="007067A0">
        <w:trPr>
          <w:trHeight w:val="565"/>
        </w:trPr>
        <w:tc>
          <w:tcPr>
            <w:tcW w:w="1635" w:type="dxa"/>
            <w:vMerge/>
            <w:shd w:val="clear" w:color="auto" w:fill="D9D9D9" w:themeFill="background1" w:themeFillShade="D9"/>
          </w:tcPr>
          <w:p w14:paraId="1413F175" w14:textId="77777777" w:rsidR="00456268" w:rsidRDefault="00456268" w:rsidP="006F09E0">
            <w:pPr>
              <w:overflowPunct w:val="0"/>
              <w:autoSpaceDE w:val="0"/>
              <w:autoSpaceDN w:val="0"/>
              <w:adjustRightInd w:val="0"/>
              <w:rPr>
                <w:rFonts w:cs="Arial"/>
              </w:rPr>
            </w:pPr>
          </w:p>
        </w:tc>
        <w:tc>
          <w:tcPr>
            <w:tcW w:w="5306" w:type="dxa"/>
            <w:gridSpan w:val="3"/>
            <w:vAlign w:val="center"/>
          </w:tcPr>
          <w:p w14:paraId="3D51592F" w14:textId="5331DC89" w:rsidR="00456268" w:rsidRDefault="00456268" w:rsidP="007067A0">
            <w:pPr>
              <w:overflowPunct w:val="0"/>
              <w:autoSpaceDE w:val="0"/>
              <w:autoSpaceDN w:val="0"/>
              <w:adjustRightInd w:val="0"/>
              <w:jc w:val="center"/>
              <w:rPr>
                <w:rFonts w:cs="Arial"/>
              </w:rPr>
            </w:pPr>
            <w:r>
              <w:rPr>
                <w:rFonts w:cs="Arial"/>
              </w:rPr>
              <w:t xml:space="preserve">The approval code </w:t>
            </w:r>
            <w:r w:rsidRPr="00202FDE">
              <w:rPr>
                <w:rFonts w:cs="Arial"/>
                <w:u w:val="single"/>
              </w:rPr>
              <w:t xml:space="preserve">must </w:t>
            </w:r>
            <w:r>
              <w:rPr>
                <w:rFonts w:cs="Arial"/>
              </w:rPr>
              <w:t>be documented in an appropriate section in DHR to be a valid approval</w:t>
            </w:r>
          </w:p>
        </w:tc>
        <w:tc>
          <w:tcPr>
            <w:tcW w:w="2268" w:type="dxa"/>
            <w:vMerge/>
          </w:tcPr>
          <w:p w14:paraId="74D736EA" w14:textId="77777777" w:rsidR="00456268" w:rsidRDefault="00456268" w:rsidP="006F09E0">
            <w:pPr>
              <w:overflowPunct w:val="0"/>
              <w:autoSpaceDE w:val="0"/>
              <w:autoSpaceDN w:val="0"/>
              <w:adjustRightInd w:val="0"/>
              <w:rPr>
                <w:rFonts w:cs="Arial"/>
              </w:rPr>
            </w:pPr>
          </w:p>
        </w:tc>
      </w:tr>
    </w:tbl>
    <w:p w14:paraId="3BAF2DE2" w14:textId="627364CD" w:rsidR="00456268" w:rsidRDefault="00456268" w:rsidP="007D11F7">
      <w:pPr>
        <w:ind w:right="452"/>
        <w:rPr>
          <w:iCs/>
        </w:rPr>
      </w:pPr>
    </w:p>
    <w:p w14:paraId="46A3F7C8" w14:textId="206CC8AD" w:rsidR="00F7159A" w:rsidRPr="00214A30" w:rsidRDefault="00F7159A" w:rsidP="00F7159A">
      <w:pPr>
        <w:rPr>
          <w:rFonts w:eastAsiaTheme="majorEastAsia"/>
          <w:b/>
          <w:bCs/>
        </w:rPr>
      </w:pPr>
      <w:r w:rsidRPr="00214A30">
        <w:rPr>
          <w:rFonts w:eastAsiaTheme="majorEastAsia"/>
          <w:b/>
          <w:bCs/>
        </w:rPr>
        <w:t xml:space="preserve">Prescribing via an Antimicrobial Panel </w:t>
      </w:r>
    </w:p>
    <w:p w14:paraId="7FEF08ED" w14:textId="3D80764C" w:rsidR="00F7159A" w:rsidRDefault="00F7159A" w:rsidP="007067A0">
      <w:r w:rsidRPr="00214A30">
        <w:t xml:space="preserve">When using DHR Antimicrobial Panels, increased dispensing amounts can occur from the first dose </w:t>
      </w:r>
      <w:r>
        <w:t xml:space="preserve">without consult or approval. There is an approved initial duration of supply built into the panel. Once this supply expires, AMS/ID consult is required for ongoing supply. </w:t>
      </w:r>
    </w:p>
    <w:p w14:paraId="313231A5" w14:textId="77777777" w:rsidR="00891C7F" w:rsidRPr="00F7159A" w:rsidRDefault="00891C7F" w:rsidP="007067A0"/>
    <w:p w14:paraId="46B25DF0" w14:textId="53D73820" w:rsidR="00456268" w:rsidRDefault="00F517F5">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7F7834E8" w14:textId="77777777" w:rsidR="00456268" w:rsidRDefault="00456268" w:rsidP="00456268">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456268" w:rsidRPr="00CD1C0E" w14:paraId="32CC496B" w14:textId="77777777" w:rsidTr="006F09E0">
        <w:trPr>
          <w:cantSplit/>
          <w:trHeight w:val="285"/>
        </w:trPr>
        <w:tc>
          <w:tcPr>
            <w:tcW w:w="9158" w:type="dxa"/>
            <w:shd w:val="clear" w:color="auto" w:fill="A6A6A6" w:themeFill="background1" w:themeFillShade="A6"/>
          </w:tcPr>
          <w:p w14:paraId="4192AB8E" w14:textId="6CEBB2E1" w:rsidR="00456268" w:rsidRPr="00C76688" w:rsidRDefault="00456268" w:rsidP="006F09E0">
            <w:pPr>
              <w:pStyle w:val="Heading1"/>
            </w:pPr>
            <w:bookmarkStart w:id="17" w:name="_Toc159339616"/>
            <w:r w:rsidRPr="00C76688">
              <w:t xml:space="preserve">Section </w:t>
            </w:r>
            <w:r w:rsidR="00ED4C97">
              <w:t>3</w:t>
            </w:r>
            <w:r w:rsidRPr="00C76688">
              <w:t xml:space="preserve"> – </w:t>
            </w:r>
            <w:r>
              <w:t>Approval description</w:t>
            </w:r>
            <w:bookmarkEnd w:id="17"/>
            <w:r>
              <w:t xml:space="preserve"> </w:t>
            </w:r>
          </w:p>
        </w:tc>
      </w:tr>
    </w:tbl>
    <w:p w14:paraId="622957C0" w14:textId="49D825B2" w:rsidR="00456268" w:rsidRDefault="00A36096" w:rsidP="00456268">
      <w:r>
        <w:rPr>
          <w:noProof/>
          <w:lang w:eastAsia="en-AU"/>
        </w:rPr>
        <mc:AlternateContent>
          <mc:Choice Requires="wps">
            <w:drawing>
              <wp:anchor distT="0" distB="0" distL="114300" distR="114300" simplePos="0" relativeHeight="251659264" behindDoc="0" locked="0" layoutInCell="1" allowOverlap="1" wp14:anchorId="47458D5C" wp14:editId="301E1F35">
                <wp:simplePos x="0" y="0"/>
                <wp:positionH relativeFrom="margin">
                  <wp:align>right</wp:align>
                </wp:positionH>
                <wp:positionV relativeFrom="paragraph">
                  <wp:posOffset>596900</wp:posOffset>
                </wp:positionV>
                <wp:extent cx="5724525" cy="242887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2428875"/>
                        </a:xfrm>
                        <a:prstGeom prst="rect">
                          <a:avLst/>
                        </a:prstGeom>
                        <a:solidFill>
                          <a:srgbClr val="FFFFFF"/>
                        </a:solidFill>
                        <a:ln w="9525">
                          <a:solidFill>
                            <a:srgbClr val="000000"/>
                          </a:solidFill>
                          <a:miter lim="800000"/>
                          <a:headEnd/>
                          <a:tailEnd/>
                        </a:ln>
                      </wps:spPr>
                      <wps:txbx>
                        <w:txbxContent>
                          <w:p w14:paraId="6BDD6273" w14:textId="77777777" w:rsidR="007067A0" w:rsidRPr="00733E4B" w:rsidRDefault="007067A0" w:rsidP="00456268">
                            <w:pPr>
                              <w:ind w:left="142"/>
                              <w:rPr>
                                <w:sz w:val="28"/>
                              </w:rPr>
                            </w:pPr>
                            <w:r w:rsidRPr="00733E4B">
                              <w:t>AMS approval codes will appear in the following format</w:t>
                            </w:r>
                            <w:r w:rsidRPr="00733E4B">
                              <w:rPr>
                                <w:sz w:val="28"/>
                              </w:rPr>
                              <w:t xml:space="preserve">:            </w:t>
                            </w:r>
                          </w:p>
                          <w:p w14:paraId="2716BBE9" w14:textId="77777777" w:rsidR="007067A0" w:rsidRDefault="007067A0" w:rsidP="00456268">
                            <w:pPr>
                              <w:ind w:left="142" w:firstLine="720"/>
                              <w:rPr>
                                <w:b/>
                              </w:rPr>
                            </w:pPr>
                            <w:r>
                              <w:rPr>
                                <w:b/>
                                <w:sz w:val="28"/>
                              </w:rPr>
                              <w:t xml:space="preserve"> e.g. CBDDMM03(</w:t>
                            </w:r>
                            <w:r w:rsidRPr="00E90069">
                              <w:rPr>
                                <w:b/>
                                <w:sz w:val="28"/>
                              </w:rPr>
                              <w:t>R</w:t>
                            </w:r>
                            <w:r>
                              <w:rPr>
                                <w:b/>
                                <w:sz w:val="28"/>
                              </w:rPr>
                              <w:t>/S)</w:t>
                            </w:r>
                          </w:p>
                          <w:p w14:paraId="0BBC644C" w14:textId="310BB8B4" w:rsidR="007067A0" w:rsidRPr="00E90069" w:rsidRDefault="007067A0" w:rsidP="00456268">
                            <w:r>
                              <w:rPr>
                                <w:b/>
                              </w:rPr>
                              <w:t>CB</w:t>
                            </w:r>
                            <w:r w:rsidRPr="00997AAC">
                              <w:rPr>
                                <w:b/>
                              </w:rPr>
                              <w:t xml:space="preserve"> </w:t>
                            </w:r>
                            <w:r w:rsidRPr="00E90069">
                              <w:t xml:space="preserve">= example of AMS </w:t>
                            </w:r>
                            <w:r>
                              <w:t>approver</w:t>
                            </w:r>
                            <w:r w:rsidRPr="00E90069">
                              <w:t xml:space="preserve"> initials</w:t>
                            </w:r>
                            <w:r w:rsidR="00891C7F">
                              <w:t xml:space="preserve">       </w:t>
                            </w:r>
                            <w:r w:rsidRPr="00997AAC">
                              <w:rPr>
                                <w:b/>
                              </w:rPr>
                              <w:t>DDMM</w:t>
                            </w:r>
                            <w:r w:rsidRPr="00E90069">
                              <w:t xml:space="preserve"> = Day and Month</w:t>
                            </w:r>
                          </w:p>
                          <w:p w14:paraId="5560775F" w14:textId="40A0D6A4" w:rsidR="007067A0" w:rsidRPr="00E90069" w:rsidRDefault="007067A0" w:rsidP="00456268">
                            <w:r>
                              <w:rPr>
                                <w:b/>
                              </w:rPr>
                              <w:t>03</w:t>
                            </w:r>
                            <w:r w:rsidRPr="00E90069">
                              <w:t xml:space="preserve"> = </w:t>
                            </w:r>
                            <w:r>
                              <w:t xml:space="preserve">example of duration (in days) of approval </w:t>
                            </w:r>
                            <w:r w:rsidRPr="00E90069">
                              <w:t xml:space="preserve">from date of </w:t>
                            </w:r>
                            <w:r>
                              <w:t>review.</w:t>
                            </w:r>
                          </w:p>
                          <w:p w14:paraId="70D06774" w14:textId="77777777" w:rsidR="007067A0" w:rsidRPr="00E90069" w:rsidRDefault="007067A0" w:rsidP="00456268">
                            <w:r w:rsidRPr="00997AAC">
                              <w:rPr>
                                <w:b/>
                              </w:rPr>
                              <w:t xml:space="preserve">R </w:t>
                            </w:r>
                            <w:r w:rsidRPr="00E90069">
                              <w:t xml:space="preserve">= </w:t>
                            </w:r>
                            <w:r w:rsidRPr="00885B85">
                              <w:rPr>
                                <w:b/>
                              </w:rPr>
                              <w:t>REVIEW</w:t>
                            </w:r>
                            <w:r w:rsidRPr="00E90069">
                              <w:t xml:space="preserve"> </w:t>
                            </w:r>
                            <w:r>
                              <w:t>indicates that duration will need re-approval after the specified number of days. A new AMS approval code will need to be obtained if the antimicrobial is to continue.</w:t>
                            </w:r>
                          </w:p>
                          <w:p w14:paraId="061DB538" w14:textId="77777777" w:rsidR="007067A0" w:rsidRDefault="007067A0" w:rsidP="00456268">
                            <w:r w:rsidRPr="00997AAC">
                              <w:rPr>
                                <w:b/>
                              </w:rPr>
                              <w:t xml:space="preserve">S </w:t>
                            </w:r>
                            <w:r w:rsidRPr="00E90069">
                              <w:t xml:space="preserve">= </w:t>
                            </w:r>
                            <w:r w:rsidRPr="00885B85">
                              <w:rPr>
                                <w:b/>
                              </w:rPr>
                              <w:t>STOP</w:t>
                            </w:r>
                            <w:r w:rsidRPr="00E90069">
                              <w:t xml:space="preserve"> </w:t>
                            </w:r>
                            <w:r>
                              <w:t>indicates that the approval is intended to lapse (</w:t>
                            </w:r>
                            <w:proofErr w:type="spellStart"/>
                            <w:r>
                              <w:t>eg</w:t>
                            </w:r>
                            <w:proofErr w:type="spellEnd"/>
                            <w:r>
                              <w:t>, cessation or stepdown to oral antimicrobials) after the specified number of days.</w:t>
                            </w:r>
                          </w:p>
                          <w:p w14:paraId="5BEE6E0B" w14:textId="5F93B1A9" w:rsidR="007067A0" w:rsidRPr="00040D79" w:rsidRDefault="007067A0" w:rsidP="00456268">
                            <w:pPr>
                              <w:jc w:val="center"/>
                              <w:rPr>
                                <w:b/>
                              </w:rPr>
                            </w:pPr>
                            <w:r w:rsidRPr="00040D79">
                              <w:rPr>
                                <w:b/>
                              </w:rPr>
                              <w:t xml:space="preserve">Approval is not valid if </w:t>
                            </w:r>
                            <w:r>
                              <w:rPr>
                                <w:b/>
                              </w:rPr>
                              <w:t xml:space="preserve">the </w:t>
                            </w:r>
                            <w:r w:rsidRPr="00040D79">
                              <w:rPr>
                                <w:b/>
                              </w:rPr>
                              <w:t xml:space="preserve">code is not documented </w:t>
                            </w:r>
                            <w:r>
                              <w:rPr>
                                <w:b/>
                              </w:rPr>
                              <w:t xml:space="preserve">in DHR </w:t>
                            </w:r>
                          </w:p>
                          <w:p w14:paraId="49905EF8" w14:textId="52554ED4" w:rsidR="007067A0" w:rsidRDefault="007067A0" w:rsidP="00456268">
                            <w:pPr>
                              <w:overflowPunct w:val="0"/>
                              <w:autoSpaceDE w:val="0"/>
                              <w:autoSpaceDN w:val="0"/>
                              <w:adjustRightInd w:val="0"/>
                              <w:rPr>
                                <w:rFonts w:cs="Arial"/>
                              </w:rPr>
                            </w:pPr>
                            <w:r w:rsidRPr="00733E4B">
                              <w:rPr>
                                <w:rFonts w:cs="Arial"/>
                                <w:b/>
                              </w:rPr>
                              <w:t>Code expiry:</w:t>
                            </w:r>
                            <w:r>
                              <w:rPr>
                                <w:rFonts w:cs="Arial"/>
                              </w:rPr>
                              <w:t xml:space="preserve"> </w:t>
                            </w:r>
                            <w:r w:rsidR="00891C7F">
                              <w:rPr>
                                <w:rFonts w:cs="Arial"/>
                              </w:rPr>
                              <w:t xml:space="preserve"> </w:t>
                            </w:r>
                            <w:r>
                              <w:rPr>
                                <w:rFonts w:cs="Arial"/>
                              </w:rPr>
                              <w:t>Codes will expire on the last day indicated in the approval code. e.g. CB251203S expires on the 28</w:t>
                            </w:r>
                            <w:r w:rsidRPr="006447D2">
                              <w:rPr>
                                <w:rFonts w:cs="Arial"/>
                                <w:vertAlign w:val="superscript"/>
                              </w:rPr>
                              <w:t>th</w:t>
                            </w:r>
                            <w:r>
                              <w:rPr>
                                <w:rFonts w:cs="Arial"/>
                              </w:rPr>
                              <w:t xml:space="preserve"> of December at 2pm</w:t>
                            </w:r>
                          </w:p>
                          <w:p w14:paraId="42982703" w14:textId="77777777" w:rsidR="007067A0" w:rsidRDefault="007067A0" w:rsidP="004562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58D5C" id="Rectangle 1" o:spid="_x0000_s1026" style="position:absolute;margin-left:399.55pt;margin-top:47pt;width:450.75pt;height:191.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">
                <v:textbox>
                  <w:txbxContent>
                    <w:p w14:paraId="6BDD6273" w14:textId="77777777" w:rsidR="007067A0" w:rsidRPr="00733E4B" w:rsidRDefault="007067A0" w:rsidP="00456268">
                      <w:pPr>
                        <w:ind w:left="142"/>
                        <w:rPr>
                          <w:sz w:val="28"/>
                        </w:rPr>
                      </w:pPr>
                      <w:r w:rsidRPr="00733E4B">
                        <w:t>AMS approval codes will appear in the following format</w:t>
                      </w:r>
                      <w:r w:rsidRPr="00733E4B">
                        <w:rPr>
                          <w:sz w:val="28"/>
                        </w:rPr>
                        <w:t xml:space="preserve">:            </w:t>
                      </w:r>
                    </w:p>
                    <w:p w14:paraId="2716BBE9" w14:textId="77777777" w:rsidR="007067A0" w:rsidRDefault="007067A0" w:rsidP="00456268">
                      <w:pPr>
                        <w:ind w:left="142" w:firstLine="720"/>
                        <w:rPr>
                          <w:b/>
                        </w:rPr>
                      </w:pPr>
                      <w:r>
                        <w:rPr>
                          <w:b/>
                          <w:sz w:val="28"/>
                        </w:rPr>
                        <w:t xml:space="preserve"> </w:t>
                      </w:r>
                      <w:proofErr w:type="gramStart"/>
                      <w:r>
                        <w:rPr>
                          <w:b/>
                          <w:sz w:val="28"/>
                        </w:rPr>
                        <w:t>e.g.</w:t>
                      </w:r>
                      <w:proofErr w:type="gramEnd"/>
                      <w:r>
                        <w:rPr>
                          <w:b/>
                          <w:sz w:val="28"/>
                        </w:rPr>
                        <w:t xml:space="preserve"> CBDDMM03(</w:t>
                      </w:r>
                      <w:r w:rsidRPr="00E90069">
                        <w:rPr>
                          <w:b/>
                          <w:sz w:val="28"/>
                        </w:rPr>
                        <w:t>R</w:t>
                      </w:r>
                      <w:r>
                        <w:rPr>
                          <w:b/>
                          <w:sz w:val="28"/>
                        </w:rPr>
                        <w:t>/S)</w:t>
                      </w:r>
                    </w:p>
                    <w:p w14:paraId="0BBC644C" w14:textId="310BB8B4" w:rsidR="007067A0" w:rsidRPr="00E90069" w:rsidRDefault="007067A0" w:rsidP="00456268">
                      <w:r>
                        <w:rPr>
                          <w:b/>
                        </w:rPr>
                        <w:t>CB</w:t>
                      </w:r>
                      <w:r w:rsidRPr="00997AAC">
                        <w:rPr>
                          <w:b/>
                        </w:rPr>
                        <w:t xml:space="preserve"> </w:t>
                      </w:r>
                      <w:r w:rsidRPr="00E90069">
                        <w:t xml:space="preserve">= example of AMS </w:t>
                      </w:r>
                      <w:r>
                        <w:t>approver</w:t>
                      </w:r>
                      <w:r w:rsidRPr="00E90069">
                        <w:t xml:space="preserve"> initials</w:t>
                      </w:r>
                      <w:r w:rsidR="00891C7F">
                        <w:t xml:space="preserve">       </w:t>
                      </w:r>
                      <w:r w:rsidRPr="00997AAC">
                        <w:rPr>
                          <w:b/>
                        </w:rPr>
                        <w:t>DDMM</w:t>
                      </w:r>
                      <w:r w:rsidRPr="00E90069">
                        <w:t xml:space="preserve"> = Day and Month</w:t>
                      </w:r>
                    </w:p>
                    <w:p w14:paraId="5560775F" w14:textId="40A0D6A4" w:rsidR="007067A0" w:rsidRPr="00E90069" w:rsidRDefault="007067A0" w:rsidP="00456268">
                      <w:r>
                        <w:rPr>
                          <w:b/>
                        </w:rPr>
                        <w:t>03</w:t>
                      </w:r>
                      <w:r w:rsidRPr="00E90069">
                        <w:t xml:space="preserve"> = </w:t>
                      </w:r>
                      <w:r>
                        <w:t xml:space="preserve">example of duration (in days) of approval </w:t>
                      </w:r>
                      <w:r w:rsidRPr="00E90069">
                        <w:t xml:space="preserve">from date of </w:t>
                      </w:r>
                      <w:r>
                        <w:t>review.</w:t>
                      </w:r>
                    </w:p>
                    <w:p w14:paraId="70D06774" w14:textId="77777777" w:rsidR="007067A0" w:rsidRPr="00E90069" w:rsidRDefault="007067A0" w:rsidP="00456268">
                      <w:r w:rsidRPr="00997AAC">
                        <w:rPr>
                          <w:b/>
                        </w:rPr>
                        <w:t xml:space="preserve">R </w:t>
                      </w:r>
                      <w:r w:rsidRPr="00E90069">
                        <w:t xml:space="preserve">= </w:t>
                      </w:r>
                      <w:r w:rsidRPr="00885B85">
                        <w:rPr>
                          <w:b/>
                        </w:rPr>
                        <w:t>REVIEW</w:t>
                      </w:r>
                      <w:r w:rsidRPr="00E90069">
                        <w:t xml:space="preserve"> </w:t>
                      </w:r>
                      <w:r>
                        <w:t>indicates that duration will need re-approval after the specified number of days. A new AMS approval code will need to be obtained if the antimicrobial is to continue.</w:t>
                      </w:r>
                    </w:p>
                    <w:p w14:paraId="061DB538" w14:textId="77777777" w:rsidR="007067A0" w:rsidRDefault="007067A0" w:rsidP="00456268">
                      <w:r w:rsidRPr="00997AAC">
                        <w:rPr>
                          <w:b/>
                        </w:rPr>
                        <w:t xml:space="preserve">S </w:t>
                      </w:r>
                      <w:r w:rsidRPr="00E90069">
                        <w:t xml:space="preserve">= </w:t>
                      </w:r>
                      <w:r w:rsidRPr="00885B85">
                        <w:rPr>
                          <w:b/>
                        </w:rPr>
                        <w:t>STOP</w:t>
                      </w:r>
                      <w:r w:rsidRPr="00E90069">
                        <w:t xml:space="preserve"> </w:t>
                      </w:r>
                      <w:r>
                        <w:t>indicates that the approval is intended to lapse (</w:t>
                      </w:r>
                      <w:proofErr w:type="spellStart"/>
                      <w:r>
                        <w:t>eg</w:t>
                      </w:r>
                      <w:proofErr w:type="spellEnd"/>
                      <w:r>
                        <w:t>, cessation or stepdown to oral antimicrobials) after the specified number of days.</w:t>
                      </w:r>
                    </w:p>
                    <w:p w14:paraId="5BEE6E0B" w14:textId="5F93B1A9" w:rsidR="007067A0" w:rsidRPr="00040D79" w:rsidRDefault="007067A0" w:rsidP="00456268">
                      <w:pPr>
                        <w:jc w:val="center"/>
                        <w:rPr>
                          <w:b/>
                        </w:rPr>
                      </w:pPr>
                      <w:r w:rsidRPr="00040D79">
                        <w:rPr>
                          <w:b/>
                        </w:rPr>
                        <w:t xml:space="preserve">Approval is not valid if </w:t>
                      </w:r>
                      <w:r>
                        <w:rPr>
                          <w:b/>
                        </w:rPr>
                        <w:t xml:space="preserve">the </w:t>
                      </w:r>
                      <w:r w:rsidRPr="00040D79">
                        <w:rPr>
                          <w:b/>
                        </w:rPr>
                        <w:t xml:space="preserve">code is not documented </w:t>
                      </w:r>
                      <w:r>
                        <w:rPr>
                          <w:b/>
                        </w:rPr>
                        <w:t xml:space="preserve">in </w:t>
                      </w:r>
                      <w:proofErr w:type="gramStart"/>
                      <w:r>
                        <w:rPr>
                          <w:b/>
                        </w:rPr>
                        <w:t>DHR</w:t>
                      </w:r>
                      <w:proofErr w:type="gramEnd"/>
                      <w:r>
                        <w:rPr>
                          <w:b/>
                        </w:rPr>
                        <w:t xml:space="preserve"> </w:t>
                      </w:r>
                    </w:p>
                    <w:p w14:paraId="49905EF8" w14:textId="52554ED4" w:rsidR="007067A0" w:rsidRDefault="007067A0" w:rsidP="00456268">
                      <w:pPr>
                        <w:overflowPunct w:val="0"/>
                        <w:autoSpaceDE w:val="0"/>
                        <w:autoSpaceDN w:val="0"/>
                        <w:adjustRightInd w:val="0"/>
                        <w:rPr>
                          <w:rFonts w:cs="Arial"/>
                        </w:rPr>
                      </w:pPr>
                      <w:r w:rsidRPr="00733E4B">
                        <w:rPr>
                          <w:rFonts w:cs="Arial"/>
                          <w:b/>
                        </w:rPr>
                        <w:t>Code expiry:</w:t>
                      </w:r>
                      <w:r>
                        <w:rPr>
                          <w:rFonts w:cs="Arial"/>
                        </w:rPr>
                        <w:t xml:space="preserve"> </w:t>
                      </w:r>
                      <w:r w:rsidR="00891C7F">
                        <w:rPr>
                          <w:rFonts w:cs="Arial"/>
                        </w:rPr>
                        <w:t xml:space="preserve"> </w:t>
                      </w:r>
                      <w:r>
                        <w:rPr>
                          <w:rFonts w:cs="Arial"/>
                        </w:rPr>
                        <w:t xml:space="preserve">Codes will expire on the last day indicated in the approval code. </w:t>
                      </w:r>
                      <w:proofErr w:type="gramStart"/>
                      <w:r>
                        <w:rPr>
                          <w:rFonts w:cs="Arial"/>
                        </w:rPr>
                        <w:t>e.g.</w:t>
                      </w:r>
                      <w:proofErr w:type="gramEnd"/>
                      <w:r>
                        <w:rPr>
                          <w:rFonts w:cs="Arial"/>
                        </w:rPr>
                        <w:t xml:space="preserve"> CB251203S expires on the 28</w:t>
                      </w:r>
                      <w:r w:rsidRPr="006447D2">
                        <w:rPr>
                          <w:rFonts w:cs="Arial"/>
                          <w:vertAlign w:val="superscript"/>
                        </w:rPr>
                        <w:t>th</w:t>
                      </w:r>
                      <w:r>
                        <w:rPr>
                          <w:rFonts w:cs="Arial"/>
                        </w:rPr>
                        <w:t xml:space="preserve"> of December at 2pm</w:t>
                      </w:r>
                    </w:p>
                    <w:p w14:paraId="42982703" w14:textId="77777777" w:rsidR="007067A0" w:rsidRDefault="007067A0" w:rsidP="00456268"/>
                  </w:txbxContent>
                </v:textbox>
                <w10:wrap anchorx="margin"/>
              </v:rect>
            </w:pict>
          </mc:Fallback>
        </mc:AlternateContent>
      </w:r>
    </w:p>
    <w:p w14:paraId="67183E55" w14:textId="35F9C3C5" w:rsidR="00456268" w:rsidRDefault="00456268" w:rsidP="00456268">
      <w:pPr>
        <w:rPr>
          <w:b/>
        </w:rPr>
      </w:pPr>
      <w:r w:rsidRPr="00201FB6">
        <w:rPr>
          <w:b/>
        </w:rPr>
        <w:t xml:space="preserve">Procedure </w:t>
      </w:r>
    </w:p>
    <w:p w14:paraId="4AC902B0" w14:textId="77777777" w:rsidR="00456268" w:rsidRDefault="00456268" w:rsidP="00456268">
      <w:pPr>
        <w:ind w:right="452"/>
        <w:rPr>
          <w:iCs/>
        </w:rPr>
      </w:pPr>
    </w:p>
    <w:p w14:paraId="02C0F7A6" w14:textId="77777777" w:rsidR="00456268" w:rsidRDefault="00456268" w:rsidP="00456268">
      <w:pPr>
        <w:ind w:right="452"/>
        <w:rPr>
          <w:iCs/>
        </w:rPr>
      </w:pPr>
    </w:p>
    <w:p w14:paraId="757D14F2" w14:textId="77777777" w:rsidR="00456268" w:rsidRDefault="00456268" w:rsidP="00456268">
      <w:pPr>
        <w:ind w:right="452"/>
        <w:rPr>
          <w:iCs/>
        </w:rPr>
      </w:pPr>
    </w:p>
    <w:p w14:paraId="4FCE0FA5" w14:textId="77777777" w:rsidR="00456268" w:rsidRDefault="00456268" w:rsidP="00456268">
      <w:pPr>
        <w:ind w:right="452"/>
        <w:rPr>
          <w:iCs/>
        </w:rPr>
      </w:pPr>
    </w:p>
    <w:p w14:paraId="09CFF22E" w14:textId="77777777" w:rsidR="00456268" w:rsidRDefault="00456268" w:rsidP="00456268">
      <w:pPr>
        <w:ind w:right="452"/>
        <w:rPr>
          <w:iCs/>
        </w:rPr>
      </w:pPr>
    </w:p>
    <w:p w14:paraId="23690953" w14:textId="77777777" w:rsidR="00456268" w:rsidRDefault="00456268" w:rsidP="00456268">
      <w:pPr>
        <w:ind w:right="452"/>
        <w:rPr>
          <w:iCs/>
        </w:rPr>
      </w:pPr>
    </w:p>
    <w:p w14:paraId="41C33590" w14:textId="77777777" w:rsidR="00456268" w:rsidRDefault="00456268" w:rsidP="00456268">
      <w:pPr>
        <w:ind w:right="452"/>
        <w:rPr>
          <w:iCs/>
        </w:rPr>
      </w:pPr>
    </w:p>
    <w:p w14:paraId="5BEFB820" w14:textId="77777777" w:rsidR="00456268" w:rsidRDefault="00456268" w:rsidP="00456268">
      <w:pPr>
        <w:ind w:right="452"/>
        <w:rPr>
          <w:iCs/>
        </w:rPr>
      </w:pPr>
    </w:p>
    <w:p w14:paraId="04DAE474" w14:textId="77777777" w:rsidR="00456268" w:rsidRDefault="00456268" w:rsidP="00456268">
      <w:pPr>
        <w:ind w:right="452"/>
        <w:rPr>
          <w:iCs/>
        </w:rPr>
      </w:pPr>
    </w:p>
    <w:p w14:paraId="71C5EB0D" w14:textId="77777777" w:rsidR="00456268" w:rsidRDefault="00456268" w:rsidP="00456268">
      <w:pPr>
        <w:ind w:right="452"/>
        <w:rPr>
          <w:iCs/>
        </w:rPr>
      </w:pPr>
    </w:p>
    <w:p w14:paraId="4A5E5244" w14:textId="77777777" w:rsidR="00456268" w:rsidRDefault="00456268" w:rsidP="00456268">
      <w:pPr>
        <w:ind w:right="452"/>
        <w:rPr>
          <w:iCs/>
        </w:rPr>
      </w:pPr>
    </w:p>
    <w:p w14:paraId="114FD8C9" w14:textId="77777777" w:rsidR="00456268" w:rsidRDefault="00456268" w:rsidP="00456268">
      <w:pPr>
        <w:ind w:right="452"/>
        <w:rPr>
          <w:iCs/>
        </w:rPr>
      </w:pPr>
    </w:p>
    <w:p w14:paraId="4ECE915F" w14:textId="77777777" w:rsidR="00456268" w:rsidRDefault="00456268" w:rsidP="00456268">
      <w:pPr>
        <w:ind w:right="452"/>
        <w:rPr>
          <w:iCs/>
        </w:rPr>
      </w:pPr>
    </w:p>
    <w:p w14:paraId="632EF944" w14:textId="0EA00C99" w:rsidR="00456268" w:rsidRDefault="00F517F5" w:rsidP="00891C7F">
      <w:pPr>
        <w:jc w:val="right"/>
        <w:rPr>
          <w:rFonts w:cs="Arial"/>
          <w:i/>
          <w:szCs w:val="24"/>
        </w:rPr>
      </w:pPr>
      <w:hyperlink w:anchor="Contents" w:history="1">
        <w:r w:rsidR="00456268" w:rsidRPr="00590902">
          <w:rPr>
            <w:rStyle w:val="Hyperlink"/>
            <w:rFonts w:cs="Arial"/>
            <w:i/>
            <w:szCs w:val="24"/>
          </w:rPr>
          <w:t>Back to Table of Contents</w:t>
        </w:r>
      </w:hyperlink>
      <w:r w:rsidR="00456268">
        <w:rPr>
          <w:rFonts w:cs="Arial"/>
          <w:i/>
          <w:szCs w:val="24"/>
        </w:rPr>
        <w:t xml:space="preserve"> </w:t>
      </w:r>
    </w:p>
    <w:p w14:paraId="2F51A894" w14:textId="77777777" w:rsidR="007B6904"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96" w14:textId="77777777" w:rsidTr="0074223E">
        <w:trPr>
          <w:cantSplit/>
          <w:trHeight w:val="285"/>
        </w:trPr>
        <w:tc>
          <w:tcPr>
            <w:tcW w:w="9158" w:type="dxa"/>
            <w:shd w:val="clear" w:color="auto" w:fill="A6A6A6" w:themeFill="background1" w:themeFillShade="A6"/>
          </w:tcPr>
          <w:p w14:paraId="2F51A895" w14:textId="18A4FF96" w:rsidR="007B6904" w:rsidRPr="00C76688" w:rsidRDefault="007B6904" w:rsidP="004213C3">
            <w:pPr>
              <w:pStyle w:val="Heading1"/>
            </w:pPr>
            <w:bookmarkStart w:id="18" w:name="_Toc389473281"/>
            <w:bookmarkStart w:id="19" w:name="_Toc159339617"/>
            <w:r w:rsidRPr="00C76688">
              <w:t xml:space="preserve">Section </w:t>
            </w:r>
            <w:r w:rsidR="00A36096">
              <w:t>4</w:t>
            </w:r>
            <w:r w:rsidRPr="00C76688">
              <w:t xml:space="preserve"> – </w:t>
            </w:r>
            <w:bookmarkEnd w:id="18"/>
            <w:r w:rsidR="007C6933">
              <w:t xml:space="preserve">Antimicrobial </w:t>
            </w:r>
            <w:r w:rsidR="00AE4D51">
              <w:t>C</w:t>
            </w:r>
            <w:r w:rsidR="007C6933">
              <w:t xml:space="preserve">lassifications and </w:t>
            </w:r>
            <w:r w:rsidR="00AE4D51">
              <w:t>R</w:t>
            </w:r>
            <w:r w:rsidR="007C6933">
              <w:t>estrictions</w:t>
            </w:r>
            <w:bookmarkEnd w:id="19"/>
          </w:p>
        </w:tc>
      </w:tr>
    </w:tbl>
    <w:p w14:paraId="2F51A89B" w14:textId="4011DFEC" w:rsidR="00201FB6" w:rsidRDefault="00201FB6" w:rsidP="00201FB6">
      <w:pPr>
        <w:rPr>
          <w:b/>
        </w:rPr>
      </w:pPr>
    </w:p>
    <w:tbl>
      <w:tblPr>
        <w:tblStyle w:val="TableGrid"/>
        <w:tblW w:w="9209" w:type="dxa"/>
        <w:tblInd w:w="-34" w:type="dxa"/>
        <w:tblLayout w:type="fixed"/>
        <w:tblLook w:val="04A0" w:firstRow="1" w:lastRow="0" w:firstColumn="1" w:lastColumn="0" w:noHBand="0" w:noVBand="1"/>
      </w:tblPr>
      <w:tblGrid>
        <w:gridCol w:w="1148"/>
        <w:gridCol w:w="2295"/>
        <w:gridCol w:w="3011"/>
        <w:gridCol w:w="2755"/>
      </w:tblGrid>
      <w:tr w:rsidR="007C6933" w14:paraId="4F5C3EB5" w14:textId="77777777" w:rsidTr="007067A0">
        <w:trPr>
          <w:trHeight w:val="382"/>
        </w:trPr>
        <w:tc>
          <w:tcPr>
            <w:tcW w:w="1148" w:type="dxa"/>
            <w:shd w:val="clear" w:color="auto" w:fill="D9D9D9" w:themeFill="background1" w:themeFillShade="D9"/>
            <w:vAlign w:val="center"/>
          </w:tcPr>
          <w:p w14:paraId="42AD0DE9" w14:textId="77777777" w:rsidR="007C6933" w:rsidRPr="00982853" w:rsidRDefault="007C6933">
            <w:pPr>
              <w:pStyle w:val="Heading4"/>
              <w:ind w:left="176"/>
              <w:jc w:val="center"/>
              <w:rPr>
                <w:rFonts w:asciiTheme="minorHAnsi" w:hAnsiTheme="minorHAnsi" w:cstheme="minorHAnsi"/>
                <w:b/>
                <w:bCs/>
                <w:i w:val="0"/>
                <w:iCs w:val="0"/>
                <w:color w:val="auto"/>
                <w:szCs w:val="24"/>
              </w:rPr>
            </w:pPr>
            <w:r w:rsidRPr="00982853">
              <w:rPr>
                <w:rFonts w:asciiTheme="minorHAnsi" w:hAnsiTheme="minorHAnsi" w:cstheme="minorHAnsi"/>
                <w:b/>
                <w:bCs/>
                <w:i w:val="0"/>
                <w:iCs w:val="0"/>
                <w:color w:val="auto"/>
                <w:szCs w:val="24"/>
              </w:rPr>
              <w:t>Colour</w:t>
            </w:r>
          </w:p>
        </w:tc>
        <w:tc>
          <w:tcPr>
            <w:tcW w:w="2295" w:type="dxa"/>
            <w:shd w:val="clear" w:color="auto" w:fill="D9D9D9" w:themeFill="background1" w:themeFillShade="D9"/>
            <w:vAlign w:val="center"/>
          </w:tcPr>
          <w:p w14:paraId="03FB6C07" w14:textId="77777777" w:rsidR="007C6933" w:rsidRPr="007C6933" w:rsidRDefault="007C6933">
            <w:pPr>
              <w:ind w:right="34"/>
              <w:jc w:val="center"/>
              <w:rPr>
                <w:rFonts w:asciiTheme="minorHAnsi" w:hAnsiTheme="minorHAnsi" w:cstheme="minorHAnsi"/>
                <w:b/>
                <w:szCs w:val="24"/>
              </w:rPr>
            </w:pPr>
            <w:r w:rsidRPr="007C6933">
              <w:rPr>
                <w:rFonts w:asciiTheme="minorHAnsi" w:hAnsiTheme="minorHAnsi" w:cstheme="minorHAnsi"/>
                <w:b/>
                <w:szCs w:val="24"/>
              </w:rPr>
              <w:t>Restriction</w:t>
            </w:r>
          </w:p>
        </w:tc>
        <w:tc>
          <w:tcPr>
            <w:tcW w:w="5766" w:type="dxa"/>
            <w:gridSpan w:val="2"/>
            <w:shd w:val="clear" w:color="auto" w:fill="D9D9D9" w:themeFill="background1" w:themeFillShade="D9"/>
            <w:vAlign w:val="center"/>
          </w:tcPr>
          <w:p w14:paraId="5F6C0DDA" w14:textId="77777777" w:rsidR="007C6933" w:rsidRPr="007C6933" w:rsidRDefault="007C6933">
            <w:pPr>
              <w:ind w:right="452"/>
              <w:jc w:val="center"/>
              <w:rPr>
                <w:rFonts w:asciiTheme="minorHAnsi" w:hAnsiTheme="minorHAnsi" w:cstheme="minorHAnsi"/>
                <w:b/>
                <w:szCs w:val="24"/>
              </w:rPr>
            </w:pPr>
            <w:r w:rsidRPr="007C6933">
              <w:rPr>
                <w:rFonts w:asciiTheme="minorHAnsi" w:hAnsiTheme="minorHAnsi" w:cstheme="minorHAnsi"/>
                <w:b/>
                <w:szCs w:val="24"/>
              </w:rPr>
              <w:t>Antimicrobial</w:t>
            </w:r>
          </w:p>
        </w:tc>
      </w:tr>
      <w:tr w:rsidR="007C6933" w14:paraId="6CB31F73" w14:textId="77777777" w:rsidTr="007067A0">
        <w:trPr>
          <w:trHeight w:val="64"/>
        </w:trPr>
        <w:tc>
          <w:tcPr>
            <w:tcW w:w="1148" w:type="dxa"/>
            <w:vAlign w:val="center"/>
          </w:tcPr>
          <w:p w14:paraId="20DE8FC8" w14:textId="77777777" w:rsidR="007C6933" w:rsidRPr="007067A0" w:rsidRDefault="007C6933" w:rsidP="007067A0">
            <w:pPr>
              <w:pStyle w:val="Heading4"/>
              <w:ind w:left="176"/>
              <w:rPr>
                <w:rFonts w:asciiTheme="minorHAnsi" w:hAnsiTheme="minorHAnsi" w:cstheme="minorHAnsi"/>
                <w:b/>
                <w:i w:val="0"/>
                <w:iCs w:val="0"/>
                <w:color w:val="auto"/>
                <w:szCs w:val="24"/>
              </w:rPr>
            </w:pPr>
            <w:r w:rsidRPr="007067A0">
              <w:rPr>
                <w:rFonts w:asciiTheme="minorHAnsi" w:hAnsiTheme="minorHAnsi" w:cstheme="minorHAnsi"/>
                <w:b/>
                <w:i w:val="0"/>
                <w:iCs w:val="0"/>
                <w:color w:val="auto"/>
                <w:szCs w:val="24"/>
              </w:rPr>
              <w:t>BLACK</w:t>
            </w:r>
          </w:p>
        </w:tc>
        <w:tc>
          <w:tcPr>
            <w:tcW w:w="2295" w:type="dxa"/>
            <w:shd w:val="clear" w:color="auto" w:fill="FFFFFF" w:themeFill="background1"/>
            <w:vAlign w:val="center"/>
          </w:tcPr>
          <w:p w14:paraId="153E9FF6" w14:textId="77777777" w:rsidR="007C6933" w:rsidRPr="007067A0" w:rsidRDefault="007C6933">
            <w:pPr>
              <w:ind w:left="-43"/>
              <w:jc w:val="center"/>
              <w:rPr>
                <w:rFonts w:asciiTheme="minorHAnsi" w:hAnsiTheme="minorHAnsi" w:cstheme="minorHAnsi"/>
                <w:sz w:val="22"/>
                <w:szCs w:val="22"/>
              </w:rPr>
            </w:pPr>
            <w:r w:rsidRPr="007067A0">
              <w:rPr>
                <w:rFonts w:asciiTheme="minorHAnsi" w:hAnsiTheme="minorHAnsi" w:cstheme="minorHAnsi"/>
                <w:sz w:val="22"/>
                <w:szCs w:val="22"/>
              </w:rPr>
              <w:t xml:space="preserve">Infectious Diseases (ID) approval required to be documented </w:t>
            </w:r>
            <w:r w:rsidRPr="007067A0">
              <w:rPr>
                <w:rFonts w:asciiTheme="minorHAnsi" w:hAnsiTheme="minorHAnsi" w:cstheme="minorHAnsi"/>
                <w:b/>
                <w:sz w:val="22"/>
                <w:szCs w:val="22"/>
              </w:rPr>
              <w:t>PRIOR</w:t>
            </w:r>
            <w:r w:rsidRPr="007067A0">
              <w:rPr>
                <w:rFonts w:asciiTheme="minorHAnsi" w:hAnsiTheme="minorHAnsi" w:cstheme="minorHAnsi"/>
                <w:sz w:val="22"/>
                <w:szCs w:val="22"/>
              </w:rPr>
              <w:t xml:space="preserve"> to prescribing</w:t>
            </w:r>
          </w:p>
        </w:tc>
        <w:tc>
          <w:tcPr>
            <w:tcW w:w="5766" w:type="dxa"/>
            <w:gridSpan w:val="2"/>
            <w:shd w:val="clear" w:color="auto" w:fill="FFFFFF" w:themeFill="background1"/>
          </w:tcPr>
          <w:p w14:paraId="1E8B4B9A"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Colistin </w:t>
            </w:r>
          </w:p>
          <w:p w14:paraId="60E0255D"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Foscarnet </w:t>
            </w:r>
          </w:p>
          <w:p w14:paraId="1206597F" w14:textId="77777777" w:rsidR="007C6933" w:rsidRPr="007067A0" w:rsidRDefault="007C6933" w:rsidP="006F09E0">
            <w:pPr>
              <w:pStyle w:val="NoSpacing"/>
              <w:rPr>
                <w:rFonts w:asciiTheme="minorHAnsi" w:hAnsiTheme="minorHAnsi" w:cstheme="minorHAnsi"/>
                <w:color w:val="FFC000"/>
                <w:sz w:val="22"/>
                <w:szCs w:val="22"/>
              </w:rPr>
            </w:pPr>
            <w:proofErr w:type="spellStart"/>
            <w:r w:rsidRPr="007067A0">
              <w:rPr>
                <w:rFonts w:asciiTheme="minorHAnsi" w:hAnsiTheme="minorHAnsi" w:cstheme="minorHAnsi"/>
                <w:color w:val="FFC000"/>
                <w:sz w:val="22"/>
                <w:szCs w:val="22"/>
              </w:rPr>
              <w:t>Ceftolozane</w:t>
            </w:r>
            <w:proofErr w:type="spellEnd"/>
            <w:r w:rsidRPr="007067A0">
              <w:rPr>
                <w:rFonts w:asciiTheme="minorHAnsi" w:hAnsiTheme="minorHAnsi" w:cstheme="minorHAnsi"/>
                <w:color w:val="FFC000"/>
                <w:sz w:val="22"/>
                <w:szCs w:val="22"/>
              </w:rPr>
              <w:t>/tazobactam</w:t>
            </w:r>
          </w:p>
          <w:p w14:paraId="171C2E33" w14:textId="0FBCDF2D" w:rsidR="007C6933" w:rsidRPr="007067A0" w:rsidRDefault="007C6933" w:rsidP="186A08C5">
            <w:pPr>
              <w:pStyle w:val="NoSpacing"/>
              <w:rPr>
                <w:rFonts w:asciiTheme="minorHAnsi" w:hAnsiTheme="minorHAnsi" w:cstheme="minorHAnsi"/>
                <w:color w:val="FFC000"/>
                <w:sz w:val="22"/>
                <w:szCs w:val="22"/>
              </w:rPr>
            </w:pPr>
            <w:r w:rsidRPr="007067A0">
              <w:rPr>
                <w:rFonts w:asciiTheme="minorHAnsi" w:hAnsiTheme="minorHAnsi" w:cstheme="minorHAnsi"/>
                <w:color w:val="FFC000"/>
                <w:sz w:val="22"/>
                <w:szCs w:val="22"/>
              </w:rPr>
              <w:t>Ceftazidime/avibactam</w:t>
            </w:r>
          </w:p>
          <w:p w14:paraId="371F3C5A" w14:textId="12111D5C" w:rsidR="007C6933" w:rsidRPr="007067A0" w:rsidRDefault="1ACCA466" w:rsidP="186A08C5">
            <w:pPr>
              <w:pStyle w:val="NoSpacing"/>
              <w:rPr>
                <w:rFonts w:asciiTheme="minorHAnsi" w:hAnsiTheme="minorHAnsi" w:cstheme="minorHAnsi"/>
                <w:color w:val="FFC000"/>
                <w:sz w:val="22"/>
                <w:szCs w:val="22"/>
              </w:rPr>
            </w:pPr>
            <w:r w:rsidRPr="007067A0">
              <w:rPr>
                <w:rFonts w:asciiTheme="minorHAnsi" w:hAnsiTheme="minorHAnsi" w:cstheme="minorHAnsi"/>
                <w:color w:val="FFC000"/>
                <w:sz w:val="22"/>
                <w:szCs w:val="22"/>
              </w:rPr>
              <w:t>Levofloxacin</w:t>
            </w:r>
          </w:p>
          <w:p w14:paraId="18A42884" w14:textId="4FE5DFCF" w:rsidR="007C6933" w:rsidRPr="007067A0" w:rsidRDefault="1ACCA466" w:rsidP="186A08C5">
            <w:pPr>
              <w:pStyle w:val="NoSpacing"/>
              <w:rPr>
                <w:rFonts w:asciiTheme="minorHAnsi" w:hAnsiTheme="minorHAnsi" w:cstheme="minorHAnsi"/>
                <w:color w:val="FFC000"/>
                <w:sz w:val="22"/>
                <w:szCs w:val="22"/>
              </w:rPr>
            </w:pPr>
            <w:r w:rsidRPr="007067A0">
              <w:rPr>
                <w:rFonts w:asciiTheme="minorHAnsi" w:hAnsiTheme="minorHAnsi" w:cstheme="minorHAnsi"/>
                <w:color w:val="FFC000"/>
                <w:sz w:val="22"/>
                <w:szCs w:val="22"/>
              </w:rPr>
              <w:t>Fidaxomicin</w:t>
            </w:r>
          </w:p>
        </w:tc>
      </w:tr>
      <w:tr w:rsidR="007C6933" w14:paraId="4AD1FC61" w14:textId="77777777" w:rsidTr="007067A0">
        <w:trPr>
          <w:trHeight w:val="64"/>
        </w:trPr>
        <w:tc>
          <w:tcPr>
            <w:tcW w:w="1148" w:type="dxa"/>
            <w:shd w:val="clear" w:color="auto" w:fill="E5B8B7" w:themeFill="accent2" w:themeFillTint="66"/>
            <w:vAlign w:val="center"/>
          </w:tcPr>
          <w:p w14:paraId="27DB275A" w14:textId="4440A766" w:rsidR="007C6933" w:rsidRPr="007067A0" w:rsidRDefault="007C6933" w:rsidP="007067A0">
            <w:pPr>
              <w:pStyle w:val="Heading4"/>
              <w:ind w:left="176"/>
            </w:pPr>
            <w:r w:rsidRPr="007067A0">
              <w:rPr>
                <w:rFonts w:asciiTheme="minorHAnsi" w:hAnsiTheme="minorHAnsi" w:cstheme="minorHAnsi"/>
                <w:b/>
                <w:i w:val="0"/>
                <w:iCs w:val="0"/>
                <w:szCs w:val="24"/>
              </w:rPr>
              <w:t>RED</w:t>
            </w:r>
          </w:p>
        </w:tc>
        <w:tc>
          <w:tcPr>
            <w:tcW w:w="2295" w:type="dxa"/>
            <w:vAlign w:val="center"/>
          </w:tcPr>
          <w:p w14:paraId="1D816896" w14:textId="7F62CBF1" w:rsidR="007C6933" w:rsidRPr="007067A0" w:rsidRDefault="007C6933">
            <w:pPr>
              <w:jc w:val="center"/>
              <w:rPr>
                <w:rFonts w:asciiTheme="minorHAnsi" w:hAnsiTheme="minorHAnsi" w:cstheme="minorHAnsi"/>
                <w:sz w:val="22"/>
                <w:szCs w:val="22"/>
              </w:rPr>
            </w:pPr>
            <w:r w:rsidRPr="007067A0">
              <w:rPr>
                <w:rFonts w:asciiTheme="minorHAnsi" w:hAnsiTheme="minorHAnsi" w:cstheme="minorHAnsi"/>
                <w:sz w:val="22"/>
                <w:szCs w:val="22"/>
              </w:rPr>
              <w:t xml:space="preserve">Approval required to be documented </w:t>
            </w:r>
            <w:r w:rsidR="002F7E3C" w:rsidRPr="007067A0">
              <w:rPr>
                <w:rFonts w:asciiTheme="minorHAnsi" w:hAnsiTheme="minorHAnsi" w:cstheme="minorHAnsi"/>
                <w:sz w:val="22"/>
                <w:szCs w:val="22"/>
              </w:rPr>
              <w:t xml:space="preserve">in DHR </w:t>
            </w:r>
            <w:r w:rsidRPr="007067A0">
              <w:rPr>
                <w:rFonts w:asciiTheme="minorHAnsi" w:hAnsiTheme="minorHAnsi" w:cstheme="minorHAnsi"/>
                <w:b/>
                <w:sz w:val="22"/>
                <w:szCs w:val="22"/>
              </w:rPr>
              <w:t>within 24 hours</w:t>
            </w:r>
            <w:r w:rsidRPr="007067A0">
              <w:rPr>
                <w:rFonts w:asciiTheme="minorHAnsi" w:hAnsiTheme="minorHAnsi" w:cstheme="minorHAnsi"/>
                <w:sz w:val="22"/>
                <w:szCs w:val="22"/>
              </w:rPr>
              <w:t xml:space="preserve"> of prescribing</w:t>
            </w:r>
          </w:p>
        </w:tc>
        <w:tc>
          <w:tcPr>
            <w:tcW w:w="3011" w:type="dxa"/>
          </w:tcPr>
          <w:p w14:paraId="08960183"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Amikacin</w:t>
            </w:r>
          </w:p>
          <w:p w14:paraId="7DC4A8D9"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Amoxicillin/Clavulanate IV Amphotericin IV</w:t>
            </w:r>
          </w:p>
          <w:p w14:paraId="7C8E77C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Anidulafungin</w:t>
            </w:r>
          </w:p>
          <w:p w14:paraId="009508C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Cefepime</w:t>
            </w:r>
          </w:p>
          <w:p w14:paraId="707D54EF"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Cefotaxime</w:t>
            </w:r>
          </w:p>
          <w:p w14:paraId="133054F5"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Ceftazidime</w:t>
            </w:r>
          </w:p>
          <w:p w14:paraId="4037EAE2"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Daptomycin</w:t>
            </w:r>
          </w:p>
          <w:p w14:paraId="3C3ABC9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Ertapenem </w:t>
            </w:r>
          </w:p>
          <w:p w14:paraId="3460BFB2"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Flucytosine</w:t>
            </w:r>
          </w:p>
          <w:p w14:paraId="7EA6F244"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Fosfomycin</w:t>
            </w:r>
          </w:p>
          <w:p w14:paraId="65A91C67"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Ganciclovir </w:t>
            </w:r>
          </w:p>
        </w:tc>
        <w:tc>
          <w:tcPr>
            <w:tcW w:w="2754" w:type="dxa"/>
          </w:tcPr>
          <w:p w14:paraId="23B38572"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Linezolid</w:t>
            </w:r>
          </w:p>
          <w:p w14:paraId="39131AB7"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Meropenem</w:t>
            </w:r>
          </w:p>
          <w:p w14:paraId="2CF4B014"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Moxifloxacin</w:t>
            </w:r>
          </w:p>
          <w:p w14:paraId="4213C1B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Pentamidine</w:t>
            </w:r>
          </w:p>
          <w:p w14:paraId="0AFA4F4A"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Piperacillin/Tazobactam</w:t>
            </w:r>
          </w:p>
          <w:p w14:paraId="3FC06EE6"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Rifampicin </w:t>
            </w:r>
          </w:p>
          <w:p w14:paraId="546B3D0D"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Sodium </w:t>
            </w:r>
            <w:proofErr w:type="spellStart"/>
            <w:r w:rsidRPr="007067A0">
              <w:rPr>
                <w:rFonts w:asciiTheme="minorHAnsi" w:hAnsiTheme="minorHAnsi" w:cstheme="minorHAnsi"/>
                <w:sz w:val="22"/>
                <w:szCs w:val="22"/>
              </w:rPr>
              <w:t>fusidate</w:t>
            </w:r>
            <w:proofErr w:type="spellEnd"/>
            <w:r w:rsidRPr="007067A0">
              <w:rPr>
                <w:rFonts w:asciiTheme="minorHAnsi" w:hAnsiTheme="minorHAnsi" w:cstheme="minorHAnsi"/>
                <w:sz w:val="22"/>
                <w:szCs w:val="22"/>
              </w:rPr>
              <w:t xml:space="preserve"> </w:t>
            </w:r>
          </w:p>
          <w:p w14:paraId="31121136"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Teicoplanin </w:t>
            </w:r>
          </w:p>
          <w:p w14:paraId="1D2B1744"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Tigecycline</w:t>
            </w:r>
          </w:p>
          <w:p w14:paraId="19284C98"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Valganciclovir</w:t>
            </w:r>
          </w:p>
          <w:p w14:paraId="3A0F223C"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Vancomycin</w:t>
            </w:r>
          </w:p>
          <w:p w14:paraId="71A1286B"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Voriconazole</w:t>
            </w:r>
          </w:p>
          <w:p w14:paraId="4E987BCB" w14:textId="77777777" w:rsidR="007C6933" w:rsidRPr="007067A0" w:rsidRDefault="007C6933" w:rsidP="006F09E0">
            <w:pPr>
              <w:pStyle w:val="NoSpacing"/>
              <w:rPr>
                <w:rFonts w:asciiTheme="minorHAnsi" w:hAnsiTheme="minorHAnsi" w:cstheme="minorHAnsi"/>
                <w:b/>
                <w:sz w:val="22"/>
                <w:szCs w:val="22"/>
              </w:rPr>
            </w:pPr>
          </w:p>
        </w:tc>
      </w:tr>
      <w:tr w:rsidR="007C6933" w14:paraId="4F992F34" w14:textId="77777777" w:rsidTr="007067A0">
        <w:trPr>
          <w:trHeight w:val="1041"/>
        </w:trPr>
        <w:tc>
          <w:tcPr>
            <w:tcW w:w="1148" w:type="dxa"/>
            <w:shd w:val="clear" w:color="auto" w:fill="FBD4B4" w:themeFill="accent6" w:themeFillTint="66"/>
            <w:vAlign w:val="center"/>
          </w:tcPr>
          <w:p w14:paraId="4CC55947" w14:textId="1DF503CE" w:rsidR="007C6933" w:rsidRPr="007067A0" w:rsidRDefault="007C6933" w:rsidP="007067A0">
            <w:pPr>
              <w:pStyle w:val="Heading4"/>
              <w:ind w:right="-108"/>
              <w:rPr>
                <w:rFonts w:asciiTheme="minorHAnsi" w:hAnsiTheme="minorHAnsi" w:cstheme="minorHAnsi"/>
                <w:b/>
                <w:i w:val="0"/>
                <w:iCs w:val="0"/>
                <w:color w:val="auto"/>
                <w:szCs w:val="24"/>
              </w:rPr>
            </w:pPr>
            <w:r w:rsidRPr="007067A0">
              <w:rPr>
                <w:rFonts w:asciiTheme="minorHAnsi" w:hAnsiTheme="minorHAnsi" w:cstheme="minorHAnsi"/>
                <w:b/>
                <w:i w:val="0"/>
                <w:iCs w:val="0"/>
                <w:szCs w:val="24"/>
              </w:rPr>
              <w:t>ORANGE</w:t>
            </w:r>
          </w:p>
        </w:tc>
        <w:tc>
          <w:tcPr>
            <w:tcW w:w="2295" w:type="dxa"/>
            <w:shd w:val="clear" w:color="auto" w:fill="FFFFFF" w:themeFill="background1"/>
            <w:vAlign w:val="center"/>
          </w:tcPr>
          <w:p w14:paraId="49FEC7B1" w14:textId="174BF272" w:rsidR="007C6933" w:rsidRPr="007067A0" w:rsidRDefault="007C6933">
            <w:pPr>
              <w:overflowPunct w:val="0"/>
              <w:jc w:val="center"/>
              <w:rPr>
                <w:rFonts w:asciiTheme="minorHAnsi" w:hAnsiTheme="minorHAnsi" w:cstheme="minorHAnsi"/>
                <w:sz w:val="22"/>
                <w:szCs w:val="22"/>
              </w:rPr>
            </w:pPr>
            <w:r w:rsidRPr="007067A0">
              <w:rPr>
                <w:rFonts w:asciiTheme="minorHAnsi" w:hAnsiTheme="minorHAnsi" w:cstheme="minorHAnsi"/>
                <w:sz w:val="22"/>
                <w:szCs w:val="22"/>
              </w:rPr>
              <w:t xml:space="preserve">Approval required to be documented </w:t>
            </w:r>
            <w:r w:rsidR="002F7E3C" w:rsidRPr="007067A0">
              <w:rPr>
                <w:rFonts w:asciiTheme="minorHAnsi" w:hAnsiTheme="minorHAnsi" w:cstheme="minorHAnsi"/>
                <w:sz w:val="22"/>
                <w:szCs w:val="22"/>
              </w:rPr>
              <w:t>in DHR</w:t>
            </w:r>
            <w:r w:rsidRPr="007067A0">
              <w:rPr>
                <w:rFonts w:asciiTheme="minorHAnsi" w:hAnsiTheme="minorHAnsi" w:cstheme="minorHAnsi"/>
                <w:sz w:val="22"/>
                <w:szCs w:val="22"/>
              </w:rPr>
              <w:t xml:space="preserve"> </w:t>
            </w:r>
            <w:r w:rsidRPr="007067A0">
              <w:rPr>
                <w:rFonts w:asciiTheme="minorHAnsi" w:hAnsiTheme="minorHAnsi" w:cstheme="minorHAnsi"/>
                <w:b/>
                <w:sz w:val="22"/>
                <w:szCs w:val="22"/>
              </w:rPr>
              <w:t xml:space="preserve">within 72 hours </w:t>
            </w:r>
            <w:r w:rsidRPr="007067A0">
              <w:rPr>
                <w:rFonts w:asciiTheme="minorHAnsi" w:hAnsiTheme="minorHAnsi" w:cstheme="minorHAnsi"/>
                <w:sz w:val="22"/>
                <w:szCs w:val="22"/>
              </w:rPr>
              <w:t>of prescribing</w:t>
            </w:r>
          </w:p>
        </w:tc>
        <w:tc>
          <w:tcPr>
            <w:tcW w:w="3011" w:type="dxa"/>
            <w:shd w:val="clear" w:color="auto" w:fill="FFFFFF" w:themeFill="background1"/>
          </w:tcPr>
          <w:p w14:paraId="4E3FB568"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Azithromycin</w:t>
            </w:r>
          </w:p>
          <w:p w14:paraId="7D1F2407"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Ceftriaxone </w:t>
            </w:r>
          </w:p>
          <w:p w14:paraId="2EB62B29"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Ciprofloxacin </w:t>
            </w:r>
          </w:p>
          <w:p w14:paraId="1DA29F3C"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Clindamycin </w:t>
            </w:r>
          </w:p>
        </w:tc>
        <w:tc>
          <w:tcPr>
            <w:tcW w:w="2754" w:type="dxa"/>
            <w:shd w:val="clear" w:color="auto" w:fill="FFFFFF" w:themeFill="background1"/>
          </w:tcPr>
          <w:p w14:paraId="02C38463"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Fluconazole </w:t>
            </w:r>
          </w:p>
          <w:p w14:paraId="21BA774C"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Gentamicin &gt; 3 days </w:t>
            </w:r>
          </w:p>
          <w:p w14:paraId="097F7455"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Norfloxacin </w:t>
            </w:r>
          </w:p>
          <w:p w14:paraId="799EA39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Tobramycin</w:t>
            </w:r>
          </w:p>
          <w:p w14:paraId="55F5BE7A" w14:textId="77777777" w:rsidR="007C6933" w:rsidRPr="007067A0" w:rsidRDefault="007C6933" w:rsidP="006F09E0">
            <w:pPr>
              <w:pStyle w:val="NoSpacing"/>
              <w:rPr>
                <w:rFonts w:asciiTheme="minorHAnsi" w:hAnsiTheme="minorHAnsi" w:cstheme="minorHAnsi"/>
                <w:color w:val="FFC000"/>
                <w:sz w:val="22"/>
                <w:szCs w:val="22"/>
              </w:rPr>
            </w:pPr>
          </w:p>
        </w:tc>
      </w:tr>
      <w:tr w:rsidR="007C6933" w14:paraId="29C094D0" w14:textId="77777777" w:rsidTr="007067A0">
        <w:trPr>
          <w:trHeight w:val="3040"/>
        </w:trPr>
        <w:tc>
          <w:tcPr>
            <w:tcW w:w="1148" w:type="dxa"/>
            <w:shd w:val="clear" w:color="auto" w:fill="D6E3BC" w:themeFill="accent3" w:themeFillTint="66"/>
            <w:vAlign w:val="center"/>
          </w:tcPr>
          <w:p w14:paraId="292D3BCA" w14:textId="3F1522B3" w:rsidR="007C6933" w:rsidRPr="007067A0" w:rsidRDefault="007C6933" w:rsidP="007067A0">
            <w:pPr>
              <w:pStyle w:val="Heading4"/>
              <w:ind w:right="-108"/>
              <w:rPr>
                <w:rFonts w:asciiTheme="minorHAnsi" w:hAnsiTheme="minorHAnsi" w:cstheme="minorHAnsi"/>
                <w:b/>
                <w:i w:val="0"/>
                <w:iCs w:val="0"/>
                <w:color w:val="auto"/>
                <w:szCs w:val="24"/>
              </w:rPr>
            </w:pPr>
            <w:r w:rsidRPr="007067A0">
              <w:rPr>
                <w:rFonts w:asciiTheme="minorHAnsi" w:hAnsiTheme="minorHAnsi" w:cstheme="minorHAnsi"/>
                <w:b/>
                <w:i w:val="0"/>
                <w:iCs w:val="0"/>
                <w:szCs w:val="24"/>
              </w:rPr>
              <w:t>GREEN</w:t>
            </w:r>
          </w:p>
        </w:tc>
        <w:tc>
          <w:tcPr>
            <w:tcW w:w="2295" w:type="dxa"/>
            <w:vAlign w:val="center"/>
          </w:tcPr>
          <w:p w14:paraId="475B7F76" w14:textId="77777777" w:rsidR="007C6933" w:rsidRPr="007067A0" w:rsidRDefault="007C6933">
            <w:pPr>
              <w:tabs>
                <w:tab w:val="left" w:pos="1451"/>
              </w:tabs>
              <w:overflowPunct w:val="0"/>
              <w:ind w:right="-108"/>
              <w:jc w:val="center"/>
              <w:rPr>
                <w:rFonts w:asciiTheme="minorHAnsi" w:hAnsiTheme="minorHAnsi" w:cstheme="minorHAnsi"/>
                <w:sz w:val="22"/>
                <w:szCs w:val="22"/>
              </w:rPr>
            </w:pPr>
            <w:r w:rsidRPr="007067A0">
              <w:rPr>
                <w:rFonts w:asciiTheme="minorHAnsi" w:hAnsiTheme="minorHAnsi" w:cstheme="minorHAnsi"/>
                <w:sz w:val="22"/>
                <w:szCs w:val="22"/>
              </w:rPr>
              <w:t>No approval required</w:t>
            </w:r>
          </w:p>
        </w:tc>
        <w:tc>
          <w:tcPr>
            <w:tcW w:w="3011" w:type="dxa"/>
          </w:tcPr>
          <w:p w14:paraId="1C35ABDC" w14:textId="77777777" w:rsidR="007C6933" w:rsidRPr="007067A0" w:rsidRDefault="007C6933" w:rsidP="006F09E0">
            <w:pPr>
              <w:pStyle w:val="NoSpacing"/>
              <w:rPr>
                <w:rFonts w:asciiTheme="minorHAnsi" w:hAnsiTheme="minorHAnsi" w:cstheme="minorHAnsi"/>
                <w:sz w:val="22"/>
                <w:szCs w:val="22"/>
              </w:rPr>
            </w:pPr>
            <w:proofErr w:type="spellStart"/>
            <w:r w:rsidRPr="007067A0">
              <w:rPr>
                <w:rFonts w:asciiTheme="minorHAnsi" w:hAnsiTheme="minorHAnsi" w:cstheme="minorHAnsi"/>
                <w:sz w:val="22"/>
                <w:szCs w:val="22"/>
              </w:rPr>
              <w:t>Aciclovir</w:t>
            </w:r>
            <w:proofErr w:type="spellEnd"/>
          </w:p>
          <w:p w14:paraId="520ED02B"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Amoxicillin </w:t>
            </w:r>
          </w:p>
          <w:p w14:paraId="1D54D2C5"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Amoxicillin/Clavulanic acid PO</w:t>
            </w:r>
          </w:p>
          <w:p w14:paraId="5A269E8A"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Ampicillin</w:t>
            </w:r>
          </w:p>
          <w:p w14:paraId="169CFF35"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Benzylpenicillin </w:t>
            </w:r>
          </w:p>
          <w:p w14:paraId="1FF75D63"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Cefalexin </w:t>
            </w:r>
          </w:p>
          <w:p w14:paraId="6FC65D3A"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Cefazolin </w:t>
            </w:r>
          </w:p>
          <w:p w14:paraId="27F3781A"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Cefuroxime</w:t>
            </w:r>
          </w:p>
          <w:p w14:paraId="42534501"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Clarithromycin </w:t>
            </w:r>
          </w:p>
          <w:p w14:paraId="0F8AFCC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Dicloxacillin</w:t>
            </w:r>
          </w:p>
          <w:p w14:paraId="620F0CDE"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Doxycycline </w:t>
            </w:r>
          </w:p>
          <w:p w14:paraId="62CFAA42" w14:textId="09E58234" w:rsidR="007C6933" w:rsidRPr="007067A0" w:rsidRDefault="007C6933" w:rsidP="006F09E0">
            <w:pPr>
              <w:pStyle w:val="NoSpacing"/>
              <w:rPr>
                <w:rFonts w:asciiTheme="minorHAnsi" w:hAnsiTheme="minorHAnsi" w:cstheme="minorHAnsi"/>
                <w:sz w:val="22"/>
                <w:szCs w:val="22"/>
              </w:rPr>
            </w:pPr>
            <w:r w:rsidRPr="007067A0">
              <w:rPr>
                <w:rFonts w:asciiTheme="minorHAnsi" w:eastAsiaTheme="minorHAnsi" w:hAnsiTheme="minorHAnsi" w:cstheme="minorHAnsi"/>
                <w:sz w:val="22"/>
                <w:szCs w:val="22"/>
              </w:rPr>
              <w:t xml:space="preserve">Erythromycin </w:t>
            </w:r>
          </w:p>
        </w:tc>
        <w:tc>
          <w:tcPr>
            <w:tcW w:w="2754" w:type="dxa"/>
          </w:tcPr>
          <w:p w14:paraId="53C39A7D"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Flucloxacillin </w:t>
            </w:r>
          </w:p>
          <w:p w14:paraId="120A989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Ivermectin </w:t>
            </w:r>
          </w:p>
          <w:p w14:paraId="3B8B760C"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Metronidazole </w:t>
            </w:r>
          </w:p>
          <w:p w14:paraId="703C8ADD"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Minocycline</w:t>
            </w:r>
          </w:p>
          <w:p w14:paraId="5DA83EB0"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Nitrofurantoin </w:t>
            </w:r>
          </w:p>
          <w:p w14:paraId="1A79D043" w14:textId="77777777" w:rsidR="007C6933" w:rsidRPr="007067A0" w:rsidRDefault="007C6933" w:rsidP="006F09E0">
            <w:pPr>
              <w:pStyle w:val="NoSpacing"/>
              <w:rPr>
                <w:rFonts w:asciiTheme="minorHAnsi" w:hAnsiTheme="minorHAnsi" w:cstheme="minorHAnsi"/>
                <w:sz w:val="22"/>
                <w:szCs w:val="22"/>
              </w:rPr>
            </w:pPr>
            <w:proofErr w:type="spellStart"/>
            <w:r w:rsidRPr="007067A0">
              <w:rPr>
                <w:rFonts w:asciiTheme="minorHAnsi" w:hAnsiTheme="minorHAnsi" w:cstheme="minorHAnsi"/>
                <w:sz w:val="22"/>
                <w:szCs w:val="22"/>
              </w:rPr>
              <w:t>Phenoxymethylpenicllin</w:t>
            </w:r>
            <w:proofErr w:type="spellEnd"/>
          </w:p>
          <w:p w14:paraId="4E376A83"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Roxithromycin </w:t>
            </w:r>
          </w:p>
          <w:p w14:paraId="3EFE0B11"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Trimethoprim/Sulfamethoxazole </w:t>
            </w:r>
          </w:p>
          <w:p w14:paraId="32FB5F19" w14:textId="77777777" w:rsidR="007C6933" w:rsidRPr="007067A0" w:rsidRDefault="007C6933" w:rsidP="006F09E0">
            <w:pPr>
              <w:pStyle w:val="NoSpacing"/>
              <w:rPr>
                <w:rFonts w:asciiTheme="minorHAnsi" w:hAnsiTheme="minorHAnsi" w:cstheme="minorHAnsi"/>
                <w:sz w:val="22"/>
                <w:szCs w:val="22"/>
              </w:rPr>
            </w:pPr>
            <w:r w:rsidRPr="007067A0">
              <w:rPr>
                <w:rFonts w:asciiTheme="minorHAnsi" w:hAnsiTheme="minorHAnsi" w:cstheme="minorHAnsi"/>
                <w:sz w:val="22"/>
                <w:szCs w:val="22"/>
              </w:rPr>
              <w:t xml:space="preserve">Tinidazole </w:t>
            </w:r>
          </w:p>
          <w:p w14:paraId="707C0657" w14:textId="77777777" w:rsidR="007C6933" w:rsidRPr="007067A0" w:rsidRDefault="007C6933" w:rsidP="006F09E0">
            <w:pPr>
              <w:pStyle w:val="NoSpacing"/>
              <w:rPr>
                <w:rFonts w:asciiTheme="minorHAnsi" w:hAnsiTheme="minorHAnsi" w:cstheme="minorHAnsi"/>
                <w:sz w:val="22"/>
                <w:szCs w:val="22"/>
              </w:rPr>
            </w:pPr>
            <w:proofErr w:type="spellStart"/>
            <w:r w:rsidRPr="007067A0">
              <w:rPr>
                <w:rFonts w:asciiTheme="minorHAnsi" w:hAnsiTheme="minorHAnsi" w:cstheme="minorHAnsi"/>
                <w:sz w:val="22"/>
                <w:szCs w:val="22"/>
              </w:rPr>
              <w:t>Trimethopim</w:t>
            </w:r>
            <w:proofErr w:type="spellEnd"/>
            <w:r w:rsidRPr="007067A0">
              <w:rPr>
                <w:rFonts w:asciiTheme="minorHAnsi" w:hAnsiTheme="minorHAnsi" w:cstheme="minorHAnsi"/>
                <w:sz w:val="22"/>
                <w:szCs w:val="22"/>
              </w:rPr>
              <w:t xml:space="preserve"> </w:t>
            </w:r>
          </w:p>
          <w:p w14:paraId="610C23A6" w14:textId="77777777" w:rsidR="007C6933" w:rsidRPr="007067A0" w:rsidRDefault="007C6933" w:rsidP="006F09E0">
            <w:pPr>
              <w:pStyle w:val="NoSpacing"/>
              <w:rPr>
                <w:rFonts w:asciiTheme="minorHAnsi" w:hAnsiTheme="minorHAnsi" w:cstheme="minorHAnsi"/>
                <w:color w:val="FFC000"/>
                <w:sz w:val="22"/>
                <w:szCs w:val="22"/>
              </w:rPr>
            </w:pPr>
            <w:r w:rsidRPr="007067A0">
              <w:rPr>
                <w:rFonts w:asciiTheme="minorHAnsi" w:hAnsiTheme="minorHAnsi" w:cstheme="minorHAnsi"/>
                <w:sz w:val="22"/>
                <w:szCs w:val="22"/>
              </w:rPr>
              <w:t>Valaciclovir</w:t>
            </w:r>
          </w:p>
        </w:tc>
      </w:tr>
    </w:tbl>
    <w:p w14:paraId="4AC6AB79" w14:textId="77777777" w:rsidR="007C6933" w:rsidRPr="00201FB6" w:rsidRDefault="007C6933" w:rsidP="00201FB6">
      <w:pPr>
        <w:rPr>
          <w:b/>
        </w:rPr>
      </w:pPr>
    </w:p>
    <w:p w14:paraId="556498CB" w14:textId="2B14373B" w:rsidR="00AB7E13" w:rsidRDefault="00F517F5" w:rsidP="007067A0">
      <w:pPr>
        <w:jc w:val="right"/>
        <w:rPr>
          <w:rFonts w:cs="Arial"/>
          <w:i/>
          <w:szCs w:val="24"/>
        </w:rPr>
      </w:pPr>
      <w:hyperlink w:anchor="Contents" w:history="1">
        <w:r w:rsidR="007B6904" w:rsidRPr="00590902">
          <w:rPr>
            <w:rStyle w:val="Hyperlink"/>
            <w:rFonts w:cs="Arial"/>
            <w:i/>
            <w:szCs w:val="24"/>
          </w:rPr>
          <w:t>Back to Table of Contents</w:t>
        </w:r>
      </w:hyperlink>
      <w:r w:rsidR="007B6904">
        <w:rPr>
          <w:rFonts w:cs="Arial"/>
          <w:i/>
          <w:szCs w:val="24"/>
        </w:rPr>
        <w:t xml:space="preserve"> </w:t>
      </w:r>
    </w:p>
    <w:p w14:paraId="5A4F0FE7" w14:textId="77777777" w:rsidR="00891C7F" w:rsidRDefault="00891C7F" w:rsidP="007067A0">
      <w:pPr>
        <w:jc w:val="right"/>
        <w:rPr>
          <w:rFonts w:cs="Arial"/>
          <w:b/>
          <w:szCs w:val="24"/>
        </w:rPr>
      </w:pPr>
    </w:p>
    <w:p w14:paraId="011AA4EA" w14:textId="77777777" w:rsidR="00891C7F" w:rsidRDefault="00891C7F" w:rsidP="007067A0">
      <w:pPr>
        <w:jc w:val="right"/>
        <w:rPr>
          <w:rFonts w:cs="Arial"/>
          <w:b/>
          <w:szCs w:val="24"/>
        </w:rPr>
      </w:pPr>
    </w:p>
    <w:p w14:paraId="156B7998" w14:textId="77777777" w:rsidR="00891C7F" w:rsidRDefault="00891C7F" w:rsidP="007067A0">
      <w:pPr>
        <w:jc w:val="right"/>
        <w:rPr>
          <w:rFonts w:cs="Arial"/>
          <w:b/>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AB7E13" w:rsidRPr="00CD1C0E" w14:paraId="1EA5D128" w14:textId="77777777" w:rsidTr="006F09E0">
        <w:trPr>
          <w:cantSplit/>
          <w:trHeight w:val="285"/>
        </w:trPr>
        <w:tc>
          <w:tcPr>
            <w:tcW w:w="9158" w:type="dxa"/>
            <w:shd w:val="clear" w:color="auto" w:fill="A6A6A6" w:themeFill="background1" w:themeFillShade="A6"/>
          </w:tcPr>
          <w:p w14:paraId="0F467FE9" w14:textId="7F51DB21" w:rsidR="00AB7E13" w:rsidRPr="003D2D06" w:rsidRDefault="00AB7E13" w:rsidP="006F09E0">
            <w:pPr>
              <w:pStyle w:val="Heading1"/>
            </w:pPr>
            <w:bookmarkStart w:id="20" w:name="_Toc159339618"/>
            <w:r w:rsidRPr="00B03D49">
              <w:lastRenderedPageBreak/>
              <w:t xml:space="preserve">Section </w:t>
            </w:r>
            <w:r w:rsidR="007720B4" w:rsidRPr="00B03D49">
              <w:t>5</w:t>
            </w:r>
            <w:r w:rsidRPr="00B03D49">
              <w:t xml:space="preserve"> </w:t>
            </w:r>
            <w:r w:rsidR="007D11F7" w:rsidRPr="00B03D49">
              <w:t>–</w:t>
            </w:r>
            <w:r>
              <w:t xml:space="preserve"> </w:t>
            </w:r>
            <w:r w:rsidR="007D11F7">
              <w:t xml:space="preserve">Process for Requesting Antimicrobial Approval and Supply Monday </w:t>
            </w:r>
            <w:r w:rsidR="00CD7201">
              <w:t>–</w:t>
            </w:r>
            <w:r w:rsidR="007D11F7">
              <w:t xml:space="preserve"> Friday</w:t>
            </w:r>
            <w:bookmarkEnd w:id="20"/>
          </w:p>
        </w:tc>
      </w:tr>
    </w:tbl>
    <w:p w14:paraId="10F84F5B" w14:textId="77777777" w:rsidR="00AB7E13" w:rsidRDefault="00AB7E13" w:rsidP="00381CBF">
      <w:pPr>
        <w:jc w:val="right"/>
      </w:pPr>
    </w:p>
    <w:tbl>
      <w:tblPr>
        <w:tblStyle w:val="TableGrid"/>
        <w:tblW w:w="9924" w:type="dxa"/>
        <w:tblInd w:w="-431" w:type="dxa"/>
        <w:tblLayout w:type="fixed"/>
        <w:tblLook w:val="04A0" w:firstRow="1" w:lastRow="0" w:firstColumn="1" w:lastColumn="0" w:noHBand="0" w:noVBand="1"/>
      </w:tblPr>
      <w:tblGrid>
        <w:gridCol w:w="426"/>
        <w:gridCol w:w="709"/>
        <w:gridCol w:w="851"/>
        <w:gridCol w:w="2409"/>
        <w:gridCol w:w="1276"/>
        <w:gridCol w:w="1418"/>
        <w:gridCol w:w="1417"/>
        <w:gridCol w:w="1418"/>
      </w:tblGrid>
      <w:tr w:rsidR="00AB7E13" w14:paraId="32588734" w14:textId="77777777" w:rsidTr="007067A0">
        <w:tc>
          <w:tcPr>
            <w:tcW w:w="426" w:type="dxa"/>
            <w:vMerge w:val="restart"/>
            <w:shd w:val="clear" w:color="auto" w:fill="D9D9D9" w:themeFill="background1" w:themeFillShade="D9"/>
          </w:tcPr>
          <w:p w14:paraId="74CCBEBA" w14:textId="77777777" w:rsidR="00AB7E13" w:rsidRPr="00AE4D51" w:rsidRDefault="00AB7E13" w:rsidP="006F09E0">
            <w:pPr>
              <w:ind w:right="452"/>
              <w:jc w:val="center"/>
              <w:rPr>
                <w:rFonts w:asciiTheme="minorHAnsi" w:hAnsiTheme="minorHAnsi" w:cstheme="minorHAnsi"/>
                <w:b/>
                <w:szCs w:val="24"/>
              </w:rPr>
            </w:pPr>
          </w:p>
        </w:tc>
        <w:tc>
          <w:tcPr>
            <w:tcW w:w="5245" w:type="dxa"/>
            <w:gridSpan w:val="4"/>
            <w:shd w:val="clear" w:color="auto" w:fill="D9D9D9" w:themeFill="background1" w:themeFillShade="D9"/>
          </w:tcPr>
          <w:p w14:paraId="6DBDEC97" w14:textId="77777777" w:rsidR="00AB7E13" w:rsidRPr="00AE4D51" w:rsidRDefault="00AB7E13" w:rsidP="006F09E0">
            <w:pPr>
              <w:ind w:right="452"/>
              <w:jc w:val="center"/>
              <w:rPr>
                <w:rFonts w:asciiTheme="minorHAnsi" w:hAnsiTheme="minorHAnsi" w:cstheme="minorHAnsi"/>
                <w:szCs w:val="24"/>
              </w:rPr>
            </w:pPr>
            <w:r w:rsidRPr="00AE4D51">
              <w:rPr>
                <w:rFonts w:asciiTheme="minorHAnsi" w:hAnsiTheme="minorHAnsi" w:cstheme="minorHAnsi"/>
                <w:b/>
                <w:szCs w:val="24"/>
              </w:rPr>
              <w:t>Monday-Friday process for approval</w:t>
            </w:r>
          </w:p>
        </w:tc>
        <w:tc>
          <w:tcPr>
            <w:tcW w:w="4253" w:type="dxa"/>
            <w:gridSpan w:val="3"/>
            <w:shd w:val="clear" w:color="auto" w:fill="D9D9D9" w:themeFill="background1" w:themeFillShade="D9"/>
          </w:tcPr>
          <w:p w14:paraId="2A2A42FC" w14:textId="3BB89A00" w:rsidR="00AB7E13" w:rsidRPr="00AE4D51" w:rsidRDefault="00AB7E13" w:rsidP="006F09E0">
            <w:pPr>
              <w:ind w:right="452"/>
              <w:jc w:val="center"/>
              <w:rPr>
                <w:rFonts w:asciiTheme="minorHAnsi" w:hAnsiTheme="minorHAnsi" w:cstheme="minorHAnsi"/>
                <w:b/>
                <w:szCs w:val="24"/>
              </w:rPr>
            </w:pPr>
            <w:r w:rsidRPr="00AE4D51">
              <w:rPr>
                <w:rFonts w:asciiTheme="minorHAnsi" w:hAnsiTheme="minorHAnsi" w:cstheme="minorHAnsi"/>
                <w:b/>
                <w:szCs w:val="24"/>
              </w:rPr>
              <w:t>Monday-Friday process for supply</w:t>
            </w:r>
            <w:r w:rsidR="007514C0">
              <w:rPr>
                <w:rFonts w:asciiTheme="minorHAnsi" w:hAnsiTheme="minorHAnsi" w:cstheme="minorHAnsi"/>
                <w:b/>
                <w:szCs w:val="24"/>
              </w:rPr>
              <w:t xml:space="preserve"> </w:t>
            </w:r>
          </w:p>
        </w:tc>
      </w:tr>
      <w:tr w:rsidR="00232FFE" w14:paraId="67897D39" w14:textId="77777777" w:rsidTr="007067A0">
        <w:tc>
          <w:tcPr>
            <w:tcW w:w="426" w:type="dxa"/>
            <w:vMerge/>
          </w:tcPr>
          <w:p w14:paraId="09479E93" w14:textId="77777777" w:rsidR="00AB7E13" w:rsidRPr="00AE4D51" w:rsidRDefault="00AB7E13" w:rsidP="006F09E0">
            <w:pPr>
              <w:ind w:right="452"/>
              <w:jc w:val="center"/>
              <w:rPr>
                <w:rFonts w:asciiTheme="minorHAnsi" w:hAnsiTheme="minorHAnsi" w:cstheme="minorHAnsi"/>
                <w:b/>
                <w:szCs w:val="24"/>
              </w:rPr>
            </w:pPr>
          </w:p>
        </w:tc>
        <w:tc>
          <w:tcPr>
            <w:tcW w:w="1560" w:type="dxa"/>
            <w:gridSpan w:val="2"/>
            <w:tcBorders>
              <w:bottom w:val="single" w:sz="4" w:space="0" w:color="auto"/>
            </w:tcBorders>
            <w:shd w:val="clear" w:color="auto" w:fill="D9D9D9" w:themeFill="background1" w:themeFillShade="D9"/>
            <w:vAlign w:val="center"/>
          </w:tcPr>
          <w:p w14:paraId="1B9B2839" w14:textId="77777777" w:rsidR="00AB7E13" w:rsidRPr="00AE4D51" w:rsidRDefault="00AB7E13">
            <w:pPr>
              <w:ind w:right="34"/>
              <w:jc w:val="center"/>
              <w:rPr>
                <w:rFonts w:asciiTheme="minorHAnsi" w:hAnsiTheme="minorHAnsi" w:cstheme="minorHAnsi"/>
                <w:b/>
                <w:szCs w:val="24"/>
              </w:rPr>
            </w:pPr>
            <w:r w:rsidRPr="00AE4D51">
              <w:rPr>
                <w:rFonts w:asciiTheme="minorHAnsi" w:hAnsiTheme="minorHAnsi" w:cstheme="minorHAnsi"/>
                <w:b/>
                <w:szCs w:val="24"/>
              </w:rPr>
              <w:t>AMS approval request process</w:t>
            </w:r>
          </w:p>
        </w:tc>
        <w:tc>
          <w:tcPr>
            <w:tcW w:w="2409" w:type="dxa"/>
            <w:tcBorders>
              <w:bottom w:val="single" w:sz="4" w:space="0" w:color="auto"/>
            </w:tcBorders>
            <w:shd w:val="clear" w:color="auto" w:fill="D9D9D9" w:themeFill="background1" w:themeFillShade="D9"/>
            <w:vAlign w:val="center"/>
          </w:tcPr>
          <w:p w14:paraId="0F8C363B" w14:textId="77777777" w:rsidR="004477B6" w:rsidRDefault="00AB7E13">
            <w:pPr>
              <w:pStyle w:val="Heading4"/>
              <w:ind w:lef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 xml:space="preserve">Clinician responsible </w:t>
            </w:r>
          </w:p>
          <w:p w14:paraId="2A62DCBD" w14:textId="47DD4AD2" w:rsidR="00AB7E13" w:rsidRPr="00AE4D51" w:rsidRDefault="00AB7E13">
            <w:pPr>
              <w:pStyle w:val="Heading4"/>
              <w:ind w:lef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for review</w:t>
            </w:r>
          </w:p>
        </w:tc>
        <w:tc>
          <w:tcPr>
            <w:tcW w:w="1276" w:type="dxa"/>
            <w:tcBorders>
              <w:bottom w:val="single" w:sz="4" w:space="0" w:color="auto"/>
            </w:tcBorders>
            <w:shd w:val="clear" w:color="auto" w:fill="D9D9D9" w:themeFill="background1" w:themeFillShade="D9"/>
            <w:vAlign w:val="center"/>
          </w:tcPr>
          <w:p w14:paraId="2DBB03D2" w14:textId="77777777" w:rsidR="00AB7E13" w:rsidRPr="00AE4D51" w:rsidRDefault="00AB7E13">
            <w:pPr>
              <w:pStyle w:val="Heading4"/>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Code Requirements</w:t>
            </w:r>
          </w:p>
        </w:tc>
        <w:tc>
          <w:tcPr>
            <w:tcW w:w="1418" w:type="dxa"/>
            <w:tcBorders>
              <w:bottom w:val="single" w:sz="4" w:space="0" w:color="auto"/>
            </w:tcBorders>
            <w:shd w:val="clear" w:color="auto" w:fill="D9D9D9" w:themeFill="background1" w:themeFillShade="D9"/>
            <w:vAlign w:val="center"/>
          </w:tcPr>
          <w:p w14:paraId="0A70EC2C" w14:textId="77777777" w:rsidR="004477B6" w:rsidRDefault="00AB7E13">
            <w:pPr>
              <w:pStyle w:val="Heading4"/>
              <w:ind w:left="-108" w:righ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 xml:space="preserve">Prior to </w:t>
            </w:r>
          </w:p>
          <w:p w14:paraId="7A8E5BDD" w14:textId="37531C49" w:rsidR="00AB7E13" w:rsidRPr="00AE4D51" w:rsidRDefault="00AB7E13">
            <w:pPr>
              <w:pStyle w:val="Heading4"/>
              <w:ind w:left="-108" w:righ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approval</w:t>
            </w:r>
          </w:p>
        </w:tc>
        <w:tc>
          <w:tcPr>
            <w:tcW w:w="1417" w:type="dxa"/>
            <w:tcBorders>
              <w:bottom w:val="single" w:sz="4" w:space="0" w:color="auto"/>
            </w:tcBorders>
            <w:shd w:val="clear" w:color="auto" w:fill="D9D9D9" w:themeFill="background1" w:themeFillShade="D9"/>
            <w:vAlign w:val="center"/>
          </w:tcPr>
          <w:p w14:paraId="6CDB9C8F" w14:textId="77777777" w:rsidR="004477B6" w:rsidRDefault="00AB7E13">
            <w:pPr>
              <w:pStyle w:val="Heading4"/>
              <w:ind w:left="-108" w:righ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 xml:space="preserve">Post </w:t>
            </w:r>
          </w:p>
          <w:p w14:paraId="42671F8D" w14:textId="319CF123" w:rsidR="00AB7E13" w:rsidRPr="00AE4D51" w:rsidRDefault="00AB7E13">
            <w:pPr>
              <w:pStyle w:val="Heading4"/>
              <w:ind w:left="-108" w:righ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approval</w:t>
            </w:r>
          </w:p>
        </w:tc>
        <w:tc>
          <w:tcPr>
            <w:tcW w:w="1418" w:type="dxa"/>
            <w:tcBorders>
              <w:bottom w:val="single" w:sz="4" w:space="0" w:color="auto"/>
            </w:tcBorders>
            <w:shd w:val="clear" w:color="auto" w:fill="D9D9D9" w:themeFill="background1" w:themeFillShade="D9"/>
            <w:vAlign w:val="center"/>
          </w:tcPr>
          <w:p w14:paraId="09323E37" w14:textId="77777777" w:rsidR="00AB7E13" w:rsidRPr="00AE4D51" w:rsidRDefault="00AB7E13">
            <w:pPr>
              <w:pStyle w:val="Heading4"/>
              <w:ind w:left="-108"/>
              <w:jc w:val="center"/>
              <w:rPr>
                <w:rFonts w:asciiTheme="minorHAnsi" w:hAnsiTheme="minorHAnsi" w:cstheme="minorHAnsi"/>
                <w:b/>
                <w:bCs/>
                <w:i w:val="0"/>
                <w:iCs w:val="0"/>
                <w:color w:val="auto"/>
                <w:szCs w:val="24"/>
              </w:rPr>
            </w:pPr>
            <w:r w:rsidRPr="00AE4D51">
              <w:rPr>
                <w:rFonts w:asciiTheme="minorHAnsi" w:hAnsiTheme="minorHAnsi" w:cstheme="minorHAnsi"/>
                <w:b/>
                <w:bCs/>
                <w:i w:val="0"/>
                <w:iCs w:val="0"/>
                <w:color w:val="auto"/>
                <w:szCs w:val="24"/>
              </w:rPr>
              <w:t>Expired approval</w:t>
            </w:r>
          </w:p>
        </w:tc>
      </w:tr>
      <w:tr w:rsidR="004477B6" w:rsidRPr="007D11F7" w14:paraId="1445DF82" w14:textId="77777777" w:rsidTr="007067A0">
        <w:trPr>
          <w:cantSplit/>
          <w:trHeight w:val="2254"/>
        </w:trPr>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tcPr>
          <w:p w14:paraId="2095EB38" w14:textId="77777777" w:rsidR="004477B6" w:rsidRPr="00AE4D51" w:rsidRDefault="004477B6" w:rsidP="007067A0">
            <w:pPr>
              <w:ind w:left="113" w:right="159"/>
              <w:jc w:val="center"/>
              <w:rPr>
                <w:rFonts w:asciiTheme="minorHAnsi" w:hAnsiTheme="minorHAnsi" w:cstheme="minorHAnsi"/>
                <w:b/>
                <w:szCs w:val="24"/>
              </w:rPr>
            </w:pPr>
            <w:r w:rsidRPr="00AE4D51">
              <w:rPr>
                <w:rFonts w:asciiTheme="minorHAnsi" w:hAnsiTheme="minorHAnsi" w:cstheme="minorHAnsi"/>
                <w:b/>
                <w:szCs w:val="24"/>
              </w:rPr>
              <w:t>BLACK</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D9252" w14:textId="77777777" w:rsidR="004477B6" w:rsidRPr="00AE4D51" w:rsidRDefault="004477B6">
            <w:pPr>
              <w:ind w:right="159"/>
              <w:jc w:val="center"/>
              <w:rPr>
                <w:rFonts w:asciiTheme="minorHAnsi" w:hAnsiTheme="minorHAnsi" w:cstheme="minorHAnsi"/>
                <w:b/>
                <w:szCs w:val="24"/>
              </w:rPr>
            </w:pPr>
            <w:r w:rsidRPr="00AE4D51">
              <w:rPr>
                <w:rFonts w:asciiTheme="minorHAnsi" w:hAnsiTheme="minorHAnsi" w:cstheme="minorHAnsi"/>
                <w:szCs w:val="24"/>
              </w:rPr>
              <w:t xml:space="preserve">Infectious diseases (ID) approval required </w:t>
            </w:r>
            <w:r w:rsidRPr="00AE4D51">
              <w:rPr>
                <w:rFonts w:asciiTheme="minorHAnsi" w:hAnsiTheme="minorHAnsi" w:cstheme="minorHAnsi"/>
                <w:b/>
                <w:szCs w:val="24"/>
              </w:rPr>
              <w:t>PRIOR</w:t>
            </w:r>
            <w:r w:rsidRPr="00AE4D51">
              <w:rPr>
                <w:rFonts w:asciiTheme="minorHAnsi" w:hAnsiTheme="minorHAnsi" w:cstheme="minorHAnsi"/>
                <w:szCs w:val="24"/>
              </w:rPr>
              <w:t xml:space="preserve"> to prescribing</w:t>
            </w:r>
          </w:p>
        </w:tc>
        <w:tc>
          <w:tcPr>
            <w:tcW w:w="2409" w:type="dxa"/>
            <w:tcBorders>
              <w:left w:val="single" w:sz="4" w:space="0" w:color="auto"/>
              <w:bottom w:val="single" w:sz="4" w:space="0" w:color="auto"/>
            </w:tcBorders>
            <w:shd w:val="clear" w:color="auto" w:fill="FFFFFF" w:themeFill="background1"/>
            <w:vAlign w:val="center"/>
          </w:tcPr>
          <w:p w14:paraId="30931880" w14:textId="77777777" w:rsidR="004477B6" w:rsidRPr="007067A0" w:rsidRDefault="004477B6" w:rsidP="007067A0">
            <w:pPr>
              <w:jc w:val="center"/>
              <w:rPr>
                <w:rFonts w:asciiTheme="minorHAnsi" w:hAnsiTheme="minorHAnsi" w:cstheme="minorHAnsi"/>
                <w:szCs w:val="24"/>
                <w:u w:val="single"/>
              </w:rPr>
            </w:pPr>
            <w:r w:rsidRPr="007067A0">
              <w:rPr>
                <w:rFonts w:asciiTheme="minorHAnsi" w:hAnsiTheme="minorHAnsi" w:cstheme="minorHAnsi"/>
                <w:szCs w:val="24"/>
                <w:u w:val="single"/>
              </w:rPr>
              <w:t>Working hours:</w:t>
            </w:r>
          </w:p>
          <w:p w14:paraId="161FAFA2" w14:textId="544D507B" w:rsidR="004477B6" w:rsidRPr="00AE4D51" w:rsidRDefault="004477B6" w:rsidP="007067A0">
            <w:pPr>
              <w:jc w:val="center"/>
              <w:rPr>
                <w:rFonts w:asciiTheme="minorHAnsi" w:hAnsiTheme="minorHAnsi" w:cstheme="minorHAnsi"/>
                <w:szCs w:val="24"/>
              </w:rPr>
            </w:pPr>
            <w:r>
              <w:rPr>
                <w:rFonts w:asciiTheme="minorHAnsi" w:hAnsiTheme="minorHAnsi" w:cstheme="minorHAnsi"/>
                <w:szCs w:val="24"/>
              </w:rPr>
              <w:t>T</w:t>
            </w:r>
            <w:r w:rsidRPr="00AE4D51">
              <w:rPr>
                <w:rFonts w:asciiTheme="minorHAnsi" w:hAnsiTheme="minorHAnsi" w:cstheme="minorHAnsi"/>
                <w:szCs w:val="24"/>
              </w:rPr>
              <w:t>eam to contact the</w:t>
            </w:r>
            <w:r w:rsidRPr="00AE4D51">
              <w:rPr>
                <w:rFonts w:asciiTheme="minorHAnsi" w:hAnsiTheme="minorHAnsi" w:cstheme="minorHAnsi"/>
                <w:b/>
                <w:szCs w:val="24"/>
              </w:rPr>
              <w:t xml:space="preserve"> </w:t>
            </w:r>
            <w:r w:rsidRPr="00AE4D51">
              <w:rPr>
                <w:rFonts w:asciiTheme="minorHAnsi" w:hAnsiTheme="minorHAnsi" w:cstheme="minorHAnsi"/>
                <w:szCs w:val="24"/>
              </w:rPr>
              <w:t>ID/AMS registrar at NCH via switchboard</w:t>
            </w:r>
          </w:p>
          <w:p w14:paraId="58A1981E" w14:textId="77777777" w:rsidR="004477B6" w:rsidRPr="007067A0" w:rsidRDefault="004477B6" w:rsidP="007067A0">
            <w:pPr>
              <w:jc w:val="center"/>
              <w:rPr>
                <w:rFonts w:asciiTheme="minorHAnsi" w:hAnsiTheme="minorHAnsi" w:cstheme="minorHAnsi"/>
                <w:szCs w:val="24"/>
                <w:u w:val="single"/>
              </w:rPr>
            </w:pPr>
            <w:r w:rsidRPr="007067A0">
              <w:rPr>
                <w:rFonts w:asciiTheme="minorHAnsi" w:hAnsiTheme="minorHAnsi" w:cstheme="minorHAnsi"/>
                <w:szCs w:val="24"/>
                <w:u w:val="single"/>
              </w:rPr>
              <w:t>After hours:</w:t>
            </w:r>
          </w:p>
          <w:p w14:paraId="4A558E90" w14:textId="0F8477C2" w:rsidR="004477B6" w:rsidRPr="00AE4D51" w:rsidRDefault="017223FF" w:rsidP="007067A0">
            <w:pPr>
              <w:jc w:val="center"/>
              <w:rPr>
                <w:rFonts w:asciiTheme="minorHAnsi" w:hAnsiTheme="minorHAnsi" w:cstheme="minorBidi"/>
              </w:rPr>
            </w:pPr>
            <w:r w:rsidRPr="186A08C5">
              <w:rPr>
                <w:rFonts w:asciiTheme="minorHAnsi" w:hAnsiTheme="minorHAnsi" w:cstheme="minorBidi"/>
              </w:rPr>
              <w:t>Prescribing team to contact the on-call ID physician at CHS</w:t>
            </w:r>
          </w:p>
        </w:tc>
        <w:tc>
          <w:tcPr>
            <w:tcW w:w="1276" w:type="dxa"/>
            <w:vMerge w:val="restart"/>
            <w:shd w:val="clear" w:color="auto" w:fill="FFFFFF" w:themeFill="background1"/>
            <w:vAlign w:val="center"/>
          </w:tcPr>
          <w:p w14:paraId="0EE7BB71" w14:textId="0D4976D1" w:rsidR="004477B6" w:rsidRPr="00AE4D51" w:rsidRDefault="0F12B171" w:rsidP="007067A0">
            <w:pPr>
              <w:ind w:right="-60"/>
              <w:jc w:val="center"/>
              <w:rPr>
                <w:rFonts w:asciiTheme="minorHAnsi" w:hAnsiTheme="minorHAnsi" w:cstheme="minorBidi"/>
              </w:rPr>
            </w:pPr>
            <w:r w:rsidRPr="186A08C5">
              <w:rPr>
                <w:rFonts w:asciiTheme="minorHAnsi" w:hAnsiTheme="minorHAnsi" w:cstheme="minorBidi"/>
              </w:rPr>
              <w:t xml:space="preserve"> AMS team must document approval code </w:t>
            </w:r>
            <w:r w:rsidR="1421B509" w:rsidRPr="186A08C5">
              <w:rPr>
                <w:rFonts w:asciiTheme="minorHAnsi" w:hAnsiTheme="minorHAnsi" w:cstheme="minorBidi"/>
              </w:rPr>
              <w:t>in consult/</w:t>
            </w:r>
            <w:r w:rsidR="00445EF8">
              <w:rPr>
                <w:rFonts w:asciiTheme="minorHAnsi" w:hAnsiTheme="minorHAnsi" w:cstheme="minorBidi"/>
              </w:rPr>
              <w:t xml:space="preserve"> </w:t>
            </w:r>
            <w:r w:rsidR="1421B509" w:rsidRPr="186A08C5">
              <w:rPr>
                <w:rFonts w:asciiTheme="minorHAnsi" w:hAnsiTheme="minorHAnsi" w:cstheme="minorBidi"/>
              </w:rPr>
              <w:t>review note.</w:t>
            </w:r>
          </w:p>
        </w:tc>
        <w:tc>
          <w:tcPr>
            <w:tcW w:w="1418" w:type="dxa"/>
            <w:tcBorders>
              <w:bottom w:val="single" w:sz="4" w:space="0" w:color="auto"/>
            </w:tcBorders>
            <w:shd w:val="clear" w:color="auto" w:fill="FFFFFF" w:themeFill="background1"/>
            <w:vAlign w:val="center"/>
          </w:tcPr>
          <w:p w14:paraId="6B0EA169" w14:textId="631093F4" w:rsidR="004477B6" w:rsidRPr="00AE4D51" w:rsidRDefault="004477B6" w:rsidP="007067A0">
            <w:pPr>
              <w:tabs>
                <w:tab w:val="left" w:pos="1545"/>
              </w:tabs>
              <w:jc w:val="center"/>
              <w:rPr>
                <w:rFonts w:asciiTheme="minorHAnsi" w:hAnsiTheme="minorHAnsi" w:cstheme="minorHAnsi"/>
                <w:b/>
                <w:szCs w:val="24"/>
              </w:rPr>
            </w:pPr>
            <w:r w:rsidRPr="00AE4D51">
              <w:rPr>
                <w:rFonts w:asciiTheme="minorHAnsi" w:hAnsiTheme="minorHAnsi" w:cstheme="minorHAnsi"/>
                <w:szCs w:val="24"/>
              </w:rPr>
              <w:t xml:space="preserve">Pharmacy is unable to supply until approval code is documented </w:t>
            </w:r>
            <w:r>
              <w:rPr>
                <w:rFonts w:asciiTheme="minorHAnsi" w:hAnsiTheme="minorHAnsi" w:cstheme="minorHAnsi"/>
                <w:szCs w:val="24"/>
              </w:rPr>
              <w:t>in DHR</w:t>
            </w:r>
          </w:p>
        </w:tc>
        <w:tc>
          <w:tcPr>
            <w:tcW w:w="1417" w:type="dxa"/>
            <w:vMerge w:val="restart"/>
            <w:vAlign w:val="center"/>
          </w:tcPr>
          <w:p w14:paraId="59E59CEB" w14:textId="77777777" w:rsidR="004477B6" w:rsidRPr="00AE4D51" w:rsidRDefault="004477B6" w:rsidP="007067A0">
            <w:pPr>
              <w:jc w:val="center"/>
              <w:rPr>
                <w:rStyle w:val="Hyperlink"/>
                <w:rFonts w:asciiTheme="minorHAnsi" w:hAnsiTheme="minorHAnsi" w:cstheme="minorHAnsi"/>
                <w:color w:val="auto"/>
                <w:szCs w:val="24"/>
                <w:u w:val="none"/>
                <w:lang w:eastAsia="en-US"/>
              </w:rPr>
            </w:pPr>
            <w:r w:rsidRPr="00AE4D51">
              <w:rPr>
                <w:rStyle w:val="Hyperlink"/>
                <w:rFonts w:asciiTheme="minorHAnsi" w:hAnsiTheme="minorHAnsi" w:cstheme="minorHAnsi"/>
                <w:color w:val="auto"/>
                <w:szCs w:val="24"/>
                <w:u w:val="none"/>
              </w:rPr>
              <w:t>Pharmacy will supply until 2pm on the day that the approval is due to be reviewed or ceased.</w:t>
            </w:r>
          </w:p>
          <w:p w14:paraId="2010BDEA" w14:textId="77777777" w:rsidR="004477B6" w:rsidRPr="00AE4D51" w:rsidRDefault="004477B6" w:rsidP="007067A0">
            <w:pPr>
              <w:tabs>
                <w:tab w:val="left" w:pos="1545"/>
              </w:tabs>
              <w:jc w:val="center"/>
              <w:rPr>
                <w:rFonts w:asciiTheme="minorHAnsi" w:hAnsiTheme="minorHAnsi" w:cstheme="minorHAnsi"/>
                <w:b/>
                <w:szCs w:val="24"/>
              </w:rPr>
            </w:pPr>
          </w:p>
        </w:tc>
        <w:tc>
          <w:tcPr>
            <w:tcW w:w="1418" w:type="dxa"/>
            <w:vMerge w:val="restart"/>
            <w:vAlign w:val="center"/>
          </w:tcPr>
          <w:p w14:paraId="6C04EEB1" w14:textId="4640D2E6" w:rsidR="004477B6" w:rsidRPr="00AE4D51" w:rsidRDefault="004477B6" w:rsidP="007067A0">
            <w:pPr>
              <w:tabs>
                <w:tab w:val="left" w:pos="1545"/>
              </w:tabs>
              <w:jc w:val="center"/>
              <w:rPr>
                <w:rFonts w:asciiTheme="minorHAnsi" w:hAnsiTheme="minorHAnsi" w:cstheme="minorHAnsi"/>
                <w:b/>
                <w:szCs w:val="24"/>
              </w:rPr>
            </w:pPr>
            <w:r w:rsidRPr="00AE4D51">
              <w:rPr>
                <w:rStyle w:val="Hyperlink"/>
                <w:rFonts w:asciiTheme="minorHAnsi" w:hAnsiTheme="minorHAnsi" w:cstheme="minorHAnsi"/>
                <w:color w:val="auto"/>
                <w:szCs w:val="24"/>
                <w:u w:val="none"/>
              </w:rPr>
              <w:t xml:space="preserve">Pharmacy is unable to supply. </w:t>
            </w:r>
            <w:r>
              <w:rPr>
                <w:rStyle w:val="Hyperlink"/>
                <w:rFonts w:asciiTheme="minorHAnsi" w:hAnsiTheme="minorHAnsi" w:cstheme="minorHAnsi"/>
                <w:color w:val="auto"/>
                <w:szCs w:val="24"/>
                <w:u w:val="none"/>
              </w:rPr>
              <w:t>P</w:t>
            </w:r>
            <w:r w:rsidRPr="00AE4D51">
              <w:rPr>
                <w:rStyle w:val="Hyperlink"/>
                <w:rFonts w:asciiTheme="minorHAnsi" w:hAnsiTheme="minorHAnsi" w:cstheme="minorHAnsi"/>
                <w:color w:val="auto"/>
                <w:szCs w:val="24"/>
                <w:u w:val="none"/>
              </w:rPr>
              <w:t xml:space="preserve">rescribing team must </w:t>
            </w:r>
            <w:proofErr w:type="gramStart"/>
            <w:r w:rsidRPr="00AE4D51">
              <w:rPr>
                <w:rStyle w:val="Hyperlink"/>
                <w:rFonts w:asciiTheme="minorHAnsi" w:hAnsiTheme="minorHAnsi" w:cstheme="minorHAnsi"/>
                <w:color w:val="auto"/>
                <w:szCs w:val="24"/>
                <w:u w:val="none"/>
              </w:rPr>
              <w:t>review  and</w:t>
            </w:r>
            <w:proofErr w:type="gramEnd"/>
            <w:r w:rsidRPr="00AE4D51">
              <w:rPr>
                <w:rStyle w:val="Hyperlink"/>
                <w:rFonts w:asciiTheme="minorHAnsi" w:hAnsiTheme="minorHAnsi" w:cstheme="minorHAnsi"/>
                <w:color w:val="auto"/>
                <w:szCs w:val="24"/>
                <w:u w:val="none"/>
              </w:rPr>
              <w:t xml:space="preserve"> request an extension from ID/AMS registrar </w:t>
            </w:r>
            <w:r w:rsidRPr="00AE4D51">
              <w:rPr>
                <w:rStyle w:val="Hyperlink"/>
                <w:rFonts w:asciiTheme="minorHAnsi" w:hAnsiTheme="minorHAnsi" w:cstheme="minorHAnsi"/>
                <w:i/>
                <w:color w:val="auto"/>
                <w:szCs w:val="24"/>
                <w:u w:val="none"/>
              </w:rPr>
              <w:t>(see Section 9)</w:t>
            </w:r>
          </w:p>
        </w:tc>
      </w:tr>
      <w:tr w:rsidR="004477B6" w:rsidRPr="007D11F7" w14:paraId="3CCBCF55" w14:textId="77777777" w:rsidTr="007067A0">
        <w:trPr>
          <w:cantSplit/>
          <w:trHeight w:val="1696"/>
        </w:trPr>
        <w:tc>
          <w:tcPr>
            <w:tcW w:w="426" w:type="dxa"/>
            <w:tcBorders>
              <w:top w:val="single" w:sz="4" w:space="0" w:color="auto"/>
              <w:left w:val="single" w:sz="4" w:space="0" w:color="auto"/>
              <w:bottom w:val="single" w:sz="4" w:space="0" w:color="auto"/>
              <w:right w:val="single" w:sz="4" w:space="0" w:color="auto"/>
            </w:tcBorders>
            <w:shd w:val="clear" w:color="auto" w:fill="D99594" w:themeFill="accent2" w:themeFillTint="99"/>
            <w:textDirection w:val="btLr"/>
          </w:tcPr>
          <w:p w14:paraId="579C4495" w14:textId="77777777" w:rsidR="004477B6" w:rsidRPr="00AE4D51" w:rsidRDefault="004477B6" w:rsidP="007067A0">
            <w:pPr>
              <w:ind w:left="113" w:right="113"/>
              <w:jc w:val="center"/>
              <w:rPr>
                <w:rFonts w:asciiTheme="minorHAnsi" w:hAnsiTheme="minorHAnsi" w:cstheme="minorHAnsi"/>
                <w:b/>
                <w:szCs w:val="24"/>
              </w:rPr>
            </w:pPr>
            <w:r w:rsidRPr="00AE4D51">
              <w:rPr>
                <w:rFonts w:asciiTheme="minorHAnsi" w:hAnsiTheme="minorHAnsi" w:cstheme="minorHAnsi"/>
                <w:b/>
                <w:szCs w:val="24"/>
              </w:rPr>
              <w:t>RED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FF779" w14:textId="5459DF0B" w:rsidR="004477B6" w:rsidRPr="00AE4D51" w:rsidRDefault="004477B6" w:rsidP="007067A0">
            <w:pPr>
              <w:jc w:val="center"/>
              <w:rPr>
                <w:rFonts w:asciiTheme="minorHAnsi" w:hAnsiTheme="minorHAnsi" w:cstheme="minorHAnsi"/>
                <w:b/>
                <w:szCs w:val="24"/>
              </w:rPr>
            </w:pPr>
            <w:r>
              <w:rPr>
                <w:rFonts w:asciiTheme="minorHAnsi" w:hAnsiTheme="minorHAnsi" w:cstheme="minorHAnsi"/>
                <w:szCs w:val="24"/>
              </w:rPr>
              <w:t>Request AMS consult in DHR</w:t>
            </w:r>
            <w:r w:rsidRPr="00AE4D51">
              <w:rPr>
                <w:rFonts w:asciiTheme="minorHAnsi" w:hAnsiTheme="minorHAnsi" w:cstheme="minorHAnsi"/>
                <w:szCs w:val="24"/>
              </w:rPr>
              <w:t xml:space="preserve"> </w:t>
            </w:r>
            <w:r w:rsidRPr="00AE4D51">
              <w:rPr>
                <w:rFonts w:asciiTheme="minorHAnsi" w:hAnsiTheme="minorHAnsi" w:cstheme="minorHAnsi"/>
                <w:b/>
                <w:szCs w:val="24"/>
              </w:rPr>
              <w:t>on day of prescription</w:t>
            </w:r>
          </w:p>
        </w:tc>
        <w:tc>
          <w:tcPr>
            <w:tcW w:w="2409" w:type="dxa"/>
            <w:vMerge w:val="restart"/>
            <w:tcBorders>
              <w:top w:val="single" w:sz="4" w:space="0" w:color="auto"/>
              <w:left w:val="single" w:sz="4" w:space="0" w:color="auto"/>
            </w:tcBorders>
            <w:shd w:val="clear" w:color="auto" w:fill="FFFFFF" w:themeFill="background1"/>
            <w:vAlign w:val="center"/>
          </w:tcPr>
          <w:p w14:paraId="41008D1D" w14:textId="77777777" w:rsidR="004477B6" w:rsidRPr="00AE4D51" w:rsidRDefault="004477B6" w:rsidP="007067A0">
            <w:pPr>
              <w:ind w:right="30"/>
              <w:jc w:val="center"/>
              <w:rPr>
                <w:rFonts w:asciiTheme="minorHAnsi" w:hAnsiTheme="minorHAnsi" w:cstheme="minorHAnsi"/>
                <w:b/>
                <w:szCs w:val="24"/>
              </w:rPr>
            </w:pPr>
            <w:r w:rsidRPr="00AE4D51">
              <w:rPr>
                <w:rFonts w:asciiTheme="minorHAnsi" w:hAnsiTheme="minorHAnsi" w:cstheme="minorHAnsi"/>
                <w:szCs w:val="24"/>
              </w:rPr>
              <w:t>ID/AMS registrar or pharmacist to contact prescriber with an approval code or request for information</w:t>
            </w:r>
          </w:p>
          <w:p w14:paraId="16C5B3A7" w14:textId="16CE9100" w:rsidR="004477B6" w:rsidRPr="00AE4D51" w:rsidRDefault="004477B6" w:rsidP="007067A0">
            <w:pPr>
              <w:jc w:val="center"/>
              <w:rPr>
                <w:rFonts w:asciiTheme="minorHAnsi" w:hAnsiTheme="minorHAnsi" w:cstheme="minorHAnsi"/>
                <w:b/>
                <w:szCs w:val="24"/>
              </w:rPr>
            </w:pPr>
          </w:p>
        </w:tc>
        <w:tc>
          <w:tcPr>
            <w:tcW w:w="1276" w:type="dxa"/>
            <w:vMerge/>
            <w:vAlign w:val="center"/>
          </w:tcPr>
          <w:p w14:paraId="75AC4FA3" w14:textId="141FE3A2" w:rsidR="004477B6" w:rsidRPr="00AE4D51" w:rsidRDefault="004477B6" w:rsidP="007067A0">
            <w:pPr>
              <w:ind w:right="-60"/>
              <w:jc w:val="center"/>
              <w:rPr>
                <w:rFonts w:asciiTheme="minorHAnsi" w:hAnsiTheme="minorHAnsi" w:cstheme="minorHAnsi"/>
                <w:b/>
                <w:szCs w:val="24"/>
              </w:rPr>
            </w:pPr>
          </w:p>
        </w:tc>
        <w:tc>
          <w:tcPr>
            <w:tcW w:w="1418" w:type="dxa"/>
            <w:tcBorders>
              <w:bottom w:val="single" w:sz="4" w:space="0" w:color="auto"/>
            </w:tcBorders>
            <w:vAlign w:val="center"/>
          </w:tcPr>
          <w:p w14:paraId="6E780511" w14:textId="77777777" w:rsidR="004477B6" w:rsidRPr="00AE4D51" w:rsidRDefault="004477B6" w:rsidP="007067A0">
            <w:pPr>
              <w:jc w:val="center"/>
              <w:rPr>
                <w:rFonts w:asciiTheme="minorHAnsi" w:hAnsiTheme="minorHAnsi" w:cstheme="minorHAnsi"/>
                <w:szCs w:val="24"/>
              </w:rPr>
            </w:pPr>
            <w:r w:rsidRPr="00AE4D51">
              <w:rPr>
                <w:rStyle w:val="Hyperlink"/>
                <w:rFonts w:asciiTheme="minorHAnsi" w:hAnsiTheme="minorHAnsi" w:cstheme="minorHAnsi"/>
                <w:color w:val="auto"/>
                <w:szCs w:val="24"/>
                <w:u w:val="none"/>
              </w:rPr>
              <w:t>Pharmacy will supply for 24 hours. Approval is required by 2pm the following day</w:t>
            </w:r>
          </w:p>
        </w:tc>
        <w:tc>
          <w:tcPr>
            <w:tcW w:w="1417" w:type="dxa"/>
            <w:vMerge/>
            <w:vAlign w:val="center"/>
          </w:tcPr>
          <w:p w14:paraId="0D6749E6" w14:textId="77777777" w:rsidR="004477B6" w:rsidRPr="00AE4D51" w:rsidRDefault="004477B6" w:rsidP="007067A0">
            <w:pPr>
              <w:spacing w:after="160" w:line="259" w:lineRule="auto"/>
              <w:jc w:val="center"/>
              <w:rPr>
                <w:rFonts w:asciiTheme="minorHAnsi" w:hAnsiTheme="minorHAnsi" w:cstheme="minorHAnsi"/>
                <w:szCs w:val="24"/>
              </w:rPr>
            </w:pPr>
          </w:p>
        </w:tc>
        <w:tc>
          <w:tcPr>
            <w:tcW w:w="1418" w:type="dxa"/>
            <w:vMerge/>
            <w:vAlign w:val="center"/>
          </w:tcPr>
          <w:p w14:paraId="4E8AC59C" w14:textId="77777777" w:rsidR="004477B6" w:rsidRPr="00AE4D51" w:rsidRDefault="004477B6" w:rsidP="007067A0">
            <w:pPr>
              <w:jc w:val="center"/>
              <w:rPr>
                <w:rFonts w:asciiTheme="minorHAnsi" w:hAnsiTheme="minorHAnsi" w:cstheme="minorHAnsi"/>
                <w:szCs w:val="24"/>
              </w:rPr>
            </w:pPr>
          </w:p>
        </w:tc>
      </w:tr>
      <w:tr w:rsidR="004477B6" w14:paraId="6B14BF3A" w14:textId="77777777" w:rsidTr="007067A0">
        <w:trPr>
          <w:cantSplit/>
          <w:trHeight w:val="1134"/>
        </w:trPr>
        <w:tc>
          <w:tcPr>
            <w:tcW w:w="426"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tcPr>
          <w:p w14:paraId="71DDCBAA" w14:textId="77777777" w:rsidR="004477B6" w:rsidRPr="00AE4D51" w:rsidRDefault="004477B6" w:rsidP="007067A0">
            <w:pPr>
              <w:ind w:left="113" w:right="113"/>
              <w:jc w:val="center"/>
              <w:rPr>
                <w:rFonts w:asciiTheme="minorHAnsi" w:hAnsiTheme="minorHAnsi" w:cstheme="minorHAnsi"/>
                <w:b/>
                <w:szCs w:val="24"/>
              </w:rPr>
            </w:pPr>
            <w:r w:rsidRPr="00AE4D51">
              <w:rPr>
                <w:rFonts w:asciiTheme="minorHAnsi" w:hAnsiTheme="minorHAnsi" w:cstheme="minorHAnsi"/>
                <w:b/>
                <w:szCs w:val="24"/>
              </w:rPr>
              <w:t>ORANGE</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B2627" w14:textId="6A37723B" w:rsidR="004477B6" w:rsidRPr="00AE4D51" w:rsidRDefault="004477B6" w:rsidP="007067A0">
            <w:pPr>
              <w:jc w:val="center"/>
              <w:rPr>
                <w:rFonts w:asciiTheme="minorHAnsi" w:hAnsiTheme="minorHAnsi" w:cstheme="minorHAnsi"/>
                <w:b/>
                <w:szCs w:val="24"/>
              </w:rPr>
            </w:pPr>
            <w:r w:rsidRPr="00AE4D51">
              <w:rPr>
                <w:rFonts w:asciiTheme="minorHAnsi" w:hAnsiTheme="minorHAnsi" w:cstheme="minorHAnsi"/>
                <w:szCs w:val="24"/>
              </w:rPr>
              <w:t xml:space="preserve"> </w:t>
            </w:r>
            <w:r>
              <w:rPr>
                <w:rFonts w:asciiTheme="minorHAnsi" w:hAnsiTheme="minorHAnsi" w:cstheme="minorHAnsi"/>
                <w:szCs w:val="24"/>
              </w:rPr>
              <w:t>Request AMS consult in DHR</w:t>
            </w:r>
            <w:r w:rsidRPr="00AE4D51">
              <w:rPr>
                <w:rFonts w:asciiTheme="minorHAnsi" w:hAnsiTheme="minorHAnsi" w:cstheme="minorHAnsi"/>
                <w:szCs w:val="24"/>
              </w:rPr>
              <w:t xml:space="preserve"> </w:t>
            </w:r>
            <w:r w:rsidRPr="00AE4D51">
              <w:rPr>
                <w:rFonts w:asciiTheme="minorHAnsi" w:hAnsiTheme="minorHAnsi" w:cstheme="minorHAnsi"/>
                <w:b/>
                <w:szCs w:val="24"/>
              </w:rPr>
              <w:t>within 24 hours of prescription</w:t>
            </w:r>
          </w:p>
        </w:tc>
        <w:tc>
          <w:tcPr>
            <w:tcW w:w="2409" w:type="dxa"/>
            <w:vMerge/>
            <w:vAlign w:val="center"/>
          </w:tcPr>
          <w:p w14:paraId="46538780" w14:textId="428F0EC3" w:rsidR="004477B6" w:rsidRPr="00AE4D51" w:rsidRDefault="004477B6" w:rsidP="007067A0">
            <w:pPr>
              <w:jc w:val="center"/>
              <w:rPr>
                <w:rFonts w:asciiTheme="minorHAnsi" w:hAnsiTheme="minorHAnsi" w:cstheme="minorHAnsi"/>
                <w:szCs w:val="24"/>
              </w:rPr>
            </w:pPr>
          </w:p>
        </w:tc>
        <w:tc>
          <w:tcPr>
            <w:tcW w:w="1276" w:type="dxa"/>
            <w:vMerge/>
            <w:vAlign w:val="center"/>
          </w:tcPr>
          <w:p w14:paraId="0D821178" w14:textId="2E0F19AB" w:rsidR="004477B6" w:rsidRPr="00AE4D51" w:rsidRDefault="004477B6" w:rsidP="007067A0">
            <w:pPr>
              <w:ind w:right="-60"/>
              <w:jc w:val="center"/>
              <w:rPr>
                <w:rFonts w:asciiTheme="minorHAnsi" w:hAnsiTheme="minorHAnsi" w:cstheme="minorHAnsi"/>
                <w:b/>
                <w:szCs w:val="24"/>
              </w:rPr>
            </w:pPr>
          </w:p>
        </w:tc>
        <w:tc>
          <w:tcPr>
            <w:tcW w:w="1418" w:type="dxa"/>
            <w:tcBorders>
              <w:bottom w:val="single" w:sz="4" w:space="0" w:color="auto"/>
            </w:tcBorders>
            <w:shd w:val="clear" w:color="auto" w:fill="FFFFFF" w:themeFill="background1"/>
            <w:vAlign w:val="center"/>
          </w:tcPr>
          <w:p w14:paraId="51E4E582" w14:textId="77777777" w:rsidR="004477B6" w:rsidRPr="00AE4D51" w:rsidRDefault="004477B6" w:rsidP="007067A0">
            <w:pPr>
              <w:spacing w:after="160" w:line="259" w:lineRule="auto"/>
              <w:jc w:val="center"/>
              <w:rPr>
                <w:rFonts w:asciiTheme="minorHAnsi" w:hAnsiTheme="minorHAnsi" w:cstheme="minorHAnsi"/>
                <w:szCs w:val="24"/>
              </w:rPr>
            </w:pPr>
            <w:r w:rsidRPr="00AE4D51">
              <w:rPr>
                <w:rStyle w:val="Hyperlink"/>
                <w:rFonts w:asciiTheme="minorHAnsi" w:hAnsiTheme="minorHAnsi" w:cstheme="minorHAnsi"/>
                <w:color w:val="auto"/>
                <w:szCs w:val="24"/>
                <w:u w:val="none"/>
              </w:rPr>
              <w:t>Pharmacy will supply 72 hours. Approval is required by 2pm on the 3</w:t>
            </w:r>
            <w:r w:rsidRPr="00AE4D51">
              <w:rPr>
                <w:rStyle w:val="Hyperlink"/>
                <w:rFonts w:asciiTheme="minorHAnsi" w:hAnsiTheme="minorHAnsi" w:cstheme="minorHAnsi"/>
                <w:color w:val="auto"/>
                <w:szCs w:val="24"/>
                <w:u w:val="none"/>
                <w:vertAlign w:val="superscript"/>
              </w:rPr>
              <w:t>rd</w:t>
            </w:r>
            <w:r w:rsidRPr="00AE4D51">
              <w:rPr>
                <w:rStyle w:val="Hyperlink"/>
                <w:rFonts w:asciiTheme="minorHAnsi" w:hAnsiTheme="minorHAnsi" w:cstheme="minorHAnsi"/>
                <w:color w:val="auto"/>
                <w:szCs w:val="24"/>
                <w:u w:val="none"/>
              </w:rPr>
              <w:t xml:space="preserve"> day</w:t>
            </w:r>
          </w:p>
        </w:tc>
        <w:tc>
          <w:tcPr>
            <w:tcW w:w="2835" w:type="dxa"/>
            <w:gridSpan w:val="2"/>
            <w:tcBorders>
              <w:bottom w:val="single" w:sz="4" w:space="0" w:color="auto"/>
            </w:tcBorders>
            <w:shd w:val="clear" w:color="auto" w:fill="FFFFFF" w:themeFill="background1"/>
            <w:vAlign w:val="center"/>
          </w:tcPr>
          <w:p w14:paraId="55459FEA" w14:textId="77777777" w:rsidR="004477B6" w:rsidRPr="00AE4D51" w:rsidRDefault="004477B6" w:rsidP="007067A0">
            <w:pPr>
              <w:spacing w:after="160" w:line="259" w:lineRule="auto"/>
              <w:jc w:val="center"/>
              <w:rPr>
                <w:rFonts w:asciiTheme="minorHAnsi" w:hAnsiTheme="minorHAnsi" w:cstheme="minorHAnsi"/>
                <w:szCs w:val="24"/>
              </w:rPr>
            </w:pPr>
            <w:r w:rsidRPr="00AE4D51">
              <w:rPr>
                <w:rStyle w:val="Hyperlink"/>
                <w:rFonts w:asciiTheme="minorHAnsi" w:hAnsiTheme="minorHAnsi" w:cstheme="minorHAnsi"/>
                <w:color w:val="auto"/>
                <w:szCs w:val="24"/>
                <w:u w:val="none"/>
              </w:rPr>
              <w:t>Pharmacy will supply until 2pm on Monday only if the code expires on a weekend</w:t>
            </w:r>
          </w:p>
        </w:tc>
      </w:tr>
      <w:tr w:rsidR="00AB7E13" w14:paraId="086F97A0" w14:textId="77777777" w:rsidTr="007067A0">
        <w:tc>
          <w:tcPr>
            <w:tcW w:w="1135"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F91181" w14:textId="77777777" w:rsidR="00AB7E13" w:rsidRPr="00AE4D51" w:rsidRDefault="00AB7E13">
            <w:pPr>
              <w:jc w:val="center"/>
              <w:rPr>
                <w:rFonts w:asciiTheme="minorHAnsi" w:hAnsiTheme="minorHAnsi" w:cstheme="minorHAnsi"/>
                <w:b/>
                <w:szCs w:val="24"/>
              </w:rPr>
            </w:pPr>
            <w:r w:rsidRPr="00AE4D51">
              <w:rPr>
                <w:rFonts w:asciiTheme="minorHAnsi" w:hAnsiTheme="minorHAnsi" w:cstheme="minorHAnsi"/>
                <w:b/>
                <w:szCs w:val="24"/>
              </w:rPr>
              <w:t>GREEN</w:t>
            </w:r>
          </w:p>
        </w:tc>
        <w:tc>
          <w:tcPr>
            <w:tcW w:w="8789" w:type="dxa"/>
            <w:gridSpan w:val="6"/>
            <w:tcBorders>
              <w:top w:val="single" w:sz="4" w:space="0" w:color="auto"/>
              <w:left w:val="single" w:sz="4" w:space="0" w:color="auto"/>
              <w:bottom w:val="single" w:sz="4" w:space="0" w:color="auto"/>
            </w:tcBorders>
            <w:shd w:val="clear" w:color="auto" w:fill="FFFFFF" w:themeFill="background1"/>
          </w:tcPr>
          <w:p w14:paraId="0F21380A" w14:textId="438491B1" w:rsidR="00AB7E13" w:rsidRPr="00AE4D51" w:rsidRDefault="00AB7E13" w:rsidP="006F09E0">
            <w:pPr>
              <w:spacing w:after="160" w:line="259" w:lineRule="auto"/>
              <w:rPr>
                <w:rStyle w:val="Hyperlink"/>
                <w:rFonts w:asciiTheme="minorHAnsi" w:hAnsiTheme="minorHAnsi" w:cstheme="minorHAnsi"/>
                <w:szCs w:val="24"/>
                <w:u w:val="none"/>
              </w:rPr>
            </w:pPr>
            <w:r w:rsidRPr="00AE4D51">
              <w:rPr>
                <w:rFonts w:asciiTheme="minorHAnsi" w:hAnsiTheme="minorHAnsi" w:cstheme="minorHAnsi"/>
                <w:szCs w:val="24"/>
              </w:rPr>
              <w:t xml:space="preserve">No restriction. Antimicrobials should be guided by </w:t>
            </w:r>
            <w:hyperlink r:id="rId14" w:history="1">
              <w:r w:rsidRPr="00AE4D51">
                <w:rPr>
                  <w:rStyle w:val="Hyperlink"/>
                  <w:rFonts w:asciiTheme="minorHAnsi" w:hAnsiTheme="minorHAnsi" w:cstheme="minorHAnsi"/>
                  <w:szCs w:val="24"/>
                  <w:u w:val="none"/>
                </w:rPr>
                <w:t>Therapeutic Guidelines: Antibiotic</w:t>
              </w:r>
            </w:hyperlink>
            <w:r w:rsidRPr="00AE4D51">
              <w:rPr>
                <w:rStyle w:val="Hyperlink"/>
                <w:rFonts w:asciiTheme="minorHAnsi" w:hAnsiTheme="minorHAnsi" w:cstheme="minorHAnsi"/>
                <w:szCs w:val="24"/>
                <w:u w:val="none"/>
              </w:rPr>
              <w:t>,</w:t>
            </w:r>
            <w:r w:rsidRPr="00AE4D51">
              <w:rPr>
                <w:rFonts w:asciiTheme="minorHAnsi" w:hAnsiTheme="minorHAnsi" w:cstheme="minorHAnsi"/>
                <w:szCs w:val="24"/>
              </w:rPr>
              <w:t xml:space="preserve"> NCH policies, the clinical condition of the patient and/or the results of microbiological testing</w:t>
            </w:r>
          </w:p>
        </w:tc>
      </w:tr>
    </w:tbl>
    <w:p w14:paraId="3797BF5D" w14:textId="77777777" w:rsidR="00AB7E13" w:rsidRDefault="00AB7E13" w:rsidP="00AE4D51"/>
    <w:p w14:paraId="18A54C20" w14:textId="1EA2E88D" w:rsidR="00ED4C97" w:rsidRDefault="00F517F5" w:rsidP="007720B4">
      <w:pPr>
        <w:jc w:val="right"/>
        <w:rPr>
          <w:rFonts w:cs="Arial"/>
          <w:i/>
          <w:szCs w:val="24"/>
        </w:rPr>
      </w:pPr>
      <w:hyperlink w:anchor="Contents" w:history="1">
        <w:r w:rsidR="00381CBF" w:rsidRPr="00590902">
          <w:rPr>
            <w:rStyle w:val="Hyperlink"/>
            <w:rFonts w:cs="Arial"/>
            <w:i/>
            <w:szCs w:val="24"/>
          </w:rPr>
          <w:t>Back to Table of Contents</w:t>
        </w:r>
      </w:hyperlink>
      <w:r w:rsidR="00381CBF">
        <w:rPr>
          <w:rFonts w:cs="Arial"/>
          <w:i/>
          <w:szCs w:val="24"/>
        </w:rPr>
        <w:t xml:space="preserve"> </w:t>
      </w:r>
    </w:p>
    <w:p w14:paraId="6F484AA8" w14:textId="77777777" w:rsidR="00381CBF" w:rsidRDefault="00381CBF" w:rsidP="00AE4D51">
      <w:pPr>
        <w:rPr>
          <w:rFonts w:cs="Arial"/>
          <w:b/>
          <w:szCs w:val="24"/>
        </w:rPr>
      </w:pPr>
    </w:p>
    <w:p w14:paraId="068ED9FE" w14:textId="77777777" w:rsidR="00A36096" w:rsidRDefault="00A36096" w:rsidP="00AE4D51">
      <w:pPr>
        <w:rPr>
          <w:rFonts w:cs="Arial"/>
          <w:b/>
          <w:szCs w:val="24"/>
        </w:rPr>
      </w:pPr>
    </w:p>
    <w:p w14:paraId="6FB93659" w14:textId="77777777" w:rsidR="007514C0" w:rsidRDefault="007514C0">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381CBF" w:rsidRPr="00CD1C0E" w14:paraId="0B9A44A7" w14:textId="77777777" w:rsidTr="4E36F89C">
        <w:trPr>
          <w:cantSplit/>
          <w:trHeight w:val="285"/>
        </w:trPr>
        <w:tc>
          <w:tcPr>
            <w:tcW w:w="9158" w:type="dxa"/>
            <w:shd w:val="clear" w:color="auto" w:fill="A6A6A6" w:themeFill="background1" w:themeFillShade="A6"/>
          </w:tcPr>
          <w:p w14:paraId="4523DB20" w14:textId="4A9FFF25" w:rsidR="00381CBF" w:rsidRPr="003D2D06" w:rsidRDefault="260C4EDB" w:rsidP="00F7159A">
            <w:pPr>
              <w:pStyle w:val="Heading1"/>
            </w:pPr>
            <w:bookmarkStart w:id="21" w:name="_Toc159339619"/>
            <w:r>
              <w:lastRenderedPageBreak/>
              <w:t xml:space="preserve">Section </w:t>
            </w:r>
            <w:r w:rsidR="1455C9B7">
              <w:t>6</w:t>
            </w:r>
            <w:r>
              <w:t xml:space="preserve"> – </w:t>
            </w:r>
            <w:r w:rsidR="02A6B641">
              <w:t xml:space="preserve">Process for Requesting Antimicrobials and Supply on </w:t>
            </w:r>
            <w:r w:rsidR="4FDFB907">
              <w:t>Weekend</w:t>
            </w:r>
            <w:r w:rsidR="2BAC43EA">
              <w:t xml:space="preserve"> and Public Holidays</w:t>
            </w:r>
            <w:bookmarkEnd w:id="21"/>
          </w:p>
        </w:tc>
      </w:tr>
    </w:tbl>
    <w:p w14:paraId="3B04A147" w14:textId="77777777" w:rsidR="007D11F7" w:rsidRDefault="007D11F7" w:rsidP="007D11F7"/>
    <w:p w14:paraId="5687CC9D" w14:textId="4A6AA720" w:rsidR="007D11F7" w:rsidRDefault="007D11F7" w:rsidP="007D11F7">
      <w:r>
        <w:t>On Saturday/</w:t>
      </w:r>
      <w:r w:rsidRPr="00E65199">
        <w:t xml:space="preserve">Sunday, there is no </w:t>
      </w:r>
      <w:r>
        <w:t xml:space="preserve">ID/AMS </w:t>
      </w:r>
      <w:r w:rsidRPr="005C7026">
        <w:t xml:space="preserve">registrar </w:t>
      </w:r>
      <w:r>
        <w:t>or consultant service at NCH</w:t>
      </w:r>
    </w:p>
    <w:tbl>
      <w:tblPr>
        <w:tblStyle w:val="TableGrid"/>
        <w:tblW w:w="9498" w:type="dxa"/>
        <w:tblInd w:w="-5" w:type="dxa"/>
        <w:tblLayout w:type="fixed"/>
        <w:tblLook w:val="04A0" w:firstRow="1" w:lastRow="0" w:firstColumn="1" w:lastColumn="0" w:noHBand="0" w:noVBand="1"/>
      </w:tblPr>
      <w:tblGrid>
        <w:gridCol w:w="567"/>
        <w:gridCol w:w="567"/>
        <w:gridCol w:w="1985"/>
        <w:gridCol w:w="1701"/>
        <w:gridCol w:w="1701"/>
        <w:gridCol w:w="1417"/>
        <w:gridCol w:w="1560"/>
      </w:tblGrid>
      <w:tr w:rsidR="007D11F7" w14:paraId="12A9C731" w14:textId="77777777" w:rsidTr="007067A0">
        <w:tc>
          <w:tcPr>
            <w:tcW w:w="567" w:type="dxa"/>
            <w:vMerge w:val="restart"/>
            <w:shd w:val="clear" w:color="auto" w:fill="D9D9D9" w:themeFill="background1" w:themeFillShade="D9"/>
          </w:tcPr>
          <w:p w14:paraId="471E2D99" w14:textId="77777777" w:rsidR="007D11F7" w:rsidRDefault="007D11F7" w:rsidP="006F09E0">
            <w:pPr>
              <w:ind w:right="452"/>
              <w:jc w:val="center"/>
              <w:rPr>
                <w:b/>
              </w:rPr>
            </w:pPr>
          </w:p>
        </w:tc>
        <w:tc>
          <w:tcPr>
            <w:tcW w:w="4253" w:type="dxa"/>
            <w:gridSpan w:val="3"/>
            <w:shd w:val="clear" w:color="auto" w:fill="D9D9D9" w:themeFill="background1" w:themeFillShade="D9"/>
            <w:vAlign w:val="center"/>
          </w:tcPr>
          <w:p w14:paraId="6BC80F09" w14:textId="23E5C0FC" w:rsidR="007D11F7" w:rsidRPr="00B03D49" w:rsidRDefault="007514C0">
            <w:pPr>
              <w:ind w:right="452"/>
              <w:jc w:val="center"/>
              <w:rPr>
                <w:color w:val="00B050"/>
              </w:rPr>
            </w:pPr>
            <w:r>
              <w:rPr>
                <w:b/>
              </w:rPr>
              <w:t>Weekend p</w:t>
            </w:r>
            <w:r w:rsidR="007D11F7" w:rsidRPr="00B03D49">
              <w:rPr>
                <w:b/>
              </w:rPr>
              <w:t>rocess for approval</w:t>
            </w:r>
          </w:p>
        </w:tc>
        <w:tc>
          <w:tcPr>
            <w:tcW w:w="4678" w:type="dxa"/>
            <w:gridSpan w:val="3"/>
            <w:shd w:val="clear" w:color="auto" w:fill="D9D9D9" w:themeFill="background1" w:themeFillShade="D9"/>
            <w:vAlign w:val="center"/>
          </w:tcPr>
          <w:p w14:paraId="74F5BEE8" w14:textId="40294F00" w:rsidR="007D11F7" w:rsidRPr="00B03D49" w:rsidRDefault="2956DDCA" w:rsidP="4E36F89C">
            <w:pPr>
              <w:ind w:right="452"/>
              <w:jc w:val="center"/>
              <w:rPr>
                <w:b/>
                <w:bCs/>
              </w:rPr>
            </w:pPr>
            <w:r w:rsidRPr="4E36F89C">
              <w:rPr>
                <w:b/>
                <w:bCs/>
              </w:rPr>
              <w:t>Weekend</w:t>
            </w:r>
            <w:r w:rsidR="0A08D989" w:rsidRPr="4E36F89C">
              <w:rPr>
                <w:b/>
                <w:bCs/>
              </w:rPr>
              <w:t xml:space="preserve"> and Public Holiday</w:t>
            </w:r>
            <w:r w:rsidR="63D1BC78" w:rsidRPr="4E36F89C">
              <w:rPr>
                <w:b/>
                <w:bCs/>
              </w:rPr>
              <w:t xml:space="preserve"> process for supply</w:t>
            </w:r>
          </w:p>
        </w:tc>
      </w:tr>
      <w:tr w:rsidR="007D11F7" w14:paraId="75BD151D" w14:textId="77777777" w:rsidTr="007067A0">
        <w:tc>
          <w:tcPr>
            <w:tcW w:w="567" w:type="dxa"/>
            <w:vMerge/>
          </w:tcPr>
          <w:p w14:paraId="164B4E7D" w14:textId="77777777" w:rsidR="007D11F7" w:rsidRDefault="007D11F7" w:rsidP="006F09E0">
            <w:pPr>
              <w:ind w:right="452"/>
              <w:jc w:val="center"/>
              <w:rPr>
                <w:b/>
              </w:rPr>
            </w:pPr>
          </w:p>
        </w:tc>
        <w:tc>
          <w:tcPr>
            <w:tcW w:w="2552" w:type="dxa"/>
            <w:gridSpan w:val="2"/>
            <w:tcBorders>
              <w:bottom w:val="single" w:sz="4" w:space="0" w:color="auto"/>
            </w:tcBorders>
            <w:shd w:val="clear" w:color="auto" w:fill="D9D9D9" w:themeFill="background1" w:themeFillShade="D9"/>
          </w:tcPr>
          <w:p w14:paraId="620EC0EA" w14:textId="77777777" w:rsidR="007D11F7" w:rsidRDefault="007D11F7" w:rsidP="006F09E0">
            <w:pPr>
              <w:ind w:right="34"/>
              <w:jc w:val="center"/>
              <w:rPr>
                <w:b/>
              </w:rPr>
            </w:pPr>
            <w:r>
              <w:rPr>
                <w:b/>
              </w:rPr>
              <w:t>AMS approval request process</w:t>
            </w:r>
          </w:p>
        </w:tc>
        <w:tc>
          <w:tcPr>
            <w:tcW w:w="1701" w:type="dxa"/>
            <w:tcBorders>
              <w:bottom w:val="single" w:sz="4" w:space="0" w:color="auto"/>
            </w:tcBorders>
            <w:shd w:val="clear" w:color="auto" w:fill="D9D9D9" w:themeFill="background1" w:themeFillShade="D9"/>
            <w:vAlign w:val="center"/>
          </w:tcPr>
          <w:p w14:paraId="6B0BB0FD" w14:textId="77777777" w:rsidR="007D11F7" w:rsidRPr="007D11F7" w:rsidRDefault="007D11F7">
            <w:pPr>
              <w:pStyle w:val="Heading4"/>
              <w:jc w:val="center"/>
              <w:rPr>
                <w:rFonts w:asciiTheme="minorHAnsi" w:hAnsiTheme="minorHAnsi" w:cstheme="minorHAnsi"/>
                <w:b/>
                <w:bCs/>
                <w:i w:val="0"/>
                <w:iCs w:val="0"/>
                <w:color w:val="auto"/>
              </w:rPr>
            </w:pPr>
            <w:r w:rsidRPr="007D11F7">
              <w:rPr>
                <w:rFonts w:asciiTheme="minorHAnsi" w:hAnsiTheme="minorHAnsi" w:cstheme="minorHAnsi"/>
                <w:b/>
                <w:bCs/>
                <w:i w:val="0"/>
                <w:iCs w:val="0"/>
                <w:color w:val="auto"/>
              </w:rPr>
              <w:t>Code Requirements</w:t>
            </w:r>
          </w:p>
        </w:tc>
        <w:tc>
          <w:tcPr>
            <w:tcW w:w="1701" w:type="dxa"/>
            <w:tcBorders>
              <w:bottom w:val="single" w:sz="4" w:space="0" w:color="auto"/>
            </w:tcBorders>
            <w:shd w:val="clear" w:color="auto" w:fill="D9D9D9" w:themeFill="background1" w:themeFillShade="D9"/>
            <w:vAlign w:val="center"/>
          </w:tcPr>
          <w:p w14:paraId="3A91CDE6" w14:textId="77777777" w:rsidR="007D11F7" w:rsidRPr="007D11F7" w:rsidRDefault="007D11F7">
            <w:pPr>
              <w:pStyle w:val="Heading4"/>
              <w:jc w:val="center"/>
              <w:rPr>
                <w:rFonts w:asciiTheme="minorHAnsi" w:hAnsiTheme="minorHAnsi" w:cstheme="minorHAnsi"/>
                <w:b/>
                <w:bCs/>
                <w:i w:val="0"/>
                <w:iCs w:val="0"/>
                <w:color w:val="auto"/>
              </w:rPr>
            </w:pPr>
            <w:r w:rsidRPr="007D11F7">
              <w:rPr>
                <w:rFonts w:asciiTheme="minorHAnsi" w:hAnsiTheme="minorHAnsi" w:cstheme="minorHAnsi"/>
                <w:b/>
                <w:bCs/>
                <w:i w:val="0"/>
                <w:iCs w:val="0"/>
                <w:color w:val="auto"/>
              </w:rPr>
              <w:t>Prior to approval</w:t>
            </w:r>
          </w:p>
        </w:tc>
        <w:tc>
          <w:tcPr>
            <w:tcW w:w="1417" w:type="dxa"/>
            <w:tcBorders>
              <w:bottom w:val="single" w:sz="4" w:space="0" w:color="auto"/>
            </w:tcBorders>
            <w:shd w:val="clear" w:color="auto" w:fill="D9D9D9" w:themeFill="background1" w:themeFillShade="D9"/>
            <w:vAlign w:val="center"/>
          </w:tcPr>
          <w:p w14:paraId="0694D14A" w14:textId="77777777" w:rsidR="007D11F7" w:rsidRPr="007D11F7" w:rsidRDefault="007D11F7">
            <w:pPr>
              <w:pStyle w:val="Heading4"/>
              <w:jc w:val="center"/>
              <w:rPr>
                <w:rFonts w:asciiTheme="minorHAnsi" w:hAnsiTheme="minorHAnsi" w:cstheme="minorHAnsi"/>
                <w:b/>
                <w:bCs/>
                <w:i w:val="0"/>
                <w:iCs w:val="0"/>
                <w:color w:val="auto"/>
              </w:rPr>
            </w:pPr>
            <w:r w:rsidRPr="007D11F7">
              <w:rPr>
                <w:rFonts w:asciiTheme="minorHAnsi" w:hAnsiTheme="minorHAnsi" w:cstheme="minorHAnsi"/>
                <w:b/>
                <w:bCs/>
                <w:i w:val="0"/>
                <w:iCs w:val="0"/>
                <w:color w:val="auto"/>
              </w:rPr>
              <w:t>Post approval</w:t>
            </w:r>
          </w:p>
        </w:tc>
        <w:tc>
          <w:tcPr>
            <w:tcW w:w="1560" w:type="dxa"/>
            <w:tcBorders>
              <w:bottom w:val="single" w:sz="4" w:space="0" w:color="auto"/>
            </w:tcBorders>
            <w:shd w:val="clear" w:color="auto" w:fill="D9D9D9" w:themeFill="background1" w:themeFillShade="D9"/>
            <w:vAlign w:val="center"/>
          </w:tcPr>
          <w:p w14:paraId="162DCA78" w14:textId="77777777" w:rsidR="007D11F7" w:rsidRPr="007D11F7" w:rsidRDefault="007D11F7">
            <w:pPr>
              <w:pStyle w:val="Heading4"/>
              <w:ind w:right="34"/>
              <w:jc w:val="center"/>
              <w:rPr>
                <w:rFonts w:asciiTheme="minorHAnsi" w:hAnsiTheme="minorHAnsi" w:cstheme="minorHAnsi"/>
                <w:b/>
                <w:bCs/>
                <w:i w:val="0"/>
                <w:iCs w:val="0"/>
                <w:color w:val="auto"/>
              </w:rPr>
            </w:pPr>
            <w:r w:rsidRPr="007D11F7">
              <w:rPr>
                <w:rFonts w:asciiTheme="minorHAnsi" w:hAnsiTheme="minorHAnsi" w:cstheme="minorHAnsi"/>
                <w:b/>
                <w:bCs/>
                <w:i w:val="0"/>
                <w:iCs w:val="0"/>
                <w:color w:val="auto"/>
              </w:rPr>
              <w:t>Expired approval</w:t>
            </w:r>
          </w:p>
        </w:tc>
      </w:tr>
      <w:tr w:rsidR="00B03D49" w14:paraId="413780B5" w14:textId="77777777" w:rsidTr="007067A0">
        <w:trPr>
          <w:cantSplit/>
          <w:trHeight w:val="1935"/>
        </w:trPr>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1DFEA39" w14:textId="77777777" w:rsidR="00B03D49" w:rsidRPr="00EB3C57" w:rsidRDefault="00B03D49" w:rsidP="007067A0">
            <w:pPr>
              <w:ind w:left="113" w:right="159"/>
              <w:jc w:val="center"/>
              <w:rPr>
                <w:b/>
              </w:rPr>
            </w:pPr>
            <w:r>
              <w:rPr>
                <w:b/>
              </w:rPr>
              <w:t>BLACK</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9941A" w14:textId="0BC88979" w:rsidR="00B03D49" w:rsidRPr="007D11F7" w:rsidRDefault="00B03D49">
            <w:pPr>
              <w:ind w:right="159"/>
              <w:jc w:val="center"/>
              <w:rPr>
                <w:b/>
              </w:rPr>
            </w:pPr>
            <w:r w:rsidRPr="007D11F7">
              <w:t xml:space="preserve">Contact the on-call Infectious Diseases (ID) physician </w:t>
            </w:r>
            <w:r>
              <w:t>CHS</w:t>
            </w:r>
            <w:r w:rsidRPr="007D11F7">
              <w:t xml:space="preserve"> via the switchboard</w:t>
            </w:r>
            <w:r w:rsidRPr="007D11F7">
              <w:rPr>
                <w:b/>
              </w:rPr>
              <w:t xml:space="preserve"> PRIOR</w:t>
            </w:r>
            <w:r w:rsidRPr="007D11F7">
              <w:t xml:space="preserve"> to prescribing</w:t>
            </w:r>
          </w:p>
        </w:tc>
        <w:tc>
          <w:tcPr>
            <w:tcW w:w="1701" w:type="dxa"/>
            <w:vMerge w:val="restart"/>
            <w:shd w:val="clear" w:color="auto" w:fill="FFFFFF" w:themeFill="background1"/>
            <w:vAlign w:val="center"/>
          </w:tcPr>
          <w:p w14:paraId="26D19CCE" w14:textId="53EADAAD" w:rsidR="00B03D49" w:rsidRPr="007D11F7" w:rsidRDefault="52B2F985" w:rsidP="007067A0">
            <w:pPr>
              <w:jc w:val="center"/>
            </w:pPr>
            <w:r>
              <w:t xml:space="preserve">Prescriber must document the approval code in </w:t>
            </w:r>
            <w:r w:rsidR="7D9E79CF">
              <w:t>t</w:t>
            </w:r>
            <w:r w:rsidR="6DCD2A6F">
              <w:t xml:space="preserve">he </w:t>
            </w:r>
            <w:r w:rsidR="0AF14853">
              <w:t>progress note.</w:t>
            </w:r>
          </w:p>
          <w:p w14:paraId="74238BF9" w14:textId="02D7561E" w:rsidR="00B03D49" w:rsidRPr="007D11F7" w:rsidRDefault="00B03D49" w:rsidP="007067A0">
            <w:pPr>
              <w:ind w:right="33"/>
              <w:jc w:val="center"/>
            </w:pPr>
          </w:p>
        </w:tc>
        <w:tc>
          <w:tcPr>
            <w:tcW w:w="1701" w:type="dxa"/>
            <w:tcBorders>
              <w:bottom w:val="single" w:sz="4" w:space="0" w:color="auto"/>
            </w:tcBorders>
            <w:shd w:val="clear" w:color="auto" w:fill="FFFFFF" w:themeFill="background1"/>
            <w:vAlign w:val="center"/>
          </w:tcPr>
          <w:p w14:paraId="12BDCA31" w14:textId="43E9BE0E" w:rsidR="00B03D49" w:rsidRPr="007D11F7" w:rsidRDefault="00B03D49" w:rsidP="007067A0">
            <w:pPr>
              <w:tabs>
                <w:tab w:val="left" w:pos="1545"/>
              </w:tabs>
              <w:jc w:val="center"/>
              <w:rPr>
                <w:b/>
              </w:rPr>
            </w:pPr>
            <w:r w:rsidRPr="007D11F7">
              <w:t xml:space="preserve">Pharmacy is unable to supply until approval code is documented </w:t>
            </w:r>
            <w:r>
              <w:t>in DHR</w:t>
            </w:r>
          </w:p>
        </w:tc>
        <w:tc>
          <w:tcPr>
            <w:tcW w:w="1417" w:type="dxa"/>
            <w:vMerge w:val="restart"/>
            <w:vAlign w:val="center"/>
          </w:tcPr>
          <w:p w14:paraId="7E3346E0" w14:textId="77777777" w:rsidR="00B03D49" w:rsidRPr="007D11F7" w:rsidRDefault="00B03D49" w:rsidP="007067A0">
            <w:pPr>
              <w:jc w:val="center"/>
              <w:rPr>
                <w:b/>
              </w:rPr>
            </w:pPr>
          </w:p>
          <w:p w14:paraId="10330D38" w14:textId="77777777" w:rsidR="00B03D49" w:rsidRPr="007D11F7" w:rsidRDefault="00B03D49" w:rsidP="007067A0">
            <w:pPr>
              <w:jc w:val="center"/>
              <w:rPr>
                <w:rStyle w:val="Hyperlink"/>
                <w:color w:val="auto"/>
                <w:u w:val="none"/>
                <w:lang w:eastAsia="en-US"/>
              </w:rPr>
            </w:pPr>
            <w:r w:rsidRPr="007D11F7">
              <w:rPr>
                <w:rStyle w:val="Hyperlink"/>
                <w:color w:val="auto"/>
                <w:u w:val="none"/>
              </w:rPr>
              <w:t>Pharmacy will supply until 2pm on the day that the approval is due to be reviewed or ceased.</w:t>
            </w:r>
          </w:p>
          <w:p w14:paraId="118ECAFA" w14:textId="1A0F6B0F" w:rsidR="00B03D49" w:rsidRPr="007D11F7" w:rsidRDefault="00B03D49" w:rsidP="007067A0">
            <w:pPr>
              <w:tabs>
                <w:tab w:val="left" w:pos="1545"/>
              </w:tabs>
              <w:jc w:val="center"/>
              <w:rPr>
                <w:b/>
              </w:rPr>
            </w:pPr>
          </w:p>
        </w:tc>
        <w:tc>
          <w:tcPr>
            <w:tcW w:w="1560" w:type="dxa"/>
            <w:vMerge w:val="restart"/>
            <w:vAlign w:val="center"/>
          </w:tcPr>
          <w:p w14:paraId="1A2FA95D" w14:textId="77777777" w:rsidR="00B03D49" w:rsidRPr="007D11F7" w:rsidRDefault="00B03D49" w:rsidP="007067A0">
            <w:pPr>
              <w:tabs>
                <w:tab w:val="left" w:pos="1545"/>
              </w:tabs>
              <w:jc w:val="center"/>
              <w:rPr>
                <w:b/>
              </w:rPr>
            </w:pPr>
          </w:p>
          <w:p w14:paraId="31811CB8" w14:textId="5C8ACDBB" w:rsidR="00B03D49" w:rsidRPr="007D11F7" w:rsidRDefault="00B03D49" w:rsidP="007067A0">
            <w:pPr>
              <w:tabs>
                <w:tab w:val="left" w:pos="1545"/>
              </w:tabs>
              <w:jc w:val="center"/>
              <w:rPr>
                <w:b/>
              </w:rPr>
            </w:pPr>
            <w:r w:rsidRPr="007D11F7">
              <w:rPr>
                <w:rStyle w:val="Hyperlink"/>
                <w:color w:val="auto"/>
                <w:u w:val="none"/>
              </w:rPr>
              <w:t>Pharmacy is unable to supply. The team must review the antimicrobial and request an extension from the on-call ID physician at CHS via the switchboard</w:t>
            </w:r>
          </w:p>
        </w:tc>
      </w:tr>
      <w:tr w:rsidR="00B03D49" w14:paraId="54CBF742" w14:textId="77777777" w:rsidTr="007067A0">
        <w:trPr>
          <w:cantSplit/>
          <w:trHeight w:val="1696"/>
        </w:trPr>
        <w:tc>
          <w:tcPr>
            <w:tcW w:w="567" w:type="dxa"/>
            <w:tcBorders>
              <w:top w:val="single" w:sz="4" w:space="0" w:color="auto"/>
              <w:left w:val="single" w:sz="4" w:space="0" w:color="auto"/>
              <w:bottom w:val="single" w:sz="4" w:space="0" w:color="auto"/>
              <w:right w:val="single" w:sz="4" w:space="0" w:color="auto"/>
            </w:tcBorders>
            <w:shd w:val="clear" w:color="auto" w:fill="D99594" w:themeFill="accent2" w:themeFillTint="99"/>
            <w:textDirection w:val="btLr"/>
            <w:vAlign w:val="center"/>
          </w:tcPr>
          <w:p w14:paraId="09516CA2" w14:textId="77777777" w:rsidR="00B03D49" w:rsidRPr="00EB3C57" w:rsidRDefault="00B03D49" w:rsidP="007067A0">
            <w:pPr>
              <w:ind w:left="113" w:right="113"/>
              <w:jc w:val="center"/>
              <w:rPr>
                <w:b/>
              </w:rPr>
            </w:pPr>
            <w:r>
              <w:rPr>
                <w:b/>
              </w:rPr>
              <w:t>RED</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14444" w14:textId="54036104" w:rsidR="00B03D49" w:rsidRPr="007D11F7" w:rsidRDefault="00B03D49" w:rsidP="007067A0">
            <w:pPr>
              <w:jc w:val="center"/>
            </w:pPr>
            <w:r w:rsidRPr="007D11F7">
              <w:t xml:space="preserve">Contact the on-call ID physician at </w:t>
            </w:r>
            <w:r>
              <w:t>CHS via</w:t>
            </w:r>
            <w:r w:rsidRPr="007D11F7">
              <w:t xml:space="preserve"> switchboard </w:t>
            </w:r>
            <w:r w:rsidRPr="007D11F7">
              <w:rPr>
                <w:b/>
              </w:rPr>
              <w:t>on day of prescription</w:t>
            </w:r>
            <w:r>
              <w:rPr>
                <w:b/>
              </w:rPr>
              <w:t xml:space="preserve"> and r</w:t>
            </w:r>
            <w:r>
              <w:rPr>
                <w:rFonts w:asciiTheme="minorHAnsi" w:hAnsiTheme="minorHAnsi" w:cstheme="minorHAnsi"/>
                <w:szCs w:val="24"/>
              </w:rPr>
              <w:t>equest AMS consult in DHR</w:t>
            </w:r>
          </w:p>
        </w:tc>
        <w:tc>
          <w:tcPr>
            <w:tcW w:w="1701" w:type="dxa"/>
            <w:vMerge/>
            <w:vAlign w:val="center"/>
          </w:tcPr>
          <w:p w14:paraId="7864AE21" w14:textId="3DC48CD5" w:rsidR="00B03D49" w:rsidRPr="007D11F7" w:rsidRDefault="00B03D49" w:rsidP="007067A0">
            <w:pPr>
              <w:ind w:right="34"/>
              <w:jc w:val="center"/>
              <w:rPr>
                <w:b/>
              </w:rPr>
            </w:pPr>
          </w:p>
        </w:tc>
        <w:tc>
          <w:tcPr>
            <w:tcW w:w="1701" w:type="dxa"/>
            <w:tcBorders>
              <w:bottom w:val="single" w:sz="4" w:space="0" w:color="auto"/>
            </w:tcBorders>
            <w:vAlign w:val="center"/>
          </w:tcPr>
          <w:p w14:paraId="4979287D" w14:textId="77777777" w:rsidR="00B03D49" w:rsidRPr="007D11F7" w:rsidRDefault="00B03D49" w:rsidP="007067A0">
            <w:pPr>
              <w:jc w:val="center"/>
            </w:pPr>
            <w:r w:rsidRPr="007D11F7">
              <w:rPr>
                <w:rStyle w:val="Hyperlink"/>
                <w:color w:val="auto"/>
                <w:u w:val="none"/>
              </w:rPr>
              <w:t>Pharmacy will supply 24 hours. Approval is required by 2pm the following day</w:t>
            </w:r>
          </w:p>
        </w:tc>
        <w:tc>
          <w:tcPr>
            <w:tcW w:w="1417" w:type="dxa"/>
            <w:vMerge/>
            <w:vAlign w:val="center"/>
          </w:tcPr>
          <w:p w14:paraId="48133108" w14:textId="77777777" w:rsidR="00B03D49" w:rsidRPr="007D11F7" w:rsidRDefault="00B03D49" w:rsidP="007067A0">
            <w:pPr>
              <w:spacing w:after="160" w:line="259" w:lineRule="auto"/>
              <w:jc w:val="center"/>
            </w:pPr>
          </w:p>
        </w:tc>
        <w:tc>
          <w:tcPr>
            <w:tcW w:w="1560" w:type="dxa"/>
            <w:vMerge/>
            <w:vAlign w:val="center"/>
          </w:tcPr>
          <w:p w14:paraId="234CCFC8" w14:textId="77777777" w:rsidR="00B03D49" w:rsidRPr="007D11F7" w:rsidRDefault="00B03D49" w:rsidP="007067A0">
            <w:pPr>
              <w:jc w:val="center"/>
            </w:pPr>
          </w:p>
        </w:tc>
      </w:tr>
      <w:tr w:rsidR="00B03D49" w14:paraId="1382E454" w14:textId="77777777" w:rsidTr="007067A0">
        <w:trPr>
          <w:cantSplit/>
          <w:trHeight w:val="1134"/>
        </w:trPr>
        <w:tc>
          <w:tcPr>
            <w:tcW w:w="567" w:type="dxa"/>
            <w:tcBorders>
              <w:top w:val="single" w:sz="4" w:space="0" w:color="auto"/>
              <w:left w:val="single" w:sz="4" w:space="0" w:color="auto"/>
              <w:bottom w:val="single" w:sz="4" w:space="0" w:color="auto"/>
              <w:right w:val="single" w:sz="4" w:space="0" w:color="auto"/>
            </w:tcBorders>
            <w:shd w:val="clear" w:color="auto" w:fill="FBD4B4" w:themeFill="accent6" w:themeFillTint="66"/>
            <w:textDirection w:val="btLr"/>
            <w:vAlign w:val="center"/>
          </w:tcPr>
          <w:p w14:paraId="2FD98362" w14:textId="77777777" w:rsidR="00B03D49" w:rsidRPr="006004BD" w:rsidRDefault="00B03D49" w:rsidP="007067A0">
            <w:pPr>
              <w:ind w:left="113" w:right="113"/>
              <w:jc w:val="center"/>
              <w:rPr>
                <w:b/>
              </w:rPr>
            </w:pPr>
            <w:r w:rsidRPr="006004BD">
              <w:rPr>
                <w:b/>
              </w:rPr>
              <w:t>ORANGE</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095D" w14:textId="74A3FCEF" w:rsidR="00B03D49" w:rsidRPr="007D11F7" w:rsidRDefault="00B03D49" w:rsidP="007067A0">
            <w:pPr>
              <w:jc w:val="center"/>
              <w:rPr>
                <w:b/>
              </w:rPr>
            </w:pPr>
            <w:r>
              <w:rPr>
                <w:rFonts w:asciiTheme="minorHAnsi" w:hAnsiTheme="minorHAnsi" w:cstheme="minorHAnsi"/>
                <w:szCs w:val="24"/>
              </w:rPr>
              <w:t>Request AMS consult in DHR</w:t>
            </w:r>
            <w:r w:rsidRPr="00AE4D51">
              <w:rPr>
                <w:rFonts w:asciiTheme="minorHAnsi" w:hAnsiTheme="minorHAnsi" w:cstheme="minorHAnsi"/>
                <w:szCs w:val="24"/>
              </w:rPr>
              <w:t xml:space="preserve"> </w:t>
            </w:r>
            <w:r w:rsidRPr="00AE4D51">
              <w:rPr>
                <w:rFonts w:asciiTheme="minorHAnsi" w:hAnsiTheme="minorHAnsi" w:cstheme="minorHAnsi"/>
                <w:b/>
                <w:szCs w:val="24"/>
              </w:rPr>
              <w:t>within 24 hours of prescription</w:t>
            </w:r>
          </w:p>
        </w:tc>
        <w:tc>
          <w:tcPr>
            <w:tcW w:w="1701" w:type="dxa"/>
            <w:vMerge/>
            <w:vAlign w:val="center"/>
          </w:tcPr>
          <w:p w14:paraId="6B7E088D" w14:textId="698FA748" w:rsidR="00B03D49" w:rsidRPr="007D11F7" w:rsidRDefault="00B03D49" w:rsidP="007067A0">
            <w:pPr>
              <w:ind w:right="34"/>
              <w:jc w:val="center"/>
              <w:rPr>
                <w:b/>
              </w:rPr>
            </w:pPr>
          </w:p>
        </w:tc>
        <w:tc>
          <w:tcPr>
            <w:tcW w:w="1701" w:type="dxa"/>
            <w:tcBorders>
              <w:bottom w:val="single" w:sz="4" w:space="0" w:color="auto"/>
            </w:tcBorders>
            <w:shd w:val="clear" w:color="auto" w:fill="FFFFFF" w:themeFill="background1"/>
            <w:vAlign w:val="center"/>
          </w:tcPr>
          <w:p w14:paraId="5D1B0C45" w14:textId="77777777" w:rsidR="00B03D49" w:rsidRPr="007D11F7" w:rsidRDefault="00B03D49" w:rsidP="007067A0">
            <w:pPr>
              <w:spacing w:after="160" w:line="259" w:lineRule="auto"/>
              <w:jc w:val="center"/>
            </w:pPr>
            <w:r w:rsidRPr="007D11F7">
              <w:t>Pharmacy will supply until 2pm on Monday</w:t>
            </w:r>
          </w:p>
        </w:tc>
        <w:tc>
          <w:tcPr>
            <w:tcW w:w="2977" w:type="dxa"/>
            <w:gridSpan w:val="2"/>
            <w:tcBorders>
              <w:bottom w:val="single" w:sz="4" w:space="0" w:color="auto"/>
            </w:tcBorders>
            <w:shd w:val="clear" w:color="auto" w:fill="FFFFFF" w:themeFill="background1"/>
            <w:vAlign w:val="center"/>
          </w:tcPr>
          <w:p w14:paraId="6DCE042B" w14:textId="576020CD" w:rsidR="00B03D49" w:rsidRPr="007D11F7" w:rsidRDefault="00B03D49" w:rsidP="007067A0">
            <w:pPr>
              <w:spacing w:after="160" w:line="259" w:lineRule="auto"/>
              <w:jc w:val="center"/>
            </w:pPr>
            <w:r w:rsidRPr="007D11F7">
              <w:rPr>
                <w:rStyle w:val="Hyperlink"/>
                <w:color w:val="auto"/>
                <w:u w:val="none"/>
              </w:rPr>
              <w:t>Pharmacy will supply until 2pm on Monday only if the code expires on a weekend</w:t>
            </w:r>
          </w:p>
        </w:tc>
      </w:tr>
      <w:tr w:rsidR="007D11F7" w14:paraId="7881B68E" w14:textId="77777777" w:rsidTr="007067A0">
        <w:tc>
          <w:tcPr>
            <w:tcW w:w="1134" w:type="dxa"/>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7E23FD" w14:textId="77777777" w:rsidR="007D11F7" w:rsidRPr="006004BD" w:rsidRDefault="007D11F7">
            <w:pPr>
              <w:jc w:val="center"/>
              <w:rPr>
                <w:b/>
              </w:rPr>
            </w:pPr>
            <w:r w:rsidRPr="006004BD">
              <w:rPr>
                <w:b/>
              </w:rPr>
              <w:t>GREEN</w:t>
            </w:r>
          </w:p>
        </w:tc>
        <w:tc>
          <w:tcPr>
            <w:tcW w:w="8364" w:type="dxa"/>
            <w:gridSpan w:val="5"/>
            <w:tcBorders>
              <w:top w:val="single" w:sz="4" w:space="0" w:color="auto"/>
              <w:left w:val="single" w:sz="4" w:space="0" w:color="auto"/>
              <w:bottom w:val="single" w:sz="4" w:space="0" w:color="auto"/>
            </w:tcBorders>
            <w:shd w:val="clear" w:color="auto" w:fill="FFFFFF" w:themeFill="background1"/>
          </w:tcPr>
          <w:p w14:paraId="45376099" w14:textId="37F9C203" w:rsidR="007D11F7" w:rsidRDefault="007D11F7" w:rsidP="006F09E0">
            <w:pPr>
              <w:spacing w:after="160" w:line="259" w:lineRule="auto"/>
              <w:rPr>
                <w:rStyle w:val="Hyperlink"/>
              </w:rPr>
            </w:pPr>
            <w:r>
              <w:t xml:space="preserve">No restriction. Antimicrobials should be guided by </w:t>
            </w:r>
            <w:hyperlink r:id="rId15" w:history="1">
              <w:r w:rsidRPr="006004BD">
                <w:rPr>
                  <w:rStyle w:val="Hyperlink"/>
                </w:rPr>
                <w:t>Therapeutic Guidelines: Antibiotic</w:t>
              </w:r>
            </w:hyperlink>
            <w:r>
              <w:rPr>
                <w:rStyle w:val="Hyperlink"/>
              </w:rPr>
              <w:t>,</w:t>
            </w:r>
            <w:r>
              <w:t xml:space="preserve"> NCH policies, the clinical condition of the patient and/or the results of microbiological testing</w:t>
            </w:r>
          </w:p>
        </w:tc>
      </w:tr>
    </w:tbl>
    <w:p w14:paraId="4DD5F1B1" w14:textId="77777777" w:rsidR="00381CBF" w:rsidRDefault="00381CBF" w:rsidP="007D11F7"/>
    <w:p w14:paraId="23A5E5B9" w14:textId="77777777" w:rsidR="00381CBF" w:rsidRDefault="00F517F5" w:rsidP="00381CBF">
      <w:pPr>
        <w:jc w:val="right"/>
        <w:rPr>
          <w:rFonts w:cs="Arial"/>
          <w:i/>
          <w:szCs w:val="24"/>
        </w:rPr>
      </w:pPr>
      <w:hyperlink w:anchor="Contents" w:history="1">
        <w:r w:rsidR="00381CBF" w:rsidRPr="00590902">
          <w:rPr>
            <w:rStyle w:val="Hyperlink"/>
            <w:rFonts w:cs="Arial"/>
            <w:i/>
            <w:szCs w:val="24"/>
          </w:rPr>
          <w:t>Back to Table of Contents</w:t>
        </w:r>
      </w:hyperlink>
      <w:r w:rsidR="00381CBF">
        <w:rPr>
          <w:rFonts w:cs="Arial"/>
          <w:i/>
          <w:szCs w:val="24"/>
        </w:rPr>
        <w:t xml:space="preserve"> </w:t>
      </w:r>
    </w:p>
    <w:p w14:paraId="3482EDA3" w14:textId="77777777" w:rsidR="00A36096" w:rsidRDefault="00A36096" w:rsidP="00A36096">
      <w:pPr>
        <w:rPr>
          <w:rFonts w:cs="Arial"/>
          <w:i/>
          <w:szCs w:val="24"/>
        </w:rPr>
      </w:pPr>
    </w:p>
    <w:tbl>
      <w:tblPr>
        <w:tblpPr w:leftFromText="180" w:rightFromText="180" w:vertAnchor="text" w:horzAnchor="margin" w:tblpY="181"/>
        <w:tblW w:w="9158" w:type="dxa"/>
        <w:tblLook w:val="0000" w:firstRow="0" w:lastRow="0" w:firstColumn="0" w:lastColumn="0" w:noHBand="0" w:noVBand="0"/>
      </w:tblPr>
      <w:tblGrid>
        <w:gridCol w:w="9158"/>
      </w:tblGrid>
      <w:tr w:rsidR="00A36096" w:rsidRPr="00CD1C0E" w14:paraId="328D7CF0" w14:textId="77777777" w:rsidTr="006F09E0">
        <w:trPr>
          <w:cantSplit/>
          <w:trHeight w:val="285"/>
        </w:trPr>
        <w:tc>
          <w:tcPr>
            <w:tcW w:w="9158" w:type="dxa"/>
            <w:shd w:val="clear" w:color="auto" w:fill="A6A6A6" w:themeFill="background1" w:themeFillShade="A6"/>
          </w:tcPr>
          <w:p w14:paraId="1DE342FC" w14:textId="4E40718F" w:rsidR="00A36096" w:rsidRPr="003D2D06" w:rsidRDefault="00A36096" w:rsidP="006F09E0">
            <w:pPr>
              <w:pStyle w:val="Heading1"/>
            </w:pPr>
            <w:bookmarkStart w:id="22" w:name="_Toc159339620"/>
            <w:r>
              <w:t xml:space="preserve">Section </w:t>
            </w:r>
            <w:r w:rsidR="007720B4">
              <w:t>7</w:t>
            </w:r>
            <w:r w:rsidRPr="003D2D06">
              <w:t xml:space="preserve"> – </w:t>
            </w:r>
            <w:r>
              <w:t>Requesting an Extension of Approval</w:t>
            </w:r>
            <w:bookmarkEnd w:id="22"/>
          </w:p>
        </w:tc>
      </w:tr>
    </w:tbl>
    <w:p w14:paraId="78FED049" w14:textId="77777777" w:rsidR="00A36096" w:rsidRDefault="00A36096" w:rsidP="00A36096">
      <w:pPr>
        <w:jc w:val="right"/>
      </w:pPr>
    </w:p>
    <w:p w14:paraId="4F94F0F5" w14:textId="77777777" w:rsidR="00A36096" w:rsidRPr="00A92EB3" w:rsidRDefault="00A36096" w:rsidP="00A92EB3">
      <w:pPr>
        <w:pStyle w:val="ListParagraph"/>
        <w:numPr>
          <w:ilvl w:val="0"/>
          <w:numId w:val="56"/>
        </w:numPr>
        <w:overflowPunct w:val="0"/>
        <w:autoSpaceDE w:val="0"/>
        <w:autoSpaceDN w:val="0"/>
        <w:adjustRightInd w:val="0"/>
        <w:rPr>
          <w:rFonts w:cs="Arial"/>
        </w:rPr>
      </w:pPr>
      <w:r w:rsidRPr="00A92EB3">
        <w:rPr>
          <w:rFonts w:cs="Arial"/>
        </w:rPr>
        <w:t xml:space="preserve">Once an initial antimicrobial request has been submitted, the AMS team will continue to review the patients’ progress. </w:t>
      </w:r>
      <w:proofErr w:type="gramStart"/>
      <w:r w:rsidRPr="00A92EB3">
        <w:rPr>
          <w:rFonts w:cs="Arial"/>
        </w:rPr>
        <w:t>If,</w:t>
      </w:r>
      <w:proofErr w:type="gramEnd"/>
      <w:r w:rsidRPr="00A92EB3">
        <w:rPr>
          <w:rFonts w:cs="Arial"/>
        </w:rPr>
        <w:t xml:space="preserve"> however the team wishes to escalate antimicrobial therapy, (i.e. to another restricted antimicrobial) the prescribing team should request approval in the specified timeframe. </w:t>
      </w:r>
    </w:p>
    <w:p w14:paraId="0F142489" w14:textId="75573A8D" w:rsidR="007720B4" w:rsidRDefault="00F517F5" w:rsidP="00891C7F">
      <w:pPr>
        <w:jc w:val="right"/>
        <w:rPr>
          <w:rFonts w:cs="Arial"/>
          <w:i/>
          <w:szCs w:val="24"/>
        </w:rPr>
      </w:pPr>
      <w:hyperlink w:anchor="Contents" w:history="1">
        <w:r w:rsidR="00A36096" w:rsidRPr="00590902">
          <w:rPr>
            <w:rStyle w:val="Hyperlink"/>
            <w:rFonts w:cs="Arial"/>
            <w:i/>
            <w:szCs w:val="24"/>
          </w:rPr>
          <w:t>Back to Table of Contents</w:t>
        </w:r>
      </w:hyperlink>
      <w:r w:rsidR="00A36096">
        <w:rPr>
          <w:rFonts w:cs="Arial"/>
          <w:i/>
          <w:szCs w:val="24"/>
        </w:rPr>
        <w:t xml:space="preserve"> </w:t>
      </w:r>
    </w:p>
    <w:p w14:paraId="28E4B834" w14:textId="3647A7FE" w:rsidR="00232FFE" w:rsidRDefault="00232FFE">
      <w:bookmarkStart w:id="23" w:name="_Toc389473284"/>
    </w:p>
    <w:tbl>
      <w:tblPr>
        <w:tblpPr w:leftFromText="180" w:rightFromText="180" w:vertAnchor="text" w:horzAnchor="margin" w:tblpY="181"/>
        <w:tblW w:w="9158" w:type="dxa"/>
        <w:tblLook w:val="0000" w:firstRow="0" w:lastRow="0" w:firstColumn="0" w:lastColumn="0" w:noHBand="0" w:noVBand="0"/>
      </w:tblPr>
      <w:tblGrid>
        <w:gridCol w:w="9158"/>
      </w:tblGrid>
      <w:tr w:rsidR="007720B4" w:rsidRPr="00CD1C0E" w14:paraId="4DB2D3E9" w14:textId="77777777" w:rsidTr="006F09E0">
        <w:trPr>
          <w:cantSplit/>
          <w:trHeight w:val="285"/>
        </w:trPr>
        <w:tc>
          <w:tcPr>
            <w:tcW w:w="9158" w:type="dxa"/>
            <w:shd w:val="clear" w:color="auto" w:fill="A6A6A6" w:themeFill="background1" w:themeFillShade="A6"/>
          </w:tcPr>
          <w:p w14:paraId="793A53EE" w14:textId="2CF40807" w:rsidR="007720B4" w:rsidRPr="003D2D06" w:rsidRDefault="007720B4" w:rsidP="006F09E0">
            <w:pPr>
              <w:pStyle w:val="Heading1"/>
            </w:pPr>
            <w:bookmarkStart w:id="24" w:name="_Toc159339621"/>
            <w:r>
              <w:lastRenderedPageBreak/>
              <w:t>Section 8</w:t>
            </w:r>
            <w:r w:rsidRPr="003D2D06">
              <w:t xml:space="preserve"> – </w:t>
            </w:r>
            <w:bookmarkEnd w:id="23"/>
            <w:r>
              <w:t>Exemptions to Seeking Approval for Restricted Antimicrobials</w:t>
            </w:r>
            <w:bookmarkEnd w:id="24"/>
          </w:p>
        </w:tc>
      </w:tr>
    </w:tbl>
    <w:p w14:paraId="607874A0" w14:textId="77777777" w:rsidR="007720B4" w:rsidRDefault="007720B4" w:rsidP="007720B4"/>
    <w:p w14:paraId="081EF5F2" w14:textId="77777777" w:rsidR="007720B4" w:rsidRPr="007C6933" w:rsidRDefault="6844FF27" w:rsidP="007720B4">
      <w:pPr>
        <w:pStyle w:val="ListBullet"/>
        <w:ind w:left="426" w:hanging="426"/>
      </w:pPr>
      <w:r>
        <w:t>Exemptions include antimicrobials previously approved by Infectious Diseases for indefinite therapy (</w:t>
      </w:r>
      <w:proofErr w:type="spellStart"/>
      <w:r>
        <w:t>eg</w:t>
      </w:r>
      <w:proofErr w:type="spellEnd"/>
      <w:r>
        <w:t xml:space="preserve">, suppression of prosthetic hip infection) or prophylaxis against opportunistic organisms. The prescriber must document that indication in DHR. </w:t>
      </w:r>
    </w:p>
    <w:p w14:paraId="26CDF3E5" w14:textId="77777777" w:rsidR="007720B4" w:rsidRDefault="6844FF27" w:rsidP="007720B4">
      <w:pPr>
        <w:pStyle w:val="ListBullet"/>
        <w:ind w:left="426" w:hanging="426"/>
      </w:pPr>
      <w:r>
        <w:t>Prescribing for patients in the Intensive Care Unit (ICU) and High Dependency Unit (HDU) is exempt from requiring approval due to the level of AMS team and ID service involved; however, discussion with the ID team is recommended if patients have infectious diseases issues and have not been discussed in the twice weekly AMS meetings.</w:t>
      </w:r>
    </w:p>
    <w:p w14:paraId="46126DC2" w14:textId="77777777" w:rsidR="007720B4" w:rsidRPr="007C6933" w:rsidRDefault="007720B4" w:rsidP="007720B4">
      <w:pPr>
        <w:pStyle w:val="ListBullet"/>
        <w:numPr>
          <w:ilvl w:val="0"/>
          <w:numId w:val="0"/>
        </w:numPr>
        <w:ind w:left="426"/>
      </w:pPr>
    </w:p>
    <w:p w14:paraId="79794A63" w14:textId="2E6E1F6C" w:rsidR="00A36096" w:rsidRDefault="00F517F5" w:rsidP="00891C7F">
      <w:pPr>
        <w:jc w:val="right"/>
        <w:rPr>
          <w:rFonts w:cs="Arial"/>
          <w:i/>
          <w:szCs w:val="24"/>
        </w:rPr>
      </w:pPr>
      <w:hyperlink w:anchor="Contents" w:history="1">
        <w:r w:rsidR="007720B4" w:rsidRPr="00590902">
          <w:rPr>
            <w:rStyle w:val="Hyperlink"/>
            <w:rFonts w:cs="Arial"/>
            <w:i/>
            <w:szCs w:val="24"/>
          </w:rPr>
          <w:t>Back to Table of Contents</w:t>
        </w:r>
      </w:hyperlink>
      <w:r w:rsidR="007720B4">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A36096" w:rsidRPr="00CD1C0E" w14:paraId="3724A321" w14:textId="77777777" w:rsidTr="006F09E0">
        <w:trPr>
          <w:cantSplit/>
          <w:trHeight w:val="285"/>
        </w:trPr>
        <w:tc>
          <w:tcPr>
            <w:tcW w:w="9158" w:type="dxa"/>
            <w:shd w:val="clear" w:color="auto" w:fill="A6A6A6" w:themeFill="background1" w:themeFillShade="A6"/>
          </w:tcPr>
          <w:p w14:paraId="3D27B3AC" w14:textId="0D84689D" w:rsidR="00A36096" w:rsidRPr="003D2D06" w:rsidRDefault="00A36096" w:rsidP="006F09E0">
            <w:pPr>
              <w:pStyle w:val="Heading1"/>
            </w:pPr>
            <w:bookmarkStart w:id="25" w:name="_Toc159339622"/>
            <w:r>
              <w:t xml:space="preserve">Section </w:t>
            </w:r>
            <w:r w:rsidR="007720B4">
              <w:t xml:space="preserve">9 </w:t>
            </w:r>
            <w:r w:rsidRPr="003D2D06">
              <w:t>–</w:t>
            </w:r>
            <w:r>
              <w:t xml:space="preserve"> Antimicrobial Shortages</w:t>
            </w:r>
            <w:bookmarkEnd w:id="25"/>
          </w:p>
        </w:tc>
      </w:tr>
    </w:tbl>
    <w:p w14:paraId="1392F412" w14:textId="77777777" w:rsidR="00A36096" w:rsidRDefault="00A36096" w:rsidP="00A36096">
      <w:pPr>
        <w:ind w:right="452"/>
        <w:jc w:val="both"/>
        <w:rPr>
          <w:rFonts w:cs="Helvetica"/>
          <w:lang w:val="en"/>
        </w:rPr>
      </w:pPr>
    </w:p>
    <w:p w14:paraId="07AA0A2B" w14:textId="77777777" w:rsidR="00A36096" w:rsidRDefault="00A36096" w:rsidP="00A36096">
      <w:pPr>
        <w:pStyle w:val="ListParagraph"/>
        <w:numPr>
          <w:ilvl w:val="0"/>
          <w:numId w:val="54"/>
        </w:numPr>
        <w:ind w:right="452"/>
      </w:pPr>
      <w:r w:rsidRPr="00CA3D14">
        <w:t xml:space="preserve">There can be interruptions with the supply of antimicrobial drugs in Australia that necessitate modifications to the restriction policies. When this occurs, please refer to the </w:t>
      </w:r>
      <w:r>
        <w:t>NCH</w:t>
      </w:r>
      <w:r w:rsidRPr="00CA3D14">
        <w:t xml:space="preserve"> Formulary for the most up to date information and follow guidance from the AMS/ID team. </w:t>
      </w:r>
    </w:p>
    <w:p w14:paraId="2154CCDE" w14:textId="77777777" w:rsidR="00A36096" w:rsidRDefault="00A36096" w:rsidP="00A36096">
      <w:pPr>
        <w:jc w:val="right"/>
      </w:pPr>
    </w:p>
    <w:p w14:paraId="47EACE88" w14:textId="2234F5A7" w:rsidR="00A92EB3" w:rsidRPr="00891C7F" w:rsidRDefault="00F517F5" w:rsidP="00891C7F">
      <w:pPr>
        <w:jc w:val="right"/>
        <w:rPr>
          <w:rFonts w:cs="Arial"/>
          <w:i/>
          <w:szCs w:val="24"/>
        </w:rPr>
      </w:pPr>
      <w:hyperlink w:anchor="Contents" w:history="1">
        <w:r w:rsidR="00A36096" w:rsidRPr="00590902">
          <w:rPr>
            <w:rStyle w:val="Hyperlink"/>
            <w:rFonts w:cs="Arial"/>
            <w:i/>
            <w:szCs w:val="24"/>
          </w:rPr>
          <w:t>Back to Table of Contents</w:t>
        </w:r>
      </w:hyperlink>
      <w:r w:rsidR="00A36096">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381CBF" w:rsidRPr="00CD1C0E" w14:paraId="42622178" w14:textId="77777777" w:rsidTr="006F09E0">
        <w:trPr>
          <w:cantSplit/>
          <w:trHeight w:val="285"/>
        </w:trPr>
        <w:tc>
          <w:tcPr>
            <w:tcW w:w="9158" w:type="dxa"/>
            <w:shd w:val="clear" w:color="auto" w:fill="A6A6A6" w:themeFill="background1" w:themeFillShade="A6"/>
          </w:tcPr>
          <w:p w14:paraId="0B0B0F99" w14:textId="66F0CC0B" w:rsidR="00381CBF" w:rsidRPr="003D2D06" w:rsidRDefault="00381CBF" w:rsidP="006F09E0">
            <w:pPr>
              <w:pStyle w:val="Heading1"/>
            </w:pPr>
            <w:bookmarkStart w:id="26" w:name="_Toc159339623"/>
            <w:r>
              <w:t xml:space="preserve">Section </w:t>
            </w:r>
            <w:r w:rsidR="007720B4">
              <w:t>10</w:t>
            </w:r>
            <w:r w:rsidRPr="003D2D06">
              <w:t xml:space="preserve"> – </w:t>
            </w:r>
            <w:r w:rsidR="007D11F7">
              <w:t>After-hours Supply Service</w:t>
            </w:r>
            <w:bookmarkEnd w:id="26"/>
          </w:p>
        </w:tc>
      </w:tr>
    </w:tbl>
    <w:p w14:paraId="29660984" w14:textId="77777777" w:rsidR="007D11F7" w:rsidRDefault="007D11F7" w:rsidP="007D11F7"/>
    <w:p w14:paraId="46A80B27" w14:textId="52D69F0A" w:rsidR="007D11F7" w:rsidRDefault="007D11F7" w:rsidP="00BA4E0F">
      <w:pPr>
        <w:pStyle w:val="ListParagraph"/>
        <w:numPr>
          <w:ilvl w:val="0"/>
          <w:numId w:val="54"/>
        </w:numPr>
        <w:overflowPunct w:val="0"/>
        <w:ind w:right="452"/>
      </w:pPr>
      <w:r w:rsidRPr="004D2337">
        <w:t xml:space="preserve">Antimicrobials obtained from the after-hours service </w:t>
      </w:r>
      <w:r>
        <w:t xml:space="preserve">are subject to the approval process outlined above and </w:t>
      </w:r>
      <w:r w:rsidRPr="004D2337">
        <w:t xml:space="preserve">will be followed up by pharmacists with the prescribing team. </w:t>
      </w:r>
      <w:r>
        <w:t xml:space="preserve"> </w:t>
      </w:r>
      <w:r w:rsidRPr="004D2337">
        <w:t>Antimicrobial dispensing through this route will be routinely monitored</w:t>
      </w:r>
      <w:r w:rsidR="00192947">
        <w:t>.</w:t>
      </w:r>
    </w:p>
    <w:p w14:paraId="3B126A15" w14:textId="77777777" w:rsidR="00381CBF" w:rsidRDefault="00381CBF" w:rsidP="00192947"/>
    <w:p w14:paraId="1596DA0B" w14:textId="51B830CC" w:rsidR="00192947" w:rsidRPr="00891C7F" w:rsidRDefault="00F517F5" w:rsidP="00891C7F">
      <w:pPr>
        <w:jc w:val="right"/>
        <w:rPr>
          <w:rFonts w:cs="Arial"/>
          <w:i/>
          <w:szCs w:val="24"/>
        </w:rPr>
      </w:pPr>
      <w:hyperlink w:anchor="Contents" w:history="1">
        <w:r w:rsidR="00381CBF" w:rsidRPr="00590902">
          <w:rPr>
            <w:rStyle w:val="Hyperlink"/>
            <w:rFonts w:cs="Arial"/>
            <w:i/>
            <w:szCs w:val="24"/>
          </w:rPr>
          <w:t>Back to Table of Contents</w:t>
        </w:r>
      </w:hyperlink>
      <w:r w:rsidR="00381CB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192947" w:rsidRPr="00CD1C0E" w14:paraId="50AA5134" w14:textId="77777777" w:rsidTr="006F09E0">
        <w:trPr>
          <w:cantSplit/>
          <w:trHeight w:val="285"/>
        </w:trPr>
        <w:tc>
          <w:tcPr>
            <w:tcW w:w="9158" w:type="dxa"/>
            <w:shd w:val="clear" w:color="auto" w:fill="A6A6A6" w:themeFill="background1" w:themeFillShade="A6"/>
          </w:tcPr>
          <w:p w14:paraId="42BC6638" w14:textId="667DF550" w:rsidR="00192947" w:rsidRPr="003D2D06" w:rsidRDefault="00192947" w:rsidP="006F09E0">
            <w:pPr>
              <w:pStyle w:val="Heading1"/>
            </w:pPr>
            <w:bookmarkStart w:id="27" w:name="_Toc159339624"/>
            <w:r>
              <w:t>Section 1</w:t>
            </w:r>
            <w:r w:rsidR="007720B4">
              <w:t>1</w:t>
            </w:r>
            <w:r w:rsidRPr="003D2D06">
              <w:t xml:space="preserve"> – </w:t>
            </w:r>
            <w:r>
              <w:t>AMS Review</w:t>
            </w:r>
            <w:bookmarkEnd w:id="27"/>
          </w:p>
        </w:tc>
      </w:tr>
    </w:tbl>
    <w:p w14:paraId="30FA1015" w14:textId="77777777" w:rsidR="00192947" w:rsidRDefault="00192947" w:rsidP="00BA4E0F"/>
    <w:p w14:paraId="598E77B1" w14:textId="165E1327" w:rsidR="00BA4E0F" w:rsidRDefault="00BA4E0F" w:rsidP="00BA4E0F">
      <w:r>
        <w:t xml:space="preserve">In line with the Clinical Care Standards, an AMS review may involve: </w:t>
      </w:r>
    </w:p>
    <w:p w14:paraId="346C3453" w14:textId="77777777" w:rsidR="00192947" w:rsidRDefault="3EF65604" w:rsidP="00192947">
      <w:pPr>
        <w:pStyle w:val="ListBullet"/>
        <w:ind w:left="426" w:hanging="426"/>
      </w:pPr>
      <w:r>
        <w:t>Reviewing antimicrobial prescribing in situations where the ID consultation service is not usually involved</w:t>
      </w:r>
    </w:p>
    <w:p w14:paraId="36203449" w14:textId="77777777" w:rsidR="00192947" w:rsidRDefault="3EF65604" w:rsidP="00192947">
      <w:pPr>
        <w:pStyle w:val="ListBullet"/>
        <w:ind w:left="426" w:hanging="426"/>
      </w:pPr>
      <w:r>
        <w:t xml:space="preserve">Reviewing medication charts, progress notes, investigations, pathology, </w:t>
      </w:r>
      <w:proofErr w:type="gramStart"/>
      <w:r>
        <w:t>microbiology</w:t>
      </w:r>
      <w:proofErr w:type="gramEnd"/>
      <w:r>
        <w:t xml:space="preserve"> and radiology</w:t>
      </w:r>
    </w:p>
    <w:p w14:paraId="0C82B016" w14:textId="77777777" w:rsidR="00192947" w:rsidRDefault="3EF65604" w:rsidP="00192947">
      <w:pPr>
        <w:pStyle w:val="ListBullet"/>
        <w:ind w:left="426" w:hanging="426"/>
      </w:pPr>
      <w:r>
        <w:t xml:space="preserve">Discussing patient progress with the prescribing team </w:t>
      </w:r>
    </w:p>
    <w:p w14:paraId="0CA9EE1F" w14:textId="77777777" w:rsidR="00192947" w:rsidRDefault="3EF65604" w:rsidP="00192947">
      <w:pPr>
        <w:pStyle w:val="ListBullet"/>
        <w:ind w:left="426" w:hanging="426"/>
      </w:pPr>
      <w:r>
        <w:t>Requesting review of antimicrobial therapy of indication for use</w:t>
      </w:r>
    </w:p>
    <w:p w14:paraId="6E20E297" w14:textId="77777777" w:rsidR="00192947" w:rsidRDefault="3EF65604" w:rsidP="00192947">
      <w:pPr>
        <w:pStyle w:val="ListBullet"/>
        <w:ind w:left="426" w:hanging="426"/>
      </w:pPr>
      <w:r>
        <w:t xml:space="preserve">Recommending documentation of the indication, drug name, route of administration, intended duration and review plan </w:t>
      </w:r>
    </w:p>
    <w:p w14:paraId="7EA1B80F" w14:textId="32116D7A" w:rsidR="00192947" w:rsidRDefault="3EF65604" w:rsidP="00192947">
      <w:pPr>
        <w:pStyle w:val="ListBullet"/>
        <w:ind w:left="426" w:hanging="426"/>
      </w:pPr>
      <w:r>
        <w:lastRenderedPageBreak/>
        <w:t>Requesting to document the justification for deviation from Therapeutic Guidelines: Antibiotic, NCH policies, the clinical condition of the patient and/or the results of microbiological testing</w:t>
      </w:r>
    </w:p>
    <w:p w14:paraId="1D1F055F" w14:textId="77777777" w:rsidR="00192947" w:rsidRDefault="3EF65604" w:rsidP="00192947">
      <w:pPr>
        <w:pStyle w:val="ListBullet"/>
        <w:ind w:left="426" w:hanging="426"/>
      </w:pPr>
      <w:r>
        <w:t>Recommending dosage adjustment, therapeutic drug monitoring, consideration of alternative therapy (</w:t>
      </w:r>
      <w:proofErr w:type="spellStart"/>
      <w:r>
        <w:t>eg</w:t>
      </w:r>
      <w:proofErr w:type="spellEnd"/>
      <w:r>
        <w:t>, oral step-down), or consideration of cessation of treatment</w:t>
      </w:r>
    </w:p>
    <w:p w14:paraId="4A1DD2F8" w14:textId="77777777" w:rsidR="00192947" w:rsidRDefault="3EF65604" w:rsidP="00192947">
      <w:pPr>
        <w:pStyle w:val="ListBullet"/>
        <w:ind w:left="426" w:hanging="426"/>
      </w:pPr>
      <w:r>
        <w:t xml:space="preserve">Recommending additional investigations, </w:t>
      </w:r>
      <w:proofErr w:type="spellStart"/>
      <w:r>
        <w:t>eg</w:t>
      </w:r>
      <w:proofErr w:type="spellEnd"/>
      <w:r>
        <w:t>, microbiological tests</w:t>
      </w:r>
    </w:p>
    <w:p w14:paraId="75335C8A" w14:textId="77777777" w:rsidR="00192947" w:rsidRDefault="3EF65604" w:rsidP="00192947">
      <w:pPr>
        <w:pStyle w:val="ListBullet"/>
        <w:ind w:left="426" w:hanging="426"/>
      </w:pPr>
      <w:r>
        <w:t>Referring antimicrobial prescribing practices that are not in line with the AMS policy or procedure to the ID registrar and/or consultant for review</w:t>
      </w:r>
    </w:p>
    <w:p w14:paraId="4E722247" w14:textId="61A19E89" w:rsidR="00192947" w:rsidRDefault="3EF65604" w:rsidP="00192947">
      <w:pPr>
        <w:pStyle w:val="ListBullet"/>
        <w:ind w:left="426" w:hanging="426"/>
      </w:pPr>
      <w:r>
        <w:t>Recommending ID consultation for assistance with complex therapeutic situations beyond the scope of an AMS review</w:t>
      </w:r>
      <w:r w:rsidR="6878E700">
        <w:t>.</w:t>
      </w:r>
    </w:p>
    <w:p w14:paraId="30257287" w14:textId="77777777" w:rsidR="00192947" w:rsidRDefault="00F517F5" w:rsidP="00192947">
      <w:pPr>
        <w:jc w:val="right"/>
        <w:rPr>
          <w:rFonts w:cs="Arial"/>
          <w:i/>
          <w:szCs w:val="24"/>
        </w:rPr>
      </w:pPr>
      <w:hyperlink w:anchor="Contents" w:history="1">
        <w:r w:rsidR="00192947" w:rsidRPr="00590902">
          <w:rPr>
            <w:rStyle w:val="Hyperlink"/>
            <w:rFonts w:cs="Arial"/>
            <w:i/>
            <w:szCs w:val="24"/>
          </w:rPr>
          <w:t>Back to Table of Contents</w:t>
        </w:r>
      </w:hyperlink>
      <w:r w:rsidR="00192947">
        <w:rPr>
          <w:rFonts w:cs="Arial"/>
          <w:i/>
          <w:szCs w:val="24"/>
        </w:rPr>
        <w:t xml:space="preserve"> </w:t>
      </w:r>
    </w:p>
    <w:p w14:paraId="0C14367A" w14:textId="366090F2" w:rsidR="6FD9FB79" w:rsidRDefault="6FD9FB79" w:rsidP="00891C7F"/>
    <w:p w14:paraId="374AFC12" w14:textId="26061504" w:rsidR="43BF2183" w:rsidRDefault="43BF2183" w:rsidP="007067A0">
      <w:pPr>
        <w:pStyle w:val="Heading1"/>
        <w:shd w:val="clear" w:color="auto" w:fill="A6A6A6" w:themeFill="background1" w:themeFillShade="A6"/>
      </w:pPr>
      <w:bookmarkStart w:id="28" w:name="_Toc159339625"/>
      <w:r>
        <w:t>Section 12 – IV to Oral Switch</w:t>
      </w:r>
      <w:bookmarkEnd w:id="28"/>
    </w:p>
    <w:p w14:paraId="747493ED" w14:textId="7A38E57F" w:rsidR="6FD9FB79" w:rsidRDefault="6FD9FB79" w:rsidP="6FD9FB79">
      <w:pPr>
        <w:jc w:val="right"/>
      </w:pPr>
    </w:p>
    <w:p w14:paraId="1C37111B" w14:textId="64C0BE97" w:rsidR="439833D5" w:rsidRDefault="439833D5" w:rsidP="007067A0">
      <w:pPr>
        <w:ind w:left="-20" w:right="-20"/>
        <w:rPr>
          <w:rFonts w:eastAsia="Calibri" w:cs="Calibri"/>
          <w:b/>
          <w:bCs/>
          <w:szCs w:val="24"/>
        </w:rPr>
      </w:pPr>
      <w:r w:rsidRPr="6FD9FB79">
        <w:rPr>
          <w:rFonts w:eastAsia="Calibri" w:cs="Calibri"/>
          <w:b/>
          <w:bCs/>
          <w:szCs w:val="24"/>
        </w:rPr>
        <w:t xml:space="preserve">IV to oral switch/stop </w:t>
      </w:r>
    </w:p>
    <w:p w14:paraId="39FEAC9A" w14:textId="58A05F41" w:rsidR="439833D5" w:rsidRDefault="439833D5" w:rsidP="007067A0">
      <w:pPr>
        <w:ind w:left="-20" w:right="-20"/>
        <w:rPr>
          <w:rFonts w:eastAsia="Calibri" w:cs="Calibri"/>
          <w:szCs w:val="24"/>
        </w:rPr>
      </w:pPr>
      <w:r w:rsidRPr="6FD9FB79">
        <w:rPr>
          <w:rFonts w:eastAsia="Calibri" w:cs="Calibri"/>
          <w:szCs w:val="24"/>
        </w:rPr>
        <w:t>Unnecessarily prolonged IV antimicrobial therapy is associated with: prolonged hospital stays; increased costs of staff time for preparation of medicines, administration of medicines, and maintenance of IV lines; and increased morbidity and mortality related to IV line infections. Switching IV to oral therapy as soon as feasible mitigates against this.</w:t>
      </w:r>
    </w:p>
    <w:p w14:paraId="443B633E" w14:textId="471CB8CE" w:rsidR="439833D5" w:rsidRDefault="439833D5" w:rsidP="007067A0">
      <w:pPr>
        <w:ind w:left="-20" w:right="-20"/>
        <w:rPr>
          <w:rFonts w:eastAsia="Calibri" w:cs="Calibri"/>
          <w:szCs w:val="24"/>
        </w:rPr>
      </w:pPr>
      <w:r w:rsidRPr="6FD9FB79">
        <w:rPr>
          <w:rFonts w:eastAsia="Calibri" w:cs="Calibri"/>
          <w:szCs w:val="24"/>
        </w:rPr>
        <w:t xml:space="preserve"> Oral stepdown options are pre-programmed in the DHR prescribing panels and are provided for all appropriate indications in the </w:t>
      </w:r>
      <w:r w:rsidRPr="6FD9FB79">
        <w:rPr>
          <w:rFonts w:eastAsia="Calibri" w:cs="Calibri"/>
          <w:i/>
          <w:iCs/>
          <w:szCs w:val="24"/>
        </w:rPr>
        <w:t>Therapeutic Guidelines: Antibiotic</w:t>
      </w:r>
      <w:r w:rsidRPr="6FD9FB79">
        <w:rPr>
          <w:rFonts w:eastAsia="Calibri" w:cs="Calibri"/>
          <w:i/>
          <w:iCs/>
          <w:szCs w:val="24"/>
          <w:vertAlign w:val="superscript"/>
        </w:rPr>
        <w:t>3</w:t>
      </w:r>
      <w:r w:rsidRPr="6FD9FB79">
        <w:rPr>
          <w:rFonts w:eastAsia="Calibri" w:cs="Calibri"/>
          <w:szCs w:val="24"/>
        </w:rPr>
        <w:t>.</w:t>
      </w:r>
    </w:p>
    <w:p w14:paraId="65EB1A10" w14:textId="77777777" w:rsidR="00E44277" w:rsidRDefault="00E44277" w:rsidP="007067A0">
      <w:pPr>
        <w:ind w:left="-20" w:right="-20"/>
        <w:rPr>
          <w:rFonts w:eastAsia="Calibri" w:cs="Calibri"/>
          <w:b/>
          <w:bCs/>
          <w:szCs w:val="24"/>
        </w:rPr>
      </w:pPr>
    </w:p>
    <w:p w14:paraId="59CDC055" w14:textId="223BA9BA" w:rsidR="439833D5" w:rsidRDefault="439833D5" w:rsidP="007067A0">
      <w:pPr>
        <w:ind w:left="-20" w:right="-20"/>
        <w:rPr>
          <w:rFonts w:eastAsia="Calibri" w:cs="Calibri"/>
          <w:b/>
          <w:bCs/>
          <w:szCs w:val="24"/>
        </w:rPr>
      </w:pPr>
      <w:r w:rsidRPr="6FD9FB79">
        <w:rPr>
          <w:rFonts w:eastAsia="Calibri" w:cs="Calibri"/>
          <w:b/>
          <w:bCs/>
          <w:szCs w:val="24"/>
        </w:rPr>
        <w:t>When to switch?</w:t>
      </w:r>
    </w:p>
    <w:p w14:paraId="7C3A7258" w14:textId="02EBDBED" w:rsidR="439833D5" w:rsidRDefault="439833D5" w:rsidP="007067A0">
      <w:pPr>
        <w:ind w:left="-20" w:right="-20"/>
        <w:rPr>
          <w:rFonts w:eastAsia="Calibri" w:cs="Calibri"/>
          <w:szCs w:val="24"/>
        </w:rPr>
      </w:pPr>
      <w:r w:rsidRPr="6FD9FB79">
        <w:rPr>
          <w:rFonts w:eastAsia="Calibri" w:cs="Calibri"/>
          <w:szCs w:val="24"/>
        </w:rPr>
        <w:t xml:space="preserve">An assessment of clinical response and microbiology results should be performed every day after prescription of antimicrobials in hospital.  Most transitions to oral therapy can be made within 48-72 hours of admission; some may even be able to be ceased. Inability to switch within this </w:t>
      </w:r>
      <w:proofErr w:type="gramStart"/>
      <w:r w:rsidRPr="6FD9FB79">
        <w:rPr>
          <w:rFonts w:eastAsia="Calibri" w:cs="Calibri"/>
          <w:szCs w:val="24"/>
        </w:rPr>
        <w:t>time period</w:t>
      </w:r>
      <w:proofErr w:type="gramEnd"/>
      <w:r w:rsidRPr="6FD9FB79">
        <w:rPr>
          <w:rFonts w:eastAsia="Calibri" w:cs="Calibri"/>
          <w:szCs w:val="24"/>
        </w:rPr>
        <w:t xml:space="preserve"> often suggest alternative diagnoses including those where IV switch may not be appropriate such as fixed focus infections, non-infective diagnoses or less commonly inappropriate antimicrobial coverage.  </w:t>
      </w:r>
    </w:p>
    <w:p w14:paraId="75DF548B" w14:textId="0BE2DB32" w:rsidR="439833D5" w:rsidRDefault="439833D5" w:rsidP="007067A0">
      <w:pPr>
        <w:ind w:left="-20" w:right="-20"/>
        <w:rPr>
          <w:rFonts w:eastAsia="Calibri" w:cs="Calibri"/>
          <w:szCs w:val="24"/>
        </w:rPr>
      </w:pPr>
      <w:r w:rsidRPr="6FD9FB79">
        <w:rPr>
          <w:rFonts w:eastAsia="Calibri" w:cs="Calibri"/>
          <w:szCs w:val="24"/>
        </w:rPr>
        <w:t xml:space="preserve"> </w:t>
      </w:r>
    </w:p>
    <w:p w14:paraId="3C2DCC52" w14:textId="76D508C2" w:rsidR="439833D5" w:rsidRPr="00891C7F" w:rsidRDefault="439833D5" w:rsidP="007067A0">
      <w:pPr>
        <w:ind w:left="-20" w:right="-20"/>
        <w:rPr>
          <w:rFonts w:eastAsia="Calibri"/>
        </w:rPr>
      </w:pPr>
      <w:r w:rsidRPr="6FD9FB79">
        <w:rPr>
          <w:rFonts w:eastAsia="Calibri" w:cs="Calibri"/>
          <w:szCs w:val="24"/>
        </w:rPr>
        <w:t xml:space="preserve">The following criteria should be fulfilled when switching to oral therapy from guidelines based intravenous </w:t>
      </w:r>
      <w:r w:rsidRPr="00891C7F">
        <w:rPr>
          <w:rFonts w:eastAsia="Calibri"/>
        </w:rPr>
        <w:t>therapy (</w:t>
      </w:r>
      <w:r w:rsidR="00891C7F">
        <w:t>see figure below)</w:t>
      </w:r>
    </w:p>
    <w:p w14:paraId="3AD088A7" w14:textId="04CF3928"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The condition does not require a pre-specified period of IV treatment</w:t>
      </w:r>
    </w:p>
    <w:p w14:paraId="3F540267" w14:textId="6761E09A"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 xml:space="preserve">Those that do include endocarditis, meningitis, necrotising fasciitis, </w:t>
      </w:r>
      <w:r w:rsidRPr="6FD9FB79">
        <w:rPr>
          <w:rFonts w:eastAsia="Calibri" w:cs="Calibri"/>
          <w:i/>
          <w:iCs/>
          <w:szCs w:val="24"/>
        </w:rPr>
        <w:t>Staphylococcus aureus</w:t>
      </w:r>
      <w:r w:rsidRPr="6FD9FB79">
        <w:rPr>
          <w:rFonts w:eastAsia="Calibri" w:cs="Calibri"/>
          <w:szCs w:val="24"/>
        </w:rPr>
        <w:t xml:space="preserve"> bacteraemia, and most cases of bone and joint infection</w:t>
      </w:r>
    </w:p>
    <w:p w14:paraId="4F7F766B" w14:textId="75709A38"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Signs of clinical improvement (including resolution of fever)</w:t>
      </w:r>
    </w:p>
    <w:p w14:paraId="626C8138" w14:textId="2F90C9A8"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No persistent features of severe sepsis</w:t>
      </w:r>
    </w:p>
    <w:p w14:paraId="3C68886F" w14:textId="2DF7802F"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An oral antimicrobial with a suitable spectrum of activity is available if ongoing therapy is still required</w:t>
      </w:r>
    </w:p>
    <w:p w14:paraId="07F5DDD7" w14:textId="61D93D32"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Oral administration is tolerated and is possible</w:t>
      </w:r>
    </w:p>
    <w:p w14:paraId="5BE9F312" w14:textId="54C9DA16" w:rsidR="439833D5" w:rsidRDefault="439833D5" w:rsidP="007067A0">
      <w:pPr>
        <w:pStyle w:val="ListParagraph"/>
        <w:numPr>
          <w:ilvl w:val="0"/>
          <w:numId w:val="54"/>
        </w:numPr>
        <w:ind w:right="-20"/>
        <w:rPr>
          <w:rFonts w:eastAsia="Calibri" w:cs="Calibri"/>
          <w:szCs w:val="24"/>
        </w:rPr>
      </w:pPr>
      <w:r w:rsidRPr="6FD9FB79">
        <w:rPr>
          <w:rFonts w:eastAsia="Calibri" w:cs="Calibri"/>
          <w:szCs w:val="24"/>
        </w:rPr>
        <w:t>Gastrointestinal absorption is not significantly reduced (e.g., vomiting, GI pathology)</w:t>
      </w:r>
    </w:p>
    <w:p w14:paraId="2CD71D5C" w14:textId="3014D4B8" w:rsidR="439833D5" w:rsidRDefault="439833D5" w:rsidP="007067A0">
      <w:pPr>
        <w:ind w:left="-20" w:right="-20"/>
        <w:rPr>
          <w:rFonts w:eastAsia="Calibri" w:cs="Calibri"/>
          <w:szCs w:val="24"/>
        </w:rPr>
      </w:pPr>
      <w:r w:rsidRPr="6FD9FB79">
        <w:rPr>
          <w:rFonts w:eastAsia="Calibri" w:cs="Calibri"/>
          <w:szCs w:val="24"/>
        </w:rPr>
        <w:t xml:space="preserve"> </w:t>
      </w:r>
    </w:p>
    <w:p w14:paraId="7FA074BF" w14:textId="1A25CFAF" w:rsidR="439833D5" w:rsidRDefault="439833D5" w:rsidP="007067A0">
      <w:pPr>
        <w:ind w:left="-20" w:right="-20"/>
        <w:rPr>
          <w:rFonts w:eastAsia="Calibri" w:cs="Calibri"/>
          <w:b/>
          <w:bCs/>
          <w:szCs w:val="24"/>
        </w:rPr>
      </w:pPr>
      <w:r w:rsidRPr="6FD9FB79">
        <w:rPr>
          <w:rFonts w:eastAsia="Calibri" w:cs="Calibri"/>
          <w:b/>
          <w:bCs/>
          <w:szCs w:val="24"/>
        </w:rPr>
        <w:t>Conditions particularly suited for an early switch to oral therapy:</w:t>
      </w:r>
    </w:p>
    <w:p w14:paraId="07447565" w14:textId="2E211C31" w:rsidR="439833D5" w:rsidRPr="00E44277" w:rsidRDefault="439833D5" w:rsidP="007067A0">
      <w:pPr>
        <w:pStyle w:val="ListParagraph"/>
        <w:numPr>
          <w:ilvl w:val="0"/>
          <w:numId w:val="58"/>
        </w:numPr>
        <w:ind w:right="-20"/>
        <w:rPr>
          <w:rFonts w:eastAsia="Calibri" w:cs="Calibri"/>
          <w:szCs w:val="24"/>
        </w:rPr>
      </w:pPr>
      <w:r w:rsidRPr="00E44277">
        <w:rPr>
          <w:rFonts w:eastAsia="Calibri" w:cs="Calibri"/>
          <w:szCs w:val="24"/>
        </w:rPr>
        <w:t>Pneumonia</w:t>
      </w:r>
    </w:p>
    <w:p w14:paraId="4571F476" w14:textId="1F3191DE" w:rsidR="439833D5" w:rsidRPr="007067A0" w:rsidRDefault="439833D5" w:rsidP="007067A0">
      <w:pPr>
        <w:pStyle w:val="ListParagraph"/>
        <w:numPr>
          <w:ilvl w:val="0"/>
          <w:numId w:val="58"/>
        </w:numPr>
        <w:ind w:right="-20"/>
        <w:rPr>
          <w:rFonts w:eastAsia="Calibri" w:cs="Calibri"/>
          <w:szCs w:val="24"/>
        </w:rPr>
      </w:pPr>
      <w:r w:rsidRPr="007067A0">
        <w:rPr>
          <w:rFonts w:eastAsia="Calibri" w:cs="Calibri"/>
          <w:szCs w:val="24"/>
        </w:rPr>
        <w:lastRenderedPageBreak/>
        <w:t>Skin and soft tissue infection</w:t>
      </w:r>
    </w:p>
    <w:p w14:paraId="163C5DA2" w14:textId="69C63B22" w:rsidR="439833D5" w:rsidRPr="007067A0" w:rsidRDefault="439833D5" w:rsidP="007067A0">
      <w:pPr>
        <w:pStyle w:val="ListParagraph"/>
        <w:numPr>
          <w:ilvl w:val="0"/>
          <w:numId w:val="58"/>
        </w:numPr>
        <w:ind w:right="-20"/>
        <w:rPr>
          <w:rFonts w:eastAsia="Calibri" w:cs="Calibri"/>
          <w:szCs w:val="24"/>
        </w:rPr>
      </w:pPr>
      <w:r w:rsidRPr="007067A0">
        <w:rPr>
          <w:rFonts w:eastAsia="Calibri" w:cs="Calibri"/>
          <w:szCs w:val="24"/>
        </w:rPr>
        <w:t>Urinary tract infection</w:t>
      </w:r>
    </w:p>
    <w:p w14:paraId="79A0502F" w14:textId="419A3A05" w:rsidR="439833D5" w:rsidRPr="007067A0" w:rsidRDefault="439833D5" w:rsidP="007067A0">
      <w:pPr>
        <w:pStyle w:val="ListParagraph"/>
        <w:numPr>
          <w:ilvl w:val="0"/>
          <w:numId w:val="58"/>
        </w:numPr>
        <w:ind w:right="-20"/>
        <w:rPr>
          <w:rFonts w:eastAsia="Calibri" w:cs="Calibri"/>
          <w:szCs w:val="24"/>
        </w:rPr>
      </w:pPr>
      <w:r w:rsidRPr="007067A0">
        <w:rPr>
          <w:rFonts w:eastAsia="Calibri" w:cs="Calibri"/>
          <w:szCs w:val="24"/>
        </w:rPr>
        <w:t>Uncomplicated Gram-negative bacteraemia</w:t>
      </w:r>
    </w:p>
    <w:p w14:paraId="28209B35" w14:textId="78327B8E" w:rsidR="439833D5" w:rsidRPr="007067A0" w:rsidRDefault="439833D5" w:rsidP="007067A0">
      <w:pPr>
        <w:pStyle w:val="ListParagraph"/>
        <w:numPr>
          <w:ilvl w:val="0"/>
          <w:numId w:val="58"/>
        </w:numPr>
        <w:ind w:right="-20"/>
        <w:rPr>
          <w:rFonts w:eastAsia="Calibri" w:cs="Calibri"/>
          <w:szCs w:val="24"/>
        </w:rPr>
      </w:pPr>
      <w:r w:rsidRPr="007067A0">
        <w:rPr>
          <w:rFonts w:eastAsia="Calibri" w:cs="Calibri"/>
          <w:szCs w:val="24"/>
        </w:rPr>
        <w:t>Intra-abdominal infection without deep-seated collections</w:t>
      </w:r>
    </w:p>
    <w:p w14:paraId="0DC3929A" w14:textId="38031AD0" w:rsidR="439833D5" w:rsidRDefault="439833D5" w:rsidP="007067A0">
      <w:pPr>
        <w:ind w:left="720" w:right="-20"/>
        <w:rPr>
          <w:rFonts w:eastAsia="Calibri" w:cs="Calibri"/>
          <w:szCs w:val="24"/>
        </w:rPr>
      </w:pPr>
      <w:r w:rsidRPr="6FD9FB79">
        <w:rPr>
          <w:rFonts w:eastAsia="Calibri" w:cs="Calibri"/>
          <w:szCs w:val="24"/>
        </w:rPr>
        <w:t xml:space="preserve"> </w:t>
      </w:r>
    </w:p>
    <w:p w14:paraId="6FB5CF64" w14:textId="41A0557B" w:rsidR="439833D5" w:rsidRDefault="00E44277" w:rsidP="007067A0">
      <w:pPr>
        <w:ind w:left="-20" w:right="-20"/>
        <w:rPr>
          <w:rFonts w:eastAsia="Calibri" w:cs="Calibri"/>
          <w:szCs w:val="24"/>
        </w:rPr>
      </w:pPr>
      <w:r w:rsidRPr="00214A30">
        <w:rPr>
          <w:noProof/>
          <w:lang w:eastAsia="en-AU"/>
        </w:rPr>
        <mc:AlternateContent>
          <mc:Choice Requires="wps">
            <w:drawing>
              <wp:anchor distT="45720" distB="45720" distL="114300" distR="114300" simplePos="0" relativeHeight="251662336" behindDoc="1" locked="0" layoutInCell="1" allowOverlap="1" wp14:anchorId="36C6D444" wp14:editId="6136CAC6">
                <wp:simplePos x="0" y="0"/>
                <wp:positionH relativeFrom="margin">
                  <wp:align>right</wp:align>
                </wp:positionH>
                <wp:positionV relativeFrom="paragraph">
                  <wp:posOffset>6266815</wp:posOffset>
                </wp:positionV>
                <wp:extent cx="5791200" cy="419100"/>
                <wp:effectExtent l="0" t="0" r="19050" b="19050"/>
                <wp:wrapTight wrapText="bothSides">
                  <wp:wrapPolygon edited="0">
                    <wp:start x="0" y="0"/>
                    <wp:lineTo x="0" y="21600"/>
                    <wp:lineTo x="21600" y="21600"/>
                    <wp:lineTo x="21600"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19100"/>
                        </a:xfrm>
                        <a:prstGeom prst="rect">
                          <a:avLst/>
                        </a:prstGeom>
                        <a:solidFill>
                          <a:srgbClr val="4F81BD">
                            <a:lumMod val="40000"/>
                            <a:lumOff val="60000"/>
                          </a:srgbClr>
                        </a:solidFill>
                        <a:ln w="9525">
                          <a:solidFill>
                            <a:srgbClr val="1F497D">
                              <a:lumMod val="75000"/>
                            </a:srgbClr>
                          </a:solidFill>
                          <a:miter lim="800000"/>
                          <a:headEnd/>
                          <a:tailEnd/>
                        </a:ln>
                      </wps:spPr>
                      <wps:txbx>
                        <w:txbxContent>
                          <w:p w14:paraId="46434D9F" w14:textId="77777777" w:rsidR="007067A0" w:rsidRPr="00A85E3A" w:rsidRDefault="007067A0" w:rsidP="00E44277">
                            <w:pPr>
                              <w:shd w:val="clear" w:color="auto" w:fill="B8CCE4" w:themeFill="accent1" w:themeFillTint="66"/>
                              <w:jc w:val="center"/>
                              <w:rPr>
                                <w:color w:val="244061" w:themeColor="accent1" w:themeShade="80"/>
                                <w:sz w:val="8"/>
                                <w:szCs w:val="4"/>
                              </w:rPr>
                            </w:pPr>
                            <w:r w:rsidRPr="004A0EB8">
                              <w:rPr>
                                <w:b/>
                                <w:color w:val="244061" w:themeColor="accent1" w:themeShade="80"/>
                              </w:rPr>
                              <w:t>Box 4:</w:t>
                            </w:r>
                            <w:r w:rsidRPr="00A85E3A">
                              <w:rPr>
                                <w:color w:val="244061" w:themeColor="accent1" w:themeShade="80"/>
                                <w:sz w:val="18"/>
                                <w:szCs w:val="14"/>
                              </w:rPr>
                              <w:t xml:space="preserve"> Endocarditis, meningitis, necrotising fasciitis, </w:t>
                            </w:r>
                            <w:r w:rsidRPr="00A85E3A">
                              <w:rPr>
                                <w:i/>
                                <w:iCs/>
                                <w:color w:val="244061" w:themeColor="accent1" w:themeShade="80"/>
                                <w:sz w:val="18"/>
                                <w:szCs w:val="14"/>
                              </w:rPr>
                              <w:t>Staphylococcus aureus</w:t>
                            </w:r>
                            <w:r w:rsidRPr="00A85E3A">
                              <w:rPr>
                                <w:color w:val="244061" w:themeColor="accent1" w:themeShade="80"/>
                                <w:sz w:val="18"/>
                                <w:szCs w:val="14"/>
                              </w:rPr>
                              <w:t xml:space="preserve"> bacteraemia, and most cases of bone and joint infection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C6D444" id="_x0000_t202" coordsize="21600,21600" o:spt="202" path="m,l,21600r21600,l21600,xe">
                <v:stroke joinstyle="miter"/>
                <v:path gradientshapeok="t" o:connecttype="rect"/>
              </v:shapetype>
              <v:shape id="Text Box 2" o:spid="_x0000_s1027" type="#_x0000_t202" style="position:absolute;left:0;text-align:left;margin-left:404.8pt;margin-top:493.45pt;width:456pt;height:33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" fillcolor="#b9cde5" strokecolor="#17375e">
                <v:textbox>
                  <w:txbxContent>
                    <w:p w14:paraId="46434D9F" w14:textId="77777777" w:rsidR="007067A0" w:rsidRPr="00A85E3A" w:rsidRDefault="007067A0" w:rsidP="00E44277">
                      <w:pPr>
                        <w:shd w:val="clear" w:color="auto" w:fill="B8CCE4" w:themeFill="accent1" w:themeFillTint="66"/>
                        <w:jc w:val="center"/>
                        <w:rPr>
                          <w:color w:val="244061" w:themeColor="accent1" w:themeShade="80"/>
                          <w:sz w:val="8"/>
                          <w:szCs w:val="4"/>
                        </w:rPr>
                      </w:pPr>
                      <w:r w:rsidRPr="004A0EB8">
                        <w:rPr>
                          <w:b/>
                          <w:color w:val="244061" w:themeColor="accent1" w:themeShade="80"/>
                        </w:rPr>
                        <w:t>Box 4:</w:t>
                      </w:r>
                      <w:r w:rsidRPr="00A85E3A">
                        <w:rPr>
                          <w:color w:val="244061" w:themeColor="accent1" w:themeShade="80"/>
                          <w:sz w:val="18"/>
                          <w:szCs w:val="14"/>
                        </w:rPr>
                        <w:t xml:space="preserve"> Endocarditis, meningitis, necrotising fasciitis, </w:t>
                      </w:r>
                      <w:r w:rsidRPr="00A85E3A">
                        <w:rPr>
                          <w:i/>
                          <w:iCs/>
                          <w:color w:val="244061" w:themeColor="accent1" w:themeShade="80"/>
                          <w:sz w:val="18"/>
                          <w:szCs w:val="14"/>
                        </w:rPr>
                        <w:t>Staphylococcus aureus</w:t>
                      </w:r>
                      <w:r w:rsidRPr="00A85E3A">
                        <w:rPr>
                          <w:color w:val="244061" w:themeColor="accent1" w:themeShade="80"/>
                          <w:sz w:val="18"/>
                          <w:szCs w:val="14"/>
                        </w:rPr>
                        <w:t xml:space="preserve"> bacteraemia, and most cases of bone and joint infection</w:t>
                      </w:r>
                    </w:p>
                  </w:txbxContent>
                </v:textbox>
                <w10:wrap type="tight" anchorx="margin"/>
              </v:shape>
            </w:pict>
          </mc:Fallback>
        </mc:AlternateContent>
      </w:r>
      <w:r w:rsidRPr="00214A30">
        <w:rPr>
          <w:noProof/>
          <w:lang w:eastAsia="en-AU"/>
        </w:rPr>
        <w:drawing>
          <wp:anchor distT="0" distB="0" distL="114300" distR="114300" simplePos="0" relativeHeight="251660288" behindDoc="1" locked="0" layoutInCell="1" allowOverlap="1" wp14:anchorId="35E92C5A" wp14:editId="515377F5">
            <wp:simplePos x="0" y="0"/>
            <wp:positionH relativeFrom="margin">
              <wp:align>left</wp:align>
            </wp:positionH>
            <wp:positionV relativeFrom="paragraph">
              <wp:posOffset>252095</wp:posOffset>
            </wp:positionV>
            <wp:extent cx="5759450" cy="5989955"/>
            <wp:effectExtent l="0" t="0" r="0" b="0"/>
            <wp:wrapTight wrapText="bothSides">
              <wp:wrapPolygon edited="0">
                <wp:start x="0" y="0"/>
                <wp:lineTo x="0" y="21502"/>
                <wp:lineTo x="21505" y="21502"/>
                <wp:lineTo x="21505" y="0"/>
                <wp:lineTo x="0" y="0"/>
              </wp:wrapPolygon>
            </wp:wrapTight>
            <wp:docPr id="52226" name="Picture 3">
              <a:extLst xmlns:a="http://schemas.openxmlformats.org/drawingml/2006/main">
                <a:ext uri="{FF2B5EF4-FFF2-40B4-BE49-F238E27FC236}">
                  <a16:creationId xmlns:a16="http://schemas.microsoft.com/office/drawing/2014/main" id="{8470CACA-2C46-4D4F-BCB9-AE0ECF6049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3">
                      <a:extLst>
                        <a:ext uri="{FF2B5EF4-FFF2-40B4-BE49-F238E27FC236}">
                          <a16:creationId xmlns:a16="http://schemas.microsoft.com/office/drawing/2014/main" id="{8470CACA-2C46-4D4F-BCB9-AE0ECF604946}"/>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5989955"/>
                    </a:xfrm>
                    <a:prstGeom prst="rect">
                      <a:avLst/>
                    </a:prstGeom>
                    <a:noFill/>
                    <a:ln>
                      <a:noFill/>
                    </a:ln>
                  </pic:spPr>
                </pic:pic>
              </a:graphicData>
            </a:graphic>
            <wp14:sizeRelH relativeFrom="page">
              <wp14:pctWidth>0</wp14:pctWidth>
            </wp14:sizeRelH>
            <wp14:sizeRelV relativeFrom="page">
              <wp14:pctHeight>0</wp14:pctHeight>
            </wp14:sizeRelV>
          </wp:anchor>
        </w:drawing>
      </w:r>
      <w:r w:rsidR="439833D5" w:rsidRPr="6FD9FB79">
        <w:rPr>
          <w:rFonts w:eastAsia="Calibri" w:cs="Calibri"/>
          <w:b/>
          <w:bCs/>
          <w:szCs w:val="24"/>
        </w:rPr>
        <w:t xml:space="preserve">Figure </w:t>
      </w:r>
      <w:r w:rsidR="00891C7F">
        <w:rPr>
          <w:rFonts w:eastAsia="Calibri" w:cs="Calibri"/>
          <w:b/>
          <w:bCs/>
          <w:szCs w:val="24"/>
        </w:rPr>
        <w:t>1</w:t>
      </w:r>
      <w:r w:rsidR="439833D5" w:rsidRPr="6FD9FB79">
        <w:rPr>
          <w:rFonts w:eastAsia="Calibri" w:cs="Calibri"/>
          <w:b/>
          <w:bCs/>
          <w:szCs w:val="24"/>
        </w:rPr>
        <w:t>: IV to oral switch/stop</w:t>
      </w:r>
      <w:r w:rsidR="439833D5" w:rsidRPr="6FD9FB79">
        <w:rPr>
          <w:rFonts w:eastAsia="Calibri" w:cs="Calibri"/>
          <w:szCs w:val="24"/>
        </w:rPr>
        <w:t xml:space="preserve">  </w:t>
      </w:r>
    </w:p>
    <w:p w14:paraId="13005488" w14:textId="7D5A3BA9" w:rsidR="439833D5" w:rsidRDefault="439833D5" w:rsidP="007067A0">
      <w:pPr>
        <w:ind w:left="-20" w:right="-20"/>
        <w:rPr>
          <w:rStyle w:val="Hyperlink"/>
          <w:rFonts w:eastAsia="Calibri"/>
          <w:szCs w:val="24"/>
        </w:rPr>
      </w:pPr>
      <w:r w:rsidRPr="6FD9FB79">
        <w:rPr>
          <w:rFonts w:eastAsia="Calibri" w:cs="Calibri"/>
          <w:i/>
          <w:iCs/>
          <w:szCs w:val="24"/>
        </w:rPr>
        <w:t>*</w:t>
      </w:r>
      <w:r w:rsidRPr="6FD9FB79">
        <w:rPr>
          <w:rFonts w:eastAsia="Calibri" w:cs="Calibri"/>
          <w:szCs w:val="24"/>
        </w:rPr>
        <w:t xml:space="preserve">Adapted with consent from </w:t>
      </w:r>
      <w:hyperlink r:id="rId17" w:anchor=":~:text=The%20optimal%20time%20to%20consider%20switching%20a%20patient,evaluate%20the%20patient%E2%80%99s%20microbiology%20results%20and%20assess%20their" w:history="1">
        <w:r w:rsidRPr="6FD9FB79">
          <w:rPr>
            <w:rStyle w:val="Hyperlink"/>
            <w:rFonts w:eastAsia="Calibri"/>
            <w:szCs w:val="24"/>
          </w:rPr>
          <w:t>SA Health</w:t>
        </w:r>
      </w:hyperlink>
    </w:p>
    <w:p w14:paraId="25BAE3D0" w14:textId="1B3558D4" w:rsidR="439833D5" w:rsidRDefault="439833D5" w:rsidP="007067A0">
      <w:pPr>
        <w:ind w:left="-20" w:right="-20"/>
        <w:rPr>
          <w:rFonts w:eastAsia="Calibri" w:cs="Calibri"/>
          <w:b/>
          <w:bCs/>
          <w:szCs w:val="24"/>
        </w:rPr>
      </w:pPr>
      <w:r w:rsidRPr="6FD9FB79">
        <w:rPr>
          <w:rFonts w:eastAsia="Calibri" w:cs="Calibri"/>
          <w:b/>
          <w:bCs/>
          <w:szCs w:val="24"/>
        </w:rPr>
        <w:t xml:space="preserve"> </w:t>
      </w:r>
    </w:p>
    <w:p w14:paraId="0378780F" w14:textId="77777777" w:rsidR="00891C7F" w:rsidRDefault="00891C7F" w:rsidP="007067A0">
      <w:pPr>
        <w:ind w:left="-20" w:right="-20"/>
        <w:rPr>
          <w:rFonts w:eastAsia="Calibri" w:cs="Calibri"/>
          <w:b/>
          <w:bCs/>
          <w:szCs w:val="24"/>
        </w:rPr>
      </w:pPr>
    </w:p>
    <w:p w14:paraId="0D4D0AEB" w14:textId="6AD188C2" w:rsidR="439833D5" w:rsidRDefault="439833D5" w:rsidP="007067A0">
      <w:pPr>
        <w:ind w:left="-20" w:right="-20"/>
        <w:rPr>
          <w:rFonts w:eastAsia="Calibri" w:cs="Calibri"/>
          <w:b/>
          <w:bCs/>
          <w:szCs w:val="24"/>
        </w:rPr>
      </w:pPr>
      <w:r w:rsidRPr="6FD9FB79">
        <w:rPr>
          <w:rFonts w:eastAsia="Calibri" w:cs="Calibri"/>
          <w:b/>
          <w:bCs/>
          <w:szCs w:val="24"/>
        </w:rPr>
        <w:t>Antimicrobials considered to be bioequivalent (IV vs. oral)</w:t>
      </w:r>
    </w:p>
    <w:p w14:paraId="60088FA7" w14:textId="43F7D03B" w:rsidR="439833D5" w:rsidRDefault="439833D5" w:rsidP="007067A0">
      <w:pPr>
        <w:ind w:left="-20" w:right="-20"/>
        <w:rPr>
          <w:rFonts w:eastAsia="Calibri" w:cs="Calibri"/>
          <w:szCs w:val="24"/>
        </w:rPr>
      </w:pPr>
      <w:r w:rsidRPr="6FD9FB79">
        <w:rPr>
          <w:rFonts w:eastAsia="Calibri" w:cs="Calibri"/>
          <w:szCs w:val="24"/>
        </w:rPr>
        <w:t xml:space="preserve">Several antimicrobials have equivalent efficacy when given IV or orally because of excellent bioavailability and/or high concentrations at the target site (see Table </w:t>
      </w:r>
      <w:r w:rsidR="00891C7F">
        <w:rPr>
          <w:rFonts w:eastAsia="Calibri" w:cs="Calibri"/>
          <w:szCs w:val="24"/>
        </w:rPr>
        <w:t>below</w:t>
      </w:r>
      <w:r w:rsidRPr="6FD9FB79">
        <w:rPr>
          <w:rFonts w:eastAsia="Calibri" w:cs="Calibri"/>
          <w:szCs w:val="24"/>
        </w:rPr>
        <w:t>). They should be administered orally assuming enteral intake is feasible and oral absorption is not impaired.</w:t>
      </w:r>
    </w:p>
    <w:p w14:paraId="2A9E881C" w14:textId="2CF0A5A3" w:rsidR="439833D5" w:rsidRDefault="439833D5" w:rsidP="00891C7F">
      <w:pPr>
        <w:spacing w:after="200"/>
        <w:ind w:left="-20" w:right="-20"/>
        <w:rPr>
          <w:rFonts w:eastAsia="Calibri" w:cs="Calibri"/>
          <w:b/>
          <w:bCs/>
          <w:szCs w:val="24"/>
        </w:rPr>
      </w:pPr>
      <w:r w:rsidRPr="6FD9FB79">
        <w:rPr>
          <w:rFonts w:eastAsia="Calibri" w:cs="Calibri"/>
          <w:b/>
          <w:bCs/>
          <w:szCs w:val="24"/>
        </w:rPr>
        <w:t xml:space="preserve"> </w:t>
      </w:r>
    </w:p>
    <w:tbl>
      <w:tblPr>
        <w:tblStyle w:val="TableGrid"/>
        <w:tblW w:w="9060" w:type="dxa"/>
        <w:tblLayout w:type="fixed"/>
        <w:tblLook w:val="04A0" w:firstRow="1" w:lastRow="0" w:firstColumn="1" w:lastColumn="0" w:noHBand="0" w:noVBand="1"/>
      </w:tblPr>
      <w:tblGrid>
        <w:gridCol w:w="2967"/>
        <w:gridCol w:w="1989"/>
        <w:gridCol w:w="1991"/>
        <w:gridCol w:w="2113"/>
      </w:tblGrid>
      <w:tr w:rsidR="6FD9FB79" w14:paraId="65AD161E"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7103FF" w14:textId="2500D11A" w:rsidR="6FD9FB79" w:rsidRPr="00E44277" w:rsidRDefault="6FD9FB79" w:rsidP="007067A0">
            <w:pPr>
              <w:ind w:left="-20" w:right="-20"/>
              <w:jc w:val="center"/>
              <w:rPr>
                <w:rFonts w:eastAsia="Calibri" w:cs="Calibri"/>
                <w:b/>
                <w:szCs w:val="24"/>
              </w:rPr>
            </w:pPr>
            <w:r w:rsidRPr="00E44277">
              <w:rPr>
                <w:rFonts w:eastAsia="Calibri" w:cs="Calibri"/>
                <w:b/>
                <w:szCs w:val="24"/>
              </w:rPr>
              <w:t>Antimicrobial</w:t>
            </w:r>
          </w:p>
        </w:tc>
        <w:tc>
          <w:tcPr>
            <w:tcW w:w="198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ACE5A93" w14:textId="64E70351" w:rsidR="6FD9FB79" w:rsidRPr="00E44277" w:rsidRDefault="6FD9FB79" w:rsidP="007067A0">
            <w:pPr>
              <w:ind w:left="-20" w:right="-20"/>
              <w:jc w:val="center"/>
              <w:rPr>
                <w:rFonts w:eastAsia="Calibri" w:cs="Calibri"/>
                <w:b/>
                <w:szCs w:val="24"/>
              </w:rPr>
            </w:pPr>
            <w:r w:rsidRPr="00E44277">
              <w:rPr>
                <w:rFonts w:eastAsia="Calibri" w:cs="Calibri"/>
                <w:b/>
                <w:szCs w:val="24"/>
              </w:rPr>
              <w:t>Approximate bioavailability</w:t>
            </w:r>
          </w:p>
        </w:tc>
        <w:tc>
          <w:tcPr>
            <w:tcW w:w="199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6C56AD8" w14:textId="65B7B493" w:rsidR="6FD9FB79" w:rsidRPr="00E44277" w:rsidRDefault="6FD9FB79" w:rsidP="007067A0">
            <w:pPr>
              <w:ind w:left="-20" w:right="-20"/>
              <w:jc w:val="center"/>
              <w:rPr>
                <w:rFonts w:eastAsia="Calibri" w:cs="Calibri"/>
                <w:b/>
                <w:szCs w:val="24"/>
              </w:rPr>
            </w:pPr>
            <w:r w:rsidRPr="00E44277">
              <w:rPr>
                <w:rFonts w:eastAsia="Calibri" w:cs="Calibri"/>
                <w:b/>
                <w:szCs w:val="24"/>
              </w:rPr>
              <w:t>IV dose</w:t>
            </w:r>
          </w:p>
        </w:tc>
        <w:tc>
          <w:tcPr>
            <w:tcW w:w="211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B8C58A" w14:textId="1AF04BBE" w:rsidR="6FD9FB79" w:rsidRPr="00E44277" w:rsidRDefault="6FD9FB79" w:rsidP="007067A0">
            <w:pPr>
              <w:ind w:left="-20" w:right="-20"/>
              <w:jc w:val="center"/>
              <w:rPr>
                <w:rFonts w:eastAsia="Calibri" w:cs="Calibri"/>
                <w:b/>
                <w:szCs w:val="24"/>
              </w:rPr>
            </w:pPr>
            <w:r w:rsidRPr="00E44277">
              <w:rPr>
                <w:rFonts w:eastAsia="Calibri" w:cs="Calibri"/>
                <w:b/>
                <w:szCs w:val="24"/>
              </w:rPr>
              <w:t>PO dose</w:t>
            </w:r>
          </w:p>
        </w:tc>
      </w:tr>
      <w:tr w:rsidR="6FD9FB79" w14:paraId="344678C5"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F02F1" w14:textId="540D6DEE" w:rsidR="6FD9FB79" w:rsidRDefault="6FD9FB79" w:rsidP="007067A0">
            <w:pPr>
              <w:ind w:left="-20" w:right="-20"/>
              <w:rPr>
                <w:rFonts w:eastAsia="Calibri" w:cs="Calibri"/>
                <w:szCs w:val="24"/>
              </w:rPr>
            </w:pPr>
            <w:r w:rsidRPr="6FD9FB79">
              <w:rPr>
                <w:rFonts w:eastAsia="Calibri" w:cs="Calibri"/>
                <w:szCs w:val="24"/>
              </w:rPr>
              <w:t>Amoxicillin</w:t>
            </w:r>
          </w:p>
          <w:p w14:paraId="0CA0CA3B" w14:textId="612227BF" w:rsidR="6FD9FB79" w:rsidRDefault="6FD9FB79" w:rsidP="007067A0">
            <w:pPr>
              <w:ind w:left="-20" w:right="-20"/>
              <w:rPr>
                <w:rFonts w:eastAsia="Calibri" w:cs="Calibri"/>
                <w:i/>
                <w:iCs/>
                <w:szCs w:val="24"/>
              </w:rPr>
            </w:pPr>
            <w:r w:rsidRPr="6FD9FB79">
              <w:rPr>
                <w:rFonts w:eastAsia="Calibri" w:cs="Calibri"/>
                <w:i/>
                <w:iCs/>
                <w:szCs w:val="24"/>
              </w:rPr>
              <w:t>*(Ampicillin is IV equivalent)</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4A0BA" w14:textId="1C82D7B1" w:rsidR="6FD9FB79" w:rsidRDefault="6FD9FB79" w:rsidP="007067A0">
            <w:pPr>
              <w:ind w:left="-20" w:right="-20"/>
              <w:jc w:val="center"/>
              <w:rPr>
                <w:rFonts w:eastAsia="Calibri" w:cs="Calibri"/>
                <w:szCs w:val="24"/>
              </w:rPr>
            </w:pPr>
            <w:r w:rsidRPr="6FD9FB79">
              <w:rPr>
                <w:rFonts w:eastAsia="Calibri" w:cs="Calibri"/>
                <w:szCs w:val="24"/>
              </w:rPr>
              <w:t>80%</w:t>
            </w:r>
          </w:p>
        </w:tc>
        <w:tc>
          <w:tcPr>
            <w:tcW w:w="1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55B6E" w14:textId="43CC8D8F" w:rsidR="6FD9FB79" w:rsidRDefault="6FD9FB79" w:rsidP="007067A0">
            <w:pPr>
              <w:ind w:left="-20" w:right="-20"/>
              <w:jc w:val="center"/>
              <w:rPr>
                <w:rFonts w:eastAsia="Calibri" w:cs="Calibri"/>
                <w:szCs w:val="24"/>
              </w:rPr>
            </w:pPr>
            <w:r w:rsidRPr="6FD9FB79">
              <w:rPr>
                <w:rFonts w:eastAsia="Calibri" w:cs="Calibri"/>
                <w:szCs w:val="24"/>
              </w:rPr>
              <w:t>2000mg Q4-6H*</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77470" w14:textId="07D67FCE" w:rsidR="6FD9FB79" w:rsidRDefault="6FD9FB79" w:rsidP="007067A0">
            <w:pPr>
              <w:ind w:left="-20" w:right="-20"/>
              <w:jc w:val="center"/>
              <w:rPr>
                <w:rFonts w:eastAsia="Calibri" w:cs="Calibri"/>
                <w:szCs w:val="24"/>
              </w:rPr>
            </w:pPr>
            <w:r w:rsidRPr="6FD9FB79">
              <w:rPr>
                <w:rFonts w:eastAsia="Calibri" w:cs="Calibri"/>
                <w:szCs w:val="24"/>
              </w:rPr>
              <w:t>500-1000mg TDS</w:t>
            </w:r>
          </w:p>
        </w:tc>
      </w:tr>
      <w:tr w:rsidR="6FD9FB79" w14:paraId="1B2F5996"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AD123" w14:textId="6F3424CB" w:rsidR="6FD9FB79" w:rsidRDefault="6FD9FB79" w:rsidP="007067A0">
            <w:pPr>
              <w:ind w:left="-20" w:right="-20"/>
              <w:rPr>
                <w:rFonts w:eastAsia="Calibri" w:cs="Calibri"/>
                <w:szCs w:val="24"/>
              </w:rPr>
            </w:pPr>
            <w:r w:rsidRPr="6FD9FB79">
              <w:rPr>
                <w:rFonts w:eastAsia="Calibri" w:cs="Calibri"/>
                <w:szCs w:val="24"/>
              </w:rPr>
              <w:t>Ciprofloxacin</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EAC283" w14:textId="6D13404C" w:rsidR="6FD9FB79" w:rsidRDefault="6FD9FB79" w:rsidP="007067A0">
            <w:pPr>
              <w:ind w:left="-20" w:right="-20"/>
              <w:jc w:val="center"/>
              <w:rPr>
                <w:rFonts w:eastAsia="Calibri" w:cs="Calibri"/>
                <w:szCs w:val="24"/>
              </w:rPr>
            </w:pPr>
            <w:r w:rsidRPr="6FD9FB79">
              <w:rPr>
                <w:rFonts w:eastAsia="Calibri" w:cs="Calibri"/>
                <w:szCs w:val="24"/>
              </w:rPr>
              <w:t>70-80%</w:t>
            </w:r>
          </w:p>
        </w:tc>
        <w:tc>
          <w:tcPr>
            <w:tcW w:w="1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67598" w14:textId="0973D86F" w:rsidR="6FD9FB79" w:rsidRDefault="6FD9FB79" w:rsidP="007067A0">
            <w:pPr>
              <w:ind w:left="-20" w:right="-20"/>
              <w:jc w:val="center"/>
              <w:rPr>
                <w:rFonts w:eastAsia="Calibri" w:cs="Calibri"/>
                <w:szCs w:val="24"/>
              </w:rPr>
            </w:pPr>
            <w:r w:rsidRPr="6FD9FB79">
              <w:rPr>
                <w:rFonts w:eastAsia="Calibri" w:cs="Calibri"/>
                <w:szCs w:val="24"/>
              </w:rPr>
              <w:t>400mg Q8-12H</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C4AB24" w14:textId="6A748707" w:rsidR="6FD9FB79" w:rsidRDefault="6FD9FB79" w:rsidP="007067A0">
            <w:pPr>
              <w:ind w:left="-20" w:right="-20"/>
              <w:jc w:val="center"/>
              <w:rPr>
                <w:rFonts w:eastAsia="Calibri" w:cs="Calibri"/>
                <w:szCs w:val="24"/>
              </w:rPr>
            </w:pPr>
            <w:r w:rsidRPr="6FD9FB79">
              <w:rPr>
                <w:rFonts w:eastAsia="Calibri" w:cs="Calibri"/>
                <w:szCs w:val="24"/>
              </w:rPr>
              <w:t>500mg BD for cystitis 750mg BD for most other conditions</w:t>
            </w:r>
          </w:p>
        </w:tc>
      </w:tr>
      <w:tr w:rsidR="6FD9FB79" w14:paraId="18024A6F"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18626" w14:textId="726B6A81" w:rsidR="6FD9FB79" w:rsidRDefault="6FD9FB79" w:rsidP="007067A0">
            <w:pPr>
              <w:ind w:left="-20" w:right="-20"/>
              <w:rPr>
                <w:rFonts w:eastAsia="Calibri" w:cs="Calibri"/>
                <w:szCs w:val="24"/>
              </w:rPr>
            </w:pPr>
            <w:r w:rsidRPr="6FD9FB79">
              <w:rPr>
                <w:rFonts w:eastAsia="Calibri" w:cs="Calibri"/>
                <w:szCs w:val="24"/>
              </w:rPr>
              <w:t>Clindamycin</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CEFE9" w14:textId="4821D0E1" w:rsidR="6FD9FB79" w:rsidRDefault="6FD9FB79" w:rsidP="007067A0">
            <w:pPr>
              <w:ind w:left="-20" w:right="-20"/>
              <w:jc w:val="center"/>
              <w:rPr>
                <w:rFonts w:eastAsia="Calibri" w:cs="Calibri"/>
                <w:szCs w:val="24"/>
              </w:rPr>
            </w:pPr>
            <w:r w:rsidRPr="6FD9FB79">
              <w:rPr>
                <w:rFonts w:eastAsia="Calibri" w:cs="Calibri"/>
                <w:szCs w:val="24"/>
              </w:rPr>
              <w:t>~90%</w:t>
            </w:r>
          </w:p>
        </w:tc>
        <w:tc>
          <w:tcPr>
            <w:tcW w:w="1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E3A48" w14:textId="698EDF76" w:rsidR="6FD9FB79" w:rsidRDefault="6FD9FB79" w:rsidP="007067A0">
            <w:pPr>
              <w:ind w:left="-20" w:right="-20"/>
              <w:jc w:val="center"/>
              <w:rPr>
                <w:rFonts w:eastAsia="Calibri" w:cs="Calibri"/>
                <w:szCs w:val="24"/>
              </w:rPr>
            </w:pPr>
            <w:r w:rsidRPr="6FD9FB79">
              <w:rPr>
                <w:rFonts w:eastAsia="Calibri" w:cs="Calibri"/>
                <w:szCs w:val="24"/>
              </w:rPr>
              <w:t>600mg Q8H</w:t>
            </w:r>
          </w:p>
        </w:tc>
        <w:tc>
          <w:tcPr>
            <w:tcW w:w="21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0FA30" w14:textId="11704AE6" w:rsidR="6FD9FB79" w:rsidRDefault="6FD9FB79" w:rsidP="007067A0">
            <w:pPr>
              <w:ind w:left="-20" w:right="-20"/>
              <w:jc w:val="center"/>
              <w:rPr>
                <w:rFonts w:eastAsia="Calibri" w:cs="Calibri"/>
                <w:szCs w:val="24"/>
              </w:rPr>
            </w:pPr>
            <w:r w:rsidRPr="6FD9FB79">
              <w:rPr>
                <w:rFonts w:eastAsia="Calibri" w:cs="Calibri"/>
                <w:szCs w:val="24"/>
              </w:rPr>
              <w:t>450mg TDS</w:t>
            </w:r>
          </w:p>
        </w:tc>
      </w:tr>
      <w:tr w:rsidR="6FD9FB79" w14:paraId="77D802E9"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7D068" w14:textId="18E92E56" w:rsidR="6FD9FB79" w:rsidRDefault="6FD9FB79" w:rsidP="007067A0">
            <w:pPr>
              <w:ind w:left="-20" w:right="-20"/>
              <w:rPr>
                <w:rFonts w:eastAsia="Calibri" w:cs="Calibri"/>
                <w:szCs w:val="24"/>
              </w:rPr>
            </w:pPr>
            <w:r w:rsidRPr="6FD9FB79">
              <w:rPr>
                <w:rFonts w:eastAsia="Calibri" w:cs="Calibri"/>
                <w:szCs w:val="24"/>
              </w:rPr>
              <w:t>Fluconazole</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BBEDD1" w14:textId="03C847F2" w:rsidR="6FD9FB79" w:rsidRDefault="6FD9FB79" w:rsidP="007067A0">
            <w:pPr>
              <w:ind w:left="-20" w:right="-20"/>
              <w:jc w:val="center"/>
              <w:rPr>
                <w:rFonts w:eastAsia="Calibri" w:cs="Calibri"/>
                <w:szCs w:val="24"/>
              </w:rPr>
            </w:pPr>
            <w:r w:rsidRPr="6FD9FB79">
              <w:rPr>
                <w:rFonts w:eastAsia="Calibri" w:cs="Calibri"/>
                <w:szCs w:val="24"/>
              </w:rPr>
              <w:t>&gt;90%</w:t>
            </w:r>
          </w:p>
        </w:tc>
        <w:tc>
          <w:tcPr>
            <w:tcW w:w="41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CE79B" w14:textId="5BC961CC" w:rsidR="6FD9FB79" w:rsidRDefault="6FD9FB79" w:rsidP="007067A0">
            <w:pPr>
              <w:ind w:left="-20" w:right="-20"/>
              <w:jc w:val="center"/>
              <w:rPr>
                <w:rFonts w:eastAsia="Calibri" w:cs="Calibri"/>
                <w:szCs w:val="24"/>
              </w:rPr>
            </w:pPr>
            <w:r w:rsidRPr="6FD9FB79">
              <w:rPr>
                <w:rFonts w:eastAsia="Calibri" w:cs="Calibri"/>
                <w:szCs w:val="24"/>
              </w:rPr>
              <w:t>IV and oral dose are equivalent</w:t>
            </w:r>
          </w:p>
        </w:tc>
      </w:tr>
      <w:tr w:rsidR="6FD9FB79" w14:paraId="03B2AED9"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3B810" w14:textId="74B28E29" w:rsidR="6FD9FB79" w:rsidRDefault="6FD9FB79" w:rsidP="007067A0">
            <w:pPr>
              <w:ind w:left="-20" w:right="-20"/>
              <w:rPr>
                <w:rFonts w:eastAsia="Calibri" w:cs="Calibri"/>
                <w:szCs w:val="24"/>
              </w:rPr>
            </w:pPr>
            <w:r w:rsidRPr="6FD9FB79">
              <w:rPr>
                <w:rFonts w:eastAsia="Calibri" w:cs="Calibri"/>
                <w:szCs w:val="24"/>
              </w:rPr>
              <w:t>Linezolid</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28DBE" w14:textId="5AB0AFA7" w:rsidR="6FD9FB79" w:rsidRDefault="6FD9FB79" w:rsidP="007067A0">
            <w:pPr>
              <w:ind w:left="-20" w:right="-20"/>
              <w:jc w:val="center"/>
              <w:rPr>
                <w:rFonts w:eastAsia="Calibri" w:cs="Calibri"/>
                <w:szCs w:val="24"/>
              </w:rPr>
            </w:pPr>
            <w:r w:rsidRPr="6FD9FB79">
              <w:rPr>
                <w:rFonts w:eastAsia="Calibri" w:cs="Calibri"/>
                <w:szCs w:val="24"/>
              </w:rPr>
              <w:t>~100%</w:t>
            </w:r>
          </w:p>
        </w:tc>
        <w:tc>
          <w:tcPr>
            <w:tcW w:w="41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2C928" w14:textId="6F424A93" w:rsidR="6FD9FB79" w:rsidRDefault="6FD9FB79" w:rsidP="007067A0">
            <w:pPr>
              <w:ind w:left="-20" w:right="-20"/>
              <w:jc w:val="center"/>
              <w:rPr>
                <w:rFonts w:eastAsia="Calibri" w:cs="Calibri"/>
                <w:szCs w:val="24"/>
              </w:rPr>
            </w:pPr>
            <w:r w:rsidRPr="6FD9FB79">
              <w:rPr>
                <w:rFonts w:eastAsia="Calibri" w:cs="Calibri"/>
                <w:szCs w:val="24"/>
              </w:rPr>
              <w:t>IV and oral dose are equivalent</w:t>
            </w:r>
          </w:p>
        </w:tc>
      </w:tr>
      <w:tr w:rsidR="6FD9FB79" w14:paraId="1EA023D6"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D757D" w14:textId="5B7C66C3" w:rsidR="6FD9FB79" w:rsidRDefault="6FD9FB79" w:rsidP="007067A0">
            <w:pPr>
              <w:ind w:left="-20" w:right="-20"/>
              <w:rPr>
                <w:rFonts w:eastAsia="Calibri" w:cs="Calibri"/>
                <w:szCs w:val="24"/>
              </w:rPr>
            </w:pPr>
            <w:r w:rsidRPr="6FD9FB79">
              <w:rPr>
                <w:rFonts w:eastAsia="Calibri" w:cs="Calibri"/>
                <w:szCs w:val="24"/>
              </w:rPr>
              <w:t>Metronidazole</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DB64E" w14:textId="1303BD56" w:rsidR="6FD9FB79" w:rsidRDefault="6FD9FB79" w:rsidP="007067A0">
            <w:pPr>
              <w:ind w:left="-20" w:right="-20"/>
              <w:jc w:val="center"/>
              <w:rPr>
                <w:rFonts w:eastAsia="Calibri" w:cs="Calibri"/>
                <w:szCs w:val="24"/>
              </w:rPr>
            </w:pPr>
            <w:r w:rsidRPr="6FD9FB79">
              <w:rPr>
                <w:rFonts w:eastAsia="Calibri" w:cs="Calibri"/>
                <w:szCs w:val="24"/>
              </w:rPr>
              <w:t>100%</w:t>
            </w:r>
          </w:p>
        </w:tc>
        <w:tc>
          <w:tcPr>
            <w:tcW w:w="19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F68A3" w14:textId="756B000C" w:rsidR="6FD9FB79" w:rsidRDefault="6FD9FB79" w:rsidP="007067A0">
            <w:pPr>
              <w:ind w:left="-20" w:right="-20"/>
              <w:jc w:val="center"/>
              <w:rPr>
                <w:rFonts w:eastAsia="Calibri" w:cs="Calibri"/>
                <w:szCs w:val="24"/>
              </w:rPr>
            </w:pPr>
            <w:r w:rsidRPr="6FD9FB79">
              <w:rPr>
                <w:rFonts w:eastAsia="Calibri" w:cs="Calibri"/>
                <w:szCs w:val="24"/>
              </w:rPr>
              <w:t>500mg BD</w:t>
            </w:r>
          </w:p>
        </w:tc>
        <w:tc>
          <w:tcPr>
            <w:tcW w:w="2113" w:type="dxa"/>
            <w:tcBorders>
              <w:top w:val="nil"/>
              <w:left w:val="single" w:sz="8" w:space="0" w:color="auto"/>
              <w:bottom w:val="single" w:sz="8" w:space="0" w:color="auto"/>
              <w:right w:val="single" w:sz="8" w:space="0" w:color="auto"/>
            </w:tcBorders>
            <w:tcMar>
              <w:left w:w="108" w:type="dxa"/>
              <w:right w:w="108" w:type="dxa"/>
            </w:tcMar>
            <w:vAlign w:val="center"/>
          </w:tcPr>
          <w:p w14:paraId="0DE1150E" w14:textId="210E115A" w:rsidR="6FD9FB79" w:rsidRDefault="6FD9FB79" w:rsidP="007067A0">
            <w:pPr>
              <w:ind w:left="-20" w:right="-20"/>
              <w:jc w:val="center"/>
              <w:rPr>
                <w:rFonts w:eastAsia="Calibri" w:cs="Calibri"/>
                <w:szCs w:val="24"/>
              </w:rPr>
            </w:pPr>
            <w:r w:rsidRPr="6FD9FB79">
              <w:rPr>
                <w:rFonts w:eastAsia="Calibri" w:cs="Calibri"/>
                <w:szCs w:val="24"/>
              </w:rPr>
              <w:t xml:space="preserve">400mg BD for common infections (except </w:t>
            </w:r>
            <w:r w:rsidRPr="6FD9FB79">
              <w:rPr>
                <w:rFonts w:eastAsia="Calibri" w:cs="Calibri"/>
                <w:i/>
                <w:iCs/>
                <w:szCs w:val="24"/>
              </w:rPr>
              <w:t>C. difficile</w:t>
            </w:r>
            <w:r w:rsidRPr="6FD9FB79">
              <w:rPr>
                <w:rFonts w:eastAsia="Calibri" w:cs="Calibri"/>
                <w:szCs w:val="24"/>
              </w:rPr>
              <w:t xml:space="preserve"> therapy)</w:t>
            </w:r>
          </w:p>
        </w:tc>
      </w:tr>
      <w:tr w:rsidR="6FD9FB79" w14:paraId="2B2BA36D"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2497B9" w14:textId="5CFE3E41" w:rsidR="6FD9FB79" w:rsidRDefault="6FD9FB79" w:rsidP="007067A0">
            <w:pPr>
              <w:ind w:left="-20" w:right="-20"/>
              <w:rPr>
                <w:rFonts w:eastAsia="Calibri" w:cs="Calibri"/>
                <w:szCs w:val="24"/>
              </w:rPr>
            </w:pPr>
            <w:r w:rsidRPr="6FD9FB79">
              <w:rPr>
                <w:rFonts w:eastAsia="Calibri" w:cs="Calibri"/>
                <w:szCs w:val="24"/>
              </w:rPr>
              <w:t>Moxifloxacin</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9BEF84" w14:textId="7AACAD41" w:rsidR="6FD9FB79" w:rsidRDefault="6FD9FB79" w:rsidP="007067A0">
            <w:pPr>
              <w:ind w:left="-20" w:right="-20"/>
              <w:jc w:val="center"/>
              <w:rPr>
                <w:rFonts w:eastAsia="Calibri" w:cs="Calibri"/>
                <w:szCs w:val="24"/>
              </w:rPr>
            </w:pPr>
            <w:r w:rsidRPr="6FD9FB79">
              <w:rPr>
                <w:rFonts w:eastAsia="Calibri" w:cs="Calibri"/>
                <w:szCs w:val="24"/>
              </w:rPr>
              <w:t>~90%</w:t>
            </w:r>
          </w:p>
        </w:tc>
        <w:tc>
          <w:tcPr>
            <w:tcW w:w="41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450A7" w14:textId="5FDBE6BB" w:rsidR="6FD9FB79" w:rsidRDefault="6FD9FB79" w:rsidP="007067A0">
            <w:pPr>
              <w:ind w:left="-20" w:right="-20"/>
              <w:jc w:val="center"/>
              <w:rPr>
                <w:rFonts w:eastAsia="Calibri" w:cs="Calibri"/>
                <w:szCs w:val="24"/>
              </w:rPr>
            </w:pPr>
            <w:r w:rsidRPr="6FD9FB79">
              <w:rPr>
                <w:rFonts w:eastAsia="Calibri" w:cs="Calibri"/>
                <w:szCs w:val="24"/>
              </w:rPr>
              <w:t>IV and oral dose are equivalent</w:t>
            </w:r>
          </w:p>
        </w:tc>
      </w:tr>
      <w:tr w:rsidR="6FD9FB79" w14:paraId="7B48E69D"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FD42D" w14:textId="7EE1CB9C" w:rsidR="6FD9FB79" w:rsidRDefault="6FD9FB79" w:rsidP="007067A0">
            <w:pPr>
              <w:ind w:left="-20" w:right="-20"/>
              <w:rPr>
                <w:rFonts w:eastAsia="Calibri" w:cs="Calibri"/>
                <w:szCs w:val="24"/>
              </w:rPr>
            </w:pPr>
            <w:r w:rsidRPr="6FD9FB79">
              <w:rPr>
                <w:rFonts w:eastAsia="Calibri" w:cs="Calibri"/>
                <w:szCs w:val="24"/>
              </w:rPr>
              <w:t>Trimethoprim/sulfamethoxazole</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C9C56" w14:textId="619E60E1" w:rsidR="6FD9FB79" w:rsidRDefault="6FD9FB79" w:rsidP="007067A0">
            <w:pPr>
              <w:ind w:left="-20" w:right="-20"/>
              <w:jc w:val="center"/>
              <w:rPr>
                <w:rFonts w:eastAsia="Calibri" w:cs="Calibri"/>
                <w:szCs w:val="24"/>
              </w:rPr>
            </w:pPr>
            <w:r w:rsidRPr="6FD9FB79">
              <w:rPr>
                <w:rFonts w:eastAsia="Calibri" w:cs="Calibri"/>
                <w:szCs w:val="24"/>
              </w:rPr>
              <w:t>90-100%</w:t>
            </w:r>
          </w:p>
        </w:tc>
        <w:tc>
          <w:tcPr>
            <w:tcW w:w="41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E0D6FA" w14:textId="17C782D0" w:rsidR="6FD9FB79" w:rsidRDefault="6FD9FB79" w:rsidP="007067A0">
            <w:pPr>
              <w:ind w:left="-20" w:right="-20"/>
              <w:jc w:val="center"/>
              <w:rPr>
                <w:rFonts w:eastAsia="Calibri" w:cs="Calibri"/>
                <w:szCs w:val="24"/>
              </w:rPr>
            </w:pPr>
            <w:r w:rsidRPr="6FD9FB79">
              <w:rPr>
                <w:rFonts w:eastAsia="Calibri" w:cs="Calibri"/>
                <w:szCs w:val="24"/>
              </w:rPr>
              <w:t>IV and oral dose are equivalent</w:t>
            </w:r>
          </w:p>
        </w:tc>
      </w:tr>
      <w:tr w:rsidR="6FD9FB79" w14:paraId="06A25AAE" w14:textId="77777777" w:rsidTr="007067A0">
        <w:trPr>
          <w:trHeight w:val="300"/>
        </w:trPr>
        <w:tc>
          <w:tcPr>
            <w:tcW w:w="296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597D1" w14:textId="0DC6E298" w:rsidR="6FD9FB79" w:rsidRDefault="6FD9FB79" w:rsidP="007067A0">
            <w:pPr>
              <w:ind w:left="-20" w:right="-20"/>
              <w:rPr>
                <w:rFonts w:eastAsia="Calibri" w:cs="Calibri"/>
                <w:szCs w:val="24"/>
              </w:rPr>
            </w:pPr>
            <w:r w:rsidRPr="6FD9FB79">
              <w:rPr>
                <w:rFonts w:eastAsia="Calibri" w:cs="Calibri"/>
                <w:szCs w:val="24"/>
              </w:rPr>
              <w:t>Voriconazole</w:t>
            </w:r>
          </w:p>
        </w:tc>
        <w:tc>
          <w:tcPr>
            <w:tcW w:w="198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36236" w14:textId="3FF4294B" w:rsidR="6FD9FB79" w:rsidRDefault="6FD9FB79" w:rsidP="007067A0">
            <w:pPr>
              <w:ind w:left="-20" w:right="-20"/>
              <w:jc w:val="center"/>
              <w:rPr>
                <w:rFonts w:eastAsia="Calibri" w:cs="Calibri"/>
                <w:szCs w:val="24"/>
              </w:rPr>
            </w:pPr>
            <w:r w:rsidRPr="6FD9FB79">
              <w:rPr>
                <w:rFonts w:eastAsia="Calibri" w:cs="Calibri"/>
                <w:szCs w:val="24"/>
              </w:rPr>
              <w:t>~96%</w:t>
            </w:r>
          </w:p>
        </w:tc>
        <w:tc>
          <w:tcPr>
            <w:tcW w:w="4104"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B8399" w14:textId="4740E4C6" w:rsidR="6FD9FB79" w:rsidRDefault="6FD9FB79" w:rsidP="007067A0">
            <w:pPr>
              <w:ind w:left="-20" w:right="-20"/>
              <w:jc w:val="center"/>
              <w:rPr>
                <w:rFonts w:eastAsia="Calibri" w:cs="Calibri"/>
                <w:szCs w:val="24"/>
              </w:rPr>
            </w:pPr>
            <w:r w:rsidRPr="6FD9FB79">
              <w:rPr>
                <w:rFonts w:eastAsia="Calibri" w:cs="Calibri"/>
                <w:szCs w:val="24"/>
              </w:rPr>
              <w:t>IV and oral dose are equivalent</w:t>
            </w:r>
          </w:p>
        </w:tc>
      </w:tr>
    </w:tbl>
    <w:p w14:paraId="0ADAA8D4" w14:textId="7F1F2EA9" w:rsidR="6FD9FB79" w:rsidRDefault="6FD9FB79" w:rsidP="007067A0"/>
    <w:p w14:paraId="38462A5E" w14:textId="77777777" w:rsidR="00891C7F" w:rsidRDefault="00891C7F" w:rsidP="00891C7F">
      <w:pPr>
        <w:pStyle w:val="ListBullet"/>
        <w:numPr>
          <w:ilvl w:val="0"/>
          <w:numId w:val="0"/>
        </w:numPr>
        <w:ind w:left="426"/>
      </w:pPr>
    </w:p>
    <w:p w14:paraId="6F45628D" w14:textId="281D5102" w:rsidR="6FD9FB79" w:rsidRPr="00891C7F" w:rsidRDefault="00F517F5" w:rsidP="00891C7F">
      <w:pPr>
        <w:jc w:val="right"/>
        <w:rPr>
          <w:rFonts w:cs="Arial"/>
          <w:i/>
          <w:szCs w:val="24"/>
        </w:rPr>
      </w:pPr>
      <w:hyperlink w:anchor="Contents" w:history="1">
        <w:r w:rsidR="00891C7F" w:rsidRPr="00590902">
          <w:rPr>
            <w:rStyle w:val="Hyperlink"/>
            <w:rFonts w:cs="Arial"/>
            <w:i/>
            <w:szCs w:val="24"/>
          </w:rPr>
          <w:t>Back to Table of Contents</w:t>
        </w:r>
      </w:hyperlink>
      <w:r w:rsidR="00891C7F">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B6" w14:textId="77777777" w:rsidTr="0074223E">
        <w:trPr>
          <w:cantSplit/>
          <w:trHeight w:val="285"/>
        </w:trPr>
        <w:tc>
          <w:tcPr>
            <w:tcW w:w="9158" w:type="dxa"/>
            <w:shd w:val="clear" w:color="auto" w:fill="A6A6A6" w:themeFill="background1" w:themeFillShade="A6"/>
          </w:tcPr>
          <w:p w14:paraId="2F51A8B5" w14:textId="77777777" w:rsidR="007B6904" w:rsidRPr="00CD1C0E" w:rsidRDefault="00FF56DD" w:rsidP="00FF56DD">
            <w:pPr>
              <w:pStyle w:val="Heading1"/>
            </w:pPr>
            <w:bookmarkStart w:id="29" w:name="_Toc389473287"/>
            <w:bookmarkStart w:id="30" w:name="_Toc159339626"/>
            <w:r>
              <w:t xml:space="preserve">Related Policies, </w:t>
            </w:r>
            <w:r w:rsidR="007B6904">
              <w:t>Procedures</w:t>
            </w:r>
            <w:bookmarkEnd w:id="29"/>
            <w:r>
              <w:t>, Guidelines and Legislation</w:t>
            </w:r>
            <w:bookmarkEnd w:id="30"/>
          </w:p>
        </w:tc>
      </w:tr>
    </w:tbl>
    <w:p w14:paraId="2F51A8B9" w14:textId="77777777" w:rsidR="001926F4" w:rsidRDefault="001926F4" w:rsidP="001926F4">
      <w:pPr>
        <w:pStyle w:val="Heading2"/>
      </w:pPr>
    </w:p>
    <w:p w14:paraId="2F51A8BA" w14:textId="77777777" w:rsidR="001926F4" w:rsidRPr="00201FB6" w:rsidRDefault="001926F4" w:rsidP="00201FB6">
      <w:pPr>
        <w:rPr>
          <w:b/>
        </w:rPr>
      </w:pPr>
      <w:r w:rsidRPr="00201FB6">
        <w:rPr>
          <w:b/>
        </w:rPr>
        <w:t>Policies</w:t>
      </w:r>
    </w:p>
    <w:p w14:paraId="2F51A8BC" w14:textId="2313563D" w:rsidR="000A7335" w:rsidRPr="000A7335" w:rsidRDefault="00F14EC1" w:rsidP="55918A0A">
      <w:pPr>
        <w:numPr>
          <w:ilvl w:val="0"/>
          <w:numId w:val="15"/>
        </w:numPr>
        <w:ind w:left="360"/>
        <w:rPr>
          <w:rFonts w:cs="Arial"/>
        </w:rPr>
      </w:pPr>
      <w:r w:rsidRPr="55918A0A">
        <w:rPr>
          <w:rFonts w:cs="Arial"/>
        </w:rPr>
        <w:t xml:space="preserve">Informed Consent – Clinical </w:t>
      </w:r>
    </w:p>
    <w:p w14:paraId="2F51A8BD" w14:textId="77777777" w:rsidR="000A7335" w:rsidRPr="000A7335" w:rsidRDefault="000A7335" w:rsidP="000A7335">
      <w:pPr>
        <w:rPr>
          <w:rFonts w:cs="Arial"/>
          <w:szCs w:val="24"/>
        </w:rPr>
      </w:pPr>
    </w:p>
    <w:p w14:paraId="2F51A8BE" w14:textId="77777777" w:rsidR="00931B93" w:rsidRPr="00201FB6" w:rsidRDefault="00931B93" w:rsidP="00201FB6">
      <w:pPr>
        <w:rPr>
          <w:b/>
        </w:rPr>
      </w:pPr>
      <w:r w:rsidRPr="00201FB6">
        <w:rPr>
          <w:b/>
        </w:rPr>
        <w:t>Procedures</w:t>
      </w:r>
    </w:p>
    <w:p w14:paraId="2F51A8BF" w14:textId="756D67EB" w:rsidR="001926F4" w:rsidRPr="001F2A9B" w:rsidRDefault="00891C7F" w:rsidP="55918A0A">
      <w:pPr>
        <w:numPr>
          <w:ilvl w:val="0"/>
          <w:numId w:val="15"/>
        </w:numPr>
        <w:ind w:left="360"/>
        <w:rPr>
          <w:rFonts w:cs="Arial"/>
        </w:rPr>
      </w:pPr>
      <w:r>
        <w:rPr>
          <w:rFonts w:cs="Arial"/>
        </w:rPr>
        <w:t xml:space="preserve">NCH </w:t>
      </w:r>
      <w:r w:rsidR="001926F4" w:rsidRPr="55918A0A">
        <w:rPr>
          <w:rFonts w:cs="Arial"/>
        </w:rPr>
        <w:t>Infection Prevention and Control</w:t>
      </w:r>
    </w:p>
    <w:p w14:paraId="2F51A8C0" w14:textId="765E41EE" w:rsidR="000A7335" w:rsidRDefault="000A7335" w:rsidP="55918A0A">
      <w:pPr>
        <w:pStyle w:val="ListParagraph"/>
        <w:numPr>
          <w:ilvl w:val="0"/>
          <w:numId w:val="15"/>
        </w:numPr>
        <w:ind w:left="360"/>
        <w:rPr>
          <w:rFonts w:cs="Arial"/>
        </w:rPr>
      </w:pPr>
      <w:r w:rsidRPr="55918A0A">
        <w:rPr>
          <w:rFonts w:cs="Arial"/>
        </w:rPr>
        <w:t xml:space="preserve">Patient Identification and Procedure Matching </w:t>
      </w:r>
    </w:p>
    <w:p w14:paraId="2C2EAD1B" w14:textId="394C3B22" w:rsidR="00232FFE" w:rsidRPr="00891C7F" w:rsidRDefault="00891C7F" w:rsidP="0001763D">
      <w:pPr>
        <w:pStyle w:val="ListParagraph"/>
        <w:numPr>
          <w:ilvl w:val="0"/>
          <w:numId w:val="15"/>
        </w:numPr>
        <w:ind w:left="360"/>
        <w:rPr>
          <w:rFonts w:cs="Arial"/>
        </w:rPr>
      </w:pPr>
      <w:r w:rsidRPr="00891C7F">
        <w:rPr>
          <w:rFonts w:cs="Arial"/>
        </w:rPr>
        <w:t xml:space="preserve">NCH </w:t>
      </w:r>
      <w:r w:rsidR="20335D64" w:rsidRPr="00891C7F">
        <w:rPr>
          <w:rFonts w:cs="Arial"/>
        </w:rPr>
        <w:t>Medication Handling</w:t>
      </w:r>
    </w:p>
    <w:p w14:paraId="2F51A8C4" w14:textId="77777777" w:rsidR="00931B93" w:rsidRPr="000A7335" w:rsidRDefault="00931B93" w:rsidP="00931B93"/>
    <w:p w14:paraId="2F51A8C5" w14:textId="77777777" w:rsidR="00931B93" w:rsidRPr="00201FB6" w:rsidRDefault="00931B93" w:rsidP="00201FB6">
      <w:pPr>
        <w:rPr>
          <w:b/>
        </w:rPr>
      </w:pPr>
      <w:r w:rsidRPr="00201FB6">
        <w:rPr>
          <w:b/>
        </w:rPr>
        <w:t>Legislation</w:t>
      </w:r>
    </w:p>
    <w:p w14:paraId="2F51A8C6" w14:textId="77777777" w:rsidR="000A7335" w:rsidRPr="000A7335" w:rsidRDefault="13CBF013" w:rsidP="000A7335">
      <w:pPr>
        <w:numPr>
          <w:ilvl w:val="0"/>
          <w:numId w:val="15"/>
        </w:numPr>
        <w:ind w:left="360"/>
        <w:rPr>
          <w:rFonts w:cs="Arial"/>
          <w:szCs w:val="24"/>
        </w:rPr>
      </w:pPr>
      <w:r w:rsidRPr="4E36F89C">
        <w:rPr>
          <w:rFonts w:cs="Arial"/>
          <w:i/>
          <w:iCs/>
        </w:rPr>
        <w:t>Health Records (Privacy and Access) Act</w:t>
      </w:r>
      <w:r w:rsidRPr="4E36F89C">
        <w:rPr>
          <w:rFonts w:cs="Arial"/>
        </w:rPr>
        <w:t xml:space="preserve"> 1997</w:t>
      </w:r>
    </w:p>
    <w:p w14:paraId="2F51A8C7" w14:textId="77777777" w:rsidR="000A7335" w:rsidRPr="000A7335" w:rsidRDefault="13CBF013" w:rsidP="000A7335">
      <w:pPr>
        <w:numPr>
          <w:ilvl w:val="0"/>
          <w:numId w:val="15"/>
        </w:numPr>
        <w:ind w:left="360"/>
        <w:rPr>
          <w:rFonts w:cs="Arial"/>
          <w:szCs w:val="24"/>
        </w:rPr>
      </w:pPr>
      <w:r w:rsidRPr="4E36F89C">
        <w:rPr>
          <w:rFonts w:cs="Arial"/>
          <w:i/>
          <w:iCs/>
        </w:rPr>
        <w:t>Human Rights Act</w:t>
      </w:r>
      <w:r w:rsidRPr="4E36F89C">
        <w:rPr>
          <w:rFonts w:cs="Arial"/>
        </w:rPr>
        <w:t xml:space="preserve"> 2004</w:t>
      </w:r>
    </w:p>
    <w:p w14:paraId="2F51A8C8" w14:textId="18E77DAD" w:rsidR="000A7335" w:rsidRDefault="13CBF013" w:rsidP="000A7335">
      <w:pPr>
        <w:numPr>
          <w:ilvl w:val="0"/>
          <w:numId w:val="15"/>
        </w:numPr>
        <w:ind w:left="360"/>
        <w:rPr>
          <w:rFonts w:cs="Arial"/>
          <w:szCs w:val="24"/>
        </w:rPr>
      </w:pPr>
      <w:r w:rsidRPr="4E36F89C">
        <w:rPr>
          <w:rFonts w:cs="Arial"/>
          <w:i/>
          <w:iCs/>
        </w:rPr>
        <w:lastRenderedPageBreak/>
        <w:t>Work Health and Safety Act</w:t>
      </w:r>
      <w:r w:rsidRPr="4E36F89C">
        <w:rPr>
          <w:rFonts w:cs="Arial"/>
        </w:rPr>
        <w:t xml:space="preserve"> 2011</w:t>
      </w:r>
    </w:p>
    <w:p w14:paraId="2F51A8C9" w14:textId="77777777" w:rsidR="007B6904" w:rsidRPr="00FF56DD" w:rsidRDefault="007B6904" w:rsidP="007B6904">
      <w:pPr>
        <w:ind w:left="720"/>
        <w:rPr>
          <w:rFonts w:cs="Arial"/>
          <w:i/>
          <w:szCs w:val="24"/>
        </w:rPr>
      </w:pPr>
    </w:p>
    <w:p w14:paraId="3E23773E" w14:textId="77777777" w:rsidR="00AB13EF" w:rsidRDefault="00AB13EF" w:rsidP="00AB13EF">
      <w:pPr>
        <w:rPr>
          <w:b/>
        </w:rPr>
      </w:pPr>
      <w:r w:rsidRPr="00752315">
        <w:rPr>
          <w:b/>
        </w:rPr>
        <w:t>Other</w:t>
      </w:r>
    </w:p>
    <w:p w14:paraId="7437A6A5" w14:textId="77777777" w:rsidR="00891C7F" w:rsidRDefault="00AB13EF" w:rsidP="00AB13EF">
      <w:r w:rsidRPr="00DD0346">
        <w:rPr>
          <w:b/>
        </w:rPr>
        <w:t>•</w:t>
      </w:r>
      <w:r>
        <w:rPr>
          <w:b/>
        </w:rPr>
        <w:t xml:space="preserve">      </w:t>
      </w:r>
      <w:r w:rsidRPr="00DD0346">
        <w:t>Australian Charter of Healthcare Rights</w:t>
      </w:r>
    </w:p>
    <w:p w14:paraId="72B68733" w14:textId="0953F055" w:rsidR="00891C7F" w:rsidRPr="00891C7F" w:rsidRDefault="00891C7F" w:rsidP="00891C7F">
      <w:pPr>
        <w:pStyle w:val="ListParagraph"/>
        <w:numPr>
          <w:ilvl w:val="0"/>
          <w:numId w:val="62"/>
        </w:numPr>
      </w:pPr>
      <w:r w:rsidRPr="00891C7F">
        <w:rPr>
          <w:rFonts w:cs="Arial"/>
          <w:iCs/>
          <w:szCs w:val="24"/>
        </w:rPr>
        <w:t>Antimicrobial Stewardship Clinical Care Standard</w:t>
      </w:r>
    </w:p>
    <w:p w14:paraId="4D70676B" w14:textId="77777777" w:rsidR="00891C7F" w:rsidRPr="00DD0346" w:rsidRDefault="00891C7F" w:rsidP="00891C7F">
      <w:pPr>
        <w:pStyle w:val="ListParagraph"/>
        <w:ind w:left="360"/>
      </w:pPr>
    </w:p>
    <w:p w14:paraId="2F51A8CA" w14:textId="77777777" w:rsidR="007B6904" w:rsidRDefault="00F517F5" w:rsidP="007B6904">
      <w:pPr>
        <w:pStyle w:val="ListParagraph"/>
        <w:jc w:val="right"/>
        <w:rPr>
          <w:szCs w:val="24"/>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CC" w14:textId="77777777" w:rsidTr="0074223E">
        <w:trPr>
          <w:cantSplit/>
          <w:trHeight w:val="285"/>
        </w:trPr>
        <w:tc>
          <w:tcPr>
            <w:tcW w:w="9158" w:type="dxa"/>
            <w:shd w:val="clear" w:color="auto" w:fill="A6A6A6" w:themeFill="background1" w:themeFillShade="A6"/>
          </w:tcPr>
          <w:p w14:paraId="2F51A8CB" w14:textId="77777777" w:rsidR="007B6904" w:rsidRPr="00CD1C0E" w:rsidRDefault="007B6904" w:rsidP="004213C3">
            <w:pPr>
              <w:pStyle w:val="Heading1"/>
            </w:pPr>
            <w:bookmarkStart w:id="31" w:name="_Toc389473288"/>
            <w:bookmarkStart w:id="32" w:name="_Toc159339627"/>
            <w:r>
              <w:t>References</w:t>
            </w:r>
            <w:bookmarkEnd w:id="31"/>
            <w:bookmarkEnd w:id="32"/>
          </w:p>
        </w:tc>
      </w:tr>
    </w:tbl>
    <w:p w14:paraId="2F51A8CD" w14:textId="77777777" w:rsidR="007B6904" w:rsidRPr="00DE4E25" w:rsidRDefault="007B6904" w:rsidP="007B6904">
      <w:pPr>
        <w:rPr>
          <w:rFonts w:asciiTheme="majorHAnsi" w:hAnsiTheme="majorHAnsi" w:cstheme="majorHAnsi"/>
          <w:szCs w:val="24"/>
        </w:rPr>
      </w:pPr>
      <w:bookmarkStart w:id="33" w:name="_Toc389131245"/>
    </w:p>
    <w:bookmarkEnd w:id="33"/>
    <w:p w14:paraId="1A301D5B" w14:textId="38EF3E64" w:rsidR="00192947" w:rsidRDefault="00192947" w:rsidP="00192947">
      <w:pPr>
        <w:pStyle w:val="ListParagraph"/>
        <w:numPr>
          <w:ilvl w:val="0"/>
          <w:numId w:val="18"/>
        </w:numPr>
        <w:autoSpaceDE w:val="0"/>
        <w:autoSpaceDN w:val="0"/>
        <w:adjustRightInd w:val="0"/>
        <w:contextualSpacing w:val="0"/>
      </w:pPr>
      <w:r>
        <w:t xml:space="preserve">TGA: Antibiotic Expert Group. </w:t>
      </w:r>
      <w:hyperlink r:id="rId18" w:history="1">
        <w:r w:rsidRPr="00D23537">
          <w:rPr>
            <w:rStyle w:val="Hyperlink"/>
          </w:rPr>
          <w:t>Therapeutic Guidelines: Antibiotic. Version 16. Melbourne: Therapeutic Guidelines Limited; 2019</w:t>
        </w:r>
      </w:hyperlink>
    </w:p>
    <w:p w14:paraId="14615F8C" w14:textId="4FCE052C" w:rsidR="00192947" w:rsidRDefault="00192947" w:rsidP="00192947">
      <w:pPr>
        <w:pStyle w:val="ListParagraph"/>
        <w:numPr>
          <w:ilvl w:val="0"/>
          <w:numId w:val="18"/>
        </w:numPr>
        <w:autoSpaceDE w:val="0"/>
        <w:autoSpaceDN w:val="0"/>
        <w:adjustRightInd w:val="0"/>
        <w:contextualSpacing w:val="0"/>
      </w:pPr>
      <w:r w:rsidRPr="00B1045E">
        <w:rPr>
          <w:rFonts w:cs="Calluna"/>
          <w:color w:val="000000"/>
        </w:rPr>
        <w:t xml:space="preserve">Australian Commission on Safety and Quality in Health Care. </w:t>
      </w:r>
      <w:r w:rsidRPr="00B1045E">
        <w:rPr>
          <w:rFonts w:cs="Calluna"/>
          <w:i/>
          <w:iCs/>
          <w:color w:val="000000"/>
        </w:rPr>
        <w:t>Antimicrobial Stewardship in Australian Health Care 2018</w:t>
      </w:r>
      <w:r w:rsidRPr="00B1045E">
        <w:rPr>
          <w:rFonts w:cs="Calluna"/>
          <w:color w:val="000000"/>
        </w:rPr>
        <w:t>. Sydney: ACSQHC; 2018</w:t>
      </w:r>
      <w:r w:rsidRPr="00B1045E">
        <w:t xml:space="preserve"> [Available online:</w:t>
      </w:r>
      <w:r w:rsidRPr="00B10E09">
        <w:t xml:space="preserve"> </w:t>
      </w:r>
      <w:hyperlink r:id="rId19" w:history="1">
        <w:r w:rsidRPr="003C3D4D">
          <w:rPr>
            <w:rStyle w:val="Hyperlink"/>
          </w:rPr>
          <w:t>https://www.safetyandquality.gov.au/resource-library/antimicrobial-stewardship-australian-health-care-2018</w:t>
        </w:r>
      </w:hyperlink>
      <w:r>
        <w:t xml:space="preserve"> ]  </w:t>
      </w:r>
    </w:p>
    <w:p w14:paraId="2F51A8D4" w14:textId="77777777" w:rsidR="007B6904" w:rsidRPr="00DE4E25" w:rsidRDefault="007B6904" w:rsidP="007B6904">
      <w:pPr>
        <w:jc w:val="right"/>
        <w:rPr>
          <w:szCs w:val="24"/>
        </w:rPr>
      </w:pPr>
    </w:p>
    <w:p w14:paraId="60334095" w14:textId="3C8547DE" w:rsidR="00ED4C97" w:rsidRPr="00891C7F" w:rsidRDefault="00F517F5" w:rsidP="00891C7F">
      <w:pPr>
        <w:jc w:val="right"/>
        <w:rPr>
          <w:rFonts w:cs="Arial"/>
          <w:i/>
          <w:color w:val="0000FF"/>
          <w:szCs w:val="24"/>
          <w:u w:val="single"/>
        </w:rPr>
      </w:pPr>
      <w:hyperlink w:anchor="Contents" w:history="1">
        <w:r w:rsidR="007B6904"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ED4C97" w:rsidRPr="00CD1C0E" w14:paraId="4DCE58A5" w14:textId="77777777" w:rsidTr="006F09E0">
        <w:trPr>
          <w:cantSplit/>
          <w:trHeight w:val="285"/>
        </w:trPr>
        <w:tc>
          <w:tcPr>
            <w:tcW w:w="9158" w:type="dxa"/>
            <w:shd w:val="clear" w:color="auto" w:fill="A6A6A6" w:themeFill="background1" w:themeFillShade="A6"/>
          </w:tcPr>
          <w:p w14:paraId="29416BB9" w14:textId="09EF4335" w:rsidR="00ED4C97" w:rsidRPr="00CD1C0E" w:rsidRDefault="00ED4C97" w:rsidP="006F09E0">
            <w:pPr>
              <w:pStyle w:val="Heading1"/>
            </w:pPr>
            <w:bookmarkStart w:id="34" w:name="_Toc159339628"/>
            <w:r>
              <w:t>Definition of Terms</w:t>
            </w:r>
            <w:bookmarkEnd w:id="34"/>
            <w:r>
              <w:t xml:space="preserve"> </w:t>
            </w:r>
          </w:p>
        </w:tc>
      </w:tr>
    </w:tbl>
    <w:p w14:paraId="28FB0E3E" w14:textId="77777777" w:rsidR="00ED4C97" w:rsidRPr="00214A30" w:rsidRDefault="00ED4C97" w:rsidP="00ED4C97">
      <w:r w:rsidRPr="186A08C5">
        <w:rPr>
          <w:b/>
          <w:bCs/>
        </w:rPr>
        <w:t>AMS:</w:t>
      </w:r>
      <w:r>
        <w:t xml:space="preserve"> Antimicrobial Stewardship</w:t>
      </w:r>
    </w:p>
    <w:p w14:paraId="1561B396" w14:textId="2AF06328" w:rsidR="00ED4C97" w:rsidRDefault="00ED4C97" w:rsidP="00ED4C97">
      <w:r w:rsidRPr="186A08C5">
        <w:rPr>
          <w:b/>
          <w:bCs/>
        </w:rPr>
        <w:t xml:space="preserve">DHR: </w:t>
      </w:r>
      <w:r>
        <w:t>Digital</w:t>
      </w:r>
      <w:r w:rsidRPr="186A08C5">
        <w:rPr>
          <w:b/>
          <w:bCs/>
        </w:rPr>
        <w:t xml:space="preserve"> </w:t>
      </w:r>
      <w:r>
        <w:t>Health Record</w:t>
      </w:r>
      <w:r w:rsidRPr="186A08C5">
        <w:rPr>
          <w:b/>
          <w:bCs/>
        </w:rPr>
        <w:t xml:space="preserve"> </w:t>
      </w:r>
    </w:p>
    <w:p w14:paraId="2F51A8DB" w14:textId="56451ACA" w:rsidR="00FF56DD" w:rsidRDefault="00F517F5" w:rsidP="007B6904">
      <w:pPr>
        <w:jc w:val="right"/>
        <w:rPr>
          <w:rFonts w:cs="Calibri,Bold"/>
          <w:bCs/>
          <w:i/>
          <w:szCs w:val="24"/>
          <w:lang w:eastAsia="en-AU"/>
        </w:rPr>
      </w:pPr>
      <w:hyperlink w:anchor="Contents" w:history="1">
        <w:r w:rsidR="00ED4C97" w:rsidRPr="00590902">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CD1C0E" w14:paraId="2F51A8DD" w14:textId="77777777" w:rsidTr="0074223E">
        <w:trPr>
          <w:cantSplit/>
          <w:trHeight w:val="285"/>
        </w:trPr>
        <w:tc>
          <w:tcPr>
            <w:tcW w:w="9158" w:type="dxa"/>
            <w:shd w:val="clear" w:color="auto" w:fill="A6A6A6" w:themeFill="background1" w:themeFillShade="A6"/>
          </w:tcPr>
          <w:p w14:paraId="2F51A8DC" w14:textId="77777777" w:rsidR="007B6904" w:rsidRPr="00CD1C0E" w:rsidRDefault="007B6904" w:rsidP="004213C3">
            <w:pPr>
              <w:pStyle w:val="Heading1"/>
            </w:pPr>
            <w:bookmarkStart w:id="35" w:name="_Toc389473290"/>
            <w:bookmarkStart w:id="36" w:name="_Toc159339629"/>
            <w:r>
              <w:t>Search Terms</w:t>
            </w:r>
            <w:bookmarkEnd w:id="35"/>
            <w:bookmarkEnd w:id="36"/>
            <w:r>
              <w:t xml:space="preserve"> </w:t>
            </w:r>
          </w:p>
        </w:tc>
      </w:tr>
    </w:tbl>
    <w:p w14:paraId="2F51A8DE" w14:textId="77777777" w:rsidR="007B6904" w:rsidRDefault="007B6904" w:rsidP="007B6904">
      <w:pPr>
        <w:rPr>
          <w:rFonts w:cs="Calibri,Bold"/>
          <w:bCs/>
          <w:i/>
          <w:szCs w:val="24"/>
          <w:lang w:eastAsia="en-AU"/>
        </w:rPr>
      </w:pPr>
    </w:p>
    <w:p w14:paraId="33EB3739" w14:textId="77777777" w:rsidR="00ED4C97" w:rsidRPr="00214A30" w:rsidRDefault="00192947" w:rsidP="186A08C5">
      <w:pPr>
        <w:rPr>
          <w:rFonts w:cs="Calibri,Bold"/>
          <w:i/>
          <w:iCs/>
          <w:lang w:eastAsia="en-AU"/>
        </w:rPr>
      </w:pPr>
      <w:proofErr w:type="spellStart"/>
      <w:r w:rsidRPr="186A08C5">
        <w:rPr>
          <w:rFonts w:cs="Calibri,Bold"/>
          <w:lang w:eastAsia="en-AU"/>
        </w:rPr>
        <w:t>Anitmicrobial</w:t>
      </w:r>
      <w:proofErr w:type="spellEnd"/>
      <w:r w:rsidRPr="186A08C5">
        <w:rPr>
          <w:rFonts w:cs="Calibri,Bold"/>
          <w:lang w:eastAsia="en-AU"/>
        </w:rPr>
        <w:t xml:space="preserve">, AMS, </w:t>
      </w:r>
      <w:r w:rsidR="00AE4D51" w:rsidRPr="186A08C5">
        <w:rPr>
          <w:rFonts w:cs="Calibri,Bold"/>
          <w:lang w:eastAsia="en-AU"/>
        </w:rPr>
        <w:t>Presc</w:t>
      </w:r>
      <w:r w:rsidR="00ED4C97" w:rsidRPr="186A08C5">
        <w:rPr>
          <w:rFonts w:cs="Calibri,Bold"/>
          <w:lang w:eastAsia="en-AU"/>
        </w:rPr>
        <w:t>r</w:t>
      </w:r>
      <w:r w:rsidR="00AE4D51" w:rsidRPr="186A08C5">
        <w:rPr>
          <w:rFonts w:cs="Calibri,Bold"/>
          <w:lang w:eastAsia="en-AU"/>
        </w:rPr>
        <w:t xml:space="preserve">ibing, </w:t>
      </w:r>
      <w:r w:rsidR="00ED4C97" w:rsidRPr="186A08C5">
        <w:rPr>
          <w:rFonts w:cs="Calibri,Bold"/>
          <w:lang w:eastAsia="en-AU"/>
        </w:rPr>
        <w:t xml:space="preserve">antibiotics, </w:t>
      </w:r>
      <w:proofErr w:type="gramStart"/>
      <w:r w:rsidR="00ED4C97" w:rsidRPr="00214A30">
        <w:rPr>
          <w:spacing w:val="-1"/>
        </w:rPr>
        <w:t>Antimicrobial</w:t>
      </w:r>
      <w:proofErr w:type="gramEnd"/>
      <w:r w:rsidR="00ED4C97" w:rsidRPr="00214A30">
        <w:rPr>
          <w:spacing w:val="-1"/>
        </w:rPr>
        <w:t xml:space="preserve"> stewardship, </w:t>
      </w:r>
      <w:r w:rsidR="00ED4C97" w:rsidRPr="00214A30">
        <w:t xml:space="preserve">AMS, </w:t>
      </w:r>
      <w:r w:rsidR="00ED4C97" w:rsidRPr="00214A30">
        <w:rPr>
          <w:spacing w:val="-1"/>
        </w:rPr>
        <w:t>Antibiotic, Restricted, Antimicrobial</w:t>
      </w:r>
      <w:r w:rsidR="00ED4C97" w:rsidRPr="00214A30">
        <w:rPr>
          <w:spacing w:val="29"/>
        </w:rPr>
        <w:t xml:space="preserve">, </w:t>
      </w:r>
      <w:r w:rsidR="00ED4C97" w:rsidRPr="00214A30">
        <w:rPr>
          <w:spacing w:val="-1"/>
        </w:rPr>
        <w:t>Approval</w:t>
      </w:r>
      <w:r w:rsidR="00ED4C97" w:rsidRPr="00214A30">
        <w:rPr>
          <w:spacing w:val="25"/>
        </w:rPr>
        <w:t xml:space="preserve">, </w:t>
      </w:r>
      <w:r w:rsidR="00ED4C97" w:rsidRPr="00214A30">
        <w:rPr>
          <w:spacing w:val="-1"/>
        </w:rPr>
        <w:t>Antimicrobial Approval,</w:t>
      </w:r>
      <w:r w:rsidR="00ED4C97" w:rsidRPr="00214A30">
        <w:rPr>
          <w:spacing w:val="25"/>
        </w:rPr>
        <w:t xml:space="preserve"> </w:t>
      </w:r>
      <w:r w:rsidR="00ED4C97" w:rsidRPr="00214A30">
        <w:rPr>
          <w:spacing w:val="-1"/>
        </w:rPr>
        <w:t>DHR, Antimicrobial Order Panels, Infectious</w:t>
      </w:r>
      <w:r w:rsidR="00ED4C97" w:rsidRPr="00214A30">
        <w:rPr>
          <w:spacing w:val="-3"/>
        </w:rPr>
        <w:t xml:space="preserve">, </w:t>
      </w:r>
      <w:r w:rsidR="00ED4C97" w:rsidRPr="00214A30">
        <w:rPr>
          <w:spacing w:val="-1"/>
        </w:rPr>
        <w:t>Diseases</w:t>
      </w:r>
      <w:r w:rsidR="00ED4C97" w:rsidRPr="00214A30">
        <w:rPr>
          <w:spacing w:val="21"/>
        </w:rPr>
        <w:t xml:space="preserve">, </w:t>
      </w:r>
      <w:r w:rsidR="00ED4C97" w:rsidRPr="00214A30">
        <w:rPr>
          <w:spacing w:val="-1"/>
        </w:rPr>
        <w:t xml:space="preserve">Prescribing, Antibiotics. </w:t>
      </w:r>
    </w:p>
    <w:p w14:paraId="2F51A8DF" w14:textId="61B25C66" w:rsidR="005067CA" w:rsidRPr="00ED4C97" w:rsidRDefault="005067CA" w:rsidP="005067CA">
      <w:pPr>
        <w:rPr>
          <w:rFonts w:cs="Calibri,Bold"/>
          <w:bCs/>
          <w:iCs/>
          <w:szCs w:val="24"/>
          <w:lang w:eastAsia="en-AU"/>
        </w:rPr>
      </w:pPr>
    </w:p>
    <w:p w14:paraId="2F51A8E1" w14:textId="77777777" w:rsidR="005F3214" w:rsidRPr="00AC7025" w:rsidRDefault="00F517F5" w:rsidP="00AC7025">
      <w:pPr>
        <w:jc w:val="right"/>
        <w:rPr>
          <w:rFonts w:cs="Calibri,Bold"/>
          <w:bCs/>
          <w:i/>
          <w:szCs w:val="24"/>
          <w:lang w:eastAsia="en-AU"/>
        </w:rPr>
      </w:pPr>
      <w:hyperlink w:anchor="Contents" w:history="1">
        <w:r w:rsidR="007B6904" w:rsidRPr="00590902">
          <w:rPr>
            <w:rStyle w:val="Hyperlink"/>
            <w:rFonts w:cs="Arial"/>
            <w:i/>
            <w:szCs w:val="24"/>
          </w:rPr>
          <w:t>Back to Table of Contents</w:t>
        </w:r>
      </w:hyperlink>
      <w:bookmarkStart w:id="37"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0F1F60" w14:paraId="2F51A8E3" w14:textId="77777777" w:rsidTr="0074223E">
        <w:trPr>
          <w:cantSplit/>
          <w:trHeight w:val="285"/>
        </w:trPr>
        <w:tc>
          <w:tcPr>
            <w:tcW w:w="9158" w:type="dxa"/>
            <w:shd w:val="clear" w:color="auto" w:fill="A6A6A6" w:themeFill="background1" w:themeFillShade="A6"/>
          </w:tcPr>
          <w:p w14:paraId="2F51A8E2" w14:textId="77777777" w:rsidR="002405CF" w:rsidRPr="000F1F60" w:rsidRDefault="002405CF" w:rsidP="00CC5D11">
            <w:pPr>
              <w:pStyle w:val="Heading1"/>
            </w:pPr>
            <w:bookmarkStart w:id="38" w:name="_Toc159339630"/>
            <w:r>
              <w:t>Attachments</w:t>
            </w:r>
            <w:bookmarkEnd w:id="38"/>
          </w:p>
        </w:tc>
      </w:tr>
      <w:bookmarkEnd w:id="37"/>
    </w:tbl>
    <w:p w14:paraId="2F51A8E4" w14:textId="77777777" w:rsidR="00DE4E25" w:rsidRDefault="00DE4E25" w:rsidP="007B6904">
      <w:pPr>
        <w:rPr>
          <w:rFonts w:cs="Arial"/>
          <w:i/>
          <w:szCs w:val="24"/>
        </w:rPr>
      </w:pPr>
    </w:p>
    <w:p w14:paraId="2F51A8E5" w14:textId="7BE9539E" w:rsidR="00FF56DD" w:rsidRPr="00AE4D51" w:rsidRDefault="00ED4C97" w:rsidP="007B6904">
      <w:pPr>
        <w:rPr>
          <w:rFonts w:cs="Arial"/>
          <w:iCs/>
          <w:szCs w:val="24"/>
        </w:rPr>
      </w:pPr>
      <w:r>
        <w:rPr>
          <w:rFonts w:cs="Arial"/>
          <w:iCs/>
          <w:szCs w:val="24"/>
        </w:rPr>
        <w:t xml:space="preserve">Attachment 1 – </w:t>
      </w:r>
      <w:r w:rsidR="00AE4D51" w:rsidRPr="00AE4D51">
        <w:rPr>
          <w:rFonts w:cs="Arial"/>
          <w:iCs/>
          <w:szCs w:val="24"/>
        </w:rPr>
        <w:t>Antimicrobial Stewardship Clinical Care Standard</w:t>
      </w:r>
    </w:p>
    <w:p w14:paraId="2F51A8E6" w14:textId="77777777" w:rsidR="00FF56DD" w:rsidRDefault="00FF56DD" w:rsidP="007B6904">
      <w:pPr>
        <w:rPr>
          <w:rFonts w:cs="Arial"/>
          <w:szCs w:val="24"/>
        </w:rPr>
      </w:pPr>
    </w:p>
    <w:p w14:paraId="741BB234" w14:textId="77777777" w:rsidR="00ED46C3" w:rsidRPr="008202D3" w:rsidRDefault="00ED46C3" w:rsidP="00ED46C3">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6590710B" w14:textId="77777777" w:rsidR="00ED46C3" w:rsidRPr="008202D3" w:rsidRDefault="00ED46C3" w:rsidP="00ED46C3">
      <w:pPr>
        <w:rPr>
          <w:rFonts w:cs="Arial"/>
          <w:i/>
          <w:iCs/>
          <w:sz w:val="20"/>
        </w:rPr>
      </w:pPr>
    </w:p>
    <w:p w14:paraId="714DB272" w14:textId="77777777" w:rsidR="00ED46C3" w:rsidRPr="008202D3" w:rsidRDefault="00ED46C3" w:rsidP="00ED46C3">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D46C3" w:rsidRPr="008202D3" w14:paraId="3D8FB228" w14:textId="77777777" w:rsidTr="006F09E0">
        <w:tc>
          <w:tcPr>
            <w:tcW w:w="2265" w:type="dxa"/>
          </w:tcPr>
          <w:p w14:paraId="4CC3BE7E" w14:textId="77777777" w:rsidR="00ED46C3" w:rsidRPr="008202D3" w:rsidRDefault="00ED46C3" w:rsidP="006F09E0">
            <w:pPr>
              <w:rPr>
                <w:i/>
                <w:sz w:val="20"/>
              </w:rPr>
            </w:pPr>
            <w:r w:rsidRPr="008202D3">
              <w:rPr>
                <w:i/>
                <w:sz w:val="20"/>
              </w:rPr>
              <w:t>Date Amended</w:t>
            </w:r>
          </w:p>
        </w:tc>
        <w:tc>
          <w:tcPr>
            <w:tcW w:w="2265" w:type="dxa"/>
          </w:tcPr>
          <w:p w14:paraId="0C6FC403" w14:textId="77777777" w:rsidR="00ED46C3" w:rsidRPr="008202D3" w:rsidRDefault="00ED46C3" w:rsidP="006F09E0">
            <w:pPr>
              <w:rPr>
                <w:i/>
                <w:sz w:val="20"/>
              </w:rPr>
            </w:pPr>
            <w:r w:rsidRPr="008202D3">
              <w:rPr>
                <w:i/>
                <w:sz w:val="20"/>
              </w:rPr>
              <w:t>Section Amended</w:t>
            </w:r>
          </w:p>
        </w:tc>
        <w:tc>
          <w:tcPr>
            <w:tcW w:w="2265" w:type="dxa"/>
          </w:tcPr>
          <w:p w14:paraId="36BF7192" w14:textId="77777777" w:rsidR="00ED46C3" w:rsidRPr="008202D3" w:rsidRDefault="00ED46C3" w:rsidP="006F09E0">
            <w:pPr>
              <w:rPr>
                <w:i/>
                <w:sz w:val="20"/>
              </w:rPr>
            </w:pPr>
            <w:r w:rsidRPr="008202D3">
              <w:rPr>
                <w:i/>
                <w:sz w:val="20"/>
              </w:rPr>
              <w:t>Divisional Approval</w:t>
            </w:r>
          </w:p>
        </w:tc>
        <w:tc>
          <w:tcPr>
            <w:tcW w:w="2265" w:type="dxa"/>
          </w:tcPr>
          <w:p w14:paraId="6974B6A4" w14:textId="77777777" w:rsidR="00ED46C3" w:rsidRPr="008202D3" w:rsidRDefault="00ED46C3" w:rsidP="006F09E0">
            <w:pPr>
              <w:rPr>
                <w:i/>
                <w:sz w:val="20"/>
              </w:rPr>
            </w:pPr>
            <w:r w:rsidRPr="008202D3">
              <w:rPr>
                <w:i/>
                <w:sz w:val="20"/>
              </w:rPr>
              <w:t xml:space="preserve">Final Approval </w:t>
            </w:r>
          </w:p>
        </w:tc>
      </w:tr>
      <w:tr w:rsidR="00ED46C3" w:rsidRPr="008202D3" w14:paraId="69E49990" w14:textId="77777777" w:rsidTr="006F09E0">
        <w:tc>
          <w:tcPr>
            <w:tcW w:w="2265" w:type="dxa"/>
          </w:tcPr>
          <w:p w14:paraId="4CB276AE" w14:textId="12F9F564" w:rsidR="00ED46C3" w:rsidRPr="008202D3" w:rsidRDefault="00192947" w:rsidP="006F09E0">
            <w:pPr>
              <w:rPr>
                <w:i/>
                <w:sz w:val="20"/>
              </w:rPr>
            </w:pPr>
            <w:r>
              <w:rPr>
                <w:i/>
                <w:sz w:val="20"/>
              </w:rPr>
              <w:t>2</w:t>
            </w:r>
            <w:r w:rsidR="00CF2FB8">
              <w:rPr>
                <w:i/>
                <w:sz w:val="20"/>
              </w:rPr>
              <w:t>3</w:t>
            </w:r>
            <w:r>
              <w:rPr>
                <w:i/>
                <w:sz w:val="20"/>
              </w:rPr>
              <w:t>/0</w:t>
            </w:r>
            <w:r w:rsidR="00CF2FB8">
              <w:rPr>
                <w:i/>
                <w:sz w:val="20"/>
              </w:rPr>
              <w:t>2</w:t>
            </w:r>
            <w:r>
              <w:rPr>
                <w:i/>
                <w:sz w:val="20"/>
              </w:rPr>
              <w:t>/2024</w:t>
            </w:r>
          </w:p>
        </w:tc>
        <w:tc>
          <w:tcPr>
            <w:tcW w:w="2265" w:type="dxa"/>
          </w:tcPr>
          <w:p w14:paraId="757FDC5B" w14:textId="2ABC9353" w:rsidR="00ED46C3" w:rsidRPr="008202D3" w:rsidRDefault="00192947" w:rsidP="006F09E0">
            <w:pPr>
              <w:rPr>
                <w:i/>
                <w:sz w:val="20"/>
              </w:rPr>
            </w:pPr>
            <w:r>
              <w:rPr>
                <w:i/>
                <w:sz w:val="20"/>
              </w:rPr>
              <w:t xml:space="preserve">NCH </w:t>
            </w:r>
            <w:proofErr w:type="spellStart"/>
            <w:r>
              <w:rPr>
                <w:i/>
                <w:sz w:val="20"/>
              </w:rPr>
              <w:t>Tranistion</w:t>
            </w:r>
            <w:proofErr w:type="spellEnd"/>
          </w:p>
        </w:tc>
        <w:tc>
          <w:tcPr>
            <w:tcW w:w="2265" w:type="dxa"/>
          </w:tcPr>
          <w:p w14:paraId="45358585" w14:textId="42433117" w:rsidR="00ED46C3" w:rsidRPr="008202D3" w:rsidRDefault="00CF2FB8" w:rsidP="006F09E0">
            <w:pPr>
              <w:rPr>
                <w:i/>
                <w:sz w:val="20"/>
              </w:rPr>
            </w:pPr>
            <w:r>
              <w:rPr>
                <w:i/>
                <w:sz w:val="20"/>
              </w:rPr>
              <w:t>Emily Diprose, NCH ED of Allied Health &amp; Pharmacy</w:t>
            </w:r>
          </w:p>
        </w:tc>
        <w:tc>
          <w:tcPr>
            <w:tcW w:w="2265" w:type="dxa"/>
          </w:tcPr>
          <w:p w14:paraId="31501FE6" w14:textId="6C385085" w:rsidR="00ED46C3" w:rsidRPr="008202D3" w:rsidRDefault="00192947" w:rsidP="006F09E0">
            <w:pPr>
              <w:rPr>
                <w:i/>
                <w:sz w:val="20"/>
              </w:rPr>
            </w:pPr>
            <w:r>
              <w:rPr>
                <w:i/>
                <w:sz w:val="20"/>
              </w:rPr>
              <w:t xml:space="preserve">CHS Policy </w:t>
            </w:r>
            <w:r w:rsidR="00CF2FB8">
              <w:rPr>
                <w:i/>
                <w:sz w:val="20"/>
              </w:rPr>
              <w:t>Team</w:t>
            </w:r>
          </w:p>
        </w:tc>
      </w:tr>
      <w:tr w:rsidR="00ED46C3" w:rsidRPr="008202D3" w14:paraId="4B9C0359" w14:textId="77777777" w:rsidTr="006F09E0">
        <w:tc>
          <w:tcPr>
            <w:tcW w:w="2265" w:type="dxa"/>
          </w:tcPr>
          <w:p w14:paraId="01E40F72" w14:textId="77777777" w:rsidR="00ED46C3" w:rsidRPr="008202D3" w:rsidRDefault="00ED46C3" w:rsidP="006F09E0">
            <w:pPr>
              <w:rPr>
                <w:i/>
                <w:sz w:val="20"/>
              </w:rPr>
            </w:pPr>
          </w:p>
        </w:tc>
        <w:tc>
          <w:tcPr>
            <w:tcW w:w="2265" w:type="dxa"/>
          </w:tcPr>
          <w:p w14:paraId="25312BA2" w14:textId="77777777" w:rsidR="00ED46C3" w:rsidRPr="008202D3" w:rsidRDefault="00ED46C3" w:rsidP="006F09E0">
            <w:pPr>
              <w:rPr>
                <w:i/>
                <w:sz w:val="20"/>
              </w:rPr>
            </w:pPr>
          </w:p>
        </w:tc>
        <w:tc>
          <w:tcPr>
            <w:tcW w:w="2265" w:type="dxa"/>
          </w:tcPr>
          <w:p w14:paraId="6A63A790" w14:textId="77777777" w:rsidR="00ED46C3" w:rsidRPr="008202D3" w:rsidRDefault="00ED46C3" w:rsidP="006F09E0">
            <w:pPr>
              <w:rPr>
                <w:i/>
                <w:sz w:val="20"/>
              </w:rPr>
            </w:pPr>
          </w:p>
        </w:tc>
        <w:tc>
          <w:tcPr>
            <w:tcW w:w="2265" w:type="dxa"/>
          </w:tcPr>
          <w:p w14:paraId="0C203B9F" w14:textId="77777777" w:rsidR="00ED46C3" w:rsidRPr="008202D3" w:rsidRDefault="00ED46C3" w:rsidP="006F09E0">
            <w:pPr>
              <w:rPr>
                <w:i/>
                <w:sz w:val="20"/>
              </w:rPr>
            </w:pPr>
          </w:p>
        </w:tc>
      </w:tr>
    </w:tbl>
    <w:p w14:paraId="3B395D33" w14:textId="77777777" w:rsidR="00ED46C3" w:rsidRPr="008202D3" w:rsidRDefault="00ED46C3" w:rsidP="00ED46C3">
      <w:pPr>
        <w:rPr>
          <w:rFonts w:cs="Arial"/>
          <w:sz w:val="20"/>
        </w:rPr>
      </w:pPr>
    </w:p>
    <w:p w14:paraId="22B94EA3" w14:textId="77777777" w:rsidR="00ED46C3" w:rsidRPr="008202D3" w:rsidRDefault="00ED46C3" w:rsidP="00ED46C3">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D46C3" w:rsidRPr="008202D3" w14:paraId="3DF1741B" w14:textId="77777777" w:rsidTr="006F09E0">
        <w:tc>
          <w:tcPr>
            <w:tcW w:w="2122" w:type="dxa"/>
          </w:tcPr>
          <w:p w14:paraId="3A0A8647" w14:textId="77777777" w:rsidR="00ED46C3" w:rsidRPr="008202D3" w:rsidRDefault="00ED46C3" w:rsidP="006F09E0">
            <w:pPr>
              <w:rPr>
                <w:i/>
                <w:sz w:val="20"/>
              </w:rPr>
            </w:pPr>
            <w:r w:rsidRPr="008202D3">
              <w:rPr>
                <w:i/>
                <w:sz w:val="20"/>
              </w:rPr>
              <w:t>Document Number</w:t>
            </w:r>
          </w:p>
        </w:tc>
        <w:tc>
          <w:tcPr>
            <w:tcW w:w="6938" w:type="dxa"/>
          </w:tcPr>
          <w:p w14:paraId="40CE1B13" w14:textId="77777777" w:rsidR="00ED46C3" w:rsidRPr="008202D3" w:rsidRDefault="00ED46C3" w:rsidP="006F09E0">
            <w:pPr>
              <w:rPr>
                <w:i/>
                <w:sz w:val="20"/>
              </w:rPr>
            </w:pPr>
            <w:r w:rsidRPr="008202D3">
              <w:rPr>
                <w:i/>
                <w:sz w:val="20"/>
              </w:rPr>
              <w:t>Document Name</w:t>
            </w:r>
          </w:p>
        </w:tc>
      </w:tr>
      <w:tr w:rsidR="00ED46C3" w:rsidRPr="008202D3" w14:paraId="389A2F7C" w14:textId="77777777" w:rsidTr="006F09E0">
        <w:tc>
          <w:tcPr>
            <w:tcW w:w="2122" w:type="dxa"/>
          </w:tcPr>
          <w:p w14:paraId="72FFFF3B" w14:textId="77777777" w:rsidR="00ED46C3" w:rsidRPr="008202D3" w:rsidRDefault="00ED46C3" w:rsidP="006F09E0">
            <w:pPr>
              <w:rPr>
                <w:i/>
                <w:sz w:val="20"/>
              </w:rPr>
            </w:pPr>
          </w:p>
        </w:tc>
        <w:tc>
          <w:tcPr>
            <w:tcW w:w="6938" w:type="dxa"/>
          </w:tcPr>
          <w:p w14:paraId="61EF68F3" w14:textId="635D0854" w:rsidR="00ED46C3" w:rsidRPr="008202D3" w:rsidRDefault="00192947" w:rsidP="006F09E0">
            <w:pPr>
              <w:rPr>
                <w:i/>
                <w:sz w:val="20"/>
              </w:rPr>
            </w:pPr>
            <w:r>
              <w:rPr>
                <w:i/>
                <w:sz w:val="20"/>
              </w:rPr>
              <w:t>Antimicrobial Stewardship (AMS) Procedure</w:t>
            </w:r>
          </w:p>
        </w:tc>
      </w:tr>
      <w:tr w:rsidR="00ED46C3" w:rsidRPr="008202D3" w14:paraId="4414C7E4" w14:textId="77777777" w:rsidTr="006F09E0">
        <w:tc>
          <w:tcPr>
            <w:tcW w:w="2122" w:type="dxa"/>
          </w:tcPr>
          <w:p w14:paraId="0E1C6F88" w14:textId="77777777" w:rsidR="00ED46C3" w:rsidRPr="008202D3" w:rsidRDefault="00ED46C3" w:rsidP="006F09E0">
            <w:pPr>
              <w:rPr>
                <w:i/>
                <w:sz w:val="20"/>
              </w:rPr>
            </w:pPr>
          </w:p>
        </w:tc>
        <w:tc>
          <w:tcPr>
            <w:tcW w:w="6938" w:type="dxa"/>
          </w:tcPr>
          <w:p w14:paraId="73EF72D2" w14:textId="4A9F707B" w:rsidR="00ED46C3" w:rsidRPr="008202D3" w:rsidRDefault="00CF2FB8" w:rsidP="006F09E0">
            <w:pPr>
              <w:rPr>
                <w:i/>
                <w:sz w:val="20"/>
              </w:rPr>
            </w:pPr>
            <w:r w:rsidRPr="00CF2FB8">
              <w:rPr>
                <w:i/>
                <w:sz w:val="20"/>
              </w:rPr>
              <w:t>Antimicrobial Stewardship (AMS) Policy</w:t>
            </w:r>
          </w:p>
        </w:tc>
      </w:tr>
    </w:tbl>
    <w:p w14:paraId="2F51A904" w14:textId="77777777" w:rsidR="00B12123" w:rsidRPr="00010E74" w:rsidRDefault="00B12123" w:rsidP="00B12123">
      <w:pPr>
        <w:rPr>
          <w:i/>
          <w:sz w:val="20"/>
          <w:szCs w:val="24"/>
        </w:rPr>
      </w:pPr>
    </w:p>
    <w:p w14:paraId="2F51A905" w14:textId="77777777" w:rsidR="00395E36" w:rsidRDefault="00395E36" w:rsidP="007B6904">
      <w:pPr>
        <w:rPr>
          <w:rFonts w:cs="Arial"/>
          <w:szCs w:val="24"/>
        </w:rPr>
      </w:pPr>
    </w:p>
    <w:p w14:paraId="487A639F" w14:textId="77777777" w:rsidR="00AE4D51" w:rsidRDefault="00AE4D51" w:rsidP="007B6904">
      <w:pPr>
        <w:rPr>
          <w:rFonts w:cs="Arial"/>
          <w:szCs w:val="24"/>
        </w:rPr>
      </w:pPr>
    </w:p>
    <w:p w14:paraId="09EEB2A3" w14:textId="77777777" w:rsidR="00AE4D51" w:rsidRDefault="00AE4D51" w:rsidP="007B6904">
      <w:pPr>
        <w:rPr>
          <w:rFonts w:cs="Arial"/>
          <w:szCs w:val="24"/>
        </w:rPr>
      </w:pPr>
    </w:p>
    <w:p w14:paraId="4F4BAD8F" w14:textId="77777777" w:rsidR="00AE4D51" w:rsidRDefault="00AE4D51" w:rsidP="007B6904">
      <w:pPr>
        <w:rPr>
          <w:rFonts w:cs="Arial"/>
          <w:szCs w:val="24"/>
        </w:rPr>
      </w:pPr>
    </w:p>
    <w:p w14:paraId="3F6F8C86" w14:textId="77777777" w:rsidR="00AE4D51" w:rsidRDefault="00AE4D51" w:rsidP="007B6904">
      <w:pPr>
        <w:rPr>
          <w:rFonts w:cs="Arial"/>
          <w:szCs w:val="24"/>
        </w:rPr>
      </w:pPr>
    </w:p>
    <w:p w14:paraId="7553ADE2" w14:textId="77777777" w:rsidR="00AE4D51" w:rsidRDefault="00AE4D51" w:rsidP="007B6904">
      <w:pPr>
        <w:rPr>
          <w:rFonts w:cs="Arial"/>
          <w:szCs w:val="24"/>
        </w:rPr>
      </w:pPr>
    </w:p>
    <w:p w14:paraId="67C1459E" w14:textId="77777777" w:rsidR="00AE4D51" w:rsidRDefault="00AE4D51" w:rsidP="007B6904">
      <w:pPr>
        <w:rPr>
          <w:rFonts w:cs="Arial"/>
          <w:szCs w:val="24"/>
        </w:rPr>
      </w:pPr>
    </w:p>
    <w:p w14:paraId="06937CA3" w14:textId="77777777" w:rsidR="00AE4D51" w:rsidRDefault="00AE4D51" w:rsidP="007B6904">
      <w:pPr>
        <w:rPr>
          <w:rFonts w:cs="Arial"/>
          <w:szCs w:val="24"/>
        </w:rPr>
      </w:pPr>
    </w:p>
    <w:p w14:paraId="090767A2" w14:textId="77777777" w:rsidR="00AE4D51" w:rsidRDefault="00AE4D51" w:rsidP="007B6904">
      <w:pPr>
        <w:rPr>
          <w:rFonts w:cs="Arial"/>
          <w:szCs w:val="24"/>
        </w:rPr>
      </w:pPr>
    </w:p>
    <w:p w14:paraId="5D50C43C" w14:textId="77777777" w:rsidR="00AE4D51" w:rsidRDefault="00AE4D51" w:rsidP="007B6904">
      <w:pPr>
        <w:rPr>
          <w:rFonts w:cs="Arial"/>
          <w:szCs w:val="24"/>
        </w:rPr>
      </w:pPr>
    </w:p>
    <w:p w14:paraId="547A9717" w14:textId="77777777" w:rsidR="00AE4D51" w:rsidRDefault="00AE4D51" w:rsidP="007B6904">
      <w:pPr>
        <w:rPr>
          <w:rFonts w:cs="Arial"/>
          <w:szCs w:val="24"/>
        </w:rPr>
      </w:pPr>
    </w:p>
    <w:p w14:paraId="58AA8A5B" w14:textId="77777777" w:rsidR="00AE4D51" w:rsidRDefault="00AE4D51" w:rsidP="007B6904">
      <w:pPr>
        <w:rPr>
          <w:rFonts w:cs="Arial"/>
          <w:szCs w:val="24"/>
        </w:rPr>
      </w:pPr>
    </w:p>
    <w:p w14:paraId="607DC737" w14:textId="77777777" w:rsidR="00ED4C97" w:rsidRDefault="00ED4C97">
      <w:pPr>
        <w:spacing w:after="200" w:line="276" w:lineRule="auto"/>
        <w:rPr>
          <w:rFonts w:eastAsiaTheme="majorEastAsia" w:cstheme="majorBidi"/>
          <w:b/>
          <w:bCs/>
          <w:szCs w:val="26"/>
        </w:rPr>
      </w:pPr>
      <w:r>
        <w:br w:type="page"/>
      </w:r>
    </w:p>
    <w:p w14:paraId="43B539ED" w14:textId="0C4A869F" w:rsidR="00AE4D51" w:rsidRDefault="00ED4C97" w:rsidP="00ED4C97">
      <w:pPr>
        <w:pStyle w:val="Heading2"/>
        <w:rPr>
          <w:rFonts w:asciiTheme="minorHAnsi" w:hAnsiTheme="minorHAnsi" w:cstheme="minorHAnsi"/>
          <w:color w:val="000000"/>
          <w:szCs w:val="24"/>
        </w:rPr>
      </w:pPr>
      <w:r>
        <w:lastRenderedPageBreak/>
        <w:t xml:space="preserve">Attachment 1 – </w:t>
      </w:r>
      <w:r w:rsidR="00AE4D51" w:rsidRPr="00AE4D51">
        <w:rPr>
          <w:rFonts w:asciiTheme="minorHAnsi" w:hAnsiTheme="minorHAnsi" w:cstheme="minorHAnsi"/>
          <w:color w:val="000000"/>
          <w:szCs w:val="24"/>
        </w:rPr>
        <w:t xml:space="preserve">Antimicrobial Stewardship Clinical Care Standard </w:t>
      </w:r>
    </w:p>
    <w:p w14:paraId="3936CC2B" w14:textId="77777777" w:rsidR="00ED4C97" w:rsidRPr="00ED4C97" w:rsidRDefault="00ED4C97" w:rsidP="00ED4C97"/>
    <w:p w14:paraId="1A7C1856"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1</w:t>
      </w:r>
      <w:r w:rsidRPr="00AE4D51">
        <w:rPr>
          <w:rFonts w:asciiTheme="minorHAnsi" w:hAnsiTheme="minorHAnsi" w:cstheme="minorHAnsi"/>
          <w:b/>
          <w:bCs/>
          <w:color w:val="000000"/>
          <w:szCs w:val="24"/>
        </w:rPr>
        <w:t xml:space="preserve"> Life-threatening conditions </w:t>
      </w:r>
      <w:r w:rsidRPr="00AE4D51">
        <w:rPr>
          <w:rFonts w:asciiTheme="minorHAnsi" w:hAnsiTheme="minorHAnsi" w:cstheme="minorHAnsi"/>
          <w:color w:val="000000"/>
          <w:szCs w:val="24"/>
        </w:rPr>
        <w:t xml:space="preserve">A patient with a life-threatening condition due to a suspected infection receives an appropriate antimicrobial immediately, without waiting for the results of investigations. </w:t>
      </w:r>
    </w:p>
    <w:p w14:paraId="25BE498D"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2</w:t>
      </w:r>
      <w:r w:rsidRPr="00AE4D51">
        <w:rPr>
          <w:rFonts w:asciiTheme="minorHAnsi" w:hAnsiTheme="minorHAnsi" w:cstheme="minorHAnsi"/>
          <w:b/>
          <w:bCs/>
          <w:color w:val="000000"/>
          <w:szCs w:val="24"/>
        </w:rPr>
        <w:t xml:space="preserve"> Use of guidelines </w:t>
      </w:r>
      <w:r w:rsidRPr="00AE4D51">
        <w:rPr>
          <w:rFonts w:asciiTheme="minorHAnsi" w:hAnsiTheme="minorHAnsi" w:cstheme="minorHAnsi"/>
          <w:color w:val="000000"/>
          <w:szCs w:val="24"/>
        </w:rPr>
        <w:t xml:space="preserve">When a patient is prescribed an antimicrobial, this is done in accordance with the current </w:t>
      </w:r>
      <w:r w:rsidRPr="00AE4D51">
        <w:rPr>
          <w:rFonts w:asciiTheme="minorHAnsi" w:hAnsiTheme="minorHAnsi" w:cstheme="minorHAnsi"/>
          <w:i/>
          <w:iCs/>
          <w:color w:val="000000"/>
          <w:szCs w:val="24"/>
        </w:rPr>
        <w:t xml:space="preserve">Therapeutic Guidelines </w:t>
      </w:r>
      <w:r w:rsidRPr="00AE4D51">
        <w:rPr>
          <w:rFonts w:asciiTheme="minorHAnsi" w:hAnsiTheme="minorHAnsi" w:cstheme="minorHAnsi"/>
          <w:color w:val="000000"/>
          <w:szCs w:val="24"/>
        </w:rPr>
        <w:t xml:space="preserve">or evidence-based, locally endorsed guidelines and the antimicrobial formulary. </w:t>
      </w:r>
    </w:p>
    <w:p w14:paraId="10186371"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 xml:space="preserve">3 </w:t>
      </w:r>
      <w:r w:rsidRPr="00AE4D51">
        <w:rPr>
          <w:rFonts w:asciiTheme="minorHAnsi" w:hAnsiTheme="minorHAnsi" w:cstheme="minorHAnsi"/>
          <w:b/>
          <w:bCs/>
          <w:color w:val="000000"/>
          <w:szCs w:val="24"/>
        </w:rPr>
        <w:t xml:space="preserve">Adverse reactions to antimicrobials </w:t>
      </w:r>
      <w:r w:rsidRPr="00AE4D51">
        <w:rPr>
          <w:rFonts w:asciiTheme="minorHAnsi" w:hAnsiTheme="minorHAnsi" w:cstheme="minorHAnsi"/>
          <w:color w:val="000000"/>
          <w:szCs w:val="24"/>
        </w:rPr>
        <w:t xml:space="preserve">When an adverse reaction (including an allergy) to an antimicrobial is reported by a patient or recorded in their healthcare record, the active ingredient(s), date, </w:t>
      </w:r>
      <w:proofErr w:type="gramStart"/>
      <w:r w:rsidRPr="00AE4D51">
        <w:rPr>
          <w:rFonts w:asciiTheme="minorHAnsi" w:hAnsiTheme="minorHAnsi" w:cstheme="minorHAnsi"/>
          <w:color w:val="000000"/>
          <w:szCs w:val="24"/>
        </w:rPr>
        <w:t>nature</w:t>
      </w:r>
      <w:proofErr w:type="gramEnd"/>
      <w:r w:rsidRPr="00AE4D51">
        <w:rPr>
          <w:rFonts w:asciiTheme="minorHAnsi" w:hAnsiTheme="minorHAnsi" w:cstheme="minorHAnsi"/>
          <w:color w:val="000000"/>
          <w:szCs w:val="24"/>
        </w:rPr>
        <w:t xml:space="preserve"> and severity of the reaction are assessed and documented. This enables the most appropriate antimicrobial to be used when required. </w:t>
      </w:r>
    </w:p>
    <w:p w14:paraId="12ABA8E4"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4</w:t>
      </w:r>
      <w:r w:rsidRPr="00AE4D51">
        <w:rPr>
          <w:rFonts w:asciiTheme="minorHAnsi" w:hAnsiTheme="minorHAnsi" w:cstheme="minorHAnsi"/>
          <w:b/>
          <w:bCs/>
          <w:color w:val="000000"/>
          <w:szCs w:val="24"/>
        </w:rPr>
        <w:t xml:space="preserve"> Microbiological testing </w:t>
      </w:r>
      <w:r w:rsidRPr="00AE4D51">
        <w:rPr>
          <w:rFonts w:asciiTheme="minorHAnsi" w:hAnsiTheme="minorHAnsi" w:cstheme="minorHAnsi"/>
          <w:color w:val="000000"/>
          <w:szCs w:val="24"/>
        </w:rPr>
        <w:t xml:space="preserve">A patient with a suspected infection has appropriate samples taken for microbiology testing as clinically indicated, preferably before starting antimicrobial therapy. </w:t>
      </w:r>
    </w:p>
    <w:p w14:paraId="5E7AE734"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 xml:space="preserve">5 </w:t>
      </w:r>
      <w:r w:rsidRPr="00AE4D51">
        <w:rPr>
          <w:rFonts w:asciiTheme="minorHAnsi" w:hAnsiTheme="minorHAnsi" w:cstheme="minorHAnsi"/>
          <w:b/>
          <w:bCs/>
          <w:color w:val="000000"/>
          <w:szCs w:val="24"/>
        </w:rPr>
        <w:t xml:space="preserve">Patient information and shared decision making </w:t>
      </w:r>
      <w:r w:rsidRPr="00AE4D51">
        <w:rPr>
          <w:rFonts w:asciiTheme="minorHAnsi" w:hAnsiTheme="minorHAnsi" w:cstheme="minorHAnsi"/>
          <w:color w:val="000000"/>
          <w:szCs w:val="24"/>
        </w:rPr>
        <w:t xml:space="preserve">A patient with an infection, or at risk of an infection, is provided with information about their condition and treatment options in a way that they can understand. If antimicrobials are prescribed, information on how to use them, when to stop, potential side effects and a review plan is discussed with the patient. </w:t>
      </w:r>
    </w:p>
    <w:p w14:paraId="2C048E75"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6</w:t>
      </w:r>
      <w:r w:rsidRPr="00AE4D51">
        <w:rPr>
          <w:rFonts w:asciiTheme="minorHAnsi" w:hAnsiTheme="minorHAnsi" w:cstheme="minorHAnsi"/>
          <w:b/>
          <w:bCs/>
          <w:color w:val="000000"/>
          <w:szCs w:val="24"/>
        </w:rPr>
        <w:t xml:space="preserve"> Documentation </w:t>
      </w:r>
      <w:r w:rsidRPr="00AE4D51">
        <w:rPr>
          <w:rFonts w:asciiTheme="minorHAnsi" w:hAnsiTheme="minorHAnsi" w:cstheme="minorHAnsi"/>
          <w:color w:val="000000"/>
          <w:szCs w:val="24"/>
        </w:rPr>
        <w:t xml:space="preserve">When a patient is prescribed an antimicrobial, the indication, active ingredient, dose, frequency and route of administration, and the intended duration or review plan are documented in the patient’s healthcare record. </w:t>
      </w:r>
    </w:p>
    <w:p w14:paraId="45D9ECCE" w14:textId="77777777" w:rsidR="00AE4D51" w:rsidRPr="00AE4D51" w:rsidRDefault="00AE4D51" w:rsidP="00AE4D51">
      <w:pPr>
        <w:autoSpaceDE w:val="0"/>
        <w:autoSpaceDN w:val="0"/>
        <w:adjustRightInd w:val="0"/>
        <w:spacing w:after="220" w:line="191" w:lineRule="atLeast"/>
        <w:rPr>
          <w:rFonts w:asciiTheme="minorHAnsi" w:hAnsiTheme="minorHAnsi" w:cstheme="minorHAnsi"/>
          <w:color w:val="000000"/>
          <w:szCs w:val="24"/>
        </w:rPr>
      </w:pPr>
      <w:r w:rsidRPr="00ED4C97">
        <w:rPr>
          <w:rFonts w:asciiTheme="minorHAnsi" w:hAnsiTheme="minorHAnsi" w:cstheme="minorHAnsi"/>
          <w:b/>
          <w:bCs/>
          <w:color w:val="000000"/>
          <w:sz w:val="44"/>
          <w:szCs w:val="44"/>
        </w:rPr>
        <w:t xml:space="preserve">7 </w:t>
      </w:r>
      <w:r w:rsidRPr="00AE4D51">
        <w:rPr>
          <w:rFonts w:asciiTheme="minorHAnsi" w:hAnsiTheme="minorHAnsi" w:cstheme="minorHAnsi"/>
          <w:b/>
          <w:bCs/>
          <w:color w:val="000000"/>
          <w:szCs w:val="24"/>
        </w:rPr>
        <w:t xml:space="preserve">Review of therapy </w:t>
      </w:r>
      <w:r w:rsidRPr="00AE4D51">
        <w:rPr>
          <w:rFonts w:asciiTheme="minorHAnsi" w:hAnsiTheme="minorHAnsi" w:cstheme="minorHAnsi"/>
          <w:color w:val="000000"/>
          <w:szCs w:val="24"/>
        </w:rPr>
        <w:t xml:space="preserve">A patient prescribed an antimicrobial has regular clinical review of their therapy, with the frequency of review dependent on patient acuity and risk factors. The need for ongoing antimicrobial use, appropriate microbial spectrum of activity, dose, </w:t>
      </w:r>
      <w:proofErr w:type="gramStart"/>
      <w:r w:rsidRPr="00AE4D51">
        <w:rPr>
          <w:rFonts w:asciiTheme="minorHAnsi" w:hAnsiTheme="minorHAnsi" w:cstheme="minorHAnsi"/>
          <w:color w:val="000000"/>
          <w:szCs w:val="24"/>
        </w:rPr>
        <w:t>frequency</w:t>
      </w:r>
      <w:proofErr w:type="gramEnd"/>
      <w:r w:rsidRPr="00AE4D51">
        <w:rPr>
          <w:rFonts w:asciiTheme="minorHAnsi" w:hAnsiTheme="minorHAnsi" w:cstheme="minorHAnsi"/>
          <w:color w:val="000000"/>
          <w:szCs w:val="24"/>
        </w:rPr>
        <w:t xml:space="preserve"> and route of administration are assessed and adjusted accordingly. Investigation results are reviewed promptly when they are reported. </w:t>
      </w:r>
    </w:p>
    <w:p w14:paraId="545E6D8E" w14:textId="77777777" w:rsidR="00AE4D51" w:rsidRPr="00AE4D51" w:rsidRDefault="00AE4D51" w:rsidP="00AE4D51">
      <w:pPr>
        <w:rPr>
          <w:rFonts w:asciiTheme="minorHAnsi" w:hAnsiTheme="minorHAnsi" w:cstheme="minorHAnsi"/>
          <w:b/>
          <w:szCs w:val="24"/>
        </w:rPr>
      </w:pPr>
      <w:r w:rsidRPr="00ED4C97">
        <w:rPr>
          <w:rFonts w:asciiTheme="minorHAnsi" w:hAnsiTheme="minorHAnsi" w:cstheme="minorHAnsi"/>
          <w:b/>
          <w:bCs/>
          <w:color w:val="000000"/>
          <w:sz w:val="44"/>
          <w:szCs w:val="44"/>
        </w:rPr>
        <w:t xml:space="preserve">8 </w:t>
      </w:r>
      <w:r w:rsidRPr="00AE4D51">
        <w:rPr>
          <w:rFonts w:asciiTheme="minorHAnsi" w:hAnsiTheme="minorHAnsi" w:cstheme="minorHAnsi"/>
          <w:b/>
          <w:bCs/>
          <w:color w:val="000000"/>
          <w:szCs w:val="24"/>
        </w:rPr>
        <w:t xml:space="preserve">Surgical and procedural prophylaxis </w:t>
      </w:r>
      <w:r w:rsidRPr="00AE4D51">
        <w:rPr>
          <w:rFonts w:asciiTheme="minorHAnsi" w:hAnsiTheme="minorHAnsi" w:cstheme="minorHAnsi"/>
          <w:color w:val="000000"/>
          <w:szCs w:val="24"/>
        </w:rPr>
        <w:t xml:space="preserve">A patient having </w:t>
      </w:r>
      <w:proofErr w:type="gramStart"/>
      <w:r w:rsidRPr="00AE4D51">
        <w:rPr>
          <w:rFonts w:asciiTheme="minorHAnsi" w:hAnsiTheme="minorHAnsi" w:cstheme="minorHAnsi"/>
          <w:color w:val="000000"/>
          <w:szCs w:val="24"/>
        </w:rPr>
        <w:t>surgery</w:t>
      </w:r>
      <w:proofErr w:type="gramEnd"/>
      <w:r w:rsidRPr="00AE4D51">
        <w:rPr>
          <w:rFonts w:asciiTheme="minorHAnsi" w:hAnsiTheme="minorHAnsi" w:cstheme="minorHAnsi"/>
          <w:color w:val="000000"/>
          <w:szCs w:val="24"/>
        </w:rPr>
        <w:t xml:space="preserve"> or a procedure is prescribed antimicrobial prophylaxis in accordance with the current </w:t>
      </w:r>
      <w:r w:rsidRPr="00AE4D51">
        <w:rPr>
          <w:rFonts w:asciiTheme="minorHAnsi" w:hAnsiTheme="minorHAnsi" w:cstheme="minorHAnsi"/>
          <w:i/>
          <w:iCs/>
          <w:color w:val="000000"/>
          <w:szCs w:val="24"/>
        </w:rPr>
        <w:t xml:space="preserve">Therapeutic Guidelines </w:t>
      </w:r>
      <w:r w:rsidRPr="00AE4D51">
        <w:rPr>
          <w:rFonts w:asciiTheme="minorHAnsi" w:hAnsiTheme="minorHAnsi" w:cstheme="minorHAnsi"/>
          <w:color w:val="000000"/>
          <w:szCs w:val="24"/>
        </w:rPr>
        <w:t xml:space="preserve">or evidence-based, locally endorsed guidelines. This includes recommendations about the need for prophylaxis, choice of antimicrobial, dose, route and timing of administration, and duration. </w:t>
      </w:r>
    </w:p>
    <w:p w14:paraId="5D5236FC" w14:textId="77777777" w:rsidR="00AE4D51" w:rsidRDefault="00AE4D51" w:rsidP="007B6904">
      <w:pPr>
        <w:rPr>
          <w:rFonts w:cs="Arial"/>
          <w:szCs w:val="24"/>
        </w:rPr>
      </w:pPr>
    </w:p>
    <w:sectPr w:rsidR="00AE4D51" w:rsidSect="004213C3">
      <w:headerReference w:type="default" r:id="rId20"/>
      <w:footerReference w:type="default" r:id="rId21"/>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EE50" w14:textId="77777777" w:rsidR="007067A0" w:rsidRDefault="007067A0" w:rsidP="00F66CB0">
      <w:r>
        <w:separator/>
      </w:r>
    </w:p>
  </w:endnote>
  <w:endnote w:type="continuationSeparator" w:id="0">
    <w:p w14:paraId="1BCE15E2" w14:textId="77777777" w:rsidR="007067A0" w:rsidRDefault="007067A0"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seo Sans 300">
    <w:altName w:val="Calibri"/>
    <w:panose1 w:val="00000000000000000000"/>
    <w:charset w:val="00"/>
    <w:family w:val="swiss"/>
    <w:notTrueType/>
    <w:pitch w:val="default"/>
    <w:sig w:usb0="00000003" w:usb1="00000000" w:usb2="00000000" w:usb3="00000000" w:csb0="00000001" w:csb1="00000000"/>
  </w:font>
  <w:font w:name="Calluna">
    <w:altName w:val="Callun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7067A0" w:rsidRPr="00AE7C5C" w14:paraId="2F51A914" w14:textId="77777777" w:rsidTr="00CF2FB8">
      <w:tc>
        <w:tcPr>
          <w:tcW w:w="1515" w:type="dxa"/>
        </w:tcPr>
        <w:p w14:paraId="2F51A90E" w14:textId="77777777" w:rsidR="007067A0" w:rsidRPr="00B3752F" w:rsidRDefault="007067A0" w:rsidP="004213C3">
          <w:pPr>
            <w:pStyle w:val="Footer"/>
            <w:rPr>
              <w:rFonts w:cs="Arial"/>
              <w:b/>
              <w:bCs/>
              <w:i/>
              <w:sz w:val="20"/>
            </w:rPr>
          </w:pPr>
          <w:r w:rsidRPr="00B3752F">
            <w:rPr>
              <w:rFonts w:cs="Arial"/>
              <w:b/>
              <w:bCs/>
              <w:i/>
              <w:sz w:val="20"/>
            </w:rPr>
            <w:t>Doc Number</w:t>
          </w:r>
        </w:p>
      </w:tc>
      <w:tc>
        <w:tcPr>
          <w:tcW w:w="965" w:type="dxa"/>
        </w:tcPr>
        <w:p w14:paraId="2F51A90F" w14:textId="77777777" w:rsidR="007067A0" w:rsidRPr="00B3752F" w:rsidRDefault="007067A0" w:rsidP="004213C3">
          <w:pPr>
            <w:pStyle w:val="Footer"/>
            <w:rPr>
              <w:rFonts w:cs="Arial"/>
              <w:b/>
              <w:bCs/>
              <w:i/>
              <w:sz w:val="20"/>
            </w:rPr>
          </w:pPr>
          <w:r w:rsidRPr="00B3752F">
            <w:rPr>
              <w:rFonts w:cs="Arial"/>
              <w:b/>
              <w:bCs/>
              <w:i/>
              <w:sz w:val="20"/>
            </w:rPr>
            <w:t>Version</w:t>
          </w:r>
        </w:p>
      </w:tc>
      <w:tc>
        <w:tcPr>
          <w:tcW w:w="1552" w:type="dxa"/>
        </w:tcPr>
        <w:p w14:paraId="2F51A910" w14:textId="77777777" w:rsidR="007067A0" w:rsidRPr="00B3752F" w:rsidRDefault="007067A0" w:rsidP="004213C3">
          <w:pPr>
            <w:pStyle w:val="Footer"/>
            <w:rPr>
              <w:rFonts w:cs="Arial"/>
              <w:b/>
              <w:bCs/>
              <w:i/>
              <w:sz w:val="20"/>
            </w:rPr>
          </w:pPr>
          <w:r w:rsidRPr="00B3752F">
            <w:rPr>
              <w:rFonts w:cs="Arial"/>
              <w:b/>
              <w:bCs/>
              <w:i/>
              <w:sz w:val="20"/>
            </w:rPr>
            <w:t>Issued</w:t>
          </w:r>
        </w:p>
      </w:tc>
      <w:tc>
        <w:tcPr>
          <w:tcW w:w="1456" w:type="dxa"/>
        </w:tcPr>
        <w:p w14:paraId="2F51A911" w14:textId="77777777" w:rsidR="007067A0" w:rsidRPr="00B3752F" w:rsidRDefault="007067A0" w:rsidP="004213C3">
          <w:pPr>
            <w:pStyle w:val="Footer"/>
            <w:rPr>
              <w:rFonts w:cs="Arial"/>
              <w:b/>
              <w:bCs/>
              <w:i/>
              <w:sz w:val="20"/>
            </w:rPr>
          </w:pPr>
          <w:r w:rsidRPr="00B3752F">
            <w:rPr>
              <w:rFonts w:cs="Arial"/>
              <w:b/>
              <w:bCs/>
              <w:i/>
              <w:sz w:val="20"/>
            </w:rPr>
            <w:t>Review Date</w:t>
          </w:r>
        </w:p>
      </w:tc>
      <w:tc>
        <w:tcPr>
          <w:tcW w:w="2592" w:type="dxa"/>
        </w:tcPr>
        <w:p w14:paraId="2F51A912" w14:textId="77777777" w:rsidR="007067A0" w:rsidRPr="00B3752F" w:rsidRDefault="007067A0" w:rsidP="004213C3">
          <w:pPr>
            <w:pStyle w:val="Footer"/>
            <w:rPr>
              <w:rFonts w:cs="Arial"/>
              <w:b/>
              <w:bCs/>
              <w:i/>
              <w:sz w:val="20"/>
            </w:rPr>
          </w:pPr>
          <w:r w:rsidRPr="00B3752F">
            <w:rPr>
              <w:rFonts w:cs="Arial"/>
              <w:b/>
              <w:bCs/>
              <w:i/>
              <w:sz w:val="20"/>
            </w:rPr>
            <w:t>Area Responsible</w:t>
          </w:r>
        </w:p>
      </w:tc>
      <w:tc>
        <w:tcPr>
          <w:tcW w:w="990" w:type="dxa"/>
        </w:tcPr>
        <w:p w14:paraId="2F51A913" w14:textId="77777777" w:rsidR="007067A0" w:rsidRPr="00B3752F" w:rsidRDefault="007067A0" w:rsidP="004213C3">
          <w:pPr>
            <w:pStyle w:val="Footer"/>
            <w:rPr>
              <w:rFonts w:cs="Arial"/>
              <w:b/>
              <w:bCs/>
              <w:i/>
              <w:sz w:val="20"/>
            </w:rPr>
          </w:pPr>
          <w:r w:rsidRPr="00B3752F">
            <w:rPr>
              <w:rFonts w:cs="Arial"/>
              <w:b/>
              <w:bCs/>
              <w:i/>
              <w:sz w:val="20"/>
            </w:rPr>
            <w:t>Page</w:t>
          </w:r>
        </w:p>
      </w:tc>
    </w:tr>
    <w:tr w:rsidR="007067A0" w14:paraId="2F51A91B" w14:textId="77777777" w:rsidTr="00CF2FB8">
      <w:tc>
        <w:tcPr>
          <w:tcW w:w="1515" w:type="dxa"/>
        </w:tcPr>
        <w:p w14:paraId="2F51A915" w14:textId="7B7A7AD1" w:rsidR="007067A0" w:rsidRPr="00542EE6" w:rsidRDefault="00CF2FB8" w:rsidP="004213C3">
          <w:pPr>
            <w:pStyle w:val="Footer"/>
            <w:rPr>
              <w:rFonts w:cs="Arial"/>
              <w:b/>
              <w:bCs/>
              <w:sz w:val="20"/>
            </w:rPr>
          </w:pPr>
          <w:r>
            <w:rPr>
              <w:b/>
              <w:bCs/>
              <w:sz w:val="20"/>
            </w:rPr>
            <w:t>CHS24/072</w:t>
          </w:r>
        </w:p>
      </w:tc>
      <w:tc>
        <w:tcPr>
          <w:tcW w:w="965" w:type="dxa"/>
        </w:tcPr>
        <w:p w14:paraId="2F51A916" w14:textId="657A1164" w:rsidR="007067A0" w:rsidRPr="00B3752F" w:rsidRDefault="00CF2FB8" w:rsidP="004213C3">
          <w:pPr>
            <w:pStyle w:val="Footer"/>
            <w:rPr>
              <w:rFonts w:cs="Arial"/>
              <w:b/>
              <w:bCs/>
              <w:sz w:val="20"/>
            </w:rPr>
          </w:pPr>
          <w:r>
            <w:rPr>
              <w:rFonts w:cs="Arial"/>
              <w:b/>
              <w:bCs/>
              <w:sz w:val="20"/>
            </w:rPr>
            <w:t>1</w:t>
          </w:r>
        </w:p>
      </w:tc>
      <w:tc>
        <w:tcPr>
          <w:tcW w:w="1552" w:type="dxa"/>
        </w:tcPr>
        <w:p w14:paraId="2F51A917" w14:textId="392710B7" w:rsidR="007067A0" w:rsidRPr="00B3752F" w:rsidRDefault="00CF2FB8" w:rsidP="004213C3">
          <w:pPr>
            <w:pStyle w:val="Footer"/>
            <w:rPr>
              <w:rFonts w:cs="Arial"/>
              <w:b/>
              <w:bCs/>
              <w:sz w:val="20"/>
            </w:rPr>
          </w:pPr>
          <w:r>
            <w:rPr>
              <w:rFonts w:cs="Arial"/>
              <w:b/>
              <w:bCs/>
              <w:sz w:val="20"/>
            </w:rPr>
            <w:t>23/02/2024</w:t>
          </w:r>
        </w:p>
      </w:tc>
      <w:tc>
        <w:tcPr>
          <w:tcW w:w="1456" w:type="dxa"/>
        </w:tcPr>
        <w:p w14:paraId="2F51A918" w14:textId="2705D177" w:rsidR="007067A0" w:rsidRPr="00B3752F" w:rsidRDefault="00CF2FB8" w:rsidP="004213C3">
          <w:pPr>
            <w:pStyle w:val="Footer"/>
            <w:rPr>
              <w:rFonts w:cs="Arial"/>
              <w:b/>
              <w:bCs/>
              <w:sz w:val="20"/>
            </w:rPr>
          </w:pPr>
          <w:r>
            <w:rPr>
              <w:rFonts w:cs="Arial"/>
              <w:b/>
              <w:bCs/>
              <w:sz w:val="20"/>
            </w:rPr>
            <w:t>01/10/2025</w:t>
          </w:r>
        </w:p>
      </w:tc>
      <w:tc>
        <w:tcPr>
          <w:tcW w:w="2592" w:type="dxa"/>
        </w:tcPr>
        <w:p w14:paraId="2F51A919" w14:textId="7687A8B1" w:rsidR="00CF2FB8" w:rsidRPr="00B3752F" w:rsidRDefault="00CF2FB8" w:rsidP="004213C3">
          <w:pPr>
            <w:pStyle w:val="Footer"/>
            <w:rPr>
              <w:rFonts w:cs="Arial"/>
              <w:b/>
              <w:bCs/>
              <w:sz w:val="20"/>
            </w:rPr>
          </w:pPr>
          <w:r>
            <w:rPr>
              <w:rFonts w:cs="Arial"/>
              <w:b/>
              <w:bCs/>
              <w:sz w:val="20"/>
            </w:rPr>
            <w:t>NCH – Allied Health &amp; Palliative Care – Pharmacy</w:t>
          </w:r>
        </w:p>
      </w:tc>
      <w:tc>
        <w:tcPr>
          <w:tcW w:w="990" w:type="dxa"/>
        </w:tcPr>
        <w:p w14:paraId="2F51A91A" w14:textId="0A0833E1" w:rsidR="007067A0" w:rsidRPr="00B3752F" w:rsidRDefault="007067A0" w:rsidP="004213C3">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sidR="00474C3A">
            <w:rPr>
              <w:rStyle w:val="PageNumber"/>
              <w:noProof/>
              <w:sz w:val="20"/>
            </w:rPr>
            <w:t>16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sidR="00474C3A">
            <w:rPr>
              <w:rStyle w:val="PageNumber"/>
              <w:noProof/>
              <w:sz w:val="20"/>
            </w:rPr>
            <w:t>16</w:t>
          </w:r>
          <w:r w:rsidRPr="00B3752F">
            <w:rPr>
              <w:rStyle w:val="PageNumber"/>
              <w:sz w:val="20"/>
            </w:rPr>
            <w:fldChar w:fldCharType="end"/>
          </w:r>
        </w:p>
      </w:tc>
    </w:tr>
    <w:tr w:rsidR="007067A0" w14:paraId="668DA41F" w14:textId="77777777" w:rsidTr="006F09E0">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12A806D" w14:textId="713A0083" w:rsidR="007067A0" w:rsidRPr="002C1428" w:rsidRDefault="007067A0" w:rsidP="005E1140">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2F51A91D" w14:textId="77777777" w:rsidR="007067A0" w:rsidRPr="00AE7C5C" w:rsidRDefault="007067A0" w:rsidP="00CD1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2DA6" w14:textId="77777777" w:rsidR="007067A0" w:rsidRDefault="007067A0" w:rsidP="00F66CB0">
      <w:r>
        <w:separator/>
      </w:r>
    </w:p>
  </w:footnote>
  <w:footnote w:type="continuationSeparator" w:id="0">
    <w:p w14:paraId="7530518F" w14:textId="77777777" w:rsidR="007067A0" w:rsidRDefault="007067A0"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7067A0" w14:paraId="2F51A90C" w14:textId="77777777" w:rsidTr="0074223E">
      <w:trPr>
        <w:trHeight w:val="1418"/>
      </w:trPr>
      <w:tc>
        <w:tcPr>
          <w:tcW w:w="5556" w:type="dxa"/>
          <w:vAlign w:val="center"/>
          <w:hideMark/>
        </w:tcPr>
        <w:p w14:paraId="2F51A90A" w14:textId="5F72D3B6" w:rsidR="007067A0" w:rsidRDefault="007067A0" w:rsidP="0074223E">
          <w:pPr>
            <w:pStyle w:val="Header"/>
            <w:rPr>
              <w:sz w:val="20"/>
            </w:rPr>
          </w:pPr>
          <w:r>
            <w:rPr>
              <w:noProof/>
              <w:sz w:val="20"/>
            </w:rPr>
            <w:drawing>
              <wp:inline distT="0" distB="0" distL="0" distR="0" wp14:anchorId="5330CC0D" wp14:editId="1210EDE2">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F51A90B" w14:textId="2B4DC9D4" w:rsidR="00CF2FB8" w:rsidRDefault="00CF2FB8" w:rsidP="00CF2FB8">
          <w:pPr>
            <w:pStyle w:val="Header"/>
            <w:tabs>
              <w:tab w:val="left" w:pos="720"/>
            </w:tabs>
            <w:jc w:val="right"/>
            <w:rPr>
              <w:sz w:val="20"/>
            </w:rPr>
          </w:pPr>
          <w:bookmarkStart w:id="39" w:name="_top"/>
          <w:bookmarkEnd w:id="39"/>
          <w:r>
            <w:rPr>
              <w:sz w:val="20"/>
            </w:rPr>
            <w:t>CHS24/072</w:t>
          </w:r>
        </w:p>
      </w:tc>
    </w:tr>
  </w:tbl>
  <w:p w14:paraId="2F51A90D" w14:textId="77777777" w:rsidR="007067A0" w:rsidRPr="00FC3538" w:rsidRDefault="007067A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544B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F22BB"/>
    <w:multiLevelType w:val="hybridMultilevel"/>
    <w:tmpl w:val="3D30C6FC"/>
    <w:lvl w:ilvl="0" w:tplc="0C090001">
      <w:start w:val="1"/>
      <w:numFmt w:val="bullet"/>
      <w:lvlText w:val=""/>
      <w:lvlJc w:val="left"/>
      <w:pPr>
        <w:ind w:left="340" w:hanging="360"/>
      </w:pPr>
      <w:rPr>
        <w:rFonts w:ascii="Symbol" w:hAnsi="Symbol" w:hint="default"/>
      </w:rPr>
    </w:lvl>
    <w:lvl w:ilvl="1" w:tplc="0C090003" w:tentative="1">
      <w:start w:val="1"/>
      <w:numFmt w:val="bullet"/>
      <w:lvlText w:val="o"/>
      <w:lvlJc w:val="left"/>
      <w:pPr>
        <w:ind w:left="1060" w:hanging="360"/>
      </w:pPr>
      <w:rPr>
        <w:rFonts w:ascii="Courier New" w:hAnsi="Courier New" w:cs="Courier New" w:hint="default"/>
      </w:rPr>
    </w:lvl>
    <w:lvl w:ilvl="2" w:tplc="0C090005" w:tentative="1">
      <w:start w:val="1"/>
      <w:numFmt w:val="bullet"/>
      <w:lvlText w:val=""/>
      <w:lvlJc w:val="left"/>
      <w:pPr>
        <w:ind w:left="1780" w:hanging="360"/>
      </w:pPr>
      <w:rPr>
        <w:rFonts w:ascii="Wingdings" w:hAnsi="Wingdings" w:hint="default"/>
      </w:rPr>
    </w:lvl>
    <w:lvl w:ilvl="3" w:tplc="0C090001" w:tentative="1">
      <w:start w:val="1"/>
      <w:numFmt w:val="bullet"/>
      <w:lvlText w:val=""/>
      <w:lvlJc w:val="left"/>
      <w:pPr>
        <w:ind w:left="2500" w:hanging="360"/>
      </w:pPr>
      <w:rPr>
        <w:rFonts w:ascii="Symbol" w:hAnsi="Symbol" w:hint="default"/>
      </w:rPr>
    </w:lvl>
    <w:lvl w:ilvl="4" w:tplc="0C090003" w:tentative="1">
      <w:start w:val="1"/>
      <w:numFmt w:val="bullet"/>
      <w:lvlText w:val="o"/>
      <w:lvlJc w:val="left"/>
      <w:pPr>
        <w:ind w:left="3220" w:hanging="360"/>
      </w:pPr>
      <w:rPr>
        <w:rFonts w:ascii="Courier New" w:hAnsi="Courier New" w:cs="Courier New" w:hint="default"/>
      </w:rPr>
    </w:lvl>
    <w:lvl w:ilvl="5" w:tplc="0C090005" w:tentative="1">
      <w:start w:val="1"/>
      <w:numFmt w:val="bullet"/>
      <w:lvlText w:val=""/>
      <w:lvlJc w:val="left"/>
      <w:pPr>
        <w:ind w:left="3940" w:hanging="360"/>
      </w:pPr>
      <w:rPr>
        <w:rFonts w:ascii="Wingdings" w:hAnsi="Wingdings" w:hint="default"/>
      </w:rPr>
    </w:lvl>
    <w:lvl w:ilvl="6" w:tplc="0C090001" w:tentative="1">
      <w:start w:val="1"/>
      <w:numFmt w:val="bullet"/>
      <w:lvlText w:val=""/>
      <w:lvlJc w:val="left"/>
      <w:pPr>
        <w:ind w:left="4660" w:hanging="360"/>
      </w:pPr>
      <w:rPr>
        <w:rFonts w:ascii="Symbol" w:hAnsi="Symbol" w:hint="default"/>
      </w:rPr>
    </w:lvl>
    <w:lvl w:ilvl="7" w:tplc="0C090003" w:tentative="1">
      <w:start w:val="1"/>
      <w:numFmt w:val="bullet"/>
      <w:lvlText w:val="o"/>
      <w:lvlJc w:val="left"/>
      <w:pPr>
        <w:ind w:left="5380" w:hanging="360"/>
      </w:pPr>
      <w:rPr>
        <w:rFonts w:ascii="Courier New" w:hAnsi="Courier New" w:cs="Courier New" w:hint="default"/>
      </w:rPr>
    </w:lvl>
    <w:lvl w:ilvl="8" w:tplc="0C090005" w:tentative="1">
      <w:start w:val="1"/>
      <w:numFmt w:val="bullet"/>
      <w:lvlText w:val=""/>
      <w:lvlJc w:val="left"/>
      <w:pPr>
        <w:ind w:left="610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4E0AA76"/>
    <w:multiLevelType w:val="hybridMultilevel"/>
    <w:tmpl w:val="5A4C990C"/>
    <w:lvl w:ilvl="0" w:tplc="CB5E7052">
      <w:start w:val="1"/>
      <w:numFmt w:val="bullet"/>
      <w:lvlText w:val="o"/>
      <w:lvlJc w:val="left"/>
      <w:pPr>
        <w:ind w:left="720" w:hanging="360"/>
      </w:pPr>
      <w:rPr>
        <w:rFonts w:ascii="&quot;Courier New&quot;" w:hAnsi="&quot;Courier New&quot;" w:hint="default"/>
      </w:rPr>
    </w:lvl>
    <w:lvl w:ilvl="1" w:tplc="78DE60FA">
      <w:start w:val="1"/>
      <w:numFmt w:val="bullet"/>
      <w:lvlText w:val="o"/>
      <w:lvlJc w:val="left"/>
      <w:pPr>
        <w:ind w:left="1440" w:hanging="360"/>
      </w:pPr>
      <w:rPr>
        <w:rFonts w:ascii="Courier New" w:hAnsi="Courier New" w:hint="default"/>
      </w:rPr>
    </w:lvl>
    <w:lvl w:ilvl="2" w:tplc="E96C61DC">
      <w:start w:val="1"/>
      <w:numFmt w:val="bullet"/>
      <w:lvlText w:val=""/>
      <w:lvlJc w:val="left"/>
      <w:pPr>
        <w:ind w:left="2160" w:hanging="360"/>
      </w:pPr>
      <w:rPr>
        <w:rFonts w:ascii="Wingdings" w:hAnsi="Wingdings" w:hint="default"/>
      </w:rPr>
    </w:lvl>
    <w:lvl w:ilvl="3" w:tplc="902EC700">
      <w:start w:val="1"/>
      <w:numFmt w:val="bullet"/>
      <w:lvlText w:val=""/>
      <w:lvlJc w:val="left"/>
      <w:pPr>
        <w:ind w:left="2880" w:hanging="360"/>
      </w:pPr>
      <w:rPr>
        <w:rFonts w:ascii="Symbol" w:hAnsi="Symbol" w:hint="default"/>
      </w:rPr>
    </w:lvl>
    <w:lvl w:ilvl="4" w:tplc="CA629BAC">
      <w:start w:val="1"/>
      <w:numFmt w:val="bullet"/>
      <w:lvlText w:val="o"/>
      <w:lvlJc w:val="left"/>
      <w:pPr>
        <w:ind w:left="3600" w:hanging="360"/>
      </w:pPr>
      <w:rPr>
        <w:rFonts w:ascii="Courier New" w:hAnsi="Courier New" w:hint="default"/>
      </w:rPr>
    </w:lvl>
    <w:lvl w:ilvl="5" w:tplc="8FB20C14">
      <w:start w:val="1"/>
      <w:numFmt w:val="bullet"/>
      <w:lvlText w:val=""/>
      <w:lvlJc w:val="left"/>
      <w:pPr>
        <w:ind w:left="4320" w:hanging="360"/>
      </w:pPr>
      <w:rPr>
        <w:rFonts w:ascii="Wingdings" w:hAnsi="Wingdings" w:hint="default"/>
      </w:rPr>
    </w:lvl>
    <w:lvl w:ilvl="6" w:tplc="D778AFC2">
      <w:start w:val="1"/>
      <w:numFmt w:val="bullet"/>
      <w:lvlText w:val=""/>
      <w:lvlJc w:val="left"/>
      <w:pPr>
        <w:ind w:left="5040" w:hanging="360"/>
      </w:pPr>
      <w:rPr>
        <w:rFonts w:ascii="Symbol" w:hAnsi="Symbol" w:hint="default"/>
      </w:rPr>
    </w:lvl>
    <w:lvl w:ilvl="7" w:tplc="50D42FF4">
      <w:start w:val="1"/>
      <w:numFmt w:val="bullet"/>
      <w:lvlText w:val="o"/>
      <w:lvlJc w:val="left"/>
      <w:pPr>
        <w:ind w:left="5760" w:hanging="360"/>
      </w:pPr>
      <w:rPr>
        <w:rFonts w:ascii="Courier New" w:hAnsi="Courier New" w:hint="default"/>
      </w:rPr>
    </w:lvl>
    <w:lvl w:ilvl="8" w:tplc="2A067A32">
      <w:start w:val="1"/>
      <w:numFmt w:val="bullet"/>
      <w:lvlText w:val=""/>
      <w:lvlJc w:val="left"/>
      <w:pPr>
        <w:ind w:left="6480" w:hanging="360"/>
      </w:pPr>
      <w:rPr>
        <w:rFonts w:ascii="Wingdings" w:hAnsi="Wingdings" w:hint="default"/>
      </w:rPr>
    </w:lvl>
  </w:abstractNum>
  <w:abstractNum w:abstractNumId="5" w15:restartNumberingAfterBreak="0">
    <w:nsid w:val="06910CC2"/>
    <w:multiLevelType w:val="hybridMultilevel"/>
    <w:tmpl w:val="5E124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A3E8F8"/>
    <w:multiLevelType w:val="hybridMultilevel"/>
    <w:tmpl w:val="7674E0DC"/>
    <w:lvl w:ilvl="0" w:tplc="1D56B40C">
      <w:start w:val="1"/>
      <w:numFmt w:val="bullet"/>
      <w:lvlText w:val="·"/>
      <w:lvlJc w:val="left"/>
      <w:pPr>
        <w:ind w:left="720" w:hanging="360"/>
      </w:pPr>
      <w:rPr>
        <w:rFonts w:ascii="Symbol" w:hAnsi="Symbol" w:hint="default"/>
      </w:rPr>
    </w:lvl>
    <w:lvl w:ilvl="1" w:tplc="E77E7DFC">
      <w:start w:val="1"/>
      <w:numFmt w:val="bullet"/>
      <w:lvlText w:val="o"/>
      <w:lvlJc w:val="left"/>
      <w:pPr>
        <w:ind w:left="1440" w:hanging="360"/>
      </w:pPr>
      <w:rPr>
        <w:rFonts w:ascii="Courier New" w:hAnsi="Courier New" w:hint="default"/>
      </w:rPr>
    </w:lvl>
    <w:lvl w:ilvl="2" w:tplc="A9F83A26">
      <w:start w:val="1"/>
      <w:numFmt w:val="bullet"/>
      <w:lvlText w:val=""/>
      <w:lvlJc w:val="left"/>
      <w:pPr>
        <w:ind w:left="2160" w:hanging="360"/>
      </w:pPr>
      <w:rPr>
        <w:rFonts w:ascii="Wingdings" w:hAnsi="Wingdings" w:hint="default"/>
      </w:rPr>
    </w:lvl>
    <w:lvl w:ilvl="3" w:tplc="2986443E">
      <w:start w:val="1"/>
      <w:numFmt w:val="bullet"/>
      <w:lvlText w:val=""/>
      <w:lvlJc w:val="left"/>
      <w:pPr>
        <w:ind w:left="2880" w:hanging="360"/>
      </w:pPr>
      <w:rPr>
        <w:rFonts w:ascii="Symbol" w:hAnsi="Symbol" w:hint="default"/>
      </w:rPr>
    </w:lvl>
    <w:lvl w:ilvl="4" w:tplc="91887F48">
      <w:start w:val="1"/>
      <w:numFmt w:val="bullet"/>
      <w:lvlText w:val="o"/>
      <w:lvlJc w:val="left"/>
      <w:pPr>
        <w:ind w:left="3600" w:hanging="360"/>
      </w:pPr>
      <w:rPr>
        <w:rFonts w:ascii="Courier New" w:hAnsi="Courier New" w:hint="default"/>
      </w:rPr>
    </w:lvl>
    <w:lvl w:ilvl="5" w:tplc="49F46E9E">
      <w:start w:val="1"/>
      <w:numFmt w:val="bullet"/>
      <w:lvlText w:val=""/>
      <w:lvlJc w:val="left"/>
      <w:pPr>
        <w:ind w:left="4320" w:hanging="360"/>
      </w:pPr>
      <w:rPr>
        <w:rFonts w:ascii="Wingdings" w:hAnsi="Wingdings" w:hint="default"/>
      </w:rPr>
    </w:lvl>
    <w:lvl w:ilvl="6" w:tplc="FDD2EA0E">
      <w:start w:val="1"/>
      <w:numFmt w:val="bullet"/>
      <w:lvlText w:val=""/>
      <w:lvlJc w:val="left"/>
      <w:pPr>
        <w:ind w:left="5040" w:hanging="360"/>
      </w:pPr>
      <w:rPr>
        <w:rFonts w:ascii="Symbol" w:hAnsi="Symbol" w:hint="default"/>
      </w:rPr>
    </w:lvl>
    <w:lvl w:ilvl="7" w:tplc="DF2E93BC">
      <w:start w:val="1"/>
      <w:numFmt w:val="bullet"/>
      <w:lvlText w:val="o"/>
      <w:lvlJc w:val="left"/>
      <w:pPr>
        <w:ind w:left="5760" w:hanging="360"/>
      </w:pPr>
      <w:rPr>
        <w:rFonts w:ascii="Courier New" w:hAnsi="Courier New" w:hint="default"/>
      </w:rPr>
    </w:lvl>
    <w:lvl w:ilvl="8" w:tplc="15C6940A">
      <w:start w:val="1"/>
      <w:numFmt w:val="bullet"/>
      <w:lvlText w:val=""/>
      <w:lvlJc w:val="left"/>
      <w:pPr>
        <w:ind w:left="6480" w:hanging="360"/>
      </w:pPr>
      <w:rPr>
        <w:rFonts w:ascii="Wingdings" w:hAnsi="Wingdings" w:hint="default"/>
      </w:rPr>
    </w:lvl>
  </w:abstractNum>
  <w:abstractNum w:abstractNumId="7" w15:restartNumberingAfterBreak="0">
    <w:nsid w:val="07CC4E9D"/>
    <w:multiLevelType w:val="hybridMultilevel"/>
    <w:tmpl w:val="3D6A832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8" w15:restartNumberingAfterBreak="0">
    <w:nsid w:val="08F52E86"/>
    <w:multiLevelType w:val="hybridMultilevel"/>
    <w:tmpl w:val="7234975E"/>
    <w:lvl w:ilvl="0" w:tplc="61CE8CCA">
      <w:start w:val="1"/>
      <w:numFmt w:val="bullet"/>
      <w:lvlText w:val="·"/>
      <w:lvlJc w:val="left"/>
      <w:pPr>
        <w:ind w:left="720" w:hanging="360"/>
      </w:pPr>
      <w:rPr>
        <w:rFonts w:ascii="Symbol" w:hAnsi="Symbol" w:hint="default"/>
      </w:rPr>
    </w:lvl>
    <w:lvl w:ilvl="1" w:tplc="B3D80DAE">
      <w:start w:val="1"/>
      <w:numFmt w:val="bullet"/>
      <w:lvlText w:val="o"/>
      <w:lvlJc w:val="left"/>
      <w:pPr>
        <w:ind w:left="1440" w:hanging="360"/>
      </w:pPr>
      <w:rPr>
        <w:rFonts w:ascii="Courier New" w:hAnsi="Courier New" w:hint="default"/>
      </w:rPr>
    </w:lvl>
    <w:lvl w:ilvl="2" w:tplc="1B922222">
      <w:start w:val="1"/>
      <w:numFmt w:val="bullet"/>
      <w:lvlText w:val=""/>
      <w:lvlJc w:val="left"/>
      <w:pPr>
        <w:ind w:left="2160" w:hanging="360"/>
      </w:pPr>
      <w:rPr>
        <w:rFonts w:ascii="Wingdings" w:hAnsi="Wingdings" w:hint="default"/>
      </w:rPr>
    </w:lvl>
    <w:lvl w:ilvl="3" w:tplc="EB3871B8">
      <w:start w:val="1"/>
      <w:numFmt w:val="bullet"/>
      <w:lvlText w:val=""/>
      <w:lvlJc w:val="left"/>
      <w:pPr>
        <w:ind w:left="2880" w:hanging="360"/>
      </w:pPr>
      <w:rPr>
        <w:rFonts w:ascii="Symbol" w:hAnsi="Symbol" w:hint="default"/>
      </w:rPr>
    </w:lvl>
    <w:lvl w:ilvl="4" w:tplc="2698DCAC">
      <w:start w:val="1"/>
      <w:numFmt w:val="bullet"/>
      <w:lvlText w:val="o"/>
      <w:lvlJc w:val="left"/>
      <w:pPr>
        <w:ind w:left="3600" w:hanging="360"/>
      </w:pPr>
      <w:rPr>
        <w:rFonts w:ascii="Courier New" w:hAnsi="Courier New" w:hint="default"/>
      </w:rPr>
    </w:lvl>
    <w:lvl w:ilvl="5" w:tplc="70969994">
      <w:start w:val="1"/>
      <w:numFmt w:val="bullet"/>
      <w:lvlText w:val=""/>
      <w:lvlJc w:val="left"/>
      <w:pPr>
        <w:ind w:left="4320" w:hanging="360"/>
      </w:pPr>
      <w:rPr>
        <w:rFonts w:ascii="Wingdings" w:hAnsi="Wingdings" w:hint="default"/>
      </w:rPr>
    </w:lvl>
    <w:lvl w:ilvl="6" w:tplc="421CA00E">
      <w:start w:val="1"/>
      <w:numFmt w:val="bullet"/>
      <w:lvlText w:val=""/>
      <w:lvlJc w:val="left"/>
      <w:pPr>
        <w:ind w:left="5040" w:hanging="360"/>
      </w:pPr>
      <w:rPr>
        <w:rFonts w:ascii="Symbol" w:hAnsi="Symbol" w:hint="default"/>
      </w:rPr>
    </w:lvl>
    <w:lvl w:ilvl="7" w:tplc="B39CE304">
      <w:start w:val="1"/>
      <w:numFmt w:val="bullet"/>
      <w:lvlText w:val="o"/>
      <w:lvlJc w:val="left"/>
      <w:pPr>
        <w:ind w:left="5760" w:hanging="360"/>
      </w:pPr>
      <w:rPr>
        <w:rFonts w:ascii="Courier New" w:hAnsi="Courier New" w:hint="default"/>
      </w:rPr>
    </w:lvl>
    <w:lvl w:ilvl="8" w:tplc="B2F62AFE">
      <w:start w:val="1"/>
      <w:numFmt w:val="bullet"/>
      <w:lvlText w:val=""/>
      <w:lvlJc w:val="left"/>
      <w:pPr>
        <w:ind w:left="6480" w:hanging="360"/>
      </w:pPr>
      <w:rPr>
        <w:rFonts w:ascii="Wingdings" w:hAnsi="Wingdings" w:hint="default"/>
      </w:rPr>
    </w:lvl>
  </w:abstractNum>
  <w:abstractNum w:abstractNumId="9" w15:restartNumberingAfterBreak="0">
    <w:nsid w:val="0A744083"/>
    <w:multiLevelType w:val="hybridMultilevel"/>
    <w:tmpl w:val="C862F3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A63A2"/>
    <w:multiLevelType w:val="hybridMultilevel"/>
    <w:tmpl w:val="215AC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843433"/>
    <w:multiLevelType w:val="hybridMultilevel"/>
    <w:tmpl w:val="1F5453D8"/>
    <w:lvl w:ilvl="0" w:tplc="EB5E0EA2">
      <w:start w:val="1"/>
      <w:numFmt w:val="bullet"/>
      <w:lvlText w:val="·"/>
      <w:lvlJc w:val="left"/>
      <w:pPr>
        <w:ind w:left="720" w:hanging="360"/>
      </w:pPr>
      <w:rPr>
        <w:rFonts w:ascii="Symbol" w:hAnsi="Symbol" w:hint="default"/>
      </w:rPr>
    </w:lvl>
    <w:lvl w:ilvl="1" w:tplc="CB8C6914">
      <w:start w:val="1"/>
      <w:numFmt w:val="bullet"/>
      <w:lvlText w:val="o"/>
      <w:lvlJc w:val="left"/>
      <w:pPr>
        <w:ind w:left="1440" w:hanging="360"/>
      </w:pPr>
      <w:rPr>
        <w:rFonts w:ascii="Courier New" w:hAnsi="Courier New" w:hint="default"/>
      </w:rPr>
    </w:lvl>
    <w:lvl w:ilvl="2" w:tplc="BC6AD210">
      <w:start w:val="1"/>
      <w:numFmt w:val="bullet"/>
      <w:lvlText w:val=""/>
      <w:lvlJc w:val="left"/>
      <w:pPr>
        <w:ind w:left="2160" w:hanging="360"/>
      </w:pPr>
      <w:rPr>
        <w:rFonts w:ascii="Wingdings" w:hAnsi="Wingdings" w:hint="default"/>
      </w:rPr>
    </w:lvl>
    <w:lvl w:ilvl="3" w:tplc="3EDCCA76">
      <w:start w:val="1"/>
      <w:numFmt w:val="bullet"/>
      <w:lvlText w:val=""/>
      <w:lvlJc w:val="left"/>
      <w:pPr>
        <w:ind w:left="2880" w:hanging="360"/>
      </w:pPr>
      <w:rPr>
        <w:rFonts w:ascii="Symbol" w:hAnsi="Symbol" w:hint="default"/>
      </w:rPr>
    </w:lvl>
    <w:lvl w:ilvl="4" w:tplc="C5A60D68">
      <w:start w:val="1"/>
      <w:numFmt w:val="bullet"/>
      <w:lvlText w:val="o"/>
      <w:lvlJc w:val="left"/>
      <w:pPr>
        <w:ind w:left="3600" w:hanging="360"/>
      </w:pPr>
      <w:rPr>
        <w:rFonts w:ascii="Courier New" w:hAnsi="Courier New" w:hint="default"/>
      </w:rPr>
    </w:lvl>
    <w:lvl w:ilvl="5" w:tplc="890ADE6A">
      <w:start w:val="1"/>
      <w:numFmt w:val="bullet"/>
      <w:lvlText w:val=""/>
      <w:lvlJc w:val="left"/>
      <w:pPr>
        <w:ind w:left="4320" w:hanging="360"/>
      </w:pPr>
      <w:rPr>
        <w:rFonts w:ascii="Wingdings" w:hAnsi="Wingdings" w:hint="default"/>
      </w:rPr>
    </w:lvl>
    <w:lvl w:ilvl="6" w:tplc="3C7E2B5C">
      <w:start w:val="1"/>
      <w:numFmt w:val="bullet"/>
      <w:lvlText w:val=""/>
      <w:lvlJc w:val="left"/>
      <w:pPr>
        <w:ind w:left="5040" w:hanging="360"/>
      </w:pPr>
      <w:rPr>
        <w:rFonts w:ascii="Symbol" w:hAnsi="Symbol" w:hint="default"/>
      </w:rPr>
    </w:lvl>
    <w:lvl w:ilvl="7" w:tplc="B4F6C440">
      <w:start w:val="1"/>
      <w:numFmt w:val="bullet"/>
      <w:lvlText w:val="o"/>
      <w:lvlJc w:val="left"/>
      <w:pPr>
        <w:ind w:left="5760" w:hanging="360"/>
      </w:pPr>
      <w:rPr>
        <w:rFonts w:ascii="Courier New" w:hAnsi="Courier New" w:hint="default"/>
      </w:rPr>
    </w:lvl>
    <w:lvl w:ilvl="8" w:tplc="5D90DCCA">
      <w:start w:val="1"/>
      <w:numFmt w:val="bullet"/>
      <w:lvlText w:val=""/>
      <w:lvlJc w:val="left"/>
      <w:pPr>
        <w:ind w:left="6480" w:hanging="360"/>
      </w:pPr>
      <w:rPr>
        <w:rFonts w:ascii="Wingdings" w:hAnsi="Wingdings" w:hint="default"/>
      </w:rPr>
    </w:lvl>
  </w:abstractNum>
  <w:abstractNum w:abstractNumId="15" w15:restartNumberingAfterBreak="0">
    <w:nsid w:val="24AB77CE"/>
    <w:multiLevelType w:val="hybridMultilevel"/>
    <w:tmpl w:val="F8403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9C725D"/>
    <w:multiLevelType w:val="hybridMultilevel"/>
    <w:tmpl w:val="9A10E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77263E"/>
    <w:multiLevelType w:val="hybridMultilevel"/>
    <w:tmpl w:val="C7467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222CF"/>
    <w:multiLevelType w:val="hybridMultilevel"/>
    <w:tmpl w:val="4970D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F760066"/>
    <w:multiLevelType w:val="hybridMultilevel"/>
    <w:tmpl w:val="D4B49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92C0F"/>
    <w:multiLevelType w:val="hybridMultilevel"/>
    <w:tmpl w:val="E4B2011A"/>
    <w:lvl w:ilvl="0" w:tplc="82684C82">
      <w:start w:val="1"/>
      <w:numFmt w:val="bullet"/>
      <w:lvlText w:val="·"/>
      <w:lvlJc w:val="left"/>
      <w:pPr>
        <w:ind w:left="720" w:hanging="360"/>
      </w:pPr>
      <w:rPr>
        <w:rFonts w:ascii="Symbol" w:hAnsi="Symbol" w:hint="default"/>
      </w:rPr>
    </w:lvl>
    <w:lvl w:ilvl="1" w:tplc="65B8D8C8">
      <w:start w:val="1"/>
      <w:numFmt w:val="bullet"/>
      <w:lvlText w:val="o"/>
      <w:lvlJc w:val="left"/>
      <w:pPr>
        <w:ind w:left="1440" w:hanging="360"/>
      </w:pPr>
      <w:rPr>
        <w:rFonts w:ascii="Courier New" w:hAnsi="Courier New" w:hint="default"/>
      </w:rPr>
    </w:lvl>
    <w:lvl w:ilvl="2" w:tplc="F7144C56">
      <w:start w:val="1"/>
      <w:numFmt w:val="bullet"/>
      <w:lvlText w:val=""/>
      <w:lvlJc w:val="left"/>
      <w:pPr>
        <w:ind w:left="2160" w:hanging="360"/>
      </w:pPr>
      <w:rPr>
        <w:rFonts w:ascii="Wingdings" w:hAnsi="Wingdings" w:hint="default"/>
      </w:rPr>
    </w:lvl>
    <w:lvl w:ilvl="3" w:tplc="D8B65FAA">
      <w:start w:val="1"/>
      <w:numFmt w:val="bullet"/>
      <w:lvlText w:val=""/>
      <w:lvlJc w:val="left"/>
      <w:pPr>
        <w:ind w:left="2880" w:hanging="360"/>
      </w:pPr>
      <w:rPr>
        <w:rFonts w:ascii="Symbol" w:hAnsi="Symbol" w:hint="default"/>
      </w:rPr>
    </w:lvl>
    <w:lvl w:ilvl="4" w:tplc="8864F68A">
      <w:start w:val="1"/>
      <w:numFmt w:val="bullet"/>
      <w:lvlText w:val="o"/>
      <w:lvlJc w:val="left"/>
      <w:pPr>
        <w:ind w:left="3600" w:hanging="360"/>
      </w:pPr>
      <w:rPr>
        <w:rFonts w:ascii="Courier New" w:hAnsi="Courier New" w:hint="default"/>
      </w:rPr>
    </w:lvl>
    <w:lvl w:ilvl="5" w:tplc="A956EC54">
      <w:start w:val="1"/>
      <w:numFmt w:val="bullet"/>
      <w:lvlText w:val=""/>
      <w:lvlJc w:val="left"/>
      <w:pPr>
        <w:ind w:left="4320" w:hanging="360"/>
      </w:pPr>
      <w:rPr>
        <w:rFonts w:ascii="Wingdings" w:hAnsi="Wingdings" w:hint="default"/>
      </w:rPr>
    </w:lvl>
    <w:lvl w:ilvl="6" w:tplc="CFDCE34A">
      <w:start w:val="1"/>
      <w:numFmt w:val="bullet"/>
      <w:lvlText w:val=""/>
      <w:lvlJc w:val="left"/>
      <w:pPr>
        <w:ind w:left="5040" w:hanging="360"/>
      </w:pPr>
      <w:rPr>
        <w:rFonts w:ascii="Symbol" w:hAnsi="Symbol" w:hint="default"/>
      </w:rPr>
    </w:lvl>
    <w:lvl w:ilvl="7" w:tplc="2084B3F2">
      <w:start w:val="1"/>
      <w:numFmt w:val="bullet"/>
      <w:lvlText w:val="o"/>
      <w:lvlJc w:val="left"/>
      <w:pPr>
        <w:ind w:left="5760" w:hanging="360"/>
      </w:pPr>
      <w:rPr>
        <w:rFonts w:ascii="Courier New" w:hAnsi="Courier New" w:hint="default"/>
      </w:rPr>
    </w:lvl>
    <w:lvl w:ilvl="8" w:tplc="D222E8F0">
      <w:start w:val="1"/>
      <w:numFmt w:val="bullet"/>
      <w:lvlText w:val=""/>
      <w:lvlJc w:val="left"/>
      <w:pPr>
        <w:ind w:left="6480" w:hanging="360"/>
      </w:pPr>
      <w:rPr>
        <w:rFonts w:ascii="Wingdings" w:hAnsi="Wingdings" w:hint="default"/>
      </w:rPr>
    </w:lvl>
  </w:abstractNum>
  <w:abstractNum w:abstractNumId="21" w15:restartNumberingAfterBreak="0">
    <w:nsid w:val="3569423F"/>
    <w:multiLevelType w:val="hybridMultilevel"/>
    <w:tmpl w:val="6494DFD8"/>
    <w:lvl w:ilvl="0" w:tplc="C5EEC260">
      <w:start w:val="1"/>
      <w:numFmt w:val="bullet"/>
      <w:lvlText w:val="o"/>
      <w:lvlJc w:val="left"/>
      <w:pPr>
        <w:ind w:left="1080" w:hanging="360"/>
      </w:pPr>
      <w:rPr>
        <w:rFonts w:ascii="Courier New" w:hAnsi="Courier New" w:hint="default"/>
      </w:rPr>
    </w:lvl>
    <w:lvl w:ilvl="1" w:tplc="578C057A" w:tentative="1">
      <w:start w:val="1"/>
      <w:numFmt w:val="bullet"/>
      <w:lvlText w:val="o"/>
      <w:lvlJc w:val="left"/>
      <w:pPr>
        <w:ind w:left="1800" w:hanging="360"/>
      </w:pPr>
      <w:rPr>
        <w:rFonts w:ascii="Courier New" w:hAnsi="Courier New" w:hint="default"/>
      </w:rPr>
    </w:lvl>
    <w:lvl w:ilvl="2" w:tplc="89945AE4" w:tentative="1">
      <w:start w:val="1"/>
      <w:numFmt w:val="bullet"/>
      <w:lvlText w:val=""/>
      <w:lvlJc w:val="left"/>
      <w:pPr>
        <w:ind w:left="2520" w:hanging="360"/>
      </w:pPr>
      <w:rPr>
        <w:rFonts w:ascii="Wingdings" w:hAnsi="Wingdings" w:hint="default"/>
      </w:rPr>
    </w:lvl>
    <w:lvl w:ilvl="3" w:tplc="33CC657C" w:tentative="1">
      <w:start w:val="1"/>
      <w:numFmt w:val="bullet"/>
      <w:lvlText w:val=""/>
      <w:lvlJc w:val="left"/>
      <w:pPr>
        <w:ind w:left="3240" w:hanging="360"/>
      </w:pPr>
      <w:rPr>
        <w:rFonts w:ascii="Symbol" w:hAnsi="Symbol" w:hint="default"/>
      </w:rPr>
    </w:lvl>
    <w:lvl w:ilvl="4" w:tplc="A08C8910" w:tentative="1">
      <w:start w:val="1"/>
      <w:numFmt w:val="bullet"/>
      <w:lvlText w:val="o"/>
      <w:lvlJc w:val="left"/>
      <w:pPr>
        <w:ind w:left="3960" w:hanging="360"/>
      </w:pPr>
      <w:rPr>
        <w:rFonts w:ascii="Courier New" w:hAnsi="Courier New" w:hint="default"/>
      </w:rPr>
    </w:lvl>
    <w:lvl w:ilvl="5" w:tplc="C5AE4B5E" w:tentative="1">
      <w:start w:val="1"/>
      <w:numFmt w:val="bullet"/>
      <w:lvlText w:val=""/>
      <w:lvlJc w:val="left"/>
      <w:pPr>
        <w:ind w:left="4680" w:hanging="360"/>
      </w:pPr>
      <w:rPr>
        <w:rFonts w:ascii="Wingdings" w:hAnsi="Wingdings" w:hint="default"/>
      </w:rPr>
    </w:lvl>
    <w:lvl w:ilvl="6" w:tplc="A2CC11D2" w:tentative="1">
      <w:start w:val="1"/>
      <w:numFmt w:val="bullet"/>
      <w:lvlText w:val=""/>
      <w:lvlJc w:val="left"/>
      <w:pPr>
        <w:ind w:left="5400" w:hanging="360"/>
      </w:pPr>
      <w:rPr>
        <w:rFonts w:ascii="Symbol" w:hAnsi="Symbol" w:hint="default"/>
      </w:rPr>
    </w:lvl>
    <w:lvl w:ilvl="7" w:tplc="1ADA8290" w:tentative="1">
      <w:start w:val="1"/>
      <w:numFmt w:val="bullet"/>
      <w:lvlText w:val="o"/>
      <w:lvlJc w:val="left"/>
      <w:pPr>
        <w:ind w:left="6120" w:hanging="360"/>
      </w:pPr>
      <w:rPr>
        <w:rFonts w:ascii="Courier New" w:hAnsi="Courier New" w:hint="default"/>
      </w:rPr>
    </w:lvl>
    <w:lvl w:ilvl="8" w:tplc="4A946D34" w:tentative="1">
      <w:start w:val="1"/>
      <w:numFmt w:val="bullet"/>
      <w:lvlText w:val=""/>
      <w:lvlJc w:val="left"/>
      <w:pPr>
        <w:ind w:left="6840" w:hanging="360"/>
      </w:pPr>
      <w:rPr>
        <w:rFonts w:ascii="Wingdings" w:hAnsi="Wingdings" w:hint="default"/>
      </w:rPr>
    </w:lvl>
  </w:abstractNum>
  <w:abstractNum w:abstractNumId="22" w15:restartNumberingAfterBreak="0">
    <w:nsid w:val="392CBF3C"/>
    <w:multiLevelType w:val="hybridMultilevel"/>
    <w:tmpl w:val="07C68046"/>
    <w:lvl w:ilvl="0" w:tplc="9B129A00">
      <w:start w:val="1"/>
      <w:numFmt w:val="bullet"/>
      <w:lvlText w:val="·"/>
      <w:lvlJc w:val="left"/>
      <w:pPr>
        <w:ind w:left="720" w:hanging="360"/>
      </w:pPr>
      <w:rPr>
        <w:rFonts w:ascii="Symbol" w:hAnsi="Symbol" w:hint="default"/>
      </w:rPr>
    </w:lvl>
    <w:lvl w:ilvl="1" w:tplc="7770A6E2">
      <w:start w:val="1"/>
      <w:numFmt w:val="bullet"/>
      <w:lvlText w:val="o"/>
      <w:lvlJc w:val="left"/>
      <w:pPr>
        <w:ind w:left="1440" w:hanging="360"/>
      </w:pPr>
      <w:rPr>
        <w:rFonts w:ascii="Courier New" w:hAnsi="Courier New" w:hint="default"/>
      </w:rPr>
    </w:lvl>
    <w:lvl w:ilvl="2" w:tplc="961414F8">
      <w:start w:val="1"/>
      <w:numFmt w:val="bullet"/>
      <w:lvlText w:val=""/>
      <w:lvlJc w:val="left"/>
      <w:pPr>
        <w:ind w:left="2160" w:hanging="360"/>
      </w:pPr>
      <w:rPr>
        <w:rFonts w:ascii="Wingdings" w:hAnsi="Wingdings" w:hint="default"/>
      </w:rPr>
    </w:lvl>
    <w:lvl w:ilvl="3" w:tplc="CF06A8A4">
      <w:start w:val="1"/>
      <w:numFmt w:val="bullet"/>
      <w:lvlText w:val=""/>
      <w:lvlJc w:val="left"/>
      <w:pPr>
        <w:ind w:left="2880" w:hanging="360"/>
      </w:pPr>
      <w:rPr>
        <w:rFonts w:ascii="Symbol" w:hAnsi="Symbol" w:hint="default"/>
      </w:rPr>
    </w:lvl>
    <w:lvl w:ilvl="4" w:tplc="2D7429EE">
      <w:start w:val="1"/>
      <w:numFmt w:val="bullet"/>
      <w:lvlText w:val="o"/>
      <w:lvlJc w:val="left"/>
      <w:pPr>
        <w:ind w:left="3600" w:hanging="360"/>
      </w:pPr>
      <w:rPr>
        <w:rFonts w:ascii="Courier New" w:hAnsi="Courier New" w:hint="default"/>
      </w:rPr>
    </w:lvl>
    <w:lvl w:ilvl="5" w:tplc="DE282FFC">
      <w:start w:val="1"/>
      <w:numFmt w:val="bullet"/>
      <w:lvlText w:val=""/>
      <w:lvlJc w:val="left"/>
      <w:pPr>
        <w:ind w:left="4320" w:hanging="360"/>
      </w:pPr>
      <w:rPr>
        <w:rFonts w:ascii="Wingdings" w:hAnsi="Wingdings" w:hint="default"/>
      </w:rPr>
    </w:lvl>
    <w:lvl w:ilvl="6" w:tplc="209080C8">
      <w:start w:val="1"/>
      <w:numFmt w:val="bullet"/>
      <w:lvlText w:val=""/>
      <w:lvlJc w:val="left"/>
      <w:pPr>
        <w:ind w:left="5040" w:hanging="360"/>
      </w:pPr>
      <w:rPr>
        <w:rFonts w:ascii="Symbol" w:hAnsi="Symbol" w:hint="default"/>
      </w:rPr>
    </w:lvl>
    <w:lvl w:ilvl="7" w:tplc="FF1EC3D2">
      <w:start w:val="1"/>
      <w:numFmt w:val="bullet"/>
      <w:lvlText w:val="o"/>
      <w:lvlJc w:val="left"/>
      <w:pPr>
        <w:ind w:left="5760" w:hanging="360"/>
      </w:pPr>
      <w:rPr>
        <w:rFonts w:ascii="Courier New" w:hAnsi="Courier New" w:hint="default"/>
      </w:rPr>
    </w:lvl>
    <w:lvl w:ilvl="8" w:tplc="C68EE366">
      <w:start w:val="1"/>
      <w:numFmt w:val="bullet"/>
      <w:lvlText w:val=""/>
      <w:lvlJc w:val="left"/>
      <w:pPr>
        <w:ind w:left="6480" w:hanging="360"/>
      </w:pPr>
      <w:rPr>
        <w:rFonts w:ascii="Wingdings" w:hAnsi="Wingdings" w:hint="default"/>
      </w:rPr>
    </w:lvl>
  </w:abstractNum>
  <w:abstractNum w:abstractNumId="23" w15:restartNumberingAfterBreak="0">
    <w:nsid w:val="39827EEF"/>
    <w:multiLevelType w:val="hybridMultilevel"/>
    <w:tmpl w:val="80EECD34"/>
    <w:lvl w:ilvl="0" w:tplc="948AD8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886CD1"/>
    <w:multiLevelType w:val="hybridMultilevel"/>
    <w:tmpl w:val="8D66E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0E5FE6"/>
    <w:multiLevelType w:val="hybridMultilevel"/>
    <w:tmpl w:val="C1D824F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6" w15:restartNumberingAfterBreak="0">
    <w:nsid w:val="40ED0D83"/>
    <w:multiLevelType w:val="hybridMultilevel"/>
    <w:tmpl w:val="34E49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5D2AB1"/>
    <w:multiLevelType w:val="hybridMultilevel"/>
    <w:tmpl w:val="BBB470F6"/>
    <w:lvl w:ilvl="0" w:tplc="225A4FAE">
      <w:start w:val="1"/>
      <w:numFmt w:val="bullet"/>
      <w:lvlText w:val="·"/>
      <w:lvlJc w:val="left"/>
      <w:pPr>
        <w:ind w:left="720" w:hanging="360"/>
      </w:pPr>
      <w:rPr>
        <w:rFonts w:ascii="Symbol" w:hAnsi="Symbol" w:hint="default"/>
      </w:rPr>
    </w:lvl>
    <w:lvl w:ilvl="1" w:tplc="2438BF42">
      <w:start w:val="1"/>
      <w:numFmt w:val="bullet"/>
      <w:lvlText w:val="o"/>
      <w:lvlJc w:val="left"/>
      <w:pPr>
        <w:ind w:left="1440" w:hanging="360"/>
      </w:pPr>
      <w:rPr>
        <w:rFonts w:ascii="Courier New" w:hAnsi="Courier New" w:hint="default"/>
      </w:rPr>
    </w:lvl>
    <w:lvl w:ilvl="2" w:tplc="DB169024">
      <w:start w:val="1"/>
      <w:numFmt w:val="bullet"/>
      <w:lvlText w:val=""/>
      <w:lvlJc w:val="left"/>
      <w:pPr>
        <w:ind w:left="2160" w:hanging="360"/>
      </w:pPr>
      <w:rPr>
        <w:rFonts w:ascii="Wingdings" w:hAnsi="Wingdings" w:hint="default"/>
      </w:rPr>
    </w:lvl>
    <w:lvl w:ilvl="3" w:tplc="3638882A">
      <w:start w:val="1"/>
      <w:numFmt w:val="bullet"/>
      <w:lvlText w:val=""/>
      <w:lvlJc w:val="left"/>
      <w:pPr>
        <w:ind w:left="2880" w:hanging="360"/>
      </w:pPr>
      <w:rPr>
        <w:rFonts w:ascii="Symbol" w:hAnsi="Symbol" w:hint="default"/>
      </w:rPr>
    </w:lvl>
    <w:lvl w:ilvl="4" w:tplc="539267BE">
      <w:start w:val="1"/>
      <w:numFmt w:val="bullet"/>
      <w:lvlText w:val="o"/>
      <w:lvlJc w:val="left"/>
      <w:pPr>
        <w:ind w:left="3600" w:hanging="360"/>
      </w:pPr>
      <w:rPr>
        <w:rFonts w:ascii="Courier New" w:hAnsi="Courier New" w:hint="default"/>
      </w:rPr>
    </w:lvl>
    <w:lvl w:ilvl="5" w:tplc="7B9A289C">
      <w:start w:val="1"/>
      <w:numFmt w:val="bullet"/>
      <w:lvlText w:val=""/>
      <w:lvlJc w:val="left"/>
      <w:pPr>
        <w:ind w:left="4320" w:hanging="360"/>
      </w:pPr>
      <w:rPr>
        <w:rFonts w:ascii="Wingdings" w:hAnsi="Wingdings" w:hint="default"/>
      </w:rPr>
    </w:lvl>
    <w:lvl w:ilvl="6" w:tplc="48EAA34C">
      <w:start w:val="1"/>
      <w:numFmt w:val="bullet"/>
      <w:lvlText w:val=""/>
      <w:lvlJc w:val="left"/>
      <w:pPr>
        <w:ind w:left="5040" w:hanging="360"/>
      </w:pPr>
      <w:rPr>
        <w:rFonts w:ascii="Symbol" w:hAnsi="Symbol" w:hint="default"/>
      </w:rPr>
    </w:lvl>
    <w:lvl w:ilvl="7" w:tplc="3DA696BE">
      <w:start w:val="1"/>
      <w:numFmt w:val="bullet"/>
      <w:lvlText w:val="o"/>
      <w:lvlJc w:val="left"/>
      <w:pPr>
        <w:ind w:left="5760" w:hanging="360"/>
      </w:pPr>
      <w:rPr>
        <w:rFonts w:ascii="Courier New" w:hAnsi="Courier New" w:hint="default"/>
      </w:rPr>
    </w:lvl>
    <w:lvl w:ilvl="8" w:tplc="830025A8">
      <w:start w:val="1"/>
      <w:numFmt w:val="bullet"/>
      <w:lvlText w:val=""/>
      <w:lvlJc w:val="left"/>
      <w:pPr>
        <w:ind w:left="6480" w:hanging="360"/>
      </w:pPr>
      <w:rPr>
        <w:rFonts w:ascii="Wingdings" w:hAnsi="Wingdings" w:hint="default"/>
      </w:rPr>
    </w:lvl>
  </w:abstractNum>
  <w:abstractNum w:abstractNumId="28" w15:restartNumberingAfterBreak="0">
    <w:nsid w:val="41922D1F"/>
    <w:multiLevelType w:val="hybridMultilevel"/>
    <w:tmpl w:val="91D40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4174840"/>
    <w:multiLevelType w:val="hybridMultilevel"/>
    <w:tmpl w:val="C0D085CC"/>
    <w:lvl w:ilvl="0" w:tplc="75A26D52">
      <w:start w:val="1"/>
      <w:numFmt w:val="bullet"/>
      <w:lvlText w:val="·"/>
      <w:lvlJc w:val="left"/>
      <w:pPr>
        <w:ind w:left="720" w:hanging="360"/>
      </w:pPr>
      <w:rPr>
        <w:rFonts w:ascii="Symbol" w:hAnsi="Symbol" w:hint="default"/>
      </w:rPr>
    </w:lvl>
    <w:lvl w:ilvl="1" w:tplc="758E5BE6">
      <w:start w:val="1"/>
      <w:numFmt w:val="bullet"/>
      <w:lvlText w:val="o"/>
      <w:lvlJc w:val="left"/>
      <w:pPr>
        <w:ind w:left="1440" w:hanging="360"/>
      </w:pPr>
      <w:rPr>
        <w:rFonts w:ascii="Courier New" w:hAnsi="Courier New" w:hint="default"/>
      </w:rPr>
    </w:lvl>
    <w:lvl w:ilvl="2" w:tplc="FEAA7E3E">
      <w:start w:val="1"/>
      <w:numFmt w:val="bullet"/>
      <w:lvlText w:val=""/>
      <w:lvlJc w:val="left"/>
      <w:pPr>
        <w:ind w:left="2160" w:hanging="360"/>
      </w:pPr>
      <w:rPr>
        <w:rFonts w:ascii="Wingdings" w:hAnsi="Wingdings" w:hint="default"/>
      </w:rPr>
    </w:lvl>
    <w:lvl w:ilvl="3" w:tplc="7F0A1D4E">
      <w:start w:val="1"/>
      <w:numFmt w:val="bullet"/>
      <w:lvlText w:val=""/>
      <w:lvlJc w:val="left"/>
      <w:pPr>
        <w:ind w:left="2880" w:hanging="360"/>
      </w:pPr>
      <w:rPr>
        <w:rFonts w:ascii="Symbol" w:hAnsi="Symbol" w:hint="default"/>
      </w:rPr>
    </w:lvl>
    <w:lvl w:ilvl="4" w:tplc="8EBEA2EC">
      <w:start w:val="1"/>
      <w:numFmt w:val="bullet"/>
      <w:lvlText w:val="o"/>
      <w:lvlJc w:val="left"/>
      <w:pPr>
        <w:ind w:left="3600" w:hanging="360"/>
      </w:pPr>
      <w:rPr>
        <w:rFonts w:ascii="Courier New" w:hAnsi="Courier New" w:hint="default"/>
      </w:rPr>
    </w:lvl>
    <w:lvl w:ilvl="5" w:tplc="B5EA46C2">
      <w:start w:val="1"/>
      <w:numFmt w:val="bullet"/>
      <w:lvlText w:val=""/>
      <w:lvlJc w:val="left"/>
      <w:pPr>
        <w:ind w:left="4320" w:hanging="360"/>
      </w:pPr>
      <w:rPr>
        <w:rFonts w:ascii="Wingdings" w:hAnsi="Wingdings" w:hint="default"/>
      </w:rPr>
    </w:lvl>
    <w:lvl w:ilvl="6" w:tplc="D6DAEC6A">
      <w:start w:val="1"/>
      <w:numFmt w:val="bullet"/>
      <w:lvlText w:val=""/>
      <w:lvlJc w:val="left"/>
      <w:pPr>
        <w:ind w:left="5040" w:hanging="360"/>
      </w:pPr>
      <w:rPr>
        <w:rFonts w:ascii="Symbol" w:hAnsi="Symbol" w:hint="default"/>
      </w:rPr>
    </w:lvl>
    <w:lvl w:ilvl="7" w:tplc="5E08D000">
      <w:start w:val="1"/>
      <w:numFmt w:val="bullet"/>
      <w:lvlText w:val="o"/>
      <w:lvlJc w:val="left"/>
      <w:pPr>
        <w:ind w:left="5760" w:hanging="360"/>
      </w:pPr>
      <w:rPr>
        <w:rFonts w:ascii="Courier New" w:hAnsi="Courier New" w:hint="default"/>
      </w:rPr>
    </w:lvl>
    <w:lvl w:ilvl="8" w:tplc="31003534">
      <w:start w:val="1"/>
      <w:numFmt w:val="bullet"/>
      <w:lvlText w:val=""/>
      <w:lvlJc w:val="left"/>
      <w:pPr>
        <w:ind w:left="6480" w:hanging="360"/>
      </w:pPr>
      <w:rPr>
        <w:rFonts w:ascii="Wingdings" w:hAnsi="Wingdings" w:hint="default"/>
      </w:rPr>
    </w:lvl>
  </w:abstractNum>
  <w:abstractNum w:abstractNumId="30"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7DC7CAF"/>
    <w:multiLevelType w:val="hybridMultilevel"/>
    <w:tmpl w:val="51467E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CDA106F"/>
    <w:multiLevelType w:val="hybridMultilevel"/>
    <w:tmpl w:val="6666B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4" w15:restartNumberingAfterBreak="0">
    <w:nsid w:val="5042EBFC"/>
    <w:multiLevelType w:val="hybridMultilevel"/>
    <w:tmpl w:val="8FEA8962"/>
    <w:lvl w:ilvl="0" w:tplc="FD3ED95C">
      <w:start w:val="1"/>
      <w:numFmt w:val="bullet"/>
      <w:lvlText w:val="·"/>
      <w:lvlJc w:val="left"/>
      <w:pPr>
        <w:ind w:left="720" w:hanging="360"/>
      </w:pPr>
      <w:rPr>
        <w:rFonts w:ascii="Symbol" w:hAnsi="Symbol" w:hint="default"/>
      </w:rPr>
    </w:lvl>
    <w:lvl w:ilvl="1" w:tplc="446EB588">
      <w:start w:val="1"/>
      <w:numFmt w:val="bullet"/>
      <w:lvlText w:val="o"/>
      <w:lvlJc w:val="left"/>
      <w:pPr>
        <w:ind w:left="1440" w:hanging="360"/>
      </w:pPr>
      <w:rPr>
        <w:rFonts w:ascii="Courier New" w:hAnsi="Courier New" w:hint="default"/>
      </w:rPr>
    </w:lvl>
    <w:lvl w:ilvl="2" w:tplc="D88048B6">
      <w:start w:val="1"/>
      <w:numFmt w:val="bullet"/>
      <w:lvlText w:val=""/>
      <w:lvlJc w:val="left"/>
      <w:pPr>
        <w:ind w:left="2160" w:hanging="360"/>
      </w:pPr>
      <w:rPr>
        <w:rFonts w:ascii="Wingdings" w:hAnsi="Wingdings" w:hint="default"/>
      </w:rPr>
    </w:lvl>
    <w:lvl w:ilvl="3" w:tplc="BD1EA92A">
      <w:start w:val="1"/>
      <w:numFmt w:val="bullet"/>
      <w:lvlText w:val=""/>
      <w:lvlJc w:val="left"/>
      <w:pPr>
        <w:ind w:left="2880" w:hanging="360"/>
      </w:pPr>
      <w:rPr>
        <w:rFonts w:ascii="Symbol" w:hAnsi="Symbol" w:hint="default"/>
      </w:rPr>
    </w:lvl>
    <w:lvl w:ilvl="4" w:tplc="2D50B97A">
      <w:start w:val="1"/>
      <w:numFmt w:val="bullet"/>
      <w:lvlText w:val="o"/>
      <w:lvlJc w:val="left"/>
      <w:pPr>
        <w:ind w:left="3600" w:hanging="360"/>
      </w:pPr>
      <w:rPr>
        <w:rFonts w:ascii="Courier New" w:hAnsi="Courier New" w:hint="default"/>
      </w:rPr>
    </w:lvl>
    <w:lvl w:ilvl="5" w:tplc="2E7A4386">
      <w:start w:val="1"/>
      <w:numFmt w:val="bullet"/>
      <w:lvlText w:val=""/>
      <w:lvlJc w:val="left"/>
      <w:pPr>
        <w:ind w:left="4320" w:hanging="360"/>
      </w:pPr>
      <w:rPr>
        <w:rFonts w:ascii="Wingdings" w:hAnsi="Wingdings" w:hint="default"/>
      </w:rPr>
    </w:lvl>
    <w:lvl w:ilvl="6" w:tplc="BE3A602A">
      <w:start w:val="1"/>
      <w:numFmt w:val="bullet"/>
      <w:lvlText w:val=""/>
      <w:lvlJc w:val="left"/>
      <w:pPr>
        <w:ind w:left="5040" w:hanging="360"/>
      </w:pPr>
      <w:rPr>
        <w:rFonts w:ascii="Symbol" w:hAnsi="Symbol" w:hint="default"/>
      </w:rPr>
    </w:lvl>
    <w:lvl w:ilvl="7" w:tplc="954C1280">
      <w:start w:val="1"/>
      <w:numFmt w:val="bullet"/>
      <w:lvlText w:val="o"/>
      <w:lvlJc w:val="left"/>
      <w:pPr>
        <w:ind w:left="5760" w:hanging="360"/>
      </w:pPr>
      <w:rPr>
        <w:rFonts w:ascii="Courier New" w:hAnsi="Courier New" w:hint="default"/>
      </w:rPr>
    </w:lvl>
    <w:lvl w:ilvl="8" w:tplc="391AE7C0">
      <w:start w:val="1"/>
      <w:numFmt w:val="bullet"/>
      <w:lvlText w:val=""/>
      <w:lvlJc w:val="left"/>
      <w:pPr>
        <w:ind w:left="6480" w:hanging="360"/>
      </w:pPr>
      <w:rPr>
        <w:rFonts w:ascii="Wingdings" w:hAnsi="Wingdings" w:hint="default"/>
      </w:rPr>
    </w:lvl>
  </w:abstractNum>
  <w:abstractNum w:abstractNumId="35" w15:restartNumberingAfterBreak="0">
    <w:nsid w:val="53A51DAB"/>
    <w:multiLevelType w:val="hybridMultilevel"/>
    <w:tmpl w:val="5BCE6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5D4E3EA"/>
    <w:multiLevelType w:val="hybridMultilevel"/>
    <w:tmpl w:val="59E2B19E"/>
    <w:lvl w:ilvl="0" w:tplc="B14E909E">
      <w:start w:val="1"/>
      <w:numFmt w:val="bullet"/>
      <w:lvlText w:val="·"/>
      <w:lvlJc w:val="left"/>
      <w:pPr>
        <w:ind w:left="720" w:hanging="360"/>
      </w:pPr>
      <w:rPr>
        <w:rFonts w:ascii="Symbol" w:hAnsi="Symbol" w:hint="default"/>
      </w:rPr>
    </w:lvl>
    <w:lvl w:ilvl="1" w:tplc="9F6EADBC">
      <w:start w:val="1"/>
      <w:numFmt w:val="bullet"/>
      <w:lvlText w:val="o"/>
      <w:lvlJc w:val="left"/>
      <w:pPr>
        <w:ind w:left="1440" w:hanging="360"/>
      </w:pPr>
      <w:rPr>
        <w:rFonts w:ascii="Courier New" w:hAnsi="Courier New" w:hint="default"/>
      </w:rPr>
    </w:lvl>
    <w:lvl w:ilvl="2" w:tplc="7BA86278">
      <w:start w:val="1"/>
      <w:numFmt w:val="bullet"/>
      <w:lvlText w:val=""/>
      <w:lvlJc w:val="left"/>
      <w:pPr>
        <w:ind w:left="2160" w:hanging="360"/>
      </w:pPr>
      <w:rPr>
        <w:rFonts w:ascii="Wingdings" w:hAnsi="Wingdings" w:hint="default"/>
      </w:rPr>
    </w:lvl>
    <w:lvl w:ilvl="3" w:tplc="34BA3A22">
      <w:start w:val="1"/>
      <w:numFmt w:val="bullet"/>
      <w:lvlText w:val=""/>
      <w:lvlJc w:val="left"/>
      <w:pPr>
        <w:ind w:left="2880" w:hanging="360"/>
      </w:pPr>
      <w:rPr>
        <w:rFonts w:ascii="Symbol" w:hAnsi="Symbol" w:hint="default"/>
      </w:rPr>
    </w:lvl>
    <w:lvl w:ilvl="4" w:tplc="8752EEB2">
      <w:start w:val="1"/>
      <w:numFmt w:val="bullet"/>
      <w:lvlText w:val="o"/>
      <w:lvlJc w:val="left"/>
      <w:pPr>
        <w:ind w:left="3600" w:hanging="360"/>
      </w:pPr>
      <w:rPr>
        <w:rFonts w:ascii="Courier New" w:hAnsi="Courier New" w:hint="default"/>
      </w:rPr>
    </w:lvl>
    <w:lvl w:ilvl="5" w:tplc="EBBE6B70">
      <w:start w:val="1"/>
      <w:numFmt w:val="bullet"/>
      <w:lvlText w:val=""/>
      <w:lvlJc w:val="left"/>
      <w:pPr>
        <w:ind w:left="4320" w:hanging="360"/>
      </w:pPr>
      <w:rPr>
        <w:rFonts w:ascii="Wingdings" w:hAnsi="Wingdings" w:hint="default"/>
      </w:rPr>
    </w:lvl>
    <w:lvl w:ilvl="6" w:tplc="03565532">
      <w:start w:val="1"/>
      <w:numFmt w:val="bullet"/>
      <w:lvlText w:val=""/>
      <w:lvlJc w:val="left"/>
      <w:pPr>
        <w:ind w:left="5040" w:hanging="360"/>
      </w:pPr>
      <w:rPr>
        <w:rFonts w:ascii="Symbol" w:hAnsi="Symbol" w:hint="default"/>
      </w:rPr>
    </w:lvl>
    <w:lvl w:ilvl="7" w:tplc="ED8228E8">
      <w:start w:val="1"/>
      <w:numFmt w:val="bullet"/>
      <w:lvlText w:val="o"/>
      <w:lvlJc w:val="left"/>
      <w:pPr>
        <w:ind w:left="5760" w:hanging="360"/>
      </w:pPr>
      <w:rPr>
        <w:rFonts w:ascii="Courier New" w:hAnsi="Courier New" w:hint="default"/>
      </w:rPr>
    </w:lvl>
    <w:lvl w:ilvl="8" w:tplc="B8B206DE">
      <w:start w:val="1"/>
      <w:numFmt w:val="bullet"/>
      <w:lvlText w:val=""/>
      <w:lvlJc w:val="left"/>
      <w:pPr>
        <w:ind w:left="6480" w:hanging="360"/>
      </w:pPr>
      <w:rPr>
        <w:rFonts w:ascii="Wingdings" w:hAnsi="Wingdings" w:hint="default"/>
      </w:rPr>
    </w:lvl>
  </w:abstractNum>
  <w:abstractNum w:abstractNumId="37" w15:restartNumberingAfterBreak="0">
    <w:nsid w:val="59BB2E6B"/>
    <w:multiLevelType w:val="hybridMultilevel"/>
    <w:tmpl w:val="BEC6438C"/>
    <w:lvl w:ilvl="0" w:tplc="BC64F170">
      <w:start w:val="1"/>
      <w:numFmt w:val="bullet"/>
      <w:lvlText w:val="·"/>
      <w:lvlJc w:val="left"/>
      <w:pPr>
        <w:ind w:left="720" w:hanging="360"/>
      </w:pPr>
      <w:rPr>
        <w:rFonts w:ascii="Symbol" w:hAnsi="Symbol" w:hint="default"/>
      </w:rPr>
    </w:lvl>
    <w:lvl w:ilvl="1" w:tplc="F4F85080">
      <w:start w:val="1"/>
      <w:numFmt w:val="bullet"/>
      <w:lvlText w:val="o"/>
      <w:lvlJc w:val="left"/>
      <w:pPr>
        <w:ind w:left="1440" w:hanging="360"/>
      </w:pPr>
      <w:rPr>
        <w:rFonts w:ascii="Courier New" w:hAnsi="Courier New" w:hint="default"/>
      </w:rPr>
    </w:lvl>
    <w:lvl w:ilvl="2" w:tplc="C6CE86B4">
      <w:start w:val="1"/>
      <w:numFmt w:val="bullet"/>
      <w:lvlText w:val=""/>
      <w:lvlJc w:val="left"/>
      <w:pPr>
        <w:ind w:left="2160" w:hanging="360"/>
      </w:pPr>
      <w:rPr>
        <w:rFonts w:ascii="Wingdings" w:hAnsi="Wingdings" w:hint="default"/>
      </w:rPr>
    </w:lvl>
    <w:lvl w:ilvl="3" w:tplc="285EE104">
      <w:start w:val="1"/>
      <w:numFmt w:val="bullet"/>
      <w:lvlText w:val=""/>
      <w:lvlJc w:val="left"/>
      <w:pPr>
        <w:ind w:left="2880" w:hanging="360"/>
      </w:pPr>
      <w:rPr>
        <w:rFonts w:ascii="Symbol" w:hAnsi="Symbol" w:hint="default"/>
      </w:rPr>
    </w:lvl>
    <w:lvl w:ilvl="4" w:tplc="F6EA1D76">
      <w:start w:val="1"/>
      <w:numFmt w:val="bullet"/>
      <w:lvlText w:val="o"/>
      <w:lvlJc w:val="left"/>
      <w:pPr>
        <w:ind w:left="3600" w:hanging="360"/>
      </w:pPr>
      <w:rPr>
        <w:rFonts w:ascii="Courier New" w:hAnsi="Courier New" w:hint="default"/>
      </w:rPr>
    </w:lvl>
    <w:lvl w:ilvl="5" w:tplc="B7444230">
      <w:start w:val="1"/>
      <w:numFmt w:val="bullet"/>
      <w:lvlText w:val=""/>
      <w:lvlJc w:val="left"/>
      <w:pPr>
        <w:ind w:left="4320" w:hanging="360"/>
      </w:pPr>
      <w:rPr>
        <w:rFonts w:ascii="Wingdings" w:hAnsi="Wingdings" w:hint="default"/>
      </w:rPr>
    </w:lvl>
    <w:lvl w:ilvl="6" w:tplc="A7166BEE">
      <w:start w:val="1"/>
      <w:numFmt w:val="bullet"/>
      <w:lvlText w:val=""/>
      <w:lvlJc w:val="left"/>
      <w:pPr>
        <w:ind w:left="5040" w:hanging="360"/>
      </w:pPr>
      <w:rPr>
        <w:rFonts w:ascii="Symbol" w:hAnsi="Symbol" w:hint="default"/>
      </w:rPr>
    </w:lvl>
    <w:lvl w:ilvl="7" w:tplc="03C4AE16">
      <w:start w:val="1"/>
      <w:numFmt w:val="bullet"/>
      <w:lvlText w:val="o"/>
      <w:lvlJc w:val="left"/>
      <w:pPr>
        <w:ind w:left="5760" w:hanging="360"/>
      </w:pPr>
      <w:rPr>
        <w:rFonts w:ascii="Courier New" w:hAnsi="Courier New" w:hint="default"/>
      </w:rPr>
    </w:lvl>
    <w:lvl w:ilvl="8" w:tplc="FBE064A6">
      <w:start w:val="1"/>
      <w:numFmt w:val="bullet"/>
      <w:lvlText w:val=""/>
      <w:lvlJc w:val="left"/>
      <w:pPr>
        <w:ind w:left="6480" w:hanging="360"/>
      </w:pPr>
      <w:rPr>
        <w:rFonts w:ascii="Wingdings" w:hAnsi="Wingdings" w:hint="default"/>
      </w:rPr>
    </w:lvl>
  </w:abstractNum>
  <w:abstractNum w:abstractNumId="38" w15:restartNumberingAfterBreak="0">
    <w:nsid w:val="5A570DAD"/>
    <w:multiLevelType w:val="hybridMultilevel"/>
    <w:tmpl w:val="79EA6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4D04702"/>
    <w:multiLevelType w:val="hybridMultilevel"/>
    <w:tmpl w:val="9EEA21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7294BB3"/>
    <w:multiLevelType w:val="hybridMultilevel"/>
    <w:tmpl w:val="A4C48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2B6ABA"/>
    <w:multiLevelType w:val="hybridMultilevel"/>
    <w:tmpl w:val="537C3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DBFD8A"/>
    <w:multiLevelType w:val="hybridMultilevel"/>
    <w:tmpl w:val="61042BD6"/>
    <w:lvl w:ilvl="0" w:tplc="0CDC936A">
      <w:start w:val="1"/>
      <w:numFmt w:val="bullet"/>
      <w:lvlText w:val="·"/>
      <w:lvlJc w:val="left"/>
      <w:pPr>
        <w:ind w:left="720" w:hanging="360"/>
      </w:pPr>
      <w:rPr>
        <w:rFonts w:ascii="Symbol" w:hAnsi="Symbol" w:hint="default"/>
      </w:rPr>
    </w:lvl>
    <w:lvl w:ilvl="1" w:tplc="AC5CC526">
      <w:start w:val="1"/>
      <w:numFmt w:val="bullet"/>
      <w:lvlText w:val="o"/>
      <w:lvlJc w:val="left"/>
      <w:pPr>
        <w:ind w:left="1440" w:hanging="360"/>
      </w:pPr>
      <w:rPr>
        <w:rFonts w:ascii="Courier New" w:hAnsi="Courier New" w:hint="default"/>
      </w:rPr>
    </w:lvl>
    <w:lvl w:ilvl="2" w:tplc="CBC8719A">
      <w:start w:val="1"/>
      <w:numFmt w:val="bullet"/>
      <w:lvlText w:val=""/>
      <w:lvlJc w:val="left"/>
      <w:pPr>
        <w:ind w:left="2160" w:hanging="360"/>
      </w:pPr>
      <w:rPr>
        <w:rFonts w:ascii="Wingdings" w:hAnsi="Wingdings" w:hint="default"/>
      </w:rPr>
    </w:lvl>
    <w:lvl w:ilvl="3" w:tplc="89F4DDE0">
      <w:start w:val="1"/>
      <w:numFmt w:val="bullet"/>
      <w:lvlText w:val=""/>
      <w:lvlJc w:val="left"/>
      <w:pPr>
        <w:ind w:left="2880" w:hanging="360"/>
      </w:pPr>
      <w:rPr>
        <w:rFonts w:ascii="Symbol" w:hAnsi="Symbol" w:hint="default"/>
      </w:rPr>
    </w:lvl>
    <w:lvl w:ilvl="4" w:tplc="74904C34">
      <w:start w:val="1"/>
      <w:numFmt w:val="bullet"/>
      <w:lvlText w:val="o"/>
      <w:lvlJc w:val="left"/>
      <w:pPr>
        <w:ind w:left="3600" w:hanging="360"/>
      </w:pPr>
      <w:rPr>
        <w:rFonts w:ascii="Courier New" w:hAnsi="Courier New" w:hint="default"/>
      </w:rPr>
    </w:lvl>
    <w:lvl w:ilvl="5" w:tplc="CF02FBEE">
      <w:start w:val="1"/>
      <w:numFmt w:val="bullet"/>
      <w:lvlText w:val=""/>
      <w:lvlJc w:val="left"/>
      <w:pPr>
        <w:ind w:left="4320" w:hanging="360"/>
      </w:pPr>
      <w:rPr>
        <w:rFonts w:ascii="Wingdings" w:hAnsi="Wingdings" w:hint="default"/>
      </w:rPr>
    </w:lvl>
    <w:lvl w:ilvl="6" w:tplc="9CA01C2C">
      <w:start w:val="1"/>
      <w:numFmt w:val="bullet"/>
      <w:lvlText w:val=""/>
      <w:lvlJc w:val="left"/>
      <w:pPr>
        <w:ind w:left="5040" w:hanging="360"/>
      </w:pPr>
      <w:rPr>
        <w:rFonts w:ascii="Symbol" w:hAnsi="Symbol" w:hint="default"/>
      </w:rPr>
    </w:lvl>
    <w:lvl w:ilvl="7" w:tplc="451A850C">
      <w:start w:val="1"/>
      <w:numFmt w:val="bullet"/>
      <w:lvlText w:val="o"/>
      <w:lvlJc w:val="left"/>
      <w:pPr>
        <w:ind w:left="5760" w:hanging="360"/>
      </w:pPr>
      <w:rPr>
        <w:rFonts w:ascii="Courier New" w:hAnsi="Courier New" w:hint="default"/>
      </w:rPr>
    </w:lvl>
    <w:lvl w:ilvl="8" w:tplc="8C38EA5C">
      <w:start w:val="1"/>
      <w:numFmt w:val="bullet"/>
      <w:lvlText w:val=""/>
      <w:lvlJc w:val="left"/>
      <w:pPr>
        <w:ind w:left="6480" w:hanging="360"/>
      </w:pPr>
      <w:rPr>
        <w:rFonts w:ascii="Wingdings" w:hAnsi="Wingdings" w:hint="default"/>
      </w:rPr>
    </w:lvl>
  </w:abstractNum>
  <w:abstractNum w:abstractNumId="43"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C773CFA"/>
    <w:multiLevelType w:val="hybridMultilevel"/>
    <w:tmpl w:val="F3603A48"/>
    <w:lvl w:ilvl="0" w:tplc="0C090005">
      <w:start w:val="1"/>
      <w:numFmt w:val="bullet"/>
      <w:lvlText w:val=""/>
      <w:lvlJc w:val="left"/>
      <w:pPr>
        <w:ind w:left="1080" w:hanging="360"/>
      </w:pPr>
      <w:rPr>
        <w:rFonts w:ascii="Wingdings" w:hAnsi="Wingdings" w:hint="default"/>
      </w:rPr>
    </w:lvl>
    <w:lvl w:ilvl="1" w:tplc="578C057A" w:tentative="1">
      <w:start w:val="1"/>
      <w:numFmt w:val="bullet"/>
      <w:lvlText w:val="o"/>
      <w:lvlJc w:val="left"/>
      <w:pPr>
        <w:ind w:left="1800" w:hanging="360"/>
      </w:pPr>
      <w:rPr>
        <w:rFonts w:ascii="Courier New" w:hAnsi="Courier New" w:hint="default"/>
      </w:rPr>
    </w:lvl>
    <w:lvl w:ilvl="2" w:tplc="89945AE4" w:tentative="1">
      <w:start w:val="1"/>
      <w:numFmt w:val="bullet"/>
      <w:lvlText w:val=""/>
      <w:lvlJc w:val="left"/>
      <w:pPr>
        <w:ind w:left="2520" w:hanging="360"/>
      </w:pPr>
      <w:rPr>
        <w:rFonts w:ascii="Wingdings" w:hAnsi="Wingdings" w:hint="default"/>
      </w:rPr>
    </w:lvl>
    <w:lvl w:ilvl="3" w:tplc="33CC657C" w:tentative="1">
      <w:start w:val="1"/>
      <w:numFmt w:val="bullet"/>
      <w:lvlText w:val=""/>
      <w:lvlJc w:val="left"/>
      <w:pPr>
        <w:ind w:left="3240" w:hanging="360"/>
      </w:pPr>
      <w:rPr>
        <w:rFonts w:ascii="Symbol" w:hAnsi="Symbol" w:hint="default"/>
      </w:rPr>
    </w:lvl>
    <w:lvl w:ilvl="4" w:tplc="A08C8910" w:tentative="1">
      <w:start w:val="1"/>
      <w:numFmt w:val="bullet"/>
      <w:lvlText w:val="o"/>
      <w:lvlJc w:val="left"/>
      <w:pPr>
        <w:ind w:left="3960" w:hanging="360"/>
      </w:pPr>
      <w:rPr>
        <w:rFonts w:ascii="Courier New" w:hAnsi="Courier New" w:hint="default"/>
      </w:rPr>
    </w:lvl>
    <w:lvl w:ilvl="5" w:tplc="C5AE4B5E" w:tentative="1">
      <w:start w:val="1"/>
      <w:numFmt w:val="bullet"/>
      <w:lvlText w:val=""/>
      <w:lvlJc w:val="left"/>
      <w:pPr>
        <w:ind w:left="4680" w:hanging="360"/>
      </w:pPr>
      <w:rPr>
        <w:rFonts w:ascii="Wingdings" w:hAnsi="Wingdings" w:hint="default"/>
      </w:rPr>
    </w:lvl>
    <w:lvl w:ilvl="6" w:tplc="A2CC11D2" w:tentative="1">
      <w:start w:val="1"/>
      <w:numFmt w:val="bullet"/>
      <w:lvlText w:val=""/>
      <w:lvlJc w:val="left"/>
      <w:pPr>
        <w:ind w:left="5400" w:hanging="360"/>
      </w:pPr>
      <w:rPr>
        <w:rFonts w:ascii="Symbol" w:hAnsi="Symbol" w:hint="default"/>
      </w:rPr>
    </w:lvl>
    <w:lvl w:ilvl="7" w:tplc="1ADA8290" w:tentative="1">
      <w:start w:val="1"/>
      <w:numFmt w:val="bullet"/>
      <w:lvlText w:val="o"/>
      <w:lvlJc w:val="left"/>
      <w:pPr>
        <w:ind w:left="6120" w:hanging="360"/>
      </w:pPr>
      <w:rPr>
        <w:rFonts w:ascii="Courier New" w:hAnsi="Courier New" w:hint="default"/>
      </w:rPr>
    </w:lvl>
    <w:lvl w:ilvl="8" w:tplc="4A946D34" w:tentative="1">
      <w:start w:val="1"/>
      <w:numFmt w:val="bullet"/>
      <w:lvlText w:val=""/>
      <w:lvlJc w:val="left"/>
      <w:pPr>
        <w:ind w:left="6840" w:hanging="360"/>
      </w:pPr>
      <w:rPr>
        <w:rFonts w:ascii="Wingdings" w:hAnsi="Wingdings" w:hint="default"/>
      </w:rPr>
    </w:lvl>
  </w:abstractNum>
  <w:abstractNum w:abstractNumId="46" w15:restartNumberingAfterBreak="0">
    <w:nsid w:val="7D101FEF"/>
    <w:multiLevelType w:val="hybridMultilevel"/>
    <w:tmpl w:val="83B64F36"/>
    <w:lvl w:ilvl="0" w:tplc="0C090005">
      <w:start w:val="1"/>
      <w:numFmt w:val="bullet"/>
      <w:lvlText w:val=""/>
      <w:lvlJc w:val="left"/>
      <w:pPr>
        <w:ind w:left="1080" w:hanging="360"/>
      </w:pPr>
      <w:rPr>
        <w:rFonts w:ascii="Wingdings" w:hAnsi="Wingdings" w:hint="default"/>
      </w:rPr>
    </w:lvl>
    <w:lvl w:ilvl="1" w:tplc="578C057A" w:tentative="1">
      <w:start w:val="1"/>
      <w:numFmt w:val="bullet"/>
      <w:lvlText w:val="o"/>
      <w:lvlJc w:val="left"/>
      <w:pPr>
        <w:ind w:left="1800" w:hanging="360"/>
      </w:pPr>
      <w:rPr>
        <w:rFonts w:ascii="Courier New" w:hAnsi="Courier New" w:hint="default"/>
      </w:rPr>
    </w:lvl>
    <w:lvl w:ilvl="2" w:tplc="89945AE4" w:tentative="1">
      <w:start w:val="1"/>
      <w:numFmt w:val="bullet"/>
      <w:lvlText w:val=""/>
      <w:lvlJc w:val="left"/>
      <w:pPr>
        <w:ind w:left="2520" w:hanging="360"/>
      </w:pPr>
      <w:rPr>
        <w:rFonts w:ascii="Wingdings" w:hAnsi="Wingdings" w:hint="default"/>
      </w:rPr>
    </w:lvl>
    <w:lvl w:ilvl="3" w:tplc="33CC657C" w:tentative="1">
      <w:start w:val="1"/>
      <w:numFmt w:val="bullet"/>
      <w:lvlText w:val=""/>
      <w:lvlJc w:val="left"/>
      <w:pPr>
        <w:ind w:left="3240" w:hanging="360"/>
      </w:pPr>
      <w:rPr>
        <w:rFonts w:ascii="Symbol" w:hAnsi="Symbol" w:hint="default"/>
      </w:rPr>
    </w:lvl>
    <w:lvl w:ilvl="4" w:tplc="A08C8910" w:tentative="1">
      <w:start w:val="1"/>
      <w:numFmt w:val="bullet"/>
      <w:lvlText w:val="o"/>
      <w:lvlJc w:val="left"/>
      <w:pPr>
        <w:ind w:left="3960" w:hanging="360"/>
      </w:pPr>
      <w:rPr>
        <w:rFonts w:ascii="Courier New" w:hAnsi="Courier New" w:hint="default"/>
      </w:rPr>
    </w:lvl>
    <w:lvl w:ilvl="5" w:tplc="C5AE4B5E" w:tentative="1">
      <w:start w:val="1"/>
      <w:numFmt w:val="bullet"/>
      <w:lvlText w:val=""/>
      <w:lvlJc w:val="left"/>
      <w:pPr>
        <w:ind w:left="4680" w:hanging="360"/>
      </w:pPr>
      <w:rPr>
        <w:rFonts w:ascii="Wingdings" w:hAnsi="Wingdings" w:hint="default"/>
      </w:rPr>
    </w:lvl>
    <w:lvl w:ilvl="6" w:tplc="A2CC11D2" w:tentative="1">
      <w:start w:val="1"/>
      <w:numFmt w:val="bullet"/>
      <w:lvlText w:val=""/>
      <w:lvlJc w:val="left"/>
      <w:pPr>
        <w:ind w:left="5400" w:hanging="360"/>
      </w:pPr>
      <w:rPr>
        <w:rFonts w:ascii="Symbol" w:hAnsi="Symbol" w:hint="default"/>
      </w:rPr>
    </w:lvl>
    <w:lvl w:ilvl="7" w:tplc="1ADA8290" w:tentative="1">
      <w:start w:val="1"/>
      <w:numFmt w:val="bullet"/>
      <w:lvlText w:val="o"/>
      <w:lvlJc w:val="left"/>
      <w:pPr>
        <w:ind w:left="6120" w:hanging="360"/>
      </w:pPr>
      <w:rPr>
        <w:rFonts w:ascii="Courier New" w:hAnsi="Courier New" w:hint="default"/>
      </w:rPr>
    </w:lvl>
    <w:lvl w:ilvl="8" w:tplc="4A946D34" w:tentative="1">
      <w:start w:val="1"/>
      <w:numFmt w:val="bullet"/>
      <w:lvlText w:val=""/>
      <w:lvlJc w:val="left"/>
      <w:pPr>
        <w:ind w:left="6840" w:hanging="360"/>
      </w:pPr>
      <w:rPr>
        <w:rFonts w:ascii="Wingdings" w:hAnsi="Wingdings" w:hint="default"/>
      </w:rPr>
    </w:lvl>
  </w:abstractNum>
  <w:num w:numId="1" w16cid:durableId="1847741525">
    <w:abstractNumId w:val="22"/>
  </w:num>
  <w:num w:numId="2" w16cid:durableId="774911271">
    <w:abstractNumId w:val="42"/>
  </w:num>
  <w:num w:numId="3" w16cid:durableId="476067156">
    <w:abstractNumId w:val="6"/>
  </w:num>
  <w:num w:numId="4" w16cid:durableId="1862934238">
    <w:abstractNumId w:val="37"/>
  </w:num>
  <w:num w:numId="5" w16cid:durableId="1917588961">
    <w:abstractNumId w:val="34"/>
  </w:num>
  <w:num w:numId="6" w16cid:durableId="202332575">
    <w:abstractNumId w:val="36"/>
  </w:num>
  <w:num w:numId="7" w16cid:durableId="1145928275">
    <w:abstractNumId w:val="20"/>
  </w:num>
  <w:num w:numId="8" w16cid:durableId="600919922">
    <w:abstractNumId w:val="27"/>
  </w:num>
  <w:num w:numId="9" w16cid:durableId="1328748221">
    <w:abstractNumId w:val="14"/>
  </w:num>
  <w:num w:numId="10" w16cid:durableId="144472492">
    <w:abstractNumId w:val="29"/>
  </w:num>
  <w:num w:numId="11" w16cid:durableId="1563709278">
    <w:abstractNumId w:val="4"/>
  </w:num>
  <w:num w:numId="12" w16cid:durableId="1633436479">
    <w:abstractNumId w:val="8"/>
  </w:num>
  <w:num w:numId="13" w16cid:durableId="2031831509">
    <w:abstractNumId w:val="0"/>
  </w:num>
  <w:num w:numId="14" w16cid:durableId="810437360">
    <w:abstractNumId w:val="3"/>
  </w:num>
  <w:num w:numId="15" w16cid:durableId="1339850377">
    <w:abstractNumId w:val="43"/>
  </w:num>
  <w:num w:numId="16" w16cid:durableId="393896978">
    <w:abstractNumId w:val="10"/>
  </w:num>
  <w:num w:numId="17" w16cid:durableId="426076414">
    <w:abstractNumId w:val="12"/>
  </w:num>
  <w:num w:numId="18" w16cid:durableId="1612280987">
    <w:abstractNumId w:val="44"/>
  </w:num>
  <w:num w:numId="19" w16cid:durableId="1722748625">
    <w:abstractNumId w:val="33"/>
  </w:num>
  <w:num w:numId="20" w16cid:durableId="1812207815">
    <w:abstractNumId w:val="0"/>
  </w:num>
  <w:num w:numId="21" w16cid:durableId="1390811537">
    <w:abstractNumId w:val="0"/>
  </w:num>
  <w:num w:numId="22" w16cid:durableId="957223215">
    <w:abstractNumId w:val="30"/>
  </w:num>
  <w:num w:numId="23" w16cid:durableId="1790389630">
    <w:abstractNumId w:val="2"/>
  </w:num>
  <w:num w:numId="24" w16cid:durableId="644621282">
    <w:abstractNumId w:val="11"/>
  </w:num>
  <w:num w:numId="25" w16cid:durableId="70660613">
    <w:abstractNumId w:val="23"/>
  </w:num>
  <w:num w:numId="26" w16cid:durableId="90592907">
    <w:abstractNumId w:val="26"/>
  </w:num>
  <w:num w:numId="27" w16cid:durableId="1883130295">
    <w:abstractNumId w:val="0"/>
  </w:num>
  <w:num w:numId="28" w16cid:durableId="2010669222">
    <w:abstractNumId w:val="0"/>
  </w:num>
  <w:num w:numId="29" w16cid:durableId="2044673986">
    <w:abstractNumId w:val="0"/>
  </w:num>
  <w:num w:numId="30" w16cid:durableId="1983578644">
    <w:abstractNumId w:val="32"/>
  </w:num>
  <w:num w:numId="31" w16cid:durableId="1920358125">
    <w:abstractNumId w:val="17"/>
  </w:num>
  <w:num w:numId="32" w16cid:durableId="1081682961">
    <w:abstractNumId w:val="13"/>
  </w:num>
  <w:num w:numId="33" w16cid:durableId="70542325">
    <w:abstractNumId w:val="0"/>
  </w:num>
  <w:num w:numId="34" w16cid:durableId="1290631306">
    <w:abstractNumId w:val="0"/>
  </w:num>
  <w:num w:numId="35" w16cid:durableId="1979794395">
    <w:abstractNumId w:val="0"/>
  </w:num>
  <w:num w:numId="36" w16cid:durableId="1040284538">
    <w:abstractNumId w:val="0"/>
  </w:num>
  <w:num w:numId="37" w16cid:durableId="1822692626">
    <w:abstractNumId w:val="16"/>
  </w:num>
  <w:num w:numId="38" w16cid:durableId="423959788">
    <w:abstractNumId w:val="0"/>
  </w:num>
  <w:num w:numId="39" w16cid:durableId="1501123112">
    <w:abstractNumId w:val="9"/>
  </w:num>
  <w:num w:numId="40" w16cid:durableId="755517141">
    <w:abstractNumId w:val="25"/>
  </w:num>
  <w:num w:numId="41" w16cid:durableId="1122306549">
    <w:abstractNumId w:val="41"/>
  </w:num>
  <w:num w:numId="42" w16cid:durableId="576474328">
    <w:abstractNumId w:val="0"/>
  </w:num>
  <w:num w:numId="43" w16cid:durableId="81724890">
    <w:abstractNumId w:val="0"/>
  </w:num>
  <w:num w:numId="44" w16cid:durableId="1336107112">
    <w:abstractNumId w:val="7"/>
  </w:num>
  <w:num w:numId="45" w16cid:durableId="1347756223">
    <w:abstractNumId w:val="0"/>
  </w:num>
  <w:num w:numId="46" w16cid:durableId="520971881">
    <w:abstractNumId w:val="0"/>
  </w:num>
  <w:num w:numId="47" w16cid:durableId="1461267360">
    <w:abstractNumId w:val="28"/>
  </w:num>
  <w:num w:numId="48" w16cid:durableId="160124735">
    <w:abstractNumId w:val="5"/>
  </w:num>
  <w:num w:numId="49" w16cid:durableId="628780183">
    <w:abstractNumId w:val="0"/>
  </w:num>
  <w:num w:numId="50" w16cid:durableId="1988972087">
    <w:abstractNumId w:val="40"/>
  </w:num>
  <w:num w:numId="51" w16cid:durableId="1858930353">
    <w:abstractNumId w:val="15"/>
  </w:num>
  <w:num w:numId="52" w16cid:durableId="357437871">
    <w:abstractNumId w:val="24"/>
  </w:num>
  <w:num w:numId="53" w16cid:durableId="123816079">
    <w:abstractNumId w:val="35"/>
  </w:num>
  <w:num w:numId="54" w16cid:durableId="420031821">
    <w:abstractNumId w:val="38"/>
  </w:num>
  <w:num w:numId="55" w16cid:durableId="620840883">
    <w:abstractNumId w:val="21"/>
  </w:num>
  <w:num w:numId="56" w16cid:durableId="1642882989">
    <w:abstractNumId w:val="31"/>
  </w:num>
  <w:num w:numId="57" w16cid:durableId="1894803459">
    <w:abstractNumId w:val="18"/>
  </w:num>
  <w:num w:numId="58" w16cid:durableId="678391686">
    <w:abstractNumId w:val="1"/>
  </w:num>
  <w:num w:numId="59" w16cid:durableId="116488986">
    <w:abstractNumId w:val="19"/>
  </w:num>
  <w:num w:numId="60" w16cid:durableId="1668173843">
    <w:abstractNumId w:val="45"/>
  </w:num>
  <w:num w:numId="61" w16cid:durableId="367490321">
    <w:abstractNumId w:val="46"/>
  </w:num>
  <w:num w:numId="62" w16cid:durableId="1308824926">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21C3"/>
    <w:rsid w:val="00015B90"/>
    <w:rsid w:val="00015D88"/>
    <w:rsid w:val="0001607A"/>
    <w:rsid w:val="00072EEC"/>
    <w:rsid w:val="00091AC9"/>
    <w:rsid w:val="00095ECD"/>
    <w:rsid w:val="000A7335"/>
    <w:rsid w:val="000B1620"/>
    <w:rsid w:val="000B5C8C"/>
    <w:rsid w:val="000B71ED"/>
    <w:rsid w:val="000C5464"/>
    <w:rsid w:val="000C59E2"/>
    <w:rsid w:val="000C7B2D"/>
    <w:rsid w:val="000F7B7E"/>
    <w:rsid w:val="00103EEA"/>
    <w:rsid w:val="001115D7"/>
    <w:rsid w:val="00191109"/>
    <w:rsid w:val="00191235"/>
    <w:rsid w:val="001926F4"/>
    <w:rsid w:val="00192947"/>
    <w:rsid w:val="001A0053"/>
    <w:rsid w:val="001B2465"/>
    <w:rsid w:val="001B3435"/>
    <w:rsid w:val="001D18FF"/>
    <w:rsid w:val="001E09EC"/>
    <w:rsid w:val="001F2A9B"/>
    <w:rsid w:val="001F6D2D"/>
    <w:rsid w:val="00200D04"/>
    <w:rsid w:val="00201FB6"/>
    <w:rsid w:val="00226CBA"/>
    <w:rsid w:val="00232FFE"/>
    <w:rsid w:val="002405CF"/>
    <w:rsid w:val="00240B97"/>
    <w:rsid w:val="0025382D"/>
    <w:rsid w:val="00255D47"/>
    <w:rsid w:val="00263BA6"/>
    <w:rsid w:val="0027264D"/>
    <w:rsid w:val="00285D38"/>
    <w:rsid w:val="00293E43"/>
    <w:rsid w:val="002B5F43"/>
    <w:rsid w:val="002F6E72"/>
    <w:rsid w:val="002F7E3C"/>
    <w:rsid w:val="00313707"/>
    <w:rsid w:val="0032270B"/>
    <w:rsid w:val="00337E7C"/>
    <w:rsid w:val="00351CD9"/>
    <w:rsid w:val="00353CBB"/>
    <w:rsid w:val="00366924"/>
    <w:rsid w:val="00376A6D"/>
    <w:rsid w:val="00380B98"/>
    <w:rsid w:val="00381CBF"/>
    <w:rsid w:val="00395E36"/>
    <w:rsid w:val="00396023"/>
    <w:rsid w:val="003C204E"/>
    <w:rsid w:val="003C4BB5"/>
    <w:rsid w:val="003E4CC0"/>
    <w:rsid w:val="003F3D8F"/>
    <w:rsid w:val="00410409"/>
    <w:rsid w:val="00412CED"/>
    <w:rsid w:val="00416751"/>
    <w:rsid w:val="00420F9E"/>
    <w:rsid w:val="004213C3"/>
    <w:rsid w:val="0042413C"/>
    <w:rsid w:val="00427139"/>
    <w:rsid w:val="00431A1C"/>
    <w:rsid w:val="004358E9"/>
    <w:rsid w:val="00445EF8"/>
    <w:rsid w:val="004477B6"/>
    <w:rsid w:val="004537B3"/>
    <w:rsid w:val="00456268"/>
    <w:rsid w:val="00474C3A"/>
    <w:rsid w:val="0048050C"/>
    <w:rsid w:val="00487DD5"/>
    <w:rsid w:val="004947A7"/>
    <w:rsid w:val="004A2E02"/>
    <w:rsid w:val="004B7C43"/>
    <w:rsid w:val="004C2B20"/>
    <w:rsid w:val="004D6932"/>
    <w:rsid w:val="004E28AD"/>
    <w:rsid w:val="004F0F49"/>
    <w:rsid w:val="004F1D05"/>
    <w:rsid w:val="004F2008"/>
    <w:rsid w:val="00505B5D"/>
    <w:rsid w:val="005067CA"/>
    <w:rsid w:val="0052443C"/>
    <w:rsid w:val="0052775E"/>
    <w:rsid w:val="005416F0"/>
    <w:rsid w:val="00542514"/>
    <w:rsid w:val="00546AED"/>
    <w:rsid w:val="005512EF"/>
    <w:rsid w:val="005621E4"/>
    <w:rsid w:val="00582DBC"/>
    <w:rsid w:val="00590902"/>
    <w:rsid w:val="00592A14"/>
    <w:rsid w:val="00596FD7"/>
    <w:rsid w:val="005A3625"/>
    <w:rsid w:val="005B4738"/>
    <w:rsid w:val="005C212D"/>
    <w:rsid w:val="005C3CB0"/>
    <w:rsid w:val="005E1140"/>
    <w:rsid w:val="005F3214"/>
    <w:rsid w:val="00612231"/>
    <w:rsid w:val="00635EB1"/>
    <w:rsid w:val="006473BB"/>
    <w:rsid w:val="0066495D"/>
    <w:rsid w:val="00695EB6"/>
    <w:rsid w:val="006A3770"/>
    <w:rsid w:val="006A4D46"/>
    <w:rsid w:val="006A6024"/>
    <w:rsid w:val="006C31FF"/>
    <w:rsid w:val="006C6256"/>
    <w:rsid w:val="006C6B6C"/>
    <w:rsid w:val="006C704D"/>
    <w:rsid w:val="006D31A2"/>
    <w:rsid w:val="006D736E"/>
    <w:rsid w:val="006F09E0"/>
    <w:rsid w:val="0070331D"/>
    <w:rsid w:val="007052B1"/>
    <w:rsid w:val="007067A0"/>
    <w:rsid w:val="00711BF4"/>
    <w:rsid w:val="00741B43"/>
    <w:rsid w:val="0074223E"/>
    <w:rsid w:val="007514C0"/>
    <w:rsid w:val="007543AC"/>
    <w:rsid w:val="00756537"/>
    <w:rsid w:val="00756A2B"/>
    <w:rsid w:val="007720B4"/>
    <w:rsid w:val="007934B5"/>
    <w:rsid w:val="007A0EBC"/>
    <w:rsid w:val="007B27F1"/>
    <w:rsid w:val="007B4ABB"/>
    <w:rsid w:val="007B6904"/>
    <w:rsid w:val="007B7628"/>
    <w:rsid w:val="007C36E4"/>
    <w:rsid w:val="007C6933"/>
    <w:rsid w:val="007D11F7"/>
    <w:rsid w:val="00816782"/>
    <w:rsid w:val="0082141D"/>
    <w:rsid w:val="00827F24"/>
    <w:rsid w:val="00845445"/>
    <w:rsid w:val="00855DA8"/>
    <w:rsid w:val="008740BC"/>
    <w:rsid w:val="00886399"/>
    <w:rsid w:val="00891C7F"/>
    <w:rsid w:val="008974CA"/>
    <w:rsid w:val="008E1F7F"/>
    <w:rsid w:val="008F00E8"/>
    <w:rsid w:val="009057BF"/>
    <w:rsid w:val="00906142"/>
    <w:rsid w:val="00931B93"/>
    <w:rsid w:val="00933EED"/>
    <w:rsid w:val="00940CDE"/>
    <w:rsid w:val="00962C46"/>
    <w:rsid w:val="0097742A"/>
    <w:rsid w:val="0097744F"/>
    <w:rsid w:val="00980EED"/>
    <w:rsid w:val="00982853"/>
    <w:rsid w:val="00991670"/>
    <w:rsid w:val="009B6C8C"/>
    <w:rsid w:val="009C0FCA"/>
    <w:rsid w:val="009C3963"/>
    <w:rsid w:val="009D23DA"/>
    <w:rsid w:val="009D323C"/>
    <w:rsid w:val="009E39B9"/>
    <w:rsid w:val="009E70F4"/>
    <w:rsid w:val="00A02ED1"/>
    <w:rsid w:val="00A17EE4"/>
    <w:rsid w:val="00A35E2D"/>
    <w:rsid w:val="00A36096"/>
    <w:rsid w:val="00A54CB3"/>
    <w:rsid w:val="00A74B8A"/>
    <w:rsid w:val="00A85F61"/>
    <w:rsid w:val="00A86DB3"/>
    <w:rsid w:val="00A92E4F"/>
    <w:rsid w:val="00A92EB3"/>
    <w:rsid w:val="00AA25DC"/>
    <w:rsid w:val="00AB13EF"/>
    <w:rsid w:val="00AB50DD"/>
    <w:rsid w:val="00AB7E13"/>
    <w:rsid w:val="00AC7025"/>
    <w:rsid w:val="00AD196F"/>
    <w:rsid w:val="00AD3CCE"/>
    <w:rsid w:val="00AE4D51"/>
    <w:rsid w:val="00B03D49"/>
    <w:rsid w:val="00B07A46"/>
    <w:rsid w:val="00B07DCE"/>
    <w:rsid w:val="00B12123"/>
    <w:rsid w:val="00B15266"/>
    <w:rsid w:val="00B21043"/>
    <w:rsid w:val="00B41CDA"/>
    <w:rsid w:val="00B42EA0"/>
    <w:rsid w:val="00B44CAC"/>
    <w:rsid w:val="00B573D6"/>
    <w:rsid w:val="00B73E65"/>
    <w:rsid w:val="00B81455"/>
    <w:rsid w:val="00B94A65"/>
    <w:rsid w:val="00B9627F"/>
    <w:rsid w:val="00BA2415"/>
    <w:rsid w:val="00BA4DB2"/>
    <w:rsid w:val="00BA4E0F"/>
    <w:rsid w:val="00BA4F95"/>
    <w:rsid w:val="00BB33F9"/>
    <w:rsid w:val="00BC3CE6"/>
    <w:rsid w:val="00BE5E41"/>
    <w:rsid w:val="00BF078E"/>
    <w:rsid w:val="00C24EDC"/>
    <w:rsid w:val="00C25A76"/>
    <w:rsid w:val="00C31EB3"/>
    <w:rsid w:val="00C32206"/>
    <w:rsid w:val="00C3559A"/>
    <w:rsid w:val="00C422C8"/>
    <w:rsid w:val="00C45C67"/>
    <w:rsid w:val="00C47091"/>
    <w:rsid w:val="00C523FF"/>
    <w:rsid w:val="00C57BC3"/>
    <w:rsid w:val="00C71C3C"/>
    <w:rsid w:val="00C76998"/>
    <w:rsid w:val="00C93E83"/>
    <w:rsid w:val="00CA3D14"/>
    <w:rsid w:val="00CA593D"/>
    <w:rsid w:val="00CB5A90"/>
    <w:rsid w:val="00CC5D11"/>
    <w:rsid w:val="00CD1505"/>
    <w:rsid w:val="00CD7201"/>
    <w:rsid w:val="00CF2FB8"/>
    <w:rsid w:val="00D21780"/>
    <w:rsid w:val="00D23346"/>
    <w:rsid w:val="00D243B8"/>
    <w:rsid w:val="00D34794"/>
    <w:rsid w:val="00D4502D"/>
    <w:rsid w:val="00D530CE"/>
    <w:rsid w:val="00D53E3C"/>
    <w:rsid w:val="00D77950"/>
    <w:rsid w:val="00DC3762"/>
    <w:rsid w:val="00DC410B"/>
    <w:rsid w:val="00DC5C47"/>
    <w:rsid w:val="00DD1A2B"/>
    <w:rsid w:val="00DD616A"/>
    <w:rsid w:val="00DE0465"/>
    <w:rsid w:val="00DE4E25"/>
    <w:rsid w:val="00DE6B14"/>
    <w:rsid w:val="00E049ED"/>
    <w:rsid w:val="00E34E6D"/>
    <w:rsid w:val="00E37CD4"/>
    <w:rsid w:val="00E44277"/>
    <w:rsid w:val="00E57848"/>
    <w:rsid w:val="00E73459"/>
    <w:rsid w:val="00E750BF"/>
    <w:rsid w:val="00E765A0"/>
    <w:rsid w:val="00E90708"/>
    <w:rsid w:val="00ED21C3"/>
    <w:rsid w:val="00ED388C"/>
    <w:rsid w:val="00ED46C3"/>
    <w:rsid w:val="00ED4C97"/>
    <w:rsid w:val="00EF02B0"/>
    <w:rsid w:val="00EF13A4"/>
    <w:rsid w:val="00F01B61"/>
    <w:rsid w:val="00F11338"/>
    <w:rsid w:val="00F13AE5"/>
    <w:rsid w:val="00F149FD"/>
    <w:rsid w:val="00F14EC1"/>
    <w:rsid w:val="00F4262F"/>
    <w:rsid w:val="00F517F5"/>
    <w:rsid w:val="00F53719"/>
    <w:rsid w:val="00F57291"/>
    <w:rsid w:val="00F66CB0"/>
    <w:rsid w:val="00F7159A"/>
    <w:rsid w:val="00F76C89"/>
    <w:rsid w:val="00F9158A"/>
    <w:rsid w:val="00FA29B8"/>
    <w:rsid w:val="00FC7CBC"/>
    <w:rsid w:val="00FD3D92"/>
    <w:rsid w:val="00FF56DD"/>
    <w:rsid w:val="017223FF"/>
    <w:rsid w:val="02A6B641"/>
    <w:rsid w:val="04A0BA33"/>
    <w:rsid w:val="07AEA8C9"/>
    <w:rsid w:val="095AD4E4"/>
    <w:rsid w:val="09929BC0"/>
    <w:rsid w:val="0A08D989"/>
    <w:rsid w:val="0AF14853"/>
    <w:rsid w:val="0DE79513"/>
    <w:rsid w:val="0F12B171"/>
    <w:rsid w:val="101ED24F"/>
    <w:rsid w:val="13CBF013"/>
    <w:rsid w:val="1421B509"/>
    <w:rsid w:val="142539D6"/>
    <w:rsid w:val="1455C9B7"/>
    <w:rsid w:val="164AAD0B"/>
    <w:rsid w:val="17239979"/>
    <w:rsid w:val="186A08C5"/>
    <w:rsid w:val="19A66653"/>
    <w:rsid w:val="1ACCA466"/>
    <w:rsid w:val="1C0C41CB"/>
    <w:rsid w:val="1CCCED57"/>
    <w:rsid w:val="20335D64"/>
    <w:rsid w:val="242EF2F2"/>
    <w:rsid w:val="260C4EDB"/>
    <w:rsid w:val="2956DDCA"/>
    <w:rsid w:val="2BAC43EA"/>
    <w:rsid w:val="2D5538D3"/>
    <w:rsid w:val="2D79EDD8"/>
    <w:rsid w:val="2E28C210"/>
    <w:rsid w:val="2EA34DA3"/>
    <w:rsid w:val="3597C16A"/>
    <w:rsid w:val="36B804A0"/>
    <w:rsid w:val="37648DFD"/>
    <w:rsid w:val="39F608B6"/>
    <w:rsid w:val="3CE3CFAD"/>
    <w:rsid w:val="3D832163"/>
    <w:rsid w:val="3EF65604"/>
    <w:rsid w:val="401B706F"/>
    <w:rsid w:val="4284C3DC"/>
    <w:rsid w:val="439833D5"/>
    <w:rsid w:val="43B586AD"/>
    <w:rsid w:val="43BF2183"/>
    <w:rsid w:val="443F77F7"/>
    <w:rsid w:val="4634E4D4"/>
    <w:rsid w:val="4684332B"/>
    <w:rsid w:val="472717C6"/>
    <w:rsid w:val="4A78F20A"/>
    <w:rsid w:val="4ACC4193"/>
    <w:rsid w:val="4C6811F4"/>
    <w:rsid w:val="4E0A7534"/>
    <w:rsid w:val="4E36F89C"/>
    <w:rsid w:val="4FDFB907"/>
    <w:rsid w:val="503981BF"/>
    <w:rsid w:val="509BD635"/>
    <w:rsid w:val="52B2F985"/>
    <w:rsid w:val="5447F9F8"/>
    <w:rsid w:val="55918A0A"/>
    <w:rsid w:val="5596A3A4"/>
    <w:rsid w:val="57F7E4CD"/>
    <w:rsid w:val="5962EF1F"/>
    <w:rsid w:val="5C36D391"/>
    <w:rsid w:val="5EB1A2FF"/>
    <w:rsid w:val="61E943C1"/>
    <w:rsid w:val="63D1BC78"/>
    <w:rsid w:val="64B95ECC"/>
    <w:rsid w:val="654DB64E"/>
    <w:rsid w:val="680316F5"/>
    <w:rsid w:val="6844FF27"/>
    <w:rsid w:val="6878E700"/>
    <w:rsid w:val="68A215DA"/>
    <w:rsid w:val="6C1A788C"/>
    <w:rsid w:val="6DCD2A6F"/>
    <w:rsid w:val="6E69AD59"/>
    <w:rsid w:val="6FD9FB79"/>
    <w:rsid w:val="720DE6F5"/>
    <w:rsid w:val="72637B24"/>
    <w:rsid w:val="794943A5"/>
    <w:rsid w:val="7A248563"/>
    <w:rsid w:val="7B86A85D"/>
    <w:rsid w:val="7D9E79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F51A84E"/>
  <w15:docId w15:val="{2D02C8C9-805C-412C-9170-65414A80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C69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14EC1"/>
    <w:pPr>
      <w:numPr>
        <w:numId w:val="13"/>
      </w:numPr>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unhideWhenUsed/>
    <w:rsid w:val="00CC5D11"/>
    <w:rPr>
      <w:sz w:val="20"/>
    </w:rPr>
  </w:style>
  <w:style w:type="character" w:customStyle="1" w:styleId="CommentTextChar">
    <w:name w:val="Comment Text Char"/>
    <w:basedOn w:val="DefaultParagraphFont"/>
    <w:link w:val="CommentText"/>
    <w:uiPriority w:val="99"/>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character" w:customStyle="1" w:styleId="ListParagraphChar">
    <w:name w:val="List Paragraph Char"/>
    <w:basedOn w:val="DefaultParagraphFont"/>
    <w:link w:val="ListParagraph"/>
    <w:uiPriority w:val="34"/>
    <w:rsid w:val="009D23DA"/>
    <w:rPr>
      <w:rFonts w:ascii="Calibri" w:eastAsia="Times New Roman" w:hAnsi="Calibri" w:cs="Times New Roman"/>
      <w:sz w:val="24"/>
      <w:szCs w:val="20"/>
    </w:rPr>
  </w:style>
  <w:style w:type="paragraph" w:styleId="NoSpacing">
    <w:name w:val="No Spacing"/>
    <w:uiPriority w:val="1"/>
    <w:qFormat/>
    <w:rsid w:val="007C6933"/>
    <w:pPr>
      <w:spacing w:after="0" w:line="240" w:lineRule="auto"/>
    </w:pPr>
  </w:style>
  <w:style w:type="character" w:customStyle="1" w:styleId="Heading4Char">
    <w:name w:val="Heading 4 Char"/>
    <w:basedOn w:val="DefaultParagraphFont"/>
    <w:link w:val="Heading4"/>
    <w:uiPriority w:val="9"/>
    <w:rsid w:val="007C6933"/>
    <w:rPr>
      <w:rFonts w:asciiTheme="majorHAnsi" w:eastAsiaTheme="majorEastAsia" w:hAnsiTheme="majorHAnsi" w:cstheme="majorBidi"/>
      <w:i/>
      <w:iCs/>
      <w:color w:val="365F91"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85159">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483505310">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gldcdp.tg.org.au/topicTeaser?guidelinePage=Antibiotic&amp;etgAccess=true" TargetMode="External"/><Relationship Id="rId18" Type="http://schemas.openxmlformats.org/officeDocument/2006/relationships/hyperlink" Target="https://tgldcdp.tg.org.au/topicTeaser?guidelinePage=Antibiotic&amp;etgAccess=tru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gldcdp.tg.org.au/etgAccess" TargetMode="External"/><Relationship Id="rId17" Type="http://schemas.openxmlformats.org/officeDocument/2006/relationships/hyperlink" Target="https://www.sahealth.sa.gov.au/wps/wcm/connect/86d0af8047ca4a108ca28dfc651ee2b2/IV+to+Oral+Switch+Guideline+for+Adult+Patients_Mar2015.pdf?MOD=AJPERES&amp;CACHE=NONE"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gldcdp.tg.org.au/etgAccess" TargetMode="External"/><Relationship Id="rId5" Type="http://schemas.openxmlformats.org/officeDocument/2006/relationships/numbering" Target="numbering.xml"/><Relationship Id="rId15" Type="http://schemas.openxmlformats.org/officeDocument/2006/relationships/hyperlink" Target="https://tgldcdp.tg.org.au/etgAcces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afetyandquality.gov.au/resource-library/antimicrobial-stewardship-australian-health-care-201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gldcdp.tg.org.au/etgAcces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e92cdff7a5e326f8e1cd78cab442d1c9">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19fe5ee6d80ed5e664fd7ece6102a156"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Yes"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2024-02-22T13:00:00+00:00</Approval_x0020_Date>
    <Review_x0020_Date xmlns="690b2128-8961-48af-a473-22c34a9accba">2025-09-30T14:00:00+00:00</Review_x0020_Date>
    <TaxCatchAll xmlns="c0239a80-7f07-4ed7-82c3-24ad7d76ada5" xsi:nil="true"/>
    <Version_x0020_Number xmlns="690b2128-8961-48af-a473-22c34a9accba">1</Version_x0020_Number>
    <Notes0 xmlns="690b2128-8961-48af-a473-22c34a9accba" xsi:nil="true"/>
    <Key_x0020_Words xmlns="690b2128-8961-48af-a473-22c34a9accba">North, Antimicrobial, AMS, Prescribing, antibiotics, Antimicrobial stewardship, AMS, Antibiotic, Restricted, Antimicrobial, Approval, Antimicrobial Approval, DHR, Antimicrobial Order Panels, Infectious, Diseases, Prescribing, Antibiotics. </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Antimicrobial Stewardship (AMS) Procedure
Antimicrobial Stewardship (AMS) Policy</Replaces_x003a_>
    <ISD_x0020_Submitted xmlns="690b2128-8961-48af-a473-22c34a9accba">Not Required</ISD_x0020_Submitted>
    <Risk_x0020_Rating xmlns="690b2128-8961-48af-a473-22c34a9accba">Medium</Risk_x0020_Rating>
    <Description0 xmlns="690b2128-8961-48af-a473-22c34a9accba">This procedure relates to the prescribing, preparation, administration, and dispensing of antimicrobials.</Description0>
    <Display_x0020_on_x0020_Internet xmlns="690b2128-8961-48af-a473-22c34a9accba">true</Display_x0020_on_x0020_Internet>
    <Related_x0020_Documents xmlns="690b2128-8961-48af-a473-22c34a9accba" xsi:nil="true"/>
    <Decision_x0020_Number xmlns="690b2128-8961-48af-a473-22c34a9accba">CHS24/072</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North Canberra Hospital (NCH) – Allied Health &amp; Palliative Care – Pharmacy  </New_x0020_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07D03-3E43-4518-A417-F44DBBD7612B}"/>
</file>

<file path=customXml/itemProps2.xml><?xml version="1.0" encoding="utf-8"?>
<ds:datastoreItem xmlns:ds="http://schemas.openxmlformats.org/officeDocument/2006/customXml" ds:itemID="{3A8D60C2-E863-4933-A5EA-732C6DBA43AC}">
  <ds:schemaRefs>
    <ds:schemaRef ds:uri="http://schemas.openxmlformats.org/officeDocument/2006/bibliography"/>
  </ds:schemaRefs>
</ds:datastoreItem>
</file>

<file path=customXml/itemProps3.xml><?xml version="1.0" encoding="utf-8"?>
<ds:datastoreItem xmlns:ds="http://schemas.openxmlformats.org/officeDocument/2006/customXml" ds:itemID="{297F58B0-E6BF-4237-9984-6DF2E01C04FA}">
  <ds:schemaRefs>
    <ds:schemaRef ds:uri="http://purl.org/dc/dcmitype/"/>
    <ds:schemaRef ds:uri="http://schemas.microsoft.com/office/2006/metadata/properties"/>
    <ds:schemaRef ds:uri="690b2128-8961-48af-a473-22c34a9accba"/>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c0239a80-7f07-4ed7-82c3-24ad7d76ada5"/>
    <ds:schemaRef ds:uri="http://www.w3.org/XML/1998/namespace"/>
  </ds:schemaRefs>
</ds:datastoreItem>
</file>

<file path=customXml/itemProps4.xml><?xml version="1.0" encoding="utf-8"?>
<ds:datastoreItem xmlns:ds="http://schemas.openxmlformats.org/officeDocument/2006/customXml" ds:itemID="{0DA4D85D-37FD-4A82-B786-2D707BCAE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3825</Words>
  <Characters>21808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Antimicrobial Stewardship - North Canberra Hospital (NCH)</dc:title>
  <dc:subject/>
  <dc:creator>Kerryn Hunter</dc:creator>
  <cp:keywords/>
  <dc:description/>
  <cp:lastModifiedBy>Clissold, Jacqui</cp:lastModifiedBy>
  <cp:revision>16</cp:revision>
  <cp:lastPrinted>2015-01-20T22:40:00Z</cp:lastPrinted>
  <dcterms:created xsi:type="dcterms:W3CDTF">2024-01-21T23:39:00Z</dcterms:created>
  <dcterms:modified xsi:type="dcterms:W3CDTF">2024-07-17T04:21:00Z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Order">
    <vt:r8>4100</vt:r8>
  </property>
  <property fmtid="{D5CDD505-2E9C-101B-9397-08002B2CF9AE}" pid="4" name="_ExtendedDescription">
    <vt:lpwstr/>
  </property>
  <property fmtid="{D5CDD505-2E9C-101B-9397-08002B2CF9AE}" pid="5" name="Related Legislation &amp; Guidelines">
    <vt:lpwstr/>
  </property>
  <property fmtid="{D5CDD505-2E9C-101B-9397-08002B2CF9AE}" pid="6" name="MSIP_Label_69af8531-eb46-4968-8cb3-105d2f5ea87e_Enabled">
    <vt:lpwstr>true</vt:lpwstr>
  </property>
  <property fmtid="{D5CDD505-2E9C-101B-9397-08002B2CF9AE}" pid="7" name="MSIP_Label_69af8531-eb46-4968-8cb3-105d2f5ea87e_SetDate">
    <vt:lpwstr>2024-07-17T04:21:30Z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4b6d9e68-6682-4189-81f9-c8cf34107dff</vt:lpwstr>
  </property>
  <property fmtid="{D5CDD505-2E9C-101B-9397-08002B2CF9AE}" pid="12" name="MSIP_Label_69af8531-eb46-4968-8cb3-105d2f5ea87e_ContentBits">
    <vt:lpwstr>0</vt:lpwstr>
  </property>
</Properties>
</file>