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66E82E9E">
        <w:rPr>
          <w:rFonts w:cs="Arial"/>
          <w:b/>
          <w:bCs/>
          <w:sz w:val="44"/>
          <w:szCs w:val="44"/>
        </w:rPr>
        <w:t>Procedure</w:t>
      </w:r>
      <w:r w:rsidR="00931B93" w:rsidRPr="66E82E9E">
        <w:rPr>
          <w:rFonts w:cs="Arial"/>
          <w:b/>
          <w:bCs/>
          <w:sz w:val="44"/>
          <w:szCs w:val="44"/>
        </w:rPr>
        <w:t xml:space="preserve"> </w:t>
      </w:r>
    </w:p>
    <w:p w14:paraId="5443A486" w14:textId="46B38B60" w:rsidR="7DBDF87A" w:rsidRDefault="00807B08">
      <w:r>
        <w:rPr>
          <w:rFonts w:eastAsia="Calibri" w:cs="Calibri"/>
          <w:b/>
          <w:bCs/>
          <w:sz w:val="36"/>
          <w:szCs w:val="36"/>
        </w:rPr>
        <w:t xml:space="preserve">North Canberra Hospital (NCH) - </w:t>
      </w:r>
      <w:r w:rsidRPr="00807B08">
        <w:rPr>
          <w:rFonts w:eastAsia="Calibri" w:cs="Calibri"/>
          <w:b/>
          <w:bCs/>
          <w:sz w:val="36"/>
          <w:szCs w:val="36"/>
        </w:rPr>
        <w:t>Indigenous Status Data Collection</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60093298"/>
            <w:r w:rsidRPr="00CD1C0E">
              <w:t>Contents</w:t>
            </w:r>
            <w:bookmarkEnd w:id="5"/>
            <w:bookmarkEnd w:id="6"/>
            <w:bookmarkEnd w:id="7"/>
          </w:p>
        </w:tc>
      </w:tr>
    </w:tbl>
    <w:p w14:paraId="2F51A853" w14:textId="77777777" w:rsidR="007B6904" w:rsidRDefault="007B6904" w:rsidP="007B6904"/>
    <w:p w14:paraId="3179DDBD" w14:textId="108668E1" w:rsidR="00BA7522" w:rsidRDefault="007B7628">
      <w:pPr>
        <w:pStyle w:val="TOC1"/>
        <w:tabs>
          <w:tab w:val="right" w:leader="dot" w:pos="9060"/>
        </w:tabs>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60093298" w:history="1">
        <w:r w:rsidR="00BA7522" w:rsidRPr="00D55968">
          <w:rPr>
            <w:rStyle w:val="Hyperlink"/>
            <w:noProof/>
          </w:rPr>
          <w:t>Contents</w:t>
        </w:r>
        <w:r w:rsidR="00BA7522">
          <w:rPr>
            <w:noProof/>
            <w:webHidden/>
          </w:rPr>
          <w:tab/>
        </w:r>
        <w:r w:rsidR="00BA7522">
          <w:rPr>
            <w:noProof/>
            <w:webHidden/>
          </w:rPr>
          <w:fldChar w:fldCharType="begin"/>
        </w:r>
        <w:r w:rsidR="00BA7522">
          <w:rPr>
            <w:noProof/>
            <w:webHidden/>
          </w:rPr>
          <w:instrText xml:space="preserve"> PAGEREF _Toc160093298 \h </w:instrText>
        </w:r>
        <w:r w:rsidR="00BA7522">
          <w:rPr>
            <w:noProof/>
            <w:webHidden/>
          </w:rPr>
        </w:r>
        <w:r w:rsidR="00BA7522">
          <w:rPr>
            <w:noProof/>
            <w:webHidden/>
          </w:rPr>
          <w:fldChar w:fldCharType="separate"/>
        </w:r>
        <w:r w:rsidR="00BA7522">
          <w:rPr>
            <w:noProof/>
            <w:webHidden/>
          </w:rPr>
          <w:t>1</w:t>
        </w:r>
        <w:r w:rsidR="00BA7522">
          <w:rPr>
            <w:noProof/>
            <w:webHidden/>
          </w:rPr>
          <w:fldChar w:fldCharType="end"/>
        </w:r>
      </w:hyperlink>
    </w:p>
    <w:p w14:paraId="2B3C6697" w14:textId="1ADFD38D" w:rsidR="00BA7522" w:rsidRDefault="00BA7522">
      <w:pPr>
        <w:pStyle w:val="TOC1"/>
        <w:tabs>
          <w:tab w:val="right" w:leader="dot" w:pos="9060"/>
        </w:tabs>
        <w:rPr>
          <w:rFonts w:eastAsiaTheme="minorEastAsia" w:cstheme="minorBidi"/>
          <w:noProof/>
          <w:kern w:val="2"/>
          <w:sz w:val="22"/>
          <w:szCs w:val="22"/>
          <w:lang w:eastAsia="en-AU"/>
          <w14:ligatures w14:val="standardContextual"/>
        </w:rPr>
      </w:pPr>
      <w:hyperlink w:anchor="_Toc160093299" w:history="1">
        <w:r w:rsidRPr="00D55968">
          <w:rPr>
            <w:rStyle w:val="Hyperlink"/>
            <w:noProof/>
          </w:rPr>
          <w:t>Purpose</w:t>
        </w:r>
        <w:r>
          <w:rPr>
            <w:noProof/>
            <w:webHidden/>
          </w:rPr>
          <w:tab/>
        </w:r>
        <w:r>
          <w:rPr>
            <w:noProof/>
            <w:webHidden/>
          </w:rPr>
          <w:fldChar w:fldCharType="begin"/>
        </w:r>
        <w:r>
          <w:rPr>
            <w:noProof/>
            <w:webHidden/>
          </w:rPr>
          <w:instrText xml:space="preserve"> PAGEREF _Toc160093299 \h </w:instrText>
        </w:r>
        <w:r>
          <w:rPr>
            <w:noProof/>
            <w:webHidden/>
          </w:rPr>
        </w:r>
        <w:r>
          <w:rPr>
            <w:noProof/>
            <w:webHidden/>
          </w:rPr>
          <w:fldChar w:fldCharType="separate"/>
        </w:r>
        <w:r>
          <w:rPr>
            <w:noProof/>
            <w:webHidden/>
          </w:rPr>
          <w:t>2</w:t>
        </w:r>
        <w:r>
          <w:rPr>
            <w:noProof/>
            <w:webHidden/>
          </w:rPr>
          <w:fldChar w:fldCharType="end"/>
        </w:r>
      </w:hyperlink>
    </w:p>
    <w:p w14:paraId="47387AE8" w14:textId="026539CD" w:rsidR="00BA7522" w:rsidRDefault="00BA7522">
      <w:pPr>
        <w:pStyle w:val="TOC1"/>
        <w:tabs>
          <w:tab w:val="right" w:leader="dot" w:pos="9060"/>
        </w:tabs>
        <w:rPr>
          <w:rFonts w:eastAsiaTheme="minorEastAsia" w:cstheme="minorBidi"/>
          <w:noProof/>
          <w:kern w:val="2"/>
          <w:sz w:val="22"/>
          <w:szCs w:val="22"/>
          <w:lang w:eastAsia="en-AU"/>
          <w14:ligatures w14:val="standardContextual"/>
        </w:rPr>
      </w:pPr>
      <w:hyperlink w:anchor="_Toc160093300" w:history="1">
        <w:r w:rsidRPr="00D55968">
          <w:rPr>
            <w:rStyle w:val="Hyperlink"/>
            <w:noProof/>
          </w:rPr>
          <w:t>Scope</w:t>
        </w:r>
        <w:r>
          <w:rPr>
            <w:noProof/>
            <w:webHidden/>
          </w:rPr>
          <w:tab/>
        </w:r>
        <w:r>
          <w:rPr>
            <w:noProof/>
            <w:webHidden/>
          </w:rPr>
          <w:fldChar w:fldCharType="begin"/>
        </w:r>
        <w:r>
          <w:rPr>
            <w:noProof/>
            <w:webHidden/>
          </w:rPr>
          <w:instrText xml:space="preserve"> PAGEREF _Toc160093300 \h </w:instrText>
        </w:r>
        <w:r>
          <w:rPr>
            <w:noProof/>
            <w:webHidden/>
          </w:rPr>
        </w:r>
        <w:r>
          <w:rPr>
            <w:noProof/>
            <w:webHidden/>
          </w:rPr>
          <w:fldChar w:fldCharType="separate"/>
        </w:r>
        <w:r>
          <w:rPr>
            <w:noProof/>
            <w:webHidden/>
          </w:rPr>
          <w:t>2</w:t>
        </w:r>
        <w:r>
          <w:rPr>
            <w:noProof/>
            <w:webHidden/>
          </w:rPr>
          <w:fldChar w:fldCharType="end"/>
        </w:r>
      </w:hyperlink>
    </w:p>
    <w:p w14:paraId="5CCFFE21" w14:textId="55FE047C" w:rsidR="00BA7522" w:rsidRDefault="00BA7522">
      <w:pPr>
        <w:pStyle w:val="TOC1"/>
        <w:tabs>
          <w:tab w:val="right" w:leader="dot" w:pos="9060"/>
        </w:tabs>
        <w:rPr>
          <w:rFonts w:eastAsiaTheme="minorEastAsia" w:cstheme="minorBidi"/>
          <w:noProof/>
          <w:kern w:val="2"/>
          <w:sz w:val="22"/>
          <w:szCs w:val="22"/>
          <w:lang w:eastAsia="en-AU"/>
          <w14:ligatures w14:val="standardContextual"/>
        </w:rPr>
      </w:pPr>
      <w:hyperlink w:anchor="_Toc160093301" w:history="1">
        <w:r w:rsidRPr="00D55968">
          <w:rPr>
            <w:rStyle w:val="Hyperlink"/>
            <w:noProof/>
          </w:rPr>
          <w:t>Section 1 – Procedure</w:t>
        </w:r>
        <w:r>
          <w:rPr>
            <w:noProof/>
            <w:webHidden/>
          </w:rPr>
          <w:tab/>
        </w:r>
        <w:r>
          <w:rPr>
            <w:noProof/>
            <w:webHidden/>
          </w:rPr>
          <w:fldChar w:fldCharType="begin"/>
        </w:r>
        <w:r>
          <w:rPr>
            <w:noProof/>
            <w:webHidden/>
          </w:rPr>
          <w:instrText xml:space="preserve"> PAGEREF _Toc160093301 \h </w:instrText>
        </w:r>
        <w:r>
          <w:rPr>
            <w:noProof/>
            <w:webHidden/>
          </w:rPr>
        </w:r>
        <w:r>
          <w:rPr>
            <w:noProof/>
            <w:webHidden/>
          </w:rPr>
          <w:fldChar w:fldCharType="separate"/>
        </w:r>
        <w:r>
          <w:rPr>
            <w:noProof/>
            <w:webHidden/>
          </w:rPr>
          <w:t>2</w:t>
        </w:r>
        <w:r>
          <w:rPr>
            <w:noProof/>
            <w:webHidden/>
          </w:rPr>
          <w:fldChar w:fldCharType="end"/>
        </w:r>
      </w:hyperlink>
    </w:p>
    <w:p w14:paraId="32552EC0" w14:textId="5A4F1B5A" w:rsidR="00BA7522" w:rsidRDefault="00BA7522">
      <w:pPr>
        <w:pStyle w:val="TOC1"/>
        <w:tabs>
          <w:tab w:val="right" w:leader="dot" w:pos="9060"/>
        </w:tabs>
        <w:rPr>
          <w:rFonts w:eastAsiaTheme="minorEastAsia" w:cstheme="minorBidi"/>
          <w:noProof/>
          <w:kern w:val="2"/>
          <w:sz w:val="22"/>
          <w:szCs w:val="22"/>
          <w:lang w:eastAsia="en-AU"/>
          <w14:ligatures w14:val="standardContextual"/>
        </w:rPr>
      </w:pPr>
      <w:hyperlink w:anchor="_Toc160093302" w:history="1">
        <w:r w:rsidRPr="00D55968">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_Toc160093302 \h </w:instrText>
        </w:r>
        <w:r>
          <w:rPr>
            <w:noProof/>
            <w:webHidden/>
          </w:rPr>
        </w:r>
        <w:r>
          <w:rPr>
            <w:noProof/>
            <w:webHidden/>
          </w:rPr>
          <w:fldChar w:fldCharType="separate"/>
        </w:r>
        <w:r>
          <w:rPr>
            <w:noProof/>
            <w:webHidden/>
          </w:rPr>
          <w:t>4</w:t>
        </w:r>
        <w:r>
          <w:rPr>
            <w:noProof/>
            <w:webHidden/>
          </w:rPr>
          <w:fldChar w:fldCharType="end"/>
        </w:r>
      </w:hyperlink>
    </w:p>
    <w:p w14:paraId="08EF51C5" w14:textId="3405C2E4" w:rsidR="00BA7522" w:rsidRDefault="00BA7522">
      <w:pPr>
        <w:pStyle w:val="TOC1"/>
        <w:tabs>
          <w:tab w:val="right" w:leader="dot" w:pos="9060"/>
        </w:tabs>
        <w:rPr>
          <w:rFonts w:eastAsiaTheme="minorEastAsia" w:cstheme="minorBidi"/>
          <w:noProof/>
          <w:kern w:val="2"/>
          <w:sz w:val="22"/>
          <w:szCs w:val="22"/>
          <w:lang w:eastAsia="en-AU"/>
          <w14:ligatures w14:val="standardContextual"/>
        </w:rPr>
      </w:pPr>
      <w:hyperlink w:anchor="_Toc160093303" w:history="1">
        <w:r w:rsidRPr="00D55968">
          <w:rPr>
            <w:rStyle w:val="Hyperlink"/>
            <w:noProof/>
          </w:rPr>
          <w:t>References</w:t>
        </w:r>
        <w:r>
          <w:rPr>
            <w:noProof/>
            <w:webHidden/>
          </w:rPr>
          <w:tab/>
        </w:r>
        <w:r>
          <w:rPr>
            <w:noProof/>
            <w:webHidden/>
          </w:rPr>
          <w:fldChar w:fldCharType="begin"/>
        </w:r>
        <w:r>
          <w:rPr>
            <w:noProof/>
            <w:webHidden/>
          </w:rPr>
          <w:instrText xml:space="preserve"> PAGEREF _Toc160093303 \h </w:instrText>
        </w:r>
        <w:r>
          <w:rPr>
            <w:noProof/>
            <w:webHidden/>
          </w:rPr>
        </w:r>
        <w:r>
          <w:rPr>
            <w:noProof/>
            <w:webHidden/>
          </w:rPr>
          <w:fldChar w:fldCharType="separate"/>
        </w:r>
        <w:r>
          <w:rPr>
            <w:noProof/>
            <w:webHidden/>
          </w:rPr>
          <w:t>5</w:t>
        </w:r>
        <w:r>
          <w:rPr>
            <w:noProof/>
            <w:webHidden/>
          </w:rPr>
          <w:fldChar w:fldCharType="end"/>
        </w:r>
      </w:hyperlink>
    </w:p>
    <w:p w14:paraId="6020BA1F" w14:textId="5580E55B" w:rsidR="00BA7522" w:rsidRDefault="00BA7522">
      <w:pPr>
        <w:pStyle w:val="TOC1"/>
        <w:tabs>
          <w:tab w:val="right" w:leader="dot" w:pos="9060"/>
        </w:tabs>
        <w:rPr>
          <w:rFonts w:eastAsiaTheme="minorEastAsia" w:cstheme="minorBidi"/>
          <w:noProof/>
          <w:kern w:val="2"/>
          <w:sz w:val="22"/>
          <w:szCs w:val="22"/>
          <w:lang w:eastAsia="en-AU"/>
          <w14:ligatures w14:val="standardContextual"/>
        </w:rPr>
      </w:pPr>
      <w:hyperlink w:anchor="_Toc160093304" w:history="1">
        <w:r w:rsidRPr="00D55968">
          <w:rPr>
            <w:rStyle w:val="Hyperlink"/>
            <w:noProof/>
          </w:rPr>
          <w:t>Definition of Terms</w:t>
        </w:r>
        <w:r>
          <w:rPr>
            <w:noProof/>
            <w:webHidden/>
          </w:rPr>
          <w:tab/>
        </w:r>
        <w:r>
          <w:rPr>
            <w:noProof/>
            <w:webHidden/>
          </w:rPr>
          <w:fldChar w:fldCharType="begin"/>
        </w:r>
        <w:r>
          <w:rPr>
            <w:noProof/>
            <w:webHidden/>
          </w:rPr>
          <w:instrText xml:space="preserve"> PAGEREF _Toc160093304 \h </w:instrText>
        </w:r>
        <w:r>
          <w:rPr>
            <w:noProof/>
            <w:webHidden/>
          </w:rPr>
        </w:r>
        <w:r>
          <w:rPr>
            <w:noProof/>
            <w:webHidden/>
          </w:rPr>
          <w:fldChar w:fldCharType="separate"/>
        </w:r>
        <w:r>
          <w:rPr>
            <w:noProof/>
            <w:webHidden/>
          </w:rPr>
          <w:t>5</w:t>
        </w:r>
        <w:r>
          <w:rPr>
            <w:noProof/>
            <w:webHidden/>
          </w:rPr>
          <w:fldChar w:fldCharType="end"/>
        </w:r>
      </w:hyperlink>
    </w:p>
    <w:p w14:paraId="62912302" w14:textId="3B7F0183" w:rsidR="00BA7522" w:rsidRDefault="00BA7522">
      <w:pPr>
        <w:pStyle w:val="TOC1"/>
        <w:tabs>
          <w:tab w:val="right" w:leader="dot" w:pos="9060"/>
        </w:tabs>
        <w:rPr>
          <w:rFonts w:eastAsiaTheme="minorEastAsia" w:cstheme="minorBidi"/>
          <w:noProof/>
          <w:kern w:val="2"/>
          <w:sz w:val="22"/>
          <w:szCs w:val="22"/>
          <w:lang w:eastAsia="en-AU"/>
          <w14:ligatures w14:val="standardContextual"/>
        </w:rPr>
      </w:pPr>
      <w:hyperlink w:anchor="_Toc160093305" w:history="1">
        <w:r w:rsidRPr="00D55968">
          <w:rPr>
            <w:rStyle w:val="Hyperlink"/>
            <w:noProof/>
          </w:rPr>
          <w:t>Search Terms</w:t>
        </w:r>
        <w:r>
          <w:rPr>
            <w:noProof/>
            <w:webHidden/>
          </w:rPr>
          <w:tab/>
        </w:r>
        <w:r>
          <w:rPr>
            <w:noProof/>
            <w:webHidden/>
          </w:rPr>
          <w:fldChar w:fldCharType="begin"/>
        </w:r>
        <w:r>
          <w:rPr>
            <w:noProof/>
            <w:webHidden/>
          </w:rPr>
          <w:instrText xml:space="preserve"> PAGEREF _Toc160093305 \h </w:instrText>
        </w:r>
        <w:r>
          <w:rPr>
            <w:noProof/>
            <w:webHidden/>
          </w:rPr>
        </w:r>
        <w:r>
          <w:rPr>
            <w:noProof/>
            <w:webHidden/>
          </w:rPr>
          <w:fldChar w:fldCharType="separate"/>
        </w:r>
        <w:r>
          <w:rPr>
            <w:noProof/>
            <w:webHidden/>
          </w:rPr>
          <w:t>5</w:t>
        </w:r>
        <w:r>
          <w:rPr>
            <w:noProof/>
            <w:webHidden/>
          </w:rPr>
          <w:fldChar w:fldCharType="end"/>
        </w:r>
      </w:hyperlink>
    </w:p>
    <w:p w14:paraId="2F51A861" w14:textId="74F8E535"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60093299"/>
            <w:r w:rsidRPr="00CD1C0E">
              <w:t>Purpose</w:t>
            </w:r>
            <w:bookmarkEnd w:id="8"/>
            <w:bookmarkEnd w:id="9"/>
          </w:p>
        </w:tc>
      </w:tr>
    </w:tbl>
    <w:p w14:paraId="2F51A866" w14:textId="77777777" w:rsidR="00931B93" w:rsidRDefault="00931B93" w:rsidP="00931B93">
      <w:pPr>
        <w:rPr>
          <w:rFonts w:cs="Arial"/>
          <w:i/>
          <w:szCs w:val="24"/>
        </w:rPr>
      </w:pPr>
    </w:p>
    <w:p w14:paraId="13CAB9D9" w14:textId="77777777" w:rsidR="00807B08" w:rsidRDefault="00807B08" w:rsidP="00807B08">
      <w:pPr>
        <w:rPr>
          <w:rFonts w:cs="Arial"/>
        </w:rPr>
      </w:pPr>
      <w:r w:rsidRPr="00807B08">
        <w:rPr>
          <w:rFonts w:cs="Arial"/>
        </w:rPr>
        <w:t>Consistent with our values, North Canberra Hospital is committed to improving the health and well-being of Aboriginal and Torres Strait Islander people through ensuring equity in access to high quality, culturally sensitive health services. This commitment is progressed by respecting and acknowledging each Aboriginal &amp; Torres Strait Islander patient as individuals, and by providing a holistic care and service approach that encompasses the culture of the Aboriginal and Torres Strait Islander patients and their family to ensure dignity is maintained.</w:t>
      </w:r>
    </w:p>
    <w:p w14:paraId="1178E40C" w14:textId="77777777" w:rsidR="00807B08" w:rsidRPr="00807B08" w:rsidRDefault="00807B08" w:rsidP="00807B08">
      <w:pPr>
        <w:rPr>
          <w:rFonts w:cs="Arial"/>
        </w:rPr>
      </w:pPr>
    </w:p>
    <w:p w14:paraId="63487E3D" w14:textId="77777777" w:rsidR="00807B08" w:rsidRDefault="00807B08" w:rsidP="00807B08">
      <w:pPr>
        <w:rPr>
          <w:rFonts w:cs="Arial"/>
        </w:rPr>
      </w:pPr>
      <w:r w:rsidRPr="00807B08">
        <w:rPr>
          <w:rFonts w:cs="Arial"/>
        </w:rPr>
        <w:t>Aboriginal and Torres Strait Islander identification in key administrative data collections is essential to enable accurate assessment of health outcomes of, and service use by, Aboriginal and Torres Strait Islander people. Aboriginal and Torres Strait Islander data are managed in line with National Advisory Group on Aboriginal and Torres Strait Islander Health Information and Data (NAGATSIHID) Principles and are within scope of this policy.</w:t>
      </w:r>
    </w:p>
    <w:p w14:paraId="2AEEA5E4" w14:textId="77777777" w:rsidR="00807B08" w:rsidRPr="00807B08" w:rsidRDefault="00807B08" w:rsidP="00807B08">
      <w:pPr>
        <w:rPr>
          <w:rFonts w:cs="Arial"/>
        </w:rPr>
      </w:pPr>
    </w:p>
    <w:p w14:paraId="2F51A86F" w14:textId="205ED813" w:rsidR="007B6904" w:rsidRDefault="00807B08" w:rsidP="00807B08">
      <w:pPr>
        <w:rPr>
          <w:rFonts w:cs="Arial"/>
        </w:rPr>
      </w:pPr>
      <w:r w:rsidRPr="00807B08">
        <w:rPr>
          <w:rFonts w:cs="Arial"/>
        </w:rPr>
        <w:t>North Canberra Hospital adheres to national standards for items in data collections and meets the data quality improvement goals set out in the COAG National Indigenous Reform Agreement. Data on the health of Indigenous Australians is essential for measuring the effectiveness of health services in meeting the needs of Aboriginal and Torres Strait Islander people, and for further policy development, planning and improvement in service delivery</w:t>
      </w:r>
      <w:r>
        <w:rPr>
          <w:rFonts w:cs="Arial"/>
        </w:rPr>
        <w:t>.</w:t>
      </w:r>
    </w:p>
    <w:p w14:paraId="56B24C53" w14:textId="77777777" w:rsidR="00807B08" w:rsidRDefault="00807B08" w:rsidP="00807B08">
      <w:pPr>
        <w:rPr>
          <w:rFonts w:cs="Arial"/>
          <w:szCs w:val="24"/>
        </w:rPr>
      </w:pPr>
    </w:p>
    <w:p w14:paraId="2F51A879" w14:textId="77777777" w:rsidR="009E70F4" w:rsidRPr="009121F9" w:rsidRDefault="009E70F4" w:rsidP="009E70F4">
      <w:pPr>
        <w:jc w:val="right"/>
        <w:rPr>
          <w:rFonts w:cs="Arial"/>
          <w:b/>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60093300"/>
            <w:r w:rsidRPr="003D2D06">
              <w:t>Scope</w:t>
            </w:r>
            <w:bookmarkEnd w:id="10"/>
            <w:bookmarkEnd w:id="11"/>
          </w:p>
        </w:tc>
      </w:tr>
    </w:tbl>
    <w:p w14:paraId="2F51A87C" w14:textId="77777777" w:rsidR="007B6904" w:rsidRPr="00CD1C0E" w:rsidRDefault="007B6904" w:rsidP="007B6904">
      <w:pPr>
        <w:rPr>
          <w:szCs w:val="24"/>
        </w:rPr>
      </w:pPr>
    </w:p>
    <w:p w14:paraId="7E7FCF1B" w14:textId="77777777" w:rsidR="00807B08" w:rsidRDefault="00807B08" w:rsidP="00807B08">
      <w:pPr>
        <w:rPr>
          <w:rFonts w:cs="Arial"/>
          <w:iCs/>
          <w:szCs w:val="24"/>
        </w:rPr>
      </w:pPr>
      <w:r w:rsidRPr="00807B08">
        <w:rPr>
          <w:rFonts w:cs="Arial"/>
          <w:iCs/>
          <w:szCs w:val="24"/>
        </w:rPr>
        <w:t>This policy applies to all clinical departments at North Canberra Hospital.</w:t>
      </w:r>
    </w:p>
    <w:p w14:paraId="798962F7" w14:textId="77777777" w:rsidR="00807B08" w:rsidRPr="00807B08" w:rsidRDefault="00807B08" w:rsidP="00807B08">
      <w:pPr>
        <w:rPr>
          <w:rFonts w:cs="Arial"/>
          <w:iCs/>
          <w:szCs w:val="24"/>
        </w:rPr>
      </w:pPr>
    </w:p>
    <w:p w14:paraId="2F51A886" w14:textId="08393007" w:rsidR="001F2A9B" w:rsidRDefault="00807B08" w:rsidP="00807B08">
      <w:pPr>
        <w:rPr>
          <w:rFonts w:cs="Arial"/>
          <w:iCs/>
          <w:szCs w:val="24"/>
        </w:rPr>
      </w:pPr>
      <w:r w:rsidRPr="00807B08">
        <w:rPr>
          <w:rFonts w:cs="Arial"/>
          <w:iCs/>
          <w:szCs w:val="24"/>
        </w:rPr>
        <w:t>All Staff responsible for registering a client are mandated to ask the Indigenous status question when a client is first registered with the service. The question should be asked of all clients irrespective of appearance, country of birth or whether the staff know the client or the client’s family background.</w:t>
      </w:r>
    </w:p>
    <w:p w14:paraId="5EEF03A0" w14:textId="77777777" w:rsidR="00807B08" w:rsidRDefault="00807B08" w:rsidP="00807B08"/>
    <w:p w14:paraId="2F51A887" w14:textId="77777777" w:rsidR="007B6904" w:rsidRPr="00CD1C0E" w:rsidRDefault="009E70F4" w:rsidP="00F14EC1">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26591033" w:rsidR="007B6904" w:rsidRPr="00C76688" w:rsidRDefault="007B6904" w:rsidP="00931B93">
            <w:pPr>
              <w:pStyle w:val="Heading1"/>
            </w:pPr>
            <w:bookmarkStart w:id="12" w:name="_Toc389473278"/>
            <w:bookmarkStart w:id="13" w:name="_Toc160093301"/>
            <w:r w:rsidRPr="00C76688">
              <w:t>Section 1 –</w:t>
            </w:r>
            <w:r>
              <w:t xml:space="preserve"> Procedure</w:t>
            </w:r>
            <w:bookmarkEnd w:id="12"/>
            <w:bookmarkEnd w:id="13"/>
          </w:p>
        </w:tc>
      </w:tr>
    </w:tbl>
    <w:p w14:paraId="2F51A88A" w14:textId="77777777" w:rsidR="007B6904" w:rsidRDefault="007B6904" w:rsidP="007B6904">
      <w:pPr>
        <w:outlineLvl w:val="0"/>
        <w:rPr>
          <w:szCs w:val="24"/>
        </w:rPr>
      </w:pPr>
    </w:p>
    <w:p w14:paraId="2F51A88B" w14:textId="18A7864D" w:rsidR="007B6904" w:rsidRDefault="00182C59" w:rsidP="001F2A9B">
      <w:pPr>
        <w:rPr>
          <w:b/>
        </w:rPr>
      </w:pPr>
      <w:r>
        <w:rPr>
          <w:b/>
        </w:rPr>
        <w:t>The collection of Indigenous status</w:t>
      </w:r>
    </w:p>
    <w:p w14:paraId="44849FBC" w14:textId="77777777" w:rsidR="00182C59" w:rsidRPr="00182C59" w:rsidRDefault="00182C59" w:rsidP="00182C59">
      <w:pPr>
        <w:rPr>
          <w:iCs/>
        </w:rPr>
      </w:pPr>
      <w:r w:rsidRPr="00182C59">
        <w:rPr>
          <w:iCs/>
        </w:rPr>
        <w:t>At North Canberra Hospital, a response to the Indigenous status is a mandatory requirement when registering or entering client details into the Patient administration systems. Staff registering or entering details of a client are required to enter the response provided by the patient.</w:t>
      </w:r>
    </w:p>
    <w:p w14:paraId="1039A366" w14:textId="2EF0C444" w:rsidR="00182C59" w:rsidRDefault="00182C59" w:rsidP="00182C59">
      <w:pPr>
        <w:rPr>
          <w:iCs/>
        </w:rPr>
      </w:pPr>
      <w:r w:rsidRPr="00182C59">
        <w:rPr>
          <w:iCs/>
        </w:rPr>
        <w:lastRenderedPageBreak/>
        <w:t>North Canberra Hospital relies on the patient to self-report regarding the individual’s Indigenous or non-Indigenous status. This is supported by the national standard for asking the question and capturing the appropriate responses to this question.</w:t>
      </w:r>
    </w:p>
    <w:p w14:paraId="22DEEA4A" w14:textId="77777777" w:rsidR="00182C59" w:rsidRDefault="00182C59" w:rsidP="00182C59">
      <w:pPr>
        <w:rPr>
          <w:iCs/>
        </w:rPr>
      </w:pPr>
    </w:p>
    <w:p w14:paraId="2F51A88E" w14:textId="0ADEC7E5" w:rsidR="007B6904" w:rsidRPr="00201FB6" w:rsidRDefault="00182C59" w:rsidP="00201FB6">
      <w:pPr>
        <w:rPr>
          <w:b/>
        </w:rPr>
      </w:pPr>
      <w:r>
        <w:rPr>
          <w:b/>
        </w:rPr>
        <w:t>The Indigenous status question</w:t>
      </w:r>
      <w:r w:rsidR="007B6904" w:rsidRPr="00201FB6">
        <w:rPr>
          <w:b/>
        </w:rPr>
        <w:t xml:space="preserve"> </w:t>
      </w:r>
    </w:p>
    <w:p w14:paraId="293F6E7F" w14:textId="77777777" w:rsidR="00182C59" w:rsidRDefault="00182C59" w:rsidP="00182C59">
      <w:pPr>
        <w:rPr>
          <w:iCs/>
        </w:rPr>
      </w:pPr>
      <w:r w:rsidRPr="00182C59">
        <w:rPr>
          <w:iCs/>
        </w:rPr>
        <w:t>The following question should be asked of all clients to establish their Aboriginal and/or Torres Strait Islander or non-Indigenous status:</w:t>
      </w:r>
    </w:p>
    <w:p w14:paraId="16076089" w14:textId="77777777" w:rsidR="00182C59" w:rsidRPr="00182C59" w:rsidRDefault="00182C59" w:rsidP="00182C59">
      <w:pPr>
        <w:rPr>
          <w:iCs/>
        </w:rPr>
      </w:pPr>
    </w:p>
    <w:p w14:paraId="017EBEBB" w14:textId="77777777" w:rsidR="00182C59" w:rsidRPr="00182C59" w:rsidRDefault="00182C59" w:rsidP="00182C59">
      <w:pPr>
        <w:rPr>
          <w:b/>
          <w:bCs/>
          <w:iCs/>
        </w:rPr>
      </w:pPr>
      <w:r w:rsidRPr="00182C59">
        <w:rPr>
          <w:b/>
          <w:bCs/>
          <w:iCs/>
        </w:rPr>
        <w:t>’Are you [is the person] of Aboriginal or Torres Strait Islander origin?’</w:t>
      </w:r>
    </w:p>
    <w:p w14:paraId="469D0321" w14:textId="77777777" w:rsidR="00182C59" w:rsidRPr="00182C59" w:rsidRDefault="00182C59" w:rsidP="00182C59">
      <w:pPr>
        <w:rPr>
          <w:b/>
          <w:bCs/>
          <w:iCs/>
        </w:rPr>
      </w:pPr>
    </w:p>
    <w:p w14:paraId="7667AF12" w14:textId="77777777" w:rsidR="00182C59" w:rsidRPr="00182C59" w:rsidRDefault="00182C59" w:rsidP="00182C59">
      <w:pPr>
        <w:rPr>
          <w:iCs/>
        </w:rPr>
      </w:pPr>
      <w:r w:rsidRPr="00182C59">
        <w:rPr>
          <w:iCs/>
        </w:rPr>
        <w:t xml:space="preserve">If the answer is </w:t>
      </w:r>
      <w:proofErr w:type="gramStart"/>
      <w:r w:rsidRPr="00182C59">
        <w:rPr>
          <w:iCs/>
        </w:rPr>
        <w:t>yes</w:t>
      </w:r>
      <w:proofErr w:type="gramEnd"/>
      <w:r w:rsidRPr="00182C59">
        <w:rPr>
          <w:iCs/>
        </w:rPr>
        <w:t xml:space="preserve"> a further question is required to determine the most appropriate category</w:t>
      </w:r>
    </w:p>
    <w:p w14:paraId="30B374A0" w14:textId="77777777" w:rsidR="00182C59" w:rsidRPr="00182C59" w:rsidRDefault="00182C59" w:rsidP="00182C59">
      <w:pPr>
        <w:rPr>
          <w:b/>
          <w:bCs/>
          <w:iCs/>
        </w:rPr>
      </w:pPr>
    </w:p>
    <w:p w14:paraId="2F51A890" w14:textId="02B44D04" w:rsidR="007B6904" w:rsidRPr="00182C59" w:rsidRDefault="00182C59" w:rsidP="00182C59">
      <w:pPr>
        <w:rPr>
          <w:b/>
          <w:bCs/>
          <w:iCs/>
        </w:rPr>
      </w:pPr>
      <w:r w:rsidRPr="00182C59">
        <w:rPr>
          <w:b/>
          <w:bCs/>
          <w:iCs/>
        </w:rPr>
        <w:t>‘Are you [is the person] of Aboriginal origin, Torres Strait Islander origin, or both?’</w:t>
      </w:r>
    </w:p>
    <w:p w14:paraId="329445BE" w14:textId="77777777" w:rsidR="00182C59" w:rsidRDefault="00182C59" w:rsidP="00182C59">
      <w:pPr>
        <w:rPr>
          <w:iCs/>
        </w:rPr>
      </w:pPr>
    </w:p>
    <w:p w14:paraId="60EC5962" w14:textId="77777777" w:rsidR="004C26A8" w:rsidRDefault="004C26A8" w:rsidP="00182C59">
      <w:pPr>
        <w:rPr>
          <w:iCs/>
        </w:rPr>
      </w:pPr>
    </w:p>
    <w:tbl>
      <w:tblPr>
        <w:tblStyle w:val="TableGrid"/>
        <w:tblW w:w="0" w:type="auto"/>
        <w:tblLook w:val="04A0" w:firstRow="1" w:lastRow="0" w:firstColumn="1" w:lastColumn="0" w:noHBand="0" w:noVBand="1"/>
      </w:tblPr>
      <w:tblGrid>
        <w:gridCol w:w="3402"/>
        <w:gridCol w:w="4394"/>
      </w:tblGrid>
      <w:tr w:rsidR="00182C59" w14:paraId="427A1E61" w14:textId="77777777" w:rsidTr="004C26A8">
        <w:trPr>
          <w:trHeight w:val="533"/>
        </w:trPr>
        <w:tc>
          <w:tcPr>
            <w:tcW w:w="3402" w:type="dxa"/>
            <w:shd w:val="clear" w:color="auto" w:fill="00797C"/>
            <w:vAlign w:val="center"/>
          </w:tcPr>
          <w:p w14:paraId="7B541CCC" w14:textId="443C61DF" w:rsidR="00182C59" w:rsidRPr="00182C59" w:rsidRDefault="00182C59" w:rsidP="004C26A8">
            <w:pPr>
              <w:jc w:val="center"/>
              <w:rPr>
                <w:b/>
                <w:bCs/>
                <w:iCs/>
                <w:color w:val="FFFFFF" w:themeColor="background1"/>
              </w:rPr>
            </w:pPr>
            <w:r w:rsidRPr="00182C59">
              <w:rPr>
                <w:b/>
                <w:bCs/>
                <w:iCs/>
                <w:color w:val="FFFFFF" w:themeColor="background1"/>
              </w:rPr>
              <w:t>Values</w:t>
            </w:r>
          </w:p>
        </w:tc>
        <w:tc>
          <w:tcPr>
            <w:tcW w:w="4394" w:type="dxa"/>
            <w:shd w:val="clear" w:color="auto" w:fill="00797C"/>
            <w:vAlign w:val="center"/>
          </w:tcPr>
          <w:p w14:paraId="64E1B8C4" w14:textId="2239C571" w:rsidR="00182C59" w:rsidRPr="00182C59" w:rsidRDefault="00182C59" w:rsidP="004C26A8">
            <w:pPr>
              <w:jc w:val="center"/>
              <w:rPr>
                <w:b/>
                <w:bCs/>
                <w:iCs/>
                <w:color w:val="FFFFFF" w:themeColor="background1"/>
              </w:rPr>
            </w:pPr>
            <w:r w:rsidRPr="00182C59">
              <w:rPr>
                <w:b/>
                <w:bCs/>
                <w:iCs/>
                <w:color w:val="FFFFFF" w:themeColor="background1"/>
              </w:rPr>
              <w:t>Guide for Use</w:t>
            </w:r>
          </w:p>
        </w:tc>
      </w:tr>
      <w:tr w:rsidR="004C26A8" w14:paraId="5B00ECE8" w14:textId="77777777" w:rsidTr="004C26A8">
        <w:trPr>
          <w:trHeight w:val="533"/>
        </w:trPr>
        <w:tc>
          <w:tcPr>
            <w:tcW w:w="3402" w:type="dxa"/>
          </w:tcPr>
          <w:p w14:paraId="61EC4DA5" w14:textId="314AE647" w:rsidR="004C26A8" w:rsidRDefault="004C26A8" w:rsidP="004C26A8">
            <w:pPr>
              <w:rPr>
                <w:iCs/>
              </w:rPr>
            </w:pPr>
            <w:r w:rsidRPr="00FF7939">
              <w:rPr>
                <w:rFonts w:cs="MyriadPro-Light"/>
                <w:szCs w:val="24"/>
              </w:rPr>
              <w:t>Aboriginal</w:t>
            </w:r>
          </w:p>
        </w:tc>
        <w:tc>
          <w:tcPr>
            <w:tcW w:w="4394" w:type="dxa"/>
          </w:tcPr>
          <w:p w14:paraId="416BAE0C" w14:textId="068A3EC5" w:rsidR="004C26A8" w:rsidRDefault="004C26A8" w:rsidP="004C26A8">
            <w:pPr>
              <w:rPr>
                <w:iCs/>
              </w:rPr>
            </w:pPr>
            <w:r>
              <w:rPr>
                <w:rFonts w:cs="MyriadPro-Light"/>
                <w:color w:val="000000"/>
                <w:szCs w:val="24"/>
              </w:rPr>
              <w:t>Aboriginal but not</w:t>
            </w:r>
            <w:r w:rsidRPr="00FF7939">
              <w:rPr>
                <w:rFonts w:cs="MyriadPro-Light"/>
                <w:szCs w:val="24"/>
              </w:rPr>
              <w:t xml:space="preserve"> Torres Strait Islander </w:t>
            </w:r>
            <w:r>
              <w:rPr>
                <w:rFonts w:cs="MyriadPro-Light"/>
                <w:szCs w:val="24"/>
              </w:rPr>
              <w:t>origin</w:t>
            </w:r>
          </w:p>
        </w:tc>
      </w:tr>
      <w:tr w:rsidR="004C26A8" w14:paraId="0ABC3DD1" w14:textId="77777777" w:rsidTr="004C26A8">
        <w:trPr>
          <w:trHeight w:val="533"/>
        </w:trPr>
        <w:tc>
          <w:tcPr>
            <w:tcW w:w="3402" w:type="dxa"/>
          </w:tcPr>
          <w:p w14:paraId="4D8D655C" w14:textId="21710018" w:rsidR="004C26A8" w:rsidRDefault="004C26A8" w:rsidP="004C26A8">
            <w:pPr>
              <w:rPr>
                <w:iCs/>
              </w:rPr>
            </w:pPr>
            <w:r>
              <w:rPr>
                <w:rFonts w:cs="MyriadPro-Light"/>
                <w:color w:val="000000"/>
                <w:szCs w:val="24"/>
              </w:rPr>
              <w:t>Both Aboriginal and Torres Strait Islander origin</w:t>
            </w:r>
          </w:p>
        </w:tc>
        <w:tc>
          <w:tcPr>
            <w:tcW w:w="4394" w:type="dxa"/>
          </w:tcPr>
          <w:p w14:paraId="44765589" w14:textId="0096C6FD" w:rsidR="004C26A8" w:rsidRDefault="004C26A8" w:rsidP="004C26A8">
            <w:pPr>
              <w:rPr>
                <w:iCs/>
              </w:rPr>
            </w:pPr>
            <w:r>
              <w:rPr>
                <w:rFonts w:cs="MyriadPro-Light"/>
                <w:color w:val="000000"/>
                <w:szCs w:val="24"/>
              </w:rPr>
              <w:t>Both Aboriginal and Torres Islander</w:t>
            </w:r>
          </w:p>
        </w:tc>
      </w:tr>
      <w:tr w:rsidR="004C26A8" w14:paraId="03645BC0" w14:textId="77777777" w:rsidTr="004C26A8">
        <w:trPr>
          <w:trHeight w:val="533"/>
        </w:trPr>
        <w:tc>
          <w:tcPr>
            <w:tcW w:w="3402" w:type="dxa"/>
          </w:tcPr>
          <w:p w14:paraId="729C349E" w14:textId="071D6B72" w:rsidR="004C26A8" w:rsidRDefault="004C26A8" w:rsidP="004C26A8">
            <w:pPr>
              <w:rPr>
                <w:iCs/>
              </w:rPr>
            </w:pPr>
            <w:r w:rsidRPr="00FF7939">
              <w:rPr>
                <w:rFonts w:cs="MyriadPro-Light"/>
                <w:szCs w:val="24"/>
              </w:rPr>
              <w:t>Torres Strait Islander</w:t>
            </w:r>
          </w:p>
        </w:tc>
        <w:tc>
          <w:tcPr>
            <w:tcW w:w="4394" w:type="dxa"/>
          </w:tcPr>
          <w:p w14:paraId="6D9B8C5A" w14:textId="335C8CF6" w:rsidR="004C26A8" w:rsidRDefault="004C26A8" w:rsidP="004C26A8">
            <w:pPr>
              <w:rPr>
                <w:iCs/>
              </w:rPr>
            </w:pPr>
            <w:r w:rsidRPr="00FF7939">
              <w:rPr>
                <w:rFonts w:cs="MyriadPro-Light"/>
                <w:szCs w:val="24"/>
              </w:rPr>
              <w:t xml:space="preserve">Torres Strait Islander </w:t>
            </w:r>
            <w:r>
              <w:rPr>
                <w:rFonts w:cs="MyriadPro-Light"/>
                <w:szCs w:val="24"/>
              </w:rPr>
              <w:t>origin</w:t>
            </w:r>
            <w:r>
              <w:rPr>
                <w:rFonts w:cs="MyriadPro-Light"/>
                <w:color w:val="000000"/>
                <w:szCs w:val="24"/>
              </w:rPr>
              <w:t xml:space="preserve"> but not Aboriginal origin</w:t>
            </w:r>
          </w:p>
        </w:tc>
      </w:tr>
      <w:tr w:rsidR="004C26A8" w14:paraId="45C2F9B0" w14:textId="77777777" w:rsidTr="004C26A8">
        <w:trPr>
          <w:trHeight w:val="533"/>
        </w:trPr>
        <w:tc>
          <w:tcPr>
            <w:tcW w:w="3402" w:type="dxa"/>
          </w:tcPr>
          <w:p w14:paraId="3C207C63" w14:textId="0EAF95E9" w:rsidR="004C26A8" w:rsidRDefault="004C26A8" w:rsidP="004C26A8">
            <w:pPr>
              <w:rPr>
                <w:iCs/>
              </w:rPr>
            </w:pPr>
            <w:r>
              <w:rPr>
                <w:rFonts w:cs="MyriadPro-Light"/>
                <w:szCs w:val="24"/>
              </w:rPr>
              <w:t>Declined to answer</w:t>
            </w:r>
          </w:p>
        </w:tc>
        <w:tc>
          <w:tcPr>
            <w:tcW w:w="4394" w:type="dxa"/>
          </w:tcPr>
          <w:p w14:paraId="4550BF2D" w14:textId="009883ED" w:rsidR="004C26A8" w:rsidRDefault="004C26A8" w:rsidP="004C26A8">
            <w:pPr>
              <w:rPr>
                <w:iCs/>
              </w:rPr>
            </w:pPr>
            <w:r>
              <w:rPr>
                <w:rFonts w:cs="MyriadPro-Light"/>
                <w:szCs w:val="24"/>
              </w:rPr>
              <w:t>Where an answer was declined</w:t>
            </w:r>
          </w:p>
        </w:tc>
      </w:tr>
      <w:tr w:rsidR="004C26A8" w14:paraId="0DD35F7C" w14:textId="77777777" w:rsidTr="004C26A8">
        <w:trPr>
          <w:trHeight w:val="533"/>
        </w:trPr>
        <w:tc>
          <w:tcPr>
            <w:tcW w:w="3402" w:type="dxa"/>
          </w:tcPr>
          <w:p w14:paraId="63F1B4B2" w14:textId="0116C68B" w:rsidR="004C26A8" w:rsidRDefault="004C26A8" w:rsidP="004C26A8">
            <w:pPr>
              <w:rPr>
                <w:iCs/>
              </w:rPr>
            </w:pPr>
            <w:r>
              <w:rPr>
                <w:rFonts w:cs="MyriadPro-Light"/>
                <w:szCs w:val="24"/>
              </w:rPr>
              <w:t>Did not ask</w:t>
            </w:r>
          </w:p>
        </w:tc>
        <w:tc>
          <w:tcPr>
            <w:tcW w:w="4394" w:type="dxa"/>
          </w:tcPr>
          <w:p w14:paraId="4AADEFBF" w14:textId="7609CFCF" w:rsidR="004C26A8" w:rsidRDefault="004C26A8" w:rsidP="004C26A8">
            <w:pPr>
              <w:rPr>
                <w:iCs/>
              </w:rPr>
            </w:pPr>
            <w:r>
              <w:rPr>
                <w:rFonts w:cs="MyriadPro-Light"/>
                <w:color w:val="000000"/>
                <w:szCs w:val="24"/>
              </w:rPr>
              <w:t>Where the question was not able to be asked because the client was unable to communicate or a person who knows the client was not available.</w:t>
            </w:r>
          </w:p>
        </w:tc>
      </w:tr>
      <w:tr w:rsidR="004C26A8" w14:paraId="0A458CD9" w14:textId="77777777" w:rsidTr="004C26A8">
        <w:trPr>
          <w:trHeight w:val="533"/>
        </w:trPr>
        <w:tc>
          <w:tcPr>
            <w:tcW w:w="3402" w:type="dxa"/>
          </w:tcPr>
          <w:p w14:paraId="0102DD82" w14:textId="61CB6D21" w:rsidR="004C26A8" w:rsidRDefault="004C26A8" w:rsidP="004C26A8">
            <w:pPr>
              <w:rPr>
                <w:iCs/>
              </w:rPr>
            </w:pPr>
            <w:r w:rsidRPr="00FF7939">
              <w:rPr>
                <w:rFonts w:cs="MyriadPro-Light"/>
                <w:szCs w:val="24"/>
              </w:rPr>
              <w:t>Neither Aboriginal nor Torres Strait Islander origin</w:t>
            </w:r>
          </w:p>
        </w:tc>
        <w:tc>
          <w:tcPr>
            <w:tcW w:w="4394" w:type="dxa"/>
          </w:tcPr>
          <w:p w14:paraId="65F88650" w14:textId="71761CF0" w:rsidR="004C26A8" w:rsidRDefault="004C26A8" w:rsidP="004C26A8">
            <w:pPr>
              <w:rPr>
                <w:iCs/>
              </w:rPr>
            </w:pPr>
            <w:r w:rsidRPr="00FF7939">
              <w:rPr>
                <w:rFonts w:cs="MyriadPro-Light"/>
                <w:szCs w:val="24"/>
              </w:rPr>
              <w:t>Neither Aboriginal nor Torres Strait Islander origin</w:t>
            </w:r>
          </w:p>
        </w:tc>
      </w:tr>
      <w:tr w:rsidR="004C26A8" w14:paraId="7D70CAE0" w14:textId="77777777" w:rsidTr="004C26A8">
        <w:trPr>
          <w:trHeight w:val="533"/>
        </w:trPr>
        <w:tc>
          <w:tcPr>
            <w:tcW w:w="3402" w:type="dxa"/>
          </w:tcPr>
          <w:p w14:paraId="29392159" w14:textId="54267264" w:rsidR="004C26A8" w:rsidRDefault="004C26A8" w:rsidP="004C26A8">
            <w:pPr>
              <w:rPr>
                <w:iCs/>
              </w:rPr>
            </w:pPr>
            <w:r w:rsidRPr="00FF7939">
              <w:rPr>
                <w:rFonts w:cs="MyriadPro-Light"/>
                <w:szCs w:val="24"/>
              </w:rPr>
              <w:t>N</w:t>
            </w:r>
            <w:r>
              <w:rPr>
                <w:rFonts w:cs="MyriadPro-Light"/>
                <w:szCs w:val="24"/>
              </w:rPr>
              <w:t>ot stated</w:t>
            </w:r>
          </w:p>
        </w:tc>
        <w:tc>
          <w:tcPr>
            <w:tcW w:w="4394" w:type="dxa"/>
          </w:tcPr>
          <w:p w14:paraId="0FC115DF" w14:textId="5B4123FD" w:rsidR="004C26A8" w:rsidRDefault="004C26A8" w:rsidP="004C26A8">
            <w:pPr>
              <w:rPr>
                <w:iCs/>
              </w:rPr>
            </w:pPr>
            <w:r>
              <w:rPr>
                <w:rFonts w:cs="MyriadPro-Light"/>
                <w:color w:val="000000"/>
                <w:szCs w:val="24"/>
              </w:rPr>
              <w:t>When a patient has not been asked the question</w:t>
            </w:r>
          </w:p>
        </w:tc>
      </w:tr>
    </w:tbl>
    <w:p w14:paraId="421439D7" w14:textId="77777777" w:rsidR="00182C59" w:rsidRDefault="00182C59" w:rsidP="00182C59">
      <w:pPr>
        <w:rPr>
          <w:iCs/>
        </w:rPr>
      </w:pPr>
    </w:p>
    <w:p w14:paraId="0C983A3D" w14:textId="1C2B7B40" w:rsidR="004C26A8" w:rsidRPr="004C26A8" w:rsidRDefault="004C26A8" w:rsidP="00182C59">
      <w:pPr>
        <w:rPr>
          <w:b/>
          <w:bCs/>
          <w:iCs/>
        </w:rPr>
      </w:pPr>
      <w:r w:rsidRPr="004C26A8">
        <w:rPr>
          <w:b/>
          <w:bCs/>
          <w:iCs/>
        </w:rPr>
        <w:t>If a client wants to know why they are being asked this question</w:t>
      </w:r>
    </w:p>
    <w:p w14:paraId="2BFBC4EA" w14:textId="63009C37" w:rsidR="00556299" w:rsidRPr="00556299" w:rsidRDefault="00556299" w:rsidP="00556299">
      <w:pPr>
        <w:rPr>
          <w:rFonts w:cs="Arial"/>
          <w:iCs/>
          <w:szCs w:val="24"/>
        </w:rPr>
      </w:pPr>
      <w:r w:rsidRPr="00556299">
        <w:rPr>
          <w:rFonts w:cs="Arial"/>
          <w:iCs/>
          <w:szCs w:val="24"/>
        </w:rPr>
        <w:t>Following are several responses that may assist staff in explaining to clients the reasons for asking the Indigenous status question.</w:t>
      </w:r>
    </w:p>
    <w:p w14:paraId="3087723F" w14:textId="3AF4B08D" w:rsidR="00556299" w:rsidRPr="00556299" w:rsidRDefault="00556299" w:rsidP="00556299">
      <w:pPr>
        <w:pStyle w:val="ListParagraph"/>
        <w:numPr>
          <w:ilvl w:val="0"/>
          <w:numId w:val="15"/>
        </w:numPr>
        <w:ind w:left="357" w:hanging="357"/>
        <w:rPr>
          <w:rFonts w:cs="Arial"/>
          <w:iCs/>
          <w:szCs w:val="24"/>
        </w:rPr>
      </w:pPr>
      <w:r w:rsidRPr="00556299">
        <w:rPr>
          <w:rFonts w:cs="Arial"/>
          <w:iCs/>
          <w:szCs w:val="24"/>
        </w:rPr>
        <w:t xml:space="preserve">The collection of Indigenous status is necessary for the government and other services to plan and deliver appropriate health services for all Australians, to assess the impact of services on </w:t>
      </w:r>
      <w:proofErr w:type="gramStart"/>
      <w:r w:rsidRPr="00556299">
        <w:rPr>
          <w:rFonts w:cs="Arial"/>
          <w:iCs/>
          <w:szCs w:val="24"/>
        </w:rPr>
        <w:t>particular groups</w:t>
      </w:r>
      <w:proofErr w:type="gramEnd"/>
      <w:r w:rsidRPr="00556299">
        <w:rPr>
          <w:rFonts w:cs="Arial"/>
          <w:iCs/>
          <w:szCs w:val="24"/>
        </w:rPr>
        <w:t xml:space="preserve"> in the community and to improve health care and to monitor changes in health and wellbeing over time.</w:t>
      </w:r>
    </w:p>
    <w:p w14:paraId="00291951" w14:textId="2ACB6894" w:rsidR="00182C59" w:rsidRDefault="00556299" w:rsidP="00556299">
      <w:pPr>
        <w:pStyle w:val="ListParagraph"/>
        <w:numPr>
          <w:ilvl w:val="0"/>
          <w:numId w:val="15"/>
        </w:numPr>
        <w:ind w:left="357" w:hanging="357"/>
        <w:rPr>
          <w:rFonts w:cs="Arial"/>
          <w:iCs/>
          <w:szCs w:val="24"/>
        </w:rPr>
      </w:pPr>
      <w:r w:rsidRPr="00556299">
        <w:rPr>
          <w:rFonts w:cs="Arial"/>
          <w:iCs/>
          <w:szCs w:val="24"/>
        </w:rPr>
        <w:t xml:space="preserve">The response to this question allows service providers to ensure that Aboriginal and Torres Strait Islander clients have an opportunity to access relevant services—such as Aboriginal liaison officers and Aboriginal health workers, health checks, Aboriginal and </w:t>
      </w:r>
      <w:r w:rsidRPr="00556299">
        <w:rPr>
          <w:rFonts w:cs="Arial"/>
          <w:iCs/>
          <w:szCs w:val="24"/>
        </w:rPr>
        <w:lastRenderedPageBreak/>
        <w:t>Torres Strait Islander specific immunisation considerations and Pharmaceutical Benefit Scheme listings—if they choose.</w:t>
      </w:r>
    </w:p>
    <w:p w14:paraId="5B0943FA" w14:textId="77777777" w:rsidR="00556299" w:rsidRDefault="00556299" w:rsidP="00556299">
      <w:pPr>
        <w:rPr>
          <w:rFonts w:cs="Arial"/>
          <w:iCs/>
          <w:szCs w:val="24"/>
        </w:rPr>
      </w:pPr>
    </w:p>
    <w:p w14:paraId="042180A2" w14:textId="495C9B69" w:rsidR="00556299" w:rsidRPr="00556299" w:rsidRDefault="00556299" w:rsidP="00556299">
      <w:pPr>
        <w:rPr>
          <w:rFonts w:cs="Arial"/>
          <w:b/>
          <w:bCs/>
          <w:iCs/>
          <w:szCs w:val="24"/>
        </w:rPr>
      </w:pPr>
      <w:r w:rsidRPr="00556299">
        <w:rPr>
          <w:rFonts w:cs="Arial"/>
          <w:b/>
          <w:bCs/>
          <w:iCs/>
          <w:szCs w:val="24"/>
        </w:rPr>
        <w:t>If a client objects, chooses not to or declines to answer the question</w:t>
      </w:r>
    </w:p>
    <w:p w14:paraId="3ECE3F21" w14:textId="287A77CC" w:rsidR="004C26A8" w:rsidRDefault="00556299" w:rsidP="00182C59">
      <w:pPr>
        <w:rPr>
          <w:rFonts w:cs="Arial"/>
          <w:iCs/>
          <w:szCs w:val="24"/>
        </w:rPr>
      </w:pPr>
      <w:r w:rsidRPr="00556299">
        <w:rPr>
          <w:rFonts w:cs="Arial"/>
          <w:iCs/>
          <w:szCs w:val="24"/>
        </w:rPr>
        <w:t xml:space="preserve">Where a client objects to the question or declines to answer, the </w:t>
      </w:r>
      <w:proofErr w:type="gramStart"/>
      <w:r w:rsidRPr="00556299">
        <w:rPr>
          <w:rFonts w:cs="Arial"/>
          <w:iCs/>
          <w:szCs w:val="24"/>
        </w:rPr>
        <w:t>patients</w:t>
      </w:r>
      <w:proofErr w:type="gramEnd"/>
      <w:r w:rsidRPr="00556299">
        <w:rPr>
          <w:rFonts w:cs="Arial"/>
          <w:iCs/>
          <w:szCs w:val="24"/>
        </w:rPr>
        <w:t xml:space="preserve"> level of care and access to services will not be affected if they choose not to answer the question. While staff have a duty to collect and record Indigenous status information from all clients as correctly as possible, they are not obliged to convince a disgruntled, upset or unwilling client to respond to the question. The option ‘declined to answer’ may be selected in this instance.</w:t>
      </w:r>
    </w:p>
    <w:p w14:paraId="633553FA" w14:textId="77777777" w:rsidR="00556299" w:rsidRDefault="00556299" w:rsidP="00182C59">
      <w:pPr>
        <w:rPr>
          <w:rFonts w:cs="Arial"/>
          <w:iCs/>
          <w:szCs w:val="24"/>
        </w:rPr>
      </w:pPr>
    </w:p>
    <w:p w14:paraId="29A26452" w14:textId="79AE6E6C" w:rsidR="00556299" w:rsidRPr="00556299" w:rsidRDefault="00556299" w:rsidP="00182C59">
      <w:pPr>
        <w:rPr>
          <w:rFonts w:cs="Arial"/>
          <w:b/>
          <w:bCs/>
          <w:iCs/>
          <w:szCs w:val="24"/>
        </w:rPr>
      </w:pPr>
      <w:r w:rsidRPr="00556299">
        <w:rPr>
          <w:rFonts w:cs="Arial"/>
          <w:b/>
          <w:bCs/>
          <w:iCs/>
          <w:szCs w:val="24"/>
        </w:rPr>
        <w:t>If a client wishes to change their previously recorded Indigenous status</w:t>
      </w:r>
    </w:p>
    <w:p w14:paraId="770CFF25" w14:textId="77777777" w:rsidR="00556299" w:rsidRDefault="00556299" w:rsidP="00556299">
      <w:pPr>
        <w:rPr>
          <w:rFonts w:cs="Arial"/>
          <w:iCs/>
          <w:szCs w:val="24"/>
        </w:rPr>
      </w:pPr>
      <w:r w:rsidRPr="00556299">
        <w:rPr>
          <w:rFonts w:cs="Arial"/>
          <w:iCs/>
          <w:szCs w:val="24"/>
        </w:rPr>
        <w:t>All clients should have an opportunity to confirm or update any previously recorded personal information on a regular basis, including confirmation or alteration of their recorded Indigenous status.</w:t>
      </w:r>
    </w:p>
    <w:p w14:paraId="74C96D2C" w14:textId="77777777" w:rsidR="00556299" w:rsidRPr="00556299" w:rsidRDefault="00556299" w:rsidP="00556299">
      <w:pPr>
        <w:rPr>
          <w:rFonts w:cs="Arial"/>
          <w:iCs/>
          <w:szCs w:val="24"/>
        </w:rPr>
      </w:pPr>
    </w:p>
    <w:p w14:paraId="48A51D09" w14:textId="77777777" w:rsidR="00556299" w:rsidRDefault="00556299" w:rsidP="00556299">
      <w:pPr>
        <w:rPr>
          <w:rFonts w:cs="Arial"/>
          <w:iCs/>
          <w:szCs w:val="24"/>
        </w:rPr>
      </w:pPr>
      <w:r w:rsidRPr="00556299">
        <w:rPr>
          <w:rFonts w:cs="Arial"/>
          <w:iCs/>
          <w:szCs w:val="24"/>
        </w:rPr>
        <w:t>Any changes should be received without comment and clients should not be required to provide a reason for changing their recorded Indigenous status.</w:t>
      </w:r>
    </w:p>
    <w:p w14:paraId="118920EF" w14:textId="77777777" w:rsidR="00556299" w:rsidRPr="00556299" w:rsidRDefault="00556299" w:rsidP="00556299">
      <w:pPr>
        <w:rPr>
          <w:rFonts w:cs="Arial"/>
          <w:iCs/>
          <w:szCs w:val="24"/>
        </w:rPr>
      </w:pPr>
    </w:p>
    <w:p w14:paraId="2BB9B893" w14:textId="0157C002" w:rsidR="00556299" w:rsidRDefault="00556299" w:rsidP="00556299">
      <w:pPr>
        <w:rPr>
          <w:rFonts w:cs="Arial"/>
          <w:iCs/>
          <w:szCs w:val="24"/>
        </w:rPr>
      </w:pPr>
      <w:r w:rsidRPr="00556299">
        <w:rPr>
          <w:rFonts w:cs="Arial"/>
          <w:iCs/>
          <w:szCs w:val="24"/>
        </w:rPr>
        <w:t>Any client who wishes to further discuss the collection of indigenous status data can be referred to the Aboriginal and Torres Strait Islander Liaison service. Refer to Aboriginal and Torres Strait Islander Liaison service policy and procedure.</w:t>
      </w:r>
    </w:p>
    <w:p w14:paraId="12665AF5" w14:textId="77777777" w:rsidR="00556299" w:rsidRDefault="00556299" w:rsidP="00556299">
      <w:pPr>
        <w:rPr>
          <w:rFonts w:cs="Arial"/>
          <w:iCs/>
          <w:szCs w:val="24"/>
        </w:rPr>
      </w:pPr>
    </w:p>
    <w:p w14:paraId="7978398B" w14:textId="4CFABE8F" w:rsidR="00556299" w:rsidRPr="00556299" w:rsidRDefault="00556299" w:rsidP="00556299">
      <w:pPr>
        <w:rPr>
          <w:rFonts w:cs="Arial"/>
          <w:b/>
          <w:bCs/>
          <w:iCs/>
          <w:szCs w:val="24"/>
        </w:rPr>
      </w:pPr>
      <w:r w:rsidRPr="00556299">
        <w:rPr>
          <w:rFonts w:cs="Arial"/>
          <w:b/>
          <w:bCs/>
          <w:iCs/>
          <w:szCs w:val="24"/>
        </w:rPr>
        <w:t>Data Audits</w:t>
      </w:r>
    </w:p>
    <w:p w14:paraId="2AADA763" w14:textId="268F91F2" w:rsidR="004C26A8" w:rsidRDefault="00556299" w:rsidP="00182C59">
      <w:pPr>
        <w:rPr>
          <w:rFonts w:cs="Arial"/>
          <w:iCs/>
          <w:szCs w:val="24"/>
        </w:rPr>
      </w:pPr>
      <w:r w:rsidRPr="00556299">
        <w:rPr>
          <w:rFonts w:cs="Arial"/>
          <w:iCs/>
          <w:szCs w:val="24"/>
        </w:rPr>
        <w:t>Data audits will be performed to ensure that that the indigenous status is being collected and that values such as ‘did not ask’ is being assigned appropriately. The status of ‘not stated’ should be infrequently used as all reasonable efforts should to be taken to record the data. Any non-compliance identified in audits will be reported to the employee’s manager.</w:t>
      </w:r>
    </w:p>
    <w:p w14:paraId="5D731E0D" w14:textId="77777777" w:rsidR="004C26A8" w:rsidRPr="004C26A8" w:rsidRDefault="004C26A8" w:rsidP="00182C59">
      <w:pPr>
        <w:rPr>
          <w:rFonts w:cs="Arial"/>
          <w:iCs/>
          <w:szCs w:val="24"/>
        </w:rPr>
      </w:pPr>
    </w:p>
    <w:p w14:paraId="119BA4AD" w14:textId="77777777" w:rsidR="00F9158A" w:rsidRPr="00253F5A" w:rsidRDefault="00F9158A" w:rsidP="00F9158A">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14" w:name="_Toc389473287"/>
            <w:bookmarkStart w:id="15" w:name="_Toc160093302"/>
            <w:r>
              <w:t xml:space="preserve">Related Policies, </w:t>
            </w:r>
            <w:r w:rsidR="007B6904">
              <w:t>Procedures</w:t>
            </w:r>
            <w:bookmarkEnd w:id="14"/>
            <w:r>
              <w:t>, Guidelines and Legislation</w:t>
            </w:r>
            <w:bookmarkEnd w:id="15"/>
          </w:p>
        </w:tc>
      </w:tr>
    </w:tbl>
    <w:p w14:paraId="2F51A8B7" w14:textId="77777777" w:rsidR="007B6904" w:rsidRDefault="007B6904" w:rsidP="007B6904">
      <w:pPr>
        <w:rPr>
          <w:szCs w:val="24"/>
        </w:rPr>
      </w:pPr>
    </w:p>
    <w:p w14:paraId="2F51A8BA" w14:textId="77777777" w:rsidR="001926F4" w:rsidRPr="00201FB6" w:rsidRDefault="001926F4" w:rsidP="00201FB6">
      <w:pPr>
        <w:rPr>
          <w:b/>
        </w:rPr>
      </w:pPr>
      <w:r w:rsidRPr="00201FB6">
        <w:rPr>
          <w:b/>
        </w:rPr>
        <w:t>Policies</w:t>
      </w:r>
    </w:p>
    <w:p w14:paraId="7E5DB041" w14:textId="20EAAD4C" w:rsidR="00807B08" w:rsidRDefault="00807B08" w:rsidP="55918A0A">
      <w:pPr>
        <w:numPr>
          <w:ilvl w:val="0"/>
          <w:numId w:val="3"/>
        </w:numPr>
        <w:ind w:left="360"/>
        <w:rPr>
          <w:rFonts w:cs="Arial"/>
        </w:rPr>
      </w:pPr>
      <w:r>
        <w:rPr>
          <w:rFonts w:cs="Arial"/>
        </w:rPr>
        <w:t>Aboriginal and Torres Strait Islander Service</w:t>
      </w:r>
    </w:p>
    <w:p w14:paraId="72D4C05A" w14:textId="25EB5B42" w:rsidR="00807B08" w:rsidRDefault="00807B08" w:rsidP="55918A0A">
      <w:pPr>
        <w:numPr>
          <w:ilvl w:val="0"/>
          <w:numId w:val="3"/>
        </w:numPr>
        <w:ind w:left="360"/>
        <w:rPr>
          <w:rFonts w:cs="Arial"/>
        </w:rPr>
      </w:pPr>
      <w:r>
        <w:rPr>
          <w:rFonts w:cs="Arial"/>
        </w:rPr>
        <w:t>Clinical Records</w:t>
      </w:r>
    </w:p>
    <w:p w14:paraId="34EFF9C0" w14:textId="427E103B" w:rsidR="00807B08" w:rsidRDefault="00807B08" w:rsidP="55918A0A">
      <w:pPr>
        <w:numPr>
          <w:ilvl w:val="0"/>
          <w:numId w:val="3"/>
        </w:numPr>
        <w:ind w:left="360"/>
        <w:rPr>
          <w:rFonts w:cs="Arial"/>
        </w:rPr>
      </w:pPr>
      <w:r>
        <w:rPr>
          <w:rFonts w:cs="Arial"/>
        </w:rPr>
        <w:t>Data Quality</w:t>
      </w:r>
    </w:p>
    <w:p w14:paraId="2DB2F0F9" w14:textId="403EA875" w:rsidR="00807B08" w:rsidRDefault="00807B08" w:rsidP="55918A0A">
      <w:pPr>
        <w:numPr>
          <w:ilvl w:val="0"/>
          <w:numId w:val="3"/>
        </w:numPr>
        <w:ind w:left="360"/>
        <w:rPr>
          <w:rFonts w:cs="Arial"/>
        </w:rPr>
      </w:pPr>
      <w:r>
        <w:rPr>
          <w:rFonts w:cs="Arial"/>
        </w:rPr>
        <w:t>Privacy</w:t>
      </w:r>
    </w:p>
    <w:p w14:paraId="2F51A8BD" w14:textId="77777777" w:rsidR="000A7335" w:rsidRPr="000A7335" w:rsidRDefault="000A7335" w:rsidP="000A7335">
      <w:pPr>
        <w:rPr>
          <w:rFonts w:cs="Arial"/>
          <w:szCs w:val="24"/>
        </w:rPr>
      </w:pPr>
    </w:p>
    <w:p w14:paraId="2F51A8BE" w14:textId="77777777" w:rsidR="00931B93" w:rsidRPr="00201FB6" w:rsidRDefault="00931B93" w:rsidP="00201FB6">
      <w:pPr>
        <w:rPr>
          <w:b/>
        </w:rPr>
      </w:pPr>
      <w:r w:rsidRPr="00201FB6">
        <w:rPr>
          <w:b/>
        </w:rPr>
        <w:t>Procedures</w:t>
      </w:r>
    </w:p>
    <w:p w14:paraId="0E87A85D" w14:textId="17D1649A" w:rsidR="00807B08" w:rsidRPr="00807B08" w:rsidRDefault="00807B08" w:rsidP="00807B08">
      <w:pPr>
        <w:numPr>
          <w:ilvl w:val="0"/>
          <w:numId w:val="3"/>
        </w:numPr>
        <w:ind w:left="360"/>
        <w:rPr>
          <w:rFonts w:cs="Arial"/>
        </w:rPr>
      </w:pPr>
      <w:r>
        <w:rPr>
          <w:rFonts w:cs="Arial"/>
        </w:rPr>
        <w:t>Aboriginal and Torres Strait Islander Service</w:t>
      </w:r>
    </w:p>
    <w:p w14:paraId="2F51A8C0" w14:textId="370EE56C" w:rsidR="000A7335" w:rsidRPr="000A7335" w:rsidRDefault="000A7335" w:rsidP="55918A0A">
      <w:pPr>
        <w:pStyle w:val="ListParagraph"/>
        <w:numPr>
          <w:ilvl w:val="0"/>
          <w:numId w:val="3"/>
        </w:numPr>
        <w:ind w:left="360"/>
        <w:rPr>
          <w:rFonts w:cs="Arial"/>
        </w:rPr>
      </w:pPr>
      <w:r w:rsidRPr="55918A0A">
        <w:rPr>
          <w:rFonts w:cs="Arial"/>
        </w:rPr>
        <w:t xml:space="preserve">Patient Identification and Procedure Matching </w:t>
      </w:r>
    </w:p>
    <w:p w14:paraId="2F51A8C1" w14:textId="77777777" w:rsidR="000A7335" w:rsidRPr="000A7335" w:rsidRDefault="000A7335" w:rsidP="000A7335">
      <w:pPr>
        <w:ind w:left="360"/>
        <w:rPr>
          <w:rFonts w:cs="Arial"/>
          <w:szCs w:val="24"/>
        </w:rPr>
      </w:pPr>
    </w:p>
    <w:p w14:paraId="2F51A8C5" w14:textId="77777777" w:rsidR="00931B93" w:rsidRPr="00201FB6" w:rsidRDefault="00931B93" w:rsidP="00201FB6">
      <w:pPr>
        <w:rPr>
          <w:b/>
        </w:rPr>
      </w:pPr>
      <w:r w:rsidRPr="00201FB6">
        <w:rPr>
          <w:b/>
        </w:rPr>
        <w:t>Legislation</w:t>
      </w:r>
    </w:p>
    <w:p w14:paraId="2F51A8C6" w14:textId="77777777" w:rsidR="000A7335" w:rsidRPr="000A7335" w:rsidRDefault="000A7335" w:rsidP="000A7335">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2F51A8C7" w14:textId="77777777" w:rsidR="000A7335" w:rsidRPr="000A7335" w:rsidRDefault="000A7335" w:rsidP="000A7335">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2F51A8C8" w14:textId="18E77DAD" w:rsidR="000A7335" w:rsidRDefault="000A7335" w:rsidP="000A7335">
      <w:pPr>
        <w:numPr>
          <w:ilvl w:val="0"/>
          <w:numId w:val="3"/>
        </w:numPr>
        <w:ind w:left="360"/>
        <w:rPr>
          <w:rFonts w:cs="Arial"/>
          <w:szCs w:val="24"/>
        </w:rPr>
      </w:pPr>
      <w:r w:rsidRPr="001F2A9B">
        <w:rPr>
          <w:rFonts w:cs="Arial"/>
          <w:i/>
          <w:szCs w:val="24"/>
        </w:rPr>
        <w:lastRenderedPageBreak/>
        <w:t>Work Health and Safety Act</w:t>
      </w:r>
      <w:r w:rsidRPr="000A7335">
        <w:rPr>
          <w:rFonts w:cs="Arial"/>
          <w:szCs w:val="24"/>
        </w:rPr>
        <w:t xml:space="preserve"> 2011</w:t>
      </w:r>
    </w:p>
    <w:p w14:paraId="03CD10AC" w14:textId="27F7A038" w:rsidR="009E39B9" w:rsidRPr="000A7335" w:rsidRDefault="009E39B9" w:rsidP="000A7335">
      <w:pPr>
        <w:numPr>
          <w:ilvl w:val="0"/>
          <w:numId w:val="3"/>
        </w:numPr>
        <w:ind w:left="360"/>
        <w:rPr>
          <w:rFonts w:cs="Arial"/>
          <w:szCs w:val="24"/>
        </w:rPr>
      </w:pPr>
      <w:r>
        <w:rPr>
          <w:rFonts w:cs="Arial"/>
          <w:i/>
          <w:szCs w:val="24"/>
        </w:rPr>
        <w:t>Carers Recognition Act 2021</w:t>
      </w:r>
    </w:p>
    <w:p w14:paraId="2F51A8C9" w14:textId="77777777" w:rsidR="007B6904" w:rsidRPr="00FF56DD" w:rsidRDefault="007B6904" w:rsidP="007B6904">
      <w:pPr>
        <w:ind w:left="720"/>
        <w:rPr>
          <w:rFonts w:cs="Arial"/>
          <w:i/>
          <w:szCs w:val="24"/>
        </w:rPr>
      </w:pPr>
    </w:p>
    <w:p w14:paraId="3E23773E" w14:textId="77777777" w:rsidR="00AB13EF" w:rsidRDefault="00AB13EF" w:rsidP="00AB13EF">
      <w:pPr>
        <w:rPr>
          <w:b/>
        </w:rPr>
      </w:pPr>
      <w:r w:rsidRPr="00752315">
        <w:rPr>
          <w:b/>
        </w:rPr>
        <w:t>Other</w:t>
      </w:r>
    </w:p>
    <w:p w14:paraId="71A252ED" w14:textId="77777777" w:rsidR="00AB13EF" w:rsidRDefault="00AB13EF" w:rsidP="00AB13EF">
      <w:r w:rsidRPr="00DD0346">
        <w:rPr>
          <w:b/>
        </w:rPr>
        <w:t>•</w:t>
      </w:r>
      <w:r>
        <w:rPr>
          <w:b/>
        </w:rPr>
        <w:t xml:space="preserve">      </w:t>
      </w:r>
      <w:r w:rsidRPr="00DD0346">
        <w:t>Australian Charter of Healthcare Rights</w:t>
      </w:r>
    </w:p>
    <w:p w14:paraId="3073E6C8" w14:textId="77777777" w:rsidR="00807B08" w:rsidRPr="00DD0346" w:rsidRDefault="00807B08" w:rsidP="00AB13EF"/>
    <w:p w14:paraId="2F51A8CA" w14:textId="77777777" w:rsidR="007B6904" w:rsidRDefault="007B6904" w:rsidP="007B6904">
      <w:pPr>
        <w:pStyle w:val="ListParagraph"/>
        <w:jc w:val="right"/>
        <w:rPr>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16" w:name="_Toc389473288"/>
            <w:bookmarkStart w:id="17" w:name="_Toc160093303"/>
            <w:r>
              <w:t>References</w:t>
            </w:r>
            <w:bookmarkEnd w:id="16"/>
            <w:bookmarkEnd w:id="17"/>
          </w:p>
        </w:tc>
      </w:tr>
    </w:tbl>
    <w:p w14:paraId="2F51A8CD" w14:textId="77777777" w:rsidR="007B6904" w:rsidRPr="00DE4E25" w:rsidRDefault="007B6904" w:rsidP="007B6904">
      <w:pPr>
        <w:rPr>
          <w:rFonts w:asciiTheme="majorHAnsi" w:hAnsiTheme="majorHAnsi" w:cstheme="majorHAnsi"/>
          <w:szCs w:val="24"/>
        </w:rPr>
      </w:pPr>
      <w:bookmarkStart w:id="18" w:name="_Toc389131245"/>
    </w:p>
    <w:bookmarkEnd w:id="18"/>
    <w:p w14:paraId="0B953672" w14:textId="77E583F4" w:rsidR="00182C59" w:rsidRPr="00182C59" w:rsidRDefault="00182C59" w:rsidP="00182C59">
      <w:pPr>
        <w:pStyle w:val="ListParagraph"/>
        <w:numPr>
          <w:ilvl w:val="0"/>
          <w:numId w:val="6"/>
        </w:numPr>
        <w:rPr>
          <w:rFonts w:cs="Arial"/>
          <w:i/>
          <w:szCs w:val="24"/>
          <w:lang w:eastAsia="en-AU"/>
        </w:rPr>
      </w:pPr>
      <w:r w:rsidRPr="00182C59">
        <w:rPr>
          <w:rFonts w:cs="Arial"/>
          <w:i/>
          <w:szCs w:val="24"/>
          <w:lang w:eastAsia="en-AU"/>
        </w:rPr>
        <w:t>Australian Institute of Health and Welfare 2010. National best practice guidelines for collecting Indigenous status in health data sets. Cat. no. IHW 29. Canberra: AIHW.</w:t>
      </w:r>
      <w:r>
        <w:rPr>
          <w:rFonts w:cs="Arial"/>
          <w:i/>
          <w:szCs w:val="24"/>
          <w:lang w:eastAsia="en-AU"/>
        </w:rPr>
        <w:t xml:space="preserve"> </w:t>
      </w:r>
      <w:hyperlink r:id="rId11" w:history="1">
        <w:r w:rsidRPr="00182C59">
          <w:rPr>
            <w:rStyle w:val="Hyperlink"/>
            <w:rFonts w:cs="Arial"/>
            <w:i/>
            <w:szCs w:val="24"/>
            <w:lang w:eastAsia="en-AU"/>
          </w:rPr>
          <w:t>http://www.aihw.gov.au/WorkArea/DownloadAsset.aspx?id=6442458760.</w:t>
        </w:r>
      </w:hyperlink>
      <w:r>
        <w:rPr>
          <w:rFonts w:cs="Arial"/>
          <w:i/>
          <w:szCs w:val="24"/>
          <w:lang w:eastAsia="en-AU"/>
        </w:rPr>
        <w:t xml:space="preserve"> </w:t>
      </w:r>
      <w:r w:rsidRPr="00182C59">
        <w:rPr>
          <w:rFonts w:cs="Arial"/>
          <w:i/>
          <w:szCs w:val="24"/>
          <w:lang w:eastAsia="en-AU"/>
        </w:rPr>
        <w:t>Accessed on 17 November 2016</w:t>
      </w:r>
    </w:p>
    <w:p w14:paraId="117C863B" w14:textId="77777777" w:rsidR="00182C59" w:rsidRPr="00182C59" w:rsidRDefault="00182C59" w:rsidP="00182C59">
      <w:pPr>
        <w:pStyle w:val="ListParagraph"/>
        <w:numPr>
          <w:ilvl w:val="0"/>
          <w:numId w:val="6"/>
        </w:numPr>
        <w:rPr>
          <w:rFonts w:cs="Arial"/>
          <w:i/>
          <w:szCs w:val="24"/>
          <w:lang w:eastAsia="en-AU"/>
        </w:rPr>
      </w:pPr>
      <w:r w:rsidRPr="00182C59">
        <w:rPr>
          <w:rFonts w:cs="Arial"/>
          <w:i/>
          <w:szCs w:val="24"/>
          <w:lang w:eastAsia="en-AU"/>
        </w:rPr>
        <w:t>ACT Health (2015) Aboriginal and /or Torres Strait Islander Client Identification policy, DGD 15-007.</w:t>
      </w:r>
    </w:p>
    <w:p w14:paraId="02479650" w14:textId="77777777" w:rsidR="00182C59" w:rsidRDefault="00182C59" w:rsidP="00182C59">
      <w:pPr>
        <w:pStyle w:val="ListParagraph"/>
        <w:numPr>
          <w:ilvl w:val="0"/>
          <w:numId w:val="6"/>
        </w:numPr>
        <w:autoSpaceDE w:val="0"/>
        <w:autoSpaceDN w:val="0"/>
        <w:adjustRightInd w:val="0"/>
        <w:contextualSpacing w:val="0"/>
        <w:rPr>
          <w:i/>
          <w:iCs/>
        </w:rPr>
      </w:pPr>
      <w:r w:rsidRPr="00182C59">
        <w:rPr>
          <w:i/>
          <w:iCs/>
        </w:rPr>
        <w:t xml:space="preserve">Australian Institute of Health &amp; Welfare 2015, </w:t>
      </w:r>
      <w:proofErr w:type="spellStart"/>
      <w:r w:rsidRPr="00182C59">
        <w:rPr>
          <w:i/>
          <w:iCs/>
        </w:rPr>
        <w:t>METeOR</w:t>
      </w:r>
      <w:proofErr w:type="spellEnd"/>
      <w:r w:rsidRPr="00182C59">
        <w:rPr>
          <w:i/>
          <w:iCs/>
        </w:rPr>
        <w:t xml:space="preserve"> identifier 602543, </w:t>
      </w:r>
      <w:hyperlink r:id="rId12" w:history="1">
        <w:r w:rsidRPr="00182C59">
          <w:rPr>
            <w:rStyle w:val="Hyperlink"/>
            <w:i/>
            <w:iCs/>
          </w:rPr>
          <w:t>http://meteor.aijw.gov.au/contemt/index.phtml/itemId/602543</w:t>
        </w:r>
      </w:hyperlink>
      <w:r w:rsidRPr="00182C59">
        <w:rPr>
          <w:i/>
          <w:iCs/>
        </w:rPr>
        <w:t>. Date accessed 19 Jan 2017.</w:t>
      </w:r>
    </w:p>
    <w:p w14:paraId="1FA087B1" w14:textId="03D3796A" w:rsidR="00182C59" w:rsidRPr="00182C59" w:rsidRDefault="00182C59" w:rsidP="00182C59">
      <w:pPr>
        <w:pStyle w:val="ListParagraph"/>
        <w:numPr>
          <w:ilvl w:val="0"/>
          <w:numId w:val="6"/>
        </w:numPr>
        <w:autoSpaceDE w:val="0"/>
        <w:autoSpaceDN w:val="0"/>
        <w:adjustRightInd w:val="0"/>
        <w:contextualSpacing w:val="0"/>
      </w:pPr>
      <w:r w:rsidRPr="0040475D">
        <w:rPr>
          <w:i/>
        </w:rPr>
        <w:t>Privacy Act 1988</w:t>
      </w:r>
      <w:r>
        <w:t xml:space="preserve"> (Cwlth).</w:t>
      </w:r>
    </w:p>
    <w:p w14:paraId="2F51A8D4" w14:textId="77777777" w:rsidR="007B6904" w:rsidRPr="00DE4E25" w:rsidRDefault="007B6904" w:rsidP="007B6904">
      <w:pPr>
        <w:jc w:val="right"/>
        <w:rPr>
          <w:szCs w:val="24"/>
        </w:rPr>
      </w:pPr>
    </w:p>
    <w:p w14:paraId="2F51A8D5" w14:textId="77777777" w:rsidR="00FF56DD" w:rsidRDefault="007B6904" w:rsidP="007B6904">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3A9D7682" w:rsidR="00FF56DD" w:rsidRPr="000F1F60" w:rsidRDefault="00FF56DD" w:rsidP="004213C3">
            <w:pPr>
              <w:pStyle w:val="Heading1"/>
            </w:pPr>
            <w:bookmarkStart w:id="19" w:name="_Toc160093304"/>
            <w:r>
              <w:t>Definition of Terms</w:t>
            </w:r>
            <w:bookmarkEnd w:id="19"/>
          </w:p>
        </w:tc>
      </w:tr>
    </w:tbl>
    <w:p w14:paraId="2F51A8D8" w14:textId="77777777" w:rsidR="00FF56DD" w:rsidRDefault="00FF56DD" w:rsidP="00FF56DD">
      <w:pPr>
        <w:rPr>
          <w:rFonts w:cs="Arial"/>
          <w:szCs w:val="24"/>
        </w:rPr>
      </w:pPr>
    </w:p>
    <w:p w14:paraId="1F172795" w14:textId="2BBA78FB" w:rsidR="00807B08" w:rsidRDefault="00807B08" w:rsidP="00807B08">
      <w:pPr>
        <w:pStyle w:val="ListParagraph"/>
        <w:numPr>
          <w:ilvl w:val="0"/>
          <w:numId w:val="13"/>
        </w:numPr>
        <w:ind w:left="357" w:hanging="357"/>
        <w:rPr>
          <w:rFonts w:cs="Arial"/>
          <w:iCs/>
          <w:szCs w:val="24"/>
        </w:rPr>
      </w:pPr>
      <w:r w:rsidRPr="00807B08">
        <w:rPr>
          <w:rFonts w:cs="Arial"/>
          <w:b/>
          <w:bCs/>
          <w:iCs/>
          <w:szCs w:val="24"/>
        </w:rPr>
        <w:t>Client:</w:t>
      </w:r>
      <w:r w:rsidRPr="00807B08">
        <w:rPr>
          <w:rFonts w:cs="Arial"/>
          <w:iCs/>
          <w:szCs w:val="24"/>
        </w:rPr>
        <w:t xml:space="preserve"> Any person (patient/consumer) who receives services from </w:t>
      </w:r>
      <w:r w:rsidR="00556299">
        <w:rPr>
          <w:rFonts w:cs="Arial"/>
          <w:iCs/>
          <w:szCs w:val="24"/>
        </w:rPr>
        <w:t xml:space="preserve">Canberra Health </w:t>
      </w:r>
      <w:proofErr w:type="spellStart"/>
      <w:r w:rsidR="00556299">
        <w:rPr>
          <w:rFonts w:cs="Arial"/>
          <w:iCs/>
          <w:szCs w:val="24"/>
        </w:rPr>
        <w:t>Servcies</w:t>
      </w:r>
      <w:proofErr w:type="spellEnd"/>
      <w:r w:rsidRPr="00807B08">
        <w:rPr>
          <w:rFonts w:cs="Arial"/>
          <w:iCs/>
          <w:szCs w:val="24"/>
        </w:rPr>
        <w:t>. Any reference to the word patient or consumer is made in the context of a reference to a document.</w:t>
      </w:r>
    </w:p>
    <w:p w14:paraId="05ABCEFB" w14:textId="77777777" w:rsidR="00807B08" w:rsidRPr="00182C59" w:rsidRDefault="00807B08" w:rsidP="00182C59">
      <w:pPr>
        <w:rPr>
          <w:rFonts w:cs="Arial"/>
          <w:iCs/>
          <w:szCs w:val="24"/>
        </w:rPr>
      </w:pPr>
    </w:p>
    <w:p w14:paraId="56563FB7" w14:textId="6A241097" w:rsidR="00807B08" w:rsidRDefault="00807B08" w:rsidP="00182C59">
      <w:pPr>
        <w:pStyle w:val="ListParagraph"/>
        <w:numPr>
          <w:ilvl w:val="0"/>
          <w:numId w:val="13"/>
        </w:numPr>
        <w:ind w:left="357" w:hanging="357"/>
        <w:rPr>
          <w:rFonts w:cs="Arial"/>
          <w:iCs/>
          <w:szCs w:val="24"/>
        </w:rPr>
      </w:pPr>
      <w:r w:rsidRPr="00182C59">
        <w:rPr>
          <w:rFonts w:cs="Arial"/>
          <w:b/>
          <w:bCs/>
          <w:iCs/>
          <w:szCs w:val="24"/>
        </w:rPr>
        <w:t>Data</w:t>
      </w:r>
      <w:r w:rsidR="00182C59">
        <w:rPr>
          <w:rFonts w:cs="Arial"/>
          <w:iCs/>
          <w:szCs w:val="24"/>
        </w:rPr>
        <w:t>:</w:t>
      </w:r>
      <w:r w:rsidRPr="00182C59">
        <w:rPr>
          <w:rFonts w:cs="Arial"/>
          <w:iCs/>
          <w:szCs w:val="24"/>
        </w:rPr>
        <w:t xml:space="preserve"> The representation of facts, concepts or instructions in a formalised (consistent and agreed) manner suitable for communication, interpretation or processing by human or automatic means.  Data is typically comprised of numbers, words or images.  The format and presentation of data may vary with the context in which it is used.</w:t>
      </w:r>
    </w:p>
    <w:p w14:paraId="3121B7A8" w14:textId="77777777" w:rsidR="00182C59" w:rsidRPr="00182C59" w:rsidRDefault="00182C59" w:rsidP="00182C59">
      <w:pPr>
        <w:rPr>
          <w:rFonts w:cs="Arial"/>
          <w:iCs/>
          <w:szCs w:val="24"/>
        </w:rPr>
      </w:pPr>
    </w:p>
    <w:p w14:paraId="2F51A8DA" w14:textId="45D73F59" w:rsidR="00FF56DD" w:rsidRDefault="00807B08" w:rsidP="00807B08">
      <w:pPr>
        <w:rPr>
          <w:rFonts w:cs="Arial"/>
          <w:iCs/>
          <w:szCs w:val="24"/>
        </w:rPr>
      </w:pPr>
      <w:r w:rsidRPr="00807B08">
        <w:rPr>
          <w:rFonts w:cs="Arial"/>
          <w:iCs/>
          <w:szCs w:val="24"/>
        </w:rPr>
        <w:t>Data is not Information until it is utilised in a particular context for a particular purpose. (</w:t>
      </w:r>
      <w:r w:rsidRPr="00182C59">
        <w:rPr>
          <w:rFonts w:cs="Arial"/>
          <w:i/>
          <w:szCs w:val="24"/>
        </w:rPr>
        <w:t>Office of the Australian Information Commissioner (OAIC), 2013</w:t>
      </w:r>
      <w:r w:rsidRPr="00807B08">
        <w:rPr>
          <w:rFonts w:cs="Arial"/>
          <w:iCs/>
          <w:szCs w:val="24"/>
        </w:rPr>
        <w:t>).  Data is typically considered to be conceptually at the lowest level of abstraction.</w:t>
      </w:r>
    </w:p>
    <w:p w14:paraId="226C9326" w14:textId="77777777" w:rsidR="00182C59" w:rsidRDefault="00182C59" w:rsidP="00807B08">
      <w:pPr>
        <w:rPr>
          <w:rFonts w:cs="Arial"/>
          <w:szCs w:val="24"/>
        </w:rPr>
      </w:pPr>
    </w:p>
    <w:p w14:paraId="2F51A8DB" w14:textId="77777777" w:rsidR="00FF56DD" w:rsidRDefault="00FF56DD" w:rsidP="007B6904">
      <w:pPr>
        <w:jc w:val="right"/>
        <w:rPr>
          <w:rFonts w:cs="Calibri,Bold"/>
          <w:bCs/>
          <w:i/>
          <w:szCs w:val="24"/>
          <w:lang w:eastAsia="en-AU"/>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0" w:name="_Toc389473290"/>
            <w:bookmarkStart w:id="21" w:name="_Toc160093305"/>
            <w:r>
              <w:t>Search Terms</w:t>
            </w:r>
            <w:bookmarkEnd w:id="20"/>
            <w:bookmarkEnd w:id="21"/>
            <w:r>
              <w:t xml:space="preserve"> </w:t>
            </w:r>
          </w:p>
        </w:tc>
      </w:tr>
    </w:tbl>
    <w:p w14:paraId="2F51A8DE" w14:textId="77777777" w:rsidR="007B6904" w:rsidRDefault="007B6904" w:rsidP="007B6904">
      <w:pPr>
        <w:rPr>
          <w:rFonts w:cs="Calibri,Bold"/>
          <w:bCs/>
          <w:i/>
          <w:szCs w:val="24"/>
          <w:lang w:eastAsia="en-AU"/>
        </w:rPr>
      </w:pPr>
    </w:p>
    <w:p w14:paraId="2F51A8DF" w14:textId="465F1A15" w:rsidR="005067CA" w:rsidRPr="00B5199B" w:rsidRDefault="00B5199B" w:rsidP="005067CA">
      <w:pPr>
        <w:rPr>
          <w:rFonts w:cs="Calibri,Bold"/>
          <w:bCs/>
          <w:iCs/>
          <w:szCs w:val="24"/>
          <w:lang w:eastAsia="en-AU"/>
        </w:rPr>
      </w:pPr>
      <w:r w:rsidRPr="00B5199B">
        <w:rPr>
          <w:rFonts w:cs="Calibri,Bold"/>
          <w:bCs/>
          <w:iCs/>
          <w:szCs w:val="24"/>
          <w:lang w:eastAsia="en-AU"/>
        </w:rPr>
        <w:t xml:space="preserve">Aboriginal and Torres Strait Islander, </w:t>
      </w:r>
      <w:r w:rsidRPr="00B5199B">
        <w:rPr>
          <w:bCs/>
          <w:iCs/>
        </w:rPr>
        <w:t xml:space="preserve">Collection of Indigenous status, </w:t>
      </w:r>
      <w:r w:rsidR="00BA7522" w:rsidRPr="00BA7522">
        <w:rPr>
          <w:bCs/>
          <w:iCs/>
        </w:rPr>
        <w:t>Indigenous Status Data Collection</w:t>
      </w:r>
      <w:r w:rsidR="00BA7522">
        <w:rPr>
          <w:bCs/>
          <w:iCs/>
        </w:rPr>
        <w:t>, Data Collection</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7B6904" w:rsidP="00AC7025">
      <w:pPr>
        <w:jc w:val="right"/>
        <w:rPr>
          <w:rFonts w:cs="Calibri,Bold"/>
          <w:bCs/>
          <w:i/>
          <w:szCs w:val="24"/>
          <w:lang w:eastAsia="en-AU"/>
        </w:rPr>
      </w:pPr>
      <w:hyperlink w:anchor="Contents" w:history="1">
        <w:r w:rsidRPr="00590902">
          <w:rPr>
            <w:rStyle w:val="Hyperlink"/>
            <w:rFonts w:cs="Arial"/>
            <w:i/>
            <w:szCs w:val="24"/>
          </w:rPr>
          <w:t>Back to Table of Contents</w:t>
        </w:r>
      </w:hyperlink>
      <w:bookmarkStart w:id="22" w:name="_Toc396995664"/>
    </w:p>
    <w:bookmarkEnd w:id="22"/>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3D3DDD86" w:rsidR="00ED46C3" w:rsidRPr="008202D3" w:rsidRDefault="00BA7522" w:rsidP="004A1316">
            <w:pPr>
              <w:rPr>
                <w:i/>
                <w:sz w:val="20"/>
              </w:rPr>
            </w:pPr>
            <w:r>
              <w:rPr>
                <w:i/>
                <w:sz w:val="20"/>
              </w:rPr>
              <w:t>29/02/2024</w:t>
            </w:r>
          </w:p>
        </w:tc>
        <w:tc>
          <w:tcPr>
            <w:tcW w:w="2265" w:type="dxa"/>
          </w:tcPr>
          <w:p w14:paraId="757FDC5B" w14:textId="0F4F0907" w:rsidR="00ED46C3" w:rsidRPr="008202D3" w:rsidRDefault="00BA7522" w:rsidP="004A1316">
            <w:pPr>
              <w:rPr>
                <w:i/>
                <w:sz w:val="20"/>
              </w:rPr>
            </w:pPr>
            <w:r>
              <w:rPr>
                <w:i/>
                <w:sz w:val="20"/>
              </w:rPr>
              <w:t>NCH Transition Document</w:t>
            </w:r>
          </w:p>
        </w:tc>
        <w:tc>
          <w:tcPr>
            <w:tcW w:w="2265" w:type="dxa"/>
          </w:tcPr>
          <w:p w14:paraId="45358585" w14:textId="4171D7CB" w:rsidR="00ED46C3" w:rsidRPr="008202D3" w:rsidRDefault="00BA7522" w:rsidP="004A1316">
            <w:pPr>
              <w:rPr>
                <w:i/>
                <w:sz w:val="20"/>
              </w:rPr>
            </w:pPr>
            <w:r>
              <w:rPr>
                <w:i/>
                <w:sz w:val="20"/>
              </w:rPr>
              <w:t>CHS Policy Team</w:t>
            </w:r>
          </w:p>
        </w:tc>
        <w:tc>
          <w:tcPr>
            <w:tcW w:w="2265" w:type="dxa"/>
          </w:tcPr>
          <w:p w14:paraId="31501FE6" w14:textId="1FED33A1" w:rsidR="00ED46C3" w:rsidRPr="008202D3" w:rsidRDefault="00BA7522" w:rsidP="004A1316">
            <w:pPr>
              <w:rPr>
                <w:i/>
                <w:sz w:val="20"/>
              </w:rPr>
            </w:pPr>
            <w:r>
              <w:rPr>
                <w:i/>
                <w:sz w:val="20"/>
              </w:rPr>
              <w:t>CHS Policy Team</w:t>
            </w:r>
          </w:p>
        </w:tc>
      </w:tr>
      <w:tr w:rsidR="00ED46C3" w:rsidRPr="008202D3" w14:paraId="4B9C0359" w14:textId="77777777" w:rsidTr="004A1316">
        <w:tc>
          <w:tcPr>
            <w:tcW w:w="2265" w:type="dxa"/>
          </w:tcPr>
          <w:p w14:paraId="01E40F72" w14:textId="7EFB9237" w:rsidR="00ED46C3" w:rsidRPr="008202D3" w:rsidRDefault="001C2879" w:rsidP="004A1316">
            <w:pPr>
              <w:rPr>
                <w:i/>
                <w:sz w:val="20"/>
              </w:rPr>
            </w:pPr>
            <w:r>
              <w:rPr>
                <w:i/>
                <w:sz w:val="20"/>
              </w:rPr>
              <w:t xml:space="preserve">16/05/2025 </w:t>
            </w:r>
          </w:p>
        </w:tc>
        <w:tc>
          <w:tcPr>
            <w:tcW w:w="2265" w:type="dxa"/>
          </w:tcPr>
          <w:p w14:paraId="25312BA2" w14:textId="4469B6E8" w:rsidR="00ED46C3" w:rsidRPr="008202D3" w:rsidRDefault="008309EA" w:rsidP="004A1316">
            <w:pPr>
              <w:rPr>
                <w:i/>
                <w:sz w:val="20"/>
              </w:rPr>
            </w:pPr>
            <w:r>
              <w:rPr>
                <w:i/>
                <w:sz w:val="20"/>
              </w:rPr>
              <w:t>Ownership transferred to DSU</w:t>
            </w:r>
          </w:p>
        </w:tc>
        <w:tc>
          <w:tcPr>
            <w:tcW w:w="2265" w:type="dxa"/>
          </w:tcPr>
          <w:p w14:paraId="6A63A790" w14:textId="28A56AF9" w:rsidR="00ED46C3" w:rsidRPr="008202D3" w:rsidRDefault="008309EA" w:rsidP="004A1316">
            <w:pPr>
              <w:rPr>
                <w:i/>
                <w:sz w:val="20"/>
              </w:rPr>
            </w:pPr>
            <w:r>
              <w:rPr>
                <w:i/>
                <w:sz w:val="20"/>
              </w:rPr>
              <w:t>Jarrad Nuss, ED DSU</w:t>
            </w:r>
          </w:p>
        </w:tc>
        <w:tc>
          <w:tcPr>
            <w:tcW w:w="2265" w:type="dxa"/>
          </w:tcPr>
          <w:p w14:paraId="0C203B9F" w14:textId="5D471AE2" w:rsidR="00ED46C3" w:rsidRPr="008202D3" w:rsidRDefault="008309EA" w:rsidP="004A1316">
            <w:pPr>
              <w:rPr>
                <w:i/>
                <w:sz w:val="20"/>
              </w:rPr>
            </w:pPr>
            <w:r>
              <w:rPr>
                <w:i/>
                <w:sz w:val="20"/>
              </w:rPr>
              <w:t>CHS Policy Team</w:t>
            </w: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3F775FD2" w:rsidR="00ED46C3" w:rsidRPr="008202D3" w:rsidRDefault="00BA7522" w:rsidP="004A1316">
            <w:pPr>
              <w:rPr>
                <w:i/>
                <w:sz w:val="20"/>
              </w:rPr>
            </w:pPr>
            <w:r w:rsidRPr="00BA7522">
              <w:rPr>
                <w:i/>
                <w:sz w:val="20"/>
              </w:rPr>
              <w:t xml:space="preserve">Aboriginal and Torres Strait Islander </w:t>
            </w:r>
            <w:proofErr w:type="gramStart"/>
            <w:r w:rsidRPr="00BA7522">
              <w:rPr>
                <w:i/>
                <w:sz w:val="20"/>
              </w:rPr>
              <w:t>peoples</w:t>
            </w:r>
            <w:proofErr w:type="gramEnd"/>
            <w:r w:rsidRPr="00BA7522">
              <w:rPr>
                <w:i/>
                <w:sz w:val="20"/>
              </w:rPr>
              <w:t>-Collection of Indigenous status</w:t>
            </w: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p w14:paraId="0C6CC7D0" w14:textId="77777777" w:rsidR="008309EA" w:rsidRPr="008309EA" w:rsidRDefault="008309EA" w:rsidP="008309EA">
      <w:pPr>
        <w:rPr>
          <w:rFonts w:cs="Arial"/>
          <w:szCs w:val="24"/>
        </w:rPr>
      </w:pPr>
    </w:p>
    <w:p w14:paraId="048E68C7" w14:textId="77777777" w:rsidR="008309EA" w:rsidRPr="008309EA" w:rsidRDefault="008309EA" w:rsidP="008309EA">
      <w:pPr>
        <w:rPr>
          <w:rFonts w:cs="Arial"/>
          <w:szCs w:val="24"/>
        </w:rPr>
      </w:pPr>
    </w:p>
    <w:p w14:paraId="16E9DC24" w14:textId="77777777" w:rsidR="008309EA" w:rsidRDefault="008309EA" w:rsidP="008309EA">
      <w:pPr>
        <w:rPr>
          <w:rFonts w:cs="Arial"/>
          <w:szCs w:val="24"/>
        </w:rPr>
      </w:pPr>
    </w:p>
    <w:p w14:paraId="6890D5CB" w14:textId="1766A996" w:rsidR="008309EA" w:rsidRPr="008309EA" w:rsidRDefault="008309EA" w:rsidP="008309EA">
      <w:pPr>
        <w:tabs>
          <w:tab w:val="left" w:pos="1590"/>
        </w:tabs>
        <w:rPr>
          <w:rFonts w:cs="Arial"/>
          <w:szCs w:val="24"/>
        </w:rPr>
      </w:pPr>
      <w:r>
        <w:rPr>
          <w:rFonts w:cs="Arial"/>
          <w:szCs w:val="24"/>
        </w:rPr>
        <w:tab/>
      </w:r>
    </w:p>
    <w:sectPr w:rsidR="008309EA" w:rsidRPr="008309EA" w:rsidSect="004213C3">
      <w:headerReference w:type="default" r:id="rId13"/>
      <w:footerReference w:type="default" r:id="rId1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1F2F" w14:textId="77777777" w:rsidR="009B4903" w:rsidRDefault="009B4903" w:rsidP="00F66CB0">
      <w:r>
        <w:separator/>
      </w:r>
    </w:p>
  </w:endnote>
  <w:endnote w:type="continuationSeparator" w:id="0">
    <w:p w14:paraId="0B6814D0" w14:textId="77777777" w:rsidR="009B4903" w:rsidRDefault="009B4903"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Light">
    <w:altName w:val="Calibri"/>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734"/>
      <w:gridCol w:w="848"/>
    </w:tblGrid>
    <w:tr w:rsidR="00E90708" w:rsidRPr="00AE7C5C" w14:paraId="2F51A914" w14:textId="77777777" w:rsidTr="003756B3">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734"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848"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3756B3">
      <w:tc>
        <w:tcPr>
          <w:tcW w:w="1515" w:type="dxa"/>
        </w:tcPr>
        <w:p w14:paraId="2F51A915" w14:textId="0388EB6E" w:rsidR="00E90708" w:rsidRPr="00542EE6" w:rsidRDefault="003756B3" w:rsidP="004213C3">
          <w:pPr>
            <w:pStyle w:val="Footer"/>
            <w:rPr>
              <w:rFonts w:cs="Arial"/>
              <w:b/>
              <w:bCs/>
              <w:sz w:val="20"/>
            </w:rPr>
          </w:pPr>
          <w:r>
            <w:rPr>
              <w:b/>
              <w:sz w:val="20"/>
            </w:rPr>
            <w:t>CHS24/086</w:t>
          </w:r>
        </w:p>
      </w:tc>
      <w:tc>
        <w:tcPr>
          <w:tcW w:w="965" w:type="dxa"/>
        </w:tcPr>
        <w:p w14:paraId="2F51A916" w14:textId="7A55347F" w:rsidR="00E90708" w:rsidRPr="00B3752F" w:rsidRDefault="003756B3" w:rsidP="004213C3">
          <w:pPr>
            <w:pStyle w:val="Footer"/>
            <w:rPr>
              <w:rFonts w:cs="Arial"/>
              <w:b/>
              <w:bCs/>
              <w:sz w:val="20"/>
            </w:rPr>
          </w:pPr>
          <w:r>
            <w:rPr>
              <w:rFonts w:cs="Arial"/>
              <w:b/>
              <w:bCs/>
              <w:sz w:val="20"/>
            </w:rPr>
            <w:t>1</w:t>
          </w:r>
        </w:p>
      </w:tc>
      <w:tc>
        <w:tcPr>
          <w:tcW w:w="1552" w:type="dxa"/>
        </w:tcPr>
        <w:p w14:paraId="2F51A917" w14:textId="7E296430" w:rsidR="00E90708" w:rsidRPr="00B3752F" w:rsidRDefault="003756B3" w:rsidP="004213C3">
          <w:pPr>
            <w:pStyle w:val="Footer"/>
            <w:rPr>
              <w:rFonts w:cs="Arial"/>
              <w:b/>
              <w:bCs/>
              <w:sz w:val="20"/>
            </w:rPr>
          </w:pPr>
          <w:r>
            <w:rPr>
              <w:rFonts w:cs="Arial"/>
              <w:b/>
              <w:bCs/>
              <w:sz w:val="20"/>
            </w:rPr>
            <w:t>29/02/2024</w:t>
          </w:r>
        </w:p>
      </w:tc>
      <w:tc>
        <w:tcPr>
          <w:tcW w:w="1456" w:type="dxa"/>
        </w:tcPr>
        <w:p w14:paraId="2F51A918" w14:textId="14231F4D" w:rsidR="00E90708" w:rsidRPr="00B3752F" w:rsidRDefault="003756B3" w:rsidP="004213C3">
          <w:pPr>
            <w:pStyle w:val="Footer"/>
            <w:rPr>
              <w:rFonts w:cs="Arial"/>
              <w:b/>
              <w:bCs/>
              <w:sz w:val="20"/>
            </w:rPr>
          </w:pPr>
          <w:r>
            <w:rPr>
              <w:rFonts w:cs="Arial"/>
              <w:b/>
              <w:bCs/>
              <w:sz w:val="20"/>
            </w:rPr>
            <w:t>01/02/2027</w:t>
          </w:r>
        </w:p>
      </w:tc>
      <w:tc>
        <w:tcPr>
          <w:tcW w:w="2734" w:type="dxa"/>
        </w:tcPr>
        <w:p w14:paraId="2F51A919" w14:textId="3A57AEAA" w:rsidR="00E90708" w:rsidRPr="00B3752F" w:rsidRDefault="001C2879" w:rsidP="004213C3">
          <w:pPr>
            <w:pStyle w:val="Footer"/>
            <w:rPr>
              <w:rFonts w:cs="Arial"/>
              <w:b/>
              <w:bCs/>
              <w:sz w:val="20"/>
            </w:rPr>
          </w:pPr>
          <w:r>
            <w:rPr>
              <w:rFonts w:cs="Arial"/>
              <w:b/>
              <w:bCs/>
              <w:sz w:val="20"/>
            </w:rPr>
            <w:t>DSU – Data Quality Team</w:t>
          </w:r>
        </w:p>
      </w:tc>
      <w:tc>
        <w:tcPr>
          <w:tcW w:w="848"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1AE5" w14:textId="77777777" w:rsidR="009B4903" w:rsidRDefault="009B4903" w:rsidP="00F66CB0">
      <w:r>
        <w:separator/>
      </w:r>
    </w:p>
  </w:footnote>
  <w:footnote w:type="continuationSeparator" w:id="0">
    <w:p w14:paraId="61E37535" w14:textId="77777777" w:rsidR="009B4903" w:rsidRDefault="009B4903"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3525"/>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33F7AE50" w:rsidR="00E90708" w:rsidRDefault="003756B3">
          <w:pPr>
            <w:pStyle w:val="Header"/>
            <w:tabs>
              <w:tab w:val="left" w:pos="720"/>
            </w:tabs>
            <w:jc w:val="right"/>
            <w:rPr>
              <w:sz w:val="20"/>
            </w:rPr>
          </w:pPr>
          <w:bookmarkStart w:id="23" w:name="_top"/>
          <w:bookmarkEnd w:id="23"/>
          <w:r>
            <w:rPr>
              <w:sz w:val="20"/>
            </w:rPr>
            <w:t>CH24/086</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6FB521D"/>
    <w:multiLevelType w:val="hybridMultilevel"/>
    <w:tmpl w:val="8AC88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632A2"/>
    <w:multiLevelType w:val="hybridMultilevel"/>
    <w:tmpl w:val="F4F61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0" w15:restartNumberingAfterBreak="0">
    <w:nsid w:val="5A646817"/>
    <w:multiLevelType w:val="hybridMultilevel"/>
    <w:tmpl w:val="ECDE8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31563039">
    <w:abstractNumId w:val="0"/>
  </w:num>
  <w:num w:numId="2" w16cid:durableId="1105421970">
    <w:abstractNumId w:val="2"/>
  </w:num>
  <w:num w:numId="3" w16cid:durableId="825439527">
    <w:abstractNumId w:val="11"/>
  </w:num>
  <w:num w:numId="4" w16cid:durableId="197278204">
    <w:abstractNumId w:val="3"/>
  </w:num>
  <w:num w:numId="5" w16cid:durableId="1985042641">
    <w:abstractNumId w:val="6"/>
  </w:num>
  <w:num w:numId="6" w16cid:durableId="2142573565">
    <w:abstractNumId w:val="12"/>
  </w:num>
  <w:num w:numId="7" w16cid:durableId="1454903566">
    <w:abstractNumId w:val="9"/>
  </w:num>
  <w:num w:numId="8" w16cid:durableId="839658379">
    <w:abstractNumId w:val="0"/>
  </w:num>
  <w:num w:numId="9" w16cid:durableId="612371182">
    <w:abstractNumId w:val="0"/>
  </w:num>
  <w:num w:numId="10" w16cid:durableId="613093647">
    <w:abstractNumId w:val="8"/>
  </w:num>
  <w:num w:numId="11" w16cid:durableId="1319193356">
    <w:abstractNumId w:val="1"/>
  </w:num>
  <w:num w:numId="12" w16cid:durableId="1464229998">
    <w:abstractNumId w:val="4"/>
  </w:num>
  <w:num w:numId="13" w16cid:durableId="1476920290">
    <w:abstractNumId w:val="5"/>
  </w:num>
  <w:num w:numId="14" w16cid:durableId="351541761">
    <w:abstractNumId w:val="10"/>
  </w:num>
  <w:num w:numId="15" w16cid:durableId="338192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91AC9"/>
    <w:rsid w:val="00095ECD"/>
    <w:rsid w:val="000A7335"/>
    <w:rsid w:val="000B1620"/>
    <w:rsid w:val="000B5C8C"/>
    <w:rsid w:val="000B71ED"/>
    <w:rsid w:val="000C59E2"/>
    <w:rsid w:val="000C7B2D"/>
    <w:rsid w:val="000F7B7E"/>
    <w:rsid w:val="00103EEA"/>
    <w:rsid w:val="001115D7"/>
    <w:rsid w:val="001432F7"/>
    <w:rsid w:val="00182C59"/>
    <w:rsid w:val="00191109"/>
    <w:rsid w:val="00191235"/>
    <w:rsid w:val="001926F4"/>
    <w:rsid w:val="001A0053"/>
    <w:rsid w:val="001B2465"/>
    <w:rsid w:val="001B3435"/>
    <w:rsid w:val="001C2879"/>
    <w:rsid w:val="001F2A9B"/>
    <w:rsid w:val="001F6D2D"/>
    <w:rsid w:val="00200D04"/>
    <w:rsid w:val="00201FB6"/>
    <w:rsid w:val="002405CF"/>
    <w:rsid w:val="00240B97"/>
    <w:rsid w:val="0025382D"/>
    <w:rsid w:val="00263BA6"/>
    <w:rsid w:val="0027264D"/>
    <w:rsid w:val="00285D38"/>
    <w:rsid w:val="00293E43"/>
    <w:rsid w:val="002B5F43"/>
    <w:rsid w:val="00313707"/>
    <w:rsid w:val="0032270B"/>
    <w:rsid w:val="00337E7C"/>
    <w:rsid w:val="00351CD9"/>
    <w:rsid w:val="00353CBB"/>
    <w:rsid w:val="00366924"/>
    <w:rsid w:val="003756B3"/>
    <w:rsid w:val="00376A6D"/>
    <w:rsid w:val="00380B98"/>
    <w:rsid w:val="00395E36"/>
    <w:rsid w:val="00396023"/>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7C43"/>
    <w:rsid w:val="004C26A8"/>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56299"/>
    <w:rsid w:val="005621E4"/>
    <w:rsid w:val="00590902"/>
    <w:rsid w:val="00592A14"/>
    <w:rsid w:val="00596FD7"/>
    <w:rsid w:val="005A3625"/>
    <w:rsid w:val="005B4738"/>
    <w:rsid w:val="005C212D"/>
    <w:rsid w:val="005C3CB0"/>
    <w:rsid w:val="005E1140"/>
    <w:rsid w:val="005F3214"/>
    <w:rsid w:val="00612231"/>
    <w:rsid w:val="00635EB1"/>
    <w:rsid w:val="006473BB"/>
    <w:rsid w:val="0066495D"/>
    <w:rsid w:val="00695EB6"/>
    <w:rsid w:val="006A3770"/>
    <w:rsid w:val="006A4D46"/>
    <w:rsid w:val="006A6024"/>
    <w:rsid w:val="006C31FF"/>
    <w:rsid w:val="006C6256"/>
    <w:rsid w:val="006C6B6C"/>
    <w:rsid w:val="006C704D"/>
    <w:rsid w:val="006D31A2"/>
    <w:rsid w:val="0070331D"/>
    <w:rsid w:val="007052B1"/>
    <w:rsid w:val="00711BF4"/>
    <w:rsid w:val="00741B43"/>
    <w:rsid w:val="0074223E"/>
    <w:rsid w:val="007543AC"/>
    <w:rsid w:val="00756537"/>
    <w:rsid w:val="00756A2B"/>
    <w:rsid w:val="007A0EBC"/>
    <w:rsid w:val="007B27F1"/>
    <w:rsid w:val="007B4ABB"/>
    <w:rsid w:val="007B6904"/>
    <w:rsid w:val="007B7628"/>
    <w:rsid w:val="007C36E4"/>
    <w:rsid w:val="00807B08"/>
    <w:rsid w:val="00816782"/>
    <w:rsid w:val="0082141D"/>
    <w:rsid w:val="00827F24"/>
    <w:rsid w:val="008309EA"/>
    <w:rsid w:val="00845445"/>
    <w:rsid w:val="00855DA8"/>
    <w:rsid w:val="00866495"/>
    <w:rsid w:val="008838DF"/>
    <w:rsid w:val="00886399"/>
    <w:rsid w:val="008974CA"/>
    <w:rsid w:val="008E1F7F"/>
    <w:rsid w:val="008E51B2"/>
    <w:rsid w:val="008F00E8"/>
    <w:rsid w:val="00906142"/>
    <w:rsid w:val="00931B93"/>
    <w:rsid w:val="00933EED"/>
    <w:rsid w:val="00940CDE"/>
    <w:rsid w:val="00962C46"/>
    <w:rsid w:val="0097742A"/>
    <w:rsid w:val="0097744F"/>
    <w:rsid w:val="00980EED"/>
    <w:rsid w:val="00991670"/>
    <w:rsid w:val="009B4903"/>
    <w:rsid w:val="009B6C8C"/>
    <w:rsid w:val="009C0FCA"/>
    <w:rsid w:val="009C3963"/>
    <w:rsid w:val="009D323C"/>
    <w:rsid w:val="009E39B9"/>
    <w:rsid w:val="009E70F4"/>
    <w:rsid w:val="00A35E2D"/>
    <w:rsid w:val="00A54CB3"/>
    <w:rsid w:val="00A74B8A"/>
    <w:rsid w:val="00A85F61"/>
    <w:rsid w:val="00A86DB3"/>
    <w:rsid w:val="00A92E4F"/>
    <w:rsid w:val="00AA25DC"/>
    <w:rsid w:val="00AB13EF"/>
    <w:rsid w:val="00AB50DD"/>
    <w:rsid w:val="00AC7025"/>
    <w:rsid w:val="00AD196F"/>
    <w:rsid w:val="00AD3CCE"/>
    <w:rsid w:val="00B07A46"/>
    <w:rsid w:val="00B07DCE"/>
    <w:rsid w:val="00B12123"/>
    <w:rsid w:val="00B21043"/>
    <w:rsid w:val="00B42EA0"/>
    <w:rsid w:val="00B44CAC"/>
    <w:rsid w:val="00B5199B"/>
    <w:rsid w:val="00B573D6"/>
    <w:rsid w:val="00B73E65"/>
    <w:rsid w:val="00B81455"/>
    <w:rsid w:val="00B9627F"/>
    <w:rsid w:val="00BA2415"/>
    <w:rsid w:val="00BA4DB2"/>
    <w:rsid w:val="00BA4F95"/>
    <w:rsid w:val="00BA7522"/>
    <w:rsid w:val="00BB33F9"/>
    <w:rsid w:val="00BC3CE6"/>
    <w:rsid w:val="00BE5E41"/>
    <w:rsid w:val="00BF078E"/>
    <w:rsid w:val="00C24EDC"/>
    <w:rsid w:val="00C25A76"/>
    <w:rsid w:val="00C31EB3"/>
    <w:rsid w:val="00C32206"/>
    <w:rsid w:val="00C3559A"/>
    <w:rsid w:val="00C422C8"/>
    <w:rsid w:val="00C45C67"/>
    <w:rsid w:val="00C47091"/>
    <w:rsid w:val="00C523FF"/>
    <w:rsid w:val="00C71C3C"/>
    <w:rsid w:val="00C76998"/>
    <w:rsid w:val="00C93E83"/>
    <w:rsid w:val="00CA593D"/>
    <w:rsid w:val="00CC5D11"/>
    <w:rsid w:val="00CD1505"/>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34E6D"/>
    <w:rsid w:val="00E37CD4"/>
    <w:rsid w:val="00E57848"/>
    <w:rsid w:val="00E73459"/>
    <w:rsid w:val="00E750BF"/>
    <w:rsid w:val="00E90708"/>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6C89"/>
    <w:rsid w:val="00F9158A"/>
    <w:rsid w:val="00FA29B8"/>
    <w:rsid w:val="00FC7CBC"/>
    <w:rsid w:val="00FD0F55"/>
    <w:rsid w:val="00FD3D92"/>
    <w:rsid w:val="00FF56DD"/>
    <w:rsid w:val="17239979"/>
    <w:rsid w:val="1CCCED57"/>
    <w:rsid w:val="242EF2F2"/>
    <w:rsid w:val="37648DFD"/>
    <w:rsid w:val="4684332B"/>
    <w:rsid w:val="5447F9F8"/>
    <w:rsid w:val="55918A0A"/>
    <w:rsid w:val="65B928AA"/>
    <w:rsid w:val="66E82E9E"/>
    <w:rsid w:val="7DBDF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182C59"/>
    <w:rPr>
      <w:color w:val="605E5C"/>
      <w:shd w:val="clear" w:color="auto" w:fill="E1DFDD"/>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182C59"/>
    <w:rPr>
      <w:rFonts w:ascii="Calibri" w:eastAsia="Times New Roman" w:hAnsi="Calibri" w:cs="Times New Roman"/>
      <w:sz w:val="24"/>
      <w:szCs w:val="20"/>
    </w:rPr>
  </w:style>
  <w:style w:type="table" w:customStyle="1" w:styleId="Style1">
    <w:name w:val="Style1"/>
    <w:basedOn w:val="TableNormal"/>
    <w:uiPriority w:val="99"/>
    <w:rsid w:val="00182C59"/>
    <w:pPr>
      <w:spacing w:after="0" w:line="240" w:lineRule="auto"/>
    </w:pPr>
    <w:rPr>
      <w:rFonts w:ascii="Calibri" w:eastAsia="Calibri" w:hAnsi="Calibri"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jc w:val="center"/>
      </w:pPr>
      <w:tblPr/>
      <w:tcPr>
        <w:shd w:val="clear" w:color="auto" w:fill="00797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eteor.aijw.gov.au/contemt/index.phtml/itemId/60254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hw.gov.au/WorkArea/DownloadAsset.aspx?id=6442458760.%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2024-02-28T13:00:00+00:00</Approval_x0020_Date>
    <Review_x0020_Date xmlns="690b2128-8961-48af-a473-22c34a9accba">2027-01-31T13:00:00+00:00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North, Aboriginal and Torres Strait Islander, Collection of Indigenous status, Indigenous Status Data Collection, Data Collection</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Aboriginal and Torres Strait Islander peoples-Collection of Indigenous status</Replaces_x003a_>
    <ISD_x0020_Submitted xmlns="690b2128-8961-48af-a473-22c34a9accba">Not Required</ISD_x0020_Submitted>
    <Risk_x0020_Rating xmlns="690b2128-8961-48af-a473-22c34a9accba">High</Risk_x0020_Rating>
    <Description0 xmlns="690b2128-8961-48af-a473-22c34a9accba">Aboriginal and Torres Strait Islander identification in key administrative data collections is essential to enable accurate assessment of health outcomes of, and service use by, Aboriginal and Torres Strait Islander people.</Description0>
    <Display_x0020_on_x0020_Internet xmlns="690b2128-8961-48af-a473-22c34a9accba">true</Display_x0020_on_x0020_Internet>
    <Related_x0020_Documents xmlns="690b2128-8961-48af-a473-22c34a9accba" xsi:nil="true"/>
    <Decision_x0020_Number xmlns="690b2128-8961-48af-a473-22c34a9accba">CHS24/086</Decision_x0020_Number>
    <RelatedPolicies_x002c_ProceduresGuidelines xmlns="690b2128-8961-48af-a473-22c34a9accba">
      <Value>15087</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North Canberra Hospital (NCH) – Corporate &amp; Finance – Clinical Support Services </New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8a3a0a429ce902ce229eb031e74df78">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d3a2a646d0b40e36e309a43689e00bb"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F58B0-E6BF-4237-9984-6DF2E01C04FA}">
  <ds:schemaRef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690b2128-8961-48af-a473-22c34a9accba"/>
    <ds:schemaRef ds:uri="http://schemas.microsoft.com/office/2006/documentManagement/types"/>
    <ds:schemaRef ds:uri="http://schemas.microsoft.com/office/infopath/2007/PartnerControls"/>
    <ds:schemaRef ds:uri="c0239a80-7f07-4ed7-82c3-24ad7d76ada5"/>
    <ds:schemaRef ds:uri="http://purl.org/dc/elements/1.1/"/>
  </ds:schemaRefs>
</ds:datastoreItem>
</file>

<file path=customXml/itemProps2.xml><?xml version="1.0" encoding="utf-8"?>
<ds:datastoreItem xmlns:ds="http://schemas.openxmlformats.org/officeDocument/2006/customXml" ds:itemID="{5155E597-8B12-4EA4-B622-7473EC439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Status Data Collection - North Canberra Hospital (NCH)</dc:title>
  <dc:creator>Kerryn Hunter</dc:creator>
  <cp:lastModifiedBy>Rusanov, Zoia</cp:lastModifiedBy>
  <cp:revision>5</cp:revision>
  <cp:lastPrinted>2015-01-20T22:40:00Z</cp:lastPrinted>
  <dcterms:created xsi:type="dcterms:W3CDTF">2024-02-28T23:08:00Z</dcterms:created>
  <dcterms:modified xsi:type="dcterms:W3CDTF">2025-05-16T05:36:00Z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6" name="MSIP_Label_69af8531-eb46-4968-8cb3-105d2f5ea87e_Enabled">
    <vt:lpwstr>true</vt:lpwstr>
  </property>
  <property fmtid="{D5CDD505-2E9C-101B-9397-08002B2CF9AE}" pid="7" name="MSIP_Label_69af8531-eb46-4968-8cb3-105d2f5ea87e_SetDate">
    <vt:lpwstr>2025-05-16T05:36:25Z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e9dbea0d-2e2a-4c28-96bc-c9defa3b5a82</vt:lpwstr>
  </property>
  <property fmtid="{D5CDD505-2E9C-101B-9397-08002B2CF9AE}" pid="12" name="MSIP_Label_69af8531-eb46-4968-8cb3-105d2f5ea87e_ContentBits">
    <vt:lpwstr>0</vt:lpwstr>
  </property>
  <property fmtid="{D5CDD505-2E9C-101B-9397-08002B2CF9AE}" pid="13" name="MSIP_Label_69af8531-eb46-4968-8cb3-105d2f5ea87e_Tag">
    <vt:lpwstr>10, 3, 0, 1</vt:lpwstr>
  </property>
  <property fmtid="{D5CDD505-2E9C-101B-9397-08002B2CF9AE}" pid="14"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