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B8E0" w14:textId="2CF773C4" w:rsidR="00A86A9D" w:rsidRPr="00C705C9" w:rsidRDefault="00A86A9D" w:rsidP="00A86A9D">
      <w:pPr>
        <w:rPr>
          <w:rFonts w:cs="Arial"/>
          <w:b/>
          <w:color w:val="000000"/>
          <w:sz w:val="44"/>
          <w:szCs w:val="44"/>
        </w:rPr>
      </w:pPr>
      <w:r w:rsidRPr="00C705C9">
        <w:rPr>
          <w:rFonts w:cs="Arial"/>
          <w:b/>
          <w:color w:val="000000"/>
          <w:sz w:val="44"/>
          <w:szCs w:val="44"/>
        </w:rPr>
        <w:t>Canberra Health Services</w:t>
      </w:r>
    </w:p>
    <w:p w14:paraId="3742B8E1" w14:textId="5DFF49FA" w:rsidR="00A86A9D" w:rsidRDefault="006E1B0C" w:rsidP="00A86A9D">
      <w:pPr>
        <w:rPr>
          <w:rFonts w:cs="Arial"/>
          <w:b/>
          <w:sz w:val="36"/>
          <w:szCs w:val="36"/>
        </w:rPr>
      </w:pPr>
      <w:r>
        <w:rPr>
          <w:rFonts w:cs="Arial"/>
          <w:b/>
          <w:sz w:val="44"/>
          <w:szCs w:val="44"/>
        </w:rPr>
        <w:t xml:space="preserve">Policy </w:t>
      </w:r>
    </w:p>
    <w:p w14:paraId="3742B8E2" w14:textId="5B7DBB96" w:rsidR="00A86A9D" w:rsidRPr="009902FB" w:rsidRDefault="00801AF9" w:rsidP="00A86A9D">
      <w:pPr>
        <w:rPr>
          <w:rFonts w:cs="Arial"/>
          <w:b/>
          <w:sz w:val="36"/>
          <w:szCs w:val="36"/>
        </w:rPr>
      </w:pPr>
      <w:r>
        <w:rPr>
          <w:rFonts w:cs="Arial"/>
          <w:b/>
          <w:sz w:val="36"/>
          <w:szCs w:val="36"/>
        </w:rPr>
        <w:t>Underperformance</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E4" w14:textId="77777777" w:rsidTr="009F2977">
        <w:trPr>
          <w:cantSplit/>
          <w:trHeight w:val="285"/>
        </w:trPr>
        <w:tc>
          <w:tcPr>
            <w:tcW w:w="9158" w:type="dxa"/>
            <w:shd w:val="clear" w:color="auto" w:fill="000000"/>
          </w:tcPr>
          <w:p w14:paraId="3742B8E3" w14:textId="77777777" w:rsidR="00A86A9D" w:rsidRPr="007A238D" w:rsidRDefault="00A86A9D" w:rsidP="007A238D">
            <w:pPr>
              <w:pStyle w:val="Heading1"/>
              <w:rPr>
                <w:szCs w:val="24"/>
              </w:rPr>
            </w:pPr>
            <w:r>
              <w:rPr>
                <w:szCs w:val="24"/>
              </w:rPr>
              <w:t xml:space="preserve">Policy </w:t>
            </w:r>
            <w:r w:rsidRPr="007A238D">
              <w:rPr>
                <w:szCs w:val="24"/>
              </w:rPr>
              <w:t>Statement</w:t>
            </w:r>
          </w:p>
        </w:tc>
      </w:tr>
    </w:tbl>
    <w:p w14:paraId="3742B8E5" w14:textId="77777777" w:rsidR="00A86A9D" w:rsidRDefault="00A86A9D" w:rsidP="00A86A9D">
      <w:pPr>
        <w:jc w:val="both"/>
        <w:rPr>
          <w:rFonts w:cs="Arial"/>
          <w:b/>
          <w:szCs w:val="24"/>
        </w:rPr>
      </w:pPr>
    </w:p>
    <w:p w14:paraId="3742B8F1" w14:textId="3E54B126" w:rsidR="00327552" w:rsidRDefault="00801AF9" w:rsidP="00801AF9">
      <w:pPr>
        <w:autoSpaceDE w:val="0"/>
        <w:autoSpaceDN w:val="0"/>
        <w:adjustRightInd w:val="0"/>
        <w:rPr>
          <w:rFonts w:cs="Arial"/>
          <w:szCs w:val="24"/>
        </w:rPr>
      </w:pPr>
      <w:r>
        <w:rPr>
          <w:rFonts w:cs="Arial"/>
          <w:szCs w:val="24"/>
        </w:rPr>
        <w:t xml:space="preserve">Canberra Health Services (CHS) is committed to ensuring that all instances of underperformance are managed in accordance with the provisions of the relevant Enterprise Agreements and the Public Sector Management Standards.  </w:t>
      </w:r>
    </w:p>
    <w:p w14:paraId="521CE395" w14:textId="77777777" w:rsidR="00801AF9" w:rsidRPr="00801AF9" w:rsidRDefault="00801AF9" w:rsidP="00801AF9">
      <w:pPr>
        <w:autoSpaceDE w:val="0"/>
        <w:autoSpaceDN w:val="0"/>
        <w:adjustRightInd w:val="0"/>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3" w14:textId="77777777" w:rsidTr="009F2977">
        <w:trPr>
          <w:cantSplit/>
          <w:trHeight w:val="285"/>
        </w:trPr>
        <w:tc>
          <w:tcPr>
            <w:tcW w:w="9158" w:type="dxa"/>
            <w:shd w:val="clear" w:color="auto" w:fill="000000"/>
          </w:tcPr>
          <w:p w14:paraId="3742B8F2" w14:textId="77777777" w:rsidR="00A86A9D" w:rsidRPr="007A238D" w:rsidRDefault="00A86A9D" w:rsidP="007A238D">
            <w:pPr>
              <w:pStyle w:val="Heading1"/>
              <w:rPr>
                <w:szCs w:val="24"/>
              </w:rPr>
            </w:pPr>
            <w:r w:rsidRPr="007A238D">
              <w:rPr>
                <w:szCs w:val="24"/>
              </w:rPr>
              <w:t>Purpose</w:t>
            </w:r>
          </w:p>
        </w:tc>
      </w:tr>
    </w:tbl>
    <w:p w14:paraId="3742B8F4" w14:textId="77777777" w:rsidR="00A86A9D" w:rsidRDefault="00A86A9D" w:rsidP="00A86A9D">
      <w:pPr>
        <w:jc w:val="both"/>
        <w:rPr>
          <w:rFonts w:cs="Arial"/>
          <w:b/>
          <w:szCs w:val="24"/>
        </w:rPr>
      </w:pPr>
    </w:p>
    <w:p w14:paraId="63BF7EDD" w14:textId="2D7FA262" w:rsidR="00801AF9" w:rsidRDefault="00801AF9" w:rsidP="00801AF9">
      <w:pPr>
        <w:rPr>
          <w:rFonts w:cs="Arial"/>
          <w:szCs w:val="24"/>
        </w:rPr>
      </w:pPr>
      <w:r w:rsidRPr="00217522">
        <w:rPr>
          <w:rFonts w:cs="Arial"/>
          <w:szCs w:val="24"/>
        </w:rPr>
        <w:t xml:space="preserve">The aim of the </w:t>
      </w:r>
      <w:r>
        <w:rPr>
          <w:rFonts w:cs="Arial"/>
          <w:szCs w:val="24"/>
        </w:rPr>
        <w:t>Underperformance P</w:t>
      </w:r>
      <w:r w:rsidRPr="00217522">
        <w:rPr>
          <w:rFonts w:cs="Arial"/>
          <w:szCs w:val="24"/>
        </w:rPr>
        <w:t xml:space="preserve">olicy is to ensure </w:t>
      </w:r>
      <w:r>
        <w:rPr>
          <w:rFonts w:cs="Arial"/>
          <w:szCs w:val="24"/>
        </w:rPr>
        <w:t>appropriate</w:t>
      </w:r>
      <w:r w:rsidRPr="00217522">
        <w:rPr>
          <w:rFonts w:cs="Arial"/>
          <w:szCs w:val="24"/>
        </w:rPr>
        <w:t xml:space="preserve"> </w:t>
      </w:r>
      <w:r>
        <w:rPr>
          <w:rFonts w:cs="Arial"/>
          <w:szCs w:val="24"/>
        </w:rPr>
        <w:t>management of underperformance</w:t>
      </w:r>
      <w:r w:rsidRPr="00217522">
        <w:rPr>
          <w:rFonts w:cs="Arial"/>
          <w:szCs w:val="24"/>
        </w:rPr>
        <w:t xml:space="preserve"> </w:t>
      </w:r>
      <w:r>
        <w:rPr>
          <w:rFonts w:cs="Arial"/>
          <w:szCs w:val="24"/>
        </w:rPr>
        <w:t>through:</w:t>
      </w:r>
    </w:p>
    <w:p w14:paraId="4472D1AE" w14:textId="63421005" w:rsidR="00801AF9" w:rsidRDefault="00801AF9" w:rsidP="001265B8">
      <w:pPr>
        <w:pStyle w:val="ListBullet"/>
      </w:pPr>
      <w:r w:rsidRPr="00C30412">
        <w:t>Provi</w:t>
      </w:r>
      <w:r>
        <w:t xml:space="preserve">sion of </w:t>
      </w:r>
      <w:r w:rsidRPr="00C30412">
        <w:t>advice and support to an employee whose performance is below the standard required</w:t>
      </w:r>
    </w:p>
    <w:p w14:paraId="03E2E18C" w14:textId="28E97B6C" w:rsidR="00801AF9" w:rsidRDefault="00F01D55" w:rsidP="001265B8">
      <w:pPr>
        <w:pStyle w:val="ListBullet"/>
      </w:pPr>
      <w:r>
        <w:t xml:space="preserve">Establishment of a </w:t>
      </w:r>
      <w:r w:rsidR="00801AF9" w:rsidRPr="00C30412">
        <w:t xml:space="preserve">fair, </w:t>
      </w:r>
      <w:proofErr w:type="gramStart"/>
      <w:r w:rsidR="00801AF9" w:rsidRPr="00C30412">
        <w:t>prompt</w:t>
      </w:r>
      <w:proofErr w:type="gramEnd"/>
      <w:r w:rsidR="00801AF9" w:rsidRPr="00C30412">
        <w:t xml:space="preserve"> and transparent framework for action to be taken where an employee continues to perform below the expected standard</w:t>
      </w:r>
      <w:r w:rsidR="00801AF9">
        <w:t xml:space="preserve"> </w:t>
      </w:r>
    </w:p>
    <w:p w14:paraId="31F36977" w14:textId="24AF75F4" w:rsidR="00801AF9" w:rsidRPr="00C30412" w:rsidRDefault="00F01D55" w:rsidP="001265B8">
      <w:pPr>
        <w:pStyle w:val="ListBullet"/>
      </w:pPr>
      <w:r>
        <w:t>Delivery of</w:t>
      </w:r>
      <w:r w:rsidR="00801AF9">
        <w:t xml:space="preserve"> a process that gives d</w:t>
      </w:r>
      <w:r w:rsidR="00801AF9" w:rsidRPr="00C30412">
        <w:t xml:space="preserve">ue regard to procedural fairness, natural justice, </w:t>
      </w:r>
      <w:proofErr w:type="gramStart"/>
      <w:r w:rsidR="00801AF9" w:rsidRPr="00C30412">
        <w:t>confidentiality</w:t>
      </w:r>
      <w:proofErr w:type="gramEnd"/>
      <w:r w:rsidR="00801AF9" w:rsidRPr="00C30412">
        <w:t xml:space="preserve"> and privacy.  </w:t>
      </w:r>
    </w:p>
    <w:p w14:paraId="6221B725" w14:textId="77777777" w:rsidR="00801AF9" w:rsidRDefault="00801AF9" w:rsidP="00801AF9">
      <w:pPr>
        <w:autoSpaceDE w:val="0"/>
        <w:autoSpaceDN w:val="0"/>
        <w:adjustRightInd w:val="0"/>
        <w:rPr>
          <w:rFonts w:cs="Arial"/>
          <w:szCs w:val="24"/>
        </w:rPr>
      </w:pPr>
    </w:p>
    <w:p w14:paraId="427BFA22" w14:textId="2E6E5829" w:rsidR="00801AF9" w:rsidRPr="00D21470" w:rsidRDefault="00801AF9" w:rsidP="00801AF9">
      <w:pPr>
        <w:autoSpaceDE w:val="0"/>
        <w:autoSpaceDN w:val="0"/>
        <w:adjustRightInd w:val="0"/>
        <w:rPr>
          <w:rFonts w:cs="Arial"/>
          <w:szCs w:val="24"/>
        </w:rPr>
      </w:pPr>
      <w:r>
        <w:rPr>
          <w:rFonts w:cs="Arial"/>
          <w:szCs w:val="24"/>
        </w:rPr>
        <w:t>This will help c</w:t>
      </w:r>
      <w:r w:rsidRPr="00D21470">
        <w:rPr>
          <w:rFonts w:cs="Arial"/>
          <w:szCs w:val="24"/>
        </w:rPr>
        <w:t>reat</w:t>
      </w:r>
      <w:r>
        <w:rPr>
          <w:rFonts w:cs="Arial"/>
          <w:szCs w:val="24"/>
        </w:rPr>
        <w:t xml:space="preserve">e </w:t>
      </w:r>
      <w:r w:rsidRPr="00D21470">
        <w:rPr>
          <w:rFonts w:cs="Arial"/>
          <w:szCs w:val="24"/>
        </w:rPr>
        <w:t xml:space="preserve">an environment of </w:t>
      </w:r>
      <w:r w:rsidR="00F01D55">
        <w:rPr>
          <w:rFonts w:cs="Arial"/>
          <w:szCs w:val="24"/>
        </w:rPr>
        <w:t xml:space="preserve">clarity on work </w:t>
      </w:r>
      <w:proofErr w:type="spellStart"/>
      <w:r w:rsidR="00F01D55">
        <w:rPr>
          <w:rFonts w:cs="Arial"/>
          <w:szCs w:val="24"/>
        </w:rPr>
        <w:t>stadards</w:t>
      </w:r>
      <w:proofErr w:type="spellEnd"/>
      <w:r w:rsidR="00F01D55">
        <w:rPr>
          <w:rFonts w:cs="Arial"/>
          <w:szCs w:val="24"/>
        </w:rPr>
        <w:t xml:space="preserve"> and its management, resulting in </w:t>
      </w:r>
      <w:r w:rsidRPr="00D21470">
        <w:rPr>
          <w:rFonts w:cs="Arial"/>
          <w:szCs w:val="24"/>
        </w:rPr>
        <w:t>high work standard</w:t>
      </w:r>
      <w:r>
        <w:rPr>
          <w:rFonts w:cs="Arial"/>
          <w:szCs w:val="24"/>
        </w:rPr>
        <w:t xml:space="preserve">s in CHS and ensure </w:t>
      </w:r>
      <w:r w:rsidRPr="00D21470">
        <w:rPr>
          <w:rFonts w:cs="Arial"/>
          <w:szCs w:val="24"/>
        </w:rPr>
        <w:t xml:space="preserve">a high level of public </w:t>
      </w:r>
      <w:r>
        <w:rPr>
          <w:rFonts w:cs="Arial"/>
          <w:szCs w:val="24"/>
        </w:rPr>
        <w:t>confidence in</w:t>
      </w:r>
      <w:r w:rsidRPr="00D21470">
        <w:rPr>
          <w:rFonts w:cs="Arial"/>
          <w:szCs w:val="24"/>
        </w:rPr>
        <w:t xml:space="preserve"> </w:t>
      </w:r>
      <w:r>
        <w:rPr>
          <w:rFonts w:cs="Arial"/>
          <w:szCs w:val="24"/>
        </w:rPr>
        <w:t>CHS</w:t>
      </w:r>
      <w:r w:rsidRPr="00D21470">
        <w:rPr>
          <w:rFonts w:cs="Arial"/>
          <w:szCs w:val="24"/>
        </w:rPr>
        <w:t xml:space="preserve"> and the ACT Public Service as a whole</w:t>
      </w:r>
      <w:r>
        <w:rPr>
          <w:rFonts w:cs="Arial"/>
          <w:szCs w:val="24"/>
        </w:rPr>
        <w:t xml:space="preserve">. </w:t>
      </w:r>
    </w:p>
    <w:p w14:paraId="2937AF36" w14:textId="77777777" w:rsidR="00801AF9" w:rsidRDefault="00801AF9" w:rsidP="00801AF9">
      <w:pPr>
        <w:rPr>
          <w:rFonts w:cs="Arial"/>
          <w:szCs w:val="24"/>
        </w:rPr>
      </w:pPr>
    </w:p>
    <w:p w14:paraId="584981AF" w14:textId="310F8A49" w:rsidR="00801AF9" w:rsidRDefault="00801AF9" w:rsidP="00801AF9">
      <w:pPr>
        <w:rPr>
          <w:rFonts w:cs="Arial"/>
          <w:szCs w:val="24"/>
        </w:rPr>
      </w:pPr>
      <w:r>
        <w:rPr>
          <w:rFonts w:cs="Arial"/>
          <w:szCs w:val="24"/>
        </w:rPr>
        <w:t xml:space="preserve">Procedures to be followed to meet the objectives of this policy are detailed in the </w:t>
      </w:r>
      <w:hyperlink r:id="rId11" w:history="1">
        <w:r w:rsidRPr="00801AF9">
          <w:rPr>
            <w:rStyle w:val="Hyperlink"/>
            <w:rFonts w:cs="Arial"/>
            <w:szCs w:val="24"/>
          </w:rPr>
          <w:t>ACT Public Sector Enterprise Agreements 2018-2021</w:t>
        </w:r>
      </w:hyperlink>
      <w:r>
        <w:rPr>
          <w:rFonts w:cs="Arial"/>
          <w:szCs w:val="24"/>
        </w:rPr>
        <w:t xml:space="preserve">, together with the </w:t>
      </w:r>
      <w:hyperlink r:id="rId12" w:history="1">
        <w:r w:rsidRPr="00C671D3">
          <w:rPr>
            <w:rStyle w:val="Hyperlink"/>
            <w:rFonts w:cs="Arial"/>
            <w:szCs w:val="24"/>
          </w:rPr>
          <w:t>Public Sector Management Standards 2016</w:t>
        </w:r>
      </w:hyperlink>
      <w:r>
        <w:rPr>
          <w:rFonts w:cs="Arial"/>
          <w:szCs w:val="24"/>
        </w:rPr>
        <w:t>.</w:t>
      </w:r>
    </w:p>
    <w:p w14:paraId="3742B8F6" w14:textId="77777777" w:rsidR="00A86A9D" w:rsidRDefault="00A86A9D" w:rsidP="00A86A9D">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8" w14:textId="77777777" w:rsidTr="009F2977">
        <w:trPr>
          <w:cantSplit/>
          <w:trHeight w:val="285"/>
        </w:trPr>
        <w:tc>
          <w:tcPr>
            <w:tcW w:w="9158" w:type="dxa"/>
            <w:shd w:val="clear" w:color="auto" w:fill="000000"/>
          </w:tcPr>
          <w:p w14:paraId="3742B8F7" w14:textId="77777777" w:rsidR="00A86A9D" w:rsidRPr="001502DF" w:rsidRDefault="00A86A9D" w:rsidP="007A238D">
            <w:pPr>
              <w:pStyle w:val="Heading1"/>
              <w:rPr>
                <w:b w:val="0"/>
                <w:szCs w:val="24"/>
              </w:rPr>
            </w:pPr>
            <w:r w:rsidRPr="001502DF">
              <w:rPr>
                <w:szCs w:val="24"/>
              </w:rPr>
              <w:t>Scope</w:t>
            </w:r>
          </w:p>
        </w:tc>
      </w:tr>
    </w:tbl>
    <w:p w14:paraId="3742B8F9" w14:textId="77777777" w:rsidR="00A86A9D" w:rsidRDefault="00A86A9D" w:rsidP="00A86A9D">
      <w:pPr>
        <w:jc w:val="both"/>
        <w:rPr>
          <w:rFonts w:cs="Arial"/>
          <w:b/>
          <w:szCs w:val="24"/>
        </w:rPr>
      </w:pPr>
    </w:p>
    <w:p w14:paraId="4836F138" w14:textId="77777777" w:rsidR="005C44F1" w:rsidRDefault="00801AF9" w:rsidP="00801AF9">
      <w:pPr>
        <w:rPr>
          <w:rFonts w:cs="Arial"/>
          <w:szCs w:val="24"/>
        </w:rPr>
      </w:pPr>
      <w:r w:rsidRPr="007A3306">
        <w:rPr>
          <w:rFonts w:cs="Arial"/>
          <w:szCs w:val="24"/>
        </w:rPr>
        <w:t xml:space="preserve">This </w:t>
      </w:r>
      <w:r>
        <w:rPr>
          <w:rFonts w:cs="Arial"/>
          <w:szCs w:val="24"/>
        </w:rPr>
        <w:t>policy applies to all CHS employees covered by ACT Public Sector Enterprise Agreements</w:t>
      </w:r>
      <w:r w:rsidRPr="007A3306">
        <w:rPr>
          <w:rFonts w:cs="Arial"/>
          <w:szCs w:val="24"/>
        </w:rPr>
        <w:t xml:space="preserve">, </w:t>
      </w:r>
      <w:r>
        <w:rPr>
          <w:rFonts w:cs="Arial"/>
          <w:szCs w:val="24"/>
        </w:rPr>
        <w:t>apart from</w:t>
      </w:r>
      <w:r w:rsidRPr="007A3306">
        <w:rPr>
          <w:rFonts w:cs="Arial"/>
          <w:szCs w:val="24"/>
        </w:rPr>
        <w:t xml:space="preserve"> casual employees</w:t>
      </w:r>
      <w:r>
        <w:rPr>
          <w:rFonts w:cs="Arial"/>
          <w:szCs w:val="24"/>
        </w:rPr>
        <w:t>.</w:t>
      </w:r>
      <w:r w:rsidR="005C44F1">
        <w:rPr>
          <w:rFonts w:cs="Arial"/>
          <w:szCs w:val="24"/>
        </w:rPr>
        <w:t xml:space="preserve">  </w:t>
      </w:r>
    </w:p>
    <w:p w14:paraId="2D06A51E" w14:textId="77777777" w:rsidR="005C44F1" w:rsidRDefault="005C44F1" w:rsidP="00801AF9">
      <w:pPr>
        <w:rPr>
          <w:rFonts w:cs="Arial"/>
          <w:szCs w:val="24"/>
        </w:rPr>
      </w:pPr>
    </w:p>
    <w:p w14:paraId="6B104249" w14:textId="7ED0D84B" w:rsidR="00801AF9" w:rsidRDefault="005C44F1" w:rsidP="00801AF9">
      <w:pPr>
        <w:rPr>
          <w:rFonts w:cs="Arial"/>
          <w:szCs w:val="24"/>
        </w:rPr>
      </w:pPr>
      <w:r>
        <w:rPr>
          <w:rFonts w:cs="Arial"/>
          <w:szCs w:val="24"/>
        </w:rPr>
        <w:t xml:space="preserve">Casual employees are engaged </w:t>
      </w:r>
      <w:proofErr w:type="gramStart"/>
      <w:r>
        <w:rPr>
          <w:rFonts w:cs="Arial"/>
          <w:szCs w:val="24"/>
        </w:rPr>
        <w:t>on a daily basis</w:t>
      </w:r>
      <w:proofErr w:type="gramEnd"/>
      <w:r>
        <w:rPr>
          <w:rFonts w:cs="Arial"/>
          <w:szCs w:val="24"/>
        </w:rPr>
        <w:t xml:space="preserve"> and therefore different rules relating to workplace performance apply to them.  People &amp; Culture (P&amp;C) issues an </w:t>
      </w:r>
      <w:hyperlink r:id="rId13" w:history="1">
        <w:r w:rsidRPr="005C44F1">
          <w:rPr>
            <w:rStyle w:val="Hyperlink"/>
            <w:rFonts w:cs="Arial"/>
            <w:szCs w:val="24"/>
          </w:rPr>
          <w:t>Underperformance Factsheet</w:t>
        </w:r>
      </w:hyperlink>
      <w:r>
        <w:rPr>
          <w:rFonts w:cs="Arial"/>
          <w:szCs w:val="24"/>
        </w:rPr>
        <w:t xml:space="preserve"> which clarifies that managers should contact P&amp;C for advice about managing casual employees’ performance.</w:t>
      </w:r>
    </w:p>
    <w:p w14:paraId="3742B8FD" w14:textId="77777777" w:rsidR="00A86A9D" w:rsidRDefault="00A86A9D" w:rsidP="00A86A9D">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F" w14:textId="77777777" w:rsidTr="009F2977">
        <w:trPr>
          <w:cantSplit/>
          <w:trHeight w:val="285"/>
        </w:trPr>
        <w:tc>
          <w:tcPr>
            <w:tcW w:w="9158" w:type="dxa"/>
            <w:shd w:val="clear" w:color="auto" w:fill="000000"/>
          </w:tcPr>
          <w:p w14:paraId="3742B8FE" w14:textId="77777777" w:rsidR="00A86A9D" w:rsidRPr="001502DF" w:rsidRDefault="00A86A9D" w:rsidP="007A238D">
            <w:pPr>
              <w:pStyle w:val="Heading1"/>
              <w:rPr>
                <w:b w:val="0"/>
                <w:szCs w:val="24"/>
              </w:rPr>
            </w:pPr>
            <w:r>
              <w:rPr>
                <w:szCs w:val="24"/>
              </w:rPr>
              <w:lastRenderedPageBreak/>
              <w:t>Roles &amp; Responsibilities</w:t>
            </w:r>
          </w:p>
        </w:tc>
      </w:tr>
    </w:tbl>
    <w:p w14:paraId="7B4F96E1" w14:textId="77777777" w:rsidR="00801AF9" w:rsidRPr="00064F5E" w:rsidRDefault="00A86A9D" w:rsidP="00801AF9">
      <w:pPr>
        <w:outlineLvl w:val="0"/>
        <w:rPr>
          <w:szCs w:val="24"/>
        </w:rPr>
      </w:pPr>
      <w:r w:rsidRPr="0080485B">
        <w:rPr>
          <w:rFonts w:cs="Arial"/>
          <w:b/>
          <w:szCs w:val="24"/>
        </w:rPr>
        <w:br/>
      </w:r>
      <w:r w:rsidR="00801AF9" w:rsidRPr="00064F5E">
        <w:rPr>
          <w:szCs w:val="24"/>
          <w:u w:val="single"/>
        </w:rPr>
        <w:t>All staff</w:t>
      </w:r>
      <w:r w:rsidR="00801AF9" w:rsidRPr="00E82F1F">
        <w:rPr>
          <w:szCs w:val="24"/>
        </w:rPr>
        <w:t xml:space="preserve"> </w:t>
      </w:r>
      <w:r w:rsidR="00801AF9">
        <w:rPr>
          <w:szCs w:val="24"/>
        </w:rPr>
        <w:t>should f</w:t>
      </w:r>
      <w:r w:rsidR="00801AF9" w:rsidRPr="00064F5E">
        <w:rPr>
          <w:szCs w:val="24"/>
        </w:rPr>
        <w:t xml:space="preserve">amiliarise themselves with </w:t>
      </w:r>
      <w:r w:rsidR="00801AF9">
        <w:rPr>
          <w:szCs w:val="24"/>
        </w:rPr>
        <w:t>the relevant provisions of the Enterprise Agreement that relate to their employment and workplace.</w:t>
      </w:r>
    </w:p>
    <w:p w14:paraId="375C2A07" w14:textId="77777777" w:rsidR="00801AF9" w:rsidRDefault="00801AF9" w:rsidP="00801AF9">
      <w:pPr>
        <w:autoSpaceDE w:val="0"/>
        <w:autoSpaceDN w:val="0"/>
        <w:adjustRightInd w:val="0"/>
        <w:rPr>
          <w:rFonts w:cs="Arial"/>
          <w:szCs w:val="24"/>
        </w:rPr>
      </w:pPr>
    </w:p>
    <w:p w14:paraId="65C524C9" w14:textId="60F9ABA9" w:rsidR="00801AF9" w:rsidRPr="00217522" w:rsidRDefault="00801AF9" w:rsidP="00801AF9">
      <w:pPr>
        <w:autoSpaceDE w:val="0"/>
        <w:autoSpaceDN w:val="0"/>
        <w:adjustRightInd w:val="0"/>
        <w:rPr>
          <w:rFonts w:cs="Arial"/>
          <w:szCs w:val="24"/>
        </w:rPr>
      </w:pPr>
      <w:r>
        <w:rPr>
          <w:rFonts w:cs="Arial"/>
          <w:szCs w:val="24"/>
        </w:rPr>
        <w:t>W</w:t>
      </w:r>
      <w:r w:rsidRPr="00157F0B">
        <w:rPr>
          <w:rFonts w:cs="Arial"/>
          <w:szCs w:val="24"/>
        </w:rPr>
        <w:t>here</w:t>
      </w:r>
      <w:r w:rsidR="00F01D55">
        <w:rPr>
          <w:rFonts w:cs="Arial"/>
          <w:szCs w:val="24"/>
        </w:rPr>
        <w:t xml:space="preserve"> feedback on underperformance,</w:t>
      </w:r>
      <w:r>
        <w:rPr>
          <w:rFonts w:cs="Arial"/>
          <w:szCs w:val="24"/>
        </w:rPr>
        <w:t xml:space="preserve"> advice and support has been provided to an employee, but the</w:t>
      </w:r>
      <w:r w:rsidRPr="00157F0B">
        <w:rPr>
          <w:rFonts w:cs="Arial"/>
          <w:szCs w:val="24"/>
        </w:rPr>
        <w:t xml:space="preserve"> employee continues to perform below </w:t>
      </w:r>
      <w:r>
        <w:rPr>
          <w:rFonts w:cs="Arial"/>
          <w:szCs w:val="24"/>
        </w:rPr>
        <w:t xml:space="preserve">the </w:t>
      </w:r>
      <w:r w:rsidRPr="00157F0B">
        <w:rPr>
          <w:rFonts w:cs="Arial"/>
          <w:szCs w:val="24"/>
        </w:rPr>
        <w:t>expected standard</w:t>
      </w:r>
      <w:r>
        <w:rPr>
          <w:rFonts w:cs="Arial"/>
          <w:szCs w:val="24"/>
        </w:rPr>
        <w:t>, the following roles and responsibilities apply.</w:t>
      </w:r>
    </w:p>
    <w:p w14:paraId="57210F7B" w14:textId="77777777" w:rsidR="00801AF9" w:rsidRDefault="00801AF9" w:rsidP="00801AF9">
      <w:pPr>
        <w:rPr>
          <w:rFonts w:cs="Arial"/>
          <w:b/>
          <w:szCs w:val="24"/>
        </w:rPr>
      </w:pPr>
    </w:p>
    <w:p w14:paraId="2A5BC112" w14:textId="77777777" w:rsidR="00801AF9" w:rsidRDefault="00801AF9" w:rsidP="00801AF9">
      <w:pPr>
        <w:rPr>
          <w:rFonts w:cs="Arial"/>
          <w:szCs w:val="24"/>
        </w:rPr>
      </w:pPr>
      <w:r w:rsidRPr="00AB4488">
        <w:rPr>
          <w:rFonts w:cs="Arial"/>
          <w:szCs w:val="24"/>
          <w:u w:val="single"/>
        </w:rPr>
        <w:t xml:space="preserve">The </w:t>
      </w:r>
      <w:r>
        <w:rPr>
          <w:rFonts w:cs="Arial"/>
          <w:szCs w:val="24"/>
          <w:u w:val="single"/>
        </w:rPr>
        <w:t>e</w:t>
      </w:r>
      <w:r w:rsidRPr="00AB4488">
        <w:rPr>
          <w:rFonts w:cs="Arial"/>
          <w:szCs w:val="24"/>
          <w:u w:val="single"/>
        </w:rPr>
        <w:t>mployee</w:t>
      </w:r>
      <w:r>
        <w:rPr>
          <w:rFonts w:cs="Arial"/>
          <w:szCs w:val="24"/>
        </w:rPr>
        <w:t xml:space="preserve"> should:</w:t>
      </w:r>
    </w:p>
    <w:p w14:paraId="1D0A8BC9" w14:textId="7A4CDFB6" w:rsidR="00801AF9" w:rsidRDefault="00801AF9" w:rsidP="001265B8">
      <w:pPr>
        <w:pStyle w:val="ListBullet"/>
      </w:pPr>
      <w:r>
        <w:t>Work with their manager to develop an agreed Action Plan</w:t>
      </w:r>
    </w:p>
    <w:p w14:paraId="38A152FF" w14:textId="722F53A8" w:rsidR="00801AF9" w:rsidRDefault="00801AF9" w:rsidP="001265B8">
      <w:pPr>
        <w:pStyle w:val="ListBullet"/>
      </w:pPr>
      <w:r>
        <w:t>E</w:t>
      </w:r>
      <w:r w:rsidRPr="00740F91">
        <w:t>nsur</w:t>
      </w:r>
      <w:r>
        <w:t>e</w:t>
      </w:r>
      <w:r w:rsidRPr="00740F91">
        <w:t xml:space="preserve"> </w:t>
      </w:r>
      <w:r>
        <w:t>their performance is of an acceptable standard as agreed in the Action Plan</w:t>
      </w:r>
    </w:p>
    <w:p w14:paraId="1FF9C439" w14:textId="77777777" w:rsidR="00801AF9" w:rsidRPr="00740F91" w:rsidRDefault="00801AF9" w:rsidP="001265B8">
      <w:pPr>
        <w:pStyle w:val="ListBullet"/>
      </w:pPr>
      <w:r>
        <w:t xml:space="preserve">Follow all reasonable directions issued </w:t>
      </w:r>
      <w:proofErr w:type="gramStart"/>
      <w:r>
        <w:t>during the course of</w:t>
      </w:r>
      <w:proofErr w:type="gramEnd"/>
      <w:r>
        <w:t xml:space="preserve"> the underperformance process.</w:t>
      </w:r>
    </w:p>
    <w:p w14:paraId="4BE99267" w14:textId="77777777" w:rsidR="00801AF9" w:rsidRDefault="00801AF9" w:rsidP="00801AF9">
      <w:pPr>
        <w:rPr>
          <w:rFonts w:cs="Arial"/>
          <w:szCs w:val="24"/>
        </w:rPr>
      </w:pPr>
    </w:p>
    <w:p w14:paraId="5AA24F22" w14:textId="77777777" w:rsidR="00801AF9" w:rsidRPr="00835075" w:rsidRDefault="00801AF9" w:rsidP="00801AF9">
      <w:pPr>
        <w:rPr>
          <w:rFonts w:cs="Arial"/>
          <w:szCs w:val="24"/>
        </w:rPr>
      </w:pPr>
      <w:r w:rsidRPr="00835075">
        <w:rPr>
          <w:rFonts w:cs="Arial"/>
          <w:szCs w:val="24"/>
          <w:u w:val="single"/>
        </w:rPr>
        <w:t xml:space="preserve">The </w:t>
      </w:r>
      <w:r>
        <w:rPr>
          <w:rFonts w:cs="Arial"/>
          <w:szCs w:val="24"/>
          <w:u w:val="single"/>
        </w:rPr>
        <w:t>m</w:t>
      </w:r>
      <w:r w:rsidRPr="00835075">
        <w:rPr>
          <w:rFonts w:cs="Arial"/>
          <w:szCs w:val="24"/>
          <w:u w:val="single"/>
        </w:rPr>
        <w:t>anager</w:t>
      </w:r>
      <w:r w:rsidRPr="00835075">
        <w:rPr>
          <w:rFonts w:cs="Arial"/>
          <w:szCs w:val="24"/>
        </w:rPr>
        <w:t xml:space="preserve"> is responsible for managing the underperformance process in a way that is consistent with the provisions of the relevant Enterprise Agreement, including:</w:t>
      </w:r>
    </w:p>
    <w:p w14:paraId="1FC2C3C3" w14:textId="1CA94EB1" w:rsidR="00801AF9" w:rsidRDefault="00801AF9" w:rsidP="001265B8">
      <w:pPr>
        <w:pStyle w:val="ListBullet"/>
      </w:pPr>
      <w:r>
        <w:t>Properly documenting all stages of the process</w:t>
      </w:r>
    </w:p>
    <w:p w14:paraId="0DDCE5B6" w14:textId="7E643FF1" w:rsidR="00801AF9" w:rsidRDefault="00801AF9" w:rsidP="001265B8">
      <w:pPr>
        <w:pStyle w:val="ListBullet"/>
      </w:pPr>
      <w:r w:rsidRPr="00835075">
        <w:t xml:space="preserve">Raising concerns </w:t>
      </w:r>
      <w:r w:rsidR="002C52AF">
        <w:t>with</w:t>
      </w:r>
      <w:r w:rsidR="00F01D55">
        <w:t xml:space="preserve"> the employee </w:t>
      </w:r>
      <w:r w:rsidRPr="00835075">
        <w:t>about underperformance at the time they arise</w:t>
      </w:r>
    </w:p>
    <w:p w14:paraId="57BBF1F9" w14:textId="622B4BEB" w:rsidR="00F01D55" w:rsidRDefault="00F01D55" w:rsidP="001265B8">
      <w:pPr>
        <w:pStyle w:val="ListBullet"/>
      </w:pPr>
      <w:r>
        <w:t xml:space="preserve">Clearly outlining the issues, listening to the feedback of the </w:t>
      </w:r>
      <w:proofErr w:type="gramStart"/>
      <w:r>
        <w:t>employee</w:t>
      </w:r>
      <w:proofErr w:type="gramEnd"/>
      <w:r>
        <w:t xml:space="preserve"> and developing an improvement plan together that includes timelines and outcomes</w:t>
      </w:r>
    </w:p>
    <w:p w14:paraId="6E6530BC" w14:textId="66F5FBA8" w:rsidR="00801AF9" w:rsidRPr="00AD6C1F" w:rsidRDefault="00801AF9" w:rsidP="001265B8">
      <w:pPr>
        <w:pStyle w:val="ListBullet"/>
      </w:pPr>
      <w:r w:rsidRPr="00AD6C1F">
        <w:t>Informing the employee that the matter may be escalated if their performance does not improve</w:t>
      </w:r>
      <w:r w:rsidR="00F01D55">
        <w:t xml:space="preserve"> in the agreed timeframe</w:t>
      </w:r>
    </w:p>
    <w:p w14:paraId="3B0B9049" w14:textId="203094B6" w:rsidR="00801AF9" w:rsidRPr="00AD6C1F" w:rsidRDefault="00F01D55" w:rsidP="001265B8">
      <w:pPr>
        <w:pStyle w:val="ListBullet"/>
      </w:pPr>
      <w:r>
        <w:t>I</w:t>
      </w:r>
      <w:r w:rsidRPr="00AD6C1F">
        <w:t>nform</w:t>
      </w:r>
      <w:r>
        <w:t>ing</w:t>
      </w:r>
      <w:r w:rsidRPr="00AD6C1F">
        <w:t xml:space="preserve"> the employee in writing </w:t>
      </w:r>
      <w:r>
        <w:t>of an ongoing assessment and the reasons for it</w:t>
      </w:r>
      <w:r w:rsidR="001E6E04">
        <w:t xml:space="preserve"> </w:t>
      </w:r>
      <w:r>
        <w:t>when</w:t>
      </w:r>
      <w:r w:rsidRPr="00AD6C1F">
        <w:t xml:space="preserve"> </w:t>
      </w:r>
      <w:r w:rsidR="00801AF9">
        <w:t>the</w:t>
      </w:r>
      <w:r w:rsidR="00801AF9" w:rsidRPr="00AD6C1F">
        <w:t xml:space="preserve"> manager assesses that an employee’s work performance continues to be below expected standards</w:t>
      </w:r>
    </w:p>
    <w:p w14:paraId="45AB2140" w14:textId="2C013097" w:rsidR="00801AF9" w:rsidRPr="00835075" w:rsidRDefault="00801AF9" w:rsidP="001265B8">
      <w:pPr>
        <w:pStyle w:val="ListBullet"/>
      </w:pPr>
      <w:r w:rsidRPr="00AD6C1F">
        <w:t>Working</w:t>
      </w:r>
      <w:r w:rsidRPr="00835075">
        <w:t xml:space="preserve"> with the employee to develop an agreed </w:t>
      </w:r>
      <w:r>
        <w:t>Action Plan</w:t>
      </w:r>
    </w:p>
    <w:p w14:paraId="51278132" w14:textId="44B1CC6C" w:rsidR="00801AF9" w:rsidRPr="00835075" w:rsidRDefault="00801AF9" w:rsidP="001265B8">
      <w:pPr>
        <w:pStyle w:val="ListBullet"/>
      </w:pPr>
      <w:r w:rsidRPr="00835075">
        <w:t xml:space="preserve">Monitoring the employee’s performance, as agreed in the </w:t>
      </w:r>
      <w:r>
        <w:t>Action Plan</w:t>
      </w:r>
    </w:p>
    <w:p w14:paraId="7394390C" w14:textId="73FC3495" w:rsidR="00801AF9" w:rsidRPr="00835075" w:rsidRDefault="00801AF9" w:rsidP="001265B8">
      <w:pPr>
        <w:pStyle w:val="ListBullet"/>
      </w:pPr>
      <w:r w:rsidRPr="00835075">
        <w:t>Reviewing that performance with the employee</w:t>
      </w:r>
    </w:p>
    <w:p w14:paraId="185D720E" w14:textId="2D7A20CE" w:rsidR="00801AF9" w:rsidRPr="00835075" w:rsidRDefault="00801AF9" w:rsidP="001265B8">
      <w:pPr>
        <w:pStyle w:val="ListBullet"/>
      </w:pPr>
      <w:r w:rsidRPr="00835075">
        <w:t xml:space="preserve">Ensuring that the employee is aware that they may have a </w:t>
      </w:r>
      <w:r>
        <w:t xml:space="preserve">support person or </w:t>
      </w:r>
      <w:r w:rsidRPr="00835075">
        <w:t>representative present</w:t>
      </w:r>
      <w:r>
        <w:t xml:space="preserve"> at meetings related to the underperformance process</w:t>
      </w:r>
    </w:p>
    <w:p w14:paraId="53ED3DC1" w14:textId="41494F3C" w:rsidR="00801AF9" w:rsidRPr="00835075" w:rsidRDefault="00801AF9" w:rsidP="001265B8">
      <w:pPr>
        <w:pStyle w:val="ListBullet"/>
      </w:pPr>
      <w:r w:rsidRPr="00835075">
        <w:t xml:space="preserve">Ensuring the employee </w:t>
      </w:r>
      <w:proofErr w:type="gramStart"/>
      <w:r w:rsidRPr="00835075">
        <w:t>has the opportunity to</w:t>
      </w:r>
      <w:proofErr w:type="gramEnd"/>
      <w:r w:rsidRPr="00835075">
        <w:t xml:space="preserve"> respond to any issues</w:t>
      </w:r>
    </w:p>
    <w:p w14:paraId="4F66F792" w14:textId="347186D1" w:rsidR="00801AF9" w:rsidRPr="00835075" w:rsidRDefault="00801AF9" w:rsidP="001265B8">
      <w:pPr>
        <w:pStyle w:val="ListBullet"/>
      </w:pPr>
      <w:r w:rsidRPr="00835075">
        <w:t>Properly documenting all stages of the process</w:t>
      </w:r>
    </w:p>
    <w:p w14:paraId="2C428DAF" w14:textId="657612F9" w:rsidR="00801AF9" w:rsidRPr="00F01D55" w:rsidRDefault="00F01D55" w:rsidP="005C44F1">
      <w:pPr>
        <w:pStyle w:val="ListBullet"/>
        <w:rPr>
          <w:rFonts w:cs="Arial"/>
          <w:szCs w:val="24"/>
        </w:rPr>
      </w:pPr>
      <w:r w:rsidRPr="00F01D55">
        <w:t xml:space="preserve">Informing the employee in writing if at the end of the process their performance is assessed as </w:t>
      </w:r>
      <w:r w:rsidR="002C52AF">
        <w:t xml:space="preserve">satisfactory or </w:t>
      </w:r>
      <w:r>
        <w:t>un</w:t>
      </w:r>
      <w:r w:rsidRPr="00F01D55">
        <w:t xml:space="preserve">satisfactory and </w:t>
      </w:r>
      <w:r w:rsidR="002C52AF">
        <w:t xml:space="preserve">if the latter, </w:t>
      </w:r>
      <w:r>
        <w:t>p</w:t>
      </w:r>
      <w:r w:rsidR="00801AF9" w:rsidRPr="00A47AAB">
        <w:t xml:space="preserve">reparing a report to the </w:t>
      </w:r>
      <w:r w:rsidR="002C52AF">
        <w:t>Chief Executive Officer (</w:t>
      </w:r>
      <w:r w:rsidR="003918FC">
        <w:t>CEO</w:t>
      </w:r>
      <w:r w:rsidR="002C52AF">
        <w:t>)</w:t>
      </w:r>
      <w:r w:rsidR="00801AF9" w:rsidRPr="00A47AAB">
        <w:t xml:space="preserve"> or their </w:t>
      </w:r>
      <w:r w:rsidR="00801AF9">
        <w:t>d</w:t>
      </w:r>
      <w:r w:rsidR="00801AF9" w:rsidRPr="00A47AAB">
        <w:t xml:space="preserve">elegate </w:t>
      </w:r>
    </w:p>
    <w:p w14:paraId="5BE89EDF" w14:textId="77777777" w:rsidR="005C44F1" w:rsidRDefault="005C44F1" w:rsidP="00801AF9">
      <w:pPr>
        <w:rPr>
          <w:rFonts w:cs="Arial"/>
          <w:szCs w:val="24"/>
          <w:u w:val="single"/>
        </w:rPr>
      </w:pPr>
    </w:p>
    <w:p w14:paraId="10424F57" w14:textId="72F92AB7" w:rsidR="00801AF9" w:rsidRPr="00163258" w:rsidRDefault="00801AF9" w:rsidP="00801AF9">
      <w:pPr>
        <w:rPr>
          <w:rFonts w:cs="Arial"/>
          <w:szCs w:val="24"/>
        </w:rPr>
      </w:pPr>
      <w:r w:rsidRPr="00163258">
        <w:rPr>
          <w:rFonts w:cs="Arial"/>
          <w:szCs w:val="24"/>
          <w:u w:val="single"/>
        </w:rPr>
        <w:t xml:space="preserve">The </w:t>
      </w:r>
      <w:r w:rsidR="003918FC">
        <w:rPr>
          <w:rFonts w:cs="Arial"/>
          <w:szCs w:val="24"/>
          <w:u w:val="single"/>
        </w:rPr>
        <w:t>CEO</w:t>
      </w:r>
      <w:r w:rsidRPr="00163258">
        <w:rPr>
          <w:rFonts w:cs="Arial"/>
          <w:szCs w:val="24"/>
          <w:u w:val="single"/>
        </w:rPr>
        <w:t xml:space="preserve"> </w:t>
      </w:r>
      <w:r>
        <w:rPr>
          <w:rFonts w:cs="Arial"/>
          <w:szCs w:val="24"/>
          <w:u w:val="single"/>
        </w:rPr>
        <w:t>or their d</w:t>
      </w:r>
      <w:r w:rsidRPr="00163258">
        <w:rPr>
          <w:rFonts w:cs="Arial"/>
          <w:szCs w:val="24"/>
          <w:u w:val="single"/>
        </w:rPr>
        <w:t>elegate</w:t>
      </w:r>
      <w:r w:rsidRPr="00163258">
        <w:rPr>
          <w:rFonts w:cs="Arial"/>
          <w:szCs w:val="24"/>
        </w:rPr>
        <w:t xml:space="preserve"> is responsible for:</w:t>
      </w:r>
    </w:p>
    <w:p w14:paraId="5AEA6B22" w14:textId="7DC2D94F" w:rsidR="00801AF9" w:rsidRPr="00163258" w:rsidRDefault="00801AF9" w:rsidP="001265B8">
      <w:pPr>
        <w:pStyle w:val="ListBullet"/>
      </w:pPr>
      <w:r w:rsidRPr="00163258">
        <w:t xml:space="preserve">Advising the employee in writing of a negative assessment by the </w:t>
      </w:r>
      <w:r>
        <w:t>m</w:t>
      </w:r>
      <w:r w:rsidRPr="00163258">
        <w:t xml:space="preserve">anager, the </w:t>
      </w:r>
      <w:proofErr w:type="gramStart"/>
      <w:r w:rsidRPr="00163258">
        <w:t>reasons</w:t>
      </w:r>
      <w:proofErr w:type="gramEnd"/>
      <w:r w:rsidRPr="00163258">
        <w:t xml:space="preserve"> and the proposed actions, and inviting the employee to respond within a specified period</w:t>
      </w:r>
    </w:p>
    <w:p w14:paraId="6E1CEFD5" w14:textId="37179965" w:rsidR="00801AF9" w:rsidRPr="00163258" w:rsidRDefault="00801AF9" w:rsidP="001265B8">
      <w:pPr>
        <w:pStyle w:val="ListBullet"/>
      </w:pPr>
      <w:r w:rsidRPr="00163258">
        <w:t xml:space="preserve">Deciding on </w:t>
      </w:r>
      <w:r>
        <w:t>the</w:t>
      </w:r>
      <w:r w:rsidRPr="00163258">
        <w:t xml:space="preserve"> underperformance action to be taken, as set out in the Enterprise Agreement</w:t>
      </w:r>
    </w:p>
    <w:p w14:paraId="6729C194" w14:textId="1F648E89" w:rsidR="00801AF9" w:rsidRPr="00163258" w:rsidRDefault="00801AF9" w:rsidP="001265B8">
      <w:pPr>
        <w:pStyle w:val="ListBullet"/>
      </w:pPr>
      <w:r w:rsidRPr="00163258">
        <w:lastRenderedPageBreak/>
        <w:t>Informing the employee in writing of this decision and the appeal mechanisms available to the</w:t>
      </w:r>
      <w:r w:rsidR="00C5559A">
        <w:t xml:space="preserve"> employee</w:t>
      </w:r>
    </w:p>
    <w:p w14:paraId="47F426B4" w14:textId="3D0CF1AC" w:rsidR="00801AF9" w:rsidRPr="00163258" w:rsidRDefault="00801AF9" w:rsidP="001265B8">
      <w:pPr>
        <w:pStyle w:val="ListBullet"/>
      </w:pPr>
      <w:r w:rsidRPr="00163258">
        <w:t xml:space="preserve">The </w:t>
      </w:r>
      <w:r w:rsidR="00C5559A">
        <w:t>CEO</w:t>
      </w:r>
      <w:r w:rsidRPr="00163258">
        <w:t xml:space="preserve"> may refer the matter to the Australian Health Practitioner Regulatory Authority (AHPRA) if the employee is covered by the </w:t>
      </w:r>
      <w:r w:rsidRPr="00163258">
        <w:rPr>
          <w:i/>
        </w:rPr>
        <w:t>Health Practitioner Regulation National Law (ACT) Act</w:t>
      </w:r>
      <w:r>
        <w:rPr>
          <w:i/>
        </w:rPr>
        <w:t xml:space="preserve"> </w:t>
      </w:r>
      <w:r w:rsidRPr="00C5559A">
        <w:rPr>
          <w:iCs/>
        </w:rPr>
        <w:t>2010</w:t>
      </w:r>
      <w:r w:rsidRPr="00163258">
        <w:t>.</w:t>
      </w:r>
    </w:p>
    <w:p w14:paraId="7C17E4DB" w14:textId="77777777" w:rsidR="001265B8" w:rsidRDefault="001265B8" w:rsidP="00801AF9">
      <w:pPr>
        <w:rPr>
          <w:rFonts w:cs="Arial"/>
          <w:szCs w:val="24"/>
        </w:rPr>
      </w:pPr>
    </w:p>
    <w:p w14:paraId="79E44E82" w14:textId="77777777" w:rsidR="00801AF9" w:rsidRDefault="00801AF9" w:rsidP="00801AF9">
      <w:pPr>
        <w:rPr>
          <w:rFonts w:cs="Arial"/>
          <w:szCs w:val="24"/>
        </w:rPr>
      </w:pPr>
      <w:r w:rsidRPr="00AB4488">
        <w:rPr>
          <w:rFonts w:cs="Arial"/>
          <w:szCs w:val="24"/>
          <w:u w:val="single"/>
        </w:rPr>
        <w:t xml:space="preserve">People &amp; </w:t>
      </w:r>
      <w:r>
        <w:rPr>
          <w:rFonts w:cs="Arial"/>
          <w:szCs w:val="24"/>
          <w:u w:val="single"/>
        </w:rPr>
        <w:t>Culture</w:t>
      </w:r>
      <w:r>
        <w:rPr>
          <w:rFonts w:cs="Arial"/>
          <w:szCs w:val="24"/>
        </w:rPr>
        <w:t xml:space="preserve"> (P&amp;C) is responsible for:</w:t>
      </w:r>
    </w:p>
    <w:p w14:paraId="46A4D061" w14:textId="6FBCE540" w:rsidR="00801AF9" w:rsidRDefault="00801AF9" w:rsidP="001265B8">
      <w:pPr>
        <w:pStyle w:val="ListBullet"/>
      </w:pPr>
      <w:r>
        <w:t xml:space="preserve">Advising managers of the management of the policy </w:t>
      </w:r>
    </w:p>
    <w:p w14:paraId="3BDAFC85" w14:textId="3CB3AD07" w:rsidR="00801AF9" w:rsidRDefault="00801AF9" w:rsidP="001265B8">
      <w:pPr>
        <w:pStyle w:val="ListBullet"/>
      </w:pPr>
      <w:r>
        <w:t>Advising employees of the details of the policy as it relates to them</w:t>
      </w:r>
    </w:p>
    <w:p w14:paraId="5B1647A4" w14:textId="5401CB38" w:rsidR="00801AF9" w:rsidRDefault="00801AF9" w:rsidP="001265B8">
      <w:pPr>
        <w:pStyle w:val="ListBullet"/>
      </w:pPr>
      <w:r>
        <w:t>Maintaining records of formally reported underperformance</w:t>
      </w:r>
    </w:p>
    <w:p w14:paraId="32463637" w14:textId="2E26CEB7" w:rsidR="00581694" w:rsidRDefault="00801AF9" w:rsidP="00801AF9">
      <w:pPr>
        <w:pStyle w:val="ListBullet"/>
      </w:pPr>
      <w:r>
        <w:t>Assisting and providing advice to managers on any reported matter in accordance with the relevant Enterprise Agreement.</w:t>
      </w:r>
    </w:p>
    <w:p w14:paraId="21D4FD74" w14:textId="77777777" w:rsidR="001E6E04" w:rsidRPr="00581694" w:rsidRDefault="001E6E04" w:rsidP="001E6E04"/>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667C96" w14:paraId="313CDDEF" w14:textId="77777777" w:rsidTr="00667C96">
        <w:trPr>
          <w:cantSplit/>
          <w:trHeight w:val="285"/>
        </w:trPr>
        <w:tc>
          <w:tcPr>
            <w:tcW w:w="9158" w:type="dxa"/>
            <w:shd w:val="clear" w:color="auto" w:fill="000000" w:themeFill="text1"/>
            <w:hideMark/>
          </w:tcPr>
          <w:p w14:paraId="49147798" w14:textId="77777777" w:rsidR="00667C96" w:rsidRPr="00667C96" w:rsidRDefault="00667C96" w:rsidP="00667C96">
            <w:pPr>
              <w:pStyle w:val="Heading1"/>
            </w:pPr>
            <w:bookmarkStart w:id="0" w:name="_Toc43903671"/>
            <w:r w:rsidRPr="00667C96">
              <w:t>Evaluation</w:t>
            </w:r>
            <w:bookmarkEnd w:id="0"/>
            <w:r w:rsidRPr="00667C96">
              <w:t xml:space="preserve"> </w:t>
            </w:r>
            <w:r w:rsidRPr="00667C96">
              <w:tab/>
            </w:r>
          </w:p>
        </w:tc>
      </w:tr>
    </w:tbl>
    <w:p w14:paraId="0C4FFAE7" w14:textId="77777777" w:rsidR="00C5559A" w:rsidRDefault="00C5559A" w:rsidP="00C5559A">
      <w:pPr>
        <w:rPr>
          <w:rFonts w:cs="Arial"/>
          <w:b/>
          <w:szCs w:val="24"/>
        </w:rPr>
      </w:pPr>
      <w:r w:rsidRPr="0080485B">
        <w:rPr>
          <w:rFonts w:cs="Arial"/>
          <w:b/>
          <w:szCs w:val="24"/>
        </w:rPr>
        <w:t>Outcome Measures</w:t>
      </w:r>
    </w:p>
    <w:p w14:paraId="73592EEE" w14:textId="77777777" w:rsidR="00C5559A" w:rsidRPr="000B52EF" w:rsidRDefault="00C5559A" w:rsidP="001265B8">
      <w:pPr>
        <w:pStyle w:val="ListBullet"/>
      </w:pPr>
      <w:r w:rsidRPr="000B52EF">
        <w:t>Instances of underperformance are managed appropriately and efficiently.</w:t>
      </w:r>
    </w:p>
    <w:p w14:paraId="3F6A5773" w14:textId="77777777" w:rsidR="00C5559A" w:rsidRPr="000B52EF" w:rsidRDefault="00C5559A" w:rsidP="00C5559A">
      <w:pPr>
        <w:rPr>
          <w:rFonts w:cs="Arial"/>
          <w:szCs w:val="24"/>
        </w:rPr>
      </w:pPr>
    </w:p>
    <w:p w14:paraId="6DA99B56" w14:textId="77777777" w:rsidR="00C5559A" w:rsidRDefault="00C5559A" w:rsidP="00C5559A">
      <w:pPr>
        <w:rPr>
          <w:rFonts w:cs="Arial"/>
          <w:b/>
          <w:szCs w:val="24"/>
        </w:rPr>
      </w:pPr>
      <w:r w:rsidRPr="0080485B">
        <w:rPr>
          <w:rFonts w:cs="Arial"/>
          <w:b/>
          <w:szCs w:val="24"/>
        </w:rPr>
        <w:t>Method</w:t>
      </w:r>
    </w:p>
    <w:p w14:paraId="1EB913CD" w14:textId="32239936" w:rsidR="00C5559A" w:rsidRPr="000B52EF" w:rsidRDefault="00C5559A" w:rsidP="001265B8">
      <w:pPr>
        <w:pStyle w:val="ListBullet"/>
      </w:pPr>
      <w:r>
        <w:t xml:space="preserve">P&amp;C records all formally-reported cases of underperformance by employees and provide reports to the Deputy CEO, Chief Operating Officer as requested. </w:t>
      </w:r>
    </w:p>
    <w:p w14:paraId="3D396621" w14:textId="77777777" w:rsidR="00C5559A" w:rsidRPr="003E58E5" w:rsidRDefault="00C5559A" w:rsidP="001265B8">
      <w:pPr>
        <w:pStyle w:val="ListBullet"/>
        <w:rPr>
          <w:i/>
        </w:rPr>
      </w:pPr>
      <w:r>
        <w:t>Participants (employees/managers) are given the opportunity to evaluate the underperformance management process in a debriefing session.</w:t>
      </w:r>
    </w:p>
    <w:p w14:paraId="3D3597AA" w14:textId="5FB2E641" w:rsidR="00667C96" w:rsidRDefault="00667C96" w:rsidP="00667C96">
      <w:pPr>
        <w:jc w:val="right"/>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03" w14:textId="77777777" w:rsidTr="009F2977">
        <w:trPr>
          <w:cantSplit/>
          <w:trHeight w:val="285"/>
        </w:trPr>
        <w:tc>
          <w:tcPr>
            <w:tcW w:w="9158" w:type="dxa"/>
            <w:shd w:val="clear" w:color="auto" w:fill="000000"/>
          </w:tcPr>
          <w:p w14:paraId="3742B902" w14:textId="77777777" w:rsidR="00A86A9D" w:rsidRPr="001502DF" w:rsidRDefault="00344838" w:rsidP="007A238D">
            <w:pPr>
              <w:pStyle w:val="Heading1"/>
              <w:rPr>
                <w:b w:val="0"/>
                <w:szCs w:val="24"/>
              </w:rPr>
            </w:pPr>
            <w:r>
              <w:rPr>
                <w:szCs w:val="24"/>
              </w:rPr>
              <w:t xml:space="preserve">Related </w:t>
            </w:r>
            <w:r w:rsidRPr="008652F8">
              <w:rPr>
                <w:szCs w:val="24"/>
              </w:rPr>
              <w:t>Policies</w:t>
            </w:r>
            <w:r w:rsidR="00A86A9D" w:rsidRPr="008652F8">
              <w:rPr>
                <w:szCs w:val="24"/>
              </w:rPr>
              <w:t>, Procedures, Guidelines and Legislation</w:t>
            </w:r>
          </w:p>
        </w:tc>
      </w:tr>
    </w:tbl>
    <w:p w14:paraId="3742B904" w14:textId="77777777" w:rsidR="00A86A9D" w:rsidRPr="006019FE" w:rsidRDefault="00A86A9D" w:rsidP="00A86A9D">
      <w:pPr>
        <w:rPr>
          <w:rFonts w:cs="Arial"/>
          <w:szCs w:val="24"/>
        </w:rPr>
      </w:pPr>
    </w:p>
    <w:p w14:paraId="6FA2F9C7" w14:textId="77777777" w:rsidR="00C5559A" w:rsidRPr="00A165A1" w:rsidRDefault="00C5559A" w:rsidP="00C5559A">
      <w:pPr>
        <w:rPr>
          <w:rFonts w:cs="Arial"/>
          <w:b/>
          <w:szCs w:val="24"/>
        </w:rPr>
      </w:pPr>
      <w:r w:rsidRPr="00A165A1">
        <w:rPr>
          <w:rFonts w:cs="Arial"/>
          <w:b/>
          <w:szCs w:val="24"/>
        </w:rPr>
        <w:t>Policies</w:t>
      </w:r>
    </w:p>
    <w:p w14:paraId="5A552DDE" w14:textId="77777777" w:rsidR="00C5559A" w:rsidRPr="00EE4C23" w:rsidRDefault="00C5559A" w:rsidP="00EE4C23">
      <w:pPr>
        <w:pStyle w:val="ListParagraph"/>
        <w:numPr>
          <w:ilvl w:val="0"/>
          <w:numId w:val="19"/>
        </w:numPr>
        <w:rPr>
          <w:rFonts w:cs="Arial"/>
          <w:szCs w:val="24"/>
        </w:rPr>
      </w:pPr>
      <w:r w:rsidRPr="00EE4C23">
        <w:rPr>
          <w:rFonts w:cs="Arial"/>
          <w:szCs w:val="24"/>
        </w:rPr>
        <w:t>Incident Management Policy</w:t>
      </w:r>
    </w:p>
    <w:p w14:paraId="3944DBDA" w14:textId="23F2F4E9" w:rsidR="00C5559A" w:rsidRPr="00EE4C23" w:rsidRDefault="00C5559A" w:rsidP="00EE4C23">
      <w:pPr>
        <w:pStyle w:val="ListParagraph"/>
        <w:numPr>
          <w:ilvl w:val="0"/>
          <w:numId w:val="19"/>
        </w:numPr>
        <w:tabs>
          <w:tab w:val="center" w:pos="4535"/>
        </w:tabs>
        <w:rPr>
          <w:rFonts w:cs="Arial"/>
          <w:szCs w:val="24"/>
        </w:rPr>
      </w:pPr>
      <w:r w:rsidRPr="00EE4C23">
        <w:rPr>
          <w:rFonts w:cs="Arial"/>
          <w:szCs w:val="24"/>
        </w:rPr>
        <w:t>Reviewing the Clinical Competence of a Doctor or Dentist following a Complaint or Concern</w:t>
      </w:r>
    </w:p>
    <w:p w14:paraId="21B31DA1" w14:textId="77777777" w:rsidR="00C5559A" w:rsidRPr="00EE4C23" w:rsidRDefault="00C5559A" w:rsidP="00EE4C23">
      <w:pPr>
        <w:pStyle w:val="ListParagraph"/>
        <w:numPr>
          <w:ilvl w:val="0"/>
          <w:numId w:val="19"/>
        </w:numPr>
        <w:tabs>
          <w:tab w:val="center" w:pos="4535"/>
        </w:tabs>
        <w:rPr>
          <w:rFonts w:cs="Arial"/>
          <w:szCs w:val="24"/>
        </w:rPr>
      </w:pPr>
      <w:r w:rsidRPr="00EE4C23">
        <w:rPr>
          <w:rFonts w:cs="Arial"/>
          <w:szCs w:val="24"/>
        </w:rPr>
        <w:t>Clinical Supervision</w:t>
      </w:r>
    </w:p>
    <w:p w14:paraId="6F845E63" w14:textId="77777777" w:rsidR="00C5559A" w:rsidRPr="00E24D32" w:rsidRDefault="00C5559A" w:rsidP="00C5559A">
      <w:pPr>
        <w:tabs>
          <w:tab w:val="center" w:pos="4535"/>
        </w:tabs>
        <w:rPr>
          <w:rFonts w:cs="Arial"/>
          <w:szCs w:val="24"/>
        </w:rPr>
      </w:pPr>
    </w:p>
    <w:p w14:paraId="4425DEF2" w14:textId="77777777" w:rsidR="00C5559A" w:rsidRDefault="00C5559A" w:rsidP="00C5559A">
      <w:pPr>
        <w:rPr>
          <w:rFonts w:cs="Arial"/>
          <w:b/>
          <w:szCs w:val="24"/>
        </w:rPr>
      </w:pPr>
      <w:r w:rsidRPr="00495E0C">
        <w:rPr>
          <w:rFonts w:cs="Arial"/>
          <w:b/>
          <w:szCs w:val="24"/>
        </w:rPr>
        <w:t>Procedures</w:t>
      </w:r>
    </w:p>
    <w:p w14:paraId="61DA1631" w14:textId="1C3A7AA9" w:rsidR="00C5559A" w:rsidRPr="00EE4C23" w:rsidRDefault="00C5559A" w:rsidP="00EE4C23">
      <w:pPr>
        <w:pStyle w:val="ListParagraph"/>
        <w:numPr>
          <w:ilvl w:val="0"/>
          <w:numId w:val="18"/>
        </w:numPr>
        <w:rPr>
          <w:rFonts w:cs="Arial"/>
          <w:szCs w:val="24"/>
        </w:rPr>
      </w:pPr>
      <w:r w:rsidRPr="00EE4C23">
        <w:rPr>
          <w:rFonts w:cs="Arial"/>
          <w:szCs w:val="24"/>
        </w:rPr>
        <w:t>Incident Management Procedure</w:t>
      </w:r>
    </w:p>
    <w:p w14:paraId="7BE6C1CD" w14:textId="2162AED6" w:rsidR="00C5559A" w:rsidRPr="00EE4C23" w:rsidRDefault="00C5559A" w:rsidP="00EE4C23">
      <w:pPr>
        <w:pStyle w:val="ListParagraph"/>
        <w:numPr>
          <w:ilvl w:val="0"/>
          <w:numId w:val="18"/>
        </w:numPr>
        <w:rPr>
          <w:rFonts w:cs="Arial"/>
          <w:szCs w:val="24"/>
        </w:rPr>
      </w:pPr>
      <w:r w:rsidRPr="00EE4C23">
        <w:rPr>
          <w:rFonts w:cs="Arial"/>
          <w:szCs w:val="24"/>
        </w:rPr>
        <w:t>Transition to Practice Program (TTPP) for Enrolled Nurses and Registered Nurses</w:t>
      </w:r>
    </w:p>
    <w:p w14:paraId="18F0B11A" w14:textId="77777777" w:rsidR="00C5559A" w:rsidRPr="00E24D32" w:rsidRDefault="00C5559A" w:rsidP="00C5559A">
      <w:pPr>
        <w:rPr>
          <w:rFonts w:cs="Arial"/>
          <w:szCs w:val="24"/>
        </w:rPr>
      </w:pPr>
    </w:p>
    <w:p w14:paraId="64C6E6AB" w14:textId="77777777" w:rsidR="00C5559A" w:rsidRPr="00A165A1" w:rsidRDefault="00C5559A" w:rsidP="00C5559A">
      <w:pPr>
        <w:rPr>
          <w:rFonts w:cs="Arial"/>
          <w:b/>
          <w:szCs w:val="24"/>
        </w:rPr>
      </w:pPr>
      <w:r>
        <w:rPr>
          <w:rFonts w:cs="Arial"/>
          <w:b/>
          <w:szCs w:val="24"/>
        </w:rPr>
        <w:t>Standards</w:t>
      </w:r>
    </w:p>
    <w:p w14:paraId="3D8C1F1D" w14:textId="255729C1" w:rsidR="00C5559A" w:rsidRPr="00EE4C23" w:rsidRDefault="00C5559A" w:rsidP="00EE4C23">
      <w:pPr>
        <w:pStyle w:val="ListParagraph"/>
        <w:numPr>
          <w:ilvl w:val="0"/>
          <w:numId w:val="17"/>
        </w:numPr>
        <w:rPr>
          <w:rFonts w:cs="Arial"/>
          <w:szCs w:val="24"/>
        </w:rPr>
      </w:pPr>
      <w:r w:rsidRPr="00EE4C23">
        <w:rPr>
          <w:rFonts w:cs="Arial"/>
          <w:szCs w:val="24"/>
        </w:rPr>
        <w:t>CHS P&amp;C Delegations Manual</w:t>
      </w:r>
    </w:p>
    <w:p w14:paraId="43927214" w14:textId="77777777" w:rsidR="00C5559A" w:rsidRPr="00EE4C23" w:rsidRDefault="00C5559A" w:rsidP="00EE4C23">
      <w:pPr>
        <w:pStyle w:val="ListParagraph"/>
        <w:numPr>
          <w:ilvl w:val="0"/>
          <w:numId w:val="17"/>
        </w:numPr>
        <w:rPr>
          <w:rFonts w:cs="Arial"/>
          <w:szCs w:val="24"/>
        </w:rPr>
      </w:pPr>
      <w:r w:rsidRPr="00EE4C23">
        <w:rPr>
          <w:rFonts w:cs="Arial"/>
          <w:szCs w:val="24"/>
        </w:rPr>
        <w:t>Public Sector Management Standards 2016</w:t>
      </w:r>
    </w:p>
    <w:p w14:paraId="642F3B3C" w14:textId="77777777" w:rsidR="00C5559A" w:rsidRDefault="00C5559A" w:rsidP="00C5559A">
      <w:pPr>
        <w:rPr>
          <w:rFonts w:cs="Arial"/>
          <w:b/>
          <w:szCs w:val="24"/>
        </w:rPr>
      </w:pPr>
    </w:p>
    <w:p w14:paraId="03006210" w14:textId="77777777" w:rsidR="00C5559A" w:rsidRDefault="00C5559A" w:rsidP="00C5559A">
      <w:pPr>
        <w:rPr>
          <w:rFonts w:cs="Arial"/>
          <w:b/>
          <w:szCs w:val="24"/>
        </w:rPr>
      </w:pPr>
      <w:r w:rsidRPr="00A165A1">
        <w:rPr>
          <w:rFonts w:cs="Arial"/>
          <w:b/>
          <w:szCs w:val="24"/>
        </w:rPr>
        <w:t>Legislation</w:t>
      </w:r>
    </w:p>
    <w:p w14:paraId="40BEBD8E" w14:textId="77777777" w:rsidR="00C5559A" w:rsidRPr="00EE4C23" w:rsidRDefault="00C5559A" w:rsidP="00EE4C23">
      <w:pPr>
        <w:pStyle w:val="ListParagraph"/>
        <w:numPr>
          <w:ilvl w:val="0"/>
          <w:numId w:val="16"/>
        </w:numPr>
        <w:rPr>
          <w:rFonts w:cs="Arial"/>
          <w:i/>
          <w:szCs w:val="24"/>
        </w:rPr>
      </w:pPr>
      <w:r w:rsidRPr="00EE4C23">
        <w:rPr>
          <w:rFonts w:cs="Arial"/>
          <w:i/>
          <w:szCs w:val="24"/>
        </w:rPr>
        <w:t xml:space="preserve">Public Sector Management Act </w:t>
      </w:r>
      <w:r w:rsidRPr="00EE4C23">
        <w:rPr>
          <w:rFonts w:cs="Arial"/>
          <w:iCs/>
          <w:szCs w:val="24"/>
        </w:rPr>
        <w:t>1994</w:t>
      </w:r>
    </w:p>
    <w:p w14:paraId="707ABDD6" w14:textId="1BE99454" w:rsidR="00C5559A" w:rsidRPr="00EE4C23" w:rsidRDefault="00C5559A" w:rsidP="00EE4C23">
      <w:pPr>
        <w:pStyle w:val="ListParagraph"/>
        <w:numPr>
          <w:ilvl w:val="0"/>
          <w:numId w:val="16"/>
        </w:numPr>
        <w:rPr>
          <w:rFonts w:cs="Arial"/>
          <w:i/>
          <w:szCs w:val="24"/>
        </w:rPr>
      </w:pPr>
      <w:r w:rsidRPr="00EE4C23">
        <w:rPr>
          <w:rFonts w:cs="Arial"/>
          <w:i/>
          <w:szCs w:val="24"/>
        </w:rPr>
        <w:lastRenderedPageBreak/>
        <w:t xml:space="preserve">Health Practitioner Regulation National Law (ACT) Act </w:t>
      </w:r>
      <w:r w:rsidRPr="00EE4C23">
        <w:rPr>
          <w:rFonts w:cs="Arial"/>
          <w:iCs/>
          <w:szCs w:val="24"/>
        </w:rPr>
        <w:t>2010</w:t>
      </w:r>
    </w:p>
    <w:p w14:paraId="2FD1B600" w14:textId="40670585" w:rsidR="00C5559A" w:rsidRPr="00EE4C23" w:rsidRDefault="00C5559A" w:rsidP="00EE4C23">
      <w:pPr>
        <w:pStyle w:val="ListParagraph"/>
        <w:numPr>
          <w:ilvl w:val="0"/>
          <w:numId w:val="16"/>
        </w:numPr>
        <w:rPr>
          <w:rFonts w:cs="Arial"/>
          <w:szCs w:val="24"/>
        </w:rPr>
      </w:pPr>
      <w:r w:rsidRPr="00EE4C23">
        <w:rPr>
          <w:rFonts w:cs="Arial"/>
          <w:szCs w:val="24"/>
        </w:rPr>
        <w:t>All ACT Public Sector Enterprise Agreements, 2018-2021</w:t>
      </w:r>
    </w:p>
    <w:p w14:paraId="3742B906" w14:textId="77777777" w:rsidR="00A24CDA" w:rsidRDefault="00A24CDA" w:rsidP="00A24CDA">
      <w:pPr>
        <w:pStyle w:val="Heading2"/>
      </w:pPr>
    </w:p>
    <w:p w14:paraId="3742B907" w14:textId="7F111345" w:rsidR="00536503" w:rsidRPr="004961E2" w:rsidRDefault="00C5559A" w:rsidP="004961E2">
      <w:pPr>
        <w:rPr>
          <w:b/>
        </w:rPr>
      </w:pPr>
      <w:r>
        <w:rPr>
          <w:b/>
        </w:rPr>
        <w:t>P&amp;C Factsheets</w:t>
      </w:r>
    </w:p>
    <w:p w14:paraId="3742B908" w14:textId="600858DE" w:rsidR="00536503" w:rsidRDefault="00C5559A" w:rsidP="003E1E3C">
      <w:pPr>
        <w:pStyle w:val="ListBullet"/>
      </w:pPr>
      <w:r>
        <w:t>Internal Review</w:t>
      </w:r>
    </w:p>
    <w:p w14:paraId="3B46343C" w14:textId="0623BC8A" w:rsidR="00C5559A" w:rsidRDefault="00C5559A" w:rsidP="003E1E3C">
      <w:pPr>
        <w:pStyle w:val="ListBullet"/>
      </w:pPr>
      <w:r>
        <w:t>Appeal Mechanism</w:t>
      </w:r>
    </w:p>
    <w:p w14:paraId="2404A059" w14:textId="3534C026" w:rsidR="005C44F1" w:rsidRPr="00536503" w:rsidRDefault="005C44F1" w:rsidP="003E1E3C">
      <w:pPr>
        <w:pStyle w:val="ListBullet"/>
      </w:pPr>
      <w:r>
        <w:t>Underperformance</w:t>
      </w:r>
    </w:p>
    <w:p w14:paraId="3742B916" w14:textId="77777777" w:rsidR="00A86A9D" w:rsidRDefault="00A86A9D" w:rsidP="00A86A9D">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8" w14:textId="77777777" w:rsidTr="009F2977">
        <w:trPr>
          <w:cantSplit/>
          <w:trHeight w:val="285"/>
        </w:trPr>
        <w:tc>
          <w:tcPr>
            <w:tcW w:w="9158" w:type="dxa"/>
            <w:shd w:val="clear" w:color="auto" w:fill="000000"/>
          </w:tcPr>
          <w:p w14:paraId="3742B917" w14:textId="3FF7786E" w:rsidR="00A86A9D" w:rsidRPr="007A238D" w:rsidRDefault="00A86A9D" w:rsidP="007A238D">
            <w:pPr>
              <w:pStyle w:val="Heading1"/>
              <w:rPr>
                <w:color w:val="FFFFFF" w:themeColor="background1"/>
              </w:rPr>
            </w:pPr>
            <w:r w:rsidRPr="007A238D">
              <w:rPr>
                <w:color w:val="FFFFFF" w:themeColor="background1"/>
              </w:rPr>
              <w:t>Definition of Terms</w:t>
            </w:r>
          </w:p>
        </w:tc>
      </w:tr>
    </w:tbl>
    <w:p w14:paraId="3742B919" w14:textId="77777777" w:rsidR="00A86A9D" w:rsidRDefault="00A86A9D" w:rsidP="00A86A9D">
      <w:pPr>
        <w:jc w:val="both"/>
        <w:rPr>
          <w:rFonts w:cs="Arial"/>
          <w:b/>
          <w:szCs w:val="24"/>
        </w:rPr>
      </w:pPr>
    </w:p>
    <w:p w14:paraId="3742B91A" w14:textId="4AAA852B" w:rsidR="00A86A9D" w:rsidRDefault="00C5559A" w:rsidP="00A86A9D">
      <w:pPr>
        <w:rPr>
          <w:rFonts w:cs="Arial"/>
          <w:iCs/>
          <w:szCs w:val="24"/>
        </w:rPr>
      </w:pPr>
      <w:r w:rsidRPr="00C5559A">
        <w:rPr>
          <w:rFonts w:cs="Arial"/>
          <w:b/>
          <w:bCs/>
          <w:iCs/>
          <w:szCs w:val="24"/>
        </w:rPr>
        <w:t>Action Plan</w:t>
      </w:r>
      <w:r>
        <w:rPr>
          <w:rFonts w:cs="Arial"/>
          <w:iCs/>
          <w:szCs w:val="24"/>
        </w:rPr>
        <w:t xml:space="preserve"> in the context of this policy means a plan which is developed jointly by the employee who is being performance-managed and their manager</w:t>
      </w:r>
      <w:r w:rsidR="002657AE">
        <w:rPr>
          <w:rFonts w:cs="Arial"/>
          <w:iCs/>
          <w:szCs w:val="24"/>
        </w:rPr>
        <w:t>, and is designed to</w:t>
      </w:r>
      <w:r w:rsidR="001265B8">
        <w:rPr>
          <w:rFonts w:cs="Arial"/>
          <w:iCs/>
          <w:szCs w:val="24"/>
        </w:rPr>
        <w:t>:</w:t>
      </w:r>
    </w:p>
    <w:p w14:paraId="14D962B9" w14:textId="63DE0FD7" w:rsidR="002657AE" w:rsidRDefault="002657AE" w:rsidP="001265B8">
      <w:pPr>
        <w:pStyle w:val="ListBullet"/>
      </w:pPr>
      <w:r>
        <w:t>identify the expected standards of work required of the employee on an on-going basis</w:t>
      </w:r>
    </w:p>
    <w:p w14:paraId="6C342739" w14:textId="5912858B" w:rsidR="002657AE" w:rsidRDefault="002657AE" w:rsidP="001265B8">
      <w:pPr>
        <w:pStyle w:val="ListBullet"/>
      </w:pPr>
      <w:r>
        <w:t xml:space="preserve">identify and/or develop any learning and development </w:t>
      </w:r>
      <w:r w:rsidR="00FF340B">
        <w:t>strategies</w:t>
      </w:r>
      <w:r>
        <w:t xml:space="preserve"> that the employee should undertake</w:t>
      </w:r>
    </w:p>
    <w:p w14:paraId="6BFA3BD3" w14:textId="369A088D" w:rsidR="002657AE" w:rsidRDefault="002657AE" w:rsidP="001265B8">
      <w:pPr>
        <w:pStyle w:val="ListBullet"/>
      </w:pPr>
      <w:r>
        <w:t>outline the potential underperformance actions that may be taken if the employee does not meet the expected standards</w:t>
      </w:r>
    </w:p>
    <w:p w14:paraId="2C0CCF1A" w14:textId="4E46E802" w:rsidR="002657AE" w:rsidRDefault="002657AE" w:rsidP="001265B8">
      <w:pPr>
        <w:pStyle w:val="ListBullet"/>
      </w:pPr>
      <w:r>
        <w:t>specify the Action Plan period, which should not normally be less than one month and should not exceed six months, to allow the employee sufficient opportunity to achieve the expected standards</w:t>
      </w:r>
    </w:p>
    <w:p w14:paraId="5CD0DBAD" w14:textId="2FCBC861" w:rsidR="002C52AF" w:rsidRPr="002657AE" w:rsidRDefault="002657AE" w:rsidP="002C52AF">
      <w:pPr>
        <w:pStyle w:val="ListBullet"/>
      </w:pPr>
      <w:r>
        <w:t>specify the assessment criteria to be measured within the Action Plan period.</w:t>
      </w:r>
    </w:p>
    <w:p w14:paraId="3742B923" w14:textId="37D2EBC2" w:rsidR="003D1D90" w:rsidRDefault="003D1D90"/>
    <w:p w14:paraId="31AB45FF" w14:textId="34B1C6E0" w:rsidR="002C52AF" w:rsidRDefault="001E6E04">
      <w:r>
        <w:t>People and Culture</w:t>
      </w:r>
      <w:r w:rsidR="002C52AF">
        <w:t xml:space="preserve"> can provide managers with a template of the Action Plan on request.</w:t>
      </w:r>
    </w:p>
    <w:p w14:paraId="70B01251" w14:textId="77777777" w:rsidR="002C52AF" w:rsidRDefault="002C52AF"/>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3742B925" w14:textId="77777777" w:rsidTr="009F2977">
        <w:trPr>
          <w:cantSplit/>
          <w:trHeight w:val="285"/>
        </w:trPr>
        <w:tc>
          <w:tcPr>
            <w:tcW w:w="9158" w:type="dxa"/>
            <w:shd w:val="clear" w:color="auto" w:fill="000000"/>
          </w:tcPr>
          <w:p w14:paraId="3742B924" w14:textId="77777777" w:rsidR="00636DD9" w:rsidRPr="007A238D" w:rsidRDefault="00636DD9" w:rsidP="004C183B">
            <w:pPr>
              <w:pStyle w:val="Heading1"/>
              <w:rPr>
                <w:color w:val="FFFFFF" w:themeColor="background1"/>
              </w:rPr>
            </w:pPr>
            <w:r>
              <w:rPr>
                <w:color w:val="FFFFFF" w:themeColor="background1"/>
              </w:rPr>
              <w:t>Search Terms</w:t>
            </w:r>
          </w:p>
        </w:tc>
      </w:tr>
    </w:tbl>
    <w:p w14:paraId="3742B926" w14:textId="77777777" w:rsidR="00636DD9" w:rsidRDefault="00636DD9" w:rsidP="00636DD9">
      <w:pPr>
        <w:rPr>
          <w:rFonts w:cs="Calibri,Bold"/>
          <w:bCs/>
          <w:i/>
          <w:szCs w:val="24"/>
          <w:lang w:eastAsia="en-AU"/>
        </w:rPr>
      </w:pPr>
    </w:p>
    <w:p w14:paraId="3742B927" w14:textId="07FDFFC5" w:rsidR="00636DD9" w:rsidRDefault="002657AE" w:rsidP="00636DD9">
      <w:pPr>
        <w:rPr>
          <w:rFonts w:cs="Calibri,Bold"/>
          <w:bCs/>
          <w:i/>
          <w:szCs w:val="24"/>
          <w:lang w:eastAsia="en-AU"/>
        </w:rPr>
      </w:pPr>
      <w:r>
        <w:rPr>
          <w:rFonts w:cs="Calibri,Bold"/>
          <w:bCs/>
          <w:szCs w:val="24"/>
          <w:lang w:eastAsia="en-AU"/>
        </w:rPr>
        <w:t>Underperformance; under-performance; performance plan</w:t>
      </w:r>
      <w:r w:rsidR="00636DD9">
        <w:rPr>
          <w:rFonts w:cs="Calibri,Bold"/>
          <w:bCs/>
          <w:i/>
          <w:szCs w:val="24"/>
          <w:lang w:eastAsia="en-AU"/>
        </w:rPr>
        <w:t xml:space="preserve">. </w:t>
      </w:r>
    </w:p>
    <w:p w14:paraId="0E1165DE" w14:textId="179C9A65" w:rsidR="00581694" w:rsidRDefault="00581694" w:rsidP="00A86A9D">
      <w:pPr>
        <w:rPr>
          <w:rFonts w:cs="Arial"/>
          <w:szCs w:val="24"/>
        </w:rPr>
      </w:pPr>
    </w:p>
    <w:p w14:paraId="6DDBDD5F" w14:textId="77777777" w:rsidR="00EE4C23" w:rsidRPr="009902FB" w:rsidRDefault="00EE4C23" w:rsidP="00A86A9D">
      <w:pPr>
        <w:rPr>
          <w:rFonts w:cs="Arial"/>
          <w:i/>
          <w:szCs w:val="24"/>
        </w:rPr>
      </w:pPr>
    </w:p>
    <w:p w14:paraId="3742B92F" w14:textId="391E70A2" w:rsidR="0069341E" w:rsidRDefault="0098354D" w:rsidP="0069341E">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742B930" w14:textId="77777777" w:rsidR="0069341E" w:rsidRDefault="0069341E" w:rsidP="0069341E">
      <w:pPr>
        <w:rPr>
          <w:rFonts w:cs="Arial"/>
          <w:i/>
          <w:iCs/>
          <w:sz w:val="20"/>
        </w:rPr>
      </w:pPr>
    </w:p>
    <w:p w14:paraId="3742B931" w14:textId="77777777" w:rsidR="0069341E" w:rsidRPr="00817254" w:rsidRDefault="0069341E" w:rsidP="0069341E">
      <w:pPr>
        <w:rPr>
          <w:rFonts w:cs="Arial"/>
          <w:i/>
          <w:iCs/>
          <w:sz w:val="20"/>
          <w:szCs w:val="24"/>
        </w:rPr>
      </w:pPr>
      <w:r w:rsidRPr="00817254">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69341E" w:rsidRPr="00817254" w14:paraId="3742B936" w14:textId="77777777" w:rsidTr="005B3A1A">
        <w:tc>
          <w:tcPr>
            <w:tcW w:w="2265" w:type="dxa"/>
          </w:tcPr>
          <w:p w14:paraId="3742B932" w14:textId="77777777" w:rsidR="0069341E" w:rsidRPr="00817254" w:rsidRDefault="0069341E" w:rsidP="005B3A1A">
            <w:pPr>
              <w:rPr>
                <w:i/>
                <w:sz w:val="20"/>
                <w:szCs w:val="24"/>
              </w:rPr>
            </w:pPr>
            <w:r w:rsidRPr="00817254">
              <w:rPr>
                <w:i/>
                <w:sz w:val="20"/>
                <w:szCs w:val="24"/>
              </w:rPr>
              <w:t>Date Amended</w:t>
            </w:r>
          </w:p>
        </w:tc>
        <w:tc>
          <w:tcPr>
            <w:tcW w:w="2265" w:type="dxa"/>
          </w:tcPr>
          <w:p w14:paraId="3742B933" w14:textId="77777777" w:rsidR="0069341E" w:rsidRPr="00817254" w:rsidRDefault="0069341E" w:rsidP="005B3A1A">
            <w:pPr>
              <w:rPr>
                <w:i/>
                <w:sz w:val="20"/>
                <w:szCs w:val="24"/>
              </w:rPr>
            </w:pPr>
            <w:r w:rsidRPr="00817254">
              <w:rPr>
                <w:i/>
                <w:sz w:val="20"/>
                <w:szCs w:val="24"/>
              </w:rPr>
              <w:t>Section Amended</w:t>
            </w:r>
          </w:p>
        </w:tc>
        <w:tc>
          <w:tcPr>
            <w:tcW w:w="2265" w:type="dxa"/>
          </w:tcPr>
          <w:p w14:paraId="3742B934" w14:textId="77777777" w:rsidR="0069341E" w:rsidRPr="00817254" w:rsidRDefault="0069341E" w:rsidP="005B3A1A">
            <w:pPr>
              <w:rPr>
                <w:i/>
                <w:sz w:val="20"/>
                <w:szCs w:val="24"/>
              </w:rPr>
            </w:pPr>
            <w:r w:rsidRPr="00817254">
              <w:rPr>
                <w:i/>
                <w:sz w:val="20"/>
                <w:szCs w:val="24"/>
              </w:rPr>
              <w:t>Divisional Approval</w:t>
            </w:r>
          </w:p>
        </w:tc>
        <w:tc>
          <w:tcPr>
            <w:tcW w:w="2265" w:type="dxa"/>
          </w:tcPr>
          <w:p w14:paraId="3742B935" w14:textId="77777777" w:rsidR="0069341E" w:rsidRPr="00817254" w:rsidRDefault="0069341E" w:rsidP="005B3A1A">
            <w:pPr>
              <w:rPr>
                <w:i/>
                <w:sz w:val="20"/>
                <w:szCs w:val="24"/>
              </w:rPr>
            </w:pPr>
            <w:r w:rsidRPr="00817254">
              <w:rPr>
                <w:i/>
                <w:sz w:val="20"/>
                <w:szCs w:val="24"/>
              </w:rPr>
              <w:t xml:space="preserve">Final Approval </w:t>
            </w:r>
          </w:p>
        </w:tc>
      </w:tr>
      <w:tr w:rsidR="0069341E" w:rsidRPr="00817254" w14:paraId="3742B93B" w14:textId="77777777" w:rsidTr="005B3A1A">
        <w:tc>
          <w:tcPr>
            <w:tcW w:w="2265" w:type="dxa"/>
          </w:tcPr>
          <w:p w14:paraId="3742B937" w14:textId="64F0FC02" w:rsidR="0069341E" w:rsidRPr="00817254" w:rsidRDefault="00A16A9D" w:rsidP="005B3A1A">
            <w:pPr>
              <w:rPr>
                <w:i/>
                <w:sz w:val="20"/>
                <w:szCs w:val="24"/>
              </w:rPr>
            </w:pPr>
            <w:r>
              <w:rPr>
                <w:i/>
                <w:sz w:val="20"/>
                <w:szCs w:val="24"/>
              </w:rPr>
              <w:t>26/01/2020</w:t>
            </w:r>
          </w:p>
        </w:tc>
        <w:tc>
          <w:tcPr>
            <w:tcW w:w="2265" w:type="dxa"/>
          </w:tcPr>
          <w:p w14:paraId="3742B938" w14:textId="62287F16" w:rsidR="0069341E" w:rsidRPr="00817254" w:rsidRDefault="00A16A9D" w:rsidP="005B3A1A">
            <w:pPr>
              <w:rPr>
                <w:i/>
                <w:sz w:val="20"/>
                <w:szCs w:val="24"/>
              </w:rPr>
            </w:pPr>
            <w:r>
              <w:rPr>
                <w:i/>
                <w:sz w:val="20"/>
                <w:szCs w:val="24"/>
              </w:rPr>
              <w:t>Complete Review</w:t>
            </w:r>
          </w:p>
        </w:tc>
        <w:tc>
          <w:tcPr>
            <w:tcW w:w="2265" w:type="dxa"/>
          </w:tcPr>
          <w:p w14:paraId="3742B939" w14:textId="180F40AF" w:rsidR="0069341E" w:rsidRPr="00817254" w:rsidRDefault="00A16A9D" w:rsidP="005B3A1A">
            <w:pPr>
              <w:rPr>
                <w:i/>
                <w:sz w:val="20"/>
                <w:szCs w:val="24"/>
              </w:rPr>
            </w:pPr>
            <w:r>
              <w:rPr>
                <w:i/>
                <w:sz w:val="20"/>
                <w:szCs w:val="24"/>
              </w:rPr>
              <w:t>Janine Hammat, ED People and Culture</w:t>
            </w:r>
          </w:p>
        </w:tc>
        <w:tc>
          <w:tcPr>
            <w:tcW w:w="2265" w:type="dxa"/>
          </w:tcPr>
          <w:p w14:paraId="3742B93A" w14:textId="31877B81" w:rsidR="0069341E" w:rsidRPr="00817254" w:rsidRDefault="00A16A9D" w:rsidP="005B3A1A">
            <w:pPr>
              <w:rPr>
                <w:i/>
                <w:sz w:val="20"/>
                <w:szCs w:val="24"/>
              </w:rPr>
            </w:pPr>
            <w:r>
              <w:rPr>
                <w:i/>
                <w:sz w:val="20"/>
                <w:szCs w:val="24"/>
              </w:rPr>
              <w:t>CHS Policy Committee</w:t>
            </w:r>
          </w:p>
        </w:tc>
      </w:tr>
      <w:tr w:rsidR="0069341E" w:rsidRPr="00817254" w14:paraId="3742B940" w14:textId="77777777" w:rsidTr="005B3A1A">
        <w:tc>
          <w:tcPr>
            <w:tcW w:w="2265" w:type="dxa"/>
          </w:tcPr>
          <w:p w14:paraId="3742B93C" w14:textId="77777777" w:rsidR="0069341E" w:rsidRPr="00817254" w:rsidRDefault="0069341E" w:rsidP="005B3A1A">
            <w:pPr>
              <w:rPr>
                <w:i/>
                <w:sz w:val="20"/>
                <w:szCs w:val="24"/>
              </w:rPr>
            </w:pPr>
          </w:p>
        </w:tc>
        <w:tc>
          <w:tcPr>
            <w:tcW w:w="2265" w:type="dxa"/>
          </w:tcPr>
          <w:p w14:paraId="3742B93D" w14:textId="77777777" w:rsidR="0069341E" w:rsidRPr="00817254" w:rsidRDefault="0069341E" w:rsidP="005B3A1A">
            <w:pPr>
              <w:rPr>
                <w:i/>
                <w:sz w:val="20"/>
                <w:szCs w:val="24"/>
              </w:rPr>
            </w:pPr>
          </w:p>
        </w:tc>
        <w:tc>
          <w:tcPr>
            <w:tcW w:w="2265" w:type="dxa"/>
          </w:tcPr>
          <w:p w14:paraId="3742B93E" w14:textId="77777777" w:rsidR="0069341E" w:rsidRPr="00817254" w:rsidRDefault="0069341E" w:rsidP="005B3A1A">
            <w:pPr>
              <w:rPr>
                <w:i/>
                <w:sz w:val="20"/>
                <w:szCs w:val="24"/>
              </w:rPr>
            </w:pPr>
          </w:p>
        </w:tc>
        <w:tc>
          <w:tcPr>
            <w:tcW w:w="2265" w:type="dxa"/>
          </w:tcPr>
          <w:p w14:paraId="3742B93F" w14:textId="77777777" w:rsidR="0069341E" w:rsidRPr="00817254" w:rsidRDefault="0069341E" w:rsidP="005B3A1A">
            <w:pPr>
              <w:rPr>
                <w:i/>
                <w:sz w:val="20"/>
                <w:szCs w:val="24"/>
              </w:rPr>
            </w:pPr>
          </w:p>
        </w:tc>
      </w:tr>
    </w:tbl>
    <w:p w14:paraId="3742B941" w14:textId="77777777" w:rsidR="0069341E" w:rsidRPr="00817254" w:rsidRDefault="0069341E" w:rsidP="0069341E">
      <w:pPr>
        <w:rPr>
          <w:rFonts w:cs="Arial"/>
          <w:sz w:val="20"/>
          <w:szCs w:val="24"/>
        </w:rPr>
      </w:pPr>
    </w:p>
    <w:p w14:paraId="3742B942" w14:textId="77777777" w:rsidR="0069341E" w:rsidRPr="00817254" w:rsidRDefault="0069341E" w:rsidP="0069341E">
      <w:pPr>
        <w:rPr>
          <w:rFonts w:cs="Arial"/>
          <w:i/>
          <w:sz w:val="20"/>
          <w:szCs w:val="24"/>
        </w:rPr>
      </w:pPr>
      <w:r w:rsidRPr="00817254">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817254" w14:paraId="3742B945" w14:textId="77777777" w:rsidTr="005B3A1A">
        <w:tc>
          <w:tcPr>
            <w:tcW w:w="2122" w:type="dxa"/>
          </w:tcPr>
          <w:p w14:paraId="3742B943" w14:textId="77777777" w:rsidR="0069341E" w:rsidRPr="00817254" w:rsidRDefault="0069341E" w:rsidP="005B3A1A">
            <w:pPr>
              <w:rPr>
                <w:i/>
                <w:sz w:val="20"/>
                <w:szCs w:val="24"/>
              </w:rPr>
            </w:pPr>
            <w:r w:rsidRPr="00817254">
              <w:rPr>
                <w:i/>
                <w:sz w:val="20"/>
                <w:szCs w:val="24"/>
              </w:rPr>
              <w:t>Document Number</w:t>
            </w:r>
          </w:p>
        </w:tc>
        <w:tc>
          <w:tcPr>
            <w:tcW w:w="6938" w:type="dxa"/>
          </w:tcPr>
          <w:p w14:paraId="3742B944" w14:textId="77777777" w:rsidR="0069341E" w:rsidRPr="00817254" w:rsidRDefault="0069341E" w:rsidP="005B3A1A">
            <w:pPr>
              <w:rPr>
                <w:i/>
                <w:sz w:val="20"/>
                <w:szCs w:val="24"/>
              </w:rPr>
            </w:pPr>
            <w:r w:rsidRPr="00817254">
              <w:rPr>
                <w:i/>
                <w:sz w:val="20"/>
                <w:szCs w:val="24"/>
              </w:rPr>
              <w:t>Document Name</w:t>
            </w:r>
          </w:p>
        </w:tc>
      </w:tr>
      <w:tr w:rsidR="0069341E" w:rsidRPr="00817254" w14:paraId="3742B948" w14:textId="77777777" w:rsidTr="005B3A1A">
        <w:tc>
          <w:tcPr>
            <w:tcW w:w="2122" w:type="dxa"/>
          </w:tcPr>
          <w:p w14:paraId="3742B946" w14:textId="5F9B7BA4" w:rsidR="0069341E" w:rsidRPr="00817254" w:rsidRDefault="00A16A9D" w:rsidP="005B3A1A">
            <w:pPr>
              <w:rPr>
                <w:i/>
                <w:sz w:val="20"/>
                <w:szCs w:val="24"/>
              </w:rPr>
            </w:pPr>
            <w:r>
              <w:rPr>
                <w:i/>
                <w:sz w:val="20"/>
                <w:szCs w:val="24"/>
              </w:rPr>
              <w:t>DGD16-025</w:t>
            </w:r>
          </w:p>
        </w:tc>
        <w:tc>
          <w:tcPr>
            <w:tcW w:w="6938" w:type="dxa"/>
          </w:tcPr>
          <w:p w14:paraId="3742B947" w14:textId="4CC6C3F8" w:rsidR="0069341E" w:rsidRPr="00817254" w:rsidRDefault="00A16A9D" w:rsidP="005B3A1A">
            <w:pPr>
              <w:rPr>
                <w:i/>
                <w:sz w:val="20"/>
                <w:szCs w:val="24"/>
              </w:rPr>
            </w:pPr>
            <w:r>
              <w:rPr>
                <w:i/>
                <w:sz w:val="20"/>
                <w:szCs w:val="24"/>
              </w:rPr>
              <w:t>Underperformance Policy</w:t>
            </w:r>
          </w:p>
        </w:tc>
      </w:tr>
      <w:tr w:rsidR="0069341E" w:rsidRPr="00817254" w14:paraId="3742B94B" w14:textId="77777777" w:rsidTr="005B3A1A">
        <w:tc>
          <w:tcPr>
            <w:tcW w:w="2122" w:type="dxa"/>
          </w:tcPr>
          <w:p w14:paraId="3742B949" w14:textId="77777777" w:rsidR="0069341E" w:rsidRPr="00817254" w:rsidRDefault="0069341E" w:rsidP="005B3A1A">
            <w:pPr>
              <w:rPr>
                <w:i/>
                <w:sz w:val="20"/>
                <w:szCs w:val="24"/>
              </w:rPr>
            </w:pPr>
          </w:p>
        </w:tc>
        <w:tc>
          <w:tcPr>
            <w:tcW w:w="6938" w:type="dxa"/>
          </w:tcPr>
          <w:p w14:paraId="3742B94A" w14:textId="77777777" w:rsidR="0069341E" w:rsidRPr="00817254" w:rsidRDefault="0069341E" w:rsidP="005B3A1A">
            <w:pPr>
              <w:rPr>
                <w:i/>
                <w:sz w:val="20"/>
                <w:szCs w:val="24"/>
              </w:rPr>
            </w:pPr>
          </w:p>
        </w:tc>
      </w:tr>
    </w:tbl>
    <w:p w14:paraId="3742B94C" w14:textId="77777777" w:rsidR="0069341E" w:rsidRPr="00010E74" w:rsidRDefault="0069341E" w:rsidP="00FF340B">
      <w:pPr>
        <w:rPr>
          <w:i/>
          <w:sz w:val="20"/>
          <w:szCs w:val="24"/>
        </w:rPr>
      </w:pPr>
    </w:p>
    <w:sectPr w:rsidR="0069341E" w:rsidRPr="00010E74" w:rsidSect="002F61F7">
      <w:headerReference w:type="default" r:id="rId14"/>
      <w:footerReference w:type="default" r:id="rId15"/>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8736" w14:textId="77777777" w:rsidR="00B96B1C" w:rsidRDefault="00B96B1C" w:rsidP="00F66CB0">
      <w:r>
        <w:separator/>
      </w:r>
    </w:p>
  </w:endnote>
  <w:endnote w:type="continuationSeparator" w:id="0">
    <w:p w14:paraId="0A253625" w14:textId="77777777" w:rsidR="00B96B1C" w:rsidRDefault="00B96B1C"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883"/>
      <w:gridCol w:w="1699"/>
    </w:tblGrid>
    <w:tr w:rsidR="00E9072F" w:rsidRPr="00AE7C5C" w14:paraId="3742B95C" w14:textId="77777777" w:rsidTr="00A16A9D">
      <w:tc>
        <w:tcPr>
          <w:tcW w:w="1515" w:type="dxa"/>
        </w:tcPr>
        <w:p w14:paraId="3742B956"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3742B957" w14:textId="77777777" w:rsidR="00E9072F" w:rsidRPr="00B3752F" w:rsidRDefault="00E9072F" w:rsidP="002F61F7">
          <w:pPr>
            <w:pStyle w:val="Footer"/>
            <w:rPr>
              <w:rFonts w:cs="Arial"/>
              <w:b/>
              <w:bCs/>
              <w:i/>
              <w:sz w:val="20"/>
            </w:rPr>
          </w:pPr>
          <w:r w:rsidRPr="00B3752F">
            <w:rPr>
              <w:rFonts w:cs="Arial"/>
              <w:b/>
              <w:bCs/>
              <w:i/>
              <w:sz w:val="20"/>
            </w:rPr>
            <w:t>Version</w:t>
          </w:r>
        </w:p>
      </w:tc>
      <w:tc>
        <w:tcPr>
          <w:tcW w:w="1552" w:type="dxa"/>
        </w:tcPr>
        <w:p w14:paraId="3742B958" w14:textId="77777777" w:rsidR="00E9072F" w:rsidRPr="00B3752F" w:rsidRDefault="00E9072F" w:rsidP="002F61F7">
          <w:pPr>
            <w:pStyle w:val="Footer"/>
            <w:rPr>
              <w:rFonts w:cs="Arial"/>
              <w:b/>
              <w:bCs/>
              <w:i/>
              <w:sz w:val="20"/>
            </w:rPr>
          </w:pPr>
          <w:r w:rsidRPr="00B3752F">
            <w:rPr>
              <w:rFonts w:cs="Arial"/>
              <w:b/>
              <w:bCs/>
              <w:i/>
              <w:sz w:val="20"/>
            </w:rPr>
            <w:t>Issued</w:t>
          </w:r>
        </w:p>
      </w:tc>
      <w:tc>
        <w:tcPr>
          <w:tcW w:w="1456" w:type="dxa"/>
        </w:tcPr>
        <w:p w14:paraId="3742B959" w14:textId="77777777" w:rsidR="00E9072F" w:rsidRPr="00B3752F" w:rsidRDefault="00E9072F" w:rsidP="002F61F7">
          <w:pPr>
            <w:pStyle w:val="Footer"/>
            <w:rPr>
              <w:rFonts w:cs="Arial"/>
              <w:b/>
              <w:bCs/>
              <w:i/>
              <w:sz w:val="20"/>
            </w:rPr>
          </w:pPr>
          <w:r w:rsidRPr="00B3752F">
            <w:rPr>
              <w:rFonts w:cs="Arial"/>
              <w:b/>
              <w:bCs/>
              <w:i/>
              <w:sz w:val="20"/>
            </w:rPr>
            <w:t>Review Date</w:t>
          </w:r>
        </w:p>
      </w:tc>
      <w:tc>
        <w:tcPr>
          <w:tcW w:w="1883" w:type="dxa"/>
        </w:tcPr>
        <w:p w14:paraId="3742B95A"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699" w:type="dxa"/>
        </w:tcPr>
        <w:p w14:paraId="3742B95B"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3742B963" w14:textId="77777777" w:rsidTr="00A16A9D">
      <w:tc>
        <w:tcPr>
          <w:tcW w:w="1515" w:type="dxa"/>
        </w:tcPr>
        <w:p w14:paraId="3742B95D" w14:textId="632D1D9C" w:rsidR="00E9072F" w:rsidRPr="00542EE6" w:rsidRDefault="00A16A9D" w:rsidP="002F61F7">
          <w:pPr>
            <w:pStyle w:val="Footer"/>
            <w:rPr>
              <w:rFonts w:cs="Arial"/>
              <w:b/>
              <w:bCs/>
              <w:sz w:val="20"/>
            </w:rPr>
          </w:pPr>
          <w:r>
            <w:rPr>
              <w:b/>
              <w:sz w:val="20"/>
            </w:rPr>
            <w:t>CHS20/284</w:t>
          </w:r>
        </w:p>
      </w:tc>
      <w:tc>
        <w:tcPr>
          <w:tcW w:w="965" w:type="dxa"/>
        </w:tcPr>
        <w:p w14:paraId="3742B95E" w14:textId="299774CC" w:rsidR="00E9072F" w:rsidRPr="00B3752F" w:rsidRDefault="00A16A9D" w:rsidP="002F61F7">
          <w:pPr>
            <w:pStyle w:val="Footer"/>
            <w:rPr>
              <w:rFonts w:cs="Arial"/>
              <w:b/>
              <w:bCs/>
              <w:sz w:val="20"/>
            </w:rPr>
          </w:pPr>
          <w:r>
            <w:rPr>
              <w:rFonts w:cs="Arial"/>
              <w:b/>
              <w:bCs/>
              <w:sz w:val="20"/>
            </w:rPr>
            <w:t>1</w:t>
          </w:r>
        </w:p>
      </w:tc>
      <w:tc>
        <w:tcPr>
          <w:tcW w:w="1552" w:type="dxa"/>
        </w:tcPr>
        <w:p w14:paraId="3742B95F" w14:textId="1BDB8464" w:rsidR="00E9072F" w:rsidRPr="00B3752F" w:rsidRDefault="00A16A9D" w:rsidP="002F61F7">
          <w:pPr>
            <w:pStyle w:val="Footer"/>
            <w:rPr>
              <w:rFonts w:cs="Arial"/>
              <w:b/>
              <w:bCs/>
              <w:sz w:val="20"/>
            </w:rPr>
          </w:pPr>
          <w:r>
            <w:rPr>
              <w:rFonts w:cs="Arial"/>
              <w:b/>
              <w:bCs/>
              <w:sz w:val="20"/>
            </w:rPr>
            <w:t>26/10/2020</w:t>
          </w:r>
        </w:p>
      </w:tc>
      <w:tc>
        <w:tcPr>
          <w:tcW w:w="1456" w:type="dxa"/>
        </w:tcPr>
        <w:p w14:paraId="3742B960" w14:textId="30F90E53" w:rsidR="00E9072F" w:rsidRPr="00B3752F" w:rsidRDefault="00A16A9D" w:rsidP="0098354D">
          <w:pPr>
            <w:pStyle w:val="Footer"/>
            <w:rPr>
              <w:rFonts w:cs="Arial"/>
              <w:b/>
              <w:bCs/>
              <w:sz w:val="20"/>
            </w:rPr>
          </w:pPr>
          <w:r>
            <w:rPr>
              <w:rFonts w:cs="Arial"/>
              <w:b/>
              <w:bCs/>
              <w:sz w:val="20"/>
            </w:rPr>
            <w:t>01/11/2024</w:t>
          </w:r>
        </w:p>
      </w:tc>
      <w:tc>
        <w:tcPr>
          <w:tcW w:w="1883" w:type="dxa"/>
        </w:tcPr>
        <w:p w14:paraId="3742B961" w14:textId="3AD41A8A" w:rsidR="00E9072F" w:rsidRPr="00B3752F" w:rsidRDefault="00A16A9D" w:rsidP="002F61F7">
          <w:pPr>
            <w:pStyle w:val="Footer"/>
            <w:rPr>
              <w:rFonts w:cs="Arial"/>
              <w:b/>
              <w:bCs/>
              <w:sz w:val="20"/>
            </w:rPr>
          </w:pPr>
          <w:r>
            <w:rPr>
              <w:rFonts w:cs="Arial"/>
              <w:b/>
              <w:bCs/>
              <w:sz w:val="20"/>
            </w:rPr>
            <w:t>People and Culture</w:t>
          </w:r>
        </w:p>
      </w:tc>
      <w:tc>
        <w:tcPr>
          <w:tcW w:w="1699" w:type="dxa"/>
        </w:tcPr>
        <w:p w14:paraId="3742B962" w14:textId="77777777" w:rsidR="00E9072F" w:rsidRPr="00B3752F" w:rsidRDefault="005A40A2"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F01D55">
            <w:rPr>
              <w:rStyle w:val="PageNumber"/>
              <w:noProof/>
              <w:sz w:val="20"/>
            </w:rPr>
            <w:t>3</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F01D55">
            <w:rPr>
              <w:rStyle w:val="PageNumber"/>
              <w:noProof/>
              <w:sz w:val="20"/>
            </w:rPr>
            <w:t>5</w:t>
          </w:r>
          <w:r w:rsidRPr="00B3752F">
            <w:rPr>
              <w:rStyle w:val="PageNumber"/>
              <w:sz w:val="20"/>
            </w:rPr>
            <w:fldChar w:fldCharType="end"/>
          </w:r>
        </w:p>
      </w:tc>
    </w:tr>
    <w:tr w:rsidR="00B44F9C" w14:paraId="16F20E08"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477E752" w14:textId="4E9958C9" w:rsidR="00B44F9C" w:rsidRPr="002C1428" w:rsidRDefault="00B44F9C" w:rsidP="00B44F9C">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BD0779">
            <w:rPr>
              <w:sz w:val="16"/>
              <w:szCs w:val="16"/>
            </w:rPr>
            <w:t>CHS</w:t>
          </w:r>
          <w:r w:rsidRPr="002C1428">
            <w:rPr>
              <w:sz w:val="16"/>
              <w:szCs w:val="16"/>
            </w:rPr>
            <w:t xml:space="preserve"> Policy Register</w:t>
          </w:r>
        </w:p>
      </w:tc>
    </w:tr>
  </w:tbl>
  <w:p w14:paraId="3742B964" w14:textId="77777777" w:rsidR="00E9072F" w:rsidRPr="00A547D6" w:rsidRDefault="00E9072F"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65FE6" w14:textId="77777777" w:rsidR="00B96B1C" w:rsidRDefault="00B96B1C" w:rsidP="00F66CB0">
      <w:r>
        <w:separator/>
      </w:r>
    </w:p>
  </w:footnote>
  <w:footnote w:type="continuationSeparator" w:id="0">
    <w:p w14:paraId="462FD10C" w14:textId="77777777" w:rsidR="00B96B1C" w:rsidRDefault="00B96B1C"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3527"/>
    </w:tblGrid>
    <w:tr w:rsidR="001265B8" w14:paraId="3742B954" w14:textId="77777777" w:rsidTr="001265B8">
      <w:trPr>
        <w:trHeight w:val="1418"/>
      </w:trPr>
      <w:tc>
        <w:tcPr>
          <w:tcW w:w="5543" w:type="dxa"/>
          <w:vAlign w:val="center"/>
          <w:hideMark/>
        </w:tcPr>
        <w:p w14:paraId="3742B952" w14:textId="2FD9127C" w:rsidR="001265B8" w:rsidRDefault="001265B8" w:rsidP="001265B8">
          <w:pPr>
            <w:pStyle w:val="Header"/>
            <w:rPr>
              <w:sz w:val="20"/>
            </w:rPr>
          </w:pPr>
          <w:r>
            <w:rPr>
              <w:noProof/>
              <w:sz w:val="20"/>
            </w:rPr>
            <w:drawing>
              <wp:inline distT="0" distB="0" distL="0" distR="0" wp14:anchorId="35A6FE35" wp14:editId="627304F4">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527" w:type="dxa"/>
          <w:vAlign w:val="center"/>
        </w:tcPr>
        <w:p w14:paraId="19D8878B" w14:textId="54D76E98" w:rsidR="001265B8" w:rsidRDefault="00A16A9D" w:rsidP="001265B8">
          <w:pPr>
            <w:pStyle w:val="Header"/>
            <w:tabs>
              <w:tab w:val="left" w:pos="720"/>
            </w:tabs>
            <w:jc w:val="right"/>
            <w:rPr>
              <w:sz w:val="20"/>
            </w:rPr>
          </w:pPr>
          <w:r>
            <w:rPr>
              <w:sz w:val="20"/>
            </w:rPr>
            <w:t>CHS20/284</w:t>
          </w:r>
        </w:p>
      </w:tc>
      <w:bookmarkStart w:id="1" w:name="_top"/>
      <w:bookmarkEnd w:id="1"/>
    </w:tr>
  </w:tbl>
  <w:p w14:paraId="3742B955" w14:textId="77777777"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0FC6B42"/>
    <w:multiLevelType w:val="hybridMultilevel"/>
    <w:tmpl w:val="2400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A343D"/>
    <w:multiLevelType w:val="hybridMultilevel"/>
    <w:tmpl w:val="73085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0D2D0B"/>
    <w:multiLevelType w:val="hybridMultilevel"/>
    <w:tmpl w:val="8B9A1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016440"/>
    <w:multiLevelType w:val="hybridMultilevel"/>
    <w:tmpl w:val="730AB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A5709E"/>
    <w:multiLevelType w:val="hybridMultilevel"/>
    <w:tmpl w:val="6AC20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67C0E2E"/>
    <w:multiLevelType w:val="hybridMultilevel"/>
    <w:tmpl w:val="574A0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03226"/>
    <w:multiLevelType w:val="hybridMultilevel"/>
    <w:tmpl w:val="3648C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264B5D"/>
    <w:multiLevelType w:val="hybridMultilevel"/>
    <w:tmpl w:val="C8AAA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216C4E"/>
    <w:multiLevelType w:val="hybridMultilevel"/>
    <w:tmpl w:val="6F72F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AC73D3"/>
    <w:multiLevelType w:val="hybridMultilevel"/>
    <w:tmpl w:val="8C04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7346F"/>
    <w:multiLevelType w:val="hybridMultilevel"/>
    <w:tmpl w:val="7264E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7"/>
  </w:num>
  <w:num w:numId="4">
    <w:abstractNumId w:val="3"/>
  </w:num>
  <w:num w:numId="5">
    <w:abstractNumId w:val="6"/>
  </w:num>
  <w:num w:numId="6">
    <w:abstractNumId w:val="18"/>
  </w:num>
  <w:num w:numId="7">
    <w:abstractNumId w:val="9"/>
  </w:num>
  <w:num w:numId="8">
    <w:abstractNumId w:val="11"/>
  </w:num>
  <w:num w:numId="9">
    <w:abstractNumId w:val="1"/>
  </w:num>
  <w:num w:numId="10">
    <w:abstractNumId w:val="14"/>
  </w:num>
  <w:num w:numId="11">
    <w:abstractNumId w:val="4"/>
  </w:num>
  <w:num w:numId="12">
    <w:abstractNumId w:val="5"/>
  </w:num>
  <w:num w:numId="13">
    <w:abstractNumId w:val="8"/>
  </w:num>
  <w:num w:numId="14">
    <w:abstractNumId w:val="10"/>
  </w:num>
  <w:num w:numId="15">
    <w:abstractNumId w:val="15"/>
  </w:num>
  <w:num w:numId="16">
    <w:abstractNumId w:val="13"/>
  </w:num>
  <w:num w:numId="17">
    <w:abstractNumId w:val="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50A68"/>
    <w:rsid w:val="000630BA"/>
    <w:rsid w:val="00095139"/>
    <w:rsid w:val="000A4DA0"/>
    <w:rsid w:val="000B5C8C"/>
    <w:rsid w:val="000C59E2"/>
    <w:rsid w:val="000C7B2D"/>
    <w:rsid w:val="000F7B7E"/>
    <w:rsid w:val="00103EEA"/>
    <w:rsid w:val="001265B8"/>
    <w:rsid w:val="00191109"/>
    <w:rsid w:val="001A0053"/>
    <w:rsid w:val="001B2465"/>
    <w:rsid w:val="001E6E04"/>
    <w:rsid w:val="001F6D2D"/>
    <w:rsid w:val="00240B97"/>
    <w:rsid w:val="0025382D"/>
    <w:rsid w:val="00263BA6"/>
    <w:rsid w:val="002657AE"/>
    <w:rsid w:val="0027264D"/>
    <w:rsid w:val="00293E43"/>
    <w:rsid w:val="002B5F43"/>
    <w:rsid w:val="002C52AF"/>
    <w:rsid w:val="002D7104"/>
    <w:rsid w:val="002F61F7"/>
    <w:rsid w:val="00313707"/>
    <w:rsid w:val="00327552"/>
    <w:rsid w:val="00344838"/>
    <w:rsid w:val="003625A2"/>
    <w:rsid w:val="00376A6D"/>
    <w:rsid w:val="00380B98"/>
    <w:rsid w:val="003918FC"/>
    <w:rsid w:val="00396023"/>
    <w:rsid w:val="003C4BB5"/>
    <w:rsid w:val="003D1D90"/>
    <w:rsid w:val="003E1E3C"/>
    <w:rsid w:val="003E4CC0"/>
    <w:rsid w:val="003F3D8F"/>
    <w:rsid w:val="00412CED"/>
    <w:rsid w:val="00427139"/>
    <w:rsid w:val="004358E9"/>
    <w:rsid w:val="00455408"/>
    <w:rsid w:val="004619C2"/>
    <w:rsid w:val="00487DD5"/>
    <w:rsid w:val="004961E2"/>
    <w:rsid w:val="004A2E02"/>
    <w:rsid w:val="004B7C43"/>
    <w:rsid w:val="004C2B20"/>
    <w:rsid w:val="004E28AD"/>
    <w:rsid w:val="004E2A5F"/>
    <w:rsid w:val="004E2D2A"/>
    <w:rsid w:val="004E5B45"/>
    <w:rsid w:val="004E7B14"/>
    <w:rsid w:val="004F1D05"/>
    <w:rsid w:val="004F2497"/>
    <w:rsid w:val="005149D6"/>
    <w:rsid w:val="0052443C"/>
    <w:rsid w:val="0052775E"/>
    <w:rsid w:val="00536503"/>
    <w:rsid w:val="00542514"/>
    <w:rsid w:val="00546AED"/>
    <w:rsid w:val="005621E4"/>
    <w:rsid w:val="00581694"/>
    <w:rsid w:val="00596FD7"/>
    <w:rsid w:val="005A2C1F"/>
    <w:rsid w:val="005A3625"/>
    <w:rsid w:val="005A40A2"/>
    <w:rsid w:val="005B4738"/>
    <w:rsid w:val="005B6AEF"/>
    <w:rsid w:val="005C212D"/>
    <w:rsid w:val="005C3CB0"/>
    <w:rsid w:val="005C44F1"/>
    <w:rsid w:val="005F7499"/>
    <w:rsid w:val="00612231"/>
    <w:rsid w:val="00634E19"/>
    <w:rsid w:val="00635EB1"/>
    <w:rsid w:val="00636DD9"/>
    <w:rsid w:val="006473BB"/>
    <w:rsid w:val="0066495D"/>
    <w:rsid w:val="00664EC6"/>
    <w:rsid w:val="00667C96"/>
    <w:rsid w:val="0069341E"/>
    <w:rsid w:val="00695EB6"/>
    <w:rsid w:val="006A4D46"/>
    <w:rsid w:val="006A6024"/>
    <w:rsid w:val="006C31FF"/>
    <w:rsid w:val="006C6B6C"/>
    <w:rsid w:val="006C704D"/>
    <w:rsid w:val="006E1B0C"/>
    <w:rsid w:val="006E31CB"/>
    <w:rsid w:val="0070331D"/>
    <w:rsid w:val="00712B30"/>
    <w:rsid w:val="00741B43"/>
    <w:rsid w:val="00756537"/>
    <w:rsid w:val="007A0EBC"/>
    <w:rsid w:val="007A238D"/>
    <w:rsid w:val="007B4ABB"/>
    <w:rsid w:val="007B6904"/>
    <w:rsid w:val="007C0E06"/>
    <w:rsid w:val="00801AF9"/>
    <w:rsid w:val="00816782"/>
    <w:rsid w:val="00817254"/>
    <w:rsid w:val="0082141D"/>
    <w:rsid w:val="00827F24"/>
    <w:rsid w:val="00855DA8"/>
    <w:rsid w:val="00862E31"/>
    <w:rsid w:val="00886399"/>
    <w:rsid w:val="008974CA"/>
    <w:rsid w:val="008E1F7F"/>
    <w:rsid w:val="008F00E8"/>
    <w:rsid w:val="008F6921"/>
    <w:rsid w:val="00933EED"/>
    <w:rsid w:val="00940CDE"/>
    <w:rsid w:val="00942B11"/>
    <w:rsid w:val="00954112"/>
    <w:rsid w:val="009648CB"/>
    <w:rsid w:val="0097742A"/>
    <w:rsid w:val="00980EED"/>
    <w:rsid w:val="0098354D"/>
    <w:rsid w:val="00991670"/>
    <w:rsid w:val="009B3F8C"/>
    <w:rsid w:val="009B6C8C"/>
    <w:rsid w:val="009C0FCA"/>
    <w:rsid w:val="009C3963"/>
    <w:rsid w:val="009D323C"/>
    <w:rsid w:val="009F2977"/>
    <w:rsid w:val="00A16A9D"/>
    <w:rsid w:val="00A24CDA"/>
    <w:rsid w:val="00A35E2D"/>
    <w:rsid w:val="00A52951"/>
    <w:rsid w:val="00A628C1"/>
    <w:rsid w:val="00A6718B"/>
    <w:rsid w:val="00A74B8A"/>
    <w:rsid w:val="00A83C2D"/>
    <w:rsid w:val="00A85F61"/>
    <w:rsid w:val="00A86A9D"/>
    <w:rsid w:val="00A86DB3"/>
    <w:rsid w:val="00AA25DC"/>
    <w:rsid w:val="00AB4914"/>
    <w:rsid w:val="00AD5D7C"/>
    <w:rsid w:val="00B21043"/>
    <w:rsid w:val="00B327F5"/>
    <w:rsid w:val="00B44CAC"/>
    <w:rsid w:val="00B44F9C"/>
    <w:rsid w:val="00B573D6"/>
    <w:rsid w:val="00B7783C"/>
    <w:rsid w:val="00B81455"/>
    <w:rsid w:val="00B9627F"/>
    <w:rsid w:val="00B96B1C"/>
    <w:rsid w:val="00BA2415"/>
    <w:rsid w:val="00BA4F95"/>
    <w:rsid w:val="00BB33F9"/>
    <w:rsid w:val="00BC3CE6"/>
    <w:rsid w:val="00BD0779"/>
    <w:rsid w:val="00BE5E41"/>
    <w:rsid w:val="00C118CB"/>
    <w:rsid w:val="00C13C05"/>
    <w:rsid w:val="00C24EDC"/>
    <w:rsid w:val="00C25A76"/>
    <w:rsid w:val="00C32206"/>
    <w:rsid w:val="00C45C67"/>
    <w:rsid w:val="00C46419"/>
    <w:rsid w:val="00C46710"/>
    <w:rsid w:val="00C523FF"/>
    <w:rsid w:val="00C5559A"/>
    <w:rsid w:val="00C71C3C"/>
    <w:rsid w:val="00CA593D"/>
    <w:rsid w:val="00CC71D4"/>
    <w:rsid w:val="00D13EBA"/>
    <w:rsid w:val="00D21780"/>
    <w:rsid w:val="00D23346"/>
    <w:rsid w:val="00D243B8"/>
    <w:rsid w:val="00D34794"/>
    <w:rsid w:val="00D4502D"/>
    <w:rsid w:val="00D530CE"/>
    <w:rsid w:val="00D53E3C"/>
    <w:rsid w:val="00D77950"/>
    <w:rsid w:val="00D80114"/>
    <w:rsid w:val="00D8106C"/>
    <w:rsid w:val="00DA0702"/>
    <w:rsid w:val="00DC3762"/>
    <w:rsid w:val="00DD616A"/>
    <w:rsid w:val="00DE0465"/>
    <w:rsid w:val="00E049ED"/>
    <w:rsid w:val="00E2366B"/>
    <w:rsid w:val="00E31851"/>
    <w:rsid w:val="00E34E6D"/>
    <w:rsid w:val="00E37CD4"/>
    <w:rsid w:val="00E57848"/>
    <w:rsid w:val="00E73C31"/>
    <w:rsid w:val="00E9072F"/>
    <w:rsid w:val="00E96207"/>
    <w:rsid w:val="00ED21C3"/>
    <w:rsid w:val="00ED388C"/>
    <w:rsid w:val="00EE4C23"/>
    <w:rsid w:val="00EF02B0"/>
    <w:rsid w:val="00F01B61"/>
    <w:rsid w:val="00F01D55"/>
    <w:rsid w:val="00F0517F"/>
    <w:rsid w:val="00F149FD"/>
    <w:rsid w:val="00F4262F"/>
    <w:rsid w:val="00F53719"/>
    <w:rsid w:val="00F56495"/>
    <w:rsid w:val="00F57291"/>
    <w:rsid w:val="00F66CB0"/>
    <w:rsid w:val="00F76C89"/>
    <w:rsid w:val="00FA29B8"/>
    <w:rsid w:val="00FD3D92"/>
    <w:rsid w:val="00FF340B"/>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2B8E0"/>
  <w15:docId w15:val="{FE8DB3A8-D19A-4C78-9181-6BEFC78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99"/>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character" w:customStyle="1" w:styleId="UnresolvedMention1">
    <w:name w:val="Unresolved Mention1"/>
    <w:basedOn w:val="DefaultParagraphFont"/>
    <w:uiPriority w:val="99"/>
    <w:semiHidden/>
    <w:unhideWhenUsed/>
    <w:rsid w:val="00801AF9"/>
    <w:rPr>
      <w:color w:val="605E5C"/>
      <w:shd w:val="clear" w:color="auto" w:fill="E1DFDD"/>
    </w:rPr>
  </w:style>
  <w:style w:type="paragraph" w:styleId="Revision">
    <w:name w:val="Revision"/>
    <w:hidden/>
    <w:uiPriority w:val="99"/>
    <w:semiHidden/>
    <w:rsid w:val="00E73C31"/>
    <w:pPr>
      <w:spacing w:after="0" w:line="240" w:lineRule="auto"/>
    </w:pPr>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4E7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180465847">
      <w:bodyDiv w:val="1"/>
      <w:marLeft w:val="0"/>
      <w:marRight w:val="0"/>
      <w:marTop w:val="0"/>
      <w:marBottom w:val="0"/>
      <w:divBdr>
        <w:top w:val="none" w:sz="0" w:space="0" w:color="auto"/>
        <w:left w:val="none" w:sz="0" w:space="0" w:color="auto"/>
        <w:bottom w:val="none" w:sz="0" w:space="0" w:color="auto"/>
        <w:right w:val="none" w:sz="0" w:space="0" w:color="auto"/>
      </w:divBdr>
    </w:div>
    <w:div w:id="18591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hub.act.gov.au/sites/default/files/2018-11/20181128_Fact%20Sheet%20-%20Underperformance%201.1b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act.gov.au/di/2016-251/current/pdf/2016-25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hub.act.gov.au/employment-resources/workforce-relations/enterprise-agree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CHS20/284</Decision_x0020_Number>
    <Description0 xmlns="690b2128-8961-48af-a473-22c34a9accba">The aim of the Underperformance Policy is to ensure appropriate management of underperformance</Description0>
    <Display_x0020_on_x0020_Internet xmlns="690b2128-8961-48af-a473-22c34a9accba">true</Display_x0020_on_x0020_Internet>
    <Review_x0020_Date xmlns="690b2128-8961-48af-a473-22c34a9accba">2024-10-31T13:00:00+00:00</Review_x0020_Date>
    <Approval_x0020_Name_x007c_Committee xmlns="690b2128-8961-48af-a473-22c34a9accba">CHS Policy Committee</Approval_x0020_Name_x007c_Committee>
    <Risk_x0020_Rating xmlns="690b2128-8961-48af-a473-22c34a9accba">Medium</Risk_x0020_Rating>
    <Related_x0020_Documents xmlns="690b2128-8961-48af-a473-22c34a9accba" xsi:nil="true"/>
    <Replaces_x003a_ xmlns="690b2128-8961-48af-a473-22c34a9accba">DGD16-025 Underperformance Policy</Replaces_x003a_>
    <Progress xmlns="690b2128-8961-48af-a473-22c34a9accba" xsi:nil="true"/>
    <TaxCatchAll xmlns="c0239a80-7f07-4ed7-82c3-24ad7d76ada5" xsi:nil="true"/>
    <Key_x0020_Words xmlns="690b2128-8961-48af-a473-22c34a9accba">Underperformance; under-performance; performance plan</Key_x0020_Words>
    <Type_x0020_of_x0020_Document xmlns="690b2128-8961-48af-a473-22c34a9accba">Policy</Type_x0020_of_x0020_Document>
    <Version_x0020_Number xmlns="690b2128-8961-48af-a473-22c34a9accba">1</Version_x0020_Number>
    <Approval_x0020_Date xmlns="690b2128-8961-48af-a473-22c34a9accba">2020-10-20T13:00:00+00:00</Approval_x0020_Date>
    <Notes0 xmlns="690b2128-8961-48af-a473-22c34a9accba" xsi:nil="true"/>
    <New_x0020_Applies_x0020_To xmlns="690b2128-8961-48af-a473-22c34a9accba">Canberra Health Services</New_x0020_Applies_x0020_To>
    <New_x0020_Owner xmlns="690b2128-8961-48af-a473-22c34a9accba">People and Culture - Workforce Relations</New_x0020_Owner>
    <Status xmlns="690b2128-8961-48af-a473-22c34a9accba">Approved</Statu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F058C-E928-43C8-9BF0-43F1BC651431}">
  <ds:schemaRefs>
    <ds:schemaRef ds:uri="http://purl.org/dc/elements/1.1/"/>
    <ds:schemaRef ds:uri="http://schemas.microsoft.com/office/2006/metadata/properties"/>
    <ds:schemaRef ds:uri="0c8e588b-9c83-49d3-a6c8-a54de8f95e6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8353f82-a9b7-46dc-b9a0-4477ddce7c7c"/>
    <ds:schemaRef ds:uri="http://www.w3.org/XML/1998/namespace"/>
  </ds:schemaRefs>
</ds:datastoreItem>
</file>

<file path=customXml/itemProps2.xml><?xml version="1.0" encoding="utf-8"?>
<ds:datastoreItem xmlns:ds="http://schemas.openxmlformats.org/officeDocument/2006/customXml" ds:itemID="{C9F3AC62-9A0A-4B4E-86A6-D787D123FA0B}">
  <ds:schemaRefs>
    <ds:schemaRef ds:uri="http://schemas.openxmlformats.org/officeDocument/2006/bibliography"/>
  </ds:schemaRefs>
</ds:datastoreItem>
</file>

<file path=customXml/itemProps3.xml><?xml version="1.0" encoding="utf-8"?>
<ds:datastoreItem xmlns:ds="http://schemas.openxmlformats.org/officeDocument/2006/customXml" ds:itemID="{900CE979-199B-4288-8944-4417C383DB33}"/>
</file>

<file path=customXml/itemProps4.xml><?xml version="1.0" encoding="utf-8"?>
<ds:datastoreItem xmlns:ds="http://schemas.openxmlformats.org/officeDocument/2006/customXml" ds:itemID="{E178EEFF-BD7A-446F-BBA1-332E66737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Underperformance Policy</dc:title>
  <dc:subject>23;#</dc:subject>
  <dc:creator>Kerryn Hunter</dc:creator>
  <cp:lastModifiedBy>Hunter, Kerryn (Health)</cp:lastModifiedBy>
  <cp:revision>4</cp:revision>
  <cp:lastPrinted>2020-08-07T05:37:00Z</cp:lastPrinted>
  <dcterms:created xsi:type="dcterms:W3CDTF">2020-10-23T04:35:00Z</dcterms:created>
  <dcterms:modified xsi:type="dcterms:W3CDTF">2020-10-26T00:24:00Z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8" name="Manager Contact">
    <vt:lpwstr/>
  </property>
</Properties>
</file>