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29D0" w14:textId="106EB24D" w:rsidR="009A534C" w:rsidRPr="00DA3910" w:rsidRDefault="009A534C" w:rsidP="009A534C">
      <w:pPr>
        <w:rPr>
          <w:rFonts w:cs="Arial"/>
          <w:b/>
          <w:sz w:val="40"/>
          <w:szCs w:val="40"/>
        </w:rPr>
      </w:pPr>
      <w:r w:rsidRPr="00DA3910">
        <w:rPr>
          <w:rFonts w:cs="Arial"/>
          <w:b/>
          <w:sz w:val="40"/>
          <w:szCs w:val="40"/>
        </w:rPr>
        <w:t>Canberra Health Services</w:t>
      </w:r>
    </w:p>
    <w:p w14:paraId="086829D1" w14:textId="03FBB043" w:rsidR="009A534C" w:rsidRPr="00DA3910" w:rsidRDefault="009A534C" w:rsidP="009A534C">
      <w:pPr>
        <w:rPr>
          <w:rFonts w:cs="Arial"/>
          <w:b/>
          <w:sz w:val="40"/>
          <w:szCs w:val="40"/>
        </w:rPr>
      </w:pPr>
      <w:r>
        <w:rPr>
          <w:rFonts w:cs="Arial"/>
          <w:b/>
          <w:sz w:val="40"/>
          <w:szCs w:val="40"/>
        </w:rPr>
        <w:t>Guideline</w:t>
      </w:r>
    </w:p>
    <w:p w14:paraId="086829D2" w14:textId="6D83343D" w:rsidR="009A534C" w:rsidRDefault="00747626" w:rsidP="009A534C">
      <w:pPr>
        <w:rPr>
          <w:rFonts w:cs="Arial"/>
          <w:b/>
          <w:sz w:val="36"/>
          <w:szCs w:val="36"/>
        </w:rPr>
      </w:pPr>
      <w:bookmarkStart w:id="0" w:name="_Hlk130987173"/>
      <w:r>
        <w:rPr>
          <w:rFonts w:cs="Arial"/>
          <w:b/>
          <w:sz w:val="36"/>
          <w:szCs w:val="36"/>
        </w:rPr>
        <w:t>Persistent Pain Management Strategy for Adult Patients with Advanced Chronic Kidney Disease</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9D4" w14:textId="77777777" w:rsidTr="008E74FD">
        <w:trPr>
          <w:cantSplit/>
          <w:trHeight w:val="285"/>
        </w:trPr>
        <w:tc>
          <w:tcPr>
            <w:tcW w:w="9158" w:type="dxa"/>
            <w:shd w:val="clear" w:color="auto" w:fill="D9D9D9" w:themeFill="background1" w:themeFillShade="D9"/>
          </w:tcPr>
          <w:p w14:paraId="086829D3" w14:textId="77777777" w:rsidR="009A534C" w:rsidRPr="00CD1C0E" w:rsidRDefault="009A534C" w:rsidP="00B10F87">
            <w:pPr>
              <w:pStyle w:val="Heading1"/>
            </w:pPr>
            <w:bookmarkStart w:id="1" w:name="_Toc389473273"/>
            <w:bookmarkStart w:id="2" w:name="_Toc393203330"/>
            <w:bookmarkStart w:id="3" w:name="Contents"/>
            <w:bookmarkStart w:id="4" w:name="_Toc134688850"/>
            <w:bookmarkEnd w:id="0"/>
            <w:r w:rsidRPr="00CD1C0E">
              <w:t>Contents</w:t>
            </w:r>
            <w:bookmarkEnd w:id="1"/>
            <w:bookmarkEnd w:id="2"/>
            <w:bookmarkEnd w:id="3"/>
            <w:bookmarkEnd w:id="4"/>
          </w:p>
        </w:tc>
      </w:tr>
    </w:tbl>
    <w:p w14:paraId="086829D5" w14:textId="77777777" w:rsidR="009A534C" w:rsidRDefault="009A534C" w:rsidP="00C13D33"/>
    <w:p w14:paraId="3842CEC5" w14:textId="49C9B4DA" w:rsidR="00CD1055" w:rsidRDefault="00A063FE">
      <w:pPr>
        <w:pStyle w:val="TOC1"/>
        <w:tabs>
          <w:tab w:val="right" w:leader="dot" w:pos="9060"/>
        </w:tabs>
        <w:rPr>
          <w:rFonts w:eastAsiaTheme="minorEastAsia" w:cstheme="minorBidi"/>
          <w:noProof/>
          <w:sz w:val="22"/>
          <w:szCs w:val="22"/>
          <w:lang w:eastAsia="en-AU"/>
        </w:rPr>
      </w:pPr>
      <w:r>
        <w:rPr>
          <w:rFonts w:cs="Arial"/>
          <w:b/>
          <w:sz w:val="36"/>
          <w:szCs w:val="36"/>
        </w:rPr>
        <w:fldChar w:fldCharType="begin"/>
      </w:r>
      <w:r w:rsidR="005743AC">
        <w:rPr>
          <w:rFonts w:cs="Arial"/>
          <w:b/>
          <w:sz w:val="36"/>
          <w:szCs w:val="36"/>
        </w:rPr>
        <w:instrText xml:space="preserve"> TOC \h \z \t "Heading 1,1" </w:instrText>
      </w:r>
      <w:r>
        <w:rPr>
          <w:rFonts w:cs="Arial"/>
          <w:b/>
          <w:sz w:val="36"/>
          <w:szCs w:val="36"/>
        </w:rPr>
        <w:fldChar w:fldCharType="separate"/>
      </w:r>
      <w:hyperlink w:anchor="_Toc134688850" w:history="1">
        <w:r w:rsidR="00CD1055" w:rsidRPr="00BC6819">
          <w:rPr>
            <w:rStyle w:val="Hyperlink"/>
            <w:noProof/>
          </w:rPr>
          <w:t>Contents</w:t>
        </w:r>
        <w:r w:rsidR="00CD1055">
          <w:rPr>
            <w:noProof/>
            <w:webHidden/>
          </w:rPr>
          <w:tab/>
        </w:r>
        <w:r w:rsidR="00CD1055">
          <w:rPr>
            <w:noProof/>
            <w:webHidden/>
          </w:rPr>
          <w:fldChar w:fldCharType="begin"/>
        </w:r>
        <w:r w:rsidR="00CD1055">
          <w:rPr>
            <w:noProof/>
            <w:webHidden/>
          </w:rPr>
          <w:instrText xml:space="preserve"> PAGEREF _Toc134688850 \h </w:instrText>
        </w:r>
        <w:r w:rsidR="00CD1055">
          <w:rPr>
            <w:noProof/>
            <w:webHidden/>
          </w:rPr>
        </w:r>
        <w:r w:rsidR="00CD1055">
          <w:rPr>
            <w:noProof/>
            <w:webHidden/>
          </w:rPr>
          <w:fldChar w:fldCharType="separate"/>
        </w:r>
        <w:r w:rsidR="00CD1055">
          <w:rPr>
            <w:noProof/>
            <w:webHidden/>
          </w:rPr>
          <w:t>1</w:t>
        </w:r>
        <w:r w:rsidR="00CD1055">
          <w:rPr>
            <w:noProof/>
            <w:webHidden/>
          </w:rPr>
          <w:fldChar w:fldCharType="end"/>
        </w:r>
      </w:hyperlink>
    </w:p>
    <w:p w14:paraId="76031F13" w14:textId="74DC37EF" w:rsidR="00CD1055" w:rsidRDefault="00E0092E">
      <w:pPr>
        <w:pStyle w:val="TOC1"/>
        <w:tabs>
          <w:tab w:val="right" w:leader="dot" w:pos="9060"/>
        </w:tabs>
        <w:rPr>
          <w:rFonts w:eastAsiaTheme="minorEastAsia" w:cstheme="minorBidi"/>
          <w:noProof/>
          <w:sz w:val="22"/>
          <w:szCs w:val="22"/>
          <w:lang w:eastAsia="en-AU"/>
        </w:rPr>
      </w:pPr>
      <w:hyperlink w:anchor="_Toc134688851" w:history="1">
        <w:r w:rsidR="00CD1055" w:rsidRPr="00BC6819">
          <w:rPr>
            <w:rStyle w:val="Hyperlink"/>
            <w:noProof/>
          </w:rPr>
          <w:t>Guideline Statement</w:t>
        </w:r>
        <w:r w:rsidR="00CD1055">
          <w:rPr>
            <w:noProof/>
            <w:webHidden/>
          </w:rPr>
          <w:tab/>
        </w:r>
        <w:r w:rsidR="00CD1055">
          <w:rPr>
            <w:noProof/>
            <w:webHidden/>
          </w:rPr>
          <w:fldChar w:fldCharType="begin"/>
        </w:r>
        <w:r w:rsidR="00CD1055">
          <w:rPr>
            <w:noProof/>
            <w:webHidden/>
          </w:rPr>
          <w:instrText xml:space="preserve"> PAGEREF _Toc134688851 \h </w:instrText>
        </w:r>
        <w:r w:rsidR="00CD1055">
          <w:rPr>
            <w:noProof/>
            <w:webHidden/>
          </w:rPr>
        </w:r>
        <w:r w:rsidR="00CD1055">
          <w:rPr>
            <w:noProof/>
            <w:webHidden/>
          </w:rPr>
          <w:fldChar w:fldCharType="separate"/>
        </w:r>
        <w:r w:rsidR="00CD1055">
          <w:rPr>
            <w:noProof/>
            <w:webHidden/>
          </w:rPr>
          <w:t>2</w:t>
        </w:r>
        <w:r w:rsidR="00CD1055">
          <w:rPr>
            <w:noProof/>
            <w:webHidden/>
          </w:rPr>
          <w:fldChar w:fldCharType="end"/>
        </w:r>
      </w:hyperlink>
    </w:p>
    <w:p w14:paraId="70CC25FE" w14:textId="1121DA51" w:rsidR="00CD1055" w:rsidRDefault="00E0092E">
      <w:pPr>
        <w:pStyle w:val="TOC1"/>
        <w:tabs>
          <w:tab w:val="right" w:leader="dot" w:pos="9060"/>
        </w:tabs>
        <w:rPr>
          <w:rFonts w:eastAsiaTheme="minorEastAsia" w:cstheme="minorBidi"/>
          <w:noProof/>
          <w:sz w:val="22"/>
          <w:szCs w:val="22"/>
          <w:lang w:eastAsia="en-AU"/>
        </w:rPr>
      </w:pPr>
      <w:hyperlink w:anchor="_Toc134688852" w:history="1">
        <w:r w:rsidR="00CD1055" w:rsidRPr="00BC6819">
          <w:rPr>
            <w:rStyle w:val="Hyperlink"/>
            <w:noProof/>
          </w:rPr>
          <w:t>Scope</w:t>
        </w:r>
        <w:r w:rsidR="00CD1055">
          <w:rPr>
            <w:noProof/>
            <w:webHidden/>
          </w:rPr>
          <w:tab/>
        </w:r>
        <w:r w:rsidR="00CD1055">
          <w:rPr>
            <w:noProof/>
            <w:webHidden/>
          </w:rPr>
          <w:fldChar w:fldCharType="begin"/>
        </w:r>
        <w:r w:rsidR="00CD1055">
          <w:rPr>
            <w:noProof/>
            <w:webHidden/>
          </w:rPr>
          <w:instrText xml:space="preserve"> PAGEREF _Toc134688852 \h </w:instrText>
        </w:r>
        <w:r w:rsidR="00CD1055">
          <w:rPr>
            <w:noProof/>
            <w:webHidden/>
          </w:rPr>
        </w:r>
        <w:r w:rsidR="00CD1055">
          <w:rPr>
            <w:noProof/>
            <w:webHidden/>
          </w:rPr>
          <w:fldChar w:fldCharType="separate"/>
        </w:r>
        <w:r w:rsidR="00CD1055">
          <w:rPr>
            <w:noProof/>
            <w:webHidden/>
          </w:rPr>
          <w:t>3</w:t>
        </w:r>
        <w:r w:rsidR="00CD1055">
          <w:rPr>
            <w:noProof/>
            <w:webHidden/>
          </w:rPr>
          <w:fldChar w:fldCharType="end"/>
        </w:r>
      </w:hyperlink>
    </w:p>
    <w:p w14:paraId="62DA787C" w14:textId="1CF604F7" w:rsidR="00CD1055" w:rsidRDefault="00E0092E">
      <w:pPr>
        <w:pStyle w:val="TOC1"/>
        <w:tabs>
          <w:tab w:val="right" w:leader="dot" w:pos="9060"/>
        </w:tabs>
        <w:rPr>
          <w:rFonts w:eastAsiaTheme="minorEastAsia" w:cstheme="minorBidi"/>
          <w:noProof/>
          <w:sz w:val="22"/>
          <w:szCs w:val="22"/>
          <w:lang w:eastAsia="en-AU"/>
        </w:rPr>
      </w:pPr>
      <w:hyperlink w:anchor="_Toc134688853" w:history="1">
        <w:r w:rsidR="00CD1055" w:rsidRPr="00BC6819">
          <w:rPr>
            <w:rStyle w:val="Hyperlink"/>
            <w:noProof/>
          </w:rPr>
          <w:t>Section 1 – Non-pharmaceutical approaches</w:t>
        </w:r>
        <w:r w:rsidR="00CD1055">
          <w:rPr>
            <w:noProof/>
            <w:webHidden/>
          </w:rPr>
          <w:tab/>
        </w:r>
        <w:r w:rsidR="00CD1055">
          <w:rPr>
            <w:noProof/>
            <w:webHidden/>
          </w:rPr>
          <w:fldChar w:fldCharType="begin"/>
        </w:r>
        <w:r w:rsidR="00CD1055">
          <w:rPr>
            <w:noProof/>
            <w:webHidden/>
          </w:rPr>
          <w:instrText xml:space="preserve"> PAGEREF _Toc134688853 \h </w:instrText>
        </w:r>
        <w:r w:rsidR="00CD1055">
          <w:rPr>
            <w:noProof/>
            <w:webHidden/>
          </w:rPr>
        </w:r>
        <w:r w:rsidR="00CD1055">
          <w:rPr>
            <w:noProof/>
            <w:webHidden/>
          </w:rPr>
          <w:fldChar w:fldCharType="separate"/>
        </w:r>
        <w:r w:rsidR="00CD1055">
          <w:rPr>
            <w:noProof/>
            <w:webHidden/>
          </w:rPr>
          <w:t>4</w:t>
        </w:r>
        <w:r w:rsidR="00CD1055">
          <w:rPr>
            <w:noProof/>
            <w:webHidden/>
          </w:rPr>
          <w:fldChar w:fldCharType="end"/>
        </w:r>
      </w:hyperlink>
    </w:p>
    <w:p w14:paraId="724D0695" w14:textId="3B07F40B" w:rsidR="00CD1055" w:rsidRDefault="00E0092E">
      <w:pPr>
        <w:pStyle w:val="TOC1"/>
        <w:tabs>
          <w:tab w:val="right" w:leader="dot" w:pos="9060"/>
        </w:tabs>
        <w:rPr>
          <w:rFonts w:eastAsiaTheme="minorEastAsia" w:cstheme="minorBidi"/>
          <w:noProof/>
          <w:sz w:val="22"/>
          <w:szCs w:val="22"/>
          <w:lang w:eastAsia="en-AU"/>
        </w:rPr>
      </w:pPr>
      <w:hyperlink w:anchor="_Toc134688854" w:history="1">
        <w:r w:rsidR="00CD1055" w:rsidRPr="00BC6819">
          <w:rPr>
            <w:rStyle w:val="Hyperlink"/>
            <w:noProof/>
          </w:rPr>
          <w:t>Section 2 – Prescribing Analgesia</w:t>
        </w:r>
        <w:r w:rsidR="00CD1055">
          <w:rPr>
            <w:noProof/>
            <w:webHidden/>
          </w:rPr>
          <w:tab/>
        </w:r>
        <w:r w:rsidR="00CD1055">
          <w:rPr>
            <w:noProof/>
            <w:webHidden/>
          </w:rPr>
          <w:fldChar w:fldCharType="begin"/>
        </w:r>
        <w:r w:rsidR="00CD1055">
          <w:rPr>
            <w:noProof/>
            <w:webHidden/>
          </w:rPr>
          <w:instrText xml:space="preserve"> PAGEREF _Toc134688854 \h </w:instrText>
        </w:r>
        <w:r w:rsidR="00CD1055">
          <w:rPr>
            <w:noProof/>
            <w:webHidden/>
          </w:rPr>
        </w:r>
        <w:r w:rsidR="00CD1055">
          <w:rPr>
            <w:noProof/>
            <w:webHidden/>
          </w:rPr>
          <w:fldChar w:fldCharType="separate"/>
        </w:r>
        <w:r w:rsidR="00CD1055">
          <w:rPr>
            <w:noProof/>
            <w:webHidden/>
          </w:rPr>
          <w:t>7</w:t>
        </w:r>
        <w:r w:rsidR="00CD1055">
          <w:rPr>
            <w:noProof/>
            <w:webHidden/>
          </w:rPr>
          <w:fldChar w:fldCharType="end"/>
        </w:r>
      </w:hyperlink>
    </w:p>
    <w:p w14:paraId="100284A8" w14:textId="35ECC094" w:rsidR="00CD1055" w:rsidRDefault="00E0092E">
      <w:pPr>
        <w:pStyle w:val="TOC1"/>
        <w:tabs>
          <w:tab w:val="right" w:leader="dot" w:pos="9060"/>
        </w:tabs>
        <w:rPr>
          <w:rFonts w:eastAsiaTheme="minorEastAsia" w:cstheme="minorBidi"/>
          <w:noProof/>
          <w:sz w:val="22"/>
          <w:szCs w:val="22"/>
          <w:lang w:eastAsia="en-AU"/>
        </w:rPr>
      </w:pPr>
      <w:hyperlink w:anchor="_Toc134688855" w:history="1">
        <w:r w:rsidR="00CD1055" w:rsidRPr="00BC6819">
          <w:rPr>
            <w:rStyle w:val="Hyperlink"/>
            <w:noProof/>
          </w:rPr>
          <w:t>Section 3 – Analgesic agents</w:t>
        </w:r>
        <w:r w:rsidR="00CD1055">
          <w:rPr>
            <w:noProof/>
            <w:webHidden/>
          </w:rPr>
          <w:tab/>
        </w:r>
        <w:r w:rsidR="00CD1055">
          <w:rPr>
            <w:noProof/>
            <w:webHidden/>
          </w:rPr>
          <w:fldChar w:fldCharType="begin"/>
        </w:r>
        <w:r w:rsidR="00CD1055">
          <w:rPr>
            <w:noProof/>
            <w:webHidden/>
          </w:rPr>
          <w:instrText xml:space="preserve"> PAGEREF _Toc134688855 \h </w:instrText>
        </w:r>
        <w:r w:rsidR="00CD1055">
          <w:rPr>
            <w:noProof/>
            <w:webHidden/>
          </w:rPr>
        </w:r>
        <w:r w:rsidR="00CD1055">
          <w:rPr>
            <w:noProof/>
            <w:webHidden/>
          </w:rPr>
          <w:fldChar w:fldCharType="separate"/>
        </w:r>
        <w:r w:rsidR="00CD1055">
          <w:rPr>
            <w:noProof/>
            <w:webHidden/>
          </w:rPr>
          <w:t>8</w:t>
        </w:r>
        <w:r w:rsidR="00CD1055">
          <w:rPr>
            <w:noProof/>
            <w:webHidden/>
          </w:rPr>
          <w:fldChar w:fldCharType="end"/>
        </w:r>
      </w:hyperlink>
    </w:p>
    <w:p w14:paraId="4BA7E4B1" w14:textId="45AC84F3" w:rsidR="00CD1055" w:rsidRDefault="00E0092E">
      <w:pPr>
        <w:pStyle w:val="TOC1"/>
        <w:tabs>
          <w:tab w:val="right" w:leader="dot" w:pos="9060"/>
        </w:tabs>
        <w:rPr>
          <w:rFonts w:eastAsiaTheme="minorEastAsia" w:cstheme="minorBidi"/>
          <w:noProof/>
          <w:sz w:val="22"/>
          <w:szCs w:val="22"/>
          <w:lang w:eastAsia="en-AU"/>
        </w:rPr>
      </w:pPr>
      <w:hyperlink w:anchor="_Toc134688856" w:history="1">
        <w:r w:rsidR="00CD1055" w:rsidRPr="00BC6819">
          <w:rPr>
            <w:rStyle w:val="Hyperlink"/>
            <w:noProof/>
          </w:rPr>
          <w:t>Section 4 – Adjuvants</w:t>
        </w:r>
        <w:r w:rsidR="00CD1055">
          <w:rPr>
            <w:noProof/>
            <w:webHidden/>
          </w:rPr>
          <w:tab/>
        </w:r>
        <w:r w:rsidR="00CD1055">
          <w:rPr>
            <w:noProof/>
            <w:webHidden/>
          </w:rPr>
          <w:fldChar w:fldCharType="begin"/>
        </w:r>
        <w:r w:rsidR="00CD1055">
          <w:rPr>
            <w:noProof/>
            <w:webHidden/>
          </w:rPr>
          <w:instrText xml:space="preserve"> PAGEREF _Toc134688856 \h </w:instrText>
        </w:r>
        <w:r w:rsidR="00CD1055">
          <w:rPr>
            <w:noProof/>
            <w:webHidden/>
          </w:rPr>
        </w:r>
        <w:r w:rsidR="00CD1055">
          <w:rPr>
            <w:noProof/>
            <w:webHidden/>
          </w:rPr>
          <w:fldChar w:fldCharType="separate"/>
        </w:r>
        <w:r w:rsidR="00CD1055">
          <w:rPr>
            <w:noProof/>
            <w:webHidden/>
          </w:rPr>
          <w:t>14</w:t>
        </w:r>
        <w:r w:rsidR="00CD1055">
          <w:rPr>
            <w:noProof/>
            <w:webHidden/>
          </w:rPr>
          <w:fldChar w:fldCharType="end"/>
        </w:r>
      </w:hyperlink>
    </w:p>
    <w:p w14:paraId="02FD34F8" w14:textId="58A2D757" w:rsidR="00CD1055" w:rsidRDefault="00E0092E">
      <w:pPr>
        <w:pStyle w:val="TOC1"/>
        <w:tabs>
          <w:tab w:val="right" w:leader="dot" w:pos="9060"/>
        </w:tabs>
        <w:rPr>
          <w:rFonts w:eastAsiaTheme="minorEastAsia" w:cstheme="minorBidi"/>
          <w:noProof/>
          <w:sz w:val="22"/>
          <w:szCs w:val="22"/>
          <w:lang w:eastAsia="en-AU"/>
        </w:rPr>
      </w:pPr>
      <w:hyperlink w:anchor="_Toc134688857" w:history="1">
        <w:r w:rsidR="00CD1055" w:rsidRPr="00BC6819">
          <w:rPr>
            <w:rStyle w:val="Hyperlink"/>
            <w:noProof/>
          </w:rPr>
          <w:t>Section 5 – Opioid safety</w:t>
        </w:r>
        <w:r w:rsidR="00CD1055">
          <w:rPr>
            <w:noProof/>
            <w:webHidden/>
          </w:rPr>
          <w:tab/>
        </w:r>
        <w:r w:rsidR="00CD1055">
          <w:rPr>
            <w:noProof/>
            <w:webHidden/>
          </w:rPr>
          <w:fldChar w:fldCharType="begin"/>
        </w:r>
        <w:r w:rsidR="00CD1055">
          <w:rPr>
            <w:noProof/>
            <w:webHidden/>
          </w:rPr>
          <w:instrText xml:space="preserve"> PAGEREF _Toc134688857 \h </w:instrText>
        </w:r>
        <w:r w:rsidR="00CD1055">
          <w:rPr>
            <w:noProof/>
            <w:webHidden/>
          </w:rPr>
        </w:r>
        <w:r w:rsidR="00CD1055">
          <w:rPr>
            <w:noProof/>
            <w:webHidden/>
          </w:rPr>
          <w:fldChar w:fldCharType="separate"/>
        </w:r>
        <w:r w:rsidR="00CD1055">
          <w:rPr>
            <w:noProof/>
            <w:webHidden/>
          </w:rPr>
          <w:t>18</w:t>
        </w:r>
        <w:r w:rsidR="00CD1055">
          <w:rPr>
            <w:noProof/>
            <w:webHidden/>
          </w:rPr>
          <w:fldChar w:fldCharType="end"/>
        </w:r>
      </w:hyperlink>
    </w:p>
    <w:p w14:paraId="46E5B954" w14:textId="369B01F1" w:rsidR="00CD1055" w:rsidRDefault="00E0092E">
      <w:pPr>
        <w:pStyle w:val="TOC1"/>
        <w:tabs>
          <w:tab w:val="right" w:leader="dot" w:pos="9060"/>
        </w:tabs>
        <w:rPr>
          <w:rFonts w:eastAsiaTheme="minorEastAsia" w:cstheme="minorBidi"/>
          <w:noProof/>
          <w:sz w:val="22"/>
          <w:szCs w:val="22"/>
          <w:lang w:eastAsia="en-AU"/>
        </w:rPr>
      </w:pPr>
      <w:hyperlink w:anchor="_Toc134688858" w:history="1">
        <w:r w:rsidR="00CD1055" w:rsidRPr="00BC6819">
          <w:rPr>
            <w:rStyle w:val="Hyperlink"/>
            <w:noProof/>
          </w:rPr>
          <w:t>Section 6 – Renal pain syndromes</w:t>
        </w:r>
        <w:r w:rsidR="00CD1055">
          <w:rPr>
            <w:noProof/>
            <w:webHidden/>
          </w:rPr>
          <w:tab/>
        </w:r>
        <w:r w:rsidR="00CD1055">
          <w:rPr>
            <w:noProof/>
            <w:webHidden/>
          </w:rPr>
          <w:fldChar w:fldCharType="begin"/>
        </w:r>
        <w:r w:rsidR="00CD1055">
          <w:rPr>
            <w:noProof/>
            <w:webHidden/>
          </w:rPr>
          <w:instrText xml:space="preserve"> PAGEREF _Toc134688858 \h </w:instrText>
        </w:r>
        <w:r w:rsidR="00CD1055">
          <w:rPr>
            <w:noProof/>
            <w:webHidden/>
          </w:rPr>
        </w:r>
        <w:r w:rsidR="00CD1055">
          <w:rPr>
            <w:noProof/>
            <w:webHidden/>
          </w:rPr>
          <w:fldChar w:fldCharType="separate"/>
        </w:r>
        <w:r w:rsidR="00CD1055">
          <w:rPr>
            <w:noProof/>
            <w:webHidden/>
          </w:rPr>
          <w:t>20</w:t>
        </w:r>
        <w:r w:rsidR="00CD1055">
          <w:rPr>
            <w:noProof/>
            <w:webHidden/>
          </w:rPr>
          <w:fldChar w:fldCharType="end"/>
        </w:r>
      </w:hyperlink>
    </w:p>
    <w:p w14:paraId="76039DF0" w14:textId="2EEA8FAC" w:rsidR="00CD1055" w:rsidRDefault="00E0092E">
      <w:pPr>
        <w:pStyle w:val="TOC1"/>
        <w:tabs>
          <w:tab w:val="right" w:leader="dot" w:pos="9060"/>
        </w:tabs>
        <w:rPr>
          <w:rFonts w:eastAsiaTheme="minorEastAsia" w:cstheme="minorBidi"/>
          <w:noProof/>
          <w:sz w:val="22"/>
          <w:szCs w:val="22"/>
          <w:lang w:eastAsia="en-AU"/>
        </w:rPr>
      </w:pPr>
      <w:hyperlink w:anchor="_Toc134688859" w:history="1">
        <w:r w:rsidR="00CD1055" w:rsidRPr="00BC6819">
          <w:rPr>
            <w:rStyle w:val="Hyperlink"/>
            <w:noProof/>
          </w:rPr>
          <w:t>Evaluation</w:t>
        </w:r>
        <w:r w:rsidR="00CD1055">
          <w:rPr>
            <w:noProof/>
            <w:webHidden/>
          </w:rPr>
          <w:tab/>
        </w:r>
        <w:r w:rsidR="00CD1055">
          <w:rPr>
            <w:noProof/>
            <w:webHidden/>
          </w:rPr>
          <w:fldChar w:fldCharType="begin"/>
        </w:r>
        <w:r w:rsidR="00CD1055">
          <w:rPr>
            <w:noProof/>
            <w:webHidden/>
          </w:rPr>
          <w:instrText xml:space="preserve"> PAGEREF _Toc134688859 \h </w:instrText>
        </w:r>
        <w:r w:rsidR="00CD1055">
          <w:rPr>
            <w:noProof/>
            <w:webHidden/>
          </w:rPr>
        </w:r>
        <w:r w:rsidR="00CD1055">
          <w:rPr>
            <w:noProof/>
            <w:webHidden/>
          </w:rPr>
          <w:fldChar w:fldCharType="separate"/>
        </w:r>
        <w:r w:rsidR="00CD1055">
          <w:rPr>
            <w:noProof/>
            <w:webHidden/>
          </w:rPr>
          <w:t>21</w:t>
        </w:r>
        <w:r w:rsidR="00CD1055">
          <w:rPr>
            <w:noProof/>
            <w:webHidden/>
          </w:rPr>
          <w:fldChar w:fldCharType="end"/>
        </w:r>
      </w:hyperlink>
    </w:p>
    <w:p w14:paraId="03CEE98A" w14:textId="54C1AFE7" w:rsidR="00CD1055" w:rsidRDefault="00E0092E">
      <w:pPr>
        <w:pStyle w:val="TOC1"/>
        <w:tabs>
          <w:tab w:val="right" w:leader="dot" w:pos="9060"/>
        </w:tabs>
        <w:rPr>
          <w:rFonts w:eastAsiaTheme="minorEastAsia" w:cstheme="minorBidi"/>
          <w:noProof/>
          <w:sz w:val="22"/>
          <w:szCs w:val="22"/>
          <w:lang w:eastAsia="en-AU"/>
        </w:rPr>
      </w:pPr>
      <w:hyperlink w:anchor="_Toc134688860" w:history="1">
        <w:r w:rsidR="00CD1055" w:rsidRPr="00BC6819">
          <w:rPr>
            <w:rStyle w:val="Hyperlink"/>
            <w:noProof/>
          </w:rPr>
          <w:t>Related Policies, Procedures, Guidelines and Legislation</w:t>
        </w:r>
        <w:r w:rsidR="00CD1055">
          <w:rPr>
            <w:noProof/>
            <w:webHidden/>
          </w:rPr>
          <w:tab/>
        </w:r>
        <w:r w:rsidR="00CD1055">
          <w:rPr>
            <w:noProof/>
            <w:webHidden/>
          </w:rPr>
          <w:fldChar w:fldCharType="begin"/>
        </w:r>
        <w:r w:rsidR="00CD1055">
          <w:rPr>
            <w:noProof/>
            <w:webHidden/>
          </w:rPr>
          <w:instrText xml:space="preserve"> PAGEREF _Toc134688860 \h </w:instrText>
        </w:r>
        <w:r w:rsidR="00CD1055">
          <w:rPr>
            <w:noProof/>
            <w:webHidden/>
          </w:rPr>
        </w:r>
        <w:r w:rsidR="00CD1055">
          <w:rPr>
            <w:noProof/>
            <w:webHidden/>
          </w:rPr>
          <w:fldChar w:fldCharType="separate"/>
        </w:r>
        <w:r w:rsidR="00CD1055">
          <w:rPr>
            <w:noProof/>
            <w:webHidden/>
          </w:rPr>
          <w:t>22</w:t>
        </w:r>
        <w:r w:rsidR="00CD1055">
          <w:rPr>
            <w:noProof/>
            <w:webHidden/>
          </w:rPr>
          <w:fldChar w:fldCharType="end"/>
        </w:r>
      </w:hyperlink>
    </w:p>
    <w:p w14:paraId="33E21598" w14:textId="7D3ADAF4" w:rsidR="00CD1055" w:rsidRDefault="00E0092E">
      <w:pPr>
        <w:pStyle w:val="TOC1"/>
        <w:tabs>
          <w:tab w:val="right" w:leader="dot" w:pos="9060"/>
        </w:tabs>
        <w:rPr>
          <w:rFonts w:eastAsiaTheme="minorEastAsia" w:cstheme="minorBidi"/>
          <w:noProof/>
          <w:sz w:val="22"/>
          <w:szCs w:val="22"/>
          <w:lang w:eastAsia="en-AU"/>
        </w:rPr>
      </w:pPr>
      <w:hyperlink w:anchor="_Toc134688861" w:history="1">
        <w:r w:rsidR="00CD1055" w:rsidRPr="00BC6819">
          <w:rPr>
            <w:rStyle w:val="Hyperlink"/>
            <w:noProof/>
          </w:rPr>
          <w:t>References</w:t>
        </w:r>
        <w:r w:rsidR="00CD1055">
          <w:rPr>
            <w:noProof/>
            <w:webHidden/>
          </w:rPr>
          <w:tab/>
        </w:r>
        <w:r w:rsidR="00CD1055">
          <w:rPr>
            <w:noProof/>
            <w:webHidden/>
          </w:rPr>
          <w:fldChar w:fldCharType="begin"/>
        </w:r>
        <w:r w:rsidR="00CD1055">
          <w:rPr>
            <w:noProof/>
            <w:webHidden/>
          </w:rPr>
          <w:instrText xml:space="preserve"> PAGEREF _Toc134688861 \h </w:instrText>
        </w:r>
        <w:r w:rsidR="00CD1055">
          <w:rPr>
            <w:noProof/>
            <w:webHidden/>
          </w:rPr>
        </w:r>
        <w:r w:rsidR="00CD1055">
          <w:rPr>
            <w:noProof/>
            <w:webHidden/>
          </w:rPr>
          <w:fldChar w:fldCharType="separate"/>
        </w:r>
        <w:r w:rsidR="00CD1055">
          <w:rPr>
            <w:noProof/>
            <w:webHidden/>
          </w:rPr>
          <w:t>22</w:t>
        </w:r>
        <w:r w:rsidR="00CD1055">
          <w:rPr>
            <w:noProof/>
            <w:webHidden/>
          </w:rPr>
          <w:fldChar w:fldCharType="end"/>
        </w:r>
      </w:hyperlink>
    </w:p>
    <w:p w14:paraId="0363467C" w14:textId="07DCB420" w:rsidR="00CD1055" w:rsidRDefault="00E0092E">
      <w:pPr>
        <w:pStyle w:val="TOC1"/>
        <w:tabs>
          <w:tab w:val="right" w:leader="dot" w:pos="9060"/>
        </w:tabs>
        <w:rPr>
          <w:rFonts w:eastAsiaTheme="minorEastAsia" w:cstheme="minorBidi"/>
          <w:noProof/>
          <w:sz w:val="22"/>
          <w:szCs w:val="22"/>
          <w:lang w:eastAsia="en-AU"/>
        </w:rPr>
      </w:pPr>
      <w:hyperlink w:anchor="_Toc134688862" w:history="1">
        <w:r w:rsidR="00CD1055" w:rsidRPr="00BC6819">
          <w:rPr>
            <w:rStyle w:val="Hyperlink"/>
            <w:noProof/>
          </w:rPr>
          <w:t>Definition of Terms</w:t>
        </w:r>
        <w:r w:rsidR="00CD1055">
          <w:rPr>
            <w:noProof/>
            <w:webHidden/>
          </w:rPr>
          <w:tab/>
        </w:r>
        <w:r w:rsidR="00CD1055">
          <w:rPr>
            <w:noProof/>
            <w:webHidden/>
          </w:rPr>
          <w:fldChar w:fldCharType="begin"/>
        </w:r>
        <w:r w:rsidR="00CD1055">
          <w:rPr>
            <w:noProof/>
            <w:webHidden/>
          </w:rPr>
          <w:instrText xml:space="preserve"> PAGEREF _Toc134688862 \h </w:instrText>
        </w:r>
        <w:r w:rsidR="00CD1055">
          <w:rPr>
            <w:noProof/>
            <w:webHidden/>
          </w:rPr>
        </w:r>
        <w:r w:rsidR="00CD1055">
          <w:rPr>
            <w:noProof/>
            <w:webHidden/>
          </w:rPr>
          <w:fldChar w:fldCharType="separate"/>
        </w:r>
        <w:r w:rsidR="00CD1055">
          <w:rPr>
            <w:noProof/>
            <w:webHidden/>
          </w:rPr>
          <w:t>24</w:t>
        </w:r>
        <w:r w:rsidR="00CD1055">
          <w:rPr>
            <w:noProof/>
            <w:webHidden/>
          </w:rPr>
          <w:fldChar w:fldCharType="end"/>
        </w:r>
      </w:hyperlink>
    </w:p>
    <w:p w14:paraId="1293A37E" w14:textId="20BA5428" w:rsidR="00CD1055" w:rsidRDefault="00E0092E">
      <w:pPr>
        <w:pStyle w:val="TOC1"/>
        <w:tabs>
          <w:tab w:val="right" w:leader="dot" w:pos="9060"/>
        </w:tabs>
        <w:rPr>
          <w:rFonts w:eastAsiaTheme="minorEastAsia" w:cstheme="minorBidi"/>
          <w:noProof/>
          <w:sz w:val="22"/>
          <w:szCs w:val="22"/>
          <w:lang w:eastAsia="en-AU"/>
        </w:rPr>
      </w:pPr>
      <w:hyperlink w:anchor="_Toc134688863" w:history="1">
        <w:r w:rsidR="00CD1055" w:rsidRPr="00BC6819">
          <w:rPr>
            <w:rStyle w:val="Hyperlink"/>
            <w:noProof/>
          </w:rPr>
          <w:t>Search Terms</w:t>
        </w:r>
        <w:r w:rsidR="00CD1055">
          <w:rPr>
            <w:noProof/>
            <w:webHidden/>
          </w:rPr>
          <w:tab/>
        </w:r>
        <w:r w:rsidR="00CD1055">
          <w:rPr>
            <w:noProof/>
            <w:webHidden/>
          </w:rPr>
          <w:fldChar w:fldCharType="begin"/>
        </w:r>
        <w:r w:rsidR="00CD1055">
          <w:rPr>
            <w:noProof/>
            <w:webHidden/>
          </w:rPr>
          <w:instrText xml:space="preserve"> PAGEREF _Toc134688863 \h </w:instrText>
        </w:r>
        <w:r w:rsidR="00CD1055">
          <w:rPr>
            <w:noProof/>
            <w:webHidden/>
          </w:rPr>
        </w:r>
        <w:r w:rsidR="00CD1055">
          <w:rPr>
            <w:noProof/>
            <w:webHidden/>
          </w:rPr>
          <w:fldChar w:fldCharType="separate"/>
        </w:r>
        <w:r w:rsidR="00CD1055">
          <w:rPr>
            <w:noProof/>
            <w:webHidden/>
          </w:rPr>
          <w:t>24</w:t>
        </w:r>
        <w:r w:rsidR="00CD1055">
          <w:rPr>
            <w:noProof/>
            <w:webHidden/>
          </w:rPr>
          <w:fldChar w:fldCharType="end"/>
        </w:r>
      </w:hyperlink>
    </w:p>
    <w:p w14:paraId="44F3E533" w14:textId="3CC170AE" w:rsidR="00CD1055" w:rsidRDefault="00E0092E">
      <w:pPr>
        <w:pStyle w:val="TOC1"/>
        <w:tabs>
          <w:tab w:val="right" w:leader="dot" w:pos="9060"/>
        </w:tabs>
        <w:rPr>
          <w:rFonts w:eastAsiaTheme="minorEastAsia" w:cstheme="minorBidi"/>
          <w:noProof/>
          <w:sz w:val="22"/>
          <w:szCs w:val="22"/>
          <w:lang w:eastAsia="en-AU"/>
        </w:rPr>
      </w:pPr>
      <w:hyperlink w:anchor="_Toc134688864" w:history="1">
        <w:r w:rsidR="00CD1055" w:rsidRPr="00BC6819">
          <w:rPr>
            <w:rStyle w:val="Hyperlink"/>
            <w:noProof/>
          </w:rPr>
          <w:t>Attachments</w:t>
        </w:r>
        <w:r w:rsidR="00CD1055">
          <w:rPr>
            <w:noProof/>
            <w:webHidden/>
          </w:rPr>
          <w:tab/>
        </w:r>
        <w:r w:rsidR="00CD1055">
          <w:rPr>
            <w:noProof/>
            <w:webHidden/>
          </w:rPr>
          <w:fldChar w:fldCharType="begin"/>
        </w:r>
        <w:r w:rsidR="00CD1055">
          <w:rPr>
            <w:noProof/>
            <w:webHidden/>
          </w:rPr>
          <w:instrText xml:space="preserve"> PAGEREF _Toc134688864 \h </w:instrText>
        </w:r>
        <w:r w:rsidR="00CD1055">
          <w:rPr>
            <w:noProof/>
            <w:webHidden/>
          </w:rPr>
        </w:r>
        <w:r w:rsidR="00CD1055">
          <w:rPr>
            <w:noProof/>
            <w:webHidden/>
          </w:rPr>
          <w:fldChar w:fldCharType="separate"/>
        </w:r>
        <w:r w:rsidR="00CD1055">
          <w:rPr>
            <w:noProof/>
            <w:webHidden/>
          </w:rPr>
          <w:t>24</w:t>
        </w:r>
        <w:r w:rsidR="00CD1055">
          <w:rPr>
            <w:noProof/>
            <w:webHidden/>
          </w:rPr>
          <w:fldChar w:fldCharType="end"/>
        </w:r>
      </w:hyperlink>
    </w:p>
    <w:p w14:paraId="086829E2" w14:textId="5BACB9DB" w:rsidR="009A534C" w:rsidRDefault="00A063FE" w:rsidP="006743DB">
      <w:r>
        <w:fldChar w:fldCharType="end"/>
      </w:r>
    </w:p>
    <w:p w14:paraId="086829E3" w14:textId="77777777" w:rsidR="009A534C" w:rsidRDefault="009A534C" w:rsidP="006743DB">
      <w: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9E5" w14:textId="77777777" w:rsidTr="008E74FD">
        <w:trPr>
          <w:cantSplit/>
          <w:trHeight w:val="285"/>
        </w:trPr>
        <w:tc>
          <w:tcPr>
            <w:tcW w:w="9158" w:type="dxa"/>
            <w:shd w:val="clear" w:color="auto" w:fill="D9D9D9" w:themeFill="background1" w:themeFillShade="D9"/>
          </w:tcPr>
          <w:p w14:paraId="086829E4" w14:textId="77777777" w:rsidR="009A534C" w:rsidRPr="002E3BFE" w:rsidRDefault="00010E74" w:rsidP="00B10F87">
            <w:pPr>
              <w:pStyle w:val="Heading1"/>
            </w:pPr>
            <w:bookmarkStart w:id="5" w:name="_Toc134688851"/>
            <w:r>
              <w:lastRenderedPageBreak/>
              <w:t>Guideline Statement</w:t>
            </w:r>
            <w:bookmarkEnd w:id="5"/>
          </w:p>
        </w:tc>
      </w:tr>
    </w:tbl>
    <w:p w14:paraId="086829E6" w14:textId="77777777" w:rsidR="009A534C" w:rsidRDefault="009A534C" w:rsidP="00C13D33">
      <w:pPr>
        <w:rPr>
          <w:rFonts w:cs="Arial"/>
          <w:b/>
          <w:szCs w:val="24"/>
        </w:rPr>
      </w:pPr>
    </w:p>
    <w:p w14:paraId="34A427E5" w14:textId="2B6D6DEF" w:rsidR="00747626" w:rsidRDefault="00747626" w:rsidP="00747626">
      <w:r>
        <w:t>This guideline outlines evidence-based pharmacological and non-pharmacological treatment and management strategies available to Canberra Health Services (CHS) staff when caring for patients with chronic kidney disease (CKD) who experience persistent pain. Staff should u</w:t>
      </w:r>
      <w:r w:rsidR="00AA7E14">
        <w:t>se</w:t>
      </w:r>
      <w:r>
        <w:t xml:space="preserve"> this document to guide their clinical judgement when creating an individual care plan for </w:t>
      </w:r>
      <w:r w:rsidR="00AA7E14">
        <w:t>a</w:t>
      </w:r>
      <w:r>
        <w:t xml:space="preserve"> patient.</w:t>
      </w:r>
    </w:p>
    <w:p w14:paraId="189B43FA" w14:textId="77777777" w:rsidR="00747626" w:rsidRDefault="00747626" w:rsidP="00747626">
      <w:pPr>
        <w:rPr>
          <w:rFonts w:cs="Arial"/>
          <w:b/>
          <w:szCs w:val="24"/>
        </w:rPr>
      </w:pPr>
    </w:p>
    <w:p w14:paraId="178B81C0" w14:textId="77777777" w:rsidR="00747626" w:rsidRDefault="00747626" w:rsidP="00747626">
      <w:pPr>
        <w:pStyle w:val="Heading2"/>
      </w:pPr>
      <w:bookmarkStart w:id="6" w:name="_Toc18309914"/>
      <w:bookmarkStart w:id="7" w:name="_Toc29901639"/>
      <w:bookmarkStart w:id="8" w:name="_Toc35599818"/>
      <w:r>
        <w:t>Background</w:t>
      </w:r>
      <w:bookmarkEnd w:id="6"/>
      <w:bookmarkEnd w:id="7"/>
      <w:bookmarkEnd w:id="8"/>
    </w:p>
    <w:p w14:paraId="5DFD5181" w14:textId="610C07BF" w:rsidR="00747626" w:rsidRDefault="00747626" w:rsidP="00747626">
      <w:r>
        <w:t>Patients with CKD</w:t>
      </w:r>
      <w:r>
        <w:rPr>
          <w:rStyle w:val="CommentReference"/>
        </w:rPr>
        <w:t xml:space="preserve"> </w:t>
      </w:r>
      <w:r>
        <w:t>and end stage kidney disease (ESKD) frequently have poorly controlled symptoms</w:t>
      </w:r>
      <w:r w:rsidR="00AA7E14">
        <w:rPr>
          <w:noProof/>
        </w:rPr>
        <w:t xml:space="preserve"> </w:t>
      </w:r>
      <w:r w:rsidR="00AA7E14" w:rsidRPr="00AA7E14">
        <w:rPr>
          <w:noProof/>
          <w:vertAlign w:val="superscript"/>
        </w:rPr>
        <w:t>1</w:t>
      </w:r>
      <w:r w:rsidR="00AA7E14">
        <w:rPr>
          <w:noProof/>
        </w:rPr>
        <w:t xml:space="preserve">. </w:t>
      </w:r>
      <w:r>
        <w:t>Pain and depression are common in this patient population, with a prevalence of up to 81%</w:t>
      </w:r>
      <w:r w:rsidR="00AA7E14">
        <w:t xml:space="preserve"> </w:t>
      </w:r>
      <w:r w:rsidR="00AA7E14" w:rsidRPr="00AA7E14">
        <w:rPr>
          <w:noProof/>
          <w:vertAlign w:val="superscript"/>
        </w:rPr>
        <w:t>1</w:t>
      </w:r>
      <w:r>
        <w:rPr>
          <w:noProof/>
        </w:rPr>
        <w:fldChar w:fldCharType="begin"/>
      </w:r>
      <w:r>
        <w:rPr>
          <w:noProof/>
        </w:rPr>
        <w:instrText xml:space="preserve"> ADDIN EN.CITE &lt;EndNote&gt;&lt;Cite&gt;&lt;Author&gt;Murtagh&lt;/Author&gt;&lt;Year&gt;2007&lt;/Year&gt;&lt;RecNum&gt;13&lt;/RecNum&gt;&lt;DisplayText&gt;(1)&lt;/DisplayText&gt;&lt;record&gt;&lt;rec-number&gt;13&lt;/rec-number&gt;&lt;foreign-keys&gt;&lt;key app="EN" db-id="xzrdt9wvla00z8espttxf9eltz95s9e02wfp" timestamp="1530163008"&gt;13&lt;/key&gt;&lt;/foreign-keys&gt;&lt;ref-type name="Journal Article"&gt;17&lt;/ref-type&gt;&lt;contributors&gt;&lt;authors&gt;&lt;author&gt;Murtagh, F. E.&lt;/author&gt;&lt;author&gt;Addington-Hall, J.&lt;/author&gt;&lt;author&gt;Higginson, I. J.&lt;/author&gt;&lt;/authors&gt;&lt;/contributors&gt;&lt;auth-address&gt;Department of Palliative Care and Policy, Kings College London, London, UK. fliss1@doctors.org.uk&lt;/auth-address&gt;&lt;titles&gt;&lt;title&gt;The prevalence of symptoms in end-stage renal disease: a systematic review&lt;/title&gt;&lt;secondary-title&gt;Adv Chronic Kidney Dis&lt;/secondary-title&gt;&lt;alt-title&gt;Advances in chronic kidney disease&lt;/alt-title&gt;&lt;/titles&gt;&lt;periodical&gt;&lt;full-title&gt;Adv Chronic Kidney Dis&lt;/full-title&gt;&lt;abbr-1&gt;Advances in chronic kidney disease&lt;/abbr-1&gt;&lt;/periodical&gt;&lt;alt-periodical&gt;&lt;full-title&gt;Adv Chronic Kidney Dis&lt;/full-title&gt;&lt;abbr-1&gt;Advances in chronic kidney disease&lt;/abbr-1&gt;&lt;/alt-periodical&gt;&lt;pages&gt;82-99&lt;/pages&gt;&lt;volume&gt;14&lt;/volume&gt;&lt;number&gt;1&lt;/number&gt;&lt;edition&gt;2007/01/04&lt;/edition&gt;&lt;keywords&gt;&lt;keyword&gt;Adult&lt;/keyword&gt;&lt;keyword&gt;Anxiety/epidemiology&lt;/keyword&gt;&lt;keyword&gt;Depression/epidemiology&lt;/keyword&gt;&lt;keyword&gt;Humans&lt;/keyword&gt;&lt;keyword&gt;Kidney Failure, Chronic/complications/*diagnosis/epidemiology&lt;/keyword&gt;&lt;keyword&gt;Pain/epidemiology&lt;/keyword&gt;&lt;keyword&gt;Prevalence&lt;/keyword&gt;&lt;keyword&gt;Pruritus/etiology&lt;/keyword&gt;&lt;keyword&gt;Renal Dialysis&lt;/keyword&gt;&lt;keyword&gt;Restless Legs Syndrome/epidemiology&lt;/keyword&gt;&lt;keyword&gt;Sleep Wake Disorders/epidemiology&lt;/keyword&gt;&lt;keyword&gt;Surveys and Questionnaires&lt;/keyword&gt;&lt;/keywords&gt;&lt;dates&gt;&lt;year&gt;2007&lt;/year&gt;&lt;pub-dates&gt;&lt;date&gt;Jan&lt;/date&gt;&lt;/pub-dates&gt;&lt;/dates&gt;&lt;isbn&gt;1548-5595 (Print)&amp;#xD;1548-5595&lt;/isbn&gt;&lt;accession-num&gt;17200048&lt;/accession-num&gt;&lt;urls&gt;&lt;/urls&gt;&lt;electronic-resource-num&gt;10.1053/j.ackd.2006.10.001&lt;/electronic-resource-num&gt;&lt;remote-database-provider&gt;NLM&lt;/remote-database-provider&gt;&lt;language&gt;eng&lt;/language&gt;&lt;/record&gt;&lt;/Cite&gt;&lt;/EndNote&gt;</w:instrText>
      </w:r>
      <w:r w:rsidR="00E0092E">
        <w:rPr>
          <w:noProof/>
        </w:rPr>
        <w:fldChar w:fldCharType="separate"/>
      </w:r>
      <w:r>
        <w:rPr>
          <w:noProof/>
        </w:rPr>
        <w:fldChar w:fldCharType="end"/>
      </w:r>
      <w:r>
        <w:t>. Patients with CKD and ESKD report pain of moderate to severe intensity in 49% of cases and this prevalence is comparable across dialysis modalities and conservatively managed patients</w:t>
      </w:r>
      <w:r w:rsidR="00AA7E14">
        <w:t xml:space="preserve"> </w:t>
      </w:r>
      <w:r w:rsidR="00AA7E14" w:rsidRPr="00AA7E14">
        <w:rPr>
          <w:vertAlign w:val="superscript"/>
        </w:rPr>
        <w:t>2</w:t>
      </w:r>
      <w:r>
        <w:t>. Pain can be experienced in physical, emotional, social and spiritual components, and awareness of this concept is valuable in managing persistent and complex pain. Untreated pain among people living with kidney disease negatively impacts health related quality of life (HRQOL), dialysis adherence, dialysis withdrawal, healthcare utilisation and mortality</w:t>
      </w:r>
      <w:r w:rsidR="00AA7E14">
        <w:t xml:space="preserve"> </w:t>
      </w:r>
      <w:r w:rsidR="00AA7E14" w:rsidRPr="00AA7E14">
        <w:rPr>
          <w:vertAlign w:val="superscript"/>
        </w:rPr>
        <w:t>3</w:t>
      </w:r>
      <w:r w:rsidR="003B1BF8">
        <w:rPr>
          <w:vertAlign w:val="superscript"/>
        </w:rPr>
        <w:t>,</w:t>
      </w:r>
      <w:r w:rsidR="00AA7E14" w:rsidRPr="00AA7E14">
        <w:rPr>
          <w:vertAlign w:val="superscript"/>
        </w:rPr>
        <w:t>4</w:t>
      </w:r>
      <w:r w:rsidR="003B1BF8">
        <w:rPr>
          <w:vertAlign w:val="superscript"/>
        </w:rPr>
        <w:t>,</w:t>
      </w:r>
      <w:r w:rsidR="00AA7E14" w:rsidRPr="00AA7E14">
        <w:rPr>
          <w:vertAlign w:val="superscript"/>
        </w:rPr>
        <w:t>5</w:t>
      </w:r>
      <w:r>
        <w:t xml:space="preserve"> and may contribute to other physical and psychosocial symptoms such as depression, anxiety and fatigue</w:t>
      </w:r>
      <w:r w:rsidR="00AA7E14">
        <w:t xml:space="preserve"> </w:t>
      </w:r>
      <w:r w:rsidR="00AA7E14" w:rsidRPr="00AA7E14">
        <w:rPr>
          <w:vertAlign w:val="superscript"/>
        </w:rPr>
        <w:t>6</w:t>
      </w:r>
      <w:r w:rsidR="003B1BF8">
        <w:t xml:space="preserve"> (s</w:t>
      </w:r>
      <w:r>
        <w:t>ee Figure 1</w:t>
      </w:r>
      <w:r w:rsidR="003B1BF8">
        <w:t>)</w:t>
      </w:r>
      <w:r>
        <w:t xml:space="preserve">. </w:t>
      </w:r>
    </w:p>
    <w:p w14:paraId="5A2CA8E3" w14:textId="77777777" w:rsidR="00747626" w:rsidRDefault="00747626" w:rsidP="00747626"/>
    <w:p w14:paraId="7E58034C" w14:textId="7B6D24E2" w:rsidR="00747626" w:rsidRDefault="00747626" w:rsidP="00747626">
      <w:r>
        <w:rPr>
          <w:noProof/>
        </w:rPr>
        <w:drawing>
          <wp:inline distT="0" distB="0" distL="0" distR="0" wp14:anchorId="1EDD8E2D" wp14:editId="1637F2DF">
            <wp:extent cx="5759450" cy="3466465"/>
            <wp:effectExtent l="0" t="0" r="0" b="635"/>
            <wp:docPr id="1" name="Picture 1" descr="Full size image for 'Nonopioid Approaches to Pain Management in Chronic Kidney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ull size image for 'Nonopioid Approaches to Pain Management in Chronic Kidney Disea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3466465"/>
                    </a:xfrm>
                    <a:prstGeom prst="rect">
                      <a:avLst/>
                    </a:prstGeom>
                    <a:noFill/>
                    <a:ln>
                      <a:noFill/>
                    </a:ln>
                  </pic:spPr>
                </pic:pic>
              </a:graphicData>
            </a:graphic>
          </wp:inline>
        </w:drawing>
      </w:r>
    </w:p>
    <w:p w14:paraId="11837DF6" w14:textId="5FB930B4" w:rsidR="00747626" w:rsidRDefault="00747626" w:rsidP="00747626">
      <w:pPr>
        <w:rPr>
          <w:b/>
          <w:bCs/>
        </w:rPr>
      </w:pPr>
      <w:r>
        <w:rPr>
          <w:b/>
          <w:bCs/>
        </w:rPr>
        <w:t xml:space="preserve">Figure 1: Pain is associated with a range of symptom and psychosocial outcomes. Taken from Lu and </w:t>
      </w:r>
      <w:proofErr w:type="spellStart"/>
      <w:r>
        <w:rPr>
          <w:b/>
          <w:bCs/>
        </w:rPr>
        <w:t>Koncicki</w:t>
      </w:r>
      <w:proofErr w:type="spellEnd"/>
      <w:r>
        <w:rPr>
          <w:b/>
          <w:bCs/>
        </w:rPr>
        <w:t xml:space="preserve"> 2021</w:t>
      </w:r>
      <w:r w:rsidR="00AA7E14">
        <w:rPr>
          <w:b/>
          <w:bCs/>
        </w:rPr>
        <w:t xml:space="preserve"> </w:t>
      </w:r>
      <w:r w:rsidR="00AA7E14" w:rsidRPr="00AA7E14">
        <w:rPr>
          <w:b/>
          <w:bCs/>
          <w:vertAlign w:val="superscript"/>
        </w:rPr>
        <w:t>7</w:t>
      </w:r>
    </w:p>
    <w:p w14:paraId="7C8409E0" w14:textId="77777777" w:rsidR="00747626" w:rsidRDefault="00747626" w:rsidP="00747626"/>
    <w:p w14:paraId="707BC976" w14:textId="27A68ACE" w:rsidR="00747626" w:rsidRDefault="00747626" w:rsidP="00747626">
      <w:r>
        <w:t>Studies report pain is undertreated for patients with CKD and ESKD</w:t>
      </w:r>
      <w:r w:rsidR="00AA7E14">
        <w:t xml:space="preserve"> </w:t>
      </w:r>
      <w:r w:rsidR="00AA7E14" w:rsidRPr="00AA7E14">
        <w:rPr>
          <w:vertAlign w:val="superscript"/>
        </w:rPr>
        <w:t>8</w:t>
      </w:r>
      <w:r w:rsidR="003B1BF8">
        <w:rPr>
          <w:vertAlign w:val="superscript"/>
        </w:rPr>
        <w:t>,</w:t>
      </w:r>
      <w:r w:rsidR="00AA7E14" w:rsidRPr="00AA7E14">
        <w:rPr>
          <w:vertAlign w:val="superscript"/>
        </w:rPr>
        <w:t>9</w:t>
      </w:r>
      <w:r>
        <w:t>. There is disproportionately high use of opioids in this population due to limited availability of non-</w:t>
      </w:r>
      <w:r>
        <w:lastRenderedPageBreak/>
        <w:t>pharmacological treatment options or safe non-opioid pharmacological options</w:t>
      </w:r>
      <w:r w:rsidR="00AA7E14">
        <w:t xml:space="preserve"> </w:t>
      </w:r>
      <w:r w:rsidR="00AA7E14" w:rsidRPr="00AA7E14">
        <w:rPr>
          <w:vertAlign w:val="superscript"/>
        </w:rPr>
        <w:t>10</w:t>
      </w:r>
      <w:r>
        <w:t>. Chronic opioid use in patients with kidney disease has been associated with increased risk of altered mental status, falls, fractures, hospitalisation and mortality in a dose-dependent manner</w:t>
      </w:r>
      <w:r w:rsidR="00AA7E14">
        <w:t xml:space="preserve"> </w:t>
      </w:r>
      <w:r w:rsidR="00AA7E14" w:rsidRPr="00AA7E14">
        <w:rPr>
          <w:vertAlign w:val="superscript"/>
        </w:rPr>
        <w:t>11</w:t>
      </w:r>
      <w:r>
        <w:t>. However, closely monitored long term opioid therapy may be warranted in some patients who fail to respond to other pain treatment strategies. An adequate approach to complex pain requires an understanding of the psychosocial and emotional dimensions of suffering. Depression scores among patients with CKD and ESKD closely correlates with pain scores and antidepressive therapies should be considered as supplemental treatment to any pain assessment</w:t>
      </w:r>
      <w:r w:rsidR="00AA7E14">
        <w:t xml:space="preserve"> </w:t>
      </w:r>
      <w:r w:rsidR="00AA7E14" w:rsidRPr="00AA7E14">
        <w:rPr>
          <w:vertAlign w:val="superscript"/>
        </w:rPr>
        <w:t>12</w:t>
      </w:r>
      <w:r>
        <w:t>. Evidence for supplemental antidepressant therapy in CKD/ESRD is sparse but local clinical experience supports the use of Serotonin Noradrenaline Reuptake Inhibitors (SNRIs) such as duloxetine and venlafaxine in this setting, with appropriate dose adjustment based on severity of renal impairme</w:t>
      </w:r>
      <w:r w:rsidR="00AA7E14">
        <w:t xml:space="preserve">nt </w:t>
      </w:r>
      <w:r w:rsidR="00AA7E14" w:rsidRPr="00AA7E14">
        <w:rPr>
          <w:vertAlign w:val="superscript"/>
        </w:rPr>
        <w:t>13</w:t>
      </w:r>
      <w:r>
        <w:t xml:space="preserve">.  </w:t>
      </w:r>
    </w:p>
    <w:p w14:paraId="57ECB412" w14:textId="77777777" w:rsidR="00747626" w:rsidRDefault="00747626" w:rsidP="00747626"/>
    <w:p w14:paraId="2EC4E84A" w14:textId="77777777" w:rsidR="00747626" w:rsidRDefault="00747626" w:rsidP="00747626">
      <w:pPr>
        <w:pStyle w:val="Heading2"/>
      </w:pPr>
      <w:bookmarkStart w:id="9" w:name="_Toc18309915"/>
      <w:bookmarkStart w:id="10" w:name="_Toc29901640"/>
      <w:bookmarkStart w:id="11" w:name="_Toc35599819"/>
      <w:r>
        <w:t>Key Objective</w:t>
      </w:r>
      <w:bookmarkEnd w:id="9"/>
      <w:bookmarkEnd w:id="10"/>
      <w:bookmarkEnd w:id="11"/>
    </w:p>
    <w:p w14:paraId="531018E0" w14:textId="77777777" w:rsidR="00747626" w:rsidRDefault="00747626" w:rsidP="00747626">
      <w:r>
        <w:t xml:space="preserve">To outline evidence-based pharmacological and non-pharmacological treatment, and management strategies when caring for patients with CKD who experience persistent pain. </w:t>
      </w:r>
    </w:p>
    <w:p w14:paraId="2B9739D8" w14:textId="77777777" w:rsidR="00747626" w:rsidRDefault="00747626" w:rsidP="00747626"/>
    <w:p w14:paraId="6392DF98" w14:textId="77777777" w:rsidR="00747626" w:rsidRDefault="00747626" w:rsidP="00747626">
      <w:pPr>
        <w:pStyle w:val="Heading2"/>
      </w:pPr>
      <w:bookmarkStart w:id="12" w:name="_Toc18309916"/>
      <w:bookmarkStart w:id="13" w:name="_Toc29901641"/>
      <w:bookmarkStart w:id="14" w:name="_Toc35599820"/>
      <w:r>
        <w:t>Alerts</w:t>
      </w:r>
      <w:bookmarkEnd w:id="12"/>
      <w:bookmarkEnd w:id="13"/>
      <w:bookmarkEnd w:id="14"/>
      <w:r>
        <w:t xml:space="preserve"> </w:t>
      </w:r>
    </w:p>
    <w:p w14:paraId="1498B90A" w14:textId="77777777" w:rsidR="00747626" w:rsidRPr="003B1BF8" w:rsidRDefault="00747626" w:rsidP="003B1BF8">
      <w:pPr>
        <w:pStyle w:val="ListBullet"/>
        <w:tabs>
          <w:tab w:val="clear" w:pos="1080"/>
          <w:tab w:val="num" w:pos="360"/>
        </w:tabs>
        <w:ind w:left="360"/>
      </w:pPr>
      <w:r w:rsidRPr="003B1BF8">
        <w:t xml:space="preserve">Analgesia options for patients with CKD are limited by adverse effects. </w:t>
      </w:r>
    </w:p>
    <w:p w14:paraId="41FF80E9" w14:textId="77777777" w:rsidR="00747626" w:rsidRPr="003B1BF8" w:rsidRDefault="00747626" w:rsidP="003B1BF8">
      <w:pPr>
        <w:pStyle w:val="ListBullet"/>
        <w:tabs>
          <w:tab w:val="clear" w:pos="1080"/>
          <w:tab w:val="num" w:pos="360"/>
        </w:tabs>
        <w:ind w:left="360"/>
      </w:pPr>
      <w:r w:rsidRPr="003B1BF8">
        <w:t>Non-Steroidal Anti-Inflammatory Drugs (NSAIDs) are relatively contraindicated due to both renal and gastrointestinal toxicity.</w:t>
      </w:r>
    </w:p>
    <w:p w14:paraId="0201410A" w14:textId="77777777" w:rsidR="00747626" w:rsidRPr="003B1BF8" w:rsidRDefault="00747626" w:rsidP="003B1BF8">
      <w:pPr>
        <w:pStyle w:val="ListBullet"/>
        <w:tabs>
          <w:tab w:val="clear" w:pos="1080"/>
          <w:tab w:val="num" w:pos="360"/>
        </w:tabs>
        <w:ind w:left="360"/>
      </w:pPr>
      <w:r w:rsidRPr="003B1BF8">
        <w:t xml:space="preserve">Opioid-based medications and supplemental neuropathic medications are frequently associated with altered mental status, fall and fracture outcomes as well as increased risk of respiratory depression, especially where comorbid obstructive sleep apnoea is present. </w:t>
      </w:r>
    </w:p>
    <w:p w14:paraId="0528E0AC" w14:textId="70DF5231" w:rsidR="00747626" w:rsidRPr="003B1BF8" w:rsidRDefault="00AA7E14" w:rsidP="003B1BF8">
      <w:pPr>
        <w:pStyle w:val="ListBullet"/>
        <w:tabs>
          <w:tab w:val="clear" w:pos="1080"/>
          <w:tab w:val="num" w:pos="360"/>
        </w:tabs>
        <w:ind w:left="360"/>
      </w:pPr>
      <w:r w:rsidRPr="003B1BF8">
        <w:t>Care plan</w:t>
      </w:r>
      <w:r w:rsidR="003B1BF8">
        <w:t>s</w:t>
      </w:r>
      <w:r w:rsidRPr="003B1BF8">
        <w:t xml:space="preserve"> for</w:t>
      </w:r>
      <w:r w:rsidR="00747626" w:rsidRPr="003B1BF8">
        <w:t xml:space="preserve"> persistent pain should include evaluation and management of contributory depression and anxiety including appropriate use of psychological therapy. </w:t>
      </w:r>
    </w:p>
    <w:p w14:paraId="0C3FD745" w14:textId="77777777" w:rsidR="00747626" w:rsidRPr="003B1BF8" w:rsidRDefault="00747626" w:rsidP="003B1BF8">
      <w:pPr>
        <w:pStyle w:val="ListBullet"/>
        <w:tabs>
          <w:tab w:val="clear" w:pos="1080"/>
          <w:tab w:val="num" w:pos="360"/>
        </w:tabs>
        <w:ind w:left="360"/>
      </w:pPr>
      <w:r w:rsidRPr="003B1BF8">
        <w:t xml:space="preserve">Addiction and aberrant behaviours should be screened for and reassessed frequently where opioids are prescribed for extended periods of time. </w:t>
      </w:r>
    </w:p>
    <w:p w14:paraId="08321FB1" w14:textId="77777777" w:rsidR="00747626" w:rsidRDefault="00747626" w:rsidP="003B1BF8">
      <w:pPr>
        <w:pStyle w:val="ListBullet"/>
        <w:tabs>
          <w:tab w:val="clear" w:pos="1080"/>
          <w:tab w:val="num" w:pos="360"/>
        </w:tabs>
        <w:ind w:left="360"/>
      </w:pPr>
      <w:r w:rsidRPr="003B1BF8">
        <w:t>Longer-term (&gt;1 week) opioid use should usually be limited to patients with either cancer</w:t>
      </w:r>
      <w:r>
        <w:t xml:space="preserve"> pain, or those reaching the end of life. </w:t>
      </w:r>
    </w:p>
    <w:p w14:paraId="086829F1" w14:textId="77777777" w:rsidR="00010E74" w:rsidRDefault="00010E74" w:rsidP="00C13D33"/>
    <w:p w14:paraId="086829F2" w14:textId="77777777" w:rsidR="0098579F" w:rsidRDefault="00E0092E" w:rsidP="00C13D33">
      <w:pPr>
        <w:jc w:val="right"/>
      </w:pPr>
      <w:hyperlink w:anchor="Contents" w:history="1">
        <w:r w:rsidR="009A534C"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8579F" w:rsidRPr="001B2BAC" w14:paraId="086829F4" w14:textId="77777777" w:rsidTr="008E74FD">
        <w:trPr>
          <w:cantSplit/>
          <w:trHeight w:val="285"/>
        </w:trPr>
        <w:tc>
          <w:tcPr>
            <w:tcW w:w="9158" w:type="dxa"/>
            <w:shd w:val="clear" w:color="auto" w:fill="D9D9D9" w:themeFill="background1" w:themeFillShade="D9"/>
          </w:tcPr>
          <w:p w14:paraId="086829F3" w14:textId="77777777" w:rsidR="0098579F" w:rsidRPr="002E3BFE" w:rsidRDefault="0098579F" w:rsidP="00B10F87">
            <w:pPr>
              <w:pStyle w:val="Heading1"/>
            </w:pPr>
            <w:bookmarkStart w:id="15" w:name="_Toc134688852"/>
            <w:r>
              <w:t>Scope</w:t>
            </w:r>
            <w:bookmarkEnd w:id="15"/>
          </w:p>
        </w:tc>
      </w:tr>
    </w:tbl>
    <w:p w14:paraId="086829F5" w14:textId="77777777" w:rsidR="0098579F" w:rsidRDefault="0098579F" w:rsidP="0098579F"/>
    <w:p w14:paraId="3804E98B" w14:textId="77777777" w:rsidR="00AA7E14" w:rsidRDefault="00747626" w:rsidP="00747626">
      <w:pPr>
        <w:rPr>
          <w:rFonts w:cs="Arial"/>
          <w:szCs w:val="24"/>
        </w:rPr>
      </w:pPr>
      <w:r>
        <w:rPr>
          <w:rFonts w:cs="Arial"/>
          <w:szCs w:val="24"/>
        </w:rPr>
        <w:t xml:space="preserve">This clinical guideline applies to CHS medical staff who are involved in the care, treatment and management of patients with severe Stage 3b-4 renal impairment (glomerular filtration rate (GFR) &lt;30mL/min) or dialysis dependency (Stage 5). </w:t>
      </w:r>
    </w:p>
    <w:p w14:paraId="6AB348C6" w14:textId="77777777" w:rsidR="00AA7E14" w:rsidRDefault="00AA7E14" w:rsidP="00747626">
      <w:pPr>
        <w:rPr>
          <w:rFonts w:cs="Arial"/>
          <w:szCs w:val="24"/>
        </w:rPr>
      </w:pPr>
    </w:p>
    <w:p w14:paraId="6103E2D6" w14:textId="2F805E6D" w:rsidR="00747626" w:rsidRDefault="00747626" w:rsidP="00747626">
      <w:pPr>
        <w:rPr>
          <w:rFonts w:cs="Arial"/>
          <w:szCs w:val="24"/>
        </w:rPr>
      </w:pPr>
      <w:r>
        <w:rPr>
          <w:rFonts w:cs="Arial"/>
          <w:szCs w:val="24"/>
        </w:rPr>
        <w:t xml:space="preserve">For the purposes of this document, the term ‘persistent’ refers to any pain syndrome persisting longer than 1 week. </w:t>
      </w:r>
    </w:p>
    <w:p w14:paraId="086829FE" w14:textId="461F9005" w:rsidR="00C13D33" w:rsidRPr="00AA7E14" w:rsidRDefault="00C13D33" w:rsidP="00C13D33">
      <w:pPr>
        <w:rPr>
          <w:rFonts w:cs="Arial"/>
          <w:i/>
          <w:szCs w:val="24"/>
        </w:rPr>
      </w:pPr>
    </w:p>
    <w:p w14:paraId="086829FF" w14:textId="77777777" w:rsidR="00C13D33" w:rsidRPr="00032890" w:rsidRDefault="00E0092E" w:rsidP="009A534C">
      <w:pPr>
        <w:jc w:val="right"/>
        <w:rPr>
          <w:rFonts w:cs="Arial"/>
          <w:szCs w:val="24"/>
        </w:rPr>
      </w:pPr>
      <w:hyperlink w:anchor="Contents" w:history="1">
        <w:r w:rsidR="00C13D33"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01" w14:textId="77777777" w:rsidTr="008E74FD">
        <w:trPr>
          <w:cantSplit/>
          <w:trHeight w:val="285"/>
        </w:trPr>
        <w:tc>
          <w:tcPr>
            <w:tcW w:w="9158" w:type="dxa"/>
            <w:shd w:val="clear" w:color="auto" w:fill="D9D9D9" w:themeFill="background1" w:themeFillShade="D9"/>
          </w:tcPr>
          <w:p w14:paraId="08682A00" w14:textId="4BA43BB6" w:rsidR="009A534C" w:rsidRPr="00C76688" w:rsidRDefault="009A534C" w:rsidP="00B10F87">
            <w:pPr>
              <w:pStyle w:val="Heading1"/>
            </w:pPr>
            <w:bookmarkStart w:id="16" w:name="_Toc389473278"/>
            <w:bookmarkStart w:id="17" w:name="_Toc393203334"/>
            <w:bookmarkStart w:id="18" w:name="_Toc134688853"/>
            <w:r w:rsidRPr="00C76688">
              <w:lastRenderedPageBreak/>
              <w:t>Section 1 –</w:t>
            </w:r>
            <w:r>
              <w:t xml:space="preserve"> </w:t>
            </w:r>
            <w:bookmarkEnd w:id="16"/>
            <w:bookmarkEnd w:id="17"/>
            <w:r w:rsidR="00747626">
              <w:t>Non-pharmaceutical approaches</w:t>
            </w:r>
            <w:bookmarkEnd w:id="18"/>
          </w:p>
        </w:tc>
      </w:tr>
    </w:tbl>
    <w:p w14:paraId="08682A02" w14:textId="77777777" w:rsidR="009A534C" w:rsidRDefault="009A534C" w:rsidP="009A534C">
      <w:pPr>
        <w:outlineLvl w:val="0"/>
        <w:rPr>
          <w:szCs w:val="24"/>
        </w:rPr>
      </w:pPr>
    </w:p>
    <w:p w14:paraId="0EC41A79" w14:textId="003C0423" w:rsidR="00747626" w:rsidRDefault="00747626" w:rsidP="00747626">
      <w:r>
        <w:t>There is consensus that the best practice approach to management of persistent (chronic) pain is through a multidisciplinary team</w:t>
      </w:r>
      <w:r w:rsidR="00743643">
        <w:t xml:space="preserve"> (MDT)</w:t>
      </w:r>
      <w:r>
        <w:t>, and addresses the physical, psychological and social components of pain</w:t>
      </w:r>
      <w:r w:rsidR="00AA7E14" w:rsidRPr="00AA7E14">
        <w:rPr>
          <w:vertAlign w:val="superscript"/>
        </w:rPr>
        <w:t>14</w:t>
      </w:r>
      <w:r>
        <w:t>. Psychosocial interventions are supported by robust eviden</w:t>
      </w:r>
      <w:r w:rsidR="004D6D34">
        <w:t>ce</w:t>
      </w:r>
      <w:r>
        <w:t xml:space="preserve"> from the general population as effective approaches for reducing pain severity, interference, pain-related disability and psychological distress. As such, there is a focus on “active”, non-pharmacological approaches to pain management, including patient education as a first-line approach, as well as physical and psychosocial interventions.  These interventions aim to support patient self-management, address any comorbidities, and support adherence to a pain management plan. </w:t>
      </w:r>
    </w:p>
    <w:p w14:paraId="14384B1B" w14:textId="77777777" w:rsidR="00747626" w:rsidRDefault="00747626" w:rsidP="00747626"/>
    <w:p w14:paraId="4EA618A9" w14:textId="197767B1" w:rsidR="00747626" w:rsidRDefault="00747626" w:rsidP="00747626">
      <w:r>
        <w:t>There is increasing recognition that patients benefit from pain programs and that prognostic criteria are valuable in guiding the intensity of intervention</w:t>
      </w:r>
      <w:r w:rsidR="00FB54E9">
        <w:t xml:space="preserve"> </w:t>
      </w:r>
      <w:r w:rsidR="00FB54E9" w:rsidRPr="00AA7E14">
        <w:rPr>
          <w:vertAlign w:val="superscript"/>
        </w:rPr>
        <w:t>14</w:t>
      </w:r>
      <w:r>
        <w:rPr>
          <w:noProof/>
        </w:rPr>
        <w:t>.</w:t>
      </w:r>
      <w:r>
        <w:t xml:space="preserve"> These programs may utilise a multidisciplinary approach and include pain and health education, physiotherapy-supervised education and exercise prescription and cognitive behavioural therapies. Patients are encouraged to prioritise functional independence above relief of pain. Evaluation of programs adopting this approach have indicated patients experience reduction in disability, altered beliefs about pain and improved pain coping strategies</w:t>
      </w:r>
      <w:r w:rsidR="00FB54E9" w:rsidRPr="00AA7E14">
        <w:rPr>
          <w:vertAlign w:val="superscript"/>
        </w:rPr>
        <w:t>1</w:t>
      </w:r>
      <w:r w:rsidR="00FB54E9">
        <w:rPr>
          <w:vertAlign w:val="superscript"/>
        </w:rPr>
        <w:t>5</w:t>
      </w:r>
      <w:r>
        <w:t>. Similar programs delivered to patients experiencing persistent pain and moderate-high disability have demonstrated improvement in pain, depression, medication use and disability following four weeks of intensive intervention and difference persisted beyond one year of follow-up</w:t>
      </w:r>
      <w:r w:rsidR="00FB54E9" w:rsidRPr="00AA7E14">
        <w:rPr>
          <w:vertAlign w:val="superscript"/>
        </w:rPr>
        <w:t>1</w:t>
      </w:r>
      <w:r w:rsidR="00FB54E9">
        <w:rPr>
          <w:vertAlign w:val="superscript"/>
        </w:rPr>
        <w:t>6</w:t>
      </w:r>
      <w:r>
        <w:t xml:space="preserve">. </w:t>
      </w:r>
    </w:p>
    <w:p w14:paraId="550CDAAB" w14:textId="77777777" w:rsidR="00747626" w:rsidRDefault="00747626" w:rsidP="00747626"/>
    <w:p w14:paraId="692DB2B4" w14:textId="5116E969" w:rsidR="00747626" w:rsidRDefault="00F5717B" w:rsidP="00747626">
      <w:pPr>
        <w:pStyle w:val="NoSpacing"/>
        <w:rPr>
          <w:sz w:val="24"/>
          <w:szCs w:val="24"/>
        </w:rPr>
      </w:pPr>
      <w:r>
        <w:rPr>
          <w:sz w:val="24"/>
          <w:szCs w:val="24"/>
        </w:rPr>
        <w:t>A</w:t>
      </w:r>
      <w:r w:rsidR="00747626">
        <w:rPr>
          <w:sz w:val="24"/>
          <w:szCs w:val="24"/>
        </w:rPr>
        <w:t xml:space="preserve">llied </w:t>
      </w:r>
      <w:r w:rsidR="00743643">
        <w:rPr>
          <w:sz w:val="24"/>
          <w:szCs w:val="24"/>
        </w:rPr>
        <w:t>h</w:t>
      </w:r>
      <w:r w:rsidR="00747626">
        <w:rPr>
          <w:sz w:val="24"/>
          <w:szCs w:val="24"/>
        </w:rPr>
        <w:t>ealth with appropriate skills and expertise in pain management should be referred to appropriately. The following management strategies and therapies are a guide only</w:t>
      </w:r>
      <w:r>
        <w:rPr>
          <w:sz w:val="24"/>
          <w:szCs w:val="24"/>
        </w:rPr>
        <w:t xml:space="preserve">. </w:t>
      </w:r>
      <w:r w:rsidR="00747626">
        <w:rPr>
          <w:sz w:val="24"/>
          <w:szCs w:val="24"/>
        </w:rPr>
        <w:t xml:space="preserve"> </w:t>
      </w:r>
    </w:p>
    <w:p w14:paraId="192D8267" w14:textId="77777777" w:rsidR="00747626" w:rsidRDefault="00747626" w:rsidP="00747626">
      <w:pPr>
        <w:pStyle w:val="NoSpacing"/>
        <w:rPr>
          <w:sz w:val="24"/>
          <w:szCs w:val="24"/>
        </w:rPr>
      </w:pPr>
    </w:p>
    <w:p w14:paraId="01F06930" w14:textId="77777777" w:rsidR="00747626" w:rsidRPr="00FB54E9" w:rsidRDefault="00747626" w:rsidP="00747626">
      <w:pPr>
        <w:pStyle w:val="NoSpacing"/>
        <w:rPr>
          <w:b/>
          <w:bCs/>
          <w:sz w:val="24"/>
          <w:szCs w:val="24"/>
        </w:rPr>
      </w:pPr>
      <w:r w:rsidRPr="00FB54E9">
        <w:rPr>
          <w:b/>
          <w:bCs/>
          <w:sz w:val="24"/>
          <w:szCs w:val="24"/>
        </w:rPr>
        <w:t>Pain education:</w:t>
      </w:r>
    </w:p>
    <w:p w14:paraId="7EFFF9A6" w14:textId="77777777" w:rsidR="00747626" w:rsidRDefault="00747626" w:rsidP="00747626">
      <w:pPr>
        <w:pStyle w:val="ListBullet"/>
        <w:tabs>
          <w:tab w:val="num" w:pos="360"/>
        </w:tabs>
        <w:ind w:left="360"/>
      </w:pPr>
      <w:r>
        <w:t>Should follow an appropriate subjective assessment of the cause of pain and exclusion of malignant and tissue-damaging causes, providing reassurance that while pain may be a cause of discomfort it is not “dangerous”.</w:t>
      </w:r>
    </w:p>
    <w:p w14:paraId="3D1963BF" w14:textId="77777777" w:rsidR="00747626" w:rsidRDefault="00747626" w:rsidP="00747626">
      <w:pPr>
        <w:pStyle w:val="ListBullet"/>
        <w:tabs>
          <w:tab w:val="num" w:pos="360"/>
        </w:tabs>
        <w:ind w:left="360"/>
      </w:pPr>
      <w:r>
        <w:t>Is aimed at addressing maladaptive pain-related behaviours, promoting social interaction and physical activity.</w:t>
      </w:r>
    </w:p>
    <w:p w14:paraId="12146C55" w14:textId="56C2CA19" w:rsidR="00747626" w:rsidRDefault="00747626" w:rsidP="00747626">
      <w:pPr>
        <w:pStyle w:val="ListBullet"/>
        <w:tabs>
          <w:tab w:val="num" w:pos="360"/>
        </w:tabs>
        <w:ind w:left="360"/>
      </w:pPr>
      <w:r>
        <w:t xml:space="preserve">May also be delivered by </w:t>
      </w:r>
      <w:r w:rsidR="00F5717B">
        <w:t xml:space="preserve">a </w:t>
      </w:r>
      <w:r>
        <w:t>specialist pain clinic</w:t>
      </w:r>
      <w:r w:rsidR="00F5717B">
        <w:t xml:space="preserve">. </w:t>
      </w:r>
      <w:r>
        <w:t xml:space="preserve">Pain Management Unit. </w:t>
      </w:r>
      <w:r w:rsidR="00F5717B">
        <w:t>Referral to CHS Pain Management unit can</w:t>
      </w:r>
      <w:r>
        <w:t xml:space="preserve"> be done via the Digital Health Record</w:t>
      </w:r>
      <w:r w:rsidR="00743643">
        <w:t>.</w:t>
      </w:r>
    </w:p>
    <w:p w14:paraId="348CB978" w14:textId="77777777" w:rsidR="00747626" w:rsidRDefault="00747626" w:rsidP="00747626">
      <w:pPr>
        <w:pStyle w:val="ListBullet"/>
        <w:tabs>
          <w:tab w:val="num" w:pos="360"/>
        </w:tabs>
        <w:ind w:left="360"/>
      </w:pPr>
      <w:r>
        <w:t xml:space="preserve">May be accessed by patients at home utilising the following online pain management courses: </w:t>
      </w:r>
    </w:p>
    <w:p w14:paraId="15B3FA1A" w14:textId="77777777" w:rsidR="00747626" w:rsidRDefault="00747626" w:rsidP="00FB54E9">
      <w:pPr>
        <w:pStyle w:val="ListBullet"/>
        <w:tabs>
          <w:tab w:val="num" w:pos="1180"/>
        </w:tabs>
        <w:ind w:left="720"/>
        <w:rPr>
          <w:rStyle w:val="Hyperlink"/>
          <w:rFonts w:asciiTheme="minorHAnsi" w:hAnsiTheme="minorHAnsi"/>
        </w:rPr>
      </w:pPr>
      <w:r>
        <w:t xml:space="preserve">Provided by St Vincent’s hospital: </w:t>
      </w:r>
      <w:hyperlink r:id="rId12" w:history="1">
        <w:r>
          <w:rPr>
            <w:rStyle w:val="Hyperlink"/>
            <w:rFonts w:asciiTheme="minorHAnsi" w:hAnsiTheme="minorHAnsi"/>
          </w:rPr>
          <w:t>https://thiswayup.org.au/how-we-can-help/courses/chronic-pain/</w:t>
        </w:r>
      </w:hyperlink>
    </w:p>
    <w:p w14:paraId="348E7231" w14:textId="77777777" w:rsidR="00747626" w:rsidRDefault="00747626" w:rsidP="00FB54E9">
      <w:pPr>
        <w:pStyle w:val="ListBullet"/>
        <w:tabs>
          <w:tab w:val="num" w:pos="1180"/>
        </w:tabs>
        <w:ind w:left="720"/>
        <w:rPr>
          <w:rStyle w:val="Hyperlink"/>
          <w:rFonts w:asciiTheme="minorHAnsi" w:hAnsiTheme="minorHAnsi"/>
        </w:rPr>
      </w:pPr>
      <w:r>
        <w:t xml:space="preserve">Macquarie University: </w:t>
      </w:r>
      <w:hyperlink r:id="rId13" w:history="1">
        <w:r>
          <w:rPr>
            <w:rStyle w:val="Hyperlink"/>
            <w:rFonts w:asciiTheme="minorHAnsi" w:hAnsiTheme="minorHAnsi"/>
          </w:rPr>
          <w:t>https://ecentreclinic.org/?q=PainCourse</w:t>
        </w:r>
      </w:hyperlink>
    </w:p>
    <w:p w14:paraId="57BF84DC" w14:textId="77777777" w:rsidR="00747626" w:rsidRDefault="00747626" w:rsidP="00747626">
      <w:pPr>
        <w:pStyle w:val="ListBullet"/>
        <w:tabs>
          <w:tab w:val="num" w:pos="360"/>
        </w:tabs>
        <w:ind w:left="360"/>
      </w:pPr>
      <w:r>
        <w:t xml:space="preserve">Patients may also be directed to the following resources: </w:t>
      </w:r>
    </w:p>
    <w:p w14:paraId="6958DB90" w14:textId="77777777" w:rsidR="00747626" w:rsidRDefault="00747626" w:rsidP="00FB54E9">
      <w:pPr>
        <w:pStyle w:val="ListBullet"/>
        <w:tabs>
          <w:tab w:val="num" w:pos="1180"/>
        </w:tabs>
        <w:ind w:left="720"/>
        <w:rPr>
          <w:rStyle w:val="Hyperlink"/>
          <w:rFonts w:asciiTheme="minorHAnsi" w:hAnsiTheme="minorHAnsi"/>
        </w:rPr>
      </w:pPr>
      <w:r>
        <w:t xml:space="preserve">ACI Chronic Pain website: </w:t>
      </w:r>
      <w:hyperlink r:id="rId14" w:history="1">
        <w:r>
          <w:rPr>
            <w:rStyle w:val="Hyperlink"/>
            <w:rFonts w:asciiTheme="minorHAnsi" w:hAnsiTheme="minorHAnsi"/>
          </w:rPr>
          <w:t>https://www.aci.health.nsw.gov.au/chronic-pain</w:t>
        </w:r>
      </w:hyperlink>
    </w:p>
    <w:p w14:paraId="10EC15E2" w14:textId="77777777" w:rsidR="00747626" w:rsidRDefault="00747626" w:rsidP="00FB54E9">
      <w:pPr>
        <w:pStyle w:val="ListBullet"/>
        <w:tabs>
          <w:tab w:val="num" w:pos="1180"/>
        </w:tabs>
        <w:ind w:left="720"/>
      </w:pPr>
      <w:r>
        <w:t xml:space="preserve">Arthritis Australia “build a better me” program: </w:t>
      </w:r>
      <w:hyperlink r:id="rId15" w:history="1">
        <w:r>
          <w:rPr>
            <w:rStyle w:val="Hyperlink"/>
          </w:rPr>
          <w:t>www.</w:t>
        </w:r>
        <w:r>
          <w:rPr>
            <w:rStyle w:val="Hyperlink"/>
            <w:rFonts w:asciiTheme="minorHAnsi" w:hAnsiTheme="minorHAnsi"/>
          </w:rPr>
          <w:t>arthritisact.org.au</w:t>
        </w:r>
      </w:hyperlink>
    </w:p>
    <w:p w14:paraId="4C102829" w14:textId="1BE3FC9B" w:rsidR="00747626" w:rsidRDefault="00747626" w:rsidP="00FB54E9">
      <w:pPr>
        <w:pStyle w:val="ListBullet"/>
        <w:tabs>
          <w:tab w:val="num" w:pos="1180"/>
        </w:tabs>
        <w:ind w:left="720"/>
      </w:pPr>
      <w:r>
        <w:t xml:space="preserve">Arthritis Australia caters to a range of chronic conditions, not just arthritis. Patients may self-refer to Arthritis Australia: </w:t>
      </w:r>
      <w:hyperlink r:id="rId16" w:history="1">
        <w:r>
          <w:rPr>
            <w:rStyle w:val="Hyperlink"/>
            <w:szCs w:val="24"/>
          </w:rPr>
          <w:t>www.arthritisact.org.au</w:t>
        </w:r>
      </w:hyperlink>
      <w:r>
        <w:t xml:space="preserve"> Ph 1800 011 04</w:t>
      </w:r>
      <w:r w:rsidR="00743643">
        <w:t>.</w:t>
      </w:r>
    </w:p>
    <w:p w14:paraId="22E19B6A" w14:textId="77777777" w:rsidR="00747626" w:rsidRDefault="00747626" w:rsidP="00747626">
      <w:pPr>
        <w:pStyle w:val="ListParagraph"/>
        <w:ind w:left="1440"/>
        <w:rPr>
          <w:rFonts w:asciiTheme="minorHAnsi" w:hAnsiTheme="minorHAnsi"/>
          <w:color w:val="0000FF"/>
          <w:u w:val="single"/>
        </w:rPr>
      </w:pPr>
      <w:r>
        <w:lastRenderedPageBreak/>
        <w:t xml:space="preserve"> </w:t>
      </w:r>
    </w:p>
    <w:p w14:paraId="44140846" w14:textId="77777777" w:rsidR="00747626" w:rsidRPr="00FB54E9" w:rsidRDefault="00747626" w:rsidP="00747626">
      <w:pPr>
        <w:pStyle w:val="NoSpacing"/>
        <w:rPr>
          <w:b/>
          <w:bCs/>
          <w:sz w:val="24"/>
          <w:szCs w:val="24"/>
        </w:rPr>
      </w:pPr>
      <w:r w:rsidRPr="00FB54E9">
        <w:rPr>
          <w:b/>
          <w:bCs/>
          <w:sz w:val="24"/>
          <w:szCs w:val="24"/>
        </w:rPr>
        <w:t>Pain programs:</w:t>
      </w:r>
    </w:p>
    <w:p w14:paraId="4F8E4C4E" w14:textId="74470628" w:rsidR="00747626" w:rsidRDefault="00747626" w:rsidP="00747626">
      <w:pPr>
        <w:pStyle w:val="ListBullet"/>
        <w:tabs>
          <w:tab w:val="num" w:pos="360"/>
        </w:tabs>
        <w:ind w:left="360"/>
      </w:pPr>
      <w:r>
        <w:t>Are designed to provide comprehensive input by pain specialist</w:t>
      </w:r>
      <w:r w:rsidR="0050527E">
        <w:t>s</w:t>
      </w:r>
      <w:r>
        <w:t xml:space="preserve"> and other allied health practitioners, aimed at improving function and quality of life. </w:t>
      </w:r>
    </w:p>
    <w:p w14:paraId="2112353D" w14:textId="1AEECD2E" w:rsidR="00747626" w:rsidRDefault="00747626" w:rsidP="00747626">
      <w:pPr>
        <w:pStyle w:val="ListBullet"/>
        <w:tabs>
          <w:tab w:val="num" w:pos="360"/>
        </w:tabs>
        <w:ind w:left="360"/>
      </w:pPr>
      <w:r>
        <w:t xml:space="preserve">Focus on improvement in functional status </w:t>
      </w:r>
      <w:r w:rsidR="0050527E">
        <w:t>a</w:t>
      </w:r>
      <w:r>
        <w:t>s the primary goal, rather than reduction in pain scores.</w:t>
      </w:r>
    </w:p>
    <w:p w14:paraId="52912406" w14:textId="61CC0F6B" w:rsidR="00747626" w:rsidRDefault="00747626" w:rsidP="00747626">
      <w:pPr>
        <w:pStyle w:val="ListBullet"/>
        <w:tabs>
          <w:tab w:val="num" w:pos="360"/>
        </w:tabs>
        <w:ind w:left="360"/>
      </w:pPr>
      <w:r>
        <w:t xml:space="preserve">May be delivered by </w:t>
      </w:r>
      <w:r w:rsidR="003D2991">
        <w:t xml:space="preserve">a </w:t>
      </w:r>
      <w:r>
        <w:t xml:space="preserve">specialist pain service, refer to CHS Pain Management Unit as above. </w:t>
      </w:r>
    </w:p>
    <w:p w14:paraId="251FE33B" w14:textId="77777777" w:rsidR="00747626" w:rsidRDefault="00747626" w:rsidP="00747626">
      <w:pPr>
        <w:pStyle w:val="NoSpacing"/>
        <w:rPr>
          <w:b/>
          <w:sz w:val="24"/>
          <w:szCs w:val="24"/>
        </w:rPr>
      </w:pPr>
    </w:p>
    <w:p w14:paraId="535D1B3C" w14:textId="77777777" w:rsidR="00747626" w:rsidRPr="00FB54E9" w:rsidRDefault="00747626" w:rsidP="00747626">
      <w:pPr>
        <w:pStyle w:val="NoSpacing"/>
        <w:rPr>
          <w:b/>
          <w:bCs/>
          <w:sz w:val="24"/>
          <w:szCs w:val="24"/>
        </w:rPr>
      </w:pPr>
      <w:r w:rsidRPr="00FB54E9">
        <w:rPr>
          <w:b/>
          <w:bCs/>
          <w:sz w:val="24"/>
          <w:szCs w:val="24"/>
        </w:rPr>
        <w:t xml:space="preserve">Physiotherapy and Exercise Physiology: </w:t>
      </w:r>
    </w:p>
    <w:p w14:paraId="35EAAD9B" w14:textId="423DF193" w:rsidR="00747626" w:rsidRDefault="00747626" w:rsidP="00747626">
      <w:pPr>
        <w:pStyle w:val="ListBullet"/>
        <w:tabs>
          <w:tab w:val="num" w:pos="0"/>
        </w:tabs>
        <w:ind w:left="360"/>
      </w:pPr>
      <w:r>
        <w:t>Exercise training has evidence of benefit in this patient population with respect to physical function and self-reported wellbeing</w:t>
      </w:r>
      <w:r w:rsidR="00FB54E9">
        <w:t>.</w:t>
      </w:r>
      <w:r w:rsidR="00FB54E9" w:rsidRPr="00AA7E14">
        <w:rPr>
          <w:vertAlign w:val="superscript"/>
        </w:rPr>
        <w:t>1</w:t>
      </w:r>
      <w:r w:rsidR="00FB54E9">
        <w:rPr>
          <w:vertAlign w:val="superscript"/>
        </w:rPr>
        <w:t xml:space="preserve">7, </w:t>
      </w:r>
      <w:r w:rsidR="00FB54E9" w:rsidRPr="00FB54E9">
        <w:rPr>
          <w:vertAlign w:val="superscript"/>
        </w:rPr>
        <w:t>18</w:t>
      </w:r>
      <w:r w:rsidR="00FB54E9">
        <w:rPr>
          <w:vertAlign w:val="superscript"/>
        </w:rPr>
        <w:t xml:space="preserve"> </w:t>
      </w:r>
      <w:r>
        <w:fldChar w:fldCharType="begin">
          <w:fldData xml:space="preserve">PEVuZE5vdGU+PENpdGU+PEF1dGhvcj5QYWludGVyPC9BdXRob3I+PFllYXI+MjAwMDwvWWVhcj48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</w:fldData>
        </w:fldChar>
      </w:r>
      <w:r>
        <w:instrText xml:space="preserve"> ADDIN EN.CITE </w:instrText>
      </w:r>
      <w:r>
        <w:fldChar w:fldCharType="begin">
          <w:fldData xml:space="preserve">PEVuZE5vdGU+PENpdGU+PEF1dGhvcj5QYWludGVyPC9BdXRob3I+PFllYXI+MjAwMDwvWWVhcj48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</w:fldData>
        </w:fldChar>
      </w:r>
      <w:r>
        <w:instrText xml:space="preserve"> ADDIN EN.CITE.DATA </w:instrText>
      </w:r>
      <w:r>
        <w:fldChar w:fldCharType="end"/>
      </w:r>
      <w:r w:rsidR="00E0092E">
        <w:fldChar w:fldCharType="separate"/>
      </w:r>
      <w:r>
        <w:fldChar w:fldCharType="end"/>
      </w:r>
    </w:p>
    <w:p w14:paraId="0712E0DD" w14:textId="77777777" w:rsidR="00747626" w:rsidRDefault="00747626" w:rsidP="00747626">
      <w:pPr>
        <w:pStyle w:val="ListBullet"/>
        <w:tabs>
          <w:tab w:val="num" w:pos="0"/>
        </w:tabs>
        <w:ind w:left="360"/>
      </w:pPr>
      <w:r>
        <w:t xml:space="preserve">May help reduce fear of movement and improve understanding of mechanisms of persistent pain and understanding and managing pain flare-ups. </w:t>
      </w:r>
    </w:p>
    <w:p w14:paraId="7A4931AF" w14:textId="77777777" w:rsidR="00747626" w:rsidRDefault="00747626" w:rsidP="00747626">
      <w:pPr>
        <w:pStyle w:val="ListBullet"/>
        <w:tabs>
          <w:tab w:val="num" w:pos="0"/>
        </w:tabs>
        <w:ind w:left="360"/>
      </w:pPr>
      <w:r>
        <w:t>Practices graded exposure to activity with appropriate exercise therapy to address the secondary effects of deconditioning associated with persistent pain and activity avoidance.</w:t>
      </w:r>
    </w:p>
    <w:p w14:paraId="6503F7A4" w14:textId="77777777" w:rsidR="00747626" w:rsidRDefault="00747626" w:rsidP="00747626">
      <w:pPr>
        <w:pStyle w:val="ListBullet"/>
        <w:tabs>
          <w:tab w:val="num" w:pos="0"/>
        </w:tabs>
        <w:ind w:left="360"/>
      </w:pPr>
      <w:r>
        <w:t>Encourages patients to engage with active rather than passive pain management approaches (exercise, activity modification, pacing programs, social engagement and leisure activities, behaviour modification to avoid ‘boom and bust’ or ‘avoidance’ behaviours).</w:t>
      </w:r>
    </w:p>
    <w:p w14:paraId="64402C29" w14:textId="77777777" w:rsidR="00747626" w:rsidRDefault="00747626" w:rsidP="00747626">
      <w:pPr>
        <w:pStyle w:val="ListBullet"/>
        <w:tabs>
          <w:tab w:val="num" w:pos="0"/>
        </w:tabs>
        <w:ind w:left="360"/>
      </w:pPr>
      <w:r>
        <w:t>May include gait assessment and outline modification strategies and mobility aids if indicated to improve/manage symptoms.</w:t>
      </w:r>
    </w:p>
    <w:p w14:paraId="0CEB1C15" w14:textId="2151ADA0" w:rsidR="00747626" w:rsidRDefault="00747626" w:rsidP="00747626">
      <w:pPr>
        <w:pStyle w:val="ListBullet"/>
        <w:tabs>
          <w:tab w:val="num" w:pos="0"/>
        </w:tabs>
        <w:ind w:left="360"/>
        <w:rPr>
          <w:b/>
          <w:szCs w:val="24"/>
        </w:rPr>
      </w:pPr>
      <w:r>
        <w:t xml:space="preserve">May prescribe massage therapy if indicated and to be facilitated by a clinician experienced in caring for patients with persistent pain. </w:t>
      </w:r>
      <w:r w:rsidR="00187045">
        <w:t xml:space="preserve">Massage therapy may </w:t>
      </w:r>
      <w:r w:rsidR="00FF5538">
        <w:t>reduce</w:t>
      </w:r>
      <w:r>
        <w:t xml:space="preserve"> pain </w:t>
      </w:r>
      <w:r>
        <w:rPr>
          <w:szCs w:val="24"/>
        </w:rPr>
        <w:t>and nausea as it relaxes the body however there is limited data on long term effect.</w:t>
      </w:r>
      <w:r w:rsidR="00FF5538">
        <w:rPr>
          <w:szCs w:val="24"/>
        </w:rPr>
        <w:t xml:space="preserve"> </w:t>
      </w:r>
      <w:r w:rsidR="00FF5538">
        <w:t>If a patient is at risk of bleeding, then certain pressures or techniques should be avoided.</w:t>
      </w:r>
    </w:p>
    <w:p w14:paraId="32A0F66B" w14:textId="77777777" w:rsidR="00747626" w:rsidRDefault="00747626" w:rsidP="00747626">
      <w:pPr>
        <w:pStyle w:val="ListBullet"/>
        <w:tabs>
          <w:tab w:val="num" w:pos="0"/>
        </w:tabs>
        <w:ind w:left="360"/>
        <w:rPr>
          <w:szCs w:val="24"/>
        </w:rPr>
      </w:pPr>
      <w:r>
        <w:rPr>
          <w:szCs w:val="24"/>
        </w:rPr>
        <w:t>May prescribe stretching techniques for additional benefit for the patient.</w:t>
      </w:r>
      <w:bookmarkStart w:id="19" w:name="_Hlk29977686"/>
    </w:p>
    <w:p w14:paraId="641A47D4" w14:textId="7D30A05A" w:rsidR="00747626" w:rsidRDefault="00747626" w:rsidP="00747626">
      <w:pPr>
        <w:pStyle w:val="ListBullet"/>
        <w:tabs>
          <w:tab w:val="num" w:pos="0"/>
        </w:tabs>
        <w:ind w:left="360"/>
        <w:rPr>
          <w:szCs w:val="24"/>
        </w:rPr>
      </w:pPr>
      <w:r>
        <w:rPr>
          <w:szCs w:val="24"/>
        </w:rPr>
        <w:t>Referral may be made by contacting the ward physiotherapist (inpatients) or via the Digital Health Record referral pathway to C</w:t>
      </w:r>
      <w:r w:rsidR="00D1105A">
        <w:rPr>
          <w:szCs w:val="24"/>
        </w:rPr>
        <w:t xml:space="preserve">entral </w:t>
      </w:r>
      <w:r>
        <w:rPr>
          <w:szCs w:val="24"/>
        </w:rPr>
        <w:t>Health Intake (outpatients).</w:t>
      </w:r>
      <w:bookmarkEnd w:id="19"/>
    </w:p>
    <w:p w14:paraId="5F426B80" w14:textId="77777777" w:rsidR="00747626" w:rsidRDefault="00747626" w:rsidP="00747626">
      <w:pPr>
        <w:pStyle w:val="NoSpacing"/>
        <w:ind w:left="360"/>
        <w:contextualSpacing/>
        <w:rPr>
          <w:sz w:val="24"/>
          <w:szCs w:val="24"/>
        </w:rPr>
      </w:pPr>
    </w:p>
    <w:p w14:paraId="12230563" w14:textId="77777777" w:rsidR="00747626" w:rsidRPr="00FB54E9" w:rsidRDefault="00747626" w:rsidP="00747626">
      <w:pPr>
        <w:pStyle w:val="NoSpacing"/>
        <w:rPr>
          <w:b/>
          <w:bCs/>
          <w:sz w:val="24"/>
          <w:szCs w:val="24"/>
        </w:rPr>
      </w:pPr>
      <w:r w:rsidRPr="00FB54E9">
        <w:rPr>
          <w:b/>
          <w:bCs/>
          <w:sz w:val="24"/>
          <w:szCs w:val="24"/>
        </w:rPr>
        <w:t xml:space="preserve">Hydrotherapy: </w:t>
      </w:r>
    </w:p>
    <w:p w14:paraId="6492726A" w14:textId="126A4517" w:rsidR="00747626" w:rsidRDefault="00747626" w:rsidP="00747626">
      <w:pPr>
        <w:pStyle w:val="NoSpacing"/>
        <w:numPr>
          <w:ilvl w:val="0"/>
          <w:numId w:val="17"/>
        </w:numPr>
        <w:contextualSpacing/>
        <w:rPr>
          <w:sz w:val="24"/>
          <w:szCs w:val="24"/>
        </w:rPr>
      </w:pPr>
      <w:r>
        <w:rPr>
          <w:sz w:val="24"/>
          <w:szCs w:val="24"/>
        </w:rPr>
        <w:t xml:space="preserve">Can benefit by offering reduced weight bearing activity, water resistance exercise and joint mobility exercises. For safety, </w:t>
      </w:r>
      <w:r w:rsidR="00497447">
        <w:rPr>
          <w:sz w:val="24"/>
          <w:szCs w:val="24"/>
        </w:rPr>
        <w:t xml:space="preserve">hydrotherapy </w:t>
      </w:r>
      <w:r>
        <w:rPr>
          <w:sz w:val="24"/>
          <w:szCs w:val="24"/>
        </w:rPr>
        <w:t xml:space="preserve">will usually need to be </w:t>
      </w:r>
      <w:r>
        <w:rPr>
          <w:b/>
          <w:sz w:val="24"/>
          <w:szCs w:val="24"/>
        </w:rPr>
        <w:t>prescribed and supervised by a physiotherapist or exercise physiologist</w:t>
      </w:r>
      <w:r>
        <w:rPr>
          <w:sz w:val="24"/>
          <w:szCs w:val="24"/>
        </w:rPr>
        <w:t xml:space="preserve"> after medical clearance to participate. </w:t>
      </w:r>
    </w:p>
    <w:p w14:paraId="613C4956" w14:textId="4978308E" w:rsidR="00747626" w:rsidRDefault="00747626" w:rsidP="00747626">
      <w:pPr>
        <w:pStyle w:val="NoSpacing"/>
        <w:numPr>
          <w:ilvl w:val="0"/>
          <w:numId w:val="17"/>
        </w:numPr>
        <w:contextualSpacing/>
        <w:rPr>
          <w:sz w:val="24"/>
          <w:szCs w:val="24"/>
        </w:rPr>
      </w:pPr>
      <w:r>
        <w:rPr>
          <w:sz w:val="24"/>
          <w:szCs w:val="24"/>
        </w:rPr>
        <w:t>Referral may be made via the Digital Health Record to C</w:t>
      </w:r>
      <w:r w:rsidR="00D1105A">
        <w:rPr>
          <w:sz w:val="24"/>
          <w:szCs w:val="24"/>
        </w:rPr>
        <w:t>entral</w:t>
      </w:r>
      <w:r>
        <w:rPr>
          <w:sz w:val="24"/>
          <w:szCs w:val="24"/>
        </w:rPr>
        <w:t xml:space="preserve"> Health Intake (outpatients Physiotherapy).</w:t>
      </w:r>
    </w:p>
    <w:p w14:paraId="60D6599B" w14:textId="77777777" w:rsidR="00747626" w:rsidRDefault="00747626" w:rsidP="00747626">
      <w:pPr>
        <w:pStyle w:val="NoSpacing"/>
        <w:rPr>
          <w:sz w:val="24"/>
          <w:szCs w:val="24"/>
        </w:rPr>
      </w:pPr>
    </w:p>
    <w:p w14:paraId="1A3888B2" w14:textId="77777777" w:rsidR="00747626" w:rsidRPr="00FB54E9" w:rsidRDefault="00747626" w:rsidP="00747626">
      <w:pPr>
        <w:pStyle w:val="NoSpacing"/>
        <w:rPr>
          <w:b/>
          <w:bCs/>
          <w:sz w:val="24"/>
          <w:szCs w:val="24"/>
        </w:rPr>
      </w:pPr>
      <w:r w:rsidRPr="00FB54E9">
        <w:rPr>
          <w:b/>
          <w:bCs/>
          <w:sz w:val="24"/>
          <w:szCs w:val="24"/>
        </w:rPr>
        <w:t>Occupational therapy:</w:t>
      </w:r>
    </w:p>
    <w:p w14:paraId="05E0D209" w14:textId="13312FA3" w:rsidR="00747626" w:rsidRDefault="00747626" w:rsidP="00747626">
      <w:pPr>
        <w:pStyle w:val="ListBullet"/>
        <w:tabs>
          <w:tab w:val="num" w:pos="360"/>
        </w:tabs>
        <w:ind w:left="360"/>
      </w:pPr>
      <w:r>
        <w:t>May provide home modification and activity of daily living assessment</w:t>
      </w:r>
      <w:r w:rsidR="00497447">
        <w:t>.</w:t>
      </w:r>
    </w:p>
    <w:p w14:paraId="1CE64DAE" w14:textId="60FD4021" w:rsidR="00747626" w:rsidRDefault="00747626" w:rsidP="00747626">
      <w:pPr>
        <w:pStyle w:val="ListBullet"/>
        <w:tabs>
          <w:tab w:val="num" w:pos="360"/>
        </w:tabs>
        <w:ind w:left="360"/>
      </w:pPr>
      <w:r>
        <w:t>May prescribe energy conservation strategies</w:t>
      </w:r>
      <w:r w:rsidR="00497447">
        <w:t>.</w:t>
      </w:r>
    </w:p>
    <w:p w14:paraId="4A3EDEB5" w14:textId="6E920981" w:rsidR="00747626" w:rsidRDefault="00747626" w:rsidP="00747626">
      <w:pPr>
        <w:pStyle w:val="ListBullet"/>
        <w:tabs>
          <w:tab w:val="num" w:pos="360"/>
        </w:tabs>
        <w:ind w:left="360"/>
      </w:pPr>
      <w:r>
        <w:t>May prescribe wheelchair and activity aids if indicated for around the home or accessing the community</w:t>
      </w:r>
      <w:r w:rsidR="00497447">
        <w:t>.</w:t>
      </w:r>
    </w:p>
    <w:p w14:paraId="68F29F11" w14:textId="2E8F2B07" w:rsidR="00747626" w:rsidRDefault="00747626" w:rsidP="00747626">
      <w:pPr>
        <w:pStyle w:val="ListBullet"/>
        <w:tabs>
          <w:tab w:val="num" w:pos="360"/>
        </w:tabs>
        <w:ind w:left="360"/>
      </w:pPr>
      <w:r>
        <w:lastRenderedPageBreak/>
        <w:t>Referral may be made by contacting the ward occupational therapist (inpatients) or completing the Community Health Intake form (outpatients)</w:t>
      </w:r>
      <w:r w:rsidR="00FB54E9">
        <w:t>.</w:t>
      </w:r>
    </w:p>
    <w:p w14:paraId="3ECD3CCC" w14:textId="77777777" w:rsidR="00747626" w:rsidRDefault="00747626" w:rsidP="00747626">
      <w:pPr>
        <w:pStyle w:val="NoSpacing"/>
        <w:rPr>
          <w:sz w:val="24"/>
          <w:szCs w:val="24"/>
        </w:rPr>
      </w:pPr>
    </w:p>
    <w:p w14:paraId="62A22DFB" w14:textId="77777777" w:rsidR="00747626" w:rsidRPr="00FB54E9" w:rsidRDefault="00747626" w:rsidP="00747626">
      <w:pPr>
        <w:rPr>
          <w:b/>
          <w:bCs/>
          <w:szCs w:val="24"/>
        </w:rPr>
      </w:pPr>
      <w:r w:rsidRPr="00FB54E9">
        <w:rPr>
          <w:b/>
          <w:bCs/>
          <w:szCs w:val="24"/>
        </w:rPr>
        <w:t xml:space="preserve">Psychological therapy and relaxation techniques: </w:t>
      </w:r>
    </w:p>
    <w:p w14:paraId="02CAE827" w14:textId="77777777" w:rsidR="00747626" w:rsidRDefault="00747626" w:rsidP="00747626">
      <w:pPr>
        <w:pStyle w:val="ListBullet"/>
        <w:tabs>
          <w:tab w:val="num" w:pos="360"/>
        </w:tabs>
        <w:ind w:left="360"/>
        <w:rPr>
          <w:b/>
        </w:rPr>
      </w:pPr>
      <w:r>
        <w:t>May include mindfulness therapy and meditation strategies, cognitive behavioural therapy, acceptance commitment therapy, narrative therapy and motivational interviewing.</w:t>
      </w:r>
    </w:p>
    <w:p w14:paraId="3D38DE36" w14:textId="77777777" w:rsidR="00747626" w:rsidRDefault="00747626" w:rsidP="00747626">
      <w:pPr>
        <w:pStyle w:val="ListBullet"/>
        <w:tabs>
          <w:tab w:val="num" w:pos="360"/>
        </w:tabs>
        <w:ind w:left="360"/>
        <w:rPr>
          <w:b/>
        </w:rPr>
      </w:pPr>
      <w:r>
        <w:t>Should be delivered by a psychologist, social worker or other mental health professional.</w:t>
      </w:r>
      <w:r>
        <w:rPr>
          <w:b/>
        </w:rPr>
        <w:t xml:space="preserve"> </w:t>
      </w:r>
      <w:r>
        <w:t>The delivery of these interventions may be in a group-based pain management program, or on an individual basis in the community, depending on the specific needs of the patient and availability of services.</w:t>
      </w:r>
    </w:p>
    <w:p w14:paraId="49B18061" w14:textId="77777777" w:rsidR="00747626" w:rsidRDefault="00747626" w:rsidP="00747626">
      <w:pPr>
        <w:pStyle w:val="ListBullet"/>
        <w:tabs>
          <w:tab w:val="num" w:pos="360"/>
        </w:tabs>
        <w:ind w:left="360"/>
        <w:rPr>
          <w:b/>
        </w:rPr>
      </w:pPr>
      <w:r>
        <w:t xml:space="preserve">Psychological support services are critical components of the nonpharmacological approach to pain. </w:t>
      </w:r>
    </w:p>
    <w:p w14:paraId="3996F403" w14:textId="2CD124D1" w:rsidR="00747626" w:rsidRDefault="00747626" w:rsidP="00747626">
      <w:pPr>
        <w:pStyle w:val="ListBullet"/>
        <w:tabs>
          <w:tab w:val="num" w:pos="360"/>
        </w:tabs>
        <w:ind w:left="360"/>
        <w:rPr>
          <w:b/>
        </w:rPr>
      </w:pPr>
      <w:r>
        <w:t xml:space="preserve">Referral may be made by contacting the clinical </w:t>
      </w:r>
      <w:r w:rsidR="00F5717B">
        <w:t xml:space="preserve">psychology </w:t>
      </w:r>
      <w:r>
        <w:t xml:space="preserve">(inpatients) or by </w:t>
      </w:r>
      <w:r w:rsidR="00E25D90">
        <w:t>a</w:t>
      </w:r>
      <w:r>
        <w:t xml:space="preserve"> General Practitioner following completion of a mental health plan (outpatients)</w:t>
      </w:r>
      <w:r w:rsidR="00FB54E9">
        <w:t>.</w:t>
      </w:r>
    </w:p>
    <w:p w14:paraId="6F1BEAB5" w14:textId="77777777" w:rsidR="00747626" w:rsidRDefault="00747626" w:rsidP="00747626">
      <w:pPr>
        <w:pStyle w:val="NoSpacing"/>
        <w:rPr>
          <w:sz w:val="24"/>
          <w:szCs w:val="24"/>
        </w:rPr>
      </w:pPr>
    </w:p>
    <w:p w14:paraId="1D0816DF" w14:textId="77777777" w:rsidR="00747626" w:rsidRDefault="00747626" w:rsidP="00747626">
      <w:pPr>
        <w:pStyle w:val="NoSpacing"/>
        <w:rPr>
          <w:sz w:val="24"/>
          <w:szCs w:val="24"/>
        </w:rPr>
      </w:pPr>
      <w:r>
        <w:rPr>
          <w:b/>
          <w:bCs/>
          <w:sz w:val="24"/>
          <w:szCs w:val="24"/>
        </w:rPr>
        <w:t>Other non-pharmacological and non-surgical options</w:t>
      </w:r>
      <w:r>
        <w:rPr>
          <w:sz w:val="24"/>
          <w:szCs w:val="24"/>
        </w:rPr>
        <w:t xml:space="preserve">: </w:t>
      </w:r>
    </w:p>
    <w:p w14:paraId="5A6218E4" w14:textId="738379B2" w:rsidR="00747626" w:rsidRDefault="00747626" w:rsidP="00747626">
      <w:pPr>
        <w:pStyle w:val="ListBullet"/>
        <w:tabs>
          <w:tab w:val="num" w:pos="360"/>
        </w:tabs>
        <w:ind w:left="360"/>
      </w:pPr>
      <w:r>
        <w:t>Lifestyle changes including weight management strategies which can assist to off-load weight-bearing joints</w:t>
      </w:r>
      <w:r w:rsidR="00497447">
        <w:t>.</w:t>
      </w:r>
    </w:p>
    <w:p w14:paraId="0061BF4B" w14:textId="15E087CB" w:rsidR="00747626" w:rsidRDefault="00747626" w:rsidP="00747626">
      <w:pPr>
        <w:pStyle w:val="ListBullet"/>
        <w:tabs>
          <w:tab w:val="num" w:pos="360"/>
        </w:tabs>
        <w:ind w:left="360"/>
      </w:pPr>
      <w:r>
        <w:t>Music therapy (community programs; patient self-referral)</w:t>
      </w:r>
      <w:r w:rsidR="00497447">
        <w:t>.</w:t>
      </w:r>
    </w:p>
    <w:p w14:paraId="40F45944" w14:textId="61C64066" w:rsidR="00747626" w:rsidRDefault="00747626" w:rsidP="00747626">
      <w:pPr>
        <w:pStyle w:val="ListBullet"/>
        <w:tabs>
          <w:tab w:val="num" w:pos="360"/>
        </w:tabs>
        <w:ind w:left="360"/>
      </w:pPr>
      <w:r>
        <w:t>Art therapy (community programs; patient self-referral)</w:t>
      </w:r>
      <w:r w:rsidR="00497447">
        <w:t>.</w:t>
      </w:r>
    </w:p>
    <w:p w14:paraId="7911684F" w14:textId="08E88255" w:rsidR="00747626" w:rsidRDefault="00747626" w:rsidP="00747626">
      <w:pPr>
        <w:pStyle w:val="ListBullet"/>
        <w:tabs>
          <w:tab w:val="num" w:pos="360"/>
        </w:tabs>
        <w:ind w:left="360"/>
      </w:pPr>
      <w:r>
        <w:t>Transcutaneous electric nerve stimulation (TENS)</w:t>
      </w:r>
      <w:r w:rsidR="00D8182C">
        <w:t>,</w:t>
      </w:r>
      <w:r>
        <w:t xml:space="preserve"> which is a non-invasive, inexpensive, delivery of cutaneous electrical paraesthesia</w:t>
      </w:r>
      <w:r w:rsidR="00B70451">
        <w:t xml:space="preserve"> that is</w:t>
      </w:r>
      <w:r>
        <w:t xml:space="preserve"> used for chronic pain. </w:t>
      </w:r>
      <w:r w:rsidR="00663C1D">
        <w:t xml:space="preserve">TENS is prescribed and supervised by a physiotherapist. </w:t>
      </w:r>
      <w:r>
        <w:t>Study data indicates appropriate use can reduce analgesia requirement by 50% in chronic musculoskeletal pain</w:t>
      </w:r>
      <w:r w:rsidR="00001720">
        <w:t>, however a recent Cochrane</w:t>
      </w:r>
      <w:r w:rsidR="003D2991">
        <w:t xml:space="preserve"> review</w:t>
      </w:r>
      <w:r w:rsidR="00001720">
        <w:t xml:space="preserve"> has questioned the efficacy of this therapy</w:t>
      </w:r>
      <w:r w:rsidR="00001720" w:rsidRPr="00AA7E14">
        <w:rPr>
          <w:vertAlign w:val="superscript"/>
        </w:rPr>
        <w:t>1</w:t>
      </w:r>
      <w:r w:rsidR="00001720">
        <w:rPr>
          <w:vertAlign w:val="superscript"/>
        </w:rPr>
        <w:t>9</w:t>
      </w:r>
      <w:r w:rsidR="00CA02F7">
        <w:rPr>
          <w:vertAlign w:val="subscript"/>
        </w:rPr>
        <w:t>.</w:t>
      </w:r>
      <w:r>
        <w:t xml:space="preserve"> </w:t>
      </w:r>
      <w:r w:rsidR="00D8182C">
        <w:t xml:space="preserve">It is important to </w:t>
      </w:r>
      <w:r w:rsidR="00CA02F7">
        <w:t xml:space="preserve">consider </w:t>
      </w:r>
      <w:r w:rsidR="00D8182C">
        <w:t>that p</w:t>
      </w:r>
      <w:r w:rsidR="00EC48C7">
        <w:t>atients with reduced or altered sensation may be at risk of electrical burns.</w:t>
      </w:r>
      <w:r>
        <w:t xml:space="preserve"> </w:t>
      </w:r>
    </w:p>
    <w:p w14:paraId="404A32DC" w14:textId="3F129712" w:rsidR="00F5717B" w:rsidRDefault="00747626" w:rsidP="00747626">
      <w:pPr>
        <w:pStyle w:val="ListBullet"/>
        <w:tabs>
          <w:tab w:val="num" w:pos="360"/>
        </w:tabs>
        <w:ind w:left="360"/>
      </w:pPr>
      <w:r w:rsidRPr="00CA02F7">
        <w:rPr>
          <w:rFonts w:ascii="Source Sans Pro" w:hAnsi="Source Sans Pro"/>
          <w:spacing w:val="-1"/>
          <w:sz w:val="21"/>
        </w:rPr>
        <w:t>Acupuncture</w:t>
      </w:r>
      <w:r w:rsidR="0026478B" w:rsidRPr="00CA02F7">
        <w:rPr>
          <w:rFonts w:ascii="Source Sans Pro" w:hAnsi="Source Sans Pro"/>
          <w:spacing w:val="-1"/>
          <w:sz w:val="21"/>
          <w:szCs w:val="21"/>
        </w:rPr>
        <w:t xml:space="preserve"> is a complementary therapy available to patients without a referral. Manual acupressure combined with routine care may provide short-term symptom relief from depressive mood, fatigue and sleep disturbance in patients undergoing haemodialysis. </w:t>
      </w:r>
      <w:r w:rsidR="00A837BD" w:rsidRPr="00CA02F7">
        <w:rPr>
          <w:rFonts w:ascii="Source Sans Pro" w:hAnsi="Source Sans Pro"/>
          <w:spacing w:val="-1"/>
          <w:sz w:val="21"/>
          <w:szCs w:val="21"/>
        </w:rPr>
        <w:t>Evidence based evaluation</w:t>
      </w:r>
      <w:r w:rsidR="00660583">
        <w:rPr>
          <w:rFonts w:ascii="Source Sans Pro" w:hAnsi="Source Sans Pro"/>
          <w:spacing w:val="-1"/>
          <w:sz w:val="21"/>
          <w:szCs w:val="21"/>
        </w:rPr>
        <w:t>s</w:t>
      </w:r>
      <w:r w:rsidR="00A837BD" w:rsidRPr="00CA02F7">
        <w:rPr>
          <w:rFonts w:ascii="Source Sans Pro" w:hAnsi="Source Sans Pro"/>
          <w:spacing w:val="-1"/>
          <w:sz w:val="21"/>
          <w:szCs w:val="21"/>
        </w:rPr>
        <w:t xml:space="preserve"> of other acupuncture techniques</w:t>
      </w:r>
      <w:r w:rsidR="00A74C0B">
        <w:rPr>
          <w:rFonts w:ascii="Source Sans Pro" w:hAnsi="Source Sans Pro"/>
          <w:spacing w:val="-1"/>
          <w:sz w:val="21"/>
          <w:szCs w:val="21"/>
        </w:rPr>
        <w:t xml:space="preserve"> for patients with CKD</w:t>
      </w:r>
      <w:r w:rsidR="00A837BD" w:rsidRPr="00CA02F7">
        <w:rPr>
          <w:rFonts w:ascii="Source Sans Pro" w:hAnsi="Source Sans Pro"/>
          <w:spacing w:val="-1"/>
          <w:sz w:val="21"/>
          <w:szCs w:val="21"/>
        </w:rPr>
        <w:t xml:space="preserve"> </w:t>
      </w:r>
      <w:r w:rsidR="00660583">
        <w:rPr>
          <w:rFonts w:ascii="Source Sans Pro" w:hAnsi="Source Sans Pro"/>
          <w:spacing w:val="-1"/>
          <w:sz w:val="21"/>
          <w:szCs w:val="21"/>
        </w:rPr>
        <w:t>are</w:t>
      </w:r>
      <w:r w:rsidR="00A837BD" w:rsidRPr="00CA02F7">
        <w:rPr>
          <w:rFonts w:ascii="Source Sans Pro" w:hAnsi="Source Sans Pro"/>
          <w:spacing w:val="-1"/>
          <w:sz w:val="21"/>
          <w:szCs w:val="21"/>
        </w:rPr>
        <w:t xml:space="preserve"> not currently available.</w:t>
      </w:r>
      <w:r w:rsidR="00A74C0B">
        <w:rPr>
          <w:rFonts w:ascii="Source Sans Pro" w:hAnsi="Source Sans Pro"/>
          <w:spacing w:val="-1"/>
          <w:sz w:val="21"/>
          <w:szCs w:val="21"/>
        </w:rPr>
        <w:t xml:space="preserve"> </w:t>
      </w:r>
      <w:r w:rsidR="0026478B" w:rsidRPr="00CA02F7">
        <w:rPr>
          <w:rFonts w:ascii="Source Sans Pro" w:hAnsi="Source Sans Pro"/>
          <w:spacing w:val="-1"/>
          <w:sz w:val="21"/>
          <w:szCs w:val="21"/>
        </w:rPr>
        <w:t>Patients should be advised that qualified acupuncturists are required to be registered with AHPRA</w:t>
      </w:r>
      <w:r w:rsidR="00F5717B">
        <w:rPr>
          <w:rFonts w:ascii="Source Sans Pro" w:hAnsi="Source Sans Pro"/>
          <w:spacing w:val="-1"/>
          <w:sz w:val="21"/>
          <w:szCs w:val="21"/>
        </w:rPr>
        <w:t xml:space="preserve">. </w:t>
      </w:r>
    </w:p>
    <w:p w14:paraId="200D7C77" w14:textId="6AD674C2" w:rsidR="00747626" w:rsidRDefault="00747626" w:rsidP="00747626">
      <w:pPr>
        <w:pStyle w:val="ListBullet"/>
        <w:tabs>
          <w:tab w:val="num" w:pos="360"/>
        </w:tabs>
        <w:ind w:left="360"/>
      </w:pPr>
      <w:r>
        <w:t>Hot/Cold packs. Be mindful of risk of burns where patients have concurrent neuropathy and reduced temperature awareness. Hot/cold pack suitability may be discussed further with a physiotherapist</w:t>
      </w:r>
      <w:r w:rsidR="003809BF">
        <w:t>.</w:t>
      </w:r>
    </w:p>
    <w:p w14:paraId="406CA3EB" w14:textId="77777777" w:rsidR="00747626" w:rsidRDefault="00747626" w:rsidP="00747626">
      <w:pPr>
        <w:pStyle w:val="NoSpacing"/>
        <w:rPr>
          <w:b/>
          <w:sz w:val="24"/>
          <w:szCs w:val="24"/>
        </w:rPr>
      </w:pPr>
    </w:p>
    <w:p w14:paraId="22D93B2D" w14:textId="77777777" w:rsidR="00747626" w:rsidRDefault="00747626" w:rsidP="00747626">
      <w:pPr>
        <w:pStyle w:val="NoSpacing"/>
        <w:rPr>
          <w:b/>
          <w:sz w:val="24"/>
          <w:szCs w:val="24"/>
        </w:rPr>
      </w:pPr>
      <w:r>
        <w:rPr>
          <w:b/>
          <w:sz w:val="24"/>
          <w:szCs w:val="24"/>
        </w:rPr>
        <w:t>Medical and Surgical Procedures</w:t>
      </w:r>
    </w:p>
    <w:p w14:paraId="02BFE7CC" w14:textId="05AF7CDB" w:rsidR="00747626" w:rsidRDefault="00747626" w:rsidP="00747626">
      <w:pPr>
        <w:pStyle w:val="ListBullet"/>
        <w:tabs>
          <w:tab w:val="num" w:pos="360"/>
        </w:tabs>
        <w:ind w:left="360"/>
      </w:pPr>
      <w:r>
        <w:rPr>
          <w:rFonts w:cstheme="minorHAnsi"/>
          <w:bCs/>
          <w:color w:val="222222"/>
          <w:szCs w:val="24"/>
          <w:shd w:val="clear" w:color="auto" w:fill="FFFFFF"/>
        </w:rPr>
        <w:t>Pudendal</w:t>
      </w:r>
      <w:r>
        <w:rPr>
          <w:rStyle w:val="apple-converted-space"/>
          <w:rFonts w:cstheme="minorHAnsi"/>
          <w:color w:val="222222"/>
          <w:szCs w:val="24"/>
          <w:shd w:val="clear" w:color="auto" w:fill="FFFFFF"/>
        </w:rPr>
        <w:t> </w:t>
      </w:r>
      <w:r>
        <w:rPr>
          <w:rFonts w:cstheme="minorHAnsi"/>
          <w:color w:val="222222"/>
          <w:szCs w:val="24"/>
          <w:shd w:val="clear" w:color="auto" w:fill="FFFFFF"/>
        </w:rPr>
        <w:t>peripheral</w:t>
      </w:r>
      <w:r>
        <w:rPr>
          <w:rStyle w:val="apple-converted-space"/>
          <w:rFonts w:cstheme="minorHAnsi"/>
          <w:color w:val="222222"/>
          <w:szCs w:val="24"/>
          <w:shd w:val="clear" w:color="auto" w:fill="FFFFFF"/>
        </w:rPr>
        <w:t> </w:t>
      </w:r>
      <w:r>
        <w:rPr>
          <w:rStyle w:val="apple-converted-space"/>
          <w:rFonts w:cstheme="minorHAnsi"/>
          <w:bCs/>
          <w:color w:val="222222"/>
          <w:szCs w:val="24"/>
          <w:shd w:val="clear" w:color="auto" w:fill="FFFFFF"/>
        </w:rPr>
        <w:t>n</w:t>
      </w:r>
      <w:r>
        <w:rPr>
          <w:rFonts w:cstheme="minorHAnsi"/>
          <w:bCs/>
          <w:color w:val="222222"/>
          <w:szCs w:val="24"/>
          <w:shd w:val="clear" w:color="auto" w:fill="FFFFFF"/>
        </w:rPr>
        <w:t>erve block</w:t>
      </w:r>
      <w:r>
        <w:rPr>
          <w:rFonts w:cstheme="minorHAnsi"/>
          <w:color w:val="222222"/>
          <w:szCs w:val="24"/>
          <w:shd w:val="clear" w:color="auto" w:fill="FFFFFF"/>
        </w:rPr>
        <w:t>s</w:t>
      </w:r>
      <w:r>
        <w:rPr>
          <w:rFonts w:cstheme="minorHAnsi"/>
          <w:b/>
          <w:color w:val="222222"/>
          <w:szCs w:val="24"/>
          <w:shd w:val="clear" w:color="auto" w:fill="FFFFFF"/>
        </w:rPr>
        <w:t xml:space="preserve"> </w:t>
      </w:r>
      <w:r>
        <w:rPr>
          <w:rFonts w:cstheme="minorHAnsi"/>
          <w:color w:val="222222"/>
          <w:szCs w:val="24"/>
          <w:shd w:val="clear" w:color="auto" w:fill="FFFFFF"/>
        </w:rPr>
        <w:t>are minimally invasive, non-surgical treatment</w:t>
      </w:r>
      <w:r w:rsidR="00FF3D6A">
        <w:rPr>
          <w:rFonts w:cstheme="minorHAnsi"/>
          <w:color w:val="222222"/>
          <w:szCs w:val="24"/>
          <w:shd w:val="clear" w:color="auto" w:fill="FFFFFF"/>
        </w:rPr>
        <w:t>s</w:t>
      </w:r>
      <w:r>
        <w:rPr>
          <w:rFonts w:cstheme="minorHAnsi"/>
          <w:color w:val="222222"/>
          <w:szCs w:val="24"/>
          <w:shd w:val="clear" w:color="auto" w:fill="FFFFFF"/>
        </w:rPr>
        <w:t xml:space="preserve"> for chronic pain. </w:t>
      </w:r>
      <w:r w:rsidR="00A10994">
        <w:rPr>
          <w:rFonts w:cstheme="minorHAnsi"/>
          <w:color w:val="222222"/>
          <w:szCs w:val="24"/>
          <w:shd w:val="clear" w:color="auto" w:fill="FFFFFF"/>
        </w:rPr>
        <w:t>These</w:t>
      </w:r>
      <w:r>
        <w:rPr>
          <w:rFonts w:cstheme="minorHAnsi"/>
          <w:color w:val="222222"/>
          <w:szCs w:val="24"/>
          <w:shd w:val="clear" w:color="auto" w:fill="FFFFFF"/>
        </w:rPr>
        <w:t xml:space="preserve"> can help in the management of chronic pelvic pain conditions such as vaginal, penile, scrotal or perineal pain.</w:t>
      </w:r>
    </w:p>
    <w:p w14:paraId="172C244D" w14:textId="77777777" w:rsidR="00747626" w:rsidRDefault="00747626" w:rsidP="00747626">
      <w:pPr>
        <w:pStyle w:val="NoSpacing"/>
        <w:numPr>
          <w:ilvl w:val="0"/>
          <w:numId w:val="18"/>
        </w:numPr>
        <w:ind w:left="360"/>
        <w:contextualSpacing/>
        <w:rPr>
          <w:rFonts w:cstheme="minorHAnsi"/>
          <w:color w:val="222222"/>
          <w:sz w:val="24"/>
          <w:szCs w:val="24"/>
          <w:shd w:val="clear" w:color="auto" w:fill="FFFFFF"/>
        </w:rPr>
      </w:pPr>
      <w:r>
        <w:rPr>
          <w:rFonts w:cstheme="minorHAnsi"/>
          <w:color w:val="222222"/>
          <w:sz w:val="24"/>
          <w:szCs w:val="24"/>
          <w:shd w:val="clear" w:color="auto" w:fill="FFFFFF"/>
        </w:rPr>
        <w:t>Coeliac plexus block for pancreatic pain. This has a recognised role in cyst-related pain in polycystic kidney disease.</w:t>
      </w:r>
    </w:p>
    <w:p w14:paraId="13795161" w14:textId="069C6D7D" w:rsidR="00747626" w:rsidRDefault="00747626" w:rsidP="00747626">
      <w:pPr>
        <w:pStyle w:val="NoSpacing"/>
        <w:numPr>
          <w:ilvl w:val="0"/>
          <w:numId w:val="18"/>
        </w:numPr>
        <w:ind w:left="360"/>
        <w:contextualSpacing/>
      </w:pPr>
      <w:r>
        <w:rPr>
          <w:rFonts w:cstheme="minorHAnsi"/>
          <w:sz w:val="24"/>
          <w:szCs w:val="24"/>
        </w:rPr>
        <w:t>Transforaminal injections for radicular pain; patients should be informed that short-term pain relief is achievable but that long-term pain recurrence is high, although frequently responsive to repeat procedures</w:t>
      </w:r>
      <w:r w:rsidR="00CA02F7">
        <w:rPr>
          <w:vertAlign w:val="superscript"/>
        </w:rPr>
        <w:t>21</w:t>
      </w:r>
      <w:r>
        <w:rPr>
          <w:rFonts w:cstheme="minorHAnsi"/>
          <w:sz w:val="24"/>
          <w:szCs w:val="24"/>
        </w:rPr>
        <w:t xml:space="preserve">. </w:t>
      </w:r>
    </w:p>
    <w:p w14:paraId="3033B195" w14:textId="3A21161F" w:rsidR="00747626" w:rsidRPr="00FB54E9" w:rsidRDefault="00747626" w:rsidP="00747626">
      <w:pPr>
        <w:pStyle w:val="NoSpacing"/>
        <w:numPr>
          <w:ilvl w:val="0"/>
          <w:numId w:val="18"/>
        </w:numPr>
        <w:ind w:left="360"/>
        <w:contextualSpacing/>
      </w:pPr>
      <w:r>
        <w:rPr>
          <w:rFonts w:cstheme="minorHAnsi"/>
          <w:sz w:val="24"/>
          <w:szCs w:val="24"/>
        </w:rPr>
        <w:lastRenderedPageBreak/>
        <w:t>Discuss these interventional options with the appropriate medical consultant if indicated and refer to interventional radiology with a medical imaging request.</w:t>
      </w:r>
      <w:r w:rsidR="00CA02F7">
        <w:rPr>
          <w:rFonts w:cstheme="minorHAnsi"/>
          <w:sz w:val="24"/>
          <w:szCs w:val="24"/>
        </w:rPr>
        <w:t xml:space="preserve"> </w:t>
      </w:r>
    </w:p>
    <w:p w14:paraId="5E329050" w14:textId="77777777" w:rsidR="00FB54E9" w:rsidRDefault="00FB54E9" w:rsidP="00FB54E9">
      <w:pPr>
        <w:pStyle w:val="NoSpacing"/>
        <w:ind w:left="360"/>
        <w:contextualSpacing/>
      </w:pPr>
    </w:p>
    <w:p w14:paraId="08682A07" w14:textId="77777777" w:rsidR="009A534C" w:rsidRPr="00DA3910" w:rsidRDefault="00E0092E" w:rsidP="009A534C">
      <w:pPr>
        <w:jc w:val="right"/>
        <w:rPr>
          <w:rFonts w:cs="Arial"/>
          <w:i/>
          <w:szCs w:val="24"/>
        </w:rPr>
      </w:pPr>
      <w:hyperlink w:anchor="Contents" w:history="1">
        <w:r w:rsidR="009A534C" w:rsidRPr="00C91F3F">
          <w:rPr>
            <w:rStyle w:val="Hyperlink"/>
            <w:rFonts w:eastAsiaTheme="majorEastAsia" w:cs="Arial"/>
            <w:i/>
            <w:szCs w:val="24"/>
          </w:rPr>
          <w:t>Back to Table of Contents</w:t>
        </w:r>
      </w:hyperlink>
      <w:r w:rsidR="009A534C">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09" w14:textId="77777777" w:rsidTr="008E74FD">
        <w:trPr>
          <w:cantSplit/>
          <w:trHeight w:val="285"/>
        </w:trPr>
        <w:tc>
          <w:tcPr>
            <w:tcW w:w="9158" w:type="dxa"/>
            <w:shd w:val="clear" w:color="auto" w:fill="D9D9D9" w:themeFill="background1" w:themeFillShade="D9"/>
          </w:tcPr>
          <w:p w14:paraId="08682A08" w14:textId="027306E9" w:rsidR="009A534C" w:rsidRPr="00C76688" w:rsidRDefault="009A534C" w:rsidP="00010E74">
            <w:pPr>
              <w:pStyle w:val="Heading1"/>
            </w:pPr>
            <w:bookmarkStart w:id="20" w:name="_Toc389473281"/>
            <w:bookmarkStart w:id="21" w:name="_Toc393203337"/>
            <w:bookmarkStart w:id="22" w:name="_Toc134688854"/>
            <w:r w:rsidRPr="00C76688">
              <w:t xml:space="preserve">Section 2 – </w:t>
            </w:r>
            <w:bookmarkEnd w:id="20"/>
            <w:bookmarkEnd w:id="21"/>
            <w:r w:rsidR="00747626">
              <w:t>Prescribing Analgesia</w:t>
            </w:r>
            <w:bookmarkEnd w:id="22"/>
          </w:p>
        </w:tc>
      </w:tr>
    </w:tbl>
    <w:p w14:paraId="08682A0B" w14:textId="77777777" w:rsidR="008E74FD" w:rsidRDefault="008E74FD" w:rsidP="00D54ED5">
      <w:pPr>
        <w:rPr>
          <w:rFonts w:cs="Arial"/>
          <w:i/>
          <w:szCs w:val="24"/>
        </w:rPr>
      </w:pPr>
    </w:p>
    <w:p w14:paraId="2C35AA6A" w14:textId="77777777" w:rsidR="00747626" w:rsidRDefault="00747626" w:rsidP="00FB54E9">
      <w:pPr>
        <w:pStyle w:val="NormalWeb"/>
        <w:spacing w:before="150" w:beforeAutospacing="0" w:after="150" w:afterAutospacing="0"/>
        <w:rPr>
          <w:rFonts w:asciiTheme="minorHAnsi" w:hAnsiTheme="minorHAnsi" w:cstheme="minorHAnsi"/>
          <w:color w:val="000000"/>
        </w:rPr>
      </w:pPr>
      <w:r>
        <w:rPr>
          <w:rFonts w:asciiTheme="minorHAnsi" w:hAnsiTheme="minorHAnsi" w:cstheme="minorHAnsi"/>
          <w:color w:val="000000"/>
        </w:rPr>
        <w:t>There has been a substantial increase in prescription opioid use in Australia in recent years, including prescribing for non-cancer chronic pain. However, there is very little evidence to support the use of long-term opioid therapy.</w:t>
      </w:r>
    </w:p>
    <w:p w14:paraId="21D76852" w14:textId="50D7F351" w:rsidR="00747626" w:rsidRDefault="00747626" w:rsidP="00FB54E9">
      <w:pPr>
        <w:pStyle w:val="NormalWeb"/>
        <w:spacing w:before="150" w:beforeAutospacing="0" w:after="150" w:afterAutospacing="0"/>
        <w:rPr>
          <w:rFonts w:asciiTheme="minorHAnsi" w:hAnsiTheme="minorHAnsi" w:cstheme="minorHAnsi"/>
          <w:color w:val="000000"/>
        </w:rPr>
      </w:pPr>
      <w:r>
        <w:rPr>
          <w:rFonts w:asciiTheme="minorHAnsi" w:hAnsiTheme="minorHAnsi" w:cstheme="minorHAnsi"/>
          <w:color w:val="000000"/>
        </w:rPr>
        <w:t xml:space="preserve">Chronic pain management should involve a combination of approaches, with an emphasis on non-pharmacological methods. If opioids are prescribed for chronic pain they should be clearly understood by the patient and the health care practitioner as only one part of management, with critical consideration of the </w:t>
      </w:r>
      <w:r w:rsidR="00CA02F7">
        <w:rPr>
          <w:rFonts w:asciiTheme="minorHAnsi" w:hAnsiTheme="minorHAnsi" w:cstheme="minorHAnsi"/>
          <w:color w:val="000000"/>
        </w:rPr>
        <w:t>risk: benefit</w:t>
      </w:r>
      <w:r>
        <w:rPr>
          <w:rFonts w:asciiTheme="minorHAnsi" w:hAnsiTheme="minorHAnsi" w:cstheme="minorHAnsi"/>
          <w:color w:val="000000"/>
        </w:rPr>
        <w:t xml:space="preserve"> ratio for each patient</w:t>
      </w:r>
      <w:r w:rsidR="00FB54E9">
        <w:rPr>
          <w:vertAlign w:val="superscript"/>
        </w:rPr>
        <w:t>22</w:t>
      </w:r>
      <w:r>
        <w:rPr>
          <w:rFonts w:asciiTheme="minorHAnsi" w:hAnsiTheme="minorHAnsi" w:cstheme="minorHAnsi"/>
          <w:color w:val="000000"/>
        </w:rPr>
        <w:t>. The recommended approach involves several key considerations before prescribing, clear steps for initiating therapy, a system to monitor opioid use and a strategy to cease treatment.</w:t>
      </w:r>
    </w:p>
    <w:p w14:paraId="5FC9D406" w14:textId="77777777" w:rsidR="00747626" w:rsidRDefault="00747626" w:rsidP="00FB54E9">
      <w:r>
        <w:rPr>
          <w:szCs w:val="24"/>
        </w:rPr>
        <w:t xml:space="preserve">Analgesia should be used with the primary intention of maximising functional status and independence rather than achieving a reduction in pain scores. </w:t>
      </w:r>
      <w:r>
        <w:t xml:space="preserve">Prescribing analgesia is complicated not only by the lack of adequate data in this population but also high risk of complications and polypharmacy. NSAIDs are usually contraindicated in non-dialysis severe CKD due to their adverse effects on renal function. NSAIDs are relatively contraindicated in patients on dialysis due to their high risk of bleeding. The safety and efficacy of topical NSAIDs in patients with CKD and ESKD is unclear. </w:t>
      </w:r>
    </w:p>
    <w:p w14:paraId="5CD7D9E5" w14:textId="77777777" w:rsidR="00747626" w:rsidRDefault="00747626" w:rsidP="00FB54E9">
      <w:pPr>
        <w:outlineLvl w:val="0"/>
        <w:rPr>
          <w:szCs w:val="24"/>
        </w:rPr>
      </w:pPr>
    </w:p>
    <w:p w14:paraId="5FCF1FB9" w14:textId="77777777" w:rsidR="00747626" w:rsidRDefault="00747626" w:rsidP="00FB54E9">
      <w:pPr>
        <w:outlineLvl w:val="0"/>
        <w:rPr>
          <w:szCs w:val="24"/>
        </w:rPr>
      </w:pPr>
      <w:r>
        <w:rPr>
          <w:szCs w:val="24"/>
        </w:rPr>
        <w:t>The practice points listed below are to assist patient treatment and pain management:</w:t>
      </w:r>
    </w:p>
    <w:p w14:paraId="2800EDE0" w14:textId="6F105AFC" w:rsidR="00747626" w:rsidRPr="00FB54E9" w:rsidRDefault="00747626" w:rsidP="00FB54E9">
      <w:pPr>
        <w:pStyle w:val="ListBullet"/>
        <w:tabs>
          <w:tab w:val="clear" w:pos="1080"/>
          <w:tab w:val="num" w:pos="426"/>
        </w:tabs>
        <w:ind w:left="426" w:hanging="426"/>
      </w:pPr>
      <w:r w:rsidRPr="00FB54E9">
        <w:t>Severe pain – seek pain specialist input and refer to Pain Management Unit as in Section 1 above</w:t>
      </w:r>
      <w:r w:rsidR="00CA02F7">
        <w:t>.</w:t>
      </w:r>
    </w:p>
    <w:p w14:paraId="46B272E8" w14:textId="617F62F1" w:rsidR="00747626" w:rsidRPr="00FB54E9" w:rsidRDefault="00747626" w:rsidP="00FB54E9">
      <w:pPr>
        <w:pStyle w:val="ListBullet"/>
        <w:tabs>
          <w:tab w:val="clear" w:pos="1080"/>
          <w:tab w:val="num" w:pos="426"/>
        </w:tabs>
        <w:ind w:left="426" w:hanging="426"/>
      </w:pPr>
      <w:r w:rsidRPr="00FB54E9">
        <w:t>Paracetamol should be included in all analgesic approaches unless contraindicated; do not exceed 3g per day to avoid hepatotoxicity, particularly in malnourished patients</w:t>
      </w:r>
      <w:r w:rsidR="00CA02F7">
        <w:t>.</w:t>
      </w:r>
    </w:p>
    <w:p w14:paraId="46EF0187" w14:textId="780CEE10" w:rsidR="00747626" w:rsidRPr="00FB54E9" w:rsidRDefault="00747626" w:rsidP="00FB54E9">
      <w:pPr>
        <w:pStyle w:val="ListBullet"/>
        <w:tabs>
          <w:tab w:val="clear" w:pos="1080"/>
          <w:tab w:val="num" w:pos="426"/>
        </w:tabs>
        <w:ind w:left="426" w:hanging="426"/>
      </w:pPr>
      <w:r w:rsidRPr="00FB54E9">
        <w:t xml:space="preserve">Systemic NSAIDs are relatively contraindicated due to both renal and gastrointestinal toxicity. </w:t>
      </w:r>
      <w:r w:rsidR="00FB54E9">
        <w:t>R</w:t>
      </w:r>
      <w:r w:rsidRPr="00FB54E9">
        <w:t>ecommendations outlined by recent review suggests short-acting NSAIDS could be used short-term (&lt;/+ 5 days) in patients with CKD Stages 1-3; judiciously in patients with CKD Stage 4; and avoided in CKD 5</w:t>
      </w:r>
      <w:r w:rsidR="00FB54E9">
        <w:rPr>
          <w:vertAlign w:val="superscript"/>
        </w:rPr>
        <w:t>23</w:t>
      </w:r>
      <w:r w:rsidRPr="00FB54E9">
        <w:t xml:space="preserve">. </w:t>
      </w:r>
    </w:p>
    <w:p w14:paraId="5A1A6A50" w14:textId="079E56B3" w:rsidR="00747626" w:rsidRPr="00FB54E9" w:rsidRDefault="00747626" w:rsidP="00FB54E9">
      <w:pPr>
        <w:pStyle w:val="ListBullet"/>
        <w:tabs>
          <w:tab w:val="clear" w:pos="1080"/>
          <w:tab w:val="num" w:pos="426"/>
        </w:tabs>
        <w:ind w:left="426" w:hanging="426"/>
      </w:pPr>
      <w:r w:rsidRPr="00FB54E9">
        <w:t>Topical NSAIDs recommended for localised musculoskeletal pain</w:t>
      </w:r>
      <w:r w:rsidR="00CA02F7">
        <w:t>.</w:t>
      </w:r>
    </w:p>
    <w:p w14:paraId="426D69D6" w14:textId="77777777" w:rsidR="00747626" w:rsidRDefault="00747626" w:rsidP="00FB54E9">
      <w:pPr>
        <w:pStyle w:val="ListBullet"/>
        <w:tabs>
          <w:tab w:val="clear" w:pos="1080"/>
          <w:tab w:val="num" w:pos="426"/>
        </w:tabs>
        <w:ind w:left="426" w:hanging="426"/>
      </w:pPr>
      <w:r w:rsidRPr="00FB54E9">
        <w:t>Favoured opiate-based analgesia in advanced kidney disease includes tramadol, hydromorphone</w:t>
      </w:r>
      <w:r>
        <w:t xml:space="preserve">, fentanyl, buprenorphine and methadone. </w:t>
      </w:r>
    </w:p>
    <w:p w14:paraId="7A820A5C" w14:textId="77777777" w:rsidR="00747626" w:rsidRDefault="00747626" w:rsidP="00FB54E9">
      <w:pPr>
        <w:pStyle w:val="ListBullet"/>
        <w:tabs>
          <w:tab w:val="clear" w:pos="1080"/>
          <w:tab w:val="num" w:pos="426"/>
        </w:tabs>
        <w:ind w:left="426" w:hanging="426"/>
      </w:pPr>
      <w:r>
        <w:t>Gabapentin or pregabalin may be considered if a neuropathic component is suspected. There is no recommendation for pregabalin in sciatica and non-neuropathic back pain</w:t>
      </w:r>
      <w:r>
        <w:rPr>
          <w:vertAlign w:val="superscript"/>
        </w:rPr>
        <w:t>12</w:t>
      </w:r>
      <w:r>
        <w:t>.</w:t>
      </w:r>
    </w:p>
    <w:p w14:paraId="69D46088" w14:textId="1A1646A6" w:rsidR="00747626" w:rsidRDefault="00747626" w:rsidP="00FB54E9">
      <w:pPr>
        <w:pStyle w:val="ListBullet"/>
        <w:tabs>
          <w:tab w:val="clear" w:pos="1080"/>
          <w:tab w:val="num" w:pos="426"/>
        </w:tabs>
        <w:ind w:left="426" w:hanging="426"/>
      </w:pPr>
      <w:r>
        <w:t xml:space="preserve">Antidepressants have an adjuvant role; </w:t>
      </w:r>
      <w:r w:rsidR="00CA02F7">
        <w:t>d</w:t>
      </w:r>
      <w:r>
        <w:t>uloxetine, venlafaxine and desvenlafaxine are preferred if weight gain is a clinical issue.</w:t>
      </w:r>
    </w:p>
    <w:p w14:paraId="13883E04" w14:textId="736C3B99" w:rsidR="00747626" w:rsidRDefault="00747626" w:rsidP="00FB54E9">
      <w:pPr>
        <w:pStyle w:val="ListBullet"/>
        <w:tabs>
          <w:tab w:val="clear" w:pos="1080"/>
          <w:tab w:val="num" w:pos="426"/>
        </w:tabs>
        <w:ind w:left="426" w:hanging="426"/>
      </w:pPr>
      <w:r>
        <w:t xml:space="preserve">Skeletal muscle relaxants such as baclofen do not have a role in chronic pain management and are associated with severe </w:t>
      </w:r>
      <w:proofErr w:type="spellStart"/>
      <w:r>
        <w:t>neurotoxicty</w:t>
      </w:r>
      <w:proofErr w:type="spellEnd"/>
      <w:r>
        <w:t xml:space="preserve"> and muscle paralysis in advanced CKD and ESKD</w:t>
      </w:r>
      <w:r w:rsidR="00814C70">
        <w:rPr>
          <w:vertAlign w:val="superscript"/>
        </w:rPr>
        <w:t>2</w:t>
      </w:r>
      <w:r w:rsidR="00814C70" w:rsidRPr="00AA7E14">
        <w:rPr>
          <w:vertAlign w:val="superscript"/>
        </w:rPr>
        <w:t>4</w:t>
      </w:r>
      <w:r>
        <w:t>.</w:t>
      </w:r>
    </w:p>
    <w:p w14:paraId="6CBFD58D" w14:textId="77777777" w:rsidR="00747626" w:rsidRDefault="00747626" w:rsidP="00FB54E9">
      <w:pPr>
        <w:pStyle w:val="ListBullet"/>
        <w:tabs>
          <w:tab w:val="clear" w:pos="1080"/>
          <w:tab w:val="num" w:pos="426"/>
        </w:tabs>
        <w:ind w:left="426" w:hanging="426"/>
      </w:pPr>
      <w:r>
        <w:lastRenderedPageBreak/>
        <w:t>Psychological therapy is a critical component of pain management.</w:t>
      </w:r>
    </w:p>
    <w:p w14:paraId="1670619C" w14:textId="67A8AB9B" w:rsidR="00747626" w:rsidRDefault="00747626" w:rsidP="00FB54E9">
      <w:pPr>
        <w:pStyle w:val="ListBullet"/>
        <w:tabs>
          <w:tab w:val="clear" w:pos="1080"/>
          <w:tab w:val="num" w:pos="426"/>
        </w:tabs>
        <w:ind w:left="426" w:hanging="426"/>
      </w:pPr>
      <w:r>
        <w:t>Cannabinoids have pharmacological and pharmacokinetic properties that may offer symptom relief in people with kidney disease. Although these agents show evidence of efficacy and a reasonable safety profile in other patient populations, evidence-based prescription of cannabinoids for people with kidney disease is not currently possible</w:t>
      </w:r>
      <w:r w:rsidR="00814C70">
        <w:rPr>
          <w:vertAlign w:val="superscript"/>
        </w:rPr>
        <w:t>25</w:t>
      </w:r>
      <w:r>
        <w:t xml:space="preserve">. </w:t>
      </w:r>
    </w:p>
    <w:p w14:paraId="08682A0F" w14:textId="77777777" w:rsidR="009A534C" w:rsidRDefault="009A534C" w:rsidP="00FB54E9">
      <w:pPr>
        <w:rPr>
          <w:rFonts w:cs="Arial"/>
          <w:b/>
          <w:szCs w:val="24"/>
        </w:rPr>
      </w:pPr>
    </w:p>
    <w:p w14:paraId="08682A10" w14:textId="77777777" w:rsidR="009A534C" w:rsidRPr="00DA3910" w:rsidRDefault="00E0092E" w:rsidP="009A534C">
      <w:pPr>
        <w:jc w:val="right"/>
        <w:rPr>
          <w:rFonts w:cs="Arial"/>
          <w:i/>
          <w:szCs w:val="24"/>
        </w:rPr>
      </w:pPr>
      <w:hyperlink w:anchor="Contents" w:history="1">
        <w:r w:rsidR="009A534C" w:rsidRPr="00C91F3F">
          <w:rPr>
            <w:rStyle w:val="Hyperlink"/>
            <w:rFonts w:eastAsiaTheme="majorEastAsia" w:cs="Arial"/>
            <w:i/>
            <w:szCs w:val="24"/>
          </w:rPr>
          <w:t>Back to Table of Contents</w:t>
        </w:r>
      </w:hyperlink>
      <w:r w:rsidR="009A534C">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12" w14:textId="77777777" w:rsidTr="008E74FD">
        <w:trPr>
          <w:cantSplit/>
          <w:trHeight w:val="285"/>
        </w:trPr>
        <w:tc>
          <w:tcPr>
            <w:tcW w:w="9158" w:type="dxa"/>
            <w:shd w:val="clear" w:color="auto" w:fill="D9D9D9" w:themeFill="background1" w:themeFillShade="D9"/>
          </w:tcPr>
          <w:p w14:paraId="08682A11" w14:textId="09749C5C" w:rsidR="009A534C" w:rsidRPr="003D2D06" w:rsidRDefault="00010E74" w:rsidP="00B10F87">
            <w:pPr>
              <w:pStyle w:val="Heading1"/>
            </w:pPr>
            <w:bookmarkStart w:id="23" w:name="_Toc389473284"/>
            <w:bookmarkStart w:id="24" w:name="_Toc393203340"/>
            <w:bookmarkStart w:id="25" w:name="_Toc134688855"/>
            <w:r w:rsidRPr="003D2D06">
              <w:t xml:space="preserve">Section </w:t>
            </w:r>
            <w:r w:rsidR="00747626">
              <w:t>3</w:t>
            </w:r>
            <w:r w:rsidR="009A534C" w:rsidRPr="003D2D06">
              <w:t xml:space="preserve"> – </w:t>
            </w:r>
            <w:bookmarkEnd w:id="23"/>
            <w:bookmarkEnd w:id="24"/>
            <w:r w:rsidR="00747626">
              <w:t>Analgesic agents</w:t>
            </w:r>
            <w:bookmarkEnd w:id="25"/>
          </w:p>
        </w:tc>
      </w:tr>
    </w:tbl>
    <w:p w14:paraId="08682A13" w14:textId="77777777" w:rsidR="009A534C" w:rsidRDefault="009A534C" w:rsidP="009A534C">
      <w:pPr>
        <w:pStyle w:val="Heading2"/>
      </w:pPr>
    </w:p>
    <w:p w14:paraId="58873471" w14:textId="77777777" w:rsidR="00747626" w:rsidRDefault="00747626" w:rsidP="00747626">
      <w:pPr>
        <w:pStyle w:val="NoSpacing"/>
        <w:rPr>
          <w:sz w:val="24"/>
          <w:szCs w:val="24"/>
        </w:rPr>
      </w:pPr>
      <w:r>
        <w:rPr>
          <w:sz w:val="24"/>
          <w:szCs w:val="24"/>
        </w:rPr>
        <w:t>Simple analgesia should be prescribed and used on a regular basis before escalating to atypical and stronger opioids. An understanding of pain mechanism should guide the use of atypical versus stronger opioids. Refer to Figure 2 below for guidance on analgesia choice, risks and considerations when escalating.</w:t>
      </w:r>
    </w:p>
    <w:p w14:paraId="55F3AC4A" w14:textId="77777777" w:rsidR="00747626" w:rsidRDefault="00747626" w:rsidP="00747626">
      <w:pPr>
        <w:pStyle w:val="NoSpacing"/>
        <w:rPr>
          <w:sz w:val="24"/>
          <w:szCs w:val="24"/>
        </w:rPr>
      </w:pPr>
    </w:p>
    <w:p w14:paraId="0025798A" w14:textId="231737A5" w:rsidR="00747626" w:rsidRDefault="004A526A" w:rsidP="00747626">
      <w:pPr>
        <w:pStyle w:val="NoSpacing"/>
        <w:rPr>
          <w:rFonts w:cstheme="minorHAnsi"/>
          <w:b/>
          <w:sz w:val="24"/>
          <w:szCs w:val="24"/>
          <w:u w:val="single"/>
        </w:rPr>
      </w:pPr>
      <w:r>
        <w:rPr>
          <w:sz w:val="24"/>
          <w:szCs w:val="24"/>
        </w:rPr>
        <w:t>Before these medications are commenced, p</w:t>
      </w:r>
      <w:r w:rsidR="00747626">
        <w:rPr>
          <w:sz w:val="24"/>
          <w:szCs w:val="24"/>
        </w:rPr>
        <w:t xml:space="preserve">atients should be educated </w:t>
      </w:r>
      <w:r w:rsidR="00CA02F7">
        <w:rPr>
          <w:sz w:val="24"/>
          <w:szCs w:val="24"/>
        </w:rPr>
        <w:t>about</w:t>
      </w:r>
      <w:r w:rsidR="00747626">
        <w:rPr>
          <w:sz w:val="24"/>
          <w:szCs w:val="24"/>
        </w:rPr>
        <w:t xml:space="preserve"> the risk of </w:t>
      </w:r>
      <w:r w:rsidR="00325FD0">
        <w:rPr>
          <w:sz w:val="24"/>
          <w:szCs w:val="24"/>
        </w:rPr>
        <w:t>opioid</w:t>
      </w:r>
      <w:r w:rsidR="00747626">
        <w:rPr>
          <w:sz w:val="24"/>
          <w:szCs w:val="24"/>
        </w:rPr>
        <w:t xml:space="preserve"> dependency and that escalating opioid doses are usually required</w:t>
      </w:r>
      <w:r>
        <w:rPr>
          <w:sz w:val="24"/>
          <w:szCs w:val="24"/>
        </w:rPr>
        <w:t xml:space="preserve"> to maintain pain control</w:t>
      </w:r>
      <w:r w:rsidR="00747626">
        <w:rPr>
          <w:sz w:val="24"/>
          <w:szCs w:val="24"/>
        </w:rPr>
        <w:t xml:space="preserve">.  </w:t>
      </w:r>
    </w:p>
    <w:p w14:paraId="38B450C4" w14:textId="77777777" w:rsidR="00747626" w:rsidRDefault="00747626" w:rsidP="00747626">
      <w:pPr>
        <w:rPr>
          <w:szCs w:val="24"/>
        </w:rPr>
      </w:pPr>
    </w:p>
    <w:p w14:paraId="788B3A6E" w14:textId="0BCDF284" w:rsidR="00747626" w:rsidRDefault="00747626" w:rsidP="00747626">
      <w:r>
        <w:rPr>
          <w:szCs w:val="24"/>
        </w:rPr>
        <w:t xml:space="preserve">Renal supportive care guidelines favour the use of paracetamol, tramadol, hydromorphone, fentanyl, buprenorphine and methadone and endorse </w:t>
      </w:r>
      <w:r w:rsidR="002247D0">
        <w:rPr>
          <w:szCs w:val="24"/>
        </w:rPr>
        <w:t xml:space="preserve">the </w:t>
      </w:r>
      <w:r>
        <w:rPr>
          <w:szCs w:val="24"/>
        </w:rPr>
        <w:t>use of adjuvant medications such as gabapentin and pregabalin</w:t>
      </w:r>
      <w:r>
        <w:t xml:space="preserve"> where neuropathic pain is suspected</w:t>
      </w:r>
      <w:r w:rsidR="00814C70">
        <w:rPr>
          <w:vertAlign w:val="superscript"/>
        </w:rPr>
        <w:t>9</w:t>
      </w:r>
      <w:r>
        <w:t>. However, pregabalin is ineffective in some types of common neuropathic pain, such as acute and chronic sciatica and use in this situation simply increases adverse effects, with no benefit in perceived pain</w:t>
      </w:r>
      <w:r w:rsidR="00814C70">
        <w:rPr>
          <w:vertAlign w:val="superscript"/>
        </w:rPr>
        <w:t>26</w:t>
      </w:r>
      <w:r>
        <w:t>. Refer to Figure 3 for a stepwise approach to pharmacological pain management.</w:t>
      </w:r>
    </w:p>
    <w:p w14:paraId="104D8447" w14:textId="77777777" w:rsidR="00747626" w:rsidRDefault="00747626" w:rsidP="00747626">
      <w:pPr>
        <w:pStyle w:val="NoSpacing"/>
        <w:rPr>
          <w:rFonts w:cstheme="minorHAnsi"/>
          <w:b/>
          <w:sz w:val="24"/>
          <w:szCs w:val="24"/>
        </w:rPr>
      </w:pPr>
    </w:p>
    <w:p w14:paraId="08D84414" w14:textId="77777777" w:rsidR="00747626" w:rsidRDefault="00747626" w:rsidP="00747626">
      <w:pPr>
        <w:pStyle w:val="NoSpacing"/>
        <w:rPr>
          <w:rFonts w:cstheme="minorHAnsi"/>
          <w:b/>
          <w:sz w:val="24"/>
          <w:szCs w:val="24"/>
        </w:rPr>
      </w:pPr>
      <w:r>
        <w:rPr>
          <w:rFonts w:cstheme="minorHAnsi"/>
          <w:b/>
          <w:sz w:val="24"/>
          <w:szCs w:val="24"/>
        </w:rPr>
        <w:t>Simple Analgesia</w:t>
      </w:r>
    </w:p>
    <w:p w14:paraId="6BB87427" w14:textId="77777777" w:rsidR="00747626" w:rsidRDefault="00747626" w:rsidP="00747626">
      <w:pPr>
        <w:pStyle w:val="NoSpacing"/>
        <w:rPr>
          <w:rFonts w:cstheme="minorHAnsi"/>
          <w:sz w:val="24"/>
          <w:szCs w:val="24"/>
        </w:rPr>
      </w:pPr>
      <w:r w:rsidRPr="002247D0">
        <w:rPr>
          <w:rFonts w:cstheme="minorHAnsi"/>
          <w:sz w:val="24"/>
          <w:szCs w:val="24"/>
          <w:u w:val="single"/>
        </w:rPr>
        <w:t>Paracetamol</w:t>
      </w:r>
      <w:r>
        <w:rPr>
          <w:rFonts w:cstheme="minorHAnsi"/>
          <w:sz w:val="24"/>
          <w:szCs w:val="24"/>
        </w:rPr>
        <w:t xml:space="preserve"> (also known as acetaminophen as referenced in Figure 3)</w:t>
      </w:r>
    </w:p>
    <w:p w14:paraId="1E4CE18C" w14:textId="77777777" w:rsidR="00747626" w:rsidRDefault="00747626" w:rsidP="00747626">
      <w:pPr>
        <w:pStyle w:val="ListBullet"/>
        <w:tabs>
          <w:tab w:val="num" w:pos="360"/>
        </w:tabs>
        <w:ind w:left="360"/>
      </w:pPr>
      <w:r>
        <w:t xml:space="preserve">Use: analgesic and antipyretic actions in the central nervous system (site of its major analgesic effect). </w:t>
      </w:r>
      <w:r>
        <w:rPr>
          <w:shd w:val="clear" w:color="auto" w:fill="FFFFFF"/>
        </w:rPr>
        <w:t xml:space="preserve">Mechanisms involved in its analgesic effect may include inhibition of central prostaglandin synthesis and modulation of inhibitory descending serotonergic pathways. The antipyretic effect is probably due to reduced production of prostaglandins in the hypothalamus. Paracetamol has negligible anti-inflammatory effects. </w:t>
      </w:r>
      <w:r>
        <w:t xml:space="preserve">Extensive first-pass metabolism in the liver. </w:t>
      </w:r>
    </w:p>
    <w:p w14:paraId="06758890" w14:textId="5E1D1236" w:rsidR="00747626" w:rsidRDefault="00747626" w:rsidP="00747626">
      <w:pPr>
        <w:pStyle w:val="ListBullet"/>
        <w:tabs>
          <w:tab w:val="num" w:pos="360"/>
        </w:tabs>
        <w:ind w:left="360"/>
      </w:pPr>
      <w:r>
        <w:t xml:space="preserve">Adverse effects: Excellent safety in therapeutic doses justifies recommending it as the first-line analgesic for mild to moderate pain. Used to reduce the overall daily doses of opioids required. </w:t>
      </w:r>
      <w:r w:rsidR="00C81EFB">
        <w:t xml:space="preserve">Accumulation and toxicity are possible in the setting of advanced age or malnutrition and justifies dose reduction in these settings. </w:t>
      </w:r>
      <w:r>
        <w:t xml:space="preserve">Note: can be used in liver disease provided liver function is stable. </w:t>
      </w:r>
    </w:p>
    <w:p w14:paraId="6604A17A" w14:textId="2134CB5E" w:rsidR="00747626" w:rsidRDefault="00747626" w:rsidP="00747626">
      <w:pPr>
        <w:pStyle w:val="ListBullet"/>
        <w:tabs>
          <w:tab w:val="num" w:pos="360"/>
        </w:tabs>
        <w:ind w:left="360"/>
      </w:pPr>
      <w:r>
        <w:t>Dose: 1g every 6 hours; maximum dose 3g daily in malnutrition</w:t>
      </w:r>
      <w:r w:rsidR="00C81EFB">
        <w:t xml:space="preserve"> and elderly patients. </w:t>
      </w:r>
    </w:p>
    <w:p w14:paraId="5AB3A2C1" w14:textId="2E159A05" w:rsidR="00747626" w:rsidRDefault="00747626" w:rsidP="00747626">
      <w:pPr>
        <w:pStyle w:val="ListBullet"/>
        <w:numPr>
          <w:ilvl w:val="0"/>
          <w:numId w:val="0"/>
        </w:numPr>
        <w:tabs>
          <w:tab w:val="left" w:pos="720"/>
        </w:tabs>
        <w:ind w:left="360"/>
      </w:pPr>
    </w:p>
    <w:p w14:paraId="3877B35C" w14:textId="77777777" w:rsidR="00747626" w:rsidRDefault="00747626" w:rsidP="00747626">
      <w:pPr>
        <w:pStyle w:val="NoSpacing"/>
        <w:rPr>
          <w:b/>
          <w:sz w:val="24"/>
          <w:szCs w:val="24"/>
        </w:rPr>
      </w:pPr>
      <w:r>
        <w:rPr>
          <w:b/>
          <w:sz w:val="24"/>
          <w:szCs w:val="24"/>
        </w:rPr>
        <w:t>Atypical Opioids</w:t>
      </w:r>
    </w:p>
    <w:p w14:paraId="6328A3D1" w14:textId="77777777" w:rsidR="00747626" w:rsidRPr="00814C70" w:rsidRDefault="00747626" w:rsidP="00747626">
      <w:pPr>
        <w:pStyle w:val="NoSpacing"/>
        <w:rPr>
          <w:sz w:val="24"/>
          <w:szCs w:val="24"/>
          <w:u w:val="single"/>
        </w:rPr>
      </w:pPr>
      <w:r w:rsidRPr="00814C70">
        <w:rPr>
          <w:sz w:val="24"/>
          <w:szCs w:val="24"/>
          <w:u w:val="single"/>
        </w:rPr>
        <w:t>Tramadol</w:t>
      </w:r>
    </w:p>
    <w:p w14:paraId="01CB1FE3" w14:textId="21BC72E0" w:rsidR="00747626" w:rsidRDefault="00747626" w:rsidP="00C81EFB">
      <w:pPr>
        <w:pStyle w:val="ListBullet"/>
        <w:tabs>
          <w:tab w:val="num" w:pos="360"/>
        </w:tabs>
        <w:ind w:left="360"/>
      </w:pPr>
      <w:r>
        <w:t xml:space="preserve">Use: is a widely used mild opioid. The main advantage is that it does not require special authority for chronic prescribing. </w:t>
      </w:r>
      <w:r w:rsidR="00E131C1">
        <w:t>It is ineffective for severe pain</w:t>
      </w:r>
      <w:r w:rsidR="00570C43">
        <w:t>.</w:t>
      </w:r>
      <w:r>
        <w:t xml:space="preserve"> </w:t>
      </w:r>
      <w:r w:rsidR="00C81EFB">
        <w:t>T</w:t>
      </w:r>
      <w:r>
        <w:t xml:space="preserve">ramadol and its active </w:t>
      </w:r>
      <w:r>
        <w:lastRenderedPageBreak/>
        <w:t>metabolite are renally excrete</w:t>
      </w:r>
      <w:r w:rsidR="00C44E2D">
        <w:t>d</w:t>
      </w:r>
      <w:r>
        <w:t>. Its metabolism can vary unpredictabl</w:t>
      </w:r>
      <w:r w:rsidR="00393139">
        <w:t>y</w:t>
      </w:r>
      <w:r>
        <w:t xml:space="preserve"> depending on an individual’s cytochrome P450 genetic profile. Tramadol also has multiple drug interactions that may result in serotonin syndrome or seizures. </w:t>
      </w:r>
      <w:r w:rsidR="00C81EFB">
        <w:t>Tramadol is removed by dialysis and may require redosing following completion of a dialysis session.</w:t>
      </w:r>
    </w:p>
    <w:p w14:paraId="68DFEAAA" w14:textId="0BEE946D" w:rsidR="00747626" w:rsidRDefault="00747626" w:rsidP="00C81EFB">
      <w:pPr>
        <w:pStyle w:val="ListBullet"/>
        <w:tabs>
          <w:tab w:val="num" w:pos="360"/>
        </w:tabs>
        <w:ind w:left="360"/>
      </w:pPr>
      <w:r>
        <w:t>Adverse effects: include delirium and hyponatraemia. Its adverse effects prevent larger doses being used and dose reduction is necessary in chronic kidney disease.</w:t>
      </w:r>
      <w:r w:rsidR="0055686C">
        <w:t xml:space="preserve"> Its </w:t>
      </w:r>
      <w:r>
        <w:t xml:space="preserve">use is discouraged in the setting of end stage renal failure. </w:t>
      </w:r>
      <w:r w:rsidR="00C81EFB">
        <w:t>Recommend extreme caution and reduced doses, with preferable avoidance. Other opioid analgesics should not be used concurrently due to the potential for drug interactions.</w:t>
      </w:r>
    </w:p>
    <w:p w14:paraId="686B03CD" w14:textId="6B5DC684" w:rsidR="00747626" w:rsidRDefault="00747626" w:rsidP="00747626">
      <w:pPr>
        <w:pStyle w:val="ListBullet"/>
        <w:tabs>
          <w:tab w:val="num" w:pos="360"/>
        </w:tabs>
        <w:ind w:left="360"/>
      </w:pPr>
      <w:r>
        <w:t>Dose: Preferably avoid</w:t>
      </w:r>
      <w:r w:rsidR="004A526A">
        <w:t>.</w:t>
      </w:r>
      <w:r>
        <w:t xml:space="preserve"> </w:t>
      </w:r>
    </w:p>
    <w:p w14:paraId="6C7DB719" w14:textId="36ED28B2" w:rsidR="00747626" w:rsidRDefault="00747626" w:rsidP="00747626">
      <w:pPr>
        <w:pStyle w:val="ListBullet"/>
        <w:numPr>
          <w:ilvl w:val="0"/>
          <w:numId w:val="0"/>
        </w:numPr>
        <w:tabs>
          <w:tab w:val="left" w:pos="720"/>
        </w:tabs>
        <w:ind w:left="360"/>
      </w:pPr>
      <w:r>
        <w:t>eGFR 10-30m</w:t>
      </w:r>
      <w:r w:rsidR="00814C70">
        <w:t>L</w:t>
      </w:r>
      <w:r>
        <w:t xml:space="preserve">/min: 50-100mg </w:t>
      </w:r>
      <w:r w:rsidR="00814C70">
        <w:t>twice daily</w:t>
      </w:r>
    </w:p>
    <w:p w14:paraId="2DE61BF1" w14:textId="63DA4B05" w:rsidR="00747626" w:rsidRDefault="00747626" w:rsidP="00747626">
      <w:pPr>
        <w:pStyle w:val="ListBullet"/>
        <w:numPr>
          <w:ilvl w:val="0"/>
          <w:numId w:val="0"/>
        </w:numPr>
        <w:tabs>
          <w:tab w:val="left" w:pos="720"/>
        </w:tabs>
        <w:ind w:left="360"/>
      </w:pPr>
      <w:r>
        <w:t>eGFR &lt;10m</w:t>
      </w:r>
      <w:r w:rsidR="00814C70">
        <w:t>L</w:t>
      </w:r>
      <w:r>
        <w:t xml:space="preserve">/min 50mg </w:t>
      </w:r>
      <w:r w:rsidR="00814C70">
        <w:t>twice daily</w:t>
      </w:r>
      <w:r>
        <w:t xml:space="preserve">. </w:t>
      </w:r>
    </w:p>
    <w:p w14:paraId="6FCAA8B7" w14:textId="6149E833" w:rsidR="00747626" w:rsidRDefault="00747626" w:rsidP="00747626">
      <w:pPr>
        <w:pStyle w:val="ListBullet"/>
        <w:numPr>
          <w:ilvl w:val="0"/>
          <w:numId w:val="0"/>
        </w:numPr>
        <w:tabs>
          <w:tab w:val="left" w:pos="720"/>
        </w:tabs>
        <w:ind w:left="360"/>
      </w:pPr>
      <w:r>
        <w:t>Administer after dialysis</w:t>
      </w:r>
      <w:r w:rsidR="004A526A">
        <w:t>.</w:t>
      </w:r>
      <w:r>
        <w:t xml:space="preserve"> </w:t>
      </w:r>
    </w:p>
    <w:p w14:paraId="4CB76F36" w14:textId="77777777" w:rsidR="00747626" w:rsidRDefault="00747626" w:rsidP="00747626">
      <w:pPr>
        <w:pStyle w:val="NoSpacing"/>
        <w:rPr>
          <w:sz w:val="24"/>
          <w:szCs w:val="24"/>
        </w:rPr>
      </w:pPr>
    </w:p>
    <w:p w14:paraId="343258D6" w14:textId="12CAA192" w:rsidR="00747626" w:rsidRPr="00814C70" w:rsidRDefault="00747626" w:rsidP="00747626">
      <w:pPr>
        <w:pStyle w:val="NoSpacing"/>
        <w:rPr>
          <w:sz w:val="24"/>
          <w:szCs w:val="24"/>
          <w:u w:val="single"/>
        </w:rPr>
      </w:pPr>
      <w:proofErr w:type="spellStart"/>
      <w:r w:rsidRPr="00814C70">
        <w:rPr>
          <w:sz w:val="24"/>
          <w:szCs w:val="24"/>
          <w:u w:val="single"/>
        </w:rPr>
        <w:t>Tapentadol</w:t>
      </w:r>
      <w:proofErr w:type="spellEnd"/>
      <w:r w:rsidRPr="00814C70">
        <w:rPr>
          <w:sz w:val="24"/>
          <w:szCs w:val="24"/>
          <w:u w:val="single"/>
        </w:rPr>
        <w:t xml:space="preserve"> </w:t>
      </w:r>
      <w:r w:rsidR="00C81EFB">
        <w:rPr>
          <w:sz w:val="24"/>
          <w:szCs w:val="24"/>
          <w:u w:val="single"/>
        </w:rPr>
        <w:t>(</w:t>
      </w:r>
      <w:proofErr w:type="spellStart"/>
      <w:r w:rsidR="00C81EFB">
        <w:rPr>
          <w:sz w:val="24"/>
          <w:szCs w:val="24"/>
          <w:u w:val="single"/>
        </w:rPr>
        <w:t>Palexia</w:t>
      </w:r>
      <w:proofErr w:type="spellEnd"/>
      <w:r w:rsidR="00C81EFB">
        <w:rPr>
          <w:sz w:val="24"/>
          <w:szCs w:val="24"/>
          <w:u w:val="single"/>
        </w:rPr>
        <w:t>)</w:t>
      </w:r>
    </w:p>
    <w:p w14:paraId="0A86EB01" w14:textId="32C72342" w:rsidR="00747626" w:rsidRDefault="00747626" w:rsidP="00747626">
      <w:pPr>
        <w:pStyle w:val="ListBullet"/>
        <w:tabs>
          <w:tab w:val="num" w:pos="360"/>
        </w:tabs>
        <w:ind w:left="360"/>
        <w:rPr>
          <w:rFonts w:cstheme="minorHAnsi"/>
        </w:rPr>
      </w:pPr>
      <w:r>
        <w:t xml:space="preserve">Use: has a particular role in elderly patients who are opioid naïve in the setting of neuropathic pain. Like tramadol, </w:t>
      </w:r>
      <w:proofErr w:type="spellStart"/>
      <w:r>
        <w:t>tapentadol</w:t>
      </w:r>
      <w:proofErr w:type="spellEnd"/>
      <w:r>
        <w:t xml:space="preserve"> relies on a unique and possibly synergistic mechanism of action and do</w:t>
      </w:r>
      <w:r w:rsidR="009713FD">
        <w:t>es</w:t>
      </w:r>
      <w:r>
        <w:t xml:space="preserve"> not work like conventional opioids. </w:t>
      </w:r>
      <w:r w:rsidR="00C81EFB">
        <w:t xml:space="preserve">These agents are promoted by the general pain literature as well as the Renal Supportive Care literature for their safety profile. </w:t>
      </w:r>
      <w:r w:rsidR="00C81EFB">
        <w:rPr>
          <w:shd w:val="clear" w:color="auto" w:fill="FFFFFF"/>
        </w:rPr>
        <w:t xml:space="preserve">These agents have not only been found to effectively relieve pain but are also well tolerated and have a decreased risk of adverse events compared to conventional opioids. They appear to be less well liked by people who abuse opioids and appear to discourage aberrant opioid behaviour </w:t>
      </w:r>
    </w:p>
    <w:p w14:paraId="74F22FFF" w14:textId="08DF7AA9" w:rsidR="00747626" w:rsidRDefault="00747626" w:rsidP="00747626">
      <w:pPr>
        <w:pStyle w:val="ListBullet"/>
        <w:tabs>
          <w:tab w:val="num" w:pos="360"/>
        </w:tabs>
        <w:ind w:left="360"/>
      </w:pPr>
      <w:r>
        <w:t xml:space="preserve">Adverse effects: </w:t>
      </w:r>
      <w:bookmarkStart w:id="26" w:name="_Hlk134601709"/>
      <w:r w:rsidR="00C81EFB">
        <w:t xml:space="preserve">As with other opioid agents, </w:t>
      </w:r>
      <w:r w:rsidR="00CC2BF6">
        <w:t xml:space="preserve">respiratory depression, </w:t>
      </w:r>
      <w:r w:rsidR="00C81EFB">
        <w:t xml:space="preserve">drowsiness and </w:t>
      </w:r>
      <w:r w:rsidR="00CC2BF6">
        <w:t xml:space="preserve">GI side effects including nausea/vomiting and </w:t>
      </w:r>
      <w:r w:rsidR="00C81EFB">
        <w:t xml:space="preserve">constipation are possible. Attention to dental care is necessary in </w:t>
      </w:r>
      <w:proofErr w:type="spellStart"/>
      <w:r w:rsidR="00C81EFB">
        <w:t>longterm</w:t>
      </w:r>
      <w:proofErr w:type="spellEnd"/>
      <w:r w:rsidR="00C81EFB">
        <w:t xml:space="preserve"> use due to elevated risk of dental caries. </w:t>
      </w:r>
      <w:bookmarkEnd w:id="26"/>
    </w:p>
    <w:p w14:paraId="0A28310B" w14:textId="77777777" w:rsidR="00747626" w:rsidRDefault="00747626" w:rsidP="00747626">
      <w:pPr>
        <w:pStyle w:val="ListBullet"/>
        <w:tabs>
          <w:tab w:val="num" w:pos="360"/>
        </w:tabs>
        <w:ind w:left="360"/>
        <w:rPr>
          <w:szCs w:val="24"/>
        </w:rPr>
      </w:pPr>
      <w:r>
        <w:rPr>
          <w:szCs w:val="24"/>
          <w:shd w:val="clear" w:color="auto" w:fill="FFFFFF"/>
        </w:rPr>
        <w:t xml:space="preserve">Dose: </w:t>
      </w:r>
    </w:p>
    <w:p w14:paraId="42EE1996" w14:textId="6139085E" w:rsidR="00747626" w:rsidRDefault="007D1C3F" w:rsidP="00747626">
      <w:pPr>
        <w:ind w:left="360"/>
        <w:rPr>
          <w:szCs w:val="24"/>
        </w:rPr>
      </w:pPr>
      <w:r>
        <w:rPr>
          <w:szCs w:val="24"/>
          <w:shd w:val="clear" w:color="auto" w:fill="FFFFFF"/>
        </w:rPr>
        <w:t xml:space="preserve">Immediate release </w:t>
      </w:r>
      <w:r w:rsidR="00747626">
        <w:rPr>
          <w:szCs w:val="24"/>
          <w:shd w:val="clear" w:color="auto" w:fill="FFFFFF"/>
        </w:rPr>
        <w:t>preparation: 50mg every 8 hours</w:t>
      </w:r>
    </w:p>
    <w:p w14:paraId="435857DF" w14:textId="77777777" w:rsidR="00747626" w:rsidRDefault="00747626" w:rsidP="00747626">
      <w:pPr>
        <w:ind w:left="360"/>
        <w:rPr>
          <w:szCs w:val="24"/>
          <w:shd w:val="clear" w:color="auto" w:fill="FFFFFF"/>
        </w:rPr>
      </w:pPr>
      <w:r>
        <w:rPr>
          <w:szCs w:val="24"/>
          <w:shd w:val="clear" w:color="auto" w:fill="FFFFFF"/>
        </w:rPr>
        <w:t xml:space="preserve">Controlled release preparation: 50mg once or twice daily </w:t>
      </w:r>
    </w:p>
    <w:p w14:paraId="2F2FF1AF" w14:textId="6402DCC8" w:rsidR="00747626" w:rsidRDefault="00747626" w:rsidP="00747626">
      <w:pPr>
        <w:ind w:left="360"/>
        <w:rPr>
          <w:rFonts w:asciiTheme="minorHAnsi" w:hAnsiTheme="minorHAnsi" w:cs="Arial"/>
          <w:szCs w:val="24"/>
        </w:rPr>
      </w:pPr>
      <w:r>
        <w:rPr>
          <w:szCs w:val="24"/>
          <w:shd w:val="clear" w:color="auto" w:fill="FFFFFF"/>
        </w:rPr>
        <w:t xml:space="preserve">Dose according to eGFR: </w:t>
      </w:r>
      <w:r>
        <w:rPr>
          <w:rFonts w:asciiTheme="minorHAnsi" w:hAnsiTheme="minorHAnsi"/>
          <w:szCs w:val="24"/>
          <w:shd w:val="clear" w:color="auto" w:fill="FFFFFF"/>
        </w:rPr>
        <w:t xml:space="preserve">if </w:t>
      </w:r>
      <w:r>
        <w:rPr>
          <w:rFonts w:asciiTheme="minorHAnsi" w:hAnsiTheme="minorHAnsi" w:cs="Arial"/>
          <w:szCs w:val="24"/>
        </w:rPr>
        <w:t>&lt;10 mL/minute, use a lower starting dose and/or increase dosage interval; titrate dose carefully.</w:t>
      </w:r>
    </w:p>
    <w:p w14:paraId="5CDCCE4E" w14:textId="273A68A2" w:rsidR="00C81EFB" w:rsidRDefault="00C81EFB" w:rsidP="00747626">
      <w:pPr>
        <w:ind w:left="360"/>
        <w:rPr>
          <w:rFonts w:asciiTheme="minorHAnsi" w:hAnsiTheme="minorHAnsi"/>
          <w:szCs w:val="24"/>
        </w:rPr>
      </w:pPr>
      <w:r>
        <w:rPr>
          <w:rFonts w:asciiTheme="minorHAnsi" w:hAnsiTheme="minorHAnsi" w:cs="Arial"/>
          <w:szCs w:val="24"/>
        </w:rPr>
        <w:t xml:space="preserve">Opioid rotation and conversion doses are not well established. Current recommendation suggests 100mg </w:t>
      </w:r>
      <w:proofErr w:type="spellStart"/>
      <w:r>
        <w:rPr>
          <w:rFonts w:asciiTheme="minorHAnsi" w:hAnsiTheme="minorHAnsi" w:cs="Arial"/>
          <w:szCs w:val="24"/>
        </w:rPr>
        <w:t>tapentaol</w:t>
      </w:r>
      <w:proofErr w:type="spellEnd"/>
      <w:r>
        <w:rPr>
          <w:rFonts w:asciiTheme="minorHAnsi" w:hAnsiTheme="minorHAnsi" w:cs="Arial"/>
          <w:szCs w:val="24"/>
        </w:rPr>
        <w:t xml:space="preserve"> is equivalent to 30mg oral morphine. When changing opioids, recommend commencement at half the suggested equivalent dose and titrate according to response. </w:t>
      </w:r>
    </w:p>
    <w:p w14:paraId="5D57A116" w14:textId="77777777" w:rsidR="00747626" w:rsidRDefault="00747626" w:rsidP="00747626">
      <w:pPr>
        <w:pStyle w:val="NoSpacing"/>
        <w:rPr>
          <w:rFonts w:cstheme="minorHAnsi"/>
        </w:rPr>
      </w:pPr>
    </w:p>
    <w:p w14:paraId="05CBB305" w14:textId="77777777" w:rsidR="00747626" w:rsidRPr="00814C70" w:rsidRDefault="00747626" w:rsidP="00747626">
      <w:pPr>
        <w:rPr>
          <w:rFonts w:asciiTheme="minorHAnsi" w:eastAsiaTheme="minorHAnsi" w:hAnsiTheme="minorHAnsi" w:cstheme="minorBidi"/>
          <w:szCs w:val="24"/>
          <w:u w:val="single"/>
        </w:rPr>
      </w:pPr>
      <w:r w:rsidRPr="00814C70">
        <w:rPr>
          <w:rFonts w:asciiTheme="minorHAnsi" w:eastAsiaTheme="minorHAnsi" w:hAnsiTheme="minorHAnsi" w:cstheme="minorBidi"/>
          <w:szCs w:val="24"/>
          <w:u w:val="single"/>
        </w:rPr>
        <w:t xml:space="preserve">Buprenorphine </w:t>
      </w:r>
    </w:p>
    <w:p w14:paraId="04507DA3" w14:textId="7EAC4110" w:rsidR="00747626" w:rsidRPr="00C81EFB" w:rsidRDefault="00C81EFB" w:rsidP="000B1AC9">
      <w:pPr>
        <w:pStyle w:val="ListBullet"/>
        <w:numPr>
          <w:ilvl w:val="0"/>
          <w:numId w:val="1"/>
        </w:numPr>
        <w:tabs>
          <w:tab w:val="num" w:pos="360"/>
        </w:tabs>
        <w:ind w:left="360"/>
        <w:rPr>
          <w:rFonts w:eastAsiaTheme="minorHAnsi"/>
        </w:rPr>
      </w:pPr>
      <w:r w:rsidRPr="00C81EFB">
        <w:rPr>
          <w:rFonts w:eastAsiaTheme="minorHAnsi"/>
        </w:rPr>
        <w:t xml:space="preserve">Use: </w:t>
      </w:r>
      <w:r w:rsidR="00747626" w:rsidRPr="00C81EFB">
        <w:rPr>
          <w:rFonts w:eastAsiaTheme="minorHAnsi"/>
        </w:rPr>
        <w:t xml:space="preserve">Buprenorphine is a partial opioid agonist with a “ceiling effect” that reduces both risk of respiratory sedation and overdose. As a result, it is also frequently ineffective for severe pain. Metabolism occurs via the bile duct; it requires no dose reduction in CKD and is not removed by dialysis. Buprenorphine patches may be safer than fentanyl patches in the </w:t>
      </w:r>
      <w:proofErr w:type="gramStart"/>
      <w:r w:rsidR="00747626" w:rsidRPr="00C81EFB">
        <w:rPr>
          <w:rFonts w:eastAsiaTheme="minorHAnsi"/>
        </w:rPr>
        <w:t>elderly, when</w:t>
      </w:r>
      <w:proofErr w:type="gramEnd"/>
      <w:r w:rsidR="00747626" w:rsidRPr="00C81EFB">
        <w:rPr>
          <w:rFonts w:eastAsiaTheme="minorHAnsi"/>
        </w:rPr>
        <w:t xml:space="preserve"> there is concern that the patient might not tolerate even the lowest dose fentanyl patch. Will often require use of a rapid acting oral opioid for breakthrough pain. Heat increases the release of buprenorphine from the patch.</w:t>
      </w:r>
      <w:r w:rsidR="006444F7" w:rsidRPr="00C81EFB">
        <w:rPr>
          <w:rFonts w:eastAsiaTheme="minorHAnsi"/>
        </w:rPr>
        <w:t xml:space="preserve"> </w:t>
      </w:r>
      <w:r w:rsidR="00DF2BC1" w:rsidRPr="00C81EFB">
        <w:rPr>
          <w:rFonts w:eastAsiaTheme="minorHAnsi"/>
        </w:rPr>
        <w:t>A</w:t>
      </w:r>
      <w:r w:rsidR="006444F7" w:rsidRPr="00C81EFB">
        <w:rPr>
          <w:rFonts w:eastAsiaTheme="minorHAnsi"/>
        </w:rPr>
        <w:t xml:space="preserve">void </w:t>
      </w:r>
      <w:r w:rsidR="006444F7" w:rsidRPr="00C81EFB">
        <w:rPr>
          <w:rFonts w:eastAsiaTheme="minorHAnsi"/>
        </w:rPr>
        <w:lastRenderedPageBreak/>
        <w:t xml:space="preserve">exposure to external sources of heat such as electric blankets and hot </w:t>
      </w:r>
      <w:r w:rsidRPr="00C81EFB">
        <w:rPr>
          <w:rFonts w:eastAsiaTheme="minorHAnsi"/>
        </w:rPr>
        <w:t>baths and</w:t>
      </w:r>
      <w:r w:rsidR="00DF2BC1" w:rsidRPr="00C81EFB">
        <w:rPr>
          <w:rFonts w:eastAsiaTheme="minorHAnsi"/>
        </w:rPr>
        <w:t xml:space="preserve"> monitor for increased risk of adverse events in the context of fever.</w:t>
      </w:r>
    </w:p>
    <w:p w14:paraId="1EF0893E" w14:textId="1E378E0B" w:rsidR="00747626" w:rsidRDefault="00747626" w:rsidP="00747626">
      <w:pPr>
        <w:pStyle w:val="ListBullet"/>
        <w:tabs>
          <w:tab w:val="num" w:pos="360"/>
        </w:tabs>
        <w:ind w:left="360"/>
        <w:rPr>
          <w:rFonts w:eastAsiaTheme="minorHAnsi"/>
        </w:rPr>
      </w:pPr>
      <w:r>
        <w:rPr>
          <w:rFonts w:eastAsiaTheme="minorHAnsi"/>
        </w:rPr>
        <w:t>Adverse effects:</w:t>
      </w:r>
      <w:r w:rsidR="00C81EFB">
        <w:rPr>
          <w:rFonts w:eastAsiaTheme="minorHAnsi"/>
        </w:rPr>
        <w:t xml:space="preserve"> Increased risk of </w:t>
      </w:r>
      <w:r w:rsidR="00CC2BF6">
        <w:rPr>
          <w:rFonts w:eastAsiaTheme="minorHAnsi"/>
        </w:rPr>
        <w:t xml:space="preserve">seizure in epilepsy, CNS infection and head injury. Localised skin reaction to patch preparation is common. </w:t>
      </w:r>
      <w:r w:rsidR="00CC2BF6">
        <w:t xml:space="preserve">As with other opioid agents, respiratory depression, drowsiness and GI side effects including nausea/vomiting and constipation are possible. Attention to dental care is necessary in </w:t>
      </w:r>
      <w:proofErr w:type="spellStart"/>
      <w:r w:rsidR="00CC2BF6">
        <w:t>longterm</w:t>
      </w:r>
      <w:proofErr w:type="spellEnd"/>
      <w:r w:rsidR="00CC2BF6">
        <w:t xml:space="preserve"> use due to elevated risk of dental caries.</w:t>
      </w:r>
    </w:p>
    <w:p w14:paraId="0CCDDDC1" w14:textId="77777777" w:rsidR="00747626" w:rsidRDefault="00747626" w:rsidP="00747626">
      <w:pPr>
        <w:pStyle w:val="ListBullet"/>
        <w:tabs>
          <w:tab w:val="num" w:pos="360"/>
        </w:tabs>
        <w:ind w:left="360"/>
        <w:rPr>
          <w:rFonts w:eastAsiaTheme="minorHAnsi"/>
        </w:rPr>
      </w:pPr>
      <w:r>
        <w:rPr>
          <w:rFonts w:eastAsiaTheme="minorHAnsi"/>
        </w:rPr>
        <w:t xml:space="preserve">Dose: </w:t>
      </w:r>
    </w:p>
    <w:p w14:paraId="50C0DA80" w14:textId="77777777" w:rsidR="00747626" w:rsidRDefault="00747626" w:rsidP="00747626">
      <w:pPr>
        <w:pStyle w:val="ListBullet"/>
        <w:numPr>
          <w:ilvl w:val="0"/>
          <w:numId w:val="0"/>
        </w:numPr>
        <w:tabs>
          <w:tab w:val="left" w:pos="720"/>
        </w:tabs>
        <w:ind w:left="360"/>
        <w:rPr>
          <w:rFonts w:eastAsiaTheme="minorHAnsi"/>
        </w:rPr>
      </w:pPr>
      <w:r>
        <w:rPr>
          <w:rFonts w:eastAsiaTheme="minorHAnsi"/>
        </w:rPr>
        <w:t xml:space="preserve">Starting dose 5mcg/hour patch in opioid naïve; change patch every 7 days. </w:t>
      </w:r>
    </w:p>
    <w:p w14:paraId="118B52D8" w14:textId="77777777" w:rsidR="00747626" w:rsidRDefault="00747626" w:rsidP="00747626">
      <w:pPr>
        <w:pStyle w:val="ListBullet"/>
        <w:numPr>
          <w:ilvl w:val="0"/>
          <w:numId w:val="0"/>
        </w:numPr>
        <w:tabs>
          <w:tab w:val="left" w:pos="720"/>
        </w:tabs>
        <w:ind w:left="360"/>
        <w:rPr>
          <w:rFonts w:eastAsiaTheme="minorHAnsi"/>
        </w:rPr>
      </w:pPr>
      <w:r>
        <w:rPr>
          <w:rFonts w:eastAsiaTheme="minorHAnsi"/>
        </w:rPr>
        <w:t xml:space="preserve">While IV preparations are removed by dialysis, </w:t>
      </w:r>
      <w:r w:rsidR="00D87A64">
        <w:rPr>
          <w:rFonts w:eastAsiaTheme="minorHAnsi"/>
        </w:rPr>
        <w:t xml:space="preserve">a </w:t>
      </w:r>
      <w:r>
        <w:rPr>
          <w:rFonts w:eastAsiaTheme="minorHAnsi"/>
        </w:rPr>
        <w:t>patch can be administered regardless of dialysis schedule</w:t>
      </w:r>
      <w:r w:rsidR="005871CD">
        <w:rPr>
          <w:rFonts w:eastAsiaTheme="minorHAnsi"/>
        </w:rPr>
        <w:t>.</w:t>
      </w:r>
      <w:r>
        <w:rPr>
          <w:rFonts w:eastAsiaTheme="minorHAnsi"/>
        </w:rPr>
        <w:t xml:space="preserve"> </w:t>
      </w:r>
    </w:p>
    <w:p w14:paraId="28F5E2FD" w14:textId="77777777" w:rsidR="00747626" w:rsidRDefault="00747626" w:rsidP="00747626">
      <w:pPr>
        <w:pStyle w:val="NoSpacing"/>
        <w:rPr>
          <w:rFonts w:cstheme="minorHAnsi"/>
        </w:rPr>
      </w:pPr>
    </w:p>
    <w:p w14:paraId="7C11D86D" w14:textId="77777777" w:rsidR="00747626" w:rsidRDefault="00747626" w:rsidP="00747626">
      <w:pPr>
        <w:rPr>
          <w:rFonts w:asciiTheme="minorHAnsi" w:eastAsiaTheme="minorHAnsi" w:hAnsiTheme="minorHAnsi" w:cstheme="minorBidi"/>
          <w:b/>
          <w:szCs w:val="24"/>
        </w:rPr>
      </w:pPr>
      <w:r>
        <w:rPr>
          <w:rFonts w:asciiTheme="minorHAnsi" w:eastAsiaTheme="minorHAnsi" w:hAnsiTheme="minorHAnsi" w:cstheme="minorBidi"/>
          <w:b/>
          <w:szCs w:val="24"/>
        </w:rPr>
        <w:t xml:space="preserve">Strong Opioids  </w:t>
      </w:r>
    </w:p>
    <w:p w14:paraId="53A8C99A" w14:textId="6F9523E1" w:rsidR="00747626" w:rsidRDefault="00747626" w:rsidP="00747626">
      <w:r>
        <w:rPr>
          <w:rFonts w:asciiTheme="minorHAnsi" w:eastAsiaTheme="minorHAnsi" w:hAnsiTheme="minorHAnsi" w:cstheme="minorBidi"/>
          <w:szCs w:val="24"/>
        </w:rPr>
        <w:t xml:space="preserve">Evidence does not support the </w:t>
      </w:r>
      <w:r w:rsidR="005871CD">
        <w:rPr>
          <w:rFonts w:asciiTheme="minorHAnsi" w:eastAsiaTheme="minorHAnsi" w:hAnsiTheme="minorHAnsi" w:cstheme="minorBidi"/>
          <w:szCs w:val="24"/>
        </w:rPr>
        <w:t>use</w:t>
      </w:r>
      <w:r>
        <w:rPr>
          <w:rFonts w:asciiTheme="minorHAnsi" w:eastAsiaTheme="minorHAnsi" w:hAnsiTheme="minorHAnsi" w:cstheme="minorBidi"/>
          <w:szCs w:val="24"/>
        </w:rPr>
        <w:t xml:space="preserve"> of opioids in chronic pain. Long term use of opiates is associated with opioid-induced hyperalgesia leading to refractory pain and dose escalation and high probability of opioid-related adverse outcomes. </w:t>
      </w:r>
      <w:r>
        <w:t xml:space="preserve">The </w:t>
      </w:r>
      <w:r w:rsidR="003720F6">
        <w:t>co-prescription</w:t>
      </w:r>
      <w:r>
        <w:t xml:space="preserve"> of opiates and benzodiazepines increases the risks of causing altered mental status, falls and fracture in those patients requiring dialysis</w:t>
      </w:r>
      <w:r w:rsidR="00814C70" w:rsidRPr="00AA7E14">
        <w:rPr>
          <w:vertAlign w:val="superscript"/>
        </w:rPr>
        <w:t>1</w:t>
      </w:r>
      <w:r w:rsidR="00814C70">
        <w:rPr>
          <w:vertAlign w:val="superscript"/>
        </w:rPr>
        <w:t>1</w:t>
      </w:r>
      <w:r>
        <w:t xml:space="preserve">. Despite its improved safety profile in CKD and ESRD, oral fentanyl use in Australian outpatient settings is limited by its lack of availability on the PBS for non-cancer pain. </w:t>
      </w:r>
      <w:bookmarkStart w:id="27" w:name="_Hlk134603626"/>
      <w:r>
        <w:t>Opiate prescription is associated with diminished cognition, performance status and a reduced quality of life</w:t>
      </w:r>
      <w:bookmarkEnd w:id="27"/>
      <w:r>
        <w:t xml:space="preserve">. Additionally, opioids are recognised to contribute to respiratory depression </w:t>
      </w:r>
      <w:r w:rsidR="002E7229">
        <w:t>-</w:t>
      </w:r>
      <w:r>
        <w:t xml:space="preserve"> both obstructive and central sleep apnoea events</w:t>
      </w:r>
      <w:r w:rsidR="002E7229">
        <w:t>.</w:t>
      </w:r>
      <w:r>
        <w:t xml:space="preserve"> Opioids have a high potential to result in addiction </w:t>
      </w:r>
      <w:r w:rsidR="00D3509E">
        <w:t>(</w:t>
      </w:r>
      <w:r>
        <w:t>See Attachment 1: Opioid Risk Tool</w:t>
      </w:r>
      <w:r w:rsidR="00D3509E">
        <w:t>)</w:t>
      </w:r>
      <w:r>
        <w:t xml:space="preserve">. </w:t>
      </w:r>
    </w:p>
    <w:p w14:paraId="0D4B0A77" w14:textId="77777777" w:rsidR="00747626" w:rsidRDefault="00747626" w:rsidP="00747626">
      <w:pPr>
        <w:rPr>
          <w:rFonts w:asciiTheme="minorHAnsi" w:eastAsiaTheme="minorHAnsi" w:hAnsiTheme="minorHAnsi" w:cstheme="minorBidi"/>
          <w:szCs w:val="24"/>
        </w:rPr>
      </w:pPr>
    </w:p>
    <w:p w14:paraId="12DD31D4" w14:textId="1BB2CAC8" w:rsidR="00747626" w:rsidRPr="00814C70" w:rsidRDefault="00D3509E" w:rsidP="00747626">
      <w:pPr>
        <w:rPr>
          <w:rFonts w:asciiTheme="minorHAnsi" w:eastAsiaTheme="minorHAnsi" w:hAnsiTheme="minorHAnsi" w:cstheme="minorBidi"/>
          <w:szCs w:val="24"/>
          <w:u w:val="single"/>
        </w:rPr>
      </w:pPr>
      <w:r>
        <w:rPr>
          <w:rFonts w:asciiTheme="minorHAnsi" w:eastAsiaTheme="minorHAnsi" w:hAnsiTheme="minorHAnsi" w:cstheme="minorBidi"/>
          <w:szCs w:val="24"/>
          <w:u w:val="single"/>
        </w:rPr>
        <w:t>Oxycodone</w:t>
      </w:r>
    </w:p>
    <w:p w14:paraId="402F019A" w14:textId="08F1B1AA" w:rsidR="00747626" w:rsidRDefault="00CC2BF6" w:rsidP="00B160F9">
      <w:pPr>
        <w:pStyle w:val="ListBullet"/>
        <w:tabs>
          <w:tab w:val="num" w:pos="360"/>
        </w:tabs>
        <w:ind w:left="360"/>
      </w:pPr>
      <w:r w:rsidRPr="00CC2BF6">
        <w:rPr>
          <w:rFonts w:asciiTheme="minorHAnsi" w:eastAsiaTheme="minorHAnsi" w:hAnsiTheme="minorHAnsi" w:cstheme="minorBidi"/>
        </w:rPr>
        <w:t xml:space="preserve">Use/Action: Frequently used in inpatient and ambulatory settings. </w:t>
      </w:r>
      <w:r w:rsidR="00747626">
        <w:t>The elimination half-life of oxycodone is lengthened in uremic patients</w:t>
      </w:r>
      <w:r>
        <w:t xml:space="preserve">. </w:t>
      </w:r>
      <w:r w:rsidR="00747626" w:rsidRPr="00CC2BF6">
        <w:rPr>
          <w:rFonts w:eastAsiaTheme="minorHAnsi"/>
        </w:rPr>
        <w:t>E</w:t>
      </w:r>
      <w:r w:rsidR="00747626">
        <w:t>xcretion of metabolites is severely impaired</w:t>
      </w:r>
      <w:r>
        <w:t xml:space="preserve"> in CKD</w:t>
      </w:r>
      <w:r w:rsidR="00747626">
        <w:t xml:space="preserve">. </w:t>
      </w:r>
    </w:p>
    <w:p w14:paraId="665D3C65" w14:textId="777853C4" w:rsidR="00747626" w:rsidRDefault="00747626" w:rsidP="00747626">
      <w:pPr>
        <w:pStyle w:val="ListBullet"/>
        <w:tabs>
          <w:tab w:val="num" w:pos="360"/>
        </w:tabs>
        <w:ind w:left="360"/>
        <w:rPr>
          <w:rFonts w:eastAsiaTheme="minorHAnsi"/>
          <w:szCs w:val="24"/>
        </w:rPr>
      </w:pPr>
      <w:r>
        <w:rPr>
          <w:rFonts w:eastAsiaTheme="minorHAnsi"/>
        </w:rPr>
        <w:t>A</w:t>
      </w:r>
      <w:r w:rsidR="00CC2BF6">
        <w:rPr>
          <w:rFonts w:eastAsiaTheme="minorHAnsi"/>
        </w:rPr>
        <w:t>dverse effects</w:t>
      </w:r>
      <w:r>
        <w:rPr>
          <w:rFonts w:eastAsiaTheme="minorHAnsi"/>
        </w:rPr>
        <w:t xml:space="preserve">: </w:t>
      </w:r>
      <w:r w:rsidR="00CC2BF6">
        <w:rPr>
          <w:rFonts w:eastAsiaTheme="minorHAnsi"/>
        </w:rPr>
        <w:t xml:space="preserve">Frequently associated with reduced level of consciousness, respiratory depression, GI side effects including anorexia, nausea, vomiting and constipation. </w:t>
      </w:r>
    </w:p>
    <w:p w14:paraId="21E2EB86" w14:textId="77777777" w:rsidR="00747626" w:rsidRDefault="00747626" w:rsidP="00747626">
      <w:pPr>
        <w:pStyle w:val="ListBullet"/>
        <w:tabs>
          <w:tab w:val="num" w:pos="360"/>
        </w:tabs>
        <w:ind w:left="360"/>
        <w:rPr>
          <w:rFonts w:eastAsiaTheme="minorHAnsi"/>
          <w:szCs w:val="24"/>
        </w:rPr>
      </w:pPr>
      <w:r>
        <w:rPr>
          <w:rFonts w:eastAsiaTheme="minorHAnsi"/>
        </w:rPr>
        <w:t xml:space="preserve">Dose: </w:t>
      </w:r>
    </w:p>
    <w:p w14:paraId="19723EB0" w14:textId="5E32753F" w:rsidR="00747626" w:rsidRDefault="00CC2BF6" w:rsidP="00747626">
      <w:pPr>
        <w:pStyle w:val="ListBullet"/>
        <w:numPr>
          <w:ilvl w:val="0"/>
          <w:numId w:val="0"/>
        </w:numPr>
        <w:tabs>
          <w:tab w:val="left" w:pos="720"/>
        </w:tabs>
        <w:ind w:left="360"/>
        <w:rPr>
          <w:rFonts w:eastAsiaTheme="minorHAnsi"/>
        </w:rPr>
      </w:pPr>
      <w:r>
        <w:rPr>
          <w:rFonts w:eastAsiaTheme="minorHAnsi"/>
        </w:rPr>
        <w:t xml:space="preserve">Lower doses should be used in patients with renal impairment. </w:t>
      </w:r>
      <w:r w:rsidR="00747626">
        <w:rPr>
          <w:rFonts w:eastAsiaTheme="minorHAnsi"/>
        </w:rPr>
        <w:t xml:space="preserve">Starting doses for opioid naïve patients should be 2.5-5mg </w:t>
      </w:r>
      <w:r w:rsidR="00814C70">
        <w:rPr>
          <w:rFonts w:eastAsiaTheme="minorHAnsi"/>
        </w:rPr>
        <w:t>every</w:t>
      </w:r>
      <w:r w:rsidR="00747626">
        <w:rPr>
          <w:rFonts w:eastAsiaTheme="minorHAnsi"/>
        </w:rPr>
        <w:t xml:space="preserve"> 4-6 hours and monitor for efficacy and toxicity</w:t>
      </w:r>
      <w:r w:rsidR="00D3509E">
        <w:rPr>
          <w:rFonts w:eastAsiaTheme="minorHAnsi"/>
        </w:rPr>
        <w:t>.</w:t>
      </w:r>
      <w:r w:rsidR="00747626">
        <w:rPr>
          <w:rFonts w:eastAsiaTheme="minorHAnsi"/>
        </w:rPr>
        <w:t xml:space="preserve"> </w:t>
      </w:r>
    </w:p>
    <w:p w14:paraId="1C5C41BB" w14:textId="77777777" w:rsidR="00CC2BF6" w:rsidRDefault="00747626" w:rsidP="00747626">
      <w:pPr>
        <w:pStyle w:val="ListBullet"/>
        <w:numPr>
          <w:ilvl w:val="0"/>
          <w:numId w:val="0"/>
        </w:numPr>
        <w:tabs>
          <w:tab w:val="left" w:pos="720"/>
        </w:tabs>
        <w:ind w:left="360"/>
        <w:rPr>
          <w:rFonts w:eastAsiaTheme="minorHAnsi"/>
        </w:rPr>
      </w:pPr>
      <w:r>
        <w:rPr>
          <w:rFonts w:eastAsiaTheme="minorHAnsi"/>
        </w:rPr>
        <w:t>Removed by dialysis; additional doses may be required following a dialysis session</w:t>
      </w:r>
      <w:r w:rsidR="00D3509E">
        <w:rPr>
          <w:rFonts w:eastAsiaTheme="minorHAnsi"/>
        </w:rPr>
        <w:t>.</w:t>
      </w:r>
      <w:r>
        <w:rPr>
          <w:rFonts w:eastAsiaTheme="minorHAnsi"/>
        </w:rPr>
        <w:t xml:space="preserve"> </w:t>
      </w:r>
    </w:p>
    <w:p w14:paraId="4EDB9298" w14:textId="653B2D7C" w:rsidR="00747626" w:rsidRDefault="00CC2BF6" w:rsidP="00747626">
      <w:pPr>
        <w:pStyle w:val="ListBullet"/>
        <w:numPr>
          <w:ilvl w:val="0"/>
          <w:numId w:val="0"/>
        </w:numPr>
        <w:tabs>
          <w:tab w:val="left" w:pos="720"/>
        </w:tabs>
        <w:ind w:left="360"/>
        <w:rPr>
          <w:rFonts w:eastAsiaTheme="minorHAnsi"/>
          <w:szCs w:val="24"/>
        </w:rPr>
      </w:pPr>
      <w:r>
        <w:rPr>
          <w:rFonts w:eastAsiaTheme="minorHAnsi"/>
        </w:rPr>
        <w:t>Commence</w:t>
      </w:r>
      <w:r w:rsidRPr="00CC2BF6">
        <w:rPr>
          <w:rFonts w:eastAsiaTheme="minorHAnsi"/>
        </w:rPr>
        <w:t xml:space="preserve"> immediate release for acute pain </w:t>
      </w:r>
      <w:proofErr w:type="gramStart"/>
      <w:r w:rsidRPr="00CC2BF6">
        <w:rPr>
          <w:rFonts w:eastAsiaTheme="minorHAnsi"/>
        </w:rPr>
        <w:t>qid;</w:t>
      </w:r>
      <w:proofErr w:type="gramEnd"/>
      <w:r w:rsidRPr="00CC2BF6">
        <w:rPr>
          <w:rFonts w:eastAsiaTheme="minorHAnsi"/>
        </w:rPr>
        <w:t xml:space="preserve"> once pain under control can switch to modified release preparation.</w:t>
      </w:r>
    </w:p>
    <w:p w14:paraId="5893B4F2" w14:textId="77777777" w:rsidR="00747626" w:rsidRDefault="00747626" w:rsidP="00747626">
      <w:pPr>
        <w:pStyle w:val="ListBullet"/>
        <w:numPr>
          <w:ilvl w:val="0"/>
          <w:numId w:val="0"/>
        </w:numPr>
        <w:tabs>
          <w:tab w:val="left" w:pos="720"/>
        </w:tabs>
        <w:ind w:left="1080"/>
        <w:rPr>
          <w:rFonts w:eastAsiaTheme="minorHAnsi"/>
        </w:rPr>
      </w:pPr>
    </w:p>
    <w:p w14:paraId="35919F0D" w14:textId="351A0FEE" w:rsidR="00747626" w:rsidRPr="00814C70" w:rsidRDefault="00747626" w:rsidP="00747626">
      <w:pPr>
        <w:rPr>
          <w:rFonts w:asciiTheme="minorHAnsi" w:eastAsiaTheme="minorHAnsi" w:hAnsiTheme="minorHAnsi" w:cstheme="minorBidi"/>
          <w:szCs w:val="24"/>
          <w:u w:val="single"/>
        </w:rPr>
      </w:pPr>
      <w:r w:rsidRPr="00814C70">
        <w:rPr>
          <w:rFonts w:asciiTheme="minorHAnsi" w:eastAsiaTheme="minorHAnsi" w:hAnsiTheme="minorHAnsi" w:cstheme="minorBidi"/>
          <w:szCs w:val="24"/>
          <w:u w:val="single"/>
        </w:rPr>
        <w:t>Morphine</w:t>
      </w:r>
    </w:p>
    <w:p w14:paraId="5369A5A8" w14:textId="00152CF1" w:rsidR="00747626" w:rsidRDefault="00CC2BF6" w:rsidP="001D784A">
      <w:pPr>
        <w:pStyle w:val="ListBullet"/>
        <w:tabs>
          <w:tab w:val="num" w:pos="360"/>
        </w:tabs>
        <w:ind w:left="360"/>
      </w:pPr>
      <w:r>
        <w:rPr>
          <w:rFonts w:eastAsiaTheme="minorHAnsi"/>
        </w:rPr>
        <w:t>Use/Action: Frequently used in acute pain settings, morphine is a suboptimal choice for persistent pain in CKD. M</w:t>
      </w:r>
      <w:r w:rsidR="00747626" w:rsidRPr="00CC2BF6">
        <w:rPr>
          <w:rFonts w:eastAsiaTheme="minorHAnsi"/>
        </w:rPr>
        <w:t xml:space="preserve">etabolised by the liver to morphine-3-glucuronide (M3G) (55%), </w:t>
      </w:r>
      <w:r w:rsidR="00747626">
        <w:t>morphine-6-glucuronide (M6G) (10%), and normorphine (4%)</w:t>
      </w:r>
      <w:r w:rsidR="00D3509E">
        <w:t>.</w:t>
      </w:r>
      <w:r>
        <w:t xml:space="preserve"> All metabolites are </w:t>
      </w:r>
      <w:r w:rsidR="00747626">
        <w:t>excreted by the kidneys, and may increase the risk of adverse events, including hyperesthesia/allodynia</w:t>
      </w:r>
      <w:r>
        <w:t xml:space="preserve"> and itch</w:t>
      </w:r>
      <w:r w:rsidR="00747626">
        <w:t xml:space="preserve">. </w:t>
      </w:r>
    </w:p>
    <w:p w14:paraId="26C6437B" w14:textId="05174D47" w:rsidR="00CC2BF6" w:rsidRPr="00CC2BF6" w:rsidRDefault="00CC2BF6" w:rsidP="00CC2BF6">
      <w:pPr>
        <w:pStyle w:val="ListBullet"/>
        <w:tabs>
          <w:tab w:val="num" w:pos="360"/>
        </w:tabs>
        <w:ind w:left="360"/>
        <w:rPr>
          <w:rFonts w:eastAsiaTheme="minorHAnsi"/>
          <w:szCs w:val="24"/>
        </w:rPr>
      </w:pPr>
      <w:r>
        <w:rPr>
          <w:rFonts w:eastAsiaTheme="minorHAnsi"/>
        </w:rPr>
        <w:t xml:space="preserve">Adverse effects: Frequently associated with reduced level of consciousness, respiratory depression, GI side effects including anorexia, nausea, vomiting and constipation. </w:t>
      </w:r>
    </w:p>
    <w:p w14:paraId="17050BA7" w14:textId="51FA078F" w:rsidR="00747626" w:rsidRDefault="00CC2BF6" w:rsidP="00747626">
      <w:pPr>
        <w:pStyle w:val="ListBullet"/>
        <w:tabs>
          <w:tab w:val="num" w:pos="360"/>
        </w:tabs>
        <w:ind w:left="360"/>
        <w:rPr>
          <w:rFonts w:eastAsiaTheme="minorHAnsi"/>
        </w:rPr>
      </w:pPr>
      <w:r>
        <w:lastRenderedPageBreak/>
        <w:t xml:space="preserve">Dose: </w:t>
      </w:r>
      <w:r w:rsidR="00814C70">
        <w:t>R</w:t>
      </w:r>
      <w:r w:rsidR="00747626">
        <w:t xml:space="preserve">ecommend avoidance in </w:t>
      </w:r>
      <w:r>
        <w:t xml:space="preserve">advanced </w:t>
      </w:r>
      <w:r w:rsidR="00747626">
        <w:t xml:space="preserve">CKD.  </w:t>
      </w:r>
    </w:p>
    <w:p w14:paraId="379CD58B" w14:textId="77777777" w:rsidR="00747626" w:rsidRDefault="00747626" w:rsidP="00747626">
      <w:pPr>
        <w:rPr>
          <w:rFonts w:asciiTheme="minorHAnsi" w:eastAsiaTheme="minorHAnsi" w:hAnsiTheme="minorHAnsi" w:cstheme="minorBidi"/>
          <w:szCs w:val="24"/>
        </w:rPr>
      </w:pPr>
    </w:p>
    <w:p w14:paraId="16B9011A" w14:textId="77777777" w:rsidR="00747626" w:rsidRPr="00814C70" w:rsidRDefault="00747626" w:rsidP="00747626">
      <w:pPr>
        <w:rPr>
          <w:rFonts w:asciiTheme="minorHAnsi" w:eastAsiaTheme="minorHAnsi" w:hAnsiTheme="minorHAnsi" w:cstheme="minorBidi"/>
          <w:szCs w:val="24"/>
          <w:u w:val="single"/>
        </w:rPr>
      </w:pPr>
      <w:r w:rsidRPr="00814C70">
        <w:rPr>
          <w:rFonts w:asciiTheme="minorHAnsi" w:eastAsiaTheme="minorHAnsi" w:hAnsiTheme="minorHAnsi" w:cstheme="minorBidi"/>
          <w:szCs w:val="24"/>
          <w:u w:val="single"/>
        </w:rPr>
        <w:t xml:space="preserve">Hydromorphone </w:t>
      </w:r>
    </w:p>
    <w:p w14:paraId="150431C2" w14:textId="7BCBD348" w:rsidR="00747626" w:rsidRPr="00621C39" w:rsidRDefault="00CC2BF6" w:rsidP="004C670E">
      <w:pPr>
        <w:pStyle w:val="ListBullet"/>
        <w:tabs>
          <w:tab w:val="num" w:pos="360"/>
        </w:tabs>
        <w:ind w:left="360"/>
        <w:rPr>
          <w:rFonts w:asciiTheme="minorHAnsi" w:eastAsiaTheme="minorHAnsi" w:hAnsiTheme="minorHAnsi" w:cstheme="minorBidi"/>
          <w:b/>
        </w:rPr>
      </w:pPr>
      <w:r w:rsidRPr="00621C39">
        <w:rPr>
          <w:rFonts w:asciiTheme="minorHAnsi" w:eastAsiaTheme="minorHAnsi" w:hAnsiTheme="minorHAnsi" w:cstheme="minorBidi"/>
        </w:rPr>
        <w:t>Use/Action: Appropriate analgesic choice for persistent pain in CKD. M</w:t>
      </w:r>
      <w:r w:rsidR="00747626">
        <w:t xml:space="preserve">etabolized in the liver to hydromorphone-3-glucuronide (36.8%), dihydromorphine (0.1%) and </w:t>
      </w:r>
      <w:proofErr w:type="spellStart"/>
      <w:r w:rsidR="00747626">
        <w:t>dihydroisomorphine</w:t>
      </w:r>
      <w:proofErr w:type="spellEnd"/>
      <w:r w:rsidR="00747626">
        <w:t xml:space="preserve"> (1.0%), as well as small amounts of hydromorphone-3-sulfate, </w:t>
      </w:r>
      <w:proofErr w:type="spellStart"/>
      <w:r w:rsidR="00747626">
        <w:t>norhydromorphone</w:t>
      </w:r>
      <w:proofErr w:type="spellEnd"/>
      <w:r w:rsidR="00747626">
        <w:t xml:space="preserve">, and </w:t>
      </w:r>
      <w:proofErr w:type="spellStart"/>
      <w:r w:rsidR="00747626">
        <w:t>nordihydroisomorphone</w:t>
      </w:r>
      <w:proofErr w:type="spellEnd"/>
      <w:r w:rsidR="00747626">
        <w:t>. All metabolites are excreted renally, along with a small amount of free hydromorphone. In severe renal failure (GFR&lt;30ml/min) plasma concentration is increased fourfold. It is recommended lower starting doses for moderate renal failure, as well as an increased dosing interval for severe renal failure, and close monitoring for both groups. The 3-glucuronide is reported to have no analgesic activity, but does accumulate in renal failure, its ratio to hydromorphone increasing from 27:1 in patients with normal renal function to around 100:1 in a patient with impaired renal function. It is felt to be responsible for neuroexcitation including agitation, confusion, and hallucinations. Despite this concern, use of hydromorphone is endorsed by the Australian and New Zealand Society of Nephrology (ANZSN) Renal Supportive Care Guidelines as it is felt to be safer than morphine and oxycodone</w:t>
      </w:r>
      <w:r w:rsidR="00747626">
        <w:rPr>
          <w:noProof/>
        </w:rPr>
        <w:t xml:space="preserve">. </w:t>
      </w:r>
    </w:p>
    <w:p w14:paraId="55756F1C" w14:textId="29D62F3A" w:rsidR="00621C39" w:rsidRPr="00621C39" w:rsidRDefault="00621C39" w:rsidP="00621C39">
      <w:pPr>
        <w:pStyle w:val="ListBullet"/>
        <w:tabs>
          <w:tab w:val="num" w:pos="360"/>
        </w:tabs>
        <w:ind w:left="360"/>
        <w:rPr>
          <w:rFonts w:eastAsiaTheme="minorHAnsi"/>
        </w:rPr>
      </w:pPr>
      <w:r>
        <w:rPr>
          <w:noProof/>
        </w:rPr>
        <w:t xml:space="preserve">Adverse effects: </w:t>
      </w:r>
      <w:bookmarkStart w:id="28" w:name="_Hlk134602386"/>
      <w:r>
        <w:t xml:space="preserve">As with other opioid agents, respiratory depression, drowsiness and GI side effects including nausea/vomiting and constipation are possible. Attention to dental care is necessary in </w:t>
      </w:r>
      <w:proofErr w:type="spellStart"/>
      <w:r>
        <w:t>longterm</w:t>
      </w:r>
      <w:proofErr w:type="spellEnd"/>
      <w:r>
        <w:t xml:space="preserve"> use due to elevated risk of dental caries.</w:t>
      </w:r>
    </w:p>
    <w:bookmarkEnd w:id="28"/>
    <w:p w14:paraId="5CF595CC" w14:textId="77777777" w:rsidR="00747626" w:rsidRDefault="00747626" w:rsidP="00747626">
      <w:pPr>
        <w:pStyle w:val="ListBullet"/>
        <w:tabs>
          <w:tab w:val="num" w:pos="360"/>
        </w:tabs>
        <w:ind w:left="360"/>
        <w:rPr>
          <w:rFonts w:asciiTheme="minorHAnsi" w:eastAsiaTheme="minorHAnsi" w:hAnsiTheme="minorHAnsi" w:cstheme="minorBidi"/>
          <w:szCs w:val="24"/>
        </w:rPr>
      </w:pPr>
      <w:r>
        <w:t xml:space="preserve">Dose: </w:t>
      </w:r>
    </w:p>
    <w:p w14:paraId="5480A766" w14:textId="312C1DC5" w:rsidR="00747626" w:rsidRDefault="00747626" w:rsidP="00747626">
      <w:pPr>
        <w:pStyle w:val="ListBullet"/>
        <w:numPr>
          <w:ilvl w:val="0"/>
          <w:numId w:val="0"/>
        </w:numPr>
        <w:tabs>
          <w:tab w:val="left" w:pos="720"/>
        </w:tabs>
        <w:ind w:left="360"/>
        <w:rPr>
          <w:rFonts w:asciiTheme="minorHAnsi" w:eastAsiaTheme="minorHAnsi" w:hAnsiTheme="minorHAnsi" w:cstheme="minorBidi"/>
        </w:rPr>
      </w:pPr>
      <w:r>
        <w:t xml:space="preserve">Starting doses in opioid naïve patients should be 0.5-1mg orally, </w:t>
      </w:r>
      <w:r w:rsidR="00814C70">
        <w:t>every</w:t>
      </w:r>
      <w:r>
        <w:t xml:space="preserve"> 4-6</w:t>
      </w:r>
      <w:r w:rsidR="00814C70">
        <w:t xml:space="preserve"> </w:t>
      </w:r>
      <w:r>
        <w:t>h</w:t>
      </w:r>
      <w:r w:rsidR="00814C70">
        <w:t>ours</w:t>
      </w:r>
      <w:r>
        <w:t xml:space="preserve"> or 0.25-0.5mg subcutaneously, </w:t>
      </w:r>
      <w:r w:rsidR="00814C70">
        <w:t xml:space="preserve">every </w:t>
      </w:r>
      <w:r>
        <w:t>4-6</w:t>
      </w:r>
      <w:r w:rsidR="00814C70">
        <w:t xml:space="preserve"> </w:t>
      </w:r>
      <w:r>
        <w:t>h</w:t>
      </w:r>
      <w:r w:rsidR="00814C70">
        <w:t>ours</w:t>
      </w:r>
      <w:r>
        <w:t xml:space="preserve"> </w:t>
      </w:r>
      <w:r>
        <w:rPr>
          <w:rFonts w:asciiTheme="minorHAnsi" w:eastAsiaTheme="minorHAnsi" w:hAnsiTheme="minorHAnsi" w:cstheme="minorBidi"/>
        </w:rPr>
        <w:t>and monitor for efficacy and toxicity.</w:t>
      </w:r>
    </w:p>
    <w:p w14:paraId="66A2CA4C" w14:textId="77777777" w:rsidR="00747626" w:rsidRDefault="00747626" w:rsidP="00747626">
      <w:pPr>
        <w:pStyle w:val="ListBullet"/>
        <w:numPr>
          <w:ilvl w:val="0"/>
          <w:numId w:val="0"/>
        </w:numPr>
        <w:tabs>
          <w:tab w:val="left" w:pos="720"/>
        </w:tabs>
        <w:ind w:left="360"/>
        <w:rPr>
          <w:rFonts w:asciiTheme="minorHAnsi" w:eastAsiaTheme="minorHAnsi" w:hAnsiTheme="minorHAnsi" w:cstheme="minorBidi"/>
        </w:rPr>
      </w:pPr>
      <w:r>
        <w:rPr>
          <w:rFonts w:asciiTheme="minorHAnsi" w:eastAsiaTheme="minorHAnsi" w:hAnsiTheme="minorHAnsi" w:cstheme="minorBidi"/>
        </w:rPr>
        <w:t xml:space="preserve">Timing of dose regardless of dialysis schedule as active analgesic component not dialysed. </w:t>
      </w:r>
    </w:p>
    <w:p w14:paraId="0E37A213" w14:textId="1931AC1E" w:rsidR="00747626" w:rsidRDefault="00747626" w:rsidP="00747626">
      <w:pPr>
        <w:pStyle w:val="ListBullet"/>
        <w:numPr>
          <w:ilvl w:val="0"/>
          <w:numId w:val="19"/>
        </w:numPr>
        <w:tabs>
          <w:tab w:val="left" w:pos="720"/>
        </w:tabs>
        <w:rPr>
          <w:rFonts w:asciiTheme="minorHAnsi" w:eastAsiaTheme="minorHAnsi" w:hAnsiTheme="minorHAnsi" w:cstheme="minorBidi"/>
          <w:b/>
          <w:szCs w:val="24"/>
        </w:rPr>
      </w:pPr>
      <w:r>
        <w:rPr>
          <w:rFonts w:asciiTheme="minorHAnsi" w:eastAsiaTheme="minorHAnsi" w:hAnsiTheme="minorHAnsi" w:cstheme="minorBidi"/>
          <w:szCs w:val="24"/>
        </w:rPr>
        <w:t xml:space="preserve">All strengths of the long-acting hydromorphone formulation Jurnista will be discontinued in Australia from 30 April 2023. It is recommended that patients currently utilising Jurnista undergo supervised opioid conversion using a conversion tool </w:t>
      </w:r>
      <w:r>
        <w:t>(</w:t>
      </w:r>
      <w:r w:rsidR="00D3509E">
        <w:t>e.</w:t>
      </w:r>
      <w:r>
        <w:t>g.</w:t>
      </w:r>
      <w:r w:rsidR="00D3509E">
        <w:t>,</w:t>
      </w:r>
      <w:r>
        <w:t xml:space="preserve"> </w:t>
      </w:r>
      <w:r w:rsidR="00D3509E">
        <w:t xml:space="preserve">Australian and New Zealand College of Anaesthetists </w:t>
      </w:r>
      <w:r>
        <w:t>Opioid calculator</w:t>
      </w:r>
      <w:r w:rsidR="00D3509E">
        <w:t>, available at</w:t>
      </w:r>
      <w:r>
        <w:t xml:space="preserve"> </w:t>
      </w:r>
      <w:hyperlink r:id="rId17" w:history="1">
        <w:r>
          <w:rPr>
            <w:rStyle w:val="Hyperlink"/>
          </w:rPr>
          <w:t>http://www.opioidcalculator.com.au/</w:t>
        </w:r>
      </w:hyperlink>
      <w:r>
        <w:t>). Specialist advice should be sought i</w:t>
      </w:r>
      <w:r w:rsidR="00D3509E">
        <w:t>f</w:t>
      </w:r>
      <w:r>
        <w:t xml:space="preserve"> there is limited experience in opioid conversions. </w:t>
      </w:r>
    </w:p>
    <w:p w14:paraId="07516BED" w14:textId="77777777" w:rsidR="00747626" w:rsidRDefault="00747626" w:rsidP="00747626">
      <w:pPr>
        <w:rPr>
          <w:rFonts w:asciiTheme="minorHAnsi" w:eastAsiaTheme="minorHAnsi" w:hAnsiTheme="minorHAnsi" w:cstheme="minorBidi"/>
          <w:szCs w:val="24"/>
        </w:rPr>
      </w:pPr>
    </w:p>
    <w:p w14:paraId="59A61F57" w14:textId="77777777" w:rsidR="00747626" w:rsidRPr="00814C70" w:rsidRDefault="00747626" w:rsidP="00747626">
      <w:pPr>
        <w:rPr>
          <w:rFonts w:asciiTheme="minorHAnsi" w:eastAsiaTheme="minorHAnsi" w:hAnsiTheme="minorHAnsi" w:cstheme="minorBidi"/>
          <w:szCs w:val="24"/>
          <w:u w:val="single"/>
        </w:rPr>
      </w:pPr>
      <w:r w:rsidRPr="00814C70">
        <w:rPr>
          <w:rFonts w:asciiTheme="minorHAnsi" w:eastAsiaTheme="minorHAnsi" w:hAnsiTheme="minorHAnsi" w:cstheme="minorBidi"/>
          <w:szCs w:val="24"/>
          <w:u w:val="single"/>
        </w:rPr>
        <w:t>Fentanyl</w:t>
      </w:r>
    </w:p>
    <w:p w14:paraId="550D27F1" w14:textId="5F0FC2BA" w:rsidR="00747626" w:rsidRDefault="00621C39" w:rsidP="00747626">
      <w:pPr>
        <w:pStyle w:val="ListBullet"/>
        <w:tabs>
          <w:tab w:val="num" w:pos="360"/>
        </w:tabs>
        <w:ind w:left="360"/>
      </w:pPr>
      <w:r>
        <w:rPr>
          <w:rFonts w:asciiTheme="minorHAnsi" w:eastAsiaTheme="minorHAnsi" w:hAnsiTheme="minorHAnsi" w:cstheme="minorBidi"/>
          <w:szCs w:val="24"/>
        </w:rPr>
        <w:t>Use/Action: Appropriate choice of analgesia for persistent pain in advanced CKD. F</w:t>
      </w:r>
      <w:r>
        <w:t xml:space="preserve">entanyl is accepted as the safest opioid to use in the context of renal impairment however its short half-life can prove impractical. </w:t>
      </w:r>
      <w:proofErr w:type="spellStart"/>
      <w:r>
        <w:t>Longacting</w:t>
      </w:r>
      <w:proofErr w:type="spellEnd"/>
      <w:r>
        <w:t xml:space="preserve"> patch reparation is available. Buccal fentanyl is not currently available for outpatient non-cancer pain based on PBS restrictions.</w:t>
      </w:r>
      <w:r>
        <w:rPr>
          <w:rFonts w:asciiTheme="minorHAnsi" w:eastAsiaTheme="minorHAnsi" w:hAnsiTheme="minorHAnsi" w:cstheme="minorBidi"/>
          <w:szCs w:val="24"/>
        </w:rPr>
        <w:t xml:space="preserve"> Fentanyl</w:t>
      </w:r>
      <w:r w:rsidR="00747626">
        <w:rPr>
          <w:rFonts w:asciiTheme="minorHAnsi" w:eastAsiaTheme="minorHAnsi" w:hAnsiTheme="minorHAnsi" w:cstheme="minorBidi"/>
          <w:b/>
          <w:szCs w:val="24"/>
        </w:rPr>
        <w:t xml:space="preserve"> </w:t>
      </w:r>
      <w:r w:rsidR="00747626">
        <w:t xml:space="preserve">is metabolized in the liver primarily to </w:t>
      </w:r>
      <w:proofErr w:type="spellStart"/>
      <w:r w:rsidR="00747626">
        <w:t>norfentanyl</w:t>
      </w:r>
      <w:proofErr w:type="spellEnd"/>
      <w:r w:rsidR="00747626">
        <w:t xml:space="preserve"> (99%), with smaller amounts of </w:t>
      </w:r>
      <w:proofErr w:type="spellStart"/>
      <w:r w:rsidR="00747626">
        <w:t>despropionylfentanyl</w:t>
      </w:r>
      <w:proofErr w:type="spellEnd"/>
      <w:r w:rsidR="00747626">
        <w:t xml:space="preserve"> and </w:t>
      </w:r>
      <w:proofErr w:type="spellStart"/>
      <w:r w:rsidR="00747626">
        <w:t>hydroxyfentanyl</w:t>
      </w:r>
      <w:proofErr w:type="spellEnd"/>
      <w:r w:rsidR="00747626">
        <w:t xml:space="preserve">, </w:t>
      </w:r>
      <w:proofErr w:type="gramStart"/>
      <w:r w:rsidR="00747626">
        <w:t>and also</w:t>
      </w:r>
      <w:proofErr w:type="gramEnd"/>
      <w:r w:rsidR="00747626">
        <w:t xml:space="preserve"> some duodenal metabolism to </w:t>
      </w:r>
      <w:proofErr w:type="spellStart"/>
      <w:r w:rsidR="00747626">
        <w:t>norfentanyl</w:t>
      </w:r>
      <w:proofErr w:type="spellEnd"/>
      <w:r w:rsidR="00747626">
        <w:t xml:space="preserve">. </w:t>
      </w:r>
    </w:p>
    <w:p w14:paraId="16E4F120" w14:textId="77777777" w:rsidR="00621C39" w:rsidRPr="00621C39" w:rsidRDefault="00621C39" w:rsidP="00621C39">
      <w:pPr>
        <w:pStyle w:val="ListBullet"/>
        <w:tabs>
          <w:tab w:val="num" w:pos="360"/>
        </w:tabs>
        <w:ind w:left="360"/>
        <w:rPr>
          <w:rFonts w:eastAsiaTheme="minorHAnsi"/>
        </w:rPr>
      </w:pPr>
      <w:r>
        <w:t xml:space="preserve">Adverse effects: </w:t>
      </w:r>
      <w:r w:rsidR="004E5528">
        <w:rPr>
          <w:rFonts w:eastAsiaTheme="minorHAnsi"/>
        </w:rPr>
        <w:t>P</w:t>
      </w:r>
      <w:r w:rsidR="00747626">
        <w:rPr>
          <w:rFonts w:eastAsiaTheme="minorHAnsi"/>
        </w:rPr>
        <w:t xml:space="preserve">atches have impaired absorption in </w:t>
      </w:r>
      <w:bookmarkStart w:id="29" w:name="_Hlk14707188"/>
      <w:r w:rsidR="00747626">
        <w:rPr>
          <w:rFonts w:eastAsiaTheme="minorHAnsi"/>
        </w:rPr>
        <w:t>cachectic</w:t>
      </w:r>
      <w:bookmarkEnd w:id="29"/>
      <w:r w:rsidR="00747626">
        <w:rPr>
          <w:rFonts w:eastAsiaTheme="minorHAnsi"/>
        </w:rPr>
        <w:t xml:space="preserve"> patients, perspiring patients or patients with low </w:t>
      </w:r>
      <w:r>
        <w:rPr>
          <w:rFonts w:eastAsiaTheme="minorHAnsi"/>
        </w:rPr>
        <w:t xml:space="preserve">serum </w:t>
      </w:r>
      <w:r w:rsidR="00747626">
        <w:rPr>
          <w:rFonts w:eastAsiaTheme="minorHAnsi"/>
        </w:rPr>
        <w:t xml:space="preserve">albumin. Heat increases absorption from patch. </w:t>
      </w:r>
      <w:r w:rsidR="00EB7791">
        <w:rPr>
          <w:rFonts w:eastAsiaTheme="minorHAnsi"/>
        </w:rPr>
        <w:t>Believed</w:t>
      </w:r>
      <w:r w:rsidR="00747626">
        <w:rPr>
          <w:rFonts w:eastAsiaTheme="minorHAnsi"/>
        </w:rPr>
        <w:t xml:space="preserve"> to induce less constipation than other opioids. </w:t>
      </w:r>
      <w:r>
        <w:t xml:space="preserve">As with other opioid agents, respiratory depression, drowsiness and GI side effects including nausea/vomiting and </w:t>
      </w:r>
      <w:r>
        <w:lastRenderedPageBreak/>
        <w:t xml:space="preserve">constipation are possible. Attention to dental care is necessary in </w:t>
      </w:r>
      <w:proofErr w:type="spellStart"/>
      <w:r>
        <w:t>longterm</w:t>
      </w:r>
      <w:proofErr w:type="spellEnd"/>
      <w:r>
        <w:t xml:space="preserve"> use due to elevated risk of dental caries.</w:t>
      </w:r>
    </w:p>
    <w:p w14:paraId="59182C32" w14:textId="68031CCF" w:rsidR="00747626" w:rsidRDefault="00747626" w:rsidP="00747626">
      <w:pPr>
        <w:pStyle w:val="ListBullet"/>
        <w:tabs>
          <w:tab w:val="num" w:pos="360"/>
        </w:tabs>
        <w:ind w:left="360"/>
        <w:rPr>
          <w:rFonts w:eastAsiaTheme="minorHAnsi"/>
        </w:rPr>
      </w:pPr>
      <w:r>
        <w:rPr>
          <w:rFonts w:eastAsiaTheme="minorHAnsi"/>
        </w:rPr>
        <w:t>Fentanyl can be continued at usual doses</w:t>
      </w:r>
      <w:r w:rsidR="00621C39">
        <w:rPr>
          <w:rFonts w:eastAsiaTheme="minorHAnsi"/>
        </w:rPr>
        <w:t xml:space="preserve"> and do not require adjustment for</w:t>
      </w:r>
      <w:r>
        <w:rPr>
          <w:rFonts w:eastAsiaTheme="minorHAnsi"/>
        </w:rPr>
        <w:t xml:space="preserve"> haemodialysis regime.</w:t>
      </w:r>
      <w:r w:rsidR="00621C39">
        <w:rPr>
          <w:rFonts w:eastAsiaTheme="minorHAnsi"/>
        </w:rPr>
        <w:t xml:space="preserve"> </w:t>
      </w:r>
    </w:p>
    <w:p w14:paraId="0F644FF6" w14:textId="77777777" w:rsidR="00747626" w:rsidRDefault="00747626" w:rsidP="00747626">
      <w:pPr>
        <w:pStyle w:val="ListBullet"/>
        <w:tabs>
          <w:tab w:val="num" w:pos="360"/>
        </w:tabs>
        <w:ind w:left="360"/>
        <w:rPr>
          <w:rFonts w:eastAsiaTheme="minorHAnsi"/>
        </w:rPr>
      </w:pPr>
      <w:r>
        <w:rPr>
          <w:rFonts w:eastAsiaTheme="minorHAnsi"/>
        </w:rPr>
        <w:t xml:space="preserve">Dose: </w:t>
      </w:r>
    </w:p>
    <w:p w14:paraId="2663FD4A" w14:textId="77777777" w:rsidR="00621C39" w:rsidRDefault="00747626" w:rsidP="00747626">
      <w:pPr>
        <w:pStyle w:val="ListBullet"/>
        <w:numPr>
          <w:ilvl w:val="0"/>
          <w:numId w:val="0"/>
        </w:numPr>
        <w:tabs>
          <w:tab w:val="left" w:pos="720"/>
        </w:tabs>
        <w:ind w:left="360"/>
      </w:pPr>
      <w:r>
        <w:rPr>
          <w:rFonts w:eastAsiaTheme="minorHAnsi"/>
        </w:rPr>
        <w:t xml:space="preserve">Starting doses in opioid naïve patients should be 25-50mcg subcutaneously, </w:t>
      </w:r>
      <w:r w:rsidR="00814C70">
        <w:rPr>
          <w:rFonts w:eastAsiaTheme="minorHAnsi"/>
        </w:rPr>
        <w:t xml:space="preserve">every </w:t>
      </w:r>
      <w:r>
        <w:rPr>
          <w:rFonts w:eastAsiaTheme="minorHAnsi"/>
        </w:rPr>
        <w:t>1</w:t>
      </w:r>
      <w:r w:rsidR="00814C70">
        <w:rPr>
          <w:rFonts w:eastAsiaTheme="minorHAnsi"/>
        </w:rPr>
        <w:t xml:space="preserve"> </w:t>
      </w:r>
      <w:r>
        <w:rPr>
          <w:rFonts w:eastAsiaTheme="minorHAnsi"/>
        </w:rPr>
        <w:t>h</w:t>
      </w:r>
      <w:r w:rsidR="00814C70">
        <w:rPr>
          <w:rFonts w:eastAsiaTheme="minorHAnsi"/>
        </w:rPr>
        <w:t>our</w:t>
      </w:r>
      <w:r>
        <w:rPr>
          <w:rFonts w:eastAsiaTheme="minorHAnsi"/>
        </w:rPr>
        <w:t xml:space="preserve"> and monitor for efficacy and toxicity.</w:t>
      </w:r>
      <w:r w:rsidR="00621C39" w:rsidRPr="00621C39">
        <w:t xml:space="preserve"> </w:t>
      </w:r>
    </w:p>
    <w:p w14:paraId="165C4306" w14:textId="52D09153" w:rsidR="00747626" w:rsidRDefault="00621C39" w:rsidP="00747626">
      <w:pPr>
        <w:pStyle w:val="ListBullet"/>
        <w:numPr>
          <w:ilvl w:val="0"/>
          <w:numId w:val="0"/>
        </w:numPr>
        <w:tabs>
          <w:tab w:val="left" w:pos="720"/>
        </w:tabs>
        <w:ind w:left="360"/>
        <w:rPr>
          <w:rFonts w:eastAsiaTheme="minorHAnsi"/>
        </w:rPr>
      </w:pPr>
      <w:r>
        <w:t xml:space="preserve">Generally, </w:t>
      </w:r>
      <w:r>
        <w:rPr>
          <w:szCs w:val="24"/>
        </w:rPr>
        <w:t xml:space="preserve">Fentanyl patches take </w:t>
      </w:r>
      <w:r>
        <w:rPr>
          <w:rFonts w:asciiTheme="minorHAnsi" w:eastAsiaTheme="minorHAnsi" w:hAnsiTheme="minorHAnsi" w:cstheme="minorBidi"/>
          <w:szCs w:val="24"/>
        </w:rPr>
        <w:t>3-6 days to reach steady state with onset of effect 12-24 hours after application. In patients who find that the effect wears off before the end of the third day, the patch can be changed to every two days.</w:t>
      </w:r>
    </w:p>
    <w:p w14:paraId="6C83E890" w14:textId="77777777" w:rsidR="00747626" w:rsidRDefault="00747626" w:rsidP="00747626">
      <w:pPr>
        <w:pStyle w:val="ListBullet"/>
        <w:numPr>
          <w:ilvl w:val="0"/>
          <w:numId w:val="0"/>
        </w:numPr>
        <w:tabs>
          <w:tab w:val="left" w:pos="720"/>
        </w:tabs>
        <w:ind w:left="360"/>
        <w:rPr>
          <w:rFonts w:eastAsiaTheme="minorHAnsi"/>
        </w:rPr>
      </w:pPr>
      <w:r>
        <w:rPr>
          <w:rFonts w:eastAsiaTheme="minorHAnsi"/>
        </w:rPr>
        <w:t>Not dialysed: dose timing regardless of dialysis schedule</w:t>
      </w:r>
    </w:p>
    <w:p w14:paraId="1B7DBCAC" w14:textId="77777777" w:rsidR="00747626" w:rsidRDefault="00747626" w:rsidP="00747626">
      <w:pPr>
        <w:rPr>
          <w:rFonts w:asciiTheme="minorHAnsi" w:eastAsiaTheme="minorHAnsi" w:hAnsiTheme="minorHAnsi" w:cstheme="minorBidi"/>
          <w:sz w:val="22"/>
          <w:szCs w:val="22"/>
        </w:rPr>
      </w:pPr>
    </w:p>
    <w:p w14:paraId="41BBDCBD" w14:textId="77777777" w:rsidR="00747626" w:rsidRPr="00814C70" w:rsidRDefault="00747626" w:rsidP="00747626">
      <w:pPr>
        <w:rPr>
          <w:rFonts w:asciiTheme="minorHAnsi" w:eastAsiaTheme="minorHAnsi" w:hAnsiTheme="minorHAnsi" w:cstheme="minorBidi"/>
          <w:szCs w:val="24"/>
          <w:u w:val="single"/>
        </w:rPr>
      </w:pPr>
      <w:r w:rsidRPr="00814C70">
        <w:rPr>
          <w:rFonts w:asciiTheme="minorHAnsi" w:eastAsiaTheme="minorHAnsi" w:hAnsiTheme="minorHAnsi" w:cstheme="minorBidi"/>
          <w:szCs w:val="24"/>
          <w:u w:val="single"/>
        </w:rPr>
        <w:t xml:space="preserve">Methadone </w:t>
      </w:r>
    </w:p>
    <w:p w14:paraId="6DE1870B" w14:textId="00DB73BD" w:rsidR="00747626" w:rsidRPr="00621C39" w:rsidRDefault="00621C39" w:rsidP="00D254EA">
      <w:pPr>
        <w:pStyle w:val="ListBullet"/>
        <w:tabs>
          <w:tab w:val="num" w:pos="360"/>
        </w:tabs>
        <w:ind w:left="360"/>
        <w:rPr>
          <w:rFonts w:eastAsiaTheme="minorHAnsi"/>
        </w:rPr>
      </w:pPr>
      <w:r w:rsidRPr="00621C39">
        <w:rPr>
          <w:rFonts w:eastAsiaTheme="minorHAnsi"/>
        </w:rPr>
        <w:t xml:space="preserve">Use/Action: appropriate choice of analgesia in persistent pain in CKD and has a particular role in interrupting a cycle of increasing tolerance, toxicity and pain. </w:t>
      </w:r>
      <w:r w:rsidRPr="00621C39">
        <w:rPr>
          <w:rFonts w:eastAsiaTheme="minorHAnsi" w:cs="Arial"/>
        </w:rPr>
        <w:t xml:space="preserve">The time to reach steady-state concentrations following a change in dosage may be up to 12 days. Dose conversion ratios from other opioids are not static but are a function of previous opioid exposure. The potency and half-life vary unpredictably between patients. </w:t>
      </w:r>
      <w:r w:rsidRPr="00621C39">
        <w:rPr>
          <w:rFonts w:eastAsiaTheme="minorHAnsi"/>
        </w:rPr>
        <w:t>Methadone is a</w:t>
      </w:r>
      <w:r w:rsidR="00747626" w:rsidRPr="00621C39">
        <w:rPr>
          <w:rFonts w:eastAsiaTheme="minorHAnsi"/>
        </w:rPr>
        <w:t xml:space="preserve"> rapidly absorbed opioid and is an agonist at mu and delta opioid receptors. It may also act as an antagonist at N-methyl-D-aspartate (NMDA) receptors and blocks the re-uptake of serotonin and noradrenaline, all of which are important in the physiology of pain – this may give an advantage in neuropathic pain. Methadone and its metabolites do not accumulate in kidney </w:t>
      </w:r>
      <w:r w:rsidRPr="00621C39">
        <w:rPr>
          <w:rFonts w:eastAsiaTheme="minorHAnsi"/>
        </w:rPr>
        <w:t>disease,</w:t>
      </w:r>
      <w:r w:rsidR="00747626" w:rsidRPr="00621C39">
        <w:rPr>
          <w:rFonts w:eastAsiaTheme="minorHAnsi"/>
        </w:rPr>
        <w:t xml:space="preserve"> and it is not removed by dialysis, thus no dose adjustment is required in </w:t>
      </w:r>
      <w:r w:rsidRPr="00621C39">
        <w:rPr>
          <w:rFonts w:eastAsiaTheme="minorHAnsi"/>
        </w:rPr>
        <w:t>outpatient</w:t>
      </w:r>
      <w:r w:rsidR="00747626" w:rsidRPr="00621C39">
        <w:rPr>
          <w:rFonts w:eastAsiaTheme="minorHAnsi"/>
        </w:rPr>
        <w:t xml:space="preserve"> population. Dose reduction is necessary in liver failure.</w:t>
      </w:r>
      <w:r w:rsidRPr="00621C39">
        <w:rPr>
          <w:rFonts w:eastAsiaTheme="minorHAnsi"/>
        </w:rPr>
        <w:t xml:space="preserve"> Methadone is </w:t>
      </w:r>
      <w:r>
        <w:rPr>
          <w:rFonts w:eastAsiaTheme="minorHAnsi"/>
        </w:rPr>
        <w:t>m</w:t>
      </w:r>
      <w:r w:rsidR="00747626" w:rsidRPr="00621C39">
        <w:rPr>
          <w:rFonts w:eastAsiaTheme="minorHAnsi"/>
        </w:rPr>
        <w:t>etabolised by CYP2D6, 3A4, 1A2 – hence beware of drug-drug interactions. Methadone is associated with prolonged QTc, as shown on an ECG, at doses &gt;100mg per day. Because it can prolong the QTc interval, electrolyte abnormalities such as hypo/hyperkalaemia or hypo/</w:t>
      </w:r>
      <w:proofErr w:type="spellStart"/>
      <w:r w:rsidR="00747626" w:rsidRPr="00621C39">
        <w:rPr>
          <w:rFonts w:eastAsiaTheme="minorHAnsi"/>
        </w:rPr>
        <w:t>hypermagnesaemia</w:t>
      </w:r>
      <w:proofErr w:type="spellEnd"/>
      <w:r w:rsidR="00747626" w:rsidRPr="00621C39">
        <w:rPr>
          <w:rFonts w:eastAsiaTheme="minorHAnsi"/>
        </w:rPr>
        <w:t xml:space="preserve"> that are frequently present in kidney disease may exacerbate its arrhythmic potential. </w:t>
      </w:r>
      <w:r w:rsidR="00747626">
        <w:t xml:space="preserve">It should only be prescribed with experienced specialist supervision. </w:t>
      </w:r>
      <w:r w:rsidR="00747626" w:rsidRPr="00621C39">
        <w:rPr>
          <w:rFonts w:eastAsiaTheme="minorHAnsi"/>
        </w:rPr>
        <w:t xml:space="preserve">If stable phase, consider rotating methadone to other opioid, but in complex pain </w:t>
      </w:r>
      <w:r>
        <w:rPr>
          <w:rFonts w:eastAsiaTheme="minorHAnsi"/>
        </w:rPr>
        <w:t>opioid</w:t>
      </w:r>
      <w:r w:rsidR="00747626" w:rsidRPr="00621C39">
        <w:rPr>
          <w:rFonts w:eastAsiaTheme="minorHAnsi"/>
        </w:rPr>
        <w:t xml:space="preserve"> rotati</w:t>
      </w:r>
      <w:r>
        <w:rPr>
          <w:rFonts w:eastAsiaTheme="minorHAnsi"/>
        </w:rPr>
        <w:t>on</w:t>
      </w:r>
      <w:r w:rsidR="00747626" w:rsidRPr="00621C39">
        <w:rPr>
          <w:rFonts w:eastAsiaTheme="minorHAnsi"/>
        </w:rPr>
        <w:t xml:space="preserve"> can cause worsening pain and adverse effects/hyperalgesia.</w:t>
      </w:r>
    </w:p>
    <w:p w14:paraId="0006A6B6" w14:textId="52300575" w:rsidR="00747626" w:rsidRDefault="00747626" w:rsidP="00747626">
      <w:pPr>
        <w:pStyle w:val="ListBullet"/>
        <w:tabs>
          <w:tab w:val="num" w:pos="360"/>
        </w:tabs>
        <w:ind w:left="360"/>
        <w:rPr>
          <w:rFonts w:eastAsiaTheme="minorHAnsi"/>
        </w:rPr>
      </w:pPr>
      <w:r>
        <w:rPr>
          <w:rFonts w:eastAsiaTheme="minorHAnsi"/>
        </w:rPr>
        <w:t>Dose: seek specialist pain consultation</w:t>
      </w:r>
      <w:r w:rsidR="00EB7791">
        <w:rPr>
          <w:rFonts w:eastAsiaTheme="minorHAnsi"/>
        </w:rPr>
        <w:t>.</w:t>
      </w:r>
    </w:p>
    <w:p w14:paraId="1A365562" w14:textId="174E4D32" w:rsidR="00747626" w:rsidRDefault="00747626" w:rsidP="00747626">
      <w:pPr>
        <w:pStyle w:val="ListBullet"/>
        <w:numPr>
          <w:ilvl w:val="0"/>
          <w:numId w:val="0"/>
        </w:numPr>
        <w:tabs>
          <w:tab w:val="left" w:pos="720"/>
        </w:tabs>
        <w:ind w:left="360"/>
        <w:rPr>
          <w:rFonts w:eastAsiaTheme="minorHAnsi"/>
        </w:rPr>
      </w:pPr>
      <w:r>
        <w:rPr>
          <w:rFonts w:eastAsiaTheme="minorHAnsi"/>
        </w:rPr>
        <w:t>Not dialysed: dose timing regardless of dialysis schedule</w:t>
      </w:r>
      <w:r w:rsidR="00EB7791">
        <w:rPr>
          <w:rFonts w:eastAsiaTheme="minorHAnsi"/>
        </w:rPr>
        <w:t>.</w:t>
      </w:r>
    </w:p>
    <w:p w14:paraId="31764C19" w14:textId="4128CA52" w:rsidR="00814C70" w:rsidRDefault="00814C70">
      <w:pPr>
        <w:spacing w:after="200" w:line="276" w:lineRule="auto"/>
        <w:rPr>
          <w:rFonts w:cs="Arial"/>
          <w:b/>
          <w:szCs w:val="24"/>
        </w:rPr>
      </w:pPr>
      <w:r>
        <w:rPr>
          <w:rFonts w:cs="Arial"/>
          <w:b/>
          <w:szCs w:val="24"/>
        </w:rPr>
        <w:br w:type="page"/>
      </w:r>
    </w:p>
    <w:p w14:paraId="54E67D3C" w14:textId="77777777" w:rsidR="00747626" w:rsidRDefault="00747626" w:rsidP="00747626">
      <w:pPr>
        <w:rPr>
          <w:rFonts w:cs="Arial"/>
          <w:b/>
          <w:szCs w:val="24"/>
        </w:rPr>
      </w:pPr>
    </w:p>
    <w:tbl>
      <w:tblPr>
        <w:tblStyle w:val="TableGridLight"/>
        <w:tblW w:w="977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1489"/>
        <w:gridCol w:w="911"/>
        <w:gridCol w:w="1231"/>
        <w:gridCol w:w="1617"/>
        <w:gridCol w:w="1218"/>
        <w:gridCol w:w="1608"/>
      </w:tblGrid>
      <w:tr w:rsidR="00747626" w14:paraId="49CB0C70" w14:textId="77777777" w:rsidTr="00747626">
        <w:trPr>
          <w:tblHeader/>
        </w:trPr>
        <w:tc>
          <w:tcPr>
            <w:tcW w:w="1702" w:type="dxa"/>
            <w:tcBorders>
              <w:top w:val="single" w:sz="4" w:space="0" w:color="auto"/>
              <w:left w:val="single" w:sz="4" w:space="0" w:color="auto"/>
              <w:bottom w:val="single" w:sz="4" w:space="0" w:color="auto"/>
              <w:right w:val="single" w:sz="4" w:space="0" w:color="auto"/>
            </w:tcBorders>
            <w:hideMark/>
          </w:tcPr>
          <w:p w14:paraId="225224C2" w14:textId="77777777" w:rsidR="00747626" w:rsidRDefault="00747626">
            <w:pPr>
              <w:rPr>
                <w:rFonts w:cs="Arial"/>
                <w:b/>
                <w:sz w:val="22"/>
                <w:szCs w:val="22"/>
              </w:rPr>
            </w:pPr>
            <w:r>
              <w:rPr>
                <w:rFonts w:cs="Arial"/>
                <w:b/>
                <w:sz w:val="22"/>
              </w:rPr>
              <w:t>Medication</w:t>
            </w:r>
          </w:p>
        </w:tc>
        <w:tc>
          <w:tcPr>
            <w:tcW w:w="1349" w:type="dxa"/>
            <w:tcBorders>
              <w:top w:val="single" w:sz="4" w:space="0" w:color="auto"/>
              <w:left w:val="single" w:sz="4" w:space="0" w:color="auto"/>
              <w:bottom w:val="single" w:sz="4" w:space="0" w:color="auto"/>
              <w:right w:val="single" w:sz="4" w:space="0" w:color="auto"/>
            </w:tcBorders>
            <w:hideMark/>
          </w:tcPr>
          <w:p w14:paraId="4458E74A" w14:textId="77777777" w:rsidR="00747626" w:rsidRDefault="00747626">
            <w:pPr>
              <w:rPr>
                <w:rFonts w:cs="Arial"/>
                <w:b/>
                <w:sz w:val="22"/>
              </w:rPr>
            </w:pPr>
            <w:r>
              <w:rPr>
                <w:rFonts w:cs="Arial"/>
                <w:b/>
                <w:sz w:val="22"/>
              </w:rPr>
              <w:t>% excreted in urine</w:t>
            </w:r>
          </w:p>
        </w:tc>
        <w:tc>
          <w:tcPr>
            <w:tcW w:w="932" w:type="dxa"/>
            <w:tcBorders>
              <w:top w:val="single" w:sz="4" w:space="0" w:color="auto"/>
              <w:left w:val="single" w:sz="4" w:space="0" w:color="auto"/>
              <w:bottom w:val="single" w:sz="4" w:space="0" w:color="auto"/>
              <w:right w:val="single" w:sz="4" w:space="0" w:color="auto"/>
            </w:tcBorders>
            <w:hideMark/>
          </w:tcPr>
          <w:p w14:paraId="21ADE04B" w14:textId="77777777" w:rsidR="00747626" w:rsidRDefault="00747626">
            <w:pPr>
              <w:rPr>
                <w:rFonts w:cs="Arial"/>
                <w:b/>
                <w:sz w:val="22"/>
              </w:rPr>
            </w:pPr>
            <w:r>
              <w:rPr>
                <w:rFonts w:cs="Arial"/>
                <w:b/>
                <w:sz w:val="22"/>
              </w:rPr>
              <w:t>T ½ normal (h)</w:t>
            </w:r>
          </w:p>
        </w:tc>
        <w:tc>
          <w:tcPr>
            <w:tcW w:w="1231" w:type="dxa"/>
            <w:tcBorders>
              <w:top w:val="single" w:sz="4" w:space="0" w:color="auto"/>
              <w:left w:val="single" w:sz="4" w:space="0" w:color="auto"/>
              <w:bottom w:val="single" w:sz="4" w:space="0" w:color="auto"/>
              <w:right w:val="single" w:sz="4" w:space="0" w:color="auto"/>
            </w:tcBorders>
            <w:hideMark/>
          </w:tcPr>
          <w:p w14:paraId="268271FE" w14:textId="77777777" w:rsidR="00747626" w:rsidRDefault="00747626">
            <w:pPr>
              <w:rPr>
                <w:rFonts w:cs="Arial"/>
                <w:b/>
                <w:sz w:val="22"/>
              </w:rPr>
            </w:pPr>
            <w:r>
              <w:rPr>
                <w:rFonts w:cs="Arial"/>
                <w:b/>
                <w:sz w:val="22"/>
              </w:rPr>
              <w:t>T ½ ESKD &amp; Dialysis</w:t>
            </w:r>
          </w:p>
        </w:tc>
        <w:tc>
          <w:tcPr>
            <w:tcW w:w="1661" w:type="dxa"/>
            <w:tcBorders>
              <w:top w:val="single" w:sz="4" w:space="0" w:color="auto"/>
              <w:left w:val="single" w:sz="4" w:space="0" w:color="auto"/>
              <w:bottom w:val="single" w:sz="4" w:space="0" w:color="auto"/>
              <w:right w:val="single" w:sz="4" w:space="0" w:color="auto"/>
            </w:tcBorders>
            <w:hideMark/>
          </w:tcPr>
          <w:p w14:paraId="755BE175" w14:textId="77777777" w:rsidR="00747626" w:rsidRDefault="00747626">
            <w:pPr>
              <w:rPr>
                <w:rFonts w:cs="Arial"/>
                <w:b/>
                <w:sz w:val="22"/>
              </w:rPr>
            </w:pPr>
            <w:r>
              <w:rPr>
                <w:rFonts w:cs="Arial"/>
                <w:b/>
                <w:sz w:val="22"/>
              </w:rPr>
              <w:t>Haemodialysis</w:t>
            </w:r>
          </w:p>
        </w:tc>
        <w:tc>
          <w:tcPr>
            <w:tcW w:w="1249" w:type="dxa"/>
            <w:tcBorders>
              <w:top w:val="single" w:sz="4" w:space="0" w:color="auto"/>
              <w:left w:val="single" w:sz="4" w:space="0" w:color="auto"/>
              <w:bottom w:val="single" w:sz="4" w:space="0" w:color="auto"/>
              <w:right w:val="single" w:sz="4" w:space="0" w:color="auto"/>
            </w:tcBorders>
            <w:hideMark/>
          </w:tcPr>
          <w:p w14:paraId="60E52A95" w14:textId="77777777" w:rsidR="00747626" w:rsidRDefault="00747626">
            <w:pPr>
              <w:rPr>
                <w:rFonts w:cs="Arial"/>
                <w:b/>
                <w:sz w:val="22"/>
              </w:rPr>
            </w:pPr>
            <w:r>
              <w:rPr>
                <w:rFonts w:cs="Arial"/>
                <w:b/>
                <w:sz w:val="22"/>
              </w:rPr>
              <w:t>Peritoneal Dialysis</w:t>
            </w:r>
          </w:p>
        </w:tc>
        <w:tc>
          <w:tcPr>
            <w:tcW w:w="1652" w:type="dxa"/>
            <w:tcBorders>
              <w:top w:val="single" w:sz="4" w:space="0" w:color="auto"/>
              <w:left w:val="single" w:sz="4" w:space="0" w:color="auto"/>
              <w:bottom w:val="single" w:sz="4" w:space="0" w:color="auto"/>
              <w:right w:val="single" w:sz="4" w:space="0" w:color="auto"/>
            </w:tcBorders>
            <w:hideMark/>
          </w:tcPr>
          <w:p w14:paraId="529F7151" w14:textId="77777777" w:rsidR="00747626" w:rsidRDefault="00747626">
            <w:pPr>
              <w:rPr>
                <w:rFonts w:cs="Arial"/>
                <w:b/>
                <w:sz w:val="22"/>
              </w:rPr>
            </w:pPr>
            <w:r>
              <w:rPr>
                <w:rFonts w:cs="Arial"/>
                <w:b/>
                <w:sz w:val="22"/>
              </w:rPr>
              <w:t>Comments</w:t>
            </w:r>
          </w:p>
        </w:tc>
      </w:tr>
      <w:tr w:rsidR="00747626" w14:paraId="378FA154"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92D050"/>
            <w:hideMark/>
          </w:tcPr>
          <w:p w14:paraId="0DA900A1" w14:textId="77777777" w:rsidR="00747626" w:rsidRDefault="00747626">
            <w:pPr>
              <w:rPr>
                <w:rFonts w:cs="Arial"/>
                <w:bCs/>
                <w:sz w:val="22"/>
              </w:rPr>
            </w:pPr>
            <w:r>
              <w:rPr>
                <w:rFonts w:cs="Arial"/>
                <w:bCs/>
                <w:sz w:val="22"/>
              </w:rPr>
              <w:t>Paracetamol</w:t>
            </w:r>
          </w:p>
        </w:tc>
        <w:tc>
          <w:tcPr>
            <w:tcW w:w="1349" w:type="dxa"/>
            <w:tcBorders>
              <w:top w:val="single" w:sz="4" w:space="0" w:color="auto"/>
              <w:left w:val="single" w:sz="4" w:space="0" w:color="auto"/>
              <w:bottom w:val="single" w:sz="4" w:space="0" w:color="auto"/>
              <w:right w:val="single" w:sz="4" w:space="0" w:color="auto"/>
            </w:tcBorders>
            <w:shd w:val="clear" w:color="auto" w:fill="92D050"/>
            <w:hideMark/>
          </w:tcPr>
          <w:p w14:paraId="2789CF18" w14:textId="77777777" w:rsidR="00747626" w:rsidRDefault="00747626">
            <w:pPr>
              <w:rPr>
                <w:rFonts w:cs="Arial"/>
                <w:bCs/>
                <w:sz w:val="22"/>
              </w:rPr>
            </w:pPr>
            <w:r>
              <w:rPr>
                <w:rFonts w:cs="Arial"/>
                <w:bCs/>
                <w:sz w:val="22"/>
              </w:rPr>
              <w:t>&lt;5</w:t>
            </w:r>
          </w:p>
        </w:tc>
        <w:tc>
          <w:tcPr>
            <w:tcW w:w="932" w:type="dxa"/>
            <w:tcBorders>
              <w:top w:val="single" w:sz="4" w:space="0" w:color="auto"/>
              <w:left w:val="single" w:sz="4" w:space="0" w:color="auto"/>
              <w:bottom w:val="single" w:sz="4" w:space="0" w:color="auto"/>
              <w:right w:val="single" w:sz="4" w:space="0" w:color="auto"/>
            </w:tcBorders>
            <w:shd w:val="clear" w:color="auto" w:fill="92D050"/>
            <w:hideMark/>
          </w:tcPr>
          <w:p w14:paraId="6CDAA4CE" w14:textId="77777777" w:rsidR="00747626" w:rsidRDefault="00747626">
            <w:pPr>
              <w:rPr>
                <w:rFonts w:cs="Arial"/>
                <w:bCs/>
                <w:sz w:val="22"/>
              </w:rPr>
            </w:pPr>
            <w:r>
              <w:rPr>
                <w:rFonts w:cs="Arial"/>
                <w:bCs/>
                <w:sz w:val="22"/>
              </w:rPr>
              <w:t>1-4</w:t>
            </w:r>
          </w:p>
        </w:tc>
        <w:tc>
          <w:tcPr>
            <w:tcW w:w="1231" w:type="dxa"/>
            <w:tcBorders>
              <w:top w:val="single" w:sz="4" w:space="0" w:color="auto"/>
              <w:left w:val="single" w:sz="4" w:space="0" w:color="auto"/>
              <w:bottom w:val="single" w:sz="4" w:space="0" w:color="auto"/>
              <w:right w:val="single" w:sz="4" w:space="0" w:color="auto"/>
            </w:tcBorders>
            <w:shd w:val="clear" w:color="auto" w:fill="92D050"/>
            <w:hideMark/>
          </w:tcPr>
          <w:p w14:paraId="1AF171EB" w14:textId="77777777" w:rsidR="00747626" w:rsidRDefault="00747626">
            <w:pPr>
              <w:rPr>
                <w:rFonts w:cs="Arial"/>
                <w:bCs/>
                <w:sz w:val="22"/>
              </w:rPr>
            </w:pPr>
            <w:r>
              <w:rPr>
                <w:rFonts w:cs="Arial"/>
                <w:bCs/>
                <w:sz w:val="22"/>
              </w:rPr>
              <w:t>Unchanged</w:t>
            </w:r>
          </w:p>
        </w:tc>
        <w:tc>
          <w:tcPr>
            <w:tcW w:w="1661" w:type="dxa"/>
            <w:tcBorders>
              <w:top w:val="single" w:sz="4" w:space="0" w:color="auto"/>
              <w:left w:val="single" w:sz="4" w:space="0" w:color="auto"/>
              <w:bottom w:val="single" w:sz="4" w:space="0" w:color="auto"/>
              <w:right w:val="single" w:sz="4" w:space="0" w:color="auto"/>
            </w:tcBorders>
            <w:shd w:val="clear" w:color="auto" w:fill="92D050"/>
            <w:hideMark/>
          </w:tcPr>
          <w:p w14:paraId="3BABFA3F" w14:textId="77777777" w:rsidR="00747626" w:rsidRDefault="00747626">
            <w:pPr>
              <w:rPr>
                <w:rFonts w:cs="Arial"/>
                <w:bCs/>
                <w:sz w:val="22"/>
              </w:rPr>
            </w:pPr>
            <w:r>
              <w:rPr>
                <w:rFonts w:cs="Arial"/>
                <w:bCs/>
                <w:sz w:val="22"/>
              </w:rPr>
              <w:t>dialysed</w:t>
            </w:r>
          </w:p>
        </w:tc>
        <w:tc>
          <w:tcPr>
            <w:tcW w:w="1249" w:type="dxa"/>
            <w:tcBorders>
              <w:top w:val="single" w:sz="4" w:space="0" w:color="auto"/>
              <w:left w:val="single" w:sz="4" w:space="0" w:color="auto"/>
              <w:bottom w:val="single" w:sz="4" w:space="0" w:color="auto"/>
              <w:right w:val="single" w:sz="4" w:space="0" w:color="auto"/>
            </w:tcBorders>
            <w:shd w:val="clear" w:color="auto" w:fill="92D050"/>
            <w:hideMark/>
          </w:tcPr>
          <w:p w14:paraId="4FAC0D5D" w14:textId="77777777" w:rsidR="00747626" w:rsidRDefault="00747626">
            <w:pPr>
              <w:rPr>
                <w:rFonts w:cs="Arial"/>
                <w:bCs/>
                <w:sz w:val="22"/>
              </w:rPr>
            </w:pPr>
            <w:r>
              <w:rPr>
                <w:rFonts w:cs="Arial"/>
                <w:bCs/>
                <w:sz w:val="22"/>
              </w:rPr>
              <w:t>Unknown behaviour</w:t>
            </w:r>
          </w:p>
        </w:tc>
        <w:tc>
          <w:tcPr>
            <w:tcW w:w="1652" w:type="dxa"/>
            <w:tcBorders>
              <w:top w:val="single" w:sz="4" w:space="0" w:color="auto"/>
              <w:left w:val="single" w:sz="4" w:space="0" w:color="auto"/>
              <w:bottom w:val="single" w:sz="4" w:space="0" w:color="auto"/>
              <w:right w:val="single" w:sz="4" w:space="0" w:color="auto"/>
            </w:tcBorders>
            <w:shd w:val="clear" w:color="auto" w:fill="92D050"/>
            <w:hideMark/>
          </w:tcPr>
          <w:p w14:paraId="168997C2" w14:textId="77777777" w:rsidR="00747626" w:rsidRDefault="00747626">
            <w:pPr>
              <w:rPr>
                <w:rFonts w:cs="Arial"/>
                <w:bCs/>
                <w:sz w:val="22"/>
              </w:rPr>
            </w:pPr>
            <w:r>
              <w:rPr>
                <w:rFonts w:cs="Arial"/>
                <w:bCs/>
                <w:sz w:val="22"/>
              </w:rPr>
              <w:t>Safe</w:t>
            </w:r>
          </w:p>
        </w:tc>
      </w:tr>
      <w:tr w:rsidR="00747626" w14:paraId="026D49E5"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92D050"/>
            <w:hideMark/>
          </w:tcPr>
          <w:p w14:paraId="1C2CE1AB" w14:textId="77777777" w:rsidR="00747626" w:rsidRDefault="00747626">
            <w:pPr>
              <w:rPr>
                <w:rFonts w:cs="Arial"/>
                <w:bCs/>
                <w:sz w:val="22"/>
              </w:rPr>
            </w:pPr>
            <w:r>
              <w:rPr>
                <w:rFonts w:cs="Arial"/>
                <w:bCs/>
                <w:sz w:val="22"/>
              </w:rPr>
              <w:t>Fentanyl</w:t>
            </w:r>
          </w:p>
        </w:tc>
        <w:tc>
          <w:tcPr>
            <w:tcW w:w="1349" w:type="dxa"/>
            <w:tcBorders>
              <w:top w:val="single" w:sz="4" w:space="0" w:color="auto"/>
              <w:left w:val="single" w:sz="4" w:space="0" w:color="auto"/>
              <w:bottom w:val="single" w:sz="4" w:space="0" w:color="auto"/>
              <w:right w:val="single" w:sz="4" w:space="0" w:color="auto"/>
            </w:tcBorders>
            <w:shd w:val="clear" w:color="auto" w:fill="92D050"/>
            <w:hideMark/>
          </w:tcPr>
          <w:p w14:paraId="00DA21E9" w14:textId="77777777" w:rsidR="00747626" w:rsidRDefault="00747626">
            <w:pPr>
              <w:rPr>
                <w:rFonts w:cs="Arial"/>
                <w:bCs/>
                <w:sz w:val="22"/>
              </w:rPr>
            </w:pPr>
            <w:r>
              <w:rPr>
                <w:rFonts w:cs="Arial"/>
                <w:bCs/>
                <w:sz w:val="22"/>
              </w:rPr>
              <w:t>&lt;7</w:t>
            </w:r>
          </w:p>
        </w:tc>
        <w:tc>
          <w:tcPr>
            <w:tcW w:w="932" w:type="dxa"/>
            <w:tcBorders>
              <w:top w:val="single" w:sz="4" w:space="0" w:color="auto"/>
              <w:left w:val="single" w:sz="4" w:space="0" w:color="auto"/>
              <w:bottom w:val="single" w:sz="4" w:space="0" w:color="auto"/>
              <w:right w:val="single" w:sz="4" w:space="0" w:color="auto"/>
            </w:tcBorders>
            <w:shd w:val="clear" w:color="auto" w:fill="92D050"/>
            <w:hideMark/>
          </w:tcPr>
          <w:p w14:paraId="4B539161" w14:textId="77777777" w:rsidR="00747626" w:rsidRDefault="00747626">
            <w:pPr>
              <w:rPr>
                <w:rFonts w:cs="Arial"/>
                <w:bCs/>
                <w:sz w:val="22"/>
              </w:rPr>
            </w:pPr>
            <w:r>
              <w:rPr>
                <w:rFonts w:cs="Arial"/>
                <w:bCs/>
                <w:sz w:val="22"/>
              </w:rPr>
              <w:t>2-7</w:t>
            </w:r>
          </w:p>
        </w:tc>
        <w:tc>
          <w:tcPr>
            <w:tcW w:w="1231" w:type="dxa"/>
            <w:tcBorders>
              <w:top w:val="single" w:sz="4" w:space="0" w:color="auto"/>
              <w:left w:val="single" w:sz="4" w:space="0" w:color="auto"/>
              <w:bottom w:val="single" w:sz="4" w:space="0" w:color="auto"/>
              <w:right w:val="single" w:sz="4" w:space="0" w:color="auto"/>
            </w:tcBorders>
            <w:shd w:val="clear" w:color="auto" w:fill="92D050"/>
            <w:hideMark/>
          </w:tcPr>
          <w:p w14:paraId="5FFD16BF" w14:textId="77777777" w:rsidR="00747626" w:rsidRDefault="00747626">
            <w:pPr>
              <w:rPr>
                <w:rFonts w:cs="Arial"/>
                <w:bCs/>
                <w:sz w:val="22"/>
              </w:rPr>
            </w:pPr>
            <w:r>
              <w:rPr>
                <w:rFonts w:cs="Arial"/>
                <w:bCs/>
                <w:sz w:val="22"/>
              </w:rPr>
              <w:t>Possibly increased</w:t>
            </w:r>
          </w:p>
        </w:tc>
        <w:tc>
          <w:tcPr>
            <w:tcW w:w="1661" w:type="dxa"/>
            <w:tcBorders>
              <w:top w:val="single" w:sz="4" w:space="0" w:color="auto"/>
              <w:left w:val="single" w:sz="4" w:space="0" w:color="auto"/>
              <w:bottom w:val="single" w:sz="4" w:space="0" w:color="auto"/>
              <w:right w:val="single" w:sz="4" w:space="0" w:color="auto"/>
            </w:tcBorders>
            <w:shd w:val="clear" w:color="auto" w:fill="92D050"/>
            <w:hideMark/>
          </w:tcPr>
          <w:p w14:paraId="0B5E80E5" w14:textId="77777777" w:rsidR="00747626" w:rsidRDefault="00747626">
            <w:pPr>
              <w:rPr>
                <w:rFonts w:cs="Arial"/>
                <w:bCs/>
                <w:sz w:val="22"/>
              </w:rPr>
            </w:pPr>
            <w:r>
              <w:rPr>
                <w:rFonts w:cs="Arial"/>
                <w:bCs/>
                <w:sz w:val="22"/>
              </w:rPr>
              <w:t>Not dialysed</w:t>
            </w:r>
          </w:p>
        </w:tc>
        <w:tc>
          <w:tcPr>
            <w:tcW w:w="1249" w:type="dxa"/>
            <w:tcBorders>
              <w:top w:val="single" w:sz="4" w:space="0" w:color="auto"/>
              <w:left w:val="single" w:sz="4" w:space="0" w:color="auto"/>
              <w:bottom w:val="single" w:sz="4" w:space="0" w:color="auto"/>
              <w:right w:val="single" w:sz="4" w:space="0" w:color="auto"/>
            </w:tcBorders>
            <w:shd w:val="clear" w:color="auto" w:fill="92D050"/>
            <w:hideMark/>
          </w:tcPr>
          <w:p w14:paraId="43838D0F" w14:textId="77777777" w:rsidR="00747626" w:rsidRDefault="00747626">
            <w:pPr>
              <w:rPr>
                <w:rFonts w:cs="Arial"/>
                <w:bCs/>
                <w:sz w:val="22"/>
              </w:rPr>
            </w:pPr>
            <w:r>
              <w:rPr>
                <w:rFonts w:cs="Arial"/>
                <w:bCs/>
                <w:sz w:val="22"/>
              </w:rPr>
              <w:t>Not dialysed</w:t>
            </w:r>
          </w:p>
        </w:tc>
        <w:tc>
          <w:tcPr>
            <w:tcW w:w="1652" w:type="dxa"/>
            <w:tcBorders>
              <w:top w:val="single" w:sz="4" w:space="0" w:color="auto"/>
              <w:left w:val="single" w:sz="4" w:space="0" w:color="auto"/>
              <w:bottom w:val="single" w:sz="4" w:space="0" w:color="auto"/>
              <w:right w:val="single" w:sz="4" w:space="0" w:color="auto"/>
            </w:tcBorders>
            <w:shd w:val="clear" w:color="auto" w:fill="92D050"/>
            <w:hideMark/>
          </w:tcPr>
          <w:p w14:paraId="28C7574F" w14:textId="77777777" w:rsidR="00747626" w:rsidRDefault="00747626">
            <w:pPr>
              <w:rPr>
                <w:rFonts w:cs="Arial"/>
                <w:bCs/>
                <w:sz w:val="22"/>
              </w:rPr>
            </w:pPr>
            <w:r>
              <w:rPr>
                <w:rFonts w:cs="Arial"/>
                <w:bCs/>
                <w:sz w:val="22"/>
              </w:rPr>
              <w:t>Inactive metabolites considered safe</w:t>
            </w:r>
          </w:p>
        </w:tc>
      </w:tr>
      <w:tr w:rsidR="00747626" w14:paraId="54A86130"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92D050"/>
            <w:hideMark/>
          </w:tcPr>
          <w:p w14:paraId="35B881A7" w14:textId="77777777" w:rsidR="00747626" w:rsidRDefault="00747626">
            <w:pPr>
              <w:rPr>
                <w:rFonts w:cs="Arial"/>
                <w:bCs/>
                <w:sz w:val="22"/>
              </w:rPr>
            </w:pPr>
            <w:r>
              <w:rPr>
                <w:rFonts w:cs="Arial"/>
                <w:bCs/>
                <w:sz w:val="22"/>
              </w:rPr>
              <w:t>Buprenorphine</w:t>
            </w:r>
          </w:p>
        </w:tc>
        <w:tc>
          <w:tcPr>
            <w:tcW w:w="1349" w:type="dxa"/>
            <w:tcBorders>
              <w:top w:val="single" w:sz="4" w:space="0" w:color="auto"/>
              <w:left w:val="single" w:sz="4" w:space="0" w:color="auto"/>
              <w:bottom w:val="single" w:sz="4" w:space="0" w:color="auto"/>
              <w:right w:val="single" w:sz="4" w:space="0" w:color="auto"/>
            </w:tcBorders>
            <w:shd w:val="clear" w:color="auto" w:fill="92D050"/>
            <w:hideMark/>
          </w:tcPr>
          <w:p w14:paraId="0252A4A3" w14:textId="77777777" w:rsidR="00747626" w:rsidRDefault="00747626">
            <w:pPr>
              <w:rPr>
                <w:rFonts w:cs="Arial"/>
                <w:bCs/>
                <w:sz w:val="22"/>
              </w:rPr>
            </w:pPr>
            <w:r>
              <w:rPr>
                <w:rFonts w:cs="Arial"/>
                <w:bCs/>
                <w:sz w:val="22"/>
              </w:rPr>
              <w:t>Minimal</w:t>
            </w:r>
          </w:p>
        </w:tc>
        <w:tc>
          <w:tcPr>
            <w:tcW w:w="932" w:type="dxa"/>
            <w:tcBorders>
              <w:top w:val="single" w:sz="4" w:space="0" w:color="auto"/>
              <w:left w:val="single" w:sz="4" w:space="0" w:color="auto"/>
              <w:bottom w:val="single" w:sz="4" w:space="0" w:color="auto"/>
              <w:right w:val="single" w:sz="4" w:space="0" w:color="auto"/>
            </w:tcBorders>
            <w:shd w:val="clear" w:color="auto" w:fill="92D050"/>
            <w:hideMark/>
          </w:tcPr>
          <w:p w14:paraId="3782B7D7" w14:textId="77777777" w:rsidR="00747626" w:rsidRDefault="00747626">
            <w:pPr>
              <w:rPr>
                <w:rFonts w:cs="Arial"/>
                <w:bCs/>
                <w:sz w:val="22"/>
              </w:rPr>
            </w:pPr>
            <w:r>
              <w:rPr>
                <w:rFonts w:cs="Arial"/>
                <w:bCs/>
                <w:sz w:val="22"/>
              </w:rPr>
              <w:t>30</w:t>
            </w:r>
          </w:p>
        </w:tc>
        <w:tc>
          <w:tcPr>
            <w:tcW w:w="1231" w:type="dxa"/>
            <w:tcBorders>
              <w:top w:val="single" w:sz="4" w:space="0" w:color="auto"/>
              <w:left w:val="single" w:sz="4" w:space="0" w:color="auto"/>
              <w:bottom w:val="single" w:sz="4" w:space="0" w:color="auto"/>
              <w:right w:val="single" w:sz="4" w:space="0" w:color="auto"/>
            </w:tcBorders>
            <w:shd w:val="clear" w:color="auto" w:fill="92D050"/>
            <w:hideMark/>
          </w:tcPr>
          <w:p w14:paraId="2CD3768B" w14:textId="77777777" w:rsidR="00747626" w:rsidRDefault="00747626">
            <w:pPr>
              <w:rPr>
                <w:rFonts w:cs="Arial"/>
                <w:bCs/>
                <w:sz w:val="22"/>
              </w:rPr>
            </w:pPr>
            <w:r>
              <w:rPr>
                <w:rFonts w:cs="Arial"/>
                <w:bCs/>
                <w:sz w:val="22"/>
              </w:rPr>
              <w:t>Unchanged</w:t>
            </w:r>
          </w:p>
        </w:tc>
        <w:tc>
          <w:tcPr>
            <w:tcW w:w="1661" w:type="dxa"/>
            <w:tcBorders>
              <w:top w:val="single" w:sz="4" w:space="0" w:color="auto"/>
              <w:left w:val="single" w:sz="4" w:space="0" w:color="auto"/>
              <w:bottom w:val="single" w:sz="4" w:space="0" w:color="auto"/>
              <w:right w:val="single" w:sz="4" w:space="0" w:color="auto"/>
            </w:tcBorders>
            <w:shd w:val="clear" w:color="auto" w:fill="92D050"/>
            <w:hideMark/>
          </w:tcPr>
          <w:p w14:paraId="47778F42" w14:textId="77777777" w:rsidR="00747626" w:rsidRDefault="00747626">
            <w:pPr>
              <w:rPr>
                <w:rFonts w:cs="Arial"/>
                <w:bCs/>
                <w:sz w:val="22"/>
              </w:rPr>
            </w:pPr>
            <w:r>
              <w:rPr>
                <w:rFonts w:cs="Arial"/>
                <w:bCs/>
                <w:sz w:val="22"/>
              </w:rPr>
              <w:t>Not dialysed</w:t>
            </w:r>
          </w:p>
        </w:tc>
        <w:tc>
          <w:tcPr>
            <w:tcW w:w="1249" w:type="dxa"/>
            <w:tcBorders>
              <w:top w:val="single" w:sz="4" w:space="0" w:color="auto"/>
              <w:left w:val="single" w:sz="4" w:space="0" w:color="auto"/>
              <w:bottom w:val="single" w:sz="4" w:space="0" w:color="auto"/>
              <w:right w:val="single" w:sz="4" w:space="0" w:color="auto"/>
            </w:tcBorders>
            <w:shd w:val="clear" w:color="auto" w:fill="92D050"/>
            <w:hideMark/>
          </w:tcPr>
          <w:p w14:paraId="50BFABDF" w14:textId="77777777" w:rsidR="00747626" w:rsidRDefault="00747626">
            <w:pPr>
              <w:rPr>
                <w:rFonts w:cs="Arial"/>
                <w:bCs/>
                <w:sz w:val="22"/>
              </w:rPr>
            </w:pPr>
            <w:r>
              <w:rPr>
                <w:rFonts w:cs="Arial"/>
                <w:bCs/>
                <w:sz w:val="22"/>
              </w:rPr>
              <w:t>Not dialysed</w:t>
            </w:r>
          </w:p>
        </w:tc>
        <w:tc>
          <w:tcPr>
            <w:tcW w:w="1652" w:type="dxa"/>
            <w:tcBorders>
              <w:top w:val="single" w:sz="4" w:space="0" w:color="auto"/>
              <w:left w:val="single" w:sz="4" w:space="0" w:color="auto"/>
              <w:bottom w:val="single" w:sz="4" w:space="0" w:color="auto"/>
              <w:right w:val="single" w:sz="4" w:space="0" w:color="auto"/>
            </w:tcBorders>
            <w:shd w:val="clear" w:color="auto" w:fill="92D050"/>
            <w:hideMark/>
          </w:tcPr>
          <w:p w14:paraId="64315C22" w14:textId="77777777" w:rsidR="00747626" w:rsidRDefault="00747626">
            <w:pPr>
              <w:rPr>
                <w:rFonts w:cs="Arial"/>
                <w:bCs/>
                <w:sz w:val="22"/>
              </w:rPr>
            </w:pPr>
            <w:r>
              <w:rPr>
                <w:rFonts w:cs="Arial"/>
                <w:bCs/>
                <w:sz w:val="22"/>
              </w:rPr>
              <w:t>Considered safe</w:t>
            </w:r>
          </w:p>
        </w:tc>
      </w:tr>
      <w:tr w:rsidR="00747626" w14:paraId="2986FB66"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92D050"/>
            <w:hideMark/>
          </w:tcPr>
          <w:p w14:paraId="5AA54A4C" w14:textId="77777777" w:rsidR="00747626" w:rsidRDefault="00747626">
            <w:pPr>
              <w:rPr>
                <w:rFonts w:cs="Arial"/>
                <w:bCs/>
                <w:sz w:val="22"/>
              </w:rPr>
            </w:pPr>
            <w:r>
              <w:rPr>
                <w:rFonts w:cs="Arial"/>
                <w:bCs/>
                <w:sz w:val="22"/>
              </w:rPr>
              <w:t>Methadone</w:t>
            </w:r>
          </w:p>
        </w:tc>
        <w:tc>
          <w:tcPr>
            <w:tcW w:w="1349" w:type="dxa"/>
            <w:tcBorders>
              <w:top w:val="single" w:sz="4" w:space="0" w:color="auto"/>
              <w:left w:val="single" w:sz="4" w:space="0" w:color="auto"/>
              <w:bottom w:val="single" w:sz="4" w:space="0" w:color="auto"/>
              <w:right w:val="single" w:sz="4" w:space="0" w:color="auto"/>
            </w:tcBorders>
            <w:shd w:val="clear" w:color="auto" w:fill="92D050"/>
            <w:hideMark/>
          </w:tcPr>
          <w:p w14:paraId="122039FA" w14:textId="77777777" w:rsidR="00747626" w:rsidRDefault="00747626">
            <w:pPr>
              <w:rPr>
                <w:rFonts w:cs="Arial"/>
                <w:bCs/>
                <w:sz w:val="22"/>
              </w:rPr>
            </w:pPr>
            <w:r>
              <w:rPr>
                <w:rFonts w:cs="Arial"/>
                <w:bCs/>
                <w:sz w:val="22"/>
              </w:rPr>
              <w:t>15-60</w:t>
            </w:r>
          </w:p>
        </w:tc>
        <w:tc>
          <w:tcPr>
            <w:tcW w:w="932" w:type="dxa"/>
            <w:tcBorders>
              <w:top w:val="single" w:sz="4" w:space="0" w:color="auto"/>
              <w:left w:val="single" w:sz="4" w:space="0" w:color="auto"/>
              <w:bottom w:val="single" w:sz="4" w:space="0" w:color="auto"/>
              <w:right w:val="single" w:sz="4" w:space="0" w:color="auto"/>
            </w:tcBorders>
            <w:shd w:val="clear" w:color="auto" w:fill="92D050"/>
            <w:hideMark/>
          </w:tcPr>
          <w:p w14:paraId="795CE2AA" w14:textId="77777777" w:rsidR="00747626" w:rsidRDefault="00747626">
            <w:pPr>
              <w:rPr>
                <w:rFonts w:cs="Arial"/>
                <w:bCs/>
                <w:sz w:val="22"/>
              </w:rPr>
            </w:pPr>
            <w:r>
              <w:rPr>
                <w:rFonts w:cs="Arial"/>
                <w:bCs/>
                <w:sz w:val="22"/>
              </w:rPr>
              <w:t>13-47</w:t>
            </w:r>
          </w:p>
        </w:tc>
        <w:tc>
          <w:tcPr>
            <w:tcW w:w="1231" w:type="dxa"/>
            <w:tcBorders>
              <w:top w:val="single" w:sz="4" w:space="0" w:color="auto"/>
              <w:left w:val="single" w:sz="4" w:space="0" w:color="auto"/>
              <w:bottom w:val="single" w:sz="4" w:space="0" w:color="auto"/>
              <w:right w:val="single" w:sz="4" w:space="0" w:color="auto"/>
            </w:tcBorders>
            <w:shd w:val="clear" w:color="auto" w:fill="92D050"/>
            <w:hideMark/>
          </w:tcPr>
          <w:p w14:paraId="7B709275" w14:textId="77777777" w:rsidR="00747626" w:rsidRDefault="00747626">
            <w:pPr>
              <w:rPr>
                <w:rFonts w:cs="Arial"/>
                <w:bCs/>
                <w:sz w:val="22"/>
              </w:rPr>
            </w:pPr>
            <w:r>
              <w:rPr>
                <w:rFonts w:cs="Arial"/>
                <w:bCs/>
                <w:sz w:val="22"/>
              </w:rPr>
              <w:t>Unknown</w:t>
            </w:r>
          </w:p>
        </w:tc>
        <w:tc>
          <w:tcPr>
            <w:tcW w:w="1661" w:type="dxa"/>
            <w:tcBorders>
              <w:top w:val="single" w:sz="4" w:space="0" w:color="auto"/>
              <w:left w:val="single" w:sz="4" w:space="0" w:color="auto"/>
              <w:bottom w:val="single" w:sz="4" w:space="0" w:color="auto"/>
              <w:right w:val="single" w:sz="4" w:space="0" w:color="auto"/>
            </w:tcBorders>
            <w:shd w:val="clear" w:color="auto" w:fill="92D050"/>
            <w:hideMark/>
          </w:tcPr>
          <w:p w14:paraId="28AF98B4" w14:textId="77777777" w:rsidR="00747626" w:rsidRDefault="00747626">
            <w:pPr>
              <w:rPr>
                <w:rFonts w:cs="Arial"/>
                <w:bCs/>
                <w:sz w:val="22"/>
              </w:rPr>
            </w:pPr>
            <w:r>
              <w:rPr>
                <w:rFonts w:cs="Arial"/>
                <w:bCs/>
                <w:sz w:val="22"/>
              </w:rPr>
              <w:t>Not dialysed</w:t>
            </w:r>
          </w:p>
        </w:tc>
        <w:tc>
          <w:tcPr>
            <w:tcW w:w="1249" w:type="dxa"/>
            <w:tcBorders>
              <w:top w:val="single" w:sz="4" w:space="0" w:color="auto"/>
              <w:left w:val="single" w:sz="4" w:space="0" w:color="auto"/>
              <w:bottom w:val="single" w:sz="4" w:space="0" w:color="auto"/>
              <w:right w:val="single" w:sz="4" w:space="0" w:color="auto"/>
            </w:tcBorders>
            <w:shd w:val="clear" w:color="auto" w:fill="92D050"/>
            <w:hideMark/>
          </w:tcPr>
          <w:p w14:paraId="7381F127" w14:textId="77777777" w:rsidR="00747626" w:rsidRDefault="00747626">
            <w:pPr>
              <w:rPr>
                <w:rFonts w:cs="Arial"/>
                <w:bCs/>
                <w:sz w:val="22"/>
              </w:rPr>
            </w:pPr>
            <w:r>
              <w:rPr>
                <w:rFonts w:cs="Arial"/>
                <w:bCs/>
                <w:sz w:val="22"/>
              </w:rPr>
              <w:t>Not dialysed</w:t>
            </w:r>
          </w:p>
        </w:tc>
        <w:tc>
          <w:tcPr>
            <w:tcW w:w="1652" w:type="dxa"/>
            <w:tcBorders>
              <w:top w:val="single" w:sz="4" w:space="0" w:color="auto"/>
              <w:left w:val="single" w:sz="4" w:space="0" w:color="auto"/>
              <w:bottom w:val="single" w:sz="4" w:space="0" w:color="auto"/>
              <w:right w:val="single" w:sz="4" w:space="0" w:color="auto"/>
            </w:tcBorders>
            <w:shd w:val="clear" w:color="auto" w:fill="92D050"/>
            <w:hideMark/>
          </w:tcPr>
          <w:p w14:paraId="5B0D551C" w14:textId="77777777" w:rsidR="00747626" w:rsidRDefault="00747626">
            <w:pPr>
              <w:rPr>
                <w:rFonts w:cs="Arial"/>
                <w:bCs/>
                <w:sz w:val="22"/>
              </w:rPr>
            </w:pPr>
            <w:r>
              <w:rPr>
                <w:rFonts w:cs="Arial"/>
                <w:bCs/>
                <w:sz w:val="22"/>
              </w:rPr>
              <w:t>Considered safe</w:t>
            </w:r>
          </w:p>
        </w:tc>
      </w:tr>
      <w:tr w:rsidR="00747626" w14:paraId="6C97B47E"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FFFF00"/>
            <w:hideMark/>
          </w:tcPr>
          <w:p w14:paraId="3A6744EF" w14:textId="77777777" w:rsidR="00747626" w:rsidRDefault="00747626">
            <w:pPr>
              <w:rPr>
                <w:rFonts w:cs="Arial"/>
                <w:bCs/>
                <w:sz w:val="22"/>
              </w:rPr>
            </w:pPr>
            <w:r>
              <w:rPr>
                <w:rFonts w:cs="Arial"/>
                <w:bCs/>
                <w:sz w:val="22"/>
              </w:rPr>
              <w:t>Oxycodone</w:t>
            </w:r>
          </w:p>
        </w:tc>
        <w:tc>
          <w:tcPr>
            <w:tcW w:w="1349" w:type="dxa"/>
            <w:tcBorders>
              <w:top w:val="single" w:sz="4" w:space="0" w:color="auto"/>
              <w:left w:val="single" w:sz="4" w:space="0" w:color="auto"/>
              <w:bottom w:val="single" w:sz="4" w:space="0" w:color="auto"/>
              <w:right w:val="single" w:sz="4" w:space="0" w:color="auto"/>
            </w:tcBorders>
            <w:shd w:val="clear" w:color="auto" w:fill="FFFF00"/>
            <w:hideMark/>
          </w:tcPr>
          <w:p w14:paraId="26CC463D" w14:textId="77777777" w:rsidR="00747626" w:rsidRDefault="00747626">
            <w:pPr>
              <w:rPr>
                <w:rFonts w:cs="Arial"/>
                <w:bCs/>
                <w:sz w:val="22"/>
              </w:rPr>
            </w:pPr>
            <w:r>
              <w:rPr>
                <w:rFonts w:cs="Arial"/>
                <w:bCs/>
                <w:sz w:val="22"/>
              </w:rPr>
              <w:t>&lt;19</w:t>
            </w:r>
          </w:p>
        </w:tc>
        <w:tc>
          <w:tcPr>
            <w:tcW w:w="932" w:type="dxa"/>
            <w:tcBorders>
              <w:top w:val="single" w:sz="4" w:space="0" w:color="auto"/>
              <w:left w:val="single" w:sz="4" w:space="0" w:color="auto"/>
              <w:bottom w:val="single" w:sz="4" w:space="0" w:color="auto"/>
              <w:right w:val="single" w:sz="4" w:space="0" w:color="auto"/>
            </w:tcBorders>
            <w:shd w:val="clear" w:color="auto" w:fill="FFFF00"/>
            <w:hideMark/>
          </w:tcPr>
          <w:p w14:paraId="05AF5B98" w14:textId="77777777" w:rsidR="00747626" w:rsidRDefault="00747626">
            <w:pPr>
              <w:rPr>
                <w:rFonts w:cs="Arial"/>
                <w:bCs/>
                <w:sz w:val="22"/>
              </w:rPr>
            </w:pPr>
            <w:r>
              <w:rPr>
                <w:rFonts w:cs="Arial"/>
                <w:bCs/>
                <w:sz w:val="22"/>
              </w:rPr>
              <w:t>2-4</w:t>
            </w:r>
          </w:p>
        </w:tc>
        <w:tc>
          <w:tcPr>
            <w:tcW w:w="1231" w:type="dxa"/>
            <w:tcBorders>
              <w:top w:val="single" w:sz="4" w:space="0" w:color="auto"/>
              <w:left w:val="single" w:sz="4" w:space="0" w:color="auto"/>
              <w:bottom w:val="single" w:sz="4" w:space="0" w:color="auto"/>
              <w:right w:val="single" w:sz="4" w:space="0" w:color="auto"/>
            </w:tcBorders>
            <w:shd w:val="clear" w:color="auto" w:fill="FFFF00"/>
            <w:hideMark/>
          </w:tcPr>
          <w:p w14:paraId="335989FF" w14:textId="77777777" w:rsidR="00747626" w:rsidRDefault="00747626">
            <w:pPr>
              <w:rPr>
                <w:rFonts w:cs="Arial"/>
                <w:bCs/>
                <w:sz w:val="22"/>
              </w:rPr>
            </w:pPr>
            <w:r>
              <w:rPr>
                <w:rFonts w:cs="Arial"/>
                <w:bCs/>
                <w:sz w:val="22"/>
              </w:rPr>
              <w:t>3-5</w:t>
            </w:r>
          </w:p>
        </w:tc>
        <w:tc>
          <w:tcPr>
            <w:tcW w:w="1661" w:type="dxa"/>
            <w:tcBorders>
              <w:top w:val="single" w:sz="4" w:space="0" w:color="auto"/>
              <w:left w:val="single" w:sz="4" w:space="0" w:color="auto"/>
              <w:bottom w:val="single" w:sz="4" w:space="0" w:color="auto"/>
              <w:right w:val="single" w:sz="4" w:space="0" w:color="auto"/>
            </w:tcBorders>
            <w:shd w:val="clear" w:color="auto" w:fill="FFFF00"/>
            <w:hideMark/>
          </w:tcPr>
          <w:p w14:paraId="0D0FC2D2" w14:textId="77777777" w:rsidR="00747626" w:rsidRDefault="00747626">
            <w:pPr>
              <w:rPr>
                <w:rFonts w:cs="Arial"/>
                <w:bCs/>
                <w:sz w:val="22"/>
              </w:rPr>
            </w:pPr>
            <w:r>
              <w:rPr>
                <w:rFonts w:cs="Arial"/>
                <w:bCs/>
                <w:sz w:val="22"/>
              </w:rPr>
              <w:t>Dialysed</w:t>
            </w:r>
          </w:p>
        </w:tc>
        <w:tc>
          <w:tcPr>
            <w:tcW w:w="1249" w:type="dxa"/>
            <w:tcBorders>
              <w:top w:val="single" w:sz="4" w:space="0" w:color="auto"/>
              <w:left w:val="single" w:sz="4" w:space="0" w:color="auto"/>
              <w:bottom w:val="single" w:sz="4" w:space="0" w:color="auto"/>
              <w:right w:val="single" w:sz="4" w:space="0" w:color="auto"/>
            </w:tcBorders>
            <w:shd w:val="clear" w:color="auto" w:fill="FFFF00"/>
            <w:hideMark/>
          </w:tcPr>
          <w:p w14:paraId="30B1BB32" w14:textId="77777777" w:rsidR="00747626" w:rsidRDefault="00747626">
            <w:pPr>
              <w:rPr>
                <w:rFonts w:cs="Arial"/>
                <w:bCs/>
                <w:sz w:val="22"/>
              </w:rPr>
            </w:pPr>
            <w:r>
              <w:rPr>
                <w:rFonts w:cs="Arial"/>
                <w:bCs/>
                <w:sz w:val="22"/>
              </w:rPr>
              <w:t>Unknown behaviour</w:t>
            </w:r>
          </w:p>
        </w:tc>
        <w:tc>
          <w:tcPr>
            <w:tcW w:w="1652" w:type="dxa"/>
            <w:tcBorders>
              <w:top w:val="single" w:sz="4" w:space="0" w:color="auto"/>
              <w:left w:val="single" w:sz="4" w:space="0" w:color="auto"/>
              <w:bottom w:val="single" w:sz="4" w:space="0" w:color="auto"/>
              <w:right w:val="single" w:sz="4" w:space="0" w:color="auto"/>
            </w:tcBorders>
            <w:shd w:val="clear" w:color="auto" w:fill="FFFF00"/>
            <w:hideMark/>
          </w:tcPr>
          <w:p w14:paraId="2D673CE4" w14:textId="77777777" w:rsidR="00747626" w:rsidRDefault="00747626">
            <w:pPr>
              <w:rPr>
                <w:rFonts w:cs="Arial"/>
                <w:bCs/>
                <w:sz w:val="22"/>
              </w:rPr>
            </w:pPr>
            <w:r>
              <w:rPr>
                <w:rFonts w:cs="Arial"/>
                <w:bCs/>
                <w:sz w:val="22"/>
              </w:rPr>
              <w:t>Case reports of toxicity: reasonably safe if monitored</w:t>
            </w:r>
          </w:p>
        </w:tc>
      </w:tr>
      <w:tr w:rsidR="00747626" w14:paraId="3FC0444B"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FFFF00"/>
            <w:hideMark/>
          </w:tcPr>
          <w:p w14:paraId="12F4326C" w14:textId="77777777" w:rsidR="00747626" w:rsidRDefault="00747626">
            <w:pPr>
              <w:rPr>
                <w:rFonts w:cs="Arial"/>
                <w:bCs/>
                <w:sz w:val="22"/>
              </w:rPr>
            </w:pPr>
            <w:r>
              <w:rPr>
                <w:rFonts w:cs="Arial"/>
                <w:bCs/>
                <w:sz w:val="22"/>
              </w:rPr>
              <w:t>Hydromorphone</w:t>
            </w:r>
          </w:p>
        </w:tc>
        <w:tc>
          <w:tcPr>
            <w:tcW w:w="1349" w:type="dxa"/>
            <w:tcBorders>
              <w:top w:val="single" w:sz="4" w:space="0" w:color="auto"/>
              <w:left w:val="single" w:sz="4" w:space="0" w:color="auto"/>
              <w:bottom w:val="single" w:sz="4" w:space="0" w:color="auto"/>
              <w:right w:val="single" w:sz="4" w:space="0" w:color="auto"/>
            </w:tcBorders>
            <w:shd w:val="clear" w:color="auto" w:fill="FFFF00"/>
            <w:hideMark/>
          </w:tcPr>
          <w:p w14:paraId="3D3F1B66" w14:textId="77777777" w:rsidR="00747626" w:rsidRDefault="00747626">
            <w:pPr>
              <w:rPr>
                <w:rFonts w:cs="Arial"/>
                <w:bCs/>
                <w:sz w:val="22"/>
              </w:rPr>
            </w:pPr>
            <w:r>
              <w:rPr>
                <w:rFonts w:cs="Arial"/>
                <w:bCs/>
                <w:sz w:val="22"/>
              </w:rPr>
              <w:t>6</w:t>
            </w:r>
          </w:p>
        </w:tc>
        <w:tc>
          <w:tcPr>
            <w:tcW w:w="932" w:type="dxa"/>
            <w:tcBorders>
              <w:top w:val="single" w:sz="4" w:space="0" w:color="auto"/>
              <w:left w:val="single" w:sz="4" w:space="0" w:color="auto"/>
              <w:bottom w:val="single" w:sz="4" w:space="0" w:color="auto"/>
              <w:right w:val="single" w:sz="4" w:space="0" w:color="auto"/>
            </w:tcBorders>
            <w:shd w:val="clear" w:color="auto" w:fill="FFFF00"/>
            <w:hideMark/>
          </w:tcPr>
          <w:p w14:paraId="390ADA71" w14:textId="77777777" w:rsidR="00747626" w:rsidRDefault="00747626">
            <w:pPr>
              <w:rPr>
                <w:rFonts w:cs="Arial"/>
                <w:bCs/>
                <w:sz w:val="22"/>
              </w:rPr>
            </w:pPr>
            <w:r>
              <w:rPr>
                <w:rFonts w:cs="Arial"/>
                <w:bCs/>
                <w:sz w:val="22"/>
              </w:rPr>
              <w:t>2-5</w:t>
            </w:r>
          </w:p>
        </w:tc>
        <w:tc>
          <w:tcPr>
            <w:tcW w:w="1231" w:type="dxa"/>
            <w:tcBorders>
              <w:top w:val="single" w:sz="4" w:space="0" w:color="auto"/>
              <w:left w:val="single" w:sz="4" w:space="0" w:color="auto"/>
              <w:bottom w:val="single" w:sz="4" w:space="0" w:color="auto"/>
              <w:right w:val="single" w:sz="4" w:space="0" w:color="auto"/>
            </w:tcBorders>
            <w:shd w:val="clear" w:color="auto" w:fill="FFFF00"/>
            <w:hideMark/>
          </w:tcPr>
          <w:p w14:paraId="706AF857" w14:textId="77777777" w:rsidR="00747626" w:rsidRDefault="00747626">
            <w:pPr>
              <w:rPr>
                <w:rFonts w:cs="Arial"/>
                <w:bCs/>
                <w:sz w:val="22"/>
              </w:rPr>
            </w:pPr>
            <w:r>
              <w:rPr>
                <w:rFonts w:cs="Arial"/>
                <w:bCs/>
                <w:sz w:val="22"/>
              </w:rPr>
              <w:t>3.2 dialysis; 5.9 non-dialysis</w:t>
            </w:r>
          </w:p>
        </w:tc>
        <w:tc>
          <w:tcPr>
            <w:tcW w:w="1661" w:type="dxa"/>
            <w:tcBorders>
              <w:top w:val="single" w:sz="4" w:space="0" w:color="auto"/>
              <w:left w:val="single" w:sz="4" w:space="0" w:color="auto"/>
              <w:bottom w:val="single" w:sz="4" w:space="0" w:color="auto"/>
              <w:right w:val="single" w:sz="4" w:space="0" w:color="auto"/>
            </w:tcBorders>
            <w:shd w:val="clear" w:color="auto" w:fill="FFFF00"/>
            <w:hideMark/>
          </w:tcPr>
          <w:p w14:paraId="52C612E5" w14:textId="77777777" w:rsidR="00747626" w:rsidRDefault="00747626">
            <w:pPr>
              <w:rPr>
                <w:rFonts w:cs="Arial"/>
                <w:bCs/>
                <w:sz w:val="22"/>
              </w:rPr>
            </w:pPr>
            <w:r>
              <w:rPr>
                <w:rFonts w:cs="Arial"/>
                <w:bCs/>
                <w:sz w:val="22"/>
              </w:rPr>
              <w:t>H3G dialysed</w:t>
            </w:r>
          </w:p>
        </w:tc>
        <w:tc>
          <w:tcPr>
            <w:tcW w:w="1249" w:type="dxa"/>
            <w:tcBorders>
              <w:top w:val="single" w:sz="4" w:space="0" w:color="auto"/>
              <w:left w:val="single" w:sz="4" w:space="0" w:color="auto"/>
              <w:bottom w:val="single" w:sz="4" w:space="0" w:color="auto"/>
              <w:right w:val="single" w:sz="4" w:space="0" w:color="auto"/>
            </w:tcBorders>
            <w:shd w:val="clear" w:color="auto" w:fill="FFFF00"/>
            <w:hideMark/>
          </w:tcPr>
          <w:p w14:paraId="13CFCD9C" w14:textId="77777777" w:rsidR="00747626" w:rsidRDefault="00747626">
            <w:pPr>
              <w:rPr>
                <w:rFonts w:cs="Arial"/>
                <w:bCs/>
                <w:sz w:val="22"/>
              </w:rPr>
            </w:pPr>
            <w:r>
              <w:rPr>
                <w:rFonts w:cs="Arial"/>
                <w:bCs/>
                <w:sz w:val="22"/>
              </w:rPr>
              <w:t>Unknown behaviour</w:t>
            </w:r>
          </w:p>
        </w:tc>
        <w:tc>
          <w:tcPr>
            <w:tcW w:w="1652" w:type="dxa"/>
            <w:tcBorders>
              <w:top w:val="single" w:sz="4" w:space="0" w:color="auto"/>
              <w:left w:val="single" w:sz="4" w:space="0" w:color="auto"/>
              <w:bottom w:val="single" w:sz="4" w:space="0" w:color="auto"/>
              <w:right w:val="single" w:sz="4" w:space="0" w:color="auto"/>
            </w:tcBorders>
            <w:shd w:val="clear" w:color="auto" w:fill="FFFF00"/>
            <w:hideMark/>
          </w:tcPr>
          <w:p w14:paraId="260F9B29" w14:textId="77777777" w:rsidR="00747626" w:rsidRDefault="00747626">
            <w:pPr>
              <w:rPr>
                <w:rFonts w:cs="Arial"/>
                <w:bCs/>
                <w:sz w:val="22"/>
              </w:rPr>
            </w:pPr>
            <w:r>
              <w:rPr>
                <w:rFonts w:cs="Arial"/>
                <w:bCs/>
                <w:sz w:val="22"/>
              </w:rPr>
              <w:t>Generally considered to be safe Monitor carefully</w:t>
            </w:r>
          </w:p>
        </w:tc>
      </w:tr>
      <w:tr w:rsidR="00747626" w14:paraId="4CA9B20B"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FFC000"/>
            <w:hideMark/>
          </w:tcPr>
          <w:p w14:paraId="4E08C743" w14:textId="77777777" w:rsidR="00747626" w:rsidRDefault="00747626">
            <w:pPr>
              <w:rPr>
                <w:rFonts w:cs="Arial"/>
                <w:bCs/>
                <w:sz w:val="22"/>
              </w:rPr>
            </w:pPr>
            <w:r>
              <w:rPr>
                <w:rFonts w:cs="Arial"/>
                <w:bCs/>
                <w:sz w:val="22"/>
              </w:rPr>
              <w:t>Tramadol</w:t>
            </w:r>
          </w:p>
        </w:tc>
        <w:tc>
          <w:tcPr>
            <w:tcW w:w="1349" w:type="dxa"/>
            <w:tcBorders>
              <w:top w:val="single" w:sz="4" w:space="0" w:color="auto"/>
              <w:left w:val="single" w:sz="4" w:space="0" w:color="auto"/>
              <w:bottom w:val="single" w:sz="4" w:space="0" w:color="auto"/>
              <w:right w:val="single" w:sz="4" w:space="0" w:color="auto"/>
            </w:tcBorders>
            <w:shd w:val="clear" w:color="auto" w:fill="FFC000"/>
            <w:hideMark/>
          </w:tcPr>
          <w:p w14:paraId="41D14343" w14:textId="77777777" w:rsidR="00747626" w:rsidRDefault="00747626">
            <w:pPr>
              <w:rPr>
                <w:rFonts w:cs="Arial"/>
                <w:bCs/>
                <w:sz w:val="22"/>
              </w:rPr>
            </w:pPr>
            <w:r>
              <w:rPr>
                <w:rFonts w:cs="Arial"/>
                <w:bCs/>
                <w:sz w:val="22"/>
              </w:rPr>
              <w:t>90 (30% unchanged, 60% metabolites)</w:t>
            </w:r>
          </w:p>
          <w:p w14:paraId="140E26BA" w14:textId="77777777" w:rsidR="00747626" w:rsidRDefault="00747626">
            <w:pPr>
              <w:rPr>
                <w:rFonts w:cs="Arial"/>
                <w:bCs/>
                <w:sz w:val="22"/>
              </w:rPr>
            </w:pPr>
            <w:r>
              <w:rPr>
                <w:rFonts w:cs="Arial"/>
                <w:bCs/>
                <w:sz w:val="22"/>
              </w:rPr>
              <w:t>Unpredictable profile</w:t>
            </w:r>
          </w:p>
        </w:tc>
        <w:tc>
          <w:tcPr>
            <w:tcW w:w="932" w:type="dxa"/>
            <w:tcBorders>
              <w:top w:val="single" w:sz="4" w:space="0" w:color="auto"/>
              <w:left w:val="single" w:sz="4" w:space="0" w:color="auto"/>
              <w:bottom w:val="single" w:sz="4" w:space="0" w:color="auto"/>
              <w:right w:val="single" w:sz="4" w:space="0" w:color="auto"/>
            </w:tcBorders>
            <w:shd w:val="clear" w:color="auto" w:fill="FFC000"/>
            <w:hideMark/>
          </w:tcPr>
          <w:p w14:paraId="7DF068AF" w14:textId="77777777" w:rsidR="00747626" w:rsidRDefault="00747626">
            <w:pPr>
              <w:rPr>
                <w:rFonts w:cs="Arial"/>
                <w:bCs/>
                <w:sz w:val="22"/>
              </w:rPr>
            </w:pPr>
            <w:r>
              <w:rPr>
                <w:rFonts w:cs="Arial"/>
                <w:bCs/>
                <w:sz w:val="22"/>
              </w:rPr>
              <w:t>6</w:t>
            </w:r>
          </w:p>
        </w:tc>
        <w:tc>
          <w:tcPr>
            <w:tcW w:w="1231" w:type="dxa"/>
            <w:tcBorders>
              <w:top w:val="single" w:sz="4" w:space="0" w:color="auto"/>
              <w:left w:val="single" w:sz="4" w:space="0" w:color="auto"/>
              <w:bottom w:val="single" w:sz="4" w:space="0" w:color="auto"/>
              <w:right w:val="single" w:sz="4" w:space="0" w:color="auto"/>
            </w:tcBorders>
            <w:shd w:val="clear" w:color="auto" w:fill="FFC000"/>
            <w:hideMark/>
          </w:tcPr>
          <w:p w14:paraId="0AED0DD8" w14:textId="77777777" w:rsidR="00747626" w:rsidRDefault="00747626">
            <w:pPr>
              <w:rPr>
                <w:rFonts w:cs="Arial"/>
                <w:bCs/>
                <w:sz w:val="22"/>
              </w:rPr>
            </w:pPr>
            <w:r>
              <w:rPr>
                <w:rFonts w:cs="Arial"/>
                <w:bCs/>
                <w:sz w:val="22"/>
              </w:rPr>
              <w:t>11</w:t>
            </w:r>
          </w:p>
        </w:tc>
        <w:tc>
          <w:tcPr>
            <w:tcW w:w="1661" w:type="dxa"/>
            <w:tcBorders>
              <w:top w:val="single" w:sz="4" w:space="0" w:color="auto"/>
              <w:left w:val="single" w:sz="4" w:space="0" w:color="auto"/>
              <w:bottom w:val="single" w:sz="4" w:space="0" w:color="auto"/>
              <w:right w:val="single" w:sz="4" w:space="0" w:color="auto"/>
            </w:tcBorders>
            <w:shd w:val="clear" w:color="auto" w:fill="FFC000"/>
            <w:hideMark/>
          </w:tcPr>
          <w:p w14:paraId="4338CC25" w14:textId="77777777" w:rsidR="00747626" w:rsidRDefault="00747626">
            <w:pPr>
              <w:rPr>
                <w:rFonts w:cs="Arial"/>
                <w:bCs/>
                <w:sz w:val="22"/>
              </w:rPr>
            </w:pPr>
            <w:r>
              <w:rPr>
                <w:rFonts w:cs="Arial"/>
                <w:bCs/>
                <w:sz w:val="22"/>
              </w:rPr>
              <w:t>Dialysed</w:t>
            </w:r>
          </w:p>
        </w:tc>
        <w:tc>
          <w:tcPr>
            <w:tcW w:w="1249" w:type="dxa"/>
            <w:tcBorders>
              <w:top w:val="single" w:sz="4" w:space="0" w:color="auto"/>
              <w:left w:val="single" w:sz="4" w:space="0" w:color="auto"/>
              <w:bottom w:val="single" w:sz="4" w:space="0" w:color="auto"/>
              <w:right w:val="single" w:sz="4" w:space="0" w:color="auto"/>
            </w:tcBorders>
            <w:shd w:val="clear" w:color="auto" w:fill="FFC000"/>
            <w:hideMark/>
          </w:tcPr>
          <w:p w14:paraId="74FC7584" w14:textId="77777777" w:rsidR="00747626" w:rsidRDefault="00747626">
            <w:pPr>
              <w:rPr>
                <w:rFonts w:cs="Arial"/>
                <w:bCs/>
                <w:sz w:val="22"/>
              </w:rPr>
            </w:pPr>
            <w:r>
              <w:rPr>
                <w:rFonts w:cs="Arial"/>
                <w:bCs/>
                <w:sz w:val="22"/>
              </w:rPr>
              <w:t>Unknown behaviour</w:t>
            </w:r>
          </w:p>
        </w:tc>
        <w:tc>
          <w:tcPr>
            <w:tcW w:w="1652" w:type="dxa"/>
            <w:tcBorders>
              <w:top w:val="single" w:sz="4" w:space="0" w:color="auto"/>
              <w:left w:val="single" w:sz="4" w:space="0" w:color="auto"/>
              <w:bottom w:val="single" w:sz="4" w:space="0" w:color="auto"/>
              <w:right w:val="single" w:sz="4" w:space="0" w:color="auto"/>
            </w:tcBorders>
            <w:shd w:val="clear" w:color="auto" w:fill="FFC000"/>
            <w:hideMark/>
          </w:tcPr>
          <w:p w14:paraId="14352D23" w14:textId="77777777" w:rsidR="00747626" w:rsidRDefault="00747626">
            <w:pPr>
              <w:rPr>
                <w:rFonts w:cs="Arial"/>
                <w:bCs/>
                <w:sz w:val="22"/>
              </w:rPr>
            </w:pPr>
            <w:r>
              <w:rPr>
                <w:rFonts w:cs="Arial"/>
                <w:bCs/>
                <w:sz w:val="22"/>
              </w:rPr>
              <w:t>Administer after dialysis</w:t>
            </w:r>
          </w:p>
          <w:p w14:paraId="571145A5" w14:textId="77777777" w:rsidR="00747626" w:rsidRDefault="00747626">
            <w:pPr>
              <w:rPr>
                <w:rFonts w:cs="Arial"/>
                <w:bCs/>
                <w:sz w:val="22"/>
              </w:rPr>
            </w:pPr>
            <w:r>
              <w:rPr>
                <w:rFonts w:cs="Arial"/>
                <w:bCs/>
                <w:sz w:val="22"/>
              </w:rPr>
              <w:t>eGFR 10-30: 50-100mg BD eGFR &lt;10: 50mg BD</w:t>
            </w:r>
          </w:p>
        </w:tc>
      </w:tr>
      <w:tr w:rsidR="00747626" w14:paraId="2187086C"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FF0000"/>
            <w:hideMark/>
          </w:tcPr>
          <w:p w14:paraId="25202770" w14:textId="77777777" w:rsidR="00747626" w:rsidRDefault="00747626">
            <w:pPr>
              <w:rPr>
                <w:rFonts w:cs="Arial"/>
                <w:bCs/>
                <w:sz w:val="22"/>
              </w:rPr>
            </w:pPr>
            <w:r>
              <w:rPr>
                <w:rFonts w:cs="Arial"/>
                <w:bCs/>
                <w:sz w:val="22"/>
              </w:rPr>
              <w:t>Codeine</w:t>
            </w:r>
          </w:p>
        </w:tc>
        <w:tc>
          <w:tcPr>
            <w:tcW w:w="1349" w:type="dxa"/>
            <w:tcBorders>
              <w:top w:val="single" w:sz="4" w:space="0" w:color="auto"/>
              <w:left w:val="single" w:sz="4" w:space="0" w:color="auto"/>
              <w:bottom w:val="single" w:sz="4" w:space="0" w:color="auto"/>
              <w:right w:val="single" w:sz="4" w:space="0" w:color="auto"/>
            </w:tcBorders>
            <w:shd w:val="clear" w:color="auto" w:fill="FF0000"/>
            <w:hideMark/>
          </w:tcPr>
          <w:p w14:paraId="5D95CC8D" w14:textId="77777777" w:rsidR="00747626" w:rsidRDefault="00747626">
            <w:pPr>
              <w:rPr>
                <w:rFonts w:cs="Arial"/>
                <w:bCs/>
                <w:sz w:val="22"/>
              </w:rPr>
            </w:pPr>
            <w:r>
              <w:rPr>
                <w:rFonts w:cs="Arial"/>
                <w:bCs/>
                <w:sz w:val="22"/>
              </w:rPr>
              <w:t>0-16</w:t>
            </w:r>
          </w:p>
        </w:tc>
        <w:tc>
          <w:tcPr>
            <w:tcW w:w="932" w:type="dxa"/>
            <w:tcBorders>
              <w:top w:val="single" w:sz="4" w:space="0" w:color="auto"/>
              <w:left w:val="single" w:sz="4" w:space="0" w:color="auto"/>
              <w:bottom w:val="single" w:sz="4" w:space="0" w:color="auto"/>
              <w:right w:val="single" w:sz="4" w:space="0" w:color="auto"/>
            </w:tcBorders>
            <w:shd w:val="clear" w:color="auto" w:fill="FF0000"/>
            <w:hideMark/>
          </w:tcPr>
          <w:p w14:paraId="56D52765" w14:textId="77777777" w:rsidR="00747626" w:rsidRDefault="00747626">
            <w:pPr>
              <w:rPr>
                <w:rFonts w:cs="Arial"/>
                <w:bCs/>
                <w:sz w:val="22"/>
              </w:rPr>
            </w:pPr>
            <w:r>
              <w:rPr>
                <w:rFonts w:cs="Arial"/>
                <w:bCs/>
                <w:sz w:val="22"/>
              </w:rPr>
              <w:t>2.5-4</w:t>
            </w:r>
          </w:p>
        </w:tc>
        <w:tc>
          <w:tcPr>
            <w:tcW w:w="1231" w:type="dxa"/>
            <w:tcBorders>
              <w:top w:val="single" w:sz="4" w:space="0" w:color="auto"/>
              <w:left w:val="single" w:sz="4" w:space="0" w:color="auto"/>
              <w:bottom w:val="single" w:sz="4" w:space="0" w:color="auto"/>
              <w:right w:val="single" w:sz="4" w:space="0" w:color="auto"/>
            </w:tcBorders>
            <w:shd w:val="clear" w:color="auto" w:fill="FF0000"/>
            <w:hideMark/>
          </w:tcPr>
          <w:p w14:paraId="4A55364A" w14:textId="77777777" w:rsidR="00747626" w:rsidRDefault="00747626">
            <w:pPr>
              <w:rPr>
                <w:rFonts w:cs="Arial"/>
                <w:bCs/>
                <w:sz w:val="22"/>
              </w:rPr>
            </w:pPr>
            <w:r>
              <w:rPr>
                <w:rFonts w:cs="Arial"/>
                <w:bCs/>
                <w:sz w:val="22"/>
              </w:rPr>
              <w:t>13-18.9</w:t>
            </w:r>
          </w:p>
        </w:tc>
        <w:tc>
          <w:tcPr>
            <w:tcW w:w="1661" w:type="dxa"/>
            <w:tcBorders>
              <w:top w:val="single" w:sz="4" w:space="0" w:color="auto"/>
              <w:left w:val="single" w:sz="4" w:space="0" w:color="auto"/>
              <w:bottom w:val="single" w:sz="4" w:space="0" w:color="auto"/>
              <w:right w:val="single" w:sz="4" w:space="0" w:color="auto"/>
            </w:tcBorders>
            <w:shd w:val="clear" w:color="auto" w:fill="FF0000"/>
            <w:hideMark/>
          </w:tcPr>
          <w:p w14:paraId="4210A49A" w14:textId="77777777" w:rsidR="00747626" w:rsidRDefault="00747626">
            <w:pPr>
              <w:rPr>
                <w:rFonts w:cs="Arial"/>
                <w:bCs/>
                <w:sz w:val="22"/>
              </w:rPr>
            </w:pPr>
            <w:r>
              <w:rPr>
                <w:rFonts w:cs="Arial"/>
                <w:bCs/>
                <w:sz w:val="22"/>
              </w:rPr>
              <w:t>Not dialysed</w:t>
            </w:r>
          </w:p>
        </w:tc>
        <w:tc>
          <w:tcPr>
            <w:tcW w:w="1249" w:type="dxa"/>
            <w:tcBorders>
              <w:top w:val="single" w:sz="4" w:space="0" w:color="auto"/>
              <w:left w:val="single" w:sz="4" w:space="0" w:color="auto"/>
              <w:bottom w:val="single" w:sz="4" w:space="0" w:color="auto"/>
              <w:right w:val="single" w:sz="4" w:space="0" w:color="auto"/>
            </w:tcBorders>
            <w:shd w:val="clear" w:color="auto" w:fill="FF0000"/>
            <w:hideMark/>
          </w:tcPr>
          <w:p w14:paraId="13877B1E" w14:textId="77777777" w:rsidR="00747626" w:rsidRDefault="00747626">
            <w:pPr>
              <w:rPr>
                <w:rFonts w:cs="Arial"/>
                <w:bCs/>
                <w:sz w:val="22"/>
              </w:rPr>
            </w:pPr>
            <w:r>
              <w:rPr>
                <w:rFonts w:cs="Arial"/>
                <w:bCs/>
                <w:sz w:val="22"/>
              </w:rPr>
              <w:t>Unlikely dialysed</w:t>
            </w:r>
          </w:p>
        </w:tc>
        <w:tc>
          <w:tcPr>
            <w:tcW w:w="1652" w:type="dxa"/>
            <w:tcBorders>
              <w:top w:val="single" w:sz="4" w:space="0" w:color="auto"/>
              <w:left w:val="single" w:sz="4" w:space="0" w:color="auto"/>
              <w:bottom w:val="single" w:sz="4" w:space="0" w:color="auto"/>
              <w:right w:val="single" w:sz="4" w:space="0" w:color="auto"/>
            </w:tcBorders>
            <w:shd w:val="clear" w:color="auto" w:fill="FF0000"/>
            <w:hideMark/>
          </w:tcPr>
          <w:p w14:paraId="4F8AF933" w14:textId="77777777" w:rsidR="00747626" w:rsidRDefault="00747626">
            <w:pPr>
              <w:rPr>
                <w:rFonts w:cs="Arial"/>
                <w:bCs/>
                <w:sz w:val="22"/>
              </w:rPr>
            </w:pPr>
            <w:r>
              <w:rPr>
                <w:rFonts w:cs="Arial"/>
                <w:bCs/>
                <w:sz w:val="22"/>
              </w:rPr>
              <w:t>Metabolised to morphine. Not recommended</w:t>
            </w:r>
          </w:p>
        </w:tc>
      </w:tr>
      <w:tr w:rsidR="00747626" w14:paraId="0B2DC9A0" w14:textId="77777777" w:rsidTr="00747626">
        <w:tc>
          <w:tcPr>
            <w:tcW w:w="1702" w:type="dxa"/>
            <w:tcBorders>
              <w:top w:val="single" w:sz="4" w:space="0" w:color="auto"/>
              <w:left w:val="single" w:sz="4" w:space="0" w:color="auto"/>
              <w:bottom w:val="single" w:sz="4" w:space="0" w:color="auto"/>
              <w:right w:val="single" w:sz="4" w:space="0" w:color="auto"/>
            </w:tcBorders>
            <w:shd w:val="clear" w:color="auto" w:fill="FF0000"/>
            <w:hideMark/>
          </w:tcPr>
          <w:p w14:paraId="545AEA7B" w14:textId="77777777" w:rsidR="00747626" w:rsidRDefault="00747626">
            <w:pPr>
              <w:rPr>
                <w:rFonts w:cs="Arial"/>
                <w:bCs/>
                <w:sz w:val="22"/>
              </w:rPr>
            </w:pPr>
            <w:r>
              <w:rPr>
                <w:rFonts w:cs="Arial"/>
                <w:bCs/>
                <w:sz w:val="22"/>
              </w:rPr>
              <w:t>Morphine</w:t>
            </w:r>
          </w:p>
        </w:tc>
        <w:tc>
          <w:tcPr>
            <w:tcW w:w="1349" w:type="dxa"/>
            <w:tcBorders>
              <w:top w:val="single" w:sz="4" w:space="0" w:color="auto"/>
              <w:left w:val="single" w:sz="4" w:space="0" w:color="auto"/>
              <w:bottom w:val="single" w:sz="4" w:space="0" w:color="auto"/>
              <w:right w:val="single" w:sz="4" w:space="0" w:color="auto"/>
            </w:tcBorders>
            <w:shd w:val="clear" w:color="auto" w:fill="FF0000"/>
            <w:hideMark/>
          </w:tcPr>
          <w:p w14:paraId="3EE242F5" w14:textId="77777777" w:rsidR="00747626" w:rsidRDefault="00747626">
            <w:pPr>
              <w:rPr>
                <w:rFonts w:cs="Arial"/>
                <w:bCs/>
                <w:sz w:val="22"/>
              </w:rPr>
            </w:pPr>
            <w:r>
              <w:rPr>
                <w:rFonts w:cs="Arial"/>
                <w:bCs/>
                <w:sz w:val="22"/>
              </w:rPr>
              <w:t>10</w:t>
            </w:r>
          </w:p>
        </w:tc>
        <w:tc>
          <w:tcPr>
            <w:tcW w:w="932" w:type="dxa"/>
            <w:tcBorders>
              <w:top w:val="single" w:sz="4" w:space="0" w:color="auto"/>
              <w:left w:val="single" w:sz="4" w:space="0" w:color="auto"/>
              <w:bottom w:val="single" w:sz="4" w:space="0" w:color="auto"/>
              <w:right w:val="single" w:sz="4" w:space="0" w:color="auto"/>
            </w:tcBorders>
            <w:shd w:val="clear" w:color="auto" w:fill="FF0000"/>
            <w:hideMark/>
          </w:tcPr>
          <w:p w14:paraId="092F756B" w14:textId="77777777" w:rsidR="00747626" w:rsidRDefault="00747626">
            <w:pPr>
              <w:rPr>
                <w:rFonts w:cs="Arial"/>
                <w:bCs/>
                <w:sz w:val="22"/>
              </w:rPr>
            </w:pPr>
            <w:r>
              <w:rPr>
                <w:rFonts w:cs="Arial"/>
                <w:bCs/>
                <w:sz w:val="22"/>
              </w:rPr>
              <w:t>2-3</w:t>
            </w:r>
          </w:p>
        </w:tc>
        <w:tc>
          <w:tcPr>
            <w:tcW w:w="1231" w:type="dxa"/>
            <w:tcBorders>
              <w:top w:val="single" w:sz="4" w:space="0" w:color="auto"/>
              <w:left w:val="single" w:sz="4" w:space="0" w:color="auto"/>
              <w:bottom w:val="single" w:sz="4" w:space="0" w:color="auto"/>
              <w:right w:val="single" w:sz="4" w:space="0" w:color="auto"/>
            </w:tcBorders>
            <w:shd w:val="clear" w:color="auto" w:fill="FF0000"/>
            <w:hideMark/>
          </w:tcPr>
          <w:p w14:paraId="7CB83720" w14:textId="77777777" w:rsidR="00747626" w:rsidRDefault="00747626">
            <w:pPr>
              <w:rPr>
                <w:rFonts w:cs="Arial"/>
                <w:bCs/>
                <w:sz w:val="22"/>
              </w:rPr>
            </w:pPr>
            <w:r>
              <w:rPr>
                <w:rFonts w:cs="Arial"/>
                <w:bCs/>
                <w:sz w:val="22"/>
              </w:rPr>
              <w:t>Unchanged</w:t>
            </w:r>
          </w:p>
        </w:tc>
        <w:tc>
          <w:tcPr>
            <w:tcW w:w="1661" w:type="dxa"/>
            <w:tcBorders>
              <w:top w:val="single" w:sz="4" w:space="0" w:color="auto"/>
              <w:left w:val="single" w:sz="4" w:space="0" w:color="auto"/>
              <w:bottom w:val="single" w:sz="4" w:space="0" w:color="auto"/>
              <w:right w:val="single" w:sz="4" w:space="0" w:color="auto"/>
            </w:tcBorders>
            <w:shd w:val="clear" w:color="auto" w:fill="FF0000"/>
            <w:hideMark/>
          </w:tcPr>
          <w:p w14:paraId="4227BBBD" w14:textId="77777777" w:rsidR="00747626" w:rsidRDefault="00747626">
            <w:pPr>
              <w:rPr>
                <w:rFonts w:cs="Arial"/>
                <w:bCs/>
                <w:sz w:val="22"/>
              </w:rPr>
            </w:pPr>
            <w:r>
              <w:rPr>
                <w:rFonts w:cs="Arial"/>
                <w:bCs/>
                <w:sz w:val="22"/>
              </w:rPr>
              <w:t>Not dialysed</w:t>
            </w:r>
          </w:p>
        </w:tc>
        <w:tc>
          <w:tcPr>
            <w:tcW w:w="1249" w:type="dxa"/>
            <w:tcBorders>
              <w:top w:val="single" w:sz="4" w:space="0" w:color="auto"/>
              <w:left w:val="single" w:sz="4" w:space="0" w:color="auto"/>
              <w:bottom w:val="single" w:sz="4" w:space="0" w:color="auto"/>
              <w:right w:val="single" w:sz="4" w:space="0" w:color="auto"/>
            </w:tcBorders>
            <w:shd w:val="clear" w:color="auto" w:fill="FF0000"/>
            <w:hideMark/>
          </w:tcPr>
          <w:p w14:paraId="095A17E8" w14:textId="77777777" w:rsidR="00747626" w:rsidRDefault="00747626">
            <w:pPr>
              <w:rPr>
                <w:rFonts w:cs="Arial"/>
                <w:bCs/>
                <w:sz w:val="22"/>
              </w:rPr>
            </w:pPr>
            <w:r>
              <w:rPr>
                <w:rFonts w:cs="Arial"/>
                <w:bCs/>
                <w:sz w:val="22"/>
              </w:rPr>
              <w:t>Not dialysed</w:t>
            </w:r>
          </w:p>
        </w:tc>
        <w:tc>
          <w:tcPr>
            <w:tcW w:w="1652" w:type="dxa"/>
            <w:tcBorders>
              <w:top w:val="single" w:sz="4" w:space="0" w:color="auto"/>
              <w:left w:val="single" w:sz="4" w:space="0" w:color="auto"/>
              <w:bottom w:val="single" w:sz="4" w:space="0" w:color="auto"/>
              <w:right w:val="single" w:sz="4" w:space="0" w:color="auto"/>
            </w:tcBorders>
            <w:shd w:val="clear" w:color="auto" w:fill="FF0000"/>
            <w:hideMark/>
          </w:tcPr>
          <w:p w14:paraId="6053D561" w14:textId="77777777" w:rsidR="00747626" w:rsidRDefault="00747626">
            <w:pPr>
              <w:rPr>
                <w:rFonts w:cs="Arial"/>
                <w:bCs/>
                <w:sz w:val="22"/>
              </w:rPr>
            </w:pPr>
            <w:r>
              <w:rPr>
                <w:rFonts w:cs="Arial"/>
                <w:bCs/>
                <w:sz w:val="22"/>
              </w:rPr>
              <w:t>Rapid accumulation of metabolites. Not recommended</w:t>
            </w:r>
          </w:p>
        </w:tc>
      </w:tr>
    </w:tbl>
    <w:p w14:paraId="769CBB5D" w14:textId="43705E6B" w:rsidR="00747626" w:rsidRPr="004E0FC3" w:rsidRDefault="00747626" w:rsidP="00747626">
      <w:pPr>
        <w:rPr>
          <w:rFonts w:cs="Arial"/>
          <w:b/>
          <w:szCs w:val="24"/>
          <w:vertAlign w:val="superscript"/>
        </w:rPr>
      </w:pPr>
      <w:r>
        <w:rPr>
          <w:noProof/>
        </w:rPr>
        <mc:AlternateContent>
          <mc:Choice Requires="wpg">
            <w:drawing>
              <wp:anchor distT="0" distB="0" distL="114300" distR="114300" simplePos="0" relativeHeight="251658240" behindDoc="0" locked="0" layoutInCell="1" allowOverlap="1" wp14:anchorId="35CF1A6E" wp14:editId="43FC2DEC">
                <wp:simplePos x="0" y="0"/>
                <wp:positionH relativeFrom="column">
                  <wp:posOffset>-900430</wp:posOffset>
                </wp:positionH>
                <wp:positionV relativeFrom="paragraph">
                  <wp:posOffset>-3871595</wp:posOffset>
                </wp:positionV>
                <wp:extent cx="5759450" cy="3277235"/>
                <wp:effectExtent l="0" t="0" r="0" b="0"/>
                <wp:wrapNone/>
                <wp:docPr id="5" name="Group 5"/>
                <wp:cNvGraphicFramePr/>
                <a:graphic xmlns:a="http://schemas.openxmlformats.org/drawingml/2006/main">
                  <a:graphicData uri="http://schemas.microsoft.com/office/word/2010/wordprocessingGroup">
                    <wpg:wgp>
                      <wpg:cNvGrpSpPr/>
                      <wpg:grpSpPr>
                        <a:xfrm>
                          <a:off x="0" y="0"/>
                          <a:ext cx="5759450" cy="3277235"/>
                          <a:chOff x="0" y="0"/>
                          <a:chExt cx="5759450" cy="3277235"/>
                        </a:xfrm>
                      </wpg:grpSpPr>
                      <wps:wsp>
                        <wps:cNvPr id="4" name="Rectangle 4"/>
                        <wps:cNvSpPr/>
                        <wps:spPr>
                          <a:xfrm>
                            <a:off x="0" y="0"/>
                            <a:ext cx="5759450" cy="3277235"/>
                          </a:xfrm>
                          <a:prstGeom prst="rect">
                            <a:avLst/>
                          </a:prstGeom>
                          <a:noFill/>
                          <a:ln>
                            <a:noFill/>
                          </a:ln>
                        </wps:spPr>
                        <wps:bodyPr/>
                      </wps:wsp>
                    </wpg:wgp>
                  </a:graphicData>
                </a:graphic>
                <wp14:sizeRelH relativeFrom="page">
                  <wp14:pctWidth>0</wp14:pctWidth>
                </wp14:sizeRelH>
                <wp14:sizeRelV relativeFrom="page">
                  <wp14:pctHeight>0</wp14:pctHeight>
                </wp14:sizeRelV>
              </wp:anchor>
            </w:drawing>
          </mc:Choice>
          <mc:Fallback>
            <w:pict>
              <v:group w14:anchorId="53844779" id="Group 5" o:spid="_x0000_s1026" style="position:absolute;margin-left:-70.9pt;margin-top:-304.85pt;width:453.5pt;height:258.05pt;z-index:251658240" coordsize="57594,3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">
                <v:rect id="Rectangle 4" o:spid="_x0000_s1027" style="position:absolute;width:57594;height:32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CGwwAAANoAAAAPAAAAZHJzL2Rvd25yZXYueG1sRI9Ba8JA&#10;FITvgv9heUIvopsWkR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lWRAhsMAAADaAAAADwAA&#10;AAAAAAAAAAAAAAAHAgAAZHJzL2Rvd25yZXYueG1sUEsFBgAAAAADAAMAtwAAAPcCAAAAAA==&#10;" filled="f" stroked="f"/>
              </v:group>
            </w:pict>
          </mc:Fallback>
        </mc:AlternateContent>
      </w:r>
      <w:r>
        <w:rPr>
          <w:rFonts w:cs="Arial"/>
          <w:b/>
          <w:szCs w:val="24"/>
        </w:rPr>
        <w:t>Figure 2: Analgesia choice, risks and considerations when escalating. Based on Davison S et al 2014</w:t>
      </w:r>
      <w:r w:rsidR="004E0FC3">
        <w:rPr>
          <w:rFonts w:cs="Arial"/>
          <w:b/>
          <w:szCs w:val="24"/>
          <w:vertAlign w:val="subscript"/>
        </w:rPr>
        <w:softHyphen/>
      </w:r>
      <w:r w:rsidR="004E0FC3">
        <w:rPr>
          <w:rFonts w:cs="Arial"/>
          <w:b/>
          <w:szCs w:val="24"/>
        </w:rPr>
        <w:t>.</w:t>
      </w:r>
      <w:r w:rsidR="004E0FC3">
        <w:rPr>
          <w:rFonts w:cs="Arial"/>
          <w:b/>
          <w:szCs w:val="24"/>
          <w:vertAlign w:val="superscript"/>
        </w:rPr>
        <w:t>9</w:t>
      </w:r>
    </w:p>
    <w:p w14:paraId="75CCE07C" w14:textId="77777777" w:rsidR="00747626" w:rsidRDefault="00747626" w:rsidP="00747626">
      <w:pPr>
        <w:rPr>
          <w:rFonts w:cs="Arial"/>
          <w:b/>
          <w:szCs w:val="24"/>
        </w:rPr>
      </w:pPr>
    </w:p>
    <w:p w14:paraId="4FCCDF12" w14:textId="77777777" w:rsidR="00747626" w:rsidRDefault="00747626" w:rsidP="00747626">
      <w:pPr>
        <w:rPr>
          <w:rFonts w:cs="Arial"/>
          <w:b/>
          <w:szCs w:val="24"/>
        </w:rPr>
      </w:pPr>
    </w:p>
    <w:p w14:paraId="01969048" w14:textId="77777777" w:rsidR="00747626" w:rsidRDefault="00747626" w:rsidP="00747626">
      <w:pPr>
        <w:rPr>
          <w:rFonts w:cs="Arial"/>
          <w:b/>
          <w:szCs w:val="24"/>
        </w:rPr>
      </w:pPr>
    </w:p>
    <w:p w14:paraId="0829CC5D" w14:textId="6BFC80D8" w:rsidR="00747626" w:rsidRDefault="00747626" w:rsidP="00747626">
      <w:pPr>
        <w:rPr>
          <w:rFonts w:cs="Arial"/>
          <w:b/>
          <w:szCs w:val="24"/>
        </w:rPr>
      </w:pPr>
      <w:r>
        <w:rPr>
          <w:noProof/>
          <w:lang w:eastAsia="en-AU"/>
        </w:rPr>
        <w:lastRenderedPageBreak/>
        <w:drawing>
          <wp:inline distT="0" distB="0" distL="0" distR="0" wp14:anchorId="6535B5AA" wp14:editId="10B0DC34">
            <wp:extent cx="5759450" cy="3275965"/>
            <wp:effectExtent l="19050" t="19050" r="12700" b="196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3275965"/>
                    </a:xfrm>
                    <a:prstGeom prst="rect">
                      <a:avLst/>
                    </a:prstGeom>
                    <a:noFill/>
                    <a:ln w="9525" cmpd="sng">
                      <a:solidFill>
                        <a:srgbClr val="000000"/>
                      </a:solidFill>
                      <a:miter lim="800000"/>
                      <a:headEnd/>
                      <a:tailEnd/>
                    </a:ln>
                    <a:effectLst/>
                  </pic:spPr>
                </pic:pic>
              </a:graphicData>
            </a:graphic>
          </wp:inline>
        </w:drawing>
      </w:r>
    </w:p>
    <w:p w14:paraId="4691B3B9" w14:textId="6CF46CBA" w:rsidR="00747626" w:rsidRPr="004E0FC3" w:rsidRDefault="00747626" w:rsidP="00747626">
      <w:pPr>
        <w:rPr>
          <w:rFonts w:cs="Arial"/>
          <w:b/>
          <w:szCs w:val="24"/>
        </w:rPr>
      </w:pPr>
      <w:r>
        <w:rPr>
          <w:rFonts w:cs="Arial"/>
          <w:b/>
          <w:szCs w:val="24"/>
        </w:rPr>
        <w:t>Figure 3: Pharmacological management of pain in patients with advanced CKD: a stepwise approach. From Davison 2019 CJASN</w:t>
      </w:r>
      <w:r w:rsidR="004E0FC3">
        <w:rPr>
          <w:rFonts w:cs="Arial"/>
          <w:b/>
          <w:szCs w:val="24"/>
          <w:vertAlign w:val="superscript"/>
        </w:rPr>
        <w:t>27</w:t>
      </w:r>
      <w:r w:rsidR="004E0FC3">
        <w:rPr>
          <w:rFonts w:cs="Arial"/>
          <w:b/>
          <w:szCs w:val="24"/>
        </w:rPr>
        <w:t>.</w:t>
      </w:r>
    </w:p>
    <w:p w14:paraId="08682A17" w14:textId="77777777" w:rsidR="009A534C" w:rsidRDefault="009A534C" w:rsidP="009A534C">
      <w:pPr>
        <w:rPr>
          <w:rFonts w:cs="Arial"/>
          <w:b/>
          <w:szCs w:val="24"/>
        </w:rPr>
      </w:pPr>
    </w:p>
    <w:p w14:paraId="08682A18" w14:textId="324D3AE8" w:rsidR="009A534C" w:rsidRDefault="00E0092E" w:rsidP="009A534C">
      <w:pPr>
        <w:jc w:val="right"/>
        <w:rPr>
          <w:rFonts w:cs="Arial"/>
          <w:i/>
          <w:szCs w:val="24"/>
        </w:rPr>
      </w:pPr>
      <w:hyperlink w:anchor="Contents" w:history="1">
        <w:r w:rsidR="009A534C" w:rsidRPr="00C91F3F">
          <w:rPr>
            <w:rStyle w:val="Hyperlink"/>
            <w:rFonts w:eastAsiaTheme="majorEastAsia" w:cs="Arial"/>
            <w:i/>
            <w:szCs w:val="24"/>
          </w:rPr>
          <w:t>Back to Table of Contents</w:t>
        </w:r>
      </w:hyperlink>
      <w:r w:rsidR="009A534C">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47626" w:rsidRPr="00CD1C0E" w14:paraId="277D1C70" w14:textId="77777777" w:rsidTr="006E6299">
        <w:trPr>
          <w:cantSplit/>
          <w:trHeight w:val="285"/>
        </w:trPr>
        <w:tc>
          <w:tcPr>
            <w:tcW w:w="9158" w:type="dxa"/>
            <w:shd w:val="clear" w:color="auto" w:fill="D9D9D9" w:themeFill="background1" w:themeFillShade="D9"/>
          </w:tcPr>
          <w:p w14:paraId="490387CA" w14:textId="7F43C95D" w:rsidR="00747626" w:rsidRPr="003D2D06" w:rsidRDefault="00747626" w:rsidP="006E6299">
            <w:pPr>
              <w:pStyle w:val="Heading1"/>
            </w:pPr>
            <w:bookmarkStart w:id="30" w:name="_Toc134688856"/>
            <w:r w:rsidRPr="003D2D06">
              <w:t xml:space="preserve">Section </w:t>
            </w:r>
            <w:r>
              <w:t>4</w:t>
            </w:r>
            <w:r w:rsidRPr="003D2D06">
              <w:t xml:space="preserve"> – </w:t>
            </w:r>
            <w:r>
              <w:t>Adjuvants</w:t>
            </w:r>
            <w:bookmarkEnd w:id="30"/>
          </w:p>
        </w:tc>
      </w:tr>
    </w:tbl>
    <w:p w14:paraId="48CC0188" w14:textId="77777777" w:rsidR="00814C70" w:rsidRDefault="00814C70" w:rsidP="00747626">
      <w:pPr>
        <w:rPr>
          <w:rFonts w:asciiTheme="minorHAnsi" w:eastAsiaTheme="minorHAnsi" w:hAnsiTheme="minorHAnsi" w:cstheme="minorBidi"/>
          <w:szCs w:val="24"/>
        </w:rPr>
      </w:pPr>
    </w:p>
    <w:p w14:paraId="774FB797" w14:textId="295F51A5" w:rsidR="00747626" w:rsidRDefault="00747626" w:rsidP="00747626">
      <w:pPr>
        <w:rPr>
          <w:rFonts w:asciiTheme="minorHAnsi" w:eastAsiaTheme="minorHAnsi" w:hAnsiTheme="minorHAnsi" w:cstheme="minorBidi"/>
          <w:szCs w:val="24"/>
        </w:rPr>
      </w:pPr>
      <w:r>
        <w:rPr>
          <w:rFonts w:asciiTheme="minorHAnsi" w:eastAsiaTheme="minorHAnsi" w:hAnsiTheme="minorHAnsi" w:cstheme="minorBidi"/>
          <w:szCs w:val="24"/>
        </w:rPr>
        <w:t>These pharmaceutical drugs are used in conjunction with another form of therapy for effective treatment. These agents are of utility in persistent pain of neuropathic or vascular aetiology, thus an understanding of pain aetiology is important to guide usage. Refer to Figure 4 below for a summary of four more commonly prescribed adjuvants, and their considerations.</w:t>
      </w:r>
    </w:p>
    <w:p w14:paraId="484323A0" w14:textId="77777777" w:rsidR="00747626" w:rsidRDefault="00747626" w:rsidP="00747626">
      <w:pPr>
        <w:rPr>
          <w:rFonts w:asciiTheme="minorHAnsi" w:eastAsiaTheme="minorHAnsi" w:hAnsiTheme="minorHAnsi" w:cstheme="minorBidi"/>
          <w:b/>
          <w:szCs w:val="24"/>
        </w:rPr>
      </w:pPr>
    </w:p>
    <w:p w14:paraId="38059127" w14:textId="77777777" w:rsidR="004E0FC3" w:rsidRDefault="00747626" w:rsidP="004E0FC3">
      <w:pPr>
        <w:rPr>
          <w:rFonts w:asciiTheme="minorHAnsi" w:eastAsiaTheme="minorHAnsi" w:hAnsiTheme="minorHAnsi" w:cstheme="minorBidi"/>
          <w:szCs w:val="24"/>
        </w:rPr>
      </w:pPr>
      <w:proofErr w:type="spellStart"/>
      <w:r>
        <w:rPr>
          <w:rFonts w:asciiTheme="minorHAnsi" w:eastAsiaTheme="minorHAnsi" w:hAnsiTheme="minorHAnsi" w:cstheme="minorBidi"/>
          <w:b/>
          <w:szCs w:val="24"/>
        </w:rPr>
        <w:t>Amitryptyline</w:t>
      </w:r>
      <w:proofErr w:type="spellEnd"/>
      <w:r>
        <w:rPr>
          <w:rFonts w:asciiTheme="minorHAnsi" w:eastAsiaTheme="minorHAnsi" w:hAnsiTheme="minorHAnsi" w:cstheme="minorBidi"/>
          <w:szCs w:val="24"/>
        </w:rPr>
        <w:t xml:space="preserve"> </w:t>
      </w:r>
    </w:p>
    <w:p w14:paraId="5A356E9B" w14:textId="42BF17EC" w:rsidR="00747626" w:rsidRPr="00F5717B" w:rsidRDefault="00747626" w:rsidP="00F5717B">
      <w:pPr>
        <w:pStyle w:val="ListParagraph"/>
        <w:numPr>
          <w:ilvl w:val="0"/>
          <w:numId w:val="19"/>
        </w:numPr>
        <w:rPr>
          <w:rFonts w:eastAsiaTheme="minorHAnsi"/>
        </w:rPr>
      </w:pPr>
      <w:r w:rsidRPr="00F5717B">
        <w:rPr>
          <w:rFonts w:eastAsiaTheme="minorHAnsi"/>
        </w:rPr>
        <w:t xml:space="preserve">Action/use: useful in chronic pain states, including neuropathic pain (independently of their mood-altering effect). Increases concentration of noradrenaline &amp; serotonin in the synapse, thereby inhibiting pain pathways. </w:t>
      </w:r>
    </w:p>
    <w:p w14:paraId="4EE1245F" w14:textId="77777777" w:rsidR="00747626" w:rsidRDefault="00747626" w:rsidP="00B91F18">
      <w:pPr>
        <w:pStyle w:val="ListBullet"/>
        <w:tabs>
          <w:tab w:val="clear" w:pos="1080"/>
          <w:tab w:val="num" w:pos="720"/>
        </w:tabs>
        <w:ind w:left="426" w:hanging="426"/>
        <w:rPr>
          <w:rFonts w:eastAsiaTheme="minorHAnsi"/>
        </w:rPr>
      </w:pPr>
      <w:r>
        <w:rPr>
          <w:rFonts w:eastAsiaTheme="minorHAnsi"/>
        </w:rPr>
        <w:t xml:space="preserve">Side effects: include sedation, weight gain, orthostatic hypotension, anticholinergic effects (dry mouth, blurred vision, constipation, urinary retention), and can lower seizure threshold. Beware of serotonin syndrome. Good efficacy but considerable side effect burden in elderly and sparse evidence in renal impairment.  </w:t>
      </w:r>
    </w:p>
    <w:p w14:paraId="2E3D3837" w14:textId="77777777" w:rsidR="00747626" w:rsidRDefault="00747626" w:rsidP="00B91F18">
      <w:pPr>
        <w:pStyle w:val="ListBullet"/>
        <w:tabs>
          <w:tab w:val="clear" w:pos="1080"/>
          <w:tab w:val="num" w:pos="720"/>
        </w:tabs>
        <w:ind w:left="426" w:hanging="426"/>
        <w:rPr>
          <w:rFonts w:eastAsiaTheme="minorHAnsi"/>
        </w:rPr>
      </w:pPr>
      <w:r>
        <w:rPr>
          <w:rFonts w:eastAsiaTheme="minorHAnsi"/>
        </w:rPr>
        <w:t xml:space="preserve">Dose for analgesic effect is 10-25mg, increasing to a maximum of 75-100mg nocte. </w:t>
      </w:r>
    </w:p>
    <w:p w14:paraId="3B7F7205" w14:textId="77777777" w:rsidR="00B91F18" w:rsidRDefault="00B91F18" w:rsidP="00747626">
      <w:pPr>
        <w:rPr>
          <w:rFonts w:asciiTheme="minorHAnsi" w:eastAsiaTheme="minorHAnsi" w:hAnsiTheme="minorHAnsi" w:cstheme="minorBidi"/>
          <w:b/>
          <w:szCs w:val="24"/>
        </w:rPr>
      </w:pPr>
    </w:p>
    <w:p w14:paraId="5827C54F" w14:textId="70431697" w:rsidR="00747626" w:rsidRDefault="00747626" w:rsidP="00747626">
      <w:pPr>
        <w:rPr>
          <w:rFonts w:asciiTheme="minorHAnsi" w:eastAsiaTheme="minorHAnsi" w:hAnsiTheme="minorHAnsi" w:cstheme="minorBidi"/>
          <w:szCs w:val="24"/>
        </w:rPr>
      </w:pPr>
      <w:r>
        <w:rPr>
          <w:rFonts w:asciiTheme="minorHAnsi" w:eastAsiaTheme="minorHAnsi" w:hAnsiTheme="minorHAnsi" w:cstheme="minorBidi"/>
          <w:b/>
          <w:szCs w:val="24"/>
        </w:rPr>
        <w:t>Duloxetine</w:t>
      </w:r>
      <w:r>
        <w:rPr>
          <w:rFonts w:asciiTheme="minorHAnsi" w:eastAsiaTheme="minorHAnsi" w:hAnsiTheme="minorHAnsi" w:cstheme="minorBidi"/>
          <w:szCs w:val="24"/>
        </w:rPr>
        <w:t xml:space="preserve"> </w:t>
      </w:r>
    </w:p>
    <w:p w14:paraId="08C95506" w14:textId="77777777" w:rsidR="00747626" w:rsidRDefault="00747626" w:rsidP="00B91F18">
      <w:pPr>
        <w:pStyle w:val="ListBullet"/>
        <w:tabs>
          <w:tab w:val="clear" w:pos="1080"/>
          <w:tab w:val="num" w:pos="851"/>
        </w:tabs>
        <w:ind w:left="426" w:hanging="426"/>
        <w:rPr>
          <w:rFonts w:eastAsiaTheme="minorHAnsi"/>
        </w:rPr>
      </w:pPr>
      <w:r>
        <w:rPr>
          <w:rFonts w:eastAsiaTheme="minorHAnsi"/>
        </w:rPr>
        <w:t xml:space="preserve">Action: Half-life is 12 hours, metabolised by CYP2D6 &amp; 1A2. Efficacy as good as TCA but more favourable side effect burden. </w:t>
      </w:r>
    </w:p>
    <w:p w14:paraId="2ECF7B2E" w14:textId="58C6904C" w:rsidR="00747626" w:rsidRDefault="00747626" w:rsidP="00B91F18">
      <w:pPr>
        <w:pStyle w:val="ListBullet"/>
        <w:tabs>
          <w:tab w:val="clear" w:pos="1080"/>
          <w:tab w:val="num" w:pos="851"/>
        </w:tabs>
        <w:ind w:left="426" w:hanging="426"/>
        <w:rPr>
          <w:rFonts w:eastAsiaTheme="minorHAnsi"/>
        </w:rPr>
      </w:pPr>
      <w:r>
        <w:rPr>
          <w:rFonts w:eastAsiaTheme="minorHAnsi"/>
        </w:rPr>
        <w:lastRenderedPageBreak/>
        <w:t xml:space="preserve">Side effects: Most common side effect is nausea.  Usually weight neutral. Has additional specific indications in anxiety disorder and for diabetic neuropathic pain. Need to withdraw over 2 weeks. </w:t>
      </w:r>
    </w:p>
    <w:p w14:paraId="68B56FCC" w14:textId="77777777" w:rsidR="00747626" w:rsidRDefault="00747626" w:rsidP="00B91F18">
      <w:pPr>
        <w:pStyle w:val="ListBullet"/>
        <w:tabs>
          <w:tab w:val="clear" w:pos="1080"/>
          <w:tab w:val="num" w:pos="851"/>
        </w:tabs>
        <w:ind w:left="426" w:hanging="426"/>
        <w:rPr>
          <w:rFonts w:eastAsiaTheme="minorHAnsi"/>
        </w:rPr>
      </w:pPr>
      <w:r>
        <w:rPr>
          <w:rFonts w:eastAsiaTheme="minorHAnsi"/>
        </w:rPr>
        <w:t xml:space="preserve">Dose: Use lower dose of 30mg once daily in renal impairment (up to 60mg daily). </w:t>
      </w:r>
    </w:p>
    <w:p w14:paraId="138EC805" w14:textId="77777777" w:rsidR="00747626" w:rsidRDefault="00747626" w:rsidP="00747626">
      <w:pPr>
        <w:rPr>
          <w:rFonts w:asciiTheme="minorHAnsi" w:eastAsiaTheme="minorHAnsi" w:hAnsiTheme="minorHAnsi" w:cstheme="minorBidi"/>
          <w:szCs w:val="24"/>
        </w:rPr>
      </w:pPr>
    </w:p>
    <w:p w14:paraId="679C124C" w14:textId="77777777" w:rsidR="00747626" w:rsidRDefault="00747626" w:rsidP="00747626">
      <w:pPr>
        <w:rPr>
          <w:rFonts w:asciiTheme="minorHAnsi" w:eastAsiaTheme="minorHAnsi" w:hAnsiTheme="minorHAnsi" w:cstheme="minorBidi"/>
          <w:b/>
          <w:szCs w:val="24"/>
        </w:rPr>
      </w:pPr>
      <w:r>
        <w:rPr>
          <w:rFonts w:asciiTheme="minorHAnsi" w:eastAsiaTheme="minorHAnsi" w:hAnsiTheme="minorHAnsi" w:cstheme="minorBidi"/>
          <w:b/>
          <w:szCs w:val="24"/>
        </w:rPr>
        <w:t xml:space="preserve">Gabapentin </w:t>
      </w:r>
    </w:p>
    <w:p w14:paraId="6976ED6F" w14:textId="77777777" w:rsidR="00747626" w:rsidRDefault="00747626" w:rsidP="00B91F18">
      <w:pPr>
        <w:pStyle w:val="ListBullet"/>
        <w:tabs>
          <w:tab w:val="clear" w:pos="1080"/>
          <w:tab w:val="num" w:pos="720"/>
        </w:tabs>
        <w:ind w:left="426" w:hanging="426"/>
        <w:rPr>
          <w:rFonts w:eastAsiaTheme="minorHAnsi"/>
        </w:rPr>
      </w:pPr>
      <w:r>
        <w:rPr>
          <w:rFonts w:eastAsiaTheme="minorHAnsi"/>
        </w:rPr>
        <w:t>Action:</w:t>
      </w:r>
      <w:r>
        <w:rPr>
          <w:rFonts w:eastAsiaTheme="minorHAnsi"/>
          <w:b/>
        </w:rPr>
        <w:t xml:space="preserve"> </w:t>
      </w:r>
      <w:r>
        <w:rPr>
          <w:rFonts w:eastAsiaTheme="minorHAnsi"/>
        </w:rPr>
        <w:t xml:space="preserve">Structural analogue of </w:t>
      </w:r>
      <w:r>
        <w:rPr>
          <w:rStyle w:val="normaltextrun"/>
          <w:rFonts w:cs="Calibri"/>
        </w:rPr>
        <w:t>gamma-aminobutyric acid (</w:t>
      </w:r>
      <w:r>
        <w:rPr>
          <w:rFonts w:eastAsiaTheme="minorHAnsi"/>
        </w:rPr>
        <w:t xml:space="preserve">GABA) and mechanism involves modulation of VG calcium channels, thereby allowing less calcium into neuron and reduction of neurotransmission. Adjuvant targeting neuropathic pain, as well as uraemic pruritis and restless leg syndrome. Half-life is five to seven hours but prolonged in renal disease. Renally excreted unchanged. </w:t>
      </w:r>
    </w:p>
    <w:p w14:paraId="127FB6E2" w14:textId="77777777" w:rsidR="00747626" w:rsidRDefault="00747626" w:rsidP="00B91F18">
      <w:pPr>
        <w:pStyle w:val="ListBullet"/>
        <w:tabs>
          <w:tab w:val="clear" w:pos="1080"/>
          <w:tab w:val="num" w:pos="720"/>
        </w:tabs>
        <w:ind w:left="426" w:hanging="426"/>
        <w:rPr>
          <w:rFonts w:eastAsiaTheme="minorHAnsi"/>
        </w:rPr>
      </w:pPr>
      <w:r>
        <w:rPr>
          <w:rFonts w:eastAsiaTheme="minorHAnsi"/>
        </w:rPr>
        <w:t>Side effects:  blurred vision, sedation and weight gain.</w:t>
      </w:r>
    </w:p>
    <w:p w14:paraId="4897C3BC" w14:textId="77777777" w:rsidR="00747626" w:rsidRDefault="00747626" w:rsidP="00B91F18">
      <w:pPr>
        <w:pStyle w:val="ListBullet"/>
        <w:tabs>
          <w:tab w:val="clear" w:pos="1080"/>
          <w:tab w:val="num" w:pos="720"/>
        </w:tabs>
        <w:ind w:left="426" w:hanging="426"/>
        <w:rPr>
          <w:rFonts w:eastAsiaTheme="minorHAnsi"/>
        </w:rPr>
      </w:pPr>
      <w:r>
        <w:rPr>
          <w:rFonts w:eastAsiaTheme="minorHAnsi"/>
        </w:rPr>
        <w:t>Dose:  Commence at 50mg nocte (open the capsule and halve the contents – note this may have implications for patients in nursing home setting where enrolled nurses are not endorsed to do this) or 100mg nocte on alternate/dialysis days. Maximum dose is 300mg nocte in dialysis patients.</w:t>
      </w:r>
    </w:p>
    <w:p w14:paraId="013CCFA7" w14:textId="77777777" w:rsidR="00747626" w:rsidRDefault="00747626" w:rsidP="00747626">
      <w:pPr>
        <w:rPr>
          <w:rFonts w:asciiTheme="minorHAnsi" w:eastAsiaTheme="minorHAnsi" w:hAnsiTheme="minorHAnsi" w:cstheme="minorBidi"/>
          <w:szCs w:val="24"/>
        </w:rPr>
      </w:pPr>
    </w:p>
    <w:p w14:paraId="14F6F0AB" w14:textId="77777777" w:rsidR="00747626" w:rsidRDefault="00747626" w:rsidP="00747626">
      <w:pPr>
        <w:rPr>
          <w:rFonts w:asciiTheme="minorHAnsi" w:eastAsiaTheme="minorHAnsi" w:hAnsiTheme="minorHAnsi" w:cstheme="minorBidi"/>
          <w:szCs w:val="24"/>
        </w:rPr>
      </w:pPr>
      <w:r>
        <w:rPr>
          <w:rFonts w:asciiTheme="minorHAnsi" w:eastAsiaTheme="minorHAnsi" w:hAnsiTheme="minorHAnsi" w:cstheme="minorBidi"/>
          <w:b/>
          <w:szCs w:val="24"/>
        </w:rPr>
        <w:t>Pregabalin</w:t>
      </w:r>
      <w:r>
        <w:rPr>
          <w:rFonts w:asciiTheme="minorHAnsi" w:eastAsiaTheme="minorHAnsi" w:hAnsiTheme="minorHAnsi" w:cstheme="minorBidi"/>
          <w:szCs w:val="24"/>
        </w:rPr>
        <w:t xml:space="preserve"> </w:t>
      </w:r>
    </w:p>
    <w:p w14:paraId="607B9009" w14:textId="77777777" w:rsidR="00747626" w:rsidRDefault="00747626" w:rsidP="00B91F18">
      <w:pPr>
        <w:pStyle w:val="ListBullet"/>
        <w:tabs>
          <w:tab w:val="clear" w:pos="1080"/>
          <w:tab w:val="num" w:pos="720"/>
        </w:tabs>
        <w:ind w:left="426" w:hanging="426"/>
        <w:rPr>
          <w:rFonts w:eastAsiaTheme="minorHAnsi"/>
        </w:rPr>
      </w:pPr>
      <w:r>
        <w:rPr>
          <w:rFonts w:eastAsiaTheme="minorHAnsi"/>
        </w:rPr>
        <w:t xml:space="preserve">Action: Same mechanism of action as gabapentin but with a more predictable absorption profile (linear pharmacokinetics) </w:t>
      </w:r>
    </w:p>
    <w:p w14:paraId="7F518C49" w14:textId="77777777" w:rsidR="00747626" w:rsidRDefault="00747626" w:rsidP="00B91F18">
      <w:pPr>
        <w:pStyle w:val="ListBullet"/>
        <w:tabs>
          <w:tab w:val="clear" w:pos="1080"/>
          <w:tab w:val="num" w:pos="720"/>
        </w:tabs>
        <w:ind w:left="426" w:hanging="426"/>
        <w:rPr>
          <w:rFonts w:eastAsiaTheme="minorHAnsi"/>
        </w:rPr>
      </w:pPr>
      <w:r>
        <w:rPr>
          <w:rFonts w:eastAsiaTheme="minorHAnsi"/>
        </w:rPr>
        <w:t xml:space="preserve">Side effects: Same adverse effects as gabapentin. Valuable adjuvant targeting neuropathic pain. </w:t>
      </w:r>
    </w:p>
    <w:p w14:paraId="767FBAF6" w14:textId="46311246" w:rsidR="00747626" w:rsidRDefault="00747626" w:rsidP="00B91F18">
      <w:pPr>
        <w:pStyle w:val="ListBullet"/>
        <w:tabs>
          <w:tab w:val="clear" w:pos="1080"/>
          <w:tab w:val="num" w:pos="720"/>
        </w:tabs>
        <w:ind w:left="426" w:hanging="426"/>
        <w:rPr>
          <w:rFonts w:eastAsiaTheme="minorHAnsi"/>
        </w:rPr>
      </w:pPr>
      <w:r>
        <w:rPr>
          <w:rFonts w:eastAsiaTheme="minorHAnsi"/>
        </w:rPr>
        <w:t xml:space="preserve">Dose: Commence at low doses </w:t>
      </w:r>
      <w:r w:rsidR="00EB7791">
        <w:rPr>
          <w:rFonts w:eastAsiaTheme="minorHAnsi"/>
        </w:rPr>
        <w:t>e.g.,</w:t>
      </w:r>
      <w:r>
        <w:rPr>
          <w:rFonts w:eastAsiaTheme="minorHAnsi"/>
        </w:rPr>
        <w:t xml:space="preserve"> 25mg nocte. </w:t>
      </w:r>
    </w:p>
    <w:p w14:paraId="326D275B" w14:textId="56CDE222" w:rsidR="001D24FD" w:rsidRDefault="001D24FD">
      <w:pPr>
        <w:spacing w:after="200" w:line="276" w:lineRule="auto"/>
        <w:rPr>
          <w:rFonts w:eastAsiaTheme="minorHAnsi"/>
        </w:rPr>
      </w:pPr>
      <w:r>
        <w:rPr>
          <w:rFonts w:eastAsiaTheme="minorHAnsi"/>
        </w:rPr>
        <w:br w:type="page"/>
      </w:r>
    </w:p>
    <w:tbl>
      <w:tblPr>
        <w:tblStyle w:val="TableGrid"/>
        <w:tblW w:w="9493" w:type="dxa"/>
        <w:tblLook w:val="04A0" w:firstRow="1" w:lastRow="0" w:firstColumn="1" w:lastColumn="0" w:noHBand="0" w:noVBand="1"/>
      </w:tblPr>
      <w:tblGrid>
        <w:gridCol w:w="1435"/>
        <w:gridCol w:w="1089"/>
        <w:gridCol w:w="985"/>
        <w:gridCol w:w="1248"/>
        <w:gridCol w:w="1540"/>
        <w:gridCol w:w="1198"/>
        <w:gridCol w:w="1998"/>
      </w:tblGrid>
      <w:tr w:rsidR="00747626" w14:paraId="4DDFD4AB" w14:textId="77777777" w:rsidTr="00747626">
        <w:trPr>
          <w:tblHeader/>
        </w:trPr>
        <w:tc>
          <w:tcPr>
            <w:tcW w:w="1435" w:type="dxa"/>
            <w:tcBorders>
              <w:top w:val="single" w:sz="4" w:space="0" w:color="auto"/>
              <w:left w:val="single" w:sz="4" w:space="0" w:color="auto"/>
              <w:bottom w:val="single" w:sz="4" w:space="0" w:color="auto"/>
              <w:right w:val="single" w:sz="4" w:space="0" w:color="auto"/>
            </w:tcBorders>
            <w:hideMark/>
          </w:tcPr>
          <w:p w14:paraId="7E2D96DA" w14:textId="77777777" w:rsidR="00747626" w:rsidRDefault="00747626">
            <w:pPr>
              <w:rPr>
                <w:rFonts w:asciiTheme="minorHAnsi" w:eastAsiaTheme="minorHAnsi" w:hAnsiTheme="minorHAnsi" w:cstheme="minorBidi"/>
                <w:b/>
                <w:sz w:val="22"/>
                <w:szCs w:val="22"/>
              </w:rPr>
            </w:pPr>
            <w:r>
              <w:rPr>
                <w:rFonts w:asciiTheme="minorHAnsi" w:eastAsiaTheme="minorHAnsi" w:hAnsiTheme="minorHAnsi" w:cstheme="minorBidi"/>
                <w:b/>
                <w:sz w:val="22"/>
                <w:szCs w:val="22"/>
              </w:rPr>
              <w:lastRenderedPageBreak/>
              <w:t>Medication</w:t>
            </w:r>
          </w:p>
        </w:tc>
        <w:tc>
          <w:tcPr>
            <w:tcW w:w="1089" w:type="dxa"/>
            <w:tcBorders>
              <w:top w:val="single" w:sz="4" w:space="0" w:color="auto"/>
              <w:left w:val="single" w:sz="4" w:space="0" w:color="auto"/>
              <w:bottom w:val="single" w:sz="4" w:space="0" w:color="auto"/>
              <w:right w:val="single" w:sz="4" w:space="0" w:color="auto"/>
            </w:tcBorders>
            <w:hideMark/>
          </w:tcPr>
          <w:p w14:paraId="360136D0" w14:textId="77777777" w:rsidR="00747626" w:rsidRDefault="00747626">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 excreted in urine</w:t>
            </w:r>
          </w:p>
        </w:tc>
        <w:tc>
          <w:tcPr>
            <w:tcW w:w="985" w:type="dxa"/>
            <w:tcBorders>
              <w:top w:val="single" w:sz="4" w:space="0" w:color="auto"/>
              <w:left w:val="single" w:sz="4" w:space="0" w:color="auto"/>
              <w:bottom w:val="single" w:sz="4" w:space="0" w:color="auto"/>
              <w:right w:val="single" w:sz="4" w:space="0" w:color="auto"/>
            </w:tcBorders>
            <w:hideMark/>
          </w:tcPr>
          <w:p w14:paraId="67A088BA" w14:textId="77777777" w:rsidR="00747626" w:rsidRDefault="00747626">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T ½ normal</w:t>
            </w:r>
          </w:p>
        </w:tc>
        <w:tc>
          <w:tcPr>
            <w:tcW w:w="1248" w:type="dxa"/>
            <w:tcBorders>
              <w:top w:val="single" w:sz="4" w:space="0" w:color="auto"/>
              <w:left w:val="single" w:sz="4" w:space="0" w:color="auto"/>
              <w:bottom w:val="single" w:sz="4" w:space="0" w:color="auto"/>
              <w:right w:val="single" w:sz="4" w:space="0" w:color="auto"/>
            </w:tcBorders>
            <w:hideMark/>
          </w:tcPr>
          <w:p w14:paraId="14AA2622" w14:textId="77777777" w:rsidR="00747626" w:rsidRDefault="00747626">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T ½ ESKD &amp; Dialysis</w:t>
            </w:r>
          </w:p>
        </w:tc>
        <w:tc>
          <w:tcPr>
            <w:tcW w:w="1540" w:type="dxa"/>
            <w:tcBorders>
              <w:top w:val="single" w:sz="4" w:space="0" w:color="auto"/>
              <w:left w:val="single" w:sz="4" w:space="0" w:color="auto"/>
              <w:bottom w:val="single" w:sz="4" w:space="0" w:color="auto"/>
              <w:right w:val="single" w:sz="4" w:space="0" w:color="auto"/>
            </w:tcBorders>
            <w:hideMark/>
          </w:tcPr>
          <w:p w14:paraId="5E85A2AB" w14:textId="77777777" w:rsidR="00747626" w:rsidRDefault="00747626">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Haemodialysis</w:t>
            </w:r>
          </w:p>
        </w:tc>
        <w:tc>
          <w:tcPr>
            <w:tcW w:w="1198" w:type="dxa"/>
            <w:tcBorders>
              <w:top w:val="single" w:sz="4" w:space="0" w:color="auto"/>
              <w:left w:val="single" w:sz="4" w:space="0" w:color="auto"/>
              <w:bottom w:val="single" w:sz="4" w:space="0" w:color="auto"/>
              <w:right w:val="single" w:sz="4" w:space="0" w:color="auto"/>
            </w:tcBorders>
            <w:hideMark/>
          </w:tcPr>
          <w:p w14:paraId="47BE5C6D" w14:textId="77777777" w:rsidR="00747626" w:rsidRDefault="00747626">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Peritoneal Dialysis</w:t>
            </w:r>
          </w:p>
        </w:tc>
        <w:tc>
          <w:tcPr>
            <w:tcW w:w="1998" w:type="dxa"/>
            <w:tcBorders>
              <w:top w:val="single" w:sz="4" w:space="0" w:color="auto"/>
              <w:left w:val="single" w:sz="4" w:space="0" w:color="auto"/>
              <w:bottom w:val="single" w:sz="4" w:space="0" w:color="auto"/>
              <w:right w:val="single" w:sz="4" w:space="0" w:color="auto"/>
            </w:tcBorders>
            <w:hideMark/>
          </w:tcPr>
          <w:p w14:paraId="6CECA76C" w14:textId="77777777" w:rsidR="00747626" w:rsidRDefault="00747626">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Comments, Maximum dose</w:t>
            </w:r>
          </w:p>
        </w:tc>
      </w:tr>
      <w:tr w:rsidR="00747626" w14:paraId="0B3FE05B" w14:textId="77777777" w:rsidTr="00747626">
        <w:tc>
          <w:tcPr>
            <w:tcW w:w="1435" w:type="dxa"/>
            <w:tcBorders>
              <w:top w:val="single" w:sz="4" w:space="0" w:color="auto"/>
              <w:left w:val="single" w:sz="4" w:space="0" w:color="auto"/>
              <w:bottom w:val="single" w:sz="4" w:space="0" w:color="auto"/>
              <w:right w:val="single" w:sz="4" w:space="0" w:color="auto"/>
            </w:tcBorders>
            <w:shd w:val="clear" w:color="auto" w:fill="92D050"/>
            <w:hideMark/>
          </w:tcPr>
          <w:p w14:paraId="1EEE7678" w14:textId="77777777" w:rsidR="00747626" w:rsidRDefault="00747626">
            <w:pPr>
              <w:rPr>
                <w:rFonts w:asciiTheme="minorHAnsi" w:eastAsiaTheme="minorHAnsi" w:hAnsiTheme="minorHAnsi" w:cstheme="minorBidi"/>
                <w:bCs/>
                <w:sz w:val="22"/>
                <w:szCs w:val="22"/>
              </w:rPr>
            </w:pPr>
            <w:proofErr w:type="spellStart"/>
            <w:r>
              <w:rPr>
                <w:rFonts w:asciiTheme="minorHAnsi" w:eastAsiaTheme="minorHAnsi" w:hAnsiTheme="minorHAnsi" w:cstheme="minorBidi"/>
                <w:bCs/>
                <w:sz w:val="22"/>
                <w:szCs w:val="22"/>
              </w:rPr>
              <w:t>Amitryptyline</w:t>
            </w:r>
            <w:proofErr w:type="spellEnd"/>
          </w:p>
        </w:tc>
        <w:tc>
          <w:tcPr>
            <w:tcW w:w="1089" w:type="dxa"/>
            <w:tcBorders>
              <w:top w:val="single" w:sz="4" w:space="0" w:color="auto"/>
              <w:left w:val="single" w:sz="4" w:space="0" w:color="auto"/>
              <w:bottom w:val="single" w:sz="4" w:space="0" w:color="auto"/>
              <w:right w:val="single" w:sz="4" w:space="0" w:color="auto"/>
            </w:tcBorders>
            <w:shd w:val="clear" w:color="auto" w:fill="92D050"/>
            <w:hideMark/>
          </w:tcPr>
          <w:p w14:paraId="3D43A4F9"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&lt;2</w:t>
            </w:r>
          </w:p>
        </w:tc>
        <w:tc>
          <w:tcPr>
            <w:tcW w:w="985" w:type="dxa"/>
            <w:tcBorders>
              <w:top w:val="single" w:sz="4" w:space="0" w:color="auto"/>
              <w:left w:val="single" w:sz="4" w:space="0" w:color="auto"/>
              <w:bottom w:val="single" w:sz="4" w:space="0" w:color="auto"/>
              <w:right w:val="single" w:sz="4" w:space="0" w:color="auto"/>
            </w:tcBorders>
            <w:shd w:val="clear" w:color="auto" w:fill="92D050"/>
            <w:hideMark/>
          </w:tcPr>
          <w:p w14:paraId="671CB3F4"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9-25</w:t>
            </w:r>
          </w:p>
        </w:tc>
        <w:tc>
          <w:tcPr>
            <w:tcW w:w="1248" w:type="dxa"/>
            <w:tcBorders>
              <w:top w:val="single" w:sz="4" w:space="0" w:color="auto"/>
              <w:left w:val="single" w:sz="4" w:space="0" w:color="auto"/>
              <w:bottom w:val="single" w:sz="4" w:space="0" w:color="auto"/>
              <w:right w:val="single" w:sz="4" w:space="0" w:color="auto"/>
            </w:tcBorders>
            <w:shd w:val="clear" w:color="auto" w:fill="92D050"/>
            <w:hideMark/>
          </w:tcPr>
          <w:p w14:paraId="53308D21"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Unchanged</w:t>
            </w:r>
          </w:p>
        </w:tc>
        <w:tc>
          <w:tcPr>
            <w:tcW w:w="1540" w:type="dxa"/>
            <w:tcBorders>
              <w:top w:val="single" w:sz="4" w:space="0" w:color="auto"/>
              <w:left w:val="single" w:sz="4" w:space="0" w:color="auto"/>
              <w:bottom w:val="single" w:sz="4" w:space="0" w:color="auto"/>
              <w:right w:val="single" w:sz="4" w:space="0" w:color="auto"/>
            </w:tcBorders>
            <w:shd w:val="clear" w:color="auto" w:fill="92D050"/>
            <w:hideMark/>
          </w:tcPr>
          <w:p w14:paraId="08A2FDA3"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Not dialysed</w:t>
            </w:r>
          </w:p>
        </w:tc>
        <w:tc>
          <w:tcPr>
            <w:tcW w:w="1198" w:type="dxa"/>
            <w:tcBorders>
              <w:top w:val="single" w:sz="4" w:space="0" w:color="auto"/>
              <w:left w:val="single" w:sz="4" w:space="0" w:color="auto"/>
              <w:bottom w:val="single" w:sz="4" w:space="0" w:color="auto"/>
              <w:right w:val="single" w:sz="4" w:space="0" w:color="auto"/>
            </w:tcBorders>
            <w:shd w:val="clear" w:color="auto" w:fill="92D050"/>
            <w:hideMark/>
          </w:tcPr>
          <w:p w14:paraId="6FE9171A"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Not dialysed</w:t>
            </w:r>
          </w:p>
        </w:tc>
        <w:tc>
          <w:tcPr>
            <w:tcW w:w="1998" w:type="dxa"/>
            <w:tcBorders>
              <w:top w:val="single" w:sz="4" w:space="0" w:color="auto"/>
              <w:left w:val="single" w:sz="4" w:space="0" w:color="auto"/>
              <w:bottom w:val="single" w:sz="4" w:space="0" w:color="auto"/>
              <w:right w:val="single" w:sz="4" w:space="0" w:color="auto"/>
            </w:tcBorders>
            <w:shd w:val="clear" w:color="auto" w:fill="92D050"/>
            <w:hideMark/>
          </w:tcPr>
          <w:p w14:paraId="5C2825D2"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 xml:space="preserve">No dose reduction required </w:t>
            </w:r>
          </w:p>
        </w:tc>
      </w:tr>
      <w:tr w:rsidR="00747626" w14:paraId="4E091812" w14:textId="77777777" w:rsidTr="00747626">
        <w:tc>
          <w:tcPr>
            <w:tcW w:w="1435" w:type="dxa"/>
            <w:tcBorders>
              <w:top w:val="single" w:sz="4" w:space="0" w:color="auto"/>
              <w:left w:val="single" w:sz="4" w:space="0" w:color="auto"/>
              <w:bottom w:val="single" w:sz="4" w:space="0" w:color="auto"/>
              <w:right w:val="single" w:sz="4" w:space="0" w:color="auto"/>
            </w:tcBorders>
            <w:shd w:val="clear" w:color="auto" w:fill="FFFF00"/>
            <w:hideMark/>
          </w:tcPr>
          <w:p w14:paraId="2C8EA839"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 xml:space="preserve">Duloxetine </w:t>
            </w:r>
          </w:p>
        </w:tc>
        <w:tc>
          <w:tcPr>
            <w:tcW w:w="1089" w:type="dxa"/>
            <w:tcBorders>
              <w:top w:val="single" w:sz="4" w:space="0" w:color="auto"/>
              <w:left w:val="single" w:sz="4" w:space="0" w:color="auto"/>
              <w:bottom w:val="single" w:sz="4" w:space="0" w:color="auto"/>
              <w:right w:val="single" w:sz="4" w:space="0" w:color="auto"/>
            </w:tcBorders>
            <w:shd w:val="clear" w:color="auto" w:fill="FFFF00"/>
            <w:hideMark/>
          </w:tcPr>
          <w:p w14:paraId="77D87024"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&lt;1</w:t>
            </w:r>
          </w:p>
        </w:tc>
        <w:tc>
          <w:tcPr>
            <w:tcW w:w="985" w:type="dxa"/>
            <w:tcBorders>
              <w:top w:val="single" w:sz="4" w:space="0" w:color="auto"/>
              <w:left w:val="single" w:sz="4" w:space="0" w:color="auto"/>
              <w:bottom w:val="single" w:sz="4" w:space="0" w:color="auto"/>
              <w:right w:val="single" w:sz="4" w:space="0" w:color="auto"/>
            </w:tcBorders>
            <w:shd w:val="clear" w:color="auto" w:fill="FFFF00"/>
            <w:hideMark/>
          </w:tcPr>
          <w:p w14:paraId="45530253"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8-17</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1C8CFDB3"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Unchanged</w:t>
            </w:r>
          </w:p>
        </w:tc>
        <w:tc>
          <w:tcPr>
            <w:tcW w:w="1540" w:type="dxa"/>
            <w:tcBorders>
              <w:top w:val="single" w:sz="4" w:space="0" w:color="auto"/>
              <w:left w:val="single" w:sz="4" w:space="0" w:color="auto"/>
              <w:bottom w:val="single" w:sz="4" w:space="0" w:color="auto"/>
              <w:right w:val="single" w:sz="4" w:space="0" w:color="auto"/>
            </w:tcBorders>
            <w:shd w:val="clear" w:color="auto" w:fill="FFFF00"/>
            <w:hideMark/>
          </w:tcPr>
          <w:p w14:paraId="67ED83CE"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Not dialysed</w:t>
            </w:r>
          </w:p>
        </w:tc>
        <w:tc>
          <w:tcPr>
            <w:tcW w:w="1198" w:type="dxa"/>
            <w:tcBorders>
              <w:top w:val="single" w:sz="4" w:space="0" w:color="auto"/>
              <w:left w:val="single" w:sz="4" w:space="0" w:color="auto"/>
              <w:bottom w:val="single" w:sz="4" w:space="0" w:color="auto"/>
              <w:right w:val="single" w:sz="4" w:space="0" w:color="auto"/>
            </w:tcBorders>
            <w:shd w:val="clear" w:color="auto" w:fill="FFFF00"/>
            <w:hideMark/>
          </w:tcPr>
          <w:p w14:paraId="1DE6767D"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Not dialysed</w:t>
            </w:r>
          </w:p>
        </w:tc>
        <w:tc>
          <w:tcPr>
            <w:tcW w:w="1998" w:type="dxa"/>
            <w:tcBorders>
              <w:top w:val="single" w:sz="4" w:space="0" w:color="auto"/>
              <w:left w:val="single" w:sz="4" w:space="0" w:color="auto"/>
              <w:bottom w:val="single" w:sz="4" w:space="0" w:color="auto"/>
              <w:right w:val="single" w:sz="4" w:space="0" w:color="auto"/>
            </w:tcBorders>
            <w:shd w:val="clear" w:color="auto" w:fill="FFFF00"/>
            <w:hideMark/>
          </w:tcPr>
          <w:p w14:paraId="2D5C6E88"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Start at 30mg or less, up to max 60mg</w:t>
            </w:r>
          </w:p>
        </w:tc>
      </w:tr>
      <w:tr w:rsidR="00747626" w14:paraId="6CE244D3" w14:textId="77777777" w:rsidTr="00747626">
        <w:tc>
          <w:tcPr>
            <w:tcW w:w="1435" w:type="dxa"/>
            <w:tcBorders>
              <w:top w:val="single" w:sz="4" w:space="0" w:color="auto"/>
              <w:left w:val="single" w:sz="4" w:space="0" w:color="auto"/>
              <w:bottom w:val="single" w:sz="4" w:space="0" w:color="auto"/>
              <w:right w:val="single" w:sz="4" w:space="0" w:color="auto"/>
            </w:tcBorders>
            <w:shd w:val="clear" w:color="auto" w:fill="FFFF00"/>
            <w:hideMark/>
          </w:tcPr>
          <w:p w14:paraId="4DED3B03"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Gabapentin</w:t>
            </w:r>
          </w:p>
        </w:tc>
        <w:tc>
          <w:tcPr>
            <w:tcW w:w="1089" w:type="dxa"/>
            <w:tcBorders>
              <w:top w:val="single" w:sz="4" w:space="0" w:color="auto"/>
              <w:left w:val="single" w:sz="4" w:space="0" w:color="auto"/>
              <w:bottom w:val="single" w:sz="4" w:space="0" w:color="auto"/>
              <w:right w:val="single" w:sz="4" w:space="0" w:color="auto"/>
            </w:tcBorders>
            <w:shd w:val="clear" w:color="auto" w:fill="FFFF00"/>
            <w:hideMark/>
          </w:tcPr>
          <w:p w14:paraId="20FDBF14"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~100</w:t>
            </w:r>
          </w:p>
        </w:tc>
        <w:tc>
          <w:tcPr>
            <w:tcW w:w="985" w:type="dxa"/>
            <w:tcBorders>
              <w:top w:val="single" w:sz="4" w:space="0" w:color="auto"/>
              <w:left w:val="single" w:sz="4" w:space="0" w:color="auto"/>
              <w:bottom w:val="single" w:sz="4" w:space="0" w:color="auto"/>
              <w:right w:val="single" w:sz="4" w:space="0" w:color="auto"/>
            </w:tcBorders>
            <w:shd w:val="clear" w:color="auto" w:fill="FFFF00"/>
            <w:hideMark/>
          </w:tcPr>
          <w:p w14:paraId="419825B4"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5-7</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4EB3027"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52-132</w:t>
            </w:r>
          </w:p>
        </w:tc>
        <w:tc>
          <w:tcPr>
            <w:tcW w:w="1540" w:type="dxa"/>
            <w:tcBorders>
              <w:top w:val="single" w:sz="4" w:space="0" w:color="auto"/>
              <w:left w:val="single" w:sz="4" w:space="0" w:color="auto"/>
              <w:bottom w:val="single" w:sz="4" w:space="0" w:color="auto"/>
              <w:right w:val="single" w:sz="4" w:space="0" w:color="auto"/>
            </w:tcBorders>
            <w:shd w:val="clear" w:color="auto" w:fill="FFFF00"/>
            <w:hideMark/>
          </w:tcPr>
          <w:p w14:paraId="4DA2FFC4"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Dialysed</w:t>
            </w:r>
          </w:p>
        </w:tc>
        <w:tc>
          <w:tcPr>
            <w:tcW w:w="1198" w:type="dxa"/>
            <w:tcBorders>
              <w:top w:val="single" w:sz="4" w:space="0" w:color="auto"/>
              <w:left w:val="single" w:sz="4" w:space="0" w:color="auto"/>
              <w:bottom w:val="single" w:sz="4" w:space="0" w:color="auto"/>
              <w:right w:val="single" w:sz="4" w:space="0" w:color="auto"/>
            </w:tcBorders>
            <w:shd w:val="clear" w:color="auto" w:fill="FFFF00"/>
            <w:hideMark/>
          </w:tcPr>
          <w:p w14:paraId="013AD381"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Possibly dialysed</w:t>
            </w:r>
          </w:p>
        </w:tc>
        <w:tc>
          <w:tcPr>
            <w:tcW w:w="1998" w:type="dxa"/>
            <w:tcBorders>
              <w:top w:val="single" w:sz="4" w:space="0" w:color="auto"/>
              <w:left w:val="single" w:sz="4" w:space="0" w:color="auto"/>
              <w:bottom w:val="single" w:sz="4" w:space="0" w:color="auto"/>
              <w:right w:val="single" w:sz="4" w:space="0" w:color="auto"/>
            </w:tcBorders>
            <w:shd w:val="clear" w:color="auto" w:fill="FFFF00"/>
            <w:hideMark/>
          </w:tcPr>
          <w:p w14:paraId="48D0B269"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eGFR 15-30: 300mg BD</w:t>
            </w:r>
          </w:p>
          <w:p w14:paraId="095948FB"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eGFR&lt;15: 300mg Daily</w:t>
            </w:r>
          </w:p>
          <w:p w14:paraId="4151742A"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Dose post dialysis</w:t>
            </w:r>
          </w:p>
        </w:tc>
      </w:tr>
      <w:tr w:rsidR="00747626" w14:paraId="1E07E083" w14:textId="77777777" w:rsidTr="00747626">
        <w:tc>
          <w:tcPr>
            <w:tcW w:w="1435" w:type="dxa"/>
            <w:tcBorders>
              <w:top w:val="single" w:sz="4" w:space="0" w:color="auto"/>
              <w:left w:val="single" w:sz="4" w:space="0" w:color="auto"/>
              <w:bottom w:val="single" w:sz="4" w:space="0" w:color="auto"/>
              <w:right w:val="single" w:sz="4" w:space="0" w:color="auto"/>
            </w:tcBorders>
            <w:shd w:val="clear" w:color="auto" w:fill="FFFF00"/>
            <w:hideMark/>
          </w:tcPr>
          <w:p w14:paraId="3F773D20"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Pregabalin</w:t>
            </w:r>
          </w:p>
        </w:tc>
        <w:tc>
          <w:tcPr>
            <w:tcW w:w="1089" w:type="dxa"/>
            <w:tcBorders>
              <w:top w:val="single" w:sz="4" w:space="0" w:color="auto"/>
              <w:left w:val="single" w:sz="4" w:space="0" w:color="auto"/>
              <w:bottom w:val="single" w:sz="4" w:space="0" w:color="auto"/>
              <w:right w:val="single" w:sz="4" w:space="0" w:color="auto"/>
            </w:tcBorders>
            <w:shd w:val="clear" w:color="auto" w:fill="FFFF00"/>
            <w:hideMark/>
          </w:tcPr>
          <w:p w14:paraId="5C70D2CF"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92-99</w:t>
            </w:r>
          </w:p>
        </w:tc>
        <w:tc>
          <w:tcPr>
            <w:tcW w:w="985" w:type="dxa"/>
            <w:tcBorders>
              <w:top w:val="single" w:sz="4" w:space="0" w:color="auto"/>
              <w:left w:val="single" w:sz="4" w:space="0" w:color="auto"/>
              <w:bottom w:val="single" w:sz="4" w:space="0" w:color="auto"/>
              <w:right w:val="single" w:sz="4" w:space="0" w:color="auto"/>
            </w:tcBorders>
            <w:shd w:val="clear" w:color="auto" w:fill="FFFF00"/>
            <w:hideMark/>
          </w:tcPr>
          <w:p w14:paraId="6F543566"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5.6.5</w:t>
            </w:r>
          </w:p>
        </w:tc>
        <w:tc>
          <w:tcPr>
            <w:tcW w:w="1248" w:type="dxa"/>
            <w:tcBorders>
              <w:top w:val="single" w:sz="4" w:space="0" w:color="auto"/>
              <w:left w:val="single" w:sz="4" w:space="0" w:color="auto"/>
              <w:bottom w:val="single" w:sz="4" w:space="0" w:color="auto"/>
              <w:right w:val="single" w:sz="4" w:space="0" w:color="auto"/>
            </w:tcBorders>
            <w:shd w:val="clear" w:color="auto" w:fill="FFFF00"/>
            <w:hideMark/>
          </w:tcPr>
          <w:p w14:paraId="0C9180F8"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Increased</w:t>
            </w:r>
          </w:p>
        </w:tc>
        <w:tc>
          <w:tcPr>
            <w:tcW w:w="1540" w:type="dxa"/>
            <w:tcBorders>
              <w:top w:val="single" w:sz="4" w:space="0" w:color="auto"/>
              <w:left w:val="single" w:sz="4" w:space="0" w:color="auto"/>
              <w:bottom w:val="single" w:sz="4" w:space="0" w:color="auto"/>
              <w:right w:val="single" w:sz="4" w:space="0" w:color="auto"/>
            </w:tcBorders>
            <w:shd w:val="clear" w:color="auto" w:fill="FFFF00"/>
            <w:hideMark/>
          </w:tcPr>
          <w:p w14:paraId="450D67C2"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Dialysed (50% in 4 hours)</w:t>
            </w:r>
          </w:p>
        </w:tc>
        <w:tc>
          <w:tcPr>
            <w:tcW w:w="1198" w:type="dxa"/>
            <w:tcBorders>
              <w:top w:val="single" w:sz="4" w:space="0" w:color="auto"/>
              <w:left w:val="single" w:sz="4" w:space="0" w:color="auto"/>
              <w:bottom w:val="single" w:sz="4" w:space="0" w:color="auto"/>
              <w:right w:val="single" w:sz="4" w:space="0" w:color="auto"/>
            </w:tcBorders>
            <w:shd w:val="clear" w:color="auto" w:fill="FFFF00"/>
            <w:hideMark/>
          </w:tcPr>
          <w:p w14:paraId="2E526A20"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Dialysed</w:t>
            </w:r>
          </w:p>
        </w:tc>
        <w:tc>
          <w:tcPr>
            <w:tcW w:w="1998" w:type="dxa"/>
            <w:tcBorders>
              <w:top w:val="single" w:sz="4" w:space="0" w:color="auto"/>
              <w:left w:val="single" w:sz="4" w:space="0" w:color="auto"/>
              <w:bottom w:val="single" w:sz="4" w:space="0" w:color="auto"/>
              <w:right w:val="single" w:sz="4" w:space="0" w:color="auto"/>
            </w:tcBorders>
            <w:shd w:val="clear" w:color="auto" w:fill="FFFF00"/>
            <w:hideMark/>
          </w:tcPr>
          <w:p w14:paraId="2ABE0FA3" w14:textId="77777777" w:rsidR="00747626" w:rsidRDefault="00747626">
            <w:pPr>
              <w:rPr>
                <w:rFonts w:asciiTheme="minorHAnsi" w:eastAsiaTheme="minorHAnsi" w:hAnsiTheme="minorHAnsi" w:cstheme="minorBidi"/>
                <w:bCs/>
                <w:sz w:val="22"/>
                <w:szCs w:val="22"/>
              </w:rPr>
            </w:pPr>
            <w:proofErr w:type="gramStart"/>
            <w:r>
              <w:rPr>
                <w:rFonts w:asciiTheme="minorHAnsi" w:eastAsiaTheme="minorHAnsi" w:hAnsiTheme="minorHAnsi" w:cstheme="minorBidi"/>
                <w:bCs/>
                <w:sz w:val="22"/>
                <w:szCs w:val="22"/>
              </w:rPr>
              <w:t>Similar to</w:t>
            </w:r>
            <w:proofErr w:type="gramEnd"/>
            <w:r>
              <w:rPr>
                <w:rFonts w:asciiTheme="minorHAnsi" w:eastAsiaTheme="minorHAnsi" w:hAnsiTheme="minorHAnsi" w:cstheme="minorBidi"/>
                <w:bCs/>
                <w:sz w:val="22"/>
                <w:szCs w:val="22"/>
              </w:rPr>
              <w:t xml:space="preserve"> gabapentin. </w:t>
            </w:r>
          </w:p>
          <w:p w14:paraId="586ABB07"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eGFR 15-30: 150mg daily</w:t>
            </w:r>
          </w:p>
          <w:p w14:paraId="1195DB14"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eGFR&lt;15: 75mg Daily</w:t>
            </w:r>
          </w:p>
          <w:p w14:paraId="3D025872" w14:textId="77777777" w:rsidR="00747626" w:rsidRDefault="00747626">
            <w:pPr>
              <w:rPr>
                <w:rFonts w:asciiTheme="minorHAnsi" w:eastAsiaTheme="minorHAnsi" w:hAnsiTheme="minorHAnsi" w:cstheme="minorBidi"/>
                <w:bCs/>
                <w:sz w:val="22"/>
                <w:szCs w:val="22"/>
              </w:rPr>
            </w:pPr>
            <w:r>
              <w:rPr>
                <w:rFonts w:asciiTheme="minorHAnsi" w:eastAsiaTheme="minorHAnsi" w:hAnsiTheme="minorHAnsi" w:cstheme="minorBidi"/>
                <w:bCs/>
                <w:sz w:val="22"/>
                <w:szCs w:val="22"/>
              </w:rPr>
              <w:t>Can give supplementary dose post dialysis</w:t>
            </w:r>
          </w:p>
        </w:tc>
      </w:tr>
    </w:tbl>
    <w:p w14:paraId="2F3CC5ED" w14:textId="031F5F8E" w:rsidR="00747626" w:rsidRPr="00051631" w:rsidRDefault="00747626" w:rsidP="00747626">
      <w:pPr>
        <w:rPr>
          <w:rFonts w:asciiTheme="minorHAnsi" w:eastAsiaTheme="minorHAnsi" w:hAnsiTheme="minorHAnsi" w:cstheme="minorBidi"/>
          <w:b/>
          <w:sz w:val="22"/>
          <w:szCs w:val="22"/>
        </w:rPr>
      </w:pPr>
      <w:r>
        <w:rPr>
          <w:rFonts w:asciiTheme="minorHAnsi" w:eastAsiaTheme="minorHAnsi" w:hAnsiTheme="minorHAnsi" w:cstheme="minorBidi"/>
          <w:b/>
          <w:sz w:val="22"/>
          <w:szCs w:val="22"/>
        </w:rPr>
        <w:t xml:space="preserve">Figure 4: Summary of </w:t>
      </w:r>
      <w:proofErr w:type="gramStart"/>
      <w:r>
        <w:rPr>
          <w:rFonts w:asciiTheme="minorHAnsi" w:eastAsiaTheme="minorHAnsi" w:hAnsiTheme="minorHAnsi" w:cstheme="minorBidi"/>
          <w:b/>
          <w:sz w:val="22"/>
          <w:szCs w:val="22"/>
        </w:rPr>
        <w:t>most commonly prescribed</w:t>
      </w:r>
      <w:proofErr w:type="gramEnd"/>
      <w:r>
        <w:rPr>
          <w:rFonts w:asciiTheme="minorHAnsi" w:eastAsiaTheme="minorHAnsi" w:hAnsiTheme="minorHAnsi" w:cstheme="minorBidi"/>
          <w:b/>
          <w:sz w:val="22"/>
          <w:szCs w:val="22"/>
        </w:rPr>
        <w:t xml:space="preserve"> adjuvants and considerations. Based on Davison S et al 201</w:t>
      </w:r>
      <w:r w:rsidR="00051631">
        <w:rPr>
          <w:rFonts w:asciiTheme="minorHAnsi" w:eastAsiaTheme="minorHAnsi" w:hAnsiTheme="minorHAnsi" w:cstheme="minorBidi"/>
          <w:b/>
          <w:sz w:val="22"/>
          <w:szCs w:val="22"/>
        </w:rPr>
        <w:t>4</w:t>
      </w:r>
      <w:r w:rsidR="00051631">
        <w:rPr>
          <w:rFonts w:asciiTheme="minorHAnsi" w:eastAsiaTheme="minorHAnsi" w:hAnsiTheme="minorHAnsi" w:cstheme="minorBidi"/>
          <w:b/>
          <w:sz w:val="22"/>
          <w:szCs w:val="22"/>
          <w:vertAlign w:val="superscript"/>
        </w:rPr>
        <w:t>9</w:t>
      </w:r>
      <w:r w:rsidR="00051631">
        <w:rPr>
          <w:rFonts w:asciiTheme="minorHAnsi" w:eastAsiaTheme="minorHAnsi" w:hAnsiTheme="minorHAnsi" w:cstheme="minorBidi"/>
          <w:b/>
          <w:sz w:val="22"/>
          <w:szCs w:val="22"/>
        </w:rPr>
        <w:t>.</w:t>
      </w:r>
    </w:p>
    <w:p w14:paraId="4981E1C0" w14:textId="77777777" w:rsidR="00747626" w:rsidRDefault="00747626" w:rsidP="00747626">
      <w:pPr>
        <w:rPr>
          <w:rFonts w:asciiTheme="minorHAnsi" w:eastAsiaTheme="minorHAnsi" w:hAnsiTheme="minorHAnsi" w:cstheme="minorBidi"/>
          <w:b/>
          <w:szCs w:val="24"/>
        </w:rPr>
      </w:pPr>
    </w:p>
    <w:p w14:paraId="16BE55A0" w14:textId="4C9E0C13" w:rsidR="00747626" w:rsidRDefault="00747626" w:rsidP="00747626">
      <w:pPr>
        <w:rPr>
          <w:rFonts w:asciiTheme="minorHAnsi" w:eastAsiaTheme="minorHAnsi" w:hAnsiTheme="minorHAnsi" w:cstheme="minorBidi"/>
          <w:szCs w:val="24"/>
        </w:rPr>
      </w:pPr>
      <w:r>
        <w:rPr>
          <w:rFonts w:asciiTheme="minorHAnsi" w:eastAsiaTheme="minorHAnsi" w:hAnsiTheme="minorHAnsi" w:cstheme="minorBidi"/>
          <w:b/>
          <w:szCs w:val="24"/>
        </w:rPr>
        <w:t>Venlafaxine</w:t>
      </w:r>
      <w:r>
        <w:rPr>
          <w:rFonts w:asciiTheme="minorHAnsi" w:eastAsiaTheme="minorHAnsi" w:hAnsiTheme="minorHAnsi" w:cstheme="minorBidi"/>
          <w:szCs w:val="24"/>
        </w:rPr>
        <w:t xml:space="preserve">  </w:t>
      </w:r>
    </w:p>
    <w:p w14:paraId="1EE78A8F" w14:textId="3791C8FB" w:rsidR="00747626" w:rsidRDefault="00747626" w:rsidP="00B91F18">
      <w:pPr>
        <w:pStyle w:val="ListBullet"/>
        <w:tabs>
          <w:tab w:val="clear" w:pos="1080"/>
          <w:tab w:val="num" w:pos="720"/>
        </w:tabs>
        <w:ind w:left="426" w:hanging="426"/>
        <w:rPr>
          <w:rFonts w:eastAsiaTheme="minorHAnsi"/>
        </w:rPr>
      </w:pPr>
      <w:r>
        <w:rPr>
          <w:rFonts w:eastAsiaTheme="minorHAnsi"/>
        </w:rPr>
        <w:t xml:space="preserve">Action: inhibits serotonin reuptake, and is a noradrenaline reuptake inhibitor at higher doses, weak dopamine uptake inhibitor. Has a particular role in anxiety and panic disorders. </w:t>
      </w:r>
    </w:p>
    <w:p w14:paraId="33BB429A" w14:textId="4B972AD1" w:rsidR="00747626" w:rsidRDefault="00747626" w:rsidP="00B91F18">
      <w:pPr>
        <w:pStyle w:val="ListBullet"/>
        <w:tabs>
          <w:tab w:val="clear" w:pos="1080"/>
          <w:tab w:val="num" w:pos="720"/>
        </w:tabs>
        <w:ind w:left="426" w:hanging="426"/>
        <w:rPr>
          <w:rFonts w:eastAsiaTheme="minorHAnsi"/>
        </w:rPr>
      </w:pPr>
      <w:r>
        <w:rPr>
          <w:rFonts w:eastAsiaTheme="minorHAnsi"/>
        </w:rPr>
        <w:t>Side effects: Main side effects are nausea and anorexia. Often results in a rise in blood pressure.</w:t>
      </w:r>
    </w:p>
    <w:p w14:paraId="01526467" w14:textId="739E2130" w:rsidR="00B91F18" w:rsidRDefault="00B91F18" w:rsidP="00B91F18">
      <w:pPr>
        <w:pStyle w:val="ListBullet"/>
        <w:tabs>
          <w:tab w:val="clear" w:pos="1080"/>
          <w:tab w:val="num" w:pos="720"/>
        </w:tabs>
        <w:ind w:left="426" w:hanging="426"/>
        <w:rPr>
          <w:rFonts w:eastAsiaTheme="minorHAnsi"/>
        </w:rPr>
      </w:pPr>
      <w:r>
        <w:rPr>
          <w:rFonts w:eastAsiaTheme="minorHAnsi"/>
        </w:rPr>
        <w:t>Dose: reduce by 50% if GFR &lt;30mL/min (maximum dose 150mg daily). Taper dose down when ceasing.</w:t>
      </w:r>
    </w:p>
    <w:p w14:paraId="31F6DFB1" w14:textId="77777777" w:rsidR="00747626" w:rsidRDefault="00747626" w:rsidP="00747626">
      <w:pPr>
        <w:rPr>
          <w:rFonts w:asciiTheme="minorHAnsi" w:eastAsiaTheme="minorHAnsi" w:hAnsiTheme="minorHAnsi" w:cstheme="minorBidi"/>
          <w:szCs w:val="24"/>
        </w:rPr>
      </w:pPr>
    </w:p>
    <w:p w14:paraId="66F069A8" w14:textId="77777777" w:rsidR="00747626" w:rsidRDefault="00747626" w:rsidP="00747626">
      <w:pPr>
        <w:rPr>
          <w:rFonts w:asciiTheme="minorHAnsi" w:eastAsiaTheme="minorHAnsi" w:hAnsiTheme="minorHAnsi" w:cstheme="minorBidi"/>
          <w:szCs w:val="24"/>
        </w:rPr>
      </w:pPr>
      <w:r>
        <w:rPr>
          <w:rFonts w:asciiTheme="minorHAnsi" w:eastAsiaTheme="minorHAnsi" w:hAnsiTheme="minorHAnsi" w:cstheme="minorBidi"/>
          <w:b/>
          <w:szCs w:val="24"/>
        </w:rPr>
        <w:t>Clonidine</w:t>
      </w:r>
      <w:r>
        <w:rPr>
          <w:rFonts w:asciiTheme="minorHAnsi" w:eastAsiaTheme="minorHAnsi" w:hAnsiTheme="minorHAnsi" w:cstheme="minorBidi"/>
          <w:szCs w:val="24"/>
        </w:rPr>
        <w:t xml:space="preserve"> </w:t>
      </w:r>
    </w:p>
    <w:p w14:paraId="30124280" w14:textId="77777777" w:rsidR="00747626" w:rsidRDefault="00747626" w:rsidP="00B91F18">
      <w:pPr>
        <w:pStyle w:val="ListBullet"/>
        <w:tabs>
          <w:tab w:val="clear" w:pos="1080"/>
          <w:tab w:val="num" w:pos="720"/>
        </w:tabs>
        <w:ind w:left="426" w:hanging="426"/>
        <w:rPr>
          <w:rFonts w:eastAsiaTheme="minorHAnsi"/>
        </w:rPr>
      </w:pPr>
      <w:r>
        <w:rPr>
          <w:rFonts w:eastAsiaTheme="minorHAnsi" w:cstheme="minorBidi"/>
        </w:rPr>
        <w:t xml:space="preserve">Action: </w:t>
      </w:r>
      <w:r>
        <w:rPr>
          <w:rFonts w:eastAsiaTheme="minorHAnsi"/>
        </w:rPr>
        <w:t>alpha</w:t>
      </w:r>
      <w:r>
        <w:rPr>
          <w:rFonts w:eastAsiaTheme="minorHAnsi"/>
          <w:vertAlign w:val="subscript"/>
        </w:rPr>
        <w:t>2</w:t>
      </w:r>
      <w:r>
        <w:rPr>
          <w:rFonts w:eastAsiaTheme="minorHAnsi"/>
        </w:rPr>
        <w:t xml:space="preserve">-adrenergic agonist, is a centrally acting antihypertensive. </w:t>
      </w:r>
      <w:r>
        <w:rPr>
          <w:rFonts w:eastAsiaTheme="minorHAnsi"/>
          <w:color w:val="333333"/>
        </w:rPr>
        <w:t>Centrally acting agonist at alpha</w:t>
      </w:r>
      <w:r>
        <w:rPr>
          <w:rFonts w:eastAsiaTheme="minorHAnsi"/>
          <w:color w:val="333333"/>
          <w:vertAlign w:val="subscript"/>
        </w:rPr>
        <w:t>2</w:t>
      </w:r>
      <w:r>
        <w:rPr>
          <w:rFonts w:eastAsiaTheme="minorHAnsi"/>
          <w:color w:val="333333"/>
        </w:rPr>
        <w:t xml:space="preserve"> adrenoreceptors &amp; imidazoline receptors, it reduces BP by reducing sympathetic tone. </w:t>
      </w:r>
      <w:r>
        <w:rPr>
          <w:rFonts w:eastAsiaTheme="minorHAnsi"/>
        </w:rPr>
        <w:t xml:space="preserve">It is used in neuropathic pain in combination with opioids and local anaesthetics (usually via intrathecal administration). The oral and SC routes can also be used. </w:t>
      </w:r>
    </w:p>
    <w:p w14:paraId="478DF4A1" w14:textId="77777777" w:rsidR="00747626" w:rsidRDefault="00747626" w:rsidP="00B91F18">
      <w:pPr>
        <w:pStyle w:val="ListBullet"/>
        <w:tabs>
          <w:tab w:val="clear" w:pos="1080"/>
          <w:tab w:val="num" w:pos="720"/>
        </w:tabs>
        <w:ind w:left="426" w:hanging="426"/>
        <w:rPr>
          <w:rFonts w:eastAsiaTheme="minorHAnsi"/>
        </w:rPr>
      </w:pPr>
      <w:r>
        <w:rPr>
          <w:rFonts w:eastAsiaTheme="minorHAnsi"/>
        </w:rPr>
        <w:t xml:space="preserve">Side effects: include sedation, hypotension and dry mouth are common. Abrupt withdrawal of clonidine can be associated with sympathetic overactivity, with tremor, sweating and hypertension occurring 12 to 36 hours after the last dose, hence withdraw gradually, over at least 7 days. </w:t>
      </w:r>
    </w:p>
    <w:p w14:paraId="2BEE8CF2" w14:textId="0C9B3DED" w:rsidR="00747626" w:rsidRDefault="00747626" w:rsidP="00B91F18">
      <w:pPr>
        <w:pStyle w:val="ListBullet"/>
        <w:tabs>
          <w:tab w:val="clear" w:pos="1080"/>
          <w:tab w:val="num" w:pos="720"/>
        </w:tabs>
        <w:ind w:left="426" w:hanging="426"/>
        <w:rPr>
          <w:rFonts w:eastAsiaTheme="minorHAnsi"/>
        </w:rPr>
      </w:pPr>
      <w:r>
        <w:rPr>
          <w:rFonts w:eastAsiaTheme="minorHAnsi"/>
        </w:rPr>
        <w:t xml:space="preserve">Dose: Start 50mcg </w:t>
      </w:r>
      <w:r w:rsidR="007D1C3F">
        <w:rPr>
          <w:rFonts w:eastAsiaTheme="minorHAnsi"/>
        </w:rPr>
        <w:t>twice daily</w:t>
      </w:r>
      <w:r>
        <w:rPr>
          <w:rFonts w:eastAsiaTheme="minorHAnsi"/>
        </w:rPr>
        <w:t xml:space="preserve"> and up</w:t>
      </w:r>
      <w:r w:rsidR="00B91F18">
        <w:rPr>
          <w:rFonts w:eastAsiaTheme="minorHAnsi"/>
        </w:rPr>
        <w:t xml:space="preserve"> </w:t>
      </w:r>
      <w:r>
        <w:rPr>
          <w:rFonts w:eastAsiaTheme="minorHAnsi"/>
        </w:rPr>
        <w:t xml:space="preserve">titrate to 100mcg </w:t>
      </w:r>
      <w:r w:rsidR="00B91F18">
        <w:rPr>
          <w:rFonts w:eastAsiaTheme="minorHAnsi"/>
        </w:rPr>
        <w:t>twice daily</w:t>
      </w:r>
      <w:r>
        <w:rPr>
          <w:rFonts w:eastAsiaTheme="minorHAnsi"/>
        </w:rPr>
        <w:t xml:space="preserve"> after 3 days. No dose reduction required in renal impairment. </w:t>
      </w:r>
    </w:p>
    <w:p w14:paraId="79A1EC30" w14:textId="77777777" w:rsidR="00747626" w:rsidRDefault="00747626" w:rsidP="00747626">
      <w:pPr>
        <w:rPr>
          <w:rFonts w:asciiTheme="minorHAnsi" w:eastAsiaTheme="minorHAnsi" w:hAnsiTheme="minorHAnsi" w:cstheme="minorBidi"/>
          <w:szCs w:val="24"/>
        </w:rPr>
      </w:pPr>
    </w:p>
    <w:p w14:paraId="53EEEA31" w14:textId="77777777" w:rsidR="00747626" w:rsidRDefault="00747626" w:rsidP="00747626">
      <w:pPr>
        <w:rPr>
          <w:rFonts w:asciiTheme="minorHAnsi" w:eastAsiaTheme="minorHAnsi" w:hAnsiTheme="minorHAnsi" w:cstheme="minorBidi"/>
          <w:b/>
          <w:szCs w:val="24"/>
        </w:rPr>
      </w:pPr>
      <w:r>
        <w:rPr>
          <w:rFonts w:asciiTheme="minorHAnsi" w:eastAsiaTheme="minorHAnsi" w:hAnsiTheme="minorHAnsi" w:cstheme="minorBidi"/>
          <w:b/>
          <w:szCs w:val="24"/>
        </w:rPr>
        <w:lastRenderedPageBreak/>
        <w:t>Nifedipine</w:t>
      </w:r>
    </w:p>
    <w:p w14:paraId="0F9B4447" w14:textId="77777777" w:rsidR="00747626" w:rsidRDefault="00747626" w:rsidP="00B91F18">
      <w:pPr>
        <w:pStyle w:val="ListBullet"/>
        <w:tabs>
          <w:tab w:val="clear" w:pos="1080"/>
          <w:tab w:val="num" w:pos="720"/>
        </w:tabs>
        <w:ind w:left="426" w:hanging="426"/>
        <w:rPr>
          <w:rFonts w:eastAsiaTheme="minorHAnsi"/>
        </w:rPr>
      </w:pPr>
      <w:r>
        <w:rPr>
          <w:rFonts w:eastAsiaTheme="minorHAnsi"/>
        </w:rPr>
        <w:t>Action:</w:t>
      </w:r>
      <w:r>
        <w:rPr>
          <w:rFonts w:eastAsiaTheme="minorHAnsi"/>
          <w:b/>
        </w:rPr>
        <w:t xml:space="preserve"> </w:t>
      </w:r>
      <w:r>
        <w:rPr>
          <w:rFonts w:eastAsiaTheme="minorHAnsi"/>
        </w:rPr>
        <w:t>Calcium Channel Blocker. Acts as arteriolar smooth muscle relaxant. Helpful in tenesmus especially if spasms and vascular-related pain (</w:t>
      </w:r>
      <w:proofErr w:type="gramStart"/>
      <w:r>
        <w:rPr>
          <w:rFonts w:eastAsiaTheme="minorHAnsi"/>
        </w:rPr>
        <w:t>e.g.</w:t>
      </w:r>
      <w:proofErr w:type="gramEnd"/>
      <w:r>
        <w:rPr>
          <w:rFonts w:eastAsiaTheme="minorHAnsi"/>
        </w:rPr>
        <w:t xml:space="preserve"> steal syndrome). </w:t>
      </w:r>
    </w:p>
    <w:p w14:paraId="52970F8A" w14:textId="51E7A08E" w:rsidR="00747626" w:rsidRDefault="00621C39" w:rsidP="00B91F18">
      <w:pPr>
        <w:pStyle w:val="ListBullet"/>
        <w:tabs>
          <w:tab w:val="clear" w:pos="1080"/>
          <w:tab w:val="num" w:pos="720"/>
        </w:tabs>
        <w:ind w:left="426" w:hanging="426"/>
        <w:rPr>
          <w:rFonts w:eastAsiaTheme="minorHAnsi"/>
        </w:rPr>
      </w:pPr>
      <w:r>
        <w:rPr>
          <w:rFonts w:eastAsiaTheme="minorHAnsi"/>
        </w:rPr>
        <w:t>Adverse</w:t>
      </w:r>
      <w:r w:rsidR="00747626">
        <w:rPr>
          <w:rFonts w:eastAsiaTheme="minorHAnsi"/>
        </w:rPr>
        <w:t xml:space="preserve"> effects: include hypotension, headache and fluid retention. </w:t>
      </w:r>
    </w:p>
    <w:p w14:paraId="083C005F" w14:textId="4B6C34AB" w:rsidR="00747626" w:rsidRDefault="00747626" w:rsidP="00B91F18">
      <w:pPr>
        <w:pStyle w:val="ListBullet"/>
        <w:tabs>
          <w:tab w:val="clear" w:pos="1080"/>
          <w:tab w:val="num" w:pos="720"/>
        </w:tabs>
        <w:ind w:left="426" w:hanging="426"/>
        <w:rPr>
          <w:rFonts w:eastAsiaTheme="minorHAnsi"/>
        </w:rPr>
      </w:pPr>
      <w:r>
        <w:rPr>
          <w:rFonts w:eastAsiaTheme="minorHAnsi"/>
        </w:rPr>
        <w:t xml:space="preserve">Dose: No dose reduction is required in renal impairment, but recommend commencing at low doses </w:t>
      </w:r>
      <w:proofErr w:type="gramStart"/>
      <w:r>
        <w:rPr>
          <w:rFonts w:eastAsiaTheme="minorHAnsi"/>
        </w:rPr>
        <w:t>e.g.</w:t>
      </w:r>
      <w:proofErr w:type="gramEnd"/>
      <w:r>
        <w:rPr>
          <w:rFonts w:eastAsiaTheme="minorHAnsi"/>
        </w:rPr>
        <w:t xml:space="preserve"> 20-60mg SR once daily. </w:t>
      </w:r>
    </w:p>
    <w:p w14:paraId="00E6EAD2" w14:textId="77777777" w:rsidR="00747626" w:rsidRDefault="00747626" w:rsidP="00747626">
      <w:pPr>
        <w:rPr>
          <w:rFonts w:asciiTheme="minorHAnsi" w:eastAsiaTheme="minorHAnsi" w:hAnsiTheme="minorHAnsi" w:cstheme="minorBidi"/>
          <w:szCs w:val="24"/>
        </w:rPr>
      </w:pPr>
    </w:p>
    <w:p w14:paraId="35CB3782" w14:textId="77777777" w:rsidR="00747626" w:rsidRDefault="00747626" w:rsidP="00747626">
      <w:pPr>
        <w:rPr>
          <w:rFonts w:asciiTheme="minorHAnsi" w:eastAsiaTheme="minorHAnsi" w:hAnsiTheme="minorHAnsi" w:cstheme="minorBidi"/>
          <w:b/>
          <w:szCs w:val="24"/>
        </w:rPr>
      </w:pPr>
      <w:r>
        <w:rPr>
          <w:rFonts w:asciiTheme="minorHAnsi" w:eastAsiaTheme="minorHAnsi" w:hAnsiTheme="minorHAnsi" w:cstheme="minorBidi"/>
          <w:b/>
          <w:szCs w:val="24"/>
        </w:rPr>
        <w:t xml:space="preserve">Carbamazepine </w:t>
      </w:r>
    </w:p>
    <w:p w14:paraId="501D3910" w14:textId="3AA366B8" w:rsidR="00747626" w:rsidRDefault="00747626" w:rsidP="00B91F18">
      <w:pPr>
        <w:pStyle w:val="ListBullet"/>
        <w:tabs>
          <w:tab w:val="clear" w:pos="1080"/>
          <w:tab w:val="num" w:pos="720"/>
        </w:tabs>
        <w:ind w:left="426" w:hanging="426"/>
        <w:rPr>
          <w:rFonts w:eastAsiaTheme="minorHAnsi"/>
        </w:rPr>
      </w:pPr>
      <w:r>
        <w:rPr>
          <w:rFonts w:eastAsiaTheme="minorHAnsi"/>
        </w:rPr>
        <w:t>Action/use:</w:t>
      </w:r>
      <w:r>
        <w:rPr>
          <w:rFonts w:eastAsiaTheme="minorHAnsi"/>
          <w:b/>
        </w:rPr>
        <w:t xml:space="preserve"> </w:t>
      </w:r>
      <w:r>
        <w:rPr>
          <w:rFonts w:eastAsiaTheme="minorHAnsi"/>
        </w:rPr>
        <w:t xml:space="preserve">indicated for trigeminal neuralgia and may be of use in diabetic neuropathy (unlicensed). It is metabolised extensively by the liver and requires no dose adjustment in renal impairment. </w:t>
      </w:r>
    </w:p>
    <w:p w14:paraId="29A86E79" w14:textId="79F346FD" w:rsidR="00621C39" w:rsidRDefault="00621C39" w:rsidP="00B91F18">
      <w:pPr>
        <w:pStyle w:val="ListBullet"/>
        <w:tabs>
          <w:tab w:val="clear" w:pos="1080"/>
          <w:tab w:val="num" w:pos="720"/>
        </w:tabs>
        <w:ind w:left="426" w:hanging="426"/>
        <w:rPr>
          <w:rFonts w:eastAsiaTheme="minorHAnsi"/>
        </w:rPr>
      </w:pPr>
      <w:r>
        <w:rPr>
          <w:rFonts w:eastAsiaTheme="minorHAnsi"/>
        </w:rPr>
        <w:t>Adverse effects: Contraindicated in bone marrow disorders including cytopenia and porphyria. May increase risk of seizure. Risk of severe skin reaction including Stevens-Johnson Syndrome</w:t>
      </w:r>
      <w:r w:rsidR="00076F48">
        <w:rPr>
          <w:rFonts w:eastAsiaTheme="minorHAnsi"/>
        </w:rPr>
        <w:t xml:space="preserve">. CNS and GI toxicity is common including dizziness, ataxia, diplopia, dry mouth, nausea, vomiting and constipation. </w:t>
      </w:r>
    </w:p>
    <w:p w14:paraId="4CDCE187" w14:textId="45BCBB59" w:rsidR="00076F48" w:rsidRPr="00076F48" w:rsidRDefault="00076F48" w:rsidP="00076F48">
      <w:pPr>
        <w:pStyle w:val="ListBullet"/>
        <w:tabs>
          <w:tab w:val="clear" w:pos="1080"/>
          <w:tab w:val="num" w:pos="720"/>
        </w:tabs>
        <w:ind w:left="426" w:hanging="426"/>
        <w:rPr>
          <w:rFonts w:eastAsiaTheme="minorHAnsi"/>
        </w:rPr>
      </w:pPr>
      <w:r>
        <w:rPr>
          <w:rFonts w:eastAsiaTheme="minorHAnsi"/>
        </w:rPr>
        <w:t xml:space="preserve">Dose reduction is not required in kidney disease. </w:t>
      </w:r>
    </w:p>
    <w:p w14:paraId="0C230105" w14:textId="77777777" w:rsidR="00747626" w:rsidRDefault="00747626" w:rsidP="00747626">
      <w:pPr>
        <w:rPr>
          <w:rFonts w:asciiTheme="minorHAnsi" w:eastAsiaTheme="minorHAnsi" w:hAnsiTheme="minorHAnsi" w:cstheme="minorBidi"/>
          <w:b/>
          <w:szCs w:val="24"/>
        </w:rPr>
      </w:pPr>
    </w:p>
    <w:p w14:paraId="35EAC701" w14:textId="77777777" w:rsidR="00747626" w:rsidRDefault="00747626" w:rsidP="00747626">
      <w:pPr>
        <w:rPr>
          <w:rFonts w:asciiTheme="minorHAnsi" w:eastAsiaTheme="minorHAnsi" w:hAnsiTheme="minorHAnsi" w:cstheme="minorBidi"/>
          <w:b/>
          <w:szCs w:val="24"/>
        </w:rPr>
      </w:pPr>
      <w:r>
        <w:rPr>
          <w:rFonts w:asciiTheme="minorHAnsi" w:eastAsiaTheme="minorHAnsi" w:hAnsiTheme="minorHAnsi" w:cstheme="minorBidi"/>
          <w:b/>
          <w:szCs w:val="24"/>
        </w:rPr>
        <w:t xml:space="preserve">Topiramate </w:t>
      </w:r>
    </w:p>
    <w:p w14:paraId="0AE12EF5" w14:textId="77777777" w:rsidR="00747626" w:rsidRDefault="00747626" w:rsidP="00B91F18">
      <w:pPr>
        <w:pStyle w:val="ListBullet"/>
        <w:tabs>
          <w:tab w:val="clear" w:pos="1080"/>
          <w:tab w:val="num" w:pos="720"/>
        </w:tabs>
        <w:ind w:left="426" w:hanging="426"/>
        <w:rPr>
          <w:rFonts w:eastAsiaTheme="minorHAnsi"/>
          <w:b/>
        </w:rPr>
      </w:pPr>
      <w:r>
        <w:rPr>
          <w:rFonts w:eastAsiaTheme="minorHAnsi"/>
        </w:rPr>
        <w:t>Action:</w:t>
      </w:r>
      <w:r>
        <w:rPr>
          <w:rFonts w:eastAsiaTheme="minorHAnsi"/>
          <w:b/>
        </w:rPr>
        <w:t xml:space="preserve"> </w:t>
      </w:r>
      <w:r>
        <w:rPr>
          <w:rFonts w:eastAsiaTheme="minorHAnsi"/>
        </w:rPr>
        <w:t xml:space="preserve">has a role in prophylaxis of migraine headache. It acts to stabilise presynaptic neuronal membranes by blocking voltage-dependent sodium channels, thereby enhancing the activity of GABA on postsynaptic chloride channels. </w:t>
      </w:r>
    </w:p>
    <w:p w14:paraId="7BD32C51" w14:textId="1D344384" w:rsidR="00747626" w:rsidRDefault="00621C39" w:rsidP="00B91F18">
      <w:pPr>
        <w:pStyle w:val="ListBullet"/>
        <w:tabs>
          <w:tab w:val="clear" w:pos="1080"/>
          <w:tab w:val="num" w:pos="720"/>
        </w:tabs>
        <w:ind w:left="426" w:hanging="426"/>
        <w:rPr>
          <w:rFonts w:eastAsiaTheme="minorHAnsi"/>
          <w:b/>
        </w:rPr>
      </w:pPr>
      <w:r>
        <w:rPr>
          <w:rFonts w:eastAsiaTheme="minorHAnsi"/>
        </w:rPr>
        <w:t>Adverse</w:t>
      </w:r>
      <w:r w:rsidR="00747626">
        <w:rPr>
          <w:rFonts w:eastAsiaTheme="minorHAnsi"/>
        </w:rPr>
        <w:t xml:space="preserve"> effects: include somnolence, dizziness and fatigue. It may precipitate metabolic acidosis and nephrolithiasis. </w:t>
      </w:r>
    </w:p>
    <w:p w14:paraId="6F580BEB" w14:textId="77777777" w:rsidR="00747626" w:rsidRDefault="00747626" w:rsidP="00B91F18">
      <w:pPr>
        <w:pStyle w:val="ListBullet"/>
        <w:tabs>
          <w:tab w:val="clear" w:pos="1080"/>
          <w:tab w:val="num" w:pos="720"/>
        </w:tabs>
        <w:ind w:left="426" w:hanging="426"/>
        <w:rPr>
          <w:rFonts w:eastAsiaTheme="minorHAnsi"/>
          <w:b/>
        </w:rPr>
      </w:pPr>
      <w:r>
        <w:rPr>
          <w:rFonts w:eastAsiaTheme="minorHAnsi"/>
        </w:rPr>
        <w:t xml:space="preserve">Dose: requires 50% dose reduction in patients with advanced renal impairment (GFR &lt;20ml/min). It is removed by dialysis and patients undergoing haemodialysis may require a supplemental dose at the end of dialysis session.   </w:t>
      </w:r>
      <w:r>
        <w:rPr>
          <w:rFonts w:eastAsiaTheme="minorHAnsi"/>
          <w:b/>
        </w:rPr>
        <w:t xml:space="preserve"> </w:t>
      </w:r>
    </w:p>
    <w:p w14:paraId="1FCE372D" w14:textId="77777777" w:rsidR="00747626" w:rsidRDefault="00747626" w:rsidP="00747626">
      <w:pPr>
        <w:rPr>
          <w:rFonts w:asciiTheme="minorHAnsi" w:eastAsiaTheme="minorHAnsi" w:hAnsiTheme="minorHAnsi" w:cstheme="minorBidi"/>
          <w:szCs w:val="24"/>
        </w:rPr>
      </w:pPr>
    </w:p>
    <w:p w14:paraId="4527761D" w14:textId="77777777" w:rsidR="00747626" w:rsidRDefault="00747626" w:rsidP="00747626">
      <w:pPr>
        <w:spacing w:line="276" w:lineRule="auto"/>
        <w:rPr>
          <w:rFonts w:asciiTheme="minorHAnsi" w:eastAsiaTheme="minorHAnsi" w:hAnsiTheme="minorHAnsi" w:cstheme="minorBidi"/>
          <w:b/>
          <w:szCs w:val="24"/>
        </w:rPr>
      </w:pPr>
      <w:r>
        <w:rPr>
          <w:rFonts w:asciiTheme="minorHAnsi" w:eastAsiaTheme="minorHAnsi" w:hAnsiTheme="minorHAnsi" w:cstheme="minorBidi"/>
          <w:b/>
          <w:szCs w:val="24"/>
        </w:rPr>
        <w:t xml:space="preserve">Verapamil </w:t>
      </w:r>
    </w:p>
    <w:p w14:paraId="15EB1C4A" w14:textId="746C20AB" w:rsidR="00747626" w:rsidRDefault="00747626" w:rsidP="00B91F18">
      <w:pPr>
        <w:pStyle w:val="ListBullet"/>
        <w:tabs>
          <w:tab w:val="clear" w:pos="1080"/>
        </w:tabs>
        <w:ind w:left="426" w:hanging="426"/>
        <w:rPr>
          <w:rFonts w:eastAsiaTheme="minorHAnsi"/>
        </w:rPr>
      </w:pPr>
      <w:r>
        <w:rPr>
          <w:rFonts w:eastAsiaTheme="minorHAnsi"/>
        </w:rPr>
        <w:t>Action:</w:t>
      </w:r>
      <w:r>
        <w:rPr>
          <w:rFonts w:eastAsiaTheme="minorHAnsi"/>
          <w:b/>
        </w:rPr>
        <w:t xml:space="preserve"> </w:t>
      </w:r>
      <w:r>
        <w:rPr>
          <w:rFonts w:eastAsiaTheme="minorHAnsi"/>
        </w:rPr>
        <w:t xml:space="preserve">has an accepted role in prophylaxis of cluster headache. It is metabolised extensively by the liver and requires no dose adjustment in renal impairment. </w:t>
      </w:r>
    </w:p>
    <w:p w14:paraId="732E2A11" w14:textId="51210C59" w:rsidR="00076F48" w:rsidRDefault="00076F48" w:rsidP="00B91F18">
      <w:pPr>
        <w:pStyle w:val="ListBullet"/>
        <w:tabs>
          <w:tab w:val="clear" w:pos="1080"/>
        </w:tabs>
        <w:ind w:left="426" w:hanging="426"/>
        <w:rPr>
          <w:rFonts w:eastAsiaTheme="minorHAnsi"/>
        </w:rPr>
      </w:pPr>
      <w:r>
        <w:rPr>
          <w:rFonts w:eastAsiaTheme="minorHAnsi"/>
        </w:rPr>
        <w:t>Adverse effects: Contraindicated in bradycardic states including sick sinus syndrome, second- or third-degree atrioventricular block, accessory conduction pathway and hypotension. Constipation is common</w:t>
      </w:r>
    </w:p>
    <w:p w14:paraId="7BE38CFE" w14:textId="1AE953B0" w:rsidR="00076F48" w:rsidRDefault="00076F48" w:rsidP="00B91F18">
      <w:pPr>
        <w:pStyle w:val="ListBullet"/>
        <w:tabs>
          <w:tab w:val="clear" w:pos="1080"/>
        </w:tabs>
        <w:ind w:left="426" w:hanging="426"/>
        <w:rPr>
          <w:rFonts w:eastAsiaTheme="minorHAnsi"/>
        </w:rPr>
      </w:pPr>
      <w:r>
        <w:rPr>
          <w:rFonts w:eastAsiaTheme="minorHAnsi"/>
        </w:rPr>
        <w:t xml:space="preserve">Dose: no dose adjustment required in </w:t>
      </w:r>
      <w:proofErr w:type="gramStart"/>
      <w:r>
        <w:rPr>
          <w:rFonts w:eastAsiaTheme="minorHAnsi"/>
        </w:rPr>
        <w:t>CKD</w:t>
      </w:r>
      <w:proofErr w:type="gramEnd"/>
      <w:r>
        <w:rPr>
          <w:rFonts w:eastAsiaTheme="minorHAnsi"/>
        </w:rPr>
        <w:t xml:space="preserve"> but lower starting doses recommended in elderly patients. </w:t>
      </w:r>
    </w:p>
    <w:p w14:paraId="77A90FFB" w14:textId="77777777" w:rsidR="00747626" w:rsidRDefault="00747626" w:rsidP="00747626">
      <w:pPr>
        <w:rPr>
          <w:rFonts w:asciiTheme="minorHAnsi" w:eastAsiaTheme="minorHAnsi" w:hAnsiTheme="minorHAnsi" w:cstheme="minorBidi"/>
          <w:b/>
          <w:szCs w:val="24"/>
        </w:rPr>
      </w:pPr>
    </w:p>
    <w:p w14:paraId="2BD70CDE" w14:textId="043C3A58" w:rsidR="00747626" w:rsidRDefault="00747626" w:rsidP="00747626">
      <w:pPr>
        <w:rPr>
          <w:rFonts w:asciiTheme="minorHAnsi" w:eastAsiaTheme="minorHAnsi" w:hAnsiTheme="minorHAnsi" w:cstheme="minorBidi"/>
          <w:szCs w:val="24"/>
        </w:rPr>
      </w:pPr>
      <w:r>
        <w:rPr>
          <w:rFonts w:asciiTheme="minorHAnsi" w:eastAsiaTheme="minorHAnsi" w:hAnsiTheme="minorHAnsi" w:cstheme="minorBidi"/>
          <w:b/>
          <w:szCs w:val="24"/>
        </w:rPr>
        <w:t>Li</w:t>
      </w:r>
      <w:r w:rsidR="000D2B33">
        <w:rPr>
          <w:rFonts w:asciiTheme="minorHAnsi" w:eastAsiaTheme="minorHAnsi" w:hAnsiTheme="minorHAnsi" w:cstheme="minorBidi"/>
          <w:b/>
          <w:szCs w:val="24"/>
        </w:rPr>
        <w:t>d</w:t>
      </w:r>
      <w:r>
        <w:rPr>
          <w:rFonts w:asciiTheme="minorHAnsi" w:eastAsiaTheme="minorHAnsi" w:hAnsiTheme="minorHAnsi" w:cstheme="minorBidi"/>
          <w:b/>
          <w:szCs w:val="24"/>
        </w:rPr>
        <w:t>ocaine</w:t>
      </w:r>
      <w:r>
        <w:rPr>
          <w:rFonts w:asciiTheme="minorHAnsi" w:eastAsiaTheme="minorHAnsi" w:hAnsiTheme="minorHAnsi" w:cstheme="minorBidi"/>
          <w:szCs w:val="24"/>
        </w:rPr>
        <w:t xml:space="preserve"> </w:t>
      </w:r>
    </w:p>
    <w:p w14:paraId="74155DB6" w14:textId="76F820C2" w:rsidR="00747626" w:rsidRDefault="00076F48" w:rsidP="00B91F18">
      <w:pPr>
        <w:pStyle w:val="ListBullet"/>
        <w:tabs>
          <w:tab w:val="clear" w:pos="1080"/>
          <w:tab w:val="num" w:pos="720"/>
        </w:tabs>
        <w:ind w:left="426" w:hanging="426"/>
        <w:rPr>
          <w:rFonts w:eastAsiaTheme="minorHAnsi" w:cstheme="minorBidi"/>
        </w:rPr>
      </w:pPr>
      <w:r>
        <w:rPr>
          <w:rFonts w:eastAsiaTheme="minorHAnsi"/>
          <w:shd w:val="clear" w:color="auto" w:fill="FFFFFF"/>
        </w:rPr>
        <w:t>Use/Action</w:t>
      </w:r>
      <w:r w:rsidR="00747626">
        <w:rPr>
          <w:rFonts w:eastAsiaTheme="minorHAnsi"/>
          <w:shd w:val="clear" w:color="auto" w:fill="FFFFFF"/>
        </w:rPr>
        <w:t>: Reversibly interrupts impulse conduction in peripheral nerves and stabilise excitable cell membranes by blocking sodium channels, thus inhibiting depolarisation.</w:t>
      </w:r>
      <w:r w:rsidR="00747626">
        <w:rPr>
          <w:rFonts w:eastAsiaTheme="minorHAnsi"/>
        </w:rPr>
        <w:t xml:space="preserve"> Limited role in outpatient setting but the </w:t>
      </w:r>
      <w:r w:rsidR="00747626">
        <w:rPr>
          <w:rFonts w:eastAsiaTheme="minorHAnsi" w:cstheme="minorBidi"/>
        </w:rPr>
        <w:t xml:space="preserve">5% patch - </w:t>
      </w:r>
      <w:proofErr w:type="spellStart"/>
      <w:r w:rsidR="00747626">
        <w:rPr>
          <w:rFonts w:eastAsiaTheme="minorHAnsi" w:cstheme="minorBidi"/>
        </w:rPr>
        <w:t>Versatis</w:t>
      </w:r>
      <w:proofErr w:type="spellEnd"/>
      <w:r w:rsidR="00747626">
        <w:rPr>
          <w:rFonts w:eastAsiaTheme="minorHAnsi" w:cstheme="minorBidi"/>
        </w:rPr>
        <w:t xml:space="preserve"> has a role in the treatment of localised peripheral neuropathic pain</w:t>
      </w:r>
      <w:r>
        <w:rPr>
          <w:rFonts w:eastAsiaTheme="minorHAnsi" w:cstheme="minorBidi"/>
        </w:rPr>
        <w:t xml:space="preserve"> and </w:t>
      </w:r>
      <w:r w:rsidR="00747626">
        <w:rPr>
          <w:rFonts w:eastAsiaTheme="minorHAnsi" w:cstheme="minorBidi"/>
        </w:rPr>
        <w:t xml:space="preserve">pressure </w:t>
      </w:r>
      <w:r>
        <w:rPr>
          <w:rFonts w:eastAsiaTheme="minorHAnsi" w:cstheme="minorBidi"/>
        </w:rPr>
        <w:t>injury</w:t>
      </w:r>
      <w:r w:rsidR="00747626">
        <w:rPr>
          <w:rFonts w:eastAsiaTheme="minorHAnsi" w:cstheme="minorBidi"/>
        </w:rPr>
        <w:t xml:space="preserve"> </w:t>
      </w:r>
      <w:r>
        <w:rPr>
          <w:rFonts w:eastAsiaTheme="minorHAnsi" w:cstheme="minorBidi"/>
        </w:rPr>
        <w:t>(</w:t>
      </w:r>
      <w:r w:rsidR="00747626">
        <w:rPr>
          <w:rFonts w:eastAsiaTheme="minorHAnsi" w:cstheme="minorBidi"/>
        </w:rPr>
        <w:t>stage 1</w:t>
      </w:r>
      <w:r>
        <w:rPr>
          <w:rFonts w:eastAsiaTheme="minorHAnsi" w:cstheme="minorBidi"/>
        </w:rPr>
        <w:t>)</w:t>
      </w:r>
      <w:r w:rsidR="00747626">
        <w:rPr>
          <w:rFonts w:eastAsiaTheme="minorHAnsi" w:cstheme="minorBidi"/>
        </w:rPr>
        <w:t xml:space="preserve">. </w:t>
      </w:r>
      <w:r>
        <w:rPr>
          <w:rFonts w:eastAsiaTheme="minorHAnsi" w:cstheme="minorBidi"/>
        </w:rPr>
        <w:t xml:space="preserve">In the setting of shingles, rash should be healed before administration of patch. </w:t>
      </w:r>
    </w:p>
    <w:p w14:paraId="2D8F3925" w14:textId="0D4E8EF4" w:rsidR="003720F6" w:rsidRPr="00C81EFB" w:rsidRDefault="00747626" w:rsidP="003720F6">
      <w:pPr>
        <w:pStyle w:val="ListBullet"/>
        <w:numPr>
          <w:ilvl w:val="0"/>
          <w:numId w:val="1"/>
        </w:numPr>
        <w:tabs>
          <w:tab w:val="num" w:pos="360"/>
        </w:tabs>
        <w:ind w:left="360"/>
        <w:rPr>
          <w:rFonts w:eastAsiaTheme="minorHAnsi"/>
        </w:rPr>
      </w:pPr>
      <w:r>
        <w:rPr>
          <w:rFonts w:eastAsiaTheme="minorHAnsi"/>
          <w:shd w:val="clear" w:color="auto" w:fill="FFFFFF"/>
        </w:rPr>
        <w:t>A</w:t>
      </w:r>
      <w:r w:rsidR="00076F48">
        <w:rPr>
          <w:rFonts w:eastAsiaTheme="minorHAnsi"/>
          <w:shd w:val="clear" w:color="auto" w:fill="FFFFFF"/>
        </w:rPr>
        <w:t>dverse effects:</w:t>
      </w:r>
      <w:r>
        <w:rPr>
          <w:rFonts w:eastAsiaTheme="minorHAnsi"/>
          <w:shd w:val="clear" w:color="auto" w:fill="FFFFFF"/>
        </w:rPr>
        <w:t xml:space="preserve"> </w:t>
      </w:r>
      <w:r>
        <w:rPr>
          <w:rFonts w:eastAsiaTheme="minorHAnsi"/>
        </w:rPr>
        <w:t xml:space="preserve">Systemic adverse effects are unlikely when used at the recommended maximum dose of three patches applied for 12 hours per day. The patch should be </w:t>
      </w:r>
      <w:r>
        <w:rPr>
          <w:rFonts w:eastAsiaTheme="minorHAnsi"/>
        </w:rPr>
        <w:lastRenderedPageBreak/>
        <w:t>avoided in patients with severe hepatic dysfunction.</w:t>
      </w:r>
      <w:r w:rsidR="00076F48">
        <w:rPr>
          <w:rFonts w:eastAsiaTheme="minorHAnsi"/>
        </w:rPr>
        <w:t xml:space="preserve"> Apply to dry, non-irritated skin. Toxicity is increased by heat. </w:t>
      </w:r>
      <w:r w:rsidR="003720F6" w:rsidRPr="00C81EFB">
        <w:rPr>
          <w:rFonts w:eastAsiaTheme="minorHAnsi"/>
        </w:rPr>
        <w:t>Avoid exposure to external sources of heat such as electric blankets and hot baths and monitor for increased risk of adverse events in the context of fever.</w:t>
      </w:r>
      <w:r w:rsidR="003720F6">
        <w:rPr>
          <w:rFonts w:eastAsiaTheme="minorHAnsi"/>
        </w:rPr>
        <w:t xml:space="preserve"> Site reaction may occur with use of patch. </w:t>
      </w:r>
    </w:p>
    <w:p w14:paraId="72B910BE" w14:textId="4A5E70D6" w:rsidR="00747626" w:rsidRDefault="003720F6" w:rsidP="00B91F18">
      <w:pPr>
        <w:pStyle w:val="ListBullet"/>
        <w:tabs>
          <w:tab w:val="clear" w:pos="1080"/>
          <w:tab w:val="num" w:pos="720"/>
        </w:tabs>
        <w:ind w:left="426" w:hanging="426"/>
        <w:rPr>
          <w:rFonts w:eastAsiaTheme="minorHAnsi"/>
        </w:rPr>
      </w:pPr>
      <w:r>
        <w:rPr>
          <w:rFonts w:eastAsiaTheme="minorHAnsi"/>
        </w:rPr>
        <w:t xml:space="preserve">Dose: 5% patch. Patches may be cut to fit the region. Apply for 12 out of 24 hours, timed to when pain is most severe. Regularly reassess dose required for pain relief (number of patches and duration of wear) and cease use if no benefit apparent after 2-4 weeks. </w:t>
      </w:r>
    </w:p>
    <w:p w14:paraId="40C42C27" w14:textId="77777777" w:rsidR="00747626" w:rsidRDefault="00747626" w:rsidP="00747626">
      <w:pPr>
        <w:rPr>
          <w:rFonts w:asciiTheme="minorHAnsi" w:eastAsiaTheme="minorHAnsi" w:hAnsiTheme="minorHAnsi" w:cstheme="minorBidi"/>
          <w:szCs w:val="24"/>
        </w:rPr>
      </w:pPr>
    </w:p>
    <w:p w14:paraId="40DEB9FF" w14:textId="77777777" w:rsidR="00747626" w:rsidRDefault="00747626" w:rsidP="00747626">
      <w:pPr>
        <w:pStyle w:val="paragraph"/>
        <w:spacing w:before="0" w:beforeAutospacing="0" w:after="0" w:afterAutospacing="0"/>
        <w:textAlignment w:val="baseline"/>
        <w:rPr>
          <w:rFonts w:cs="Calibri"/>
        </w:rPr>
      </w:pPr>
      <w:r>
        <w:rPr>
          <w:rFonts w:asciiTheme="minorHAnsi" w:eastAsiaTheme="minorHAnsi" w:hAnsiTheme="minorHAnsi" w:cstheme="minorBidi"/>
          <w:b/>
        </w:rPr>
        <w:t>Benzodiazepines</w:t>
      </w:r>
      <w:r>
        <w:rPr>
          <w:rFonts w:cs="Calibri"/>
        </w:rPr>
        <w:t xml:space="preserve"> </w:t>
      </w:r>
    </w:p>
    <w:p w14:paraId="3B923FB5" w14:textId="77777777" w:rsidR="00747626" w:rsidRDefault="00747626" w:rsidP="00B91F18">
      <w:pPr>
        <w:pStyle w:val="ListBullet"/>
        <w:tabs>
          <w:tab w:val="clear" w:pos="1080"/>
          <w:tab w:val="num" w:pos="720"/>
        </w:tabs>
        <w:ind w:left="426" w:hanging="426"/>
        <w:rPr>
          <w:rStyle w:val="eop"/>
          <w:rFonts w:ascii="Segoe UI" w:hAnsi="Segoe UI" w:cs="Segoe UI"/>
        </w:rPr>
      </w:pPr>
      <w:r>
        <w:rPr>
          <w:rFonts w:asciiTheme="minorHAnsi" w:hAnsiTheme="minorHAnsi" w:cstheme="minorHAnsi"/>
        </w:rPr>
        <w:t xml:space="preserve">Action: </w:t>
      </w:r>
      <w:r>
        <w:rPr>
          <w:rStyle w:val="normaltextrun"/>
          <w:rFonts w:asciiTheme="minorHAnsi" w:hAnsiTheme="minorHAnsi" w:cstheme="minorHAnsi"/>
        </w:rPr>
        <w:t>act</w:t>
      </w:r>
      <w:r>
        <w:rPr>
          <w:rStyle w:val="normaltextrun"/>
          <w:rFonts w:cs="Calibri"/>
        </w:rPr>
        <w:t xml:space="preserve"> by potentiating the action of GABA at the GABA-A receptor, causing inhibitory effects on the CNS.</w:t>
      </w:r>
      <w:r>
        <w:rPr>
          <w:rStyle w:val="eop"/>
          <w:rFonts w:cs="Calibri"/>
        </w:rPr>
        <w:t> They are e</w:t>
      </w:r>
      <w:r>
        <w:rPr>
          <w:rStyle w:val="normaltextrun"/>
          <w:rFonts w:cs="Calibri"/>
        </w:rPr>
        <w:t>ffective in acutely relieving anxiety symptoms and can help induce sleep. They have a particular role in pain related to muscular spasm and myoclonus. </w:t>
      </w:r>
    </w:p>
    <w:p w14:paraId="74A2D4F3" w14:textId="04D6ED50" w:rsidR="00747626" w:rsidRDefault="00621C39" w:rsidP="00B91F18">
      <w:pPr>
        <w:pStyle w:val="ListBullet"/>
        <w:tabs>
          <w:tab w:val="clear" w:pos="1080"/>
          <w:tab w:val="num" w:pos="720"/>
        </w:tabs>
        <w:ind w:left="426" w:hanging="426"/>
      </w:pPr>
      <w:r>
        <w:rPr>
          <w:rStyle w:val="eop"/>
          <w:rFonts w:cs="Calibri"/>
        </w:rPr>
        <w:t>Adverse</w:t>
      </w:r>
      <w:r w:rsidR="00747626">
        <w:rPr>
          <w:rStyle w:val="eop"/>
          <w:rFonts w:cs="Calibri"/>
        </w:rPr>
        <w:t xml:space="preserve"> effects: include impaired cognitive performance and judgement with implications for driving. They carry a high risk of addictive and aberrant behaviour. </w:t>
      </w:r>
      <w:r w:rsidR="003720F6">
        <w:t xml:space="preserve">Benzodiazepine use in CKD is associated with diminished cognition, performance status and a reduced quality of life. Increased risk of toxicity when co-prescribed with opiates in patients with advanced kidney disease. </w:t>
      </w:r>
    </w:p>
    <w:p w14:paraId="7FAF09C4" w14:textId="01D6BD83" w:rsidR="00747626" w:rsidRDefault="00E0092E" w:rsidP="00B91F18">
      <w:pPr>
        <w:jc w:val="right"/>
        <w:rPr>
          <w:rStyle w:val="Hyperlink"/>
          <w:rFonts w:eastAsiaTheme="majorEastAsia" w:cs="Arial"/>
          <w:i/>
          <w:szCs w:val="24"/>
        </w:rPr>
      </w:pPr>
      <w:hyperlink w:anchor="Contents" w:history="1">
        <w:r w:rsidR="00747626"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47626" w:rsidRPr="00CD1C0E" w14:paraId="33747D0A" w14:textId="77777777" w:rsidTr="006E6299">
        <w:trPr>
          <w:cantSplit/>
          <w:trHeight w:val="285"/>
        </w:trPr>
        <w:tc>
          <w:tcPr>
            <w:tcW w:w="9158" w:type="dxa"/>
            <w:shd w:val="clear" w:color="auto" w:fill="D9D9D9" w:themeFill="background1" w:themeFillShade="D9"/>
          </w:tcPr>
          <w:p w14:paraId="6DE2DE3B" w14:textId="039E494C" w:rsidR="00747626" w:rsidRPr="003D2D06" w:rsidRDefault="00747626" w:rsidP="006E6299">
            <w:pPr>
              <w:pStyle w:val="Heading1"/>
            </w:pPr>
            <w:bookmarkStart w:id="31" w:name="_Toc134688857"/>
            <w:r w:rsidRPr="003D2D06">
              <w:t xml:space="preserve">Section </w:t>
            </w:r>
            <w:r>
              <w:t>5</w:t>
            </w:r>
            <w:r w:rsidRPr="003D2D06">
              <w:t xml:space="preserve"> – </w:t>
            </w:r>
            <w:r>
              <w:t>Opioid safety</w:t>
            </w:r>
            <w:bookmarkEnd w:id="31"/>
          </w:p>
        </w:tc>
      </w:tr>
    </w:tbl>
    <w:p w14:paraId="3E64DCCF" w14:textId="77777777" w:rsidR="00B91F18" w:rsidRDefault="00B91F18" w:rsidP="00747626">
      <w:pPr>
        <w:autoSpaceDE w:val="0"/>
        <w:autoSpaceDN w:val="0"/>
        <w:adjustRightInd w:val="0"/>
        <w:rPr>
          <w:rFonts w:asciiTheme="minorHAnsi" w:eastAsiaTheme="minorHAnsi" w:hAnsiTheme="minorHAnsi" w:cs="HelveticaNeue-LightCond"/>
          <w:color w:val="000000"/>
          <w:szCs w:val="24"/>
        </w:rPr>
      </w:pPr>
    </w:p>
    <w:p w14:paraId="797A1F48" w14:textId="2630EF9B"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 xml:space="preserve">Signs of opioid toxicity should be assessed regularly and include myoclonic jerks (early sign), respiratory depression, high opioid sedation score, pinpoint pupil (poor discriminator), impaired cognitive function, allodynia/hypersensitivity, vivid dreams and agitation. Clinical staff involved in the prescribing and administration of opioid medication should be aware of these signs of toxicity for all patients.  </w:t>
      </w:r>
    </w:p>
    <w:p w14:paraId="5D0F045E"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p>
    <w:p w14:paraId="242763B1" w14:textId="77777777" w:rsidR="00747626" w:rsidRDefault="00747626" w:rsidP="00747626">
      <w:pPr>
        <w:shd w:val="clear" w:color="auto" w:fill="FFFFFF"/>
        <w:spacing w:before="120" w:line="312" w:lineRule="atLeast"/>
        <w:textAlignment w:val="top"/>
        <w:rPr>
          <w:rFonts w:asciiTheme="minorHAnsi" w:hAnsiTheme="minorHAnsi" w:cs="Arial"/>
          <w:szCs w:val="24"/>
          <w:lang w:eastAsia="en-AU"/>
        </w:rPr>
      </w:pPr>
      <w:r>
        <w:rPr>
          <w:rFonts w:asciiTheme="minorHAnsi" w:hAnsiTheme="minorHAnsi" w:cs="HelveticaNeue-LightCond"/>
          <w:b/>
          <w:szCs w:val="24"/>
          <w:lang w:eastAsia="en-AU"/>
        </w:rPr>
        <w:t xml:space="preserve">Opioid </w:t>
      </w:r>
      <w:r>
        <w:rPr>
          <w:rFonts w:asciiTheme="minorHAnsi" w:hAnsiTheme="minorHAnsi" w:cs="Arial"/>
          <w:b/>
          <w:bCs/>
          <w:szCs w:val="24"/>
          <w:lang w:eastAsia="en-AU"/>
        </w:rPr>
        <w:t>Sedation score</w:t>
      </w:r>
      <w:r>
        <w:rPr>
          <w:rFonts w:asciiTheme="minorHAnsi" w:hAnsiTheme="minorHAnsi" w:cs="Arial"/>
          <w:szCs w:val="24"/>
          <w:lang w:eastAsia="en-AU"/>
        </w:rPr>
        <w:t>:</w:t>
      </w:r>
      <w:r>
        <w:rPr>
          <w:rFonts w:asciiTheme="minorHAnsi" w:hAnsiTheme="minorHAnsi" w:cs="Arial"/>
          <w:szCs w:val="24"/>
          <w:lang w:eastAsia="en-AU"/>
        </w:rPr>
        <w:tab/>
        <w:t>0 – wide awake</w:t>
      </w:r>
    </w:p>
    <w:p w14:paraId="1628331A" w14:textId="77777777" w:rsidR="00747626" w:rsidRDefault="00747626" w:rsidP="00747626">
      <w:pPr>
        <w:shd w:val="clear" w:color="auto" w:fill="FFFFFF"/>
        <w:spacing w:before="120" w:line="312" w:lineRule="atLeast"/>
        <w:ind w:left="2160" w:firstLine="720"/>
        <w:textAlignment w:val="top"/>
        <w:rPr>
          <w:rFonts w:asciiTheme="minorHAnsi" w:hAnsiTheme="minorHAnsi" w:cs="Arial"/>
          <w:szCs w:val="24"/>
          <w:lang w:eastAsia="en-AU"/>
        </w:rPr>
      </w:pPr>
      <w:r>
        <w:rPr>
          <w:rFonts w:asciiTheme="minorHAnsi" w:hAnsiTheme="minorHAnsi" w:cs="Arial"/>
          <w:szCs w:val="24"/>
          <w:lang w:eastAsia="en-AU"/>
        </w:rPr>
        <w:t>1 – easy to rouse</w:t>
      </w:r>
    </w:p>
    <w:p w14:paraId="1F3D2FF5" w14:textId="77777777" w:rsidR="00747626" w:rsidRDefault="00747626" w:rsidP="00747626">
      <w:pPr>
        <w:shd w:val="clear" w:color="auto" w:fill="FFFFFF"/>
        <w:spacing w:before="120" w:line="312" w:lineRule="atLeast"/>
        <w:ind w:left="2160" w:firstLine="720"/>
        <w:textAlignment w:val="top"/>
        <w:rPr>
          <w:rFonts w:asciiTheme="minorHAnsi" w:hAnsiTheme="minorHAnsi" w:cs="Arial"/>
          <w:szCs w:val="24"/>
          <w:lang w:eastAsia="en-AU"/>
        </w:rPr>
      </w:pPr>
      <w:r>
        <w:rPr>
          <w:rFonts w:asciiTheme="minorHAnsi" w:hAnsiTheme="minorHAnsi" w:cs="Arial"/>
          <w:szCs w:val="24"/>
          <w:lang w:eastAsia="en-AU"/>
        </w:rPr>
        <w:t>2 – easy to rouse, but cannot stay awake</w:t>
      </w:r>
    </w:p>
    <w:p w14:paraId="096596BC" w14:textId="77777777" w:rsidR="00747626" w:rsidRDefault="00747626" w:rsidP="00747626">
      <w:pPr>
        <w:shd w:val="clear" w:color="auto" w:fill="FFFFFF"/>
        <w:spacing w:before="120" w:line="312" w:lineRule="atLeast"/>
        <w:ind w:left="2160" w:firstLine="720"/>
        <w:textAlignment w:val="top"/>
        <w:rPr>
          <w:rFonts w:asciiTheme="minorHAnsi" w:hAnsiTheme="minorHAnsi" w:cs="Arial"/>
          <w:szCs w:val="24"/>
          <w:lang w:eastAsia="en-AU"/>
        </w:rPr>
      </w:pPr>
      <w:r>
        <w:rPr>
          <w:rFonts w:asciiTheme="minorHAnsi" w:hAnsiTheme="minorHAnsi" w:cs="Arial"/>
          <w:szCs w:val="24"/>
          <w:lang w:eastAsia="en-AU"/>
        </w:rPr>
        <w:t>3 – difficult to rouse.</w:t>
      </w:r>
    </w:p>
    <w:p w14:paraId="19545DC6" w14:textId="77777777" w:rsidR="00747626" w:rsidRDefault="00747626" w:rsidP="00747626">
      <w:pPr>
        <w:autoSpaceDE w:val="0"/>
        <w:autoSpaceDN w:val="0"/>
        <w:adjustRightInd w:val="0"/>
        <w:rPr>
          <w:rFonts w:asciiTheme="minorHAnsi" w:eastAsiaTheme="minorHAnsi" w:hAnsiTheme="minorHAnsi" w:cstheme="minorBidi"/>
          <w:szCs w:val="24"/>
        </w:rPr>
      </w:pPr>
    </w:p>
    <w:p w14:paraId="0B26C010" w14:textId="039B8556" w:rsidR="00B91F18" w:rsidRPr="00B91F18" w:rsidRDefault="00747626" w:rsidP="00747626">
      <w:pPr>
        <w:autoSpaceDE w:val="0"/>
        <w:autoSpaceDN w:val="0"/>
        <w:adjustRightInd w:val="0"/>
        <w:rPr>
          <w:rFonts w:asciiTheme="minorHAnsi" w:eastAsiaTheme="minorHAnsi" w:hAnsiTheme="minorHAnsi" w:cstheme="minorBidi"/>
          <w:i/>
          <w:iCs/>
          <w:szCs w:val="24"/>
        </w:rPr>
      </w:pPr>
      <w:r>
        <w:rPr>
          <w:rFonts w:asciiTheme="minorHAnsi" w:eastAsiaTheme="minorHAnsi" w:hAnsiTheme="minorHAnsi" w:cstheme="minorBidi"/>
          <w:szCs w:val="24"/>
        </w:rPr>
        <w:t xml:space="preserve">Aim to keep the sedation score &lt;2. A score of 2 represents early respiratory depression and clinical intervention should be considered as per MEWS procedures. </w:t>
      </w:r>
      <w:r w:rsidR="00B91F18">
        <w:rPr>
          <w:rFonts w:asciiTheme="minorHAnsi" w:eastAsiaTheme="minorHAnsi" w:hAnsiTheme="minorHAnsi" w:cstheme="minorBidi"/>
          <w:szCs w:val="24"/>
        </w:rPr>
        <w:t xml:space="preserve">Refer to </w:t>
      </w:r>
      <w:r w:rsidR="00B91F18" w:rsidRPr="00B91F18">
        <w:rPr>
          <w:rFonts w:asciiTheme="minorHAnsi" w:eastAsiaTheme="minorHAnsi" w:hAnsiTheme="minorHAnsi" w:cstheme="minorBidi"/>
          <w:i/>
          <w:iCs/>
          <w:szCs w:val="24"/>
        </w:rPr>
        <w:t>Vital Signs and Early Warning Scores – The Canberra Hospital Inpatients Procedure.</w:t>
      </w:r>
    </w:p>
    <w:p w14:paraId="549E469A" w14:textId="77FEF5C0" w:rsidR="00747626" w:rsidRDefault="00747626" w:rsidP="00747626">
      <w:pPr>
        <w:autoSpaceDE w:val="0"/>
        <w:autoSpaceDN w:val="0"/>
        <w:adjustRightInd w:val="0"/>
        <w:rPr>
          <w:rFonts w:asciiTheme="minorHAnsi" w:eastAsiaTheme="minorHAnsi" w:hAnsiTheme="minorHAnsi" w:cs="HelveticaNeue-BoldCond"/>
          <w:b/>
          <w:bCs/>
          <w:szCs w:val="24"/>
          <w:u w:val="single"/>
        </w:rPr>
      </w:pPr>
      <w:r>
        <w:rPr>
          <w:rFonts w:asciiTheme="minorHAnsi" w:eastAsiaTheme="minorHAnsi" w:hAnsiTheme="minorHAnsi" w:cstheme="minorBidi"/>
          <w:szCs w:val="24"/>
        </w:rPr>
        <w:t>Consider altering medication regime in the event of an Opioid Sedation score of 2+.</w:t>
      </w:r>
      <w:r w:rsidR="00B91F18">
        <w:rPr>
          <w:rFonts w:asciiTheme="minorHAnsi" w:eastAsiaTheme="minorHAnsi" w:hAnsiTheme="minorHAnsi" w:cstheme="minorBidi"/>
          <w:szCs w:val="24"/>
        </w:rPr>
        <w:t xml:space="preserve"> </w:t>
      </w:r>
    </w:p>
    <w:p w14:paraId="5047C077" w14:textId="77777777" w:rsidR="00747626" w:rsidRDefault="00747626" w:rsidP="00747626">
      <w:pPr>
        <w:autoSpaceDE w:val="0"/>
        <w:autoSpaceDN w:val="0"/>
        <w:adjustRightInd w:val="0"/>
        <w:rPr>
          <w:rFonts w:asciiTheme="minorHAnsi" w:eastAsiaTheme="minorHAnsi" w:hAnsiTheme="minorHAnsi" w:cs="HelveticaNeue-BoldCond"/>
          <w:b/>
          <w:bCs/>
          <w:szCs w:val="24"/>
          <w:u w:val="single"/>
        </w:rPr>
      </w:pPr>
    </w:p>
    <w:p w14:paraId="6BAF8758" w14:textId="77777777" w:rsidR="00747626" w:rsidRDefault="00747626" w:rsidP="00747626">
      <w:pPr>
        <w:autoSpaceDE w:val="0"/>
        <w:autoSpaceDN w:val="0"/>
        <w:adjustRightInd w:val="0"/>
        <w:rPr>
          <w:rFonts w:asciiTheme="minorHAnsi" w:eastAsiaTheme="minorHAnsi" w:hAnsiTheme="minorHAnsi" w:cs="HelveticaNeue-BoldCond"/>
          <w:b/>
          <w:bCs/>
          <w:szCs w:val="24"/>
        </w:rPr>
      </w:pPr>
      <w:r>
        <w:rPr>
          <w:rFonts w:asciiTheme="minorHAnsi" w:eastAsiaTheme="minorHAnsi" w:hAnsiTheme="minorHAnsi" w:cs="HelveticaNeue-BoldCond"/>
          <w:b/>
          <w:bCs/>
          <w:szCs w:val="24"/>
        </w:rPr>
        <w:t>Opioids and Driving</w:t>
      </w:r>
    </w:p>
    <w:p w14:paraId="47E82D4F"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 xml:space="preserve">There is little direct evidence that opioid analgesics such as hydromorphone, morphine or oxycodone have direct adverse effects on driving behaviour. Cognitive performance is reduced early in treatment, largely due to their sedative effects, but neuroadaptation is rapidly established. Current evidence suggests that patients on a stable dose of an opioid are </w:t>
      </w:r>
      <w:r>
        <w:rPr>
          <w:rFonts w:asciiTheme="minorHAnsi" w:eastAsiaTheme="minorHAnsi" w:hAnsiTheme="minorHAnsi" w:cs="HelveticaNeue-LightCond"/>
          <w:color w:val="000000"/>
          <w:szCs w:val="24"/>
        </w:rPr>
        <w:lastRenderedPageBreak/>
        <w:t>not at increased risk of impaired driving behaviours This includes patients on buprenorphine and methadone for their opioid dependency, providing the dose has been stabilised over some weeks and they are not abusing other impairing drugs. Driving at night may be a problem due to the persistent miotic effects of these drugs reducing peripheral vision.</w:t>
      </w:r>
    </w:p>
    <w:p w14:paraId="311F10BC"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p>
    <w:p w14:paraId="0FD1B865"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Opioid adverse effects and the endocrine system</w:t>
      </w:r>
    </w:p>
    <w:p w14:paraId="7B9BA1BA"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 xml:space="preserve">Long-term use of opioids is associated with inhibition of the hypothalamic pituitary axis leading to menopausal state, reduced testosterone level, weight gain and reduced libido. </w:t>
      </w:r>
    </w:p>
    <w:p w14:paraId="1C984EC3" w14:textId="77777777" w:rsidR="00747626" w:rsidRDefault="00747626" w:rsidP="00747626">
      <w:pPr>
        <w:autoSpaceDE w:val="0"/>
        <w:autoSpaceDN w:val="0"/>
        <w:adjustRightInd w:val="0"/>
        <w:rPr>
          <w:rFonts w:asciiTheme="minorHAnsi" w:eastAsiaTheme="minorHAnsi" w:hAnsiTheme="minorHAnsi" w:cs="HelveticaNeue-LightCond"/>
          <w:b/>
          <w:color w:val="000000"/>
          <w:szCs w:val="24"/>
          <w:u w:val="single"/>
        </w:rPr>
      </w:pPr>
    </w:p>
    <w:p w14:paraId="1A1261CA" w14:textId="7E7EE39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 xml:space="preserve">Opioid Treatment </w:t>
      </w:r>
      <w:r w:rsidR="00BA43CE">
        <w:rPr>
          <w:rFonts w:asciiTheme="minorHAnsi" w:eastAsiaTheme="minorHAnsi" w:hAnsiTheme="minorHAnsi" w:cs="HelveticaNeue-LightCond"/>
          <w:b/>
          <w:color w:val="000000"/>
          <w:szCs w:val="24"/>
        </w:rPr>
        <w:t>Agreement</w:t>
      </w:r>
    </w:p>
    <w:p w14:paraId="4E3E38C8" w14:textId="05E1201F"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A</w:t>
      </w:r>
      <w:r w:rsidR="00BA43CE">
        <w:rPr>
          <w:rFonts w:asciiTheme="minorHAnsi" w:eastAsiaTheme="minorHAnsi" w:hAnsiTheme="minorHAnsi" w:cs="HelveticaNeue-LightCond"/>
          <w:color w:val="000000"/>
          <w:szCs w:val="24"/>
        </w:rPr>
        <w:t>n agreement</w:t>
      </w:r>
      <w:r>
        <w:rPr>
          <w:rFonts w:asciiTheme="minorHAnsi" w:eastAsiaTheme="minorHAnsi" w:hAnsiTheme="minorHAnsi" w:cs="HelveticaNeue-LightCond"/>
          <w:color w:val="000000"/>
          <w:szCs w:val="24"/>
        </w:rPr>
        <w:t xml:space="preserve"> will be developed with the patient and the treating team to educate and outline the need for maintaining the correct dosage (See </w:t>
      </w:r>
      <w:r w:rsidR="00BA43CE">
        <w:rPr>
          <w:rFonts w:asciiTheme="minorHAnsi" w:eastAsiaTheme="minorHAnsi" w:hAnsiTheme="minorHAnsi" w:cs="HelveticaNeue-LightCond"/>
          <w:color w:val="000000"/>
          <w:szCs w:val="24"/>
        </w:rPr>
        <w:t>Clinical Forms Register Form 75550</w:t>
      </w:r>
      <w:r>
        <w:rPr>
          <w:rFonts w:asciiTheme="minorHAnsi" w:eastAsiaTheme="minorHAnsi" w:hAnsiTheme="minorHAnsi" w:cs="HelveticaNeue-LightCond"/>
          <w:color w:val="000000"/>
          <w:szCs w:val="24"/>
        </w:rPr>
        <w:t xml:space="preserve">: Opioid Treatment Agreement). CHS endorse the use of an opioid treatment </w:t>
      </w:r>
      <w:r w:rsidR="00BA43CE">
        <w:rPr>
          <w:rFonts w:asciiTheme="minorHAnsi" w:eastAsiaTheme="minorHAnsi" w:hAnsiTheme="minorHAnsi" w:cs="HelveticaNeue-LightCond"/>
          <w:color w:val="000000"/>
          <w:szCs w:val="24"/>
        </w:rPr>
        <w:t>agreement</w:t>
      </w:r>
      <w:r>
        <w:rPr>
          <w:rFonts w:asciiTheme="minorHAnsi" w:eastAsiaTheme="minorHAnsi" w:hAnsiTheme="minorHAnsi" w:cs="HelveticaNeue-LightCond"/>
          <w:color w:val="000000"/>
          <w:szCs w:val="24"/>
        </w:rPr>
        <w:t xml:space="preserve"> that emphasises functional performance and an MDT approach to pain management.</w:t>
      </w:r>
      <w:r>
        <w:rPr>
          <w:rFonts w:asciiTheme="minorHAnsi" w:eastAsiaTheme="minorHAnsi" w:hAnsiTheme="minorHAnsi" w:cs="HelveticaNeue-LightCond"/>
          <w:b/>
          <w:color w:val="000000"/>
          <w:szCs w:val="24"/>
        </w:rPr>
        <w:t xml:space="preserve"> </w:t>
      </w:r>
      <w:r>
        <w:rPr>
          <w:rFonts w:asciiTheme="minorHAnsi" w:eastAsiaTheme="minorHAnsi" w:hAnsiTheme="minorHAnsi" w:cs="HelveticaNeue-LightCond"/>
          <w:color w:val="000000"/>
          <w:szCs w:val="24"/>
        </w:rPr>
        <w:t xml:space="preserve">This should be signed by </w:t>
      </w:r>
      <w:r w:rsidR="0092509B">
        <w:rPr>
          <w:rFonts w:asciiTheme="minorHAnsi" w:eastAsiaTheme="minorHAnsi" w:hAnsiTheme="minorHAnsi" w:cs="HelveticaNeue-LightCond"/>
          <w:color w:val="000000"/>
          <w:szCs w:val="24"/>
        </w:rPr>
        <w:t>the</w:t>
      </w:r>
      <w:r>
        <w:rPr>
          <w:rFonts w:asciiTheme="minorHAnsi" w:eastAsiaTheme="minorHAnsi" w:hAnsiTheme="minorHAnsi" w:cs="HelveticaNeue-LightCond"/>
          <w:color w:val="000000"/>
          <w:szCs w:val="24"/>
        </w:rPr>
        <w:t xml:space="preserve"> patient and GP or specialist prescriber when commencing opiates and constrains a patient to a single GP and pharmacy</w:t>
      </w:r>
      <w:r w:rsidR="0092509B">
        <w:rPr>
          <w:rFonts w:asciiTheme="minorHAnsi" w:eastAsiaTheme="minorHAnsi" w:hAnsiTheme="minorHAnsi" w:cs="HelveticaNeue-LightCond"/>
          <w:color w:val="000000"/>
          <w:szCs w:val="24"/>
        </w:rPr>
        <w:t>,</w:t>
      </w:r>
      <w:r>
        <w:rPr>
          <w:rFonts w:asciiTheme="minorHAnsi" w:eastAsiaTheme="minorHAnsi" w:hAnsiTheme="minorHAnsi" w:cs="HelveticaNeue-LightCond"/>
          <w:color w:val="000000"/>
          <w:szCs w:val="24"/>
        </w:rPr>
        <w:t xml:space="preserve"> formalises the commitment to prescribed dose and discourages unsanctioned dose escalation. </w:t>
      </w:r>
    </w:p>
    <w:p w14:paraId="4415258D"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p>
    <w:p w14:paraId="7A4E6457"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 xml:space="preserve">Opioid Assessment Tool – the 6 A’s </w:t>
      </w:r>
    </w:p>
    <w:p w14:paraId="2C6C60CE"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 xml:space="preserve">We recommend the use of the 6 </w:t>
      </w:r>
      <w:proofErr w:type="gramStart"/>
      <w:r>
        <w:rPr>
          <w:rFonts w:asciiTheme="minorHAnsi" w:eastAsiaTheme="minorHAnsi" w:hAnsiTheme="minorHAnsi" w:cs="HelveticaNeue-LightCond"/>
          <w:color w:val="000000"/>
          <w:szCs w:val="24"/>
        </w:rPr>
        <w:t>A’s</w:t>
      </w:r>
      <w:proofErr w:type="gramEnd"/>
      <w:r>
        <w:rPr>
          <w:rFonts w:asciiTheme="minorHAnsi" w:eastAsiaTheme="minorHAnsi" w:hAnsiTheme="minorHAnsi" w:cs="HelveticaNeue-LightCond"/>
          <w:color w:val="000000"/>
          <w:szCs w:val="24"/>
        </w:rPr>
        <w:t xml:space="preserve"> to guide management when reviewing any patient with chronic opiate prescription:</w:t>
      </w:r>
    </w:p>
    <w:p w14:paraId="54CA9AC6"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p>
    <w:p w14:paraId="7BA072E5"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Activity</w:t>
      </w:r>
    </w:p>
    <w:p w14:paraId="5564BAA5"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What progress has been made in the patient’s functional goals?</w:t>
      </w:r>
    </w:p>
    <w:p w14:paraId="145924BC" w14:textId="77777777" w:rsidR="00747626" w:rsidRDefault="00747626" w:rsidP="003108F9">
      <w:pPr>
        <w:pStyle w:val="ListBullet"/>
        <w:tabs>
          <w:tab w:val="clear" w:pos="1080"/>
          <w:tab w:val="num" w:pos="720"/>
        </w:tabs>
        <w:ind w:left="426" w:hanging="426"/>
        <w:rPr>
          <w:rFonts w:eastAsiaTheme="minorHAnsi"/>
        </w:rPr>
      </w:pPr>
      <w:r>
        <w:rPr>
          <w:rFonts w:eastAsiaTheme="minorHAnsi"/>
        </w:rPr>
        <w:t>Sitting tolerance</w:t>
      </w:r>
    </w:p>
    <w:p w14:paraId="3AE2FD24" w14:textId="77777777" w:rsidR="00747626" w:rsidRDefault="00747626" w:rsidP="003108F9">
      <w:pPr>
        <w:pStyle w:val="ListBullet"/>
        <w:tabs>
          <w:tab w:val="clear" w:pos="1080"/>
          <w:tab w:val="num" w:pos="720"/>
        </w:tabs>
        <w:ind w:left="426" w:hanging="426"/>
        <w:rPr>
          <w:rFonts w:eastAsiaTheme="minorHAnsi"/>
        </w:rPr>
      </w:pPr>
      <w:r>
        <w:rPr>
          <w:rFonts w:eastAsiaTheme="minorHAnsi"/>
        </w:rPr>
        <w:t>Standing tolerance</w:t>
      </w:r>
    </w:p>
    <w:p w14:paraId="31161470" w14:textId="77777777" w:rsidR="00747626" w:rsidRDefault="00747626" w:rsidP="003108F9">
      <w:pPr>
        <w:pStyle w:val="ListBullet"/>
        <w:tabs>
          <w:tab w:val="clear" w:pos="1080"/>
          <w:tab w:val="num" w:pos="720"/>
        </w:tabs>
        <w:ind w:left="426" w:hanging="426"/>
        <w:rPr>
          <w:rFonts w:eastAsiaTheme="minorHAnsi"/>
        </w:rPr>
      </w:pPr>
      <w:r>
        <w:rPr>
          <w:rFonts w:eastAsiaTheme="minorHAnsi"/>
        </w:rPr>
        <w:t>Walking ability</w:t>
      </w:r>
    </w:p>
    <w:p w14:paraId="371AD5AB" w14:textId="2899F285" w:rsidR="00747626" w:rsidRDefault="00747626" w:rsidP="003108F9">
      <w:pPr>
        <w:pStyle w:val="ListBullet"/>
        <w:tabs>
          <w:tab w:val="clear" w:pos="1080"/>
          <w:tab w:val="num" w:pos="720"/>
        </w:tabs>
        <w:ind w:left="426" w:hanging="426"/>
        <w:rPr>
          <w:rFonts w:eastAsiaTheme="minorHAnsi"/>
        </w:rPr>
      </w:pPr>
      <w:r>
        <w:rPr>
          <w:rFonts w:eastAsiaTheme="minorHAnsi"/>
        </w:rPr>
        <w:t>Ability to perform activities of daily living</w:t>
      </w:r>
      <w:r w:rsidR="00051631">
        <w:rPr>
          <w:rFonts w:eastAsiaTheme="minorHAnsi"/>
        </w:rPr>
        <w:t>.</w:t>
      </w:r>
    </w:p>
    <w:p w14:paraId="1B83D7D1" w14:textId="77777777" w:rsidR="00747626" w:rsidRDefault="00747626" w:rsidP="00747626">
      <w:pPr>
        <w:autoSpaceDE w:val="0"/>
        <w:autoSpaceDN w:val="0"/>
        <w:adjustRightInd w:val="0"/>
        <w:ind w:left="720"/>
        <w:rPr>
          <w:rFonts w:asciiTheme="minorHAnsi" w:eastAsiaTheme="minorHAnsi" w:hAnsiTheme="minorHAnsi" w:cs="HelveticaNeue-LightCond"/>
          <w:b/>
          <w:color w:val="000000"/>
          <w:szCs w:val="24"/>
        </w:rPr>
      </w:pPr>
    </w:p>
    <w:p w14:paraId="2BFB2679"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Analgesia</w:t>
      </w:r>
    </w:p>
    <w:p w14:paraId="5CFFB69D"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How does the patient rate the following over the last 24 hours?</w:t>
      </w:r>
    </w:p>
    <w:p w14:paraId="590D89E3" w14:textId="77777777" w:rsidR="00747626" w:rsidRDefault="00747626" w:rsidP="003108F9">
      <w:pPr>
        <w:pStyle w:val="ListBullet"/>
        <w:tabs>
          <w:tab w:val="clear" w:pos="1080"/>
          <w:tab w:val="num" w:pos="851"/>
        </w:tabs>
        <w:ind w:left="426" w:hanging="426"/>
        <w:rPr>
          <w:rFonts w:eastAsiaTheme="minorHAnsi"/>
        </w:rPr>
      </w:pPr>
      <w:r>
        <w:rPr>
          <w:rFonts w:eastAsiaTheme="minorHAnsi"/>
        </w:rPr>
        <w:t>Average pain</w:t>
      </w:r>
    </w:p>
    <w:p w14:paraId="776FB608" w14:textId="34F9A711" w:rsidR="00747626" w:rsidRDefault="00747626" w:rsidP="003108F9">
      <w:pPr>
        <w:pStyle w:val="ListBullet"/>
        <w:tabs>
          <w:tab w:val="clear" w:pos="1080"/>
          <w:tab w:val="num" w:pos="851"/>
        </w:tabs>
        <w:ind w:left="426" w:hanging="426"/>
        <w:rPr>
          <w:rFonts w:eastAsiaTheme="minorHAnsi"/>
        </w:rPr>
      </w:pPr>
      <w:r>
        <w:rPr>
          <w:rFonts w:eastAsiaTheme="minorHAnsi"/>
        </w:rPr>
        <w:t>Worst pain</w:t>
      </w:r>
      <w:r w:rsidR="00051631">
        <w:rPr>
          <w:rFonts w:eastAsiaTheme="minorHAnsi"/>
        </w:rPr>
        <w:t>.</w:t>
      </w:r>
    </w:p>
    <w:p w14:paraId="13A758AE" w14:textId="77777777" w:rsidR="00747626" w:rsidRDefault="00747626" w:rsidP="00747626">
      <w:pPr>
        <w:autoSpaceDE w:val="0"/>
        <w:autoSpaceDN w:val="0"/>
        <w:adjustRightInd w:val="0"/>
        <w:ind w:left="360"/>
        <w:rPr>
          <w:rFonts w:asciiTheme="minorHAnsi" w:eastAsiaTheme="minorHAnsi" w:hAnsiTheme="minorHAnsi" w:cs="HelveticaNeue-LightCond"/>
          <w:color w:val="000000"/>
          <w:szCs w:val="24"/>
        </w:rPr>
      </w:pPr>
      <w:proofErr w:type="gramStart"/>
      <w:r>
        <w:rPr>
          <w:rFonts w:asciiTheme="minorHAnsi" w:eastAsiaTheme="minorHAnsi" w:hAnsiTheme="minorHAnsi" w:cs="HelveticaNeue-LightCond"/>
          <w:color w:val="000000"/>
          <w:szCs w:val="24"/>
        </w:rPr>
        <w:t>e.g.</w:t>
      </w:r>
      <w:proofErr w:type="gramEnd"/>
      <w:r>
        <w:rPr>
          <w:rFonts w:asciiTheme="minorHAnsi" w:eastAsiaTheme="minorHAnsi" w:hAnsiTheme="minorHAnsi" w:cs="HelveticaNeue-LightCond"/>
          <w:color w:val="000000"/>
          <w:szCs w:val="24"/>
        </w:rPr>
        <w:t xml:space="preserve"> on a scale from 0 to 10 where 0 = no pain, 10 = pain as bad as you can imagine</w:t>
      </w:r>
    </w:p>
    <w:p w14:paraId="1601C3C9" w14:textId="688B0D57" w:rsidR="00747626" w:rsidRDefault="00747626" w:rsidP="00747626">
      <w:pPr>
        <w:autoSpaceDE w:val="0"/>
        <w:autoSpaceDN w:val="0"/>
        <w:adjustRightInd w:val="0"/>
        <w:ind w:left="36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 xml:space="preserve">How much relief have pain medications provided? </w:t>
      </w:r>
      <w:proofErr w:type="gramStart"/>
      <w:r>
        <w:rPr>
          <w:rFonts w:asciiTheme="minorHAnsi" w:eastAsiaTheme="minorHAnsi" w:hAnsiTheme="minorHAnsi" w:cs="HelveticaNeue-LightCond"/>
          <w:color w:val="000000"/>
          <w:szCs w:val="24"/>
        </w:rPr>
        <w:t>e.g.</w:t>
      </w:r>
      <w:proofErr w:type="gramEnd"/>
      <w:r>
        <w:rPr>
          <w:rFonts w:asciiTheme="minorHAnsi" w:eastAsiaTheme="minorHAnsi" w:hAnsiTheme="minorHAnsi" w:cs="HelveticaNeue-LightCond"/>
          <w:color w:val="000000"/>
          <w:szCs w:val="24"/>
        </w:rPr>
        <w:t xml:space="preserve"> 10%, 20%, 30%</w:t>
      </w:r>
      <w:r w:rsidR="00051631">
        <w:rPr>
          <w:rFonts w:asciiTheme="minorHAnsi" w:eastAsiaTheme="minorHAnsi" w:hAnsiTheme="minorHAnsi" w:cs="HelveticaNeue-LightCond"/>
          <w:color w:val="000000"/>
          <w:szCs w:val="24"/>
        </w:rPr>
        <w:t>.</w:t>
      </w:r>
    </w:p>
    <w:p w14:paraId="5CC0AED0" w14:textId="77777777" w:rsidR="00747626" w:rsidRDefault="00747626" w:rsidP="00747626">
      <w:pPr>
        <w:autoSpaceDE w:val="0"/>
        <w:autoSpaceDN w:val="0"/>
        <w:adjustRightInd w:val="0"/>
        <w:ind w:left="720"/>
        <w:rPr>
          <w:rFonts w:asciiTheme="minorHAnsi" w:eastAsiaTheme="minorHAnsi" w:hAnsiTheme="minorHAnsi" w:cs="HelveticaNeue-LightCond"/>
          <w:b/>
          <w:color w:val="000000"/>
          <w:szCs w:val="24"/>
        </w:rPr>
      </w:pPr>
    </w:p>
    <w:p w14:paraId="66FF55A0"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Adverse effects</w:t>
      </w:r>
    </w:p>
    <w:p w14:paraId="3C33017A" w14:textId="547B5414"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Has the patient experienced any adverse effects from medication</w:t>
      </w:r>
      <w:r w:rsidR="00051631" w:rsidRPr="00051631">
        <w:rPr>
          <w:rFonts w:asciiTheme="minorHAnsi" w:eastAsiaTheme="minorHAnsi" w:hAnsiTheme="minorHAnsi" w:cs="HelveticaNeue-LightCond"/>
          <w:color w:val="000000"/>
          <w:szCs w:val="24"/>
        </w:rPr>
        <w:t xml:space="preserve"> </w:t>
      </w:r>
      <w:r w:rsidR="00051631">
        <w:rPr>
          <w:rFonts w:asciiTheme="minorHAnsi" w:eastAsiaTheme="minorHAnsi" w:hAnsiTheme="minorHAnsi" w:cs="HelveticaNeue-LightCond"/>
          <w:color w:val="000000"/>
          <w:szCs w:val="24"/>
        </w:rPr>
        <w:t>(e.g., constipation, nausea, dizziness, drowsiness)</w:t>
      </w:r>
      <w:r>
        <w:rPr>
          <w:rFonts w:asciiTheme="minorHAnsi" w:eastAsiaTheme="minorHAnsi" w:hAnsiTheme="minorHAnsi" w:cs="HelveticaNeue-LightCond"/>
          <w:color w:val="000000"/>
          <w:szCs w:val="24"/>
        </w:rPr>
        <w:t>?</w:t>
      </w:r>
    </w:p>
    <w:p w14:paraId="0BCC83A9"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p>
    <w:p w14:paraId="3FE391CF"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Aberrant behaviours</w:t>
      </w:r>
    </w:p>
    <w:p w14:paraId="185D7A82"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Has the patient been taking medication/s as prescribed?</w:t>
      </w:r>
    </w:p>
    <w:p w14:paraId="55318B91"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Has the patient exhibited any signs of problematic behaviours or medication abuse/misuse?</w:t>
      </w:r>
    </w:p>
    <w:p w14:paraId="68C4184F" w14:textId="77777777" w:rsidR="00747626" w:rsidRDefault="00747626" w:rsidP="003108F9">
      <w:pPr>
        <w:pStyle w:val="ListBullet"/>
        <w:tabs>
          <w:tab w:val="clear" w:pos="1080"/>
          <w:tab w:val="num" w:pos="720"/>
        </w:tabs>
        <w:ind w:left="426" w:hanging="426"/>
        <w:rPr>
          <w:rFonts w:eastAsiaTheme="minorHAnsi"/>
        </w:rPr>
      </w:pPr>
      <w:r>
        <w:rPr>
          <w:rFonts w:eastAsiaTheme="minorHAnsi"/>
        </w:rPr>
        <w:t>Signs of drug and alcohol use</w:t>
      </w:r>
    </w:p>
    <w:p w14:paraId="45E57859" w14:textId="77777777" w:rsidR="00747626" w:rsidRDefault="00747626" w:rsidP="003108F9">
      <w:pPr>
        <w:pStyle w:val="ListBullet"/>
        <w:tabs>
          <w:tab w:val="clear" w:pos="1080"/>
          <w:tab w:val="num" w:pos="720"/>
        </w:tabs>
        <w:ind w:left="426" w:hanging="426"/>
        <w:rPr>
          <w:rFonts w:eastAsiaTheme="minorHAnsi"/>
        </w:rPr>
      </w:pPr>
      <w:r>
        <w:rPr>
          <w:rFonts w:eastAsiaTheme="minorHAnsi"/>
        </w:rPr>
        <w:t>Unsanctioned dose escalations</w:t>
      </w:r>
    </w:p>
    <w:p w14:paraId="0F46CC85" w14:textId="77777777" w:rsidR="00747626" w:rsidRDefault="00747626" w:rsidP="003108F9">
      <w:pPr>
        <w:pStyle w:val="ListBullet"/>
        <w:tabs>
          <w:tab w:val="clear" w:pos="1080"/>
          <w:tab w:val="num" w:pos="720"/>
        </w:tabs>
        <w:ind w:left="426" w:hanging="426"/>
        <w:rPr>
          <w:rFonts w:eastAsiaTheme="minorHAnsi"/>
        </w:rPr>
      </w:pPr>
      <w:r>
        <w:rPr>
          <w:rFonts w:eastAsiaTheme="minorHAnsi"/>
        </w:rPr>
        <w:lastRenderedPageBreak/>
        <w:t>Has the patient reported lost prescriptions or requested early repeats?</w:t>
      </w:r>
    </w:p>
    <w:p w14:paraId="2A20CA28" w14:textId="77777777" w:rsidR="00747626" w:rsidRDefault="00747626" w:rsidP="00747626">
      <w:pPr>
        <w:autoSpaceDE w:val="0"/>
        <w:autoSpaceDN w:val="0"/>
        <w:adjustRightInd w:val="0"/>
        <w:ind w:left="720"/>
        <w:rPr>
          <w:rFonts w:asciiTheme="minorHAnsi" w:eastAsiaTheme="minorHAnsi" w:hAnsiTheme="minorHAnsi" w:cs="HelveticaNeue-LightCond"/>
          <w:b/>
          <w:color w:val="000000"/>
          <w:szCs w:val="24"/>
        </w:rPr>
      </w:pPr>
    </w:p>
    <w:p w14:paraId="46F83114"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Affect</w:t>
      </w:r>
    </w:p>
    <w:p w14:paraId="3A7FB038"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Have there been any changes to the way the patient has been feeling?</w:t>
      </w:r>
    </w:p>
    <w:p w14:paraId="4F983A05" w14:textId="77777777" w:rsidR="00747626" w:rsidRDefault="00747626" w:rsidP="003108F9">
      <w:pPr>
        <w:pStyle w:val="ListBullet"/>
        <w:tabs>
          <w:tab w:val="clear" w:pos="1080"/>
          <w:tab w:val="num" w:pos="720"/>
        </w:tabs>
        <w:ind w:left="426" w:hanging="426"/>
        <w:rPr>
          <w:rFonts w:eastAsiaTheme="minorHAnsi"/>
        </w:rPr>
      </w:pPr>
      <w:r>
        <w:rPr>
          <w:rFonts w:eastAsiaTheme="minorHAnsi"/>
        </w:rPr>
        <w:t>Is pain impacting on the patient’s mood?</w:t>
      </w:r>
    </w:p>
    <w:p w14:paraId="1DF6BE51" w14:textId="77777777" w:rsidR="00747626" w:rsidRDefault="00747626" w:rsidP="003108F9">
      <w:pPr>
        <w:pStyle w:val="ListBullet"/>
        <w:tabs>
          <w:tab w:val="clear" w:pos="1080"/>
          <w:tab w:val="num" w:pos="720"/>
        </w:tabs>
        <w:ind w:left="426" w:hanging="426"/>
        <w:rPr>
          <w:rFonts w:eastAsiaTheme="minorHAnsi"/>
        </w:rPr>
      </w:pPr>
      <w:r>
        <w:rPr>
          <w:rFonts w:eastAsiaTheme="minorHAnsi"/>
        </w:rPr>
        <w:t>Is the patient depressed or anxious?</w:t>
      </w:r>
    </w:p>
    <w:p w14:paraId="1DEFDD81" w14:textId="77777777" w:rsidR="00747626" w:rsidRDefault="00747626" w:rsidP="00747626">
      <w:pPr>
        <w:autoSpaceDE w:val="0"/>
        <w:autoSpaceDN w:val="0"/>
        <w:adjustRightInd w:val="0"/>
        <w:ind w:left="720"/>
        <w:rPr>
          <w:rFonts w:asciiTheme="minorHAnsi" w:eastAsiaTheme="minorHAnsi" w:hAnsiTheme="minorHAnsi" w:cs="HelveticaNeue-LightCond"/>
          <w:b/>
          <w:color w:val="000000"/>
          <w:szCs w:val="24"/>
        </w:rPr>
      </w:pPr>
    </w:p>
    <w:p w14:paraId="16115A8F" w14:textId="77777777" w:rsidR="00747626" w:rsidRDefault="00747626" w:rsidP="00747626">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Accurate records</w:t>
      </w:r>
    </w:p>
    <w:p w14:paraId="32CBD85F" w14:textId="77777777" w:rsidR="00747626" w:rsidRDefault="00747626" w:rsidP="00747626">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Document the initial evaluation and each follow up, including current pain medication and any changes to the management plan.</w:t>
      </w:r>
    </w:p>
    <w:p w14:paraId="5A030041" w14:textId="6E8C1D3D" w:rsidR="00747626" w:rsidRDefault="00747626" w:rsidP="009A534C">
      <w:pPr>
        <w:jc w:val="right"/>
        <w:rPr>
          <w:rStyle w:val="Hyperlink"/>
          <w:rFonts w:eastAsiaTheme="majorEastAsia" w:cs="Arial"/>
          <w:i/>
          <w:szCs w:val="24"/>
        </w:rPr>
      </w:pPr>
    </w:p>
    <w:p w14:paraId="104A91B8" w14:textId="4F45B266" w:rsidR="00747626" w:rsidRDefault="00E0092E" w:rsidP="003108F9">
      <w:pPr>
        <w:jc w:val="right"/>
        <w:rPr>
          <w:rStyle w:val="Hyperlink"/>
          <w:rFonts w:eastAsiaTheme="majorEastAsia" w:cs="Arial"/>
          <w:i/>
          <w:szCs w:val="24"/>
        </w:rPr>
      </w:pPr>
      <w:hyperlink w:anchor="Contents" w:history="1">
        <w:r w:rsidR="00747626"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47626" w:rsidRPr="00CD1C0E" w14:paraId="61B73DFC" w14:textId="77777777" w:rsidTr="006E6299">
        <w:trPr>
          <w:cantSplit/>
          <w:trHeight w:val="285"/>
        </w:trPr>
        <w:tc>
          <w:tcPr>
            <w:tcW w:w="9158" w:type="dxa"/>
            <w:shd w:val="clear" w:color="auto" w:fill="D9D9D9" w:themeFill="background1" w:themeFillShade="D9"/>
          </w:tcPr>
          <w:p w14:paraId="7515D5C8" w14:textId="126FEFAD" w:rsidR="00747626" w:rsidRPr="003D2D06" w:rsidRDefault="00747626" w:rsidP="006E6299">
            <w:pPr>
              <w:pStyle w:val="Heading1"/>
            </w:pPr>
            <w:bookmarkStart w:id="32" w:name="_Toc134688858"/>
            <w:r w:rsidRPr="003D2D06">
              <w:t xml:space="preserve">Section </w:t>
            </w:r>
            <w:r>
              <w:t>6</w:t>
            </w:r>
            <w:r w:rsidRPr="003D2D06">
              <w:t xml:space="preserve"> – </w:t>
            </w:r>
            <w:r w:rsidR="00BA43CE">
              <w:t>Renal pain syndromes</w:t>
            </w:r>
            <w:bookmarkEnd w:id="32"/>
          </w:p>
        </w:tc>
      </w:tr>
    </w:tbl>
    <w:p w14:paraId="070E6DED" w14:textId="77777777" w:rsidR="003108F9" w:rsidRDefault="003108F9" w:rsidP="00BA43CE">
      <w:pPr>
        <w:autoSpaceDE w:val="0"/>
        <w:autoSpaceDN w:val="0"/>
        <w:adjustRightInd w:val="0"/>
        <w:rPr>
          <w:rFonts w:asciiTheme="minorHAnsi" w:eastAsiaTheme="minorHAnsi" w:hAnsiTheme="minorHAnsi" w:cstheme="minorHAnsi"/>
          <w:b/>
          <w:bCs/>
          <w:color w:val="333333"/>
          <w:szCs w:val="24"/>
        </w:rPr>
      </w:pPr>
    </w:p>
    <w:p w14:paraId="52F986A8" w14:textId="1DA2BBE1" w:rsidR="00BA43CE" w:rsidRDefault="00BA43CE" w:rsidP="00BA43CE">
      <w:pPr>
        <w:autoSpaceDE w:val="0"/>
        <w:autoSpaceDN w:val="0"/>
        <w:adjustRightInd w:val="0"/>
        <w:rPr>
          <w:rFonts w:asciiTheme="minorHAnsi" w:eastAsiaTheme="minorHAnsi" w:hAnsiTheme="minorHAnsi" w:cstheme="minorHAnsi"/>
          <w:b/>
          <w:bCs/>
          <w:color w:val="333333"/>
          <w:szCs w:val="24"/>
        </w:rPr>
      </w:pPr>
      <w:r>
        <w:rPr>
          <w:rFonts w:asciiTheme="minorHAnsi" w:eastAsiaTheme="minorHAnsi" w:hAnsiTheme="minorHAnsi" w:cstheme="minorHAnsi"/>
          <w:b/>
          <w:bCs/>
          <w:color w:val="333333"/>
          <w:szCs w:val="24"/>
        </w:rPr>
        <w:t xml:space="preserve">A limited number of pain syndromes are unique to patients with certain renal conditions or undergoing dialysis therapies. </w:t>
      </w:r>
    </w:p>
    <w:p w14:paraId="49AFA9DB" w14:textId="77777777" w:rsidR="00BA43CE" w:rsidRDefault="00BA43CE" w:rsidP="00BA43CE">
      <w:pPr>
        <w:autoSpaceDE w:val="0"/>
        <w:autoSpaceDN w:val="0"/>
        <w:adjustRightInd w:val="0"/>
        <w:rPr>
          <w:rFonts w:asciiTheme="minorHAnsi" w:eastAsiaTheme="minorHAnsi" w:hAnsiTheme="minorHAnsi" w:cstheme="minorHAnsi"/>
          <w:b/>
          <w:bCs/>
          <w:color w:val="333333"/>
          <w:szCs w:val="24"/>
          <w:u w:val="single"/>
        </w:rPr>
      </w:pPr>
    </w:p>
    <w:p w14:paraId="731413B1" w14:textId="77777777" w:rsidR="00BA43CE" w:rsidRDefault="00BA43CE" w:rsidP="00BA43CE">
      <w:pPr>
        <w:autoSpaceDE w:val="0"/>
        <w:autoSpaceDN w:val="0"/>
        <w:adjustRightInd w:val="0"/>
        <w:rPr>
          <w:rFonts w:asciiTheme="minorHAnsi" w:eastAsiaTheme="minorHAnsi" w:hAnsiTheme="minorHAnsi" w:cstheme="minorHAnsi"/>
          <w:b/>
          <w:color w:val="000000"/>
          <w:szCs w:val="24"/>
        </w:rPr>
      </w:pPr>
      <w:r>
        <w:rPr>
          <w:rFonts w:asciiTheme="minorHAnsi" w:eastAsiaTheme="minorHAnsi" w:hAnsiTheme="minorHAnsi" w:cstheme="minorHAnsi"/>
          <w:b/>
          <w:color w:val="000000"/>
          <w:szCs w:val="24"/>
        </w:rPr>
        <w:t>Vascular steal syndrome</w:t>
      </w:r>
    </w:p>
    <w:p w14:paraId="2513C64E" w14:textId="77777777" w:rsidR="003108F9" w:rsidRDefault="00BA43CE" w:rsidP="00BA43CE">
      <w:pPr>
        <w:autoSpaceDE w:val="0"/>
        <w:autoSpaceDN w:val="0"/>
        <w:adjustRightInd w:val="0"/>
        <w:rPr>
          <w:rFonts w:asciiTheme="minorHAnsi" w:eastAsiaTheme="minorHAnsi" w:hAnsiTheme="minorHAnsi" w:cs="HelveticaNeue-LightCond"/>
          <w:bCs/>
          <w:color w:val="000000"/>
          <w:szCs w:val="24"/>
        </w:rPr>
      </w:pPr>
      <w:r>
        <w:rPr>
          <w:rFonts w:asciiTheme="minorHAnsi" w:eastAsiaTheme="minorHAnsi" w:hAnsiTheme="minorHAnsi" w:cs="HelveticaNeue-LightCond"/>
          <w:bCs/>
          <w:color w:val="000000"/>
          <w:szCs w:val="24"/>
        </w:rPr>
        <w:t xml:space="preserve">Pain in the distal extremities due to blood flow diversion in the context of a proximal fistula and peripheral vascular disease. Can be identified by the 6 P’s of compromised vascular supply: </w:t>
      </w:r>
    </w:p>
    <w:p w14:paraId="5A986BAC" w14:textId="5B0A04DF" w:rsidR="003108F9" w:rsidRDefault="00BA43CE" w:rsidP="003108F9">
      <w:pPr>
        <w:pStyle w:val="ListBullet"/>
        <w:tabs>
          <w:tab w:val="clear" w:pos="1080"/>
          <w:tab w:val="num" w:pos="720"/>
        </w:tabs>
        <w:ind w:left="426" w:hanging="426"/>
        <w:rPr>
          <w:rFonts w:eastAsiaTheme="minorHAnsi"/>
        </w:rPr>
      </w:pPr>
      <w:r>
        <w:rPr>
          <w:rFonts w:eastAsiaTheme="minorHAnsi"/>
          <w:b/>
        </w:rPr>
        <w:t>p</w:t>
      </w:r>
      <w:r>
        <w:rPr>
          <w:rFonts w:eastAsiaTheme="minorHAnsi"/>
        </w:rPr>
        <w:t>ain</w:t>
      </w:r>
    </w:p>
    <w:p w14:paraId="35A5959F" w14:textId="3971807E" w:rsidR="003108F9" w:rsidRDefault="00BA43CE" w:rsidP="003108F9">
      <w:pPr>
        <w:pStyle w:val="ListBullet"/>
        <w:tabs>
          <w:tab w:val="clear" w:pos="1080"/>
          <w:tab w:val="num" w:pos="720"/>
        </w:tabs>
        <w:ind w:left="426" w:hanging="426"/>
        <w:rPr>
          <w:rFonts w:eastAsiaTheme="minorHAnsi"/>
        </w:rPr>
      </w:pPr>
      <w:r>
        <w:rPr>
          <w:rFonts w:eastAsiaTheme="minorHAnsi"/>
          <w:b/>
        </w:rPr>
        <w:t>p</w:t>
      </w:r>
      <w:r>
        <w:rPr>
          <w:rFonts w:eastAsiaTheme="minorHAnsi"/>
        </w:rPr>
        <w:t>allor</w:t>
      </w:r>
    </w:p>
    <w:p w14:paraId="70E2EA3A" w14:textId="0E1109FB" w:rsidR="003108F9" w:rsidRDefault="00BA43CE" w:rsidP="003108F9">
      <w:pPr>
        <w:pStyle w:val="ListBullet"/>
        <w:tabs>
          <w:tab w:val="clear" w:pos="1080"/>
          <w:tab w:val="num" w:pos="720"/>
        </w:tabs>
        <w:ind w:left="426" w:hanging="426"/>
        <w:rPr>
          <w:rFonts w:eastAsiaTheme="minorHAnsi"/>
        </w:rPr>
      </w:pPr>
      <w:r>
        <w:rPr>
          <w:rFonts w:eastAsiaTheme="minorHAnsi"/>
          <w:b/>
        </w:rPr>
        <w:t>p</w:t>
      </w:r>
      <w:r>
        <w:rPr>
          <w:rFonts w:eastAsiaTheme="minorHAnsi"/>
        </w:rPr>
        <w:t>ulselessness</w:t>
      </w:r>
    </w:p>
    <w:p w14:paraId="69E52DB1" w14:textId="4CF007EF" w:rsidR="003108F9" w:rsidRDefault="00BA43CE" w:rsidP="003108F9">
      <w:pPr>
        <w:pStyle w:val="ListBullet"/>
        <w:tabs>
          <w:tab w:val="clear" w:pos="1080"/>
          <w:tab w:val="num" w:pos="720"/>
        </w:tabs>
        <w:ind w:left="426" w:hanging="426"/>
        <w:rPr>
          <w:rFonts w:eastAsiaTheme="minorHAnsi"/>
        </w:rPr>
      </w:pPr>
      <w:r>
        <w:rPr>
          <w:rFonts w:eastAsiaTheme="minorHAnsi"/>
          <w:b/>
        </w:rPr>
        <w:t>p</w:t>
      </w:r>
      <w:r>
        <w:rPr>
          <w:rFonts w:eastAsiaTheme="minorHAnsi"/>
        </w:rPr>
        <w:t>araesthesia</w:t>
      </w:r>
    </w:p>
    <w:p w14:paraId="4091C926" w14:textId="03903E2C" w:rsidR="003108F9" w:rsidRPr="003108F9" w:rsidRDefault="00BA43CE" w:rsidP="003108F9">
      <w:pPr>
        <w:pStyle w:val="ListBullet"/>
        <w:tabs>
          <w:tab w:val="clear" w:pos="1080"/>
          <w:tab w:val="num" w:pos="720"/>
        </w:tabs>
        <w:ind w:left="426" w:hanging="426"/>
        <w:rPr>
          <w:rFonts w:eastAsiaTheme="minorHAnsi"/>
        </w:rPr>
      </w:pPr>
      <w:proofErr w:type="spellStart"/>
      <w:r>
        <w:rPr>
          <w:rFonts w:eastAsiaTheme="minorHAnsi"/>
          <w:b/>
        </w:rPr>
        <w:t>p</w:t>
      </w:r>
      <w:r>
        <w:rPr>
          <w:rFonts w:eastAsiaTheme="minorHAnsi"/>
        </w:rPr>
        <w:t>oikilothermia</w:t>
      </w:r>
      <w:proofErr w:type="spellEnd"/>
      <w:r>
        <w:rPr>
          <w:rFonts w:eastAsiaTheme="minorHAnsi"/>
        </w:rPr>
        <w:t xml:space="preserve"> (cold to touch)</w:t>
      </w:r>
    </w:p>
    <w:p w14:paraId="7A7451BA" w14:textId="77777777" w:rsidR="003108F9" w:rsidRPr="003108F9" w:rsidRDefault="00BA43CE" w:rsidP="003108F9">
      <w:pPr>
        <w:pStyle w:val="ListBullet"/>
        <w:tabs>
          <w:tab w:val="clear" w:pos="1080"/>
          <w:tab w:val="num" w:pos="720"/>
        </w:tabs>
        <w:ind w:left="426" w:hanging="426"/>
        <w:rPr>
          <w:rFonts w:eastAsiaTheme="minorHAnsi"/>
        </w:rPr>
      </w:pPr>
      <w:r>
        <w:rPr>
          <w:rFonts w:eastAsiaTheme="minorHAnsi"/>
          <w:b/>
        </w:rPr>
        <w:t>p</w:t>
      </w:r>
      <w:r>
        <w:rPr>
          <w:rFonts w:eastAsiaTheme="minorHAnsi"/>
        </w:rPr>
        <w:t>aralysis</w:t>
      </w:r>
      <w:r>
        <w:rPr>
          <w:rFonts w:eastAsiaTheme="minorHAnsi"/>
          <w:b/>
        </w:rPr>
        <w:t xml:space="preserve">. </w:t>
      </w:r>
    </w:p>
    <w:p w14:paraId="64446509" w14:textId="5FCD5007" w:rsidR="00BA43CE" w:rsidRDefault="00BA43CE" w:rsidP="003108F9">
      <w:pPr>
        <w:pStyle w:val="ListBullet"/>
        <w:numPr>
          <w:ilvl w:val="0"/>
          <w:numId w:val="0"/>
        </w:numPr>
        <w:rPr>
          <w:rFonts w:eastAsiaTheme="minorHAnsi"/>
        </w:rPr>
      </w:pPr>
      <w:r>
        <w:rPr>
          <w:rFonts w:eastAsiaTheme="minorHAnsi"/>
        </w:rPr>
        <w:t>Requires</w:t>
      </w:r>
      <w:r w:rsidR="003720F6">
        <w:rPr>
          <w:rFonts w:eastAsiaTheme="minorHAnsi"/>
        </w:rPr>
        <w:t xml:space="preserve"> urgent</w:t>
      </w:r>
      <w:r>
        <w:rPr>
          <w:rFonts w:eastAsiaTheme="minorHAnsi"/>
        </w:rPr>
        <w:t xml:space="preserve"> vascular surgical review</w:t>
      </w:r>
      <w:r w:rsidR="003F1A8F">
        <w:rPr>
          <w:rFonts w:eastAsiaTheme="minorHAnsi"/>
        </w:rPr>
        <w:t>.</w:t>
      </w:r>
      <w:r>
        <w:rPr>
          <w:rFonts w:eastAsiaTheme="minorHAnsi"/>
        </w:rPr>
        <w:t xml:space="preserve"> </w:t>
      </w:r>
      <w:r w:rsidR="003F1A8F">
        <w:rPr>
          <w:rFonts w:eastAsiaTheme="minorHAnsi"/>
        </w:rPr>
        <w:t>N</w:t>
      </w:r>
      <w:r>
        <w:rPr>
          <w:rFonts w:eastAsiaTheme="minorHAnsi"/>
        </w:rPr>
        <w:t xml:space="preserve">erve conduction studies may be helpful to distinguish from nerve entrapment syndromes. Analgesic strategies include verapamil and neuropathic agents. </w:t>
      </w:r>
    </w:p>
    <w:p w14:paraId="2EE4EE4D" w14:textId="77777777" w:rsidR="00BA43CE" w:rsidRDefault="00BA43CE" w:rsidP="00BA43CE">
      <w:pPr>
        <w:autoSpaceDE w:val="0"/>
        <w:autoSpaceDN w:val="0"/>
        <w:adjustRightInd w:val="0"/>
        <w:rPr>
          <w:rFonts w:asciiTheme="minorHAnsi" w:eastAsiaTheme="minorHAnsi" w:hAnsiTheme="minorHAnsi" w:cs="HelveticaNeue-LightCond"/>
          <w:bCs/>
          <w:color w:val="000000"/>
          <w:szCs w:val="24"/>
        </w:rPr>
      </w:pPr>
    </w:p>
    <w:p w14:paraId="1F96C642" w14:textId="77777777" w:rsidR="00BA43CE" w:rsidRDefault="00BA43CE" w:rsidP="00BA43CE">
      <w:pPr>
        <w:autoSpaceDE w:val="0"/>
        <w:autoSpaceDN w:val="0"/>
        <w:adjustRightInd w:val="0"/>
        <w:rPr>
          <w:rFonts w:asciiTheme="minorHAnsi" w:eastAsiaTheme="minorHAnsi" w:hAnsiTheme="minorHAnsi" w:cs="HelveticaNeue-LightCond"/>
          <w:b/>
          <w:color w:val="000000"/>
          <w:szCs w:val="24"/>
        </w:rPr>
      </w:pPr>
      <w:r>
        <w:rPr>
          <w:rFonts w:asciiTheme="minorHAnsi" w:eastAsiaTheme="minorHAnsi" w:hAnsiTheme="minorHAnsi" w:cs="HelveticaNeue-LightCond"/>
          <w:b/>
          <w:color w:val="000000"/>
          <w:szCs w:val="24"/>
        </w:rPr>
        <w:t>Polycystic kidney disease</w:t>
      </w:r>
    </w:p>
    <w:p w14:paraId="764093FC" w14:textId="77777777" w:rsidR="00BA43CE" w:rsidRDefault="00BA43CE" w:rsidP="00BA43CE">
      <w:pPr>
        <w:autoSpaceDE w:val="0"/>
        <w:autoSpaceDN w:val="0"/>
        <w:adjustRightInd w:val="0"/>
        <w:rPr>
          <w:rFonts w:asciiTheme="minorHAnsi" w:eastAsiaTheme="minorHAnsi" w:hAnsiTheme="minorHAnsi" w:cs="HelveticaNeue-LightCond"/>
          <w:bCs/>
          <w:color w:val="000000"/>
          <w:szCs w:val="24"/>
        </w:rPr>
      </w:pPr>
      <w:r>
        <w:rPr>
          <w:rFonts w:asciiTheme="minorHAnsi" w:eastAsiaTheme="minorHAnsi" w:hAnsiTheme="minorHAnsi" w:cs="HelveticaNeue-LightCond"/>
          <w:bCs/>
          <w:color w:val="000000"/>
          <w:szCs w:val="24"/>
        </w:rPr>
        <w:t>Pain is frequently due to cyst enlargement within the abdomen or due to complicating infection, stone disease or haemorrhage. Evidence supports the approaches of radiologically guided cyst aspiration, laparoscopic cyst decortication and celiac plexus block</w:t>
      </w:r>
      <w:r w:rsidR="004857FC">
        <w:rPr>
          <w:rFonts w:asciiTheme="minorHAnsi" w:eastAsiaTheme="minorHAnsi" w:hAnsiTheme="minorHAnsi" w:cs="HelveticaNeue-LightCond"/>
          <w:bCs/>
          <w:color w:val="000000"/>
          <w:szCs w:val="24"/>
        </w:rPr>
        <w:t>.</w:t>
      </w:r>
      <w:r>
        <w:rPr>
          <w:rFonts w:asciiTheme="minorHAnsi" w:eastAsiaTheme="minorHAnsi" w:hAnsiTheme="minorHAnsi" w:cs="HelveticaNeue-LightCond"/>
          <w:bCs/>
          <w:color w:val="000000"/>
          <w:szCs w:val="24"/>
        </w:rPr>
        <w:t xml:space="preserve"> Nephrectomy may be considered in dialysis-dependent patients. Persistent intractable cyst-related pain may require an analgesic approach as described above.</w:t>
      </w:r>
    </w:p>
    <w:p w14:paraId="267A2BBA" w14:textId="77777777" w:rsidR="00BA43CE" w:rsidRDefault="00BA43CE" w:rsidP="00BA43CE">
      <w:pPr>
        <w:autoSpaceDE w:val="0"/>
        <w:autoSpaceDN w:val="0"/>
        <w:adjustRightInd w:val="0"/>
        <w:rPr>
          <w:rFonts w:asciiTheme="minorHAnsi" w:eastAsiaTheme="minorHAnsi" w:hAnsiTheme="minorHAnsi" w:cs="HelveticaNeue-LightCond"/>
          <w:b/>
          <w:color w:val="000000"/>
          <w:szCs w:val="24"/>
        </w:rPr>
      </w:pPr>
    </w:p>
    <w:p w14:paraId="37EC37BE" w14:textId="77777777" w:rsidR="00BA43CE" w:rsidRDefault="00BA43CE" w:rsidP="00BA43CE">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b/>
          <w:color w:val="000000"/>
          <w:szCs w:val="24"/>
        </w:rPr>
        <w:t>Dialysis-related headache</w:t>
      </w:r>
      <w:r>
        <w:rPr>
          <w:rFonts w:asciiTheme="minorHAnsi" w:eastAsiaTheme="minorHAnsi" w:hAnsiTheme="minorHAnsi" w:cs="HelveticaNeue-LightCond"/>
          <w:color w:val="000000"/>
          <w:szCs w:val="24"/>
        </w:rPr>
        <w:t xml:space="preserve"> </w:t>
      </w:r>
    </w:p>
    <w:p w14:paraId="7C233E33" w14:textId="338F27E7" w:rsidR="00BA43CE" w:rsidRDefault="00BA43CE" w:rsidP="00BA43CE">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Affects an estimated 48% of dialysis patients</w:t>
      </w:r>
      <w:r w:rsidR="00102700">
        <w:rPr>
          <w:rFonts w:asciiTheme="minorHAnsi" w:eastAsiaTheme="minorHAnsi" w:hAnsiTheme="minorHAnsi" w:cs="HelveticaNeue-LightCond"/>
          <w:color w:val="000000"/>
          <w:szCs w:val="24"/>
        </w:rPr>
        <w:t>.</w:t>
      </w:r>
      <w:r>
        <w:rPr>
          <w:rFonts w:asciiTheme="minorHAnsi" w:eastAsiaTheme="minorHAnsi" w:hAnsiTheme="minorHAnsi" w:cs="HelveticaNeue-LightCond"/>
          <w:color w:val="000000"/>
          <w:szCs w:val="24"/>
        </w:rPr>
        <w:t xml:space="preserve"> </w:t>
      </w:r>
      <w:r w:rsidR="00102700">
        <w:rPr>
          <w:rFonts w:asciiTheme="minorHAnsi" w:eastAsiaTheme="minorHAnsi" w:hAnsiTheme="minorHAnsi" w:cs="HelveticaNeue-LightCond"/>
          <w:color w:val="000000"/>
          <w:szCs w:val="24"/>
        </w:rPr>
        <w:t>T</w:t>
      </w:r>
      <w:r>
        <w:rPr>
          <w:rFonts w:asciiTheme="minorHAnsi" w:eastAsiaTheme="minorHAnsi" w:hAnsiTheme="minorHAnsi" w:cs="HelveticaNeue-LightCond"/>
          <w:color w:val="000000"/>
          <w:szCs w:val="24"/>
        </w:rPr>
        <w:t>he aetiology remain</w:t>
      </w:r>
      <w:r w:rsidR="004857FC">
        <w:rPr>
          <w:rFonts w:asciiTheme="minorHAnsi" w:eastAsiaTheme="minorHAnsi" w:hAnsiTheme="minorHAnsi" w:cs="HelveticaNeue-LightCond"/>
          <w:color w:val="000000"/>
          <w:szCs w:val="24"/>
        </w:rPr>
        <w:t>s</w:t>
      </w:r>
      <w:r>
        <w:rPr>
          <w:rFonts w:asciiTheme="minorHAnsi" w:eastAsiaTheme="minorHAnsi" w:hAnsiTheme="minorHAnsi" w:cs="HelveticaNeue-LightCond"/>
          <w:color w:val="000000"/>
          <w:szCs w:val="24"/>
        </w:rPr>
        <w:t xml:space="preserve"> unclear. It typically occurs in the latter half of a dialysis session and can contribute to dialysis non-attendance and truncated sessions, which likely compound the problem. It is associated with elevated pre-dialysis blood pressure and rapid reduction in uraemic solutes, suggesting cerebral oedema may be implicated. It is postulated that elevated calcium and phosphate in addition </w:t>
      </w:r>
      <w:r>
        <w:rPr>
          <w:rFonts w:asciiTheme="minorHAnsi" w:eastAsiaTheme="minorHAnsi" w:hAnsiTheme="minorHAnsi" w:cs="HelveticaNeue-LightCond"/>
          <w:color w:val="000000"/>
          <w:szCs w:val="24"/>
        </w:rPr>
        <w:lastRenderedPageBreak/>
        <w:t xml:space="preserve">to reduced serum magnesium precipitate cerebral vasoconstriction and an inability to autoregulate. There are no specific guidelines on the management of interdialytic headache. </w:t>
      </w:r>
    </w:p>
    <w:p w14:paraId="6F1623FC" w14:textId="77777777" w:rsidR="00BA43CE" w:rsidRDefault="00BA43CE" w:rsidP="00BA43CE">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Strategies to reduce the incidence of dialysis-related headache include individualisation of dialysate sodium concentrations, increased dialysate magnesium, appropriate blood pressure intervention, and, where intradialytic hypotension is evident</w:t>
      </w:r>
      <w:r w:rsidR="008F4EC6">
        <w:rPr>
          <w:rFonts w:asciiTheme="minorHAnsi" w:eastAsiaTheme="minorHAnsi" w:hAnsiTheme="minorHAnsi" w:cs="HelveticaNeue-LightCond"/>
          <w:color w:val="000000"/>
          <w:szCs w:val="24"/>
        </w:rPr>
        <w:t>,</w:t>
      </w:r>
      <w:r>
        <w:rPr>
          <w:rFonts w:asciiTheme="minorHAnsi" w:eastAsiaTheme="minorHAnsi" w:hAnsiTheme="minorHAnsi" w:cs="HelveticaNeue-LightCond"/>
          <w:color w:val="000000"/>
          <w:szCs w:val="24"/>
        </w:rPr>
        <w:t xml:space="preserve"> the appropriate use of midodrine. Slower, longer dialysis sessions or shorter but more frequent dialysis sessions may also be used. A trial of topiramate is indicated if there are concurrent migrainoid features. </w:t>
      </w:r>
    </w:p>
    <w:p w14:paraId="3F6F6552" w14:textId="77777777" w:rsidR="00BA43CE" w:rsidRDefault="00BA43CE" w:rsidP="00BA43CE">
      <w:pPr>
        <w:autoSpaceDE w:val="0"/>
        <w:autoSpaceDN w:val="0"/>
        <w:adjustRightInd w:val="0"/>
        <w:rPr>
          <w:rFonts w:asciiTheme="minorHAnsi" w:eastAsiaTheme="minorHAnsi" w:hAnsiTheme="minorHAnsi" w:cs="HelveticaNeue-LightCond"/>
          <w:color w:val="000000"/>
          <w:szCs w:val="24"/>
        </w:rPr>
      </w:pPr>
    </w:p>
    <w:p w14:paraId="2F8ECE7C" w14:textId="77777777" w:rsidR="00BA43CE" w:rsidRDefault="00BA43CE" w:rsidP="00BA43CE">
      <w:pPr>
        <w:autoSpaceDE w:val="0"/>
        <w:autoSpaceDN w:val="0"/>
        <w:adjustRightInd w:val="0"/>
        <w:rPr>
          <w:rFonts w:asciiTheme="minorHAnsi" w:eastAsiaTheme="minorHAnsi" w:hAnsiTheme="minorHAnsi" w:cs="HelveticaNeue-LightCond"/>
          <w:b/>
          <w:bCs/>
          <w:color w:val="000000"/>
          <w:szCs w:val="24"/>
        </w:rPr>
      </w:pPr>
      <w:r>
        <w:rPr>
          <w:rFonts w:asciiTheme="minorHAnsi" w:eastAsiaTheme="minorHAnsi" w:hAnsiTheme="minorHAnsi" w:cs="HelveticaNeue-LightCond"/>
          <w:b/>
          <w:bCs/>
          <w:color w:val="000000"/>
          <w:szCs w:val="24"/>
        </w:rPr>
        <w:t xml:space="preserve">Peripheral neuropathy </w:t>
      </w:r>
    </w:p>
    <w:p w14:paraId="149440C5" w14:textId="56900399" w:rsidR="00BA43CE" w:rsidRDefault="00BA43CE" w:rsidP="00BA43CE">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Peripheral neuropathy is common in people with kidney disease, either as sequelae of kidney disease itself, or a reflection of comorbidities (diabetic neuropathy, stroke and neurological disease, post-chemotherapy syndrome, vitamin C deficiency). Management strategies should include attention to relevant nutritional and metabolic contributors (glycaemic control, thyroid disease, vitamin C and B6 and folate deficiency) and exclusion of nerve entrapment syndromes. Refer to section on adjuvant analgesia agents. Lignocaine patches and capsaicin creams may be used as second-line agents</w:t>
      </w:r>
      <w:r w:rsidR="003108F9">
        <w:rPr>
          <w:vertAlign w:val="superscript"/>
        </w:rPr>
        <w:t>7</w:t>
      </w:r>
      <w:r>
        <w:rPr>
          <w:rFonts w:asciiTheme="minorHAnsi" w:eastAsiaTheme="minorHAnsi" w:hAnsiTheme="minorHAnsi" w:cs="HelveticaNeue-LightCond"/>
          <w:color w:val="000000"/>
          <w:szCs w:val="24"/>
        </w:rPr>
        <w:t xml:space="preserve">. </w:t>
      </w:r>
    </w:p>
    <w:p w14:paraId="16857141" w14:textId="77777777" w:rsidR="00BA43CE" w:rsidRDefault="00BA43CE" w:rsidP="00BA43CE">
      <w:pPr>
        <w:autoSpaceDE w:val="0"/>
        <w:autoSpaceDN w:val="0"/>
        <w:adjustRightInd w:val="0"/>
        <w:rPr>
          <w:rFonts w:asciiTheme="minorHAnsi" w:eastAsiaTheme="minorHAnsi" w:hAnsiTheme="minorHAnsi" w:cs="HelveticaNeue-LightCond"/>
          <w:color w:val="000000"/>
          <w:szCs w:val="24"/>
        </w:rPr>
      </w:pPr>
    </w:p>
    <w:p w14:paraId="18567A1F" w14:textId="77777777" w:rsidR="00BA43CE" w:rsidRDefault="00BA43CE" w:rsidP="00BA43CE">
      <w:pPr>
        <w:autoSpaceDE w:val="0"/>
        <w:autoSpaceDN w:val="0"/>
        <w:adjustRightInd w:val="0"/>
        <w:rPr>
          <w:rFonts w:asciiTheme="minorHAnsi" w:eastAsiaTheme="minorHAnsi" w:hAnsiTheme="minorHAnsi" w:cs="HelveticaNeue-LightCond"/>
          <w:b/>
          <w:bCs/>
          <w:color w:val="000000"/>
          <w:szCs w:val="24"/>
        </w:rPr>
      </w:pPr>
      <w:r>
        <w:rPr>
          <w:rFonts w:asciiTheme="minorHAnsi" w:eastAsiaTheme="minorHAnsi" w:hAnsiTheme="minorHAnsi" w:cs="HelveticaNeue-LightCond"/>
          <w:b/>
          <w:bCs/>
          <w:color w:val="000000"/>
          <w:szCs w:val="24"/>
        </w:rPr>
        <w:t xml:space="preserve">Uraemic pruritis </w:t>
      </w:r>
    </w:p>
    <w:p w14:paraId="4897B0E2" w14:textId="539233EE" w:rsidR="00BA43CE" w:rsidRDefault="00BA43CE" w:rsidP="00BA43CE">
      <w:pPr>
        <w:autoSpaceDE w:val="0"/>
        <w:autoSpaceDN w:val="0"/>
        <w:adjustRightInd w:val="0"/>
        <w:rPr>
          <w:rFonts w:asciiTheme="minorHAnsi" w:eastAsiaTheme="minorHAnsi" w:hAnsiTheme="minorHAnsi" w:cs="HelveticaNeue-LightCond"/>
          <w:color w:val="000000"/>
          <w:szCs w:val="24"/>
        </w:rPr>
      </w:pPr>
      <w:r>
        <w:rPr>
          <w:rFonts w:asciiTheme="minorHAnsi" w:eastAsiaTheme="minorHAnsi" w:hAnsiTheme="minorHAnsi" w:cs="HelveticaNeue-LightCond"/>
          <w:color w:val="000000"/>
          <w:szCs w:val="24"/>
        </w:rPr>
        <w:t>Mechanisms driving uraemic pruritis remains poorly understood, implicating impaired clearance of uraemic solutes, disordered mineral bone disease and hyperparathyroidism. Newer hypotheses have focussed on opioid-receptor derangements. Xerosis is frequently coexisting and will exacerbate symptoms. There is limited evidence to support the use of antihistamine therapy for use in uraemic itch</w:t>
      </w:r>
      <w:r w:rsidR="003108F9">
        <w:rPr>
          <w:vertAlign w:val="superscript"/>
        </w:rPr>
        <w:t>28</w:t>
      </w:r>
      <w:r>
        <w:rPr>
          <w:rFonts w:asciiTheme="minorHAnsi" w:eastAsiaTheme="minorHAnsi" w:hAnsiTheme="minorHAnsi" w:cs="HelveticaNeue-LightCond"/>
          <w:color w:val="000000"/>
          <w:szCs w:val="24"/>
        </w:rPr>
        <w:t>. A stepwise approach is suggested starting with review of medications that might exacerbate itch, nutritional contributions (see above), topical emollients and heat avoidance. Use of capsaicin cream, gabapentin/pregabalin and kappa-opioid agonists are supported by Cochrane review-level evidence</w:t>
      </w:r>
      <w:r w:rsidR="003108F9">
        <w:rPr>
          <w:vertAlign w:val="superscript"/>
        </w:rPr>
        <w:t>28</w:t>
      </w:r>
      <w:r>
        <w:rPr>
          <w:rFonts w:asciiTheme="minorHAnsi" w:eastAsiaTheme="minorHAnsi" w:hAnsiTheme="minorHAnsi" w:cs="HelveticaNeue-LightCond"/>
          <w:color w:val="000000"/>
          <w:szCs w:val="24"/>
        </w:rPr>
        <w:t>. More recent evidence suggests that Mirtazapine may also offer symptom relief</w:t>
      </w:r>
      <w:r w:rsidR="003108F9">
        <w:rPr>
          <w:vertAlign w:val="superscript"/>
        </w:rPr>
        <w:t>29</w:t>
      </w:r>
      <w:r>
        <w:rPr>
          <w:rFonts w:asciiTheme="minorHAnsi" w:eastAsiaTheme="minorHAnsi" w:hAnsiTheme="minorHAnsi" w:cs="HelveticaNeue-LightCond"/>
          <w:color w:val="000000"/>
          <w:szCs w:val="24"/>
        </w:rPr>
        <w:t xml:space="preserve">. Evidence supporting use of UV-B phototherapy is limited. </w:t>
      </w:r>
    </w:p>
    <w:p w14:paraId="1E785480" w14:textId="052B17BE" w:rsidR="00747626" w:rsidRDefault="00747626" w:rsidP="009A534C">
      <w:pPr>
        <w:jc w:val="right"/>
        <w:rPr>
          <w:rFonts w:cs="Arial"/>
          <w:b/>
          <w:szCs w:val="24"/>
        </w:rPr>
      </w:pPr>
    </w:p>
    <w:p w14:paraId="613A8F24" w14:textId="2C77AF80" w:rsidR="00747626" w:rsidRPr="003108F9" w:rsidRDefault="00E0092E" w:rsidP="003108F9">
      <w:pPr>
        <w:jc w:val="right"/>
        <w:rPr>
          <w:rFonts w:eastAsiaTheme="majorEastAsia" w:cs="Arial"/>
          <w:i/>
          <w:color w:val="0000FF"/>
          <w:szCs w:val="24"/>
          <w:u w:val="single"/>
        </w:rPr>
      </w:pPr>
      <w:hyperlink w:anchor="Contents" w:history="1">
        <w:r w:rsidR="00BA43CE"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1A" w14:textId="77777777" w:rsidTr="008E74FD">
        <w:trPr>
          <w:cantSplit/>
          <w:trHeight w:val="285"/>
        </w:trPr>
        <w:tc>
          <w:tcPr>
            <w:tcW w:w="9158" w:type="dxa"/>
            <w:shd w:val="clear" w:color="auto" w:fill="D9D9D9" w:themeFill="background1" w:themeFillShade="D9"/>
          </w:tcPr>
          <w:p w14:paraId="08682A19" w14:textId="07436912" w:rsidR="009A534C" w:rsidRPr="00CD1C0E" w:rsidRDefault="002B478A" w:rsidP="00B10F87">
            <w:pPr>
              <w:pStyle w:val="Heading1"/>
            </w:pPr>
            <w:bookmarkStart w:id="33" w:name="_Toc134688859"/>
            <w:r>
              <w:t>Evaluation</w:t>
            </w:r>
            <w:bookmarkEnd w:id="33"/>
            <w:r w:rsidR="009A534C">
              <w:t xml:space="preserve"> </w:t>
            </w:r>
          </w:p>
        </w:tc>
      </w:tr>
    </w:tbl>
    <w:p w14:paraId="61082B88" w14:textId="77777777" w:rsidR="00D006EF" w:rsidRDefault="00D006EF" w:rsidP="00D006EF">
      <w:pPr>
        <w:pStyle w:val="Default"/>
        <w:rPr>
          <w:rFonts w:ascii="Calibri" w:hAnsi="Calibri"/>
        </w:rPr>
      </w:pPr>
    </w:p>
    <w:p w14:paraId="043A1299" w14:textId="3C334F16" w:rsidR="00D006EF" w:rsidRDefault="00D006EF" w:rsidP="00D006EF">
      <w:pPr>
        <w:pStyle w:val="Default"/>
        <w:rPr>
          <w:rFonts w:ascii="Calibri" w:hAnsi="Calibri" w:cs="Arial"/>
          <w:b/>
          <w:bCs/>
          <w:iCs/>
          <w:color w:val="auto"/>
          <w:lang w:eastAsia="en-US"/>
        </w:rPr>
      </w:pPr>
      <w:r>
        <w:rPr>
          <w:rFonts w:ascii="Calibri" w:hAnsi="Calibri" w:cs="Arial"/>
          <w:b/>
          <w:bCs/>
          <w:iCs/>
          <w:color w:val="auto"/>
          <w:lang w:eastAsia="en-US"/>
        </w:rPr>
        <w:t>Outcome</w:t>
      </w:r>
    </w:p>
    <w:p w14:paraId="42E81A80" w14:textId="283FB059" w:rsidR="00D006EF" w:rsidRPr="003108F9" w:rsidRDefault="003108F9" w:rsidP="00D07009">
      <w:pPr>
        <w:numPr>
          <w:ilvl w:val="0"/>
          <w:numId w:val="11"/>
        </w:numPr>
        <w:rPr>
          <w:rFonts w:cs="Arial"/>
          <w:b/>
          <w:bCs/>
          <w:iCs/>
        </w:rPr>
      </w:pPr>
      <w:r w:rsidRPr="003108F9">
        <w:rPr>
          <w:szCs w:val="24"/>
        </w:rPr>
        <w:t xml:space="preserve">Patients with chronic kidney disease experiencing chronic ongoing pain </w:t>
      </w:r>
      <w:r w:rsidR="003720F6">
        <w:rPr>
          <w:szCs w:val="24"/>
        </w:rPr>
        <w:t>utilise appropriate analgesic agents to manage their pain with appropriate oversight and review.</w:t>
      </w:r>
      <w:r w:rsidRPr="003108F9">
        <w:rPr>
          <w:szCs w:val="24"/>
        </w:rPr>
        <w:t xml:space="preserve"> </w:t>
      </w:r>
    </w:p>
    <w:p w14:paraId="638EAA12" w14:textId="77777777" w:rsidR="003108F9" w:rsidRPr="003108F9" w:rsidRDefault="003108F9" w:rsidP="003108F9">
      <w:pPr>
        <w:rPr>
          <w:rFonts w:cs="Arial"/>
          <w:b/>
          <w:bCs/>
          <w:iCs/>
        </w:rPr>
      </w:pPr>
    </w:p>
    <w:p w14:paraId="5D4D6CB3" w14:textId="77777777" w:rsidR="00D006EF" w:rsidRDefault="00D006EF" w:rsidP="00D006EF">
      <w:pPr>
        <w:pStyle w:val="Default"/>
        <w:rPr>
          <w:rFonts w:ascii="Calibri" w:hAnsi="Calibri" w:cs="Arial"/>
          <w:b/>
          <w:bCs/>
          <w:iCs/>
          <w:color w:val="auto"/>
          <w:lang w:eastAsia="en-US"/>
        </w:rPr>
      </w:pPr>
      <w:r>
        <w:rPr>
          <w:rFonts w:ascii="Calibri" w:hAnsi="Calibri" w:cs="Arial"/>
          <w:b/>
          <w:bCs/>
          <w:iCs/>
          <w:color w:val="auto"/>
          <w:lang w:eastAsia="en-US"/>
        </w:rPr>
        <w:t>Measures</w:t>
      </w:r>
    </w:p>
    <w:p w14:paraId="6744284F" w14:textId="2D51839A" w:rsidR="008D0CBA" w:rsidRDefault="00551D47" w:rsidP="008D0CBA">
      <w:pPr>
        <w:numPr>
          <w:ilvl w:val="0"/>
          <w:numId w:val="12"/>
        </w:numPr>
        <w:rPr>
          <w:szCs w:val="24"/>
        </w:rPr>
      </w:pPr>
      <w:r>
        <w:rPr>
          <w:szCs w:val="24"/>
        </w:rPr>
        <w:t>R</w:t>
      </w:r>
      <w:r w:rsidR="00687368">
        <w:rPr>
          <w:szCs w:val="24"/>
        </w:rPr>
        <w:t>eview of</w:t>
      </w:r>
      <w:r>
        <w:rPr>
          <w:szCs w:val="24"/>
        </w:rPr>
        <w:t xml:space="preserve"> cases of</w:t>
      </w:r>
      <w:r w:rsidR="00687368">
        <w:rPr>
          <w:szCs w:val="24"/>
        </w:rPr>
        <w:t xml:space="preserve"> </w:t>
      </w:r>
      <w:r>
        <w:rPr>
          <w:szCs w:val="24"/>
        </w:rPr>
        <w:t>pain medication</w:t>
      </w:r>
      <w:r w:rsidR="003720F6">
        <w:rPr>
          <w:szCs w:val="24"/>
        </w:rPr>
        <w:t>-</w:t>
      </w:r>
      <w:r>
        <w:rPr>
          <w:szCs w:val="24"/>
        </w:rPr>
        <w:t>related harm at Renal Morbidity and Mortality Meetings</w:t>
      </w:r>
      <w:r w:rsidR="00734609">
        <w:rPr>
          <w:szCs w:val="24"/>
        </w:rPr>
        <w:t>.</w:t>
      </w:r>
      <w:r w:rsidR="00687368">
        <w:rPr>
          <w:szCs w:val="24"/>
        </w:rPr>
        <w:t xml:space="preserve"> </w:t>
      </w:r>
    </w:p>
    <w:p w14:paraId="71362AD6" w14:textId="31F07B9C" w:rsidR="00687368" w:rsidRPr="00687368" w:rsidRDefault="00687368" w:rsidP="008D0CBA">
      <w:pPr>
        <w:numPr>
          <w:ilvl w:val="0"/>
          <w:numId w:val="12"/>
        </w:numPr>
        <w:rPr>
          <w:szCs w:val="24"/>
        </w:rPr>
      </w:pPr>
      <w:r>
        <w:rPr>
          <w:szCs w:val="24"/>
        </w:rPr>
        <w:t>Annual review of clinical incidents relating to pain medication for dialysis patients.</w:t>
      </w:r>
    </w:p>
    <w:p w14:paraId="31E75C2B" w14:textId="77777777" w:rsidR="008D0CBA" w:rsidRDefault="008D0CBA" w:rsidP="008D0CBA">
      <w:pPr>
        <w:ind w:left="360"/>
        <w:rPr>
          <w:i/>
          <w:iCs/>
          <w:szCs w:val="24"/>
        </w:rPr>
      </w:pPr>
    </w:p>
    <w:p w14:paraId="5ED58E15" w14:textId="77777777" w:rsidR="00D006EF" w:rsidRDefault="00E0092E" w:rsidP="00D006EF">
      <w:pPr>
        <w:jc w:val="right"/>
      </w:pPr>
      <w:hyperlink r:id="rId19" w:anchor="Contents" w:history="1">
        <w:r w:rsidR="00D006EF">
          <w:rPr>
            <w:rStyle w:val="Hyperlink"/>
            <w:rFonts w:eastAsiaTheme="majorEastAsia"/>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20" w14:textId="77777777" w:rsidTr="008E74FD">
        <w:trPr>
          <w:cantSplit/>
          <w:trHeight w:val="285"/>
        </w:trPr>
        <w:tc>
          <w:tcPr>
            <w:tcW w:w="9158" w:type="dxa"/>
            <w:shd w:val="clear" w:color="auto" w:fill="D9D9D9" w:themeFill="background1" w:themeFillShade="D9"/>
          </w:tcPr>
          <w:p w14:paraId="08682A1F" w14:textId="77777777" w:rsidR="009A534C" w:rsidRPr="00CD1C0E" w:rsidRDefault="009A534C" w:rsidP="00B10F87">
            <w:pPr>
              <w:pStyle w:val="Heading1"/>
            </w:pPr>
            <w:bookmarkStart w:id="34" w:name="_Toc389473287"/>
            <w:bookmarkStart w:id="35" w:name="_Toc393203347"/>
            <w:bookmarkStart w:id="36" w:name="_Toc134688860"/>
            <w:r>
              <w:lastRenderedPageBreak/>
              <w:t>Related Policies, Procedures</w:t>
            </w:r>
            <w:bookmarkEnd w:id="34"/>
            <w:r>
              <w:t>, Guidelines and Legislation</w:t>
            </w:r>
            <w:bookmarkEnd w:id="35"/>
            <w:bookmarkEnd w:id="36"/>
          </w:p>
        </w:tc>
      </w:tr>
    </w:tbl>
    <w:p w14:paraId="08682A23" w14:textId="77777777" w:rsidR="00D16211" w:rsidRDefault="00D16211" w:rsidP="006743DB"/>
    <w:p w14:paraId="08682A24" w14:textId="77777777" w:rsidR="00B61F35" w:rsidRPr="006743DB" w:rsidRDefault="00B61F35" w:rsidP="006743DB">
      <w:pPr>
        <w:rPr>
          <w:b/>
        </w:rPr>
      </w:pPr>
      <w:r w:rsidRPr="006743DB">
        <w:rPr>
          <w:b/>
        </w:rPr>
        <w:t>Policies</w:t>
      </w:r>
    </w:p>
    <w:p w14:paraId="08682A25" w14:textId="034723B5" w:rsidR="00B61F35" w:rsidRPr="00B61F35" w:rsidRDefault="00B61F35" w:rsidP="00687368">
      <w:pPr>
        <w:pStyle w:val="ListBullet"/>
        <w:tabs>
          <w:tab w:val="clear" w:pos="1080"/>
          <w:tab w:val="num" w:pos="720"/>
        </w:tabs>
        <w:ind w:left="426" w:hanging="426"/>
      </w:pPr>
      <w:r>
        <w:t xml:space="preserve">Nursing and Midwifery </w:t>
      </w:r>
      <w:r w:rsidR="54C0415F">
        <w:t>Requirements for Practice</w:t>
      </w:r>
    </w:p>
    <w:p w14:paraId="08682A26" w14:textId="55B0C9FF" w:rsidR="00B61F35" w:rsidRDefault="54C0415F" w:rsidP="00687368">
      <w:pPr>
        <w:pStyle w:val="ListBullet"/>
        <w:tabs>
          <w:tab w:val="clear" w:pos="1080"/>
          <w:tab w:val="num" w:pos="720"/>
        </w:tabs>
        <w:ind w:left="426" w:hanging="426"/>
      </w:pPr>
      <w:r>
        <w:t xml:space="preserve">Informed </w:t>
      </w:r>
      <w:r w:rsidR="00BA5B60">
        <w:t>Consent</w:t>
      </w:r>
      <w:r w:rsidR="2CADF6A7">
        <w:t xml:space="preserve"> (Clinical)</w:t>
      </w:r>
      <w:r w:rsidR="00BA5B60">
        <w:t xml:space="preserve"> </w:t>
      </w:r>
    </w:p>
    <w:p w14:paraId="7A4218D8" w14:textId="7F45A848" w:rsidR="00BA43CE" w:rsidRPr="00B61F35" w:rsidRDefault="00BA43CE" w:rsidP="00687368">
      <w:pPr>
        <w:pStyle w:val="ListBullet"/>
        <w:tabs>
          <w:tab w:val="clear" w:pos="1080"/>
          <w:tab w:val="num" w:pos="720"/>
        </w:tabs>
        <w:ind w:left="426" w:hanging="426"/>
      </w:pPr>
      <w:r>
        <w:t>Medication Handling</w:t>
      </w:r>
    </w:p>
    <w:p w14:paraId="08682A27" w14:textId="77777777" w:rsidR="00B61F35" w:rsidRPr="00B61F35" w:rsidRDefault="00B61F35" w:rsidP="00B61F35">
      <w:pPr>
        <w:rPr>
          <w:rFonts w:cs="Arial"/>
          <w:szCs w:val="24"/>
        </w:rPr>
      </w:pPr>
    </w:p>
    <w:p w14:paraId="08682A28" w14:textId="77777777" w:rsidR="00B61F35" w:rsidRPr="006743DB" w:rsidRDefault="00B61F35" w:rsidP="006743DB">
      <w:pPr>
        <w:rPr>
          <w:b/>
        </w:rPr>
      </w:pPr>
      <w:r w:rsidRPr="006743DB">
        <w:rPr>
          <w:b/>
        </w:rPr>
        <w:t>Procedures</w:t>
      </w:r>
    </w:p>
    <w:p w14:paraId="08682A29" w14:textId="296CA407" w:rsidR="00B61F35" w:rsidRPr="00B61F35" w:rsidRDefault="00B61F35" w:rsidP="00687368">
      <w:pPr>
        <w:pStyle w:val="ListBullet"/>
        <w:tabs>
          <w:tab w:val="clear" w:pos="1080"/>
          <w:tab w:val="num" w:pos="720"/>
        </w:tabs>
        <w:ind w:left="426" w:hanging="426"/>
      </w:pPr>
      <w:r>
        <w:t>Infection</w:t>
      </w:r>
      <w:r w:rsidR="70EC54DF">
        <w:t xml:space="preserve"> Prevention and Control</w:t>
      </w:r>
      <w:r>
        <w:t xml:space="preserve"> Procedure</w:t>
      </w:r>
    </w:p>
    <w:p w14:paraId="08682A2A" w14:textId="52CA066B" w:rsidR="00B61F35" w:rsidRDefault="00B61F35" w:rsidP="00687368">
      <w:pPr>
        <w:pStyle w:val="ListBullet"/>
        <w:tabs>
          <w:tab w:val="clear" w:pos="1080"/>
          <w:tab w:val="num" w:pos="720"/>
        </w:tabs>
        <w:ind w:left="426" w:hanging="426"/>
      </w:pPr>
      <w:r>
        <w:t>Patient Identification and Procedure Matching</w:t>
      </w:r>
    </w:p>
    <w:p w14:paraId="2B651AFA" w14:textId="7068BCDB" w:rsidR="00687368" w:rsidRDefault="00687368" w:rsidP="00687368">
      <w:pPr>
        <w:pStyle w:val="ListBullet"/>
        <w:tabs>
          <w:tab w:val="clear" w:pos="1080"/>
          <w:tab w:val="num" w:pos="720"/>
        </w:tabs>
        <w:ind w:left="426" w:hanging="426"/>
      </w:pPr>
      <w:r>
        <w:t xml:space="preserve">Haemodialysis and Plasma Exchange for Adults </w:t>
      </w:r>
    </w:p>
    <w:p w14:paraId="7D222301" w14:textId="70FC2DC9" w:rsidR="00687368" w:rsidRDefault="00687368" w:rsidP="00687368">
      <w:pPr>
        <w:pStyle w:val="ListBullet"/>
        <w:tabs>
          <w:tab w:val="clear" w:pos="1080"/>
          <w:tab w:val="num" w:pos="720"/>
        </w:tabs>
        <w:ind w:left="426" w:hanging="426"/>
      </w:pPr>
      <w:r>
        <w:t>Intermittent Haemodialysis</w:t>
      </w:r>
    </w:p>
    <w:p w14:paraId="15757467" w14:textId="00312A5B" w:rsidR="00687368" w:rsidRPr="00B61F35" w:rsidRDefault="00687368" w:rsidP="00687368">
      <w:pPr>
        <w:pStyle w:val="ListBullet"/>
        <w:tabs>
          <w:tab w:val="clear" w:pos="1080"/>
          <w:tab w:val="num" w:pos="720"/>
        </w:tabs>
        <w:ind w:left="426" w:hanging="426"/>
      </w:pPr>
      <w:r>
        <w:t>Peritoneal Dialysis</w:t>
      </w:r>
    </w:p>
    <w:p w14:paraId="0070960E" w14:textId="77777777" w:rsidR="00687368" w:rsidRPr="00B61F35" w:rsidRDefault="00687368" w:rsidP="00687368">
      <w:pPr>
        <w:rPr>
          <w:rFonts w:cs="Arial"/>
          <w:szCs w:val="24"/>
        </w:rPr>
      </w:pPr>
    </w:p>
    <w:p w14:paraId="08682A2C" w14:textId="77777777" w:rsidR="00B61F35" w:rsidRPr="006743DB" w:rsidRDefault="00B61F35" w:rsidP="006743DB">
      <w:pPr>
        <w:rPr>
          <w:b/>
        </w:rPr>
      </w:pPr>
      <w:r w:rsidRPr="006743DB">
        <w:rPr>
          <w:b/>
        </w:rPr>
        <w:t xml:space="preserve">Guidelines </w:t>
      </w:r>
    </w:p>
    <w:p w14:paraId="08682A2D" w14:textId="12AA7CF2" w:rsidR="00B61F35" w:rsidRPr="00B61F35" w:rsidRDefault="00B61F35" w:rsidP="00687368">
      <w:pPr>
        <w:pStyle w:val="ListBullet"/>
        <w:tabs>
          <w:tab w:val="clear" w:pos="1080"/>
          <w:tab w:val="num" w:pos="426"/>
        </w:tabs>
        <w:ind w:left="426" w:hanging="426"/>
      </w:pPr>
      <w:r>
        <w:t>Fasting Guidelines – Elective and Emergency Surgery</w:t>
      </w:r>
    </w:p>
    <w:p w14:paraId="08682A2E" w14:textId="77777777" w:rsidR="00B61F35" w:rsidRPr="00B61F35" w:rsidRDefault="00B61F35" w:rsidP="00B61F35"/>
    <w:p w14:paraId="08682A2F" w14:textId="77777777" w:rsidR="00B61F35" w:rsidRPr="006743DB" w:rsidRDefault="00B61F35" w:rsidP="006743DB">
      <w:pPr>
        <w:rPr>
          <w:b/>
        </w:rPr>
      </w:pPr>
      <w:r w:rsidRPr="006743DB">
        <w:rPr>
          <w:b/>
        </w:rPr>
        <w:t>Legislation</w:t>
      </w:r>
    </w:p>
    <w:p w14:paraId="08682A30" w14:textId="77777777" w:rsidR="00B61F35" w:rsidRPr="00BA5B60" w:rsidRDefault="00B61F35" w:rsidP="00687368">
      <w:pPr>
        <w:pStyle w:val="ListBullet"/>
        <w:tabs>
          <w:tab w:val="clear" w:pos="1080"/>
          <w:tab w:val="num" w:pos="720"/>
        </w:tabs>
        <w:ind w:left="426" w:hanging="426"/>
        <w:rPr>
          <w:i/>
        </w:rPr>
      </w:pPr>
      <w:r w:rsidRPr="00BA5B60">
        <w:rPr>
          <w:i/>
        </w:rPr>
        <w:t>Health Records (Privacy and Access) Act 1997</w:t>
      </w:r>
    </w:p>
    <w:p w14:paraId="08682A31" w14:textId="77777777" w:rsidR="00B61F35" w:rsidRPr="00BA5B60" w:rsidRDefault="00B61F35" w:rsidP="00687368">
      <w:pPr>
        <w:pStyle w:val="ListBullet"/>
        <w:tabs>
          <w:tab w:val="clear" w:pos="1080"/>
          <w:tab w:val="num" w:pos="720"/>
        </w:tabs>
        <w:ind w:left="426" w:hanging="426"/>
        <w:rPr>
          <w:i/>
        </w:rPr>
      </w:pPr>
      <w:r w:rsidRPr="00BA5B60">
        <w:rPr>
          <w:i/>
        </w:rPr>
        <w:t>Human Rights Act 2004</w:t>
      </w:r>
    </w:p>
    <w:p w14:paraId="08682A32" w14:textId="2F542D1E" w:rsidR="00B61F35" w:rsidRDefault="00B61F35" w:rsidP="00687368">
      <w:pPr>
        <w:pStyle w:val="ListBullet"/>
        <w:tabs>
          <w:tab w:val="clear" w:pos="1080"/>
          <w:tab w:val="num" w:pos="720"/>
        </w:tabs>
        <w:ind w:left="426" w:hanging="426"/>
        <w:rPr>
          <w:i/>
        </w:rPr>
      </w:pPr>
      <w:r w:rsidRPr="00BA5B60">
        <w:rPr>
          <w:i/>
        </w:rPr>
        <w:t>Work Health and Safety Act 2011</w:t>
      </w:r>
    </w:p>
    <w:p w14:paraId="4B539770" w14:textId="7932850D" w:rsidR="00633C8D" w:rsidRDefault="00633C8D" w:rsidP="00687368">
      <w:pPr>
        <w:pStyle w:val="ListBullet"/>
        <w:tabs>
          <w:tab w:val="clear" w:pos="1080"/>
          <w:tab w:val="num" w:pos="720"/>
        </w:tabs>
        <w:ind w:left="426" w:hanging="426"/>
        <w:rPr>
          <w:i/>
        </w:rPr>
      </w:pPr>
      <w:r>
        <w:rPr>
          <w:i/>
        </w:rPr>
        <w:t>Carers Recognition Act 2021</w:t>
      </w:r>
    </w:p>
    <w:p w14:paraId="22273312" w14:textId="4BB5E1BF" w:rsidR="00687368" w:rsidRPr="00BA5B60" w:rsidRDefault="00687368" w:rsidP="00687368">
      <w:pPr>
        <w:pStyle w:val="ListBullet"/>
        <w:tabs>
          <w:tab w:val="clear" w:pos="1080"/>
          <w:tab w:val="num" w:pos="720"/>
        </w:tabs>
        <w:ind w:left="426" w:hanging="426"/>
        <w:rPr>
          <w:i/>
        </w:rPr>
      </w:pPr>
      <w:r>
        <w:rPr>
          <w:i/>
        </w:rPr>
        <w:t>Medicines, Poisons and Therapeutic Goods Act 2008</w:t>
      </w:r>
    </w:p>
    <w:p w14:paraId="08682A33" w14:textId="0F91509A" w:rsidR="009A534C" w:rsidRDefault="009A534C" w:rsidP="009A534C">
      <w:pPr>
        <w:ind w:left="720"/>
        <w:rPr>
          <w:rFonts w:cs="Arial"/>
          <w:i/>
          <w:szCs w:val="24"/>
        </w:rPr>
      </w:pPr>
    </w:p>
    <w:p w14:paraId="54CDE8A7" w14:textId="49AA0D4E" w:rsidR="00752315" w:rsidRDefault="00752315" w:rsidP="00752315">
      <w:pPr>
        <w:rPr>
          <w:b/>
        </w:rPr>
      </w:pPr>
      <w:r w:rsidRPr="00752315">
        <w:rPr>
          <w:b/>
        </w:rPr>
        <w:t>Other</w:t>
      </w:r>
    </w:p>
    <w:p w14:paraId="1BCD4D38" w14:textId="62726989" w:rsidR="00DD0346" w:rsidRDefault="00DD0346" w:rsidP="00DD0346">
      <w:r w:rsidRPr="00DD0346">
        <w:rPr>
          <w:b/>
        </w:rPr>
        <w:t>•</w:t>
      </w:r>
      <w:r>
        <w:rPr>
          <w:b/>
        </w:rPr>
        <w:t xml:space="preserve">      </w:t>
      </w:r>
      <w:r w:rsidRPr="00DD0346">
        <w:t>Australian Charter of Healthcare Rights</w:t>
      </w:r>
    </w:p>
    <w:p w14:paraId="5A47A4BA" w14:textId="77777777" w:rsidR="001D24FD" w:rsidRPr="00DD0346" w:rsidRDefault="001D24FD" w:rsidP="00DD0346"/>
    <w:p w14:paraId="08682A34" w14:textId="77777777" w:rsidR="009A534C" w:rsidRPr="00DA3910" w:rsidRDefault="00E0092E" w:rsidP="009A534C">
      <w:pPr>
        <w:pStyle w:val="ListParagraph"/>
        <w:jc w:val="right"/>
        <w:rPr>
          <w:szCs w:val="24"/>
        </w:rPr>
      </w:pPr>
      <w:hyperlink w:anchor="Contents" w:history="1">
        <w:r w:rsidR="009A534C"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A36" w14:textId="77777777" w:rsidTr="008E74FD">
        <w:trPr>
          <w:cantSplit/>
          <w:trHeight w:val="285"/>
        </w:trPr>
        <w:tc>
          <w:tcPr>
            <w:tcW w:w="9158" w:type="dxa"/>
            <w:shd w:val="clear" w:color="auto" w:fill="D9D9D9" w:themeFill="background1" w:themeFillShade="D9"/>
          </w:tcPr>
          <w:p w14:paraId="08682A35" w14:textId="77777777" w:rsidR="009A534C" w:rsidRPr="002E3BFE" w:rsidRDefault="009A534C" w:rsidP="00B10F87">
            <w:pPr>
              <w:pStyle w:val="Heading1"/>
              <w:rPr>
                <w:szCs w:val="24"/>
              </w:rPr>
            </w:pPr>
            <w:bookmarkStart w:id="37" w:name="_Toc134688861"/>
            <w:r>
              <w:rPr>
                <w:szCs w:val="24"/>
              </w:rPr>
              <w:t>References</w:t>
            </w:r>
            <w:bookmarkEnd w:id="37"/>
          </w:p>
        </w:tc>
      </w:tr>
    </w:tbl>
    <w:p w14:paraId="08682A37" w14:textId="77777777" w:rsidR="009A534C" w:rsidRDefault="009A534C" w:rsidP="009A534C">
      <w:pPr>
        <w:jc w:val="both"/>
        <w:rPr>
          <w:rFonts w:cs="Arial"/>
          <w:b/>
          <w:szCs w:val="24"/>
        </w:rPr>
      </w:pPr>
    </w:p>
    <w:p w14:paraId="042672A0" w14:textId="77777777" w:rsidR="00BA43CE" w:rsidRDefault="00BA43CE" w:rsidP="00BA43CE">
      <w:pPr>
        <w:pStyle w:val="EndNoteBibliography"/>
      </w:pPr>
      <w:r>
        <w:rPr>
          <w:rFonts w:cs="Arial"/>
          <w:b/>
          <w:szCs w:val="24"/>
        </w:rPr>
        <w:fldChar w:fldCharType="begin"/>
      </w:r>
      <w:r>
        <w:rPr>
          <w:rFonts w:cs="Arial"/>
          <w:b/>
          <w:szCs w:val="24"/>
        </w:rPr>
        <w:instrText xml:space="preserve"> ADDIN EN.REFLIST </w:instrText>
      </w:r>
      <w:r>
        <w:rPr>
          <w:rFonts w:cs="Arial"/>
          <w:b/>
          <w:szCs w:val="24"/>
        </w:rPr>
        <w:fldChar w:fldCharType="separate"/>
      </w:r>
      <w:r>
        <w:t>1.</w:t>
      </w:r>
      <w:r>
        <w:tab/>
        <w:t>Murtagh FE, Addington-Hall J, Higginson IJ. The prevalence of symptoms in end-stage renal disease: a systematic review. Advances in chronic kidney disease. 2007;14(1):82-99.</w:t>
      </w:r>
    </w:p>
    <w:p w14:paraId="52081A99" w14:textId="77777777" w:rsidR="00BA43CE" w:rsidRDefault="00BA43CE" w:rsidP="00BA43CE">
      <w:pPr>
        <w:pStyle w:val="EndNoteBibliography"/>
      </w:pPr>
      <w:r>
        <w:t>2.</w:t>
      </w:r>
      <w:r>
        <w:tab/>
        <w:t>Davison SN. Pain in hemodialysis patients: prevalence, cause, severity, and management. American journal of kidney diseases : the official journal of the National Kidney Foundation. 2003;42(6):1239-47.</w:t>
      </w:r>
    </w:p>
    <w:p w14:paraId="1BF13B72" w14:textId="77777777" w:rsidR="00BA43CE" w:rsidRDefault="00BA43CE" w:rsidP="00BA43CE">
      <w:pPr>
        <w:pStyle w:val="EndNoteBibliography"/>
      </w:pPr>
      <w:r>
        <w:t>3.</w:t>
      </w:r>
      <w:r>
        <w:tab/>
        <w:t>Harris TJ, Nazir R, Khetpal P, Peterson RA, Chava P, Patel SS, et al. Pain, sleep disturbance and survival in hemodialysis patients. Nephrology, dialysis, transplantation : official publication of the European Dialysis and Transplant Association - European Renal Association. 2012;27(2):758-65.</w:t>
      </w:r>
    </w:p>
    <w:p w14:paraId="1082526B" w14:textId="77777777" w:rsidR="00BA43CE" w:rsidRDefault="00BA43CE" w:rsidP="00BA43CE">
      <w:pPr>
        <w:pStyle w:val="EndNoteBibliography"/>
      </w:pPr>
      <w:r>
        <w:t>4.</w:t>
      </w:r>
      <w:r>
        <w:tab/>
        <w:t xml:space="preserve">Weisbord SD, Mor MK, Sevick MA, Shields AM, Rollman BL, Palevsky PM, et al. Associations of depressive symptoms and pain with dialysis adherence, health resource </w:t>
      </w:r>
      <w:r>
        <w:lastRenderedPageBreak/>
        <w:t>utilization, and mortality in patients receiving chronic hemodialysis. Clinical journal of the American Society of Nephrology : CJASN. 2014;9(9):1594-602.</w:t>
      </w:r>
    </w:p>
    <w:p w14:paraId="72A089B7" w14:textId="77777777" w:rsidR="00BA43CE" w:rsidRDefault="00BA43CE" w:rsidP="00BA43CE">
      <w:pPr>
        <w:pStyle w:val="EndNoteBibliography"/>
      </w:pPr>
      <w:r>
        <w:t>5.</w:t>
      </w:r>
      <w:r>
        <w:tab/>
        <w:t>Davison SN, Jhangri GS. The impact of chronic pain on depression, sleep, and the desire to withdraw from dialysis in hemodialysis patients. Journal of pain and symptom management. 2005;30(5):465-73.</w:t>
      </w:r>
    </w:p>
    <w:p w14:paraId="13D03030" w14:textId="77777777" w:rsidR="00BA43CE" w:rsidRDefault="00BA43CE" w:rsidP="00BA43CE">
      <w:pPr>
        <w:pStyle w:val="EndNoteBibliography"/>
      </w:pPr>
      <w:r>
        <w:t>6.</w:t>
      </w:r>
      <w:r>
        <w:tab/>
        <w:t>Jhamb M, Abdel-Kader K, Yabes J, Wang Y, Weisbord SD, Unruh M, et al. Comparison of Fatigue, Pain, and Depression in Patients With Advanced Kidney Disease and Cancer-Symptom Burden and Clusters. Journal of pain and symptom management. 2019;57(3):566-75.e3.</w:t>
      </w:r>
    </w:p>
    <w:p w14:paraId="34D55AE9" w14:textId="77777777" w:rsidR="00BA43CE" w:rsidRDefault="00BA43CE" w:rsidP="00BA43CE">
      <w:pPr>
        <w:pStyle w:val="EndNoteBibliography"/>
      </w:pPr>
      <w:r>
        <w:t>7.</w:t>
      </w:r>
      <w:r>
        <w:tab/>
        <w:t>Lu E, Koncicki HM. Nonopioid Approaches to Pain Management in Chronic Kidney Disease. Seminars in nephrology. 2021;41(1):54-67.</w:t>
      </w:r>
    </w:p>
    <w:p w14:paraId="780D5C55" w14:textId="77777777" w:rsidR="00BA43CE" w:rsidRDefault="00BA43CE" w:rsidP="00BA43CE">
      <w:pPr>
        <w:pStyle w:val="EndNoteBibliography"/>
      </w:pPr>
      <w:r>
        <w:t>8.</w:t>
      </w:r>
      <w:r>
        <w:tab/>
        <w:t>Davison SN. The prevalence and management of chronic pain in end-stage renal disease. Journal of palliative medicine. 2007;10(6):1277-87.</w:t>
      </w:r>
    </w:p>
    <w:p w14:paraId="339C11DB" w14:textId="77777777" w:rsidR="00BA43CE" w:rsidRDefault="00BA43CE" w:rsidP="00BA43CE">
      <w:pPr>
        <w:pStyle w:val="EndNoteBibliography"/>
      </w:pPr>
      <w:r>
        <w:t>9.</w:t>
      </w:r>
      <w:r>
        <w:tab/>
        <w:t>Davison SN, Koncicki H, Brennan F. Pain in chronic kidney disease: a scoping review. Seminars in dialysis. 2014;27(2):188-204.</w:t>
      </w:r>
    </w:p>
    <w:p w14:paraId="0565C478" w14:textId="77777777" w:rsidR="00BA43CE" w:rsidRDefault="00BA43CE" w:rsidP="00BA43CE">
      <w:pPr>
        <w:pStyle w:val="EndNoteBibliography"/>
      </w:pPr>
      <w:r>
        <w:t>10.</w:t>
      </w:r>
      <w:r>
        <w:tab/>
        <w:t>Daubresse M, Alexander GC, Crews DC, Segev DL, McAdams-DeMarco MA. Trends in Opioid Prescribing Among Hemodialysis Patients, 2007-2014. American journal of nephrology. 2019;49(1):20-31.</w:t>
      </w:r>
    </w:p>
    <w:p w14:paraId="2C2EF521" w14:textId="77777777" w:rsidR="00BA43CE" w:rsidRDefault="00BA43CE" w:rsidP="00BA43CE">
      <w:pPr>
        <w:pStyle w:val="EndNoteBibliography"/>
      </w:pPr>
      <w:r>
        <w:t>11.</w:t>
      </w:r>
      <w:r>
        <w:tab/>
        <w:t>Ishida JH, McCulloch CE, Steinman MA, Grimes BA, Johansen KL. Opioid Analgesics and Adverse Outcomes among Hemodialysis Patients. Clinical journal of the American Society of Nephrology : CJASN. 2018;13(5):746-53.</w:t>
      </w:r>
    </w:p>
    <w:p w14:paraId="207EBC0C" w14:textId="77777777" w:rsidR="00BA43CE" w:rsidRDefault="00BA43CE" w:rsidP="00BA43CE">
      <w:pPr>
        <w:pStyle w:val="EndNoteBibliography"/>
      </w:pPr>
      <w:r>
        <w:t>12.</w:t>
      </w:r>
      <w:r>
        <w:tab/>
        <w:t>Abdel-Kader K, Unruh ML, Weisbord SD. Symptom burden, depression, and quality of life in chronic and end-stage kidney disease. Clinical journal of the American Society of Nephrology : CJASN. 2009;4(6):1057-64.</w:t>
      </w:r>
    </w:p>
    <w:p w14:paraId="3900CFA8" w14:textId="77777777" w:rsidR="00BA43CE" w:rsidRDefault="00BA43CE" w:rsidP="00BA43CE">
      <w:pPr>
        <w:pStyle w:val="EndNoteBibliography"/>
      </w:pPr>
      <w:r>
        <w:t>13.</w:t>
      </w:r>
      <w:r>
        <w:tab/>
        <w:t>Palmer SC, Natale P, Ruospo M, Saglimbene VM, Rabindranath KS, Craig JC, et al. Antidepressants for treating depression in adults with end-stage kidney disease treated with dialysis. The Cochrane database of systematic reviews. 2016(5):Cd004541.</w:t>
      </w:r>
    </w:p>
    <w:p w14:paraId="6F2B3BD1" w14:textId="77777777" w:rsidR="00BA43CE" w:rsidRDefault="00BA43CE" w:rsidP="00BA43CE">
      <w:pPr>
        <w:pStyle w:val="EndNoteBibliography"/>
      </w:pPr>
      <w:r>
        <w:t>14.</w:t>
      </w:r>
      <w:r>
        <w:tab/>
        <w:t>PainAustralia. National Pain Strategy; pain management for all Australians. Canberra; 2010.</w:t>
      </w:r>
    </w:p>
    <w:p w14:paraId="68A2AE52" w14:textId="77777777" w:rsidR="00BA43CE" w:rsidRDefault="00BA43CE" w:rsidP="00BA43CE">
      <w:pPr>
        <w:pStyle w:val="EndNoteBibliography"/>
      </w:pPr>
      <w:r>
        <w:t>15.</w:t>
      </w:r>
      <w:r>
        <w:tab/>
        <w:t>Nicholas MK, Wilson PH, Goyen J. Comparison of cognitive-behavioral group treatment and an alternative non-psychological treatment for chronic low back pain. Pain. 1992;48(3):339-47.</w:t>
      </w:r>
    </w:p>
    <w:p w14:paraId="4406611F" w14:textId="77777777" w:rsidR="00BA43CE" w:rsidRDefault="00BA43CE" w:rsidP="00BA43CE">
      <w:pPr>
        <w:pStyle w:val="EndNoteBibliography"/>
      </w:pPr>
      <w:r>
        <w:t>16.</w:t>
      </w:r>
      <w:r>
        <w:tab/>
        <w:t>de CWAC, Nicholas MK, Richardson PH, Pither CE, Fernandes J. Generalizing from a controlled trial: the effects of patient preference versus randomization on the outcome of inpatient versus outpatient chronic pain management. Pain. 1999;83(1):57-65.</w:t>
      </w:r>
    </w:p>
    <w:p w14:paraId="43C8BA3A" w14:textId="77777777" w:rsidR="00BA43CE" w:rsidRDefault="00BA43CE" w:rsidP="00BA43CE">
      <w:pPr>
        <w:pStyle w:val="EndNoteBibliography"/>
      </w:pPr>
      <w:r>
        <w:t>17.</w:t>
      </w:r>
      <w:r>
        <w:tab/>
        <w:t>Painter P, Carlson L, Carey S, Paul SM, Myll J. Physical functioning and health-related quality-of-life changes with exercise training in hemodialysis patients. American journal of kidney diseases : the official journal of the National Kidney Foundation. 2000;35(3):482-92.</w:t>
      </w:r>
    </w:p>
    <w:p w14:paraId="069D265B" w14:textId="77777777" w:rsidR="00BA43CE" w:rsidRDefault="00BA43CE" w:rsidP="00BA43CE">
      <w:pPr>
        <w:pStyle w:val="EndNoteBibliography"/>
      </w:pPr>
      <w:r>
        <w:t>18.</w:t>
      </w:r>
      <w:r>
        <w:tab/>
        <w:t>Yurtkuran M, Alp A, Yurtkuran M, Dilek K. A modified yoga-based exercise program in hemodialysis patients: a randomized controlled study. Complementary therapies in medicine. 2007;15(3):164-71.</w:t>
      </w:r>
    </w:p>
    <w:p w14:paraId="55D51805" w14:textId="77777777" w:rsidR="00BA43CE" w:rsidRDefault="00BA43CE" w:rsidP="00BA43CE">
      <w:pPr>
        <w:pStyle w:val="EndNoteBibliography"/>
      </w:pPr>
      <w:r>
        <w:t>19.</w:t>
      </w:r>
      <w:r>
        <w:tab/>
        <w:t>Gibson W, Wand BM, Meads C, Catley MJ, O'Connell NE. Transcutaneous electrical nerve stimulation (TENS) for chronic pain - an overview of Cochrane Reviews. The Cochrane database of systematic reviews. 2019;4:Cd011890.</w:t>
      </w:r>
    </w:p>
    <w:p w14:paraId="6B076309" w14:textId="77777777" w:rsidR="00BA43CE" w:rsidRDefault="00BA43CE" w:rsidP="00BA43CE">
      <w:pPr>
        <w:pStyle w:val="EndNoteBibliography"/>
      </w:pPr>
      <w:r>
        <w:lastRenderedPageBreak/>
        <w:t>20.</w:t>
      </w:r>
      <w:r>
        <w:tab/>
        <w:t>Kim KH, Lee MS, Kim TH, Kang JW, Choi TY, Lee JD. Acupuncture and related interventions for symptoms of chronic kidney disease. The Cochrane database of systematic reviews. 2016(6):Cd009440.</w:t>
      </w:r>
    </w:p>
    <w:p w14:paraId="156F4DB4" w14:textId="77777777" w:rsidR="00BA43CE" w:rsidRDefault="00BA43CE" w:rsidP="00BA43CE">
      <w:pPr>
        <w:pStyle w:val="EndNoteBibliography"/>
      </w:pPr>
      <w:r>
        <w:t>21.</w:t>
      </w:r>
      <w:r>
        <w:tab/>
        <w:t>Sariyildiz MA, Batmaz I, Yazmalar L, Gunes M, Turan Y. The effectiveness of transforaminal epidural steroid injections on radicular pain, functionality, psychological status and sleep quality in patients with lumbar disc herniation. Journal of back and musculoskeletal rehabilitation. 2017;30(2):265-70.</w:t>
      </w:r>
    </w:p>
    <w:p w14:paraId="6A04A890" w14:textId="77777777" w:rsidR="00BA43CE" w:rsidRDefault="00BA43CE" w:rsidP="00BA43CE">
      <w:pPr>
        <w:pStyle w:val="EndNoteBibliography"/>
      </w:pPr>
      <w:r>
        <w:t>22.</w:t>
      </w:r>
      <w:r>
        <w:tab/>
        <w:t>Office WDaA. Quick clinical guideline for the use of opioids in chronic non-malignant pain. In: Health WDo, editor. 2009.</w:t>
      </w:r>
    </w:p>
    <w:p w14:paraId="4FC382AA" w14:textId="77777777" w:rsidR="00BA43CE" w:rsidRDefault="00BA43CE" w:rsidP="00BA43CE">
      <w:pPr>
        <w:pStyle w:val="EndNoteBibliography"/>
      </w:pPr>
      <w:r>
        <w:t>23.</w:t>
      </w:r>
      <w:r>
        <w:tab/>
        <w:t>Baker M, Perazella MA. NSAIDs in CKD: Are They Safe? American journal of kidney diseases : the official journal of the National Kidney Foundation. 2020;76(4):546-57.</w:t>
      </w:r>
    </w:p>
    <w:p w14:paraId="1A78923F" w14:textId="77777777" w:rsidR="00BA43CE" w:rsidRDefault="00BA43CE" w:rsidP="00BA43CE">
      <w:pPr>
        <w:pStyle w:val="EndNoteBibliography"/>
      </w:pPr>
      <w:r>
        <w:t>24.</w:t>
      </w:r>
      <w:r>
        <w:tab/>
        <w:t>Wolf E, Kothari NR, Roberts JK, Sparks MA. Baclofen Toxicity in Kidney Disease. American journal of kidney diseases : the official journal of the National Kidney Foundation. 2018;71(2):275-80.</w:t>
      </w:r>
    </w:p>
    <w:p w14:paraId="1E8F303D" w14:textId="77777777" w:rsidR="00BA43CE" w:rsidRDefault="00BA43CE" w:rsidP="00BA43CE">
      <w:pPr>
        <w:pStyle w:val="EndNoteBibliography"/>
      </w:pPr>
      <w:r>
        <w:t>25.</w:t>
      </w:r>
      <w:r>
        <w:tab/>
        <w:t>Worth H, O'Hara DV, Agarwal N, Collister D, Brennan F, Smyth B. Cannabinoids for Symptom Management in Patients with Kidney Failure: A Narrative Review. Clinical journal of the American Society of Nephrology : CJASN. 2022;17(6):911-21.</w:t>
      </w:r>
    </w:p>
    <w:p w14:paraId="763A5439" w14:textId="77777777" w:rsidR="00BA43CE" w:rsidRDefault="00BA43CE" w:rsidP="00BA43CE">
      <w:pPr>
        <w:pStyle w:val="EndNoteBibliography"/>
      </w:pPr>
      <w:r>
        <w:t>26.</w:t>
      </w:r>
      <w:r>
        <w:tab/>
        <w:t>Mathieson S, Maher CG, McLachlan AJ, Latimer J, Koes BW, Hancock MJ, et al. Trial of Pregabalin for Acute and Chronic Sciatica. The New England journal of medicine. 2017;376(12):1111-20.</w:t>
      </w:r>
    </w:p>
    <w:p w14:paraId="36BDF429" w14:textId="77777777" w:rsidR="00BA43CE" w:rsidRDefault="00BA43CE" w:rsidP="00BA43CE">
      <w:pPr>
        <w:pStyle w:val="EndNoteBibliography"/>
      </w:pPr>
      <w:r>
        <w:t>27.</w:t>
      </w:r>
      <w:r>
        <w:tab/>
        <w:t>Davison SN. Clinical Pharmacology Considerations in Pain Management in Patients with Advanced Kidney Failure. Clinical journal of the American Society of Nephrology : CJASN. 2019;14(6):917-31.</w:t>
      </w:r>
    </w:p>
    <w:p w14:paraId="304CA0A3" w14:textId="77777777" w:rsidR="00BA43CE" w:rsidRDefault="00BA43CE" w:rsidP="00BA43CE">
      <w:pPr>
        <w:pStyle w:val="EndNoteBibliography"/>
      </w:pPr>
      <w:r>
        <w:t>28.</w:t>
      </w:r>
      <w:r>
        <w:tab/>
        <w:t>Hercz D, Jiang SH, Webster AC. Interventions for itch in people with advanced chronic kidney disease. The Cochrane database of systematic reviews. 2020;12(12):Cd011393.</w:t>
      </w:r>
    </w:p>
    <w:p w14:paraId="06BB5B98" w14:textId="77777777" w:rsidR="00BA43CE" w:rsidRDefault="00BA43CE" w:rsidP="00BA43CE">
      <w:pPr>
        <w:pStyle w:val="EndNoteBibliography"/>
      </w:pPr>
      <w:r>
        <w:t>29.</w:t>
      </w:r>
      <w:r>
        <w:tab/>
        <w:t>Gholyaf M, Sheikh V, Yasrebifar F, Mohammadi Y, Mirjalili M, Mehrpooya M. Effect of mirtazapine on pruritus in patients on hemodialysis: a cross-over pilot study. International urology and nephrology. 2020;52(6):1155-65.</w:t>
      </w:r>
    </w:p>
    <w:p w14:paraId="08682A3C" w14:textId="5CB5898B" w:rsidR="000728F3" w:rsidRDefault="00BA43CE" w:rsidP="00BA43CE">
      <w:pPr>
        <w:jc w:val="right"/>
      </w:pPr>
      <w:r>
        <w:rPr>
          <w:rFonts w:cs="Arial"/>
          <w:b/>
          <w:szCs w:val="24"/>
        </w:rPr>
        <w:fldChar w:fldCharType="end"/>
      </w:r>
    </w:p>
    <w:p w14:paraId="08682A3D" w14:textId="77777777" w:rsidR="00E41A47" w:rsidRDefault="00E0092E" w:rsidP="00E41A47">
      <w:pPr>
        <w:jc w:val="right"/>
      </w:pPr>
      <w:hyperlink w:anchor="Contents" w:history="1">
        <w:r w:rsidR="00E41A47"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A6A76" w:rsidRPr="000F1F60" w14:paraId="08682A3F" w14:textId="77777777" w:rsidTr="008E74FD">
        <w:trPr>
          <w:cantSplit/>
          <w:trHeight w:val="285"/>
        </w:trPr>
        <w:tc>
          <w:tcPr>
            <w:tcW w:w="9158" w:type="dxa"/>
            <w:shd w:val="clear" w:color="auto" w:fill="D9D9D9" w:themeFill="background1" w:themeFillShade="D9"/>
          </w:tcPr>
          <w:p w14:paraId="08682A3E" w14:textId="438D01BD" w:rsidR="004A6A76" w:rsidRPr="000F1F60" w:rsidRDefault="004A6A76" w:rsidP="00B10F87">
            <w:pPr>
              <w:pStyle w:val="Heading1"/>
            </w:pPr>
            <w:bookmarkStart w:id="38" w:name="_Toc396290588"/>
            <w:bookmarkStart w:id="39" w:name="_Toc134688862"/>
            <w:r>
              <w:t>Definition of Terms</w:t>
            </w:r>
            <w:bookmarkEnd w:id="38"/>
            <w:bookmarkEnd w:id="39"/>
            <w:r>
              <w:t xml:space="preserve"> </w:t>
            </w:r>
          </w:p>
        </w:tc>
      </w:tr>
    </w:tbl>
    <w:p w14:paraId="08682A40" w14:textId="77777777" w:rsidR="004A6A76" w:rsidRDefault="004A6A76" w:rsidP="004A6A76">
      <w:pPr>
        <w:rPr>
          <w:rFonts w:cs="Arial"/>
          <w:szCs w:val="24"/>
        </w:rPr>
      </w:pPr>
    </w:p>
    <w:p w14:paraId="7AD3EC8B" w14:textId="77777777" w:rsidR="00BA43CE" w:rsidRDefault="00BA43CE" w:rsidP="00BA43CE">
      <w:pPr>
        <w:rPr>
          <w:rFonts w:asciiTheme="minorHAnsi" w:eastAsiaTheme="minorHAnsi" w:hAnsiTheme="minorHAnsi" w:cs="Arial"/>
          <w:color w:val="333333"/>
          <w:szCs w:val="24"/>
        </w:rPr>
      </w:pPr>
      <w:r>
        <w:rPr>
          <w:rFonts w:cs="Arial"/>
          <w:szCs w:val="24"/>
        </w:rPr>
        <w:t xml:space="preserve">CYP3A4, </w:t>
      </w:r>
      <w:r>
        <w:rPr>
          <w:rFonts w:asciiTheme="minorHAnsi" w:eastAsiaTheme="minorHAnsi" w:hAnsiTheme="minorHAnsi" w:cs="Arial"/>
          <w:color w:val="333333"/>
          <w:szCs w:val="24"/>
        </w:rPr>
        <w:t>2D6, 1A2: Cytochrome P</w:t>
      </w:r>
    </w:p>
    <w:p w14:paraId="6F1B8213" w14:textId="2F268A2E" w:rsidR="00BA43CE" w:rsidRDefault="00BA43CE" w:rsidP="00BA43CE">
      <w:pPr>
        <w:rPr>
          <w:rFonts w:cs="Arial"/>
          <w:szCs w:val="24"/>
        </w:rPr>
      </w:pPr>
      <w:r>
        <w:rPr>
          <w:rFonts w:cs="Arial"/>
          <w:szCs w:val="24"/>
        </w:rPr>
        <w:t>Persistent pain: Any pain condition that lasts longer than 1-week duration</w:t>
      </w:r>
    </w:p>
    <w:p w14:paraId="1FEE302A" w14:textId="0D59F31D" w:rsidR="00BA43CE" w:rsidRDefault="00BA43CE" w:rsidP="00BA43CE">
      <w:pPr>
        <w:rPr>
          <w:rFonts w:asciiTheme="minorHAnsi" w:eastAsiaTheme="minorHAnsi" w:hAnsiTheme="minorHAnsi" w:cs="Arial"/>
          <w:color w:val="333333"/>
          <w:szCs w:val="24"/>
        </w:rPr>
      </w:pPr>
    </w:p>
    <w:p w14:paraId="08682A43" w14:textId="77777777" w:rsidR="004A6A76" w:rsidRDefault="00E0092E" w:rsidP="004A6A76">
      <w:pPr>
        <w:jc w:val="right"/>
      </w:pPr>
      <w:hyperlink w:anchor="Contents" w:history="1">
        <w:r w:rsidR="004A6A76" w:rsidRPr="00C91F3F">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4A6A76" w:rsidRPr="00CD1C0E" w14:paraId="08682A45" w14:textId="77777777" w:rsidTr="008E74FD">
        <w:trPr>
          <w:cantSplit/>
          <w:trHeight w:val="285"/>
        </w:trPr>
        <w:tc>
          <w:tcPr>
            <w:tcW w:w="9158" w:type="dxa"/>
            <w:shd w:val="clear" w:color="auto" w:fill="D9D9D9" w:themeFill="background1" w:themeFillShade="D9"/>
          </w:tcPr>
          <w:p w14:paraId="08682A44" w14:textId="77777777" w:rsidR="004A6A76" w:rsidRPr="00CD1C0E" w:rsidRDefault="004A6A76" w:rsidP="00B10F87">
            <w:pPr>
              <w:pStyle w:val="Heading1"/>
            </w:pPr>
            <w:bookmarkStart w:id="40" w:name="_Toc389473290"/>
            <w:bookmarkStart w:id="41" w:name="_Toc396290589"/>
            <w:bookmarkStart w:id="42" w:name="_Toc134688863"/>
            <w:r>
              <w:t>Search Terms</w:t>
            </w:r>
            <w:bookmarkEnd w:id="40"/>
            <w:bookmarkEnd w:id="41"/>
            <w:bookmarkEnd w:id="42"/>
            <w:r>
              <w:t xml:space="preserve"> </w:t>
            </w:r>
          </w:p>
        </w:tc>
      </w:tr>
    </w:tbl>
    <w:p w14:paraId="08682A46" w14:textId="77777777" w:rsidR="004A6A76" w:rsidRDefault="004A6A76" w:rsidP="004A6A76">
      <w:pPr>
        <w:rPr>
          <w:rFonts w:cs="Calibri,Bold"/>
          <w:bCs/>
          <w:i/>
          <w:szCs w:val="24"/>
          <w:lang w:eastAsia="en-AU"/>
        </w:rPr>
      </w:pPr>
    </w:p>
    <w:p w14:paraId="1FB8AC70" w14:textId="77777777" w:rsidR="00BA43CE" w:rsidRDefault="00BA43CE" w:rsidP="00BA43CE">
      <w:pPr>
        <w:rPr>
          <w:rFonts w:cs="Calibri,Bold"/>
          <w:bCs/>
          <w:szCs w:val="24"/>
          <w:lang w:eastAsia="en-AU"/>
        </w:rPr>
      </w:pPr>
      <w:r>
        <w:rPr>
          <w:rFonts w:cs="Calibri,Bold"/>
          <w:bCs/>
          <w:szCs w:val="24"/>
          <w:lang w:eastAsia="en-AU"/>
        </w:rPr>
        <w:t>Chronic kidney disease, dialysis, pain, persistent, analgesia, opioids</w:t>
      </w:r>
    </w:p>
    <w:p w14:paraId="08682A48" w14:textId="77777777" w:rsidR="004A6A76" w:rsidRPr="00901883" w:rsidRDefault="004A6A76" w:rsidP="004A6A76">
      <w:pPr>
        <w:jc w:val="both"/>
        <w:rPr>
          <w:rFonts w:asciiTheme="minorHAnsi" w:hAnsiTheme="minorHAnsi" w:cs="Arial"/>
          <w:b/>
          <w:i/>
          <w:sz w:val="22"/>
          <w:szCs w:val="22"/>
        </w:rPr>
      </w:pPr>
    </w:p>
    <w:p w14:paraId="08682A49" w14:textId="77777777" w:rsidR="004A6A76" w:rsidRPr="00E41A47" w:rsidRDefault="00E0092E" w:rsidP="004A6A76">
      <w:pPr>
        <w:jc w:val="right"/>
      </w:pPr>
      <w:hyperlink w:anchor="_top" w:history="1">
        <w:r w:rsidR="004A6A76" w:rsidRPr="00C91F3F">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A4B" w14:textId="77777777" w:rsidTr="008E74FD">
        <w:trPr>
          <w:cantSplit/>
          <w:trHeight w:val="285"/>
        </w:trPr>
        <w:tc>
          <w:tcPr>
            <w:tcW w:w="9158" w:type="dxa"/>
            <w:shd w:val="clear" w:color="auto" w:fill="D9D9D9" w:themeFill="background1" w:themeFillShade="D9"/>
          </w:tcPr>
          <w:p w14:paraId="08682A4A" w14:textId="77777777" w:rsidR="009A534C" w:rsidRPr="002E3BFE" w:rsidRDefault="009A534C" w:rsidP="00B10F87">
            <w:pPr>
              <w:pStyle w:val="Heading1"/>
              <w:rPr>
                <w:szCs w:val="24"/>
              </w:rPr>
            </w:pPr>
            <w:bookmarkStart w:id="43" w:name="_Toc134688864"/>
            <w:r>
              <w:rPr>
                <w:szCs w:val="24"/>
              </w:rPr>
              <w:t>Attachments</w:t>
            </w:r>
            <w:bookmarkEnd w:id="43"/>
          </w:p>
        </w:tc>
      </w:tr>
    </w:tbl>
    <w:p w14:paraId="08682A4C" w14:textId="77777777" w:rsidR="009A534C" w:rsidRDefault="009A534C" w:rsidP="009A534C">
      <w:pPr>
        <w:jc w:val="both"/>
        <w:rPr>
          <w:rFonts w:cs="Arial"/>
          <w:b/>
          <w:szCs w:val="24"/>
        </w:rPr>
      </w:pPr>
    </w:p>
    <w:p w14:paraId="5BD6AEE7" w14:textId="77777777" w:rsidR="00BA43CE" w:rsidRDefault="00BA43CE" w:rsidP="00BA43CE">
      <w:pPr>
        <w:jc w:val="both"/>
        <w:rPr>
          <w:rFonts w:cs="Arial"/>
          <w:szCs w:val="24"/>
        </w:rPr>
      </w:pPr>
      <w:r>
        <w:rPr>
          <w:rFonts w:cs="Arial"/>
          <w:szCs w:val="24"/>
        </w:rPr>
        <w:t>Attachment 1: Opioid Risk Tool</w:t>
      </w:r>
    </w:p>
    <w:p w14:paraId="08682A4F" w14:textId="77777777" w:rsidR="009A534C" w:rsidRDefault="009A534C" w:rsidP="009A534C">
      <w:pPr>
        <w:rPr>
          <w:rFonts w:cs="Arial"/>
          <w:iCs/>
          <w:sz w:val="20"/>
        </w:rPr>
      </w:pPr>
    </w:p>
    <w:p w14:paraId="08682A50" w14:textId="2AE7F3B4" w:rsidR="00153FB3" w:rsidRPr="003E167B" w:rsidRDefault="00153FB3" w:rsidP="00153FB3">
      <w:pPr>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sidR="00470E63">
        <w:rPr>
          <w:rFonts w:cs="Arial"/>
          <w:i/>
          <w:iCs/>
          <w:sz w:val="20"/>
        </w:rPr>
        <w:t>Canberra Health Services</w:t>
      </w:r>
      <w:r w:rsidRPr="003E167B">
        <w:rPr>
          <w:rFonts w:cs="Arial"/>
          <w:i/>
          <w:iCs/>
          <w:sz w:val="20"/>
        </w:rPr>
        <w:t xml:space="preserve"> assumes no responsibility whatsoever.</w:t>
      </w:r>
    </w:p>
    <w:p w14:paraId="08682A51" w14:textId="77777777" w:rsidR="00153FB3" w:rsidRPr="003E167B" w:rsidRDefault="00153FB3" w:rsidP="00153FB3">
      <w:pPr>
        <w:rPr>
          <w:rFonts w:cs="Arial"/>
          <w:i/>
          <w:iCs/>
          <w:sz w:val="20"/>
        </w:rPr>
      </w:pPr>
    </w:p>
    <w:p w14:paraId="08682A52" w14:textId="77777777" w:rsidR="00153FB3" w:rsidRPr="003E167B" w:rsidRDefault="00153FB3" w:rsidP="00153FB3">
      <w:pPr>
        <w:rPr>
          <w:rFonts w:cs="Arial"/>
          <w:i/>
          <w:iCs/>
          <w:sz w:val="20"/>
        </w:rPr>
      </w:pPr>
      <w:r w:rsidRPr="003E167B">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153FB3" w:rsidRPr="003E167B" w14:paraId="08682A57" w14:textId="77777777" w:rsidTr="005B3A1A">
        <w:tc>
          <w:tcPr>
            <w:tcW w:w="2265" w:type="dxa"/>
          </w:tcPr>
          <w:p w14:paraId="08682A53" w14:textId="77777777" w:rsidR="00153FB3" w:rsidRPr="003E167B" w:rsidRDefault="00153FB3" w:rsidP="005B3A1A">
            <w:pPr>
              <w:rPr>
                <w:i/>
                <w:sz w:val="20"/>
              </w:rPr>
            </w:pPr>
            <w:r w:rsidRPr="003E167B">
              <w:rPr>
                <w:i/>
                <w:sz w:val="20"/>
              </w:rPr>
              <w:t>Date Amended</w:t>
            </w:r>
          </w:p>
        </w:tc>
        <w:tc>
          <w:tcPr>
            <w:tcW w:w="2265" w:type="dxa"/>
          </w:tcPr>
          <w:p w14:paraId="08682A54" w14:textId="77777777" w:rsidR="00153FB3" w:rsidRPr="003E167B" w:rsidRDefault="00153FB3" w:rsidP="005B3A1A">
            <w:pPr>
              <w:rPr>
                <w:i/>
                <w:sz w:val="20"/>
              </w:rPr>
            </w:pPr>
            <w:r w:rsidRPr="003E167B">
              <w:rPr>
                <w:i/>
                <w:sz w:val="20"/>
              </w:rPr>
              <w:t>Section Amended</w:t>
            </w:r>
          </w:p>
        </w:tc>
        <w:tc>
          <w:tcPr>
            <w:tcW w:w="2265" w:type="dxa"/>
          </w:tcPr>
          <w:p w14:paraId="08682A55" w14:textId="77777777" w:rsidR="00153FB3" w:rsidRPr="003E167B" w:rsidRDefault="00153FB3" w:rsidP="005B3A1A">
            <w:pPr>
              <w:rPr>
                <w:i/>
                <w:sz w:val="20"/>
              </w:rPr>
            </w:pPr>
            <w:r w:rsidRPr="003E167B">
              <w:rPr>
                <w:i/>
                <w:sz w:val="20"/>
              </w:rPr>
              <w:t>Divisional Approval</w:t>
            </w:r>
          </w:p>
        </w:tc>
        <w:tc>
          <w:tcPr>
            <w:tcW w:w="2265" w:type="dxa"/>
          </w:tcPr>
          <w:p w14:paraId="08682A56" w14:textId="77777777" w:rsidR="00153FB3" w:rsidRPr="003E167B" w:rsidRDefault="00153FB3" w:rsidP="005B3A1A">
            <w:pPr>
              <w:rPr>
                <w:i/>
                <w:sz w:val="20"/>
              </w:rPr>
            </w:pPr>
            <w:r w:rsidRPr="003E167B">
              <w:rPr>
                <w:i/>
                <w:sz w:val="20"/>
              </w:rPr>
              <w:t xml:space="preserve">Final Approval </w:t>
            </w:r>
          </w:p>
        </w:tc>
      </w:tr>
      <w:tr w:rsidR="00153FB3" w:rsidRPr="003E167B" w14:paraId="08682A5C" w14:textId="77777777" w:rsidTr="005B3A1A">
        <w:tc>
          <w:tcPr>
            <w:tcW w:w="2265" w:type="dxa"/>
          </w:tcPr>
          <w:p w14:paraId="08682A58" w14:textId="588C1712" w:rsidR="00153FB3" w:rsidRPr="003E167B" w:rsidRDefault="00E0092E" w:rsidP="005B3A1A">
            <w:pPr>
              <w:rPr>
                <w:i/>
                <w:sz w:val="20"/>
              </w:rPr>
            </w:pPr>
            <w:r>
              <w:rPr>
                <w:i/>
                <w:sz w:val="20"/>
              </w:rPr>
              <w:t>11/05/2023</w:t>
            </w:r>
          </w:p>
        </w:tc>
        <w:tc>
          <w:tcPr>
            <w:tcW w:w="2265" w:type="dxa"/>
          </w:tcPr>
          <w:p w14:paraId="08682A59" w14:textId="2957A6E2" w:rsidR="00153FB3" w:rsidRPr="003E167B" w:rsidRDefault="00E0092E" w:rsidP="005B3A1A">
            <w:pPr>
              <w:rPr>
                <w:i/>
                <w:sz w:val="20"/>
              </w:rPr>
            </w:pPr>
            <w:r>
              <w:rPr>
                <w:i/>
                <w:sz w:val="20"/>
              </w:rPr>
              <w:t>New document</w:t>
            </w:r>
          </w:p>
        </w:tc>
        <w:tc>
          <w:tcPr>
            <w:tcW w:w="2265" w:type="dxa"/>
          </w:tcPr>
          <w:p w14:paraId="08682A5A" w14:textId="71F0F421" w:rsidR="00153FB3" w:rsidRPr="003E167B" w:rsidRDefault="00E0092E" w:rsidP="005B3A1A">
            <w:pPr>
              <w:rPr>
                <w:i/>
                <w:sz w:val="20"/>
              </w:rPr>
            </w:pPr>
            <w:r>
              <w:rPr>
                <w:i/>
                <w:sz w:val="20"/>
              </w:rPr>
              <w:t>Brendan Docherty, ED of Medicine</w:t>
            </w:r>
          </w:p>
        </w:tc>
        <w:tc>
          <w:tcPr>
            <w:tcW w:w="2265" w:type="dxa"/>
          </w:tcPr>
          <w:p w14:paraId="08682A5B" w14:textId="434D4EA5" w:rsidR="00153FB3" w:rsidRPr="003E167B" w:rsidRDefault="00E0092E" w:rsidP="005B3A1A">
            <w:pPr>
              <w:rPr>
                <w:i/>
                <w:sz w:val="20"/>
              </w:rPr>
            </w:pPr>
            <w:r>
              <w:rPr>
                <w:i/>
                <w:sz w:val="20"/>
              </w:rPr>
              <w:t>CHS Policy Committee</w:t>
            </w:r>
          </w:p>
        </w:tc>
      </w:tr>
      <w:tr w:rsidR="00153FB3" w:rsidRPr="003E167B" w14:paraId="08682A61" w14:textId="77777777" w:rsidTr="005B3A1A">
        <w:tc>
          <w:tcPr>
            <w:tcW w:w="2265" w:type="dxa"/>
          </w:tcPr>
          <w:p w14:paraId="08682A5D" w14:textId="77777777" w:rsidR="00153FB3" w:rsidRPr="003E167B" w:rsidRDefault="00153FB3" w:rsidP="005B3A1A">
            <w:pPr>
              <w:rPr>
                <w:i/>
                <w:sz w:val="20"/>
              </w:rPr>
            </w:pPr>
          </w:p>
        </w:tc>
        <w:tc>
          <w:tcPr>
            <w:tcW w:w="2265" w:type="dxa"/>
          </w:tcPr>
          <w:p w14:paraId="08682A5E" w14:textId="77777777" w:rsidR="00153FB3" w:rsidRPr="003E167B" w:rsidRDefault="00153FB3" w:rsidP="005B3A1A">
            <w:pPr>
              <w:rPr>
                <w:i/>
                <w:sz w:val="20"/>
              </w:rPr>
            </w:pPr>
          </w:p>
        </w:tc>
        <w:tc>
          <w:tcPr>
            <w:tcW w:w="2265" w:type="dxa"/>
          </w:tcPr>
          <w:p w14:paraId="08682A5F" w14:textId="77777777" w:rsidR="00153FB3" w:rsidRPr="003E167B" w:rsidRDefault="00153FB3" w:rsidP="005B3A1A">
            <w:pPr>
              <w:rPr>
                <w:i/>
                <w:sz w:val="20"/>
              </w:rPr>
            </w:pPr>
          </w:p>
        </w:tc>
        <w:tc>
          <w:tcPr>
            <w:tcW w:w="2265" w:type="dxa"/>
          </w:tcPr>
          <w:p w14:paraId="08682A60" w14:textId="77777777" w:rsidR="00153FB3" w:rsidRPr="003E167B" w:rsidRDefault="00153FB3" w:rsidP="005B3A1A">
            <w:pPr>
              <w:rPr>
                <w:i/>
                <w:sz w:val="20"/>
              </w:rPr>
            </w:pPr>
          </w:p>
        </w:tc>
      </w:tr>
    </w:tbl>
    <w:p w14:paraId="08682A62" w14:textId="77777777" w:rsidR="00153FB3" w:rsidRPr="003E167B" w:rsidRDefault="00153FB3" w:rsidP="00153FB3">
      <w:pPr>
        <w:rPr>
          <w:rFonts w:cs="Arial"/>
          <w:sz w:val="20"/>
        </w:rPr>
      </w:pPr>
    </w:p>
    <w:p w14:paraId="08682A63" w14:textId="77777777" w:rsidR="00153FB3" w:rsidRPr="003E167B" w:rsidRDefault="00153FB3" w:rsidP="00153FB3">
      <w:pPr>
        <w:rPr>
          <w:rFonts w:cs="Arial"/>
          <w:i/>
          <w:sz w:val="20"/>
        </w:rPr>
      </w:pPr>
      <w:r w:rsidRPr="003E167B">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153FB3" w:rsidRPr="003E167B" w14:paraId="08682A66" w14:textId="77777777" w:rsidTr="005B3A1A">
        <w:tc>
          <w:tcPr>
            <w:tcW w:w="2122" w:type="dxa"/>
          </w:tcPr>
          <w:p w14:paraId="08682A64" w14:textId="77777777" w:rsidR="00153FB3" w:rsidRPr="003E167B" w:rsidRDefault="00153FB3" w:rsidP="005B3A1A">
            <w:pPr>
              <w:rPr>
                <w:i/>
                <w:sz w:val="20"/>
              </w:rPr>
            </w:pPr>
            <w:r w:rsidRPr="003E167B">
              <w:rPr>
                <w:i/>
                <w:sz w:val="20"/>
              </w:rPr>
              <w:t>Document Number</w:t>
            </w:r>
          </w:p>
        </w:tc>
        <w:tc>
          <w:tcPr>
            <w:tcW w:w="6938" w:type="dxa"/>
          </w:tcPr>
          <w:p w14:paraId="08682A65" w14:textId="77777777" w:rsidR="00153FB3" w:rsidRPr="003E167B" w:rsidRDefault="00153FB3" w:rsidP="005B3A1A">
            <w:pPr>
              <w:rPr>
                <w:i/>
                <w:sz w:val="20"/>
              </w:rPr>
            </w:pPr>
            <w:r w:rsidRPr="003E167B">
              <w:rPr>
                <w:i/>
                <w:sz w:val="20"/>
              </w:rPr>
              <w:t>Document Name</w:t>
            </w:r>
          </w:p>
        </w:tc>
      </w:tr>
      <w:tr w:rsidR="00153FB3" w:rsidRPr="003E167B" w14:paraId="08682A69" w14:textId="77777777" w:rsidTr="005B3A1A">
        <w:tc>
          <w:tcPr>
            <w:tcW w:w="2122" w:type="dxa"/>
          </w:tcPr>
          <w:p w14:paraId="08682A67" w14:textId="05D7CD22" w:rsidR="00153FB3" w:rsidRPr="003E167B" w:rsidRDefault="00E0092E" w:rsidP="005B3A1A">
            <w:pPr>
              <w:rPr>
                <w:i/>
                <w:sz w:val="20"/>
              </w:rPr>
            </w:pPr>
            <w:r w:rsidRPr="00E0092E">
              <w:rPr>
                <w:i/>
                <w:sz w:val="20"/>
              </w:rPr>
              <w:t>CHS20/080</w:t>
            </w:r>
          </w:p>
        </w:tc>
        <w:tc>
          <w:tcPr>
            <w:tcW w:w="6938" w:type="dxa"/>
          </w:tcPr>
          <w:p w14:paraId="08682A68" w14:textId="3D0D801E" w:rsidR="00153FB3" w:rsidRPr="003E167B" w:rsidRDefault="00E0092E" w:rsidP="005B3A1A">
            <w:pPr>
              <w:rPr>
                <w:i/>
                <w:sz w:val="20"/>
              </w:rPr>
            </w:pPr>
            <w:r w:rsidRPr="00E0092E">
              <w:rPr>
                <w:i/>
                <w:sz w:val="20"/>
              </w:rPr>
              <w:t>Persistent Pain Management Strategy for Adult Patients with Advanced Chronic Kidney Disease</w:t>
            </w:r>
          </w:p>
        </w:tc>
      </w:tr>
      <w:tr w:rsidR="00153FB3" w:rsidRPr="003E167B" w14:paraId="08682A6C" w14:textId="77777777" w:rsidTr="005B3A1A">
        <w:tc>
          <w:tcPr>
            <w:tcW w:w="2122" w:type="dxa"/>
          </w:tcPr>
          <w:p w14:paraId="08682A6A" w14:textId="77777777" w:rsidR="00153FB3" w:rsidRPr="003E167B" w:rsidRDefault="00153FB3" w:rsidP="005B3A1A">
            <w:pPr>
              <w:rPr>
                <w:i/>
                <w:sz w:val="20"/>
              </w:rPr>
            </w:pPr>
          </w:p>
        </w:tc>
        <w:tc>
          <w:tcPr>
            <w:tcW w:w="6938" w:type="dxa"/>
          </w:tcPr>
          <w:p w14:paraId="08682A6B" w14:textId="77777777" w:rsidR="00153FB3" w:rsidRPr="003E167B" w:rsidRDefault="00153FB3" w:rsidP="005B3A1A">
            <w:pPr>
              <w:rPr>
                <w:i/>
                <w:sz w:val="20"/>
              </w:rPr>
            </w:pPr>
          </w:p>
        </w:tc>
      </w:tr>
    </w:tbl>
    <w:p w14:paraId="0CB97AE8" w14:textId="77777777" w:rsidR="00BA43CE" w:rsidRDefault="00BA43CE" w:rsidP="00153FB3">
      <w:pPr>
        <w:rPr>
          <w:i/>
          <w:sz w:val="20"/>
          <w:szCs w:val="24"/>
        </w:rPr>
        <w:sectPr w:rsidR="00BA43CE" w:rsidSect="00B10F87">
          <w:headerReference w:type="default" r:id="rId20"/>
          <w:footerReference w:type="default" r:id="rId21"/>
          <w:pgSz w:w="11906" w:h="16838"/>
          <w:pgMar w:top="663" w:right="1418" w:bottom="1440" w:left="1418" w:header="357" w:footer="306" w:gutter="0"/>
          <w:cols w:space="708"/>
          <w:docGrid w:linePitch="360"/>
        </w:sectPr>
      </w:pPr>
    </w:p>
    <w:p w14:paraId="7280F157" w14:textId="77777777" w:rsidR="00BA43CE" w:rsidRDefault="00BA43CE" w:rsidP="00BA43CE">
      <w:pPr>
        <w:pStyle w:val="Heading2"/>
      </w:pPr>
      <w:bookmarkStart w:id="45" w:name="_Toc18309930"/>
      <w:bookmarkStart w:id="46" w:name="_Toc29901655"/>
      <w:bookmarkStart w:id="47" w:name="_Toc35599834"/>
      <w:r>
        <w:lastRenderedPageBreak/>
        <w:t>Attachment 1: Opioid Risk Tool</w:t>
      </w:r>
      <w:bookmarkEnd w:id="45"/>
      <w:bookmarkEnd w:id="46"/>
      <w:bookmarkEnd w:id="47"/>
    </w:p>
    <w:p w14:paraId="24443948" w14:textId="68564450" w:rsidR="00BA43CE" w:rsidRDefault="00BA43CE" w:rsidP="00153FB3">
      <w:pPr>
        <w:rPr>
          <w:i/>
          <w:sz w:val="20"/>
          <w:szCs w:val="24"/>
        </w:rPr>
      </w:pPr>
    </w:p>
    <w:p w14:paraId="5087A400" w14:textId="38F1B771" w:rsidR="00BA43CE" w:rsidRDefault="00BA43CE" w:rsidP="00153FB3">
      <w:pPr>
        <w:rPr>
          <w:i/>
          <w:sz w:val="20"/>
          <w:szCs w:val="24"/>
        </w:rPr>
      </w:pPr>
      <w:r>
        <w:rPr>
          <w:noProof/>
        </w:rPr>
        <w:drawing>
          <wp:inline distT="0" distB="0" distL="0" distR="0" wp14:anchorId="2C173EDF" wp14:editId="12D3BC2B">
            <wp:extent cx="8658225" cy="4048760"/>
            <wp:effectExtent l="0" t="0" r="952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658225" cy="4048760"/>
                    </a:xfrm>
                    <a:prstGeom prst="rect">
                      <a:avLst/>
                    </a:prstGeom>
                    <a:noFill/>
                    <a:ln>
                      <a:noFill/>
                    </a:ln>
                  </pic:spPr>
                </pic:pic>
              </a:graphicData>
            </a:graphic>
          </wp:inline>
        </w:drawing>
      </w:r>
    </w:p>
    <w:p w14:paraId="154AB89F" w14:textId="77777777" w:rsidR="00BA43CE" w:rsidRPr="00010E74" w:rsidRDefault="00BA43CE" w:rsidP="00153FB3">
      <w:pPr>
        <w:rPr>
          <w:i/>
          <w:sz w:val="20"/>
          <w:szCs w:val="24"/>
        </w:rPr>
      </w:pPr>
    </w:p>
    <w:sectPr w:rsidR="00BA43CE" w:rsidRPr="00010E74" w:rsidSect="00BA43CE">
      <w:pgSz w:w="16838" w:h="11906" w:orient="landscape"/>
      <w:pgMar w:top="1418" w:right="663" w:bottom="1418" w:left="1440"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46737" w14:textId="77777777" w:rsidR="009B77E3" w:rsidRDefault="009B77E3" w:rsidP="00F66CB0">
      <w:r>
        <w:separator/>
      </w:r>
    </w:p>
  </w:endnote>
  <w:endnote w:type="continuationSeparator" w:id="0">
    <w:p w14:paraId="46E9A31D" w14:textId="77777777" w:rsidR="009B77E3" w:rsidRDefault="009B77E3" w:rsidP="00F66CB0">
      <w:r>
        <w:continuationSeparator/>
      </w:r>
    </w:p>
  </w:endnote>
  <w:endnote w:type="continuationNotice" w:id="1">
    <w:p w14:paraId="43D96D34" w14:textId="77777777" w:rsidR="009B77E3" w:rsidRDefault="009B77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ightCond">
    <w:altName w:val="Arial"/>
    <w:panose1 w:val="00000000000000000000"/>
    <w:charset w:val="00"/>
    <w:family w:val="swiss"/>
    <w:notTrueType/>
    <w:pitch w:val="default"/>
    <w:sig w:usb0="00000003" w:usb1="00000000" w:usb2="00000000" w:usb3="00000000" w:csb0="00000001" w:csb1="00000000"/>
  </w:font>
  <w:font w:name="HelveticaNeue-BoldCond">
    <w:altName w:val="Arial"/>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1670BB" w:rsidRPr="00AE7C5C" w14:paraId="08682A7C" w14:textId="77777777" w:rsidTr="008E7509">
      <w:tc>
        <w:tcPr>
          <w:tcW w:w="1515" w:type="dxa"/>
        </w:tcPr>
        <w:p w14:paraId="08682A76" w14:textId="77777777" w:rsidR="001670BB" w:rsidRPr="00B3752F" w:rsidRDefault="001670BB" w:rsidP="00B10F87">
          <w:pPr>
            <w:pStyle w:val="Footer"/>
            <w:rPr>
              <w:rFonts w:cs="Arial"/>
              <w:b/>
              <w:bCs/>
              <w:i/>
              <w:sz w:val="20"/>
            </w:rPr>
          </w:pPr>
          <w:r w:rsidRPr="00B3752F">
            <w:rPr>
              <w:rFonts w:cs="Arial"/>
              <w:b/>
              <w:bCs/>
              <w:i/>
              <w:sz w:val="20"/>
            </w:rPr>
            <w:t>Doc Number</w:t>
          </w:r>
        </w:p>
      </w:tc>
      <w:tc>
        <w:tcPr>
          <w:tcW w:w="965" w:type="dxa"/>
        </w:tcPr>
        <w:p w14:paraId="08682A77" w14:textId="77777777" w:rsidR="001670BB" w:rsidRPr="00B3752F" w:rsidRDefault="001670BB" w:rsidP="00B10F87">
          <w:pPr>
            <w:pStyle w:val="Footer"/>
            <w:rPr>
              <w:rFonts w:cs="Arial"/>
              <w:b/>
              <w:bCs/>
              <w:i/>
              <w:sz w:val="20"/>
            </w:rPr>
          </w:pPr>
          <w:r w:rsidRPr="00B3752F">
            <w:rPr>
              <w:rFonts w:cs="Arial"/>
              <w:b/>
              <w:bCs/>
              <w:i/>
              <w:sz w:val="20"/>
            </w:rPr>
            <w:t>Version</w:t>
          </w:r>
        </w:p>
      </w:tc>
      <w:tc>
        <w:tcPr>
          <w:tcW w:w="1552" w:type="dxa"/>
        </w:tcPr>
        <w:p w14:paraId="08682A78" w14:textId="77777777" w:rsidR="001670BB" w:rsidRPr="00B3752F" w:rsidRDefault="001670BB" w:rsidP="00B10F87">
          <w:pPr>
            <w:pStyle w:val="Footer"/>
            <w:rPr>
              <w:rFonts w:cs="Arial"/>
              <w:b/>
              <w:bCs/>
              <w:i/>
              <w:sz w:val="20"/>
            </w:rPr>
          </w:pPr>
          <w:r w:rsidRPr="00B3752F">
            <w:rPr>
              <w:rFonts w:cs="Arial"/>
              <w:b/>
              <w:bCs/>
              <w:i/>
              <w:sz w:val="20"/>
            </w:rPr>
            <w:t>Issued</w:t>
          </w:r>
        </w:p>
      </w:tc>
      <w:tc>
        <w:tcPr>
          <w:tcW w:w="1456" w:type="dxa"/>
        </w:tcPr>
        <w:p w14:paraId="08682A79" w14:textId="77777777" w:rsidR="001670BB" w:rsidRPr="00B3752F" w:rsidRDefault="001670BB" w:rsidP="00B10F87">
          <w:pPr>
            <w:pStyle w:val="Footer"/>
            <w:rPr>
              <w:rFonts w:cs="Arial"/>
              <w:b/>
              <w:bCs/>
              <w:i/>
              <w:sz w:val="20"/>
            </w:rPr>
          </w:pPr>
          <w:r w:rsidRPr="00B3752F">
            <w:rPr>
              <w:rFonts w:cs="Arial"/>
              <w:b/>
              <w:bCs/>
              <w:i/>
              <w:sz w:val="20"/>
            </w:rPr>
            <w:t>Review Date</w:t>
          </w:r>
        </w:p>
      </w:tc>
      <w:tc>
        <w:tcPr>
          <w:tcW w:w="1746" w:type="dxa"/>
        </w:tcPr>
        <w:p w14:paraId="08682A7A" w14:textId="77777777" w:rsidR="001670BB" w:rsidRPr="00B3752F" w:rsidRDefault="001670BB" w:rsidP="00B10F87">
          <w:pPr>
            <w:pStyle w:val="Footer"/>
            <w:rPr>
              <w:rFonts w:cs="Arial"/>
              <w:b/>
              <w:bCs/>
              <w:i/>
              <w:sz w:val="20"/>
            </w:rPr>
          </w:pPr>
          <w:r w:rsidRPr="00B3752F">
            <w:rPr>
              <w:rFonts w:cs="Arial"/>
              <w:b/>
              <w:bCs/>
              <w:i/>
              <w:sz w:val="20"/>
            </w:rPr>
            <w:t>Area Responsible</w:t>
          </w:r>
        </w:p>
      </w:tc>
      <w:tc>
        <w:tcPr>
          <w:tcW w:w="1836" w:type="dxa"/>
        </w:tcPr>
        <w:p w14:paraId="08682A7B" w14:textId="77777777" w:rsidR="001670BB" w:rsidRPr="00B3752F" w:rsidRDefault="001670BB" w:rsidP="00B10F87">
          <w:pPr>
            <w:pStyle w:val="Footer"/>
            <w:rPr>
              <w:rFonts w:cs="Arial"/>
              <w:b/>
              <w:bCs/>
              <w:i/>
              <w:sz w:val="20"/>
            </w:rPr>
          </w:pPr>
          <w:r w:rsidRPr="00B3752F">
            <w:rPr>
              <w:rFonts w:cs="Arial"/>
              <w:b/>
              <w:bCs/>
              <w:i/>
              <w:sz w:val="20"/>
            </w:rPr>
            <w:t>Page</w:t>
          </w:r>
        </w:p>
      </w:tc>
    </w:tr>
    <w:tr w:rsidR="001670BB" w14:paraId="08682A83" w14:textId="77777777" w:rsidTr="008E7509">
      <w:tc>
        <w:tcPr>
          <w:tcW w:w="1515" w:type="dxa"/>
        </w:tcPr>
        <w:p w14:paraId="08682A7D" w14:textId="2519F714" w:rsidR="001670BB" w:rsidRPr="00542EE6" w:rsidRDefault="00E0092E" w:rsidP="00B10F87">
          <w:pPr>
            <w:pStyle w:val="Footer"/>
            <w:rPr>
              <w:rFonts w:cs="Arial"/>
              <w:b/>
              <w:bCs/>
              <w:sz w:val="20"/>
            </w:rPr>
          </w:pPr>
          <w:r>
            <w:rPr>
              <w:b/>
              <w:bCs/>
              <w:sz w:val="20"/>
            </w:rPr>
            <w:t>CHS23/132</w:t>
          </w:r>
        </w:p>
      </w:tc>
      <w:tc>
        <w:tcPr>
          <w:tcW w:w="965" w:type="dxa"/>
        </w:tcPr>
        <w:p w14:paraId="08682A7E" w14:textId="5E1D349F" w:rsidR="001670BB" w:rsidRPr="00B3752F" w:rsidRDefault="00E0092E" w:rsidP="00B10F87">
          <w:pPr>
            <w:pStyle w:val="Footer"/>
            <w:rPr>
              <w:rFonts w:cs="Arial"/>
              <w:b/>
              <w:bCs/>
              <w:sz w:val="20"/>
            </w:rPr>
          </w:pPr>
          <w:r>
            <w:rPr>
              <w:rFonts w:cs="Arial"/>
              <w:b/>
              <w:bCs/>
              <w:sz w:val="20"/>
            </w:rPr>
            <w:t>1</w:t>
          </w:r>
        </w:p>
      </w:tc>
      <w:tc>
        <w:tcPr>
          <w:tcW w:w="1552" w:type="dxa"/>
        </w:tcPr>
        <w:p w14:paraId="08682A7F" w14:textId="19057FA7" w:rsidR="001670BB" w:rsidRPr="00B3752F" w:rsidRDefault="00E0092E" w:rsidP="00B10F87">
          <w:pPr>
            <w:pStyle w:val="Footer"/>
            <w:rPr>
              <w:rFonts w:cs="Arial"/>
              <w:b/>
              <w:bCs/>
              <w:sz w:val="20"/>
            </w:rPr>
          </w:pPr>
          <w:r>
            <w:rPr>
              <w:rFonts w:cs="Arial"/>
              <w:b/>
              <w:bCs/>
              <w:sz w:val="20"/>
            </w:rPr>
            <w:t>11/05/2023</w:t>
          </w:r>
        </w:p>
      </w:tc>
      <w:tc>
        <w:tcPr>
          <w:tcW w:w="1456" w:type="dxa"/>
        </w:tcPr>
        <w:p w14:paraId="08682A80" w14:textId="1D0D1B76" w:rsidR="001670BB" w:rsidRPr="00B3752F" w:rsidRDefault="00E0092E" w:rsidP="00470E63">
          <w:pPr>
            <w:pStyle w:val="Footer"/>
            <w:rPr>
              <w:rFonts w:cs="Arial"/>
              <w:b/>
              <w:bCs/>
              <w:sz w:val="20"/>
            </w:rPr>
          </w:pPr>
          <w:r>
            <w:rPr>
              <w:rFonts w:cs="Arial"/>
              <w:b/>
              <w:bCs/>
              <w:sz w:val="20"/>
            </w:rPr>
            <w:t>01/04/2026</w:t>
          </w:r>
        </w:p>
      </w:tc>
      <w:tc>
        <w:tcPr>
          <w:tcW w:w="1746" w:type="dxa"/>
        </w:tcPr>
        <w:p w14:paraId="08682A81" w14:textId="10B4C328" w:rsidR="001670BB" w:rsidRPr="00B3752F" w:rsidRDefault="00E0092E" w:rsidP="00B10F87">
          <w:pPr>
            <w:pStyle w:val="Footer"/>
            <w:rPr>
              <w:rFonts w:cs="Arial"/>
              <w:b/>
              <w:bCs/>
              <w:sz w:val="20"/>
            </w:rPr>
          </w:pPr>
          <w:r>
            <w:rPr>
              <w:rFonts w:cs="Arial"/>
              <w:b/>
              <w:bCs/>
              <w:sz w:val="20"/>
            </w:rPr>
            <w:t>Medicine - Renal</w:t>
          </w:r>
        </w:p>
      </w:tc>
      <w:tc>
        <w:tcPr>
          <w:tcW w:w="1836" w:type="dxa"/>
        </w:tcPr>
        <w:p w14:paraId="08682A82" w14:textId="77777777" w:rsidR="001670BB" w:rsidRPr="00B3752F" w:rsidRDefault="00A063FE" w:rsidP="00B10F87">
          <w:pPr>
            <w:pStyle w:val="Footer"/>
            <w:rPr>
              <w:sz w:val="20"/>
            </w:rPr>
          </w:pPr>
          <w:r w:rsidRPr="00B3752F">
            <w:rPr>
              <w:rStyle w:val="PageNumber"/>
              <w:sz w:val="20"/>
            </w:rPr>
            <w:fldChar w:fldCharType="begin"/>
          </w:r>
          <w:r w:rsidR="001670BB" w:rsidRPr="00B3752F">
            <w:rPr>
              <w:rStyle w:val="PageNumber"/>
              <w:sz w:val="20"/>
            </w:rPr>
            <w:instrText xml:space="preserve"> PAGE </w:instrText>
          </w:r>
          <w:r w:rsidRPr="00B3752F">
            <w:rPr>
              <w:rStyle w:val="PageNumber"/>
              <w:sz w:val="20"/>
            </w:rPr>
            <w:fldChar w:fldCharType="separate"/>
          </w:r>
          <w:r w:rsidR="00470E63">
            <w:rPr>
              <w:rStyle w:val="PageNumber"/>
              <w:noProof/>
              <w:sz w:val="20"/>
            </w:rPr>
            <w:t>5</w:t>
          </w:r>
          <w:r w:rsidRPr="00B3752F">
            <w:rPr>
              <w:rStyle w:val="PageNumber"/>
              <w:sz w:val="20"/>
            </w:rPr>
            <w:fldChar w:fldCharType="end"/>
          </w:r>
          <w:r w:rsidR="001670BB" w:rsidRPr="00B3752F">
            <w:rPr>
              <w:rStyle w:val="PageNumber"/>
              <w:sz w:val="20"/>
            </w:rPr>
            <w:t xml:space="preserve"> of </w:t>
          </w:r>
          <w:r w:rsidRPr="00B3752F">
            <w:rPr>
              <w:rStyle w:val="PageNumber"/>
              <w:sz w:val="20"/>
            </w:rPr>
            <w:fldChar w:fldCharType="begin"/>
          </w:r>
          <w:r w:rsidR="001670BB" w:rsidRPr="00B3752F">
            <w:rPr>
              <w:rStyle w:val="PageNumber"/>
              <w:sz w:val="20"/>
            </w:rPr>
            <w:instrText xml:space="preserve"> NUMPAGES </w:instrText>
          </w:r>
          <w:r w:rsidRPr="00B3752F">
            <w:rPr>
              <w:rStyle w:val="PageNumber"/>
              <w:sz w:val="20"/>
            </w:rPr>
            <w:fldChar w:fldCharType="separate"/>
          </w:r>
          <w:r w:rsidR="00470E63">
            <w:rPr>
              <w:rStyle w:val="PageNumber"/>
              <w:noProof/>
              <w:sz w:val="20"/>
            </w:rPr>
            <w:t>5</w:t>
          </w:r>
          <w:r w:rsidRPr="00B3752F">
            <w:rPr>
              <w:rStyle w:val="PageNumber"/>
              <w:sz w:val="20"/>
            </w:rPr>
            <w:fldChar w:fldCharType="end"/>
          </w:r>
        </w:p>
      </w:tc>
    </w:tr>
    <w:tr w:rsidR="008E7509" w14:paraId="274E5098"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81E8E84" w14:textId="208943B0" w:rsidR="008E7509" w:rsidRPr="002C1428" w:rsidRDefault="008E7509" w:rsidP="008E7509">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205AF9">
            <w:rPr>
              <w:sz w:val="16"/>
              <w:szCs w:val="16"/>
            </w:rPr>
            <w:t>CHS</w:t>
          </w:r>
          <w:r w:rsidRPr="002C1428">
            <w:rPr>
              <w:sz w:val="16"/>
              <w:szCs w:val="16"/>
            </w:rPr>
            <w:t xml:space="preserve"> Policy Register</w:t>
          </w:r>
        </w:p>
      </w:tc>
    </w:tr>
  </w:tbl>
  <w:p w14:paraId="08682A85" w14:textId="0FDE7BBC" w:rsidR="001670BB" w:rsidRPr="00AE7C5C" w:rsidRDefault="001670BB" w:rsidP="00470E63">
    <w:pPr>
      <w:pStyle w:val="Footer"/>
      <w:tabs>
        <w:tab w:val="clear" w:pos="4153"/>
        <w:tab w:val="clear" w:pos="8306"/>
        <w:tab w:val="left" w:pos="142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528B1" w14:textId="77777777" w:rsidR="009B77E3" w:rsidRDefault="009B77E3" w:rsidP="00F66CB0">
      <w:r>
        <w:separator/>
      </w:r>
    </w:p>
  </w:footnote>
  <w:footnote w:type="continuationSeparator" w:id="0">
    <w:p w14:paraId="6730CD61" w14:textId="77777777" w:rsidR="009B77E3" w:rsidRDefault="009B77E3" w:rsidP="00F66CB0">
      <w:r>
        <w:continuationSeparator/>
      </w:r>
    </w:p>
  </w:footnote>
  <w:footnote w:type="continuationNotice" w:id="1">
    <w:p w14:paraId="06196906" w14:textId="77777777" w:rsidR="009B77E3" w:rsidRDefault="009B77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A939DF" w14:paraId="60F17A8F" w14:textId="77777777" w:rsidTr="00894713">
      <w:trPr>
        <w:trHeight w:val="1418"/>
      </w:trPr>
      <w:tc>
        <w:tcPr>
          <w:tcW w:w="5556" w:type="dxa"/>
          <w:vAlign w:val="center"/>
          <w:hideMark/>
        </w:tcPr>
        <w:p w14:paraId="4A5666D5" w14:textId="77777777" w:rsidR="00A939DF" w:rsidRDefault="00A939DF" w:rsidP="00A939DF">
          <w:pPr>
            <w:pStyle w:val="Header"/>
            <w:rPr>
              <w:sz w:val="20"/>
            </w:rPr>
          </w:pPr>
          <w:r>
            <w:rPr>
              <w:noProof/>
              <w:sz w:val="20"/>
            </w:rPr>
            <w:drawing>
              <wp:inline distT="0" distB="0" distL="0" distR="0" wp14:anchorId="2AF797D7" wp14:editId="7788EF6A">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6FB3D4A4" w14:textId="719014A2" w:rsidR="00A939DF" w:rsidRDefault="00A939DF" w:rsidP="00A939DF">
          <w:pPr>
            <w:pStyle w:val="Header"/>
            <w:tabs>
              <w:tab w:val="left" w:pos="720"/>
            </w:tabs>
            <w:jc w:val="right"/>
            <w:rPr>
              <w:sz w:val="20"/>
            </w:rPr>
          </w:pPr>
          <w:bookmarkStart w:id="44" w:name="_top"/>
          <w:bookmarkEnd w:id="44"/>
          <w:r>
            <w:rPr>
              <w:sz w:val="20"/>
            </w:rPr>
            <w:t>CHS</w:t>
          </w:r>
          <w:r w:rsidR="00E0092E">
            <w:rPr>
              <w:sz w:val="20"/>
            </w:rPr>
            <w:t>23/132</w:t>
          </w:r>
        </w:p>
      </w:tc>
    </w:tr>
  </w:tbl>
  <w:p w14:paraId="08682A75" w14:textId="77777777" w:rsidR="001670BB" w:rsidRPr="00FC3538" w:rsidRDefault="001670BB">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F0A03A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3" w15:restartNumberingAfterBreak="0">
    <w:nsid w:val="10AC3714"/>
    <w:multiLevelType w:val="hybridMultilevel"/>
    <w:tmpl w:val="8DCA0690"/>
    <w:lvl w:ilvl="0" w:tplc="A0AA2072">
      <w:start w:val="1"/>
      <w:numFmt w:val="decimal"/>
      <w:lvlText w:val="%1."/>
      <w:lvlJc w:val="left"/>
      <w:pPr>
        <w:ind w:left="1571" w:hanging="360"/>
      </w:pPr>
      <w:rPr>
        <w:rFonts w:ascii="Calibri" w:hAnsi="Calibri" w:hint="default"/>
        <w:b w:val="0"/>
        <w:i w:val="0"/>
        <w:sz w:val="24"/>
      </w:rPr>
    </w:lvl>
    <w:lvl w:ilvl="1" w:tplc="0C090019" w:tentative="1">
      <w:start w:val="1"/>
      <w:numFmt w:val="lowerLetter"/>
      <w:lvlText w:val="%2."/>
      <w:lvlJc w:val="left"/>
      <w:pPr>
        <w:ind w:left="2291" w:hanging="360"/>
      </w:pPr>
    </w:lvl>
    <w:lvl w:ilvl="2" w:tplc="0C09001B" w:tentative="1">
      <w:start w:val="1"/>
      <w:numFmt w:val="lowerRoman"/>
      <w:lvlText w:val="%3."/>
      <w:lvlJc w:val="right"/>
      <w:pPr>
        <w:ind w:left="3011" w:hanging="180"/>
      </w:pPr>
    </w:lvl>
    <w:lvl w:ilvl="3" w:tplc="0C09000F" w:tentative="1">
      <w:start w:val="1"/>
      <w:numFmt w:val="decimal"/>
      <w:lvlText w:val="%4."/>
      <w:lvlJc w:val="left"/>
      <w:pPr>
        <w:ind w:left="3731" w:hanging="360"/>
      </w:pPr>
    </w:lvl>
    <w:lvl w:ilvl="4" w:tplc="0C090019" w:tentative="1">
      <w:start w:val="1"/>
      <w:numFmt w:val="lowerLetter"/>
      <w:lvlText w:val="%5."/>
      <w:lvlJc w:val="left"/>
      <w:pPr>
        <w:ind w:left="4451" w:hanging="360"/>
      </w:pPr>
    </w:lvl>
    <w:lvl w:ilvl="5" w:tplc="0C09001B" w:tentative="1">
      <w:start w:val="1"/>
      <w:numFmt w:val="lowerRoman"/>
      <w:lvlText w:val="%6."/>
      <w:lvlJc w:val="right"/>
      <w:pPr>
        <w:ind w:left="5171" w:hanging="180"/>
      </w:pPr>
    </w:lvl>
    <w:lvl w:ilvl="6" w:tplc="0C09000F" w:tentative="1">
      <w:start w:val="1"/>
      <w:numFmt w:val="decimal"/>
      <w:lvlText w:val="%7."/>
      <w:lvlJc w:val="left"/>
      <w:pPr>
        <w:ind w:left="5891" w:hanging="360"/>
      </w:pPr>
    </w:lvl>
    <w:lvl w:ilvl="7" w:tplc="0C090019" w:tentative="1">
      <w:start w:val="1"/>
      <w:numFmt w:val="lowerLetter"/>
      <w:lvlText w:val="%8."/>
      <w:lvlJc w:val="left"/>
      <w:pPr>
        <w:ind w:left="6611" w:hanging="360"/>
      </w:pPr>
    </w:lvl>
    <w:lvl w:ilvl="8" w:tplc="0C09001B" w:tentative="1">
      <w:start w:val="1"/>
      <w:numFmt w:val="lowerRoman"/>
      <w:lvlText w:val="%9."/>
      <w:lvlJc w:val="right"/>
      <w:pPr>
        <w:ind w:left="7331" w:hanging="180"/>
      </w:pPr>
    </w:lvl>
  </w:abstractNum>
  <w:abstractNum w:abstractNumId="4"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6"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B495B28"/>
    <w:multiLevelType w:val="hybridMultilevel"/>
    <w:tmpl w:val="DFD4605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8" w15:restartNumberingAfterBreak="0">
    <w:nsid w:val="47787ADA"/>
    <w:multiLevelType w:val="hybridMultilevel"/>
    <w:tmpl w:val="887EB6E2"/>
    <w:lvl w:ilvl="0" w:tplc="A7642010">
      <w:start w:val="1"/>
      <w:numFmt w:val="bullet"/>
      <w:lvlText w:val="o"/>
      <w:lvlJc w:val="left"/>
      <w:pPr>
        <w:ind w:left="2880" w:hanging="360"/>
      </w:pPr>
      <w:rPr>
        <w:rFonts w:ascii="Courier New" w:hAnsi="Courier New" w:cs="Courier New" w:hint="default"/>
        <w:color w:val="auto"/>
      </w:rPr>
    </w:lvl>
    <w:lvl w:ilvl="1" w:tplc="0C090003">
      <w:start w:val="1"/>
      <w:numFmt w:val="bullet"/>
      <w:lvlText w:val="o"/>
      <w:lvlJc w:val="left"/>
      <w:pPr>
        <w:ind w:left="3600" w:hanging="360"/>
      </w:pPr>
      <w:rPr>
        <w:rFonts w:ascii="Courier New" w:hAnsi="Courier New" w:cs="Courier New" w:hint="default"/>
      </w:rPr>
    </w:lvl>
    <w:lvl w:ilvl="2" w:tplc="0C090005">
      <w:start w:val="1"/>
      <w:numFmt w:val="bullet"/>
      <w:lvlText w:val=""/>
      <w:lvlJc w:val="left"/>
      <w:pPr>
        <w:ind w:left="4320" w:hanging="360"/>
      </w:pPr>
      <w:rPr>
        <w:rFonts w:ascii="Wingdings" w:hAnsi="Wingdings" w:hint="default"/>
      </w:rPr>
    </w:lvl>
    <w:lvl w:ilvl="3" w:tplc="0C090001">
      <w:start w:val="1"/>
      <w:numFmt w:val="bullet"/>
      <w:lvlText w:val=""/>
      <w:lvlJc w:val="left"/>
      <w:pPr>
        <w:ind w:left="5040" w:hanging="360"/>
      </w:pPr>
      <w:rPr>
        <w:rFonts w:ascii="Symbol" w:hAnsi="Symbol" w:hint="default"/>
      </w:rPr>
    </w:lvl>
    <w:lvl w:ilvl="4" w:tplc="0C090003">
      <w:start w:val="1"/>
      <w:numFmt w:val="bullet"/>
      <w:lvlText w:val="o"/>
      <w:lvlJc w:val="left"/>
      <w:pPr>
        <w:ind w:left="5760" w:hanging="360"/>
      </w:pPr>
      <w:rPr>
        <w:rFonts w:ascii="Courier New" w:hAnsi="Courier New" w:cs="Courier New" w:hint="default"/>
      </w:rPr>
    </w:lvl>
    <w:lvl w:ilvl="5" w:tplc="0C090005">
      <w:start w:val="1"/>
      <w:numFmt w:val="bullet"/>
      <w:lvlText w:val=""/>
      <w:lvlJc w:val="left"/>
      <w:pPr>
        <w:ind w:left="6480" w:hanging="360"/>
      </w:pPr>
      <w:rPr>
        <w:rFonts w:ascii="Wingdings" w:hAnsi="Wingdings" w:hint="default"/>
      </w:rPr>
    </w:lvl>
    <w:lvl w:ilvl="6" w:tplc="0C090001">
      <w:start w:val="1"/>
      <w:numFmt w:val="bullet"/>
      <w:lvlText w:val=""/>
      <w:lvlJc w:val="left"/>
      <w:pPr>
        <w:ind w:left="7200" w:hanging="360"/>
      </w:pPr>
      <w:rPr>
        <w:rFonts w:ascii="Symbol" w:hAnsi="Symbol" w:hint="default"/>
      </w:rPr>
    </w:lvl>
    <w:lvl w:ilvl="7" w:tplc="0C090003">
      <w:start w:val="1"/>
      <w:numFmt w:val="bullet"/>
      <w:lvlText w:val="o"/>
      <w:lvlJc w:val="left"/>
      <w:pPr>
        <w:ind w:left="7920" w:hanging="360"/>
      </w:pPr>
      <w:rPr>
        <w:rFonts w:ascii="Courier New" w:hAnsi="Courier New" w:cs="Courier New" w:hint="default"/>
      </w:rPr>
    </w:lvl>
    <w:lvl w:ilvl="8" w:tplc="0C090005">
      <w:start w:val="1"/>
      <w:numFmt w:val="bullet"/>
      <w:lvlText w:val=""/>
      <w:lvlJc w:val="left"/>
      <w:pPr>
        <w:ind w:left="8640" w:hanging="360"/>
      </w:pPr>
      <w:rPr>
        <w:rFonts w:ascii="Wingdings" w:hAnsi="Wingdings" w:hint="default"/>
      </w:rPr>
    </w:lvl>
  </w:abstractNum>
  <w:abstractNum w:abstractNumId="9"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492A228E"/>
    <w:multiLevelType w:val="hybridMultilevel"/>
    <w:tmpl w:val="78F257C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12" w15:restartNumberingAfterBreak="0">
    <w:nsid w:val="5FB01EBB"/>
    <w:multiLevelType w:val="hybridMultilevel"/>
    <w:tmpl w:val="88BC3BF0"/>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13" w15:restartNumberingAfterBreak="0">
    <w:nsid w:val="72F31392"/>
    <w:multiLevelType w:val="hybridMultilevel"/>
    <w:tmpl w:val="3B7EB318"/>
    <w:lvl w:ilvl="0" w:tplc="5448E4E0">
      <w:start w:val="1"/>
      <w:numFmt w:val="bullet"/>
      <w:lvlText w:val="o"/>
      <w:lvlJc w:val="left"/>
      <w:pPr>
        <w:ind w:left="1080" w:hanging="360"/>
      </w:pPr>
      <w:rPr>
        <w:rFonts w:ascii="Courier New" w:hAnsi="Courier New" w:cs="Courier New" w:hint="default"/>
        <w:color w:val="auto"/>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14" w15:restartNumberingAfterBreak="0">
    <w:nsid w:val="79837006"/>
    <w:multiLevelType w:val="hybridMultilevel"/>
    <w:tmpl w:val="EDB6E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7F703DAE"/>
    <w:multiLevelType w:val="hybridMultilevel"/>
    <w:tmpl w:val="0FB6FCD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num w:numId="1" w16cid:durableId="283535629">
    <w:abstractNumId w:val="0"/>
  </w:num>
  <w:num w:numId="2" w16cid:durableId="2134712197">
    <w:abstractNumId w:val="2"/>
  </w:num>
  <w:num w:numId="3" w16cid:durableId="498931319">
    <w:abstractNumId w:val="14"/>
  </w:num>
  <w:num w:numId="4" w16cid:durableId="1771655902">
    <w:abstractNumId w:val="4"/>
  </w:num>
  <w:num w:numId="5" w16cid:durableId="1992521325">
    <w:abstractNumId w:val="6"/>
  </w:num>
  <w:num w:numId="6" w16cid:durableId="1353188328">
    <w:abstractNumId w:val="3"/>
  </w:num>
  <w:num w:numId="7" w16cid:durableId="1787196351">
    <w:abstractNumId w:val="15"/>
  </w:num>
  <w:num w:numId="8" w16cid:durableId="1446922852">
    <w:abstractNumId w:val="11"/>
  </w:num>
  <w:num w:numId="9" w16cid:durableId="230697382">
    <w:abstractNumId w:val="9"/>
  </w:num>
  <w:num w:numId="10" w16cid:durableId="698508287">
    <w:abstractNumId w:val="9"/>
  </w:num>
  <w:num w:numId="11" w16cid:durableId="1181167731">
    <w:abstractNumId w:val="1"/>
  </w:num>
  <w:num w:numId="12" w16cid:durableId="213858292">
    <w:abstractNumId w:val="5"/>
  </w:num>
  <w:num w:numId="13" w16cid:durableId="1363702275">
    <w:abstractNumId w:val="0"/>
  </w:num>
  <w:num w:numId="14" w16cid:durableId="1551260321">
    <w:abstractNumId w:val="8"/>
  </w:num>
  <w:num w:numId="15" w16cid:durableId="1031222817">
    <w:abstractNumId w:val="13"/>
  </w:num>
  <w:num w:numId="16" w16cid:durableId="510223424">
    <w:abstractNumId w:val="12"/>
  </w:num>
  <w:num w:numId="17" w16cid:durableId="304284911">
    <w:abstractNumId w:val="16"/>
  </w:num>
  <w:num w:numId="18" w16cid:durableId="1224872954">
    <w:abstractNumId w:val="10"/>
  </w:num>
  <w:num w:numId="19" w16cid:durableId="8721582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01720"/>
    <w:rsid w:val="00010E74"/>
    <w:rsid w:val="000121C3"/>
    <w:rsid w:val="00015B90"/>
    <w:rsid w:val="0001607A"/>
    <w:rsid w:val="00051631"/>
    <w:rsid w:val="000728F3"/>
    <w:rsid w:val="00076F48"/>
    <w:rsid w:val="000A3D5E"/>
    <w:rsid w:val="000B5C8C"/>
    <w:rsid w:val="000C19A5"/>
    <w:rsid w:val="000C59E2"/>
    <w:rsid w:val="000C7B2D"/>
    <w:rsid w:val="000D2B33"/>
    <w:rsid w:val="000E5F3E"/>
    <w:rsid w:val="000F7B7E"/>
    <w:rsid w:val="0010015B"/>
    <w:rsid w:val="00102700"/>
    <w:rsid w:val="00103EEA"/>
    <w:rsid w:val="00124B0D"/>
    <w:rsid w:val="00127505"/>
    <w:rsid w:val="00153FB3"/>
    <w:rsid w:val="00163AFA"/>
    <w:rsid w:val="001670BB"/>
    <w:rsid w:val="00175388"/>
    <w:rsid w:val="0018239D"/>
    <w:rsid w:val="00187045"/>
    <w:rsid w:val="00191109"/>
    <w:rsid w:val="001A0053"/>
    <w:rsid w:val="001B2465"/>
    <w:rsid w:val="001C0987"/>
    <w:rsid w:val="001D24FD"/>
    <w:rsid w:val="001E64DB"/>
    <w:rsid w:val="001F2829"/>
    <w:rsid w:val="001F2C50"/>
    <w:rsid w:val="001F6D2D"/>
    <w:rsid w:val="00205AF9"/>
    <w:rsid w:val="002247D0"/>
    <w:rsid w:val="0022515F"/>
    <w:rsid w:val="00240B97"/>
    <w:rsid w:val="0025382D"/>
    <w:rsid w:val="00253F5A"/>
    <w:rsid w:val="00263BA6"/>
    <w:rsid w:val="0026478B"/>
    <w:rsid w:val="00266379"/>
    <w:rsid w:val="0026690C"/>
    <w:rsid w:val="0027264D"/>
    <w:rsid w:val="00293E43"/>
    <w:rsid w:val="002A2407"/>
    <w:rsid w:val="002B478A"/>
    <w:rsid w:val="002B5F43"/>
    <w:rsid w:val="002C05A8"/>
    <w:rsid w:val="002D4EA4"/>
    <w:rsid w:val="002E7229"/>
    <w:rsid w:val="002F7AFC"/>
    <w:rsid w:val="003108F9"/>
    <w:rsid w:val="00313707"/>
    <w:rsid w:val="00325FD0"/>
    <w:rsid w:val="003674AE"/>
    <w:rsid w:val="003720F6"/>
    <w:rsid w:val="00376A6D"/>
    <w:rsid w:val="003809BF"/>
    <w:rsid w:val="00380B98"/>
    <w:rsid w:val="00393139"/>
    <w:rsid w:val="00396023"/>
    <w:rsid w:val="00396F11"/>
    <w:rsid w:val="003A5848"/>
    <w:rsid w:val="003B1BF8"/>
    <w:rsid w:val="003C4BB5"/>
    <w:rsid w:val="003D2991"/>
    <w:rsid w:val="003E167B"/>
    <w:rsid w:val="003E4CC0"/>
    <w:rsid w:val="003F1A8F"/>
    <w:rsid w:val="003F3D8F"/>
    <w:rsid w:val="00412CED"/>
    <w:rsid w:val="00427139"/>
    <w:rsid w:val="004273FA"/>
    <w:rsid w:val="004358E9"/>
    <w:rsid w:val="00447B55"/>
    <w:rsid w:val="00465C91"/>
    <w:rsid w:val="00470E63"/>
    <w:rsid w:val="00472463"/>
    <w:rsid w:val="004857FC"/>
    <w:rsid w:val="00487DD5"/>
    <w:rsid w:val="00497447"/>
    <w:rsid w:val="004A2E02"/>
    <w:rsid w:val="004A526A"/>
    <w:rsid w:val="004A6A76"/>
    <w:rsid w:val="004B7C43"/>
    <w:rsid w:val="004C2B20"/>
    <w:rsid w:val="004D6D34"/>
    <w:rsid w:val="004E0FC3"/>
    <w:rsid w:val="004E28AD"/>
    <w:rsid w:val="004E50A2"/>
    <w:rsid w:val="004E5528"/>
    <w:rsid w:val="004F1D05"/>
    <w:rsid w:val="0050147B"/>
    <w:rsid w:val="00503F75"/>
    <w:rsid w:val="0050527E"/>
    <w:rsid w:val="00516FFD"/>
    <w:rsid w:val="0052443C"/>
    <w:rsid w:val="00526DFF"/>
    <w:rsid w:val="0052775E"/>
    <w:rsid w:val="00532967"/>
    <w:rsid w:val="00542514"/>
    <w:rsid w:val="00546AED"/>
    <w:rsid w:val="00551D47"/>
    <w:rsid w:val="0055686C"/>
    <w:rsid w:val="005621E4"/>
    <w:rsid w:val="00570C43"/>
    <w:rsid w:val="005736DB"/>
    <w:rsid w:val="005743AC"/>
    <w:rsid w:val="005852E6"/>
    <w:rsid w:val="005871CD"/>
    <w:rsid w:val="00596FD7"/>
    <w:rsid w:val="005A0DD5"/>
    <w:rsid w:val="005A3625"/>
    <w:rsid w:val="005B4738"/>
    <w:rsid w:val="005C212D"/>
    <w:rsid w:val="005C3CB0"/>
    <w:rsid w:val="005D5AFE"/>
    <w:rsid w:val="00612231"/>
    <w:rsid w:val="00614380"/>
    <w:rsid w:val="00621C39"/>
    <w:rsid w:val="006277B2"/>
    <w:rsid w:val="00633C8D"/>
    <w:rsid w:val="00635EB1"/>
    <w:rsid w:val="006444F7"/>
    <w:rsid w:val="006473BB"/>
    <w:rsid w:val="0065246A"/>
    <w:rsid w:val="00660583"/>
    <w:rsid w:val="00663C1D"/>
    <w:rsid w:val="0066495D"/>
    <w:rsid w:val="006743DB"/>
    <w:rsid w:val="00685A59"/>
    <w:rsid w:val="00687368"/>
    <w:rsid w:val="00695EB6"/>
    <w:rsid w:val="006A09F2"/>
    <w:rsid w:val="006A4D46"/>
    <w:rsid w:val="006A6024"/>
    <w:rsid w:val="006C0C25"/>
    <w:rsid w:val="006C31FF"/>
    <w:rsid w:val="006C6B6C"/>
    <w:rsid w:val="006C704D"/>
    <w:rsid w:val="006F246D"/>
    <w:rsid w:val="006F41D7"/>
    <w:rsid w:val="0070331D"/>
    <w:rsid w:val="00705117"/>
    <w:rsid w:val="00734609"/>
    <w:rsid w:val="00741B43"/>
    <w:rsid w:val="00743643"/>
    <w:rsid w:val="00747626"/>
    <w:rsid w:val="00752315"/>
    <w:rsid w:val="00756537"/>
    <w:rsid w:val="00757355"/>
    <w:rsid w:val="00775280"/>
    <w:rsid w:val="007A0EBC"/>
    <w:rsid w:val="007A1289"/>
    <w:rsid w:val="007B4ABB"/>
    <w:rsid w:val="007B6904"/>
    <w:rsid w:val="007B6923"/>
    <w:rsid w:val="007C0544"/>
    <w:rsid w:val="007D1C3F"/>
    <w:rsid w:val="00814C70"/>
    <w:rsid w:val="00816782"/>
    <w:rsid w:val="0082141D"/>
    <w:rsid w:val="00827F24"/>
    <w:rsid w:val="00855DA8"/>
    <w:rsid w:val="00865480"/>
    <w:rsid w:val="00871FDD"/>
    <w:rsid w:val="008732E4"/>
    <w:rsid w:val="00886399"/>
    <w:rsid w:val="008974CA"/>
    <w:rsid w:val="008D0CBA"/>
    <w:rsid w:val="008E033B"/>
    <w:rsid w:val="008E1F7F"/>
    <w:rsid w:val="008E3427"/>
    <w:rsid w:val="008E74FD"/>
    <w:rsid w:val="008E7509"/>
    <w:rsid w:val="008F00E8"/>
    <w:rsid w:val="008F07A3"/>
    <w:rsid w:val="008F4EC6"/>
    <w:rsid w:val="008F6921"/>
    <w:rsid w:val="0092509B"/>
    <w:rsid w:val="00933EED"/>
    <w:rsid w:val="00940CDE"/>
    <w:rsid w:val="009713FD"/>
    <w:rsid w:val="0097742A"/>
    <w:rsid w:val="00980AE7"/>
    <w:rsid w:val="00980EED"/>
    <w:rsid w:val="0098193B"/>
    <w:rsid w:val="0098312B"/>
    <w:rsid w:val="0098579F"/>
    <w:rsid w:val="00991670"/>
    <w:rsid w:val="009A4DB7"/>
    <w:rsid w:val="009A534C"/>
    <w:rsid w:val="009B0E44"/>
    <w:rsid w:val="009B4A8F"/>
    <w:rsid w:val="009B6C8C"/>
    <w:rsid w:val="009B6F42"/>
    <w:rsid w:val="009B77E3"/>
    <w:rsid w:val="009C0FCA"/>
    <w:rsid w:val="009C3963"/>
    <w:rsid w:val="009C3B30"/>
    <w:rsid w:val="009D323C"/>
    <w:rsid w:val="00A02F0D"/>
    <w:rsid w:val="00A063FE"/>
    <w:rsid w:val="00A10994"/>
    <w:rsid w:val="00A13087"/>
    <w:rsid w:val="00A3469C"/>
    <w:rsid w:val="00A350E5"/>
    <w:rsid w:val="00A35E2D"/>
    <w:rsid w:val="00A62531"/>
    <w:rsid w:val="00A674CC"/>
    <w:rsid w:val="00A74B8A"/>
    <w:rsid w:val="00A74C0B"/>
    <w:rsid w:val="00A75116"/>
    <w:rsid w:val="00A837BD"/>
    <w:rsid w:val="00A85F61"/>
    <w:rsid w:val="00A86A9D"/>
    <w:rsid w:val="00A86DB3"/>
    <w:rsid w:val="00A939DF"/>
    <w:rsid w:val="00AA25DC"/>
    <w:rsid w:val="00AA60D4"/>
    <w:rsid w:val="00AA7E14"/>
    <w:rsid w:val="00B056CD"/>
    <w:rsid w:val="00B10F87"/>
    <w:rsid w:val="00B11471"/>
    <w:rsid w:val="00B17115"/>
    <w:rsid w:val="00B21043"/>
    <w:rsid w:val="00B30DA2"/>
    <w:rsid w:val="00B44CAC"/>
    <w:rsid w:val="00B453FC"/>
    <w:rsid w:val="00B573D6"/>
    <w:rsid w:val="00B61F35"/>
    <w:rsid w:val="00B634F1"/>
    <w:rsid w:val="00B70451"/>
    <w:rsid w:val="00B81455"/>
    <w:rsid w:val="00B91F18"/>
    <w:rsid w:val="00B9627F"/>
    <w:rsid w:val="00BA0A1B"/>
    <w:rsid w:val="00BA2415"/>
    <w:rsid w:val="00BA43CE"/>
    <w:rsid w:val="00BA4F95"/>
    <w:rsid w:val="00BA5B60"/>
    <w:rsid w:val="00BB33F9"/>
    <w:rsid w:val="00BC3CE6"/>
    <w:rsid w:val="00BD03DB"/>
    <w:rsid w:val="00BE1756"/>
    <w:rsid w:val="00BE5E41"/>
    <w:rsid w:val="00C13D33"/>
    <w:rsid w:val="00C24EDC"/>
    <w:rsid w:val="00C25A76"/>
    <w:rsid w:val="00C31BD5"/>
    <w:rsid w:val="00C32206"/>
    <w:rsid w:val="00C42092"/>
    <w:rsid w:val="00C44E2D"/>
    <w:rsid w:val="00C45B40"/>
    <w:rsid w:val="00C45C67"/>
    <w:rsid w:val="00C51557"/>
    <w:rsid w:val="00C523FF"/>
    <w:rsid w:val="00C532D4"/>
    <w:rsid w:val="00C606F3"/>
    <w:rsid w:val="00C71C3C"/>
    <w:rsid w:val="00C81EFB"/>
    <w:rsid w:val="00C9490E"/>
    <w:rsid w:val="00CA02F7"/>
    <w:rsid w:val="00CA593D"/>
    <w:rsid w:val="00CB0969"/>
    <w:rsid w:val="00CC2BF6"/>
    <w:rsid w:val="00CD1055"/>
    <w:rsid w:val="00CE2914"/>
    <w:rsid w:val="00CF4563"/>
    <w:rsid w:val="00D006EF"/>
    <w:rsid w:val="00D06786"/>
    <w:rsid w:val="00D1105A"/>
    <w:rsid w:val="00D16211"/>
    <w:rsid w:val="00D21780"/>
    <w:rsid w:val="00D23346"/>
    <w:rsid w:val="00D243B8"/>
    <w:rsid w:val="00D276C0"/>
    <w:rsid w:val="00D34794"/>
    <w:rsid w:val="00D3509E"/>
    <w:rsid w:val="00D42B85"/>
    <w:rsid w:val="00D4502D"/>
    <w:rsid w:val="00D530CE"/>
    <w:rsid w:val="00D53E3C"/>
    <w:rsid w:val="00D54ED5"/>
    <w:rsid w:val="00D659F7"/>
    <w:rsid w:val="00D7517E"/>
    <w:rsid w:val="00D77950"/>
    <w:rsid w:val="00D8182C"/>
    <w:rsid w:val="00D87A64"/>
    <w:rsid w:val="00DC3762"/>
    <w:rsid w:val="00DC59DF"/>
    <w:rsid w:val="00DC739E"/>
    <w:rsid w:val="00DD0346"/>
    <w:rsid w:val="00DD616A"/>
    <w:rsid w:val="00DE0465"/>
    <w:rsid w:val="00DF00D7"/>
    <w:rsid w:val="00DF2BC1"/>
    <w:rsid w:val="00E0092E"/>
    <w:rsid w:val="00E049ED"/>
    <w:rsid w:val="00E131C1"/>
    <w:rsid w:val="00E25D90"/>
    <w:rsid w:val="00E33BFB"/>
    <w:rsid w:val="00E34E6D"/>
    <w:rsid w:val="00E37CD4"/>
    <w:rsid w:val="00E41A47"/>
    <w:rsid w:val="00E53B9C"/>
    <w:rsid w:val="00E53C89"/>
    <w:rsid w:val="00E57848"/>
    <w:rsid w:val="00E94038"/>
    <w:rsid w:val="00EA1A1E"/>
    <w:rsid w:val="00EB7791"/>
    <w:rsid w:val="00EC48C7"/>
    <w:rsid w:val="00ED21C3"/>
    <w:rsid w:val="00ED388C"/>
    <w:rsid w:val="00EF02B0"/>
    <w:rsid w:val="00F01B61"/>
    <w:rsid w:val="00F13DD8"/>
    <w:rsid w:val="00F149FD"/>
    <w:rsid w:val="00F307CE"/>
    <w:rsid w:val="00F4262F"/>
    <w:rsid w:val="00F53719"/>
    <w:rsid w:val="00F565DA"/>
    <w:rsid w:val="00F5717B"/>
    <w:rsid w:val="00F57291"/>
    <w:rsid w:val="00F66CB0"/>
    <w:rsid w:val="00F6791A"/>
    <w:rsid w:val="00F72D0E"/>
    <w:rsid w:val="00F76C89"/>
    <w:rsid w:val="00F83FBF"/>
    <w:rsid w:val="00F95EF4"/>
    <w:rsid w:val="00FA29B8"/>
    <w:rsid w:val="00FB54E9"/>
    <w:rsid w:val="00FC1985"/>
    <w:rsid w:val="00FD3D92"/>
    <w:rsid w:val="00FF389E"/>
    <w:rsid w:val="00FF3D6A"/>
    <w:rsid w:val="00FF5538"/>
    <w:rsid w:val="00FF56DD"/>
    <w:rsid w:val="1D2C03ED"/>
    <w:rsid w:val="2C2C644C"/>
    <w:rsid w:val="2CADF6A7"/>
    <w:rsid w:val="4B4DDC0B"/>
    <w:rsid w:val="54C0415F"/>
    <w:rsid w:val="5D95540B"/>
    <w:rsid w:val="70EC54D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829D0"/>
  <w15:docId w15:val="{7C59962F-F2E2-4E7A-8675-E3BE3607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5743A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pPr>
      <w:numPr>
        <w:numId w:val="13"/>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D7517E"/>
    <w:rPr>
      <w:sz w:val="16"/>
      <w:szCs w:val="16"/>
    </w:rPr>
  </w:style>
  <w:style w:type="paragraph" w:styleId="CommentText">
    <w:name w:val="annotation text"/>
    <w:basedOn w:val="Normal"/>
    <w:link w:val="CommentTextChar"/>
    <w:uiPriority w:val="99"/>
    <w:unhideWhenUsed/>
    <w:rsid w:val="00D7517E"/>
    <w:rPr>
      <w:sz w:val="20"/>
    </w:rPr>
  </w:style>
  <w:style w:type="character" w:customStyle="1" w:styleId="CommentTextChar">
    <w:name w:val="Comment Text Char"/>
    <w:basedOn w:val="DefaultParagraphFont"/>
    <w:link w:val="CommentText"/>
    <w:uiPriority w:val="99"/>
    <w:rsid w:val="00D7517E"/>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7517E"/>
    <w:rPr>
      <w:b/>
      <w:bCs/>
    </w:rPr>
  </w:style>
  <w:style w:type="character" w:customStyle="1" w:styleId="CommentSubjectChar">
    <w:name w:val="Comment Subject Char"/>
    <w:basedOn w:val="CommentTextChar"/>
    <w:link w:val="CommentSubject"/>
    <w:uiPriority w:val="99"/>
    <w:semiHidden/>
    <w:rsid w:val="00D7517E"/>
    <w:rPr>
      <w:rFonts w:ascii="Calibri" w:eastAsia="Times New Roman" w:hAnsi="Calibri" w:cs="Times New Roman"/>
      <w:b/>
      <w:bCs/>
      <w:sz w:val="20"/>
      <w:szCs w:val="20"/>
    </w:rPr>
  </w:style>
  <w:style w:type="character" w:customStyle="1" w:styleId="Heading3Char">
    <w:name w:val="Heading 3 Char"/>
    <w:basedOn w:val="DefaultParagraphFont"/>
    <w:link w:val="Heading3"/>
    <w:uiPriority w:val="9"/>
    <w:semiHidden/>
    <w:rsid w:val="005743AC"/>
    <w:rPr>
      <w:rFonts w:asciiTheme="majorHAnsi" w:eastAsiaTheme="majorEastAsia" w:hAnsiTheme="majorHAnsi" w:cstheme="majorBidi"/>
      <w:b/>
      <w:bCs/>
      <w:color w:val="4F81BD" w:themeColor="accent1"/>
      <w:sz w:val="24"/>
      <w:szCs w:val="20"/>
    </w:rPr>
  </w:style>
  <w:style w:type="character" w:styleId="UnresolvedMention">
    <w:name w:val="Unresolved Mention"/>
    <w:basedOn w:val="DefaultParagraphFont"/>
    <w:uiPriority w:val="99"/>
    <w:semiHidden/>
    <w:unhideWhenUsed/>
    <w:rsid w:val="002B478A"/>
    <w:rPr>
      <w:color w:val="605E5C"/>
      <w:shd w:val="clear" w:color="auto" w:fill="E1DFDD"/>
    </w:rPr>
  </w:style>
  <w:style w:type="paragraph" w:styleId="NoSpacing">
    <w:name w:val="No Spacing"/>
    <w:uiPriority w:val="1"/>
    <w:qFormat/>
    <w:rsid w:val="00747626"/>
    <w:pPr>
      <w:spacing w:after="0" w:line="240" w:lineRule="auto"/>
    </w:pPr>
  </w:style>
  <w:style w:type="character" w:customStyle="1" w:styleId="apple-converted-space">
    <w:name w:val="apple-converted-space"/>
    <w:basedOn w:val="DefaultParagraphFont"/>
    <w:rsid w:val="00747626"/>
  </w:style>
  <w:style w:type="paragraph" w:styleId="NormalWeb">
    <w:name w:val="Normal (Web)"/>
    <w:basedOn w:val="Normal"/>
    <w:uiPriority w:val="99"/>
    <w:semiHidden/>
    <w:unhideWhenUsed/>
    <w:rsid w:val="00747626"/>
    <w:pPr>
      <w:spacing w:before="100" w:beforeAutospacing="1" w:after="100" w:afterAutospacing="1"/>
    </w:pPr>
    <w:rPr>
      <w:rFonts w:ascii="Times New Roman" w:eastAsiaTheme="minorHAnsi" w:hAnsi="Times New Roman"/>
      <w:szCs w:val="24"/>
      <w:lang w:eastAsia="en-AU"/>
    </w:rPr>
  </w:style>
  <w:style w:type="table" w:styleId="TableGridLight">
    <w:name w:val="Grid Table Light"/>
    <w:basedOn w:val="TableNormal"/>
    <w:uiPriority w:val="40"/>
    <w:rsid w:val="00747626"/>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747626"/>
    <w:pPr>
      <w:spacing w:before="100" w:beforeAutospacing="1" w:after="100" w:afterAutospacing="1"/>
    </w:pPr>
    <w:rPr>
      <w:rFonts w:ascii="Times New Roman" w:hAnsi="Times New Roman"/>
      <w:szCs w:val="24"/>
      <w:lang w:eastAsia="en-AU"/>
    </w:rPr>
  </w:style>
  <w:style w:type="character" w:customStyle="1" w:styleId="normaltextrun">
    <w:name w:val="normaltextrun"/>
    <w:basedOn w:val="DefaultParagraphFont"/>
    <w:rsid w:val="00747626"/>
  </w:style>
  <w:style w:type="character" w:customStyle="1" w:styleId="eop">
    <w:name w:val="eop"/>
    <w:basedOn w:val="DefaultParagraphFont"/>
    <w:rsid w:val="00747626"/>
  </w:style>
  <w:style w:type="character" w:customStyle="1" w:styleId="EndNoteBibliographyChar">
    <w:name w:val="EndNote Bibliography Char"/>
    <w:basedOn w:val="DefaultParagraphFont"/>
    <w:link w:val="EndNoteBibliography"/>
    <w:locked/>
    <w:rsid w:val="00BA43CE"/>
    <w:rPr>
      <w:rFonts w:ascii="Calibri" w:eastAsia="Times New Roman" w:hAnsi="Calibri" w:cs="Calibri"/>
      <w:noProof/>
      <w:sz w:val="24"/>
      <w:szCs w:val="20"/>
      <w:lang w:val="en-US"/>
    </w:rPr>
  </w:style>
  <w:style w:type="paragraph" w:customStyle="1" w:styleId="EndNoteBibliography">
    <w:name w:val="EndNote Bibliography"/>
    <w:basedOn w:val="Normal"/>
    <w:link w:val="EndNoteBibliographyChar"/>
    <w:rsid w:val="00BA43CE"/>
    <w:rPr>
      <w:rFonts w:cs="Calibri"/>
      <w:noProof/>
      <w:lang w:val="en-US"/>
    </w:rPr>
  </w:style>
  <w:style w:type="paragraph" w:styleId="Revision">
    <w:name w:val="Revision"/>
    <w:hidden/>
    <w:uiPriority w:val="99"/>
    <w:semiHidden/>
    <w:rsid w:val="00A62531"/>
    <w:pPr>
      <w:spacing w:after="0" w:line="240" w:lineRule="auto"/>
    </w:pPr>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51751">
      <w:bodyDiv w:val="1"/>
      <w:marLeft w:val="0"/>
      <w:marRight w:val="0"/>
      <w:marTop w:val="0"/>
      <w:marBottom w:val="0"/>
      <w:divBdr>
        <w:top w:val="none" w:sz="0" w:space="0" w:color="auto"/>
        <w:left w:val="none" w:sz="0" w:space="0" w:color="auto"/>
        <w:bottom w:val="none" w:sz="0" w:space="0" w:color="auto"/>
        <w:right w:val="none" w:sz="0" w:space="0" w:color="auto"/>
      </w:divBdr>
    </w:div>
    <w:div w:id="405348193">
      <w:bodyDiv w:val="1"/>
      <w:marLeft w:val="0"/>
      <w:marRight w:val="0"/>
      <w:marTop w:val="0"/>
      <w:marBottom w:val="0"/>
      <w:divBdr>
        <w:top w:val="none" w:sz="0" w:space="0" w:color="auto"/>
        <w:left w:val="none" w:sz="0" w:space="0" w:color="auto"/>
        <w:bottom w:val="none" w:sz="0" w:space="0" w:color="auto"/>
        <w:right w:val="none" w:sz="0" w:space="0" w:color="auto"/>
      </w:divBdr>
    </w:div>
    <w:div w:id="437867629">
      <w:bodyDiv w:val="1"/>
      <w:marLeft w:val="0"/>
      <w:marRight w:val="0"/>
      <w:marTop w:val="0"/>
      <w:marBottom w:val="0"/>
      <w:divBdr>
        <w:top w:val="none" w:sz="0" w:space="0" w:color="auto"/>
        <w:left w:val="none" w:sz="0" w:space="0" w:color="auto"/>
        <w:bottom w:val="none" w:sz="0" w:space="0" w:color="auto"/>
        <w:right w:val="none" w:sz="0" w:space="0" w:color="auto"/>
      </w:divBdr>
    </w:div>
    <w:div w:id="500046234">
      <w:bodyDiv w:val="1"/>
      <w:marLeft w:val="0"/>
      <w:marRight w:val="0"/>
      <w:marTop w:val="0"/>
      <w:marBottom w:val="0"/>
      <w:divBdr>
        <w:top w:val="none" w:sz="0" w:space="0" w:color="auto"/>
        <w:left w:val="none" w:sz="0" w:space="0" w:color="auto"/>
        <w:bottom w:val="none" w:sz="0" w:space="0" w:color="auto"/>
        <w:right w:val="none" w:sz="0" w:space="0" w:color="auto"/>
      </w:divBdr>
    </w:div>
    <w:div w:id="582109135">
      <w:bodyDiv w:val="1"/>
      <w:marLeft w:val="0"/>
      <w:marRight w:val="0"/>
      <w:marTop w:val="0"/>
      <w:marBottom w:val="0"/>
      <w:divBdr>
        <w:top w:val="none" w:sz="0" w:space="0" w:color="auto"/>
        <w:left w:val="none" w:sz="0" w:space="0" w:color="auto"/>
        <w:bottom w:val="none" w:sz="0" w:space="0" w:color="auto"/>
        <w:right w:val="none" w:sz="0" w:space="0" w:color="auto"/>
      </w:divBdr>
    </w:div>
    <w:div w:id="1038706181">
      <w:bodyDiv w:val="1"/>
      <w:marLeft w:val="0"/>
      <w:marRight w:val="0"/>
      <w:marTop w:val="0"/>
      <w:marBottom w:val="0"/>
      <w:divBdr>
        <w:top w:val="none" w:sz="0" w:space="0" w:color="auto"/>
        <w:left w:val="none" w:sz="0" w:space="0" w:color="auto"/>
        <w:bottom w:val="none" w:sz="0" w:space="0" w:color="auto"/>
        <w:right w:val="none" w:sz="0" w:space="0" w:color="auto"/>
      </w:divBdr>
    </w:div>
    <w:div w:id="1211453027">
      <w:bodyDiv w:val="1"/>
      <w:marLeft w:val="0"/>
      <w:marRight w:val="0"/>
      <w:marTop w:val="0"/>
      <w:marBottom w:val="0"/>
      <w:divBdr>
        <w:top w:val="none" w:sz="0" w:space="0" w:color="auto"/>
        <w:left w:val="none" w:sz="0" w:space="0" w:color="auto"/>
        <w:bottom w:val="none" w:sz="0" w:space="0" w:color="auto"/>
        <w:right w:val="none" w:sz="0" w:space="0" w:color="auto"/>
      </w:divBdr>
    </w:div>
    <w:div w:id="1272668842">
      <w:bodyDiv w:val="1"/>
      <w:marLeft w:val="0"/>
      <w:marRight w:val="0"/>
      <w:marTop w:val="0"/>
      <w:marBottom w:val="0"/>
      <w:divBdr>
        <w:top w:val="none" w:sz="0" w:space="0" w:color="auto"/>
        <w:left w:val="none" w:sz="0" w:space="0" w:color="auto"/>
        <w:bottom w:val="none" w:sz="0" w:space="0" w:color="auto"/>
        <w:right w:val="none" w:sz="0" w:space="0" w:color="auto"/>
      </w:divBdr>
    </w:div>
    <w:div w:id="1325166974">
      <w:bodyDiv w:val="1"/>
      <w:marLeft w:val="0"/>
      <w:marRight w:val="0"/>
      <w:marTop w:val="0"/>
      <w:marBottom w:val="0"/>
      <w:divBdr>
        <w:top w:val="none" w:sz="0" w:space="0" w:color="auto"/>
        <w:left w:val="none" w:sz="0" w:space="0" w:color="auto"/>
        <w:bottom w:val="none" w:sz="0" w:space="0" w:color="auto"/>
        <w:right w:val="none" w:sz="0" w:space="0" w:color="auto"/>
      </w:divBdr>
    </w:div>
    <w:div w:id="1367022581">
      <w:bodyDiv w:val="1"/>
      <w:marLeft w:val="0"/>
      <w:marRight w:val="0"/>
      <w:marTop w:val="0"/>
      <w:marBottom w:val="0"/>
      <w:divBdr>
        <w:top w:val="none" w:sz="0" w:space="0" w:color="auto"/>
        <w:left w:val="none" w:sz="0" w:space="0" w:color="auto"/>
        <w:bottom w:val="none" w:sz="0" w:space="0" w:color="auto"/>
        <w:right w:val="none" w:sz="0" w:space="0" w:color="auto"/>
      </w:divBdr>
    </w:div>
    <w:div w:id="1549536941">
      <w:bodyDiv w:val="1"/>
      <w:marLeft w:val="0"/>
      <w:marRight w:val="0"/>
      <w:marTop w:val="0"/>
      <w:marBottom w:val="0"/>
      <w:divBdr>
        <w:top w:val="none" w:sz="0" w:space="0" w:color="auto"/>
        <w:left w:val="none" w:sz="0" w:space="0" w:color="auto"/>
        <w:bottom w:val="none" w:sz="0" w:space="0" w:color="auto"/>
        <w:right w:val="none" w:sz="0" w:space="0" w:color="auto"/>
      </w:divBdr>
    </w:div>
    <w:div w:id="1802335996">
      <w:bodyDiv w:val="1"/>
      <w:marLeft w:val="0"/>
      <w:marRight w:val="0"/>
      <w:marTop w:val="0"/>
      <w:marBottom w:val="0"/>
      <w:divBdr>
        <w:top w:val="none" w:sz="0" w:space="0" w:color="auto"/>
        <w:left w:val="none" w:sz="0" w:space="0" w:color="auto"/>
        <w:bottom w:val="none" w:sz="0" w:space="0" w:color="auto"/>
        <w:right w:val="none" w:sz="0" w:space="0" w:color="auto"/>
      </w:divBdr>
    </w:div>
    <w:div w:id="1804737093">
      <w:bodyDiv w:val="1"/>
      <w:marLeft w:val="0"/>
      <w:marRight w:val="0"/>
      <w:marTop w:val="0"/>
      <w:marBottom w:val="0"/>
      <w:divBdr>
        <w:top w:val="none" w:sz="0" w:space="0" w:color="auto"/>
        <w:left w:val="none" w:sz="0" w:space="0" w:color="auto"/>
        <w:bottom w:val="none" w:sz="0" w:space="0" w:color="auto"/>
        <w:right w:val="none" w:sz="0" w:space="0" w:color="auto"/>
      </w:divBdr>
    </w:div>
    <w:div w:id="1821651338">
      <w:bodyDiv w:val="1"/>
      <w:marLeft w:val="0"/>
      <w:marRight w:val="0"/>
      <w:marTop w:val="0"/>
      <w:marBottom w:val="0"/>
      <w:divBdr>
        <w:top w:val="none" w:sz="0" w:space="0" w:color="auto"/>
        <w:left w:val="none" w:sz="0" w:space="0" w:color="auto"/>
        <w:bottom w:val="none" w:sz="0" w:space="0" w:color="auto"/>
        <w:right w:val="none" w:sz="0" w:space="0" w:color="auto"/>
      </w:divBdr>
    </w:div>
    <w:div w:id="1831481197">
      <w:bodyDiv w:val="1"/>
      <w:marLeft w:val="0"/>
      <w:marRight w:val="0"/>
      <w:marTop w:val="0"/>
      <w:marBottom w:val="0"/>
      <w:divBdr>
        <w:top w:val="none" w:sz="0" w:space="0" w:color="auto"/>
        <w:left w:val="none" w:sz="0" w:space="0" w:color="auto"/>
        <w:bottom w:val="none" w:sz="0" w:space="0" w:color="auto"/>
        <w:right w:val="none" w:sz="0" w:space="0" w:color="auto"/>
      </w:divBdr>
    </w:div>
    <w:div w:id="1909921283">
      <w:bodyDiv w:val="1"/>
      <w:marLeft w:val="0"/>
      <w:marRight w:val="0"/>
      <w:marTop w:val="0"/>
      <w:marBottom w:val="0"/>
      <w:divBdr>
        <w:top w:val="none" w:sz="0" w:space="0" w:color="auto"/>
        <w:left w:val="none" w:sz="0" w:space="0" w:color="auto"/>
        <w:bottom w:val="none" w:sz="0" w:space="0" w:color="auto"/>
        <w:right w:val="none" w:sz="0" w:space="0" w:color="auto"/>
      </w:divBdr>
    </w:div>
    <w:div w:id="1953590409">
      <w:bodyDiv w:val="1"/>
      <w:marLeft w:val="0"/>
      <w:marRight w:val="0"/>
      <w:marTop w:val="0"/>
      <w:marBottom w:val="0"/>
      <w:divBdr>
        <w:top w:val="none" w:sz="0" w:space="0" w:color="auto"/>
        <w:left w:val="none" w:sz="0" w:space="0" w:color="auto"/>
        <w:bottom w:val="none" w:sz="0" w:space="0" w:color="auto"/>
        <w:right w:val="none" w:sz="0" w:space="0" w:color="auto"/>
      </w:divBdr>
    </w:div>
    <w:div w:id="208676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yperlink" Target="http://www.opioidcalculator.com.au/"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file:///Q:\Quality%20and%20Safety\CET\Policy%20Team\CHS%20PC\Resources\Templates\CHS%20Procedure%20Template.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4" ma:contentTypeDescription="Create a new document." ma:contentTypeScope="" ma:versionID="849f18909c72ce2fbe1b9d1b5331016d">
  <xsd:schema xmlns:xsd="http://www.w3.org/2001/XMLSchema" xmlns:xs="http://www.w3.org/2001/XMLSchema" xmlns:p="http://schemas.microsoft.com/office/2006/metadata/properties" xmlns:ns2="4504225e-b2d9-4497-b505-38d38bf039d6" targetNamespace="http://schemas.microsoft.com/office/2006/metadata/properties" ma:root="true" ma:fieldsID="9ea13963d51c1919d4e957a56817649e"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0" ma:contentTypeDescription="Create a new document." ma:contentTypeScope="" ma:versionID="88b468f552be70f97a05f5a1671b612c">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d05644bfbd43f3a7fa2685e43cf64ee6"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D06820-4DF8-4E38-97A6-9503C9BB8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ED4B01-F9C4-4065-899E-44772B205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3B4F1B-9BCC-41AB-B9AC-EE257C95AE52}">
  <ds:schemaRefs>
    <ds:schemaRef ds:uri="http://schemas.openxmlformats.org/officeDocument/2006/bibliography"/>
  </ds:schemaRefs>
</ds:datastoreItem>
</file>

<file path=customXml/itemProps4.xml><?xml version="1.0" encoding="utf-8"?>
<ds:datastoreItem xmlns:ds="http://schemas.openxmlformats.org/officeDocument/2006/customXml" ds:itemID="{F8BCE065-8A76-4612-B6B3-FBE0E46BFC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8802</Words>
  <Characters>50178</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58863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Kerryn Hunter</dc:creator>
  <cp:lastModifiedBy>Rusanov, Zoia (Health)</cp:lastModifiedBy>
  <cp:revision>5</cp:revision>
  <cp:lastPrinted>2014-07-16T01:36:00Z</cp:lastPrinted>
  <dcterms:created xsi:type="dcterms:W3CDTF">2023-05-09T23:38:00Z</dcterms:created>
  <dcterms:modified xsi:type="dcterms:W3CDTF">2023-05-10T23:57:00Z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0x0101003052FB6E4F6A904298AC8C7DBBDDD5A1</vt:lpwstr>
  </property>
</Properties>
</file>