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C0452" w14:textId="77777777"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4F9EB436" w14:textId="00DBD2E2" w:rsidR="00A86A9D" w:rsidRDefault="00A86A9D" w:rsidP="00A86A9D">
      <w:pPr>
        <w:rPr>
          <w:rFonts w:cs="Arial"/>
          <w:b/>
          <w:sz w:val="36"/>
          <w:szCs w:val="36"/>
        </w:rPr>
      </w:pPr>
      <w:r w:rsidRPr="00C705C9">
        <w:rPr>
          <w:rFonts w:cs="Arial"/>
          <w:b/>
          <w:sz w:val="44"/>
          <w:szCs w:val="44"/>
        </w:rPr>
        <w:t>Policy</w:t>
      </w:r>
    </w:p>
    <w:p w14:paraId="16746BF0" w14:textId="77777777" w:rsidR="00A86A9D" w:rsidRPr="009902FB" w:rsidRDefault="008D0A9F" w:rsidP="00A86A9D">
      <w:pPr>
        <w:rPr>
          <w:rFonts w:cs="Arial"/>
          <w:b/>
          <w:sz w:val="36"/>
          <w:szCs w:val="36"/>
        </w:rPr>
      </w:pPr>
      <w:r w:rsidRPr="00B01AF8">
        <w:rPr>
          <w:rFonts w:cs="Arial"/>
          <w:b/>
          <w:sz w:val="36"/>
          <w:szCs w:val="36"/>
        </w:rPr>
        <w:t xml:space="preserve">Pathology </w:t>
      </w:r>
      <w:r w:rsidR="006B0A87" w:rsidRPr="00B01AF8">
        <w:rPr>
          <w:rFonts w:cs="Arial"/>
          <w:b/>
          <w:sz w:val="36"/>
          <w:szCs w:val="36"/>
        </w:rPr>
        <w:t>Point</w:t>
      </w:r>
      <w:r w:rsidRPr="00B01AF8">
        <w:rPr>
          <w:rFonts w:cs="Arial"/>
          <w:b/>
          <w:sz w:val="36"/>
          <w:szCs w:val="36"/>
        </w:rPr>
        <w:t>-</w:t>
      </w:r>
      <w:r w:rsidR="006B0A87" w:rsidRPr="00B01AF8">
        <w:rPr>
          <w:rFonts w:cs="Arial"/>
          <w:b/>
          <w:sz w:val="36"/>
          <w:szCs w:val="36"/>
        </w:rPr>
        <w:t>of</w:t>
      </w:r>
      <w:r w:rsidRPr="00B01AF8">
        <w:rPr>
          <w:rFonts w:cs="Arial"/>
          <w:b/>
          <w:sz w:val="36"/>
          <w:szCs w:val="36"/>
        </w:rPr>
        <w:t>-</w:t>
      </w:r>
      <w:r w:rsidR="006B0A87" w:rsidRPr="00B01AF8">
        <w:rPr>
          <w:rFonts w:cs="Arial"/>
          <w:b/>
          <w:sz w:val="36"/>
          <w:szCs w:val="36"/>
        </w:rPr>
        <w:t>Care</w:t>
      </w:r>
      <w:r w:rsidR="006B0A87">
        <w:rPr>
          <w:rFonts w:cs="Arial"/>
          <w:b/>
          <w:sz w:val="36"/>
          <w:szCs w:val="36"/>
        </w:rPr>
        <w:t xml:space="preserve"> Testing (POCT) Policy</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20121DF0" w14:textId="77777777" w:rsidTr="000E456A">
        <w:trPr>
          <w:cantSplit/>
          <w:trHeight w:val="285"/>
        </w:trPr>
        <w:tc>
          <w:tcPr>
            <w:tcW w:w="9158" w:type="dxa"/>
            <w:shd w:val="clear" w:color="auto" w:fill="000000"/>
          </w:tcPr>
          <w:p w14:paraId="0B5D9462" w14:textId="77777777" w:rsidR="00A86A9D" w:rsidRPr="007A238D" w:rsidRDefault="00A86A9D" w:rsidP="007A238D">
            <w:pPr>
              <w:pStyle w:val="Heading1"/>
              <w:rPr>
                <w:szCs w:val="24"/>
              </w:rPr>
            </w:pPr>
            <w:r>
              <w:rPr>
                <w:szCs w:val="24"/>
              </w:rPr>
              <w:t xml:space="preserve">Policy </w:t>
            </w:r>
            <w:r w:rsidRPr="007A238D">
              <w:rPr>
                <w:szCs w:val="24"/>
              </w:rPr>
              <w:t>Statement</w:t>
            </w:r>
          </w:p>
        </w:tc>
      </w:tr>
    </w:tbl>
    <w:p w14:paraId="72134BB6" w14:textId="77777777" w:rsidR="00A86A9D" w:rsidRDefault="00A86A9D" w:rsidP="000E456A">
      <w:pPr>
        <w:rPr>
          <w:rFonts w:cs="Arial"/>
          <w:b/>
          <w:szCs w:val="24"/>
        </w:rPr>
      </w:pPr>
    </w:p>
    <w:p w14:paraId="694C88EA" w14:textId="5A6C7BE2" w:rsidR="006B0A87" w:rsidRDefault="006B0A87" w:rsidP="000E456A">
      <w:pPr>
        <w:pStyle w:val="ListBullet"/>
        <w:numPr>
          <w:ilvl w:val="0"/>
          <w:numId w:val="0"/>
        </w:numPr>
      </w:pPr>
      <w:r>
        <w:t>Pathology testing shall be performed in the ACT Pathology laboratories whenever possible, unless there is a clear patient management advantage in using POCT.</w:t>
      </w:r>
    </w:p>
    <w:p w14:paraId="0ED98118" w14:textId="77777777" w:rsidR="00015529" w:rsidRDefault="00015529" w:rsidP="000E456A">
      <w:pPr>
        <w:pStyle w:val="ListBullet"/>
        <w:numPr>
          <w:ilvl w:val="0"/>
          <w:numId w:val="0"/>
        </w:numPr>
      </w:pPr>
    </w:p>
    <w:p w14:paraId="70FAC2DA" w14:textId="5F12082D" w:rsidR="00015529" w:rsidRDefault="00015529" w:rsidP="000E456A">
      <w:pPr>
        <w:pStyle w:val="ListBullet"/>
        <w:numPr>
          <w:ilvl w:val="0"/>
          <w:numId w:val="0"/>
        </w:numPr>
      </w:pPr>
      <w:r w:rsidRPr="005926B9">
        <w:t>POCT should not be used to replace routine non-urgent laboratory tests</w:t>
      </w:r>
      <w:r>
        <w:t xml:space="preserve">, unless there is proven patient benefit and approved </w:t>
      </w:r>
      <w:r w:rsidRPr="005926B9">
        <w:t>in writing by the ACT Pathology Executive Director.</w:t>
      </w:r>
    </w:p>
    <w:p w14:paraId="51D07E3D" w14:textId="77777777" w:rsidR="00015529" w:rsidRDefault="00015529" w:rsidP="000E456A">
      <w:pPr>
        <w:pStyle w:val="ListBullet"/>
        <w:numPr>
          <w:ilvl w:val="0"/>
          <w:numId w:val="0"/>
        </w:numPr>
      </w:pPr>
    </w:p>
    <w:p w14:paraId="382D6654" w14:textId="659C1BE1" w:rsidR="006B0A87" w:rsidRDefault="006B0A87" w:rsidP="000E456A">
      <w:pPr>
        <w:pStyle w:val="ListBullet"/>
        <w:numPr>
          <w:ilvl w:val="0"/>
          <w:numId w:val="0"/>
        </w:numPr>
      </w:pPr>
      <w:r>
        <w:t>The ACT Pathology Executive Director</w:t>
      </w:r>
      <w:r w:rsidR="00484120">
        <w:t xml:space="preserve"> </w:t>
      </w:r>
      <w:r>
        <w:t>makes all final decisions regarding the introduction, implementation, and clinical application of POCT instruments.</w:t>
      </w:r>
    </w:p>
    <w:p w14:paraId="30E6617A" w14:textId="77777777" w:rsidR="000E456A" w:rsidRDefault="000E456A" w:rsidP="000E456A">
      <w:pPr>
        <w:pStyle w:val="ListBullet"/>
        <w:numPr>
          <w:ilvl w:val="0"/>
          <w:numId w:val="0"/>
        </w:numPr>
      </w:pPr>
    </w:p>
    <w:p w14:paraId="40BB7EE1" w14:textId="493A3016" w:rsidR="006B0A87" w:rsidRDefault="006B0A87" w:rsidP="000E456A">
      <w:pPr>
        <w:pStyle w:val="ListBullet"/>
        <w:numPr>
          <w:ilvl w:val="0"/>
          <w:numId w:val="0"/>
        </w:numPr>
      </w:pPr>
      <w:r>
        <w:t>POCT must not be introduced or implemented unless specifically approved in writing by the ACT Pathology Executive Director.</w:t>
      </w:r>
    </w:p>
    <w:p w14:paraId="3021EC3C" w14:textId="77777777" w:rsidR="00015529" w:rsidRDefault="00015529" w:rsidP="000E456A">
      <w:pPr>
        <w:pStyle w:val="ListBullet"/>
        <w:numPr>
          <w:ilvl w:val="0"/>
          <w:numId w:val="0"/>
        </w:numPr>
      </w:pPr>
    </w:p>
    <w:p w14:paraId="2625D68F" w14:textId="23AB9C11" w:rsidR="006B0A87" w:rsidRDefault="006B0A87" w:rsidP="000E456A">
      <w:pPr>
        <w:pStyle w:val="ListBullet"/>
        <w:numPr>
          <w:ilvl w:val="0"/>
          <w:numId w:val="0"/>
        </w:numPr>
      </w:pPr>
      <w:r>
        <w:t>Division</w:t>
      </w:r>
      <w:r w:rsidR="00A803F7">
        <w:t>s</w:t>
      </w:r>
      <w:r>
        <w:t xml:space="preserve"> requesting a POCT device or system </w:t>
      </w:r>
      <w:r w:rsidR="00015529">
        <w:t>are</w:t>
      </w:r>
      <w:r>
        <w:t xml:space="preserve"> responsible for the cost of implementation</w:t>
      </w:r>
      <w:r w:rsidR="00015529">
        <w:t xml:space="preserve"> </w:t>
      </w:r>
      <w:r>
        <w:t>and will be invoiced by ACT Pathology for ongoing support in its use, including, but not limited to the mo</w:t>
      </w:r>
      <w:r w:rsidR="004571ED">
        <w:t xml:space="preserve">nitoring of its performance </w:t>
      </w:r>
      <w:r>
        <w:t>user compliance</w:t>
      </w:r>
      <w:r w:rsidR="004571ED">
        <w:t xml:space="preserve">, ICT </w:t>
      </w:r>
      <w:r w:rsidR="001C21ED">
        <w:t>requirements</w:t>
      </w:r>
      <w:r>
        <w:t>.</w:t>
      </w:r>
    </w:p>
    <w:p w14:paraId="014AEF24" w14:textId="77777777" w:rsidR="00015529" w:rsidRDefault="00015529" w:rsidP="000E456A">
      <w:pPr>
        <w:pStyle w:val="ListBullet"/>
        <w:numPr>
          <w:ilvl w:val="0"/>
          <w:numId w:val="0"/>
        </w:numPr>
      </w:pPr>
    </w:p>
    <w:p w14:paraId="14A4FCCD" w14:textId="74D3ED7E" w:rsidR="006B0A87" w:rsidRPr="00516385" w:rsidRDefault="006B0A87" w:rsidP="000E456A">
      <w:pPr>
        <w:pStyle w:val="ListBullet"/>
        <w:numPr>
          <w:ilvl w:val="0"/>
          <w:numId w:val="0"/>
        </w:numPr>
      </w:pPr>
      <w:r>
        <w:t xml:space="preserve">All POCT shall comply with the quality management system </w:t>
      </w:r>
      <w:r w:rsidRPr="00E71959">
        <w:t>requi</w:t>
      </w:r>
      <w:r>
        <w:t>rements of ACT Pathology.</w:t>
      </w:r>
    </w:p>
    <w:p w14:paraId="26BF60C1" w14:textId="77777777" w:rsidR="00015529" w:rsidRDefault="00015529" w:rsidP="000E456A">
      <w:pPr>
        <w:pStyle w:val="ListBullet"/>
        <w:numPr>
          <w:ilvl w:val="0"/>
          <w:numId w:val="0"/>
        </w:numPr>
      </w:pPr>
    </w:p>
    <w:p w14:paraId="1882F794" w14:textId="13866AE4" w:rsidR="006B0A87" w:rsidRPr="00516385" w:rsidRDefault="00576D8D" w:rsidP="000E456A">
      <w:pPr>
        <w:pStyle w:val="ListBullet"/>
        <w:numPr>
          <w:ilvl w:val="0"/>
          <w:numId w:val="0"/>
        </w:numPr>
      </w:pPr>
      <w:r>
        <w:t>Where CH</w:t>
      </w:r>
      <w:r w:rsidR="006B0A87" w:rsidRPr="00516385">
        <w:t>S divisions have introduced and implemented POCT without the specific approval of the ACT Pathology Executive Director, such approval must be sought retrospectively once the existence of the POCT is brought to the attention of ACT Pathology.</w:t>
      </w:r>
    </w:p>
    <w:p w14:paraId="73609798" w14:textId="77777777" w:rsidR="006B0A87" w:rsidRPr="000E456A" w:rsidRDefault="006B0A87" w:rsidP="000E456A">
      <w:pPr>
        <w:pStyle w:val="ListBullet"/>
      </w:pPr>
      <w:r w:rsidRPr="000E456A">
        <w:t>Where the ACT Pathology Executive Director does not approve of POCT that has already been introduced and implemented without this officer’s pre-implementation approval, such POCT must discontinue and be removed from use.</w:t>
      </w:r>
    </w:p>
    <w:p w14:paraId="5BA49036" w14:textId="2D932414" w:rsidR="00A86A9D" w:rsidRDefault="006B0A87" w:rsidP="000E456A">
      <w:pPr>
        <w:pStyle w:val="ListBullet"/>
      </w:pPr>
      <w:r w:rsidRPr="000E456A">
        <w:t xml:space="preserve">POCT that has been introduced by </w:t>
      </w:r>
      <w:r w:rsidR="000E456A">
        <w:t>Canberra Health Services</w:t>
      </w:r>
      <w:r w:rsidRPr="000E456A">
        <w:t xml:space="preserve"> Divisions without </w:t>
      </w:r>
      <w:r w:rsidR="0062001A" w:rsidRPr="000E456A">
        <w:t>placing a request to</w:t>
      </w:r>
      <w:r w:rsidRPr="000E456A">
        <w:t xml:space="preserve"> the ACT Pathology Executive Director, but is then subsequently approved by this officer, shall be subject to this policy.</w:t>
      </w:r>
    </w:p>
    <w:p w14:paraId="6EB9B686" w14:textId="77777777" w:rsidR="000E456A" w:rsidRPr="000E456A" w:rsidRDefault="000E456A" w:rsidP="000E456A"/>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73BF4C3D" w14:textId="77777777" w:rsidTr="000E456A">
        <w:trPr>
          <w:cantSplit/>
          <w:trHeight w:val="285"/>
        </w:trPr>
        <w:tc>
          <w:tcPr>
            <w:tcW w:w="9158" w:type="dxa"/>
            <w:shd w:val="clear" w:color="auto" w:fill="000000"/>
          </w:tcPr>
          <w:p w14:paraId="533D5A55" w14:textId="77777777" w:rsidR="00A86A9D" w:rsidRPr="007A238D" w:rsidRDefault="00A86A9D" w:rsidP="007A238D">
            <w:pPr>
              <w:pStyle w:val="Heading1"/>
              <w:rPr>
                <w:szCs w:val="24"/>
              </w:rPr>
            </w:pPr>
            <w:r w:rsidRPr="007A238D">
              <w:rPr>
                <w:szCs w:val="24"/>
              </w:rPr>
              <w:t>Purpose</w:t>
            </w:r>
          </w:p>
        </w:tc>
      </w:tr>
    </w:tbl>
    <w:p w14:paraId="0CDCA671" w14:textId="77777777" w:rsidR="00A86A9D" w:rsidRDefault="00A86A9D" w:rsidP="000E456A">
      <w:pPr>
        <w:rPr>
          <w:rFonts w:cs="Arial"/>
          <w:b/>
          <w:szCs w:val="24"/>
        </w:rPr>
      </w:pPr>
    </w:p>
    <w:p w14:paraId="07E9EE48" w14:textId="77777777" w:rsidR="006B0A87" w:rsidRDefault="006B0A87" w:rsidP="000E456A">
      <w:pPr>
        <w:rPr>
          <w:rFonts w:cs="Arial"/>
          <w:szCs w:val="24"/>
        </w:rPr>
      </w:pPr>
      <w:r>
        <w:rPr>
          <w:rFonts w:cs="Arial"/>
          <w:szCs w:val="24"/>
        </w:rPr>
        <w:t>This policy is to ensure:</w:t>
      </w:r>
    </w:p>
    <w:p w14:paraId="34670098" w14:textId="77777777" w:rsidR="006B0A87" w:rsidRDefault="00903AFB" w:rsidP="000E456A">
      <w:pPr>
        <w:pStyle w:val="ListBullet"/>
      </w:pPr>
      <w:r>
        <w:t>CH</w:t>
      </w:r>
      <w:r w:rsidR="000A6877">
        <w:t>S</w:t>
      </w:r>
      <w:r w:rsidR="006B0A87">
        <w:t xml:space="preserve"> implements and uses POCT devices and systems in a standardised and approved manner.</w:t>
      </w:r>
    </w:p>
    <w:p w14:paraId="6E8EA926" w14:textId="77777777" w:rsidR="006B0A87" w:rsidRDefault="006B0A87" w:rsidP="000E456A">
      <w:pPr>
        <w:pStyle w:val="ListBullet"/>
      </w:pPr>
      <w:r>
        <w:t>Procurement of POCT equipment is approved, appropriate (fit for purpose) and standardised throu</w:t>
      </w:r>
      <w:r w:rsidR="00A4732D">
        <w:t>ghout CHS</w:t>
      </w:r>
      <w:r>
        <w:t>.</w:t>
      </w:r>
    </w:p>
    <w:p w14:paraId="71FC0027" w14:textId="77777777" w:rsidR="00A86A9D" w:rsidRDefault="006B0A87" w:rsidP="000E456A">
      <w:pPr>
        <w:pStyle w:val="ListBullet"/>
      </w:pPr>
      <w:r>
        <w:lastRenderedPageBreak/>
        <w:t xml:space="preserve">POCT is compliant with accreditation requirements applying to </w:t>
      </w:r>
      <w:r w:rsidR="00576D8D">
        <w:t>C</w:t>
      </w:r>
      <w:r w:rsidR="000A6877">
        <w:t>HS</w:t>
      </w:r>
      <w:r>
        <w:t xml:space="preserve"> in general and ACT Pathology in particular.</w:t>
      </w:r>
    </w:p>
    <w:p w14:paraId="7F5D6485" w14:textId="77777777" w:rsidR="006817A9" w:rsidRPr="00032890" w:rsidRDefault="006817A9" w:rsidP="000E456A">
      <w:pPr>
        <w:pStyle w:val="ListBullet"/>
        <w:numPr>
          <w:ilvl w:val="0"/>
          <w:numId w:val="0"/>
        </w:num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66FD6C5F" w14:textId="77777777" w:rsidTr="000E456A">
        <w:trPr>
          <w:cantSplit/>
          <w:trHeight w:val="285"/>
        </w:trPr>
        <w:tc>
          <w:tcPr>
            <w:tcW w:w="9158" w:type="dxa"/>
            <w:shd w:val="clear" w:color="auto" w:fill="000000"/>
          </w:tcPr>
          <w:p w14:paraId="3CE637F4" w14:textId="77777777" w:rsidR="00A86A9D" w:rsidRPr="001502DF" w:rsidRDefault="00A86A9D" w:rsidP="007A238D">
            <w:pPr>
              <w:pStyle w:val="Heading1"/>
              <w:rPr>
                <w:b w:val="0"/>
                <w:szCs w:val="24"/>
              </w:rPr>
            </w:pPr>
            <w:r w:rsidRPr="001502DF">
              <w:rPr>
                <w:szCs w:val="24"/>
              </w:rPr>
              <w:t>Scope</w:t>
            </w:r>
          </w:p>
        </w:tc>
      </w:tr>
    </w:tbl>
    <w:p w14:paraId="23336576" w14:textId="77777777" w:rsidR="00A86A9D" w:rsidRDefault="00A86A9D" w:rsidP="000E456A"/>
    <w:p w14:paraId="05C81765" w14:textId="77777777" w:rsidR="006B0A87" w:rsidRDefault="006B0A87" w:rsidP="000E456A">
      <w:r>
        <w:t xml:space="preserve">This policy applies to all </w:t>
      </w:r>
      <w:r w:rsidR="00576D8D">
        <w:t>C</w:t>
      </w:r>
      <w:r w:rsidR="00DC3CA2">
        <w:t>HS</w:t>
      </w:r>
      <w:r>
        <w:t xml:space="preserve"> staff members involved in using POCT equipment for performing Pathology tests and all </w:t>
      </w:r>
      <w:r w:rsidR="00576D8D">
        <w:t>C</w:t>
      </w:r>
      <w:r w:rsidR="00DC3CA2">
        <w:t xml:space="preserve">HS </w:t>
      </w:r>
      <w:r>
        <w:t>staff members contemplating the introduction of POCT equipment.</w:t>
      </w:r>
    </w:p>
    <w:p w14:paraId="683621A8" w14:textId="77777777" w:rsidR="006B0A87" w:rsidRDefault="006B0A87" w:rsidP="000E456A"/>
    <w:p w14:paraId="7FB60B0F" w14:textId="789109CC" w:rsidR="006B0A87" w:rsidRDefault="00B76386" w:rsidP="000E456A">
      <w:r>
        <w:t>Procedures</w:t>
      </w:r>
      <w:r w:rsidR="006B0A87">
        <w:t xml:space="preserve"> for specific POCT equipment and tests comply with and implement this policy.</w:t>
      </w:r>
    </w:p>
    <w:p w14:paraId="05D34746" w14:textId="77777777" w:rsidR="006B0A87" w:rsidRDefault="006B0A87" w:rsidP="000E456A"/>
    <w:p w14:paraId="1561EF9F" w14:textId="77777777" w:rsidR="006B0A87" w:rsidRDefault="006B0A87" w:rsidP="000E456A">
      <w:r>
        <w:t xml:space="preserve">This policy is applicable to all patients cared for by </w:t>
      </w:r>
      <w:r w:rsidR="00576D8D">
        <w:t>C</w:t>
      </w:r>
      <w:r w:rsidR="00244EBC">
        <w:t xml:space="preserve">HS, for whom POCT is performed. </w:t>
      </w:r>
    </w:p>
    <w:p w14:paraId="69325A29" w14:textId="77777777" w:rsidR="006B0A87" w:rsidRDefault="006B0A87" w:rsidP="000E456A"/>
    <w:p w14:paraId="4BB9C7F6" w14:textId="7C09EE5C" w:rsidR="00A86A9D" w:rsidRDefault="006B0A87" w:rsidP="000E456A">
      <w:r>
        <w:t>This policy does not apply to POCT equipment personally owned and operated by patients nor to POCT equipment used only for research purposes.</w:t>
      </w:r>
    </w:p>
    <w:p w14:paraId="240A30CA" w14:textId="77777777" w:rsidR="000E456A" w:rsidRPr="00A165A1" w:rsidRDefault="000E456A" w:rsidP="000E456A"/>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73A35696" w14:textId="77777777" w:rsidTr="000E456A">
        <w:trPr>
          <w:cantSplit/>
          <w:trHeight w:val="285"/>
        </w:trPr>
        <w:tc>
          <w:tcPr>
            <w:tcW w:w="9158" w:type="dxa"/>
            <w:shd w:val="clear" w:color="auto" w:fill="000000"/>
          </w:tcPr>
          <w:p w14:paraId="313905E1" w14:textId="77777777" w:rsidR="00A86A9D" w:rsidRPr="001502DF" w:rsidRDefault="00A86A9D" w:rsidP="007A238D">
            <w:pPr>
              <w:pStyle w:val="Heading1"/>
              <w:rPr>
                <w:b w:val="0"/>
                <w:szCs w:val="24"/>
              </w:rPr>
            </w:pPr>
            <w:r>
              <w:rPr>
                <w:szCs w:val="24"/>
              </w:rPr>
              <w:t>Roles &amp; Responsibilities</w:t>
            </w:r>
          </w:p>
        </w:tc>
      </w:tr>
    </w:tbl>
    <w:p w14:paraId="5C3DAE21" w14:textId="77777777" w:rsidR="006B0A87" w:rsidRDefault="00A86A9D" w:rsidP="006B0A87">
      <w:pPr>
        <w:rPr>
          <w:rFonts w:cs="Arial"/>
          <w:szCs w:val="24"/>
        </w:rPr>
      </w:pPr>
      <w:r w:rsidRPr="0080485B">
        <w:rPr>
          <w:rFonts w:cs="Arial"/>
          <w:b/>
          <w:szCs w:val="24"/>
        </w:rPr>
        <w:br/>
      </w:r>
      <w:r w:rsidR="006B0A87">
        <w:rPr>
          <w:rFonts w:cs="Arial"/>
          <w:b/>
          <w:szCs w:val="24"/>
        </w:rPr>
        <w:t>Clinical Staff</w:t>
      </w:r>
    </w:p>
    <w:p w14:paraId="454E08B9" w14:textId="77777777" w:rsidR="006B0A87" w:rsidRDefault="006B0A87" w:rsidP="006B0A87">
      <w:pPr>
        <w:rPr>
          <w:rFonts w:cs="Arial"/>
          <w:szCs w:val="24"/>
        </w:rPr>
      </w:pPr>
      <w:r>
        <w:rPr>
          <w:rFonts w:cs="Arial"/>
          <w:szCs w:val="24"/>
        </w:rPr>
        <w:t>Clinical staff are responsible for:</w:t>
      </w:r>
    </w:p>
    <w:p w14:paraId="5DB167CA" w14:textId="77777777" w:rsidR="006B0A87" w:rsidRDefault="006B0A87" w:rsidP="006B0A87">
      <w:pPr>
        <w:pStyle w:val="ListBullet"/>
      </w:pPr>
      <w:r>
        <w:t>Submitting a request for POCT with the Executive Director of their division when it is perceived that there is a need for POCT.</w:t>
      </w:r>
    </w:p>
    <w:p w14:paraId="79E78E44" w14:textId="1AF56F5C" w:rsidR="006B0A87" w:rsidRDefault="006B0A87" w:rsidP="006B0A87">
      <w:pPr>
        <w:pStyle w:val="ListBullet"/>
      </w:pPr>
      <w:r>
        <w:t xml:space="preserve">Complying with </w:t>
      </w:r>
      <w:r w:rsidR="00B76386" w:rsidRPr="00B76386">
        <w:t>Procedures</w:t>
      </w:r>
      <w:r>
        <w:t xml:space="preserve"> that this policy refers to.</w:t>
      </w:r>
    </w:p>
    <w:p w14:paraId="4349B765" w14:textId="379611FA" w:rsidR="006B0A87" w:rsidRDefault="006B0A87" w:rsidP="006B0A87">
      <w:pPr>
        <w:pStyle w:val="ListBullet"/>
      </w:pPr>
      <w:r>
        <w:t>Correct patient identification is carried out at each step of a POCT procedure</w:t>
      </w:r>
      <w:r w:rsidR="00015529">
        <w:t xml:space="preserve"> as per Patient Identification – Pathology Specimen Labelling</w:t>
      </w:r>
    </w:p>
    <w:p w14:paraId="7E0D7EB8" w14:textId="77777777" w:rsidR="008C6F58" w:rsidRDefault="008C6F58" w:rsidP="006B0A87">
      <w:pPr>
        <w:pStyle w:val="ListBullet"/>
      </w:pPr>
      <w:r>
        <w:t xml:space="preserve">Complying with quality requirements e.g. performing quality control, using only within expiry consumables. </w:t>
      </w:r>
    </w:p>
    <w:p w14:paraId="66C361A9" w14:textId="77777777" w:rsidR="006B0A87" w:rsidRDefault="006B0A87" w:rsidP="006B0A87">
      <w:pPr>
        <w:pStyle w:val="ListBullet"/>
      </w:pPr>
      <w:r>
        <w:t xml:space="preserve">Complying with actions requested by the POCT </w:t>
      </w:r>
      <w:r w:rsidR="0025347D">
        <w:t xml:space="preserve">Senior Scientist and/or </w:t>
      </w:r>
      <w:r>
        <w:t>coordinator within the stipulated timeframe.</w:t>
      </w:r>
    </w:p>
    <w:p w14:paraId="7086844E" w14:textId="77777777" w:rsidR="006B0A87" w:rsidRDefault="006B0A87" w:rsidP="006B0A87">
      <w:pPr>
        <w:pStyle w:val="ListBullet"/>
      </w:pPr>
      <w:r>
        <w:t>Recording POCT results in the c</w:t>
      </w:r>
      <w:r w:rsidR="00F923F2">
        <w:t>orrect patient’s clinical notes (where electronic transmission is not available).</w:t>
      </w:r>
    </w:p>
    <w:p w14:paraId="738EA476" w14:textId="133C6DA1" w:rsidR="00F923F2" w:rsidRDefault="00F923F2" w:rsidP="006B0A87">
      <w:pPr>
        <w:pStyle w:val="ListBullet"/>
      </w:pPr>
      <w:r>
        <w:t xml:space="preserve">Acting </w:t>
      </w:r>
      <w:r w:rsidR="00C90FB9">
        <w:t xml:space="preserve">appropriately </w:t>
      </w:r>
      <w:r>
        <w:t>on abnormal POCT results</w:t>
      </w:r>
      <w:r w:rsidR="00015529">
        <w:t>.</w:t>
      </w:r>
    </w:p>
    <w:p w14:paraId="42483416" w14:textId="77777777" w:rsidR="00435EE6" w:rsidRDefault="00435EE6" w:rsidP="006B0A87">
      <w:pPr>
        <w:pStyle w:val="ListBullet"/>
      </w:pPr>
      <w:r>
        <w:t>Repeating a POC</w:t>
      </w:r>
      <w:r w:rsidR="006206E6">
        <w:t xml:space="preserve">T test and/or sending a sample </w:t>
      </w:r>
      <w:r>
        <w:t>to the laboratory when a POCT result does not fit the clinical picture</w:t>
      </w:r>
      <w:r w:rsidR="00CB0488">
        <w:t>.</w:t>
      </w:r>
    </w:p>
    <w:p w14:paraId="6702F526" w14:textId="77777777" w:rsidR="00C2259E" w:rsidRDefault="00C2259E" w:rsidP="006B0A87">
      <w:pPr>
        <w:pStyle w:val="ListBullet"/>
      </w:pPr>
      <w:r>
        <w:t xml:space="preserve">Complying </w:t>
      </w:r>
      <w:r w:rsidR="00713369">
        <w:t>with ongoing competency</w:t>
      </w:r>
      <w:r>
        <w:t xml:space="preserve"> requirement</w:t>
      </w:r>
      <w:r w:rsidR="00713369">
        <w:t>s</w:t>
      </w:r>
      <w:r>
        <w:t xml:space="preserve"> for the POCT device.</w:t>
      </w:r>
      <w:r w:rsidR="00713369">
        <w:t xml:space="preserve"> This may require nomi</w:t>
      </w:r>
      <w:r w:rsidR="00E500AE">
        <w:t xml:space="preserve">nated key operators to ensure </w:t>
      </w:r>
      <w:r w:rsidR="00713369">
        <w:t>ongoing training/ competencies are maintained.</w:t>
      </w:r>
    </w:p>
    <w:p w14:paraId="7783A5BE" w14:textId="77777777" w:rsidR="006B0A87" w:rsidRPr="00F94037" w:rsidRDefault="006B0A87" w:rsidP="006B0A87">
      <w:pPr>
        <w:rPr>
          <w:rFonts w:cs="Arial"/>
          <w:szCs w:val="24"/>
        </w:rPr>
      </w:pPr>
    </w:p>
    <w:p w14:paraId="107A5C4B" w14:textId="77777777" w:rsidR="006B0A87" w:rsidRDefault="006B0A87" w:rsidP="006B0A87">
      <w:pPr>
        <w:rPr>
          <w:rFonts w:cs="Arial"/>
          <w:b/>
          <w:szCs w:val="24"/>
        </w:rPr>
      </w:pPr>
      <w:r>
        <w:rPr>
          <w:rFonts w:cs="Arial"/>
          <w:b/>
          <w:szCs w:val="24"/>
        </w:rPr>
        <w:t>Clinical Division Executive Directors</w:t>
      </w:r>
    </w:p>
    <w:p w14:paraId="41335CDF" w14:textId="77777777" w:rsidR="00763225" w:rsidRDefault="006B0A87" w:rsidP="00763225">
      <w:pPr>
        <w:pStyle w:val="ListBullet"/>
        <w:numPr>
          <w:ilvl w:val="0"/>
          <w:numId w:val="0"/>
        </w:numPr>
        <w:ind w:left="426" w:hanging="426"/>
      </w:pPr>
      <w:r>
        <w:t>Executive Directors of clinical divisions are responsible for</w:t>
      </w:r>
      <w:r w:rsidR="00763225">
        <w:t>:</w:t>
      </w:r>
    </w:p>
    <w:p w14:paraId="6A7EB69E" w14:textId="77777777" w:rsidR="006B0A87" w:rsidRPr="000E456A" w:rsidRDefault="00B0778A" w:rsidP="000E456A">
      <w:pPr>
        <w:pStyle w:val="ListBullet"/>
      </w:pPr>
      <w:r w:rsidRPr="000E456A">
        <w:t>A</w:t>
      </w:r>
      <w:r w:rsidR="003372B5" w:rsidRPr="000E456A">
        <w:t>pproving</w:t>
      </w:r>
      <w:r w:rsidR="006B0A87" w:rsidRPr="000E456A">
        <w:t xml:space="preserve"> </w:t>
      </w:r>
      <w:r w:rsidR="002716D2" w:rsidRPr="000E456A">
        <w:t xml:space="preserve">the submission of </w:t>
      </w:r>
      <w:r w:rsidR="006B0A87" w:rsidRPr="000E456A">
        <w:t xml:space="preserve">requests for the introduction of POCT to the </w:t>
      </w:r>
      <w:r w:rsidR="002716D2" w:rsidRPr="000E456A">
        <w:t>POCT Management group</w:t>
      </w:r>
      <w:r w:rsidR="006B0A87" w:rsidRPr="000E456A">
        <w:t>.</w:t>
      </w:r>
    </w:p>
    <w:p w14:paraId="1A30C2E9" w14:textId="77777777" w:rsidR="00C55897" w:rsidRPr="000E456A" w:rsidRDefault="00F56AEA" w:rsidP="000E456A">
      <w:pPr>
        <w:pStyle w:val="ListBullet"/>
      </w:pPr>
      <w:r w:rsidRPr="000E456A">
        <w:lastRenderedPageBreak/>
        <w:t>R</w:t>
      </w:r>
      <w:r w:rsidR="00C55897" w:rsidRPr="000E456A">
        <w:t>eview</w:t>
      </w:r>
      <w:r w:rsidR="003B09DB" w:rsidRPr="000E456A">
        <w:t>ing</w:t>
      </w:r>
      <w:r w:rsidR="007231E2" w:rsidRPr="000E456A">
        <w:t xml:space="preserve">, </w:t>
      </w:r>
      <w:r w:rsidR="00C55897" w:rsidRPr="000E456A">
        <w:t>agree</w:t>
      </w:r>
      <w:r w:rsidR="003B09DB" w:rsidRPr="000E456A">
        <w:t>ing and adhering</w:t>
      </w:r>
      <w:r w:rsidR="007231E2" w:rsidRPr="000E456A">
        <w:t xml:space="preserve"> to</w:t>
      </w:r>
      <w:r w:rsidR="00C55897" w:rsidRPr="000E456A">
        <w:t xml:space="preserve"> any mandatory requirements associated with the introduction of the new</w:t>
      </w:r>
      <w:r w:rsidR="003B09DB" w:rsidRPr="000E456A">
        <w:t xml:space="preserve"> approved</w:t>
      </w:r>
      <w:r w:rsidR="00C55897" w:rsidRPr="000E456A">
        <w:t xml:space="preserve"> POCT device</w:t>
      </w:r>
      <w:r w:rsidR="008429F1" w:rsidRPr="000E456A">
        <w:t>, which include both financial and operational responsibilities</w:t>
      </w:r>
      <w:r w:rsidR="001E1DE8" w:rsidRPr="000E456A">
        <w:t>. Failure to comply with the mandatory requirements may result in removal of the device by ACT Pathology</w:t>
      </w:r>
    </w:p>
    <w:p w14:paraId="5BB2339E" w14:textId="77777777" w:rsidR="006B0A87" w:rsidRDefault="006B0A87" w:rsidP="006B0A87">
      <w:pPr>
        <w:rPr>
          <w:rFonts w:cs="Arial"/>
          <w:szCs w:val="24"/>
        </w:rPr>
      </w:pPr>
    </w:p>
    <w:p w14:paraId="5E731F78" w14:textId="77777777" w:rsidR="006B0A87" w:rsidRDefault="006B0A87" w:rsidP="006B0A87">
      <w:pPr>
        <w:rPr>
          <w:rFonts w:cs="Arial"/>
          <w:szCs w:val="24"/>
        </w:rPr>
      </w:pPr>
      <w:r>
        <w:rPr>
          <w:rFonts w:cs="Arial"/>
          <w:b/>
          <w:szCs w:val="24"/>
        </w:rPr>
        <w:t>ACT Pathology Executive Director</w:t>
      </w:r>
    </w:p>
    <w:p w14:paraId="018B2E17" w14:textId="44D04B69" w:rsidR="006B0A87" w:rsidRDefault="006B0A87" w:rsidP="006B0A87">
      <w:pPr>
        <w:rPr>
          <w:rFonts w:cs="Arial"/>
          <w:szCs w:val="24"/>
        </w:rPr>
      </w:pPr>
      <w:r>
        <w:rPr>
          <w:rFonts w:cs="Arial"/>
          <w:szCs w:val="24"/>
        </w:rPr>
        <w:t xml:space="preserve">The ACT Pathology Executive Director </w:t>
      </w:r>
      <w:r w:rsidR="00C147CB">
        <w:rPr>
          <w:rFonts w:cs="Arial"/>
          <w:szCs w:val="24"/>
        </w:rPr>
        <w:t xml:space="preserve">or Delegate </w:t>
      </w:r>
      <w:r>
        <w:rPr>
          <w:rFonts w:cs="Arial"/>
          <w:szCs w:val="24"/>
        </w:rPr>
        <w:t>is responsible for:</w:t>
      </w:r>
    </w:p>
    <w:p w14:paraId="5373E69F" w14:textId="77777777" w:rsidR="006B0A87" w:rsidRDefault="006B0A87" w:rsidP="006B0A87">
      <w:pPr>
        <w:pStyle w:val="ListBullet"/>
      </w:pPr>
      <w:r>
        <w:t>Assessing whether requests for POCT are appropriate in the relevant application and environment.</w:t>
      </w:r>
    </w:p>
    <w:p w14:paraId="2063396E" w14:textId="77777777" w:rsidR="006B0A87" w:rsidRDefault="006B0A87" w:rsidP="006B0A87">
      <w:pPr>
        <w:pStyle w:val="ListBullet"/>
      </w:pPr>
      <w:r>
        <w:t>The final decision regarding the selection, introduction, implementation, and clinical application of POCT instruments in clinical divisions.</w:t>
      </w:r>
    </w:p>
    <w:p w14:paraId="199F03D6" w14:textId="77777777" w:rsidR="006B0A87" w:rsidRDefault="006B0A87" w:rsidP="006B0A87">
      <w:pPr>
        <w:pStyle w:val="ListBullet"/>
      </w:pPr>
      <w:r>
        <w:t>Appointing members of the POCT Management Group.</w:t>
      </w:r>
    </w:p>
    <w:p w14:paraId="0462D82D" w14:textId="662A22D9" w:rsidR="006B0A87" w:rsidRDefault="006B0A87" w:rsidP="006B0A87">
      <w:pPr>
        <w:pStyle w:val="ListBullet"/>
      </w:pPr>
      <w:r>
        <w:t>Reviewing incident reports</w:t>
      </w:r>
      <w:r w:rsidR="00015529">
        <w:t xml:space="preserve"> relating to POCT</w:t>
      </w:r>
      <w:r>
        <w:t xml:space="preserve"> and actions taken to prevent recurrence.</w:t>
      </w:r>
    </w:p>
    <w:p w14:paraId="5F0BE8FF" w14:textId="77777777" w:rsidR="006B0A87" w:rsidRDefault="006B0A87" w:rsidP="006B0A87">
      <w:pPr>
        <w:pStyle w:val="ListBullet"/>
      </w:pPr>
      <w:r>
        <w:t xml:space="preserve">Decisions to remove POCT devices and systems from particular sites when notified by the POCT </w:t>
      </w:r>
      <w:r w:rsidR="00490895">
        <w:t xml:space="preserve">Management Group </w:t>
      </w:r>
      <w:r>
        <w:t>of sustained noncompliance.</w:t>
      </w:r>
    </w:p>
    <w:p w14:paraId="66F676BF" w14:textId="77777777" w:rsidR="006B0A87" w:rsidRDefault="006B0A87" w:rsidP="006B0A87">
      <w:pPr>
        <w:pStyle w:val="ListBullet"/>
      </w:pPr>
      <w:r>
        <w:t xml:space="preserve">Reviewing and actioning reports and recommendations from the POCT </w:t>
      </w:r>
      <w:r w:rsidR="006C7458">
        <w:t>Management Group.</w:t>
      </w:r>
    </w:p>
    <w:p w14:paraId="18365DBF" w14:textId="77777777" w:rsidR="006B0A87" w:rsidRDefault="006B0A87" w:rsidP="006B0A87">
      <w:pPr>
        <w:pStyle w:val="ListBullet"/>
      </w:pPr>
      <w:r>
        <w:t xml:space="preserve">Issuing directives to clinical divisions, either directly, or via the POCT </w:t>
      </w:r>
      <w:r w:rsidR="006C7458">
        <w:t xml:space="preserve">Senior Scientist and/or </w:t>
      </w:r>
      <w:r>
        <w:t>coordinator.</w:t>
      </w:r>
    </w:p>
    <w:p w14:paraId="78B7327D" w14:textId="77777777" w:rsidR="006B0A87" w:rsidRDefault="006B0A87" w:rsidP="006B0A87">
      <w:pPr>
        <w:rPr>
          <w:rFonts w:cs="Arial"/>
          <w:szCs w:val="24"/>
        </w:rPr>
      </w:pPr>
    </w:p>
    <w:p w14:paraId="2718D7E7" w14:textId="77777777" w:rsidR="006B0A87" w:rsidRDefault="006B0A87" w:rsidP="006B0A87">
      <w:pPr>
        <w:rPr>
          <w:rFonts w:cs="Arial"/>
          <w:szCs w:val="24"/>
        </w:rPr>
      </w:pPr>
      <w:r>
        <w:rPr>
          <w:rFonts w:cs="Arial"/>
          <w:b/>
          <w:szCs w:val="24"/>
        </w:rPr>
        <w:t>POCT Management Group</w:t>
      </w:r>
    </w:p>
    <w:p w14:paraId="7F1F815F" w14:textId="77777777" w:rsidR="006B0A87" w:rsidRDefault="006B0A87" w:rsidP="006B0A87">
      <w:pPr>
        <w:rPr>
          <w:rFonts w:cs="Arial"/>
          <w:szCs w:val="24"/>
        </w:rPr>
      </w:pPr>
      <w:r>
        <w:rPr>
          <w:rFonts w:cs="Arial"/>
          <w:szCs w:val="24"/>
        </w:rPr>
        <w:t>The POCT Management Group is responsible for:</w:t>
      </w:r>
    </w:p>
    <w:p w14:paraId="76B30C26" w14:textId="15F5400A" w:rsidR="00F65BD5" w:rsidRDefault="00F65BD5" w:rsidP="00DB0738">
      <w:pPr>
        <w:pStyle w:val="ListBullet"/>
      </w:pPr>
      <w:r>
        <w:t>Reviewing new requests</w:t>
      </w:r>
      <w:r w:rsidR="008432FE">
        <w:t xml:space="preserve"> based on </w:t>
      </w:r>
      <w:r w:rsidR="008432FE" w:rsidRPr="008432FE">
        <w:t xml:space="preserve">cost efficiency and clinical effectiveness </w:t>
      </w:r>
      <w:r>
        <w:t>for POCT</w:t>
      </w:r>
      <w:r w:rsidR="00DB0738">
        <w:t xml:space="preserve"> and advising the </w:t>
      </w:r>
      <w:r w:rsidR="00DB0738" w:rsidRPr="00DB0738">
        <w:t>ACT Pathology Executive Director</w:t>
      </w:r>
      <w:r w:rsidR="00DB0738">
        <w:t xml:space="preserve"> of the </w:t>
      </w:r>
      <w:r w:rsidR="00015529">
        <w:t>group’s</w:t>
      </w:r>
      <w:r w:rsidR="00DB0738">
        <w:t xml:space="preserve"> recommendation</w:t>
      </w:r>
      <w:r w:rsidR="00015529">
        <w:t>.</w:t>
      </w:r>
    </w:p>
    <w:p w14:paraId="4DE60AB6" w14:textId="77777777" w:rsidR="00244BEB" w:rsidRDefault="004F6DAE" w:rsidP="006B0A87">
      <w:pPr>
        <w:pStyle w:val="ListBullet"/>
      </w:pPr>
      <w:r>
        <w:t>Approving method validation/verification protocol</w:t>
      </w:r>
      <w:r w:rsidR="00C15701">
        <w:t>s</w:t>
      </w:r>
      <w:r>
        <w:t xml:space="preserve"> for an approved POCT device.</w:t>
      </w:r>
    </w:p>
    <w:p w14:paraId="0D35BA2B" w14:textId="77777777" w:rsidR="00244BEB" w:rsidRDefault="00244BEB" w:rsidP="006B0A87">
      <w:pPr>
        <w:pStyle w:val="ListBullet"/>
      </w:pPr>
      <w:r>
        <w:t>Reviewing</w:t>
      </w:r>
      <w:r w:rsidRPr="00244BEB">
        <w:t xml:space="preserve"> method validation/verification</w:t>
      </w:r>
      <w:r>
        <w:t xml:space="preserve"> data for the </w:t>
      </w:r>
      <w:r w:rsidRPr="00244BEB">
        <w:t>approved POCT device</w:t>
      </w:r>
      <w:r w:rsidR="0092325B">
        <w:t xml:space="preserve"> and determining fitness for purpose.</w:t>
      </w:r>
      <w:r>
        <w:t xml:space="preserve"> </w:t>
      </w:r>
    </w:p>
    <w:p w14:paraId="6133B320" w14:textId="77777777" w:rsidR="00CF3CE3" w:rsidRDefault="00CF3CE3" w:rsidP="00CF3CE3">
      <w:pPr>
        <w:pStyle w:val="ListBullet"/>
      </w:pPr>
      <w:r w:rsidRPr="00CF3CE3">
        <w:t>Determining future strategies and plans regarding POCT.</w:t>
      </w:r>
    </w:p>
    <w:p w14:paraId="176BB29C" w14:textId="68625D88" w:rsidR="002501BE" w:rsidRDefault="002501BE" w:rsidP="00CF3CE3">
      <w:pPr>
        <w:pStyle w:val="ListBullet"/>
      </w:pPr>
      <w:r>
        <w:t>Advising the POCT Senior Scientist of actions to take</w:t>
      </w:r>
      <w:r w:rsidR="005D4D41">
        <w:t xml:space="preserve"> with regards to non-compliance in the use of POCT devices</w:t>
      </w:r>
      <w:r w:rsidR="00015529">
        <w:t>.</w:t>
      </w:r>
    </w:p>
    <w:p w14:paraId="19AFD84D" w14:textId="7CA67F2B" w:rsidR="005C6DE7" w:rsidRPr="00CF3CE3" w:rsidRDefault="005C6DE7" w:rsidP="005C6DE7">
      <w:pPr>
        <w:pStyle w:val="ListBullet"/>
      </w:pPr>
      <w:r w:rsidRPr="005C6DE7">
        <w:t xml:space="preserve">Submitting a recommendation to the ACT Pathology Executive Director that a POCT device or system be withdrawn from use in any clinical area demonstrating sustained noncompliance with this policy and any of its </w:t>
      </w:r>
      <w:r w:rsidR="00B76386">
        <w:t>p</w:t>
      </w:r>
      <w:r w:rsidR="00B76386" w:rsidRPr="00B76386">
        <w:t>rocedures</w:t>
      </w:r>
      <w:r w:rsidR="00015529">
        <w:t>.</w:t>
      </w:r>
    </w:p>
    <w:p w14:paraId="0A09BC58" w14:textId="77777777" w:rsidR="00CF3CE3" w:rsidRDefault="00CF3CE3" w:rsidP="00CF3CE3">
      <w:pPr>
        <w:pStyle w:val="ListBullet"/>
        <w:numPr>
          <w:ilvl w:val="0"/>
          <w:numId w:val="0"/>
        </w:numPr>
        <w:ind w:left="426"/>
      </w:pPr>
    </w:p>
    <w:p w14:paraId="328B428D" w14:textId="77777777" w:rsidR="006B0A87" w:rsidRPr="00FC3CC7" w:rsidRDefault="006B0A87" w:rsidP="00AA5EBF">
      <w:pPr>
        <w:pStyle w:val="ListBullet"/>
        <w:numPr>
          <w:ilvl w:val="0"/>
          <w:numId w:val="0"/>
        </w:numPr>
      </w:pPr>
      <w:r>
        <w:t>The POCT Management Group does not make any final decision regarding the approval or implementation of POCT devices or systems.</w:t>
      </w:r>
    </w:p>
    <w:p w14:paraId="2384F91C" w14:textId="77777777" w:rsidR="006B0A87" w:rsidRDefault="006B0A87" w:rsidP="006B0A87">
      <w:pPr>
        <w:rPr>
          <w:rFonts w:cs="Arial"/>
          <w:b/>
          <w:szCs w:val="24"/>
        </w:rPr>
      </w:pPr>
    </w:p>
    <w:p w14:paraId="3F557180" w14:textId="77777777" w:rsidR="006B0A87" w:rsidRDefault="006B0A87" w:rsidP="006B0A87">
      <w:pPr>
        <w:rPr>
          <w:rFonts w:cs="Arial"/>
          <w:b/>
          <w:szCs w:val="24"/>
        </w:rPr>
      </w:pPr>
      <w:r w:rsidRPr="001E5A32">
        <w:rPr>
          <w:rFonts w:cs="Arial"/>
          <w:b/>
          <w:szCs w:val="24"/>
        </w:rPr>
        <w:t xml:space="preserve">POCT </w:t>
      </w:r>
      <w:r w:rsidR="0064550D">
        <w:rPr>
          <w:rFonts w:cs="Arial"/>
          <w:b/>
          <w:szCs w:val="24"/>
        </w:rPr>
        <w:t>Senior Scientist</w:t>
      </w:r>
    </w:p>
    <w:p w14:paraId="4BF01C88" w14:textId="77777777" w:rsidR="006B0A87" w:rsidRDefault="006B0A87" w:rsidP="006B0A87">
      <w:pPr>
        <w:rPr>
          <w:rFonts w:cs="Arial"/>
          <w:szCs w:val="24"/>
        </w:rPr>
      </w:pPr>
      <w:r>
        <w:rPr>
          <w:rFonts w:cs="Arial"/>
          <w:szCs w:val="24"/>
        </w:rPr>
        <w:t>This officer is responsible for:</w:t>
      </w:r>
    </w:p>
    <w:p w14:paraId="55836FDC" w14:textId="1A699606" w:rsidR="005C1024" w:rsidRDefault="006B0A87" w:rsidP="00BD1F2F">
      <w:pPr>
        <w:pStyle w:val="ListBullet"/>
      </w:pPr>
      <w:r>
        <w:t>Implementing quality systems to ensure that POCT meets the standard required by accrediting agencies</w:t>
      </w:r>
      <w:r w:rsidR="00015529">
        <w:t>.</w:t>
      </w:r>
      <w:r>
        <w:t xml:space="preserve"> </w:t>
      </w:r>
    </w:p>
    <w:p w14:paraId="2E673EB0" w14:textId="77777777" w:rsidR="00AA22B5" w:rsidRDefault="00AA22B5" w:rsidP="00ED5696">
      <w:pPr>
        <w:pStyle w:val="ListBullet"/>
      </w:pPr>
      <w:r w:rsidRPr="00AA22B5">
        <w:t>Maintenance of a POCT equipment inventory, which includes a unique inventory number and the serial number fo</w:t>
      </w:r>
      <w:r w:rsidR="00166AFD">
        <w:t>r each device, and its location</w:t>
      </w:r>
      <w:r w:rsidRPr="00AA22B5">
        <w:t>.</w:t>
      </w:r>
    </w:p>
    <w:p w14:paraId="49DCB1C4" w14:textId="5FAD3254" w:rsidR="00D87FC6" w:rsidRDefault="00D87FC6" w:rsidP="006E3785">
      <w:pPr>
        <w:pStyle w:val="ListBullet"/>
      </w:pPr>
      <w:r>
        <w:t xml:space="preserve">Maintaining all quality requirements for those devices </w:t>
      </w:r>
      <w:r w:rsidRPr="00D87FC6">
        <w:t>forming part of the ACT Pathology NATA scope of practice</w:t>
      </w:r>
      <w:r w:rsidR="00015529">
        <w:t>.</w:t>
      </w:r>
    </w:p>
    <w:p w14:paraId="329C7F26" w14:textId="1270ABAB" w:rsidR="0053146A" w:rsidRDefault="0053146A" w:rsidP="0053146A">
      <w:pPr>
        <w:pStyle w:val="ListBullet"/>
      </w:pPr>
      <w:r>
        <w:lastRenderedPageBreak/>
        <w:t xml:space="preserve">Auditing compliance of POCT devices that do not form </w:t>
      </w:r>
      <w:r w:rsidRPr="0053146A">
        <w:t>part of the ACT Pathology NATA scope of practice</w:t>
      </w:r>
      <w:r w:rsidR="00015529">
        <w:t>.</w:t>
      </w:r>
    </w:p>
    <w:p w14:paraId="38C6B191" w14:textId="77777777" w:rsidR="006B0A87" w:rsidRDefault="00A7703D" w:rsidP="006B0A87">
      <w:pPr>
        <w:pStyle w:val="ListBullet"/>
      </w:pPr>
      <w:r>
        <w:t>N</w:t>
      </w:r>
      <w:r w:rsidR="006B0A87">
        <w:t>otifying clinical staff of corrective actions required when performance is unacceptable, and the time frame that such actions are to be completed.</w:t>
      </w:r>
    </w:p>
    <w:p w14:paraId="3996DC92" w14:textId="5004B1B6" w:rsidR="005006C8" w:rsidRDefault="005006C8" w:rsidP="006B0A87">
      <w:pPr>
        <w:pStyle w:val="ListBullet"/>
      </w:pPr>
      <w:r>
        <w:t>Raising a R</w:t>
      </w:r>
      <w:r w:rsidR="00C720E4">
        <w:t>iskman</w:t>
      </w:r>
      <w:r w:rsidR="00015529">
        <w:t xml:space="preserve"> incident report</w:t>
      </w:r>
      <w:r w:rsidR="00C720E4">
        <w:t>, where there is continued</w:t>
      </w:r>
      <w:r>
        <w:t xml:space="preserve"> evidence of non-compliance.</w:t>
      </w:r>
    </w:p>
    <w:p w14:paraId="6B989F28" w14:textId="6670219F" w:rsidR="007A68B6" w:rsidRDefault="007A68B6" w:rsidP="007A68B6">
      <w:pPr>
        <w:pStyle w:val="ListBullet"/>
      </w:pPr>
      <w:r w:rsidRPr="007A68B6">
        <w:t xml:space="preserve">Maintaining a register of key trainers for each type of POCT equipment or method.  These key trainers are responsible for monitoring </w:t>
      </w:r>
      <w:r w:rsidR="00B20D87">
        <w:t>Quality Control</w:t>
      </w:r>
      <w:r w:rsidRPr="007A68B6">
        <w:t xml:space="preserve"> performance of users in their area and conducting training and competency appraisals on these users.</w:t>
      </w:r>
    </w:p>
    <w:p w14:paraId="591EC4BB" w14:textId="5F226563" w:rsidR="00F919E4" w:rsidRDefault="00F919E4" w:rsidP="00F919E4">
      <w:pPr>
        <w:pStyle w:val="ListBullet"/>
      </w:pPr>
      <w:r>
        <w:t xml:space="preserve">Maintaining a register for all trained staff </w:t>
      </w:r>
      <w:r w:rsidRPr="00F919E4">
        <w:t>for those devices forming part of the ACT Pathology NATA scope of practice</w:t>
      </w:r>
      <w:r>
        <w:t>. Evidence of ongoing competency assessments must be documented</w:t>
      </w:r>
      <w:r w:rsidR="00015529">
        <w:t>.</w:t>
      </w:r>
    </w:p>
    <w:p w14:paraId="0C6E15E0" w14:textId="77777777" w:rsidR="000D5565" w:rsidRDefault="000D5565" w:rsidP="006B0A87">
      <w:pPr>
        <w:pStyle w:val="ListBullet"/>
      </w:pPr>
      <w:r>
        <w:t xml:space="preserve">Withdrawing </w:t>
      </w:r>
      <w:r w:rsidRPr="000D5565">
        <w:t>staff competence certification</w:t>
      </w:r>
      <w:r>
        <w:t xml:space="preserve"> </w:t>
      </w:r>
      <w:r w:rsidRPr="000D5565">
        <w:t>in instances of demonstrated sustained und</w:t>
      </w:r>
      <w:r w:rsidR="005C6DE7">
        <w:t>erperformance and noncompliance.</w:t>
      </w:r>
    </w:p>
    <w:p w14:paraId="7649E0FA" w14:textId="54769FB9" w:rsidR="006B0A87" w:rsidRDefault="006B0A87" w:rsidP="006B0A87">
      <w:pPr>
        <w:pStyle w:val="ListBullet"/>
      </w:pPr>
      <w:r>
        <w:t xml:space="preserve">Submitting a recommendation to the </w:t>
      </w:r>
      <w:r w:rsidR="00383F2F">
        <w:t>ACT Pathology POCT management group</w:t>
      </w:r>
      <w:r>
        <w:t xml:space="preserve"> that a POCT device or system be withdrawn from use in any clinical area demonstrating sustained noncompliance with this policy and any of its </w:t>
      </w:r>
      <w:r w:rsidR="00B76386">
        <w:t>p</w:t>
      </w:r>
      <w:r w:rsidR="00B76386" w:rsidRPr="00B76386">
        <w:t>rocedures</w:t>
      </w:r>
      <w:r>
        <w:t>.</w:t>
      </w:r>
    </w:p>
    <w:p w14:paraId="0B48D647" w14:textId="77777777" w:rsidR="006B0A87" w:rsidRDefault="006B0A87" w:rsidP="006B0A87">
      <w:pPr>
        <w:pStyle w:val="ListBullet"/>
      </w:pPr>
      <w:r>
        <w:t>Procurement of POCT devices, once approved by the ACT Pathology Executive Director.</w:t>
      </w:r>
    </w:p>
    <w:p w14:paraId="04511439" w14:textId="459871BD" w:rsidR="006B0A87" w:rsidRDefault="006B0A87" w:rsidP="006B0A87">
      <w:pPr>
        <w:pStyle w:val="ListBullet"/>
      </w:pPr>
      <w:r>
        <w:t xml:space="preserve">Developing, writing, and implementing specific POCT </w:t>
      </w:r>
      <w:r w:rsidR="00B76386" w:rsidRPr="00B76386">
        <w:t>procedures</w:t>
      </w:r>
      <w:r w:rsidR="00015529">
        <w:t>.</w:t>
      </w:r>
    </w:p>
    <w:p w14:paraId="35818B8D" w14:textId="77777777" w:rsidR="00424953" w:rsidRDefault="00424953" w:rsidP="00424953">
      <w:pPr>
        <w:pStyle w:val="ListBullet"/>
      </w:pPr>
      <w:r w:rsidRPr="00424953">
        <w:t>Providing clinical staff with trouble shooting support for malfunctioning POCT devices.</w:t>
      </w:r>
    </w:p>
    <w:p w14:paraId="45D36695" w14:textId="58CE283A" w:rsidR="00424953" w:rsidRDefault="00424953" w:rsidP="00424953">
      <w:pPr>
        <w:pStyle w:val="ListBullet"/>
      </w:pPr>
      <w:r w:rsidRPr="00424953">
        <w:t xml:space="preserve">Ensuring that each POCT instrument is enrolled in an </w:t>
      </w:r>
      <w:bookmarkStart w:id="0" w:name="_Hlk52530639"/>
      <w:r w:rsidR="008D5889">
        <w:rPr>
          <w:rFonts w:cs="Arial"/>
          <w:szCs w:val="24"/>
        </w:rPr>
        <w:t>External Quality Assurance Programme</w:t>
      </w:r>
      <w:bookmarkEnd w:id="0"/>
      <w:r w:rsidR="000B2827">
        <w:t>, where available.</w:t>
      </w:r>
    </w:p>
    <w:p w14:paraId="5A132B1C" w14:textId="77777777" w:rsidR="00DA4284" w:rsidRDefault="00DA4284" w:rsidP="00DA4284">
      <w:pPr>
        <w:pStyle w:val="ListBullet"/>
      </w:pPr>
      <w:r w:rsidRPr="00DA4284">
        <w:t>Reviewing EQAP results and requesting corrective actions that need to be completed by users of the POCT instrument.</w:t>
      </w:r>
    </w:p>
    <w:p w14:paraId="2C69A7DE" w14:textId="760FCD7D" w:rsidR="00A86A9D" w:rsidRDefault="00C34C03" w:rsidP="006B0A87">
      <w:pPr>
        <w:pStyle w:val="ListBullet"/>
      </w:pPr>
      <w:r w:rsidRPr="00C34C03">
        <w:t>Designing documents and methods for appraisin</w:t>
      </w:r>
      <w:r>
        <w:t>g the POCT competency of users.</w:t>
      </w:r>
    </w:p>
    <w:p w14:paraId="174F35DD" w14:textId="58C7E1AB" w:rsidR="00195CAE" w:rsidRDefault="00195CAE" w:rsidP="00195CAE">
      <w:pPr>
        <w:rPr>
          <w:rFonts w:cs="Arial"/>
          <w:b/>
          <w:szCs w:val="24"/>
        </w:rPr>
      </w:pPr>
    </w:p>
    <w:p w14:paraId="54D22258" w14:textId="77777777" w:rsidR="00195CAE" w:rsidRDefault="00195CAE" w:rsidP="00195CAE">
      <w:pPr>
        <w:pStyle w:val="ProcedureTemplateinternalheadings"/>
        <w:framePr w:wrap="around"/>
      </w:pPr>
    </w:p>
    <w:tbl>
      <w:tblPr>
        <w:tblpPr w:leftFromText="180" w:rightFromText="180" w:vertAnchor="text" w:horzAnchor="margin" w:tblpY="181"/>
        <w:tblW w:w="9158" w:type="dxa"/>
        <w:shd w:val="clear" w:color="auto" w:fill="000000" w:themeFill="text1"/>
        <w:tblLook w:val="0000" w:firstRow="0" w:lastRow="0" w:firstColumn="0" w:lastColumn="0" w:noHBand="0" w:noVBand="0"/>
      </w:tblPr>
      <w:tblGrid>
        <w:gridCol w:w="9158"/>
      </w:tblGrid>
      <w:tr w:rsidR="00195CAE" w:rsidRPr="00195CAE" w14:paraId="6E52483C" w14:textId="77777777" w:rsidTr="000E456A">
        <w:trPr>
          <w:cantSplit/>
          <w:trHeight w:val="285"/>
        </w:trPr>
        <w:tc>
          <w:tcPr>
            <w:tcW w:w="9158" w:type="dxa"/>
            <w:shd w:val="clear" w:color="auto" w:fill="000000" w:themeFill="text1"/>
          </w:tcPr>
          <w:p w14:paraId="1C7C799D" w14:textId="77777777" w:rsidR="00195CAE" w:rsidRPr="00195CAE" w:rsidRDefault="00195CAE" w:rsidP="00795274">
            <w:pPr>
              <w:pStyle w:val="Heading1"/>
              <w:rPr>
                <w:color w:val="FFFFFF" w:themeColor="background1"/>
              </w:rPr>
            </w:pPr>
            <w:r w:rsidRPr="00195CAE">
              <w:rPr>
                <w:color w:val="FFFFFF" w:themeColor="background1"/>
              </w:rPr>
              <w:t>Evaluation</w:t>
            </w:r>
          </w:p>
        </w:tc>
      </w:tr>
    </w:tbl>
    <w:p w14:paraId="65AA1B95" w14:textId="77777777" w:rsidR="00195CAE" w:rsidRDefault="00195CAE" w:rsidP="00195CAE">
      <w:pPr>
        <w:pStyle w:val="Default"/>
        <w:rPr>
          <w:rFonts w:ascii="Calibri" w:hAnsi="Calibri"/>
        </w:rPr>
      </w:pPr>
    </w:p>
    <w:p w14:paraId="49F111A6" w14:textId="77777777" w:rsidR="00195CAE" w:rsidRDefault="00195CAE" w:rsidP="00195CAE">
      <w:pPr>
        <w:pStyle w:val="Default"/>
        <w:rPr>
          <w:rFonts w:ascii="Calibri" w:hAnsi="Calibri" w:cs="Arial"/>
          <w:b/>
          <w:bCs/>
          <w:iCs/>
          <w:color w:val="auto"/>
          <w:lang w:eastAsia="en-US"/>
        </w:rPr>
      </w:pPr>
      <w:r>
        <w:rPr>
          <w:rFonts w:ascii="Calibri" w:hAnsi="Calibri" w:cs="Arial"/>
          <w:b/>
          <w:bCs/>
          <w:iCs/>
          <w:color w:val="auto"/>
          <w:lang w:eastAsia="en-US"/>
        </w:rPr>
        <w:t>Outcome</w:t>
      </w:r>
    </w:p>
    <w:p w14:paraId="403EE412" w14:textId="755DB86F" w:rsidR="00195CAE" w:rsidRDefault="00195CAE" w:rsidP="000E456A">
      <w:pPr>
        <w:pStyle w:val="ListBullet"/>
      </w:pPr>
      <w:r>
        <w:t>Point of Care testing occurs as per this policy.</w:t>
      </w:r>
    </w:p>
    <w:p w14:paraId="47C06D6A" w14:textId="77777777" w:rsidR="00195CAE" w:rsidRPr="00985DC8" w:rsidRDefault="00195CAE" w:rsidP="00195CAE">
      <w:pPr>
        <w:pStyle w:val="Default"/>
        <w:rPr>
          <w:rFonts w:ascii="Calibri" w:hAnsi="Calibri" w:cs="Arial"/>
          <w:iCs/>
          <w:color w:val="auto"/>
          <w:lang w:eastAsia="en-US"/>
        </w:rPr>
      </w:pPr>
    </w:p>
    <w:p w14:paraId="3C326468" w14:textId="77777777" w:rsidR="00195CAE" w:rsidRDefault="00195CAE" w:rsidP="00195CAE">
      <w:pPr>
        <w:pStyle w:val="Default"/>
        <w:rPr>
          <w:rFonts w:ascii="Calibri" w:hAnsi="Calibri" w:cs="Arial"/>
          <w:b/>
          <w:bCs/>
          <w:iCs/>
          <w:color w:val="auto"/>
          <w:lang w:eastAsia="en-US"/>
        </w:rPr>
      </w:pPr>
      <w:r>
        <w:rPr>
          <w:rFonts w:ascii="Calibri" w:hAnsi="Calibri" w:cs="Arial"/>
          <w:b/>
          <w:bCs/>
          <w:iCs/>
          <w:color w:val="auto"/>
          <w:lang w:eastAsia="en-US"/>
        </w:rPr>
        <w:t>Measures</w:t>
      </w:r>
    </w:p>
    <w:p w14:paraId="7442CF02" w14:textId="77777777" w:rsidR="00195CAE" w:rsidRPr="001A0BBA" w:rsidRDefault="00195CAE" w:rsidP="000E456A">
      <w:pPr>
        <w:pStyle w:val="ListBullet"/>
        <w:rPr>
          <w:b/>
          <w:bCs/>
        </w:rPr>
      </w:pPr>
      <w:r>
        <w:t>Review incident reports related to POCT.</w:t>
      </w:r>
    </w:p>
    <w:p w14:paraId="6C59A931" w14:textId="77777777" w:rsidR="006817A9" w:rsidRPr="00A71C2C" w:rsidRDefault="006817A9" w:rsidP="006B0A87">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4ECBC238" w14:textId="77777777" w:rsidTr="000E456A">
        <w:trPr>
          <w:cantSplit/>
          <w:trHeight w:val="285"/>
        </w:trPr>
        <w:tc>
          <w:tcPr>
            <w:tcW w:w="9158" w:type="dxa"/>
            <w:shd w:val="clear" w:color="auto" w:fill="000000"/>
          </w:tcPr>
          <w:p w14:paraId="46BCA9D2" w14:textId="04503349" w:rsidR="00A86A9D" w:rsidRPr="001502DF" w:rsidRDefault="00A86A9D" w:rsidP="007A238D">
            <w:pPr>
              <w:pStyle w:val="Heading1"/>
              <w:rPr>
                <w:b w:val="0"/>
                <w:szCs w:val="24"/>
              </w:rPr>
            </w:pPr>
            <w:r>
              <w:rPr>
                <w:szCs w:val="24"/>
              </w:rPr>
              <w:t>Related</w:t>
            </w:r>
            <w:r w:rsidRPr="008652F8">
              <w:rPr>
                <w:szCs w:val="24"/>
              </w:rPr>
              <w:t xml:space="preserve"> Policies, Procedures, Guidelines and Legislation</w:t>
            </w:r>
          </w:p>
        </w:tc>
      </w:tr>
    </w:tbl>
    <w:p w14:paraId="79E6AB84" w14:textId="77777777" w:rsidR="00A86A9D" w:rsidRPr="006019FE" w:rsidRDefault="00A86A9D" w:rsidP="00A86A9D">
      <w:pPr>
        <w:rPr>
          <w:rFonts w:cs="Arial"/>
          <w:szCs w:val="24"/>
        </w:rPr>
      </w:pPr>
    </w:p>
    <w:p w14:paraId="214EEA9B" w14:textId="77777777" w:rsidR="006B0A87" w:rsidRPr="00A165A1" w:rsidRDefault="006B0A87" w:rsidP="006B0A87">
      <w:pPr>
        <w:jc w:val="both"/>
        <w:rPr>
          <w:rFonts w:cs="Arial"/>
          <w:b/>
          <w:szCs w:val="24"/>
        </w:rPr>
      </w:pPr>
      <w:r w:rsidRPr="00A165A1">
        <w:rPr>
          <w:rFonts w:cs="Arial"/>
          <w:b/>
          <w:szCs w:val="24"/>
        </w:rPr>
        <w:t>Legislation</w:t>
      </w:r>
    </w:p>
    <w:p w14:paraId="6B8AF554" w14:textId="77777777" w:rsidR="006B0A87" w:rsidRDefault="006B0A87" w:rsidP="006B0A87">
      <w:pPr>
        <w:numPr>
          <w:ilvl w:val="0"/>
          <w:numId w:val="14"/>
        </w:numPr>
        <w:tabs>
          <w:tab w:val="left" w:pos="426"/>
        </w:tabs>
        <w:ind w:left="426" w:hanging="426"/>
        <w:rPr>
          <w:rFonts w:cs="Calibri"/>
          <w:szCs w:val="24"/>
        </w:rPr>
      </w:pPr>
      <w:r w:rsidRPr="00044FFC">
        <w:rPr>
          <w:rFonts w:cs="Calibri"/>
          <w:i/>
          <w:szCs w:val="24"/>
        </w:rPr>
        <w:t>Health Professionals Act</w:t>
      </w:r>
      <w:r w:rsidRPr="00044FFC">
        <w:rPr>
          <w:rFonts w:cs="Calibri"/>
          <w:szCs w:val="24"/>
        </w:rPr>
        <w:t xml:space="preserve"> 2004</w:t>
      </w:r>
    </w:p>
    <w:p w14:paraId="7DF32187" w14:textId="3E2658ED" w:rsidR="00FD1D20" w:rsidRPr="00015529" w:rsidRDefault="006B0A87" w:rsidP="00015529">
      <w:pPr>
        <w:pStyle w:val="ListBullet"/>
        <w:rPr>
          <w:rFonts w:cs="Arial"/>
          <w:i/>
          <w:iCs/>
        </w:rPr>
      </w:pPr>
      <w:r w:rsidRPr="00015529">
        <w:rPr>
          <w:i/>
          <w:iCs/>
        </w:rPr>
        <w:t>Public Sector Management Act 1994</w:t>
      </w:r>
    </w:p>
    <w:p w14:paraId="735A3219" w14:textId="77777777" w:rsidR="006B0A87" w:rsidRPr="00015529" w:rsidRDefault="006B0A87" w:rsidP="006B0A87">
      <w:pPr>
        <w:numPr>
          <w:ilvl w:val="0"/>
          <w:numId w:val="14"/>
        </w:numPr>
        <w:tabs>
          <w:tab w:val="left" w:pos="426"/>
        </w:tabs>
        <w:ind w:left="426" w:hanging="426"/>
        <w:jc w:val="both"/>
        <w:rPr>
          <w:rFonts w:cs="Arial"/>
          <w:i/>
          <w:iCs/>
          <w:szCs w:val="24"/>
        </w:rPr>
      </w:pPr>
      <w:r w:rsidRPr="00015529">
        <w:rPr>
          <w:rFonts w:cs="Arial"/>
          <w:i/>
          <w:iCs/>
          <w:szCs w:val="24"/>
        </w:rPr>
        <w:t>Therapeutic Goods Act, 1989</w:t>
      </w:r>
    </w:p>
    <w:p w14:paraId="62A72E40" w14:textId="77777777" w:rsidR="006B0A87" w:rsidRPr="00015529" w:rsidRDefault="006B0A87" w:rsidP="006B0A87">
      <w:pPr>
        <w:numPr>
          <w:ilvl w:val="0"/>
          <w:numId w:val="14"/>
        </w:numPr>
        <w:tabs>
          <w:tab w:val="left" w:pos="426"/>
        </w:tabs>
        <w:ind w:left="426" w:hanging="426"/>
        <w:jc w:val="both"/>
        <w:rPr>
          <w:rFonts w:cs="Arial"/>
          <w:i/>
          <w:iCs/>
          <w:szCs w:val="24"/>
        </w:rPr>
      </w:pPr>
      <w:r w:rsidRPr="00015529">
        <w:rPr>
          <w:rFonts w:cs="Arial"/>
          <w:i/>
          <w:iCs/>
          <w:szCs w:val="24"/>
        </w:rPr>
        <w:t>Therapeutic Goods (Medical Devices) Regulations, 2002</w:t>
      </w:r>
    </w:p>
    <w:p w14:paraId="7C2E0492" w14:textId="04502DEA" w:rsidR="006B0A87" w:rsidRPr="00015529" w:rsidRDefault="006B0A87" w:rsidP="00015529">
      <w:pPr>
        <w:pStyle w:val="ListBullet"/>
        <w:rPr>
          <w:rFonts w:cs="Arial"/>
          <w:i/>
          <w:iCs/>
        </w:rPr>
      </w:pPr>
      <w:r w:rsidRPr="00015529">
        <w:rPr>
          <w:i/>
          <w:iCs/>
        </w:rPr>
        <w:t>Work Health and Safety Act 2011</w:t>
      </w:r>
    </w:p>
    <w:p w14:paraId="0C724429" w14:textId="77777777" w:rsidR="006B0A87" w:rsidRPr="00015529" w:rsidRDefault="006B0A87" w:rsidP="006B0A87">
      <w:pPr>
        <w:numPr>
          <w:ilvl w:val="0"/>
          <w:numId w:val="14"/>
        </w:numPr>
        <w:tabs>
          <w:tab w:val="left" w:pos="426"/>
        </w:tabs>
        <w:ind w:left="426" w:hanging="426"/>
        <w:jc w:val="both"/>
        <w:rPr>
          <w:rFonts w:cs="Arial"/>
          <w:i/>
          <w:iCs/>
          <w:szCs w:val="24"/>
        </w:rPr>
      </w:pPr>
      <w:r w:rsidRPr="00015529">
        <w:rPr>
          <w:rFonts w:cs="Calibri"/>
          <w:bCs/>
          <w:i/>
          <w:iCs/>
          <w:szCs w:val="24"/>
        </w:rPr>
        <w:lastRenderedPageBreak/>
        <w:t>Work Health and Safety Regulation 2011</w:t>
      </w:r>
    </w:p>
    <w:p w14:paraId="1D16D15B" w14:textId="0817218C" w:rsidR="006B0A87" w:rsidRPr="00015529" w:rsidRDefault="006B0A87" w:rsidP="00015529">
      <w:pPr>
        <w:tabs>
          <w:tab w:val="left" w:pos="426"/>
        </w:tabs>
        <w:ind w:left="426" w:hanging="426"/>
        <w:jc w:val="both"/>
      </w:pPr>
      <w:r>
        <w:tab/>
      </w:r>
    </w:p>
    <w:p w14:paraId="7CC45862" w14:textId="0677A8BE" w:rsidR="006B0A87" w:rsidRPr="00015529" w:rsidRDefault="006B0A87" w:rsidP="00015529">
      <w:pPr>
        <w:jc w:val="both"/>
        <w:rPr>
          <w:rFonts w:cs="Arial"/>
          <w:b/>
          <w:szCs w:val="24"/>
        </w:rPr>
      </w:pPr>
      <w:r w:rsidRPr="00A165A1">
        <w:rPr>
          <w:rFonts w:cs="Arial"/>
          <w:b/>
          <w:szCs w:val="24"/>
        </w:rPr>
        <w:t>Policies</w:t>
      </w:r>
    </w:p>
    <w:p w14:paraId="2360DB11" w14:textId="64DC575F" w:rsidR="006B0A87" w:rsidRPr="00015529" w:rsidRDefault="006B0A87" w:rsidP="006B0A87">
      <w:pPr>
        <w:numPr>
          <w:ilvl w:val="0"/>
          <w:numId w:val="14"/>
        </w:numPr>
        <w:ind w:left="426" w:hanging="426"/>
        <w:jc w:val="both"/>
        <w:rPr>
          <w:rFonts w:cs="Arial"/>
          <w:szCs w:val="24"/>
        </w:rPr>
      </w:pPr>
      <w:r w:rsidRPr="00015529">
        <w:rPr>
          <w:rFonts w:cs="Arial"/>
          <w:szCs w:val="24"/>
        </w:rPr>
        <w:t xml:space="preserve">Risk Management </w:t>
      </w:r>
    </w:p>
    <w:p w14:paraId="55C0EB0C" w14:textId="49833AC0" w:rsidR="006B0A87" w:rsidRDefault="006B0A87" w:rsidP="006B0A87">
      <w:pPr>
        <w:numPr>
          <w:ilvl w:val="0"/>
          <w:numId w:val="14"/>
        </w:numPr>
        <w:ind w:left="426" w:hanging="426"/>
        <w:jc w:val="both"/>
        <w:rPr>
          <w:rFonts w:cs="Arial"/>
          <w:szCs w:val="24"/>
        </w:rPr>
      </w:pPr>
      <w:r w:rsidRPr="00015529">
        <w:rPr>
          <w:rFonts w:cs="Arial"/>
          <w:szCs w:val="24"/>
        </w:rPr>
        <w:t xml:space="preserve">Work Health and Safety </w:t>
      </w:r>
      <w:r w:rsidR="00E67DFF" w:rsidRPr="00015529">
        <w:rPr>
          <w:rFonts w:cs="Arial"/>
          <w:szCs w:val="24"/>
        </w:rPr>
        <w:t xml:space="preserve">Management </w:t>
      </w:r>
      <w:r w:rsidR="00015529">
        <w:rPr>
          <w:rFonts w:cs="Arial"/>
          <w:szCs w:val="24"/>
        </w:rPr>
        <w:t>system</w:t>
      </w:r>
    </w:p>
    <w:p w14:paraId="4A71A680" w14:textId="76BA8550" w:rsidR="00195CAE" w:rsidRDefault="00195CAE" w:rsidP="006B0A87">
      <w:pPr>
        <w:numPr>
          <w:ilvl w:val="0"/>
          <w:numId w:val="14"/>
        </w:numPr>
        <w:ind w:left="426" w:hanging="426"/>
        <w:jc w:val="both"/>
        <w:rPr>
          <w:rFonts w:cs="Arial"/>
          <w:szCs w:val="24"/>
        </w:rPr>
      </w:pPr>
      <w:r>
        <w:rPr>
          <w:rFonts w:cs="Arial"/>
          <w:szCs w:val="24"/>
        </w:rPr>
        <w:t>Work Health and Safety</w:t>
      </w:r>
    </w:p>
    <w:p w14:paraId="6C993D54" w14:textId="5BCA2C3B" w:rsidR="00195CAE" w:rsidRPr="00015529" w:rsidRDefault="00195CAE" w:rsidP="006B0A87">
      <w:pPr>
        <w:numPr>
          <w:ilvl w:val="0"/>
          <w:numId w:val="14"/>
        </w:numPr>
        <w:ind w:left="426" w:hanging="426"/>
        <w:jc w:val="both"/>
        <w:rPr>
          <w:rFonts w:cs="Arial"/>
          <w:szCs w:val="24"/>
        </w:rPr>
      </w:pPr>
      <w:r>
        <w:rPr>
          <w:rFonts w:cs="Arial"/>
          <w:szCs w:val="24"/>
        </w:rPr>
        <w:t xml:space="preserve">Incident Management </w:t>
      </w:r>
    </w:p>
    <w:p w14:paraId="369FDD8F" w14:textId="77777777" w:rsidR="006B0A87" w:rsidRDefault="006B0A87" w:rsidP="006B0A87">
      <w:pPr>
        <w:jc w:val="both"/>
        <w:rPr>
          <w:rFonts w:cs="Arial"/>
          <w:szCs w:val="24"/>
        </w:rPr>
      </w:pPr>
    </w:p>
    <w:p w14:paraId="59A4791A" w14:textId="77777777" w:rsidR="00015529" w:rsidRDefault="00015529" w:rsidP="006B0A87">
      <w:pPr>
        <w:jc w:val="both"/>
        <w:rPr>
          <w:rFonts w:cs="Arial"/>
          <w:b/>
          <w:szCs w:val="24"/>
        </w:rPr>
      </w:pPr>
      <w:r>
        <w:rPr>
          <w:rFonts w:cs="Arial"/>
          <w:b/>
          <w:szCs w:val="24"/>
        </w:rPr>
        <w:t>Procedures</w:t>
      </w:r>
    </w:p>
    <w:p w14:paraId="02F96674" w14:textId="54A02D0C" w:rsidR="00015529" w:rsidRPr="00015529" w:rsidRDefault="00015529" w:rsidP="00015529">
      <w:pPr>
        <w:pStyle w:val="ListBullet"/>
        <w:rPr>
          <w:b/>
        </w:rPr>
      </w:pPr>
      <w:r w:rsidRPr="006C30F5">
        <w:t>Pathology Point-of-care Testing (POCT)</w:t>
      </w:r>
    </w:p>
    <w:p w14:paraId="4CB3E1B2" w14:textId="77777777" w:rsidR="00015529" w:rsidRDefault="00015529" w:rsidP="00015529">
      <w:pPr>
        <w:pStyle w:val="ListBullet"/>
      </w:pPr>
      <w:r>
        <w:t xml:space="preserve">Patient Identification – Pathology Specimen Labelling </w:t>
      </w:r>
    </w:p>
    <w:p w14:paraId="38BE761F" w14:textId="77777777" w:rsidR="00195CAE" w:rsidRPr="00015529" w:rsidRDefault="00195CAE" w:rsidP="00195CAE">
      <w:pPr>
        <w:pStyle w:val="ListBullet"/>
      </w:pPr>
      <w:r w:rsidRPr="00015529">
        <w:t xml:space="preserve">Blood Glucose and Ketone Point-of-Care Testing </w:t>
      </w:r>
    </w:p>
    <w:p w14:paraId="1FED1920" w14:textId="77777777" w:rsidR="00015529" w:rsidRDefault="00015529" w:rsidP="00195CAE">
      <w:pPr>
        <w:pStyle w:val="ListBullet"/>
        <w:numPr>
          <w:ilvl w:val="0"/>
          <w:numId w:val="0"/>
        </w:numPr>
        <w:ind w:left="426"/>
        <w:rPr>
          <w:b/>
        </w:rPr>
      </w:pPr>
    </w:p>
    <w:p w14:paraId="2E0379B6" w14:textId="15C6B423" w:rsidR="006B0A87" w:rsidRPr="00A165A1" w:rsidRDefault="006B0A87" w:rsidP="006B0A87">
      <w:pPr>
        <w:jc w:val="both"/>
        <w:rPr>
          <w:rFonts w:cs="Arial"/>
          <w:b/>
          <w:szCs w:val="24"/>
        </w:rPr>
      </w:pPr>
      <w:r w:rsidRPr="00A165A1">
        <w:rPr>
          <w:rFonts w:cs="Arial"/>
          <w:b/>
          <w:szCs w:val="24"/>
        </w:rPr>
        <w:t xml:space="preserve">Standards   </w:t>
      </w:r>
    </w:p>
    <w:p w14:paraId="56610EE3" w14:textId="77777777" w:rsidR="006B0A87" w:rsidRDefault="006B0A87" w:rsidP="006B0A87">
      <w:pPr>
        <w:pStyle w:val="ListBullet"/>
      </w:pPr>
      <w:r w:rsidRPr="00034263">
        <w:t xml:space="preserve">NPAAC “Requirements for the Retention of Laboratory Records and Diagnostic Material,” </w:t>
      </w:r>
      <w:r w:rsidR="007D16AD">
        <w:t>Seventh</w:t>
      </w:r>
      <w:r w:rsidRPr="00034263">
        <w:t xml:space="preserve"> Edition 20</w:t>
      </w:r>
      <w:r w:rsidR="007D16AD">
        <w:t>18</w:t>
      </w:r>
      <w:r w:rsidRPr="00034263">
        <w:t>.</w:t>
      </w:r>
    </w:p>
    <w:p w14:paraId="6484F726" w14:textId="77777777" w:rsidR="006B0A87" w:rsidRDefault="00DD5D22" w:rsidP="006B0A87">
      <w:pPr>
        <w:pStyle w:val="ListBullet"/>
      </w:pPr>
      <w:r>
        <w:t>ISO 15189:2013</w:t>
      </w:r>
      <w:r w:rsidR="006B0A87">
        <w:t xml:space="preserve"> “Medical Laboratories – Requirements for Quality and Competence.”</w:t>
      </w:r>
    </w:p>
    <w:p w14:paraId="5C0A6118" w14:textId="77777777" w:rsidR="006B0A87" w:rsidRDefault="006B0A87" w:rsidP="006B0A87">
      <w:pPr>
        <w:pStyle w:val="ListBullet"/>
      </w:pPr>
      <w:r>
        <w:t>ISO 22870:2006 “Point-of-care Testing (POCT) – Requirements for Quality and Competence.”</w:t>
      </w:r>
    </w:p>
    <w:p w14:paraId="153BABF7" w14:textId="77777777" w:rsidR="006B0A87" w:rsidRDefault="006B0A87" w:rsidP="006B0A87">
      <w:pPr>
        <w:pStyle w:val="ListBullet"/>
      </w:pPr>
      <w:r>
        <w:t xml:space="preserve">NATA Interpretation of NPAAC Requirements and ISO 15189, </w:t>
      </w:r>
      <w:r w:rsidR="000C08A5">
        <w:t xml:space="preserve">ISO 15189 Standard </w:t>
      </w:r>
      <w:r>
        <w:t xml:space="preserve">Application Document, Requirements for Accreditation, </w:t>
      </w:r>
      <w:r w:rsidR="000C08A5">
        <w:t>May 2019</w:t>
      </w:r>
    </w:p>
    <w:p w14:paraId="2D40D8D5" w14:textId="77777777" w:rsidR="006B0A87" w:rsidRDefault="006B0A87" w:rsidP="006B0A87">
      <w:pPr>
        <w:pStyle w:val="ListBullet"/>
      </w:pPr>
      <w:r>
        <w:t>The Regulatory Requirements for In-ho</w:t>
      </w:r>
      <w:r w:rsidR="00BC6F5A">
        <w:t>use IVDs in Australia, Version 2.2</w:t>
      </w:r>
      <w:r>
        <w:t xml:space="preserve">, </w:t>
      </w:r>
      <w:r w:rsidR="00BC6F5A">
        <w:t>September 2018</w:t>
      </w:r>
      <w:r>
        <w:t>, Australian Government Department of Health and Ageing, Therapeutic Goods Administration</w:t>
      </w:r>
    </w:p>
    <w:p w14:paraId="2BCB1C67" w14:textId="77777777" w:rsidR="006B0A87" w:rsidRDefault="006B0A87" w:rsidP="006B0A87">
      <w:pPr>
        <w:pStyle w:val="ListBullet"/>
      </w:pPr>
      <w:r>
        <w:t>Classification o</w:t>
      </w:r>
      <w:r w:rsidR="008B75FE">
        <w:t>f IVD Medical Devices, Version 2.0, December 2015</w:t>
      </w:r>
      <w:r>
        <w:t>, Australian Government Department of Health and Ageing, Therapeutic Goods Administration</w:t>
      </w:r>
    </w:p>
    <w:p w14:paraId="2A0D57A9" w14:textId="7C889111" w:rsidR="00A86A9D" w:rsidRDefault="006B0A87" w:rsidP="006B0A87">
      <w:pPr>
        <w:pStyle w:val="ListBullet"/>
      </w:pPr>
      <w:r>
        <w:t xml:space="preserve">National Safety and Quality Health Service Standards, </w:t>
      </w:r>
      <w:r w:rsidR="00D55E5B">
        <w:t>January 2019</w:t>
      </w:r>
      <w:r>
        <w:t>, Australian Commission on Safety and Quality in Health Care.</w:t>
      </w:r>
    </w:p>
    <w:p w14:paraId="1E32260D" w14:textId="77777777" w:rsidR="000E456A" w:rsidRPr="00032890" w:rsidRDefault="000E456A" w:rsidP="000E456A">
      <w:pPr>
        <w:pStyle w:val="ListBullet"/>
        <w:numPr>
          <w:ilvl w:val="0"/>
          <w:numId w:val="0"/>
        </w:num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698FF4E1" w14:textId="77777777" w:rsidTr="000E456A">
        <w:trPr>
          <w:cantSplit/>
          <w:trHeight w:val="285"/>
        </w:trPr>
        <w:tc>
          <w:tcPr>
            <w:tcW w:w="9158" w:type="dxa"/>
            <w:shd w:val="clear" w:color="auto" w:fill="000000"/>
          </w:tcPr>
          <w:p w14:paraId="5CE8C9BB" w14:textId="77777777" w:rsidR="00A86A9D" w:rsidRPr="007A238D" w:rsidRDefault="00A86A9D" w:rsidP="006B0A87">
            <w:pPr>
              <w:pStyle w:val="Heading1"/>
              <w:rPr>
                <w:color w:val="FFFFFF" w:themeColor="background1"/>
              </w:rPr>
            </w:pPr>
            <w:r w:rsidRPr="007A238D">
              <w:rPr>
                <w:color w:val="FFFFFF" w:themeColor="background1"/>
              </w:rPr>
              <w:t xml:space="preserve">Definition of Terms </w:t>
            </w:r>
          </w:p>
        </w:tc>
      </w:tr>
    </w:tbl>
    <w:p w14:paraId="52B255CC" w14:textId="77777777" w:rsidR="00A86A9D" w:rsidRDefault="00A86A9D" w:rsidP="00A86A9D">
      <w:pPr>
        <w:jc w:val="both"/>
        <w:rPr>
          <w:rFonts w:cs="Arial"/>
          <w:b/>
          <w:szCs w:val="24"/>
        </w:rPr>
      </w:pPr>
    </w:p>
    <w:p w14:paraId="1E9248D4" w14:textId="77777777" w:rsidR="006B0A87" w:rsidRPr="00D645DB" w:rsidRDefault="006B0A87" w:rsidP="006B0A87">
      <w:pPr>
        <w:rPr>
          <w:rFonts w:cs="Arial"/>
          <w:b/>
          <w:szCs w:val="24"/>
        </w:rPr>
      </w:pPr>
      <w:r>
        <w:rPr>
          <w:rFonts w:cs="Arial"/>
          <w:b/>
          <w:szCs w:val="24"/>
        </w:rPr>
        <w:t>Point-of-C</w:t>
      </w:r>
      <w:r w:rsidRPr="00D645DB">
        <w:rPr>
          <w:rFonts w:cs="Arial"/>
          <w:b/>
          <w:szCs w:val="24"/>
        </w:rPr>
        <w:t>are Testing</w:t>
      </w:r>
    </w:p>
    <w:p w14:paraId="6D00BF0F" w14:textId="77777777" w:rsidR="006B0A87" w:rsidRDefault="006B0A87" w:rsidP="006B0A87">
      <w:pPr>
        <w:rPr>
          <w:rFonts w:cs="Arial"/>
          <w:szCs w:val="24"/>
        </w:rPr>
      </w:pPr>
      <w:r>
        <w:rPr>
          <w:rFonts w:cs="Arial"/>
          <w:szCs w:val="24"/>
        </w:rPr>
        <w:t>Testing that is performed near or at the site of a patient (i.e. not in the Pathology Laboratory) by non Pathology staff, with the result leading to possible change in the care of the patient.  Also known as Near-patient Testing.</w:t>
      </w:r>
    </w:p>
    <w:p w14:paraId="50AE9EAE" w14:textId="77777777" w:rsidR="006B0A87" w:rsidRDefault="006B0A87" w:rsidP="006B0A87">
      <w:pPr>
        <w:rPr>
          <w:rFonts w:cs="Arial"/>
          <w:szCs w:val="24"/>
        </w:rPr>
      </w:pPr>
    </w:p>
    <w:p w14:paraId="560A5958" w14:textId="77777777" w:rsidR="006B0A87" w:rsidRDefault="006B0A87" w:rsidP="006B0A87">
      <w:pPr>
        <w:rPr>
          <w:rFonts w:cs="Arial"/>
          <w:szCs w:val="24"/>
        </w:rPr>
      </w:pPr>
      <w:r>
        <w:rPr>
          <w:rFonts w:cs="Arial"/>
          <w:b/>
          <w:szCs w:val="24"/>
        </w:rPr>
        <w:t>Clinical Staff</w:t>
      </w:r>
    </w:p>
    <w:p w14:paraId="66126087" w14:textId="04EA715B" w:rsidR="006B0A87" w:rsidRDefault="006B0A87" w:rsidP="006B0A87">
      <w:pPr>
        <w:rPr>
          <w:rFonts w:cs="Arial"/>
          <w:szCs w:val="24"/>
        </w:rPr>
      </w:pPr>
      <w:r>
        <w:rPr>
          <w:rFonts w:cs="Arial"/>
          <w:szCs w:val="24"/>
        </w:rPr>
        <w:t xml:space="preserve">For the purposes of this </w:t>
      </w:r>
      <w:r w:rsidR="006B5724">
        <w:rPr>
          <w:rFonts w:cs="Arial"/>
          <w:szCs w:val="24"/>
        </w:rPr>
        <w:t>P</w:t>
      </w:r>
      <w:r w:rsidR="000372F8">
        <w:rPr>
          <w:rFonts w:cs="Arial"/>
          <w:szCs w:val="24"/>
        </w:rPr>
        <w:t>olicy</w:t>
      </w:r>
      <w:r>
        <w:rPr>
          <w:rFonts w:cs="Arial"/>
          <w:szCs w:val="24"/>
        </w:rPr>
        <w:t>, this is a generic term defining medical and nursing staff other than ACT Pathology laboratory workers.</w:t>
      </w:r>
    </w:p>
    <w:p w14:paraId="6A0E19E5" w14:textId="77777777" w:rsidR="006B0A87" w:rsidRDefault="006B0A87" w:rsidP="006B0A87">
      <w:pPr>
        <w:rPr>
          <w:rFonts w:cs="Arial"/>
          <w:szCs w:val="24"/>
        </w:rPr>
      </w:pPr>
    </w:p>
    <w:p w14:paraId="3A0453E3" w14:textId="77777777" w:rsidR="006B0A87" w:rsidRPr="00EC2A13" w:rsidRDefault="006B0A87" w:rsidP="006B0A87">
      <w:pPr>
        <w:rPr>
          <w:rFonts w:cs="Arial"/>
          <w:b/>
          <w:szCs w:val="24"/>
        </w:rPr>
      </w:pPr>
      <w:r w:rsidRPr="00EC2A13">
        <w:rPr>
          <w:rFonts w:cs="Arial"/>
          <w:b/>
          <w:szCs w:val="24"/>
        </w:rPr>
        <w:t>EQAP</w:t>
      </w:r>
    </w:p>
    <w:p w14:paraId="5313024E" w14:textId="77777777" w:rsidR="006B0A87" w:rsidRDefault="006B0A87" w:rsidP="006B0A87">
      <w:pPr>
        <w:rPr>
          <w:rFonts w:cs="Arial"/>
          <w:szCs w:val="24"/>
        </w:rPr>
      </w:pPr>
      <w:r>
        <w:rPr>
          <w:rFonts w:cs="Arial"/>
          <w:szCs w:val="24"/>
        </w:rPr>
        <w:t xml:space="preserve">External Quality Assurance Programme, also known as proficiency testing.  This involves enrolling in the programme.  The organiser issues aliquots of samples to all participants for </w:t>
      </w:r>
      <w:r>
        <w:rPr>
          <w:rFonts w:cs="Arial"/>
          <w:szCs w:val="24"/>
        </w:rPr>
        <w:lastRenderedPageBreak/>
        <w:t>analysis and return of test results.  The organiser then assesses the results from participants for comparability and returns a performance report to the participants.</w:t>
      </w:r>
    </w:p>
    <w:p w14:paraId="5ADFC17D" w14:textId="77777777" w:rsidR="00090F09" w:rsidRDefault="00090F09" w:rsidP="006B0A87">
      <w:pPr>
        <w:rPr>
          <w:rFonts w:cs="Arial"/>
          <w:b/>
          <w:szCs w:val="24"/>
        </w:rPr>
      </w:pPr>
    </w:p>
    <w:p w14:paraId="550EBE03" w14:textId="77777777" w:rsidR="006B0A87" w:rsidRDefault="006B0A87" w:rsidP="006B0A87">
      <w:pPr>
        <w:rPr>
          <w:rFonts w:cs="Arial"/>
          <w:b/>
          <w:szCs w:val="24"/>
        </w:rPr>
      </w:pPr>
      <w:r>
        <w:rPr>
          <w:rFonts w:cs="Arial"/>
          <w:b/>
          <w:szCs w:val="24"/>
        </w:rPr>
        <w:t>NATA</w:t>
      </w:r>
    </w:p>
    <w:p w14:paraId="319C5E9E" w14:textId="77777777" w:rsidR="006B0A87" w:rsidRDefault="006B0A87" w:rsidP="006B0A87">
      <w:pPr>
        <w:rPr>
          <w:rFonts w:cs="Arial"/>
          <w:szCs w:val="24"/>
        </w:rPr>
      </w:pPr>
      <w:r>
        <w:rPr>
          <w:rFonts w:cs="Arial"/>
          <w:szCs w:val="24"/>
        </w:rPr>
        <w:t>National Association of Testing Authorities.</w:t>
      </w:r>
    </w:p>
    <w:p w14:paraId="56E6B1F5" w14:textId="77777777" w:rsidR="00A86A9D" w:rsidRPr="00032890"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73AFA9E1" w14:textId="77777777" w:rsidTr="008212B6">
        <w:trPr>
          <w:cantSplit/>
          <w:trHeight w:val="285"/>
        </w:trPr>
        <w:tc>
          <w:tcPr>
            <w:tcW w:w="9158" w:type="dxa"/>
            <w:shd w:val="clear" w:color="auto" w:fill="000000"/>
          </w:tcPr>
          <w:p w14:paraId="6B45E6AF" w14:textId="77777777" w:rsidR="00A86A9D" w:rsidRPr="007A238D" w:rsidRDefault="00A86A9D" w:rsidP="007A238D">
            <w:pPr>
              <w:pStyle w:val="Heading1"/>
              <w:rPr>
                <w:color w:val="FFFFFF" w:themeColor="background1"/>
              </w:rPr>
            </w:pPr>
            <w:r w:rsidRPr="007A238D">
              <w:rPr>
                <w:color w:val="FFFFFF" w:themeColor="background1"/>
              </w:rPr>
              <w:t>References</w:t>
            </w:r>
          </w:p>
        </w:tc>
      </w:tr>
    </w:tbl>
    <w:p w14:paraId="35150291" w14:textId="77777777" w:rsidR="00A86A9D" w:rsidRDefault="00A86A9D" w:rsidP="00A86A9D">
      <w:pPr>
        <w:jc w:val="both"/>
        <w:rPr>
          <w:rFonts w:cs="Arial"/>
          <w:b/>
          <w:szCs w:val="24"/>
        </w:rPr>
      </w:pPr>
    </w:p>
    <w:p w14:paraId="021048D3" w14:textId="77777777" w:rsidR="006B0A87" w:rsidRDefault="006B0A87" w:rsidP="006B0A87">
      <w:pPr>
        <w:jc w:val="both"/>
        <w:rPr>
          <w:rFonts w:cs="Arial"/>
          <w:szCs w:val="24"/>
        </w:rPr>
      </w:pPr>
      <w:r>
        <w:rPr>
          <w:rFonts w:cs="Arial"/>
          <w:szCs w:val="24"/>
        </w:rPr>
        <w:t>Australasian Association of Clinical Biochemists Point of Care Testing Implementation Guide, 2008.</w:t>
      </w:r>
    </w:p>
    <w:p w14:paraId="45C67974" w14:textId="77777777" w:rsidR="0055673B" w:rsidRDefault="0055673B" w:rsidP="006B0A87">
      <w:pPr>
        <w:jc w:val="both"/>
        <w:rPr>
          <w:rFonts w:cs="Arial"/>
          <w:szCs w:val="24"/>
        </w:rPr>
      </w:pPr>
    </w:p>
    <w:p w14:paraId="6A2E36D3" w14:textId="77777777" w:rsidR="0055673B" w:rsidRDefault="0055673B" w:rsidP="006B0A87">
      <w:pPr>
        <w:jc w:val="both"/>
        <w:rPr>
          <w:rFonts w:cs="Arial"/>
          <w:szCs w:val="24"/>
        </w:rPr>
      </w:pPr>
      <w:r>
        <w:rPr>
          <w:rFonts w:cs="Arial"/>
          <w:szCs w:val="24"/>
        </w:rPr>
        <w:t xml:space="preserve">NPAAC Guidelines for Point of Care Testing, first edition 2015 </w:t>
      </w:r>
    </w:p>
    <w:p w14:paraId="09FA2BC6" w14:textId="77777777" w:rsidR="00A86A9D"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61EAB4C0" w14:textId="77777777" w:rsidTr="008212B6">
        <w:trPr>
          <w:cantSplit/>
          <w:trHeight w:val="285"/>
        </w:trPr>
        <w:tc>
          <w:tcPr>
            <w:tcW w:w="9158" w:type="dxa"/>
            <w:shd w:val="clear" w:color="auto" w:fill="000000"/>
          </w:tcPr>
          <w:p w14:paraId="5D6E0CB7" w14:textId="77777777" w:rsidR="00636DD9" w:rsidRPr="007A238D" w:rsidRDefault="00636DD9" w:rsidP="004C183B">
            <w:pPr>
              <w:pStyle w:val="Heading1"/>
              <w:rPr>
                <w:color w:val="FFFFFF" w:themeColor="background1"/>
              </w:rPr>
            </w:pPr>
            <w:r>
              <w:rPr>
                <w:color w:val="FFFFFF" w:themeColor="background1"/>
              </w:rPr>
              <w:t>Search Terms</w:t>
            </w:r>
          </w:p>
        </w:tc>
      </w:tr>
    </w:tbl>
    <w:p w14:paraId="042515A7" w14:textId="77777777" w:rsidR="00636DD9" w:rsidRDefault="00636DD9" w:rsidP="00636DD9">
      <w:pPr>
        <w:rPr>
          <w:rFonts w:cs="Calibri,Bold"/>
          <w:bCs/>
          <w:i/>
          <w:szCs w:val="24"/>
          <w:lang w:eastAsia="en-AU"/>
        </w:rPr>
      </w:pPr>
    </w:p>
    <w:p w14:paraId="2C38E340" w14:textId="3F0EC740" w:rsidR="008D0A9F" w:rsidRPr="004E3745" w:rsidRDefault="006B0A87" w:rsidP="00195CAE">
      <w:pPr>
        <w:rPr>
          <w:rFonts w:cs="Arial"/>
          <w:color w:val="000000" w:themeColor="text1"/>
          <w:szCs w:val="24"/>
        </w:rPr>
      </w:pPr>
      <w:r w:rsidRPr="004E3745">
        <w:rPr>
          <w:rFonts w:cs="Arial"/>
          <w:color w:val="000000" w:themeColor="text1"/>
          <w:szCs w:val="24"/>
        </w:rPr>
        <w:t>Point-of-Care Testing</w:t>
      </w:r>
      <w:r w:rsidR="00195CAE">
        <w:rPr>
          <w:rFonts w:cs="Arial"/>
          <w:color w:val="000000" w:themeColor="text1"/>
          <w:szCs w:val="24"/>
        </w:rPr>
        <w:t xml:space="preserve">, </w:t>
      </w:r>
      <w:r w:rsidR="008D0A9F" w:rsidRPr="004E3745">
        <w:rPr>
          <w:rFonts w:cs="Arial"/>
          <w:color w:val="000000" w:themeColor="text1"/>
          <w:szCs w:val="24"/>
        </w:rPr>
        <w:t>Point of Care</w:t>
      </w:r>
      <w:r w:rsidR="00195CAE">
        <w:rPr>
          <w:rFonts w:cs="Arial"/>
          <w:color w:val="000000" w:themeColor="text1"/>
          <w:szCs w:val="24"/>
        </w:rPr>
        <w:t xml:space="preserve">, </w:t>
      </w:r>
      <w:r w:rsidR="008D0A9F" w:rsidRPr="004E3745">
        <w:rPr>
          <w:rFonts w:cs="Arial"/>
          <w:color w:val="000000" w:themeColor="text1"/>
          <w:szCs w:val="24"/>
        </w:rPr>
        <w:t>Pathology</w:t>
      </w:r>
      <w:r w:rsidR="00195CAE">
        <w:rPr>
          <w:rFonts w:cs="Arial"/>
          <w:color w:val="000000" w:themeColor="text1"/>
          <w:szCs w:val="24"/>
        </w:rPr>
        <w:t xml:space="preserve">, </w:t>
      </w:r>
      <w:r w:rsidR="008D0A9F" w:rsidRPr="004E3745">
        <w:rPr>
          <w:rFonts w:cs="Arial"/>
          <w:color w:val="000000" w:themeColor="text1"/>
          <w:szCs w:val="24"/>
        </w:rPr>
        <w:t>Testing</w:t>
      </w:r>
      <w:r w:rsidR="00195CAE">
        <w:rPr>
          <w:rFonts w:cs="Arial"/>
          <w:color w:val="000000" w:themeColor="text1"/>
          <w:szCs w:val="24"/>
        </w:rPr>
        <w:t xml:space="preserve">, </w:t>
      </w:r>
      <w:r w:rsidR="008D0A9F" w:rsidRPr="004E3745">
        <w:rPr>
          <w:rFonts w:cs="Arial"/>
          <w:color w:val="000000" w:themeColor="text1"/>
          <w:szCs w:val="24"/>
        </w:rPr>
        <w:t>Tests</w:t>
      </w:r>
      <w:r w:rsidR="00195CAE">
        <w:rPr>
          <w:rFonts w:cs="Arial"/>
          <w:color w:val="000000" w:themeColor="text1"/>
          <w:szCs w:val="24"/>
        </w:rPr>
        <w:t xml:space="preserve">, </w:t>
      </w:r>
      <w:r w:rsidR="008D0A9F" w:rsidRPr="004E3745">
        <w:rPr>
          <w:rFonts w:cs="Arial"/>
          <w:color w:val="000000" w:themeColor="text1"/>
          <w:szCs w:val="24"/>
        </w:rPr>
        <w:t>Meter</w:t>
      </w:r>
      <w:r w:rsidR="00195CAE">
        <w:rPr>
          <w:rFonts w:cs="Arial"/>
          <w:color w:val="000000" w:themeColor="text1"/>
          <w:szCs w:val="24"/>
        </w:rPr>
        <w:t xml:space="preserve">, </w:t>
      </w:r>
      <w:r w:rsidR="008D0A9F" w:rsidRPr="004E3745">
        <w:rPr>
          <w:rFonts w:cs="Arial"/>
          <w:color w:val="000000" w:themeColor="text1"/>
          <w:szCs w:val="24"/>
        </w:rPr>
        <w:t>Analyser</w:t>
      </w:r>
      <w:r w:rsidR="00195CAE">
        <w:rPr>
          <w:rFonts w:cs="Arial"/>
          <w:color w:val="000000" w:themeColor="text1"/>
          <w:szCs w:val="24"/>
        </w:rPr>
        <w:t xml:space="preserve">, </w:t>
      </w:r>
      <w:r w:rsidR="008D0A9F" w:rsidRPr="004E3745">
        <w:rPr>
          <w:rFonts w:cs="Arial"/>
          <w:color w:val="000000" w:themeColor="text1"/>
          <w:szCs w:val="24"/>
        </w:rPr>
        <w:t>Reader</w:t>
      </w:r>
      <w:r w:rsidR="00195CAE">
        <w:rPr>
          <w:rFonts w:cs="Arial"/>
          <w:color w:val="000000" w:themeColor="text1"/>
          <w:szCs w:val="24"/>
        </w:rPr>
        <w:t xml:space="preserve">, </w:t>
      </w:r>
      <w:r w:rsidR="008D0A9F" w:rsidRPr="004E3745">
        <w:rPr>
          <w:rFonts w:cs="Arial"/>
          <w:color w:val="000000" w:themeColor="text1"/>
          <w:szCs w:val="24"/>
        </w:rPr>
        <w:t>POCT</w:t>
      </w:r>
      <w:r w:rsidR="00195CAE">
        <w:rPr>
          <w:rFonts w:cs="Arial"/>
          <w:color w:val="000000" w:themeColor="text1"/>
          <w:szCs w:val="24"/>
        </w:rPr>
        <w:t xml:space="preserve">, </w:t>
      </w:r>
      <w:r w:rsidR="008D0A9F" w:rsidRPr="004E3745">
        <w:rPr>
          <w:rFonts w:cs="Arial"/>
          <w:color w:val="000000" w:themeColor="text1"/>
          <w:szCs w:val="24"/>
        </w:rPr>
        <w:t>POC</w:t>
      </w:r>
    </w:p>
    <w:p w14:paraId="1D72EAA4" w14:textId="77777777" w:rsidR="008D0A9F" w:rsidRPr="00032890" w:rsidRDefault="008D0A9F" w:rsidP="00A86A9D">
      <w:pPr>
        <w:jc w:val="both"/>
        <w:rPr>
          <w:rFonts w:cs="Arial"/>
          <w:szCs w:val="24"/>
        </w:rPr>
      </w:pPr>
    </w:p>
    <w:p w14:paraId="211078FA" w14:textId="77777777" w:rsidR="00195CAE" w:rsidRPr="003E167B" w:rsidRDefault="00195CAE" w:rsidP="00195CAE">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FDCF1D" w14:textId="77777777" w:rsidR="00195CAE" w:rsidRPr="003E167B" w:rsidRDefault="00195CAE" w:rsidP="00195CAE">
      <w:pPr>
        <w:rPr>
          <w:rFonts w:cs="Arial"/>
          <w:i/>
          <w:iCs/>
          <w:sz w:val="20"/>
        </w:rPr>
      </w:pPr>
    </w:p>
    <w:p w14:paraId="16FF392B" w14:textId="77777777" w:rsidR="00195CAE" w:rsidRPr="003E167B" w:rsidRDefault="00195CAE" w:rsidP="00195CAE">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8212B6" w:rsidRPr="003E167B" w14:paraId="102C2DE9" w14:textId="77777777" w:rsidTr="000A6916">
        <w:tc>
          <w:tcPr>
            <w:tcW w:w="2265" w:type="dxa"/>
          </w:tcPr>
          <w:p w14:paraId="186D2DAB" w14:textId="77777777" w:rsidR="008212B6" w:rsidRPr="003E167B" w:rsidRDefault="008212B6" w:rsidP="000A6916">
            <w:pPr>
              <w:rPr>
                <w:i/>
                <w:sz w:val="20"/>
              </w:rPr>
            </w:pPr>
            <w:r w:rsidRPr="003E167B">
              <w:rPr>
                <w:i/>
                <w:sz w:val="20"/>
              </w:rPr>
              <w:t>Date Amended</w:t>
            </w:r>
          </w:p>
        </w:tc>
        <w:tc>
          <w:tcPr>
            <w:tcW w:w="2265" w:type="dxa"/>
          </w:tcPr>
          <w:p w14:paraId="2F7DA4F5" w14:textId="77777777" w:rsidR="008212B6" w:rsidRPr="003E167B" w:rsidRDefault="008212B6" w:rsidP="000A6916">
            <w:pPr>
              <w:rPr>
                <w:i/>
                <w:sz w:val="20"/>
              </w:rPr>
            </w:pPr>
            <w:r w:rsidRPr="003E167B">
              <w:rPr>
                <w:i/>
                <w:sz w:val="20"/>
              </w:rPr>
              <w:t>Section Amended</w:t>
            </w:r>
          </w:p>
        </w:tc>
        <w:tc>
          <w:tcPr>
            <w:tcW w:w="2265" w:type="dxa"/>
          </w:tcPr>
          <w:p w14:paraId="022E0873" w14:textId="77777777" w:rsidR="008212B6" w:rsidRPr="003E167B" w:rsidRDefault="008212B6" w:rsidP="000A6916">
            <w:pPr>
              <w:rPr>
                <w:i/>
                <w:sz w:val="20"/>
              </w:rPr>
            </w:pPr>
            <w:r w:rsidRPr="003E167B">
              <w:rPr>
                <w:i/>
                <w:sz w:val="20"/>
              </w:rPr>
              <w:t>Divisional Approval</w:t>
            </w:r>
          </w:p>
        </w:tc>
        <w:tc>
          <w:tcPr>
            <w:tcW w:w="2265" w:type="dxa"/>
          </w:tcPr>
          <w:p w14:paraId="3B06D528" w14:textId="77777777" w:rsidR="008212B6" w:rsidRPr="003E167B" w:rsidRDefault="008212B6" w:rsidP="000A6916">
            <w:pPr>
              <w:rPr>
                <w:i/>
                <w:sz w:val="20"/>
              </w:rPr>
            </w:pPr>
            <w:r w:rsidRPr="003E167B">
              <w:rPr>
                <w:i/>
                <w:sz w:val="20"/>
              </w:rPr>
              <w:t xml:space="preserve">Final Approval </w:t>
            </w:r>
          </w:p>
        </w:tc>
      </w:tr>
      <w:tr w:rsidR="008212B6" w:rsidRPr="003E167B" w14:paraId="1BCADF4B" w14:textId="77777777" w:rsidTr="000A6916">
        <w:tc>
          <w:tcPr>
            <w:tcW w:w="2265" w:type="dxa"/>
          </w:tcPr>
          <w:p w14:paraId="09EA0DFA" w14:textId="77777777" w:rsidR="008212B6" w:rsidRPr="003E167B" w:rsidRDefault="008212B6" w:rsidP="000A6916">
            <w:pPr>
              <w:rPr>
                <w:i/>
                <w:sz w:val="20"/>
              </w:rPr>
            </w:pPr>
            <w:r>
              <w:rPr>
                <w:i/>
                <w:sz w:val="20"/>
              </w:rPr>
              <w:t>21/10/2020</w:t>
            </w:r>
          </w:p>
        </w:tc>
        <w:tc>
          <w:tcPr>
            <w:tcW w:w="2265" w:type="dxa"/>
          </w:tcPr>
          <w:p w14:paraId="7326EA7D" w14:textId="77777777" w:rsidR="008212B6" w:rsidRPr="003E167B" w:rsidRDefault="008212B6" w:rsidP="000A6916">
            <w:pPr>
              <w:rPr>
                <w:i/>
                <w:sz w:val="20"/>
              </w:rPr>
            </w:pPr>
            <w:r>
              <w:rPr>
                <w:i/>
                <w:sz w:val="20"/>
              </w:rPr>
              <w:t>Complete Review</w:t>
            </w:r>
          </w:p>
        </w:tc>
        <w:tc>
          <w:tcPr>
            <w:tcW w:w="2265" w:type="dxa"/>
          </w:tcPr>
          <w:p w14:paraId="36FE9FDE" w14:textId="77777777" w:rsidR="008212B6" w:rsidRPr="003E167B" w:rsidRDefault="008212B6" w:rsidP="000A6916">
            <w:pPr>
              <w:rPr>
                <w:i/>
                <w:sz w:val="20"/>
              </w:rPr>
            </w:pPr>
            <w:r>
              <w:rPr>
                <w:i/>
                <w:sz w:val="20"/>
              </w:rPr>
              <w:t>Carolyn Hawkins, a/g ED Pathology</w:t>
            </w:r>
          </w:p>
        </w:tc>
        <w:tc>
          <w:tcPr>
            <w:tcW w:w="2265" w:type="dxa"/>
          </w:tcPr>
          <w:p w14:paraId="6147D533" w14:textId="77777777" w:rsidR="008212B6" w:rsidRPr="003E167B" w:rsidRDefault="008212B6" w:rsidP="000A6916">
            <w:pPr>
              <w:rPr>
                <w:i/>
                <w:sz w:val="20"/>
              </w:rPr>
            </w:pPr>
            <w:r>
              <w:rPr>
                <w:i/>
                <w:sz w:val="20"/>
              </w:rPr>
              <w:t>CHS Policy Committee</w:t>
            </w:r>
          </w:p>
        </w:tc>
      </w:tr>
      <w:tr w:rsidR="008212B6" w:rsidRPr="003E167B" w14:paraId="7BB663FD" w14:textId="77777777" w:rsidTr="000A6916">
        <w:tc>
          <w:tcPr>
            <w:tcW w:w="2265" w:type="dxa"/>
          </w:tcPr>
          <w:p w14:paraId="50E50AF3" w14:textId="77777777" w:rsidR="008212B6" w:rsidRPr="003E167B" w:rsidRDefault="008212B6" w:rsidP="000A6916">
            <w:pPr>
              <w:rPr>
                <w:i/>
                <w:sz w:val="20"/>
              </w:rPr>
            </w:pPr>
          </w:p>
        </w:tc>
        <w:tc>
          <w:tcPr>
            <w:tcW w:w="2265" w:type="dxa"/>
          </w:tcPr>
          <w:p w14:paraId="7DE1E9C9" w14:textId="77777777" w:rsidR="008212B6" w:rsidRPr="003E167B" w:rsidRDefault="008212B6" w:rsidP="000A6916">
            <w:pPr>
              <w:rPr>
                <w:i/>
                <w:sz w:val="20"/>
              </w:rPr>
            </w:pPr>
          </w:p>
        </w:tc>
        <w:tc>
          <w:tcPr>
            <w:tcW w:w="2265" w:type="dxa"/>
          </w:tcPr>
          <w:p w14:paraId="5ED2B83B" w14:textId="77777777" w:rsidR="008212B6" w:rsidRPr="003E167B" w:rsidRDefault="008212B6" w:rsidP="000A6916">
            <w:pPr>
              <w:rPr>
                <w:i/>
                <w:sz w:val="20"/>
              </w:rPr>
            </w:pPr>
          </w:p>
        </w:tc>
        <w:tc>
          <w:tcPr>
            <w:tcW w:w="2265" w:type="dxa"/>
          </w:tcPr>
          <w:p w14:paraId="54F2A525" w14:textId="77777777" w:rsidR="008212B6" w:rsidRPr="003E167B" w:rsidRDefault="008212B6" w:rsidP="000A6916">
            <w:pPr>
              <w:rPr>
                <w:i/>
                <w:sz w:val="20"/>
              </w:rPr>
            </w:pPr>
          </w:p>
        </w:tc>
      </w:tr>
    </w:tbl>
    <w:p w14:paraId="1F26E22A" w14:textId="77777777" w:rsidR="008212B6" w:rsidRPr="003E167B" w:rsidRDefault="008212B6" w:rsidP="008212B6">
      <w:pPr>
        <w:rPr>
          <w:rFonts w:cs="Arial"/>
          <w:sz w:val="20"/>
        </w:rPr>
      </w:pPr>
    </w:p>
    <w:p w14:paraId="31BF2579" w14:textId="77777777" w:rsidR="008212B6" w:rsidRPr="003E167B" w:rsidRDefault="008212B6" w:rsidP="008212B6">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8212B6" w:rsidRPr="003E167B" w14:paraId="7DDCD9BD" w14:textId="77777777" w:rsidTr="000A6916">
        <w:tc>
          <w:tcPr>
            <w:tcW w:w="2122" w:type="dxa"/>
          </w:tcPr>
          <w:p w14:paraId="0D0D5FFD" w14:textId="77777777" w:rsidR="008212B6" w:rsidRPr="003E167B" w:rsidRDefault="008212B6" w:rsidP="000A6916">
            <w:pPr>
              <w:rPr>
                <w:i/>
                <w:sz w:val="20"/>
              </w:rPr>
            </w:pPr>
            <w:r w:rsidRPr="003E167B">
              <w:rPr>
                <w:i/>
                <w:sz w:val="20"/>
              </w:rPr>
              <w:t>Document Number</w:t>
            </w:r>
          </w:p>
        </w:tc>
        <w:tc>
          <w:tcPr>
            <w:tcW w:w="6938" w:type="dxa"/>
          </w:tcPr>
          <w:p w14:paraId="552815E5" w14:textId="77777777" w:rsidR="008212B6" w:rsidRPr="003E167B" w:rsidRDefault="008212B6" w:rsidP="000A6916">
            <w:pPr>
              <w:rPr>
                <w:i/>
                <w:sz w:val="20"/>
              </w:rPr>
            </w:pPr>
            <w:r w:rsidRPr="003E167B">
              <w:rPr>
                <w:i/>
                <w:sz w:val="20"/>
              </w:rPr>
              <w:t>Document Name</w:t>
            </w:r>
          </w:p>
        </w:tc>
      </w:tr>
      <w:tr w:rsidR="008212B6" w:rsidRPr="003E167B" w14:paraId="310BACBC" w14:textId="77777777" w:rsidTr="000A6916">
        <w:tc>
          <w:tcPr>
            <w:tcW w:w="2122" w:type="dxa"/>
          </w:tcPr>
          <w:p w14:paraId="1C9A28EA" w14:textId="4B211479" w:rsidR="008212B6" w:rsidRPr="003E167B" w:rsidRDefault="008212B6" w:rsidP="000A6916">
            <w:pPr>
              <w:rPr>
                <w:i/>
                <w:sz w:val="20"/>
              </w:rPr>
            </w:pPr>
            <w:r>
              <w:rPr>
                <w:i/>
                <w:sz w:val="20"/>
              </w:rPr>
              <w:t>CHHS15/129</w:t>
            </w:r>
          </w:p>
        </w:tc>
        <w:tc>
          <w:tcPr>
            <w:tcW w:w="6938" w:type="dxa"/>
          </w:tcPr>
          <w:p w14:paraId="61205938" w14:textId="749DBA55" w:rsidR="008212B6" w:rsidRPr="003E167B" w:rsidRDefault="008212B6" w:rsidP="000A6916">
            <w:pPr>
              <w:rPr>
                <w:i/>
                <w:sz w:val="20"/>
              </w:rPr>
            </w:pPr>
            <w:r w:rsidRPr="002162AB">
              <w:rPr>
                <w:i/>
                <w:sz w:val="20"/>
              </w:rPr>
              <w:t xml:space="preserve">Pathology Point-of-Care Testing (POCT) </w:t>
            </w:r>
            <w:r w:rsidR="00503539">
              <w:rPr>
                <w:i/>
                <w:sz w:val="20"/>
              </w:rPr>
              <w:t>Policy</w:t>
            </w:r>
          </w:p>
        </w:tc>
      </w:tr>
      <w:tr w:rsidR="008212B6" w:rsidRPr="003E167B" w14:paraId="3EC7A8A9" w14:textId="77777777" w:rsidTr="000A6916">
        <w:tc>
          <w:tcPr>
            <w:tcW w:w="2122" w:type="dxa"/>
          </w:tcPr>
          <w:p w14:paraId="27EE77A6" w14:textId="77777777" w:rsidR="008212B6" w:rsidRPr="003E167B" w:rsidRDefault="008212B6" w:rsidP="000A6916">
            <w:pPr>
              <w:rPr>
                <w:i/>
                <w:sz w:val="20"/>
              </w:rPr>
            </w:pPr>
          </w:p>
        </w:tc>
        <w:tc>
          <w:tcPr>
            <w:tcW w:w="6938" w:type="dxa"/>
          </w:tcPr>
          <w:p w14:paraId="0270DC7F" w14:textId="77777777" w:rsidR="008212B6" w:rsidRPr="003E167B" w:rsidRDefault="008212B6" w:rsidP="000A6916">
            <w:pPr>
              <w:rPr>
                <w:i/>
                <w:sz w:val="20"/>
              </w:rPr>
            </w:pPr>
          </w:p>
        </w:tc>
      </w:tr>
    </w:tbl>
    <w:p w14:paraId="112E3065" w14:textId="77777777" w:rsidR="00195CAE" w:rsidRDefault="00195CAE" w:rsidP="00195CAE">
      <w:pPr>
        <w:rPr>
          <w:rFonts w:cs="Arial"/>
          <w:szCs w:val="24"/>
        </w:rPr>
      </w:pPr>
    </w:p>
    <w:p w14:paraId="5CA047A1" w14:textId="77777777" w:rsidR="00A86A9D" w:rsidRDefault="00A86A9D" w:rsidP="00A86A9D">
      <w:pPr>
        <w:rPr>
          <w:rFonts w:cs="Arial"/>
          <w:szCs w:val="24"/>
        </w:rPr>
      </w:pPr>
    </w:p>
    <w:sectPr w:rsidR="00A86A9D" w:rsidSect="002F61F7">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5C7B1" w14:textId="77777777" w:rsidR="00BC7B7E" w:rsidRDefault="00BC7B7E" w:rsidP="00F66CB0">
      <w:r>
        <w:separator/>
      </w:r>
    </w:p>
  </w:endnote>
  <w:endnote w:type="continuationSeparator" w:id="0">
    <w:p w14:paraId="0E0A621D" w14:textId="77777777" w:rsidR="00BC7B7E" w:rsidRDefault="00BC7B7E"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21"/>
      <w:gridCol w:w="967"/>
      <w:gridCol w:w="1512"/>
      <w:gridCol w:w="1469"/>
      <w:gridCol w:w="1752"/>
      <w:gridCol w:w="1849"/>
    </w:tblGrid>
    <w:tr w:rsidR="008D609F" w:rsidRPr="00AE7C5C" w14:paraId="7BD251BC" w14:textId="77777777" w:rsidTr="008D609F">
      <w:tc>
        <w:tcPr>
          <w:tcW w:w="1521" w:type="dxa"/>
          <w:tcBorders>
            <w:top w:val="single" w:sz="4" w:space="0" w:color="auto"/>
            <w:bottom w:val="single" w:sz="4" w:space="0" w:color="auto"/>
            <w:right w:val="single" w:sz="4" w:space="0" w:color="auto"/>
          </w:tcBorders>
        </w:tcPr>
        <w:p w14:paraId="1D077183" w14:textId="77777777" w:rsidR="008D609F" w:rsidRPr="008D609F" w:rsidRDefault="008D609F" w:rsidP="008D609F">
          <w:pPr>
            <w:pStyle w:val="Footer"/>
            <w:rPr>
              <w:rFonts w:cs="Arial"/>
              <w:b/>
              <w:bCs/>
              <w:sz w:val="20"/>
            </w:rPr>
          </w:pPr>
          <w:r w:rsidRPr="008D609F">
            <w:rPr>
              <w:rFonts w:cs="Arial"/>
              <w:b/>
              <w:bCs/>
              <w:sz w:val="20"/>
            </w:rPr>
            <w:t>Doc Number</w:t>
          </w:r>
        </w:p>
      </w:tc>
      <w:tc>
        <w:tcPr>
          <w:tcW w:w="967" w:type="dxa"/>
          <w:tcBorders>
            <w:top w:val="single" w:sz="4" w:space="0" w:color="auto"/>
            <w:bottom w:val="single" w:sz="4" w:space="0" w:color="auto"/>
            <w:right w:val="single" w:sz="4" w:space="0" w:color="auto"/>
          </w:tcBorders>
        </w:tcPr>
        <w:p w14:paraId="419A686F" w14:textId="77777777" w:rsidR="008D609F" w:rsidRPr="008D609F" w:rsidRDefault="008D609F" w:rsidP="008D609F">
          <w:pPr>
            <w:pStyle w:val="Footer"/>
            <w:rPr>
              <w:rFonts w:cs="Arial"/>
              <w:b/>
              <w:bCs/>
              <w:sz w:val="20"/>
            </w:rPr>
          </w:pPr>
          <w:r w:rsidRPr="008D609F">
            <w:rPr>
              <w:rFonts w:cs="Arial"/>
              <w:b/>
              <w:bCs/>
              <w:sz w:val="20"/>
            </w:rPr>
            <w:t>Version</w:t>
          </w:r>
        </w:p>
      </w:tc>
      <w:tc>
        <w:tcPr>
          <w:tcW w:w="1512" w:type="dxa"/>
          <w:tcBorders>
            <w:top w:val="single" w:sz="4" w:space="0" w:color="auto"/>
            <w:bottom w:val="single" w:sz="4" w:space="0" w:color="auto"/>
            <w:right w:val="single" w:sz="4" w:space="0" w:color="auto"/>
          </w:tcBorders>
        </w:tcPr>
        <w:p w14:paraId="5BA54CDB" w14:textId="77777777" w:rsidR="008D609F" w:rsidRPr="008D609F" w:rsidRDefault="008D609F" w:rsidP="008D609F">
          <w:pPr>
            <w:pStyle w:val="Footer"/>
            <w:rPr>
              <w:rFonts w:cs="Arial"/>
              <w:b/>
              <w:bCs/>
              <w:sz w:val="20"/>
            </w:rPr>
          </w:pPr>
          <w:r w:rsidRPr="008D609F">
            <w:rPr>
              <w:rFonts w:cs="Arial"/>
              <w:b/>
              <w:bCs/>
              <w:sz w:val="20"/>
            </w:rPr>
            <w:t>Issued</w:t>
          </w:r>
        </w:p>
      </w:tc>
      <w:tc>
        <w:tcPr>
          <w:tcW w:w="1469" w:type="dxa"/>
          <w:tcBorders>
            <w:top w:val="single" w:sz="4" w:space="0" w:color="auto"/>
            <w:bottom w:val="single" w:sz="4" w:space="0" w:color="auto"/>
            <w:right w:val="single" w:sz="4" w:space="0" w:color="auto"/>
          </w:tcBorders>
        </w:tcPr>
        <w:p w14:paraId="6F8241ED" w14:textId="77777777" w:rsidR="008D609F" w:rsidRPr="008D609F" w:rsidRDefault="008D609F" w:rsidP="008D609F">
          <w:pPr>
            <w:pStyle w:val="Footer"/>
            <w:rPr>
              <w:rFonts w:cs="Arial"/>
              <w:b/>
              <w:bCs/>
              <w:sz w:val="20"/>
            </w:rPr>
          </w:pPr>
          <w:r w:rsidRPr="008D609F">
            <w:rPr>
              <w:rFonts w:cs="Arial"/>
              <w:b/>
              <w:bCs/>
              <w:sz w:val="20"/>
            </w:rPr>
            <w:t>Review Date</w:t>
          </w:r>
        </w:p>
      </w:tc>
      <w:tc>
        <w:tcPr>
          <w:tcW w:w="1752" w:type="dxa"/>
          <w:tcBorders>
            <w:top w:val="single" w:sz="4" w:space="0" w:color="auto"/>
            <w:bottom w:val="single" w:sz="4" w:space="0" w:color="auto"/>
            <w:right w:val="single" w:sz="4" w:space="0" w:color="auto"/>
          </w:tcBorders>
        </w:tcPr>
        <w:p w14:paraId="73280F2A" w14:textId="77777777" w:rsidR="008D609F" w:rsidRPr="008D609F" w:rsidRDefault="008D609F" w:rsidP="008D609F">
          <w:pPr>
            <w:pStyle w:val="Footer"/>
            <w:rPr>
              <w:rFonts w:cs="Arial"/>
              <w:b/>
              <w:bCs/>
              <w:sz w:val="20"/>
            </w:rPr>
          </w:pPr>
          <w:r w:rsidRPr="008D609F">
            <w:rPr>
              <w:rFonts w:cs="Arial"/>
              <w:b/>
              <w:bCs/>
              <w:sz w:val="20"/>
            </w:rPr>
            <w:t>Area Responsible</w:t>
          </w:r>
        </w:p>
      </w:tc>
      <w:tc>
        <w:tcPr>
          <w:tcW w:w="1849" w:type="dxa"/>
          <w:tcBorders>
            <w:top w:val="single" w:sz="4" w:space="0" w:color="auto"/>
            <w:bottom w:val="single" w:sz="4" w:space="0" w:color="auto"/>
          </w:tcBorders>
        </w:tcPr>
        <w:p w14:paraId="62DAB804" w14:textId="77777777" w:rsidR="008D609F" w:rsidRPr="008D609F" w:rsidRDefault="008D609F" w:rsidP="008D609F">
          <w:pPr>
            <w:pStyle w:val="Footer"/>
            <w:rPr>
              <w:sz w:val="20"/>
            </w:rPr>
          </w:pPr>
          <w:r w:rsidRPr="008D609F">
            <w:rPr>
              <w:sz w:val="20"/>
            </w:rPr>
            <w:t>Page</w:t>
          </w:r>
        </w:p>
      </w:tc>
    </w:tr>
    <w:tr w:rsidR="008D609F" w14:paraId="4DC9376D" w14:textId="77777777" w:rsidTr="008D609F">
      <w:tc>
        <w:tcPr>
          <w:tcW w:w="1521" w:type="dxa"/>
          <w:tcBorders>
            <w:top w:val="single" w:sz="4" w:space="0" w:color="auto"/>
            <w:bottom w:val="single" w:sz="4" w:space="0" w:color="auto"/>
            <w:right w:val="single" w:sz="4" w:space="0" w:color="auto"/>
          </w:tcBorders>
        </w:tcPr>
        <w:p w14:paraId="4E9682CC" w14:textId="3468150A" w:rsidR="008D609F" w:rsidRPr="00542EE6" w:rsidRDefault="00071693" w:rsidP="008D609F">
          <w:pPr>
            <w:pStyle w:val="Footer"/>
            <w:rPr>
              <w:rFonts w:cs="Arial"/>
              <w:b/>
              <w:bCs/>
              <w:sz w:val="20"/>
            </w:rPr>
          </w:pPr>
          <w:r>
            <w:rPr>
              <w:rFonts w:cs="Arial"/>
              <w:b/>
              <w:bCs/>
              <w:sz w:val="20"/>
            </w:rPr>
            <w:t>CHS20/276</w:t>
          </w:r>
        </w:p>
      </w:tc>
      <w:tc>
        <w:tcPr>
          <w:tcW w:w="967" w:type="dxa"/>
          <w:tcBorders>
            <w:top w:val="single" w:sz="4" w:space="0" w:color="auto"/>
            <w:bottom w:val="single" w:sz="4" w:space="0" w:color="auto"/>
            <w:right w:val="single" w:sz="4" w:space="0" w:color="auto"/>
          </w:tcBorders>
        </w:tcPr>
        <w:p w14:paraId="7F249C5B" w14:textId="39E158D4" w:rsidR="008D609F" w:rsidRPr="00B3752F" w:rsidRDefault="00071693" w:rsidP="008D609F">
          <w:pPr>
            <w:pStyle w:val="Footer"/>
            <w:rPr>
              <w:rFonts w:cs="Arial"/>
              <w:b/>
              <w:bCs/>
              <w:sz w:val="20"/>
            </w:rPr>
          </w:pPr>
          <w:r>
            <w:rPr>
              <w:rFonts w:cs="Arial"/>
              <w:b/>
              <w:bCs/>
              <w:sz w:val="20"/>
            </w:rPr>
            <w:t>1</w:t>
          </w:r>
        </w:p>
      </w:tc>
      <w:tc>
        <w:tcPr>
          <w:tcW w:w="1512" w:type="dxa"/>
          <w:tcBorders>
            <w:top w:val="single" w:sz="4" w:space="0" w:color="auto"/>
            <w:bottom w:val="single" w:sz="4" w:space="0" w:color="auto"/>
            <w:right w:val="single" w:sz="4" w:space="0" w:color="auto"/>
          </w:tcBorders>
        </w:tcPr>
        <w:p w14:paraId="3A8F3D81" w14:textId="3DF7F6A1" w:rsidR="008D609F" w:rsidRPr="00B3752F" w:rsidRDefault="00071693" w:rsidP="008D609F">
          <w:pPr>
            <w:pStyle w:val="Footer"/>
            <w:rPr>
              <w:rFonts w:cs="Arial"/>
              <w:b/>
              <w:bCs/>
              <w:sz w:val="20"/>
            </w:rPr>
          </w:pPr>
          <w:r>
            <w:rPr>
              <w:rFonts w:cs="Arial"/>
              <w:b/>
              <w:bCs/>
              <w:sz w:val="20"/>
            </w:rPr>
            <w:t>22/10/2020</w:t>
          </w:r>
        </w:p>
      </w:tc>
      <w:tc>
        <w:tcPr>
          <w:tcW w:w="1469" w:type="dxa"/>
          <w:tcBorders>
            <w:top w:val="single" w:sz="4" w:space="0" w:color="auto"/>
            <w:bottom w:val="single" w:sz="4" w:space="0" w:color="auto"/>
            <w:right w:val="single" w:sz="4" w:space="0" w:color="auto"/>
          </w:tcBorders>
        </w:tcPr>
        <w:p w14:paraId="24374DD0" w14:textId="37699D6E" w:rsidR="008D609F" w:rsidRPr="00B3752F" w:rsidRDefault="00071693" w:rsidP="008D609F">
          <w:pPr>
            <w:pStyle w:val="Footer"/>
            <w:rPr>
              <w:rFonts w:cs="Arial"/>
              <w:b/>
              <w:bCs/>
              <w:sz w:val="20"/>
            </w:rPr>
          </w:pPr>
          <w:r>
            <w:rPr>
              <w:rFonts w:cs="Arial"/>
              <w:b/>
              <w:bCs/>
              <w:sz w:val="20"/>
            </w:rPr>
            <w:t>01/11/2024</w:t>
          </w:r>
        </w:p>
      </w:tc>
      <w:tc>
        <w:tcPr>
          <w:tcW w:w="1752" w:type="dxa"/>
          <w:tcBorders>
            <w:top w:val="single" w:sz="4" w:space="0" w:color="auto"/>
            <w:bottom w:val="single" w:sz="4" w:space="0" w:color="auto"/>
            <w:right w:val="single" w:sz="4" w:space="0" w:color="auto"/>
          </w:tcBorders>
        </w:tcPr>
        <w:p w14:paraId="78B0F721" w14:textId="0FC8F40C" w:rsidR="008D609F" w:rsidRPr="00B3752F" w:rsidRDefault="00071693" w:rsidP="008D609F">
          <w:pPr>
            <w:pStyle w:val="Footer"/>
            <w:rPr>
              <w:rFonts w:cs="Arial"/>
              <w:b/>
              <w:bCs/>
              <w:sz w:val="20"/>
            </w:rPr>
          </w:pPr>
          <w:r>
            <w:rPr>
              <w:rFonts w:cs="Arial"/>
              <w:b/>
              <w:bCs/>
              <w:sz w:val="20"/>
            </w:rPr>
            <w:t>Pathology</w:t>
          </w:r>
        </w:p>
      </w:tc>
      <w:tc>
        <w:tcPr>
          <w:tcW w:w="1849" w:type="dxa"/>
          <w:tcBorders>
            <w:top w:val="single" w:sz="4" w:space="0" w:color="auto"/>
            <w:bottom w:val="single" w:sz="4" w:space="0" w:color="auto"/>
          </w:tcBorders>
        </w:tcPr>
        <w:p w14:paraId="3805B3A3" w14:textId="77777777" w:rsidR="008D609F" w:rsidRPr="00B3752F" w:rsidRDefault="008D609F" w:rsidP="008D609F">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sz w:val="20"/>
            </w:rPr>
            <w:t>6</w:t>
          </w:r>
          <w:r w:rsidRPr="00B3752F">
            <w:rPr>
              <w:rStyle w:val="PageNumber"/>
              <w:sz w:val="20"/>
            </w:rPr>
            <w:fldChar w:fldCharType="end"/>
          </w:r>
        </w:p>
      </w:tc>
    </w:tr>
    <w:tr w:rsidR="008D609F" w14:paraId="72E440E2" w14:textId="77777777" w:rsidTr="000A6916">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3B6027D1" w14:textId="77777777" w:rsidR="008D609F" w:rsidRPr="002C1428" w:rsidRDefault="008D609F" w:rsidP="008D609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58A1D258" w14:textId="77777777" w:rsidR="00E9072F" w:rsidRPr="00AE7C5C" w:rsidRDefault="00E9072F" w:rsidP="008D6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8D238" w14:textId="77777777" w:rsidR="00BC7B7E" w:rsidRDefault="00BC7B7E" w:rsidP="00F66CB0">
      <w:r>
        <w:separator/>
      </w:r>
    </w:p>
  </w:footnote>
  <w:footnote w:type="continuationSeparator" w:id="0">
    <w:p w14:paraId="7E41A504" w14:textId="77777777" w:rsidR="00BC7B7E" w:rsidRDefault="00BC7B7E"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4902E169" w14:textId="77777777" w:rsidTr="000E456A">
      <w:trPr>
        <w:trHeight w:val="1276"/>
      </w:trPr>
      <w:tc>
        <w:tcPr>
          <w:tcW w:w="5556" w:type="dxa"/>
          <w:vAlign w:val="center"/>
          <w:hideMark/>
        </w:tcPr>
        <w:p w14:paraId="672189C8" w14:textId="769D88B2" w:rsidR="00E9072F" w:rsidRDefault="000E456A" w:rsidP="000E456A">
          <w:pPr>
            <w:pStyle w:val="Header"/>
            <w:rPr>
              <w:sz w:val="20"/>
            </w:rPr>
          </w:pPr>
          <w:r>
            <w:rPr>
              <w:noProof/>
              <w:sz w:val="20"/>
            </w:rPr>
            <w:drawing>
              <wp:inline distT="0" distB="0" distL="0" distR="0" wp14:anchorId="14921A7D" wp14:editId="440EF0C5">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0CAFA2BD" w14:textId="13405158" w:rsidR="00E9072F" w:rsidRDefault="00071693">
          <w:pPr>
            <w:pStyle w:val="Header"/>
            <w:tabs>
              <w:tab w:val="left" w:pos="720"/>
            </w:tabs>
            <w:jc w:val="right"/>
            <w:rPr>
              <w:sz w:val="20"/>
            </w:rPr>
          </w:pPr>
          <w:bookmarkStart w:id="1" w:name="_top"/>
          <w:bookmarkEnd w:id="1"/>
          <w:r>
            <w:rPr>
              <w:sz w:val="20"/>
            </w:rPr>
            <w:t>CHS20/276</w:t>
          </w:r>
        </w:p>
      </w:tc>
    </w:tr>
  </w:tbl>
  <w:p w14:paraId="0E8E4E31"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2C80188"/>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99F378A"/>
    <w:multiLevelType w:val="hybridMultilevel"/>
    <w:tmpl w:val="4086B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84628"/>
    <w:multiLevelType w:val="hybridMultilevel"/>
    <w:tmpl w:val="3E163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7714BE"/>
    <w:multiLevelType w:val="hybridMultilevel"/>
    <w:tmpl w:val="6D9EC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5A51E3"/>
    <w:multiLevelType w:val="hybridMultilevel"/>
    <w:tmpl w:val="7F0EC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F62FA3"/>
    <w:multiLevelType w:val="hybridMultilevel"/>
    <w:tmpl w:val="372E4B7C"/>
    <w:lvl w:ilvl="0" w:tplc="43BCD850">
      <w:numFmt w:val="bullet"/>
      <w:lvlText w:val="-"/>
      <w:lvlJc w:val="left"/>
      <w:pPr>
        <w:ind w:left="786" w:hanging="360"/>
      </w:pPr>
      <w:rPr>
        <w:rFonts w:ascii="Calibri" w:eastAsia="Times New Roman" w:hAnsi="Calibri" w:cs="Times New Roman"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9" w15:restartNumberingAfterBreak="0">
    <w:nsid w:val="3DDD75B6"/>
    <w:multiLevelType w:val="hybridMultilevel"/>
    <w:tmpl w:val="2A767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A04867"/>
    <w:multiLevelType w:val="hybridMultilevel"/>
    <w:tmpl w:val="A8D69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336BD2"/>
    <w:multiLevelType w:val="hybridMultilevel"/>
    <w:tmpl w:val="3D101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0E56A2"/>
    <w:multiLevelType w:val="hybridMultilevel"/>
    <w:tmpl w:val="8EBAE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7E5535"/>
    <w:multiLevelType w:val="hybridMultilevel"/>
    <w:tmpl w:val="0FE87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9660A7"/>
    <w:multiLevelType w:val="hybridMultilevel"/>
    <w:tmpl w:val="59188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C725AB"/>
    <w:multiLevelType w:val="hybridMultilevel"/>
    <w:tmpl w:val="C1BE45B2"/>
    <w:lvl w:ilvl="0" w:tplc="D9148918">
      <w:numFmt w:val="bullet"/>
      <w:lvlText w:val="-"/>
      <w:lvlJc w:val="left"/>
      <w:pPr>
        <w:ind w:left="1800" w:hanging="360"/>
      </w:pPr>
      <w:rPr>
        <w:rFonts w:ascii="Calibri" w:eastAsia="Times New Roman" w:hAnsi="Calibri"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75AE5CF9"/>
    <w:multiLevelType w:val="hybridMultilevel"/>
    <w:tmpl w:val="01EE7918"/>
    <w:lvl w:ilvl="0" w:tplc="43BCD850">
      <w:numFmt w:val="bullet"/>
      <w:lvlText w:val="-"/>
      <w:lvlJc w:val="left"/>
      <w:pPr>
        <w:ind w:left="841" w:hanging="360"/>
      </w:pPr>
      <w:rPr>
        <w:rFonts w:ascii="Calibri" w:eastAsia="Times New Roman" w:hAnsi="Calibri" w:cs="Times New Roman"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7" w15:restartNumberingAfterBreak="0">
    <w:nsid w:val="78E40A77"/>
    <w:multiLevelType w:val="hybridMultilevel"/>
    <w:tmpl w:val="312493E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8"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8"/>
  </w:num>
  <w:num w:numId="4">
    <w:abstractNumId w:val="3"/>
  </w:num>
  <w:num w:numId="5">
    <w:abstractNumId w:val="5"/>
  </w:num>
  <w:num w:numId="6">
    <w:abstractNumId w:val="19"/>
  </w:num>
  <w:num w:numId="7">
    <w:abstractNumId w:val="10"/>
  </w:num>
  <w:num w:numId="8">
    <w:abstractNumId w:val="11"/>
  </w:num>
  <w:num w:numId="9">
    <w:abstractNumId w:val="2"/>
  </w:num>
  <w:num w:numId="10">
    <w:abstractNumId w:val="15"/>
  </w:num>
  <w:num w:numId="11">
    <w:abstractNumId w:val="14"/>
  </w:num>
  <w:num w:numId="12">
    <w:abstractNumId w:val="4"/>
  </w:num>
  <w:num w:numId="13">
    <w:abstractNumId w:val="9"/>
  </w:num>
  <w:num w:numId="14">
    <w:abstractNumId w:val="6"/>
  </w:num>
  <w:num w:numId="15">
    <w:abstractNumId w:val="17"/>
  </w:num>
  <w:num w:numId="16">
    <w:abstractNumId w:val="8"/>
  </w:num>
  <w:num w:numId="17">
    <w:abstractNumId w:val="16"/>
  </w:num>
  <w:num w:numId="18">
    <w:abstractNumId w:val="12"/>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6207"/>
    <w:rsid w:val="000121C3"/>
    <w:rsid w:val="00015529"/>
    <w:rsid w:val="00015B90"/>
    <w:rsid w:val="0001607A"/>
    <w:rsid w:val="00031F30"/>
    <w:rsid w:val="000372F8"/>
    <w:rsid w:val="00050A68"/>
    <w:rsid w:val="000510D1"/>
    <w:rsid w:val="00054067"/>
    <w:rsid w:val="000629EA"/>
    <w:rsid w:val="0006404E"/>
    <w:rsid w:val="00071693"/>
    <w:rsid w:val="00090F09"/>
    <w:rsid w:val="000A164C"/>
    <w:rsid w:val="000A6877"/>
    <w:rsid w:val="000A7080"/>
    <w:rsid w:val="000B2827"/>
    <w:rsid w:val="000B5C8C"/>
    <w:rsid w:val="000C043A"/>
    <w:rsid w:val="000C08A5"/>
    <w:rsid w:val="000C59E2"/>
    <w:rsid w:val="000C7B2D"/>
    <w:rsid w:val="000D5565"/>
    <w:rsid w:val="000E456A"/>
    <w:rsid w:val="000F14E9"/>
    <w:rsid w:val="000F7B7E"/>
    <w:rsid w:val="00103EEA"/>
    <w:rsid w:val="00115806"/>
    <w:rsid w:val="00121B57"/>
    <w:rsid w:val="00142313"/>
    <w:rsid w:val="00166AFD"/>
    <w:rsid w:val="00191109"/>
    <w:rsid w:val="001947EF"/>
    <w:rsid w:val="00195CAE"/>
    <w:rsid w:val="001A0053"/>
    <w:rsid w:val="001B2465"/>
    <w:rsid w:val="001C21ED"/>
    <w:rsid w:val="001E1DE8"/>
    <w:rsid w:val="001E69DF"/>
    <w:rsid w:val="001F6D2D"/>
    <w:rsid w:val="00200287"/>
    <w:rsid w:val="00204957"/>
    <w:rsid w:val="0020783D"/>
    <w:rsid w:val="00211A0A"/>
    <w:rsid w:val="00240B97"/>
    <w:rsid w:val="00244BEB"/>
    <w:rsid w:val="00244EBC"/>
    <w:rsid w:val="00245C55"/>
    <w:rsid w:val="002501BE"/>
    <w:rsid w:val="0025347D"/>
    <w:rsid w:val="0025382D"/>
    <w:rsid w:val="0025538C"/>
    <w:rsid w:val="00262D8E"/>
    <w:rsid w:val="00263BA6"/>
    <w:rsid w:val="002716D2"/>
    <w:rsid w:val="0027243E"/>
    <w:rsid w:val="0027264D"/>
    <w:rsid w:val="00293E43"/>
    <w:rsid w:val="00296E45"/>
    <w:rsid w:val="002A3EAE"/>
    <w:rsid w:val="002B18B3"/>
    <w:rsid w:val="002B5F43"/>
    <w:rsid w:val="002D7104"/>
    <w:rsid w:val="002E62F7"/>
    <w:rsid w:val="002F61F7"/>
    <w:rsid w:val="00305099"/>
    <w:rsid w:val="00313707"/>
    <w:rsid w:val="0033223A"/>
    <w:rsid w:val="0033279E"/>
    <w:rsid w:val="003372B5"/>
    <w:rsid w:val="00347A29"/>
    <w:rsid w:val="00376A6D"/>
    <w:rsid w:val="00380B98"/>
    <w:rsid w:val="00383F2F"/>
    <w:rsid w:val="00396023"/>
    <w:rsid w:val="00397216"/>
    <w:rsid w:val="003A02D8"/>
    <w:rsid w:val="003B09DB"/>
    <w:rsid w:val="003B0B75"/>
    <w:rsid w:val="003C4BB5"/>
    <w:rsid w:val="003E4CC0"/>
    <w:rsid w:val="003E543A"/>
    <w:rsid w:val="003F3D8F"/>
    <w:rsid w:val="00412CED"/>
    <w:rsid w:val="00424953"/>
    <w:rsid w:val="00427139"/>
    <w:rsid w:val="004358E9"/>
    <w:rsid w:val="00435EE6"/>
    <w:rsid w:val="004571ED"/>
    <w:rsid w:val="004804C0"/>
    <w:rsid w:val="00484120"/>
    <w:rsid w:val="00487DD5"/>
    <w:rsid w:val="00490895"/>
    <w:rsid w:val="004A2E02"/>
    <w:rsid w:val="004B7C43"/>
    <w:rsid w:val="004C2B20"/>
    <w:rsid w:val="004E17B2"/>
    <w:rsid w:val="004E28AD"/>
    <w:rsid w:val="004E2D2A"/>
    <w:rsid w:val="004E3745"/>
    <w:rsid w:val="004F1D05"/>
    <w:rsid w:val="004F2AB0"/>
    <w:rsid w:val="004F6DAE"/>
    <w:rsid w:val="00500129"/>
    <w:rsid w:val="005006C8"/>
    <w:rsid w:val="00503539"/>
    <w:rsid w:val="0050506A"/>
    <w:rsid w:val="005149D6"/>
    <w:rsid w:val="0052443C"/>
    <w:rsid w:val="0052775E"/>
    <w:rsid w:val="0053146A"/>
    <w:rsid w:val="00535F61"/>
    <w:rsid w:val="00542514"/>
    <w:rsid w:val="00546AED"/>
    <w:rsid w:val="00550441"/>
    <w:rsid w:val="0055673B"/>
    <w:rsid w:val="005621E4"/>
    <w:rsid w:val="00563E0F"/>
    <w:rsid w:val="0057038C"/>
    <w:rsid w:val="005712B5"/>
    <w:rsid w:val="00572C0C"/>
    <w:rsid w:val="00576D8D"/>
    <w:rsid w:val="00590712"/>
    <w:rsid w:val="00590C5C"/>
    <w:rsid w:val="005926B9"/>
    <w:rsid w:val="00596FD7"/>
    <w:rsid w:val="005A2C1F"/>
    <w:rsid w:val="005A3625"/>
    <w:rsid w:val="005B4738"/>
    <w:rsid w:val="005B6AEF"/>
    <w:rsid w:val="005B6F0E"/>
    <w:rsid w:val="005C1024"/>
    <w:rsid w:val="005C212D"/>
    <w:rsid w:val="005C3CB0"/>
    <w:rsid w:val="005C6DE7"/>
    <w:rsid w:val="005D4D41"/>
    <w:rsid w:val="005F7499"/>
    <w:rsid w:val="00612231"/>
    <w:rsid w:val="00617ED9"/>
    <w:rsid w:val="0062001A"/>
    <w:rsid w:val="006206E6"/>
    <w:rsid w:val="00635EB1"/>
    <w:rsid w:val="00636DD9"/>
    <w:rsid w:val="0064550D"/>
    <w:rsid w:val="006473BB"/>
    <w:rsid w:val="0066495D"/>
    <w:rsid w:val="006817A9"/>
    <w:rsid w:val="00695012"/>
    <w:rsid w:val="00695EB6"/>
    <w:rsid w:val="006A4D46"/>
    <w:rsid w:val="006A6024"/>
    <w:rsid w:val="006B0A87"/>
    <w:rsid w:val="006B5724"/>
    <w:rsid w:val="006B5EE6"/>
    <w:rsid w:val="006B758D"/>
    <w:rsid w:val="006C30F5"/>
    <w:rsid w:val="006C31FF"/>
    <w:rsid w:val="006C6B6C"/>
    <w:rsid w:val="006C704D"/>
    <w:rsid w:val="006C7458"/>
    <w:rsid w:val="006E31CB"/>
    <w:rsid w:val="006E3785"/>
    <w:rsid w:val="0070331D"/>
    <w:rsid w:val="00712B30"/>
    <w:rsid w:val="00713369"/>
    <w:rsid w:val="007231E2"/>
    <w:rsid w:val="00741B43"/>
    <w:rsid w:val="00750B4D"/>
    <w:rsid w:val="00756537"/>
    <w:rsid w:val="007570FD"/>
    <w:rsid w:val="00763225"/>
    <w:rsid w:val="00774952"/>
    <w:rsid w:val="00774BCF"/>
    <w:rsid w:val="007946A1"/>
    <w:rsid w:val="007A0EBC"/>
    <w:rsid w:val="007A238D"/>
    <w:rsid w:val="007A68B6"/>
    <w:rsid w:val="007B4ABB"/>
    <w:rsid w:val="007B6904"/>
    <w:rsid w:val="007C09D4"/>
    <w:rsid w:val="007C0E06"/>
    <w:rsid w:val="007D16AD"/>
    <w:rsid w:val="007E2B97"/>
    <w:rsid w:val="007F3C1B"/>
    <w:rsid w:val="00816782"/>
    <w:rsid w:val="008212B6"/>
    <w:rsid w:val="0082141D"/>
    <w:rsid w:val="00822FBF"/>
    <w:rsid w:val="00827F24"/>
    <w:rsid w:val="008429F1"/>
    <w:rsid w:val="008432FE"/>
    <w:rsid w:val="00855DA8"/>
    <w:rsid w:val="008812F7"/>
    <w:rsid w:val="00886399"/>
    <w:rsid w:val="00893128"/>
    <w:rsid w:val="008974CA"/>
    <w:rsid w:val="008B75FE"/>
    <w:rsid w:val="008C6F58"/>
    <w:rsid w:val="008D0A9F"/>
    <w:rsid w:val="008D5889"/>
    <w:rsid w:val="008D609F"/>
    <w:rsid w:val="008E1F7F"/>
    <w:rsid w:val="008F00E8"/>
    <w:rsid w:val="008F6921"/>
    <w:rsid w:val="009002F9"/>
    <w:rsid w:val="00903AFB"/>
    <w:rsid w:val="0092325B"/>
    <w:rsid w:val="00933EED"/>
    <w:rsid w:val="00940CDE"/>
    <w:rsid w:val="00941C61"/>
    <w:rsid w:val="00942B11"/>
    <w:rsid w:val="00945740"/>
    <w:rsid w:val="00954112"/>
    <w:rsid w:val="00954592"/>
    <w:rsid w:val="0097742A"/>
    <w:rsid w:val="00980EED"/>
    <w:rsid w:val="00991670"/>
    <w:rsid w:val="009978B2"/>
    <w:rsid w:val="00997C00"/>
    <w:rsid w:val="009B3F8C"/>
    <w:rsid w:val="009B6C8C"/>
    <w:rsid w:val="009C0FCA"/>
    <w:rsid w:val="009C3963"/>
    <w:rsid w:val="009D323C"/>
    <w:rsid w:val="009D5858"/>
    <w:rsid w:val="009F7455"/>
    <w:rsid w:val="00A000BC"/>
    <w:rsid w:val="00A04F6A"/>
    <w:rsid w:val="00A10FD3"/>
    <w:rsid w:val="00A25945"/>
    <w:rsid w:val="00A35E2D"/>
    <w:rsid w:val="00A4732D"/>
    <w:rsid w:val="00A61795"/>
    <w:rsid w:val="00A71FB0"/>
    <w:rsid w:val="00A74B8A"/>
    <w:rsid w:val="00A7631C"/>
    <w:rsid w:val="00A7703D"/>
    <w:rsid w:val="00A803F7"/>
    <w:rsid w:val="00A85F61"/>
    <w:rsid w:val="00A86A9D"/>
    <w:rsid w:val="00A86DB3"/>
    <w:rsid w:val="00AA1966"/>
    <w:rsid w:val="00AA22B5"/>
    <w:rsid w:val="00AA25DC"/>
    <w:rsid w:val="00AA5EBF"/>
    <w:rsid w:val="00AA7B13"/>
    <w:rsid w:val="00AB4914"/>
    <w:rsid w:val="00AC6618"/>
    <w:rsid w:val="00AD76AD"/>
    <w:rsid w:val="00AF5812"/>
    <w:rsid w:val="00B01AF8"/>
    <w:rsid w:val="00B0778A"/>
    <w:rsid w:val="00B20D87"/>
    <w:rsid w:val="00B21043"/>
    <w:rsid w:val="00B44CAC"/>
    <w:rsid w:val="00B5349B"/>
    <w:rsid w:val="00B573D6"/>
    <w:rsid w:val="00B65E45"/>
    <w:rsid w:val="00B76386"/>
    <w:rsid w:val="00B7783C"/>
    <w:rsid w:val="00B80F16"/>
    <w:rsid w:val="00B81455"/>
    <w:rsid w:val="00B85F2E"/>
    <w:rsid w:val="00B9627F"/>
    <w:rsid w:val="00BA2415"/>
    <w:rsid w:val="00BA4F95"/>
    <w:rsid w:val="00BB33F9"/>
    <w:rsid w:val="00BC3CE6"/>
    <w:rsid w:val="00BC6F5A"/>
    <w:rsid w:val="00BC7B7E"/>
    <w:rsid w:val="00BE5E41"/>
    <w:rsid w:val="00BF18DD"/>
    <w:rsid w:val="00C13748"/>
    <w:rsid w:val="00C147CB"/>
    <w:rsid w:val="00C15701"/>
    <w:rsid w:val="00C2259E"/>
    <w:rsid w:val="00C24EDC"/>
    <w:rsid w:val="00C25A76"/>
    <w:rsid w:val="00C32206"/>
    <w:rsid w:val="00C34C03"/>
    <w:rsid w:val="00C45C67"/>
    <w:rsid w:val="00C46419"/>
    <w:rsid w:val="00C46710"/>
    <w:rsid w:val="00C51921"/>
    <w:rsid w:val="00C523FF"/>
    <w:rsid w:val="00C529B0"/>
    <w:rsid w:val="00C554A2"/>
    <w:rsid w:val="00C55897"/>
    <w:rsid w:val="00C71C3C"/>
    <w:rsid w:val="00C720E4"/>
    <w:rsid w:val="00C90FB9"/>
    <w:rsid w:val="00C96948"/>
    <w:rsid w:val="00CA593D"/>
    <w:rsid w:val="00CA6285"/>
    <w:rsid w:val="00CB0488"/>
    <w:rsid w:val="00CC5A97"/>
    <w:rsid w:val="00CD14B5"/>
    <w:rsid w:val="00CF3176"/>
    <w:rsid w:val="00CF3CE3"/>
    <w:rsid w:val="00D1016C"/>
    <w:rsid w:val="00D12C89"/>
    <w:rsid w:val="00D21780"/>
    <w:rsid w:val="00D23346"/>
    <w:rsid w:val="00D243B8"/>
    <w:rsid w:val="00D2497E"/>
    <w:rsid w:val="00D34794"/>
    <w:rsid w:val="00D3625E"/>
    <w:rsid w:val="00D4502D"/>
    <w:rsid w:val="00D530CE"/>
    <w:rsid w:val="00D53E3C"/>
    <w:rsid w:val="00D55E5B"/>
    <w:rsid w:val="00D77950"/>
    <w:rsid w:val="00D80114"/>
    <w:rsid w:val="00D87FC6"/>
    <w:rsid w:val="00DA4284"/>
    <w:rsid w:val="00DA60E8"/>
    <w:rsid w:val="00DB0738"/>
    <w:rsid w:val="00DC3762"/>
    <w:rsid w:val="00DC3CA2"/>
    <w:rsid w:val="00DD5D22"/>
    <w:rsid w:val="00DD616A"/>
    <w:rsid w:val="00DE0465"/>
    <w:rsid w:val="00DE255F"/>
    <w:rsid w:val="00E049ED"/>
    <w:rsid w:val="00E128E6"/>
    <w:rsid w:val="00E21E73"/>
    <w:rsid w:val="00E2338C"/>
    <w:rsid w:val="00E24321"/>
    <w:rsid w:val="00E33655"/>
    <w:rsid w:val="00E3392D"/>
    <w:rsid w:val="00E34E6D"/>
    <w:rsid w:val="00E37CD4"/>
    <w:rsid w:val="00E500AE"/>
    <w:rsid w:val="00E543E1"/>
    <w:rsid w:val="00E57848"/>
    <w:rsid w:val="00E67DFF"/>
    <w:rsid w:val="00E7692C"/>
    <w:rsid w:val="00E862AA"/>
    <w:rsid w:val="00E9072F"/>
    <w:rsid w:val="00E94863"/>
    <w:rsid w:val="00E96207"/>
    <w:rsid w:val="00EB1A06"/>
    <w:rsid w:val="00ED0E1B"/>
    <w:rsid w:val="00ED21C3"/>
    <w:rsid w:val="00ED388C"/>
    <w:rsid w:val="00ED5696"/>
    <w:rsid w:val="00EE05BB"/>
    <w:rsid w:val="00EF02B0"/>
    <w:rsid w:val="00EF74A2"/>
    <w:rsid w:val="00F01B61"/>
    <w:rsid w:val="00F0517F"/>
    <w:rsid w:val="00F10F12"/>
    <w:rsid w:val="00F149FD"/>
    <w:rsid w:val="00F205B2"/>
    <w:rsid w:val="00F20988"/>
    <w:rsid w:val="00F2393A"/>
    <w:rsid w:val="00F4262F"/>
    <w:rsid w:val="00F47881"/>
    <w:rsid w:val="00F53719"/>
    <w:rsid w:val="00F56495"/>
    <w:rsid w:val="00F56AEA"/>
    <w:rsid w:val="00F57291"/>
    <w:rsid w:val="00F60B29"/>
    <w:rsid w:val="00F65BD5"/>
    <w:rsid w:val="00F66CB0"/>
    <w:rsid w:val="00F76C89"/>
    <w:rsid w:val="00F919E4"/>
    <w:rsid w:val="00F923F2"/>
    <w:rsid w:val="00FA29B8"/>
    <w:rsid w:val="00FC540A"/>
    <w:rsid w:val="00FD1D20"/>
    <w:rsid w:val="00FD3D92"/>
    <w:rsid w:val="00FE5E77"/>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5895010D"/>
  <w15:docId w15:val="{C262EC15-6738-4688-9175-BE051D10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CHS20/276</Decision_x0020_Number>
    <Description0 xmlns="690b2128-8961-48af-a473-22c34a9accba">This policy is to ensure CHS implements and uses POCT devices and systems in a standardised and approved manner.
</Description0>
    <Display_x0020_on_x0020_Internet xmlns="690b2128-8961-48af-a473-22c34a9accba">true</Display_x0020_on_x0020_Internet>
    <Review_x0020_Date xmlns="690b2128-8961-48af-a473-22c34a9accba">2024-10-31T13:00:00+00:00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CHHS15/129 Pathology Point-of-Care Testing (POCT) Policy</Replaces_x003a_>
    <Progress xmlns="690b2128-8961-48af-a473-22c34a9accba" xsi:nil="true"/>
    <TaxCatchAll xmlns="c0239a80-7f07-4ed7-82c3-24ad7d76ada5" xsi:nil="true"/>
    <Key_x0020_Words xmlns="690b2128-8961-48af-a473-22c34a9accba">Point-of-Care Testing, Point of Care, Pathology, Testing, Tests, Meter, Analyser, Reader, POCT, POC</Key_x0020_Words>
    <Type_x0020_of_x0020_Document xmlns="690b2128-8961-48af-a473-22c34a9accba">Policy</Type_x0020_of_x0020_Document>
    <Version_x0020_Number xmlns="690b2128-8961-48af-a473-22c34a9accba">1</Version_x0020_Number>
    <Approval_x0020_Date xmlns="690b2128-8961-48af-a473-22c34a9accba">2020-10-20T13:00:00+00:00</Approval_x0020_Date>
    <Notes0 xmlns="690b2128-8961-48af-a473-22c34a9accba" xsi:nil="true"/>
    <New_x0020_Applies_x0020_To xmlns="690b2128-8961-48af-a473-22c34a9accba">Canberra Health Services</New_x0020_Applies_x0020_To>
    <New_x0020_Owner xmlns="690b2128-8961-48af-a473-22c34a9accba">Pathology</New_x0020_Owner>
    <Status xmlns="690b2128-8961-48af-a473-22c34a9accba">Approved</Status>
  </documentManagement>
</p:properties>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7C4D14A6-E73F-4A05-A896-EB0DC267768C}"/>
</file>

<file path=customXml/itemProps3.xml><?xml version="1.0" encoding="utf-8"?>
<ds:datastoreItem xmlns:ds="http://schemas.openxmlformats.org/officeDocument/2006/customXml" ds:itemID="{9D3D09AF-9F1E-41C4-A78F-4A9E472567E2}">
  <ds:schemaRefs>
    <ds:schemaRef ds:uri="http://schemas.openxmlformats.org/officeDocument/2006/bibliography"/>
  </ds:schemaRefs>
</ds:datastoreItem>
</file>

<file path=customXml/itemProps4.xml><?xml version="1.0" encoding="utf-8"?>
<ds:datastoreItem xmlns:ds="http://schemas.openxmlformats.org/officeDocument/2006/customXml" ds:itemID="{F0BF058C-E928-43C8-9BF0-43F1BC651431}">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0c8e588b-9c83-49d3-a6c8-a54de8f95e6a"/>
    <ds:schemaRef ds:uri="b2806a9b-524a-408a-9242-7f2c397428d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Point-of-care Testing (POCT) Policy</vt:lpstr>
    </vt:vector>
  </TitlesOfParts>
  <Company>ACT Government</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Pathology Point-of-Care Testing (POCT) Policy</dc:title>
  <dc:subject>23;#</dc:subject>
  <dc:creator>Kerryn Hunter</dc:creator>
  <cp:lastModifiedBy>Hunter, Kerryn (Health)</cp:lastModifiedBy>
  <cp:revision>25</cp:revision>
  <cp:lastPrinted>2014-07-16T01:36:00Z</cp:lastPrinted>
  <dcterms:created xsi:type="dcterms:W3CDTF">2020-09-27T02:57:00Z</dcterms:created>
  <dcterms:modified xsi:type="dcterms:W3CDTF">2020-10-22T04:42:00Z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