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02609" w14:textId="77777777" w:rsidR="00197F2E" w:rsidRPr="0007270D" w:rsidRDefault="0F941C71" w:rsidP="004F00E3">
      <w:pPr>
        <w:pStyle w:val="Heading1"/>
      </w:pPr>
      <w:bookmarkStart w:id="0" w:name="_top"/>
      <w:bookmarkEnd w:id="0"/>
      <w:r>
        <w:t xml:space="preserve">Guideline | </w:t>
      </w:r>
      <w:r w:rsidR="7CBB4043">
        <w:t>Canberra Health Services</w:t>
      </w:r>
    </w:p>
    <w:p w14:paraId="67CDF006" w14:textId="4ABD0B8D" w:rsidR="6F25E772" w:rsidRDefault="6F25E772" w:rsidP="00296148">
      <w:pPr>
        <w:pStyle w:val="Heading2"/>
      </w:pPr>
      <w:r w:rsidRPr="0E20A362">
        <w:t xml:space="preserve">Obesity – Pregnancy, Labour, Birth and Postnatal Care </w:t>
      </w:r>
    </w:p>
    <w:p w14:paraId="18CF395D" w14:textId="461FA658" w:rsidR="00CA4FDE" w:rsidRPr="00C34A10" w:rsidRDefault="00E31596" w:rsidP="00C34A10">
      <w:pPr>
        <w:pStyle w:val="BodyCopy"/>
        <w:spacing w:before="0" w:line="240" w:lineRule="auto"/>
        <w:rPr>
          <w:color w:val="575757" w:themeColor="text2"/>
        </w:rPr>
      </w:pPr>
      <w:r w:rsidRPr="00197F2E">
        <w:t>CHS</w:t>
      </w:r>
      <w:bookmarkStart w:id="1" w:name="_Hlk157074578"/>
      <w:r w:rsidR="00774E46">
        <w:t>25/446</w:t>
      </w:r>
    </w:p>
    <w:sdt>
      <w:sdtPr>
        <w:rPr>
          <w:sz w:val="32"/>
          <w:szCs w:val="32"/>
        </w:rPr>
        <w:id w:val="-1206019646"/>
        <w:docPartObj>
          <w:docPartGallery w:val="Table of Contents"/>
          <w:docPartUnique/>
        </w:docPartObj>
      </w:sdtPr>
      <w:sdtEndPr>
        <w:rPr>
          <w:noProof/>
        </w:rPr>
      </w:sdtEndPr>
      <w:sdtContent>
        <w:p w14:paraId="60D855A3" w14:textId="77777777" w:rsidR="00A731B8" w:rsidRPr="000E7683" w:rsidRDefault="00A731B8">
          <w:pPr>
            <w:pStyle w:val="TOCHeading"/>
            <w:rPr>
              <w:rStyle w:val="Heading3Char"/>
              <w:b/>
              <w:bCs w:val="0"/>
            </w:rPr>
          </w:pPr>
          <w:r w:rsidRPr="007B1A7B">
            <w:rPr>
              <w:rStyle w:val="Heading3Char"/>
              <w:b/>
              <w:bCs w:val="0"/>
            </w:rPr>
            <w:t>Contents</w:t>
          </w:r>
        </w:p>
        <w:p w14:paraId="2EB82F1A" w14:textId="1118F432" w:rsidR="003D6361"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17400050" w:history="1">
            <w:r w:rsidR="003D6361" w:rsidRPr="004D21A3">
              <w:rPr>
                <w:rStyle w:val="Hyperlink"/>
              </w:rPr>
              <w:t>Guideline statement</w:t>
            </w:r>
            <w:r w:rsidR="003D6361">
              <w:rPr>
                <w:webHidden/>
              </w:rPr>
              <w:tab/>
            </w:r>
            <w:r w:rsidR="003D6361">
              <w:rPr>
                <w:webHidden/>
              </w:rPr>
              <w:fldChar w:fldCharType="begin"/>
            </w:r>
            <w:r w:rsidR="003D6361">
              <w:rPr>
                <w:webHidden/>
              </w:rPr>
              <w:instrText xml:space="preserve"> PAGEREF _Toc217400050 \h </w:instrText>
            </w:r>
            <w:r w:rsidR="003D6361">
              <w:rPr>
                <w:webHidden/>
              </w:rPr>
            </w:r>
            <w:r w:rsidR="003D6361">
              <w:rPr>
                <w:webHidden/>
              </w:rPr>
              <w:fldChar w:fldCharType="separate"/>
            </w:r>
            <w:r w:rsidR="003D6361">
              <w:rPr>
                <w:webHidden/>
              </w:rPr>
              <w:t>2</w:t>
            </w:r>
            <w:r w:rsidR="003D6361">
              <w:rPr>
                <w:webHidden/>
              </w:rPr>
              <w:fldChar w:fldCharType="end"/>
            </w:r>
          </w:hyperlink>
        </w:p>
        <w:p w14:paraId="6AF3C16C" w14:textId="57CA0BBD" w:rsidR="003D6361" w:rsidRDefault="003D6361">
          <w:pPr>
            <w:pStyle w:val="TOC1"/>
            <w:rPr>
              <w:rFonts w:asciiTheme="minorHAnsi" w:eastAsiaTheme="minorEastAsia" w:hAnsiTheme="minorHAnsi" w:cstheme="minorBidi"/>
              <w:color w:val="auto"/>
              <w:kern w:val="2"/>
              <w14:ligatures w14:val="standardContextual"/>
            </w:rPr>
          </w:pPr>
          <w:hyperlink w:anchor="_Toc217400051" w:history="1">
            <w:r w:rsidRPr="004D21A3">
              <w:rPr>
                <w:rStyle w:val="Hyperlink"/>
              </w:rPr>
              <w:t>Scope</w:t>
            </w:r>
            <w:r>
              <w:rPr>
                <w:webHidden/>
              </w:rPr>
              <w:tab/>
            </w:r>
            <w:r>
              <w:rPr>
                <w:webHidden/>
              </w:rPr>
              <w:fldChar w:fldCharType="begin"/>
            </w:r>
            <w:r>
              <w:rPr>
                <w:webHidden/>
              </w:rPr>
              <w:instrText xml:space="preserve"> PAGEREF _Toc217400051 \h </w:instrText>
            </w:r>
            <w:r>
              <w:rPr>
                <w:webHidden/>
              </w:rPr>
            </w:r>
            <w:r>
              <w:rPr>
                <w:webHidden/>
              </w:rPr>
              <w:fldChar w:fldCharType="separate"/>
            </w:r>
            <w:r>
              <w:rPr>
                <w:webHidden/>
              </w:rPr>
              <w:t>2</w:t>
            </w:r>
            <w:r>
              <w:rPr>
                <w:webHidden/>
              </w:rPr>
              <w:fldChar w:fldCharType="end"/>
            </w:r>
          </w:hyperlink>
        </w:p>
        <w:p w14:paraId="2450494B" w14:textId="622DC15E" w:rsidR="003D6361" w:rsidRDefault="003D6361">
          <w:pPr>
            <w:pStyle w:val="TOC1"/>
            <w:rPr>
              <w:rFonts w:asciiTheme="minorHAnsi" w:eastAsiaTheme="minorEastAsia" w:hAnsiTheme="minorHAnsi" w:cstheme="minorBidi"/>
              <w:color w:val="auto"/>
              <w:kern w:val="2"/>
              <w14:ligatures w14:val="standardContextual"/>
            </w:rPr>
          </w:pPr>
          <w:hyperlink w:anchor="_Toc217400052" w:history="1">
            <w:r w:rsidRPr="004D21A3">
              <w:rPr>
                <w:rStyle w:val="Hyperlink"/>
              </w:rPr>
              <w:t>Section 1 – Sensitive language for women with higher BMI</w:t>
            </w:r>
            <w:r>
              <w:rPr>
                <w:webHidden/>
              </w:rPr>
              <w:tab/>
            </w:r>
            <w:r>
              <w:rPr>
                <w:webHidden/>
              </w:rPr>
              <w:fldChar w:fldCharType="begin"/>
            </w:r>
            <w:r>
              <w:rPr>
                <w:webHidden/>
              </w:rPr>
              <w:instrText xml:space="preserve"> PAGEREF _Toc217400052 \h </w:instrText>
            </w:r>
            <w:r>
              <w:rPr>
                <w:webHidden/>
              </w:rPr>
            </w:r>
            <w:r>
              <w:rPr>
                <w:webHidden/>
              </w:rPr>
              <w:fldChar w:fldCharType="separate"/>
            </w:r>
            <w:r>
              <w:rPr>
                <w:webHidden/>
              </w:rPr>
              <w:t>3</w:t>
            </w:r>
            <w:r>
              <w:rPr>
                <w:webHidden/>
              </w:rPr>
              <w:fldChar w:fldCharType="end"/>
            </w:r>
          </w:hyperlink>
        </w:p>
        <w:p w14:paraId="37187BDE" w14:textId="5490A186" w:rsidR="003D6361" w:rsidRDefault="003D6361">
          <w:pPr>
            <w:pStyle w:val="TOC1"/>
            <w:rPr>
              <w:rFonts w:asciiTheme="minorHAnsi" w:eastAsiaTheme="minorEastAsia" w:hAnsiTheme="minorHAnsi" w:cstheme="minorBidi"/>
              <w:color w:val="auto"/>
              <w:kern w:val="2"/>
              <w14:ligatures w14:val="standardContextual"/>
            </w:rPr>
          </w:pPr>
          <w:hyperlink w:anchor="_Toc217400053" w:history="1">
            <w:r w:rsidRPr="004D21A3">
              <w:rPr>
                <w:rStyle w:val="Hyperlink"/>
              </w:rPr>
              <w:t>Section 2 – BMI and expected pregnancy weight gain</w:t>
            </w:r>
            <w:r>
              <w:rPr>
                <w:webHidden/>
              </w:rPr>
              <w:tab/>
            </w:r>
            <w:r>
              <w:rPr>
                <w:webHidden/>
              </w:rPr>
              <w:fldChar w:fldCharType="begin"/>
            </w:r>
            <w:r>
              <w:rPr>
                <w:webHidden/>
              </w:rPr>
              <w:instrText xml:space="preserve"> PAGEREF _Toc217400053 \h </w:instrText>
            </w:r>
            <w:r>
              <w:rPr>
                <w:webHidden/>
              </w:rPr>
            </w:r>
            <w:r>
              <w:rPr>
                <w:webHidden/>
              </w:rPr>
              <w:fldChar w:fldCharType="separate"/>
            </w:r>
            <w:r>
              <w:rPr>
                <w:webHidden/>
              </w:rPr>
              <w:t>3</w:t>
            </w:r>
            <w:r>
              <w:rPr>
                <w:webHidden/>
              </w:rPr>
              <w:fldChar w:fldCharType="end"/>
            </w:r>
          </w:hyperlink>
        </w:p>
        <w:p w14:paraId="4154C146" w14:textId="2555194D" w:rsidR="003D6361" w:rsidRDefault="003D6361">
          <w:pPr>
            <w:pStyle w:val="TOC1"/>
            <w:rPr>
              <w:rFonts w:asciiTheme="minorHAnsi" w:eastAsiaTheme="minorEastAsia" w:hAnsiTheme="minorHAnsi" w:cstheme="minorBidi"/>
              <w:color w:val="auto"/>
              <w:kern w:val="2"/>
              <w14:ligatures w14:val="standardContextual"/>
            </w:rPr>
          </w:pPr>
          <w:hyperlink w:anchor="_Toc217400054" w:history="1">
            <w:r w:rsidRPr="004D21A3">
              <w:rPr>
                <w:rStyle w:val="Hyperlink"/>
              </w:rPr>
              <w:t>Section 3 - Pregnancy complications associated with maternal obesity</w:t>
            </w:r>
            <w:r>
              <w:rPr>
                <w:webHidden/>
              </w:rPr>
              <w:tab/>
            </w:r>
            <w:r>
              <w:rPr>
                <w:webHidden/>
              </w:rPr>
              <w:fldChar w:fldCharType="begin"/>
            </w:r>
            <w:r>
              <w:rPr>
                <w:webHidden/>
              </w:rPr>
              <w:instrText xml:space="preserve"> PAGEREF _Toc217400054 \h </w:instrText>
            </w:r>
            <w:r>
              <w:rPr>
                <w:webHidden/>
              </w:rPr>
            </w:r>
            <w:r>
              <w:rPr>
                <w:webHidden/>
              </w:rPr>
              <w:fldChar w:fldCharType="separate"/>
            </w:r>
            <w:r>
              <w:rPr>
                <w:webHidden/>
              </w:rPr>
              <w:t>4</w:t>
            </w:r>
            <w:r>
              <w:rPr>
                <w:webHidden/>
              </w:rPr>
              <w:fldChar w:fldCharType="end"/>
            </w:r>
          </w:hyperlink>
        </w:p>
        <w:p w14:paraId="6B877B29" w14:textId="57C1061E" w:rsidR="003D6361" w:rsidRDefault="003D6361">
          <w:pPr>
            <w:pStyle w:val="TOC1"/>
            <w:rPr>
              <w:rFonts w:asciiTheme="minorHAnsi" w:eastAsiaTheme="minorEastAsia" w:hAnsiTheme="minorHAnsi" w:cstheme="minorBidi"/>
              <w:color w:val="auto"/>
              <w:kern w:val="2"/>
              <w14:ligatures w14:val="standardContextual"/>
            </w:rPr>
          </w:pPr>
          <w:hyperlink w:anchor="_Toc217400055" w:history="1">
            <w:r w:rsidRPr="004D21A3">
              <w:rPr>
                <w:rStyle w:val="Hyperlink"/>
              </w:rPr>
              <w:t>Section 4 – Provision of pregnancy care for women with BMI greater than 35</w:t>
            </w:r>
            <w:r>
              <w:rPr>
                <w:webHidden/>
              </w:rPr>
              <w:tab/>
            </w:r>
            <w:r>
              <w:rPr>
                <w:webHidden/>
              </w:rPr>
              <w:fldChar w:fldCharType="begin"/>
            </w:r>
            <w:r>
              <w:rPr>
                <w:webHidden/>
              </w:rPr>
              <w:instrText xml:space="preserve"> PAGEREF _Toc217400055 \h </w:instrText>
            </w:r>
            <w:r>
              <w:rPr>
                <w:webHidden/>
              </w:rPr>
            </w:r>
            <w:r>
              <w:rPr>
                <w:webHidden/>
              </w:rPr>
              <w:fldChar w:fldCharType="separate"/>
            </w:r>
            <w:r>
              <w:rPr>
                <w:webHidden/>
              </w:rPr>
              <w:t>7</w:t>
            </w:r>
            <w:r>
              <w:rPr>
                <w:webHidden/>
              </w:rPr>
              <w:fldChar w:fldCharType="end"/>
            </w:r>
          </w:hyperlink>
        </w:p>
        <w:p w14:paraId="478CC0D7" w14:textId="68EBAB04" w:rsidR="003D6361" w:rsidRDefault="003D6361">
          <w:pPr>
            <w:pStyle w:val="TOC1"/>
            <w:rPr>
              <w:rFonts w:asciiTheme="minorHAnsi" w:eastAsiaTheme="minorEastAsia" w:hAnsiTheme="minorHAnsi" w:cstheme="minorBidi"/>
              <w:color w:val="auto"/>
              <w:kern w:val="2"/>
              <w14:ligatures w14:val="standardContextual"/>
            </w:rPr>
          </w:pPr>
          <w:hyperlink w:anchor="_Toc217400056" w:history="1">
            <w:r w:rsidRPr="004D21A3">
              <w:rPr>
                <w:rStyle w:val="Hyperlink"/>
              </w:rPr>
              <w:t>Section 5 – Work Health and Safety</w:t>
            </w:r>
            <w:r>
              <w:rPr>
                <w:webHidden/>
              </w:rPr>
              <w:tab/>
            </w:r>
            <w:r>
              <w:rPr>
                <w:webHidden/>
              </w:rPr>
              <w:fldChar w:fldCharType="begin"/>
            </w:r>
            <w:r>
              <w:rPr>
                <w:webHidden/>
              </w:rPr>
              <w:instrText xml:space="preserve"> PAGEREF _Toc217400056 \h </w:instrText>
            </w:r>
            <w:r>
              <w:rPr>
                <w:webHidden/>
              </w:rPr>
            </w:r>
            <w:r>
              <w:rPr>
                <w:webHidden/>
              </w:rPr>
              <w:fldChar w:fldCharType="separate"/>
            </w:r>
            <w:r>
              <w:rPr>
                <w:webHidden/>
              </w:rPr>
              <w:t>15</w:t>
            </w:r>
            <w:r>
              <w:rPr>
                <w:webHidden/>
              </w:rPr>
              <w:fldChar w:fldCharType="end"/>
            </w:r>
          </w:hyperlink>
        </w:p>
        <w:p w14:paraId="7DCED623" w14:textId="633DC2EE" w:rsidR="003D6361" w:rsidRDefault="003D6361">
          <w:pPr>
            <w:pStyle w:val="TOC1"/>
            <w:rPr>
              <w:rFonts w:asciiTheme="minorHAnsi" w:eastAsiaTheme="minorEastAsia" w:hAnsiTheme="minorHAnsi" w:cstheme="minorBidi"/>
              <w:color w:val="auto"/>
              <w:kern w:val="2"/>
              <w14:ligatures w14:val="standardContextual"/>
            </w:rPr>
          </w:pPr>
          <w:hyperlink w:anchor="_Toc217400057" w:history="1">
            <w:r w:rsidRPr="004D21A3">
              <w:rPr>
                <w:rStyle w:val="Hyperlink"/>
              </w:rPr>
              <w:t>Evaluation</w:t>
            </w:r>
            <w:r>
              <w:rPr>
                <w:webHidden/>
              </w:rPr>
              <w:tab/>
            </w:r>
            <w:r>
              <w:rPr>
                <w:webHidden/>
              </w:rPr>
              <w:fldChar w:fldCharType="begin"/>
            </w:r>
            <w:r>
              <w:rPr>
                <w:webHidden/>
              </w:rPr>
              <w:instrText xml:space="preserve"> PAGEREF _Toc217400057 \h </w:instrText>
            </w:r>
            <w:r>
              <w:rPr>
                <w:webHidden/>
              </w:rPr>
            </w:r>
            <w:r>
              <w:rPr>
                <w:webHidden/>
              </w:rPr>
              <w:fldChar w:fldCharType="separate"/>
            </w:r>
            <w:r>
              <w:rPr>
                <w:webHidden/>
              </w:rPr>
              <w:t>16</w:t>
            </w:r>
            <w:r>
              <w:rPr>
                <w:webHidden/>
              </w:rPr>
              <w:fldChar w:fldCharType="end"/>
            </w:r>
          </w:hyperlink>
        </w:p>
        <w:p w14:paraId="02F9FB59" w14:textId="7534F188" w:rsidR="003D6361" w:rsidRDefault="003D6361">
          <w:pPr>
            <w:pStyle w:val="TOC1"/>
            <w:rPr>
              <w:rFonts w:asciiTheme="minorHAnsi" w:eastAsiaTheme="minorEastAsia" w:hAnsiTheme="minorHAnsi" w:cstheme="minorBidi"/>
              <w:color w:val="auto"/>
              <w:kern w:val="2"/>
              <w14:ligatures w14:val="standardContextual"/>
            </w:rPr>
          </w:pPr>
          <w:hyperlink w:anchor="_Toc217400058" w:history="1">
            <w:r w:rsidRPr="004D21A3">
              <w:rPr>
                <w:rStyle w:val="Hyperlink"/>
              </w:rPr>
              <w:t>Related policies, procedures, guidelines and legislation</w:t>
            </w:r>
            <w:r>
              <w:rPr>
                <w:webHidden/>
              </w:rPr>
              <w:tab/>
            </w:r>
            <w:r>
              <w:rPr>
                <w:webHidden/>
              </w:rPr>
              <w:fldChar w:fldCharType="begin"/>
            </w:r>
            <w:r>
              <w:rPr>
                <w:webHidden/>
              </w:rPr>
              <w:instrText xml:space="preserve"> PAGEREF _Toc217400058 \h </w:instrText>
            </w:r>
            <w:r>
              <w:rPr>
                <w:webHidden/>
              </w:rPr>
            </w:r>
            <w:r>
              <w:rPr>
                <w:webHidden/>
              </w:rPr>
              <w:fldChar w:fldCharType="separate"/>
            </w:r>
            <w:r>
              <w:rPr>
                <w:webHidden/>
              </w:rPr>
              <w:t>16</w:t>
            </w:r>
            <w:r>
              <w:rPr>
                <w:webHidden/>
              </w:rPr>
              <w:fldChar w:fldCharType="end"/>
            </w:r>
          </w:hyperlink>
        </w:p>
        <w:p w14:paraId="4B2C37E9" w14:textId="5650E69B" w:rsidR="003D6361" w:rsidRDefault="003D6361">
          <w:pPr>
            <w:pStyle w:val="TOC1"/>
            <w:rPr>
              <w:rFonts w:asciiTheme="minorHAnsi" w:eastAsiaTheme="minorEastAsia" w:hAnsiTheme="minorHAnsi" w:cstheme="minorBidi"/>
              <w:color w:val="auto"/>
              <w:kern w:val="2"/>
              <w14:ligatures w14:val="standardContextual"/>
            </w:rPr>
          </w:pPr>
          <w:hyperlink w:anchor="_Toc217400059" w:history="1">
            <w:r w:rsidRPr="004D21A3">
              <w:rPr>
                <w:rStyle w:val="Hyperlink"/>
              </w:rPr>
              <w:t>References</w:t>
            </w:r>
            <w:r>
              <w:rPr>
                <w:webHidden/>
              </w:rPr>
              <w:tab/>
            </w:r>
            <w:r>
              <w:rPr>
                <w:webHidden/>
              </w:rPr>
              <w:fldChar w:fldCharType="begin"/>
            </w:r>
            <w:r>
              <w:rPr>
                <w:webHidden/>
              </w:rPr>
              <w:instrText xml:space="preserve"> PAGEREF _Toc217400059 \h </w:instrText>
            </w:r>
            <w:r>
              <w:rPr>
                <w:webHidden/>
              </w:rPr>
            </w:r>
            <w:r>
              <w:rPr>
                <w:webHidden/>
              </w:rPr>
              <w:fldChar w:fldCharType="separate"/>
            </w:r>
            <w:r>
              <w:rPr>
                <w:webHidden/>
              </w:rPr>
              <w:t>17</w:t>
            </w:r>
            <w:r>
              <w:rPr>
                <w:webHidden/>
              </w:rPr>
              <w:fldChar w:fldCharType="end"/>
            </w:r>
          </w:hyperlink>
        </w:p>
        <w:p w14:paraId="7A69B06C" w14:textId="6F4C9160" w:rsidR="003D6361" w:rsidRDefault="003D6361">
          <w:pPr>
            <w:pStyle w:val="TOC1"/>
            <w:rPr>
              <w:rFonts w:asciiTheme="minorHAnsi" w:eastAsiaTheme="minorEastAsia" w:hAnsiTheme="minorHAnsi" w:cstheme="minorBidi"/>
              <w:color w:val="auto"/>
              <w:kern w:val="2"/>
              <w14:ligatures w14:val="standardContextual"/>
            </w:rPr>
          </w:pPr>
          <w:hyperlink w:anchor="_Toc217400060" w:history="1">
            <w:r w:rsidRPr="004D21A3">
              <w:rPr>
                <w:rStyle w:val="Hyperlink"/>
              </w:rPr>
              <w:t>Definition of terms</w:t>
            </w:r>
            <w:r>
              <w:rPr>
                <w:webHidden/>
              </w:rPr>
              <w:tab/>
            </w:r>
            <w:r>
              <w:rPr>
                <w:webHidden/>
              </w:rPr>
              <w:fldChar w:fldCharType="begin"/>
            </w:r>
            <w:r>
              <w:rPr>
                <w:webHidden/>
              </w:rPr>
              <w:instrText xml:space="preserve"> PAGEREF _Toc217400060 \h </w:instrText>
            </w:r>
            <w:r>
              <w:rPr>
                <w:webHidden/>
              </w:rPr>
            </w:r>
            <w:r>
              <w:rPr>
                <w:webHidden/>
              </w:rPr>
              <w:fldChar w:fldCharType="separate"/>
            </w:r>
            <w:r>
              <w:rPr>
                <w:webHidden/>
              </w:rPr>
              <w:t>19</w:t>
            </w:r>
            <w:r>
              <w:rPr>
                <w:webHidden/>
              </w:rPr>
              <w:fldChar w:fldCharType="end"/>
            </w:r>
          </w:hyperlink>
        </w:p>
        <w:p w14:paraId="43A21AB7" w14:textId="1A30CB6F" w:rsidR="003D6361" w:rsidRDefault="003D6361">
          <w:pPr>
            <w:pStyle w:val="TOC1"/>
            <w:rPr>
              <w:rFonts w:asciiTheme="minorHAnsi" w:eastAsiaTheme="minorEastAsia" w:hAnsiTheme="minorHAnsi" w:cstheme="minorBidi"/>
              <w:color w:val="auto"/>
              <w:kern w:val="2"/>
              <w14:ligatures w14:val="standardContextual"/>
            </w:rPr>
          </w:pPr>
          <w:hyperlink w:anchor="_Toc217400061" w:history="1">
            <w:r w:rsidRPr="004D21A3">
              <w:rPr>
                <w:rStyle w:val="Hyperlink"/>
              </w:rPr>
              <w:t>Search terms</w:t>
            </w:r>
            <w:r>
              <w:rPr>
                <w:webHidden/>
              </w:rPr>
              <w:tab/>
            </w:r>
            <w:r>
              <w:rPr>
                <w:webHidden/>
              </w:rPr>
              <w:fldChar w:fldCharType="begin"/>
            </w:r>
            <w:r>
              <w:rPr>
                <w:webHidden/>
              </w:rPr>
              <w:instrText xml:space="preserve"> PAGEREF _Toc217400061 \h </w:instrText>
            </w:r>
            <w:r>
              <w:rPr>
                <w:webHidden/>
              </w:rPr>
            </w:r>
            <w:r>
              <w:rPr>
                <w:webHidden/>
              </w:rPr>
              <w:fldChar w:fldCharType="separate"/>
            </w:r>
            <w:r>
              <w:rPr>
                <w:webHidden/>
              </w:rPr>
              <w:t>20</w:t>
            </w:r>
            <w:r>
              <w:rPr>
                <w:webHidden/>
              </w:rPr>
              <w:fldChar w:fldCharType="end"/>
            </w:r>
          </w:hyperlink>
        </w:p>
        <w:p w14:paraId="2E0E49FD" w14:textId="3CE7C582"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3069ADC7" w14:textId="5D52B256" w:rsidR="00201AF6" w:rsidRDefault="00201AF6" w:rsidP="0E20A362">
      <w:pPr>
        <w:spacing w:before="0" w:after="0" w:line="240" w:lineRule="auto"/>
        <w:rPr>
          <w:rFonts w:eastAsia="Times New Roman"/>
          <w:b/>
          <w:bCs/>
          <w:color w:val="FFFFFF" w:themeColor="background1"/>
          <w:lang w:eastAsia="en-US"/>
        </w:rPr>
      </w:pPr>
      <w:r>
        <w:br w:type="page"/>
      </w:r>
    </w:p>
    <w:p w14:paraId="613C81D5" w14:textId="25F446BA" w:rsidR="0078367D" w:rsidRPr="00036249" w:rsidRDefault="0078367D" w:rsidP="00036249">
      <w:pPr>
        <w:pStyle w:val="Heading4"/>
      </w:pPr>
      <w:bookmarkStart w:id="2" w:name="_Toc217400050"/>
      <w:r w:rsidRPr="00036249">
        <w:lastRenderedPageBreak/>
        <w:t>Guideline statement</w:t>
      </w:r>
      <w:bookmarkEnd w:id="2"/>
      <w:r w:rsidR="009746B1" w:rsidRPr="00036249">
        <w:t xml:space="preserve"> </w:t>
      </w:r>
    </w:p>
    <w:p w14:paraId="66E6FB61" w14:textId="77777777" w:rsidR="00A6051F" w:rsidRDefault="00A6051F" w:rsidP="00AF1992">
      <w:pPr>
        <w:pStyle w:val="Heading5"/>
        <w:spacing w:before="0" w:beforeAutospacing="0"/>
        <w:rPr>
          <w:rStyle w:val="Heading5Char"/>
          <w:b/>
          <w:bCs/>
          <w:iCs/>
        </w:rPr>
      </w:pPr>
      <w:r w:rsidRPr="00A6051F">
        <w:rPr>
          <w:rStyle w:val="Heading5Char"/>
          <w:b/>
          <w:bCs/>
          <w:iCs/>
        </w:rPr>
        <w:t>Backgro</w:t>
      </w:r>
      <w:r>
        <w:rPr>
          <w:rStyle w:val="Heading5Char"/>
          <w:b/>
          <w:bCs/>
          <w:iCs/>
        </w:rPr>
        <w:t>und</w:t>
      </w:r>
    </w:p>
    <w:p w14:paraId="0768A9EB" w14:textId="68E3B0FF" w:rsidR="00C72347" w:rsidRPr="00C72347" w:rsidRDefault="630C92E6" w:rsidP="00AF1992">
      <w:pPr>
        <w:pStyle w:val="BodyCopy"/>
        <w:rPr>
          <w:vertAlign w:val="superscript"/>
        </w:rPr>
      </w:pPr>
      <w:r w:rsidRPr="317A33D2">
        <w:rPr>
          <w:rFonts w:cstheme="minorBidi"/>
        </w:rPr>
        <w:t xml:space="preserve">Body mass index (BMI) is a ratio of height and weight and is calculated by dividing a person’s weight in kilograms by the square of their </w:t>
      </w:r>
      <w:r w:rsidRPr="004F00E3">
        <w:rPr>
          <w:rFonts w:cstheme="minorBidi"/>
        </w:rPr>
        <w:t>height in metres (kg/m</w:t>
      </w:r>
      <w:r w:rsidRPr="004F00E3">
        <w:rPr>
          <w:rFonts w:cstheme="minorBidi"/>
          <w:vertAlign w:val="superscript"/>
        </w:rPr>
        <w:t>2</w:t>
      </w:r>
      <w:r w:rsidRPr="004F00E3">
        <w:rPr>
          <w:rFonts w:cstheme="minorBidi"/>
        </w:rPr>
        <w:t>). A healthy range of BMI for</w:t>
      </w:r>
      <w:r w:rsidR="49546BC0" w:rsidRPr="004F00E3">
        <w:rPr>
          <w:rFonts w:cstheme="minorBidi"/>
        </w:rPr>
        <w:t xml:space="preserve"> a</w:t>
      </w:r>
      <w:r w:rsidRPr="004F00E3">
        <w:rPr>
          <w:rFonts w:cstheme="minorBidi"/>
        </w:rPr>
        <w:t xml:space="preserve"> non-pregnant </w:t>
      </w:r>
      <w:r w:rsidR="42F8E9FE" w:rsidRPr="004F00E3">
        <w:rPr>
          <w:rFonts w:cstheme="minorBidi"/>
        </w:rPr>
        <w:t>female</w:t>
      </w:r>
      <w:r w:rsidRPr="004F00E3">
        <w:rPr>
          <w:rFonts w:cstheme="minorBidi"/>
        </w:rPr>
        <w:t xml:space="preserve"> is 18.5 to 24.9. While increases in BMI are expected during pregnancy, a BMI of 25 to 29.9 is defined as overweight in pregnancy and a BMI of 30 or more is defined as obesity in pregnancy. </w:t>
      </w:r>
      <w:r w:rsidRPr="004F00E3">
        <w:t>BMI</w:t>
      </w:r>
      <w:r>
        <w:t xml:space="preserve"> does not necessarily reflect body fat distribution or describe the same degree of obesity in different individuals</w:t>
      </w:r>
      <w:r w:rsidR="004F00E3">
        <w:t>.</w:t>
      </w:r>
      <w:r w:rsidR="004F00E3">
        <w:rPr>
          <w:vertAlign w:val="superscript"/>
        </w:rPr>
        <w:t>1</w:t>
      </w:r>
    </w:p>
    <w:p w14:paraId="12149DBC" w14:textId="578255DE" w:rsidR="00AF1992" w:rsidRPr="00C32B75" w:rsidRDefault="004D2AF7" w:rsidP="00AF1992">
      <w:pPr>
        <w:pStyle w:val="BodyCopy"/>
        <w:rPr>
          <w:vertAlign w:val="superscript"/>
        </w:rPr>
      </w:pPr>
      <w:r>
        <w:t>O</w:t>
      </w:r>
      <w:r w:rsidR="2876B9B0">
        <w:t>bes</w:t>
      </w:r>
      <w:r>
        <w:t>ity increases the risk for</w:t>
      </w:r>
      <w:r w:rsidR="2876B9B0">
        <w:t xml:space="preserve"> thromboembolism, gestational diabetes, pre-eclampsia, post-partum haemorrhage (bleeding) and wound infections</w:t>
      </w:r>
      <w:r w:rsidR="00296148">
        <w:t>.</w:t>
      </w:r>
      <w:r w:rsidR="00DA63A0">
        <w:t xml:space="preserve"> </w:t>
      </w:r>
      <w:r w:rsidR="00296148">
        <w:t>T</w:t>
      </w:r>
      <w:r w:rsidR="00DA63A0">
        <w:t xml:space="preserve">here </w:t>
      </w:r>
      <w:r>
        <w:t xml:space="preserve">is </w:t>
      </w:r>
      <w:r w:rsidR="2876B9B0">
        <w:t xml:space="preserve">also </w:t>
      </w:r>
      <w:r w:rsidR="00DA63A0">
        <w:t xml:space="preserve">an </w:t>
      </w:r>
      <w:r>
        <w:t xml:space="preserve">increased </w:t>
      </w:r>
      <w:r w:rsidR="00F61AB0">
        <w:t xml:space="preserve">likelihood </w:t>
      </w:r>
      <w:r>
        <w:t xml:space="preserve">for intervention during labour. </w:t>
      </w:r>
      <w:r w:rsidR="00DA63A0">
        <w:t xml:space="preserve">Neonates </w:t>
      </w:r>
      <w:r w:rsidR="2876B9B0">
        <w:t xml:space="preserve">of </w:t>
      </w:r>
      <w:r w:rsidR="00DA63A0">
        <w:t>women/</w:t>
      </w:r>
      <w:r w:rsidR="254DF4DC">
        <w:t>birthing p</w:t>
      </w:r>
      <w:r>
        <w:t xml:space="preserve">ersons who </w:t>
      </w:r>
      <w:r w:rsidR="2876B9B0">
        <w:t xml:space="preserve">are obese have higher rates of congenital abnormality, pre-term birth, stillbirth and neonatal death than </w:t>
      </w:r>
      <w:r w:rsidR="00DA63A0">
        <w:t xml:space="preserve">neonates </w:t>
      </w:r>
      <w:r w:rsidR="2876B9B0">
        <w:t>of mothers</w:t>
      </w:r>
      <w:r w:rsidR="00DA63A0">
        <w:t>/</w:t>
      </w:r>
      <w:r w:rsidR="27CEBB2C">
        <w:t xml:space="preserve">birthing </w:t>
      </w:r>
      <w:r w:rsidR="00DA63A0">
        <w:t xml:space="preserve">persons </w:t>
      </w:r>
      <w:r w:rsidR="2876B9B0">
        <w:t>who are not obese</w:t>
      </w:r>
      <w:r w:rsidR="004F00E3">
        <w:t>.</w:t>
      </w:r>
      <w:r w:rsidR="00F61AB0">
        <w:rPr>
          <w:vertAlign w:val="superscript"/>
        </w:rPr>
        <w:t>1</w:t>
      </w:r>
      <w:r w:rsidR="2876B9B0">
        <w:t xml:space="preserve"> </w:t>
      </w:r>
    </w:p>
    <w:p w14:paraId="4B9D857C" w14:textId="0B14FF39" w:rsidR="00683126" w:rsidRPr="00047BB5" w:rsidRDefault="4F5E47C1" w:rsidP="00683126">
      <w:pPr>
        <w:pStyle w:val="BodyCopy"/>
      </w:pPr>
      <w:r>
        <w:t xml:space="preserve">Achieving and maintaining optimal nutritional status, fitness and weight before, during and between pregnancies (including while breastfeeding) has immediate and long-term benefits for the health of both the </w:t>
      </w:r>
      <w:r w:rsidR="00DA63A0">
        <w:t>woman/</w:t>
      </w:r>
      <w:r w:rsidR="31607155">
        <w:t>birthing person</w:t>
      </w:r>
      <w:r>
        <w:t xml:space="preserve"> and </w:t>
      </w:r>
      <w:r w:rsidR="7D6C4AF1">
        <w:t>their</w:t>
      </w:r>
      <w:r>
        <w:t xml:space="preserve"> child/children.</w:t>
      </w:r>
      <w:r w:rsidR="33F22A40">
        <w:t xml:space="preserve"> </w:t>
      </w:r>
      <w:r>
        <w:t>It is important to acknowledge that BMI is not an accurate predictor of health, especially in racially and ethnically diverse populations. Measurements that are more accurate than BMI at predicting outcomes include blood pressure and waist circumference. However, the World Health Organisation (WHO) classification of BMI is the most used screening tool for health outcomes</w:t>
      </w:r>
      <w:r w:rsidR="004F00E3">
        <w:t>.</w:t>
      </w:r>
      <w:r w:rsidRPr="66731E01">
        <w:rPr>
          <w:vertAlign w:val="superscript"/>
        </w:rPr>
        <w:t>1</w:t>
      </w:r>
    </w:p>
    <w:p w14:paraId="1DE8A939" w14:textId="77777777" w:rsidR="00DA5524" w:rsidRDefault="00DA5524" w:rsidP="00DA5524">
      <w:pPr>
        <w:pStyle w:val="Heading5"/>
        <w:rPr>
          <w:rStyle w:val="Heading5Char"/>
          <w:b/>
          <w:bCs/>
          <w:iCs/>
        </w:rPr>
      </w:pPr>
      <w:r>
        <w:rPr>
          <w:rStyle w:val="Heading5Char"/>
          <w:b/>
          <w:bCs/>
          <w:iCs/>
        </w:rPr>
        <w:t>Key Objective</w:t>
      </w:r>
    </w:p>
    <w:p w14:paraId="393CCD08" w14:textId="01010D03" w:rsidR="00683126" w:rsidRPr="00DA63A0" w:rsidRDefault="00683126" w:rsidP="003A009A">
      <w:pPr>
        <w:pStyle w:val="ListParagraph"/>
        <w:numPr>
          <w:ilvl w:val="0"/>
          <w:numId w:val="33"/>
        </w:numPr>
        <w:rPr>
          <w:rFonts w:cs="Calibri"/>
        </w:rPr>
      </w:pPr>
      <w:r w:rsidRPr="003A009A">
        <w:rPr>
          <w:rFonts w:cs="Calibri"/>
          <w:sz w:val="24"/>
          <w:szCs w:val="24"/>
        </w:rPr>
        <w:t xml:space="preserve">The purpose of this guideline is to outline management strategies </w:t>
      </w:r>
      <w:r w:rsidR="00E22F91">
        <w:rPr>
          <w:rFonts w:cs="Calibri"/>
          <w:sz w:val="24"/>
          <w:szCs w:val="24"/>
        </w:rPr>
        <w:t xml:space="preserve">that </w:t>
      </w:r>
      <w:r w:rsidRPr="003A009A">
        <w:rPr>
          <w:rFonts w:cs="Calibri"/>
          <w:sz w:val="24"/>
          <w:szCs w:val="24"/>
        </w:rPr>
        <w:t xml:space="preserve">minimise the clinical risk for </w:t>
      </w:r>
      <w:r w:rsidR="00DA63A0">
        <w:rPr>
          <w:rFonts w:cs="Calibri"/>
          <w:sz w:val="24"/>
          <w:szCs w:val="24"/>
        </w:rPr>
        <w:t>women/</w:t>
      </w:r>
      <w:r w:rsidR="52E24FD7" w:rsidRPr="003A009A">
        <w:rPr>
          <w:rFonts w:cs="Calibri"/>
          <w:sz w:val="24"/>
          <w:szCs w:val="24"/>
        </w:rPr>
        <w:t>birthing</w:t>
      </w:r>
      <w:r w:rsidR="00DA63A0">
        <w:rPr>
          <w:rFonts w:cs="Calibri"/>
          <w:sz w:val="24"/>
          <w:szCs w:val="24"/>
        </w:rPr>
        <w:t xml:space="preserve"> persons </w:t>
      </w:r>
      <w:r w:rsidRPr="003A009A">
        <w:rPr>
          <w:rFonts w:cs="Calibri"/>
          <w:sz w:val="24"/>
          <w:szCs w:val="24"/>
        </w:rPr>
        <w:t>with obesity</w:t>
      </w:r>
      <w:r w:rsidR="00E22F91">
        <w:rPr>
          <w:rFonts w:cs="Calibri"/>
          <w:sz w:val="24"/>
          <w:szCs w:val="24"/>
        </w:rPr>
        <w:t>,</w:t>
      </w:r>
      <w:r w:rsidRPr="003A009A">
        <w:rPr>
          <w:rFonts w:cs="Calibri"/>
          <w:sz w:val="24"/>
          <w:szCs w:val="24"/>
        </w:rPr>
        <w:t xml:space="preserve"> and their </w:t>
      </w:r>
      <w:proofErr w:type="spellStart"/>
      <w:r w:rsidRPr="003A009A">
        <w:rPr>
          <w:rFonts w:cs="Calibri"/>
          <w:sz w:val="24"/>
          <w:szCs w:val="24"/>
        </w:rPr>
        <w:t>fetus</w:t>
      </w:r>
      <w:proofErr w:type="spellEnd"/>
      <w:r w:rsidR="00E22F91">
        <w:rPr>
          <w:rFonts w:cs="Calibri"/>
          <w:sz w:val="24"/>
          <w:szCs w:val="24"/>
        </w:rPr>
        <w:t>,</w:t>
      </w:r>
      <w:r w:rsidRPr="003A009A">
        <w:rPr>
          <w:rFonts w:cs="Calibri"/>
          <w:sz w:val="24"/>
          <w:szCs w:val="24"/>
        </w:rPr>
        <w:t xml:space="preserve"> during pregnancy, labour, birth and the postnatal period.</w:t>
      </w:r>
    </w:p>
    <w:p w14:paraId="32D99C98" w14:textId="049FCA15" w:rsidR="00AF1992" w:rsidRPr="00DA63A0" w:rsidRDefault="00524F11" w:rsidP="003A009A">
      <w:pPr>
        <w:pStyle w:val="ListParagraph"/>
        <w:numPr>
          <w:ilvl w:val="0"/>
          <w:numId w:val="33"/>
        </w:numPr>
        <w:rPr>
          <w:rFonts w:cs="Calibri"/>
        </w:rPr>
      </w:pPr>
      <w:r>
        <w:rPr>
          <w:sz w:val="24"/>
          <w:szCs w:val="24"/>
        </w:rPr>
        <w:t>T</w:t>
      </w:r>
      <w:r w:rsidR="00E22F91" w:rsidRPr="003A009A">
        <w:rPr>
          <w:sz w:val="24"/>
          <w:szCs w:val="24"/>
        </w:rPr>
        <w:t xml:space="preserve">he target group for this guideline is pregnant </w:t>
      </w:r>
      <w:r w:rsidR="00DA63A0">
        <w:rPr>
          <w:sz w:val="24"/>
          <w:szCs w:val="24"/>
        </w:rPr>
        <w:t>women/persons</w:t>
      </w:r>
      <w:r w:rsidR="00C0284B" w:rsidRPr="003A009A">
        <w:rPr>
          <w:sz w:val="24"/>
          <w:szCs w:val="24"/>
        </w:rPr>
        <w:t xml:space="preserve"> </w:t>
      </w:r>
      <w:r w:rsidR="00AF1992" w:rsidRPr="003A009A">
        <w:rPr>
          <w:sz w:val="24"/>
          <w:szCs w:val="24"/>
        </w:rPr>
        <w:t xml:space="preserve">with </w:t>
      </w:r>
      <w:r w:rsidR="00E22F91" w:rsidRPr="003A009A">
        <w:rPr>
          <w:sz w:val="24"/>
          <w:szCs w:val="24"/>
        </w:rPr>
        <w:t xml:space="preserve">a </w:t>
      </w:r>
      <w:r w:rsidR="00AF1992" w:rsidRPr="003A009A">
        <w:rPr>
          <w:sz w:val="24"/>
          <w:szCs w:val="24"/>
        </w:rPr>
        <w:t>Body Mass Index (BMI) of greater than 40 at time of booking</w:t>
      </w:r>
      <w:r w:rsidR="00E22F91" w:rsidRPr="003A009A">
        <w:rPr>
          <w:sz w:val="24"/>
          <w:szCs w:val="24"/>
        </w:rPr>
        <w:t>.</w:t>
      </w:r>
      <w:r w:rsidR="00DA63A0">
        <w:rPr>
          <w:sz w:val="24"/>
          <w:szCs w:val="24"/>
        </w:rPr>
        <w:t xml:space="preserve"> </w:t>
      </w:r>
      <w:r>
        <w:rPr>
          <w:sz w:val="24"/>
          <w:szCs w:val="24"/>
        </w:rPr>
        <w:t>R</w:t>
      </w:r>
      <w:r w:rsidRPr="00524F11">
        <w:rPr>
          <w:sz w:val="24"/>
          <w:szCs w:val="24"/>
        </w:rPr>
        <w:t xml:space="preserve">ecommendations for women/birthing persons who have a booking BMI </w:t>
      </w:r>
      <w:r w:rsidR="00DE5E22">
        <w:rPr>
          <w:sz w:val="24"/>
          <w:szCs w:val="24"/>
        </w:rPr>
        <w:t xml:space="preserve">greater than </w:t>
      </w:r>
      <w:r w:rsidRPr="00524F11">
        <w:rPr>
          <w:sz w:val="24"/>
          <w:szCs w:val="24"/>
        </w:rPr>
        <w:t>35</w:t>
      </w:r>
      <w:r>
        <w:rPr>
          <w:sz w:val="24"/>
          <w:szCs w:val="24"/>
        </w:rPr>
        <w:t xml:space="preserve"> are included as relevant.</w:t>
      </w:r>
      <w:r w:rsidRPr="00524F11">
        <w:rPr>
          <w:sz w:val="24"/>
          <w:szCs w:val="24"/>
        </w:rPr>
        <w:t xml:space="preserve"> </w:t>
      </w:r>
    </w:p>
    <w:p w14:paraId="7200A1C4" w14:textId="60187589" w:rsidR="00DA5524" w:rsidRPr="00DA5524" w:rsidRDefault="00070315" w:rsidP="00DA5524">
      <w:pPr>
        <w:pStyle w:val="Heading5"/>
      </w:pPr>
      <w:r>
        <w:t>Inclusive language</w:t>
      </w:r>
    </w:p>
    <w:p w14:paraId="3EBE2D38" w14:textId="2A83A4D6" w:rsidR="00A2358A" w:rsidRDefault="00070315" w:rsidP="66731E01">
      <w:pPr>
        <w:pStyle w:val="BodyCopy"/>
        <w:rPr>
          <w:rFonts w:cstheme="minorBidi"/>
          <w:vertAlign w:val="superscript"/>
        </w:rPr>
      </w:pPr>
      <w:r w:rsidRPr="00070315">
        <w:rPr>
          <w:rFonts w:cstheme="minorBidi"/>
        </w:rPr>
        <w:t xml:space="preserve">Canberra Health Services </w:t>
      </w:r>
      <w:r w:rsidR="00296148">
        <w:rPr>
          <w:rFonts w:cstheme="minorBidi"/>
        </w:rPr>
        <w:t xml:space="preserve">(CHS) </w:t>
      </w:r>
      <w:r w:rsidRPr="00070315">
        <w:rPr>
          <w:rFonts w:cstheme="minorBidi"/>
        </w:rPr>
        <w:t xml:space="preserve">acknowledges the diversity of all people accessing maternity services including those who identify as gender non-binary, gender diverse or transgender. Clinicians should consider the needs of all people </w:t>
      </w:r>
      <w:r w:rsidR="00A2642C" w:rsidRPr="00070315">
        <w:rPr>
          <w:rFonts w:cstheme="minorBidi"/>
        </w:rPr>
        <w:t>using</w:t>
      </w:r>
      <w:r w:rsidRPr="00070315">
        <w:rPr>
          <w:rFonts w:cstheme="minorBidi"/>
        </w:rPr>
        <w:t xml:space="preserve"> gender-neutral language, alongside the language of womanhood to make sure everyone is represented and visible within the</w:t>
      </w:r>
      <w:r w:rsidR="00C0284B">
        <w:rPr>
          <w:rFonts w:cstheme="minorBidi"/>
        </w:rPr>
        <w:t xml:space="preserve"> system</w:t>
      </w:r>
      <w:r w:rsidR="004F00E3">
        <w:rPr>
          <w:rFonts w:cstheme="minorBidi"/>
        </w:rPr>
        <w:t>.</w:t>
      </w:r>
      <w:r w:rsidR="003B5121">
        <w:rPr>
          <w:rFonts w:cstheme="minorBidi"/>
          <w:vertAlign w:val="superscript"/>
        </w:rPr>
        <w:t>2</w:t>
      </w:r>
    </w:p>
    <w:p w14:paraId="205D95FF" w14:textId="15F3EE8D" w:rsidR="00250C3A" w:rsidRPr="004F00E3" w:rsidRDefault="19285D34" w:rsidP="004F00E3">
      <w:pPr>
        <w:pStyle w:val="BodyCopy"/>
        <w:rPr>
          <w:rStyle w:val="Hyperlink"/>
          <w:color w:val="000000" w:themeColor="text1"/>
          <w:u w:val="none"/>
        </w:rPr>
      </w:pPr>
      <w:hyperlink w:anchor="_top">
        <w:r w:rsidRPr="0B2422DF">
          <w:rPr>
            <w:rStyle w:val="Hyperlink"/>
          </w:rPr>
          <w:t>Back to Contents</w:t>
        </w:r>
      </w:hyperlink>
    </w:p>
    <w:p w14:paraId="155BB988" w14:textId="77777777" w:rsidR="0078367D" w:rsidRPr="00AC2EDE" w:rsidRDefault="0078367D" w:rsidP="00C23A9A">
      <w:pPr>
        <w:pStyle w:val="Heading4"/>
        <w:spacing w:line="276" w:lineRule="auto"/>
      </w:pPr>
      <w:bookmarkStart w:id="3" w:name="_Toc217400051"/>
      <w:r w:rsidRPr="00AC2EDE">
        <w:rPr>
          <w:rStyle w:val="Hyperlink"/>
          <w:color w:val="FFFFFF" w:themeColor="background1"/>
          <w:u w:val="none"/>
        </w:rPr>
        <w:t>Scope</w:t>
      </w:r>
      <w:bookmarkEnd w:id="3"/>
    </w:p>
    <w:p w14:paraId="79C8FE0F" w14:textId="1ECDA987" w:rsidR="00683126" w:rsidRPr="00047BB5" w:rsidRDefault="00683126" w:rsidP="00A2642C">
      <w:pPr>
        <w:pStyle w:val="BodyCopy"/>
        <w:spacing w:after="0"/>
      </w:pPr>
      <w:r w:rsidRPr="00047BB5">
        <w:t xml:space="preserve">This document applies to the following </w:t>
      </w:r>
      <w:r w:rsidR="00296148">
        <w:t>CHS</w:t>
      </w:r>
      <w:r w:rsidRPr="00047BB5">
        <w:t xml:space="preserve"> Network</w:t>
      </w:r>
      <w:r w:rsidR="00296148">
        <w:t xml:space="preserve"> facilities</w:t>
      </w:r>
      <w:r w:rsidRPr="00047BB5">
        <w:t>:</w:t>
      </w:r>
    </w:p>
    <w:p w14:paraId="366234CC" w14:textId="77777777" w:rsidR="00683126" w:rsidRDefault="00683126" w:rsidP="00A2642C">
      <w:pPr>
        <w:pStyle w:val="Bullet"/>
        <w:spacing w:before="0"/>
      </w:pPr>
      <w:r w:rsidRPr="00047BB5">
        <w:lastRenderedPageBreak/>
        <w:t>Centenary Hospital for Women and Children (CHWC)</w:t>
      </w:r>
    </w:p>
    <w:p w14:paraId="2487B57F" w14:textId="6BB44EED" w:rsidR="00683126" w:rsidRPr="00047BB5" w:rsidRDefault="00683126" w:rsidP="00296148">
      <w:pPr>
        <w:pStyle w:val="Bullet"/>
        <w:rPr>
          <w:rFonts w:cstheme="minorBidi"/>
        </w:rPr>
      </w:pPr>
      <w:r w:rsidRPr="66731E01">
        <w:rPr>
          <w:rFonts w:cstheme="minorBidi"/>
        </w:rPr>
        <w:t xml:space="preserve">North Canberra Hospital </w:t>
      </w:r>
      <w:r w:rsidR="6D7E73FB" w:rsidRPr="66731E01">
        <w:rPr>
          <w:rFonts w:cstheme="minorBidi"/>
        </w:rPr>
        <w:t>(NCH)</w:t>
      </w:r>
      <w:r w:rsidR="00296148">
        <w:rPr>
          <w:rFonts w:cstheme="minorBidi"/>
        </w:rPr>
        <w:t>.</w:t>
      </w:r>
    </w:p>
    <w:p w14:paraId="7090417C" w14:textId="77777777" w:rsidR="00683126" w:rsidRPr="00047BB5" w:rsidRDefault="00683126" w:rsidP="00A2642C">
      <w:pPr>
        <w:pStyle w:val="BodyCopy"/>
        <w:spacing w:after="0"/>
      </w:pPr>
      <w:r w:rsidRPr="00047BB5">
        <w:t>This document applies to the following CHS staff working within their scope of practice:</w:t>
      </w:r>
    </w:p>
    <w:p w14:paraId="692D27E8" w14:textId="77777777" w:rsidR="00683126" w:rsidRPr="00047BB5" w:rsidRDefault="00683126" w:rsidP="00A2642C">
      <w:pPr>
        <w:pStyle w:val="Bullet"/>
        <w:spacing w:before="0"/>
        <w:rPr>
          <w:lang w:eastAsia="en-US"/>
        </w:rPr>
      </w:pPr>
      <w:r w:rsidRPr="00047BB5">
        <w:rPr>
          <w:lang w:eastAsia="en-US"/>
        </w:rPr>
        <w:t>Medical officers</w:t>
      </w:r>
    </w:p>
    <w:p w14:paraId="0460E4D9" w14:textId="77777777" w:rsidR="00683126" w:rsidRPr="00047BB5" w:rsidRDefault="00683126" w:rsidP="00296148">
      <w:pPr>
        <w:pStyle w:val="Bullet"/>
        <w:rPr>
          <w:lang w:eastAsia="en-US"/>
        </w:rPr>
      </w:pPr>
      <w:r w:rsidRPr="00047BB5">
        <w:rPr>
          <w:lang w:eastAsia="en-US"/>
        </w:rPr>
        <w:t>Registered Midwives and nurses</w:t>
      </w:r>
    </w:p>
    <w:p w14:paraId="5167C331" w14:textId="77777777" w:rsidR="0070565D" w:rsidRDefault="0070565D" w:rsidP="00296148">
      <w:pPr>
        <w:pStyle w:val="Bullet"/>
        <w:rPr>
          <w:lang w:eastAsia="en-US"/>
        </w:rPr>
      </w:pPr>
      <w:r w:rsidRPr="00047BB5">
        <w:rPr>
          <w:lang w:eastAsia="en-US"/>
        </w:rPr>
        <w:t xml:space="preserve">Allied health professionals </w:t>
      </w:r>
    </w:p>
    <w:p w14:paraId="15467A14" w14:textId="1A5F40EE" w:rsidR="00AF1992" w:rsidRPr="00296148" w:rsidRDefault="00683126" w:rsidP="0070565D">
      <w:pPr>
        <w:pStyle w:val="Bullet"/>
        <w:rPr>
          <w:lang w:eastAsia="en-US"/>
        </w:rPr>
      </w:pPr>
      <w:r w:rsidRPr="00047BB5">
        <w:rPr>
          <w:lang w:eastAsia="en-US"/>
        </w:rPr>
        <w:t>Students under direct supervision</w:t>
      </w:r>
      <w:r w:rsidR="0070565D">
        <w:rPr>
          <w:lang w:eastAsia="en-US"/>
        </w:rPr>
        <w:t>.</w:t>
      </w:r>
    </w:p>
    <w:p w14:paraId="7561B30A" w14:textId="68C57E0E" w:rsidR="00AF1992" w:rsidRDefault="00481A6C" w:rsidP="0070565D">
      <w:pPr>
        <w:pStyle w:val="BodyCopy"/>
      </w:pPr>
      <w:hyperlink w:anchor="_top" w:history="1">
        <w:r w:rsidRPr="00AF1992">
          <w:rPr>
            <w:rStyle w:val="Hyperlink"/>
          </w:rPr>
          <w:t>Back to Contents</w:t>
        </w:r>
      </w:hyperlink>
      <w:r w:rsidR="00AF1992">
        <w:t>.</w:t>
      </w:r>
    </w:p>
    <w:p w14:paraId="25AB67F9" w14:textId="2B16FED0" w:rsidR="00AF1992" w:rsidRDefault="00AF1992" w:rsidP="00AF1992">
      <w:pPr>
        <w:pStyle w:val="Heading4"/>
      </w:pPr>
      <w:bookmarkStart w:id="4" w:name="_Toc217400052"/>
      <w:r>
        <w:t>Section 1 – Sensitive language for women with higher BMI</w:t>
      </w:r>
      <w:bookmarkEnd w:id="4"/>
    </w:p>
    <w:p w14:paraId="48B19EB2" w14:textId="307F5D13" w:rsidR="008D428A" w:rsidRPr="00AB6E8A" w:rsidRDefault="423E56CC" w:rsidP="00296148">
      <w:pPr>
        <w:pStyle w:val="BodyCopy"/>
      </w:pPr>
      <w:r>
        <w:t xml:space="preserve">Health professionals may be hesitant to discuss weight during pregnancy due to concerns about causing discomfort or appearing judgemental. </w:t>
      </w:r>
      <w:r w:rsidR="2D671DBF">
        <w:t>Additionally</w:t>
      </w:r>
      <w:r>
        <w:t>, women</w:t>
      </w:r>
      <w:r w:rsidR="00C0284B">
        <w:t>/</w:t>
      </w:r>
      <w:r w:rsidR="03AE85EB">
        <w:t>pregnant people</w:t>
      </w:r>
      <w:r>
        <w:t xml:space="preserve"> with a high BMI often report negative experiences in maternity care linked to weight stigma. Despite this, they consistently express a desire for clear, evidence-based information about pregnancy risks and strategies to improve outcomes</w:t>
      </w:r>
      <w:r w:rsidR="004F00E3">
        <w:t>.</w:t>
      </w:r>
      <w:r w:rsidR="36F3C498" w:rsidRPr="5D86F3CA">
        <w:rPr>
          <w:vertAlign w:val="superscript"/>
        </w:rPr>
        <w:t>1</w:t>
      </w:r>
      <w:r w:rsidR="00082E7E">
        <w:rPr>
          <w:vertAlign w:val="superscript"/>
        </w:rPr>
        <w:t>,2</w:t>
      </w:r>
    </w:p>
    <w:p w14:paraId="0C27AA93" w14:textId="77777777" w:rsidR="00AB6E8A" w:rsidRPr="00AB6E8A" w:rsidRDefault="00AB6E8A" w:rsidP="00A2642C">
      <w:pPr>
        <w:pStyle w:val="BodyCopy"/>
        <w:spacing w:after="0"/>
      </w:pPr>
      <w:r w:rsidRPr="00AB6E8A">
        <w:t>To support respectful and inclusive care, healthcare providers should:</w:t>
      </w:r>
    </w:p>
    <w:p w14:paraId="68C78292" w14:textId="36AB6970" w:rsidR="00AB6E8A" w:rsidRPr="00AB6E8A" w:rsidRDefault="00BC71D5" w:rsidP="00A2642C">
      <w:pPr>
        <w:pStyle w:val="Bullet"/>
        <w:spacing w:before="0"/>
      </w:pPr>
      <w:r>
        <w:t>u</w:t>
      </w:r>
      <w:r w:rsidR="00AB6E8A">
        <w:t>se person-first language (e.g., "</w:t>
      </w:r>
      <w:r w:rsidR="00E22F91">
        <w:t xml:space="preserve"> pregnant </w:t>
      </w:r>
      <w:r w:rsidR="00DA63A0">
        <w:t>women/</w:t>
      </w:r>
      <w:r w:rsidR="55FA034D">
        <w:t>person</w:t>
      </w:r>
      <w:r w:rsidR="00AB6E8A">
        <w:t xml:space="preserve"> with a high BMI" rather than "obese </w:t>
      </w:r>
      <w:r w:rsidR="00C0284B">
        <w:t>birthing person</w:t>
      </w:r>
      <w:r w:rsidR="00AB6E8A">
        <w:t>")</w:t>
      </w:r>
    </w:p>
    <w:p w14:paraId="48E90B95" w14:textId="279BBF4A" w:rsidR="00AB6E8A" w:rsidRPr="00AB6E8A" w:rsidRDefault="00BC71D5" w:rsidP="00296148">
      <w:pPr>
        <w:pStyle w:val="Bullet"/>
      </w:pPr>
      <w:r>
        <w:t>a</w:t>
      </w:r>
      <w:r w:rsidR="00AB6E8A" w:rsidRPr="00AB6E8A">
        <w:t>sk permission before initiating discussions about weight</w:t>
      </w:r>
    </w:p>
    <w:p w14:paraId="2F6E263A" w14:textId="15F7BB31" w:rsidR="00AB6E8A" w:rsidRPr="00AB6E8A" w:rsidRDefault="00BC71D5" w:rsidP="00296148">
      <w:pPr>
        <w:pStyle w:val="Bullet"/>
      </w:pPr>
      <w:r>
        <w:t>f</w:t>
      </w:r>
      <w:r w:rsidR="00AB6E8A" w:rsidRPr="00AB6E8A">
        <w:t>rame conversations around health and wellbeing, not appearance</w:t>
      </w:r>
    </w:p>
    <w:p w14:paraId="0ACFB970" w14:textId="18B9D79E" w:rsidR="00AB6E8A" w:rsidRPr="00AB6E8A" w:rsidRDefault="00BC71D5" w:rsidP="00296148">
      <w:pPr>
        <w:pStyle w:val="Bullet"/>
      </w:pPr>
      <w:r>
        <w:t>a</w:t>
      </w:r>
      <w:r w:rsidR="00AB6E8A" w:rsidRPr="00AB6E8A">
        <w:t>void assumptions based solely on body size</w:t>
      </w:r>
    </w:p>
    <w:p w14:paraId="5E09AA32" w14:textId="65AE8202" w:rsidR="00AB6E8A" w:rsidRPr="00AB6E8A" w:rsidRDefault="00BC71D5" w:rsidP="00296148">
      <w:pPr>
        <w:pStyle w:val="Bullet"/>
      </w:pPr>
      <w:r>
        <w:t>p</w:t>
      </w:r>
      <w:r w:rsidR="00AB6E8A">
        <w:t xml:space="preserve">rovide individualised advice tailored to the </w:t>
      </w:r>
      <w:r w:rsidR="5D671994">
        <w:t>pregnant person’s</w:t>
      </w:r>
      <w:r w:rsidR="00AB6E8A">
        <w:t xml:space="preserve"> health context</w:t>
      </w:r>
    </w:p>
    <w:p w14:paraId="63770E59" w14:textId="1062801F" w:rsidR="008D428A" w:rsidRDefault="00BC71D5" w:rsidP="00AB6E8A">
      <w:pPr>
        <w:pStyle w:val="Bullet"/>
      </w:pPr>
      <w:r>
        <w:t>a</w:t>
      </w:r>
      <w:r w:rsidR="00AB6E8A" w:rsidRPr="00AB6E8A">
        <w:t>void routine practices that may be stigmatising, such as unnecessary weighing or generalised advice on gestational weight gain.</w:t>
      </w:r>
    </w:p>
    <w:p w14:paraId="183E6A10" w14:textId="782C3F75" w:rsidR="00AB6E8A" w:rsidRPr="00296148" w:rsidRDefault="00AB6E8A" w:rsidP="00296148">
      <w:pPr>
        <w:pStyle w:val="BodyCopy"/>
        <w:rPr>
          <w:vertAlign w:val="superscript"/>
        </w:rPr>
      </w:pPr>
      <w:r w:rsidRPr="00AB6E8A">
        <w:t xml:space="preserve">Promoting empathy, education, </w:t>
      </w:r>
      <w:r w:rsidRPr="00296148">
        <w:t>and</w:t>
      </w:r>
      <w:r w:rsidRPr="00AB6E8A">
        <w:t xml:space="preserve"> inclusive policies </w:t>
      </w:r>
      <w:r w:rsidR="008D428A" w:rsidRPr="008D428A">
        <w:t>within maternity care settings can help reduce stigma and improve both maternal and child health outcomes</w:t>
      </w:r>
      <w:r w:rsidR="00D74555">
        <w:rPr>
          <w:vertAlign w:val="superscript"/>
        </w:rPr>
        <w:t>1,3</w:t>
      </w:r>
    </w:p>
    <w:p w14:paraId="3F3D7D5F" w14:textId="2B35C4A9" w:rsidR="469CD6AD" w:rsidRDefault="469CD6AD" w:rsidP="0070565D">
      <w:pPr>
        <w:pStyle w:val="BodyCopy"/>
      </w:pPr>
      <w:hyperlink w:anchor="_top">
        <w:r w:rsidRPr="0B2422DF">
          <w:rPr>
            <w:rStyle w:val="Hyperlink"/>
          </w:rPr>
          <w:t>Back to Contents</w:t>
        </w:r>
      </w:hyperlink>
    </w:p>
    <w:p w14:paraId="05FBE102" w14:textId="606D29BE" w:rsidR="51F0E68D" w:rsidRDefault="6578B6BF" w:rsidP="0B2422DF">
      <w:pPr>
        <w:pStyle w:val="Heading4"/>
      </w:pPr>
      <w:bookmarkStart w:id="5" w:name="_Toc217400053"/>
      <w:r>
        <w:t xml:space="preserve">Section 2 – </w:t>
      </w:r>
      <w:r w:rsidR="57CA3F6E">
        <w:t>BMI</w:t>
      </w:r>
      <w:r w:rsidR="0A5AA71E">
        <w:t xml:space="preserve"> and expected pregnancy weight gain</w:t>
      </w:r>
      <w:bookmarkEnd w:id="5"/>
    </w:p>
    <w:p w14:paraId="20C19B3E" w14:textId="4C1A7CCF" w:rsidR="00D06F63" w:rsidRDefault="00F75F33" w:rsidP="00296148">
      <w:pPr>
        <w:pStyle w:val="BodyCopy"/>
        <w:rPr>
          <w:vertAlign w:val="superscript"/>
          <w:lang w:val="en-US" w:eastAsia="en-US"/>
        </w:rPr>
      </w:pPr>
      <w:r w:rsidRPr="00F75F33">
        <w:rPr>
          <w:lang w:eastAsia="en-US"/>
        </w:rPr>
        <w:t>Low or high gestational weight gain is associated with pregnancy complications across all BMI classifications</w:t>
      </w:r>
      <w:r>
        <w:rPr>
          <w:lang w:eastAsia="en-US"/>
        </w:rPr>
        <w:t xml:space="preserve">. </w:t>
      </w:r>
      <w:r w:rsidR="00082E7E">
        <w:rPr>
          <w:lang w:eastAsia="en-US"/>
        </w:rPr>
        <w:t>M</w:t>
      </w:r>
      <w:r w:rsidR="00082E7E" w:rsidRPr="00082E7E">
        <w:rPr>
          <w:lang w:eastAsia="en-US"/>
        </w:rPr>
        <w:t>easurement of weight</w:t>
      </w:r>
      <w:r w:rsidR="00082E7E">
        <w:rPr>
          <w:lang w:eastAsia="en-US"/>
        </w:rPr>
        <w:t xml:space="preserve">, </w:t>
      </w:r>
      <w:r w:rsidR="00082E7E" w:rsidRPr="00082E7E">
        <w:rPr>
          <w:lang w:eastAsia="en-US"/>
        </w:rPr>
        <w:t>height</w:t>
      </w:r>
      <w:r w:rsidR="00082E7E">
        <w:rPr>
          <w:lang w:eastAsia="en-US"/>
        </w:rPr>
        <w:t xml:space="preserve"> </w:t>
      </w:r>
      <w:r w:rsidR="00082E7E" w:rsidRPr="00082E7E">
        <w:rPr>
          <w:lang w:eastAsia="en-US"/>
        </w:rPr>
        <w:t>and calculation of BM</w:t>
      </w:r>
      <w:r w:rsidR="00900E06">
        <w:rPr>
          <w:lang w:eastAsia="en-US"/>
        </w:rPr>
        <w:t>I</w:t>
      </w:r>
      <w:r w:rsidR="00082E7E" w:rsidRPr="00082E7E">
        <w:rPr>
          <w:lang w:eastAsia="en-US"/>
        </w:rPr>
        <w:t xml:space="preserve"> at</w:t>
      </w:r>
      <w:r w:rsidR="00082E7E">
        <w:rPr>
          <w:lang w:eastAsia="en-US"/>
        </w:rPr>
        <w:t xml:space="preserve"> </w:t>
      </w:r>
      <w:r w:rsidR="00082E7E" w:rsidRPr="00082E7E">
        <w:rPr>
          <w:lang w:eastAsia="en-US"/>
        </w:rPr>
        <w:t>the first</w:t>
      </w:r>
      <w:r>
        <w:rPr>
          <w:lang w:eastAsia="en-US"/>
        </w:rPr>
        <w:t xml:space="preserve"> </w:t>
      </w:r>
      <w:r w:rsidR="00082E7E" w:rsidRPr="00082E7E">
        <w:rPr>
          <w:lang w:eastAsia="en-US"/>
        </w:rPr>
        <w:t>antenatal contact allows</w:t>
      </w:r>
      <w:r>
        <w:rPr>
          <w:lang w:eastAsia="en-US"/>
        </w:rPr>
        <w:t xml:space="preserve"> </w:t>
      </w:r>
      <w:r w:rsidR="00082E7E">
        <w:rPr>
          <w:lang w:eastAsia="en-US"/>
        </w:rPr>
        <w:t xml:space="preserve">for </w:t>
      </w:r>
      <w:r w:rsidR="00082E7E" w:rsidRPr="00082E7E">
        <w:rPr>
          <w:lang w:eastAsia="en-US"/>
        </w:rPr>
        <w:t>identification of women who require additional care during</w:t>
      </w:r>
      <w:r>
        <w:rPr>
          <w:lang w:eastAsia="en-US"/>
        </w:rPr>
        <w:t xml:space="preserve"> </w:t>
      </w:r>
      <w:r w:rsidR="00082E7E" w:rsidRPr="00082E7E">
        <w:rPr>
          <w:lang w:eastAsia="en-US"/>
        </w:rPr>
        <w:t>pregnancy</w:t>
      </w:r>
      <w:r w:rsidR="00794FDB">
        <w:rPr>
          <w:lang w:eastAsia="en-US"/>
        </w:rPr>
        <w:t xml:space="preserve"> and supports</w:t>
      </w:r>
      <w:r>
        <w:rPr>
          <w:lang w:eastAsia="en-US"/>
        </w:rPr>
        <w:t xml:space="preserve"> </w:t>
      </w:r>
      <w:r w:rsidR="00082E7E" w:rsidRPr="00082E7E">
        <w:rPr>
          <w:lang w:eastAsia="en-US"/>
        </w:rPr>
        <w:t>estimat</w:t>
      </w:r>
      <w:r w:rsidR="00794FDB">
        <w:rPr>
          <w:lang w:eastAsia="en-US"/>
        </w:rPr>
        <w:t xml:space="preserve">ion of </w:t>
      </w:r>
      <w:r w:rsidR="00082E7E" w:rsidRPr="00082E7E">
        <w:rPr>
          <w:lang w:eastAsia="en-US"/>
        </w:rPr>
        <w:t>gestational weight gain</w:t>
      </w:r>
      <w:r w:rsidR="00794FDB">
        <w:rPr>
          <w:lang w:eastAsia="en-US"/>
        </w:rPr>
        <w:t>.</w:t>
      </w:r>
      <w:r>
        <w:rPr>
          <w:lang w:eastAsia="en-US"/>
        </w:rPr>
        <w:t xml:space="preserve"> Refer to </w:t>
      </w:r>
      <w:r w:rsidRPr="00296148">
        <w:rPr>
          <w:lang w:eastAsia="en-US"/>
        </w:rPr>
        <w:t>Table 1 BMI and expected pregnancy weight gain</w:t>
      </w:r>
      <w:r>
        <w:rPr>
          <w:lang w:eastAsia="en-US"/>
        </w:rPr>
        <w:t xml:space="preserve"> for WHO recommendations</w:t>
      </w:r>
      <w:r>
        <w:t xml:space="preserve"> </w:t>
      </w:r>
      <w:r w:rsidR="004F66BA" w:rsidRPr="00A2642C">
        <w:rPr>
          <w:vertAlign w:val="superscript"/>
        </w:rPr>
        <w:t>1,</w:t>
      </w:r>
      <w:r w:rsidR="00D06F63" w:rsidRPr="004F66BA">
        <w:rPr>
          <w:vertAlign w:val="superscript"/>
        </w:rPr>
        <w:t>2</w:t>
      </w:r>
      <w:r w:rsidR="00D06F63">
        <w:rPr>
          <w:vertAlign w:val="superscript"/>
        </w:rPr>
        <w:t xml:space="preserve"> </w:t>
      </w:r>
    </w:p>
    <w:p w14:paraId="1FFF6008" w14:textId="3BA2FCB7" w:rsidR="00D06F63" w:rsidRDefault="00F75F33" w:rsidP="00A2642C">
      <w:pPr>
        <w:pStyle w:val="BodyCopy"/>
        <w:spacing w:after="0"/>
        <w:rPr>
          <w:lang w:eastAsia="en-US"/>
        </w:rPr>
      </w:pPr>
      <w:r w:rsidRPr="00F75F33">
        <w:rPr>
          <w:lang w:eastAsia="en-US"/>
        </w:rPr>
        <w:t xml:space="preserve">While BMI classifications are helpful for pregnancy related risk assessments, clinicians should be aware that BMI classifications can be less accurate for assessing healthy weight in certain groups due to variations in </w:t>
      </w:r>
      <w:r w:rsidRPr="00296148">
        <w:t>muscle</w:t>
      </w:r>
      <w:r w:rsidRPr="00F75F33">
        <w:rPr>
          <w:lang w:eastAsia="en-US"/>
        </w:rPr>
        <w:t xml:space="preserve"> mass and fat mass (e</w:t>
      </w:r>
      <w:r w:rsidR="00BC71D5">
        <w:rPr>
          <w:lang w:eastAsia="en-US"/>
        </w:rPr>
        <w:t>.</w:t>
      </w:r>
      <w:r w:rsidRPr="00F75F33">
        <w:rPr>
          <w:lang w:eastAsia="en-US"/>
        </w:rPr>
        <w:t>g</w:t>
      </w:r>
      <w:r w:rsidR="00BC71D5">
        <w:rPr>
          <w:lang w:eastAsia="en-US"/>
        </w:rPr>
        <w:t>.,</w:t>
      </w:r>
      <w:r w:rsidRPr="00F75F33">
        <w:rPr>
          <w:lang w:eastAsia="en-US"/>
        </w:rPr>
        <w:t xml:space="preserve"> lower cut-offs than WHO </w:t>
      </w:r>
      <w:r w:rsidRPr="00F75F33">
        <w:rPr>
          <w:lang w:eastAsia="en-US"/>
        </w:rPr>
        <w:lastRenderedPageBreak/>
        <w:t>classifications may be appropriate for women from Asian backgrounds and higher cut-offs for women from Pacific Islands</w:t>
      </w:r>
      <w:r w:rsidR="004F66BA" w:rsidRPr="00F75F33" w:rsidDel="004F66BA">
        <w:rPr>
          <w:lang w:eastAsia="en-US"/>
        </w:rPr>
        <w:t>)</w:t>
      </w:r>
      <w:r w:rsidRPr="00F75F33">
        <w:rPr>
          <w:vertAlign w:val="superscript"/>
          <w:lang w:eastAsia="en-US"/>
        </w:rPr>
        <w:t>2</w:t>
      </w:r>
      <w:r w:rsidR="004F66BA">
        <w:rPr>
          <w:vertAlign w:val="superscript"/>
          <w:lang w:eastAsia="en-US"/>
        </w:rPr>
        <w:t xml:space="preserve">. </w:t>
      </w:r>
      <w:r w:rsidR="004F66BA">
        <w:rPr>
          <w:lang w:eastAsia="en-US"/>
        </w:rPr>
        <w:t xml:space="preserve"> </w:t>
      </w:r>
      <w:r>
        <w:rPr>
          <w:lang w:eastAsia="en-US"/>
        </w:rPr>
        <w:t>Women/birthing persons with gestational w</w:t>
      </w:r>
      <w:r w:rsidR="00D06F63" w:rsidRPr="00D06F63">
        <w:rPr>
          <w:lang w:eastAsia="en-US"/>
        </w:rPr>
        <w:t xml:space="preserve">eight gain higher than recommendations </w:t>
      </w:r>
      <w:r>
        <w:rPr>
          <w:lang w:eastAsia="en-US"/>
        </w:rPr>
        <w:t xml:space="preserve">have </w:t>
      </w:r>
      <w:r w:rsidR="00D06F63" w:rsidRPr="00D06F63">
        <w:rPr>
          <w:lang w:eastAsia="en-US"/>
        </w:rPr>
        <w:t>an increased risk of</w:t>
      </w:r>
      <w:r w:rsidR="00BC71D5">
        <w:rPr>
          <w:lang w:eastAsia="en-US"/>
        </w:rPr>
        <w:t xml:space="preserve"> </w:t>
      </w:r>
      <w:r>
        <w:rPr>
          <w:vertAlign w:val="superscript"/>
          <w:lang w:eastAsia="en-US"/>
        </w:rPr>
        <w:t>2</w:t>
      </w:r>
      <w:r>
        <w:rPr>
          <w:lang w:eastAsia="en-US"/>
        </w:rPr>
        <w:t>:</w:t>
      </w:r>
    </w:p>
    <w:p w14:paraId="66131AB4" w14:textId="28C148B8" w:rsidR="00D06F63" w:rsidRPr="004F00E3" w:rsidRDefault="00D06F63" w:rsidP="004F00E3">
      <w:pPr>
        <w:pStyle w:val="Bullet"/>
      </w:pPr>
      <w:r>
        <w:t>large-for</w:t>
      </w:r>
      <w:r w:rsidRPr="004F00E3">
        <w:t xml:space="preserve">-gestational age neonates  </w:t>
      </w:r>
    </w:p>
    <w:p w14:paraId="19D9C72B" w14:textId="77777777" w:rsidR="00D06F63" w:rsidRPr="004F00E3" w:rsidRDefault="00D06F63" w:rsidP="004F00E3">
      <w:pPr>
        <w:pStyle w:val="Bullet"/>
      </w:pPr>
      <w:r w:rsidRPr="004F00E3">
        <w:t xml:space="preserve">macrosomia </w:t>
      </w:r>
    </w:p>
    <w:p w14:paraId="2899F3D3" w14:textId="207E8AA7" w:rsidR="00D06F63" w:rsidRPr="004F00E3" w:rsidRDefault="00D06F63" w:rsidP="004F00E3">
      <w:pPr>
        <w:pStyle w:val="Bullet"/>
      </w:pPr>
      <w:r w:rsidRPr="004F00E3">
        <w:t>caesarean section</w:t>
      </w:r>
      <w:r w:rsidR="00BC71D5" w:rsidRPr="004F00E3">
        <w:t>.</w:t>
      </w:r>
      <w:r w:rsidRPr="004F00E3">
        <w:t xml:space="preserve"> </w:t>
      </w:r>
    </w:p>
    <w:p w14:paraId="79F987C1" w14:textId="318FFE71" w:rsidR="00F75F33" w:rsidRDefault="00F75F33" w:rsidP="004F00E3">
      <w:pPr>
        <w:pStyle w:val="BodyCopy"/>
        <w:rPr>
          <w:lang w:eastAsia="en-US"/>
        </w:rPr>
      </w:pPr>
      <w:r>
        <w:rPr>
          <w:lang w:eastAsia="en-US"/>
        </w:rPr>
        <w:t xml:space="preserve">Women/birthing persons with a high booking BMI who had either </w:t>
      </w:r>
      <w:r w:rsidR="00D06F63" w:rsidRPr="003A009A">
        <w:rPr>
          <w:lang w:eastAsia="en-US"/>
        </w:rPr>
        <w:t xml:space="preserve">low </w:t>
      </w:r>
      <w:r>
        <w:rPr>
          <w:lang w:eastAsia="en-US"/>
        </w:rPr>
        <w:t xml:space="preserve">or </w:t>
      </w:r>
      <w:r w:rsidR="00D06F63" w:rsidRPr="003A009A">
        <w:rPr>
          <w:lang w:eastAsia="en-US"/>
        </w:rPr>
        <w:t>high weight gain were associated with increased risk of</w:t>
      </w:r>
      <w:r>
        <w:rPr>
          <w:lang w:eastAsia="en-US"/>
        </w:rPr>
        <w:t xml:space="preserve"> </w:t>
      </w:r>
      <w:r>
        <w:rPr>
          <w:vertAlign w:val="superscript"/>
          <w:lang w:eastAsia="en-US"/>
        </w:rPr>
        <w:t>2</w:t>
      </w:r>
      <w:r>
        <w:rPr>
          <w:lang w:eastAsia="en-US"/>
        </w:rPr>
        <w:t>:</w:t>
      </w:r>
    </w:p>
    <w:p w14:paraId="2D13ED82" w14:textId="77777777" w:rsidR="00F75F33" w:rsidRDefault="00D06F63" w:rsidP="004F00E3">
      <w:pPr>
        <w:pStyle w:val="Bullet"/>
        <w:rPr>
          <w:lang w:eastAsia="en-US"/>
        </w:rPr>
      </w:pPr>
      <w:r w:rsidRPr="003A009A">
        <w:rPr>
          <w:lang w:eastAsia="en-US"/>
        </w:rPr>
        <w:t>gestational diabetes</w:t>
      </w:r>
    </w:p>
    <w:p w14:paraId="38150B55" w14:textId="77777777" w:rsidR="00F75F33" w:rsidRDefault="00D06F63" w:rsidP="004F00E3">
      <w:pPr>
        <w:pStyle w:val="Bullet"/>
        <w:rPr>
          <w:lang w:eastAsia="en-US"/>
        </w:rPr>
      </w:pPr>
      <w:r w:rsidRPr="003A009A">
        <w:rPr>
          <w:lang w:eastAsia="en-US"/>
        </w:rPr>
        <w:t>gestational hypertension</w:t>
      </w:r>
    </w:p>
    <w:p w14:paraId="7F9E0C02" w14:textId="77777777" w:rsidR="00F75F33" w:rsidRDefault="00D06F63" w:rsidP="004F00E3">
      <w:pPr>
        <w:pStyle w:val="Bullet"/>
        <w:rPr>
          <w:lang w:eastAsia="en-US"/>
        </w:rPr>
      </w:pPr>
      <w:r w:rsidRPr="003A009A">
        <w:rPr>
          <w:lang w:eastAsia="en-US"/>
        </w:rPr>
        <w:t>pre-eclampsia</w:t>
      </w:r>
      <w:r w:rsidR="00F75F33">
        <w:rPr>
          <w:lang w:eastAsia="en-US"/>
        </w:rPr>
        <w:t xml:space="preserve"> </w:t>
      </w:r>
    </w:p>
    <w:p w14:paraId="6A0535AE" w14:textId="77777777" w:rsidR="00F75F33" w:rsidRDefault="00D06F63" w:rsidP="004F00E3">
      <w:pPr>
        <w:pStyle w:val="Bullet"/>
        <w:rPr>
          <w:lang w:eastAsia="en-US"/>
        </w:rPr>
      </w:pPr>
      <w:r w:rsidRPr="003A009A">
        <w:rPr>
          <w:lang w:eastAsia="en-US"/>
        </w:rPr>
        <w:t xml:space="preserve">preterm birth </w:t>
      </w:r>
    </w:p>
    <w:p w14:paraId="5362CC04" w14:textId="0D62CB35" w:rsidR="00F75F33" w:rsidRPr="00F75F33" w:rsidRDefault="00D06F63" w:rsidP="004F00E3">
      <w:pPr>
        <w:pStyle w:val="Bullet"/>
        <w:rPr>
          <w:lang w:eastAsia="en-US"/>
        </w:rPr>
      </w:pPr>
      <w:r w:rsidRPr="003A009A">
        <w:rPr>
          <w:lang w:eastAsia="en-US"/>
        </w:rPr>
        <w:t>large for gestational age</w:t>
      </w:r>
      <w:r w:rsidR="00F75F33" w:rsidRPr="003A009A">
        <w:rPr>
          <w:lang w:eastAsia="en-US"/>
        </w:rPr>
        <w:t xml:space="preserve"> neonate</w:t>
      </w:r>
      <w:r w:rsidR="004F66BA">
        <w:rPr>
          <w:lang w:eastAsia="en-US"/>
        </w:rPr>
        <w:t xml:space="preserve"> (LGA)</w:t>
      </w:r>
      <w:r w:rsidR="004F00E3">
        <w:rPr>
          <w:lang w:eastAsia="en-US"/>
        </w:rPr>
        <w:t>.</w:t>
      </w:r>
    </w:p>
    <w:p w14:paraId="515B37EC" w14:textId="6BF30D7F" w:rsidR="77BB9FEC" w:rsidRDefault="00F75F33" w:rsidP="004F00E3">
      <w:pPr>
        <w:pStyle w:val="Tabletitle-numbered"/>
      </w:pPr>
      <w:bookmarkStart w:id="6" w:name="_Hlk211958322"/>
      <w:r>
        <w:t>B</w:t>
      </w:r>
      <w:r w:rsidR="77BB9FEC" w:rsidRPr="143A4CE6">
        <w:t>MI and expected pregnancy weight gain</w:t>
      </w:r>
    </w:p>
    <w:tbl>
      <w:tblPr>
        <w:tblStyle w:val="GridTable1Light-Accent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070"/>
        <w:gridCol w:w="3608"/>
        <w:gridCol w:w="2693"/>
      </w:tblGrid>
      <w:tr w:rsidR="0B2422DF" w14:paraId="78BB0329" w14:textId="77777777" w:rsidTr="0023501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tcBorders>
              <w:bottom w:val="none" w:sz="0" w:space="0" w:color="auto"/>
            </w:tcBorders>
            <w:shd w:val="clear" w:color="auto" w:fill="3D2262" w:themeFill="accent1"/>
          </w:tcPr>
          <w:bookmarkEnd w:id="6"/>
          <w:p w14:paraId="14E55704" w14:textId="77777777" w:rsidR="0B2422DF" w:rsidRPr="004F00E3" w:rsidRDefault="0B2422DF" w:rsidP="0B2422DF">
            <w:pPr>
              <w:pStyle w:val="Tableheader"/>
              <w:spacing w:line="276" w:lineRule="auto"/>
              <w:rPr>
                <w:rStyle w:val="Bold"/>
                <w:rFonts w:cstheme="minorBidi"/>
                <w:b w:val="0"/>
                <w:color w:val="auto"/>
              </w:rPr>
            </w:pPr>
            <w:r w:rsidRPr="004F00E3">
              <w:rPr>
                <w:rStyle w:val="Bold"/>
                <w:rFonts w:cstheme="minorBidi"/>
                <w:color w:val="auto"/>
              </w:rPr>
              <w:t>Classification</w:t>
            </w:r>
          </w:p>
          <w:p w14:paraId="7E19C1DF" w14:textId="77777777" w:rsidR="0B2422DF" w:rsidRPr="004F00E3" w:rsidRDefault="0B2422DF" w:rsidP="0B2422DF">
            <w:pPr>
              <w:pStyle w:val="Tableheader"/>
              <w:spacing w:line="276" w:lineRule="auto"/>
              <w:rPr>
                <w:rStyle w:val="Bold"/>
                <w:rFonts w:cstheme="minorBidi"/>
                <w:b w:val="0"/>
                <w:color w:val="auto"/>
              </w:rPr>
            </w:pPr>
          </w:p>
        </w:tc>
        <w:tc>
          <w:tcPr>
            <w:tcW w:w="1070" w:type="dxa"/>
            <w:tcBorders>
              <w:bottom w:val="none" w:sz="0" w:space="0" w:color="auto"/>
            </w:tcBorders>
            <w:shd w:val="clear" w:color="auto" w:fill="3D2262" w:themeFill="accent1"/>
          </w:tcPr>
          <w:p w14:paraId="4EDC5644" w14:textId="77777777" w:rsidR="0B2422DF" w:rsidRPr="004F00E3" w:rsidRDefault="0B2422DF" w:rsidP="0B2422DF">
            <w:pPr>
              <w:pStyle w:val="Tableheader"/>
              <w:spacing w:line="276" w:lineRule="auto"/>
              <w:cnfStyle w:val="100000000000" w:firstRow="1" w:lastRow="0" w:firstColumn="0" w:lastColumn="0" w:oddVBand="0" w:evenVBand="0" w:oddHBand="0" w:evenHBand="0" w:firstRowFirstColumn="0" w:firstRowLastColumn="0" w:lastRowFirstColumn="0" w:lastRowLastColumn="0"/>
              <w:rPr>
                <w:rStyle w:val="Bold"/>
                <w:rFonts w:cstheme="minorBidi"/>
                <w:b w:val="0"/>
                <w:color w:val="auto"/>
              </w:rPr>
            </w:pPr>
            <w:r w:rsidRPr="004F00E3">
              <w:rPr>
                <w:rStyle w:val="Bold"/>
                <w:rFonts w:cstheme="minorBidi"/>
                <w:color w:val="auto"/>
              </w:rPr>
              <w:t>BMI (kg/m2)</w:t>
            </w:r>
          </w:p>
        </w:tc>
        <w:tc>
          <w:tcPr>
            <w:tcW w:w="3608" w:type="dxa"/>
            <w:tcBorders>
              <w:bottom w:val="none" w:sz="0" w:space="0" w:color="auto"/>
            </w:tcBorders>
            <w:shd w:val="clear" w:color="auto" w:fill="3D2262" w:themeFill="accent1"/>
          </w:tcPr>
          <w:p w14:paraId="44F5FE9A" w14:textId="08B01B48" w:rsidR="0B2422DF" w:rsidRPr="004F00E3" w:rsidRDefault="0B2422DF" w:rsidP="0B2422DF">
            <w:pPr>
              <w:pStyle w:val="Tableheader"/>
              <w:spacing w:line="276" w:lineRule="auto"/>
              <w:cnfStyle w:val="100000000000" w:firstRow="1" w:lastRow="0" w:firstColumn="0" w:lastColumn="0" w:oddVBand="0" w:evenVBand="0" w:oddHBand="0" w:evenHBand="0" w:firstRowFirstColumn="0" w:firstRowLastColumn="0" w:lastRowFirstColumn="0" w:lastRowLastColumn="0"/>
              <w:rPr>
                <w:rStyle w:val="Bold"/>
                <w:rFonts w:cstheme="minorBidi"/>
                <w:b w:val="0"/>
                <w:color w:val="auto"/>
              </w:rPr>
            </w:pPr>
            <w:r w:rsidRPr="004F00E3">
              <w:rPr>
                <w:rStyle w:val="Bold"/>
                <w:rFonts w:cstheme="minorBidi"/>
                <w:color w:val="auto"/>
              </w:rPr>
              <w:t>Risk of obstetric/</w:t>
            </w:r>
            <w:r w:rsidR="00B860ED" w:rsidRPr="004F00E3">
              <w:rPr>
                <w:rStyle w:val="Bold"/>
                <w:rFonts w:cstheme="minorBidi"/>
                <w:color w:val="auto"/>
              </w:rPr>
              <w:t>anesthetic</w:t>
            </w:r>
            <w:r w:rsidRPr="004F00E3">
              <w:rPr>
                <w:rStyle w:val="Bold"/>
                <w:rFonts w:cstheme="minorBidi"/>
                <w:color w:val="auto"/>
              </w:rPr>
              <w:t xml:space="preserve"> complication</w:t>
            </w:r>
          </w:p>
        </w:tc>
        <w:tc>
          <w:tcPr>
            <w:cnfStyle w:val="000100000000" w:firstRow="0" w:lastRow="0" w:firstColumn="0" w:lastColumn="1" w:oddVBand="0" w:evenVBand="0" w:oddHBand="0" w:evenHBand="0" w:firstRowFirstColumn="0" w:firstRowLastColumn="0" w:lastRowFirstColumn="0" w:lastRowLastColumn="0"/>
            <w:tcW w:w="2693" w:type="dxa"/>
            <w:tcBorders>
              <w:bottom w:val="none" w:sz="0" w:space="0" w:color="auto"/>
            </w:tcBorders>
            <w:shd w:val="clear" w:color="auto" w:fill="3D2262" w:themeFill="accent1"/>
          </w:tcPr>
          <w:p w14:paraId="6B9C4556" w14:textId="77777777" w:rsidR="0B2422DF" w:rsidRPr="004F00E3" w:rsidRDefault="0B2422DF" w:rsidP="0B2422DF">
            <w:pPr>
              <w:pStyle w:val="Tableheader"/>
              <w:spacing w:line="276" w:lineRule="auto"/>
              <w:rPr>
                <w:rStyle w:val="Bold"/>
                <w:rFonts w:cstheme="minorBidi"/>
                <w:b w:val="0"/>
                <w:color w:val="auto"/>
              </w:rPr>
            </w:pPr>
            <w:r w:rsidRPr="004F00E3">
              <w:rPr>
                <w:rStyle w:val="Bold"/>
                <w:rFonts w:cstheme="minorBidi"/>
                <w:color w:val="auto"/>
              </w:rPr>
              <w:t>Expected weight gains in pregnancy</w:t>
            </w:r>
          </w:p>
        </w:tc>
      </w:tr>
      <w:tr w:rsidR="0B2422DF" w14:paraId="6E6D70C9" w14:textId="77777777" w:rsidTr="0023501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0AD4C1AE" w14:textId="77777777" w:rsidR="0B2422DF" w:rsidRDefault="0B2422DF" w:rsidP="0B2422DF">
            <w:pPr>
              <w:spacing w:after="0"/>
              <w:rPr>
                <w:rFonts w:cstheme="minorBidi"/>
              </w:rPr>
            </w:pPr>
            <w:r w:rsidRPr="0B2422DF">
              <w:rPr>
                <w:rFonts w:cstheme="minorBidi"/>
              </w:rPr>
              <w:t>Normal range</w:t>
            </w:r>
          </w:p>
        </w:tc>
        <w:tc>
          <w:tcPr>
            <w:tcW w:w="1070" w:type="dxa"/>
          </w:tcPr>
          <w:p w14:paraId="43F8B6E8" w14:textId="77777777"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18.5-24.9</w:t>
            </w:r>
          </w:p>
        </w:tc>
        <w:tc>
          <w:tcPr>
            <w:tcW w:w="3608" w:type="dxa"/>
          </w:tcPr>
          <w:p w14:paraId="0B414D2C" w14:textId="77777777"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No increased obstetric or maternal risk</w:t>
            </w:r>
          </w:p>
        </w:tc>
        <w:tc>
          <w:tcPr>
            <w:cnfStyle w:val="000100000000" w:firstRow="0" w:lastRow="0" w:firstColumn="0" w:lastColumn="1" w:oddVBand="0" w:evenVBand="0" w:oddHBand="0" w:evenHBand="0" w:firstRowFirstColumn="0" w:firstRowLastColumn="0" w:lastRowFirstColumn="0" w:lastRowLastColumn="0"/>
            <w:tcW w:w="2693" w:type="dxa"/>
          </w:tcPr>
          <w:p w14:paraId="7E1F86B2" w14:textId="77777777" w:rsidR="0B2422DF" w:rsidRPr="00B860ED" w:rsidRDefault="0B2422DF" w:rsidP="0B2422DF">
            <w:pPr>
              <w:spacing w:after="0"/>
              <w:rPr>
                <w:rFonts w:cstheme="minorBidi"/>
                <w:b w:val="0"/>
                <w:bCs w:val="0"/>
              </w:rPr>
            </w:pPr>
            <w:r w:rsidRPr="00B860ED">
              <w:rPr>
                <w:rFonts w:cstheme="minorBidi"/>
                <w:b w:val="0"/>
                <w:bCs w:val="0"/>
              </w:rPr>
              <w:t>Gain up to 12-14 kg</w:t>
            </w:r>
          </w:p>
        </w:tc>
      </w:tr>
      <w:tr w:rsidR="0B2422DF" w14:paraId="4F584E7E" w14:textId="77777777" w:rsidTr="0023501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1E76FF58" w14:textId="77777777" w:rsidR="0B2422DF" w:rsidRDefault="0B2422DF" w:rsidP="0B2422DF">
            <w:pPr>
              <w:spacing w:after="0"/>
              <w:rPr>
                <w:rFonts w:cstheme="minorBidi"/>
              </w:rPr>
            </w:pPr>
            <w:r w:rsidRPr="0B2422DF">
              <w:rPr>
                <w:rFonts w:cstheme="minorBidi"/>
              </w:rPr>
              <w:t>Overweight</w:t>
            </w:r>
          </w:p>
        </w:tc>
        <w:tc>
          <w:tcPr>
            <w:tcW w:w="1070" w:type="dxa"/>
          </w:tcPr>
          <w:p w14:paraId="0F6E24ED" w14:textId="77777777"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&gt;=25</w:t>
            </w:r>
          </w:p>
        </w:tc>
        <w:tc>
          <w:tcPr>
            <w:tcW w:w="3608" w:type="dxa"/>
          </w:tcPr>
          <w:p w14:paraId="0E6CAB89" w14:textId="77777777"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No increased obstetric or maternal risk</w:t>
            </w:r>
          </w:p>
        </w:tc>
        <w:tc>
          <w:tcPr>
            <w:cnfStyle w:val="000100000000" w:firstRow="0" w:lastRow="0" w:firstColumn="0" w:lastColumn="1" w:oddVBand="0" w:evenVBand="0" w:oddHBand="0" w:evenHBand="0" w:firstRowFirstColumn="0" w:firstRowLastColumn="0" w:lastRowFirstColumn="0" w:lastRowLastColumn="0"/>
            <w:tcW w:w="2693" w:type="dxa"/>
          </w:tcPr>
          <w:p w14:paraId="58B31328" w14:textId="77777777" w:rsidR="0B2422DF" w:rsidRPr="00B860ED" w:rsidRDefault="0B2422DF" w:rsidP="0B2422DF">
            <w:pPr>
              <w:spacing w:after="0"/>
              <w:rPr>
                <w:rFonts w:cstheme="minorBidi"/>
                <w:b w:val="0"/>
                <w:bCs w:val="0"/>
              </w:rPr>
            </w:pPr>
            <w:r w:rsidRPr="00B860ED">
              <w:rPr>
                <w:rFonts w:cstheme="minorBidi"/>
                <w:b w:val="0"/>
                <w:bCs w:val="0"/>
              </w:rPr>
              <w:t>Gain no more than 7-11.5kg</w:t>
            </w:r>
          </w:p>
        </w:tc>
      </w:tr>
      <w:tr w:rsidR="0B2422DF" w14:paraId="3EEB9792" w14:textId="77777777" w:rsidTr="007501FA">
        <w:trPr>
          <w:trHeight w:val="300"/>
        </w:trPr>
        <w:tc>
          <w:tcPr>
            <w:cnfStyle w:val="001000000000" w:firstRow="0" w:lastRow="0" w:firstColumn="1" w:lastColumn="0" w:oddVBand="0" w:evenVBand="0" w:oddHBand="0" w:evenHBand="0" w:firstRowFirstColumn="0" w:firstRowLastColumn="0" w:lastRowFirstColumn="0" w:lastRowLastColumn="0"/>
            <w:tcW w:w="2547" w:type="dxa"/>
            <w:tcBorders>
              <w:bottom w:val="single" w:sz="4" w:space="0" w:color="auto"/>
            </w:tcBorders>
          </w:tcPr>
          <w:p w14:paraId="53D48BBB" w14:textId="77777777" w:rsidR="0B2422DF" w:rsidRDefault="0B2422DF" w:rsidP="0B2422DF">
            <w:pPr>
              <w:spacing w:after="0"/>
              <w:rPr>
                <w:rFonts w:cstheme="minorBidi"/>
              </w:rPr>
            </w:pPr>
            <w:r w:rsidRPr="0B2422DF">
              <w:rPr>
                <w:rFonts w:cstheme="minorBidi"/>
              </w:rPr>
              <w:t>Pre-obese</w:t>
            </w:r>
          </w:p>
        </w:tc>
        <w:tc>
          <w:tcPr>
            <w:tcW w:w="1070" w:type="dxa"/>
            <w:tcBorders>
              <w:bottom w:val="single" w:sz="4" w:space="0" w:color="auto"/>
            </w:tcBorders>
          </w:tcPr>
          <w:p w14:paraId="2EE4911E" w14:textId="77777777"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25-29.9</w:t>
            </w:r>
          </w:p>
        </w:tc>
        <w:tc>
          <w:tcPr>
            <w:tcW w:w="3608" w:type="dxa"/>
            <w:tcBorders>
              <w:bottom w:val="single" w:sz="4" w:space="0" w:color="auto"/>
            </w:tcBorders>
          </w:tcPr>
          <w:p w14:paraId="3615B781" w14:textId="77777777"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No increased obstetric or maternal risk</w:t>
            </w:r>
          </w:p>
        </w:tc>
        <w:tc>
          <w:tcPr>
            <w:cnfStyle w:val="000100000000" w:firstRow="0" w:lastRow="0" w:firstColumn="0" w:lastColumn="1" w:oddVBand="0" w:evenVBand="0" w:oddHBand="0" w:evenHBand="0" w:firstRowFirstColumn="0" w:firstRowLastColumn="0" w:lastRowFirstColumn="0" w:lastRowLastColumn="0"/>
            <w:tcW w:w="2693" w:type="dxa"/>
            <w:tcBorders>
              <w:bottom w:val="single" w:sz="4" w:space="0" w:color="auto"/>
            </w:tcBorders>
          </w:tcPr>
          <w:p w14:paraId="195B81CF" w14:textId="77777777" w:rsidR="0B2422DF" w:rsidRPr="00B860ED" w:rsidRDefault="0B2422DF" w:rsidP="0B2422DF">
            <w:pPr>
              <w:spacing w:after="0"/>
              <w:rPr>
                <w:rFonts w:cstheme="minorBidi"/>
                <w:b w:val="0"/>
                <w:bCs w:val="0"/>
              </w:rPr>
            </w:pPr>
            <w:r w:rsidRPr="00B860ED">
              <w:rPr>
                <w:rFonts w:cstheme="minorBidi"/>
                <w:b w:val="0"/>
                <w:bCs w:val="0"/>
              </w:rPr>
              <w:t>Gain no more than 7-11.5kg</w:t>
            </w:r>
          </w:p>
        </w:tc>
      </w:tr>
      <w:tr w:rsidR="0B2422DF" w14:paraId="36B9BE60" w14:textId="77777777" w:rsidTr="00E350DA">
        <w:trPr>
          <w:trHeight w:val="3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shd w:val="clear" w:color="auto" w:fill="3D2262" w:themeFill="accent1"/>
          </w:tcPr>
          <w:p w14:paraId="74D5894B" w14:textId="52EF781C" w:rsidR="0B2422DF" w:rsidRDefault="00E350DA" w:rsidP="0B2422DF">
            <w:pPr>
              <w:spacing w:after="0"/>
              <w:rPr>
                <w:rFonts w:cstheme="minorBidi"/>
              </w:rPr>
            </w:pPr>
            <w:r w:rsidRPr="004F00E3">
              <w:rPr>
                <w:rFonts w:cstheme="minorBidi"/>
                <w:color w:val="FFFFFF" w:themeColor="background1"/>
              </w:rPr>
              <w:t>Obese</w:t>
            </w:r>
            <w:r w:rsidRPr="004F00E3">
              <w:rPr>
                <w:rFonts w:cstheme="minorBidi"/>
                <w:color w:val="FFFFFF" w:themeColor="background1"/>
                <w:u w:val="single"/>
              </w:rPr>
              <w:t>&gt;</w:t>
            </w:r>
            <w:r w:rsidRPr="004F00E3">
              <w:rPr>
                <w:rFonts w:cstheme="minorBidi"/>
                <w:color w:val="FFFFFF" w:themeColor="background1"/>
              </w:rPr>
              <w:t>30</w:t>
            </w:r>
          </w:p>
        </w:tc>
        <w:tc>
          <w:tcPr>
            <w:tcW w:w="1070" w:type="dxa"/>
            <w:tcBorders>
              <w:top w:val="single" w:sz="4" w:space="0" w:color="auto"/>
            </w:tcBorders>
            <w:shd w:val="clear" w:color="auto" w:fill="3D2262" w:themeFill="accent1"/>
          </w:tcPr>
          <w:p w14:paraId="7443F1E1" w14:textId="19CBE763"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p>
        </w:tc>
        <w:tc>
          <w:tcPr>
            <w:tcW w:w="3608" w:type="dxa"/>
            <w:tcBorders>
              <w:top w:val="single" w:sz="4" w:space="0" w:color="auto"/>
            </w:tcBorders>
            <w:shd w:val="clear" w:color="auto" w:fill="3D2262" w:themeFill="accent1"/>
          </w:tcPr>
          <w:p w14:paraId="1E93FB62" w14:textId="2F5CE50D" w:rsidR="0B2422DF" w:rsidRDefault="0B2422DF" w:rsidP="0B2422DF">
            <w:pPr>
              <w:spacing w:after="0"/>
              <w:cnfStyle w:val="000000000000" w:firstRow="0" w:lastRow="0" w:firstColumn="0" w:lastColumn="0" w:oddVBand="0" w:evenVBand="0" w:oddHBand="0" w:evenHBand="0" w:firstRowFirstColumn="0" w:firstRowLastColumn="0" w:lastRowFirstColumn="0" w:lastRowLastColumn="0"/>
              <w:rPr>
                <w:rFonts w:cstheme="minorBidi"/>
              </w:rPr>
            </w:pPr>
          </w:p>
        </w:tc>
        <w:tc>
          <w:tcPr>
            <w:cnfStyle w:val="000100000000" w:firstRow="0" w:lastRow="0" w:firstColumn="0" w:lastColumn="1" w:oddVBand="0" w:evenVBand="0" w:oddHBand="0" w:evenHBand="0" w:firstRowFirstColumn="0" w:firstRowLastColumn="0" w:lastRowFirstColumn="0" w:lastRowLastColumn="0"/>
            <w:tcW w:w="2693" w:type="dxa"/>
            <w:tcBorders>
              <w:top w:val="single" w:sz="4" w:space="0" w:color="auto"/>
            </w:tcBorders>
            <w:shd w:val="clear" w:color="auto" w:fill="3D2262" w:themeFill="accent1"/>
          </w:tcPr>
          <w:p w14:paraId="4550EC85" w14:textId="371B5A1D" w:rsidR="0B2422DF" w:rsidRPr="00B860ED" w:rsidRDefault="0B2422DF" w:rsidP="0B2422DF">
            <w:pPr>
              <w:spacing w:after="0"/>
              <w:rPr>
                <w:rFonts w:cstheme="minorBidi"/>
                <w:b w:val="0"/>
                <w:bCs w:val="0"/>
              </w:rPr>
            </w:pPr>
          </w:p>
        </w:tc>
      </w:tr>
      <w:tr w:rsidR="00E350DA" w14:paraId="779BE1F8" w14:textId="77777777" w:rsidTr="007501FA">
        <w:trPr>
          <w:trHeight w:val="30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tcPr>
          <w:p w14:paraId="60C96360" w14:textId="3D21F0F4" w:rsidR="00E350DA" w:rsidRPr="0B2422DF" w:rsidRDefault="00E350DA" w:rsidP="00E350DA">
            <w:pPr>
              <w:spacing w:after="0"/>
              <w:rPr>
                <w:rFonts w:cstheme="minorBidi"/>
              </w:rPr>
            </w:pPr>
            <w:r w:rsidRPr="0B2422DF">
              <w:rPr>
                <w:rFonts w:cstheme="minorBidi"/>
              </w:rPr>
              <w:t xml:space="preserve">Obese </w:t>
            </w:r>
            <w:r>
              <w:rPr>
                <w:rFonts w:cstheme="minorBidi"/>
              </w:rPr>
              <w:t>C</w:t>
            </w:r>
            <w:r w:rsidRPr="0B2422DF">
              <w:rPr>
                <w:rFonts w:cstheme="minorBidi"/>
              </w:rPr>
              <w:t>lass I</w:t>
            </w:r>
          </w:p>
        </w:tc>
        <w:tc>
          <w:tcPr>
            <w:tcW w:w="1070" w:type="dxa"/>
            <w:tcBorders>
              <w:top w:val="single" w:sz="4" w:space="0" w:color="auto"/>
            </w:tcBorders>
          </w:tcPr>
          <w:p w14:paraId="28F643E6" w14:textId="5A258D24" w:rsidR="00E350DA" w:rsidRPr="0B2422DF" w:rsidRDefault="00E350DA" w:rsidP="00E350DA">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30-34.9</w:t>
            </w:r>
          </w:p>
        </w:tc>
        <w:tc>
          <w:tcPr>
            <w:tcW w:w="3608" w:type="dxa"/>
            <w:tcBorders>
              <w:top w:val="single" w:sz="4" w:space="0" w:color="auto"/>
            </w:tcBorders>
          </w:tcPr>
          <w:p w14:paraId="0A97A939" w14:textId="6DA4895F" w:rsidR="00E350DA" w:rsidRPr="0B2422DF" w:rsidRDefault="00E350DA" w:rsidP="00E350DA">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Mildly increased obstetric and maternal risk</w:t>
            </w:r>
          </w:p>
        </w:tc>
        <w:tc>
          <w:tcPr>
            <w:cnfStyle w:val="000100000000" w:firstRow="0" w:lastRow="0" w:firstColumn="0" w:lastColumn="1" w:oddVBand="0" w:evenVBand="0" w:oddHBand="0" w:evenHBand="0" w:firstRowFirstColumn="0" w:firstRowLastColumn="0" w:lastRowFirstColumn="0" w:lastRowLastColumn="0"/>
            <w:tcW w:w="2693" w:type="dxa"/>
            <w:tcBorders>
              <w:top w:val="single" w:sz="4" w:space="0" w:color="auto"/>
            </w:tcBorders>
          </w:tcPr>
          <w:p w14:paraId="77439AF0" w14:textId="5C3705E9" w:rsidR="00E350DA" w:rsidRPr="00B860ED" w:rsidRDefault="00E350DA" w:rsidP="00E350DA">
            <w:pPr>
              <w:spacing w:after="0"/>
              <w:rPr>
                <w:rFonts w:cstheme="minorBidi"/>
              </w:rPr>
            </w:pPr>
            <w:r w:rsidRPr="00B860ED">
              <w:rPr>
                <w:rFonts w:cstheme="minorBidi"/>
                <w:b w:val="0"/>
                <w:bCs w:val="0"/>
              </w:rPr>
              <w:t>Gain no more than 5-9kg</w:t>
            </w:r>
          </w:p>
        </w:tc>
      </w:tr>
      <w:tr w:rsidR="00E350DA" w14:paraId="0D77C16E" w14:textId="77777777" w:rsidTr="0023501D">
        <w:trPr>
          <w:trHeight w:val="300"/>
        </w:trPr>
        <w:tc>
          <w:tcPr>
            <w:cnfStyle w:val="001000000000" w:firstRow="0" w:lastRow="0" w:firstColumn="1" w:lastColumn="0" w:oddVBand="0" w:evenVBand="0" w:oddHBand="0" w:evenHBand="0" w:firstRowFirstColumn="0" w:firstRowLastColumn="0" w:lastRowFirstColumn="0" w:lastRowLastColumn="0"/>
            <w:tcW w:w="2547" w:type="dxa"/>
          </w:tcPr>
          <w:p w14:paraId="5D3FB825" w14:textId="539421AB" w:rsidR="00E350DA" w:rsidRDefault="00E350DA" w:rsidP="00E350DA">
            <w:pPr>
              <w:spacing w:after="0"/>
              <w:rPr>
                <w:rFonts w:cstheme="minorBidi"/>
              </w:rPr>
            </w:pPr>
            <w:r w:rsidRPr="0B2422DF">
              <w:rPr>
                <w:rFonts w:cstheme="minorBidi"/>
              </w:rPr>
              <w:t xml:space="preserve">Obese </w:t>
            </w:r>
            <w:r>
              <w:rPr>
                <w:rFonts w:cstheme="minorBidi"/>
              </w:rPr>
              <w:t>C</w:t>
            </w:r>
            <w:r w:rsidRPr="0B2422DF">
              <w:rPr>
                <w:rFonts w:cstheme="minorBidi"/>
              </w:rPr>
              <w:t>lass II</w:t>
            </w:r>
          </w:p>
        </w:tc>
        <w:tc>
          <w:tcPr>
            <w:tcW w:w="1070" w:type="dxa"/>
          </w:tcPr>
          <w:p w14:paraId="0AF624A8" w14:textId="77777777" w:rsidR="00E350DA" w:rsidRDefault="00E350DA" w:rsidP="00E350DA">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35-39.9</w:t>
            </w:r>
          </w:p>
        </w:tc>
        <w:tc>
          <w:tcPr>
            <w:tcW w:w="3608" w:type="dxa"/>
          </w:tcPr>
          <w:p w14:paraId="6E8C8EEE" w14:textId="77777777" w:rsidR="00E350DA" w:rsidRDefault="00E350DA" w:rsidP="00E350DA">
            <w:pPr>
              <w:spacing w:after="0"/>
              <w:cnfStyle w:val="000000000000" w:firstRow="0" w:lastRow="0" w:firstColumn="0" w:lastColumn="0" w:oddVBand="0" w:evenVBand="0" w:oddHBand="0" w:evenHBand="0" w:firstRowFirstColumn="0" w:firstRowLastColumn="0" w:lastRowFirstColumn="0" w:lastRowLastColumn="0"/>
              <w:rPr>
                <w:rFonts w:cstheme="minorBidi"/>
              </w:rPr>
            </w:pPr>
            <w:r w:rsidRPr="0B2422DF">
              <w:rPr>
                <w:rFonts w:cstheme="minorBidi"/>
              </w:rPr>
              <w:t>Moderately increased obstetric and maternal risk</w:t>
            </w:r>
          </w:p>
        </w:tc>
        <w:tc>
          <w:tcPr>
            <w:cnfStyle w:val="000100000000" w:firstRow="0" w:lastRow="0" w:firstColumn="0" w:lastColumn="1" w:oddVBand="0" w:evenVBand="0" w:oddHBand="0" w:evenHBand="0" w:firstRowFirstColumn="0" w:firstRowLastColumn="0" w:lastRowFirstColumn="0" w:lastRowLastColumn="0"/>
            <w:tcW w:w="2693" w:type="dxa"/>
          </w:tcPr>
          <w:p w14:paraId="07B106C2" w14:textId="77777777" w:rsidR="00E350DA" w:rsidRPr="00B860ED" w:rsidRDefault="00E350DA" w:rsidP="00E350DA">
            <w:pPr>
              <w:spacing w:after="0"/>
              <w:rPr>
                <w:rFonts w:cstheme="minorBidi"/>
                <w:b w:val="0"/>
                <w:bCs w:val="0"/>
              </w:rPr>
            </w:pPr>
            <w:r w:rsidRPr="00B860ED">
              <w:rPr>
                <w:rFonts w:cstheme="minorBidi"/>
                <w:b w:val="0"/>
                <w:bCs w:val="0"/>
              </w:rPr>
              <w:t>Maintain or gain up to 5-9 kg</w:t>
            </w:r>
          </w:p>
        </w:tc>
      </w:tr>
      <w:tr w:rsidR="00E350DA" w14:paraId="72EC07C1" w14:textId="77777777" w:rsidTr="0023501D">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tcBorders>
          </w:tcPr>
          <w:p w14:paraId="5D70A666" w14:textId="57893215" w:rsidR="00E350DA" w:rsidRDefault="00E350DA" w:rsidP="00E350DA">
            <w:pPr>
              <w:spacing w:after="0"/>
              <w:rPr>
                <w:rFonts w:cstheme="minorBidi"/>
              </w:rPr>
            </w:pPr>
            <w:r w:rsidRPr="0B2422DF">
              <w:rPr>
                <w:rFonts w:cstheme="minorBidi"/>
              </w:rPr>
              <w:t xml:space="preserve">Obese </w:t>
            </w:r>
            <w:r>
              <w:rPr>
                <w:rFonts w:cstheme="minorBidi"/>
              </w:rPr>
              <w:t>C</w:t>
            </w:r>
            <w:r w:rsidRPr="0B2422DF">
              <w:rPr>
                <w:rFonts w:cstheme="minorBidi"/>
              </w:rPr>
              <w:t>lass III</w:t>
            </w:r>
          </w:p>
        </w:tc>
        <w:tc>
          <w:tcPr>
            <w:tcW w:w="1070" w:type="dxa"/>
            <w:tcBorders>
              <w:top w:val="none" w:sz="0" w:space="0" w:color="auto"/>
            </w:tcBorders>
          </w:tcPr>
          <w:p w14:paraId="695D1E21" w14:textId="77777777" w:rsidR="00E350DA" w:rsidRPr="0023501D" w:rsidRDefault="00E350DA" w:rsidP="00E350DA">
            <w:pPr>
              <w:spacing w:after="0"/>
              <w:cnfStyle w:val="010000000000" w:firstRow="0" w:lastRow="1" w:firstColumn="0" w:lastColumn="0" w:oddVBand="0" w:evenVBand="0" w:oddHBand="0" w:evenHBand="0" w:firstRowFirstColumn="0" w:firstRowLastColumn="0" w:lastRowFirstColumn="0" w:lastRowLastColumn="0"/>
              <w:rPr>
                <w:rFonts w:cstheme="minorBidi"/>
                <w:b w:val="0"/>
                <w:bCs w:val="0"/>
              </w:rPr>
            </w:pPr>
            <w:r w:rsidRPr="0023501D">
              <w:rPr>
                <w:rFonts w:cstheme="minorBidi"/>
                <w:b w:val="0"/>
                <w:bCs w:val="0"/>
                <w:u w:val="single"/>
              </w:rPr>
              <w:t>&gt;</w:t>
            </w:r>
            <w:r w:rsidRPr="0023501D">
              <w:rPr>
                <w:rFonts w:cstheme="minorBidi"/>
                <w:b w:val="0"/>
                <w:bCs w:val="0"/>
              </w:rPr>
              <w:t>40</w:t>
            </w:r>
          </w:p>
        </w:tc>
        <w:tc>
          <w:tcPr>
            <w:tcW w:w="3608" w:type="dxa"/>
            <w:tcBorders>
              <w:top w:val="none" w:sz="0" w:space="0" w:color="auto"/>
            </w:tcBorders>
          </w:tcPr>
          <w:p w14:paraId="4854A9F0" w14:textId="77777777" w:rsidR="00E350DA" w:rsidRPr="00B860ED" w:rsidRDefault="00E350DA" w:rsidP="00E350DA">
            <w:pPr>
              <w:spacing w:after="0"/>
              <w:cnfStyle w:val="010000000000" w:firstRow="0" w:lastRow="1" w:firstColumn="0" w:lastColumn="0" w:oddVBand="0" w:evenVBand="0" w:oddHBand="0" w:evenHBand="0" w:firstRowFirstColumn="0" w:firstRowLastColumn="0" w:lastRowFirstColumn="0" w:lastRowLastColumn="0"/>
              <w:rPr>
                <w:rFonts w:cstheme="minorBidi"/>
                <w:b w:val="0"/>
                <w:bCs w:val="0"/>
              </w:rPr>
            </w:pPr>
            <w:r w:rsidRPr="00B860ED">
              <w:rPr>
                <w:rFonts w:cstheme="minorBidi"/>
                <w:b w:val="0"/>
                <w:bCs w:val="0"/>
              </w:rPr>
              <w:t>Significantly increased obstetric and maternal risk</w:t>
            </w:r>
          </w:p>
        </w:tc>
        <w:tc>
          <w:tcPr>
            <w:cnfStyle w:val="000100000000" w:firstRow="0" w:lastRow="0" w:firstColumn="0" w:lastColumn="1" w:oddVBand="0" w:evenVBand="0" w:oddHBand="0" w:evenHBand="0" w:firstRowFirstColumn="0" w:firstRowLastColumn="0" w:lastRowFirstColumn="0" w:lastRowLastColumn="0"/>
            <w:tcW w:w="2693" w:type="dxa"/>
            <w:tcBorders>
              <w:top w:val="none" w:sz="0" w:space="0" w:color="auto"/>
            </w:tcBorders>
          </w:tcPr>
          <w:p w14:paraId="1AEEE4BC" w14:textId="77777777" w:rsidR="00E350DA" w:rsidRPr="00B860ED" w:rsidRDefault="00E350DA" w:rsidP="00E350DA">
            <w:pPr>
              <w:spacing w:after="0"/>
              <w:rPr>
                <w:rFonts w:cstheme="minorBidi"/>
                <w:b w:val="0"/>
                <w:bCs w:val="0"/>
                <w:color w:val="FF0000"/>
              </w:rPr>
            </w:pPr>
            <w:r w:rsidRPr="00B860ED">
              <w:rPr>
                <w:rFonts w:cstheme="minorBidi"/>
                <w:b w:val="0"/>
                <w:bCs w:val="0"/>
              </w:rPr>
              <w:t>Maintain or gain up to 5-9 kg</w:t>
            </w:r>
          </w:p>
        </w:tc>
      </w:tr>
    </w:tbl>
    <w:p w14:paraId="232E0564" w14:textId="10A04078" w:rsidR="00F94D1F" w:rsidRDefault="00F94D1F" w:rsidP="004F00E3">
      <w:pPr>
        <w:pStyle w:val="BodyCopy"/>
        <w:rPr>
          <w:vertAlign w:val="superscript"/>
        </w:rPr>
      </w:pPr>
      <w:r>
        <w:t>The above calculations for rates of weight gain assume a 0.5</w:t>
      </w:r>
      <w:r w:rsidR="0070565D">
        <w:t xml:space="preserve"> to </w:t>
      </w:r>
      <w:r>
        <w:t>2</w:t>
      </w:r>
      <w:r w:rsidR="00795685">
        <w:t xml:space="preserve"> </w:t>
      </w:r>
      <w:r>
        <w:t xml:space="preserve">kg weight gain during the first trimester and presume a linear weight gain throughout the second and third trimesters. Above weight gain recommendations are suggested to be </w:t>
      </w:r>
      <w:r w:rsidR="004F66BA">
        <w:t>used in combination with ‘good clinical judgement’ and individualised discussion by a pregnancy care provider regarding diet and exercise.</w:t>
      </w:r>
      <w:r w:rsidR="004F66BA">
        <w:rPr>
          <w:vertAlign w:val="superscript"/>
        </w:rPr>
        <w:t>1</w:t>
      </w:r>
    </w:p>
    <w:p w14:paraId="20430EA0" w14:textId="51D41D63" w:rsidR="004B5B56" w:rsidRDefault="58D1C9C4" w:rsidP="00296148">
      <w:pPr>
        <w:pStyle w:val="BodyCopy"/>
      </w:pPr>
      <w:hyperlink w:anchor="_top">
        <w:r w:rsidRPr="143A4CE6">
          <w:rPr>
            <w:rStyle w:val="Hyperlink"/>
          </w:rPr>
          <w:t>Back to Contents</w:t>
        </w:r>
      </w:hyperlink>
    </w:p>
    <w:p w14:paraId="4DA13648" w14:textId="5F863602" w:rsidR="0078367D" w:rsidRDefault="54D60AA5" w:rsidP="00197F2E">
      <w:pPr>
        <w:pStyle w:val="Heading4"/>
      </w:pPr>
      <w:bookmarkStart w:id="7" w:name="_Toc217400054"/>
      <w:r>
        <w:lastRenderedPageBreak/>
        <w:t xml:space="preserve">Section </w:t>
      </w:r>
      <w:r w:rsidR="069A1BD6">
        <w:t>3</w:t>
      </w:r>
      <w:r>
        <w:t xml:space="preserve"> - </w:t>
      </w:r>
      <w:r w:rsidR="02DD6908">
        <w:t xml:space="preserve">Pregnancy </w:t>
      </w:r>
      <w:r w:rsidR="00546BD1">
        <w:t>complications a</w:t>
      </w:r>
      <w:r w:rsidR="02DD6908">
        <w:t xml:space="preserve">ssociated with </w:t>
      </w:r>
      <w:r w:rsidR="00546BD1">
        <w:t>maternal o</w:t>
      </w:r>
      <w:r w:rsidR="02DD6908">
        <w:t>besity</w:t>
      </w:r>
      <w:bookmarkEnd w:id="7"/>
    </w:p>
    <w:p w14:paraId="5508CB45" w14:textId="38352DD8" w:rsidR="00130B94" w:rsidRDefault="0033168F" w:rsidP="00296148">
      <w:pPr>
        <w:pStyle w:val="BodyCopy"/>
      </w:pPr>
      <w:r>
        <w:t xml:space="preserve">While most pregnant </w:t>
      </w:r>
      <w:r w:rsidR="00BB5D9D">
        <w:t xml:space="preserve">women/birthing persons </w:t>
      </w:r>
      <w:r>
        <w:t xml:space="preserve">with obesity have normal pregnancies and deliveries, they are at increased risk for </w:t>
      </w:r>
      <w:r w:rsidR="00BB5D9D">
        <w:t xml:space="preserve">medical </w:t>
      </w:r>
      <w:r>
        <w:t xml:space="preserve">and </w:t>
      </w:r>
      <w:r w:rsidR="00BB5D9D">
        <w:t xml:space="preserve">neonatal </w:t>
      </w:r>
      <w:r>
        <w:t xml:space="preserve">complications. </w:t>
      </w:r>
      <w:r w:rsidR="004C424C">
        <w:t>These risks increase with the severity of obesity (Class I</w:t>
      </w:r>
      <w:r w:rsidR="0070565D">
        <w:t xml:space="preserve"> to </w:t>
      </w:r>
      <w:r w:rsidR="004C424C">
        <w:t>III)</w:t>
      </w:r>
      <w:r w:rsidR="003717C9">
        <w:t>.</w:t>
      </w:r>
      <w:r w:rsidR="00130B94" w:rsidRPr="317A33D2">
        <w:rPr>
          <w:vertAlign w:val="superscript"/>
        </w:rPr>
        <w:t xml:space="preserve">1,3,7 </w:t>
      </w:r>
      <w:r w:rsidR="00130B94">
        <w:t xml:space="preserve">It is </w:t>
      </w:r>
      <w:r>
        <w:t xml:space="preserve">estimated that </w:t>
      </w:r>
      <w:r w:rsidRPr="00D66A79">
        <w:rPr>
          <w:b/>
        </w:rPr>
        <w:t>one-quarter</w:t>
      </w:r>
      <w:r>
        <w:t xml:space="preserve"> of pregnancy complications (e</w:t>
      </w:r>
      <w:r w:rsidR="0070565D">
        <w:t>.</w:t>
      </w:r>
      <w:r>
        <w:t>g</w:t>
      </w:r>
      <w:r w:rsidR="0070565D">
        <w:t>.</w:t>
      </w:r>
      <w:r>
        <w:t>, gestational hypertension, preeclampsia, gestational diabetes, preterm birth, LGA</w:t>
      </w:r>
      <w:r w:rsidR="004F66BA">
        <w:t xml:space="preserve"> </w:t>
      </w:r>
      <w:r w:rsidR="00BB5D9D">
        <w:t>neonate</w:t>
      </w:r>
      <w:r>
        <w:t>) are associated with obesity or being overweight</w:t>
      </w:r>
      <w:r w:rsidR="00130B94">
        <w:t>.</w:t>
      </w:r>
    </w:p>
    <w:p w14:paraId="73A32540" w14:textId="0D343655" w:rsidR="0033168F" w:rsidRPr="00130B94" w:rsidRDefault="00130B94" w:rsidP="00296148">
      <w:pPr>
        <w:pStyle w:val="BodyCopy"/>
        <w:rPr>
          <w:vertAlign w:val="superscript"/>
        </w:rPr>
      </w:pPr>
      <w:r>
        <w:t>P</w:t>
      </w:r>
      <w:r w:rsidR="0033168F">
        <w:t>re</w:t>
      </w:r>
      <w:r w:rsidR="1B3AA231">
        <w:t>-</w:t>
      </w:r>
      <w:r w:rsidR="0033168F">
        <w:t>pregnancy obesity</w:t>
      </w:r>
      <w:r>
        <w:t>,</w:t>
      </w:r>
      <w:r w:rsidR="0033168F">
        <w:t xml:space="preserve"> followed by high gestational weight gain </w:t>
      </w:r>
      <w:r>
        <w:t>increases the</w:t>
      </w:r>
      <w:r w:rsidR="0033168F">
        <w:t xml:space="preserve"> risk of </w:t>
      </w:r>
      <w:r>
        <w:t xml:space="preserve">developing </w:t>
      </w:r>
      <w:r w:rsidR="0033168F">
        <w:t xml:space="preserve">pregnancy complications. In addition, the offspring of pregnant </w:t>
      </w:r>
      <w:r w:rsidR="00BB5D9D">
        <w:t xml:space="preserve">women/birthing persons </w:t>
      </w:r>
      <w:r w:rsidR="0033168F">
        <w:t>with obesity are at increased risk of developing obesity in childhood and as adults</w:t>
      </w:r>
      <w:r w:rsidR="00A04D88">
        <w:t>.</w:t>
      </w:r>
      <w:r w:rsidR="00A04D88">
        <w:rPr>
          <w:vertAlign w:val="superscript"/>
        </w:rPr>
        <w:t>1,</w:t>
      </w:r>
      <w:r w:rsidRPr="66731E01">
        <w:rPr>
          <w:vertAlign w:val="superscript"/>
        </w:rPr>
        <w:t>7</w:t>
      </w:r>
    </w:p>
    <w:p w14:paraId="7AC7B874" w14:textId="2671A71A" w:rsidR="005420F6" w:rsidRDefault="000601CA" w:rsidP="00296148">
      <w:pPr>
        <w:pStyle w:val="BodyCopy"/>
        <w:rPr>
          <w:rFonts w:asciiTheme="minorHAnsi" w:eastAsiaTheme="minorEastAsia" w:hAnsiTheme="minorHAnsi" w:cstheme="minorBidi"/>
          <w:vertAlign w:val="superscript"/>
        </w:rPr>
      </w:pPr>
      <w:r>
        <w:t>E</w:t>
      </w:r>
      <w:r w:rsidR="009B205D" w:rsidRPr="009B205D">
        <w:t xml:space="preserve">arly </w:t>
      </w:r>
      <w:r w:rsidR="00B424B8">
        <w:t xml:space="preserve">screening </w:t>
      </w:r>
      <w:r w:rsidR="00CF5FC8">
        <w:t xml:space="preserve">for potential complications </w:t>
      </w:r>
      <w:r w:rsidR="009B205D" w:rsidRPr="009B205D">
        <w:t xml:space="preserve">and </w:t>
      </w:r>
      <w:r w:rsidR="009B205D">
        <w:t xml:space="preserve">individualised </w:t>
      </w:r>
      <w:r w:rsidR="009B205D" w:rsidRPr="009B205D">
        <w:t>antenatal care</w:t>
      </w:r>
      <w:r w:rsidR="009B205D">
        <w:t xml:space="preserve"> is </w:t>
      </w:r>
      <w:r w:rsidR="009B205D" w:rsidRPr="009B205D">
        <w:t>essential to support safe pregnancy outcomes and reduce complications</w:t>
      </w:r>
      <w:r w:rsidR="00130B94">
        <w:t xml:space="preserve">. </w:t>
      </w:r>
      <w:r w:rsidR="005420F6">
        <w:rPr>
          <w:rFonts w:asciiTheme="minorHAnsi" w:eastAsiaTheme="minorEastAsia" w:hAnsiTheme="minorHAnsi" w:cstheme="minorBidi"/>
        </w:rPr>
        <w:t xml:space="preserve">As per Section 1, </w:t>
      </w:r>
      <w:r w:rsidR="003717C9">
        <w:rPr>
          <w:rFonts w:asciiTheme="minorHAnsi" w:eastAsiaTheme="minorEastAsia" w:hAnsiTheme="minorHAnsi" w:cstheme="minorBidi"/>
        </w:rPr>
        <w:t xml:space="preserve">staff should </w:t>
      </w:r>
      <w:r w:rsidR="005420F6">
        <w:rPr>
          <w:rFonts w:asciiTheme="minorHAnsi" w:eastAsiaTheme="minorEastAsia" w:hAnsiTheme="minorHAnsi" w:cstheme="minorBidi"/>
        </w:rPr>
        <w:t>utilise person-first sensitive language, a</w:t>
      </w:r>
      <w:r w:rsidR="005420F6" w:rsidRPr="00AA2EC2">
        <w:rPr>
          <w:rFonts w:asciiTheme="minorHAnsi" w:eastAsiaTheme="minorEastAsia" w:hAnsiTheme="minorHAnsi" w:cstheme="minorBidi"/>
        </w:rPr>
        <w:t>sk permission before discussing weight</w:t>
      </w:r>
      <w:r w:rsidR="005420F6">
        <w:rPr>
          <w:rFonts w:asciiTheme="minorHAnsi" w:eastAsiaTheme="minorEastAsia" w:hAnsiTheme="minorHAnsi" w:cstheme="minorBidi"/>
        </w:rPr>
        <w:t xml:space="preserve"> and f</w:t>
      </w:r>
      <w:r w:rsidR="005420F6" w:rsidRPr="00E921B9">
        <w:rPr>
          <w:rFonts w:asciiTheme="minorHAnsi" w:eastAsiaTheme="minorEastAsia" w:hAnsiTheme="minorHAnsi" w:cstheme="minorBidi"/>
        </w:rPr>
        <w:t>rame discussion</w:t>
      </w:r>
      <w:r w:rsidR="005420F6">
        <w:rPr>
          <w:rFonts w:asciiTheme="minorHAnsi" w:eastAsiaTheme="minorEastAsia" w:hAnsiTheme="minorHAnsi" w:cstheme="minorBidi"/>
        </w:rPr>
        <w:t>s</w:t>
      </w:r>
      <w:r w:rsidR="005420F6" w:rsidRPr="00E921B9">
        <w:rPr>
          <w:rFonts w:asciiTheme="minorHAnsi" w:eastAsiaTheme="minorEastAsia" w:hAnsiTheme="minorHAnsi" w:cstheme="minorBidi"/>
        </w:rPr>
        <w:t xml:space="preserve"> around health outcomes and pregnancy safety</w:t>
      </w:r>
      <w:r w:rsidR="003717C9">
        <w:rPr>
          <w:rFonts w:asciiTheme="minorHAnsi" w:eastAsiaTheme="minorEastAsia" w:hAnsiTheme="minorHAnsi" w:cstheme="minorBidi"/>
        </w:rPr>
        <w:t>.</w:t>
      </w:r>
      <w:r w:rsidR="005420F6">
        <w:rPr>
          <w:rFonts w:asciiTheme="minorHAnsi" w:eastAsiaTheme="minorEastAsia" w:hAnsiTheme="minorHAnsi" w:cstheme="minorBidi"/>
          <w:vertAlign w:val="superscript"/>
        </w:rPr>
        <w:t>1,3</w:t>
      </w:r>
    </w:p>
    <w:p w14:paraId="6BA22B8F" w14:textId="71AAC394" w:rsidR="0033168F" w:rsidRDefault="00546BD1" w:rsidP="00296148">
      <w:pPr>
        <w:pStyle w:val="BodyCopy"/>
        <w:rPr>
          <w:rFonts w:asciiTheme="minorHAnsi" w:eastAsiaTheme="minorEastAsia" w:hAnsiTheme="minorHAnsi" w:cstheme="minorBidi"/>
          <w:vertAlign w:val="superscript"/>
        </w:rPr>
      </w:pPr>
      <w:r w:rsidRPr="66731E01">
        <w:rPr>
          <w:rFonts w:asciiTheme="minorHAnsi" w:eastAsiaTheme="minorEastAsia" w:hAnsiTheme="minorHAnsi" w:cstheme="minorBidi"/>
        </w:rPr>
        <w:t>The incidence of pregnancy</w:t>
      </w:r>
      <w:r w:rsidR="00BD10C3" w:rsidRPr="66731E01">
        <w:rPr>
          <w:rFonts w:asciiTheme="minorHAnsi" w:eastAsiaTheme="minorEastAsia" w:hAnsiTheme="minorHAnsi" w:cstheme="minorBidi"/>
        </w:rPr>
        <w:t xml:space="preserve">, intrapartum and postnatal </w:t>
      </w:r>
      <w:r w:rsidRPr="66731E01">
        <w:rPr>
          <w:rFonts w:asciiTheme="minorHAnsi" w:eastAsiaTheme="minorEastAsia" w:hAnsiTheme="minorHAnsi" w:cstheme="minorBidi"/>
        </w:rPr>
        <w:t xml:space="preserve">complications associated with obesity </w:t>
      </w:r>
      <w:r w:rsidR="2F70FF96" w:rsidRPr="66731E01">
        <w:rPr>
          <w:rFonts w:asciiTheme="minorHAnsi" w:eastAsiaTheme="minorEastAsia" w:hAnsiTheme="minorHAnsi" w:cstheme="minorBidi"/>
        </w:rPr>
        <w:t xml:space="preserve">is </w:t>
      </w:r>
      <w:r w:rsidRPr="66731E01">
        <w:rPr>
          <w:rFonts w:asciiTheme="minorHAnsi" w:eastAsiaTheme="minorEastAsia" w:hAnsiTheme="minorHAnsi" w:cstheme="minorBidi"/>
        </w:rPr>
        <w:t xml:space="preserve">outlined in </w:t>
      </w:r>
      <w:r w:rsidRPr="00D66A79">
        <w:rPr>
          <w:rFonts w:asciiTheme="minorHAnsi" w:eastAsiaTheme="minorEastAsia" w:hAnsiTheme="minorHAnsi" w:cstheme="minorBidi"/>
        </w:rPr>
        <w:t>Table</w:t>
      </w:r>
      <w:r w:rsidR="00BD10C3" w:rsidRPr="00D66A79">
        <w:rPr>
          <w:rFonts w:asciiTheme="minorHAnsi" w:eastAsiaTheme="minorEastAsia" w:hAnsiTheme="minorHAnsi" w:cstheme="minorBidi"/>
        </w:rPr>
        <w:t>s</w:t>
      </w:r>
      <w:r w:rsidRPr="00D66A79">
        <w:rPr>
          <w:rFonts w:asciiTheme="minorHAnsi" w:eastAsiaTheme="minorEastAsia" w:hAnsiTheme="minorHAnsi" w:cstheme="minorBidi"/>
        </w:rPr>
        <w:t xml:space="preserve"> 2</w:t>
      </w:r>
      <w:r w:rsidR="0070565D">
        <w:rPr>
          <w:rFonts w:asciiTheme="minorHAnsi" w:eastAsiaTheme="minorEastAsia" w:hAnsiTheme="minorHAnsi" w:cstheme="minorBidi"/>
        </w:rPr>
        <w:t xml:space="preserve"> to </w:t>
      </w:r>
      <w:r w:rsidR="00BD10C3" w:rsidRPr="00D66A79">
        <w:rPr>
          <w:rFonts w:asciiTheme="minorHAnsi" w:eastAsiaTheme="minorEastAsia" w:hAnsiTheme="minorHAnsi" w:cstheme="minorBidi"/>
        </w:rPr>
        <w:t>4</w:t>
      </w:r>
      <w:r w:rsidRPr="00D66A79">
        <w:rPr>
          <w:rFonts w:asciiTheme="minorHAnsi" w:eastAsiaTheme="minorEastAsia" w:hAnsiTheme="minorHAnsi" w:cstheme="minorBidi"/>
        </w:rPr>
        <w:t>.</w:t>
      </w:r>
      <w:r w:rsidRPr="66731E01">
        <w:rPr>
          <w:rFonts w:asciiTheme="minorHAnsi" w:eastAsiaTheme="minorEastAsia" w:hAnsiTheme="minorHAnsi" w:cstheme="minorBidi"/>
        </w:rPr>
        <w:t xml:space="preserve"> Information </w:t>
      </w:r>
      <w:r w:rsidR="00BC507C" w:rsidRPr="66731E01">
        <w:rPr>
          <w:rFonts w:asciiTheme="minorHAnsi" w:eastAsiaTheme="minorEastAsia" w:hAnsiTheme="minorHAnsi" w:cstheme="minorBidi"/>
        </w:rPr>
        <w:t xml:space="preserve">and statistics are from the </w:t>
      </w:r>
      <w:r w:rsidR="00BD10C3" w:rsidRPr="66731E01">
        <w:rPr>
          <w:rFonts w:asciiTheme="minorHAnsi" w:eastAsiaTheme="minorEastAsia" w:hAnsiTheme="minorHAnsi" w:cstheme="minorBidi"/>
        </w:rPr>
        <w:t>RANZCOG 2022 “Obesity in Pregnancy” Guideline</w:t>
      </w:r>
      <w:r w:rsidR="00BC507C" w:rsidRPr="66731E01">
        <w:rPr>
          <w:rFonts w:asciiTheme="minorHAnsi" w:eastAsiaTheme="minorEastAsia" w:hAnsiTheme="minorHAnsi" w:cstheme="minorBidi"/>
          <w:vertAlign w:val="superscript"/>
        </w:rPr>
        <w:t>1</w:t>
      </w:r>
      <w:r w:rsidR="00AA7724" w:rsidRPr="66731E01">
        <w:rPr>
          <w:rFonts w:asciiTheme="minorHAnsi" w:eastAsiaTheme="minorEastAsia" w:hAnsiTheme="minorHAnsi" w:cstheme="minorBidi"/>
        </w:rPr>
        <w:t xml:space="preserve"> and </w:t>
      </w:r>
      <w:r w:rsidRPr="66731E01">
        <w:rPr>
          <w:rFonts w:asciiTheme="minorHAnsi" w:eastAsiaTheme="minorEastAsia" w:hAnsiTheme="minorHAnsi" w:cstheme="minorBidi"/>
        </w:rPr>
        <w:t xml:space="preserve">UpToDate </w:t>
      </w:r>
      <w:r w:rsidR="00AA7724" w:rsidRPr="66731E01">
        <w:rPr>
          <w:rFonts w:asciiTheme="minorHAnsi" w:eastAsiaTheme="minorEastAsia" w:hAnsiTheme="minorHAnsi" w:cstheme="minorBidi"/>
        </w:rPr>
        <w:t>2024</w:t>
      </w:r>
      <w:r w:rsidR="00BC507C" w:rsidRPr="66731E01">
        <w:rPr>
          <w:rFonts w:asciiTheme="minorHAnsi" w:eastAsiaTheme="minorEastAsia" w:hAnsiTheme="minorHAnsi" w:cstheme="minorBidi"/>
        </w:rPr>
        <w:t xml:space="preserve"> </w:t>
      </w:r>
      <w:r w:rsidR="2222BE77" w:rsidRPr="66731E01">
        <w:rPr>
          <w:rFonts w:asciiTheme="minorHAnsi" w:eastAsiaTheme="minorEastAsia" w:hAnsiTheme="minorHAnsi" w:cstheme="minorBidi"/>
        </w:rPr>
        <w:t>G</w:t>
      </w:r>
      <w:r w:rsidR="00BC507C" w:rsidRPr="66731E01">
        <w:rPr>
          <w:rFonts w:asciiTheme="minorHAnsi" w:eastAsiaTheme="minorEastAsia" w:hAnsiTheme="minorHAnsi" w:cstheme="minorBidi"/>
        </w:rPr>
        <w:t>uideline</w:t>
      </w:r>
      <w:r w:rsidR="00AA7724" w:rsidRPr="66731E01">
        <w:rPr>
          <w:rFonts w:asciiTheme="minorHAnsi" w:eastAsiaTheme="minorEastAsia" w:hAnsiTheme="minorHAnsi" w:cstheme="minorBidi"/>
        </w:rPr>
        <w:t xml:space="preserve"> </w:t>
      </w:r>
      <w:r w:rsidRPr="66731E01">
        <w:rPr>
          <w:rFonts w:asciiTheme="minorHAnsi" w:eastAsiaTheme="minorEastAsia" w:hAnsiTheme="minorHAnsi" w:cstheme="minorBidi"/>
        </w:rPr>
        <w:t>"Obesity in pregnancy: Complications and maternal management"</w:t>
      </w:r>
      <w:r w:rsidR="003717C9">
        <w:rPr>
          <w:rFonts w:asciiTheme="minorHAnsi" w:eastAsiaTheme="minorEastAsia" w:hAnsiTheme="minorHAnsi" w:cstheme="minorBidi"/>
        </w:rPr>
        <w:t>.</w:t>
      </w:r>
      <w:r w:rsidRPr="66731E01">
        <w:rPr>
          <w:rFonts w:asciiTheme="minorHAnsi" w:eastAsiaTheme="minorEastAsia" w:hAnsiTheme="minorHAnsi" w:cstheme="minorBidi"/>
          <w:vertAlign w:val="superscript"/>
        </w:rPr>
        <w:t>7</w:t>
      </w:r>
    </w:p>
    <w:p w14:paraId="208D0AAD" w14:textId="77777777" w:rsidR="00546BD1" w:rsidRPr="00546BD1" w:rsidRDefault="00546BD1" w:rsidP="00546BD1">
      <w:pPr>
        <w:pStyle w:val="Tabletitle-numbered"/>
        <w:rPr>
          <w:rFonts w:eastAsiaTheme="minorEastAsia"/>
        </w:rPr>
      </w:pPr>
      <w:r w:rsidRPr="00546BD1">
        <w:rPr>
          <w:rFonts w:eastAsiaTheme="minorEastAsia"/>
        </w:rPr>
        <w:t>Pregnancy Complications Associated with Obesity</w:t>
      </w:r>
    </w:p>
    <w:tbl>
      <w:tblPr>
        <w:tblStyle w:val="ListTable3-Accent1"/>
        <w:tblpPr w:leftFromText="180" w:rightFromText="180" w:vertAnchor="text" w:horzAnchor="margin" w:tblpY="201"/>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14"/>
        <w:gridCol w:w="3414"/>
        <w:gridCol w:w="3232"/>
      </w:tblGrid>
      <w:tr w:rsidR="00546BD1" w:rsidRPr="00130B94" w14:paraId="4705B60E" w14:textId="77777777" w:rsidTr="00D66A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tcPr>
          <w:p w14:paraId="4B8FE78D" w14:textId="77777777" w:rsidR="00546BD1" w:rsidRPr="00130B94" w:rsidRDefault="00546BD1" w:rsidP="317A33D2">
            <w:pPr>
              <w:spacing w:before="0" w:after="0" w:line="240" w:lineRule="auto"/>
              <w:rPr>
                <w:rFonts w:eastAsia="MS Mincho"/>
                <w:lang w:val="en-US" w:eastAsia="en-US"/>
              </w:rPr>
            </w:pPr>
            <w:r w:rsidRPr="00AC5479">
              <w:rPr>
                <w:rFonts w:eastAsia="MS Mincho"/>
                <w:lang w:val="en-US" w:eastAsia="en-US"/>
              </w:rPr>
              <w:t>Complication</w:t>
            </w:r>
          </w:p>
        </w:tc>
        <w:tc>
          <w:tcPr>
            <w:tcW w:w="0" w:type="dxa"/>
          </w:tcPr>
          <w:p w14:paraId="6AB2FB90" w14:textId="77777777" w:rsidR="00546BD1" w:rsidRPr="00130B94" w:rsidRDefault="00546BD1" w:rsidP="317A33D2">
            <w:pPr>
              <w:spacing w:before="0" w:after="0" w:line="240" w:lineRule="auto"/>
              <w:cnfStyle w:val="100000000000" w:firstRow="1" w:lastRow="0" w:firstColumn="0" w:lastColumn="0" w:oddVBand="0" w:evenVBand="0" w:oddHBand="0" w:evenHBand="0" w:firstRowFirstColumn="0" w:firstRowLastColumn="0" w:lastRowFirstColumn="0" w:lastRowLastColumn="0"/>
              <w:rPr>
                <w:rFonts w:eastAsia="MS Mincho"/>
                <w:lang w:val="en-US" w:eastAsia="en-US"/>
              </w:rPr>
            </w:pPr>
            <w:r w:rsidRPr="00AC5479">
              <w:rPr>
                <w:rFonts w:eastAsia="MS Mincho"/>
                <w:lang w:val="en-US" w:eastAsia="en-US"/>
              </w:rPr>
              <w:t>Association with Obesity</w:t>
            </w:r>
          </w:p>
        </w:tc>
        <w:tc>
          <w:tcPr>
            <w:tcW w:w="0" w:type="dxa"/>
          </w:tcPr>
          <w:p w14:paraId="6F69C05E" w14:textId="77777777" w:rsidR="00546BD1" w:rsidRPr="00130B94" w:rsidRDefault="00546BD1" w:rsidP="317A33D2">
            <w:pPr>
              <w:spacing w:before="0" w:line="240" w:lineRule="auto"/>
              <w:cnfStyle w:val="100000000000" w:firstRow="1" w:lastRow="0" w:firstColumn="0" w:lastColumn="0" w:oddVBand="0" w:evenVBand="0" w:oddHBand="0" w:evenHBand="0" w:firstRowFirstColumn="0" w:firstRowLastColumn="0" w:lastRowFirstColumn="0" w:lastRowLastColumn="0"/>
              <w:rPr>
                <w:rFonts w:eastAsia="MS Mincho"/>
                <w:lang w:val="en-US" w:eastAsia="en-US"/>
              </w:rPr>
            </w:pPr>
            <w:r w:rsidRPr="00AC5479">
              <w:rPr>
                <w:rFonts w:eastAsia="MS Mincho"/>
                <w:lang w:val="en-US" w:eastAsia="en-US"/>
              </w:rPr>
              <w:t>Estimated Incidence / Risk</w:t>
            </w:r>
          </w:p>
        </w:tc>
      </w:tr>
      <w:tr w:rsidR="00546BD1" w:rsidRPr="00130B94" w14:paraId="34CBEC37" w14:textId="77777777" w:rsidTr="00D66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4126241B"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Gestational Hypertension</w:t>
            </w:r>
          </w:p>
        </w:tc>
        <w:tc>
          <w:tcPr>
            <w:tcW w:w="0" w:type="dxa"/>
            <w:tcBorders>
              <w:top w:val="none" w:sz="0" w:space="0" w:color="auto"/>
              <w:bottom w:val="none" w:sz="0" w:space="0" w:color="auto"/>
            </w:tcBorders>
          </w:tcPr>
          <w:p w14:paraId="6F4404A9" w14:textId="77777777" w:rsidR="00546BD1" w:rsidRPr="00130B94" w:rsidRDefault="00546BD1"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Increased risk with higher BMI and excessive gestational weight gain</w:t>
            </w:r>
          </w:p>
        </w:tc>
        <w:tc>
          <w:tcPr>
            <w:tcW w:w="0" w:type="dxa"/>
            <w:tcBorders>
              <w:top w:val="none" w:sz="0" w:space="0" w:color="auto"/>
              <w:bottom w:val="none" w:sz="0" w:space="0" w:color="auto"/>
            </w:tcBorders>
          </w:tcPr>
          <w:p w14:paraId="1F73B3F8" w14:textId="77777777" w:rsidR="00546BD1" w:rsidRPr="00130B94" w:rsidRDefault="00546BD1"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Part of the ~25% of complications linked to obesity</w:t>
            </w:r>
          </w:p>
        </w:tc>
      </w:tr>
      <w:tr w:rsidR="00546BD1" w:rsidRPr="00130B94" w14:paraId="73167787" w14:textId="77777777" w:rsidTr="00D66A79">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0E31B986"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Preeclampsia</w:t>
            </w:r>
          </w:p>
        </w:tc>
        <w:tc>
          <w:tcPr>
            <w:tcW w:w="0" w:type="dxa"/>
          </w:tcPr>
          <w:p w14:paraId="24A6FE5B"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Risk increases with severity of obesity</w:t>
            </w:r>
          </w:p>
        </w:tc>
        <w:tc>
          <w:tcPr>
            <w:tcW w:w="0" w:type="dxa"/>
          </w:tcPr>
          <w:p w14:paraId="3578B723"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Elevated risk; part of the 25% obesity-related group</w:t>
            </w:r>
          </w:p>
        </w:tc>
      </w:tr>
      <w:tr w:rsidR="00546BD1" w:rsidRPr="00130B94" w14:paraId="04E643A1" w14:textId="77777777" w:rsidTr="00D66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3FF470A0"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Gestational Diabetes Mellitus</w:t>
            </w:r>
          </w:p>
        </w:tc>
        <w:tc>
          <w:tcPr>
            <w:tcW w:w="0" w:type="dxa"/>
            <w:tcBorders>
              <w:top w:val="none" w:sz="0" w:space="0" w:color="auto"/>
              <w:bottom w:val="none" w:sz="0" w:space="0" w:color="auto"/>
            </w:tcBorders>
          </w:tcPr>
          <w:p w14:paraId="1F918A43" w14:textId="77777777" w:rsidR="00546BD1" w:rsidRPr="00130B94" w:rsidRDefault="00546BD1"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Strongly associated with obesity; risk reduced with exercise</w:t>
            </w:r>
          </w:p>
        </w:tc>
        <w:tc>
          <w:tcPr>
            <w:tcW w:w="0" w:type="dxa"/>
            <w:tcBorders>
              <w:top w:val="none" w:sz="0" w:space="0" w:color="auto"/>
              <w:bottom w:val="none" w:sz="0" w:space="0" w:color="auto"/>
            </w:tcBorders>
          </w:tcPr>
          <w:p w14:paraId="2D71E18A" w14:textId="252F8E59" w:rsidR="00546BD1" w:rsidRPr="00130B94" w:rsidRDefault="003717C9"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Pr>
                <w:rFonts w:eastAsia="MS Mincho"/>
                <w:color w:val="auto"/>
                <w:lang w:val="en-US" w:eastAsia="en-US"/>
              </w:rPr>
              <w:t>Relative Risk (</w:t>
            </w:r>
            <w:r w:rsidR="00546BD1" w:rsidRPr="00130B94">
              <w:rPr>
                <w:rFonts w:eastAsia="MS Mincho"/>
                <w:color w:val="auto"/>
                <w:lang w:val="en-US" w:eastAsia="en-US"/>
              </w:rPr>
              <w:t>RR</w:t>
            </w:r>
            <w:r>
              <w:rPr>
                <w:rFonts w:eastAsia="MS Mincho"/>
                <w:color w:val="auto"/>
                <w:lang w:val="en-US" w:eastAsia="en-US"/>
              </w:rPr>
              <w:t>)</w:t>
            </w:r>
            <w:r w:rsidR="00546BD1" w:rsidRPr="00130B94">
              <w:rPr>
                <w:rFonts w:eastAsia="MS Mincho"/>
                <w:color w:val="auto"/>
                <w:lang w:val="en-US" w:eastAsia="en-US"/>
              </w:rPr>
              <w:t xml:space="preserve"> 0.61 with aerobic exercise in obese women</w:t>
            </w:r>
          </w:p>
        </w:tc>
      </w:tr>
      <w:tr w:rsidR="00546BD1" w:rsidRPr="00130B94" w14:paraId="4263A857" w14:textId="77777777" w:rsidTr="00D66A79">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0BD1876"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Preterm Birth (&lt;37 weeks)</w:t>
            </w:r>
          </w:p>
        </w:tc>
        <w:tc>
          <w:tcPr>
            <w:tcW w:w="0" w:type="dxa"/>
          </w:tcPr>
          <w:p w14:paraId="41601759"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Higher risk in sedentary obese women; reduced with regular aerobic exercise</w:t>
            </w:r>
          </w:p>
        </w:tc>
        <w:tc>
          <w:tcPr>
            <w:tcW w:w="0" w:type="dxa"/>
          </w:tcPr>
          <w:p w14:paraId="1E6C78D1"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RR 0.62 with exercise</w:t>
            </w:r>
          </w:p>
        </w:tc>
      </w:tr>
      <w:tr w:rsidR="006F5C70" w:rsidRPr="00130B94" w14:paraId="5249B8AF" w14:textId="77777777" w:rsidTr="00D66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688079B3"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Large for Gestational Age (LGA)</w:t>
            </w:r>
          </w:p>
        </w:tc>
        <w:tc>
          <w:tcPr>
            <w:tcW w:w="0" w:type="dxa"/>
            <w:tcBorders>
              <w:top w:val="none" w:sz="0" w:space="0" w:color="auto"/>
              <w:bottom w:val="none" w:sz="0" w:space="0" w:color="auto"/>
            </w:tcBorders>
          </w:tcPr>
          <w:p w14:paraId="23C9ADDB" w14:textId="77777777" w:rsidR="00546BD1" w:rsidRPr="00130B94" w:rsidRDefault="00546BD1"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Higher incidence due to maternal hyperglycemia and excess weight gain</w:t>
            </w:r>
          </w:p>
        </w:tc>
        <w:tc>
          <w:tcPr>
            <w:tcW w:w="0" w:type="dxa"/>
            <w:tcBorders>
              <w:top w:val="none" w:sz="0" w:space="0" w:color="auto"/>
              <w:bottom w:val="none" w:sz="0" w:space="0" w:color="auto"/>
            </w:tcBorders>
          </w:tcPr>
          <w:p w14:paraId="0B1F7EA2" w14:textId="77777777" w:rsidR="00546BD1" w:rsidRPr="00130B94" w:rsidRDefault="00546BD1"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Included in the 25% obesity-related complications</w:t>
            </w:r>
          </w:p>
        </w:tc>
      </w:tr>
      <w:tr w:rsidR="00546BD1" w:rsidRPr="00130B94" w14:paraId="6B592F82" w14:textId="77777777" w:rsidTr="00D66A79">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713EF560"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Macrosomia</w:t>
            </w:r>
          </w:p>
        </w:tc>
        <w:tc>
          <w:tcPr>
            <w:tcW w:w="0" w:type="dxa"/>
          </w:tcPr>
          <w:p w14:paraId="175861FB"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Increased risk due to maternal obesity</w:t>
            </w:r>
          </w:p>
        </w:tc>
        <w:tc>
          <w:tcPr>
            <w:tcW w:w="0" w:type="dxa"/>
          </w:tcPr>
          <w:p w14:paraId="34B3A8A2"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RR 0.92 (not statistically significant)</w:t>
            </w:r>
          </w:p>
        </w:tc>
      </w:tr>
      <w:tr w:rsidR="006F5C70" w:rsidRPr="00130B94" w14:paraId="7390B6AB" w14:textId="77777777" w:rsidTr="00D66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tcPr>
          <w:p w14:paraId="57807434"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Stillbirth</w:t>
            </w:r>
          </w:p>
        </w:tc>
        <w:tc>
          <w:tcPr>
            <w:tcW w:w="0" w:type="dxa"/>
            <w:tcBorders>
              <w:top w:val="none" w:sz="0" w:space="0" w:color="auto"/>
              <w:bottom w:val="none" w:sz="0" w:space="0" w:color="auto"/>
            </w:tcBorders>
          </w:tcPr>
          <w:p w14:paraId="75F6D0F8" w14:textId="77777777" w:rsidR="00546BD1" w:rsidRPr="00130B94" w:rsidRDefault="00546BD1"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Possible increased risk, though data are inconclusive</w:t>
            </w:r>
          </w:p>
        </w:tc>
        <w:tc>
          <w:tcPr>
            <w:tcW w:w="0" w:type="dxa"/>
            <w:tcBorders>
              <w:top w:val="none" w:sz="0" w:space="0" w:color="auto"/>
              <w:bottom w:val="none" w:sz="0" w:space="0" w:color="auto"/>
            </w:tcBorders>
          </w:tcPr>
          <w:p w14:paraId="18BBB162" w14:textId="77777777" w:rsidR="00546BD1" w:rsidRPr="00130B94" w:rsidRDefault="00546BD1" w:rsidP="00546BD1">
            <w:pPr>
              <w:spacing w:before="0" w:after="0" w:line="240" w:lineRule="auto"/>
              <w:cnfStyle w:val="000000100000" w:firstRow="0" w:lastRow="0" w:firstColumn="0" w:lastColumn="0" w:oddVBand="0" w:evenVBand="0" w:oddHBand="1"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RR 2.13 (wide CI, not statistically significant)</w:t>
            </w:r>
          </w:p>
        </w:tc>
      </w:tr>
      <w:tr w:rsidR="00546BD1" w:rsidRPr="00130B94" w14:paraId="40A2F747" w14:textId="77777777" w:rsidTr="00D66A79">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tcPr>
          <w:p w14:paraId="11BCB58F" w14:textId="77777777" w:rsidR="00546BD1" w:rsidRPr="00130B94" w:rsidRDefault="00546BD1" w:rsidP="00546BD1">
            <w:pPr>
              <w:spacing w:before="0" w:after="0" w:line="240" w:lineRule="auto"/>
              <w:rPr>
                <w:rFonts w:eastAsia="MS Mincho"/>
                <w:color w:val="auto"/>
                <w:lang w:val="en-US" w:eastAsia="en-US"/>
              </w:rPr>
            </w:pPr>
            <w:r w:rsidRPr="00130B94">
              <w:rPr>
                <w:rFonts w:eastAsia="MS Mincho"/>
                <w:color w:val="auto"/>
                <w:lang w:val="en-US" w:eastAsia="en-US"/>
              </w:rPr>
              <w:t>Childhood Obesity in Offspring</w:t>
            </w:r>
          </w:p>
        </w:tc>
        <w:tc>
          <w:tcPr>
            <w:tcW w:w="0" w:type="dxa"/>
          </w:tcPr>
          <w:p w14:paraId="0F8DF71C"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00130B94">
              <w:rPr>
                <w:rFonts w:eastAsia="MS Mincho"/>
                <w:color w:val="auto"/>
                <w:lang w:val="en-US" w:eastAsia="en-US"/>
              </w:rPr>
              <w:t>Higher long-term risk in children born to mothers with obesity</w:t>
            </w:r>
          </w:p>
        </w:tc>
        <w:tc>
          <w:tcPr>
            <w:tcW w:w="0" w:type="dxa"/>
          </w:tcPr>
          <w:p w14:paraId="544D9D93" w14:textId="77777777" w:rsidR="00546BD1" w:rsidRPr="00130B94" w:rsidRDefault="00546BD1" w:rsidP="00546BD1">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MS Mincho"/>
                <w:color w:val="auto"/>
                <w:lang w:val="en-US" w:eastAsia="en-US"/>
              </w:rPr>
            </w:pPr>
            <w:r w:rsidRPr="317A33D2">
              <w:rPr>
                <w:rFonts w:eastAsia="MS Mincho"/>
                <w:color w:val="auto"/>
                <w:lang w:val="en-US" w:eastAsia="en-US"/>
              </w:rPr>
              <w:t>Not quantified, but significantly elevated</w:t>
            </w:r>
          </w:p>
        </w:tc>
      </w:tr>
    </w:tbl>
    <w:p w14:paraId="02425C1E" w14:textId="3F1E027F" w:rsidR="0070565D" w:rsidRDefault="0070565D">
      <w:pPr>
        <w:spacing w:before="0" w:after="0" w:line="240" w:lineRule="auto"/>
        <w:rPr>
          <w:rFonts w:eastAsiaTheme="minorEastAsia"/>
          <w:b/>
          <w:bCs/>
          <w:iCs/>
          <w:lang w:val="en-US" w:eastAsia="en-US"/>
        </w:rPr>
      </w:pPr>
      <w:r>
        <w:rPr>
          <w:rFonts w:eastAsiaTheme="minorEastAsia"/>
        </w:rPr>
        <w:lastRenderedPageBreak/>
        <w:br w:type="page"/>
      </w:r>
    </w:p>
    <w:p w14:paraId="004171E6" w14:textId="503E54A7" w:rsidR="006F5C70" w:rsidRPr="006F5C70" w:rsidRDefault="006F5C70" w:rsidP="00BC507C">
      <w:pPr>
        <w:pStyle w:val="Tabletitle-numbered"/>
        <w:spacing w:before="0" w:beforeAutospacing="0"/>
        <w:rPr>
          <w:rFonts w:eastAsiaTheme="minorEastAsia"/>
        </w:rPr>
      </w:pPr>
      <w:r w:rsidRPr="006F5C70">
        <w:rPr>
          <w:rFonts w:eastAsiaTheme="minorEastAsia"/>
        </w:rPr>
        <w:lastRenderedPageBreak/>
        <w:t>Intrapartum Complications Associated with Obesity</w:t>
      </w:r>
    </w:p>
    <w:tbl>
      <w:tblPr>
        <w:tblStyle w:val="ListTable3-Accent1"/>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20"/>
        <w:gridCol w:w="3346"/>
        <w:gridCol w:w="3394"/>
      </w:tblGrid>
      <w:tr w:rsidR="006F5C70" w:rsidRPr="006F5C70" w14:paraId="5A75F53B" w14:textId="77777777" w:rsidTr="0079568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hideMark/>
          </w:tcPr>
          <w:p w14:paraId="69BB3003" w14:textId="77777777" w:rsidR="006F5C70" w:rsidRPr="006F5C70" w:rsidRDefault="006F5C70" w:rsidP="317A33D2">
            <w:pPr>
              <w:spacing w:before="0" w:after="0" w:line="257" w:lineRule="auto"/>
              <w:rPr>
                <w:rFonts w:asciiTheme="minorHAnsi" w:eastAsiaTheme="minorEastAsia" w:hAnsiTheme="minorHAnsi" w:cstheme="minorBidi"/>
                <w:lang w:val="en-US"/>
              </w:rPr>
            </w:pPr>
            <w:r w:rsidRPr="00AC5479">
              <w:rPr>
                <w:rFonts w:asciiTheme="minorHAnsi" w:eastAsiaTheme="minorEastAsia" w:hAnsiTheme="minorHAnsi" w:cstheme="minorBidi"/>
                <w:lang w:val="en-US"/>
              </w:rPr>
              <w:t>Complication</w:t>
            </w:r>
          </w:p>
        </w:tc>
        <w:tc>
          <w:tcPr>
            <w:tcW w:w="0" w:type="dxa"/>
            <w:hideMark/>
          </w:tcPr>
          <w:p w14:paraId="4D2DCA6B" w14:textId="77777777" w:rsidR="006F5C70" w:rsidRPr="006F5C70" w:rsidRDefault="006F5C70" w:rsidP="317A33D2">
            <w:pPr>
              <w:spacing w:before="0" w:after="0" w:line="257"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AC5479">
              <w:rPr>
                <w:rFonts w:asciiTheme="minorHAnsi" w:eastAsiaTheme="minorEastAsia" w:hAnsiTheme="minorHAnsi" w:cstheme="minorBidi"/>
                <w:lang w:val="en-US"/>
              </w:rPr>
              <w:t>Association with Obesity</w:t>
            </w:r>
          </w:p>
        </w:tc>
        <w:tc>
          <w:tcPr>
            <w:tcW w:w="0" w:type="dxa"/>
            <w:hideMark/>
          </w:tcPr>
          <w:p w14:paraId="70BB3F3D" w14:textId="77777777" w:rsidR="006F5C70" w:rsidRPr="006F5C70" w:rsidRDefault="006F5C70" w:rsidP="317A33D2">
            <w:pPr>
              <w:spacing w:before="0" w:after="0" w:line="257" w:lineRule="auto"/>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AC5479">
              <w:rPr>
                <w:rFonts w:asciiTheme="minorHAnsi" w:eastAsiaTheme="minorEastAsia" w:hAnsiTheme="minorHAnsi" w:cstheme="minorBidi"/>
                <w:lang w:val="en-US"/>
              </w:rPr>
              <w:t>Estimated Incidence / Risk</w:t>
            </w:r>
          </w:p>
        </w:tc>
      </w:tr>
      <w:tr w:rsidR="006F5C70" w:rsidRPr="006F5C70" w14:paraId="09077588" w14:textId="77777777" w:rsidTr="0079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7A4DABD3" w14:textId="77777777" w:rsidR="006F5C70" w:rsidRPr="006F5C70" w:rsidRDefault="006F5C70" w:rsidP="006F5C70">
            <w:pPr>
              <w:spacing w:before="0" w:after="0" w:line="257" w:lineRule="auto"/>
              <w:rPr>
                <w:rFonts w:asciiTheme="minorHAnsi" w:eastAsiaTheme="minorEastAsia" w:hAnsiTheme="minorHAnsi" w:cstheme="minorBidi"/>
                <w:lang w:val="en-US"/>
              </w:rPr>
            </w:pPr>
            <w:r w:rsidRPr="006F5C70">
              <w:rPr>
                <w:rFonts w:asciiTheme="minorHAnsi" w:eastAsiaTheme="minorEastAsia" w:hAnsiTheme="minorHAnsi" w:cstheme="minorBidi"/>
                <w:lang w:val="en-US"/>
              </w:rPr>
              <w:t>Labor Dystocia</w:t>
            </w:r>
          </w:p>
        </w:tc>
        <w:tc>
          <w:tcPr>
            <w:tcW w:w="0" w:type="dxa"/>
            <w:tcBorders>
              <w:top w:val="none" w:sz="0" w:space="0" w:color="auto"/>
              <w:bottom w:val="none" w:sz="0" w:space="0" w:color="auto"/>
            </w:tcBorders>
            <w:hideMark/>
          </w:tcPr>
          <w:p w14:paraId="10C5C43A" w14:textId="77777777"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Increased adiposity may impair uterine contractility and fetal descent</w:t>
            </w:r>
          </w:p>
        </w:tc>
        <w:tc>
          <w:tcPr>
            <w:tcW w:w="0" w:type="dxa"/>
            <w:tcBorders>
              <w:top w:val="none" w:sz="0" w:space="0" w:color="auto"/>
              <w:bottom w:val="none" w:sz="0" w:space="0" w:color="auto"/>
            </w:tcBorders>
            <w:hideMark/>
          </w:tcPr>
          <w:p w14:paraId="0E05A13E" w14:textId="79C2847C"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 xml:space="preserve">Elevated risk, especially in </w:t>
            </w:r>
            <w:r w:rsidR="001C6720">
              <w:rPr>
                <w:rFonts w:asciiTheme="minorHAnsi" w:eastAsiaTheme="minorEastAsia" w:hAnsiTheme="minorHAnsi" w:cstheme="minorBidi"/>
                <w:lang w:val="en-US"/>
              </w:rPr>
              <w:t>C</w:t>
            </w:r>
            <w:r w:rsidRPr="006F5C70">
              <w:rPr>
                <w:rFonts w:asciiTheme="minorHAnsi" w:eastAsiaTheme="minorEastAsia" w:hAnsiTheme="minorHAnsi" w:cstheme="minorBidi"/>
                <w:lang w:val="en-US"/>
              </w:rPr>
              <w:t>lass III obesity</w:t>
            </w:r>
          </w:p>
        </w:tc>
      </w:tr>
      <w:tr w:rsidR="006F5C70" w:rsidRPr="006F5C70" w14:paraId="7E0F4FC2" w14:textId="77777777" w:rsidTr="00795685">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7E34AA1C" w14:textId="0A5F3082" w:rsidR="006F5C70" w:rsidRPr="006F5C70" w:rsidRDefault="006F5C70" w:rsidP="006F5C70">
            <w:pPr>
              <w:spacing w:before="0" w:after="0" w:line="257" w:lineRule="auto"/>
              <w:rPr>
                <w:rFonts w:asciiTheme="minorHAnsi" w:eastAsiaTheme="minorEastAsia" w:hAnsiTheme="minorHAnsi" w:cstheme="minorBidi"/>
                <w:lang w:val="en-US"/>
              </w:rPr>
            </w:pPr>
            <w:r w:rsidRPr="006F5C70">
              <w:rPr>
                <w:rFonts w:asciiTheme="minorHAnsi" w:eastAsiaTheme="minorEastAsia" w:hAnsiTheme="minorHAnsi" w:cstheme="minorBidi"/>
                <w:lang w:val="en-US"/>
              </w:rPr>
              <w:t xml:space="preserve">Prolonged </w:t>
            </w:r>
            <w:proofErr w:type="spellStart"/>
            <w:r w:rsidRPr="006F5C70">
              <w:rPr>
                <w:rFonts w:asciiTheme="minorHAnsi" w:eastAsiaTheme="minorEastAsia" w:hAnsiTheme="minorHAnsi" w:cstheme="minorBidi"/>
                <w:lang w:val="en-US"/>
              </w:rPr>
              <w:t>Labo</w:t>
            </w:r>
            <w:r>
              <w:rPr>
                <w:rFonts w:asciiTheme="minorHAnsi" w:eastAsiaTheme="minorEastAsia" w:hAnsiTheme="minorHAnsi" w:cstheme="minorBidi"/>
                <w:lang w:val="en-US"/>
              </w:rPr>
              <w:t>u</w:t>
            </w:r>
            <w:r w:rsidRPr="006F5C70">
              <w:rPr>
                <w:rFonts w:asciiTheme="minorHAnsi" w:eastAsiaTheme="minorEastAsia" w:hAnsiTheme="minorHAnsi" w:cstheme="minorBidi"/>
                <w:lang w:val="en-US"/>
              </w:rPr>
              <w:t>r</w:t>
            </w:r>
            <w:proofErr w:type="spellEnd"/>
          </w:p>
        </w:tc>
        <w:tc>
          <w:tcPr>
            <w:tcW w:w="0" w:type="dxa"/>
            <w:hideMark/>
          </w:tcPr>
          <w:p w14:paraId="456EEDDB" w14:textId="77777777" w:rsidR="006F5C70" w:rsidRPr="006F5C70" w:rsidRDefault="006F5C70" w:rsidP="006F5C70">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More common in obese women due to altered myometrial function and fetal macrosomia</w:t>
            </w:r>
          </w:p>
        </w:tc>
        <w:tc>
          <w:tcPr>
            <w:tcW w:w="0" w:type="dxa"/>
            <w:hideMark/>
          </w:tcPr>
          <w:p w14:paraId="4BA7C3CC" w14:textId="77777777" w:rsidR="006F5C70" w:rsidRPr="006F5C70" w:rsidRDefault="006F5C70" w:rsidP="006F5C70">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Increased duration of first and second stages</w:t>
            </w:r>
          </w:p>
        </w:tc>
      </w:tr>
      <w:tr w:rsidR="006F5C70" w:rsidRPr="006F5C70" w14:paraId="2A500213" w14:textId="77777777" w:rsidTr="0079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2C73BFD6" w14:textId="6EE60BCA" w:rsidR="006F5C70" w:rsidRPr="006F5C70" w:rsidRDefault="006F5C70" w:rsidP="006F5C70">
            <w:pPr>
              <w:spacing w:before="0" w:after="0" w:line="257" w:lineRule="auto"/>
              <w:rPr>
                <w:rFonts w:asciiTheme="minorHAnsi" w:eastAsiaTheme="minorEastAsia" w:hAnsiTheme="minorHAnsi" w:cstheme="minorBidi"/>
                <w:lang w:val="en-US"/>
              </w:rPr>
            </w:pPr>
            <w:r>
              <w:rPr>
                <w:rFonts w:asciiTheme="minorHAnsi" w:eastAsiaTheme="minorEastAsia" w:hAnsiTheme="minorHAnsi" w:cstheme="minorBidi"/>
                <w:lang w:val="en-US"/>
              </w:rPr>
              <w:t>Unsuccessful</w:t>
            </w:r>
            <w:r w:rsidRPr="006F5C70">
              <w:rPr>
                <w:rFonts w:asciiTheme="minorHAnsi" w:eastAsiaTheme="minorEastAsia" w:hAnsiTheme="minorHAnsi" w:cstheme="minorBidi"/>
                <w:lang w:val="en-US"/>
              </w:rPr>
              <w:t xml:space="preserve"> Induction of </w:t>
            </w:r>
            <w:proofErr w:type="spellStart"/>
            <w:r w:rsidRPr="006F5C70">
              <w:rPr>
                <w:rFonts w:asciiTheme="minorHAnsi" w:eastAsiaTheme="minorEastAsia" w:hAnsiTheme="minorHAnsi" w:cstheme="minorBidi"/>
                <w:lang w:val="en-US"/>
              </w:rPr>
              <w:t>Labo</w:t>
            </w:r>
            <w:r>
              <w:rPr>
                <w:rFonts w:asciiTheme="minorHAnsi" w:eastAsiaTheme="minorEastAsia" w:hAnsiTheme="minorHAnsi" w:cstheme="minorBidi"/>
                <w:lang w:val="en-US"/>
              </w:rPr>
              <w:t>u</w:t>
            </w:r>
            <w:r w:rsidRPr="006F5C70">
              <w:rPr>
                <w:rFonts w:asciiTheme="minorHAnsi" w:eastAsiaTheme="minorEastAsia" w:hAnsiTheme="minorHAnsi" w:cstheme="minorBidi"/>
                <w:lang w:val="en-US"/>
              </w:rPr>
              <w:t>r</w:t>
            </w:r>
            <w:proofErr w:type="spellEnd"/>
          </w:p>
        </w:tc>
        <w:tc>
          <w:tcPr>
            <w:tcW w:w="0" w:type="dxa"/>
            <w:tcBorders>
              <w:top w:val="none" w:sz="0" w:space="0" w:color="auto"/>
              <w:bottom w:val="none" w:sz="0" w:space="0" w:color="auto"/>
            </w:tcBorders>
            <w:hideMark/>
          </w:tcPr>
          <w:p w14:paraId="6F93400B" w14:textId="77777777"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Higher rates due to reduced uterine responsiveness and comorbidities</w:t>
            </w:r>
          </w:p>
        </w:tc>
        <w:tc>
          <w:tcPr>
            <w:tcW w:w="0" w:type="dxa"/>
            <w:tcBorders>
              <w:top w:val="none" w:sz="0" w:space="0" w:color="auto"/>
              <w:bottom w:val="none" w:sz="0" w:space="0" w:color="auto"/>
            </w:tcBorders>
            <w:hideMark/>
          </w:tcPr>
          <w:p w14:paraId="7F0CD4E3" w14:textId="77777777"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Significantly increased failure rates</w:t>
            </w:r>
          </w:p>
        </w:tc>
      </w:tr>
      <w:tr w:rsidR="006F5C70" w:rsidRPr="006F5C70" w14:paraId="0E0A770A" w14:textId="77777777" w:rsidTr="00795685">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5A6C653F" w14:textId="3CA241D1" w:rsidR="006F5C70" w:rsidRPr="006F5C70" w:rsidRDefault="006F5C70" w:rsidP="66731E01">
            <w:pPr>
              <w:spacing w:before="0" w:after="0" w:line="257" w:lineRule="auto"/>
              <w:rPr>
                <w:rFonts w:asciiTheme="minorHAnsi" w:eastAsiaTheme="minorEastAsia" w:hAnsiTheme="minorHAnsi" w:cstheme="minorBidi"/>
                <w:lang w:val="en-US"/>
              </w:rPr>
            </w:pPr>
            <w:r w:rsidRPr="66731E01">
              <w:rPr>
                <w:rFonts w:asciiTheme="minorHAnsi" w:eastAsiaTheme="minorEastAsia" w:hAnsiTheme="minorHAnsi" w:cstheme="minorBidi"/>
                <w:lang w:val="en-US"/>
              </w:rPr>
              <w:t>C</w:t>
            </w:r>
            <w:r w:rsidR="55B98172" w:rsidRPr="66731E01">
              <w:rPr>
                <w:rFonts w:asciiTheme="minorHAnsi" w:eastAsiaTheme="minorEastAsia" w:hAnsiTheme="minorHAnsi" w:cstheme="minorBidi"/>
                <w:lang w:val="en-US"/>
              </w:rPr>
              <w:t>a</w:t>
            </w:r>
            <w:r w:rsidRPr="66731E01">
              <w:rPr>
                <w:rFonts w:asciiTheme="minorHAnsi" w:eastAsiaTheme="minorEastAsia" w:hAnsiTheme="minorHAnsi" w:cstheme="minorBidi"/>
                <w:lang w:val="en-US"/>
              </w:rPr>
              <w:t>esarean Delivery</w:t>
            </w:r>
          </w:p>
        </w:tc>
        <w:tc>
          <w:tcPr>
            <w:tcW w:w="0" w:type="dxa"/>
            <w:hideMark/>
          </w:tcPr>
          <w:p w14:paraId="0B7513A2" w14:textId="77777777" w:rsidR="006F5C70" w:rsidRPr="006F5C70" w:rsidRDefault="006F5C70" w:rsidP="006F5C70">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Strongly associated with obesity; risk increases with BMI</w:t>
            </w:r>
          </w:p>
        </w:tc>
        <w:tc>
          <w:tcPr>
            <w:tcW w:w="0" w:type="dxa"/>
            <w:hideMark/>
          </w:tcPr>
          <w:p w14:paraId="257ED6FD" w14:textId="77777777" w:rsidR="006F5C70" w:rsidRPr="006F5C70" w:rsidRDefault="006F5C70" w:rsidP="006F5C70">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RR 1.5–2.0 depending on obesity class</w:t>
            </w:r>
          </w:p>
        </w:tc>
      </w:tr>
      <w:tr w:rsidR="006F5C70" w:rsidRPr="006F5C70" w14:paraId="35442EAF" w14:textId="77777777" w:rsidTr="0079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428566EA" w14:textId="77777777" w:rsidR="006F5C70" w:rsidRPr="006F5C70" w:rsidRDefault="006F5C70" w:rsidP="006F5C70">
            <w:pPr>
              <w:spacing w:before="0" w:after="0" w:line="257" w:lineRule="auto"/>
              <w:rPr>
                <w:rFonts w:asciiTheme="minorHAnsi" w:eastAsiaTheme="minorEastAsia" w:hAnsiTheme="minorHAnsi" w:cstheme="minorBidi"/>
                <w:lang w:val="en-US"/>
              </w:rPr>
            </w:pPr>
            <w:r w:rsidRPr="006F5C70">
              <w:rPr>
                <w:rFonts w:asciiTheme="minorHAnsi" w:eastAsiaTheme="minorEastAsia" w:hAnsiTheme="minorHAnsi" w:cstheme="minorBidi"/>
                <w:lang w:val="en-US"/>
              </w:rPr>
              <w:t>Anesthesia Complications</w:t>
            </w:r>
          </w:p>
        </w:tc>
        <w:tc>
          <w:tcPr>
            <w:tcW w:w="0" w:type="dxa"/>
            <w:tcBorders>
              <w:top w:val="none" w:sz="0" w:space="0" w:color="auto"/>
              <w:bottom w:val="none" w:sz="0" w:space="0" w:color="auto"/>
            </w:tcBorders>
            <w:hideMark/>
          </w:tcPr>
          <w:p w14:paraId="12CA0643" w14:textId="05BB0F70"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Pr>
                <w:rFonts w:asciiTheme="minorHAnsi" w:eastAsiaTheme="minorEastAsia" w:hAnsiTheme="minorHAnsi" w:cstheme="minorBidi"/>
                <w:lang w:val="en-US"/>
              </w:rPr>
              <w:t>I</w:t>
            </w:r>
            <w:r w:rsidRPr="006F5C70">
              <w:rPr>
                <w:rFonts w:asciiTheme="minorHAnsi" w:eastAsiaTheme="minorEastAsia" w:hAnsiTheme="minorHAnsi" w:cstheme="minorBidi"/>
                <w:lang w:val="en-US"/>
              </w:rPr>
              <w:t xml:space="preserve">ncreased risk of </w:t>
            </w:r>
            <w:r>
              <w:rPr>
                <w:rFonts w:asciiTheme="minorHAnsi" w:eastAsiaTheme="minorEastAsia" w:hAnsiTheme="minorHAnsi" w:cstheme="minorBidi"/>
                <w:lang w:val="en-US"/>
              </w:rPr>
              <w:t xml:space="preserve">unsuccessful </w:t>
            </w:r>
            <w:r w:rsidRPr="006F5C70">
              <w:rPr>
                <w:rFonts w:asciiTheme="minorHAnsi" w:eastAsiaTheme="minorEastAsia" w:hAnsiTheme="minorHAnsi" w:cstheme="minorBidi"/>
                <w:lang w:val="en-US"/>
              </w:rPr>
              <w:t>or incomplete block</w:t>
            </w:r>
          </w:p>
        </w:tc>
        <w:tc>
          <w:tcPr>
            <w:tcW w:w="0" w:type="dxa"/>
            <w:tcBorders>
              <w:top w:val="none" w:sz="0" w:space="0" w:color="auto"/>
              <w:bottom w:val="none" w:sz="0" w:space="0" w:color="auto"/>
            </w:tcBorders>
            <w:hideMark/>
          </w:tcPr>
          <w:p w14:paraId="6B5EF75A" w14:textId="77777777"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Higher incidence of complications</w:t>
            </w:r>
          </w:p>
        </w:tc>
      </w:tr>
      <w:tr w:rsidR="006F5C70" w:rsidRPr="006F5C70" w14:paraId="5FFC0115" w14:textId="77777777" w:rsidTr="00795685">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13BFB423" w14:textId="77777777" w:rsidR="006F5C70" w:rsidRPr="006F5C70" w:rsidRDefault="006F5C70" w:rsidP="006F5C70">
            <w:pPr>
              <w:spacing w:before="0" w:after="0" w:line="257" w:lineRule="auto"/>
              <w:rPr>
                <w:rFonts w:asciiTheme="minorHAnsi" w:eastAsiaTheme="minorEastAsia" w:hAnsiTheme="minorHAnsi" w:cstheme="minorBidi"/>
                <w:lang w:val="en-US"/>
              </w:rPr>
            </w:pPr>
            <w:r w:rsidRPr="006F5C70">
              <w:rPr>
                <w:rFonts w:asciiTheme="minorHAnsi" w:eastAsiaTheme="minorEastAsia" w:hAnsiTheme="minorHAnsi" w:cstheme="minorBidi"/>
                <w:lang w:val="en-US"/>
              </w:rPr>
              <w:t>Shoulder Dystocia</w:t>
            </w:r>
          </w:p>
        </w:tc>
        <w:tc>
          <w:tcPr>
            <w:tcW w:w="0" w:type="dxa"/>
            <w:hideMark/>
          </w:tcPr>
          <w:p w14:paraId="3C6E5DE9" w14:textId="77777777" w:rsidR="006F5C70" w:rsidRPr="006F5C70" w:rsidRDefault="006F5C70" w:rsidP="006F5C70">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Increased risk due to fetal macrosomia</w:t>
            </w:r>
          </w:p>
        </w:tc>
        <w:tc>
          <w:tcPr>
            <w:tcW w:w="0" w:type="dxa"/>
            <w:hideMark/>
          </w:tcPr>
          <w:p w14:paraId="71157A26" w14:textId="77777777" w:rsidR="006F5C70" w:rsidRPr="006F5C70" w:rsidRDefault="006F5C70" w:rsidP="006F5C70">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Elevated risk; not precisely quantified</w:t>
            </w:r>
          </w:p>
        </w:tc>
      </w:tr>
      <w:tr w:rsidR="006F5C70" w:rsidRPr="006F5C70" w14:paraId="116F9305" w14:textId="77777777" w:rsidTr="0079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61C27771" w14:textId="2B64E47C" w:rsidR="006F5C70" w:rsidRPr="006F5C70" w:rsidRDefault="006F5C70" w:rsidP="006F5C70">
            <w:pPr>
              <w:spacing w:before="0" w:after="0" w:line="257" w:lineRule="auto"/>
              <w:rPr>
                <w:rFonts w:asciiTheme="minorHAnsi" w:eastAsiaTheme="minorEastAsia" w:hAnsiTheme="minorHAnsi" w:cstheme="minorBidi"/>
                <w:lang w:val="en-US"/>
              </w:rPr>
            </w:pPr>
            <w:r>
              <w:rPr>
                <w:rFonts w:asciiTheme="minorHAnsi" w:eastAsiaTheme="minorEastAsia" w:hAnsiTheme="minorHAnsi" w:cstheme="minorBidi"/>
                <w:lang w:val="en-US"/>
              </w:rPr>
              <w:t xml:space="preserve">Assisted </w:t>
            </w:r>
            <w:r w:rsidRPr="006F5C70">
              <w:rPr>
                <w:rFonts w:asciiTheme="minorHAnsi" w:eastAsiaTheme="minorEastAsia" w:hAnsiTheme="minorHAnsi" w:cstheme="minorBidi"/>
                <w:lang w:val="en-US"/>
              </w:rPr>
              <w:t xml:space="preserve">Vaginal </w:t>
            </w:r>
            <w:r>
              <w:rPr>
                <w:rFonts w:asciiTheme="minorHAnsi" w:eastAsiaTheme="minorEastAsia" w:hAnsiTheme="minorHAnsi" w:cstheme="minorBidi"/>
                <w:lang w:val="en-US"/>
              </w:rPr>
              <w:t>Birth</w:t>
            </w:r>
          </w:p>
        </w:tc>
        <w:tc>
          <w:tcPr>
            <w:tcW w:w="0" w:type="dxa"/>
            <w:tcBorders>
              <w:top w:val="none" w:sz="0" w:space="0" w:color="auto"/>
              <w:bottom w:val="none" w:sz="0" w:space="0" w:color="auto"/>
            </w:tcBorders>
            <w:hideMark/>
          </w:tcPr>
          <w:p w14:paraId="7C6D0AB4" w14:textId="4D6A2ED9"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 xml:space="preserve">May be more frequent due to </w:t>
            </w:r>
            <w:proofErr w:type="spellStart"/>
            <w:r w:rsidRPr="006F5C70">
              <w:rPr>
                <w:rFonts w:asciiTheme="minorHAnsi" w:eastAsiaTheme="minorEastAsia" w:hAnsiTheme="minorHAnsi" w:cstheme="minorBidi"/>
                <w:lang w:val="en-US"/>
              </w:rPr>
              <w:t>labo</w:t>
            </w:r>
            <w:r>
              <w:rPr>
                <w:rFonts w:asciiTheme="minorHAnsi" w:eastAsiaTheme="minorEastAsia" w:hAnsiTheme="minorHAnsi" w:cstheme="minorBidi"/>
                <w:lang w:val="en-US"/>
              </w:rPr>
              <w:t>u</w:t>
            </w:r>
            <w:r w:rsidRPr="006F5C70">
              <w:rPr>
                <w:rFonts w:asciiTheme="minorHAnsi" w:eastAsiaTheme="minorEastAsia" w:hAnsiTheme="minorHAnsi" w:cstheme="minorBidi"/>
                <w:lang w:val="en-US"/>
              </w:rPr>
              <w:t>r</w:t>
            </w:r>
            <w:proofErr w:type="spellEnd"/>
            <w:r w:rsidRPr="006F5C70">
              <w:rPr>
                <w:rFonts w:asciiTheme="minorHAnsi" w:eastAsiaTheme="minorEastAsia" w:hAnsiTheme="minorHAnsi" w:cstheme="minorBidi"/>
                <w:lang w:val="en-US"/>
              </w:rPr>
              <w:t xml:space="preserve"> arrest or fetal distress</w:t>
            </w:r>
          </w:p>
        </w:tc>
        <w:tc>
          <w:tcPr>
            <w:tcW w:w="0" w:type="dxa"/>
            <w:tcBorders>
              <w:top w:val="none" w:sz="0" w:space="0" w:color="auto"/>
              <w:bottom w:val="none" w:sz="0" w:space="0" w:color="auto"/>
            </w:tcBorders>
            <w:hideMark/>
          </w:tcPr>
          <w:p w14:paraId="7E40A7BA" w14:textId="77777777" w:rsidR="006F5C70" w:rsidRPr="006F5C70" w:rsidRDefault="006F5C70" w:rsidP="006F5C70">
            <w:pPr>
              <w:spacing w:before="0" w:after="0" w:line="257"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Increased use of forceps/vacuum</w:t>
            </w:r>
          </w:p>
        </w:tc>
      </w:tr>
      <w:tr w:rsidR="006F5C70" w:rsidRPr="006F5C70" w14:paraId="65632D86" w14:textId="77777777" w:rsidTr="00795685">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0067D174" w14:textId="77777777" w:rsidR="006F5C70" w:rsidRPr="006F5C70" w:rsidRDefault="006F5C70" w:rsidP="006F5C70">
            <w:pPr>
              <w:spacing w:before="0" w:after="0" w:line="257" w:lineRule="auto"/>
              <w:rPr>
                <w:rFonts w:asciiTheme="minorHAnsi" w:eastAsiaTheme="minorEastAsia" w:hAnsiTheme="minorHAnsi" w:cstheme="minorBidi"/>
                <w:lang w:val="en-US"/>
              </w:rPr>
            </w:pPr>
            <w:r w:rsidRPr="006F5C70">
              <w:rPr>
                <w:rFonts w:asciiTheme="minorHAnsi" w:eastAsiaTheme="minorEastAsia" w:hAnsiTheme="minorHAnsi" w:cstheme="minorBidi"/>
                <w:lang w:val="en-US"/>
              </w:rPr>
              <w:t>Intrapartum Fetal Compromise</w:t>
            </w:r>
          </w:p>
        </w:tc>
        <w:tc>
          <w:tcPr>
            <w:tcW w:w="0" w:type="dxa"/>
            <w:hideMark/>
          </w:tcPr>
          <w:p w14:paraId="29DB102E" w14:textId="77777777" w:rsidR="006F5C70" w:rsidRPr="006F5C70" w:rsidRDefault="006F5C70" w:rsidP="006F5C70">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006F5C70">
              <w:rPr>
                <w:rFonts w:asciiTheme="minorHAnsi" w:eastAsiaTheme="minorEastAsia" w:hAnsiTheme="minorHAnsi" w:cstheme="minorBidi"/>
                <w:lang w:val="en-US"/>
              </w:rPr>
              <w:t>Higher risk due to placental dysfunction and metabolic stress</w:t>
            </w:r>
          </w:p>
        </w:tc>
        <w:tc>
          <w:tcPr>
            <w:tcW w:w="0" w:type="dxa"/>
            <w:hideMark/>
          </w:tcPr>
          <w:p w14:paraId="540881AA" w14:textId="77777777" w:rsidR="006F5C70" w:rsidRPr="006F5C70" w:rsidRDefault="006F5C70" w:rsidP="317A33D2">
            <w:pPr>
              <w:spacing w:before="0" w:after="0" w:line="257"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lang w:val="en-US"/>
              </w:rPr>
            </w:pPr>
            <w:r w:rsidRPr="317A33D2">
              <w:rPr>
                <w:rFonts w:asciiTheme="minorHAnsi" w:eastAsiaTheme="minorEastAsia" w:hAnsiTheme="minorHAnsi" w:cstheme="minorBidi"/>
                <w:lang w:val="en-US"/>
              </w:rPr>
              <w:t>Increased rates of abnormal fetal heart rate patterns</w:t>
            </w:r>
          </w:p>
        </w:tc>
      </w:tr>
    </w:tbl>
    <w:p w14:paraId="11CCBA27" w14:textId="58495261" w:rsidR="00546BD1" w:rsidRPr="00F75F33" w:rsidRDefault="006F5C70" w:rsidP="003A009A">
      <w:pPr>
        <w:pStyle w:val="Tabletitle-numbered"/>
        <w:spacing w:before="0" w:after="0" w:line="257" w:lineRule="auto"/>
        <w:rPr>
          <w:rFonts w:asciiTheme="minorHAnsi" w:eastAsiaTheme="minorEastAsia" w:hAnsiTheme="minorHAnsi" w:cstheme="minorBidi"/>
          <w:vertAlign w:val="superscript"/>
        </w:rPr>
      </w:pPr>
      <w:r w:rsidRPr="00546BD1">
        <w:t>Postpartum Complications Associated with Obesity</w:t>
      </w:r>
    </w:p>
    <w:tbl>
      <w:tblPr>
        <w:tblStyle w:val="ListTable3-Accent1"/>
        <w:tblpPr w:leftFromText="180" w:rightFromText="180" w:vertAnchor="text" w:horzAnchor="margin" w:tblpY="176"/>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883"/>
        <w:gridCol w:w="3317"/>
        <w:gridCol w:w="2860"/>
      </w:tblGrid>
      <w:tr w:rsidR="006F5C70" w:rsidRPr="00546BD1" w14:paraId="51B20DEA" w14:textId="77777777" w:rsidTr="0070565D">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hideMark/>
          </w:tcPr>
          <w:p w14:paraId="66610B6A" w14:textId="77777777" w:rsidR="006F5C70" w:rsidRPr="00546BD1" w:rsidRDefault="006F5C70" w:rsidP="317A33D2">
            <w:pPr>
              <w:spacing w:before="0" w:after="160" w:line="257" w:lineRule="auto"/>
              <w:rPr>
                <w:lang w:val="en-US"/>
              </w:rPr>
            </w:pPr>
            <w:r w:rsidRPr="00AC5479">
              <w:rPr>
                <w:lang w:val="en-US"/>
              </w:rPr>
              <w:t>Complication</w:t>
            </w:r>
          </w:p>
        </w:tc>
        <w:tc>
          <w:tcPr>
            <w:tcW w:w="0" w:type="dxa"/>
            <w:hideMark/>
          </w:tcPr>
          <w:p w14:paraId="33FFC6E3" w14:textId="77777777" w:rsidR="006F5C70" w:rsidRPr="00546BD1" w:rsidRDefault="006F5C70" w:rsidP="317A33D2">
            <w:pPr>
              <w:spacing w:before="0" w:after="160" w:line="257" w:lineRule="auto"/>
              <w:cnfStyle w:val="100000000000" w:firstRow="1" w:lastRow="0" w:firstColumn="0" w:lastColumn="0" w:oddVBand="0" w:evenVBand="0" w:oddHBand="0" w:evenHBand="0" w:firstRowFirstColumn="0" w:firstRowLastColumn="0" w:lastRowFirstColumn="0" w:lastRowLastColumn="0"/>
              <w:rPr>
                <w:lang w:val="en-US"/>
              </w:rPr>
            </w:pPr>
            <w:r w:rsidRPr="00AC5479">
              <w:rPr>
                <w:lang w:val="en-US"/>
              </w:rPr>
              <w:t>Association with Obesity</w:t>
            </w:r>
          </w:p>
        </w:tc>
        <w:tc>
          <w:tcPr>
            <w:tcW w:w="0" w:type="dxa"/>
            <w:hideMark/>
          </w:tcPr>
          <w:p w14:paraId="767DC316" w14:textId="77777777" w:rsidR="006F5C70" w:rsidRPr="00546BD1" w:rsidRDefault="006F5C70" w:rsidP="317A33D2">
            <w:pPr>
              <w:spacing w:before="0" w:after="160" w:line="257" w:lineRule="auto"/>
              <w:cnfStyle w:val="100000000000" w:firstRow="1" w:lastRow="0" w:firstColumn="0" w:lastColumn="0" w:oddVBand="0" w:evenVBand="0" w:oddHBand="0" w:evenHBand="0" w:firstRowFirstColumn="0" w:firstRowLastColumn="0" w:lastRowFirstColumn="0" w:lastRowLastColumn="0"/>
              <w:rPr>
                <w:lang w:val="en-US"/>
              </w:rPr>
            </w:pPr>
            <w:r w:rsidRPr="00AC5479">
              <w:rPr>
                <w:lang w:val="en-US"/>
              </w:rPr>
              <w:t>Estimated Incidence / Risk</w:t>
            </w:r>
          </w:p>
        </w:tc>
      </w:tr>
      <w:tr w:rsidR="006F5C70" w:rsidRPr="00546BD1" w14:paraId="57098BED" w14:textId="77777777" w:rsidTr="0079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36CCABA4" w14:textId="77777777" w:rsidR="006F5C70" w:rsidRPr="00546BD1" w:rsidRDefault="006F5C70" w:rsidP="006F5C70">
            <w:pPr>
              <w:spacing w:before="0" w:after="160" w:line="257" w:lineRule="auto"/>
              <w:rPr>
                <w:lang w:val="en-US"/>
              </w:rPr>
            </w:pPr>
            <w:r w:rsidRPr="00546BD1">
              <w:rPr>
                <w:lang w:val="en-US"/>
              </w:rPr>
              <w:t>Venous Thromboembolism (VTE)</w:t>
            </w:r>
          </w:p>
        </w:tc>
        <w:tc>
          <w:tcPr>
            <w:tcW w:w="0" w:type="dxa"/>
            <w:tcBorders>
              <w:top w:val="none" w:sz="0" w:space="0" w:color="auto"/>
              <w:bottom w:val="none" w:sz="0" w:space="0" w:color="auto"/>
            </w:tcBorders>
            <w:hideMark/>
          </w:tcPr>
          <w:p w14:paraId="64E1800D" w14:textId="77777777" w:rsidR="006F5C70" w:rsidRPr="00546BD1" w:rsidRDefault="006F5C70" w:rsidP="006F5C70">
            <w:pPr>
              <w:spacing w:before="0" w:after="160" w:line="257" w:lineRule="auto"/>
              <w:cnfStyle w:val="000000100000" w:firstRow="0" w:lastRow="0" w:firstColumn="0" w:lastColumn="0" w:oddVBand="0" w:evenVBand="0" w:oddHBand="1" w:evenHBand="0" w:firstRowFirstColumn="0" w:firstRowLastColumn="0" w:lastRowFirstColumn="0" w:lastRowLastColumn="0"/>
              <w:rPr>
                <w:lang w:val="en-US"/>
              </w:rPr>
            </w:pPr>
            <w:r w:rsidRPr="00546BD1">
              <w:rPr>
                <w:lang w:val="en-US"/>
              </w:rPr>
              <w:t>Strongly associated with higher BMI, especially class III obesity</w:t>
            </w:r>
          </w:p>
        </w:tc>
        <w:tc>
          <w:tcPr>
            <w:tcW w:w="0" w:type="dxa"/>
            <w:tcBorders>
              <w:top w:val="none" w:sz="0" w:space="0" w:color="auto"/>
              <w:bottom w:val="none" w:sz="0" w:space="0" w:color="auto"/>
            </w:tcBorders>
            <w:hideMark/>
          </w:tcPr>
          <w:p w14:paraId="39FA6BE2" w14:textId="77777777" w:rsidR="006F5C70" w:rsidRPr="00546BD1" w:rsidRDefault="006F5C70" w:rsidP="006F5C70">
            <w:pPr>
              <w:spacing w:before="0" w:after="160" w:line="257" w:lineRule="auto"/>
              <w:cnfStyle w:val="000000100000" w:firstRow="0" w:lastRow="0" w:firstColumn="0" w:lastColumn="0" w:oddVBand="0" w:evenVBand="0" w:oddHBand="1" w:evenHBand="0" w:firstRowFirstColumn="0" w:firstRowLastColumn="0" w:lastRowFirstColumn="0" w:lastRowLastColumn="0"/>
              <w:rPr>
                <w:lang w:val="en-US"/>
              </w:rPr>
            </w:pPr>
            <w:r w:rsidRPr="317A33D2">
              <w:rPr>
                <w:lang w:val="en-US"/>
              </w:rPr>
              <w:t>OR 4.0 for BMI ≥40 kg/m²; OR 1.5 for overweight</w:t>
            </w:r>
          </w:p>
        </w:tc>
      </w:tr>
      <w:tr w:rsidR="006F5C70" w:rsidRPr="00546BD1" w14:paraId="2B27D536" w14:textId="77777777" w:rsidTr="00795685">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2449E03C" w14:textId="77777777" w:rsidR="006F5C70" w:rsidRPr="00546BD1" w:rsidRDefault="006F5C70" w:rsidP="006F5C70">
            <w:pPr>
              <w:spacing w:before="0" w:after="160" w:line="257" w:lineRule="auto"/>
              <w:rPr>
                <w:lang w:val="en-US"/>
              </w:rPr>
            </w:pPr>
            <w:r w:rsidRPr="00546BD1">
              <w:rPr>
                <w:lang w:val="en-US"/>
              </w:rPr>
              <w:t>Postpartum Depression</w:t>
            </w:r>
          </w:p>
        </w:tc>
        <w:tc>
          <w:tcPr>
            <w:tcW w:w="0" w:type="dxa"/>
            <w:hideMark/>
          </w:tcPr>
          <w:p w14:paraId="412C2F2B" w14:textId="77777777" w:rsidR="006F5C70" w:rsidRPr="00546BD1" w:rsidRDefault="006F5C70" w:rsidP="006F5C70">
            <w:pPr>
              <w:spacing w:before="0" w:after="160" w:line="257" w:lineRule="auto"/>
              <w:cnfStyle w:val="000000000000" w:firstRow="0" w:lastRow="0" w:firstColumn="0" w:lastColumn="0" w:oddVBand="0" w:evenVBand="0" w:oddHBand="0" w:evenHBand="0" w:firstRowFirstColumn="0" w:firstRowLastColumn="0" w:lastRowFirstColumn="0" w:lastRowLastColumn="0"/>
              <w:rPr>
                <w:lang w:val="en-US"/>
              </w:rPr>
            </w:pPr>
            <w:r w:rsidRPr="00546BD1">
              <w:rPr>
                <w:lang w:val="en-US"/>
              </w:rPr>
              <w:t>Increased risk due to hormonal, metabolic, and psychosocial factors</w:t>
            </w:r>
          </w:p>
        </w:tc>
        <w:tc>
          <w:tcPr>
            <w:tcW w:w="0" w:type="dxa"/>
            <w:hideMark/>
          </w:tcPr>
          <w:p w14:paraId="571A6880" w14:textId="77777777" w:rsidR="006F5C70" w:rsidRPr="00546BD1" w:rsidRDefault="006F5C70" w:rsidP="006F5C70">
            <w:pPr>
              <w:spacing w:before="0" w:after="160" w:line="257" w:lineRule="auto"/>
              <w:cnfStyle w:val="000000000000" w:firstRow="0" w:lastRow="0" w:firstColumn="0" w:lastColumn="0" w:oddVBand="0" w:evenVBand="0" w:oddHBand="0" w:evenHBand="0" w:firstRowFirstColumn="0" w:firstRowLastColumn="0" w:lastRowFirstColumn="0" w:lastRowLastColumn="0"/>
              <w:rPr>
                <w:lang w:val="en-US"/>
              </w:rPr>
            </w:pPr>
            <w:r w:rsidRPr="00546BD1">
              <w:rPr>
                <w:lang w:val="en-US"/>
              </w:rPr>
              <w:t>Elevated risk; not precisely quantified</w:t>
            </w:r>
          </w:p>
        </w:tc>
      </w:tr>
      <w:tr w:rsidR="006F5C70" w:rsidRPr="00546BD1" w14:paraId="6DDF15B5" w14:textId="77777777" w:rsidTr="0079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322B42DF" w14:textId="77777777" w:rsidR="006F5C70" w:rsidRPr="00546BD1" w:rsidRDefault="006F5C70" w:rsidP="006F5C70">
            <w:pPr>
              <w:spacing w:before="0" w:after="160" w:line="257" w:lineRule="auto"/>
              <w:rPr>
                <w:lang w:val="en-US"/>
              </w:rPr>
            </w:pPr>
            <w:r w:rsidRPr="00546BD1">
              <w:rPr>
                <w:lang w:val="en-US"/>
              </w:rPr>
              <w:t>Breastfeeding Difficulties</w:t>
            </w:r>
          </w:p>
        </w:tc>
        <w:tc>
          <w:tcPr>
            <w:tcW w:w="0" w:type="dxa"/>
            <w:tcBorders>
              <w:top w:val="none" w:sz="0" w:space="0" w:color="auto"/>
              <w:bottom w:val="none" w:sz="0" w:space="0" w:color="auto"/>
            </w:tcBorders>
            <w:hideMark/>
          </w:tcPr>
          <w:p w14:paraId="40B13F13" w14:textId="1E6FDA2B" w:rsidR="006F5C70" w:rsidRPr="00546BD1" w:rsidRDefault="006F5C70" w:rsidP="006F5C70">
            <w:pPr>
              <w:spacing w:before="0" w:after="160" w:line="257" w:lineRule="auto"/>
              <w:cnfStyle w:val="000000100000" w:firstRow="0" w:lastRow="0" w:firstColumn="0" w:lastColumn="0" w:oddVBand="0" w:evenVBand="0" w:oddHBand="1" w:evenHBand="0" w:firstRowFirstColumn="0" w:firstRowLastColumn="0" w:lastRowFirstColumn="0" w:lastRowLastColumn="0"/>
              <w:rPr>
                <w:lang w:val="en-US"/>
              </w:rPr>
            </w:pPr>
            <w:r w:rsidRPr="66731E01">
              <w:rPr>
                <w:lang w:val="en-US"/>
              </w:rPr>
              <w:t xml:space="preserve">Higher incidence of delayed lactogenesis </w:t>
            </w:r>
            <w:r w:rsidR="74938E5D" w:rsidRPr="66731E01">
              <w:rPr>
                <w:lang w:val="en-US"/>
              </w:rPr>
              <w:t xml:space="preserve">II </w:t>
            </w:r>
            <w:r w:rsidRPr="66731E01">
              <w:rPr>
                <w:lang w:val="en-US"/>
              </w:rPr>
              <w:t>and reduced breastfeeding initiation/duration</w:t>
            </w:r>
          </w:p>
        </w:tc>
        <w:tc>
          <w:tcPr>
            <w:tcW w:w="0" w:type="dxa"/>
            <w:tcBorders>
              <w:top w:val="none" w:sz="0" w:space="0" w:color="auto"/>
              <w:bottom w:val="none" w:sz="0" w:space="0" w:color="auto"/>
            </w:tcBorders>
            <w:hideMark/>
          </w:tcPr>
          <w:p w14:paraId="6ACDA27A" w14:textId="77777777" w:rsidR="006F5C70" w:rsidRPr="00546BD1" w:rsidRDefault="006F5C70" w:rsidP="006F5C70">
            <w:pPr>
              <w:spacing w:before="0" w:after="160" w:line="257" w:lineRule="auto"/>
              <w:cnfStyle w:val="000000100000" w:firstRow="0" w:lastRow="0" w:firstColumn="0" w:lastColumn="0" w:oddVBand="0" w:evenVBand="0" w:oddHBand="1" w:evenHBand="0" w:firstRowFirstColumn="0" w:firstRowLastColumn="0" w:lastRowFirstColumn="0" w:lastRowLastColumn="0"/>
              <w:rPr>
                <w:lang w:val="en-US"/>
              </w:rPr>
            </w:pPr>
            <w:r w:rsidRPr="00546BD1">
              <w:rPr>
                <w:lang w:val="en-US"/>
              </w:rPr>
              <w:t>Increased risk; multifactorial causes</w:t>
            </w:r>
          </w:p>
        </w:tc>
      </w:tr>
      <w:tr w:rsidR="006F5C70" w:rsidRPr="00546BD1" w14:paraId="3EF9F5E4" w14:textId="77777777" w:rsidTr="00795685">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2250B678" w14:textId="77777777" w:rsidR="006F5C70" w:rsidRPr="00546BD1" w:rsidRDefault="006F5C70" w:rsidP="006F5C70">
            <w:pPr>
              <w:spacing w:before="0" w:after="160" w:line="257" w:lineRule="auto"/>
              <w:rPr>
                <w:lang w:val="en-US"/>
              </w:rPr>
            </w:pPr>
            <w:r w:rsidRPr="00546BD1">
              <w:rPr>
                <w:lang w:val="en-US"/>
              </w:rPr>
              <w:t>Wound Complications</w:t>
            </w:r>
          </w:p>
        </w:tc>
        <w:tc>
          <w:tcPr>
            <w:tcW w:w="0" w:type="dxa"/>
            <w:hideMark/>
          </w:tcPr>
          <w:p w14:paraId="0D74DADC" w14:textId="0993A1FF" w:rsidR="006F5C70" w:rsidRPr="00546BD1" w:rsidRDefault="6691EFEB" w:rsidP="006F5C70">
            <w:pPr>
              <w:spacing w:before="0" w:after="160" w:line="257" w:lineRule="auto"/>
              <w:cnfStyle w:val="000000000000" w:firstRow="0" w:lastRow="0" w:firstColumn="0" w:lastColumn="0" w:oddVBand="0" w:evenVBand="0" w:oddHBand="0" w:evenHBand="0" w:firstRowFirstColumn="0" w:firstRowLastColumn="0" w:lastRowFirstColumn="0" w:lastRowLastColumn="0"/>
              <w:rPr>
                <w:lang w:val="en-US"/>
              </w:rPr>
            </w:pPr>
            <w:r w:rsidRPr="5D86F3CA">
              <w:rPr>
                <w:lang w:val="en-US"/>
              </w:rPr>
              <w:t>Higher risk following c</w:t>
            </w:r>
            <w:r w:rsidR="6ABCCD1C" w:rsidRPr="5D86F3CA">
              <w:rPr>
                <w:lang w:val="en-US"/>
              </w:rPr>
              <w:t>a</w:t>
            </w:r>
            <w:r w:rsidRPr="5D86F3CA">
              <w:rPr>
                <w:lang w:val="en-US"/>
              </w:rPr>
              <w:t>esarean delivery due to adiposity and impaired healing</w:t>
            </w:r>
          </w:p>
        </w:tc>
        <w:tc>
          <w:tcPr>
            <w:tcW w:w="0" w:type="dxa"/>
            <w:hideMark/>
          </w:tcPr>
          <w:p w14:paraId="56FCE56A" w14:textId="77777777" w:rsidR="006F5C70" w:rsidRPr="00546BD1" w:rsidRDefault="006F5C70" w:rsidP="006F5C70">
            <w:pPr>
              <w:spacing w:before="0" w:after="160" w:line="257" w:lineRule="auto"/>
              <w:cnfStyle w:val="000000000000" w:firstRow="0" w:lastRow="0" w:firstColumn="0" w:lastColumn="0" w:oddVBand="0" w:evenVBand="0" w:oddHBand="0" w:evenHBand="0" w:firstRowFirstColumn="0" w:firstRowLastColumn="0" w:lastRowFirstColumn="0" w:lastRowLastColumn="0"/>
              <w:rPr>
                <w:lang w:val="en-US"/>
              </w:rPr>
            </w:pPr>
            <w:r w:rsidRPr="00546BD1">
              <w:rPr>
                <w:lang w:val="en-US"/>
              </w:rPr>
              <w:t>Significantly elevated risk</w:t>
            </w:r>
          </w:p>
        </w:tc>
      </w:tr>
      <w:tr w:rsidR="006F5C70" w:rsidRPr="00546BD1" w14:paraId="3C1DCB6D" w14:textId="77777777" w:rsidTr="007956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hideMark/>
          </w:tcPr>
          <w:p w14:paraId="165AF243" w14:textId="77777777" w:rsidR="006F5C70" w:rsidRPr="00546BD1" w:rsidRDefault="006F5C70" w:rsidP="006F5C70">
            <w:pPr>
              <w:spacing w:before="0" w:after="160" w:line="257" w:lineRule="auto"/>
              <w:rPr>
                <w:lang w:val="en-US"/>
              </w:rPr>
            </w:pPr>
            <w:r w:rsidRPr="00546BD1">
              <w:rPr>
                <w:lang w:val="en-US"/>
              </w:rPr>
              <w:lastRenderedPageBreak/>
              <w:t>Postpartum Weight Retention</w:t>
            </w:r>
          </w:p>
        </w:tc>
        <w:tc>
          <w:tcPr>
            <w:tcW w:w="0" w:type="dxa"/>
            <w:tcBorders>
              <w:top w:val="none" w:sz="0" w:space="0" w:color="auto"/>
              <w:bottom w:val="none" w:sz="0" w:space="0" w:color="auto"/>
            </w:tcBorders>
            <w:hideMark/>
          </w:tcPr>
          <w:p w14:paraId="3A0CC44A" w14:textId="0FEA46EE" w:rsidR="006F5C70" w:rsidRPr="00546BD1" w:rsidRDefault="006F5C70" w:rsidP="006F5C70">
            <w:pPr>
              <w:spacing w:before="0" w:after="160" w:line="257" w:lineRule="auto"/>
              <w:cnfStyle w:val="000000100000" w:firstRow="0" w:lastRow="0" w:firstColumn="0" w:lastColumn="0" w:oddVBand="0" w:evenVBand="0" w:oddHBand="1" w:evenHBand="0" w:firstRowFirstColumn="0" w:firstRowLastColumn="0" w:lastRowFirstColumn="0" w:lastRowLastColumn="0"/>
              <w:rPr>
                <w:lang w:val="en-US"/>
              </w:rPr>
            </w:pPr>
            <w:r w:rsidRPr="00546BD1">
              <w:rPr>
                <w:lang w:val="en-US"/>
              </w:rPr>
              <w:t xml:space="preserve">Common in </w:t>
            </w:r>
            <w:proofErr w:type="gramStart"/>
            <w:r w:rsidRPr="00546BD1">
              <w:rPr>
                <w:lang w:val="en-US"/>
              </w:rPr>
              <w:t>obes</w:t>
            </w:r>
            <w:r w:rsidR="00E22F91">
              <w:rPr>
                <w:lang w:val="en-US"/>
              </w:rPr>
              <w:t xml:space="preserve">ity </w:t>
            </w:r>
            <w:r w:rsidRPr="00546BD1">
              <w:rPr>
                <w:lang w:val="en-US"/>
              </w:rPr>
              <w:t>,</w:t>
            </w:r>
            <w:proofErr w:type="gramEnd"/>
            <w:r w:rsidRPr="00546BD1">
              <w:rPr>
                <w:lang w:val="en-US"/>
              </w:rPr>
              <w:t xml:space="preserve"> contributing to future cardiometabolic risks</w:t>
            </w:r>
          </w:p>
        </w:tc>
        <w:tc>
          <w:tcPr>
            <w:tcW w:w="0" w:type="dxa"/>
            <w:tcBorders>
              <w:top w:val="none" w:sz="0" w:space="0" w:color="auto"/>
              <w:bottom w:val="none" w:sz="0" w:space="0" w:color="auto"/>
            </w:tcBorders>
            <w:hideMark/>
          </w:tcPr>
          <w:p w14:paraId="16D31D75" w14:textId="77777777" w:rsidR="006F5C70" w:rsidRPr="00546BD1" w:rsidRDefault="006F5C70" w:rsidP="006F5C70">
            <w:pPr>
              <w:spacing w:before="0" w:after="160" w:line="257" w:lineRule="auto"/>
              <w:cnfStyle w:val="000000100000" w:firstRow="0" w:lastRow="0" w:firstColumn="0" w:lastColumn="0" w:oddVBand="0" w:evenVBand="0" w:oddHBand="1" w:evenHBand="0" w:firstRowFirstColumn="0" w:firstRowLastColumn="0" w:lastRowFirstColumn="0" w:lastRowLastColumn="0"/>
              <w:rPr>
                <w:lang w:val="en-US"/>
              </w:rPr>
            </w:pPr>
            <w:r w:rsidRPr="00546BD1">
              <w:rPr>
                <w:lang w:val="en-US"/>
              </w:rPr>
              <w:t>50–60% exceed recommended gestational weight gain</w:t>
            </w:r>
          </w:p>
        </w:tc>
      </w:tr>
      <w:tr w:rsidR="006F5C70" w:rsidRPr="00546BD1" w14:paraId="0DCB7681" w14:textId="77777777" w:rsidTr="00795685">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hideMark/>
          </w:tcPr>
          <w:p w14:paraId="5E11D7BB" w14:textId="77777777" w:rsidR="006F5C70" w:rsidRPr="00546BD1" w:rsidRDefault="006F5C70" w:rsidP="006F5C70">
            <w:pPr>
              <w:spacing w:before="0" w:after="160" w:line="257" w:lineRule="auto"/>
              <w:rPr>
                <w:lang w:val="en-US"/>
              </w:rPr>
            </w:pPr>
            <w:r w:rsidRPr="00546BD1">
              <w:rPr>
                <w:lang w:val="en-US"/>
              </w:rPr>
              <w:t>Severe Maternal Morbidity (SMM)</w:t>
            </w:r>
          </w:p>
        </w:tc>
        <w:tc>
          <w:tcPr>
            <w:tcW w:w="0" w:type="dxa"/>
            <w:hideMark/>
          </w:tcPr>
          <w:p w14:paraId="6D8E178B" w14:textId="77777777" w:rsidR="006F5C70" w:rsidRPr="00546BD1" w:rsidRDefault="006F5C70" w:rsidP="006F5C70">
            <w:pPr>
              <w:spacing w:before="0" w:after="160" w:line="257" w:lineRule="auto"/>
              <w:cnfStyle w:val="000000000000" w:firstRow="0" w:lastRow="0" w:firstColumn="0" w:lastColumn="0" w:oddVBand="0" w:evenVBand="0" w:oddHBand="0" w:evenHBand="0" w:firstRowFirstColumn="0" w:firstRowLastColumn="0" w:lastRowFirstColumn="0" w:lastRowLastColumn="0"/>
              <w:rPr>
                <w:lang w:val="en-US"/>
              </w:rPr>
            </w:pPr>
            <w:r w:rsidRPr="00546BD1">
              <w:rPr>
                <w:lang w:val="en-US"/>
              </w:rPr>
              <w:t>Obesity contributes to postpartum SMM including infection, hemorrhage, and thromboembolic events</w:t>
            </w:r>
          </w:p>
        </w:tc>
        <w:tc>
          <w:tcPr>
            <w:tcW w:w="0" w:type="dxa"/>
            <w:hideMark/>
          </w:tcPr>
          <w:p w14:paraId="7F2A1DF0" w14:textId="77777777" w:rsidR="006F5C70" w:rsidRPr="00546BD1" w:rsidRDefault="006F5C70" w:rsidP="006F5C70">
            <w:pPr>
              <w:spacing w:before="0" w:after="160" w:line="257" w:lineRule="auto"/>
              <w:cnfStyle w:val="000000000000" w:firstRow="0" w:lastRow="0" w:firstColumn="0" w:lastColumn="0" w:oddVBand="0" w:evenVBand="0" w:oddHBand="0" w:evenHBand="0" w:firstRowFirstColumn="0" w:firstRowLastColumn="0" w:lastRowFirstColumn="0" w:lastRowLastColumn="0"/>
              <w:rPr>
                <w:lang w:val="en-US"/>
              </w:rPr>
            </w:pPr>
            <w:r w:rsidRPr="00546BD1">
              <w:rPr>
                <w:lang w:val="en-US"/>
              </w:rPr>
              <w:t>15% of SMM occurs after discharge; obesity is a key factor</w:t>
            </w:r>
          </w:p>
        </w:tc>
      </w:tr>
    </w:tbl>
    <w:p w14:paraId="1A83A305" w14:textId="374F4DC1" w:rsidR="00481A6C" w:rsidRPr="00481A6C" w:rsidRDefault="22219167" w:rsidP="0070565D">
      <w:pPr>
        <w:pStyle w:val="BodyCopy"/>
        <w:rPr>
          <w:u w:val="single"/>
        </w:rPr>
      </w:pPr>
      <w:hyperlink w:anchor="_top">
        <w:r w:rsidRPr="00296148">
          <w:rPr>
            <w:rStyle w:val="Hyperlink"/>
            <w:color w:val="000000" w:themeColor="text1"/>
            <w:u w:val="none"/>
          </w:rPr>
          <w:t>Back</w:t>
        </w:r>
        <w:r w:rsidRPr="143A4CE6">
          <w:rPr>
            <w:rStyle w:val="Hyperlink"/>
          </w:rPr>
          <w:t xml:space="preserve"> to Contents</w:t>
        </w:r>
      </w:hyperlink>
    </w:p>
    <w:p w14:paraId="4711B4EF" w14:textId="38312D5F" w:rsidR="0078367D" w:rsidRDefault="5A94307A" w:rsidP="00A6051F">
      <w:pPr>
        <w:pStyle w:val="Heading4"/>
      </w:pPr>
      <w:bookmarkStart w:id="8" w:name="_Toc217400055"/>
      <w:r>
        <w:t xml:space="preserve">Section </w:t>
      </w:r>
      <w:r w:rsidR="491BC911">
        <w:t>4</w:t>
      </w:r>
      <w:r w:rsidR="19BFA7EF">
        <w:t xml:space="preserve"> – Provision of </w:t>
      </w:r>
      <w:r w:rsidR="006F4A19">
        <w:t xml:space="preserve">pregnancy </w:t>
      </w:r>
      <w:r w:rsidR="19BFA7EF">
        <w:t>care</w:t>
      </w:r>
      <w:r w:rsidR="13DFB048">
        <w:t xml:space="preserve"> </w:t>
      </w:r>
      <w:r w:rsidR="006F4A19">
        <w:t xml:space="preserve">for women with BMI </w:t>
      </w:r>
      <w:r w:rsidR="00DE5E22">
        <w:t xml:space="preserve">greater than </w:t>
      </w:r>
      <w:r w:rsidR="006F4A19">
        <w:t>35</w:t>
      </w:r>
      <w:bookmarkEnd w:id="8"/>
    </w:p>
    <w:p w14:paraId="0CEF22DF" w14:textId="532631B8" w:rsidR="00F41532" w:rsidRDefault="006A0F4A" w:rsidP="003A009A">
      <w:pPr>
        <w:pStyle w:val="Heading5"/>
        <w:spacing w:before="0" w:beforeAutospacing="0"/>
      </w:pPr>
      <w:r>
        <w:t>Provision of a</w:t>
      </w:r>
      <w:r w:rsidR="00F41532">
        <w:t xml:space="preserve">ntenatal care </w:t>
      </w:r>
    </w:p>
    <w:p w14:paraId="6CAC10D7" w14:textId="2BF3F8BA" w:rsidR="0042012C" w:rsidRDefault="00F41532" w:rsidP="00296148">
      <w:pPr>
        <w:pStyle w:val="BodyCopy"/>
      </w:pPr>
      <w:r w:rsidRPr="00F41532">
        <w:t>The National Midwifery Guidelines for Consultation and Referral have made the following statements in relation to level of pregnancy care related to BMI</w:t>
      </w:r>
      <w:r w:rsidR="00842492">
        <w:t>:</w:t>
      </w:r>
    </w:p>
    <w:p w14:paraId="1ACFB6F7" w14:textId="3CFCF873" w:rsidR="00140924" w:rsidRDefault="00140924" w:rsidP="00B84A5A">
      <w:pPr>
        <w:pStyle w:val="Bullet"/>
      </w:pPr>
      <w:bookmarkStart w:id="9" w:name="_Hlk212132410"/>
      <w:r>
        <w:t xml:space="preserve">BMI of </w:t>
      </w:r>
      <w:r w:rsidR="00DE5E22">
        <w:t xml:space="preserve">greater than </w:t>
      </w:r>
      <w:r>
        <w:t xml:space="preserve">35 </w:t>
      </w:r>
      <w:bookmarkStart w:id="10" w:name="_Hlk212141732"/>
      <w:r>
        <w:t>but not 40</w:t>
      </w:r>
      <w:r w:rsidR="00DE5E22">
        <w:t xml:space="preserve"> or above</w:t>
      </w:r>
      <w:r>
        <w:t xml:space="preserve"> </w:t>
      </w:r>
      <w:bookmarkEnd w:id="10"/>
      <w:r>
        <w:t xml:space="preserve">with no associated co-morbidities </w:t>
      </w:r>
      <w:bookmarkEnd w:id="9"/>
      <w:r w:rsidR="006A0F4A">
        <w:t xml:space="preserve">are </w:t>
      </w:r>
      <w:r>
        <w:t xml:space="preserve">a </w:t>
      </w:r>
      <w:r w:rsidRPr="00795685">
        <w:t>category B</w:t>
      </w:r>
      <w:r>
        <w:t>, requir</w:t>
      </w:r>
      <w:r w:rsidR="006A0F4A">
        <w:t xml:space="preserve">e </w:t>
      </w:r>
      <w:r>
        <w:t>consultation with relevant medical practitioner</w:t>
      </w:r>
      <w:r w:rsidR="006A0F4A">
        <w:t xml:space="preserve"> for antenatal care</w:t>
      </w:r>
      <w:r>
        <w:t>.</w:t>
      </w:r>
      <w:r w:rsidRPr="317A33D2">
        <w:rPr>
          <w:vertAlign w:val="superscript"/>
        </w:rPr>
        <w:t>3</w:t>
      </w:r>
      <w:r>
        <w:t xml:space="preserve"> </w:t>
      </w:r>
    </w:p>
    <w:p w14:paraId="0BD63E78" w14:textId="16B915E2" w:rsidR="0076206F" w:rsidRDefault="00140924" w:rsidP="317A33D2">
      <w:pPr>
        <w:pStyle w:val="Bullet"/>
        <w:rPr>
          <w:vertAlign w:val="superscript"/>
        </w:rPr>
      </w:pPr>
      <w:r>
        <w:t xml:space="preserve"> BMI of 40 </w:t>
      </w:r>
      <w:r w:rsidR="00DE5E22">
        <w:t xml:space="preserve">or above, </w:t>
      </w:r>
      <w:r>
        <w:t xml:space="preserve">or a BMI </w:t>
      </w:r>
      <w:r w:rsidR="00DE5E22">
        <w:t xml:space="preserve">of </w:t>
      </w:r>
      <w:r>
        <w:t xml:space="preserve">35 </w:t>
      </w:r>
      <w:r w:rsidR="00DE5E22">
        <w:t xml:space="preserve">or above </w:t>
      </w:r>
      <w:r>
        <w:t>with co-morbidities (heart disease, hypertension, sleep apnoea) as a category C, requir</w:t>
      </w:r>
      <w:r w:rsidR="006A0F4A">
        <w:t xml:space="preserve">e </w:t>
      </w:r>
      <w:r>
        <w:t>referral to the relevant medical practitioner.</w:t>
      </w:r>
      <w:r w:rsidRPr="317A33D2">
        <w:rPr>
          <w:vertAlign w:val="superscript"/>
        </w:rPr>
        <w:t>3</w:t>
      </w:r>
    </w:p>
    <w:p w14:paraId="2B5DAEAE" w14:textId="6851C479" w:rsidR="00342D7C" w:rsidRPr="00342D7C" w:rsidRDefault="00342D7C" w:rsidP="00342D7C">
      <w:pPr>
        <w:pStyle w:val="BodyCopy"/>
        <w:rPr>
          <w:vertAlign w:val="superscript"/>
        </w:rPr>
      </w:pPr>
      <w:r>
        <w:t xml:space="preserve">For further information regarding categories and co-morbidities, refer to the </w:t>
      </w:r>
      <w:r w:rsidRPr="00F41532">
        <w:t>National Midwifery Guidelines for Consultation and Referral</w:t>
      </w:r>
      <w:r>
        <w:t>.</w:t>
      </w:r>
      <w:r>
        <w:rPr>
          <w:vertAlign w:val="superscript"/>
        </w:rPr>
        <w:t>3</w:t>
      </w:r>
    </w:p>
    <w:p w14:paraId="5B661DD0" w14:textId="06492091" w:rsidR="0048401D" w:rsidRPr="003A009A" w:rsidRDefault="0048401D" w:rsidP="003A009A">
      <w:pPr>
        <w:pStyle w:val="Heading5"/>
        <w:spacing w:before="0" w:beforeAutospacing="0"/>
      </w:pPr>
      <w:r w:rsidRPr="006C3E8F">
        <w:t>Place of pregnancy care - suitability criteria</w:t>
      </w:r>
    </w:p>
    <w:p w14:paraId="08BD03E9" w14:textId="65ACCF7F" w:rsidR="0048401D" w:rsidRPr="006C3E8F" w:rsidRDefault="0048401D" w:rsidP="005654E4">
      <w:pPr>
        <w:pStyle w:val="Heading6"/>
        <w:spacing w:after="0"/>
      </w:pPr>
      <w:bookmarkStart w:id="11" w:name="_Hlk212142113"/>
      <w:r>
        <w:t>B</w:t>
      </w:r>
      <w:r w:rsidR="00F41532">
        <w:t xml:space="preserve">ooking BMI </w:t>
      </w:r>
      <w:r w:rsidR="00623234">
        <w:t xml:space="preserve">between 35 and 39 </w:t>
      </w:r>
      <w:r w:rsidR="00F41532">
        <w:t xml:space="preserve">with no associated co-morbidities </w:t>
      </w:r>
    </w:p>
    <w:p w14:paraId="67360314" w14:textId="42AE8AF8" w:rsidR="006C3E8F" w:rsidRPr="006C3E8F" w:rsidRDefault="006C3E8F" w:rsidP="00B84A5A">
      <w:pPr>
        <w:pStyle w:val="Bullet"/>
      </w:pPr>
      <w:r>
        <w:t>Antenatal c</w:t>
      </w:r>
      <w:r w:rsidRPr="006C3E8F">
        <w:t xml:space="preserve">are </w:t>
      </w:r>
      <w:r w:rsidRPr="003A009A">
        <w:rPr>
          <w:rFonts w:eastAsia="Calibri"/>
        </w:rPr>
        <w:t xml:space="preserve">and birth </w:t>
      </w:r>
      <w:r w:rsidRPr="006C3E8F">
        <w:t xml:space="preserve">may occur </w:t>
      </w:r>
      <w:r w:rsidRPr="003A009A">
        <w:rPr>
          <w:rFonts w:eastAsia="Calibri"/>
        </w:rPr>
        <w:t xml:space="preserve">at </w:t>
      </w:r>
      <w:proofErr w:type="gramStart"/>
      <w:r w:rsidRPr="006C3E8F">
        <w:t>either CHS</w:t>
      </w:r>
      <w:proofErr w:type="gramEnd"/>
      <w:r w:rsidRPr="003A009A">
        <w:rPr>
          <w:rFonts w:eastAsia="Calibri"/>
        </w:rPr>
        <w:t xml:space="preserve"> Campus</w:t>
      </w:r>
      <w:r w:rsidR="0076206F">
        <w:rPr>
          <w:rFonts w:eastAsia="Calibri"/>
        </w:rPr>
        <w:t>.</w:t>
      </w:r>
    </w:p>
    <w:p w14:paraId="41BE2CDF" w14:textId="1A19B4B3" w:rsidR="0048401D" w:rsidRPr="003A009A" w:rsidRDefault="0048401D" w:rsidP="00B84A5A">
      <w:pPr>
        <w:pStyle w:val="Bullet"/>
      </w:pPr>
      <w:r>
        <w:t>A</w:t>
      </w:r>
      <w:r w:rsidR="00623234" w:rsidRPr="003A009A">
        <w:t xml:space="preserve">ntenatal care can be midwifery led with appropriate consultation. </w:t>
      </w:r>
    </w:p>
    <w:bookmarkEnd w:id="11"/>
    <w:p w14:paraId="6F1B4D48" w14:textId="1EE727BB" w:rsidR="0048401D" w:rsidRPr="006C3E8F" w:rsidRDefault="0048401D" w:rsidP="005654E4">
      <w:pPr>
        <w:pStyle w:val="Heading6"/>
        <w:spacing w:before="0" w:after="0"/>
      </w:pPr>
      <w:r>
        <w:t>Booking BMI between 35 and 39 with associated co-morbidities</w:t>
      </w:r>
      <w:r w:rsidR="00D429AB">
        <w:t xml:space="preserve"> or BMI between 40-49</w:t>
      </w:r>
    </w:p>
    <w:p w14:paraId="4EA7E645" w14:textId="56430887" w:rsidR="006C3E8F" w:rsidRPr="003A009A" w:rsidRDefault="0048401D" w:rsidP="00B84A5A">
      <w:pPr>
        <w:pStyle w:val="Bullet"/>
      </w:pPr>
      <w:r w:rsidRPr="003A009A">
        <w:t xml:space="preserve">Antenatal care </w:t>
      </w:r>
      <w:r w:rsidR="006C3E8F" w:rsidRPr="003A009A">
        <w:t xml:space="preserve">and birth can occur at </w:t>
      </w:r>
      <w:proofErr w:type="gramStart"/>
      <w:r w:rsidR="006C3E8F" w:rsidRPr="003A009A">
        <w:t>either CHS</w:t>
      </w:r>
      <w:proofErr w:type="gramEnd"/>
      <w:r w:rsidR="006C3E8F" w:rsidRPr="003A009A">
        <w:t xml:space="preserve"> Campus</w:t>
      </w:r>
      <w:r w:rsidR="0076206F">
        <w:t>.</w:t>
      </w:r>
    </w:p>
    <w:p w14:paraId="186AA286" w14:textId="1185D9E7" w:rsidR="0048401D" w:rsidRPr="006C3E8F" w:rsidRDefault="006C3E8F" w:rsidP="00B84A5A">
      <w:pPr>
        <w:pStyle w:val="Bullet"/>
      </w:pPr>
      <w:r w:rsidRPr="003A009A">
        <w:t xml:space="preserve">Antenatal care </w:t>
      </w:r>
      <w:r w:rsidR="0048401D" w:rsidRPr="003A009A">
        <w:t>requires obstetric lead with scheduled midwifery care incorporated</w:t>
      </w:r>
      <w:r w:rsidR="0048401D" w:rsidRPr="006C3E8F">
        <w:t xml:space="preserve">. </w:t>
      </w:r>
    </w:p>
    <w:p w14:paraId="0F40F6B3" w14:textId="20A4C9B8" w:rsidR="006C3E8F" w:rsidRPr="003A009A" w:rsidRDefault="0048401D" w:rsidP="00415577">
      <w:pPr>
        <w:pStyle w:val="Heading5"/>
        <w:spacing w:before="0" w:beforeAutospacing="0" w:after="0"/>
        <w:rPr>
          <w:rFonts w:eastAsia="Calibri"/>
          <w:color w:val="000000" w:themeColor="text1"/>
        </w:rPr>
      </w:pPr>
      <w:r>
        <w:t xml:space="preserve">CHWC </w:t>
      </w:r>
    </w:p>
    <w:p w14:paraId="3BC5BB5C" w14:textId="085B9D1E" w:rsidR="00EC3B56" w:rsidRPr="006C3E8F" w:rsidRDefault="00126DCF" w:rsidP="00B84A5A">
      <w:pPr>
        <w:pStyle w:val="BodyCopy"/>
      </w:pPr>
      <w:r>
        <w:t xml:space="preserve">Antenatal care can occur through </w:t>
      </w:r>
      <w:r w:rsidR="00892EE6">
        <w:t xml:space="preserve">the </w:t>
      </w:r>
      <w:r>
        <w:t xml:space="preserve">Continuity of Midwifery Care Program (CMP) </w:t>
      </w:r>
      <w:r w:rsidR="00892EE6">
        <w:t xml:space="preserve">at CHWC or known midwifery staff in </w:t>
      </w:r>
      <w:r w:rsidR="00892EE6" w:rsidRPr="00892EE6">
        <w:t>core antenatal care</w:t>
      </w:r>
      <w:r w:rsidR="00892EE6">
        <w:t xml:space="preserve"> in the </w:t>
      </w:r>
      <w:r w:rsidR="00892EE6" w:rsidRPr="00892EE6">
        <w:t>BMI-focused Multidisciplinary Pregnancy clinic (BUMP)</w:t>
      </w:r>
      <w:r w:rsidR="00892EE6">
        <w:t>. For s</w:t>
      </w:r>
      <w:r w:rsidR="006C3E8F">
        <w:t xml:space="preserve">chedule of </w:t>
      </w:r>
      <w:r w:rsidR="00892EE6">
        <w:t xml:space="preserve">obstetric led appointments and recommended care – refer to </w:t>
      </w:r>
      <w:r w:rsidR="006C3E8F" w:rsidRPr="009D0C1A">
        <w:t>Table 5</w:t>
      </w:r>
      <w:r w:rsidR="00663064">
        <w:t>.</w:t>
      </w:r>
    </w:p>
    <w:p w14:paraId="61D5D6EA" w14:textId="31B001DC" w:rsidR="00D429AB" w:rsidRDefault="00D429AB" w:rsidP="00415577">
      <w:pPr>
        <w:pStyle w:val="Heading5"/>
        <w:spacing w:before="0" w:beforeAutospacing="0" w:after="0"/>
      </w:pPr>
      <w:r>
        <w:lastRenderedPageBreak/>
        <w:t>NCH</w:t>
      </w:r>
    </w:p>
    <w:p w14:paraId="2FD497DC" w14:textId="17EBE029" w:rsidR="00892EE6" w:rsidRPr="00892EE6" w:rsidRDefault="00892EE6" w:rsidP="00B84A5A">
      <w:pPr>
        <w:pStyle w:val="BodyCopy"/>
      </w:pPr>
      <w:r w:rsidRPr="00892EE6">
        <w:t xml:space="preserve">Antenatal care can </w:t>
      </w:r>
      <w:r w:rsidRPr="00B84A5A">
        <w:t>occur</w:t>
      </w:r>
      <w:r w:rsidRPr="00892EE6">
        <w:t xml:space="preserve"> through Continuity of Midwifery Care </w:t>
      </w:r>
      <w:r>
        <w:t xml:space="preserve">Service </w:t>
      </w:r>
      <w:r w:rsidRPr="00892EE6">
        <w:t>(CM</w:t>
      </w:r>
      <w:r>
        <w:t>CS</w:t>
      </w:r>
      <w:r w:rsidRPr="00892EE6">
        <w:t>)</w:t>
      </w:r>
      <w:r>
        <w:t xml:space="preserve">, rostered team </w:t>
      </w:r>
      <w:r w:rsidRPr="00892EE6">
        <w:t xml:space="preserve">or </w:t>
      </w:r>
      <w:r>
        <w:t xml:space="preserve">known midwifery staff via </w:t>
      </w:r>
      <w:r w:rsidRPr="00892EE6">
        <w:t xml:space="preserve">core antenatal care. For schedule of obstetric led appointments and recommended care refer </w:t>
      </w:r>
      <w:r w:rsidRPr="00663064">
        <w:t xml:space="preserve">to </w:t>
      </w:r>
      <w:r w:rsidRPr="009D0C1A">
        <w:t>Table 5</w:t>
      </w:r>
      <w:r w:rsidR="00663064">
        <w:t>.</w:t>
      </w:r>
      <w:r w:rsidR="00950380">
        <w:t xml:space="preserve"> </w:t>
      </w:r>
    </w:p>
    <w:p w14:paraId="11891F42" w14:textId="4D35E2EE" w:rsidR="00EC3B56" w:rsidRPr="00EC3B56" w:rsidRDefault="00EC3B56" w:rsidP="00415577">
      <w:pPr>
        <w:pStyle w:val="Heading6"/>
        <w:spacing w:after="0"/>
      </w:pPr>
      <w:r>
        <w:t>Criteria for transfer of care</w:t>
      </w:r>
      <w:r w:rsidR="00663064">
        <w:t xml:space="preserve"> from NCH</w:t>
      </w:r>
      <w:r>
        <w:t xml:space="preserve"> to CHWC</w:t>
      </w:r>
    </w:p>
    <w:p w14:paraId="39BB4F20" w14:textId="4891C714" w:rsidR="00D014A3" w:rsidRPr="001C6720" w:rsidRDefault="00D014A3" w:rsidP="00D014A3">
      <w:pPr>
        <w:pStyle w:val="ListParagraph"/>
        <w:numPr>
          <w:ilvl w:val="0"/>
          <w:numId w:val="48"/>
        </w:numPr>
        <w:rPr>
          <w:rFonts w:ascii="Arial" w:eastAsia="Calibri" w:hAnsi="Arial"/>
          <w:sz w:val="24"/>
          <w:szCs w:val="24"/>
        </w:rPr>
      </w:pPr>
      <w:r>
        <w:rPr>
          <w:rFonts w:ascii="Arial" w:eastAsia="Calibri" w:hAnsi="Arial"/>
          <w:sz w:val="24"/>
          <w:szCs w:val="24"/>
        </w:rPr>
        <w:t xml:space="preserve">Where booking BMI </w:t>
      </w:r>
      <w:r w:rsidR="00DE5E22">
        <w:rPr>
          <w:rFonts w:ascii="Arial" w:eastAsia="Calibri" w:hAnsi="Arial" w:cs="Arial"/>
          <w:sz w:val="24"/>
          <w:szCs w:val="24"/>
        </w:rPr>
        <w:t xml:space="preserve">is </w:t>
      </w:r>
      <w:r>
        <w:rPr>
          <w:rFonts w:ascii="Arial" w:eastAsia="Calibri" w:hAnsi="Arial"/>
          <w:sz w:val="24"/>
          <w:szCs w:val="24"/>
        </w:rPr>
        <w:t>45</w:t>
      </w:r>
      <w:r w:rsidR="00DE5E22">
        <w:rPr>
          <w:rFonts w:ascii="Arial" w:eastAsia="Calibri" w:hAnsi="Arial"/>
          <w:sz w:val="24"/>
          <w:szCs w:val="24"/>
        </w:rPr>
        <w:t xml:space="preserve"> or above</w:t>
      </w:r>
      <w:r>
        <w:rPr>
          <w:rFonts w:ascii="Arial" w:eastAsia="Calibri" w:hAnsi="Arial"/>
          <w:sz w:val="24"/>
          <w:szCs w:val="24"/>
        </w:rPr>
        <w:t>, BMI should be reassessed at 33 weeks, if BMI is 55</w:t>
      </w:r>
      <w:r w:rsidR="00DE5E22">
        <w:rPr>
          <w:rFonts w:ascii="Arial" w:eastAsia="Calibri" w:hAnsi="Arial"/>
          <w:sz w:val="24"/>
          <w:szCs w:val="24"/>
        </w:rPr>
        <w:t xml:space="preserve"> or above</w:t>
      </w:r>
      <w:r>
        <w:rPr>
          <w:rFonts w:ascii="Arial" w:eastAsia="Calibri" w:hAnsi="Arial"/>
          <w:sz w:val="24"/>
          <w:szCs w:val="24"/>
        </w:rPr>
        <w:t xml:space="preserve">, pregnancy care will be transferred to </w:t>
      </w:r>
      <w:r w:rsidRPr="001C6720">
        <w:rPr>
          <w:rFonts w:ascii="Arial" w:eastAsia="Calibri" w:hAnsi="Arial"/>
          <w:sz w:val="24"/>
          <w:szCs w:val="24"/>
        </w:rPr>
        <w:t>CHWC.</w:t>
      </w:r>
    </w:p>
    <w:p w14:paraId="61D748BA" w14:textId="0BCAA4DA" w:rsidR="00D014A3" w:rsidRDefault="00D014A3" w:rsidP="00D014A3">
      <w:pPr>
        <w:pStyle w:val="ListParagraph"/>
        <w:numPr>
          <w:ilvl w:val="0"/>
          <w:numId w:val="48"/>
        </w:numPr>
        <w:rPr>
          <w:sz w:val="24"/>
          <w:szCs w:val="24"/>
        </w:rPr>
      </w:pPr>
      <w:r w:rsidRPr="001C6720">
        <w:rPr>
          <w:sz w:val="24"/>
          <w:szCs w:val="24"/>
        </w:rPr>
        <w:t xml:space="preserve">Women/birthing persons with </w:t>
      </w:r>
      <w:r w:rsidRPr="001C6720">
        <w:rPr>
          <w:b/>
          <w:bCs/>
          <w:sz w:val="24"/>
          <w:szCs w:val="24"/>
        </w:rPr>
        <w:t>a booking BMI of 50</w:t>
      </w:r>
      <w:r w:rsidR="00DE5E22">
        <w:rPr>
          <w:b/>
          <w:bCs/>
          <w:sz w:val="24"/>
          <w:szCs w:val="24"/>
        </w:rPr>
        <w:t xml:space="preserve"> or above</w:t>
      </w:r>
      <w:r w:rsidRPr="001C6720">
        <w:rPr>
          <w:b/>
          <w:bCs/>
          <w:sz w:val="24"/>
          <w:szCs w:val="24"/>
        </w:rPr>
        <w:t xml:space="preserve"> should receive pregnancy and birthing care through CHWC</w:t>
      </w:r>
      <w:r w:rsidRPr="001C6720">
        <w:rPr>
          <w:sz w:val="24"/>
          <w:szCs w:val="24"/>
        </w:rPr>
        <w:t>. Transfer of care sho</w:t>
      </w:r>
      <w:r>
        <w:rPr>
          <w:sz w:val="24"/>
          <w:szCs w:val="24"/>
        </w:rPr>
        <w:t>uld occur at time of pre-admission appointment.</w:t>
      </w:r>
    </w:p>
    <w:p w14:paraId="1B0DFA10" w14:textId="0CC3CC39" w:rsidR="00D014A3" w:rsidRDefault="00D014A3" w:rsidP="00D014A3">
      <w:pPr>
        <w:pStyle w:val="ListParagraph"/>
        <w:numPr>
          <w:ilvl w:val="0"/>
          <w:numId w:val="48"/>
        </w:numPr>
        <w:rPr>
          <w:rFonts w:ascii="Arial" w:eastAsia="Calibri" w:hAnsi="Arial"/>
          <w:sz w:val="24"/>
          <w:szCs w:val="24"/>
        </w:rPr>
      </w:pPr>
      <w:r>
        <w:rPr>
          <w:rFonts w:ascii="Arial" w:eastAsia="Calibri" w:hAnsi="Arial"/>
          <w:sz w:val="24"/>
          <w:szCs w:val="24"/>
        </w:rPr>
        <w:t xml:space="preserve">Where pregnancy care is occurring through NCH, and BMI </w:t>
      </w:r>
      <w:r w:rsidR="00DE5E22">
        <w:rPr>
          <w:rFonts w:ascii="Arial" w:eastAsia="Calibri" w:hAnsi="Arial"/>
          <w:sz w:val="24"/>
          <w:szCs w:val="24"/>
        </w:rPr>
        <w:t>is less than</w:t>
      </w:r>
      <w:r>
        <w:rPr>
          <w:rFonts w:ascii="Arial" w:eastAsia="Calibri" w:hAnsi="Arial"/>
          <w:sz w:val="24"/>
          <w:szCs w:val="24"/>
        </w:rPr>
        <w:t xml:space="preserve"> 50 but co-existing complications exist (e.g. </w:t>
      </w:r>
      <w:r w:rsidR="003B67C9">
        <w:rPr>
          <w:rFonts w:ascii="Arial" w:eastAsia="Calibri" w:hAnsi="Arial"/>
          <w:sz w:val="24"/>
          <w:szCs w:val="24"/>
        </w:rPr>
        <w:t>panniculus</w:t>
      </w:r>
      <w:r>
        <w:rPr>
          <w:rFonts w:ascii="Arial" w:eastAsia="Calibri" w:hAnsi="Arial"/>
          <w:sz w:val="24"/>
          <w:szCs w:val="24"/>
        </w:rPr>
        <w:t>/</w:t>
      </w:r>
      <w:r w:rsidR="00D04BEB" w:rsidRPr="00D04BEB">
        <w:rPr>
          <w:rFonts w:eastAsia="Calibri"/>
        </w:rPr>
        <w:t xml:space="preserve"> </w:t>
      </w:r>
      <w:r w:rsidR="00D04BEB" w:rsidRPr="00D04BEB">
        <w:rPr>
          <w:rFonts w:eastAsia="Calibri"/>
          <w:sz w:val="24"/>
          <w:szCs w:val="24"/>
        </w:rPr>
        <w:t xml:space="preserve">gestational diabetes </w:t>
      </w:r>
      <w:proofErr w:type="spellStart"/>
      <w:r w:rsidR="00D04BEB" w:rsidRPr="00D04BEB">
        <w:rPr>
          <w:rFonts w:eastAsia="Calibri"/>
          <w:sz w:val="24"/>
          <w:szCs w:val="24"/>
        </w:rPr>
        <w:t>melitis</w:t>
      </w:r>
      <w:proofErr w:type="spellEnd"/>
      <w:r w:rsidR="00D04BEB" w:rsidRPr="317A33D2">
        <w:rPr>
          <w:rFonts w:eastAsia="Calibri"/>
        </w:rPr>
        <w:t xml:space="preserve"> </w:t>
      </w:r>
      <w:r w:rsidR="00D04BEB">
        <w:rPr>
          <w:rFonts w:eastAsia="Calibri"/>
        </w:rPr>
        <w:t>(</w:t>
      </w:r>
      <w:r>
        <w:rPr>
          <w:rFonts w:ascii="Arial" w:eastAsia="Calibri" w:hAnsi="Arial"/>
          <w:sz w:val="24"/>
          <w:szCs w:val="24"/>
        </w:rPr>
        <w:t>GDM</w:t>
      </w:r>
      <w:r w:rsidR="00D04BEB">
        <w:rPr>
          <w:rFonts w:ascii="Arial" w:eastAsia="Calibri" w:hAnsi="Arial"/>
          <w:sz w:val="24"/>
          <w:szCs w:val="24"/>
        </w:rPr>
        <w:t>)</w:t>
      </w:r>
      <w:r>
        <w:rPr>
          <w:rFonts w:ascii="Arial" w:eastAsia="Calibri" w:hAnsi="Arial"/>
          <w:sz w:val="24"/>
          <w:szCs w:val="24"/>
        </w:rPr>
        <w:t xml:space="preserve"> with increasing insulin requirements), risk assessment regarding place of birth should occur on a case-by-case basis. </w:t>
      </w:r>
    </w:p>
    <w:p w14:paraId="42766525" w14:textId="57351661" w:rsidR="006C3E8F" w:rsidRPr="0038149A" w:rsidRDefault="00F346DE" w:rsidP="003A009A">
      <w:pPr>
        <w:pStyle w:val="Tabletitle-numbered"/>
        <w:rPr>
          <w:rFonts w:eastAsia="Calibri"/>
        </w:rPr>
      </w:pPr>
      <w:bookmarkStart w:id="12" w:name="_Hlk212227107"/>
      <w:r>
        <w:rPr>
          <w:rFonts w:eastAsia="Calibri"/>
        </w:rPr>
        <w:t>Suggested schedule of p</w:t>
      </w:r>
      <w:r w:rsidR="006C3E8F" w:rsidRPr="006C3E8F">
        <w:rPr>
          <w:rFonts w:eastAsia="Calibri"/>
        </w:rPr>
        <w:t xml:space="preserve">regnancy </w:t>
      </w:r>
      <w:r>
        <w:rPr>
          <w:rFonts w:eastAsia="Calibri"/>
        </w:rPr>
        <w:t>v</w:t>
      </w:r>
      <w:r w:rsidR="006C3E8F" w:rsidRPr="006C3E8F">
        <w:rPr>
          <w:rFonts w:eastAsia="Calibri"/>
        </w:rPr>
        <w:t>isit</w:t>
      </w:r>
      <w:r>
        <w:rPr>
          <w:rFonts w:eastAsia="Calibri"/>
        </w:rPr>
        <w:t xml:space="preserve">s </w:t>
      </w:r>
      <w:r w:rsidR="00EE1C7B">
        <w:rPr>
          <w:rFonts w:eastAsia="Calibri"/>
        </w:rPr>
        <w:t xml:space="preserve">BMI </w:t>
      </w:r>
      <w:r w:rsidR="00DE5E22">
        <w:rPr>
          <w:rFonts w:eastAsia="Calibri"/>
        </w:rPr>
        <w:t xml:space="preserve">greater than </w:t>
      </w:r>
      <w:r w:rsidR="00EE1C7B">
        <w:rPr>
          <w:rFonts w:eastAsia="Calibri"/>
        </w:rPr>
        <w:t xml:space="preserve">40 or </w:t>
      </w:r>
      <w:r w:rsidR="00DE5E22">
        <w:rPr>
          <w:rFonts w:eastAsia="Calibri"/>
        </w:rPr>
        <w:t xml:space="preserve">greater than </w:t>
      </w:r>
      <w:r w:rsidR="00950380">
        <w:rPr>
          <w:rFonts w:eastAsia="Calibri"/>
        </w:rPr>
        <w:t>35 with co-morbidity</w:t>
      </w:r>
    </w:p>
    <w:tbl>
      <w:tblPr>
        <w:tblStyle w:val="ListTable3-Accent1"/>
        <w:tblpPr w:leftFromText="180" w:rightFromText="180" w:vertAnchor="text" w:horzAnchor="margin" w:tblpY="129"/>
        <w:tblW w:w="102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6A0" w:firstRow="1" w:lastRow="0" w:firstColumn="1" w:lastColumn="0" w:noHBand="1" w:noVBand="1"/>
      </w:tblPr>
      <w:tblGrid>
        <w:gridCol w:w="2547"/>
        <w:gridCol w:w="7654"/>
      </w:tblGrid>
      <w:tr w:rsidR="006C3E8F" w14:paraId="63F62CD9" w14:textId="77777777" w:rsidTr="0070565D">
        <w:trPr>
          <w:cnfStyle w:val="100000000000" w:firstRow="1" w:lastRow="0" w:firstColumn="0" w:lastColumn="0" w:oddVBand="0" w:evenVBand="0" w:oddHBand="0" w:evenHBand="0" w:firstRowFirstColumn="0" w:firstRowLastColumn="0" w:lastRowFirstColumn="0" w:lastRowLastColumn="0"/>
          <w:trHeight w:val="567"/>
          <w:tblHeader/>
        </w:trPr>
        <w:tc>
          <w:tcPr>
            <w:cnfStyle w:val="001000000100" w:firstRow="0" w:lastRow="0" w:firstColumn="1" w:lastColumn="0" w:oddVBand="0" w:evenVBand="0" w:oddHBand="0" w:evenHBand="0" w:firstRowFirstColumn="1" w:firstRowLastColumn="0" w:lastRowFirstColumn="0" w:lastRowLastColumn="0"/>
            <w:tcW w:w="2547" w:type="dxa"/>
            <w:tcBorders>
              <w:bottom w:val="none" w:sz="0" w:space="0" w:color="auto"/>
              <w:right w:val="none" w:sz="0" w:space="0" w:color="auto"/>
            </w:tcBorders>
          </w:tcPr>
          <w:bookmarkEnd w:id="12"/>
          <w:p w14:paraId="11D15F8B" w14:textId="77777777" w:rsidR="006C3E8F" w:rsidRDefault="006C3E8F" w:rsidP="0038149A">
            <w:pPr>
              <w:pStyle w:val="BodyCopy"/>
              <w:spacing w:before="0" w:after="0"/>
              <w:rPr>
                <w:b w:val="0"/>
              </w:rPr>
            </w:pPr>
            <w:r w:rsidRPr="143A4CE6">
              <w:t>Gestation</w:t>
            </w:r>
          </w:p>
        </w:tc>
        <w:tc>
          <w:tcPr>
            <w:tcW w:w="7654" w:type="dxa"/>
          </w:tcPr>
          <w:p w14:paraId="284B1876" w14:textId="77777777" w:rsidR="006C3E8F" w:rsidRDefault="006C3E8F" w:rsidP="0038149A">
            <w:pPr>
              <w:pStyle w:val="BodyCopy"/>
              <w:spacing w:before="0" w:after="0"/>
              <w:cnfStyle w:val="100000000000" w:firstRow="1" w:lastRow="0" w:firstColumn="0" w:lastColumn="0" w:oddVBand="0" w:evenVBand="0" w:oddHBand="0" w:evenHBand="0" w:firstRowFirstColumn="0" w:firstRowLastColumn="0" w:lastRowFirstColumn="0" w:lastRowLastColumn="0"/>
              <w:rPr>
                <w:b w:val="0"/>
              </w:rPr>
            </w:pPr>
            <w:r w:rsidRPr="143A4CE6">
              <w:t xml:space="preserve">Appointment </w:t>
            </w:r>
            <w:r>
              <w:t>speciality</w:t>
            </w:r>
          </w:p>
        </w:tc>
      </w:tr>
      <w:tr w:rsidR="006C3E8F" w14:paraId="2F6156A2"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762373B2" w14:textId="77777777" w:rsidR="006C3E8F" w:rsidRPr="009522A6" w:rsidRDefault="006C3E8F" w:rsidP="0070565D">
            <w:pPr>
              <w:pStyle w:val="BodyCopy"/>
              <w:spacing w:before="0" w:after="0"/>
            </w:pPr>
            <w:r w:rsidRPr="009522A6">
              <w:t>12-14 weeks</w:t>
            </w:r>
          </w:p>
        </w:tc>
        <w:tc>
          <w:tcPr>
            <w:tcW w:w="7654" w:type="dxa"/>
          </w:tcPr>
          <w:p w14:paraId="491A5EF6" w14:textId="77777777" w:rsidR="006C3E8F" w:rsidRPr="009522A6"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 xml:space="preserve">Midwifery PAC </w:t>
            </w:r>
          </w:p>
          <w:p w14:paraId="13B9E168" w14:textId="0487FE04" w:rsidR="006C3E8F" w:rsidRPr="009522A6" w:rsidRDefault="00726217" w:rsidP="0038149A">
            <w:pPr>
              <w:pStyle w:val="BodyCopy"/>
              <w:numPr>
                <w:ilvl w:val="0"/>
                <w:numId w:val="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bCs w:val="0"/>
                <w:iCs w:val="0"/>
              </w:rPr>
            </w:pPr>
            <w:r>
              <w:rPr>
                <w:rFonts w:eastAsia="Arial"/>
                <w:bCs w:val="0"/>
                <w:iCs w:val="0"/>
              </w:rPr>
              <w:t xml:space="preserve">Review </w:t>
            </w:r>
            <w:r w:rsidR="001C6720">
              <w:rPr>
                <w:rFonts w:eastAsia="Arial"/>
                <w:bCs w:val="0"/>
                <w:iCs w:val="0"/>
              </w:rPr>
              <w:t>n</w:t>
            </w:r>
            <w:r w:rsidRPr="00726217">
              <w:rPr>
                <w:rFonts w:eastAsia="Arial"/>
                <w:bCs w:val="0"/>
                <w:iCs w:val="0"/>
              </w:rPr>
              <w:t>on-</w:t>
            </w:r>
            <w:r>
              <w:rPr>
                <w:rFonts w:eastAsia="Arial"/>
                <w:bCs w:val="0"/>
                <w:iCs w:val="0"/>
              </w:rPr>
              <w:t>i</w:t>
            </w:r>
            <w:r w:rsidRPr="00726217">
              <w:rPr>
                <w:rFonts w:eastAsia="Arial"/>
                <w:bCs w:val="0"/>
                <w:iCs w:val="0"/>
              </w:rPr>
              <w:t>nvasive prenatal testing (NIPT</w:t>
            </w:r>
            <w:r w:rsidR="009D0C1A">
              <w:rPr>
                <w:rFonts w:eastAsia="Arial"/>
                <w:bCs w:val="0"/>
                <w:iCs w:val="0"/>
              </w:rPr>
              <w:t>)</w:t>
            </w:r>
            <w:r w:rsidR="006C3E8F" w:rsidRPr="009522A6">
              <w:rPr>
                <w:rFonts w:eastAsia="Arial"/>
                <w:bCs w:val="0"/>
                <w:iCs w:val="0"/>
              </w:rPr>
              <w:t xml:space="preserve">. </w:t>
            </w:r>
          </w:p>
          <w:p w14:paraId="5D0904AF" w14:textId="2326158C" w:rsidR="006C3E8F" w:rsidRPr="009522A6" w:rsidRDefault="006C3E8F" w:rsidP="0038149A">
            <w:pPr>
              <w:pStyle w:val="BodyCopy"/>
              <w:numPr>
                <w:ilvl w:val="0"/>
                <w:numId w:val="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rPr>
            </w:pPr>
            <w:r w:rsidRPr="5D86F3CA">
              <w:rPr>
                <w:rFonts w:eastAsia="Arial"/>
              </w:rPr>
              <w:t xml:space="preserve">If </w:t>
            </w:r>
            <w:r w:rsidR="00F72103">
              <w:t>g</w:t>
            </w:r>
            <w:r w:rsidR="00F72103" w:rsidRPr="00F72103">
              <w:rPr>
                <w:rFonts w:eastAsia="Arial"/>
              </w:rPr>
              <w:t xml:space="preserve">lycosylated </w:t>
            </w:r>
            <w:r w:rsidR="00F72103">
              <w:rPr>
                <w:rFonts w:eastAsia="Arial"/>
              </w:rPr>
              <w:t>h</w:t>
            </w:r>
            <w:r w:rsidR="00F72103" w:rsidRPr="00F72103">
              <w:rPr>
                <w:rFonts w:eastAsia="Arial"/>
              </w:rPr>
              <w:t xml:space="preserve">aemoglobin </w:t>
            </w:r>
            <w:r w:rsidR="00F72103">
              <w:rPr>
                <w:rFonts w:eastAsia="Arial"/>
              </w:rPr>
              <w:t>(</w:t>
            </w:r>
            <w:r w:rsidRPr="5D86F3CA">
              <w:rPr>
                <w:rFonts w:eastAsia="Arial"/>
              </w:rPr>
              <w:t>HbA1c</w:t>
            </w:r>
            <w:r w:rsidR="00F72103">
              <w:rPr>
                <w:rFonts w:eastAsia="Arial"/>
              </w:rPr>
              <w:t>)</w:t>
            </w:r>
            <w:r w:rsidRPr="5D86F3CA">
              <w:rPr>
                <w:rFonts w:eastAsia="Arial"/>
              </w:rPr>
              <w:t xml:space="preserve"> has not already been completed, order to be completed as soon as possible to assess for risks of gestational diabetes. </w:t>
            </w:r>
          </w:p>
          <w:p w14:paraId="3E05865D" w14:textId="277949EE" w:rsidR="006C3E8F" w:rsidRPr="009522A6" w:rsidRDefault="006C3E8F" w:rsidP="0038149A">
            <w:pPr>
              <w:pStyle w:val="BodyCopy"/>
              <w:numPr>
                <w:ilvl w:val="0"/>
                <w:numId w:val="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rPr>
            </w:pPr>
            <w:r w:rsidRPr="5D86F3CA">
              <w:rPr>
                <w:rFonts w:eastAsia="Arial"/>
              </w:rPr>
              <w:t xml:space="preserve">Provide referral for routine 26-week pathology including </w:t>
            </w:r>
            <w:r w:rsidR="003B1C4D">
              <w:rPr>
                <w:rFonts w:eastAsia="Arial"/>
              </w:rPr>
              <w:t>oral glucose tolerance test</w:t>
            </w:r>
            <w:r w:rsidR="003B1C4D" w:rsidRPr="5D86F3CA">
              <w:rPr>
                <w:rFonts w:eastAsia="Arial"/>
              </w:rPr>
              <w:t xml:space="preserve"> </w:t>
            </w:r>
            <w:r w:rsidR="003B1C4D">
              <w:rPr>
                <w:rFonts w:eastAsia="Arial"/>
              </w:rPr>
              <w:t xml:space="preserve">(OGTT) </w:t>
            </w:r>
            <w:r w:rsidRPr="5D86F3CA">
              <w:rPr>
                <w:rFonts w:eastAsia="Arial"/>
              </w:rPr>
              <w:t>if not contraindicated.</w:t>
            </w:r>
          </w:p>
          <w:p w14:paraId="59120344" w14:textId="77777777" w:rsidR="00950380" w:rsidRDefault="006C3E8F" w:rsidP="0038149A">
            <w:pPr>
              <w:pStyle w:val="BodyCopy"/>
              <w:numPr>
                <w:ilvl w:val="0"/>
                <w:numId w:val="4"/>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rPr>
            </w:pPr>
            <w:r w:rsidRPr="5D86F3CA">
              <w:rPr>
                <w:rFonts w:eastAsia="Arial"/>
              </w:rPr>
              <w:t xml:space="preserve">Refer to high risk anaesthetic clinic </w:t>
            </w:r>
          </w:p>
          <w:p w14:paraId="12F667AA" w14:textId="7F28CB4E" w:rsidR="006C3E8F" w:rsidRDefault="006C3E8F" w:rsidP="003A009A">
            <w:pPr>
              <w:pStyle w:val="BodyCopy"/>
              <w:numPr>
                <w:ilvl w:val="0"/>
                <w:numId w:val="4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rPr>
            </w:pPr>
            <w:r w:rsidRPr="5D86F3CA">
              <w:rPr>
                <w:rFonts w:eastAsia="Arial"/>
              </w:rPr>
              <w:t>if BMI ≥50</w:t>
            </w:r>
            <w:r w:rsidR="00950380">
              <w:rPr>
                <w:rFonts w:eastAsia="Arial"/>
              </w:rPr>
              <w:t xml:space="preserve"> for CHWC</w:t>
            </w:r>
          </w:p>
          <w:p w14:paraId="750080FD" w14:textId="517084EA" w:rsidR="00950380" w:rsidRPr="009522A6" w:rsidRDefault="00950380" w:rsidP="003A009A">
            <w:pPr>
              <w:pStyle w:val="BodyCopy"/>
              <w:numPr>
                <w:ilvl w:val="0"/>
                <w:numId w:val="45"/>
              </w:numPr>
              <w:spacing w:before="0" w:after="0" w:line="240" w:lineRule="auto"/>
              <w:cnfStyle w:val="000000000000" w:firstRow="0" w:lastRow="0" w:firstColumn="0" w:lastColumn="0" w:oddVBand="0" w:evenVBand="0" w:oddHBand="0" w:evenHBand="0" w:firstRowFirstColumn="0" w:firstRowLastColumn="0" w:lastRowFirstColumn="0" w:lastRowLastColumn="0"/>
              <w:rPr>
                <w:rFonts w:eastAsia="Arial"/>
              </w:rPr>
            </w:pPr>
            <w:r>
              <w:rPr>
                <w:rFonts w:eastAsia="Arial"/>
              </w:rPr>
              <w:t>if BMI &gt;45 for NCH</w:t>
            </w:r>
          </w:p>
        </w:tc>
      </w:tr>
      <w:tr w:rsidR="006C3E8F" w14:paraId="529F2FA3"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44454DE8" w14:textId="5581EEA6" w:rsidR="006C3E8F" w:rsidRPr="009522A6" w:rsidRDefault="006C3E8F" w:rsidP="0070565D">
            <w:pPr>
              <w:pStyle w:val="BodyCopy"/>
              <w:spacing w:before="0" w:after="0"/>
            </w:pPr>
            <w:r>
              <w:t>16</w:t>
            </w:r>
            <w:r w:rsidR="00950380">
              <w:t>-19</w:t>
            </w:r>
            <w:r>
              <w:t xml:space="preserve"> weeks</w:t>
            </w:r>
          </w:p>
        </w:tc>
        <w:tc>
          <w:tcPr>
            <w:tcW w:w="7654" w:type="dxa"/>
          </w:tcPr>
          <w:p w14:paraId="31CA9AF1" w14:textId="77777777" w:rsidR="006C3E8F"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Midwifery</w:t>
            </w:r>
          </w:p>
          <w:p w14:paraId="44A6EB57" w14:textId="2A3F65AE" w:rsidR="006C3E8F" w:rsidRPr="00A630D9"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Cs w:val="0"/>
                <w:iCs w:val="0"/>
                <w:vertAlign w:val="superscript"/>
              </w:rPr>
            </w:pPr>
            <w:r>
              <w:rPr>
                <w:rFonts w:eastAsia="Arial"/>
                <w:bCs w:val="0"/>
                <w:iCs w:val="0"/>
              </w:rPr>
              <w:t>Routine care as per Australian Pregnancy Care guidelines</w:t>
            </w:r>
            <w:r w:rsidR="00A630D9">
              <w:rPr>
                <w:rFonts w:eastAsia="Arial"/>
                <w:bCs w:val="0"/>
                <w:iCs w:val="0"/>
              </w:rPr>
              <w:t xml:space="preserve"> </w:t>
            </w:r>
            <w:r w:rsidR="00A630D9">
              <w:rPr>
                <w:rFonts w:eastAsia="Arial"/>
                <w:bCs w:val="0"/>
                <w:iCs w:val="0"/>
                <w:vertAlign w:val="superscript"/>
              </w:rPr>
              <w:t>2</w:t>
            </w:r>
          </w:p>
        </w:tc>
      </w:tr>
      <w:tr w:rsidR="006C3E8F" w14:paraId="5FA24239"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3FF3618C" w14:textId="5B0C7861" w:rsidR="006C3E8F" w:rsidRPr="009522A6" w:rsidRDefault="006C3E8F" w:rsidP="0070565D">
            <w:pPr>
              <w:pStyle w:val="BodyCopy"/>
              <w:spacing w:before="0" w:after="0"/>
            </w:pPr>
            <w:r w:rsidRPr="009522A6">
              <w:t>2</w:t>
            </w:r>
            <w:r w:rsidR="00950380">
              <w:t>0-22</w:t>
            </w:r>
            <w:r w:rsidRPr="009522A6">
              <w:t xml:space="preserve"> weeks</w:t>
            </w:r>
          </w:p>
        </w:tc>
        <w:tc>
          <w:tcPr>
            <w:tcW w:w="7654" w:type="dxa"/>
          </w:tcPr>
          <w:p w14:paraId="76F20FD2" w14:textId="77777777" w:rsidR="006C3E8F" w:rsidRPr="009522A6"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Obstetric</w:t>
            </w:r>
          </w:p>
          <w:p w14:paraId="3F55F4EF" w14:textId="77777777" w:rsidR="006C3E8F" w:rsidRPr="009522A6"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Cs w:val="0"/>
                <w:iCs w:val="0"/>
              </w:rPr>
            </w:pPr>
            <w:r w:rsidRPr="009522A6">
              <w:rPr>
                <w:rFonts w:eastAsia="Arial"/>
                <w:bCs w:val="0"/>
                <w:iCs w:val="0"/>
              </w:rPr>
              <w:t xml:space="preserve">Review morphology and provide referrals for all upcoming ultrasound scans. </w:t>
            </w:r>
          </w:p>
        </w:tc>
      </w:tr>
      <w:tr w:rsidR="006C3E8F" w14:paraId="4F74261B"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6ED376E5" w14:textId="646D208C" w:rsidR="006C3E8F" w:rsidRPr="009522A6" w:rsidRDefault="006C3E8F" w:rsidP="0070565D">
            <w:pPr>
              <w:pStyle w:val="BodyCopy"/>
              <w:spacing w:before="0" w:after="0"/>
            </w:pPr>
            <w:r w:rsidRPr="009522A6">
              <w:t>26</w:t>
            </w:r>
            <w:r w:rsidR="00950380">
              <w:t>-28</w:t>
            </w:r>
            <w:r w:rsidRPr="009522A6">
              <w:t xml:space="preserve"> weeks </w:t>
            </w:r>
          </w:p>
        </w:tc>
        <w:tc>
          <w:tcPr>
            <w:tcW w:w="7654" w:type="dxa"/>
          </w:tcPr>
          <w:p w14:paraId="41852880" w14:textId="77777777" w:rsidR="006C3E8F" w:rsidRPr="009522A6"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 xml:space="preserve">Midwifery </w:t>
            </w:r>
          </w:p>
          <w:p w14:paraId="2C6F9356" w14:textId="1772B43C" w:rsidR="006C3E8F" w:rsidRPr="009522A6"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Cs w:val="0"/>
                <w:iCs w:val="0"/>
              </w:rPr>
            </w:pPr>
            <w:r w:rsidRPr="001E790F">
              <w:rPr>
                <w:rFonts w:eastAsia="Arial"/>
                <w:bCs w:val="0"/>
                <w:iCs w:val="0"/>
              </w:rPr>
              <w:t xml:space="preserve">Routine care as per Australian </w:t>
            </w:r>
            <w:r>
              <w:rPr>
                <w:rFonts w:eastAsia="Arial"/>
                <w:bCs w:val="0"/>
                <w:iCs w:val="0"/>
              </w:rPr>
              <w:t>P</w:t>
            </w:r>
            <w:r w:rsidRPr="001E790F">
              <w:rPr>
                <w:rFonts w:eastAsia="Arial"/>
                <w:bCs w:val="0"/>
                <w:iCs w:val="0"/>
              </w:rPr>
              <w:t xml:space="preserve">regnancy </w:t>
            </w:r>
            <w:r>
              <w:rPr>
                <w:rFonts w:eastAsia="Arial"/>
                <w:bCs w:val="0"/>
                <w:iCs w:val="0"/>
              </w:rPr>
              <w:t>C</w:t>
            </w:r>
            <w:r w:rsidRPr="001E790F">
              <w:rPr>
                <w:rFonts w:eastAsia="Arial"/>
                <w:bCs w:val="0"/>
                <w:iCs w:val="0"/>
              </w:rPr>
              <w:t>are guidelines</w:t>
            </w:r>
            <w:r w:rsidR="00A630D9">
              <w:rPr>
                <w:rFonts w:eastAsia="Arial"/>
                <w:bCs w:val="0"/>
                <w:iCs w:val="0"/>
              </w:rPr>
              <w:t xml:space="preserve"> </w:t>
            </w:r>
            <w:r w:rsidR="00A630D9">
              <w:rPr>
                <w:rFonts w:eastAsia="Arial"/>
                <w:vertAlign w:val="superscript"/>
              </w:rPr>
              <w:t>2</w:t>
            </w:r>
          </w:p>
        </w:tc>
      </w:tr>
      <w:tr w:rsidR="006C3E8F" w14:paraId="70C0EDE1"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35E6A7CF" w14:textId="0CF9AF0C" w:rsidR="006C3E8F" w:rsidRPr="009522A6" w:rsidRDefault="006C3E8F" w:rsidP="0070565D">
            <w:pPr>
              <w:pStyle w:val="BodyCopy"/>
              <w:spacing w:before="0" w:after="0"/>
            </w:pPr>
            <w:r w:rsidRPr="009522A6">
              <w:t xml:space="preserve">30 weeks </w:t>
            </w:r>
          </w:p>
        </w:tc>
        <w:tc>
          <w:tcPr>
            <w:tcW w:w="7654" w:type="dxa"/>
          </w:tcPr>
          <w:p w14:paraId="6CC08D68" w14:textId="77777777" w:rsidR="006C3E8F"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Midwifery</w:t>
            </w:r>
          </w:p>
          <w:p w14:paraId="31FDCD7C" w14:textId="46DA7925" w:rsidR="006C3E8F" w:rsidRPr="00A630D9"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vertAlign w:val="superscript"/>
              </w:rPr>
            </w:pPr>
            <w:r w:rsidRPr="001E790F">
              <w:rPr>
                <w:rFonts w:eastAsia="Arial"/>
                <w:bCs w:val="0"/>
                <w:iCs w:val="0"/>
              </w:rPr>
              <w:t xml:space="preserve">Routine care as per Australian </w:t>
            </w:r>
            <w:r>
              <w:rPr>
                <w:rFonts w:eastAsia="Arial"/>
                <w:bCs w:val="0"/>
                <w:iCs w:val="0"/>
              </w:rPr>
              <w:t>P</w:t>
            </w:r>
            <w:r w:rsidRPr="001E790F">
              <w:rPr>
                <w:rFonts w:eastAsia="Arial"/>
                <w:bCs w:val="0"/>
                <w:iCs w:val="0"/>
              </w:rPr>
              <w:t xml:space="preserve">regnancy </w:t>
            </w:r>
            <w:r>
              <w:rPr>
                <w:rFonts w:eastAsia="Arial"/>
                <w:bCs w:val="0"/>
                <w:iCs w:val="0"/>
              </w:rPr>
              <w:t>C</w:t>
            </w:r>
            <w:r w:rsidRPr="001E790F">
              <w:rPr>
                <w:rFonts w:eastAsia="Arial"/>
                <w:bCs w:val="0"/>
                <w:iCs w:val="0"/>
              </w:rPr>
              <w:t>are guidelines</w:t>
            </w:r>
            <w:r w:rsidR="00A630D9">
              <w:rPr>
                <w:rFonts w:eastAsia="Arial"/>
                <w:bCs w:val="0"/>
                <w:iCs w:val="0"/>
              </w:rPr>
              <w:t xml:space="preserve"> </w:t>
            </w:r>
            <w:r w:rsidR="00A630D9">
              <w:rPr>
                <w:rFonts w:eastAsia="Arial"/>
                <w:bCs w:val="0"/>
                <w:iCs w:val="0"/>
                <w:vertAlign w:val="superscript"/>
              </w:rPr>
              <w:t>2</w:t>
            </w:r>
          </w:p>
        </w:tc>
      </w:tr>
      <w:tr w:rsidR="006C3E8F" w14:paraId="6FCE1552"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3472B6CB" w14:textId="77777777" w:rsidR="006C3E8F" w:rsidRPr="009522A6" w:rsidRDefault="006C3E8F" w:rsidP="0070565D">
            <w:pPr>
              <w:pStyle w:val="BodyCopy"/>
              <w:spacing w:before="0" w:after="0"/>
            </w:pPr>
            <w:r w:rsidRPr="009522A6">
              <w:t xml:space="preserve">33 weeks </w:t>
            </w:r>
          </w:p>
        </w:tc>
        <w:tc>
          <w:tcPr>
            <w:tcW w:w="7654" w:type="dxa"/>
          </w:tcPr>
          <w:p w14:paraId="2FDB4C82" w14:textId="77777777" w:rsidR="006C3E8F"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Midwifery</w:t>
            </w:r>
          </w:p>
          <w:p w14:paraId="0B12EB00" w14:textId="26B57F4F" w:rsidR="006C3E8F" w:rsidRPr="00A630D9"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vertAlign w:val="superscript"/>
              </w:rPr>
            </w:pPr>
            <w:r w:rsidRPr="001E790F">
              <w:rPr>
                <w:rFonts w:eastAsia="Arial"/>
                <w:bCs w:val="0"/>
                <w:iCs w:val="0"/>
              </w:rPr>
              <w:t xml:space="preserve">Routine care as per </w:t>
            </w:r>
            <w:r w:rsidRPr="00405895">
              <w:rPr>
                <w:rFonts w:eastAsia="Calibri"/>
                <w:bCs w:val="0"/>
                <w:iCs w:val="0"/>
              </w:rPr>
              <w:t>Australian</w:t>
            </w:r>
            <w:r w:rsidRPr="00405895">
              <w:rPr>
                <w:rFonts w:eastAsia="Arial"/>
                <w:bCs w:val="0"/>
                <w:iCs w:val="0"/>
              </w:rPr>
              <w:t xml:space="preserve"> Pregnancy </w:t>
            </w:r>
            <w:r>
              <w:rPr>
                <w:rFonts w:eastAsia="Arial"/>
                <w:bCs w:val="0"/>
                <w:iCs w:val="0"/>
              </w:rPr>
              <w:t>C</w:t>
            </w:r>
            <w:r w:rsidRPr="001E790F">
              <w:rPr>
                <w:rFonts w:eastAsia="Arial"/>
                <w:bCs w:val="0"/>
                <w:iCs w:val="0"/>
              </w:rPr>
              <w:t>are guidelines</w:t>
            </w:r>
            <w:r w:rsidR="00A630D9">
              <w:rPr>
                <w:rFonts w:eastAsia="Arial"/>
                <w:bCs w:val="0"/>
                <w:iCs w:val="0"/>
              </w:rPr>
              <w:t xml:space="preserve"> </w:t>
            </w:r>
            <w:r w:rsidR="00A630D9">
              <w:rPr>
                <w:rFonts w:eastAsia="Arial"/>
                <w:bCs w:val="0"/>
                <w:iCs w:val="0"/>
                <w:vertAlign w:val="superscript"/>
              </w:rPr>
              <w:t>2</w:t>
            </w:r>
          </w:p>
        </w:tc>
      </w:tr>
      <w:tr w:rsidR="006C3E8F" w14:paraId="7CCE9677"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5014DF14" w14:textId="77777777" w:rsidR="006C3E8F" w:rsidRPr="009522A6" w:rsidRDefault="006C3E8F" w:rsidP="0070565D">
            <w:pPr>
              <w:pStyle w:val="BodyCopy"/>
              <w:spacing w:before="0" w:after="0"/>
            </w:pPr>
            <w:r w:rsidRPr="009522A6">
              <w:t xml:space="preserve">36 weeks </w:t>
            </w:r>
          </w:p>
        </w:tc>
        <w:tc>
          <w:tcPr>
            <w:tcW w:w="7654" w:type="dxa"/>
          </w:tcPr>
          <w:p w14:paraId="4BBED882" w14:textId="77777777" w:rsidR="006C3E8F" w:rsidRPr="009522A6"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Obstetric</w:t>
            </w:r>
          </w:p>
          <w:p w14:paraId="7384CFAF" w14:textId="77777777" w:rsidR="006C3E8F" w:rsidRPr="009522A6" w:rsidRDefault="006C3E8F" w:rsidP="003A009A">
            <w:pPr>
              <w:pStyle w:val="BodyCopy"/>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Arial"/>
                <w:bCs w:val="0"/>
                <w:iCs w:val="0"/>
              </w:rPr>
            </w:pPr>
            <w:r w:rsidRPr="009522A6">
              <w:rPr>
                <w:rFonts w:eastAsia="Arial"/>
                <w:bCs w:val="0"/>
                <w:iCs w:val="0"/>
              </w:rPr>
              <w:t>Timing and mode of birth discussion</w:t>
            </w:r>
          </w:p>
          <w:p w14:paraId="49207252" w14:textId="69991903" w:rsidR="006C3E8F" w:rsidRPr="009522A6" w:rsidRDefault="006C3E8F" w:rsidP="003A009A">
            <w:pPr>
              <w:pStyle w:val="BodyCopy"/>
              <w:numPr>
                <w:ilvl w:val="0"/>
                <w:numId w:val="23"/>
              </w:numPr>
              <w:spacing w:before="0" w:after="0"/>
              <w:cnfStyle w:val="000000000000" w:firstRow="0" w:lastRow="0" w:firstColumn="0" w:lastColumn="0" w:oddVBand="0" w:evenVBand="0" w:oddHBand="0" w:evenHBand="0" w:firstRowFirstColumn="0" w:firstRowLastColumn="0" w:lastRowFirstColumn="0" w:lastRowLastColumn="0"/>
              <w:rPr>
                <w:rFonts w:eastAsia="Arial"/>
                <w:bCs w:val="0"/>
                <w:iCs w:val="0"/>
              </w:rPr>
            </w:pPr>
            <w:r w:rsidRPr="009522A6">
              <w:rPr>
                <w:rFonts w:eastAsia="Arial"/>
                <w:bCs w:val="0"/>
                <w:iCs w:val="0"/>
              </w:rPr>
              <w:t xml:space="preserve">Offer </w:t>
            </w:r>
            <w:r w:rsidR="004945C5">
              <w:rPr>
                <w:rFonts w:eastAsia="Arial"/>
                <w:bCs w:val="0"/>
                <w:iCs w:val="0"/>
              </w:rPr>
              <w:t xml:space="preserve">prophylactic Group B Streptococcus screening  </w:t>
            </w:r>
          </w:p>
        </w:tc>
      </w:tr>
      <w:tr w:rsidR="006C3E8F" w14:paraId="4AB4FBD5"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1C6F5BE7" w14:textId="77777777" w:rsidR="006C3E8F" w:rsidRPr="009522A6" w:rsidRDefault="006C3E8F" w:rsidP="0070565D">
            <w:pPr>
              <w:pStyle w:val="BodyCopy"/>
              <w:spacing w:before="0" w:after="0"/>
            </w:pPr>
            <w:r w:rsidRPr="009522A6">
              <w:lastRenderedPageBreak/>
              <w:t xml:space="preserve">38 weeks </w:t>
            </w:r>
          </w:p>
        </w:tc>
        <w:tc>
          <w:tcPr>
            <w:tcW w:w="7654" w:type="dxa"/>
          </w:tcPr>
          <w:p w14:paraId="77256C61" w14:textId="77777777" w:rsidR="006C3E8F"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Midwifery</w:t>
            </w:r>
          </w:p>
          <w:p w14:paraId="71BBBFAB" w14:textId="5D4F77DB" w:rsidR="006C3E8F" w:rsidRPr="00A630D9"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Cs w:val="0"/>
                <w:iCs w:val="0"/>
                <w:vertAlign w:val="superscript"/>
              </w:rPr>
            </w:pPr>
            <w:r w:rsidRPr="001E790F">
              <w:rPr>
                <w:rFonts w:eastAsia="Arial"/>
                <w:bCs w:val="0"/>
                <w:iCs w:val="0"/>
              </w:rPr>
              <w:t xml:space="preserve">Routine care as per </w:t>
            </w:r>
            <w:r w:rsidRPr="00405895">
              <w:rPr>
                <w:rFonts w:eastAsia="Arial"/>
                <w:bCs w:val="0"/>
                <w:iCs w:val="0"/>
              </w:rPr>
              <w:t>Australian Pregnancy Care guidelines</w:t>
            </w:r>
            <w:r w:rsidRPr="00405895">
              <w:rPr>
                <w:rFonts w:eastAsia="Arial"/>
              </w:rPr>
              <w:t xml:space="preserve"> </w:t>
            </w:r>
            <w:r w:rsidR="00A630D9">
              <w:rPr>
                <w:rFonts w:eastAsia="Arial"/>
                <w:vertAlign w:val="superscript"/>
              </w:rPr>
              <w:t>2</w:t>
            </w:r>
          </w:p>
        </w:tc>
      </w:tr>
      <w:tr w:rsidR="006C3E8F" w14:paraId="7C2F39D5" w14:textId="77777777" w:rsidTr="0070565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right w:val="none" w:sz="0" w:space="0" w:color="auto"/>
            </w:tcBorders>
          </w:tcPr>
          <w:p w14:paraId="1C2DE5D6" w14:textId="77777777" w:rsidR="006C3E8F" w:rsidRPr="009522A6" w:rsidRDefault="006C3E8F" w:rsidP="0070565D">
            <w:pPr>
              <w:pStyle w:val="BodyCopy"/>
              <w:spacing w:before="0" w:after="0"/>
            </w:pPr>
            <w:r w:rsidRPr="009522A6">
              <w:t xml:space="preserve">40 weeks </w:t>
            </w:r>
          </w:p>
        </w:tc>
        <w:tc>
          <w:tcPr>
            <w:tcW w:w="7654" w:type="dxa"/>
          </w:tcPr>
          <w:p w14:paraId="27D6F2D9" w14:textId="77777777" w:rsidR="006C3E8F" w:rsidRPr="009522A6" w:rsidRDefault="006C3E8F" w:rsidP="0038149A">
            <w:pPr>
              <w:pStyle w:val="BodyCopy"/>
              <w:spacing w:before="0" w:after="0"/>
              <w:cnfStyle w:val="000000000000" w:firstRow="0" w:lastRow="0" w:firstColumn="0" w:lastColumn="0" w:oddVBand="0" w:evenVBand="0" w:oddHBand="0" w:evenHBand="0" w:firstRowFirstColumn="0" w:firstRowLastColumn="0" w:lastRowFirstColumn="0" w:lastRowLastColumn="0"/>
              <w:rPr>
                <w:rFonts w:eastAsia="Arial"/>
                <w:b/>
                <w:iCs w:val="0"/>
              </w:rPr>
            </w:pPr>
            <w:r w:rsidRPr="009522A6">
              <w:rPr>
                <w:rFonts w:eastAsia="Arial"/>
                <w:b/>
                <w:iCs w:val="0"/>
              </w:rPr>
              <w:t>Obstetric</w:t>
            </w:r>
          </w:p>
        </w:tc>
      </w:tr>
    </w:tbl>
    <w:p w14:paraId="77B6659C" w14:textId="5C1C7128" w:rsidR="086EF7AA" w:rsidRDefault="086EF7AA" w:rsidP="0070565D">
      <w:pPr>
        <w:pStyle w:val="Heading5"/>
      </w:pPr>
      <w:r>
        <w:t xml:space="preserve">Antenatal </w:t>
      </w:r>
      <w:r w:rsidR="00A32240">
        <w:t>Care</w:t>
      </w:r>
    </w:p>
    <w:p w14:paraId="04FF373A" w14:textId="5F655394" w:rsidR="00605B03" w:rsidRDefault="305F6FB9" w:rsidP="004945C5">
      <w:pPr>
        <w:pStyle w:val="Bullet"/>
        <w:rPr>
          <w:rFonts w:eastAsia="Arial"/>
        </w:rPr>
      </w:pPr>
      <w:r w:rsidRPr="5D86F3CA">
        <w:rPr>
          <w:rFonts w:eastAsia="Arial"/>
        </w:rPr>
        <w:t>All pregnant persons should have a height, weight and BMI measured and recorded in their antenatal record at their first antenatal appointment. Weight gain in pregnancy should be monitored by re-checking weight at least once in each trimester</w:t>
      </w:r>
      <w:r w:rsidR="003B1C4D">
        <w:rPr>
          <w:rFonts w:eastAsia="Arial"/>
        </w:rPr>
        <w:t>.</w:t>
      </w:r>
      <w:r w:rsidRPr="5D86F3CA">
        <w:rPr>
          <w:rFonts w:eastAsia="Arial"/>
          <w:vertAlign w:val="superscript"/>
        </w:rPr>
        <w:t>1</w:t>
      </w:r>
    </w:p>
    <w:p w14:paraId="3417E7F6" w14:textId="39DDE37B" w:rsidR="006F4A19" w:rsidRDefault="006F4A19" w:rsidP="004945C5">
      <w:pPr>
        <w:pStyle w:val="Bullet"/>
        <w:numPr>
          <w:ilvl w:val="1"/>
          <w:numId w:val="15"/>
        </w:numPr>
        <w:rPr>
          <w:rFonts w:eastAsia="Arial"/>
          <w:bCs/>
          <w:iCs/>
        </w:rPr>
      </w:pPr>
      <w:r w:rsidRPr="006F4A19">
        <w:rPr>
          <w:rFonts w:eastAsia="Arial"/>
          <w:bCs/>
          <w:iCs/>
        </w:rPr>
        <w:t xml:space="preserve">Women, Youth and Children Community Nutrition will accept referrals for pregnant persons living in the ACT with obesity. Women can self-refer via Central Health Intake (CHI) or can be referred by clinician via </w:t>
      </w:r>
      <w:r w:rsidR="003E5957">
        <w:rPr>
          <w:rFonts w:eastAsia="Arial"/>
          <w:bCs/>
          <w:iCs/>
        </w:rPr>
        <w:t>the Digital Health Record (</w:t>
      </w:r>
      <w:r w:rsidRPr="006F4A19">
        <w:rPr>
          <w:rFonts w:eastAsia="Arial"/>
          <w:bCs/>
          <w:iCs/>
        </w:rPr>
        <w:t>DHR</w:t>
      </w:r>
      <w:r w:rsidR="003E5957">
        <w:rPr>
          <w:rFonts w:eastAsia="Arial"/>
          <w:bCs/>
          <w:iCs/>
        </w:rPr>
        <w:t>)</w:t>
      </w:r>
      <w:r w:rsidRPr="006F4A19">
        <w:rPr>
          <w:rFonts w:eastAsia="Arial"/>
          <w:bCs/>
          <w:iCs/>
        </w:rPr>
        <w:t>.</w:t>
      </w:r>
    </w:p>
    <w:p w14:paraId="48337254" w14:textId="7033BE77" w:rsidR="006F4A19" w:rsidRPr="006F4A19" w:rsidRDefault="006F4A19" w:rsidP="004945C5">
      <w:pPr>
        <w:pStyle w:val="Bullet"/>
        <w:numPr>
          <w:ilvl w:val="1"/>
          <w:numId w:val="15"/>
        </w:numPr>
        <w:rPr>
          <w:rFonts w:eastAsia="Arial"/>
          <w:bCs/>
          <w:iCs/>
        </w:rPr>
      </w:pPr>
      <w:r w:rsidRPr="006F4A19">
        <w:rPr>
          <w:rFonts w:eastAsia="Arial"/>
          <w:bCs/>
          <w:iCs/>
        </w:rPr>
        <w:t xml:space="preserve"> </w:t>
      </w:r>
      <w:r>
        <w:rPr>
          <w:rFonts w:eastAsia="Arial"/>
          <w:bCs/>
          <w:iCs/>
        </w:rPr>
        <w:t xml:space="preserve">Pregnant persons residing in NSW but accessing pregnancy care through CHS </w:t>
      </w:r>
      <w:r w:rsidRPr="006F4A19">
        <w:rPr>
          <w:rFonts w:eastAsia="Arial"/>
          <w:bCs/>
          <w:iCs/>
        </w:rPr>
        <w:t xml:space="preserve">should be referred to Southern NSW Central Intake via email: </w:t>
      </w:r>
      <w:hyperlink r:id="rId11" w:history="1">
        <w:r w:rsidRPr="006F4A19">
          <w:rPr>
            <w:rStyle w:val="Hyperlink"/>
            <w:rFonts w:eastAsia="Arial"/>
            <w:bCs/>
            <w:iCs/>
          </w:rPr>
          <w:t>SNSWLHD-CommunityIntake@health.nsw.gov.au</w:t>
        </w:r>
      </w:hyperlink>
      <w:r>
        <w:rPr>
          <w:rFonts w:eastAsia="Arial"/>
          <w:bCs/>
          <w:iCs/>
        </w:rPr>
        <w:t xml:space="preserve"> </w:t>
      </w:r>
    </w:p>
    <w:p w14:paraId="7C9829F4" w14:textId="77777777" w:rsidR="00A32240" w:rsidRPr="00A32240" w:rsidRDefault="00A32240" w:rsidP="004945C5">
      <w:pPr>
        <w:pStyle w:val="Bullet"/>
        <w:rPr>
          <w:rFonts w:eastAsia="Arial"/>
          <w:bCs/>
          <w:iCs/>
        </w:rPr>
      </w:pPr>
      <w:r w:rsidRPr="00A32240">
        <w:rPr>
          <w:rFonts w:eastAsia="Arial"/>
          <w:bCs/>
          <w:iCs/>
        </w:rPr>
        <w:t xml:space="preserve">As part of the preadmission booking in visit (PAC), all pregnant persons should be provided with information on nutrition and weight gain during pregnancy. This conversation should focus on optimal health outcomes and pregnancy safety. Suggested weight gain and potential related complications as per </w:t>
      </w:r>
      <w:r w:rsidRPr="001C6720">
        <w:rPr>
          <w:rFonts w:eastAsia="Arial"/>
          <w:bCs/>
          <w:iCs/>
        </w:rPr>
        <w:t>Table 1.</w:t>
      </w:r>
      <w:r w:rsidRPr="00A32240">
        <w:rPr>
          <w:rFonts w:eastAsia="Arial"/>
          <w:bCs/>
          <w:iCs/>
        </w:rPr>
        <w:t xml:space="preserve"> </w:t>
      </w:r>
    </w:p>
    <w:p w14:paraId="748E6F3F" w14:textId="0D46C1E2" w:rsidR="00A32240" w:rsidRPr="00A32240" w:rsidRDefault="00E22F91" w:rsidP="004945C5">
      <w:pPr>
        <w:pStyle w:val="Bullet"/>
        <w:numPr>
          <w:ilvl w:val="0"/>
          <w:numId w:val="49"/>
        </w:numPr>
        <w:rPr>
          <w:rFonts w:eastAsia="Arial"/>
        </w:rPr>
      </w:pPr>
      <w:r>
        <w:rPr>
          <w:rFonts w:eastAsia="Arial"/>
        </w:rPr>
        <w:t xml:space="preserve">Where booking </w:t>
      </w:r>
      <w:r w:rsidR="4557CB05" w:rsidRPr="001C6720">
        <w:rPr>
          <w:rFonts w:eastAsia="Arial"/>
          <w:b/>
          <w:bCs/>
        </w:rPr>
        <w:t xml:space="preserve">BMI </w:t>
      </w:r>
      <w:r w:rsidR="00DE5E22">
        <w:rPr>
          <w:rFonts w:eastAsia="Arial"/>
          <w:b/>
          <w:bCs/>
        </w:rPr>
        <w:t xml:space="preserve">is </w:t>
      </w:r>
      <w:r w:rsidR="4557CB05" w:rsidRPr="001C6720">
        <w:rPr>
          <w:rFonts w:eastAsia="Arial"/>
          <w:b/>
          <w:bCs/>
        </w:rPr>
        <w:t>35</w:t>
      </w:r>
      <w:r w:rsidR="00DE5E22">
        <w:rPr>
          <w:rFonts w:eastAsia="Arial"/>
          <w:b/>
          <w:bCs/>
        </w:rPr>
        <w:t xml:space="preserve"> or above</w:t>
      </w:r>
      <w:r w:rsidRPr="001C6720">
        <w:rPr>
          <w:rFonts w:eastAsia="Arial"/>
          <w:b/>
          <w:bCs/>
        </w:rPr>
        <w:t>,</w:t>
      </w:r>
      <w:r w:rsidRPr="003A009A">
        <w:rPr>
          <w:rFonts w:eastAsia="Arial"/>
        </w:rPr>
        <w:t xml:space="preserve"> </w:t>
      </w:r>
      <w:r>
        <w:rPr>
          <w:rFonts w:eastAsia="Arial"/>
        </w:rPr>
        <w:t xml:space="preserve">antenatal </w:t>
      </w:r>
      <w:r w:rsidR="4557CB05" w:rsidRPr="00E22F91">
        <w:rPr>
          <w:rFonts w:eastAsia="Arial"/>
        </w:rPr>
        <w:t>ca</w:t>
      </w:r>
      <w:r w:rsidR="4557CB05" w:rsidRPr="5D86F3CA">
        <w:rPr>
          <w:rFonts w:eastAsia="Arial"/>
        </w:rPr>
        <w:t xml:space="preserve">re </w:t>
      </w:r>
      <w:r>
        <w:rPr>
          <w:rFonts w:eastAsia="Arial"/>
        </w:rPr>
        <w:t xml:space="preserve">should </w:t>
      </w:r>
      <w:r w:rsidR="004945C5">
        <w:rPr>
          <w:rFonts w:eastAsia="Arial"/>
        </w:rPr>
        <w:t xml:space="preserve">be </w:t>
      </w:r>
      <w:r w:rsidR="4557CB05" w:rsidRPr="5D86F3CA">
        <w:rPr>
          <w:rFonts w:eastAsia="Arial"/>
        </w:rPr>
        <w:t>individualised</w:t>
      </w:r>
      <w:r w:rsidR="00D52FE6">
        <w:rPr>
          <w:rFonts w:eastAsia="Arial"/>
        </w:rPr>
        <w:t xml:space="preserve">, </w:t>
      </w:r>
      <w:r w:rsidR="4557CB05" w:rsidRPr="5D86F3CA">
        <w:rPr>
          <w:rFonts w:eastAsia="Arial"/>
        </w:rPr>
        <w:t>decisions and plans should be explained clearly and in consultation</w:t>
      </w:r>
      <w:r w:rsidR="00D52FE6">
        <w:rPr>
          <w:rFonts w:eastAsia="Arial"/>
        </w:rPr>
        <w:t xml:space="preserve">. </w:t>
      </w:r>
    </w:p>
    <w:p w14:paraId="42A60509" w14:textId="6A70362B" w:rsidR="00A32240" w:rsidRPr="00D52FE6" w:rsidRDefault="002108F7" w:rsidP="004945C5">
      <w:pPr>
        <w:pStyle w:val="Bullet"/>
        <w:numPr>
          <w:ilvl w:val="0"/>
          <w:numId w:val="49"/>
        </w:numPr>
        <w:rPr>
          <w:rFonts w:eastAsia="Arial"/>
        </w:rPr>
      </w:pPr>
      <w:r w:rsidRPr="00D52FE6">
        <w:rPr>
          <w:rFonts w:eastAsia="Arial"/>
        </w:rPr>
        <w:t>Where booking</w:t>
      </w:r>
      <w:r w:rsidR="4557CB05" w:rsidRPr="00D52FE6">
        <w:rPr>
          <w:rFonts w:eastAsia="Arial"/>
        </w:rPr>
        <w:t xml:space="preserve"> </w:t>
      </w:r>
      <w:r w:rsidR="4557CB05" w:rsidRPr="001C6720">
        <w:rPr>
          <w:rFonts w:eastAsia="Arial"/>
          <w:b/>
          <w:bCs/>
        </w:rPr>
        <w:t>BMI</w:t>
      </w:r>
      <w:r w:rsidR="00DE5E22">
        <w:rPr>
          <w:rFonts w:eastAsia="Arial"/>
          <w:b/>
          <w:bCs/>
        </w:rPr>
        <w:t xml:space="preserve"> is </w:t>
      </w:r>
      <w:r w:rsidR="4557CB05" w:rsidRPr="001C6720">
        <w:rPr>
          <w:rFonts w:eastAsia="Arial"/>
          <w:b/>
          <w:bCs/>
        </w:rPr>
        <w:t xml:space="preserve">35 </w:t>
      </w:r>
      <w:r w:rsidR="00DE5E22">
        <w:rPr>
          <w:rFonts w:eastAsia="Arial"/>
          <w:b/>
          <w:bCs/>
        </w:rPr>
        <w:t>or above</w:t>
      </w:r>
      <w:r w:rsidR="00DE5E22" w:rsidRPr="001C6720">
        <w:rPr>
          <w:rFonts w:eastAsia="Arial"/>
          <w:b/>
          <w:bCs/>
        </w:rPr>
        <w:t xml:space="preserve"> </w:t>
      </w:r>
      <w:r w:rsidRPr="001C6720">
        <w:rPr>
          <w:rFonts w:eastAsia="Arial"/>
          <w:b/>
          <w:bCs/>
        </w:rPr>
        <w:t>and there are</w:t>
      </w:r>
      <w:r w:rsidR="4557CB05" w:rsidRPr="001C6720">
        <w:rPr>
          <w:rFonts w:eastAsia="Arial"/>
          <w:b/>
          <w:bCs/>
        </w:rPr>
        <w:t xml:space="preserve"> co-existing medical/pregnancy related complications </w:t>
      </w:r>
      <w:r w:rsidRPr="001C6720">
        <w:rPr>
          <w:rFonts w:eastAsia="Arial"/>
          <w:b/>
          <w:bCs/>
        </w:rPr>
        <w:t>or BMI</w:t>
      </w:r>
      <w:r w:rsidR="00DE5E22">
        <w:rPr>
          <w:rFonts w:eastAsia="Arial"/>
          <w:b/>
          <w:bCs/>
        </w:rPr>
        <w:t xml:space="preserve"> is </w:t>
      </w:r>
      <w:r w:rsidRPr="001C6720">
        <w:rPr>
          <w:rFonts w:eastAsia="Arial"/>
          <w:b/>
          <w:bCs/>
        </w:rPr>
        <w:t>40</w:t>
      </w:r>
      <w:r w:rsidRPr="00D52FE6">
        <w:rPr>
          <w:rFonts w:eastAsia="Arial"/>
        </w:rPr>
        <w:t xml:space="preserve"> </w:t>
      </w:r>
      <w:r w:rsidR="00DE5E22">
        <w:rPr>
          <w:rFonts w:eastAsia="Arial"/>
          <w:b/>
          <w:bCs/>
        </w:rPr>
        <w:t>or above</w:t>
      </w:r>
      <w:r w:rsidRPr="00D52FE6">
        <w:rPr>
          <w:rFonts w:eastAsia="Arial"/>
        </w:rPr>
        <w:t xml:space="preserve"> - refer to </w:t>
      </w:r>
      <w:r w:rsidR="4557CB05" w:rsidRPr="00D52FE6">
        <w:rPr>
          <w:rFonts w:eastAsia="Arial"/>
        </w:rPr>
        <w:t xml:space="preserve">obstetric clinic </w:t>
      </w:r>
      <w:r w:rsidRPr="00D52FE6">
        <w:rPr>
          <w:rFonts w:eastAsia="Arial"/>
        </w:rPr>
        <w:t xml:space="preserve">with associated </w:t>
      </w:r>
      <w:r w:rsidR="4557CB05" w:rsidRPr="00D52FE6">
        <w:rPr>
          <w:rFonts w:eastAsia="Arial"/>
        </w:rPr>
        <w:t xml:space="preserve">midwifery care. </w:t>
      </w:r>
    </w:p>
    <w:p w14:paraId="1386ACAA" w14:textId="69C29F90" w:rsidR="00A32240" w:rsidRDefault="002108F7" w:rsidP="004945C5">
      <w:pPr>
        <w:pStyle w:val="Bullet"/>
        <w:rPr>
          <w:rFonts w:eastAsia="Arial"/>
          <w:bCs/>
          <w:iCs/>
        </w:rPr>
      </w:pPr>
      <w:r>
        <w:rPr>
          <w:rFonts w:eastAsia="Arial"/>
          <w:bCs/>
          <w:iCs/>
        </w:rPr>
        <w:t>All p</w:t>
      </w:r>
      <w:r w:rsidR="00A32240" w:rsidRPr="00A32240">
        <w:rPr>
          <w:rFonts w:eastAsia="Arial"/>
          <w:bCs/>
          <w:iCs/>
        </w:rPr>
        <w:t xml:space="preserve">regnant persons with a BMI </w:t>
      </w:r>
      <w:r w:rsidR="00DE5E22">
        <w:rPr>
          <w:rFonts w:eastAsia="Arial"/>
          <w:bCs/>
          <w:iCs/>
        </w:rPr>
        <w:t xml:space="preserve">of </w:t>
      </w:r>
      <w:r w:rsidR="00A32240" w:rsidRPr="00A32240">
        <w:rPr>
          <w:rFonts w:eastAsia="Arial"/>
          <w:bCs/>
          <w:iCs/>
        </w:rPr>
        <w:t>35</w:t>
      </w:r>
      <w:r w:rsidR="00DE5E22">
        <w:rPr>
          <w:rFonts w:eastAsia="Arial"/>
          <w:bCs/>
          <w:iCs/>
        </w:rPr>
        <w:t xml:space="preserve"> or above</w:t>
      </w:r>
      <w:r w:rsidR="00A32240" w:rsidRPr="00A32240">
        <w:rPr>
          <w:rFonts w:eastAsia="Arial"/>
          <w:bCs/>
          <w:iCs/>
        </w:rPr>
        <w:t xml:space="preserve"> should be offered referral for dietitian services</w:t>
      </w:r>
    </w:p>
    <w:p w14:paraId="7467A153" w14:textId="244B1B5F" w:rsidR="004945C5" w:rsidRPr="001C6720" w:rsidRDefault="002108F7" w:rsidP="004945C5">
      <w:pPr>
        <w:pStyle w:val="Bullet"/>
        <w:rPr>
          <w:rFonts w:eastAsia="Arial"/>
          <w:bCs/>
          <w:iCs/>
        </w:rPr>
      </w:pPr>
      <w:r>
        <w:rPr>
          <w:rFonts w:eastAsia="Arial"/>
          <w:bCs/>
          <w:iCs/>
        </w:rPr>
        <w:t>Provide education/</w:t>
      </w:r>
      <w:r w:rsidR="001D588C">
        <w:rPr>
          <w:rFonts w:eastAsia="Arial"/>
          <w:bCs/>
          <w:iCs/>
        </w:rPr>
        <w:t>recommendations for exercise during pregnancy</w:t>
      </w:r>
      <w:r w:rsidR="003B1C4D">
        <w:rPr>
          <w:rFonts w:eastAsia="Arial"/>
          <w:bCs/>
          <w:iCs/>
        </w:rPr>
        <w:t>.</w:t>
      </w:r>
      <w:r w:rsidR="001D588C">
        <w:rPr>
          <w:rFonts w:eastAsia="Arial"/>
          <w:bCs/>
          <w:iCs/>
          <w:vertAlign w:val="superscript"/>
        </w:rPr>
        <w:t>2.</w:t>
      </w:r>
    </w:p>
    <w:p w14:paraId="4DABD6A1" w14:textId="2E9710AE" w:rsidR="001D588C" w:rsidRDefault="001D588C" w:rsidP="004945C5">
      <w:pPr>
        <w:pStyle w:val="Bullet"/>
        <w:numPr>
          <w:ilvl w:val="0"/>
          <w:numId w:val="50"/>
        </w:numPr>
        <w:rPr>
          <w:rFonts w:eastAsia="Arial"/>
          <w:bCs/>
          <w:iCs/>
        </w:rPr>
      </w:pPr>
      <w:r>
        <w:rPr>
          <w:rFonts w:eastAsia="Arial"/>
          <w:bCs/>
          <w:iCs/>
        </w:rPr>
        <w:t xml:space="preserve">Offer </w:t>
      </w:r>
      <w:r w:rsidRPr="001D588C">
        <w:rPr>
          <w:rFonts w:eastAsia="Arial"/>
          <w:bCs/>
          <w:iCs/>
        </w:rPr>
        <w:t xml:space="preserve">referral to </w:t>
      </w:r>
      <w:r>
        <w:rPr>
          <w:rFonts w:eastAsia="Arial"/>
          <w:bCs/>
          <w:iCs/>
        </w:rPr>
        <w:t xml:space="preserve">CHS </w:t>
      </w:r>
      <w:r w:rsidRPr="001D588C">
        <w:rPr>
          <w:rFonts w:eastAsia="Arial"/>
          <w:bCs/>
          <w:iCs/>
        </w:rPr>
        <w:t>Physiotherapy for antenatal exercise classes</w:t>
      </w:r>
      <w:r>
        <w:rPr>
          <w:rFonts w:eastAsia="Arial"/>
          <w:bCs/>
          <w:iCs/>
        </w:rPr>
        <w:t>, if accepted, place as priority physiotherapy outpatient referral through DHR.</w:t>
      </w:r>
    </w:p>
    <w:p w14:paraId="2B5A2ACB" w14:textId="77777777" w:rsidR="007747ED" w:rsidRDefault="004C6C6F" w:rsidP="004945C5">
      <w:pPr>
        <w:pStyle w:val="Bullet"/>
        <w:rPr>
          <w:rFonts w:cstheme="minorHAnsi"/>
          <w:color w:val="000000"/>
        </w:rPr>
      </w:pPr>
      <w:r w:rsidRPr="004C6C6F">
        <w:rPr>
          <w:rFonts w:cstheme="minorHAnsi"/>
          <w:color w:val="000000"/>
        </w:rPr>
        <w:t>Provide antenatal breastfeeding education to enable informed decision making</w:t>
      </w:r>
      <w:r>
        <w:rPr>
          <w:rFonts w:cstheme="minorHAnsi"/>
          <w:color w:val="000000"/>
        </w:rPr>
        <w:t>.</w:t>
      </w:r>
    </w:p>
    <w:p w14:paraId="2CADAAD6" w14:textId="5DA65298" w:rsidR="00F17443" w:rsidRDefault="004C6C6F" w:rsidP="004945C5">
      <w:pPr>
        <w:pStyle w:val="Bullet"/>
        <w:numPr>
          <w:ilvl w:val="0"/>
          <w:numId w:val="50"/>
        </w:numPr>
        <w:rPr>
          <w:rFonts w:cstheme="minorHAnsi"/>
          <w:color w:val="000000"/>
        </w:rPr>
      </w:pPr>
      <w:r>
        <w:rPr>
          <w:rFonts w:cstheme="minorHAnsi"/>
          <w:color w:val="000000"/>
        </w:rPr>
        <w:t>O</w:t>
      </w:r>
      <w:r w:rsidRPr="004C6C6F">
        <w:rPr>
          <w:rFonts w:cstheme="minorHAnsi"/>
          <w:color w:val="000000"/>
        </w:rPr>
        <w:t>besity is associated with lower rates of breastfeeding uptake and continuation</w:t>
      </w:r>
      <w:r w:rsidR="003B1C4D">
        <w:rPr>
          <w:rFonts w:cstheme="minorHAnsi"/>
          <w:color w:val="000000"/>
        </w:rPr>
        <w:t>.</w:t>
      </w:r>
      <w:r>
        <w:rPr>
          <w:rFonts w:cstheme="minorHAnsi"/>
          <w:color w:val="000000"/>
          <w:vertAlign w:val="superscript"/>
        </w:rPr>
        <w:t>1</w:t>
      </w:r>
      <w:r>
        <w:rPr>
          <w:rFonts w:cstheme="minorHAnsi"/>
          <w:color w:val="000000"/>
        </w:rPr>
        <w:t xml:space="preserve"> </w:t>
      </w:r>
    </w:p>
    <w:p w14:paraId="13F47E62" w14:textId="4E54446F" w:rsidR="007747ED" w:rsidRPr="007747ED" w:rsidRDefault="007747ED" w:rsidP="007747ED">
      <w:pPr>
        <w:pStyle w:val="Bullet"/>
        <w:numPr>
          <w:ilvl w:val="0"/>
          <w:numId w:val="50"/>
        </w:numPr>
        <w:rPr>
          <w:rFonts w:cstheme="minorHAnsi"/>
          <w:color w:val="000000"/>
        </w:rPr>
      </w:pPr>
      <w:r>
        <w:rPr>
          <w:rFonts w:cstheme="minorHAnsi"/>
          <w:color w:val="000000"/>
        </w:rPr>
        <w:t xml:space="preserve">Support with breastfeeding, </w:t>
      </w:r>
      <w:r w:rsidRPr="007747ED">
        <w:rPr>
          <w:rFonts w:cstheme="minorHAnsi"/>
          <w:color w:val="000000"/>
        </w:rPr>
        <w:t>antenatally and immediately following birth</w:t>
      </w:r>
      <w:r>
        <w:rPr>
          <w:rFonts w:cstheme="minorHAnsi"/>
          <w:color w:val="000000"/>
        </w:rPr>
        <w:t xml:space="preserve">, can </w:t>
      </w:r>
      <w:r w:rsidRPr="007747ED">
        <w:rPr>
          <w:rFonts w:cstheme="minorHAnsi"/>
          <w:color w:val="000000"/>
        </w:rPr>
        <w:t>assist with the initiation and maintenance of breastfeeding</w:t>
      </w:r>
    </w:p>
    <w:p w14:paraId="7B1181DB" w14:textId="39424DC3" w:rsidR="004C6C6F" w:rsidRPr="00F17443" w:rsidRDefault="001317FA" w:rsidP="001317FA">
      <w:pPr>
        <w:pStyle w:val="Bullet"/>
        <w:numPr>
          <w:ilvl w:val="0"/>
          <w:numId w:val="51"/>
        </w:numPr>
        <w:rPr>
          <w:rFonts w:cstheme="minorHAnsi"/>
          <w:color w:val="000000"/>
        </w:rPr>
      </w:pPr>
      <w:r>
        <w:rPr>
          <w:rFonts w:cstheme="minorHAnsi"/>
          <w:color w:val="000000"/>
        </w:rPr>
        <w:t>F</w:t>
      </w:r>
      <w:r w:rsidRPr="001317FA">
        <w:rPr>
          <w:rFonts w:cstheme="minorHAnsi"/>
          <w:color w:val="000000"/>
        </w:rPr>
        <w:t>or further information on breastfeeding education</w:t>
      </w:r>
      <w:r>
        <w:rPr>
          <w:rFonts w:cstheme="minorHAnsi"/>
          <w:color w:val="000000"/>
        </w:rPr>
        <w:t xml:space="preserve"> during pregnancy, antenatal </w:t>
      </w:r>
      <w:proofErr w:type="gramStart"/>
      <w:r>
        <w:rPr>
          <w:rFonts w:cstheme="minorHAnsi"/>
          <w:color w:val="000000"/>
        </w:rPr>
        <w:t>expressing,  and</w:t>
      </w:r>
      <w:proofErr w:type="gramEnd"/>
      <w:r>
        <w:rPr>
          <w:rFonts w:cstheme="minorHAnsi"/>
          <w:color w:val="000000"/>
        </w:rPr>
        <w:t xml:space="preserve"> neonates who are considered to have a higher risk for requiring supplementary breastmilk </w:t>
      </w:r>
      <w:r w:rsidRPr="001317FA">
        <w:rPr>
          <w:rFonts w:cstheme="minorHAnsi"/>
          <w:color w:val="000000"/>
        </w:rPr>
        <w:t xml:space="preserve">(e.g. </w:t>
      </w:r>
      <w:r>
        <w:rPr>
          <w:rFonts w:cstheme="minorHAnsi"/>
          <w:color w:val="000000"/>
        </w:rPr>
        <w:t xml:space="preserve">neonates at </w:t>
      </w:r>
      <w:r w:rsidRPr="001317FA">
        <w:rPr>
          <w:rFonts w:cstheme="minorHAnsi"/>
          <w:color w:val="000000"/>
        </w:rPr>
        <w:t xml:space="preserve">risk of hypoglycaemia), </w:t>
      </w:r>
      <w:r w:rsidR="004C6C6F" w:rsidRPr="00F17443">
        <w:rPr>
          <w:rFonts w:cstheme="minorHAnsi"/>
          <w:color w:val="000000"/>
        </w:rPr>
        <w:t xml:space="preserve">Refer to </w:t>
      </w:r>
      <w:r w:rsidR="00607039">
        <w:rPr>
          <w:rFonts w:cstheme="minorHAnsi"/>
          <w:color w:val="000000"/>
        </w:rPr>
        <w:t>S</w:t>
      </w:r>
      <w:r w:rsidR="00607039" w:rsidRPr="00F17443">
        <w:rPr>
          <w:rFonts w:cstheme="minorHAnsi"/>
          <w:color w:val="000000"/>
        </w:rPr>
        <w:t xml:space="preserve">ection 3 </w:t>
      </w:r>
      <w:r w:rsidR="00607039">
        <w:rPr>
          <w:rFonts w:cstheme="minorHAnsi"/>
          <w:color w:val="000000"/>
        </w:rPr>
        <w:t xml:space="preserve">of </w:t>
      </w:r>
      <w:r w:rsidR="00607039" w:rsidRPr="001C6720">
        <w:rPr>
          <w:rFonts w:cstheme="minorHAnsi"/>
          <w:color w:val="000000"/>
        </w:rPr>
        <w:t xml:space="preserve">the </w:t>
      </w:r>
      <w:r w:rsidR="004C6C6F" w:rsidRPr="007747ED">
        <w:rPr>
          <w:rFonts w:cstheme="minorHAnsi"/>
          <w:i/>
          <w:iCs/>
          <w:color w:val="000000"/>
        </w:rPr>
        <w:t>Breastfeeding Guideline</w:t>
      </w:r>
      <w:r w:rsidR="004C6C6F" w:rsidRPr="00F17443">
        <w:rPr>
          <w:rFonts w:cstheme="minorHAnsi"/>
          <w:color w:val="000000"/>
        </w:rPr>
        <w:t xml:space="preserve">, </w:t>
      </w:r>
      <w:r w:rsidR="00607039">
        <w:rPr>
          <w:rFonts w:cstheme="minorHAnsi"/>
          <w:color w:val="000000"/>
        </w:rPr>
        <w:t>available on the Policy and Guidance Documents register</w:t>
      </w:r>
      <w:r w:rsidR="000D6958" w:rsidRPr="00F17443">
        <w:rPr>
          <w:rFonts w:cstheme="minorHAnsi"/>
          <w:color w:val="000000"/>
        </w:rPr>
        <w:t>.</w:t>
      </w:r>
    </w:p>
    <w:p w14:paraId="415322C8" w14:textId="7D91D30E" w:rsidR="000E77A8" w:rsidRDefault="000E77A8" w:rsidP="000E77A8">
      <w:pPr>
        <w:pStyle w:val="Heading5"/>
      </w:pPr>
      <w:r>
        <w:lastRenderedPageBreak/>
        <w:t>Antenatal Screening</w:t>
      </w:r>
    </w:p>
    <w:p w14:paraId="65979A14" w14:textId="052E5FE6" w:rsidR="00933875" w:rsidRPr="00D27E6D" w:rsidRDefault="00933875" w:rsidP="001317FA">
      <w:pPr>
        <w:pStyle w:val="Heading6"/>
        <w:rPr>
          <w:rStyle w:val="Bold"/>
          <w:b w:val="0"/>
          <w:bCs w:val="0"/>
          <w:iCs/>
          <w:color w:val="3D2262" w:themeColor="accent1"/>
          <w:szCs w:val="36"/>
        </w:rPr>
      </w:pPr>
      <w:r w:rsidRPr="00D27E6D">
        <w:rPr>
          <w:rStyle w:val="Bold"/>
          <w:b w:val="0"/>
          <w:bCs w:val="0"/>
        </w:rPr>
        <w:t xml:space="preserve">Hyperglycaemia </w:t>
      </w:r>
    </w:p>
    <w:p w14:paraId="4652467D" w14:textId="3593AFA0" w:rsidR="00BB5D9D" w:rsidRPr="00933875" w:rsidRDefault="00F02D87" w:rsidP="00D27E6D">
      <w:pPr>
        <w:pStyle w:val="BodyCopy"/>
        <w:rPr>
          <w:rFonts w:eastAsia="Arial"/>
        </w:rPr>
      </w:pPr>
      <w:r w:rsidRPr="00933875">
        <w:rPr>
          <w:rFonts w:eastAsia="Arial"/>
        </w:rPr>
        <w:t xml:space="preserve">Pregnant women/birthing persons </w:t>
      </w:r>
      <w:r w:rsidR="3DEDC49F" w:rsidRPr="00933875">
        <w:rPr>
          <w:rFonts w:eastAsia="Arial"/>
        </w:rPr>
        <w:t xml:space="preserve">with obesity </w:t>
      </w:r>
      <w:r w:rsidRPr="00933875">
        <w:rPr>
          <w:rFonts w:eastAsia="Arial"/>
        </w:rPr>
        <w:t xml:space="preserve">have an increased risk of </w:t>
      </w:r>
      <w:r w:rsidR="00933875">
        <w:rPr>
          <w:rFonts w:eastAsia="Arial"/>
        </w:rPr>
        <w:t xml:space="preserve">developing gestational diabetes. </w:t>
      </w:r>
      <w:r w:rsidR="00562E91" w:rsidRPr="00933875">
        <w:rPr>
          <w:rFonts w:eastAsia="Arial"/>
        </w:rPr>
        <w:t xml:space="preserve">The Australian Diabetes in Pregnancy Society recommends </w:t>
      </w:r>
      <w:r w:rsidRPr="00933875">
        <w:rPr>
          <w:rFonts w:eastAsia="Arial"/>
          <w:bCs w:val="0"/>
          <w:iCs w:val="0"/>
        </w:rPr>
        <w:t>first trimester screening</w:t>
      </w:r>
      <w:r w:rsidR="00562E91" w:rsidRPr="00933875">
        <w:rPr>
          <w:rFonts w:eastAsia="Arial"/>
          <w:bCs w:val="0"/>
          <w:iCs w:val="0"/>
        </w:rPr>
        <w:t xml:space="preserve"> with</w:t>
      </w:r>
      <w:r w:rsidRPr="00933875">
        <w:rPr>
          <w:rFonts w:eastAsia="Arial"/>
          <w:bCs w:val="0"/>
          <w:iCs w:val="0"/>
        </w:rPr>
        <w:t xml:space="preserve"> </w:t>
      </w:r>
      <w:r w:rsidR="002D3110" w:rsidRPr="00933875">
        <w:rPr>
          <w:rFonts w:eastAsia="Arial"/>
        </w:rPr>
        <w:t>H</w:t>
      </w:r>
      <w:r w:rsidR="00BB5D9D" w:rsidRPr="00933875">
        <w:rPr>
          <w:rFonts w:eastAsia="Arial"/>
        </w:rPr>
        <w:t>b</w:t>
      </w:r>
      <w:r w:rsidR="002D3110" w:rsidRPr="00933875">
        <w:rPr>
          <w:rFonts w:eastAsia="Arial"/>
        </w:rPr>
        <w:t>A1C</w:t>
      </w:r>
      <w:r w:rsidR="00562E91" w:rsidRPr="00933875">
        <w:rPr>
          <w:rFonts w:eastAsia="Arial"/>
        </w:rPr>
        <w:t xml:space="preserve"> measured before 20 weeks gestation </w:t>
      </w:r>
      <w:r w:rsidR="002D3110" w:rsidRPr="00933875">
        <w:rPr>
          <w:rFonts w:eastAsia="Arial"/>
        </w:rPr>
        <w:t xml:space="preserve">(ideally </w:t>
      </w:r>
      <w:r w:rsidR="00562E91" w:rsidRPr="00933875">
        <w:rPr>
          <w:rFonts w:eastAsia="Arial"/>
        </w:rPr>
        <w:t>1</w:t>
      </w:r>
      <w:r w:rsidR="002D3110" w:rsidRPr="00933875">
        <w:rPr>
          <w:rFonts w:eastAsia="Arial"/>
        </w:rPr>
        <w:t>0-14 weeks).</w:t>
      </w:r>
    </w:p>
    <w:p w14:paraId="06EFF931" w14:textId="24AB01A4" w:rsidR="00562E91" w:rsidRPr="00D27E6D" w:rsidRDefault="00562E91" w:rsidP="00D27E6D">
      <w:pPr>
        <w:pStyle w:val="Bullet"/>
        <w:rPr>
          <w:rFonts w:eastAsia="Arial"/>
        </w:rPr>
      </w:pPr>
      <w:r w:rsidRPr="00D27E6D">
        <w:rPr>
          <w:rFonts w:eastAsia="Arial"/>
        </w:rPr>
        <w:t xml:space="preserve">Women with HbA1c </w:t>
      </w:r>
      <w:r w:rsidR="00DE5E22">
        <w:rPr>
          <w:rFonts w:eastAsia="Arial"/>
        </w:rPr>
        <w:t xml:space="preserve">of </w:t>
      </w:r>
      <w:r w:rsidRPr="00D27E6D">
        <w:rPr>
          <w:rFonts w:eastAsia="Arial"/>
        </w:rPr>
        <w:t>6.5</w:t>
      </w:r>
      <w:r w:rsidR="0070565D">
        <w:rPr>
          <w:rFonts w:eastAsia="Arial"/>
        </w:rPr>
        <w:t xml:space="preserve"> percent</w:t>
      </w:r>
      <w:r w:rsidR="00DE5E22">
        <w:rPr>
          <w:rFonts w:eastAsia="Arial"/>
        </w:rPr>
        <w:t xml:space="preserve"> or more</w:t>
      </w:r>
      <w:r w:rsidRPr="00D27E6D">
        <w:rPr>
          <w:rFonts w:eastAsia="Arial"/>
        </w:rPr>
        <w:t xml:space="preserve"> (48 mmol/mol</w:t>
      </w:r>
      <w:r w:rsidR="00E342A3">
        <w:rPr>
          <w:rFonts w:eastAsia="Arial"/>
        </w:rPr>
        <w:t xml:space="preserve"> or greater</w:t>
      </w:r>
      <w:r w:rsidRPr="00D27E6D">
        <w:rPr>
          <w:rFonts w:eastAsia="Arial"/>
        </w:rPr>
        <w:t xml:space="preserve">) should be diagnosed and managed as having overt Diabetes in Pregnancy. </w:t>
      </w:r>
    </w:p>
    <w:p w14:paraId="146829D0" w14:textId="7B5BCA00" w:rsidR="000E77A8" w:rsidRPr="00294C58" w:rsidRDefault="00562E91" w:rsidP="00294C58">
      <w:pPr>
        <w:pStyle w:val="Bullet"/>
        <w:rPr>
          <w:rFonts w:eastAsia="Arial"/>
        </w:rPr>
      </w:pPr>
      <w:r w:rsidRPr="00D27E6D">
        <w:rPr>
          <w:rFonts w:eastAsia="Arial"/>
        </w:rPr>
        <w:t>Where HbA1C is</w:t>
      </w:r>
      <w:r w:rsidR="001317FA">
        <w:rPr>
          <w:rFonts w:eastAsia="Arial"/>
        </w:rPr>
        <w:t xml:space="preserve"> within usual limits, </w:t>
      </w:r>
      <w:r w:rsidR="00E342A3">
        <w:rPr>
          <w:rFonts w:eastAsia="Arial"/>
        </w:rPr>
        <w:t xml:space="preserve">of </w:t>
      </w:r>
      <w:r w:rsidRPr="00D27E6D">
        <w:rPr>
          <w:rFonts w:eastAsia="Arial"/>
        </w:rPr>
        <w:t>6.0 to 6.4</w:t>
      </w:r>
      <w:r w:rsidR="0070565D">
        <w:rPr>
          <w:rFonts w:eastAsia="Arial"/>
        </w:rPr>
        <w:t xml:space="preserve"> pe</w:t>
      </w:r>
      <w:r w:rsidR="003D6361">
        <w:rPr>
          <w:rFonts w:eastAsia="Arial"/>
        </w:rPr>
        <w:t>r</w:t>
      </w:r>
      <w:r w:rsidR="0070565D">
        <w:rPr>
          <w:rFonts w:eastAsia="Arial"/>
        </w:rPr>
        <w:t>cent</w:t>
      </w:r>
      <w:r w:rsidRPr="00D27E6D">
        <w:rPr>
          <w:rFonts w:eastAsia="Arial"/>
        </w:rPr>
        <w:t xml:space="preserve"> (42-47 mmol/mol)</w:t>
      </w:r>
      <w:r w:rsidR="001317FA">
        <w:rPr>
          <w:rFonts w:eastAsia="Arial"/>
        </w:rPr>
        <w:t>,</w:t>
      </w:r>
      <w:r w:rsidR="00294C58">
        <w:rPr>
          <w:rFonts w:eastAsia="Arial"/>
        </w:rPr>
        <w:t xml:space="preserve"> </w:t>
      </w:r>
      <w:r w:rsidR="00317600" w:rsidRPr="00294C58">
        <w:rPr>
          <w:rFonts w:eastAsia="Arial"/>
        </w:rPr>
        <w:t>OGTT</w:t>
      </w:r>
      <w:r w:rsidR="000E77A8" w:rsidRPr="00294C58">
        <w:rPr>
          <w:rFonts w:eastAsia="Arial"/>
        </w:rPr>
        <w:t xml:space="preserve"> </w:t>
      </w:r>
      <w:r w:rsidR="002D3110" w:rsidRPr="00294C58">
        <w:rPr>
          <w:rFonts w:eastAsia="Arial"/>
        </w:rPr>
        <w:t xml:space="preserve">should be </w:t>
      </w:r>
      <w:r w:rsidR="001317FA">
        <w:rPr>
          <w:rFonts w:eastAsia="Arial"/>
        </w:rPr>
        <w:t xml:space="preserve">still be </w:t>
      </w:r>
      <w:r w:rsidR="002D3110" w:rsidRPr="00294C58">
        <w:rPr>
          <w:rFonts w:eastAsia="Arial"/>
        </w:rPr>
        <w:t>offered at 24</w:t>
      </w:r>
      <w:r w:rsidR="0070565D">
        <w:rPr>
          <w:rFonts w:eastAsia="Arial"/>
        </w:rPr>
        <w:t xml:space="preserve"> to </w:t>
      </w:r>
      <w:r w:rsidR="002D3110" w:rsidRPr="00294C58">
        <w:rPr>
          <w:rFonts w:eastAsia="Arial"/>
        </w:rPr>
        <w:t>28 week</w:t>
      </w:r>
      <w:r w:rsidR="001317FA">
        <w:rPr>
          <w:rFonts w:eastAsia="Arial"/>
        </w:rPr>
        <w:t xml:space="preserve">s. </w:t>
      </w:r>
    </w:p>
    <w:p w14:paraId="04A2FE3E" w14:textId="4226ECC9" w:rsidR="00F02D87" w:rsidRPr="00D27E6D" w:rsidRDefault="00F02D87" w:rsidP="00D27E6D">
      <w:pPr>
        <w:pStyle w:val="Bullet"/>
        <w:rPr>
          <w:rFonts w:eastAsia="Arial"/>
        </w:rPr>
      </w:pPr>
      <w:r w:rsidRPr="00D27E6D">
        <w:rPr>
          <w:rFonts w:eastAsia="Arial"/>
        </w:rPr>
        <w:t xml:space="preserve">Women/birthing persons who have had bariatric surgery may not tolerate </w:t>
      </w:r>
      <w:r w:rsidR="001317FA">
        <w:rPr>
          <w:rFonts w:eastAsia="Arial"/>
        </w:rPr>
        <w:t xml:space="preserve">an OGTT. </w:t>
      </w:r>
      <w:r w:rsidRPr="00D27E6D">
        <w:rPr>
          <w:rFonts w:eastAsia="Arial"/>
        </w:rPr>
        <w:t xml:space="preserve"> Alternative screening methods, such as Fasting Plasma Glucose, HbA1c or home glucose monitoring, should be considered. </w:t>
      </w:r>
    </w:p>
    <w:p w14:paraId="2806D788" w14:textId="1F254904" w:rsidR="0063477F" w:rsidRPr="00D27E6D" w:rsidRDefault="0063477F" w:rsidP="00D27E6D">
      <w:pPr>
        <w:pStyle w:val="Bullet"/>
      </w:pPr>
      <w:r w:rsidRPr="00D27E6D">
        <w:rPr>
          <w:rFonts w:eastAsia="Arial"/>
        </w:rPr>
        <w:t>For further information, r</w:t>
      </w:r>
      <w:r w:rsidR="00F02D87" w:rsidRPr="00D27E6D">
        <w:rPr>
          <w:rFonts w:eastAsia="Arial"/>
        </w:rPr>
        <w:t xml:space="preserve">efer to </w:t>
      </w:r>
      <w:r w:rsidR="00DB33C6">
        <w:rPr>
          <w:rFonts w:eastAsia="Arial"/>
        </w:rPr>
        <w:t xml:space="preserve">the </w:t>
      </w:r>
      <w:r w:rsidR="005D4CEF" w:rsidRPr="005D4CEF">
        <w:rPr>
          <w:rFonts w:eastAsia="Arial"/>
          <w:i/>
          <w:iCs/>
        </w:rPr>
        <w:t xml:space="preserve">Diabetes in Pregnancy - </w:t>
      </w:r>
      <w:r w:rsidR="00DB33C6">
        <w:rPr>
          <w:rFonts w:eastAsia="Arial"/>
          <w:i/>
          <w:iCs/>
        </w:rPr>
        <w:t>I</w:t>
      </w:r>
      <w:r w:rsidR="005D4CEF" w:rsidRPr="005D4CEF">
        <w:rPr>
          <w:rFonts w:eastAsia="Arial"/>
          <w:i/>
          <w:iCs/>
        </w:rPr>
        <w:t xml:space="preserve">ncludes </w:t>
      </w:r>
      <w:r w:rsidR="00DB33C6">
        <w:rPr>
          <w:rFonts w:eastAsia="Arial"/>
          <w:i/>
          <w:iCs/>
        </w:rPr>
        <w:t>P</w:t>
      </w:r>
      <w:r w:rsidR="005D4CEF" w:rsidRPr="005D4CEF">
        <w:rPr>
          <w:rFonts w:eastAsia="Arial"/>
          <w:i/>
          <w:iCs/>
        </w:rPr>
        <w:t xml:space="preserve">re-existing and </w:t>
      </w:r>
      <w:r w:rsidR="00DB33C6">
        <w:rPr>
          <w:rFonts w:eastAsia="Arial"/>
          <w:i/>
          <w:iCs/>
        </w:rPr>
        <w:t>G</w:t>
      </w:r>
      <w:r w:rsidR="005D4CEF" w:rsidRPr="005D4CEF">
        <w:rPr>
          <w:rFonts w:eastAsia="Arial"/>
          <w:i/>
          <w:iCs/>
        </w:rPr>
        <w:t xml:space="preserve">estational </w:t>
      </w:r>
      <w:r w:rsidR="00DB33C6">
        <w:rPr>
          <w:rFonts w:eastAsia="Arial"/>
          <w:i/>
          <w:iCs/>
        </w:rPr>
        <w:t>D</w:t>
      </w:r>
      <w:r w:rsidR="005D4CEF" w:rsidRPr="005D4CEF">
        <w:rPr>
          <w:rFonts w:eastAsia="Arial"/>
          <w:i/>
          <w:iCs/>
        </w:rPr>
        <w:t>iabetes</w:t>
      </w:r>
      <w:r w:rsidR="005D4CEF" w:rsidRPr="00DB33C6">
        <w:rPr>
          <w:rFonts w:eastAsia="Arial"/>
          <w:i/>
          <w:iCs/>
        </w:rPr>
        <w:t xml:space="preserve"> </w:t>
      </w:r>
      <w:r w:rsidR="00DB33C6" w:rsidRPr="00DB33C6">
        <w:rPr>
          <w:rFonts w:eastAsia="Arial"/>
          <w:i/>
          <w:iCs/>
        </w:rPr>
        <w:t>Guideline</w:t>
      </w:r>
      <w:r w:rsidR="00DB33C6">
        <w:rPr>
          <w:rFonts w:eastAsia="Arial"/>
        </w:rPr>
        <w:t xml:space="preserve"> </w:t>
      </w:r>
      <w:r w:rsidR="005D4CEF">
        <w:rPr>
          <w:rFonts w:eastAsia="Arial"/>
        </w:rPr>
        <w:t xml:space="preserve">and </w:t>
      </w:r>
      <w:r w:rsidR="005D4CEF" w:rsidRPr="005D4CEF">
        <w:rPr>
          <w:rFonts w:eastAsia="Arial"/>
          <w:i/>
          <w:iCs/>
        </w:rPr>
        <w:t>Diagnosis and Management of Diabetes in Pregnancy</w:t>
      </w:r>
      <w:r w:rsidR="005D4CEF" w:rsidRPr="005D4CEF" w:rsidDel="005D4CEF">
        <w:rPr>
          <w:rFonts w:eastAsia="Arial"/>
          <w:i/>
          <w:iCs/>
        </w:rPr>
        <w:t xml:space="preserve"> </w:t>
      </w:r>
      <w:r w:rsidR="005D4CEF" w:rsidRPr="005D4CEF">
        <w:rPr>
          <w:rFonts w:eastAsia="Arial"/>
          <w:i/>
          <w:iCs/>
        </w:rPr>
        <w:t>– North Canberra Hospital (NCH)</w:t>
      </w:r>
      <w:r w:rsidR="00DB33C6">
        <w:rPr>
          <w:rFonts w:eastAsia="Arial"/>
          <w:i/>
          <w:iCs/>
        </w:rPr>
        <w:t xml:space="preserve"> Procedure</w:t>
      </w:r>
      <w:r w:rsidR="005D4CEF">
        <w:rPr>
          <w:rFonts w:eastAsia="Arial"/>
        </w:rPr>
        <w:t>, available on the Policy and Guidance Documents Register.</w:t>
      </w:r>
    </w:p>
    <w:p w14:paraId="08A296FE" w14:textId="77484F22" w:rsidR="00D27E6D" w:rsidRDefault="000E77A8" w:rsidP="00D27E6D">
      <w:pPr>
        <w:pStyle w:val="BodyCopy"/>
        <w:spacing w:after="0"/>
      </w:pPr>
      <w:r w:rsidRPr="001C6720">
        <w:rPr>
          <w:rStyle w:val="Bold"/>
        </w:rPr>
        <w:t>Non-Invasive prenatal testing (NIPT)</w:t>
      </w:r>
      <w:r w:rsidR="0063477F" w:rsidRPr="001C6720">
        <w:rPr>
          <w:rStyle w:val="Bold"/>
        </w:rPr>
        <w:t xml:space="preserve"> for aneuploidy</w:t>
      </w:r>
      <w:r w:rsidR="0063477F">
        <w:t xml:space="preserve">  </w:t>
      </w:r>
    </w:p>
    <w:p w14:paraId="5A96D421" w14:textId="64121ABF" w:rsidR="000E77A8" w:rsidRPr="00D27E6D" w:rsidRDefault="00D27E6D" w:rsidP="00726217">
      <w:pPr>
        <w:pStyle w:val="BodyCopy"/>
        <w:numPr>
          <w:ilvl w:val="0"/>
          <w:numId w:val="51"/>
        </w:numPr>
        <w:spacing w:after="0"/>
        <w:rPr>
          <w:rFonts w:eastAsia="Arial"/>
        </w:rPr>
      </w:pPr>
      <w:r>
        <w:t>O</w:t>
      </w:r>
      <w:r w:rsidR="000E77A8" w:rsidRPr="00D27E6D">
        <w:t>besity increases the risk of not obtaining a</w:t>
      </w:r>
      <w:r w:rsidR="005D4CEF">
        <w:t>n NIPT</w:t>
      </w:r>
      <w:r w:rsidR="000E77A8" w:rsidRPr="00D27E6D">
        <w:t xml:space="preserve"> result </w:t>
      </w:r>
      <w:r w:rsidR="0063477F" w:rsidRPr="00D27E6D">
        <w:t>(</w:t>
      </w:r>
      <w:r w:rsidR="000E77A8" w:rsidRPr="00D27E6D">
        <w:t>due to low fetal fraction</w:t>
      </w:r>
      <w:r w:rsidR="0063477F" w:rsidRPr="00D27E6D">
        <w:t xml:space="preserve">). A no result test </w:t>
      </w:r>
      <w:r w:rsidR="00726217">
        <w:t xml:space="preserve">can </w:t>
      </w:r>
      <w:r w:rsidR="0063477F" w:rsidRPr="00D27E6D">
        <w:t xml:space="preserve">occur </w:t>
      </w:r>
      <w:r w:rsidR="00726217">
        <w:t xml:space="preserve">in </w:t>
      </w:r>
      <w:r w:rsidR="000E77A8" w:rsidRPr="00D27E6D">
        <w:t>approximately 5</w:t>
      </w:r>
      <w:r w:rsidR="0070565D">
        <w:t xml:space="preserve"> p</w:t>
      </w:r>
      <w:r w:rsidR="003D6361">
        <w:t>ercent</w:t>
      </w:r>
      <w:r w:rsidR="000E77A8" w:rsidRPr="00D27E6D">
        <w:t xml:space="preserve"> </w:t>
      </w:r>
      <w:r w:rsidR="00726217">
        <w:t>of pregnancy with C</w:t>
      </w:r>
      <w:r w:rsidR="000E77A8" w:rsidRPr="00D27E6D">
        <w:t>lass I obesity and ris</w:t>
      </w:r>
      <w:r w:rsidR="00726217">
        <w:t>es</w:t>
      </w:r>
      <w:r w:rsidR="000E77A8" w:rsidRPr="00D27E6D">
        <w:t xml:space="preserve"> to 10</w:t>
      </w:r>
      <w:r w:rsidR="003D6361">
        <w:t>percent</w:t>
      </w:r>
      <w:r w:rsidR="000E77A8" w:rsidRPr="00D27E6D">
        <w:t xml:space="preserve"> in Class II and even higher in Class III. It is important to advise of this likelihood when counselling on this test</w:t>
      </w:r>
      <w:r w:rsidR="00726217">
        <w:t>.</w:t>
      </w:r>
      <w:r w:rsidR="007C2CED" w:rsidRPr="001C6720">
        <w:rPr>
          <w:vertAlign w:val="superscript"/>
        </w:rPr>
        <w:t>1</w:t>
      </w:r>
    </w:p>
    <w:p w14:paraId="7ABAF070" w14:textId="77777777" w:rsidR="00126DCF" w:rsidRPr="00D27E6D" w:rsidRDefault="00454DA6" w:rsidP="001317FA">
      <w:pPr>
        <w:pStyle w:val="Heading6"/>
        <w:rPr>
          <w:rStyle w:val="Bold"/>
          <w:rFonts w:eastAsia="Arial"/>
          <w:b w:val="0"/>
        </w:rPr>
      </w:pPr>
      <w:r w:rsidRPr="00D27E6D">
        <w:rPr>
          <w:rStyle w:val="Bold"/>
          <w:rFonts w:eastAsia="Arial"/>
          <w:b w:val="0"/>
          <w:bCs w:val="0"/>
        </w:rPr>
        <w:t>Nutritional supplementation</w:t>
      </w:r>
    </w:p>
    <w:p w14:paraId="478205FD" w14:textId="6B7AC4E5" w:rsidR="00751DC3" w:rsidRPr="00D27E6D" w:rsidRDefault="00751DC3" w:rsidP="00D27E6D">
      <w:pPr>
        <w:pStyle w:val="Bullet"/>
        <w:rPr>
          <w:rFonts w:eastAsia="Arial"/>
        </w:rPr>
      </w:pPr>
      <w:r w:rsidRPr="00D27E6D">
        <w:rPr>
          <w:rFonts w:eastAsia="Arial"/>
        </w:rPr>
        <w:t>Routine screening for vitamin D deficiency in pregnant women is not recommended; all pregnant women are recommended to take a multivitamin that contains a daily dose of 400</w:t>
      </w:r>
      <w:r w:rsidR="00D939A9" w:rsidRPr="00D27E6D">
        <w:rPr>
          <w:rFonts w:eastAsia="Arial"/>
        </w:rPr>
        <w:t xml:space="preserve"> to 1000</w:t>
      </w:r>
      <w:r w:rsidRPr="00D27E6D">
        <w:rPr>
          <w:rFonts w:eastAsia="Arial"/>
        </w:rPr>
        <w:t xml:space="preserve"> International Units of vitamin</w:t>
      </w:r>
      <w:r w:rsidR="000C54B4" w:rsidRPr="00D27E6D">
        <w:rPr>
          <w:rFonts w:eastAsia="Arial"/>
        </w:rPr>
        <w:t xml:space="preserve"> D</w:t>
      </w:r>
      <w:r w:rsidR="005D4CEF">
        <w:rPr>
          <w:rFonts w:eastAsia="Arial"/>
        </w:rPr>
        <w:t>.</w:t>
      </w:r>
      <w:r w:rsidR="000C54B4" w:rsidRPr="005D4CEF">
        <w:rPr>
          <w:rFonts w:eastAsia="Arial"/>
          <w:vertAlign w:val="superscript"/>
        </w:rPr>
        <w:t>1,</w:t>
      </w:r>
      <w:r w:rsidRPr="005D4CEF">
        <w:rPr>
          <w:rFonts w:eastAsia="Arial"/>
          <w:vertAlign w:val="superscript"/>
        </w:rPr>
        <w:t>2</w:t>
      </w:r>
    </w:p>
    <w:p w14:paraId="24CFD166" w14:textId="7B8E4F90" w:rsidR="00126DCF" w:rsidRPr="00D27E6D" w:rsidRDefault="00751DC3" w:rsidP="00D27E6D">
      <w:pPr>
        <w:pStyle w:val="Bullet"/>
        <w:rPr>
          <w:rFonts w:eastAsia="Arial"/>
        </w:rPr>
      </w:pPr>
      <w:r w:rsidRPr="00D27E6D">
        <w:rPr>
          <w:rFonts w:eastAsia="Arial"/>
        </w:rPr>
        <w:t xml:space="preserve">BMI </w:t>
      </w:r>
      <w:r w:rsidR="00DE5E22">
        <w:rPr>
          <w:rFonts w:eastAsia="Arial"/>
        </w:rPr>
        <w:t xml:space="preserve">greater than </w:t>
      </w:r>
      <w:r w:rsidRPr="00D27E6D">
        <w:rPr>
          <w:rFonts w:eastAsia="Arial"/>
        </w:rPr>
        <w:t>40 is an identified risk factor for vitamin D deficiency</w:t>
      </w:r>
      <w:r w:rsidR="00D939A9" w:rsidRPr="00D27E6D">
        <w:rPr>
          <w:rFonts w:eastAsia="Arial"/>
        </w:rPr>
        <w:t>,</w:t>
      </w:r>
      <w:r w:rsidRPr="00D27E6D">
        <w:rPr>
          <w:rFonts w:eastAsia="Arial"/>
        </w:rPr>
        <w:t xml:space="preserve"> refer to RANZCOG Guidance, Vitamin and Mineral Supplementation </w:t>
      </w:r>
      <w:r w:rsidR="00D939A9" w:rsidRPr="00D27E6D">
        <w:rPr>
          <w:rFonts w:eastAsia="Arial"/>
        </w:rPr>
        <w:t xml:space="preserve">in </w:t>
      </w:r>
      <w:r w:rsidRPr="00D27E6D">
        <w:rPr>
          <w:rFonts w:eastAsia="Arial"/>
        </w:rPr>
        <w:t xml:space="preserve">Pregnancy for further information on </w:t>
      </w:r>
      <w:r w:rsidR="00D939A9" w:rsidRPr="00D27E6D">
        <w:rPr>
          <w:rFonts w:eastAsia="Arial"/>
        </w:rPr>
        <w:t xml:space="preserve">additional </w:t>
      </w:r>
      <w:r w:rsidRPr="00D27E6D">
        <w:rPr>
          <w:rFonts w:eastAsia="Arial"/>
        </w:rPr>
        <w:t>Vitamin D supplementation</w:t>
      </w:r>
      <w:r w:rsidR="00D939A9" w:rsidRPr="00D27E6D">
        <w:rPr>
          <w:rFonts w:eastAsia="Arial"/>
        </w:rPr>
        <w:t xml:space="preserve"> in pregnancy</w:t>
      </w:r>
      <w:r w:rsidR="005D4CEF">
        <w:rPr>
          <w:rFonts w:eastAsia="Arial"/>
        </w:rPr>
        <w:t>.</w:t>
      </w:r>
      <w:r w:rsidR="000C54B4" w:rsidRPr="005D4CEF">
        <w:rPr>
          <w:rFonts w:eastAsia="Arial"/>
          <w:vertAlign w:val="superscript"/>
        </w:rPr>
        <w:t>1,2,26</w:t>
      </w:r>
    </w:p>
    <w:p w14:paraId="564ECF8E" w14:textId="134300E2" w:rsidR="000D6958" w:rsidRPr="00AA5D8A" w:rsidRDefault="00454DA6" w:rsidP="00AA5D8A">
      <w:pPr>
        <w:pStyle w:val="Bullet"/>
        <w:rPr>
          <w:rFonts w:eastAsia="Arial"/>
        </w:rPr>
      </w:pPr>
      <w:r w:rsidRPr="00D27E6D">
        <w:rPr>
          <w:rFonts w:eastAsia="Arial"/>
        </w:rPr>
        <w:t>C</w:t>
      </w:r>
      <w:r w:rsidR="00A32240" w:rsidRPr="00D27E6D">
        <w:rPr>
          <w:rFonts w:eastAsia="Arial"/>
        </w:rPr>
        <w:t xml:space="preserve">onsider screening ferritin, </w:t>
      </w:r>
      <w:r w:rsidRPr="00D27E6D">
        <w:rPr>
          <w:rFonts w:eastAsia="Arial"/>
        </w:rPr>
        <w:t>v</w:t>
      </w:r>
      <w:r w:rsidR="00A32240" w:rsidRPr="00D27E6D">
        <w:rPr>
          <w:rFonts w:eastAsia="Arial"/>
        </w:rPr>
        <w:t xml:space="preserve">itamin B12 and folate. </w:t>
      </w:r>
      <w:r w:rsidRPr="00D27E6D">
        <w:rPr>
          <w:rFonts w:eastAsia="Arial"/>
        </w:rPr>
        <w:t>Recommend</w:t>
      </w:r>
      <w:r w:rsidR="000E77A8" w:rsidRPr="00D27E6D">
        <w:rPr>
          <w:rFonts w:eastAsia="Calibri"/>
        </w:rPr>
        <w:t xml:space="preserve"> </w:t>
      </w:r>
      <w:r w:rsidR="000E77A8" w:rsidRPr="00D27E6D">
        <w:rPr>
          <w:rFonts w:eastAsia="Arial"/>
        </w:rPr>
        <w:t xml:space="preserve">5mg folic acid and 150mcg iodine daily supplementation due to </w:t>
      </w:r>
      <w:r w:rsidR="00A32240" w:rsidRPr="00D27E6D">
        <w:rPr>
          <w:rFonts w:eastAsia="Arial"/>
        </w:rPr>
        <w:t>increased risk of neural tube defects</w:t>
      </w:r>
      <w:r w:rsidR="00DB33C6">
        <w:rPr>
          <w:rFonts w:eastAsia="Arial"/>
        </w:rPr>
        <w:t>.</w:t>
      </w:r>
      <w:r w:rsidR="00A32240" w:rsidRPr="00DB33C6">
        <w:rPr>
          <w:rFonts w:eastAsia="Arial"/>
          <w:vertAlign w:val="superscript"/>
        </w:rPr>
        <w:t>1</w:t>
      </w:r>
    </w:p>
    <w:p w14:paraId="1B34A9B3" w14:textId="34AB16E7" w:rsidR="00F346DE" w:rsidRPr="00D27E6D" w:rsidRDefault="48EDF2B3" w:rsidP="00726217">
      <w:pPr>
        <w:pStyle w:val="Heading6"/>
        <w:rPr>
          <w:rFonts w:eastAsia="Arial" w:cs="Arial"/>
          <w:color w:val="000000" w:themeColor="text1"/>
        </w:rPr>
      </w:pPr>
      <w:r w:rsidRPr="00D27E6D">
        <w:rPr>
          <w:rStyle w:val="Bold"/>
          <w:b w:val="0"/>
          <w:bCs w:val="0"/>
        </w:rPr>
        <w:t>Pre-eclampsia</w:t>
      </w:r>
    </w:p>
    <w:p w14:paraId="308D1461" w14:textId="248387D3" w:rsidR="00F346DE" w:rsidRPr="00317600" w:rsidRDefault="008026B0" w:rsidP="00726217">
      <w:pPr>
        <w:pStyle w:val="BodyCopy"/>
        <w:numPr>
          <w:ilvl w:val="0"/>
          <w:numId w:val="51"/>
        </w:numPr>
        <w:spacing w:after="0"/>
        <w:rPr>
          <w:rFonts w:eastAsia="Calibri"/>
        </w:rPr>
      </w:pPr>
      <w:r w:rsidRPr="00317600">
        <w:rPr>
          <w:rFonts w:eastAsia="Arial"/>
        </w:rPr>
        <w:t>Consider l</w:t>
      </w:r>
      <w:r w:rsidR="48EDF2B3" w:rsidRPr="00317600">
        <w:rPr>
          <w:rFonts w:eastAsia="Arial"/>
        </w:rPr>
        <w:t xml:space="preserve">ow-dose aspirin (150 mg). Refer to </w:t>
      </w:r>
      <w:r w:rsidR="00DB33C6">
        <w:rPr>
          <w:rFonts w:eastAsia="Arial"/>
        </w:rPr>
        <w:t xml:space="preserve">the </w:t>
      </w:r>
      <w:r w:rsidR="48EDF2B3" w:rsidRPr="00726217">
        <w:rPr>
          <w:rFonts w:eastAsia="Arial"/>
          <w:i/>
          <w:iCs w:val="0"/>
        </w:rPr>
        <w:t>Low Dose Aspirin in Pregnancy</w:t>
      </w:r>
      <w:r w:rsidR="00DB33C6">
        <w:rPr>
          <w:rFonts w:eastAsia="Arial"/>
          <w:i/>
          <w:iCs w:val="0"/>
        </w:rPr>
        <w:t xml:space="preserve"> Guideline</w:t>
      </w:r>
      <w:r w:rsidR="00DB33C6">
        <w:rPr>
          <w:rFonts w:eastAsia="Arial"/>
        </w:rPr>
        <w:t xml:space="preserve">, available on the Policy and Guidance Documents </w:t>
      </w:r>
      <w:r w:rsidR="00726217">
        <w:rPr>
          <w:rFonts w:eastAsia="Arial"/>
        </w:rPr>
        <w:t>Register,</w:t>
      </w:r>
      <w:r w:rsidR="00726217" w:rsidRPr="00317600">
        <w:rPr>
          <w:rFonts w:eastAsia="Arial"/>
        </w:rPr>
        <w:t xml:space="preserve"> for</w:t>
      </w:r>
      <w:r w:rsidR="48EDF2B3" w:rsidRPr="00317600">
        <w:rPr>
          <w:rFonts w:eastAsia="Arial"/>
        </w:rPr>
        <w:t xml:space="preserve"> further information.</w:t>
      </w:r>
    </w:p>
    <w:p w14:paraId="136F0EDD" w14:textId="1973D4D9" w:rsidR="00480CF9" w:rsidRPr="00317600" w:rsidRDefault="00A32240" w:rsidP="00726217">
      <w:pPr>
        <w:pStyle w:val="BodyCopy"/>
        <w:numPr>
          <w:ilvl w:val="0"/>
          <w:numId w:val="51"/>
        </w:numPr>
        <w:spacing w:before="0"/>
      </w:pPr>
      <w:r w:rsidRPr="00317600">
        <w:t xml:space="preserve">Blood pressure </w:t>
      </w:r>
      <w:r w:rsidR="00126DCF" w:rsidRPr="00317600">
        <w:t xml:space="preserve">review - to minimise overdiagnosis of hypertension, utilise an appropriately sized </w:t>
      </w:r>
      <w:r w:rsidRPr="00317600">
        <w:t xml:space="preserve">cuff </w:t>
      </w:r>
      <w:r w:rsidR="00126DCF" w:rsidRPr="00317600">
        <w:t xml:space="preserve">that covers </w:t>
      </w:r>
      <w:r w:rsidRPr="00317600">
        <w:t>80</w:t>
      </w:r>
      <w:r w:rsidR="003D6361">
        <w:t xml:space="preserve"> percent</w:t>
      </w:r>
      <w:r w:rsidRPr="00317600">
        <w:t xml:space="preserve"> of the arm circumference</w:t>
      </w:r>
      <w:r w:rsidR="00126DCF" w:rsidRPr="00317600">
        <w:rPr>
          <w:vertAlign w:val="superscript"/>
        </w:rPr>
        <w:t>6,8</w:t>
      </w:r>
    </w:p>
    <w:p w14:paraId="04C1D873" w14:textId="77777777" w:rsidR="00F346DE" w:rsidRPr="00D27E6D" w:rsidRDefault="00F346DE" w:rsidP="00726217">
      <w:pPr>
        <w:pStyle w:val="Heading6"/>
        <w:rPr>
          <w:rStyle w:val="Bold"/>
          <w:rFonts w:cs="Arial"/>
          <w:b w:val="0"/>
          <w:bCs w:val="0"/>
          <w:iCs/>
          <w:color w:val="000000" w:themeColor="text1"/>
        </w:rPr>
      </w:pPr>
      <w:r w:rsidRPr="00D27E6D">
        <w:rPr>
          <w:rStyle w:val="Bold"/>
          <w:b w:val="0"/>
          <w:bCs w:val="0"/>
        </w:rPr>
        <w:lastRenderedPageBreak/>
        <w:t>Thromboembolism prophylaxis</w:t>
      </w:r>
    </w:p>
    <w:p w14:paraId="559830B8" w14:textId="77777777" w:rsidR="008D3407" w:rsidRDefault="001D588C" w:rsidP="008D3407">
      <w:pPr>
        <w:pStyle w:val="BodyCopy"/>
        <w:numPr>
          <w:ilvl w:val="0"/>
          <w:numId w:val="52"/>
        </w:numPr>
        <w:spacing w:after="0"/>
      </w:pPr>
      <w:r w:rsidRPr="00F346DE">
        <w:t xml:space="preserve">Obesity during pregnancy increases risk </w:t>
      </w:r>
      <w:r w:rsidR="00F346DE">
        <w:t xml:space="preserve">thromboembolism. </w:t>
      </w:r>
      <w:r w:rsidRPr="00F346DE">
        <w:t>Standard doses for DVT prophylaxis are likely to be insufficient and should be calculated based on weight</w:t>
      </w:r>
      <w:r w:rsidR="00DB33C6">
        <w:t>.</w:t>
      </w:r>
      <w:r w:rsidRPr="00F346DE">
        <w:rPr>
          <w:vertAlign w:val="superscript"/>
        </w:rPr>
        <w:t>1</w:t>
      </w:r>
      <w:r w:rsidRPr="00F346DE">
        <w:t xml:space="preserve"> </w:t>
      </w:r>
    </w:p>
    <w:p w14:paraId="7F68613A" w14:textId="52BA7144" w:rsidR="66731E01" w:rsidRPr="008026B0" w:rsidRDefault="001D588C" w:rsidP="008D3407">
      <w:pPr>
        <w:pStyle w:val="BodyCopy"/>
        <w:numPr>
          <w:ilvl w:val="0"/>
          <w:numId w:val="52"/>
        </w:numPr>
        <w:spacing w:before="0"/>
      </w:pPr>
      <w:r w:rsidRPr="00F346DE">
        <w:t>For antenatal thromboprophylaxis refer to</w:t>
      </w:r>
      <w:r w:rsidRPr="00DB33C6">
        <w:t xml:space="preserve"> </w:t>
      </w:r>
      <w:r w:rsidR="00DB33C6" w:rsidRPr="008D3407">
        <w:t xml:space="preserve">the </w:t>
      </w:r>
      <w:r w:rsidRPr="008D3407">
        <w:rPr>
          <w:i/>
          <w:iCs w:val="0"/>
        </w:rPr>
        <w:t>Venous Thromboembolism (VTE) Prevention</w:t>
      </w:r>
      <w:r w:rsidR="00DB33C6">
        <w:rPr>
          <w:i/>
          <w:iCs w:val="0"/>
        </w:rPr>
        <w:t xml:space="preserve"> (Adults and Children) Procedure,</w:t>
      </w:r>
      <w:r w:rsidR="00DB33C6" w:rsidRPr="00DB33C6">
        <w:rPr>
          <w:rFonts w:eastAsia="Arial"/>
        </w:rPr>
        <w:t xml:space="preserve"> </w:t>
      </w:r>
      <w:r w:rsidR="00DB33C6">
        <w:rPr>
          <w:rFonts w:eastAsia="Arial"/>
        </w:rPr>
        <w:t>available on the Policy and Guidance Documents Register</w:t>
      </w:r>
      <w:r w:rsidRPr="008D3407">
        <w:t>.</w:t>
      </w:r>
    </w:p>
    <w:p w14:paraId="1000B394" w14:textId="4C552F3E" w:rsidR="007C2CED" w:rsidRPr="006F4A19" w:rsidRDefault="007C2CED" w:rsidP="007C2CED">
      <w:pPr>
        <w:pStyle w:val="Heading5"/>
        <w:spacing w:before="240" w:beforeAutospacing="0"/>
      </w:pPr>
      <w:r>
        <w:t>Fetal Surveillance</w:t>
      </w:r>
    </w:p>
    <w:p w14:paraId="05F5EBFE" w14:textId="58E11FF3" w:rsidR="007C2CED" w:rsidRPr="006F1D4C" w:rsidRDefault="007C2CED" w:rsidP="00D27E6D">
      <w:pPr>
        <w:pStyle w:val="Bullet"/>
      </w:pPr>
      <w:r w:rsidRPr="66731E01">
        <w:rPr>
          <w:rFonts w:eastAsia="Arial"/>
        </w:rPr>
        <w:t>Morphology scan should be performed at 20</w:t>
      </w:r>
      <w:r w:rsidR="003D6361">
        <w:rPr>
          <w:rFonts w:eastAsia="Arial"/>
        </w:rPr>
        <w:t xml:space="preserve"> to </w:t>
      </w:r>
      <w:r w:rsidRPr="66731E01">
        <w:rPr>
          <w:rFonts w:eastAsia="Arial"/>
        </w:rPr>
        <w:t>21 weeks (rather than 18</w:t>
      </w:r>
      <w:r w:rsidR="003D6361">
        <w:rPr>
          <w:rFonts w:eastAsia="Arial"/>
        </w:rPr>
        <w:t xml:space="preserve"> to </w:t>
      </w:r>
      <w:r w:rsidRPr="66731E01">
        <w:rPr>
          <w:rFonts w:eastAsia="Arial"/>
        </w:rPr>
        <w:t>20 weeks)</w:t>
      </w:r>
      <w:r w:rsidR="3BD5E2E1" w:rsidRPr="66731E01">
        <w:rPr>
          <w:rFonts w:eastAsia="Arial"/>
        </w:rPr>
        <w:t>;</w:t>
      </w:r>
      <w:r w:rsidRPr="66731E01">
        <w:rPr>
          <w:rFonts w:eastAsia="Arial"/>
        </w:rPr>
        <w:t xml:space="preserve"> high BMI should be noted on the ultrasound request form.</w:t>
      </w:r>
    </w:p>
    <w:p w14:paraId="48DEF6E8" w14:textId="404151FF" w:rsidR="00933875" w:rsidRPr="00933875" w:rsidRDefault="00933875" w:rsidP="00D27E6D">
      <w:pPr>
        <w:pStyle w:val="Bullet"/>
        <w:rPr>
          <w:rFonts w:eastAsia="Arial"/>
          <w:bCs/>
          <w:iCs/>
        </w:rPr>
      </w:pPr>
      <w:r>
        <w:rPr>
          <w:rFonts w:eastAsia="Arial"/>
        </w:rPr>
        <w:t xml:space="preserve">Refer to the </w:t>
      </w:r>
      <w:r w:rsidRPr="00933875">
        <w:rPr>
          <w:rFonts w:eastAsia="Arial"/>
        </w:rPr>
        <w:t>Perinatal Society of Australia and New Zealand and Centre of Research Excellence Stillbirth</w:t>
      </w:r>
      <w:r>
        <w:rPr>
          <w:rFonts w:eastAsia="Arial"/>
        </w:rPr>
        <w:t xml:space="preserve"> p</w:t>
      </w:r>
      <w:r w:rsidRPr="00933875">
        <w:rPr>
          <w:rFonts w:eastAsia="Arial"/>
        </w:rPr>
        <w:t xml:space="preserve">osition statement </w:t>
      </w:r>
      <w:r w:rsidR="00DB33C6">
        <w:rPr>
          <w:rFonts w:eastAsia="Arial"/>
        </w:rPr>
        <w:t>‘</w:t>
      </w:r>
      <w:r w:rsidRPr="008D3407">
        <w:rPr>
          <w:rFonts w:eastAsia="Arial"/>
        </w:rPr>
        <w:t>Detection and management of fetal growth restriction in singleton pregnancies</w:t>
      </w:r>
      <w:r w:rsidR="00DB33C6">
        <w:rPr>
          <w:rFonts w:eastAsia="Arial"/>
        </w:rPr>
        <w:t>’</w:t>
      </w:r>
      <w:r>
        <w:rPr>
          <w:rFonts w:eastAsia="Arial"/>
        </w:rPr>
        <w:t xml:space="preserve"> for risk assessment and recommend</w:t>
      </w:r>
      <w:r w:rsidR="00DB33C6">
        <w:rPr>
          <w:rFonts w:eastAsia="Arial"/>
        </w:rPr>
        <w:t>ed</w:t>
      </w:r>
      <w:r>
        <w:rPr>
          <w:rFonts w:eastAsia="Arial"/>
        </w:rPr>
        <w:t xml:space="preserve"> screening</w:t>
      </w:r>
      <w:r w:rsidR="00DB33C6">
        <w:rPr>
          <w:rFonts w:eastAsia="Arial"/>
        </w:rPr>
        <w:t>.</w:t>
      </w:r>
      <w:r w:rsidR="00DB33C6">
        <w:rPr>
          <w:rFonts w:eastAsia="Arial"/>
          <w:vertAlign w:val="superscript"/>
        </w:rPr>
        <w:t>23</w:t>
      </w:r>
      <w:r>
        <w:rPr>
          <w:rFonts w:eastAsia="Arial"/>
        </w:rPr>
        <w:t xml:space="preserve">  </w:t>
      </w:r>
    </w:p>
    <w:p w14:paraId="0EE33FC6" w14:textId="2D7315C6" w:rsidR="00D27E6D" w:rsidRPr="00D27E6D" w:rsidRDefault="00933875" w:rsidP="00D27E6D">
      <w:pPr>
        <w:pStyle w:val="Bullet"/>
        <w:rPr>
          <w:rFonts w:eastAsia="Arial"/>
          <w:bCs/>
          <w:iCs/>
        </w:rPr>
      </w:pPr>
      <w:r>
        <w:rPr>
          <w:rFonts w:eastAsia="Arial"/>
        </w:rPr>
        <w:t xml:space="preserve">Where BMI does not support </w:t>
      </w:r>
      <w:r w:rsidRPr="00933875">
        <w:rPr>
          <w:rFonts w:eastAsia="Arial"/>
        </w:rPr>
        <w:t xml:space="preserve">abdominal palpation </w:t>
      </w:r>
      <w:r>
        <w:rPr>
          <w:rFonts w:eastAsia="Arial"/>
        </w:rPr>
        <w:t xml:space="preserve">as </w:t>
      </w:r>
      <w:r w:rsidRPr="00933875">
        <w:rPr>
          <w:rFonts w:eastAsia="Arial"/>
        </w:rPr>
        <w:t>reliable method to assess fetal growth</w:t>
      </w:r>
      <w:r>
        <w:rPr>
          <w:rFonts w:eastAsia="Arial"/>
        </w:rPr>
        <w:t xml:space="preserve">, ongoing ultrasound surveillance </w:t>
      </w:r>
      <w:r w:rsidR="007C2CED" w:rsidRPr="007C2CED">
        <w:rPr>
          <w:rFonts w:eastAsia="Arial"/>
        </w:rPr>
        <w:t xml:space="preserve">for fetal </w:t>
      </w:r>
      <w:r>
        <w:rPr>
          <w:rFonts w:eastAsia="Arial"/>
        </w:rPr>
        <w:t xml:space="preserve">growth, </w:t>
      </w:r>
      <w:r w:rsidR="007C2CED" w:rsidRPr="007C2CED">
        <w:rPr>
          <w:rFonts w:eastAsia="Arial"/>
        </w:rPr>
        <w:t>liquor volume and umbilical artery doppler studies should be considered</w:t>
      </w:r>
      <w:r>
        <w:rPr>
          <w:rFonts w:eastAsia="Arial"/>
        </w:rPr>
        <w:t xml:space="preserve"> and individualised to clinical circumstances. </w:t>
      </w:r>
    </w:p>
    <w:p w14:paraId="21B8F83B" w14:textId="117514CA" w:rsidR="00D27E6D" w:rsidRPr="007C2CED" w:rsidRDefault="00D27E6D" w:rsidP="008D3407">
      <w:pPr>
        <w:pStyle w:val="BodyCopy"/>
        <w:pBdr>
          <w:top w:val="single" w:sz="4" w:space="1" w:color="000000" w:themeColor="text1"/>
          <w:left w:val="single" w:sz="4" w:space="4" w:color="000000" w:themeColor="text1"/>
          <w:bottom w:val="single" w:sz="4" w:space="1" w:color="000000" w:themeColor="text1"/>
          <w:right w:val="single" w:sz="4" w:space="4" w:color="000000" w:themeColor="text1"/>
        </w:pBdr>
        <w:rPr>
          <w:rFonts w:eastAsia="Arial"/>
        </w:rPr>
      </w:pPr>
      <w:r w:rsidRPr="00D27E6D">
        <w:rPr>
          <w:rFonts w:eastAsia="Arial"/>
          <w:b/>
          <w:bCs w:val="0"/>
        </w:rPr>
        <w:t>Note:</w:t>
      </w:r>
      <w:r w:rsidRPr="00D27E6D">
        <w:rPr>
          <w:rFonts w:eastAsia="Arial"/>
        </w:rPr>
        <w:t xml:space="preserve"> All women with BMI </w:t>
      </w:r>
      <w:r w:rsidR="00E342A3">
        <w:rPr>
          <w:rFonts w:eastAsia="Arial"/>
        </w:rPr>
        <w:t xml:space="preserve">of </w:t>
      </w:r>
      <w:r w:rsidRPr="00D27E6D">
        <w:rPr>
          <w:rFonts w:eastAsia="Arial"/>
        </w:rPr>
        <w:t xml:space="preserve">35 </w:t>
      </w:r>
      <w:r w:rsidR="00E342A3">
        <w:rPr>
          <w:rFonts w:eastAsia="Arial"/>
        </w:rPr>
        <w:t xml:space="preserve">or above </w:t>
      </w:r>
      <w:r w:rsidRPr="00D27E6D">
        <w:rPr>
          <w:rFonts w:eastAsia="Arial"/>
        </w:rPr>
        <w:t>are considered Level 2 Fetal Growth Restriction (FGR) risk and are recommended ultrasound scans 26</w:t>
      </w:r>
      <w:r w:rsidR="003D6361">
        <w:rPr>
          <w:rFonts w:eastAsia="Arial"/>
        </w:rPr>
        <w:t xml:space="preserve"> to </w:t>
      </w:r>
      <w:r w:rsidRPr="00D27E6D">
        <w:rPr>
          <w:rFonts w:eastAsia="Arial"/>
        </w:rPr>
        <w:t>28 weeks and 34</w:t>
      </w:r>
      <w:r w:rsidR="003D6361">
        <w:rPr>
          <w:rFonts w:eastAsia="Arial"/>
        </w:rPr>
        <w:t xml:space="preserve"> to </w:t>
      </w:r>
      <w:r w:rsidRPr="00D27E6D">
        <w:rPr>
          <w:rFonts w:eastAsia="Arial"/>
        </w:rPr>
        <w:t>36 weeks as per FGR pathway</w:t>
      </w:r>
      <w:r>
        <w:rPr>
          <w:rFonts w:eastAsia="Arial"/>
        </w:rPr>
        <w:t>.</w:t>
      </w:r>
    </w:p>
    <w:p w14:paraId="42F9D553" w14:textId="723546DD" w:rsidR="001E790F" w:rsidRPr="001E790F" w:rsidRDefault="001E790F" w:rsidP="001E790F">
      <w:pPr>
        <w:spacing w:after="0"/>
        <w:rPr>
          <w:rStyle w:val="Bold"/>
          <w:b w:val="0"/>
          <w:bCs w:val="0"/>
        </w:rPr>
      </w:pPr>
      <w:r w:rsidRPr="001C6720">
        <w:rPr>
          <w:rStyle w:val="Heading5Char"/>
        </w:rPr>
        <w:t>Individualise referrals to other allied health services as appropriate</w:t>
      </w:r>
      <w:r w:rsidRPr="001E790F">
        <w:rPr>
          <w:rStyle w:val="Bold"/>
          <w:b w:val="0"/>
          <w:bCs w:val="0"/>
        </w:rPr>
        <w:t xml:space="preserve">: </w:t>
      </w:r>
    </w:p>
    <w:p w14:paraId="279BE435" w14:textId="2D685E8C" w:rsidR="001E790F" w:rsidRDefault="001E790F" w:rsidP="004A4DF0">
      <w:pPr>
        <w:pStyle w:val="Heading6"/>
      </w:pPr>
      <w:r w:rsidRPr="001E790F">
        <w:t>Physiotherap</w:t>
      </w:r>
      <w:r w:rsidR="004A4DF0">
        <w:t>y</w:t>
      </w:r>
    </w:p>
    <w:p w14:paraId="4A4C0482" w14:textId="65DC6A47" w:rsidR="004A4DF0" w:rsidRPr="004A4DF0" w:rsidRDefault="004A4DF0" w:rsidP="009C07F4">
      <w:pPr>
        <w:pStyle w:val="Bullet"/>
        <w:rPr>
          <w:rFonts w:eastAsia="Arial"/>
          <w:bCs/>
          <w:iCs/>
        </w:rPr>
      </w:pPr>
      <w:r>
        <w:rPr>
          <w:rFonts w:eastAsia="Arial"/>
        </w:rPr>
        <w:t>C</w:t>
      </w:r>
      <w:r w:rsidRPr="004A4DF0">
        <w:rPr>
          <w:rFonts w:eastAsia="Arial"/>
        </w:rPr>
        <w:t xml:space="preserve">omplete DHR Outpatient order in the </w:t>
      </w:r>
      <w:r w:rsidRPr="003E5957">
        <w:rPr>
          <w:rFonts w:eastAsia="Arial"/>
        </w:rPr>
        <w:t>Future Outpatient orders,</w:t>
      </w:r>
      <w:r w:rsidRPr="004A4DF0">
        <w:rPr>
          <w:rFonts w:eastAsia="Arial"/>
        </w:rPr>
        <w:t xml:space="preserve"> ensure correct health service is selected with </w:t>
      </w:r>
      <w:r w:rsidRPr="003E5957">
        <w:rPr>
          <w:rFonts w:eastAsia="Arial"/>
        </w:rPr>
        <w:t>Acute Allied Health Service</w:t>
      </w:r>
      <w:r w:rsidRPr="004A4DF0">
        <w:rPr>
          <w:rFonts w:eastAsia="Arial"/>
        </w:rPr>
        <w:t xml:space="preserve"> as division</w:t>
      </w:r>
    </w:p>
    <w:p w14:paraId="4D7DDD87" w14:textId="6D0DED0D" w:rsidR="001E790F" w:rsidRDefault="001E790F" w:rsidP="004A4DF0">
      <w:pPr>
        <w:pStyle w:val="Heading6"/>
        <w:spacing w:after="0"/>
      </w:pPr>
      <w:r>
        <w:t>S</w:t>
      </w:r>
      <w:r w:rsidRPr="001E790F">
        <w:t>ocial work</w:t>
      </w:r>
    </w:p>
    <w:p w14:paraId="70308FBB" w14:textId="77777777" w:rsidR="004A4DF0" w:rsidRPr="004A4DF0" w:rsidRDefault="004A4DF0" w:rsidP="009C07F4">
      <w:pPr>
        <w:pStyle w:val="Bullet"/>
        <w:rPr>
          <w:rFonts w:eastAsia="Arial"/>
        </w:rPr>
      </w:pPr>
      <w:r w:rsidRPr="004A4DF0">
        <w:rPr>
          <w:rFonts w:eastAsia="Arial"/>
        </w:rPr>
        <w:t>CHWC:</w:t>
      </w:r>
    </w:p>
    <w:p w14:paraId="448E9129" w14:textId="77777777" w:rsidR="004A4DF0" w:rsidRPr="004A4DF0" w:rsidRDefault="004A4DF0" w:rsidP="009C07F4">
      <w:pPr>
        <w:pStyle w:val="Bullet"/>
        <w:numPr>
          <w:ilvl w:val="1"/>
          <w:numId w:val="15"/>
        </w:numPr>
        <w:rPr>
          <w:rFonts w:eastAsia="Arial"/>
        </w:rPr>
      </w:pPr>
      <w:r w:rsidRPr="004A4DF0">
        <w:rPr>
          <w:rFonts w:eastAsia="Arial"/>
        </w:rPr>
        <w:t>Phone 0401 075 911</w:t>
      </w:r>
    </w:p>
    <w:p w14:paraId="4C74C8B8" w14:textId="77777777" w:rsidR="004A4DF0" w:rsidRPr="004A4DF0" w:rsidRDefault="004A4DF0" w:rsidP="009C07F4">
      <w:pPr>
        <w:pStyle w:val="Bullet"/>
        <w:numPr>
          <w:ilvl w:val="1"/>
          <w:numId w:val="15"/>
        </w:numPr>
        <w:rPr>
          <w:rFonts w:eastAsia="Arial"/>
        </w:rPr>
      </w:pPr>
      <w:r w:rsidRPr="004A4DF0">
        <w:rPr>
          <w:rFonts w:eastAsia="Arial"/>
        </w:rPr>
        <w:t xml:space="preserve">Email tchsocialworkmatpaeds@act.gov.au </w:t>
      </w:r>
    </w:p>
    <w:p w14:paraId="0D16996B" w14:textId="77777777" w:rsidR="004A4DF0" w:rsidRPr="004A4DF0" w:rsidRDefault="004A4DF0" w:rsidP="009C07F4">
      <w:pPr>
        <w:pStyle w:val="Bullet"/>
        <w:numPr>
          <w:ilvl w:val="1"/>
          <w:numId w:val="15"/>
        </w:numPr>
        <w:rPr>
          <w:rFonts w:eastAsia="Arial"/>
        </w:rPr>
      </w:pPr>
      <w:r w:rsidRPr="004A4DF0">
        <w:rPr>
          <w:rFonts w:eastAsia="Arial"/>
        </w:rPr>
        <w:t>Inpatient or outpatient Digital Health Record (DHR) referral to CHWC social work</w:t>
      </w:r>
    </w:p>
    <w:p w14:paraId="2F34FC60" w14:textId="77777777" w:rsidR="004A4DF0" w:rsidRPr="004A4DF0" w:rsidRDefault="004A4DF0" w:rsidP="009C07F4">
      <w:pPr>
        <w:pStyle w:val="Bullet"/>
        <w:rPr>
          <w:rFonts w:eastAsia="Arial"/>
        </w:rPr>
      </w:pPr>
      <w:r w:rsidRPr="004A4DF0">
        <w:rPr>
          <w:rFonts w:eastAsia="Arial"/>
        </w:rPr>
        <w:t>NCH:</w:t>
      </w:r>
    </w:p>
    <w:p w14:paraId="2D4209B5" w14:textId="77777777" w:rsidR="004A4DF0" w:rsidRPr="004A4DF0" w:rsidRDefault="004A4DF0" w:rsidP="009C07F4">
      <w:pPr>
        <w:pStyle w:val="Bullet"/>
        <w:numPr>
          <w:ilvl w:val="1"/>
          <w:numId w:val="15"/>
        </w:numPr>
        <w:rPr>
          <w:rFonts w:eastAsia="Arial"/>
        </w:rPr>
      </w:pPr>
      <w:r w:rsidRPr="004A4DF0">
        <w:rPr>
          <w:rFonts w:eastAsia="Arial"/>
        </w:rPr>
        <w:t xml:space="preserve">Phone 5103 6657 </w:t>
      </w:r>
    </w:p>
    <w:p w14:paraId="45FC77CB" w14:textId="77777777" w:rsidR="004A4DF0" w:rsidRPr="004A4DF0" w:rsidRDefault="004A4DF0" w:rsidP="009C07F4">
      <w:pPr>
        <w:pStyle w:val="Bullet"/>
        <w:numPr>
          <w:ilvl w:val="1"/>
          <w:numId w:val="15"/>
        </w:numPr>
        <w:rPr>
          <w:rFonts w:eastAsia="Arial"/>
        </w:rPr>
      </w:pPr>
      <w:r w:rsidRPr="004A4DF0">
        <w:rPr>
          <w:rFonts w:eastAsia="Arial"/>
        </w:rPr>
        <w:t xml:space="preserve">Email nch.socialwork@act.gov.au </w:t>
      </w:r>
    </w:p>
    <w:p w14:paraId="0BF91E5D" w14:textId="1CE2DB1C" w:rsidR="004A4DF0" w:rsidRPr="004A4DF0" w:rsidRDefault="004A4DF0" w:rsidP="009C07F4">
      <w:pPr>
        <w:pStyle w:val="Bullet"/>
        <w:numPr>
          <w:ilvl w:val="1"/>
          <w:numId w:val="15"/>
        </w:numPr>
        <w:rPr>
          <w:rFonts w:eastAsia="Arial"/>
        </w:rPr>
      </w:pPr>
      <w:r w:rsidRPr="004A4DF0">
        <w:rPr>
          <w:rFonts w:eastAsia="Arial"/>
        </w:rPr>
        <w:t>Inpatient or outpatient DHR referral to NCH social work</w:t>
      </w:r>
    </w:p>
    <w:p w14:paraId="5B190065" w14:textId="77777777" w:rsidR="004A4DF0" w:rsidRDefault="004A4DF0" w:rsidP="004A4DF0">
      <w:pPr>
        <w:spacing w:after="0"/>
        <w:rPr>
          <w:rFonts w:eastAsia="Arial"/>
          <w:bCs/>
          <w:iCs/>
        </w:rPr>
      </w:pPr>
      <w:r w:rsidRPr="004A4DF0">
        <w:rPr>
          <w:rStyle w:val="Heading6Char"/>
        </w:rPr>
        <w:t>Aboriginal and Torres Strait Islander Liaison Service</w:t>
      </w:r>
      <w:r w:rsidRPr="004A4DF0">
        <w:rPr>
          <w:rFonts w:eastAsia="Arial"/>
          <w:bCs/>
          <w:iCs/>
        </w:rPr>
        <w:t xml:space="preserve"> </w:t>
      </w:r>
    </w:p>
    <w:p w14:paraId="185D332F" w14:textId="58C742C8" w:rsidR="004A4DF0" w:rsidRPr="004A4DF0" w:rsidRDefault="004A4DF0" w:rsidP="008D3407">
      <w:pPr>
        <w:pStyle w:val="Bullet"/>
        <w:rPr>
          <w:rFonts w:eastAsia="Arial"/>
        </w:rPr>
      </w:pPr>
      <w:r w:rsidRPr="004A4DF0">
        <w:rPr>
          <w:rFonts w:eastAsia="Arial"/>
        </w:rPr>
        <w:t xml:space="preserve">CHWC on 5124 2055 or email </w:t>
      </w:r>
      <w:hyperlink r:id="rId12" w:history="1">
        <w:r w:rsidRPr="004A4DF0">
          <w:rPr>
            <w:rStyle w:val="Hyperlink"/>
            <w:rFonts w:eastAsia="Arial"/>
            <w:bCs/>
            <w:iCs/>
          </w:rPr>
          <w:t>ALOService@act.gov.au</w:t>
        </w:r>
      </w:hyperlink>
      <w:r w:rsidRPr="004A4DF0">
        <w:rPr>
          <w:rFonts w:eastAsia="Arial"/>
        </w:rPr>
        <w:t xml:space="preserve"> </w:t>
      </w:r>
    </w:p>
    <w:p w14:paraId="667FE4CB" w14:textId="11515C87" w:rsidR="004A4DF0" w:rsidRPr="004A4DF0" w:rsidRDefault="004A4DF0" w:rsidP="008D3407">
      <w:pPr>
        <w:pStyle w:val="Bullet"/>
        <w:rPr>
          <w:rFonts w:eastAsia="Arial"/>
        </w:rPr>
      </w:pPr>
      <w:r w:rsidRPr="004A4DF0">
        <w:rPr>
          <w:rFonts w:eastAsia="Arial"/>
        </w:rPr>
        <w:t xml:space="preserve">NCH on 5103 7097/5103 6283 or email </w:t>
      </w:r>
      <w:hyperlink r:id="rId13" w:history="1">
        <w:r w:rsidRPr="00AE7C1F">
          <w:rPr>
            <w:rStyle w:val="Hyperlink"/>
            <w:rFonts w:eastAsia="Arial"/>
            <w:bCs/>
            <w:iCs/>
          </w:rPr>
          <w:t>nch.alos@act.gov.au</w:t>
        </w:r>
      </w:hyperlink>
      <w:r>
        <w:rPr>
          <w:rFonts w:eastAsia="Arial"/>
        </w:rPr>
        <w:t xml:space="preserve"> </w:t>
      </w:r>
    </w:p>
    <w:p w14:paraId="3EA7250E" w14:textId="77777777" w:rsidR="00405895" w:rsidRPr="00405895" w:rsidRDefault="00405895" w:rsidP="00F17443">
      <w:pPr>
        <w:pStyle w:val="Heading6"/>
        <w:spacing w:before="0" w:after="0"/>
      </w:pPr>
      <w:r w:rsidRPr="00405895">
        <w:lastRenderedPageBreak/>
        <w:t>Mental health</w:t>
      </w:r>
    </w:p>
    <w:p w14:paraId="3706742D" w14:textId="7D2F1CAB" w:rsidR="00405895" w:rsidRDefault="00405895" w:rsidP="003E5957">
      <w:pPr>
        <w:pStyle w:val="BodyCopy"/>
        <w:rPr>
          <w:rFonts w:eastAsia="Arial"/>
        </w:rPr>
      </w:pPr>
      <w:r>
        <w:rPr>
          <w:rFonts w:eastAsia="Arial"/>
        </w:rPr>
        <w:t>R</w:t>
      </w:r>
      <w:r w:rsidRPr="00405895">
        <w:rPr>
          <w:rFonts w:eastAsia="Arial"/>
        </w:rPr>
        <w:t xml:space="preserve">isk of adverse mental health disorders </w:t>
      </w:r>
      <w:r>
        <w:rPr>
          <w:rFonts w:eastAsia="Arial"/>
        </w:rPr>
        <w:t xml:space="preserve">should be individualised. Refer to the </w:t>
      </w:r>
      <w:r w:rsidRPr="00405895">
        <w:rPr>
          <w:rFonts w:eastAsia="Arial"/>
        </w:rPr>
        <w:t>Australian</w:t>
      </w:r>
      <w:r>
        <w:rPr>
          <w:rFonts w:eastAsia="Arial"/>
        </w:rPr>
        <w:t xml:space="preserve"> P</w:t>
      </w:r>
      <w:r w:rsidRPr="00405895">
        <w:rPr>
          <w:rFonts w:eastAsia="Arial"/>
        </w:rPr>
        <w:t xml:space="preserve">regnancy </w:t>
      </w:r>
      <w:r>
        <w:rPr>
          <w:rFonts w:eastAsia="Arial"/>
        </w:rPr>
        <w:t>C</w:t>
      </w:r>
      <w:r w:rsidRPr="00405895">
        <w:rPr>
          <w:rFonts w:eastAsia="Arial"/>
        </w:rPr>
        <w:t>are guidelines</w:t>
      </w:r>
      <w:r w:rsidR="003E5957">
        <w:rPr>
          <w:rFonts w:eastAsia="Arial"/>
          <w:vertAlign w:val="superscript"/>
        </w:rPr>
        <w:t>23</w:t>
      </w:r>
      <w:r w:rsidRPr="00405895">
        <w:rPr>
          <w:rFonts w:eastAsia="Arial"/>
        </w:rPr>
        <w:t xml:space="preserve"> </w:t>
      </w:r>
      <w:r>
        <w:rPr>
          <w:rFonts w:eastAsia="Arial"/>
        </w:rPr>
        <w:t xml:space="preserve">and </w:t>
      </w:r>
      <w:r w:rsidRPr="008D3407">
        <w:rPr>
          <w:rFonts w:eastAsia="Arial"/>
          <w:i/>
          <w:iCs w:val="0"/>
        </w:rPr>
        <w:t xml:space="preserve">Perinatal and Infant Mental Health Wellbeing </w:t>
      </w:r>
      <w:r w:rsidR="003E5957" w:rsidRPr="008D3407">
        <w:rPr>
          <w:rFonts w:eastAsia="Arial"/>
          <w:i/>
          <w:iCs w:val="0"/>
        </w:rPr>
        <w:t>Guideline</w:t>
      </w:r>
      <w:r w:rsidR="003E5957">
        <w:rPr>
          <w:rFonts w:eastAsia="Arial"/>
        </w:rPr>
        <w:t xml:space="preserve">, available on the Policy and Guidance Register, </w:t>
      </w:r>
      <w:r>
        <w:rPr>
          <w:rFonts w:eastAsia="Arial"/>
        </w:rPr>
        <w:t>for further information and referral pathways.</w:t>
      </w:r>
    </w:p>
    <w:p w14:paraId="0E1743F8" w14:textId="7C36137E" w:rsidR="228731B4" w:rsidRDefault="228731B4" w:rsidP="00F17443">
      <w:pPr>
        <w:pStyle w:val="Heading5"/>
        <w:spacing w:before="240" w:beforeAutospacing="0" w:after="0"/>
      </w:pPr>
      <w:bookmarkStart w:id="13" w:name="_Hlk212224214"/>
      <w:r>
        <w:t>Anaesthetic considerations</w:t>
      </w:r>
      <w:r w:rsidR="008026B0">
        <w:t xml:space="preserve"> CHWC</w:t>
      </w:r>
    </w:p>
    <w:p w14:paraId="3EA3346A" w14:textId="559463C0" w:rsidR="228731B4" w:rsidRPr="003A009A" w:rsidRDefault="003A230C" w:rsidP="008D3407">
      <w:pPr>
        <w:pStyle w:val="Bullet"/>
        <w:rPr>
          <w:rFonts w:eastAsia="Arial"/>
        </w:rPr>
      </w:pPr>
      <w:bookmarkStart w:id="14" w:name="_Hlk212224373"/>
      <w:bookmarkEnd w:id="13"/>
      <w:r>
        <w:t xml:space="preserve">Pregnant </w:t>
      </w:r>
      <w:r w:rsidR="00DC6A10">
        <w:t xml:space="preserve">women/ </w:t>
      </w:r>
      <w:r>
        <w:t xml:space="preserve">persons </w:t>
      </w:r>
      <w:r w:rsidR="228731B4">
        <w:t xml:space="preserve">with a BMI </w:t>
      </w:r>
      <w:r w:rsidR="00E342A3">
        <w:t xml:space="preserve">of </w:t>
      </w:r>
      <w:r w:rsidR="009522A6">
        <w:t>50</w:t>
      </w:r>
      <w:r w:rsidR="228731B4">
        <w:t xml:space="preserve"> </w:t>
      </w:r>
      <w:r w:rsidR="00E342A3">
        <w:t xml:space="preserve">or more </w:t>
      </w:r>
      <w:r w:rsidR="228731B4">
        <w:t>will be referred antenatally to the pre-admission clinic for an anaesthetic review to discuss risks associated with analgesia (epidurals) and anaesthesia (either regional or general).</w:t>
      </w:r>
    </w:p>
    <w:bookmarkEnd w:id="14"/>
    <w:p w14:paraId="25D72A83" w14:textId="62CB1AC1" w:rsidR="228731B4" w:rsidRPr="003A009A" w:rsidRDefault="228731B4" w:rsidP="008D3407">
      <w:pPr>
        <w:pStyle w:val="Bullet"/>
        <w:numPr>
          <w:ilvl w:val="1"/>
          <w:numId w:val="15"/>
        </w:numPr>
        <w:rPr>
          <w:rFonts w:eastAsia="Arial"/>
        </w:rPr>
      </w:pPr>
      <w:r w:rsidRPr="003A009A">
        <w:t xml:space="preserve">If anaesthetic consult </w:t>
      </w:r>
      <w:r w:rsidR="003A230C" w:rsidRPr="003A009A">
        <w:t xml:space="preserve">has not occurred antenatally, </w:t>
      </w:r>
      <w:r w:rsidRPr="003A009A">
        <w:t xml:space="preserve">contact </w:t>
      </w:r>
      <w:r w:rsidR="003A230C" w:rsidRPr="003A009A">
        <w:t xml:space="preserve">birth suite </w:t>
      </w:r>
      <w:r w:rsidRPr="003A009A">
        <w:t xml:space="preserve">anaesthetic </w:t>
      </w:r>
      <w:r w:rsidR="003A230C" w:rsidRPr="003A009A">
        <w:t xml:space="preserve">registrar </w:t>
      </w:r>
      <w:r w:rsidRPr="003A009A">
        <w:t xml:space="preserve">on admission to birthing to </w:t>
      </w:r>
      <w:r w:rsidR="003A230C" w:rsidRPr="003A009A">
        <w:t>facilitate anaesthetic risk review and plan of care</w:t>
      </w:r>
      <w:r w:rsidR="003E5957">
        <w:t>.</w:t>
      </w:r>
    </w:p>
    <w:p w14:paraId="0B4CAB43" w14:textId="68A2D83C" w:rsidR="003A230C" w:rsidRDefault="003A230C" w:rsidP="008D3407">
      <w:pPr>
        <w:pStyle w:val="Bullet"/>
        <w:rPr>
          <w:rFonts w:eastAsia="Arial"/>
        </w:rPr>
      </w:pPr>
      <w:bookmarkStart w:id="15" w:name="_Hlk212224292"/>
      <w:r>
        <w:rPr>
          <w:rFonts w:eastAsia="Arial"/>
        </w:rPr>
        <w:t xml:space="preserve">Pregnant persons </w:t>
      </w:r>
      <w:r w:rsidRPr="003A230C">
        <w:rPr>
          <w:rFonts w:eastAsia="Arial"/>
        </w:rPr>
        <w:t xml:space="preserve">with a BMI </w:t>
      </w:r>
      <w:r w:rsidR="00E342A3">
        <w:rPr>
          <w:rFonts w:eastAsia="Arial"/>
        </w:rPr>
        <w:t xml:space="preserve">of </w:t>
      </w:r>
      <w:r w:rsidRPr="003A230C">
        <w:rPr>
          <w:rFonts w:eastAsia="Arial"/>
        </w:rPr>
        <w:t>45</w:t>
      </w:r>
      <w:r w:rsidR="00E342A3">
        <w:rPr>
          <w:rFonts w:eastAsia="Arial"/>
        </w:rPr>
        <w:t xml:space="preserve"> or above</w:t>
      </w:r>
      <w:r w:rsidRPr="003A230C">
        <w:rPr>
          <w:rFonts w:eastAsia="Arial"/>
        </w:rPr>
        <w:t xml:space="preserve"> require </w:t>
      </w:r>
      <w:r>
        <w:rPr>
          <w:rFonts w:eastAsia="Arial"/>
        </w:rPr>
        <w:t xml:space="preserve">anaesthetic </w:t>
      </w:r>
      <w:r w:rsidRPr="003A230C">
        <w:rPr>
          <w:rFonts w:eastAsia="Arial"/>
        </w:rPr>
        <w:t>referral if they have other anaesthetic risks</w:t>
      </w:r>
      <w:r w:rsidR="003E5957">
        <w:rPr>
          <w:rFonts w:eastAsia="Arial"/>
        </w:rPr>
        <w:t>.</w:t>
      </w:r>
    </w:p>
    <w:p w14:paraId="4018BCDA" w14:textId="2AD4CC73" w:rsidR="003A230C" w:rsidRPr="003A230C" w:rsidRDefault="003A230C" w:rsidP="008D3407">
      <w:pPr>
        <w:pStyle w:val="Bullet"/>
        <w:rPr>
          <w:rFonts w:eastAsia="Arial"/>
        </w:rPr>
      </w:pPr>
      <w:r w:rsidRPr="003A230C">
        <w:t xml:space="preserve">When a </w:t>
      </w:r>
      <w:r>
        <w:t xml:space="preserve">pregnant </w:t>
      </w:r>
      <w:r w:rsidR="00DC6A10">
        <w:t>woman/</w:t>
      </w:r>
      <w:r>
        <w:t xml:space="preserve">person </w:t>
      </w:r>
      <w:r w:rsidRPr="003A230C">
        <w:t xml:space="preserve">with a BMI </w:t>
      </w:r>
      <w:r w:rsidR="00E342A3">
        <w:t xml:space="preserve">of </w:t>
      </w:r>
      <w:r w:rsidRPr="003A230C">
        <w:t xml:space="preserve">45 </w:t>
      </w:r>
      <w:r w:rsidR="00E342A3">
        <w:rPr>
          <w:rFonts w:eastAsia="Arial"/>
        </w:rPr>
        <w:t>or above</w:t>
      </w:r>
      <w:r w:rsidR="00E342A3" w:rsidRPr="003A230C">
        <w:rPr>
          <w:rFonts w:eastAsia="Arial"/>
        </w:rPr>
        <w:t xml:space="preserve"> </w:t>
      </w:r>
      <w:r w:rsidRPr="003A230C">
        <w:t xml:space="preserve">presents in labour, the </w:t>
      </w:r>
      <w:r w:rsidR="0063477F">
        <w:t>a</w:t>
      </w:r>
      <w:r w:rsidRPr="003A230C">
        <w:t xml:space="preserve">naesthetic </w:t>
      </w:r>
      <w:r w:rsidR="0063477F">
        <w:t>r</w:t>
      </w:r>
      <w:r w:rsidRPr="003A230C">
        <w:t>egistrar should be notified of their admission</w:t>
      </w:r>
      <w:r w:rsidR="003E5957">
        <w:t>.</w:t>
      </w:r>
      <w:r w:rsidRPr="003A230C">
        <w:rPr>
          <w:rFonts w:eastAsia="Arial"/>
        </w:rPr>
        <w:t xml:space="preserve"> </w:t>
      </w:r>
    </w:p>
    <w:bookmarkEnd w:id="15"/>
    <w:p w14:paraId="651C54B4" w14:textId="451E64E4" w:rsidR="00DC6A10" w:rsidRPr="003A009A" w:rsidRDefault="228731B4" w:rsidP="008D3407">
      <w:pPr>
        <w:pStyle w:val="Bullet"/>
        <w:rPr>
          <w:rFonts w:eastAsia="Arial"/>
        </w:rPr>
      </w:pPr>
      <w:r w:rsidRPr="143A4CE6">
        <w:t>If transfer</w:t>
      </w:r>
      <w:r w:rsidR="003A230C">
        <w:t xml:space="preserve"> </w:t>
      </w:r>
      <w:r w:rsidRPr="143A4CE6">
        <w:t>to the operating theatre</w:t>
      </w:r>
      <w:r w:rsidR="001B6F1E">
        <w:t xml:space="preserve"> is </w:t>
      </w:r>
      <w:r w:rsidR="00364422">
        <w:t>required</w:t>
      </w:r>
      <w:r w:rsidRPr="143A4CE6">
        <w:t xml:space="preserve">, theatre staff should be given as much notice as possible for them to prepare appropriate </w:t>
      </w:r>
      <w:r w:rsidR="003A230C">
        <w:t xml:space="preserve">bariatric </w:t>
      </w:r>
      <w:r w:rsidRPr="143A4CE6">
        <w:t>equipment.</w:t>
      </w:r>
    </w:p>
    <w:p w14:paraId="5FA70592" w14:textId="1317E4E5" w:rsidR="00DC6A10" w:rsidRPr="003A009A" w:rsidRDefault="00DC6A10" w:rsidP="00F17443">
      <w:pPr>
        <w:pStyle w:val="Heading5"/>
        <w:spacing w:after="0"/>
        <w:rPr>
          <w:rFonts w:eastAsia="Arial"/>
        </w:rPr>
      </w:pPr>
      <w:r>
        <w:t>Anaesthetic considerations NCH</w:t>
      </w:r>
    </w:p>
    <w:p w14:paraId="282C02D5" w14:textId="6D812E9A" w:rsidR="00DC6A10" w:rsidRDefault="00DC6A10" w:rsidP="008D3407">
      <w:pPr>
        <w:pStyle w:val="Bullet"/>
        <w:rPr>
          <w:rFonts w:eastAsia="Arial"/>
        </w:rPr>
      </w:pPr>
      <w:r>
        <w:rPr>
          <w:rFonts w:eastAsia="Arial"/>
        </w:rPr>
        <w:t xml:space="preserve">Pregnant women/persons </w:t>
      </w:r>
      <w:r w:rsidRPr="003A230C">
        <w:rPr>
          <w:rFonts w:eastAsia="Arial"/>
        </w:rPr>
        <w:t xml:space="preserve">with a BMI </w:t>
      </w:r>
      <w:r w:rsidR="00E342A3">
        <w:rPr>
          <w:rFonts w:eastAsia="Arial"/>
        </w:rPr>
        <w:t xml:space="preserve">of </w:t>
      </w:r>
      <w:r w:rsidR="008D3407">
        <w:rPr>
          <w:rFonts w:eastAsia="Arial"/>
        </w:rPr>
        <w:t xml:space="preserve">40 </w:t>
      </w:r>
      <w:r w:rsidR="00E342A3">
        <w:rPr>
          <w:rFonts w:eastAsia="Arial"/>
        </w:rPr>
        <w:t>or above</w:t>
      </w:r>
      <w:r w:rsidR="00E342A3" w:rsidRPr="003A230C">
        <w:rPr>
          <w:rFonts w:eastAsia="Arial"/>
        </w:rPr>
        <w:t xml:space="preserve"> </w:t>
      </w:r>
      <w:r w:rsidR="008D3407">
        <w:rPr>
          <w:rFonts w:eastAsia="Arial"/>
        </w:rPr>
        <w:t>re</w:t>
      </w:r>
      <w:r w:rsidRPr="003A230C">
        <w:rPr>
          <w:rFonts w:eastAsia="Arial"/>
        </w:rPr>
        <w:t xml:space="preserve">quire </w:t>
      </w:r>
      <w:r>
        <w:rPr>
          <w:rFonts w:eastAsia="Arial"/>
        </w:rPr>
        <w:t xml:space="preserve">anaesthetic </w:t>
      </w:r>
      <w:r w:rsidRPr="003A230C">
        <w:rPr>
          <w:rFonts w:eastAsia="Arial"/>
        </w:rPr>
        <w:t>referral if they have other anaesthetic risks</w:t>
      </w:r>
      <w:r w:rsidR="00423E0D">
        <w:rPr>
          <w:rFonts w:eastAsia="Arial"/>
        </w:rPr>
        <w:t>.</w:t>
      </w:r>
    </w:p>
    <w:p w14:paraId="772AF3AC" w14:textId="56CC215D" w:rsidR="007D3AFB" w:rsidRPr="007D3AFB" w:rsidRDefault="00DC6A10" w:rsidP="007D3AFB">
      <w:pPr>
        <w:pStyle w:val="Bullet"/>
        <w:rPr>
          <w:rFonts w:eastAsia="Arial"/>
        </w:rPr>
      </w:pPr>
      <w:r>
        <w:rPr>
          <w:rFonts w:eastAsia="Arial"/>
        </w:rPr>
        <w:t xml:space="preserve">Pregnant women/persons </w:t>
      </w:r>
      <w:r w:rsidRPr="003A230C">
        <w:rPr>
          <w:rFonts w:eastAsia="Arial"/>
        </w:rPr>
        <w:t xml:space="preserve">with a BMI </w:t>
      </w:r>
      <w:r w:rsidR="00E342A3">
        <w:rPr>
          <w:rFonts w:eastAsia="Arial"/>
        </w:rPr>
        <w:t xml:space="preserve">of </w:t>
      </w:r>
      <w:r w:rsidRPr="003A230C">
        <w:rPr>
          <w:rFonts w:eastAsia="Arial"/>
        </w:rPr>
        <w:t>4</w:t>
      </w:r>
      <w:r w:rsidR="008D3407">
        <w:rPr>
          <w:rFonts w:eastAsia="Arial"/>
        </w:rPr>
        <w:t>5</w:t>
      </w:r>
      <w:r w:rsidRPr="003A230C">
        <w:rPr>
          <w:rFonts w:eastAsia="Arial"/>
        </w:rPr>
        <w:t xml:space="preserve"> </w:t>
      </w:r>
      <w:r w:rsidR="00E342A3">
        <w:rPr>
          <w:rFonts w:eastAsia="Arial"/>
        </w:rPr>
        <w:t>or above</w:t>
      </w:r>
      <w:r w:rsidR="00E342A3" w:rsidRPr="003A230C">
        <w:rPr>
          <w:rFonts w:eastAsia="Arial"/>
        </w:rPr>
        <w:t xml:space="preserve"> </w:t>
      </w:r>
      <w:r w:rsidRPr="003A230C">
        <w:rPr>
          <w:rFonts w:eastAsia="Arial"/>
        </w:rPr>
        <w:t xml:space="preserve">require </w:t>
      </w:r>
      <w:r>
        <w:rPr>
          <w:rFonts w:eastAsia="Arial"/>
        </w:rPr>
        <w:t xml:space="preserve">anaesthetic </w:t>
      </w:r>
      <w:r w:rsidRPr="003A230C">
        <w:rPr>
          <w:rFonts w:eastAsia="Arial"/>
        </w:rPr>
        <w:t>referral</w:t>
      </w:r>
      <w:r w:rsidR="007D3AFB">
        <w:rPr>
          <w:rFonts w:eastAsia="Arial"/>
        </w:rPr>
        <w:t xml:space="preserve">; </w:t>
      </w:r>
      <w:r w:rsidR="007D3AFB" w:rsidRPr="007D3AFB">
        <w:rPr>
          <w:rFonts w:eastAsia="Arial"/>
        </w:rPr>
        <w:t xml:space="preserve">this consultation should occur between 28 </w:t>
      </w:r>
      <w:r w:rsidR="003D6361">
        <w:rPr>
          <w:rFonts w:eastAsia="Arial"/>
        </w:rPr>
        <w:t xml:space="preserve">to </w:t>
      </w:r>
      <w:r w:rsidR="007D3AFB" w:rsidRPr="007D3AFB">
        <w:rPr>
          <w:rFonts w:eastAsia="Arial"/>
        </w:rPr>
        <w:t>34 weeks</w:t>
      </w:r>
    </w:p>
    <w:p w14:paraId="3B756E23" w14:textId="735B440B" w:rsidR="00DC6A10" w:rsidRPr="003A009A" w:rsidRDefault="00DC6A10" w:rsidP="008D3407">
      <w:pPr>
        <w:pStyle w:val="Bullet"/>
        <w:rPr>
          <w:rFonts w:eastAsia="Arial"/>
        </w:rPr>
      </w:pPr>
      <w:r w:rsidRPr="003A009A">
        <w:t xml:space="preserve">When a pregnant </w:t>
      </w:r>
      <w:r>
        <w:t>woman/</w:t>
      </w:r>
      <w:r w:rsidRPr="003A009A">
        <w:t xml:space="preserve">person with a BMI </w:t>
      </w:r>
      <w:r w:rsidR="00E342A3">
        <w:t xml:space="preserve">of </w:t>
      </w:r>
      <w:r w:rsidRPr="003A009A">
        <w:t xml:space="preserve">45 </w:t>
      </w:r>
      <w:r w:rsidR="00E342A3">
        <w:rPr>
          <w:rFonts w:eastAsia="Arial"/>
        </w:rPr>
        <w:t>or above</w:t>
      </w:r>
      <w:r w:rsidR="00E342A3" w:rsidRPr="003A230C">
        <w:rPr>
          <w:rFonts w:eastAsia="Arial"/>
        </w:rPr>
        <w:t xml:space="preserve"> </w:t>
      </w:r>
      <w:r w:rsidRPr="003A009A">
        <w:t xml:space="preserve">presents in labour, the </w:t>
      </w:r>
      <w:r w:rsidR="0063477F">
        <w:t>a</w:t>
      </w:r>
      <w:r w:rsidRPr="003A009A">
        <w:t xml:space="preserve">naesthetic </w:t>
      </w:r>
      <w:r w:rsidR="0063477F">
        <w:t>r</w:t>
      </w:r>
      <w:r w:rsidRPr="003A009A">
        <w:t>egistrar should be notified of their admission</w:t>
      </w:r>
      <w:r w:rsidR="00423E0D">
        <w:t>.</w:t>
      </w:r>
      <w:r w:rsidRPr="003A009A">
        <w:rPr>
          <w:rFonts w:eastAsia="Arial"/>
        </w:rPr>
        <w:t xml:space="preserve"> </w:t>
      </w:r>
    </w:p>
    <w:p w14:paraId="57EAB792" w14:textId="70623688" w:rsidR="006A0F4A" w:rsidRDefault="006A0F4A" w:rsidP="00F17443">
      <w:pPr>
        <w:pStyle w:val="Heading5"/>
        <w:spacing w:before="120" w:beforeAutospacing="0" w:after="0"/>
      </w:pPr>
      <w:r>
        <w:t xml:space="preserve">Place of </w:t>
      </w:r>
      <w:r w:rsidR="0048401D">
        <w:t>bi</w:t>
      </w:r>
      <w:r>
        <w:t>rth- suitability criteria</w:t>
      </w:r>
    </w:p>
    <w:p w14:paraId="15AF691C" w14:textId="567AB76C" w:rsidR="006A0F4A" w:rsidRDefault="006A0F4A" w:rsidP="007D3AFB">
      <w:pPr>
        <w:pStyle w:val="BodyCopy"/>
      </w:pPr>
      <w:r>
        <w:t xml:space="preserve">Clinical decision-making regarding place of birth should balance maternal/birthing person preferences with pregnancy risk assessment. Due to the increased obstetric, anaesthetic, and neonatal complications </w:t>
      </w:r>
      <w:r w:rsidR="00A95263">
        <w:t>(</w:t>
      </w:r>
      <w:r>
        <w:t>associated with a higher BMI</w:t>
      </w:r>
      <w:r w:rsidR="00A95263">
        <w:t>)</w:t>
      </w:r>
      <w:r>
        <w:t xml:space="preserve">, this is the key factor in determining the most appropriate and safest </w:t>
      </w:r>
      <w:r w:rsidRPr="00423E0D">
        <w:t>place</w:t>
      </w:r>
      <w:r>
        <w:t xml:space="preserve"> of birth.</w:t>
      </w:r>
    </w:p>
    <w:p w14:paraId="7E7DAC75" w14:textId="6C01A1F7" w:rsidR="00405895" w:rsidRDefault="00405895" w:rsidP="00F17443">
      <w:pPr>
        <w:pStyle w:val="Heading5"/>
        <w:spacing w:before="120" w:beforeAutospacing="0" w:after="0"/>
      </w:pPr>
      <w:r>
        <w:t>Timing of Birth</w:t>
      </w:r>
    </w:p>
    <w:p w14:paraId="295ED046" w14:textId="33FE6328" w:rsidR="006C6BD8" w:rsidRDefault="008E1879" w:rsidP="007D3AFB">
      <w:pPr>
        <w:pStyle w:val="Bullet"/>
        <w:numPr>
          <w:ilvl w:val="0"/>
          <w:numId w:val="53"/>
        </w:numPr>
        <w:rPr>
          <w:vertAlign w:val="superscript"/>
        </w:rPr>
      </w:pPr>
      <w:r w:rsidRPr="00231BB1">
        <w:t>There is</w:t>
      </w:r>
      <w:r w:rsidR="00231BB1" w:rsidRPr="00231BB1">
        <w:t xml:space="preserve"> </w:t>
      </w:r>
      <w:r>
        <w:t xml:space="preserve">no </w:t>
      </w:r>
      <w:r w:rsidR="00231BB1" w:rsidRPr="00231BB1">
        <w:t xml:space="preserve">universal consensus </w:t>
      </w:r>
      <w:r w:rsidR="00FD37E4">
        <w:t xml:space="preserve">regarding </w:t>
      </w:r>
      <w:r w:rsidR="006C6BD8">
        <w:t xml:space="preserve">an </w:t>
      </w:r>
      <w:r w:rsidR="00231BB1" w:rsidRPr="00231BB1">
        <w:t>optim</w:t>
      </w:r>
      <w:r w:rsidR="00FD37E4">
        <w:t>al</w:t>
      </w:r>
      <w:r w:rsidR="00231BB1" w:rsidRPr="00231BB1">
        <w:t xml:space="preserve"> timing of birth for women</w:t>
      </w:r>
      <w:r w:rsidR="00FD37E4">
        <w:t xml:space="preserve">/birthing persons </w:t>
      </w:r>
      <w:r w:rsidRPr="008E1879">
        <w:t>with obesity in the absence of comorbid</w:t>
      </w:r>
      <w:r w:rsidR="00C03984">
        <w:t>ity</w:t>
      </w:r>
      <w:r w:rsidR="00423E0D">
        <w:t>.</w:t>
      </w:r>
      <w:r w:rsidR="006C6BD8">
        <w:rPr>
          <w:vertAlign w:val="superscript"/>
        </w:rPr>
        <w:t>1</w:t>
      </w:r>
      <w:r w:rsidR="00231BB1" w:rsidRPr="006C6BD8">
        <w:rPr>
          <w:vertAlign w:val="superscript"/>
        </w:rPr>
        <w:t>,7</w:t>
      </w:r>
    </w:p>
    <w:p w14:paraId="41449348" w14:textId="2FA61C4D" w:rsidR="001B6F1E" w:rsidRDefault="001B6F1E" w:rsidP="007D3AFB">
      <w:pPr>
        <w:pStyle w:val="Bullet"/>
      </w:pPr>
      <w:r>
        <w:t xml:space="preserve">Where induction of labour is required, </w:t>
      </w:r>
      <w:r w:rsidR="00EA2CD2">
        <w:t xml:space="preserve">planned timing and </w:t>
      </w:r>
      <w:r w:rsidR="00EA2CD2" w:rsidRPr="00EA2CD2">
        <w:t xml:space="preserve">mode of birth should be based on </w:t>
      </w:r>
      <w:r w:rsidR="00EA2CD2">
        <w:t xml:space="preserve">pregnancy </w:t>
      </w:r>
      <w:r w:rsidR="00EA2CD2" w:rsidRPr="00EA2CD2">
        <w:t>indications</w:t>
      </w:r>
      <w:r w:rsidR="00423E0D">
        <w:t>.</w:t>
      </w:r>
      <w:r>
        <w:rPr>
          <w:vertAlign w:val="superscript"/>
        </w:rPr>
        <w:t>1,7</w:t>
      </w:r>
      <w:r w:rsidR="00EA2CD2" w:rsidRPr="00EA2CD2">
        <w:t xml:space="preserve"> </w:t>
      </w:r>
    </w:p>
    <w:p w14:paraId="14D72EFF" w14:textId="01BF4961" w:rsidR="002D27A2" w:rsidRPr="002D27A2" w:rsidRDefault="002D27A2" w:rsidP="003A009A">
      <w:pPr>
        <w:pStyle w:val="Heading6"/>
        <w:spacing w:after="0"/>
      </w:pPr>
      <w:r>
        <w:lastRenderedPageBreak/>
        <w:t>Risk Considerations</w:t>
      </w:r>
    </w:p>
    <w:p w14:paraId="546DBA13" w14:textId="14C778BF" w:rsidR="001B6F1E" w:rsidRPr="001B6F1E" w:rsidRDefault="001B6F1E" w:rsidP="007D3AFB">
      <w:pPr>
        <w:pStyle w:val="Bullet"/>
      </w:pPr>
      <w:r w:rsidRPr="001B6F1E">
        <w:t>Women/birthing persons with obesity are more likely to require induction of labour due to the increased incidence of pregnancy complications, they also have an increased risk for longer inductions, unsuccessful induction and caesarean birth</w:t>
      </w:r>
      <w:r w:rsidR="00423E0D">
        <w:t>.</w:t>
      </w:r>
      <w:r w:rsidRPr="003A009A">
        <w:rPr>
          <w:vertAlign w:val="superscript"/>
        </w:rPr>
        <w:t>1,7</w:t>
      </w:r>
    </w:p>
    <w:p w14:paraId="75186B80" w14:textId="139BA8B4" w:rsidR="00A95263" w:rsidRPr="00A95263" w:rsidRDefault="0014432F" w:rsidP="007D3AFB">
      <w:pPr>
        <w:pStyle w:val="Bullet"/>
      </w:pPr>
      <w:r>
        <w:t>There is an inc</w:t>
      </w:r>
      <w:r w:rsidRPr="0014432F">
        <w:t xml:space="preserve">reased risk of </w:t>
      </w:r>
      <w:r w:rsidR="00A95263">
        <w:t xml:space="preserve">term </w:t>
      </w:r>
      <w:r w:rsidR="002D27A2" w:rsidRPr="002D27A2">
        <w:t xml:space="preserve">stillbirth for </w:t>
      </w:r>
      <w:r w:rsidR="002D27A2">
        <w:t xml:space="preserve">women/birthing persons </w:t>
      </w:r>
      <w:r w:rsidR="00A95263">
        <w:t xml:space="preserve">with </w:t>
      </w:r>
      <w:r w:rsidR="002D27A2" w:rsidRPr="002D27A2">
        <w:t>obesity</w:t>
      </w:r>
      <w:r>
        <w:t xml:space="preserve">. Where BMI is </w:t>
      </w:r>
      <w:r w:rsidR="00DE5E22">
        <w:t xml:space="preserve">greater than </w:t>
      </w:r>
      <w:r w:rsidRPr="0014432F">
        <w:t>30</w:t>
      </w:r>
      <w:r w:rsidR="002D27A2">
        <w:t xml:space="preserve"> </w:t>
      </w:r>
      <w:r>
        <w:t xml:space="preserve">the </w:t>
      </w:r>
      <w:r w:rsidRPr="0014432F">
        <w:t xml:space="preserve">adjusted odds ratios </w:t>
      </w:r>
      <w:r>
        <w:t>is</w:t>
      </w:r>
      <w:r w:rsidRPr="0014432F">
        <w:t xml:space="preserve"> 1.6 (1.4</w:t>
      </w:r>
      <w:r w:rsidR="003D6361">
        <w:t xml:space="preserve"> to </w:t>
      </w:r>
      <w:r w:rsidRPr="0014432F">
        <w:t>2.0)</w:t>
      </w:r>
      <w:r>
        <w:t xml:space="preserve">. This risk </w:t>
      </w:r>
      <w:r w:rsidR="00A95263" w:rsidRPr="00A95263">
        <w:t>further increases where BMI is 50</w:t>
      </w:r>
      <w:r w:rsidR="00DE5E22">
        <w:t xml:space="preserve"> or more</w:t>
      </w:r>
      <w:r w:rsidR="00423E0D">
        <w:t>.</w:t>
      </w:r>
      <w:r w:rsidR="00A95263" w:rsidRPr="00A95263">
        <w:t xml:space="preserve"> </w:t>
      </w:r>
      <w:r w:rsidR="00A95263" w:rsidRPr="00A95263">
        <w:rPr>
          <w:vertAlign w:val="superscript"/>
        </w:rPr>
        <w:t>1,</w:t>
      </w:r>
      <w:r w:rsidR="00A95263">
        <w:rPr>
          <w:vertAlign w:val="superscript"/>
        </w:rPr>
        <w:t>7,23,</w:t>
      </w:r>
      <w:r w:rsidR="00A95263" w:rsidRPr="00A95263">
        <w:rPr>
          <w:vertAlign w:val="superscript"/>
        </w:rPr>
        <w:t>24</w:t>
      </w:r>
      <w:r w:rsidR="0036444F">
        <w:rPr>
          <w:vertAlign w:val="superscript"/>
        </w:rPr>
        <w:t>,25</w:t>
      </w:r>
    </w:p>
    <w:p w14:paraId="507E509D" w14:textId="6CB71BCC" w:rsidR="00C03984" w:rsidRPr="001B6F1E" w:rsidRDefault="001B6F1E" w:rsidP="003A009A">
      <w:pPr>
        <w:pStyle w:val="Heading6"/>
        <w:spacing w:before="0" w:after="0"/>
      </w:pPr>
      <w:r>
        <w:t>Recommendations</w:t>
      </w:r>
    </w:p>
    <w:p w14:paraId="6F4FFEE4" w14:textId="304BF0E5" w:rsidR="00364422" w:rsidRPr="00364422" w:rsidRDefault="006C6BD8" w:rsidP="007D3AFB">
      <w:pPr>
        <w:pStyle w:val="Bullet"/>
      </w:pPr>
      <w:r w:rsidRPr="00364422">
        <w:t xml:space="preserve">Where BMI </w:t>
      </w:r>
      <w:r w:rsidR="00DE5E22">
        <w:t xml:space="preserve">is </w:t>
      </w:r>
      <w:r w:rsidRPr="00364422">
        <w:t>50</w:t>
      </w:r>
      <w:r w:rsidR="00DE5E22">
        <w:t xml:space="preserve"> or more</w:t>
      </w:r>
      <w:r w:rsidR="00364422" w:rsidRPr="00364422">
        <w:t xml:space="preserve">, induction of labour should be offered after 39 weeks gestation </w:t>
      </w:r>
      <w:r w:rsidR="00364422">
        <w:t xml:space="preserve">and </w:t>
      </w:r>
      <w:r w:rsidR="00364422" w:rsidRPr="00364422">
        <w:t xml:space="preserve">prior to </w:t>
      </w:r>
      <w:r w:rsidR="00AC412D">
        <w:t xml:space="preserve">due date </w:t>
      </w:r>
      <w:r w:rsidR="0036444F">
        <w:t>(</w:t>
      </w:r>
      <w:r w:rsidR="00AC412D">
        <w:t xml:space="preserve">dating preference is from </w:t>
      </w:r>
      <w:r w:rsidR="0036444F" w:rsidRPr="0036444F">
        <w:t>first-trimester ultrasound</w:t>
      </w:r>
      <w:r w:rsidR="00AC412D">
        <w:t>)</w:t>
      </w:r>
      <w:r w:rsidR="00423E0D">
        <w:t>.</w:t>
      </w:r>
      <w:r w:rsidR="00AC412D">
        <w:t xml:space="preserve"> </w:t>
      </w:r>
      <w:r w:rsidR="0036444F">
        <w:t xml:space="preserve"> </w:t>
      </w:r>
    </w:p>
    <w:p w14:paraId="28AE49D0" w14:textId="4F667B1A" w:rsidR="006C6BD8" w:rsidRPr="00FA6DE2" w:rsidRDefault="006C6BD8" w:rsidP="007D3AFB">
      <w:pPr>
        <w:pStyle w:val="Bullet"/>
      </w:pPr>
      <w:r w:rsidRPr="006C6BD8">
        <w:t xml:space="preserve"> </w:t>
      </w:r>
      <w:r w:rsidR="00364422" w:rsidRPr="00364422">
        <w:t xml:space="preserve">Where obesity in pregnancy is complicated by </w:t>
      </w:r>
      <w:r w:rsidRPr="006C6BD8">
        <w:t xml:space="preserve">other co-existing risk factors (e.g. </w:t>
      </w:r>
      <w:r w:rsidR="00423E0D">
        <w:t>g</w:t>
      </w:r>
      <w:r w:rsidRPr="006C6BD8">
        <w:t>estational diabetes/gestational hypertension/</w:t>
      </w:r>
      <w:r w:rsidR="007D3AFB">
        <w:t>LGA</w:t>
      </w:r>
      <w:r w:rsidRPr="006C6BD8">
        <w:t>)</w:t>
      </w:r>
      <w:r w:rsidR="001B6F1E" w:rsidRPr="00364422">
        <w:t xml:space="preserve"> </w:t>
      </w:r>
      <w:r w:rsidR="00AC412D">
        <w:t xml:space="preserve">induction of labour should be recommended per clinical indication - </w:t>
      </w:r>
      <w:r w:rsidRPr="006C6BD8">
        <w:t xml:space="preserve">refer </w:t>
      </w:r>
      <w:r w:rsidRPr="007D3AFB">
        <w:rPr>
          <w:iCs/>
        </w:rPr>
        <w:t>to</w:t>
      </w:r>
      <w:r w:rsidR="00423E0D" w:rsidRPr="007D3AFB">
        <w:rPr>
          <w:iCs/>
        </w:rPr>
        <w:t xml:space="preserve"> the</w:t>
      </w:r>
      <w:r w:rsidRPr="003A009A">
        <w:rPr>
          <w:i/>
        </w:rPr>
        <w:t xml:space="preserve"> Induction of Labou</w:t>
      </w:r>
      <w:r w:rsidRPr="00423E0D">
        <w:rPr>
          <w:i/>
        </w:rPr>
        <w:t>r</w:t>
      </w:r>
      <w:r w:rsidR="00423E0D">
        <w:rPr>
          <w:i/>
        </w:rPr>
        <w:t xml:space="preserve"> – Canberra Hospital</w:t>
      </w:r>
      <w:r w:rsidRPr="00423E0D">
        <w:rPr>
          <w:i/>
        </w:rPr>
        <w:t xml:space="preserve"> </w:t>
      </w:r>
      <w:r w:rsidR="00423E0D" w:rsidRPr="00423E0D">
        <w:rPr>
          <w:i/>
        </w:rPr>
        <w:t>Guideline</w:t>
      </w:r>
      <w:r w:rsidR="00423E0D">
        <w:rPr>
          <w:i/>
        </w:rPr>
        <w:t xml:space="preserve"> </w:t>
      </w:r>
      <w:r w:rsidR="00423E0D" w:rsidRPr="007D3AFB">
        <w:rPr>
          <w:iCs/>
        </w:rPr>
        <w:t>and the</w:t>
      </w:r>
      <w:r w:rsidR="00423E0D">
        <w:rPr>
          <w:i/>
        </w:rPr>
        <w:t xml:space="preserve"> </w:t>
      </w:r>
      <w:r w:rsidR="00423E0D" w:rsidRPr="003A009A">
        <w:rPr>
          <w:i/>
        </w:rPr>
        <w:t>Induction of Labou</w:t>
      </w:r>
      <w:r w:rsidR="00423E0D" w:rsidRPr="00423E0D">
        <w:rPr>
          <w:i/>
        </w:rPr>
        <w:t xml:space="preserve">r </w:t>
      </w:r>
      <w:r w:rsidR="00423E0D">
        <w:rPr>
          <w:i/>
        </w:rPr>
        <w:t>– North Canberra Hospital (NCH) Procedure</w:t>
      </w:r>
      <w:r w:rsidR="00423E0D">
        <w:t xml:space="preserve">, available on the Policy and Guidance Documents Register, </w:t>
      </w:r>
      <w:r w:rsidRPr="006C6BD8">
        <w:t>for further information</w:t>
      </w:r>
      <w:r w:rsidR="00AC412D">
        <w:t>.</w:t>
      </w:r>
    </w:p>
    <w:p w14:paraId="44379D69" w14:textId="438A73B3" w:rsidR="0A115E88" w:rsidRDefault="0A115E88" w:rsidP="00D25596">
      <w:pPr>
        <w:pStyle w:val="Heading5"/>
        <w:spacing w:before="120" w:beforeAutospacing="0"/>
      </w:pPr>
      <w:r w:rsidRPr="143A4CE6">
        <w:t>Intrapartum</w:t>
      </w:r>
      <w:r w:rsidR="00317600">
        <w:t xml:space="preserve"> Care</w:t>
      </w:r>
    </w:p>
    <w:p w14:paraId="20A43D4E" w14:textId="3B4994A5" w:rsidR="00423E0D" w:rsidRPr="00423E0D" w:rsidRDefault="00423E0D" w:rsidP="00423E0D">
      <w:pPr>
        <w:pStyle w:val="BodyCopy"/>
        <w:pBdr>
          <w:top w:val="single" w:sz="4" w:space="1" w:color="auto"/>
          <w:left w:val="single" w:sz="4" w:space="4" w:color="auto"/>
          <w:bottom w:val="single" w:sz="4" w:space="1" w:color="auto"/>
          <w:right w:val="single" w:sz="4" w:space="4" w:color="auto"/>
        </w:pBdr>
      </w:pPr>
      <w:r w:rsidRPr="00423E0D">
        <w:rPr>
          <w:b/>
          <w:bCs w:val="0"/>
        </w:rPr>
        <w:t>Alert</w:t>
      </w:r>
      <w:r w:rsidRPr="00423E0D">
        <w:t xml:space="preserve">: Increased abdominal fat accumulation poses a risk to the pregnant person and </w:t>
      </w:r>
      <w:r>
        <w:t>the</w:t>
      </w:r>
      <w:r w:rsidRPr="00423E0D">
        <w:t xml:space="preserve"> </w:t>
      </w:r>
      <w:proofErr w:type="spellStart"/>
      <w:r w:rsidRPr="00423E0D">
        <w:t>fetus</w:t>
      </w:r>
      <w:proofErr w:type="spellEnd"/>
      <w:r w:rsidRPr="00423E0D">
        <w:t xml:space="preserve">. Repositioning a panniculus during fetal monitoring may increase uterine compression, ensure appropriate consideration to positioning of the pregnant person to prevent vena </w:t>
      </w:r>
      <w:proofErr w:type="spellStart"/>
      <w:r w:rsidRPr="00423E0D">
        <w:t>caval</w:t>
      </w:r>
      <w:proofErr w:type="spellEnd"/>
      <w:r w:rsidRPr="00423E0D">
        <w:t xml:space="preserve"> compression.</w:t>
      </w:r>
    </w:p>
    <w:p w14:paraId="340A0E13" w14:textId="514166B9" w:rsidR="00291D96" w:rsidRDefault="00291D96" w:rsidP="008953DE">
      <w:pPr>
        <w:pStyle w:val="Bullet"/>
      </w:pPr>
      <w:r w:rsidRPr="00291D96">
        <w:t xml:space="preserve">Intrapartum care should be managed per </w:t>
      </w:r>
      <w:r w:rsidR="00423E0D">
        <w:t>the</w:t>
      </w:r>
      <w:r>
        <w:t xml:space="preserve"> </w:t>
      </w:r>
      <w:r w:rsidRPr="001C6720">
        <w:rPr>
          <w:i/>
          <w:iCs/>
        </w:rPr>
        <w:t>Labour and Birth: Care during First, Second, Third and Fourth Stage</w:t>
      </w:r>
      <w:r w:rsidR="00423E0D" w:rsidRPr="001C6720">
        <w:rPr>
          <w:i/>
          <w:iCs/>
        </w:rPr>
        <w:t xml:space="preserve"> </w:t>
      </w:r>
      <w:r w:rsidR="007E2EFC">
        <w:rPr>
          <w:i/>
          <w:iCs/>
        </w:rPr>
        <w:t>Procedure</w:t>
      </w:r>
      <w:r w:rsidR="00423E0D">
        <w:rPr>
          <w:i/>
          <w:iCs/>
        </w:rPr>
        <w:t>,</w:t>
      </w:r>
      <w:r w:rsidR="00423E0D" w:rsidRPr="00423E0D">
        <w:t xml:space="preserve"> </w:t>
      </w:r>
      <w:r w:rsidR="00423E0D">
        <w:t>available on the Policy and Guidance Documents Register.</w:t>
      </w:r>
    </w:p>
    <w:p w14:paraId="684967B9" w14:textId="2194610C" w:rsidR="00291D96" w:rsidRPr="00291D96" w:rsidRDefault="008026B0" w:rsidP="008953DE">
      <w:pPr>
        <w:pStyle w:val="Bullet"/>
      </w:pPr>
      <w:r>
        <w:t>P</w:t>
      </w:r>
      <w:r w:rsidR="465BC4A6" w:rsidRPr="66731E01">
        <w:t xml:space="preserve">regnant people </w:t>
      </w:r>
      <w:r w:rsidR="00291D96" w:rsidRPr="66731E01">
        <w:t>with a BMI 40</w:t>
      </w:r>
      <w:r w:rsidR="00DE5E22">
        <w:t xml:space="preserve"> or above</w:t>
      </w:r>
      <w:r w:rsidR="00291D96" w:rsidRPr="66731E01">
        <w:t xml:space="preserve"> should be advised of </w:t>
      </w:r>
      <w:r w:rsidR="008953DE">
        <w:t xml:space="preserve">the </w:t>
      </w:r>
      <w:r w:rsidR="00291D96" w:rsidRPr="66731E01">
        <w:t>increased risk of</w:t>
      </w:r>
      <w:r w:rsidR="008953DE">
        <w:t xml:space="preserve"> post-partum haemorrhage</w:t>
      </w:r>
      <w:r w:rsidR="001C6720">
        <w:t xml:space="preserve"> </w:t>
      </w:r>
      <w:r w:rsidR="008953DE">
        <w:t>(</w:t>
      </w:r>
      <w:r w:rsidR="00291D96" w:rsidRPr="66731E01">
        <w:t>PPH</w:t>
      </w:r>
      <w:r w:rsidR="008953DE">
        <w:t>)</w:t>
      </w:r>
      <w:r w:rsidR="00291D96" w:rsidRPr="66731E01">
        <w:t xml:space="preserve"> in labour and of the benefits of active management of third stage. An </w:t>
      </w:r>
      <w:r w:rsidR="00423E0D">
        <w:t>intravenous (</w:t>
      </w:r>
      <w:r w:rsidR="00291D96" w:rsidRPr="66731E01">
        <w:t>IV</w:t>
      </w:r>
      <w:r w:rsidR="00423E0D">
        <w:t>)</w:t>
      </w:r>
      <w:r w:rsidR="00291D96" w:rsidRPr="66731E01">
        <w:t xml:space="preserve"> cannula should be inserted early in labour and blood taken for group and hold and </w:t>
      </w:r>
      <w:r w:rsidR="00423E0D">
        <w:t>full blood count</w:t>
      </w:r>
      <w:r w:rsidR="008953DE">
        <w:t xml:space="preserve"> (FBC)</w:t>
      </w:r>
      <w:r w:rsidR="00291D96" w:rsidRPr="66731E01">
        <w:t>.</w:t>
      </w:r>
    </w:p>
    <w:p w14:paraId="5AF4A91C" w14:textId="2CA211FD" w:rsidR="7B69DC54" w:rsidRPr="00291D96" w:rsidRDefault="00291D96" w:rsidP="008953DE">
      <w:pPr>
        <w:pStyle w:val="Bullet"/>
        <w:rPr>
          <w:rFonts w:asciiTheme="minorHAnsi" w:eastAsiaTheme="minorEastAsia" w:hAnsiTheme="minorHAnsi" w:cstheme="minorBidi"/>
        </w:rPr>
      </w:pPr>
      <w:r>
        <w:t>C</w:t>
      </w:r>
      <w:r w:rsidRPr="00291D96">
        <w:t xml:space="preserve">ompared to </w:t>
      </w:r>
      <w:r>
        <w:t xml:space="preserve">pregnant persons </w:t>
      </w:r>
      <w:r w:rsidRPr="00291D96">
        <w:t>with normal BMI</w:t>
      </w:r>
      <w:r>
        <w:t xml:space="preserve">, pregnant persons with obesity </w:t>
      </w:r>
      <w:r w:rsidR="6F8A5C23" w:rsidRPr="143A4CE6">
        <w:t xml:space="preserve">may </w:t>
      </w:r>
      <w:r>
        <w:t xml:space="preserve">experience </w:t>
      </w:r>
      <w:r w:rsidR="6F8A5C23" w:rsidRPr="143A4CE6">
        <w:t xml:space="preserve">longer duration of labour, particularly those undergoing </w:t>
      </w:r>
      <w:r w:rsidR="00761E54">
        <w:t>induction of labour</w:t>
      </w:r>
      <w:r w:rsidR="008953DE">
        <w:t xml:space="preserve"> (IOL)</w:t>
      </w:r>
      <w:r w:rsidR="00761E54">
        <w:rPr>
          <w:vertAlign w:val="superscript"/>
        </w:rPr>
        <w:t>1</w:t>
      </w:r>
      <w:r>
        <w:rPr>
          <w:vertAlign w:val="superscript"/>
        </w:rPr>
        <w:t>,7</w:t>
      </w:r>
    </w:p>
    <w:p w14:paraId="55E8C6CF" w14:textId="77777777" w:rsidR="00291D96" w:rsidRDefault="00291D96" w:rsidP="008953DE">
      <w:pPr>
        <w:pStyle w:val="Bullet"/>
      </w:pPr>
      <w:r w:rsidRPr="00291D96">
        <w:t>Promoting active birth within a framework of managing increased risk may improve the birthing experience and not compromise clinical care. Encourage increased mobility in labour.</w:t>
      </w:r>
    </w:p>
    <w:p w14:paraId="1BE847B5" w14:textId="67481652" w:rsidR="005A21F7" w:rsidRPr="008953DE" w:rsidRDefault="005A21F7" w:rsidP="008953DE">
      <w:pPr>
        <w:pStyle w:val="Bullet"/>
      </w:pPr>
      <w:r>
        <w:t xml:space="preserve">Where </w:t>
      </w:r>
      <w:r w:rsidRPr="005A21F7">
        <w:t xml:space="preserve">BMI </w:t>
      </w:r>
      <w:r w:rsidR="00DE5E22">
        <w:t>is greater than</w:t>
      </w:r>
      <w:r w:rsidRPr="005A21F7">
        <w:t xml:space="preserve"> 35kg/m²</w:t>
      </w:r>
      <w:r>
        <w:t xml:space="preserve">, labour and birth </w:t>
      </w:r>
      <w:r w:rsidRPr="005A21F7">
        <w:t xml:space="preserve">in water </w:t>
      </w:r>
      <w:r>
        <w:t>is not recommended refer to CHS procedure</w:t>
      </w:r>
      <w:r w:rsidRPr="005A21F7">
        <w:t xml:space="preserve"> </w:t>
      </w:r>
      <w:r w:rsidRPr="008953DE">
        <w:rPr>
          <w:i/>
          <w:iCs/>
        </w:rPr>
        <w:t xml:space="preserve">Water </w:t>
      </w:r>
      <w:r w:rsidR="007E2EFC">
        <w:rPr>
          <w:i/>
          <w:iCs/>
        </w:rPr>
        <w:t>I</w:t>
      </w:r>
      <w:r w:rsidRPr="008953DE">
        <w:rPr>
          <w:i/>
          <w:iCs/>
        </w:rPr>
        <w:t>mmersion in Labour &amp; Birth</w:t>
      </w:r>
      <w:r w:rsidR="007E2EFC">
        <w:rPr>
          <w:i/>
          <w:iCs/>
        </w:rPr>
        <w:t xml:space="preserve"> </w:t>
      </w:r>
      <w:r w:rsidR="007E2EFC">
        <w:t>available on the Policy and Guidance Documents Register.</w:t>
      </w:r>
    </w:p>
    <w:p w14:paraId="08CBEE7B" w14:textId="343B3BCD" w:rsidR="75CA0DCE" w:rsidRDefault="00291D96" w:rsidP="008953DE">
      <w:pPr>
        <w:pStyle w:val="Bullet"/>
        <w:rPr>
          <w:rFonts w:asciiTheme="minorHAnsi" w:eastAsiaTheme="minorEastAsia" w:hAnsiTheme="minorHAnsi" w:cstheme="minorBidi"/>
          <w:vertAlign w:val="superscript"/>
        </w:rPr>
      </w:pPr>
      <w:r>
        <w:t xml:space="preserve">Pregnant persons </w:t>
      </w:r>
      <w:r w:rsidR="75CA0DCE" w:rsidRPr="143A4CE6">
        <w:t>in the Obes</w:t>
      </w:r>
      <w:r w:rsidR="007E2EFC">
        <w:t>ity Class</w:t>
      </w:r>
      <w:r w:rsidR="75CA0DCE" w:rsidRPr="143A4CE6">
        <w:t xml:space="preserve"> II and above classification are at significantly higher risk of assisted births including caesarean birth</w:t>
      </w:r>
      <w:r w:rsidR="007E2EFC">
        <w:t>.</w:t>
      </w:r>
      <w:r>
        <w:rPr>
          <w:vertAlign w:val="superscript"/>
        </w:rPr>
        <w:t>1,7</w:t>
      </w:r>
    </w:p>
    <w:p w14:paraId="487D3C3A" w14:textId="6A4FAF05" w:rsidR="20181163" w:rsidRPr="008953DE" w:rsidRDefault="5B7D4F12" w:rsidP="008953DE">
      <w:pPr>
        <w:pStyle w:val="Bullet"/>
      </w:pPr>
      <w:r>
        <w:lastRenderedPageBreak/>
        <w:t xml:space="preserve">Fetal monitoring should be undertaken as per </w:t>
      </w:r>
      <w:r w:rsidR="007E2EFC">
        <w:t xml:space="preserve">the </w:t>
      </w:r>
      <w:r w:rsidRPr="008953DE">
        <w:rPr>
          <w:i/>
          <w:iCs/>
        </w:rPr>
        <w:t>Fetal Surveillance</w:t>
      </w:r>
      <w:r w:rsidR="007E2EFC">
        <w:rPr>
          <w:i/>
          <w:iCs/>
        </w:rPr>
        <w:t xml:space="preserve"> Guideline, </w:t>
      </w:r>
      <w:r w:rsidR="007E2EFC">
        <w:t>available on the Policy and Guidance Documents Register</w:t>
      </w:r>
      <w:r w:rsidR="00291D96">
        <w:t>; c</w:t>
      </w:r>
      <w:r>
        <w:t xml:space="preserve">ontinuous fetal monitoring </w:t>
      </w:r>
      <w:r w:rsidR="00291D96">
        <w:t xml:space="preserve">is indicated where </w:t>
      </w:r>
      <w:r>
        <w:t xml:space="preserve">BMI </w:t>
      </w:r>
      <w:r w:rsidR="00DE5E22">
        <w:t xml:space="preserve">is </w:t>
      </w:r>
      <w:r>
        <w:t>40</w:t>
      </w:r>
      <w:r w:rsidR="00DE5E22">
        <w:t xml:space="preserve"> or above</w:t>
      </w:r>
      <w:r w:rsidR="00291D96">
        <w:t xml:space="preserve">. Utilisation of a </w:t>
      </w:r>
      <w:r w:rsidR="007D6E02">
        <w:t>maternal pod and patch or f</w:t>
      </w:r>
      <w:r>
        <w:t xml:space="preserve">etal </w:t>
      </w:r>
      <w:r w:rsidR="0154FC76">
        <w:t xml:space="preserve">scalp </w:t>
      </w:r>
      <w:r w:rsidR="175263C9">
        <w:t>electrode</w:t>
      </w:r>
      <w:r w:rsidR="0154FC76">
        <w:t xml:space="preserve"> </w:t>
      </w:r>
      <w:r>
        <w:t xml:space="preserve">may improve </w:t>
      </w:r>
      <w:r w:rsidR="00291D96">
        <w:t xml:space="preserve">quality of </w:t>
      </w:r>
      <w:r>
        <w:t>the recording</w:t>
      </w:r>
      <w:r w:rsidR="007E2EFC">
        <w:t>.</w:t>
      </w:r>
      <w:r w:rsidR="00291D96" w:rsidRPr="007E2EFC">
        <w:rPr>
          <w:vertAlign w:val="superscript"/>
        </w:rPr>
        <w:t>1,7</w:t>
      </w:r>
      <w:r w:rsidR="48F58DC1">
        <w:t xml:space="preserve"> </w:t>
      </w:r>
    </w:p>
    <w:p w14:paraId="28E6C669" w14:textId="5451388E" w:rsidR="5B7D4F12" w:rsidRDefault="00291D96" w:rsidP="008953DE">
      <w:pPr>
        <w:pStyle w:val="Bullet"/>
        <w:rPr>
          <w:rFonts w:eastAsia="Arial"/>
        </w:rPr>
      </w:pPr>
      <w:r>
        <w:t xml:space="preserve">Pregnant persons requiring </w:t>
      </w:r>
      <w:r w:rsidR="5B7D4F12" w:rsidRPr="143A4CE6">
        <w:t>elective caesarean</w:t>
      </w:r>
      <w:r w:rsidR="00C62A0E">
        <w:t xml:space="preserve"> should have </w:t>
      </w:r>
      <w:r w:rsidR="5B7D4F12" w:rsidRPr="143A4CE6">
        <w:t xml:space="preserve">their weight (kg) recorded on the </w:t>
      </w:r>
      <w:r w:rsidR="00C62A0E">
        <w:t xml:space="preserve">theatre </w:t>
      </w:r>
      <w:r w:rsidR="5B7D4F12" w:rsidRPr="143A4CE6">
        <w:t xml:space="preserve">booking form </w:t>
      </w:r>
      <w:r w:rsidR="00C62A0E">
        <w:t xml:space="preserve">to ensure accessibility to </w:t>
      </w:r>
      <w:r w:rsidR="5B7D4F12" w:rsidRPr="143A4CE6">
        <w:t xml:space="preserve">appropriate </w:t>
      </w:r>
      <w:r w:rsidR="00C62A0E">
        <w:t>bariatric equipment where required.</w:t>
      </w:r>
    </w:p>
    <w:p w14:paraId="57DB1C77" w14:textId="512C6DB7" w:rsidR="5B7D4F12" w:rsidRPr="008953DE" w:rsidRDefault="5B7D4F12" w:rsidP="008953DE">
      <w:pPr>
        <w:pStyle w:val="Bullet"/>
      </w:pPr>
      <w:r>
        <w:t xml:space="preserve">If decreased mobility </w:t>
      </w:r>
      <w:proofErr w:type="gramStart"/>
      <w:r>
        <w:t>refer</w:t>
      </w:r>
      <w:proofErr w:type="gramEnd"/>
      <w:r>
        <w:t xml:space="preserve"> to </w:t>
      </w:r>
      <w:r w:rsidR="007E2EFC">
        <w:t>the</w:t>
      </w:r>
      <w:r>
        <w:t xml:space="preserve"> </w:t>
      </w:r>
      <w:r w:rsidRPr="008953DE">
        <w:rPr>
          <w:i/>
          <w:iCs/>
        </w:rPr>
        <w:t>Pressure Injury Prevention and Management</w:t>
      </w:r>
      <w:r w:rsidR="007E2EFC" w:rsidRPr="008953DE">
        <w:rPr>
          <w:i/>
          <w:iCs/>
        </w:rPr>
        <w:t xml:space="preserve"> </w:t>
      </w:r>
      <w:r w:rsidR="007E2EFC">
        <w:rPr>
          <w:i/>
          <w:iCs/>
        </w:rPr>
        <w:t xml:space="preserve">– Adults, Children and Neonates </w:t>
      </w:r>
      <w:r w:rsidR="007E2EFC" w:rsidRPr="008953DE">
        <w:rPr>
          <w:i/>
          <w:iCs/>
        </w:rPr>
        <w:t>Procedure</w:t>
      </w:r>
      <w:r w:rsidR="007E2EFC">
        <w:t>, available on the Policy and Guidance Documents Register.</w:t>
      </w:r>
    </w:p>
    <w:p w14:paraId="5BB5CEF8" w14:textId="663EB08E" w:rsidR="00F17443" w:rsidRPr="007E2EFC" w:rsidRDefault="00C62A0E" w:rsidP="008C09E3">
      <w:pPr>
        <w:pStyle w:val="Bullet"/>
        <w:spacing w:before="0" w:after="0"/>
        <w:rPr>
          <w:rFonts w:eastAsia="Arial"/>
        </w:rPr>
      </w:pPr>
      <w:r w:rsidRPr="007E2EFC">
        <w:rPr>
          <w:bCs/>
          <w:iCs/>
        </w:rPr>
        <w:t xml:space="preserve">When a pregnant person with a BMI 45 </w:t>
      </w:r>
      <w:r w:rsidR="00DE5E22">
        <w:rPr>
          <w:bCs/>
          <w:iCs/>
        </w:rPr>
        <w:t xml:space="preserve">or above </w:t>
      </w:r>
      <w:r w:rsidRPr="007E2EFC">
        <w:rPr>
          <w:bCs/>
          <w:iCs/>
        </w:rPr>
        <w:t>presents in labour, the Anaesthetic Registrar should be notified of their admission</w:t>
      </w:r>
      <w:r>
        <w:t>.</w:t>
      </w:r>
      <w:r w:rsidRPr="00C62A0E">
        <w:t xml:space="preserve"> </w:t>
      </w:r>
      <w:r w:rsidR="6AD7B8D8" w:rsidRPr="00C62A0E">
        <w:t>The Anaesthetic Registrar will inform theatre staff</w:t>
      </w:r>
      <w:r>
        <w:t xml:space="preserve"> </w:t>
      </w:r>
      <w:r w:rsidR="6AD7B8D8" w:rsidRPr="00C62A0E">
        <w:t>to ensure appropriate equipment is made available in case of an emergency caesarean section. </w:t>
      </w:r>
    </w:p>
    <w:p w14:paraId="1CAB4030" w14:textId="2D93689A" w:rsidR="3D3246D1" w:rsidRDefault="3D3246D1" w:rsidP="005A21F7">
      <w:pPr>
        <w:pStyle w:val="Heading5"/>
        <w:spacing w:after="0"/>
      </w:pPr>
      <w:r w:rsidRPr="143A4CE6">
        <w:rPr>
          <w:rStyle w:val="normaltextrun"/>
          <w:rFonts w:eastAsia="Arial"/>
        </w:rPr>
        <w:t>Postnatal</w:t>
      </w:r>
      <w:r w:rsidR="00317600">
        <w:rPr>
          <w:rStyle w:val="normaltextrun"/>
          <w:rFonts w:eastAsia="Arial"/>
        </w:rPr>
        <w:t xml:space="preserve"> Care</w:t>
      </w:r>
    </w:p>
    <w:p w14:paraId="764EEC93" w14:textId="74F13608" w:rsidR="41D8117A" w:rsidRDefault="41D8117A" w:rsidP="008953DE">
      <w:pPr>
        <w:pStyle w:val="Bullet"/>
        <w:rPr>
          <w:rFonts w:eastAsia="Arial"/>
        </w:rPr>
      </w:pPr>
      <w:r w:rsidRPr="143A4CE6">
        <w:t xml:space="preserve">Postnatal care per </w:t>
      </w:r>
      <w:r w:rsidRPr="008953DE">
        <w:rPr>
          <w:i/>
          <w:iCs/>
        </w:rPr>
        <w:t>Labour and Birth: Care during First, Second, Third and Fourth Stage</w:t>
      </w:r>
      <w:r w:rsidR="007E2EFC" w:rsidRPr="008953DE">
        <w:rPr>
          <w:i/>
          <w:iCs/>
        </w:rPr>
        <w:t xml:space="preserve"> Procedure</w:t>
      </w:r>
      <w:r w:rsidR="007E2EFC">
        <w:rPr>
          <w:i/>
          <w:iCs/>
        </w:rPr>
        <w:t>.</w:t>
      </w:r>
    </w:p>
    <w:p w14:paraId="756B36EC" w14:textId="763CB840" w:rsidR="41D8117A" w:rsidRDefault="41D8117A" w:rsidP="008953DE">
      <w:pPr>
        <w:pStyle w:val="Bullet"/>
        <w:rPr>
          <w:rFonts w:eastAsia="Arial"/>
        </w:rPr>
      </w:pPr>
      <w:r w:rsidRPr="143A4CE6">
        <w:t xml:space="preserve">Routine observations per </w:t>
      </w:r>
      <w:r w:rsidR="007E2EFC">
        <w:t>the</w:t>
      </w:r>
      <w:r w:rsidRPr="143A4CE6">
        <w:t xml:space="preserve"> </w:t>
      </w:r>
      <w:r w:rsidRPr="008953DE">
        <w:rPr>
          <w:i/>
          <w:iCs/>
        </w:rPr>
        <w:t>Vital Signs and Early Warning Scores</w:t>
      </w:r>
      <w:r w:rsidR="007E2EFC">
        <w:t xml:space="preserve"> – </w:t>
      </w:r>
      <w:r w:rsidR="007E2EFC" w:rsidRPr="008953DE">
        <w:rPr>
          <w:i/>
          <w:iCs/>
        </w:rPr>
        <w:t>Canberra Hospital Inpatients Procedure</w:t>
      </w:r>
      <w:r w:rsidR="007E2EFC">
        <w:t xml:space="preserve"> and </w:t>
      </w:r>
      <w:r w:rsidR="007E2EFC" w:rsidRPr="005E12B2">
        <w:rPr>
          <w:i/>
          <w:iCs/>
        </w:rPr>
        <w:t>Vital Signs and Early Warning Scores</w:t>
      </w:r>
      <w:r w:rsidR="007E2EFC">
        <w:rPr>
          <w:i/>
          <w:iCs/>
        </w:rPr>
        <w:t xml:space="preserve"> – North Canberra Hospital (NCH) Procedure </w:t>
      </w:r>
      <w:r w:rsidR="007E2EFC">
        <w:t>available on the Policy and Guidance Documents Register</w:t>
      </w:r>
      <w:r w:rsidRPr="143A4CE6">
        <w:t>.</w:t>
      </w:r>
    </w:p>
    <w:p w14:paraId="2B6D1F8C" w14:textId="61669C40" w:rsidR="41D8117A" w:rsidRDefault="41D8117A" w:rsidP="008953DE">
      <w:pPr>
        <w:pStyle w:val="Bullet"/>
        <w:rPr>
          <w:rFonts w:eastAsia="Arial"/>
        </w:rPr>
      </w:pPr>
      <w:r w:rsidRPr="143A4CE6">
        <w:t xml:space="preserve">Involution of the uterus may be difficult to </w:t>
      </w:r>
      <w:r w:rsidR="1DFA0D74" w:rsidRPr="143A4CE6">
        <w:t>palpate;</w:t>
      </w:r>
      <w:r w:rsidRPr="143A4CE6">
        <w:t xml:space="preserve"> </w:t>
      </w:r>
      <w:r w:rsidR="5BDF98AC" w:rsidRPr="143A4CE6">
        <w:t>therefore,</w:t>
      </w:r>
      <w:r w:rsidRPr="143A4CE6">
        <w:t xml:space="preserve"> vigilant monitoring of blood loss is essential</w:t>
      </w:r>
      <w:r w:rsidR="00C62A0E">
        <w:t>, b</w:t>
      </w:r>
      <w:r w:rsidR="00C62A0E" w:rsidRPr="00C62A0E">
        <w:t>e vigilant regarding the signs of a secondary postpartum haemorrhage</w:t>
      </w:r>
      <w:r w:rsidR="002D4D8A">
        <w:t>.</w:t>
      </w:r>
    </w:p>
    <w:p w14:paraId="089CAFFB" w14:textId="4F98F2B9" w:rsidR="41D8117A" w:rsidRPr="00C62A0E" w:rsidRDefault="00C62A0E" w:rsidP="008953DE">
      <w:pPr>
        <w:pStyle w:val="Bullet"/>
        <w:rPr>
          <w:rFonts w:eastAsia="Arial"/>
        </w:rPr>
      </w:pPr>
      <w:r w:rsidRPr="00C62A0E">
        <w:rPr>
          <w:lang w:val="en-US"/>
        </w:rPr>
        <w:t xml:space="preserve">Obesity during pregnancy increases the risk of thromboembolism. Refer to </w:t>
      </w:r>
      <w:r w:rsidR="002D4D8A">
        <w:rPr>
          <w:lang w:val="en-US"/>
        </w:rPr>
        <w:t xml:space="preserve">the </w:t>
      </w:r>
      <w:r w:rsidRPr="008953DE">
        <w:rPr>
          <w:i/>
          <w:iCs/>
          <w:lang w:val="en-US"/>
        </w:rPr>
        <w:t>Venous Thromboembolism (VTE) Prevention</w:t>
      </w:r>
      <w:r w:rsidR="002D4D8A" w:rsidRPr="008953DE">
        <w:rPr>
          <w:i/>
          <w:iCs/>
          <w:lang w:val="en-US"/>
        </w:rPr>
        <w:t xml:space="preserve"> (Adults and Children) Procedure</w:t>
      </w:r>
      <w:r w:rsidRPr="008953DE">
        <w:rPr>
          <w:i/>
          <w:iCs/>
          <w:lang w:val="en-US"/>
        </w:rPr>
        <w:t xml:space="preserve"> </w:t>
      </w:r>
      <w:r w:rsidRPr="00C62A0E">
        <w:rPr>
          <w:lang w:val="en-US"/>
        </w:rPr>
        <w:t>for prophylaxis recommendations</w:t>
      </w:r>
      <w:r w:rsidR="002D4D8A">
        <w:t>.</w:t>
      </w:r>
      <w:r w:rsidRPr="00C62A0E">
        <w:t xml:space="preserve"> </w:t>
      </w:r>
      <w:r w:rsidRPr="00C62A0E">
        <w:rPr>
          <w:bCs/>
          <w:iCs/>
        </w:rPr>
        <w:t>Encourage early mobilisation</w:t>
      </w:r>
      <w:r w:rsidR="002D4D8A">
        <w:rPr>
          <w:bCs/>
          <w:iCs/>
        </w:rPr>
        <w:t>.</w:t>
      </w:r>
    </w:p>
    <w:p w14:paraId="47949338" w14:textId="31A49F6B" w:rsidR="41D8117A" w:rsidRDefault="41D8117A" w:rsidP="008953DE">
      <w:pPr>
        <w:pStyle w:val="Bullet"/>
        <w:rPr>
          <w:rFonts w:eastAsia="Arial"/>
        </w:rPr>
      </w:pPr>
      <w:r>
        <w:t xml:space="preserve">All </w:t>
      </w:r>
      <w:r w:rsidR="35EAAB04">
        <w:t>birthing people</w:t>
      </w:r>
      <w:r>
        <w:t xml:space="preserve"> should be </w:t>
      </w:r>
      <w:r w:rsidR="00C62A0E">
        <w:t xml:space="preserve">supported </w:t>
      </w:r>
      <w:r>
        <w:t xml:space="preserve">to breastfeed and provided with education on benefits of breastfeeding for mothers and infants as per </w:t>
      </w:r>
      <w:r w:rsidR="002D4D8A" w:rsidRPr="002D4D8A">
        <w:t xml:space="preserve">the </w:t>
      </w:r>
      <w:r w:rsidR="3F000FC9" w:rsidRPr="008953DE">
        <w:rPr>
          <w:i/>
          <w:iCs/>
        </w:rPr>
        <w:t>B</w:t>
      </w:r>
      <w:r w:rsidRPr="008953DE">
        <w:rPr>
          <w:i/>
          <w:iCs/>
        </w:rPr>
        <w:t xml:space="preserve">reastfeeding </w:t>
      </w:r>
      <w:r w:rsidR="064FAC48" w:rsidRPr="008953DE">
        <w:rPr>
          <w:i/>
          <w:iCs/>
        </w:rPr>
        <w:t>G</w:t>
      </w:r>
      <w:r w:rsidRPr="008953DE">
        <w:rPr>
          <w:i/>
          <w:iCs/>
        </w:rPr>
        <w:t>uideline</w:t>
      </w:r>
      <w:r w:rsidRPr="002D4D8A">
        <w:t>.</w:t>
      </w:r>
      <w:r>
        <w:t xml:space="preserve"> </w:t>
      </w:r>
    </w:p>
    <w:p w14:paraId="26460F17" w14:textId="5ACC44CD" w:rsidR="41D8117A" w:rsidRDefault="007D6E02" w:rsidP="008953DE">
      <w:pPr>
        <w:pStyle w:val="Bullet"/>
        <w:rPr>
          <w:rFonts w:eastAsia="Arial"/>
        </w:rPr>
      </w:pPr>
      <w:r>
        <w:t>B</w:t>
      </w:r>
      <w:r w:rsidR="777B4DF0">
        <w:t xml:space="preserve">irthing people </w:t>
      </w:r>
      <w:r w:rsidR="41D8117A">
        <w:t xml:space="preserve">with BMI 35 </w:t>
      </w:r>
      <w:r w:rsidR="00DE5E22">
        <w:t xml:space="preserve">or above </w:t>
      </w:r>
      <w:r w:rsidR="41D8117A">
        <w:t xml:space="preserve">may require additional support with positioning and attachment. Midwifery staff should ensure adequate supervision and support depending on the requirements of </w:t>
      </w:r>
      <w:r>
        <w:t>each birthing person</w:t>
      </w:r>
      <w:r w:rsidR="41D8117A">
        <w:t>.</w:t>
      </w:r>
    </w:p>
    <w:p w14:paraId="458FD20C" w14:textId="0111AEE0" w:rsidR="41D8117A" w:rsidRDefault="007D6E02" w:rsidP="008953DE">
      <w:pPr>
        <w:pStyle w:val="Bullet"/>
        <w:rPr>
          <w:rFonts w:eastAsia="Arial"/>
        </w:rPr>
      </w:pPr>
      <w:r>
        <w:t>B</w:t>
      </w:r>
      <w:r w:rsidR="34386831">
        <w:t xml:space="preserve">irthing people </w:t>
      </w:r>
      <w:r w:rsidR="41D8117A">
        <w:t xml:space="preserve">who have </w:t>
      </w:r>
      <w:r w:rsidR="5645F224">
        <w:t xml:space="preserve">had </w:t>
      </w:r>
      <w:r w:rsidR="41D8117A">
        <w:t>a caesarean, monitor for wound infection. Provide appropriate advice on hygiene and keeping the wound dry</w:t>
      </w:r>
      <w:r w:rsidR="006D0809">
        <w:t xml:space="preserve"> refer to </w:t>
      </w:r>
      <w:r w:rsidR="006D0809" w:rsidRPr="008953DE">
        <w:rPr>
          <w:i/>
          <w:iCs/>
        </w:rPr>
        <w:t xml:space="preserve">Wound Assessment, Prevention and Treatment </w:t>
      </w:r>
      <w:r w:rsidR="009D571D">
        <w:rPr>
          <w:i/>
          <w:iCs/>
        </w:rPr>
        <w:t xml:space="preserve">Procedure, </w:t>
      </w:r>
      <w:r w:rsidR="009D571D">
        <w:t xml:space="preserve">available on the Policy and Guidance Documents Register, </w:t>
      </w:r>
      <w:r w:rsidR="006D0809">
        <w:t>for further information</w:t>
      </w:r>
      <w:r w:rsidR="009D571D">
        <w:t>.</w:t>
      </w:r>
      <w:r w:rsidR="006D0809">
        <w:t xml:space="preserve"> </w:t>
      </w:r>
    </w:p>
    <w:p w14:paraId="225F6790" w14:textId="226AF87F" w:rsidR="41D8117A" w:rsidRDefault="007D6E02" w:rsidP="008953DE">
      <w:pPr>
        <w:pStyle w:val="Bullet"/>
      </w:pPr>
      <w:r>
        <w:t>B</w:t>
      </w:r>
      <w:r w:rsidR="4739B2EA">
        <w:t xml:space="preserve">irthing people </w:t>
      </w:r>
      <w:r w:rsidR="41D8117A">
        <w:t xml:space="preserve">with diabetes should have a follow up </w:t>
      </w:r>
      <w:r w:rsidR="009D571D">
        <w:t>OGTT</w:t>
      </w:r>
      <w:r w:rsidR="41D8117A">
        <w:t xml:space="preserve"> with their GP at six</w:t>
      </w:r>
      <w:r w:rsidR="222CF4BD">
        <w:t xml:space="preserve"> to </w:t>
      </w:r>
      <w:r w:rsidR="27D57FDE">
        <w:t>twelve</w:t>
      </w:r>
      <w:r w:rsidR="41D8117A">
        <w:t xml:space="preserve"> weeks postpartum</w:t>
      </w:r>
      <w:r w:rsidR="5A672888">
        <w:t>.</w:t>
      </w:r>
      <w:r w:rsidR="41D8117A">
        <w:t> </w:t>
      </w:r>
    </w:p>
    <w:p w14:paraId="2ED27593" w14:textId="06E2B247" w:rsidR="00C62A0E" w:rsidRDefault="00C62A0E" w:rsidP="008953DE">
      <w:pPr>
        <w:pStyle w:val="Bullet"/>
        <w:rPr>
          <w:bCs/>
          <w:iCs/>
        </w:rPr>
      </w:pPr>
      <w:r w:rsidRPr="00C62A0E">
        <w:rPr>
          <w:bCs/>
          <w:iCs/>
        </w:rPr>
        <w:t>Postnatal care of</w:t>
      </w:r>
      <w:r>
        <w:rPr>
          <w:bCs/>
          <w:iCs/>
        </w:rPr>
        <w:t xml:space="preserve"> neonates </w:t>
      </w:r>
      <w:r w:rsidR="00DA114D">
        <w:rPr>
          <w:bCs/>
          <w:iCs/>
        </w:rPr>
        <w:t xml:space="preserve">and appropriate risk assessments </w:t>
      </w:r>
      <w:r w:rsidRPr="00C62A0E">
        <w:rPr>
          <w:bCs/>
          <w:iCs/>
        </w:rPr>
        <w:t xml:space="preserve">will be attended to as per </w:t>
      </w:r>
      <w:r>
        <w:rPr>
          <w:bCs/>
          <w:iCs/>
        </w:rPr>
        <w:t xml:space="preserve">the following CHS </w:t>
      </w:r>
      <w:r w:rsidR="009D571D">
        <w:rPr>
          <w:bCs/>
          <w:iCs/>
        </w:rPr>
        <w:t>procedures/g</w:t>
      </w:r>
      <w:r>
        <w:rPr>
          <w:bCs/>
          <w:iCs/>
        </w:rPr>
        <w:t>uidelines</w:t>
      </w:r>
      <w:r w:rsidR="007E2EFC">
        <w:rPr>
          <w:bCs/>
          <w:iCs/>
        </w:rPr>
        <w:t>:</w:t>
      </w:r>
    </w:p>
    <w:p w14:paraId="1CFE835E" w14:textId="063F7217" w:rsidR="00C62A0E" w:rsidRPr="008953DE" w:rsidRDefault="00C62A0E" w:rsidP="008953DE">
      <w:pPr>
        <w:pStyle w:val="Bullet"/>
        <w:numPr>
          <w:ilvl w:val="1"/>
          <w:numId w:val="15"/>
        </w:numPr>
        <w:rPr>
          <w:bCs/>
          <w:i/>
        </w:rPr>
      </w:pPr>
      <w:r w:rsidRPr="008953DE">
        <w:rPr>
          <w:bCs/>
          <w:i/>
        </w:rPr>
        <w:t>Labour and Birth: Care during First, Second, Third and Fourth Stage</w:t>
      </w:r>
      <w:r w:rsidR="009D571D">
        <w:rPr>
          <w:bCs/>
          <w:i/>
        </w:rPr>
        <w:t xml:space="preserve"> </w:t>
      </w:r>
    </w:p>
    <w:p w14:paraId="6085E831" w14:textId="0ECDF706" w:rsidR="00DA114D" w:rsidRPr="008953DE" w:rsidRDefault="00DA114D" w:rsidP="008953DE">
      <w:pPr>
        <w:pStyle w:val="Bullet"/>
        <w:numPr>
          <w:ilvl w:val="1"/>
          <w:numId w:val="15"/>
        </w:numPr>
        <w:rPr>
          <w:bCs/>
          <w:i/>
        </w:rPr>
      </w:pPr>
      <w:r w:rsidRPr="008953DE">
        <w:rPr>
          <w:bCs/>
          <w:i/>
        </w:rPr>
        <w:lastRenderedPageBreak/>
        <w:t>Assessment of the Newborn</w:t>
      </w:r>
    </w:p>
    <w:p w14:paraId="620AB2F4" w14:textId="32C6B8C0" w:rsidR="00DA114D" w:rsidRDefault="00480CF9" w:rsidP="008953DE">
      <w:pPr>
        <w:pStyle w:val="Bullet"/>
        <w:numPr>
          <w:ilvl w:val="1"/>
          <w:numId w:val="15"/>
        </w:numPr>
        <w:rPr>
          <w:bCs/>
          <w:iCs/>
        </w:rPr>
      </w:pPr>
      <w:r>
        <w:rPr>
          <w:bCs/>
          <w:iCs/>
        </w:rPr>
        <w:t xml:space="preserve"> </w:t>
      </w:r>
      <w:r w:rsidR="00DA114D" w:rsidRPr="008953DE">
        <w:rPr>
          <w:bCs/>
          <w:i/>
        </w:rPr>
        <w:t xml:space="preserve">Birth </w:t>
      </w:r>
      <w:r w:rsidR="009D571D" w:rsidRPr="008953DE">
        <w:rPr>
          <w:bCs/>
          <w:i/>
        </w:rPr>
        <w:t>R</w:t>
      </w:r>
      <w:r w:rsidR="00DA114D" w:rsidRPr="008953DE">
        <w:rPr>
          <w:bCs/>
          <w:i/>
        </w:rPr>
        <w:t>equiring</w:t>
      </w:r>
      <w:r w:rsidR="009D571D" w:rsidRPr="008953DE">
        <w:rPr>
          <w:bCs/>
          <w:i/>
        </w:rPr>
        <w:t xml:space="preserve"> the</w:t>
      </w:r>
      <w:r w:rsidR="00DA114D" w:rsidRPr="008953DE">
        <w:rPr>
          <w:bCs/>
          <w:i/>
        </w:rPr>
        <w:t xml:space="preserve"> presence of a Neonatal Team Member</w:t>
      </w:r>
      <w:r w:rsidR="00DA114D">
        <w:rPr>
          <w:bCs/>
          <w:iCs/>
        </w:rPr>
        <w:t xml:space="preserve"> </w:t>
      </w:r>
      <w:r w:rsidR="009D571D">
        <w:rPr>
          <w:bCs/>
          <w:iCs/>
        </w:rPr>
        <w:t xml:space="preserve">(includes neonatal </w:t>
      </w:r>
      <w:r w:rsidR="009D571D" w:rsidRPr="00C62A0E">
        <w:rPr>
          <w:bCs/>
          <w:iCs/>
        </w:rPr>
        <w:t xml:space="preserve">risk assessment </w:t>
      </w:r>
      <w:r w:rsidR="009D571D">
        <w:rPr>
          <w:bCs/>
          <w:iCs/>
        </w:rPr>
        <w:t>and minimum length of stay)</w:t>
      </w:r>
    </w:p>
    <w:p w14:paraId="747A2172" w14:textId="685487B9" w:rsidR="00C62A0E" w:rsidRDefault="00C62A0E" w:rsidP="008953DE">
      <w:pPr>
        <w:pStyle w:val="Bullet"/>
        <w:numPr>
          <w:ilvl w:val="1"/>
          <w:numId w:val="15"/>
        </w:numPr>
        <w:rPr>
          <w:bCs/>
          <w:iCs/>
        </w:rPr>
      </w:pPr>
      <w:r w:rsidRPr="008953DE">
        <w:rPr>
          <w:bCs/>
          <w:i/>
        </w:rPr>
        <w:t>Vital Signs &amp; Early Warning Scores</w:t>
      </w:r>
      <w:r w:rsidRPr="00C62A0E">
        <w:rPr>
          <w:bCs/>
          <w:iCs/>
        </w:rPr>
        <w:t xml:space="preserve">, </w:t>
      </w:r>
      <w:r w:rsidR="009D571D">
        <w:rPr>
          <w:bCs/>
          <w:iCs/>
        </w:rPr>
        <w:t>(</w:t>
      </w:r>
      <w:r w:rsidR="00DA114D">
        <w:rPr>
          <w:bCs/>
          <w:iCs/>
        </w:rPr>
        <w:t>N</w:t>
      </w:r>
      <w:r w:rsidRPr="00C62A0E">
        <w:rPr>
          <w:bCs/>
          <w:iCs/>
        </w:rPr>
        <w:t xml:space="preserve">eonatal </w:t>
      </w:r>
      <w:r w:rsidR="00DA114D">
        <w:rPr>
          <w:bCs/>
          <w:iCs/>
        </w:rPr>
        <w:t>0–1-month post term general observation chart</w:t>
      </w:r>
      <w:r w:rsidR="009D571D">
        <w:rPr>
          <w:bCs/>
          <w:iCs/>
        </w:rPr>
        <w:t>)</w:t>
      </w:r>
    </w:p>
    <w:p w14:paraId="06022FEA" w14:textId="38A35393" w:rsidR="00DA114D" w:rsidRPr="008953DE" w:rsidRDefault="00DA114D" w:rsidP="008953DE">
      <w:pPr>
        <w:pStyle w:val="Bullet"/>
        <w:numPr>
          <w:ilvl w:val="1"/>
          <w:numId w:val="15"/>
        </w:numPr>
        <w:rPr>
          <w:bCs/>
          <w:i/>
        </w:rPr>
      </w:pPr>
      <w:r w:rsidRPr="008953DE">
        <w:rPr>
          <w:bCs/>
          <w:i/>
        </w:rPr>
        <w:t>Neonatal Hypoglycaemia</w:t>
      </w:r>
      <w:r w:rsidR="009D571D">
        <w:rPr>
          <w:bCs/>
          <w:i/>
        </w:rPr>
        <w:t>.</w:t>
      </w:r>
    </w:p>
    <w:p w14:paraId="5943AF4E" w14:textId="0B1DC979" w:rsidR="00DA114D" w:rsidRPr="00DA114D" w:rsidRDefault="00DA114D" w:rsidP="008953DE">
      <w:pPr>
        <w:pStyle w:val="Bullet"/>
        <w:rPr>
          <w:bCs/>
          <w:iCs/>
          <w:color w:val="467886"/>
          <w:u w:val="single"/>
          <w:lang w:val="en-US"/>
        </w:rPr>
      </w:pPr>
      <w:r w:rsidRPr="00DA114D">
        <w:t xml:space="preserve">Where a pregnant person has required transfer to CHWC for intrapartum care, for postnatal care post birth, where </w:t>
      </w:r>
      <w:r w:rsidRPr="00DA114D">
        <w:rPr>
          <w:bCs/>
          <w:iCs/>
        </w:rPr>
        <w:t xml:space="preserve">no indications are present, </w:t>
      </w:r>
      <w:r w:rsidRPr="00DA114D">
        <w:t>c</w:t>
      </w:r>
      <w:r w:rsidRPr="00DA114D">
        <w:rPr>
          <w:bCs/>
          <w:iCs/>
        </w:rPr>
        <w:t>onsider transfer back to the referring hospital</w:t>
      </w:r>
      <w:r w:rsidR="007E2EFC">
        <w:rPr>
          <w:bCs/>
          <w:iCs/>
        </w:rPr>
        <w:t>.</w:t>
      </w:r>
    </w:p>
    <w:p w14:paraId="783174D7" w14:textId="78949B51" w:rsidR="41D8117A" w:rsidRPr="00C608FB" w:rsidRDefault="41D8117A" w:rsidP="008953DE">
      <w:pPr>
        <w:pStyle w:val="Bullet"/>
        <w:rPr>
          <w:bCs/>
          <w:iCs/>
          <w:color w:val="467886"/>
          <w:u w:val="single"/>
          <w:lang w:val="en-US"/>
        </w:rPr>
      </w:pPr>
      <w:r w:rsidRPr="00DA114D">
        <w:t>Recommend ongoing lifestyle support and weight management for up to 18 months postpartum</w:t>
      </w:r>
      <w:r w:rsidR="79999479" w:rsidRPr="00DA114D">
        <w:t xml:space="preserve">. </w:t>
      </w:r>
      <w:r w:rsidR="00C608FB">
        <w:t>R</w:t>
      </w:r>
      <w:r w:rsidR="00480CF9">
        <w:t xml:space="preserve">eferral can be made to the </w:t>
      </w:r>
      <w:r w:rsidR="79999479" w:rsidRPr="00DA114D">
        <w:rPr>
          <w:rFonts w:eastAsia="Arial"/>
        </w:rPr>
        <w:t xml:space="preserve">Women, Youth and Children Community Nutrition </w:t>
      </w:r>
      <w:r w:rsidR="00480CF9">
        <w:rPr>
          <w:rFonts w:eastAsia="Arial"/>
        </w:rPr>
        <w:t xml:space="preserve">team </w:t>
      </w:r>
      <w:r w:rsidR="00C608FB" w:rsidRPr="00C608FB">
        <w:rPr>
          <w:rFonts w:eastAsia="Arial"/>
        </w:rPr>
        <w:t>by calling </w:t>
      </w:r>
      <w:hyperlink r:id="rId14" w:tgtFrame="_blank" w:history="1">
        <w:r w:rsidR="00C608FB" w:rsidRPr="007E2EFC">
          <w:rPr>
            <w:rStyle w:val="Hyperlink"/>
            <w:rFonts w:eastAsia="Arial"/>
            <w:u w:val="none"/>
          </w:rPr>
          <w:t>Community Health Intake (CHI)</w:t>
        </w:r>
      </w:hyperlink>
      <w:r w:rsidR="00C608FB" w:rsidRPr="007E2EFC">
        <w:rPr>
          <w:rFonts w:eastAsia="Arial"/>
        </w:rPr>
        <w:t> on </w:t>
      </w:r>
      <w:hyperlink r:id="rId15" w:history="1">
        <w:r w:rsidR="00C608FB" w:rsidRPr="007E2EFC">
          <w:rPr>
            <w:rStyle w:val="Hyperlink"/>
            <w:rFonts w:eastAsia="Arial"/>
            <w:u w:val="none"/>
          </w:rPr>
          <w:t>(02) 5124</w:t>
        </w:r>
      </w:hyperlink>
      <w:r w:rsidR="00C608FB" w:rsidRPr="00C43ACB">
        <w:rPr>
          <w:rFonts w:eastAsia="Arial"/>
        </w:rPr>
        <w:t>9977</w:t>
      </w:r>
      <w:r w:rsidR="007E2EFC" w:rsidRPr="00C43ACB">
        <w:rPr>
          <w:rFonts w:eastAsia="Arial"/>
        </w:rPr>
        <w:t>.</w:t>
      </w:r>
      <w:r w:rsidR="00C608FB" w:rsidRPr="00C608FB">
        <w:rPr>
          <w:rFonts w:eastAsia="Arial"/>
          <w:u w:val="single"/>
        </w:rPr>
        <w:t xml:space="preserve"> </w:t>
      </w:r>
    </w:p>
    <w:p w14:paraId="5D705D3C" w14:textId="6CA4A85E" w:rsidR="00481A6C" w:rsidRDefault="00481A6C" w:rsidP="00CB1EE4">
      <w:hyperlink w:anchor="_top" w:history="1">
        <w:r w:rsidRPr="00481A6C">
          <w:rPr>
            <w:rStyle w:val="Hyperlink"/>
          </w:rPr>
          <w:t>Back to Contents</w:t>
        </w:r>
      </w:hyperlink>
    </w:p>
    <w:p w14:paraId="3AB5A3DC" w14:textId="116F3FB5" w:rsidR="0078367D" w:rsidRDefault="5A94307A" w:rsidP="00A6051F">
      <w:pPr>
        <w:pStyle w:val="Heading4"/>
      </w:pPr>
      <w:bookmarkStart w:id="16" w:name="_Toc217400056"/>
      <w:r>
        <w:t xml:space="preserve">Section </w:t>
      </w:r>
      <w:r w:rsidR="12F50F23">
        <w:t>5</w:t>
      </w:r>
      <w:r w:rsidR="4B242248">
        <w:t xml:space="preserve"> – Work Health and Safety</w:t>
      </w:r>
      <w:bookmarkEnd w:id="16"/>
      <w:r w:rsidR="4B242248">
        <w:t xml:space="preserve"> </w:t>
      </w:r>
    </w:p>
    <w:p w14:paraId="565FAF51" w14:textId="74B6A459" w:rsidR="005D3451" w:rsidRDefault="4B242248" w:rsidP="00A70917">
      <w:pPr>
        <w:pStyle w:val="BodyCopy"/>
        <w:rPr>
          <w:rFonts w:eastAsia="Arial"/>
        </w:rPr>
      </w:pPr>
      <w:r w:rsidRPr="317A33D2">
        <w:rPr>
          <w:rFonts w:eastAsia="Arial"/>
        </w:rPr>
        <w:t xml:space="preserve">A manual handling assessment </w:t>
      </w:r>
      <w:r w:rsidR="00DA114D" w:rsidRPr="317A33D2">
        <w:rPr>
          <w:rFonts w:eastAsia="Arial"/>
        </w:rPr>
        <w:t xml:space="preserve">is recommended </w:t>
      </w:r>
      <w:r w:rsidR="00C43ACB">
        <w:rPr>
          <w:rFonts w:eastAsia="Arial"/>
        </w:rPr>
        <w:t>where</w:t>
      </w:r>
      <w:r w:rsidR="003D6361">
        <w:rPr>
          <w:rFonts w:eastAsia="Arial"/>
        </w:rPr>
        <w:t xml:space="preserve"> the pregnant persons</w:t>
      </w:r>
      <w:r w:rsidR="00C43ACB">
        <w:rPr>
          <w:rFonts w:eastAsia="Arial"/>
        </w:rPr>
        <w:t xml:space="preserve"> BMI is 50</w:t>
      </w:r>
      <w:r w:rsidR="00DE5E22">
        <w:rPr>
          <w:rFonts w:eastAsia="Arial"/>
        </w:rPr>
        <w:t xml:space="preserve"> or above</w:t>
      </w:r>
      <w:r w:rsidR="00FE2561" w:rsidRPr="317A33D2">
        <w:rPr>
          <w:rFonts w:eastAsia="Arial"/>
        </w:rPr>
        <w:t xml:space="preserve">. Refer to </w:t>
      </w:r>
      <w:r w:rsidR="00D36E11" w:rsidRPr="00D36E11">
        <w:rPr>
          <w:rFonts w:eastAsia="Arial"/>
        </w:rPr>
        <w:t>Work Health Safety Management System (WHSMS)</w:t>
      </w:r>
      <w:r w:rsidR="00F06F33">
        <w:rPr>
          <w:rFonts w:eastAsia="Arial"/>
        </w:rPr>
        <w:t xml:space="preserve"> (available on the Health Hub)</w:t>
      </w:r>
      <w:r w:rsidR="00D36E11">
        <w:rPr>
          <w:rFonts w:eastAsia="Arial"/>
        </w:rPr>
        <w:t xml:space="preserve"> for recommendations regarding </w:t>
      </w:r>
      <w:r w:rsidR="005D3451">
        <w:rPr>
          <w:rFonts w:eastAsia="Arial"/>
        </w:rPr>
        <w:t>identification of hazardous manual tasks.</w:t>
      </w:r>
    </w:p>
    <w:p w14:paraId="04AAFD49" w14:textId="5C9F89B2" w:rsidR="00481A6C" w:rsidRDefault="005D3451" w:rsidP="00A70917">
      <w:pPr>
        <w:pStyle w:val="BodyCopy"/>
        <w:rPr>
          <w:rFonts w:eastAsia="Arial"/>
        </w:rPr>
      </w:pPr>
      <w:r>
        <w:rPr>
          <w:rFonts w:eastAsia="Arial"/>
        </w:rPr>
        <w:t xml:space="preserve">See </w:t>
      </w:r>
      <w:r w:rsidR="00FE2561" w:rsidRPr="005D3451">
        <w:rPr>
          <w:rFonts w:eastAsia="Arial"/>
        </w:rPr>
        <w:t>Table 6</w:t>
      </w:r>
      <w:r w:rsidR="00FE2561" w:rsidRPr="317A33D2">
        <w:rPr>
          <w:rFonts w:eastAsia="Arial"/>
        </w:rPr>
        <w:t xml:space="preserve"> for weight limits of frequently utilised equipment.</w:t>
      </w:r>
    </w:p>
    <w:p w14:paraId="780ADB50" w14:textId="26F43C66" w:rsidR="00D36E11" w:rsidRDefault="00D36E11" w:rsidP="00E2328B">
      <w:pPr>
        <w:pStyle w:val="Heading6"/>
      </w:pPr>
      <w:r>
        <w:t>Considerations related to assisted transfers and obstetric related equipment</w:t>
      </w:r>
    </w:p>
    <w:p w14:paraId="7450C988" w14:textId="2C0892CA" w:rsidR="00481A6C" w:rsidRDefault="00E2328B" w:rsidP="007F5A8D">
      <w:pPr>
        <w:pStyle w:val="Bullet"/>
        <w:rPr>
          <w:rFonts w:eastAsia="Arial"/>
        </w:rPr>
      </w:pPr>
      <w:r>
        <w:rPr>
          <w:rFonts w:eastAsia="Arial"/>
        </w:rPr>
        <w:t>For s</w:t>
      </w:r>
      <w:r w:rsidR="00DA114D">
        <w:rPr>
          <w:rFonts w:eastAsia="Arial"/>
        </w:rPr>
        <w:t>afe p</w:t>
      </w:r>
      <w:r w:rsidR="4B242248" w:rsidRPr="143A4CE6">
        <w:rPr>
          <w:rFonts w:eastAsia="Arial"/>
        </w:rPr>
        <w:t xml:space="preserve">ositioning and </w:t>
      </w:r>
      <w:r w:rsidR="00DA114D">
        <w:rPr>
          <w:rFonts w:eastAsia="Arial"/>
        </w:rPr>
        <w:t>transfers</w:t>
      </w:r>
      <w:r>
        <w:rPr>
          <w:rFonts w:eastAsia="Arial"/>
        </w:rPr>
        <w:t>:</w:t>
      </w:r>
    </w:p>
    <w:p w14:paraId="54E5B098" w14:textId="5D3971E9" w:rsidR="00D36E11" w:rsidRDefault="007F5A8D" w:rsidP="007F5A8D">
      <w:pPr>
        <w:pStyle w:val="Bullet"/>
        <w:numPr>
          <w:ilvl w:val="1"/>
          <w:numId w:val="15"/>
        </w:numPr>
      </w:pPr>
      <w:r>
        <w:t>Ensure appropriate number of staff for assisted transfer</w:t>
      </w:r>
      <w:r w:rsidR="00D36E11">
        <w:t xml:space="preserve"> and repositioning for obstetric related equipment such as lithotomy stirrups on birthing bed and operating table</w:t>
      </w:r>
      <w:r w:rsidR="00E2328B">
        <w:t>.</w:t>
      </w:r>
    </w:p>
    <w:p w14:paraId="48041325" w14:textId="27C80104" w:rsidR="007F5A8D" w:rsidRDefault="00E2328B" w:rsidP="007F5A8D">
      <w:pPr>
        <w:pStyle w:val="Bullet"/>
        <w:numPr>
          <w:ilvl w:val="1"/>
          <w:numId w:val="15"/>
        </w:numPr>
      </w:pPr>
      <w:r>
        <w:t>C</w:t>
      </w:r>
      <w:r w:rsidR="007F5A8D">
        <w:t>onsider u</w:t>
      </w:r>
      <w:r w:rsidR="00D36E11">
        <w:t xml:space="preserve">tilising </w:t>
      </w:r>
      <w:r w:rsidR="007F5A8D">
        <w:t>wards person as appropriate</w:t>
      </w:r>
      <w:r>
        <w:t>.</w:t>
      </w:r>
    </w:p>
    <w:p w14:paraId="0C922D84" w14:textId="56905E1A" w:rsidR="00481A6C" w:rsidRDefault="00E2328B" w:rsidP="007F5A8D">
      <w:pPr>
        <w:pStyle w:val="Bullet"/>
        <w:numPr>
          <w:ilvl w:val="1"/>
          <w:numId w:val="15"/>
        </w:numPr>
      </w:pPr>
      <w:r>
        <w:t>A</w:t>
      </w:r>
      <w:r w:rsidR="7B932CA9" w:rsidRPr="66731E01">
        <w:t xml:space="preserve"> slide sheet </w:t>
      </w:r>
      <w:r w:rsidR="007F5A8D">
        <w:t xml:space="preserve">or hover mat should </w:t>
      </w:r>
      <w:r w:rsidR="7B932CA9" w:rsidRPr="66731E01">
        <w:t xml:space="preserve">be used to assist with </w:t>
      </w:r>
      <w:r w:rsidR="007F5A8D">
        <w:t>bed assisted t</w:t>
      </w:r>
      <w:r w:rsidR="7B932CA9" w:rsidRPr="66731E01">
        <w:t>ransfer</w:t>
      </w:r>
      <w:r w:rsidR="007F5A8D">
        <w:t>s</w:t>
      </w:r>
      <w:r w:rsidR="00A70917">
        <w:t>.</w:t>
      </w:r>
      <w:r w:rsidR="7B932CA9" w:rsidRPr="66731E01">
        <w:t xml:space="preserve">  </w:t>
      </w:r>
    </w:p>
    <w:p w14:paraId="3A1F67FD" w14:textId="23CB46FB" w:rsidR="005A21F7" w:rsidRDefault="7B932CA9" w:rsidP="007F5A8D">
      <w:pPr>
        <w:pStyle w:val="Bullet"/>
        <w:numPr>
          <w:ilvl w:val="1"/>
          <w:numId w:val="15"/>
        </w:numPr>
      </w:pPr>
      <w:r w:rsidRPr="143A4CE6">
        <w:t xml:space="preserve">Place </w:t>
      </w:r>
      <w:r w:rsidR="007F5A8D">
        <w:t xml:space="preserve">slide sheet or </w:t>
      </w:r>
      <w:r w:rsidRPr="143A4CE6">
        <w:t>hover mat prior to an epidural</w:t>
      </w:r>
      <w:r w:rsidR="00A70917">
        <w:t>.</w:t>
      </w:r>
      <w:r w:rsidRPr="143A4CE6">
        <w:t xml:space="preserve">   </w:t>
      </w:r>
    </w:p>
    <w:p w14:paraId="0E4D8C0E" w14:textId="78259A44" w:rsidR="00481A6C" w:rsidRDefault="5AF2EE0C" w:rsidP="00CB1EE4">
      <w:pPr>
        <w:pStyle w:val="Tabletitle-numbered"/>
        <w:rPr>
          <w:rFonts w:eastAsia="Arial"/>
        </w:rPr>
      </w:pPr>
      <w:r w:rsidRPr="143A4CE6">
        <w:rPr>
          <w:rFonts w:eastAsia="Arial"/>
        </w:rPr>
        <w:t>Equipment weight limits</w:t>
      </w:r>
    </w:p>
    <w:tbl>
      <w:tblPr>
        <w:tblStyle w:val="List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949"/>
        <w:gridCol w:w="3827"/>
      </w:tblGrid>
      <w:tr w:rsidR="143A4CE6" w14:paraId="54A62CF0" w14:textId="77777777" w:rsidTr="00E2328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949" w:type="dxa"/>
            <w:tcBorders>
              <w:top w:val="none" w:sz="0" w:space="0" w:color="auto"/>
              <w:left w:val="none" w:sz="0" w:space="0" w:color="auto"/>
              <w:bottom w:val="none" w:sz="0" w:space="0" w:color="auto"/>
            </w:tcBorders>
          </w:tcPr>
          <w:p w14:paraId="29A02517" w14:textId="30A22170" w:rsidR="1C668C72" w:rsidRDefault="3CD913F4" w:rsidP="317A33D2">
            <w:pPr>
              <w:spacing w:before="0" w:after="0"/>
              <w:rPr>
                <w:rFonts w:eastAsia="Arial"/>
                <w:b w:val="0"/>
                <w:bCs w:val="0"/>
              </w:rPr>
            </w:pPr>
            <w:r w:rsidRPr="00AC5479">
              <w:rPr>
                <w:rFonts w:eastAsia="Arial"/>
              </w:rPr>
              <w:t>Equipment</w:t>
            </w:r>
          </w:p>
        </w:tc>
        <w:tc>
          <w:tcPr>
            <w:tcW w:w="3827" w:type="dxa"/>
            <w:tcBorders>
              <w:top w:val="none" w:sz="0" w:space="0" w:color="auto"/>
              <w:bottom w:val="none" w:sz="0" w:space="0" w:color="auto"/>
              <w:right w:val="none" w:sz="0" w:space="0" w:color="auto"/>
            </w:tcBorders>
          </w:tcPr>
          <w:p w14:paraId="4B0B95BE" w14:textId="15D40BA0" w:rsidR="1C668C72" w:rsidRDefault="3CD913F4" w:rsidP="00E2328B">
            <w:pPr>
              <w:spacing w:before="0" w:after="0"/>
              <w:jc w:val="center"/>
              <w:cnfStyle w:val="100000000000" w:firstRow="1" w:lastRow="0" w:firstColumn="0" w:lastColumn="0" w:oddVBand="0" w:evenVBand="0" w:oddHBand="0" w:evenHBand="0" w:firstRowFirstColumn="0" w:firstRowLastColumn="0" w:lastRowFirstColumn="0" w:lastRowLastColumn="0"/>
              <w:rPr>
                <w:rFonts w:eastAsia="Arial"/>
                <w:b w:val="0"/>
                <w:bCs w:val="0"/>
              </w:rPr>
            </w:pPr>
            <w:r w:rsidRPr="00AC5479">
              <w:rPr>
                <w:rFonts w:eastAsia="Arial"/>
              </w:rPr>
              <w:t>Maximum weight</w:t>
            </w:r>
          </w:p>
        </w:tc>
      </w:tr>
    </w:tbl>
    <w:tbl>
      <w:tblPr>
        <w:tblStyle w:val="ListTable4-Accent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949"/>
        <w:gridCol w:w="3827"/>
      </w:tblGrid>
      <w:tr w:rsidR="143A4CE6" w14:paraId="6BFABC78" w14:textId="77777777" w:rsidTr="00E2328B">
        <w:trPr>
          <w:cnfStyle w:val="100000000000" w:firstRow="1" w:lastRow="0" w:firstColumn="0" w:lastColumn="0" w:oddVBand="0" w:evenVBand="0" w:oddHBand="0" w:evenHBand="0" w:firstRowFirstColumn="0" w:firstRowLastColumn="0" w:lastRowFirstColumn="0" w:lastRowLastColumn="0"/>
          <w:trHeight w:val="438"/>
        </w:trPr>
        <w:tc>
          <w:tcPr>
            <w:cnfStyle w:val="001000000000" w:firstRow="0" w:lastRow="0" w:firstColumn="1" w:lastColumn="0" w:oddVBand="0" w:evenVBand="0" w:oddHBand="0" w:evenHBand="0" w:firstRowFirstColumn="0" w:firstRowLastColumn="0" w:lastRowFirstColumn="0" w:lastRowLastColumn="0"/>
            <w:tcW w:w="5949" w:type="dxa"/>
            <w:tcBorders>
              <w:top w:val="none" w:sz="0" w:space="0" w:color="auto"/>
              <w:left w:val="none" w:sz="0" w:space="0" w:color="auto"/>
              <w:bottom w:val="none" w:sz="0" w:space="0" w:color="auto"/>
            </w:tcBorders>
            <w:shd w:val="clear" w:color="auto" w:fill="auto"/>
          </w:tcPr>
          <w:p w14:paraId="57EFD883" w14:textId="140BE3D4" w:rsidR="161C56CE" w:rsidRPr="00E2328B" w:rsidRDefault="4126CDB1" w:rsidP="00FE2561">
            <w:pPr>
              <w:spacing w:before="0" w:after="0" w:line="240" w:lineRule="auto"/>
              <w:ind w:right="-567"/>
              <w:rPr>
                <w:rFonts w:eastAsia="Arial"/>
                <w:color w:val="auto"/>
              </w:rPr>
            </w:pPr>
            <w:r w:rsidRPr="00E2328B">
              <w:rPr>
                <w:rFonts w:eastAsia="Arial"/>
                <w:color w:val="auto"/>
              </w:rPr>
              <w:t>Theatre trolley</w:t>
            </w:r>
          </w:p>
        </w:tc>
        <w:tc>
          <w:tcPr>
            <w:tcW w:w="3827" w:type="dxa"/>
            <w:tcBorders>
              <w:top w:val="none" w:sz="0" w:space="0" w:color="auto"/>
              <w:bottom w:val="none" w:sz="0" w:space="0" w:color="auto"/>
              <w:right w:val="none" w:sz="0" w:space="0" w:color="auto"/>
            </w:tcBorders>
            <w:shd w:val="clear" w:color="auto" w:fill="auto"/>
          </w:tcPr>
          <w:p w14:paraId="0B99F2B0" w14:textId="5A24E157" w:rsidR="161C56CE" w:rsidRPr="00E2328B" w:rsidRDefault="4126CDB1" w:rsidP="00CB1EE4">
            <w:pPr>
              <w:spacing w:before="0" w:after="0" w:line="240" w:lineRule="auto"/>
              <w:ind w:left="-567" w:right="-567"/>
              <w:jc w:val="center"/>
              <w:cnfStyle w:val="100000000000" w:firstRow="1" w:lastRow="0" w:firstColumn="0" w:lastColumn="0" w:oddVBand="0" w:evenVBand="0" w:oddHBand="0" w:evenHBand="0" w:firstRowFirstColumn="0" w:firstRowLastColumn="0" w:lastRowFirstColumn="0" w:lastRowLastColumn="0"/>
              <w:rPr>
                <w:rFonts w:eastAsia="Arial"/>
                <w:b w:val="0"/>
                <w:bCs w:val="0"/>
                <w:color w:val="auto"/>
              </w:rPr>
            </w:pPr>
            <w:r w:rsidRPr="00E2328B">
              <w:rPr>
                <w:rFonts w:eastAsia="Arial"/>
                <w:b w:val="0"/>
                <w:bCs w:val="0"/>
                <w:color w:val="auto"/>
              </w:rPr>
              <w:t>200kg</w:t>
            </w:r>
          </w:p>
        </w:tc>
      </w:tr>
      <w:tr w:rsidR="143A4CE6" w14:paraId="7E648800" w14:textId="77777777" w:rsidTr="00E2328B">
        <w:trPr>
          <w:trHeight w:val="418"/>
        </w:trPr>
        <w:tc>
          <w:tcPr>
            <w:cnfStyle w:val="001000000000" w:firstRow="0" w:lastRow="0" w:firstColumn="1" w:lastColumn="0" w:oddVBand="0" w:evenVBand="0" w:oddHBand="0" w:evenHBand="0" w:firstRowFirstColumn="0" w:firstRowLastColumn="0" w:lastRowFirstColumn="0" w:lastRowLastColumn="0"/>
            <w:tcW w:w="5949" w:type="dxa"/>
          </w:tcPr>
          <w:p w14:paraId="3A1E6264" w14:textId="7D23B8DA" w:rsidR="161C56CE" w:rsidRPr="00E2328B" w:rsidRDefault="4126CDB1" w:rsidP="00CB1EE4">
            <w:pPr>
              <w:spacing w:before="0" w:after="0" w:line="240" w:lineRule="auto"/>
              <w:ind w:right="-567"/>
              <w:rPr>
                <w:rFonts w:eastAsia="Arial"/>
                <w:color w:val="auto"/>
              </w:rPr>
            </w:pPr>
            <w:r w:rsidRPr="00E2328B">
              <w:rPr>
                <w:rFonts w:eastAsia="Arial"/>
                <w:color w:val="auto"/>
              </w:rPr>
              <w:t>Birth suite bed (</w:t>
            </w:r>
            <w:proofErr w:type="spellStart"/>
            <w:r w:rsidRPr="00E2328B">
              <w:rPr>
                <w:rFonts w:eastAsia="Arial"/>
                <w:color w:val="auto"/>
              </w:rPr>
              <w:t>Affiniti</w:t>
            </w:r>
            <w:proofErr w:type="spellEnd"/>
            <w:r w:rsidRPr="00E2328B">
              <w:rPr>
                <w:rFonts w:eastAsia="Arial"/>
                <w:color w:val="auto"/>
              </w:rPr>
              <w:t>)</w:t>
            </w:r>
          </w:p>
        </w:tc>
        <w:tc>
          <w:tcPr>
            <w:tcW w:w="3827" w:type="dxa"/>
          </w:tcPr>
          <w:p w14:paraId="1D80DB16" w14:textId="2529A30C" w:rsidR="161C56CE" w:rsidRPr="00E2328B" w:rsidRDefault="4126CDB1"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color w:val="auto"/>
              </w:rPr>
            </w:pPr>
            <w:r w:rsidRPr="00E2328B">
              <w:rPr>
                <w:rFonts w:eastAsia="Arial"/>
                <w:color w:val="auto"/>
              </w:rPr>
              <w:t xml:space="preserve"> 227kg</w:t>
            </w:r>
          </w:p>
        </w:tc>
      </w:tr>
      <w:tr w:rsidR="143A4CE6" w14:paraId="6558DDE6" w14:textId="77777777" w:rsidTr="00E2328B">
        <w:trPr>
          <w:trHeight w:val="567"/>
        </w:trPr>
        <w:tc>
          <w:tcPr>
            <w:cnfStyle w:val="001000000000" w:firstRow="0" w:lastRow="0" w:firstColumn="1" w:lastColumn="0" w:oddVBand="0" w:evenVBand="0" w:oddHBand="0" w:evenHBand="0" w:firstRowFirstColumn="0" w:firstRowLastColumn="0" w:lastRowFirstColumn="0" w:lastRowLastColumn="0"/>
            <w:tcW w:w="5949" w:type="dxa"/>
          </w:tcPr>
          <w:p w14:paraId="4E81FA6F" w14:textId="727078CF" w:rsidR="161C56CE" w:rsidRPr="00E2328B" w:rsidRDefault="4126CDB1" w:rsidP="00CB1EE4">
            <w:pPr>
              <w:spacing w:before="0" w:after="0" w:line="240" w:lineRule="auto"/>
              <w:ind w:right="-567"/>
              <w:rPr>
                <w:rFonts w:eastAsia="Arial"/>
                <w:color w:val="auto"/>
              </w:rPr>
            </w:pPr>
            <w:r w:rsidRPr="00E2328B">
              <w:rPr>
                <w:rFonts w:eastAsia="Arial"/>
                <w:color w:val="auto"/>
              </w:rPr>
              <w:t>Standard hospital bed</w:t>
            </w:r>
          </w:p>
        </w:tc>
        <w:tc>
          <w:tcPr>
            <w:tcW w:w="3827" w:type="dxa"/>
          </w:tcPr>
          <w:p w14:paraId="05F27AC0" w14:textId="430FA503" w:rsidR="161C56CE" w:rsidRPr="00E2328B" w:rsidRDefault="4126CDB1"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color w:val="auto"/>
              </w:rPr>
            </w:pPr>
            <w:r w:rsidRPr="00E2328B">
              <w:rPr>
                <w:rFonts w:eastAsia="Arial"/>
                <w:color w:val="auto"/>
              </w:rPr>
              <w:t>250kg</w:t>
            </w:r>
          </w:p>
        </w:tc>
      </w:tr>
      <w:tr w:rsidR="143A4CE6" w14:paraId="647E6E40" w14:textId="77777777" w:rsidTr="00E2328B">
        <w:trPr>
          <w:trHeight w:val="1398"/>
        </w:trPr>
        <w:tc>
          <w:tcPr>
            <w:cnfStyle w:val="001000000000" w:firstRow="0" w:lastRow="0" w:firstColumn="1" w:lastColumn="0" w:oddVBand="0" w:evenVBand="0" w:oddHBand="0" w:evenHBand="0" w:firstRowFirstColumn="0" w:firstRowLastColumn="0" w:lastRowFirstColumn="0" w:lastRowLastColumn="0"/>
            <w:tcW w:w="5949" w:type="dxa"/>
          </w:tcPr>
          <w:p w14:paraId="501A414B" w14:textId="15544B21" w:rsidR="6B938852" w:rsidRDefault="4CECCDF7" w:rsidP="00CB1EE4">
            <w:pPr>
              <w:spacing w:before="0" w:after="0" w:line="240" w:lineRule="auto"/>
              <w:ind w:right="-567"/>
              <w:rPr>
                <w:rFonts w:eastAsia="Arial"/>
                <w:b w:val="0"/>
                <w:bCs w:val="0"/>
              </w:rPr>
            </w:pPr>
            <w:r w:rsidRPr="0E20A362">
              <w:rPr>
                <w:rFonts w:eastAsia="Arial"/>
              </w:rPr>
              <w:lastRenderedPageBreak/>
              <w:t>Bariatric beds:</w:t>
            </w:r>
          </w:p>
          <w:p w14:paraId="6356BE57" w14:textId="181583FE" w:rsidR="52B3B3FA" w:rsidRPr="00CB1EE4" w:rsidRDefault="4EDFD6F2" w:rsidP="00CB1EE4">
            <w:pPr>
              <w:spacing w:before="0" w:after="0" w:line="240" w:lineRule="auto"/>
              <w:ind w:right="-567"/>
              <w:rPr>
                <w:rFonts w:eastAsia="Arial"/>
                <w:b w:val="0"/>
                <w:bCs w:val="0"/>
              </w:rPr>
            </w:pPr>
            <w:r w:rsidRPr="00CB1EE4">
              <w:rPr>
                <w:rFonts w:eastAsia="Arial"/>
                <w:b w:val="0"/>
                <w:bCs w:val="0"/>
              </w:rPr>
              <w:t>Alrick 8350 series</w:t>
            </w:r>
          </w:p>
          <w:p w14:paraId="4E07E098" w14:textId="608FC4D1" w:rsidR="79549599" w:rsidRPr="00CB1EE4" w:rsidRDefault="79B5F085" w:rsidP="00CB1EE4">
            <w:pPr>
              <w:spacing w:before="0" w:after="0" w:line="240" w:lineRule="auto"/>
              <w:ind w:right="-567"/>
              <w:rPr>
                <w:rFonts w:eastAsia="Arial"/>
                <w:b w:val="0"/>
                <w:bCs w:val="0"/>
              </w:rPr>
            </w:pPr>
            <w:r w:rsidRPr="00CB1EE4">
              <w:rPr>
                <w:rFonts w:eastAsia="Arial"/>
                <w:b w:val="0"/>
                <w:bCs w:val="0"/>
              </w:rPr>
              <w:t>Alrick 8500 series</w:t>
            </w:r>
          </w:p>
          <w:p w14:paraId="3313F342" w14:textId="067E6AB5" w:rsidR="23DFA9F6" w:rsidRPr="00CB1EE4" w:rsidRDefault="6C467C16" w:rsidP="00CB1EE4">
            <w:pPr>
              <w:spacing w:before="0" w:after="0" w:line="240" w:lineRule="auto"/>
              <w:ind w:right="-567"/>
              <w:rPr>
                <w:rFonts w:eastAsia="Arial"/>
                <w:b w:val="0"/>
                <w:bCs w:val="0"/>
              </w:rPr>
            </w:pPr>
            <w:proofErr w:type="spellStart"/>
            <w:r w:rsidRPr="00CB1EE4">
              <w:rPr>
                <w:rFonts w:eastAsia="Arial"/>
                <w:b w:val="0"/>
                <w:bCs w:val="0"/>
              </w:rPr>
              <w:t>Medicraft</w:t>
            </w:r>
            <w:proofErr w:type="spellEnd"/>
          </w:p>
          <w:p w14:paraId="500F03B2" w14:textId="13A73345" w:rsidR="143A4CE6" w:rsidRDefault="322214B1" w:rsidP="00FE2561">
            <w:pPr>
              <w:spacing w:before="0" w:after="0" w:line="240" w:lineRule="auto"/>
              <w:ind w:right="-567"/>
              <w:rPr>
                <w:rFonts w:eastAsia="Arial"/>
              </w:rPr>
            </w:pPr>
            <w:r w:rsidRPr="00CB1EE4">
              <w:rPr>
                <w:rFonts w:eastAsia="Arial"/>
                <w:b w:val="0"/>
                <w:bCs w:val="0"/>
              </w:rPr>
              <w:t xml:space="preserve">Arjo Citadel </w:t>
            </w:r>
            <w:proofErr w:type="spellStart"/>
            <w:r w:rsidRPr="00CB1EE4">
              <w:rPr>
                <w:rFonts w:eastAsia="Arial"/>
                <w:b w:val="0"/>
                <w:bCs w:val="0"/>
              </w:rPr>
              <w:t>Plaus</w:t>
            </w:r>
            <w:proofErr w:type="spellEnd"/>
          </w:p>
        </w:tc>
        <w:tc>
          <w:tcPr>
            <w:tcW w:w="3827" w:type="dxa"/>
          </w:tcPr>
          <w:p w14:paraId="35D16848" w14:textId="0CC9FE9A"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p w14:paraId="64492948" w14:textId="1507594F" w:rsidR="52B3B3FA" w:rsidRDefault="4EDFD6F2"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pPr>
            <w:r w:rsidRPr="0E20A362">
              <w:rPr>
                <w:rFonts w:eastAsia="Arial"/>
              </w:rPr>
              <w:t>350kg</w:t>
            </w:r>
          </w:p>
          <w:p w14:paraId="407A9EDB" w14:textId="5B56FC84" w:rsidR="751C447C" w:rsidRDefault="4C6C2B57"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500kg</w:t>
            </w:r>
          </w:p>
          <w:p w14:paraId="3A15EF6F" w14:textId="6209C898" w:rsidR="6243FEB5" w:rsidRDefault="0B8FDBCC"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400kg</w:t>
            </w:r>
          </w:p>
          <w:p w14:paraId="1846C4ED" w14:textId="5011C923" w:rsidR="143A4CE6" w:rsidRDefault="61AB952A" w:rsidP="00FE2561">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454kg</w:t>
            </w:r>
          </w:p>
        </w:tc>
      </w:tr>
      <w:tr w:rsidR="143A4CE6" w14:paraId="58EB1D72" w14:textId="77777777" w:rsidTr="00E2328B">
        <w:trPr>
          <w:trHeight w:val="412"/>
        </w:trPr>
        <w:tc>
          <w:tcPr>
            <w:cnfStyle w:val="001000000000" w:firstRow="0" w:lastRow="0" w:firstColumn="1" w:lastColumn="0" w:oddVBand="0" w:evenVBand="0" w:oddHBand="0" w:evenHBand="0" w:firstRowFirstColumn="0" w:firstRowLastColumn="0" w:lastRowFirstColumn="0" w:lastRowLastColumn="0"/>
            <w:tcW w:w="5949" w:type="dxa"/>
          </w:tcPr>
          <w:p w14:paraId="371978FA" w14:textId="3AD060FE" w:rsidR="26AC6BC4" w:rsidRDefault="61AB952A" w:rsidP="00CB1EE4">
            <w:pPr>
              <w:spacing w:before="0" w:after="0" w:line="240" w:lineRule="auto"/>
              <w:ind w:right="-567"/>
              <w:rPr>
                <w:rFonts w:eastAsia="Arial"/>
              </w:rPr>
            </w:pPr>
            <w:r w:rsidRPr="0E20A362">
              <w:rPr>
                <w:rFonts w:eastAsia="Arial"/>
              </w:rPr>
              <w:t xml:space="preserve">Bariatric recliner </w:t>
            </w:r>
            <w:proofErr w:type="spellStart"/>
            <w:r w:rsidRPr="0E20A362">
              <w:rPr>
                <w:rFonts w:eastAsia="Arial"/>
              </w:rPr>
              <w:t>Sertain</w:t>
            </w:r>
            <w:proofErr w:type="spellEnd"/>
            <w:r w:rsidRPr="0E20A362">
              <w:rPr>
                <w:rFonts w:eastAsia="Arial"/>
              </w:rPr>
              <w:t xml:space="preserve"> S4100EW</w:t>
            </w:r>
          </w:p>
        </w:tc>
        <w:tc>
          <w:tcPr>
            <w:tcW w:w="3827" w:type="dxa"/>
          </w:tcPr>
          <w:p w14:paraId="14E5ABE8" w14:textId="5D0D947A" w:rsidR="1F116C0C" w:rsidRDefault="56DC30B3"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350kg</w:t>
            </w:r>
          </w:p>
          <w:p w14:paraId="7F589842" w14:textId="2CBC6F99"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tc>
      </w:tr>
      <w:tr w:rsidR="143A4CE6" w14:paraId="5D1CAB8D" w14:textId="77777777" w:rsidTr="00E2328B">
        <w:trPr>
          <w:trHeight w:val="567"/>
        </w:trPr>
        <w:tc>
          <w:tcPr>
            <w:cnfStyle w:val="001000000000" w:firstRow="0" w:lastRow="0" w:firstColumn="1" w:lastColumn="0" w:oddVBand="0" w:evenVBand="0" w:oddHBand="0" w:evenHBand="0" w:firstRowFirstColumn="0" w:firstRowLastColumn="0" w:lastRowFirstColumn="0" w:lastRowLastColumn="0"/>
            <w:tcW w:w="5949" w:type="dxa"/>
          </w:tcPr>
          <w:p w14:paraId="103A3E82" w14:textId="1B630038" w:rsidR="342F7C75" w:rsidRDefault="4F95D89B" w:rsidP="00CB1EE4">
            <w:pPr>
              <w:spacing w:before="0" w:after="0" w:line="240" w:lineRule="auto"/>
              <w:ind w:right="-567"/>
              <w:rPr>
                <w:rFonts w:eastAsia="Arial"/>
                <w:b w:val="0"/>
                <w:bCs w:val="0"/>
              </w:rPr>
            </w:pPr>
            <w:r w:rsidRPr="0E20A362">
              <w:rPr>
                <w:rFonts w:eastAsia="Arial"/>
              </w:rPr>
              <w:t>Bariatric chairs:</w:t>
            </w:r>
          </w:p>
          <w:p w14:paraId="4BEFB561" w14:textId="012FB0D2" w:rsidR="1F116C0C" w:rsidRPr="00CB1EE4" w:rsidRDefault="56DC30B3" w:rsidP="00CB1EE4">
            <w:pPr>
              <w:spacing w:before="0" w:after="0" w:line="240" w:lineRule="auto"/>
              <w:ind w:right="-567"/>
              <w:rPr>
                <w:rFonts w:eastAsia="Arial"/>
                <w:b w:val="0"/>
                <w:bCs w:val="0"/>
              </w:rPr>
            </w:pPr>
            <w:r w:rsidRPr="00CB1EE4">
              <w:rPr>
                <w:rFonts w:eastAsia="Arial"/>
                <w:b w:val="0"/>
                <w:bCs w:val="0"/>
              </w:rPr>
              <w:t>Maxi bridge chair</w:t>
            </w:r>
          </w:p>
          <w:p w14:paraId="14AB1D80" w14:textId="320CDCE8" w:rsidR="143A4CE6" w:rsidRDefault="56DC30B3" w:rsidP="00FE2561">
            <w:pPr>
              <w:spacing w:before="0" w:after="0" w:line="240" w:lineRule="auto"/>
              <w:ind w:right="-567"/>
              <w:rPr>
                <w:rFonts w:eastAsia="Arial"/>
              </w:rPr>
            </w:pPr>
            <w:r w:rsidRPr="00CB1EE4">
              <w:rPr>
                <w:rFonts w:eastAsia="Arial"/>
                <w:b w:val="0"/>
                <w:bCs w:val="0"/>
              </w:rPr>
              <w:t>High back sitting chair</w:t>
            </w:r>
          </w:p>
        </w:tc>
        <w:tc>
          <w:tcPr>
            <w:tcW w:w="3827" w:type="dxa"/>
          </w:tcPr>
          <w:p w14:paraId="37EF1BF7" w14:textId="011454C5"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p w14:paraId="7B9DCDDC" w14:textId="18F4F38B" w:rsidR="1F116C0C" w:rsidRDefault="56DC30B3"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300kg</w:t>
            </w:r>
          </w:p>
          <w:p w14:paraId="624EF8B9" w14:textId="45FE8DB6" w:rsidR="143A4CE6" w:rsidRDefault="56DC30B3" w:rsidP="00FE2561">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210kg</w:t>
            </w:r>
          </w:p>
        </w:tc>
      </w:tr>
      <w:tr w:rsidR="143A4CE6" w14:paraId="69268511" w14:textId="77777777" w:rsidTr="00E2328B">
        <w:trPr>
          <w:trHeight w:val="567"/>
        </w:trPr>
        <w:tc>
          <w:tcPr>
            <w:cnfStyle w:val="001000000000" w:firstRow="0" w:lastRow="0" w:firstColumn="1" w:lastColumn="0" w:oddVBand="0" w:evenVBand="0" w:oddHBand="0" w:evenHBand="0" w:firstRowFirstColumn="0" w:firstRowLastColumn="0" w:lastRowFirstColumn="0" w:lastRowLastColumn="0"/>
            <w:tcW w:w="5949" w:type="dxa"/>
          </w:tcPr>
          <w:p w14:paraId="5A7D7709" w14:textId="6725D5CD" w:rsidR="52B3B3FA" w:rsidRDefault="7624213F" w:rsidP="00CB1EE4">
            <w:pPr>
              <w:spacing w:before="0" w:after="0" w:line="240" w:lineRule="auto"/>
              <w:ind w:right="-567"/>
              <w:rPr>
                <w:rFonts w:eastAsia="Arial"/>
              </w:rPr>
            </w:pPr>
            <w:r w:rsidRPr="0E20A362">
              <w:rPr>
                <w:rFonts w:eastAsia="Arial"/>
              </w:rPr>
              <w:t xml:space="preserve">Commode chair </w:t>
            </w:r>
            <w:proofErr w:type="spellStart"/>
            <w:r w:rsidRPr="0E20A362">
              <w:rPr>
                <w:rFonts w:eastAsia="Arial"/>
              </w:rPr>
              <w:t>Ottoback</w:t>
            </w:r>
            <w:proofErr w:type="spellEnd"/>
          </w:p>
        </w:tc>
        <w:tc>
          <w:tcPr>
            <w:tcW w:w="3827" w:type="dxa"/>
          </w:tcPr>
          <w:p w14:paraId="529E3237" w14:textId="1E174C52" w:rsidR="38A90D75" w:rsidRDefault="7624213F"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400kg</w:t>
            </w:r>
          </w:p>
          <w:p w14:paraId="491AA804" w14:textId="5B162FF9"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tc>
      </w:tr>
      <w:tr w:rsidR="143A4CE6" w14:paraId="66E32040" w14:textId="77777777" w:rsidTr="00E2328B">
        <w:trPr>
          <w:trHeight w:val="567"/>
        </w:trPr>
        <w:tc>
          <w:tcPr>
            <w:cnfStyle w:val="001000000000" w:firstRow="0" w:lastRow="0" w:firstColumn="1" w:lastColumn="0" w:oddVBand="0" w:evenVBand="0" w:oddHBand="0" w:evenHBand="0" w:firstRowFirstColumn="0" w:firstRowLastColumn="0" w:lastRowFirstColumn="0" w:lastRowLastColumn="0"/>
            <w:tcW w:w="5949" w:type="dxa"/>
          </w:tcPr>
          <w:p w14:paraId="646E3536" w14:textId="5935FE05" w:rsidR="1FBC27D9" w:rsidRDefault="74C0C349" w:rsidP="00CB1EE4">
            <w:pPr>
              <w:spacing w:before="0" w:after="0" w:line="240" w:lineRule="auto"/>
              <w:ind w:right="-567"/>
              <w:rPr>
                <w:rFonts w:eastAsia="Arial"/>
                <w:b w:val="0"/>
                <w:bCs w:val="0"/>
              </w:rPr>
            </w:pPr>
            <w:r w:rsidRPr="0E20A362">
              <w:rPr>
                <w:rFonts w:eastAsia="Arial"/>
              </w:rPr>
              <w:t>Bariatric wheelchairs:</w:t>
            </w:r>
          </w:p>
          <w:p w14:paraId="777BBEA1" w14:textId="3484DE3F" w:rsidR="38A90D75" w:rsidRPr="00CB1EE4" w:rsidRDefault="7624213F" w:rsidP="00CB1EE4">
            <w:pPr>
              <w:spacing w:before="0" w:after="0" w:line="240" w:lineRule="auto"/>
              <w:ind w:right="-567"/>
              <w:rPr>
                <w:rFonts w:eastAsia="Arial"/>
                <w:b w:val="0"/>
                <w:bCs w:val="0"/>
              </w:rPr>
            </w:pPr>
            <w:r w:rsidRPr="00CB1EE4">
              <w:rPr>
                <w:rFonts w:eastAsia="Arial"/>
                <w:b w:val="0"/>
                <w:bCs w:val="0"/>
              </w:rPr>
              <w:t>Quickie Breezy model EC2000HD</w:t>
            </w:r>
          </w:p>
          <w:p w14:paraId="669283F1" w14:textId="06339169" w:rsidR="143A4CE6" w:rsidRDefault="7624213F" w:rsidP="00FE2561">
            <w:pPr>
              <w:spacing w:before="0" w:after="0" w:line="240" w:lineRule="auto"/>
              <w:ind w:right="-567"/>
              <w:rPr>
                <w:rFonts w:eastAsia="Arial"/>
              </w:rPr>
            </w:pPr>
            <w:proofErr w:type="spellStart"/>
            <w:r w:rsidRPr="00CB1EE4">
              <w:rPr>
                <w:rFonts w:eastAsia="Arial"/>
                <w:b w:val="0"/>
                <w:bCs w:val="0"/>
              </w:rPr>
              <w:t>Tuffcare</w:t>
            </w:r>
            <w:proofErr w:type="spellEnd"/>
          </w:p>
        </w:tc>
        <w:tc>
          <w:tcPr>
            <w:tcW w:w="3827" w:type="dxa"/>
          </w:tcPr>
          <w:p w14:paraId="15FD13B0" w14:textId="68180670"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p w14:paraId="24B04BB2" w14:textId="5377EDB7" w:rsidR="38A90D75" w:rsidRDefault="7624213F"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318kg</w:t>
            </w:r>
          </w:p>
          <w:p w14:paraId="33E2B099" w14:textId="1113F258" w:rsidR="38A90D75" w:rsidRDefault="7624213F"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318kg</w:t>
            </w:r>
          </w:p>
        </w:tc>
      </w:tr>
      <w:tr w:rsidR="143A4CE6" w14:paraId="5238174A" w14:textId="77777777" w:rsidTr="00E2328B">
        <w:trPr>
          <w:trHeight w:val="567"/>
        </w:trPr>
        <w:tc>
          <w:tcPr>
            <w:cnfStyle w:val="001000000000" w:firstRow="0" w:lastRow="0" w:firstColumn="1" w:lastColumn="0" w:oddVBand="0" w:evenVBand="0" w:oddHBand="0" w:evenHBand="0" w:firstRowFirstColumn="0" w:firstRowLastColumn="0" w:lastRowFirstColumn="0" w:lastRowLastColumn="0"/>
            <w:tcW w:w="5949" w:type="dxa"/>
          </w:tcPr>
          <w:p w14:paraId="5903FFA8" w14:textId="48432D96" w:rsidR="52B3B3FA" w:rsidRDefault="54BB291D" w:rsidP="00CB1EE4">
            <w:pPr>
              <w:spacing w:before="0" w:after="0" w:line="240" w:lineRule="auto"/>
              <w:ind w:right="-567"/>
              <w:rPr>
                <w:rFonts w:eastAsia="Arial"/>
              </w:rPr>
            </w:pPr>
            <w:r w:rsidRPr="0E20A362">
              <w:rPr>
                <w:rFonts w:eastAsia="Arial"/>
              </w:rPr>
              <w:t xml:space="preserve">Bariatric walker </w:t>
            </w:r>
            <w:proofErr w:type="spellStart"/>
            <w:r w:rsidRPr="0E20A362">
              <w:rPr>
                <w:rFonts w:eastAsia="Arial"/>
              </w:rPr>
              <w:t>Auscare</w:t>
            </w:r>
            <w:proofErr w:type="spellEnd"/>
          </w:p>
        </w:tc>
        <w:tc>
          <w:tcPr>
            <w:tcW w:w="3827" w:type="dxa"/>
          </w:tcPr>
          <w:p w14:paraId="33F77057" w14:textId="4574F88B" w:rsidR="1318DD07" w:rsidRDefault="54BB291D"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215kg</w:t>
            </w:r>
          </w:p>
          <w:p w14:paraId="423C17EA" w14:textId="4C5821C4"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tc>
      </w:tr>
      <w:tr w:rsidR="143A4CE6" w14:paraId="47CE7287" w14:textId="77777777" w:rsidTr="00E2328B">
        <w:trPr>
          <w:trHeight w:val="294"/>
        </w:trPr>
        <w:tc>
          <w:tcPr>
            <w:cnfStyle w:val="001000000000" w:firstRow="0" w:lastRow="0" w:firstColumn="1" w:lastColumn="0" w:oddVBand="0" w:evenVBand="0" w:oddHBand="0" w:evenHBand="0" w:firstRowFirstColumn="0" w:firstRowLastColumn="0" w:lastRowFirstColumn="0" w:lastRowLastColumn="0"/>
            <w:tcW w:w="5949" w:type="dxa"/>
          </w:tcPr>
          <w:p w14:paraId="524F8A86" w14:textId="056C209E" w:rsidR="143A4CE6" w:rsidRDefault="54BB291D" w:rsidP="00FE2561">
            <w:pPr>
              <w:spacing w:before="0" w:after="0" w:line="240" w:lineRule="auto"/>
              <w:ind w:right="-567"/>
              <w:rPr>
                <w:rFonts w:eastAsia="Arial"/>
              </w:rPr>
            </w:pPr>
            <w:r w:rsidRPr="0E20A362">
              <w:rPr>
                <w:rFonts w:eastAsia="Arial"/>
              </w:rPr>
              <w:t>Regular and shower bariatric slings (all sizes)</w:t>
            </w:r>
          </w:p>
        </w:tc>
        <w:tc>
          <w:tcPr>
            <w:tcW w:w="3827" w:type="dxa"/>
          </w:tcPr>
          <w:p w14:paraId="5A7AA8C8" w14:textId="0C36A69B" w:rsidR="143A4CE6" w:rsidRDefault="54BB291D" w:rsidP="00FE2561">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500kg</w:t>
            </w:r>
          </w:p>
        </w:tc>
      </w:tr>
      <w:tr w:rsidR="143A4CE6" w14:paraId="650B75E2" w14:textId="77777777" w:rsidTr="00E2328B">
        <w:trPr>
          <w:trHeight w:val="567"/>
        </w:trPr>
        <w:tc>
          <w:tcPr>
            <w:cnfStyle w:val="001000000000" w:firstRow="0" w:lastRow="0" w:firstColumn="1" w:lastColumn="0" w:oddVBand="0" w:evenVBand="0" w:oddHBand="0" w:evenHBand="0" w:firstRowFirstColumn="0" w:firstRowLastColumn="0" w:lastRowFirstColumn="0" w:lastRowLastColumn="0"/>
            <w:tcW w:w="5949" w:type="dxa"/>
          </w:tcPr>
          <w:p w14:paraId="7FE0858A" w14:textId="64A1744A" w:rsidR="7EE77B0D" w:rsidRDefault="62B32253" w:rsidP="00CB1EE4">
            <w:pPr>
              <w:spacing w:before="0" w:after="0" w:line="240" w:lineRule="auto"/>
              <w:ind w:right="-567"/>
              <w:rPr>
                <w:rFonts w:eastAsia="Arial"/>
                <w:b w:val="0"/>
                <w:bCs w:val="0"/>
              </w:rPr>
            </w:pPr>
            <w:r w:rsidRPr="0E20A362">
              <w:rPr>
                <w:rFonts w:eastAsia="Arial"/>
              </w:rPr>
              <w:t xml:space="preserve">Disposable </w:t>
            </w:r>
            <w:proofErr w:type="spellStart"/>
            <w:r w:rsidRPr="0E20A362">
              <w:rPr>
                <w:rFonts w:eastAsia="Arial"/>
              </w:rPr>
              <w:t>SallySling</w:t>
            </w:r>
            <w:proofErr w:type="spellEnd"/>
            <w:r w:rsidRPr="0E20A362">
              <w:rPr>
                <w:rFonts w:eastAsia="Arial"/>
              </w:rPr>
              <w:t>:</w:t>
            </w:r>
          </w:p>
          <w:p w14:paraId="2D7E0B0D" w14:textId="7032643D" w:rsidR="1318DD07" w:rsidRPr="00CB1EE4" w:rsidRDefault="54BB291D" w:rsidP="00CB1EE4">
            <w:pPr>
              <w:spacing w:before="0" w:after="0" w:line="240" w:lineRule="auto"/>
              <w:ind w:right="-567"/>
              <w:rPr>
                <w:b w:val="0"/>
                <w:bCs w:val="0"/>
              </w:rPr>
            </w:pPr>
            <w:r w:rsidRPr="00CB1EE4">
              <w:rPr>
                <w:rFonts w:eastAsia="Arial"/>
                <w:b w:val="0"/>
                <w:bCs w:val="0"/>
              </w:rPr>
              <w:t>standard siz</w:t>
            </w:r>
            <w:r w:rsidR="00CB1EE4" w:rsidRPr="00CB1EE4">
              <w:rPr>
                <w:rFonts w:eastAsia="Arial"/>
                <w:b w:val="0"/>
                <w:bCs w:val="0"/>
              </w:rPr>
              <w:t>e</w:t>
            </w:r>
          </w:p>
          <w:p w14:paraId="5592A4A7" w14:textId="7F528845" w:rsidR="1318DD07" w:rsidRPr="00CB1EE4" w:rsidRDefault="54BB291D" w:rsidP="00CB1EE4">
            <w:pPr>
              <w:spacing w:before="0" w:after="0" w:line="240" w:lineRule="auto"/>
              <w:ind w:right="-567"/>
              <w:rPr>
                <w:rFonts w:eastAsia="Arial"/>
                <w:b w:val="0"/>
                <w:bCs w:val="0"/>
              </w:rPr>
            </w:pPr>
            <w:r w:rsidRPr="00CB1EE4">
              <w:rPr>
                <w:rFonts w:eastAsia="Arial"/>
                <w:b w:val="0"/>
                <w:bCs w:val="0"/>
              </w:rPr>
              <w:t>bariatric size</w:t>
            </w:r>
          </w:p>
          <w:p w14:paraId="00CD95EB" w14:textId="4D91109F" w:rsidR="143A4CE6" w:rsidRDefault="143A4CE6" w:rsidP="00CB1EE4">
            <w:pPr>
              <w:spacing w:before="0" w:after="0" w:line="240" w:lineRule="auto"/>
              <w:ind w:left="-567" w:right="-567"/>
              <w:jc w:val="center"/>
              <w:rPr>
                <w:rFonts w:eastAsia="Arial"/>
              </w:rPr>
            </w:pPr>
          </w:p>
        </w:tc>
        <w:tc>
          <w:tcPr>
            <w:tcW w:w="3827" w:type="dxa"/>
          </w:tcPr>
          <w:p w14:paraId="5935454D" w14:textId="59C314B2"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p w14:paraId="39F70761" w14:textId="1689CCE3" w:rsidR="1318DD07" w:rsidRDefault="54BB291D"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300kg</w:t>
            </w:r>
          </w:p>
          <w:p w14:paraId="10A0DDE7" w14:textId="07CE75CD" w:rsidR="1318DD07" w:rsidRDefault="54BB291D"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r w:rsidRPr="0E20A362">
              <w:rPr>
                <w:rFonts w:eastAsia="Arial"/>
              </w:rPr>
              <w:t>454kg</w:t>
            </w:r>
          </w:p>
          <w:p w14:paraId="662E11E8" w14:textId="30D51D21" w:rsidR="143A4CE6" w:rsidRDefault="143A4CE6" w:rsidP="00CB1EE4">
            <w:pPr>
              <w:spacing w:before="0" w:after="0" w:line="240" w:lineRule="auto"/>
              <w:ind w:left="-567" w:right="-567"/>
              <w:jc w:val="center"/>
              <w:cnfStyle w:val="000000000000" w:firstRow="0" w:lastRow="0" w:firstColumn="0" w:lastColumn="0" w:oddVBand="0" w:evenVBand="0" w:oddHBand="0" w:evenHBand="0" w:firstRowFirstColumn="0" w:firstRowLastColumn="0" w:lastRowFirstColumn="0" w:lastRowLastColumn="0"/>
              <w:rPr>
                <w:rFonts w:eastAsia="Arial"/>
              </w:rPr>
            </w:pPr>
          </w:p>
        </w:tc>
      </w:tr>
    </w:tbl>
    <w:p w14:paraId="1EAB0366" w14:textId="019DF1CA" w:rsidR="00481A6C" w:rsidRDefault="2572B1CF" w:rsidP="143A4CE6">
      <w:pPr>
        <w:pStyle w:val="BodyCopy"/>
        <w:spacing w:after="120"/>
        <w:jc w:val="both"/>
      </w:pPr>
      <w:hyperlink w:anchor="_top">
        <w:r w:rsidRPr="143A4CE6">
          <w:rPr>
            <w:rStyle w:val="Hyperlink"/>
          </w:rPr>
          <w:t>Back to Contents</w:t>
        </w:r>
      </w:hyperlink>
    </w:p>
    <w:p w14:paraId="305B1695" w14:textId="488D596B" w:rsidR="00CB1EE4" w:rsidRDefault="00200ED6" w:rsidP="00200ED6">
      <w:pPr>
        <w:pStyle w:val="Heading4"/>
      </w:pPr>
      <w:bookmarkStart w:id="17" w:name="_Toc217400057"/>
      <w:r w:rsidRPr="00200ED6">
        <w:t>Evaluation</w:t>
      </w:r>
      <w:bookmarkEnd w:id="17"/>
    </w:p>
    <w:p w14:paraId="54F0A166" w14:textId="77777777" w:rsidR="00200ED6" w:rsidRPr="00200ED6" w:rsidRDefault="00200ED6" w:rsidP="00200ED6">
      <w:pPr>
        <w:pStyle w:val="Heading5"/>
      </w:pPr>
      <w:r w:rsidRPr="00200ED6">
        <w:t>Outcome</w:t>
      </w:r>
    </w:p>
    <w:p w14:paraId="30B36985" w14:textId="6CEBE5D3" w:rsidR="00200ED6" w:rsidRDefault="00B15577" w:rsidP="00B15577">
      <w:pPr>
        <w:pStyle w:val="Bullet"/>
      </w:pPr>
      <w:r>
        <w:t>C</w:t>
      </w:r>
      <w:r w:rsidR="00200ED6" w:rsidRPr="00200ED6">
        <w:t xml:space="preserve">linicians </w:t>
      </w:r>
      <w:r w:rsidR="007D6E02">
        <w:t xml:space="preserve">who provide care for </w:t>
      </w:r>
      <w:r w:rsidR="00200ED6">
        <w:t xml:space="preserve">pregnant persons with obesity </w:t>
      </w:r>
      <w:r w:rsidR="00200ED6" w:rsidRPr="00200ED6">
        <w:t>will provide consistent clinical care as outlined in this guideline</w:t>
      </w:r>
      <w:r>
        <w:t>.</w:t>
      </w:r>
    </w:p>
    <w:p w14:paraId="7A14C955" w14:textId="1567A78A" w:rsidR="00200ED6" w:rsidRPr="00200ED6" w:rsidRDefault="00200ED6" w:rsidP="00B15577">
      <w:pPr>
        <w:pStyle w:val="Bullet"/>
      </w:pPr>
      <w:r>
        <w:t xml:space="preserve">Pregnant persons and </w:t>
      </w:r>
      <w:r w:rsidRPr="00200ED6">
        <w:t xml:space="preserve">their families will feel supported, cared for and report positive outcomes </w:t>
      </w:r>
      <w:r>
        <w:t>during their pregnancy and postnatal care</w:t>
      </w:r>
      <w:r w:rsidR="00B15577">
        <w:t>.</w:t>
      </w:r>
      <w:r w:rsidRPr="00200ED6">
        <w:t xml:space="preserve"> </w:t>
      </w:r>
    </w:p>
    <w:p w14:paraId="0A7CAF5A" w14:textId="4B534403" w:rsidR="00200ED6" w:rsidRPr="00200ED6" w:rsidRDefault="00200ED6" w:rsidP="00B15577">
      <w:pPr>
        <w:pStyle w:val="Bullet"/>
      </w:pPr>
      <w:r>
        <w:t xml:space="preserve">Where required, referrals will be guided by this document to ensure </w:t>
      </w:r>
      <w:r w:rsidRPr="00200ED6">
        <w:t xml:space="preserve">appropriate, </w:t>
      </w:r>
      <w:r>
        <w:t xml:space="preserve">individualised and </w:t>
      </w:r>
      <w:r w:rsidRPr="00200ED6">
        <w:t xml:space="preserve">safe care, aligned with available services and </w:t>
      </w:r>
      <w:r>
        <w:t>the pregnant person</w:t>
      </w:r>
      <w:r w:rsidR="00B15577">
        <w:t>’</w:t>
      </w:r>
      <w:r>
        <w:t xml:space="preserve">s </w:t>
      </w:r>
      <w:r w:rsidRPr="00200ED6">
        <w:t>care needs.</w:t>
      </w:r>
    </w:p>
    <w:p w14:paraId="64B6DA99" w14:textId="77777777" w:rsidR="00200ED6" w:rsidRDefault="00200ED6" w:rsidP="00200ED6">
      <w:pPr>
        <w:pStyle w:val="Heading5"/>
      </w:pPr>
      <w:r w:rsidRPr="00200ED6">
        <w:t>Measures</w:t>
      </w:r>
    </w:p>
    <w:p w14:paraId="31A4FA45" w14:textId="77777777" w:rsidR="00FE2561" w:rsidRDefault="00200ED6" w:rsidP="00B15577">
      <w:pPr>
        <w:pStyle w:val="Bullet"/>
      </w:pPr>
      <w:r>
        <w:t xml:space="preserve">Pregnant persons </w:t>
      </w:r>
      <w:r w:rsidRPr="00200ED6">
        <w:t xml:space="preserve">who experience pregnancy complications related to </w:t>
      </w:r>
      <w:r>
        <w:t xml:space="preserve">obesity </w:t>
      </w:r>
      <w:r w:rsidRPr="00200ED6">
        <w:t xml:space="preserve">in pregnancy (as identified in the clinical incident reporting system) will have their case reviewed at weekly maternity Mortality &amp; Morbidity committee meetings to ensure correct procedures have been </w:t>
      </w:r>
      <w:r w:rsidR="00FE2561" w:rsidRPr="00200ED6">
        <w:t xml:space="preserve">followed. </w:t>
      </w:r>
    </w:p>
    <w:p w14:paraId="319F32CC" w14:textId="45C50030" w:rsidR="00200ED6" w:rsidRPr="00200ED6" w:rsidRDefault="00200ED6" w:rsidP="00B15577">
      <w:pPr>
        <w:pStyle w:val="Bullet"/>
      </w:pPr>
      <w:r w:rsidRPr="00200ED6">
        <w:t>Clinical and quality outcomes are evaluated through patient experience questionnaires and consumer feedback data.</w:t>
      </w:r>
    </w:p>
    <w:p w14:paraId="6D2919E2" w14:textId="5535644F" w:rsidR="00FE2561" w:rsidRDefault="00200ED6" w:rsidP="00B15577">
      <w:pPr>
        <w:pStyle w:val="Bullet"/>
      </w:pPr>
      <w:r w:rsidRPr="00200ED6">
        <w:t xml:space="preserve">Clinical and quality outcomes are evaluated by clinician feedback data. </w:t>
      </w:r>
    </w:p>
    <w:p w14:paraId="28A8C2F2" w14:textId="77777777" w:rsidR="00FE2561" w:rsidRDefault="00FE2561" w:rsidP="00FE2561">
      <w:pPr>
        <w:pStyle w:val="BodyCopy"/>
        <w:spacing w:after="120"/>
        <w:jc w:val="both"/>
      </w:pPr>
      <w:hyperlink w:anchor="_top">
        <w:r w:rsidRPr="143A4CE6">
          <w:rPr>
            <w:rStyle w:val="Hyperlink"/>
          </w:rPr>
          <w:t>Back to Contents</w:t>
        </w:r>
      </w:hyperlink>
    </w:p>
    <w:p w14:paraId="21AE1375" w14:textId="77777777" w:rsidR="00A6051F" w:rsidRDefault="00A6051F" w:rsidP="00A6051F">
      <w:pPr>
        <w:pStyle w:val="Heading4"/>
      </w:pPr>
      <w:bookmarkStart w:id="18" w:name="_Toc217400058"/>
      <w:r>
        <w:lastRenderedPageBreak/>
        <w:t>Related policies, procedures, guidelines and legislation</w:t>
      </w:r>
      <w:bookmarkEnd w:id="18"/>
    </w:p>
    <w:p w14:paraId="181EE0C4" w14:textId="77777777" w:rsidR="00481A6C" w:rsidRPr="00A66966" w:rsidRDefault="00481A6C" w:rsidP="00A6051F">
      <w:pPr>
        <w:pStyle w:val="Heading5"/>
      </w:pPr>
      <w:r w:rsidRPr="00A66966">
        <w:t>Policies</w:t>
      </w:r>
    </w:p>
    <w:p w14:paraId="73A18D0D" w14:textId="77777777" w:rsidR="00997834" w:rsidRDefault="487E7D57" w:rsidP="00997834">
      <w:pPr>
        <w:pStyle w:val="Bullet"/>
      </w:pPr>
      <w:r>
        <w:t>Nursing and Midwifery Board of Australia (NMBA) Requirements for Practice</w:t>
      </w:r>
    </w:p>
    <w:p w14:paraId="22AA23CF" w14:textId="0E8AD6DA" w:rsidR="6DF0022C" w:rsidRDefault="6DF0022C" w:rsidP="143A4CE6">
      <w:pPr>
        <w:pStyle w:val="Bullet"/>
        <w:spacing w:before="0" w:after="0" w:line="276" w:lineRule="auto"/>
        <w:rPr>
          <w:rFonts w:eastAsia="Arial"/>
        </w:rPr>
      </w:pPr>
      <w:r w:rsidRPr="143A4CE6">
        <w:rPr>
          <w:rFonts w:eastAsia="Arial"/>
        </w:rPr>
        <w:t>Preventing and Controlling Infections</w:t>
      </w:r>
    </w:p>
    <w:p w14:paraId="2CD1C0BB" w14:textId="0A017E5A" w:rsidR="005D3451" w:rsidRDefault="005D3451" w:rsidP="143A4CE6">
      <w:pPr>
        <w:pStyle w:val="Bullet"/>
        <w:spacing w:before="0" w:after="0" w:line="276" w:lineRule="auto"/>
        <w:rPr>
          <w:rFonts w:eastAsia="Arial"/>
        </w:rPr>
      </w:pPr>
      <w:r w:rsidRPr="005D3451">
        <w:rPr>
          <w:rFonts w:eastAsia="Arial"/>
        </w:rPr>
        <w:t>Work Health Safety Management System (WHSMS)</w:t>
      </w:r>
    </w:p>
    <w:p w14:paraId="17AD215D" w14:textId="77777777" w:rsidR="00481A6C" w:rsidRDefault="00481A6C" w:rsidP="00A6051F">
      <w:pPr>
        <w:pStyle w:val="Heading5"/>
      </w:pPr>
      <w:r>
        <w:t>Procedures</w:t>
      </w:r>
    </w:p>
    <w:p w14:paraId="3B8DF19D" w14:textId="4056ADB8" w:rsidR="00F72103" w:rsidRDefault="00F72103" w:rsidP="000E7683">
      <w:pPr>
        <w:pStyle w:val="Bullet"/>
      </w:pPr>
      <w:r w:rsidRPr="00F72103">
        <w:t>Diagnosis and Management of Diabetes in Pregnancy</w:t>
      </w:r>
      <w:r>
        <w:t xml:space="preserve"> – North Canberra Hospital (NCH)</w:t>
      </w:r>
      <w:r w:rsidRPr="00F72103">
        <w:t xml:space="preserve"> </w:t>
      </w:r>
    </w:p>
    <w:p w14:paraId="67E5A727" w14:textId="1D14A1C0" w:rsidR="00481A6C" w:rsidRPr="000E7683" w:rsidRDefault="00635114" w:rsidP="000E7683">
      <w:pPr>
        <w:pStyle w:val="Bullet"/>
      </w:pPr>
      <w:r>
        <w:t>Infection Prevention and Control</w:t>
      </w:r>
    </w:p>
    <w:p w14:paraId="704A701C" w14:textId="3AEAB781" w:rsidR="00481A6C" w:rsidRPr="000E7683" w:rsidRDefault="2572B1CF" w:rsidP="000E7683">
      <w:pPr>
        <w:pStyle w:val="Bullet"/>
      </w:pPr>
      <w:r>
        <w:t xml:space="preserve">Patient Identification and </w:t>
      </w:r>
      <w:r w:rsidR="00445DA4">
        <w:t xml:space="preserve">Health Care Activity </w:t>
      </w:r>
      <w:r>
        <w:t xml:space="preserve">Matching </w:t>
      </w:r>
    </w:p>
    <w:p w14:paraId="4F53F927" w14:textId="24018BCE" w:rsidR="0A253BF8" w:rsidRDefault="00445DA4" w:rsidP="143A4CE6">
      <w:pPr>
        <w:pStyle w:val="Bullet"/>
        <w:rPr>
          <w:rFonts w:eastAsia="Arial"/>
        </w:rPr>
      </w:pPr>
      <w:r>
        <w:rPr>
          <w:rFonts w:eastAsia="Arial"/>
        </w:rPr>
        <w:t>Organisational</w:t>
      </w:r>
      <w:r w:rsidRPr="143A4CE6">
        <w:rPr>
          <w:rFonts w:eastAsia="Arial"/>
        </w:rPr>
        <w:t xml:space="preserve"> </w:t>
      </w:r>
      <w:r w:rsidR="0A253BF8" w:rsidRPr="143A4CE6">
        <w:rPr>
          <w:rFonts w:eastAsia="Arial"/>
        </w:rPr>
        <w:t xml:space="preserve">Management </w:t>
      </w:r>
      <w:r w:rsidR="003B67C9" w:rsidRPr="143A4CE6">
        <w:rPr>
          <w:rFonts w:eastAsia="Arial"/>
        </w:rPr>
        <w:t>of Bariatric</w:t>
      </w:r>
      <w:r w:rsidR="0A253BF8" w:rsidRPr="143A4CE6">
        <w:rPr>
          <w:rFonts w:eastAsia="Arial"/>
        </w:rPr>
        <w:t xml:space="preserve"> Patients</w:t>
      </w:r>
      <w:r>
        <w:rPr>
          <w:rFonts w:eastAsia="Arial"/>
        </w:rPr>
        <w:t xml:space="preserve"> – North Canberra Hospital (NCH)</w:t>
      </w:r>
    </w:p>
    <w:p w14:paraId="6B979BFB" w14:textId="39DFDF7C" w:rsidR="0A253BF8" w:rsidRDefault="0A253BF8" w:rsidP="143A4CE6">
      <w:pPr>
        <w:pStyle w:val="Bullet"/>
        <w:spacing w:before="0" w:after="0" w:line="276" w:lineRule="auto"/>
        <w:rPr>
          <w:rFonts w:eastAsia="Arial"/>
        </w:rPr>
      </w:pPr>
      <w:r w:rsidRPr="143A4CE6">
        <w:rPr>
          <w:rFonts w:eastAsia="Arial"/>
        </w:rPr>
        <w:t>Pressure Injury Prevention and Management</w:t>
      </w:r>
      <w:r w:rsidR="00445DA4">
        <w:rPr>
          <w:rFonts w:eastAsia="Arial"/>
        </w:rPr>
        <w:t xml:space="preserve"> - Adults, Children and Neonates</w:t>
      </w:r>
    </w:p>
    <w:p w14:paraId="6F76D81E" w14:textId="18972339" w:rsidR="00CA3BBD" w:rsidRDefault="00CA3BBD" w:rsidP="143A4CE6">
      <w:pPr>
        <w:pStyle w:val="Bullet"/>
        <w:spacing w:before="0" w:after="0" w:line="276" w:lineRule="auto"/>
        <w:rPr>
          <w:rFonts w:eastAsia="Arial"/>
        </w:rPr>
      </w:pPr>
      <w:r w:rsidRPr="00CA3BBD">
        <w:rPr>
          <w:rFonts w:eastAsia="Arial"/>
        </w:rPr>
        <w:t xml:space="preserve">Language Services – Interpreters and Translated Materials for Adults and </w:t>
      </w:r>
      <w:r w:rsidR="00F72103">
        <w:rPr>
          <w:rFonts w:eastAsia="Arial"/>
        </w:rPr>
        <w:t>C</w:t>
      </w:r>
      <w:r w:rsidRPr="00CA3BBD">
        <w:rPr>
          <w:rFonts w:eastAsia="Arial"/>
        </w:rPr>
        <w:t>hildren</w:t>
      </w:r>
    </w:p>
    <w:p w14:paraId="64D88949" w14:textId="215797CD" w:rsidR="0A253BF8" w:rsidRDefault="0A253BF8" w:rsidP="143A4CE6">
      <w:pPr>
        <w:pStyle w:val="Bullet"/>
        <w:spacing w:before="0" w:after="0" w:line="276" w:lineRule="auto"/>
        <w:rPr>
          <w:rFonts w:eastAsia="Arial"/>
        </w:rPr>
      </w:pPr>
      <w:r w:rsidRPr="143A4CE6">
        <w:rPr>
          <w:rFonts w:eastAsia="Arial"/>
        </w:rPr>
        <w:t>Venous Thromboembolism (VTE) Prevention</w:t>
      </w:r>
      <w:r w:rsidR="00F72103">
        <w:rPr>
          <w:rFonts w:eastAsia="Arial"/>
        </w:rPr>
        <w:t xml:space="preserve"> - Adults and Children</w:t>
      </w:r>
    </w:p>
    <w:p w14:paraId="2AB954DD" w14:textId="0C4A149B" w:rsidR="0A253BF8" w:rsidRDefault="0A253BF8" w:rsidP="143A4CE6">
      <w:pPr>
        <w:pStyle w:val="Bullet"/>
        <w:spacing w:before="0" w:after="0" w:line="276" w:lineRule="auto"/>
        <w:rPr>
          <w:rFonts w:eastAsia="Arial"/>
        </w:rPr>
      </w:pPr>
      <w:r w:rsidRPr="143A4CE6">
        <w:rPr>
          <w:rFonts w:eastAsia="Arial"/>
        </w:rPr>
        <w:t>Vital Signs &amp; Early Warning Scores</w:t>
      </w:r>
      <w:r w:rsidR="00F72103">
        <w:rPr>
          <w:rFonts w:eastAsia="Arial"/>
        </w:rPr>
        <w:t xml:space="preserve"> – The Canberra Hospital Inpatients</w:t>
      </w:r>
    </w:p>
    <w:p w14:paraId="35A6DF62" w14:textId="2B7FE14C" w:rsidR="00F72103" w:rsidRPr="00E2328B" w:rsidRDefault="00F72103" w:rsidP="005A21F7">
      <w:pPr>
        <w:pStyle w:val="Bullet"/>
        <w:rPr>
          <w:szCs w:val="36"/>
        </w:rPr>
      </w:pPr>
      <w:r w:rsidRPr="143A4CE6">
        <w:rPr>
          <w:rFonts w:eastAsia="Arial"/>
        </w:rPr>
        <w:t>Vital Signs &amp; Early Warning Scores</w:t>
      </w:r>
      <w:r>
        <w:rPr>
          <w:rFonts w:eastAsia="Arial"/>
        </w:rPr>
        <w:t xml:space="preserve"> – North Canberra Hospital (NCH)</w:t>
      </w:r>
    </w:p>
    <w:p w14:paraId="52E599A1" w14:textId="32530300" w:rsidR="005A21F7" w:rsidRDefault="005A21F7" w:rsidP="005A21F7">
      <w:pPr>
        <w:pStyle w:val="Bullet"/>
        <w:rPr>
          <w:szCs w:val="36"/>
        </w:rPr>
      </w:pPr>
      <w:r>
        <w:t>Water immersion in Labour &amp; Birth</w:t>
      </w:r>
      <w:r w:rsidRPr="00931B93">
        <w:rPr>
          <w:szCs w:val="36"/>
        </w:rPr>
        <w:t xml:space="preserve"> </w:t>
      </w:r>
    </w:p>
    <w:p w14:paraId="109573FD" w14:textId="3B70AC93" w:rsidR="00F72103" w:rsidRPr="00F72103" w:rsidRDefault="00F72103" w:rsidP="00F72103">
      <w:pPr>
        <w:pStyle w:val="Bullet"/>
        <w:rPr>
          <w:szCs w:val="36"/>
        </w:rPr>
      </w:pPr>
      <w:r w:rsidRPr="00610714">
        <w:t>Wound Assessment, Prevention and Treatment</w:t>
      </w:r>
    </w:p>
    <w:p w14:paraId="72BBE66B" w14:textId="77777777" w:rsidR="00481A6C" w:rsidRDefault="00481A6C" w:rsidP="00A6051F">
      <w:pPr>
        <w:pStyle w:val="Heading5"/>
      </w:pPr>
      <w:r>
        <w:t xml:space="preserve">Guidelines </w:t>
      </w:r>
    </w:p>
    <w:p w14:paraId="7AEF2C87" w14:textId="77777777" w:rsidR="00CB1EE4" w:rsidRDefault="00CB1EE4" w:rsidP="00CB1EE4">
      <w:pPr>
        <w:pStyle w:val="Bullet"/>
      </w:pPr>
      <w:r w:rsidRPr="00CB1EE4">
        <w:t xml:space="preserve">Birth requiring presence of a Neonatal Team Member </w:t>
      </w:r>
    </w:p>
    <w:p w14:paraId="3237ABEA" w14:textId="77777777" w:rsidR="00CB1EE4" w:rsidRDefault="00CB1EE4" w:rsidP="00CB1EE4">
      <w:pPr>
        <w:pStyle w:val="Bullet"/>
        <w:spacing w:before="0" w:after="0" w:line="276" w:lineRule="auto"/>
        <w:rPr>
          <w:rFonts w:eastAsia="Arial"/>
        </w:rPr>
      </w:pPr>
      <w:r w:rsidRPr="143A4CE6">
        <w:rPr>
          <w:rFonts w:eastAsia="Arial"/>
        </w:rPr>
        <w:t>Breastfeeding</w:t>
      </w:r>
    </w:p>
    <w:p w14:paraId="2D8387A4" w14:textId="77777777" w:rsidR="009746B1" w:rsidRDefault="75A96317" w:rsidP="009746B1">
      <w:pPr>
        <w:pStyle w:val="Bullet"/>
      </w:pPr>
      <w:r>
        <w:t>Consent for Healthcare Treatment</w:t>
      </w:r>
    </w:p>
    <w:p w14:paraId="07BAA0BE" w14:textId="67066276" w:rsidR="00CB1EE4" w:rsidRPr="00CB1EE4" w:rsidRDefault="00CB1EE4" w:rsidP="009746B1">
      <w:pPr>
        <w:pStyle w:val="Bullet"/>
      </w:pPr>
      <w:r w:rsidRPr="00CB1EE4">
        <w:rPr>
          <w:color w:val="000000"/>
        </w:rPr>
        <w:t>Diabetes in pregnancy - includes pre-existing and gestational diabetes</w:t>
      </w:r>
    </w:p>
    <w:p w14:paraId="248C9585" w14:textId="398705CD" w:rsidR="0C4F4EC7" w:rsidRDefault="0C4F4EC7" w:rsidP="143A4CE6">
      <w:pPr>
        <w:pStyle w:val="Bullet"/>
        <w:spacing w:before="0" w:after="0" w:line="276" w:lineRule="auto"/>
        <w:rPr>
          <w:rFonts w:eastAsia="Arial"/>
        </w:rPr>
      </w:pPr>
      <w:r w:rsidRPr="143A4CE6">
        <w:rPr>
          <w:rFonts w:eastAsia="Arial"/>
        </w:rPr>
        <w:t>Fasting Guidelines for Patients Requiring Sedation or Anaesthesia</w:t>
      </w:r>
    </w:p>
    <w:p w14:paraId="7DEC8543" w14:textId="4566C455" w:rsidR="0C4F4EC7" w:rsidRDefault="0C4F4EC7" w:rsidP="143A4CE6">
      <w:pPr>
        <w:pStyle w:val="Bullet"/>
        <w:spacing w:before="0" w:after="0" w:line="276" w:lineRule="auto"/>
        <w:rPr>
          <w:rFonts w:eastAsia="Arial"/>
        </w:rPr>
      </w:pPr>
      <w:r w:rsidRPr="143A4CE6">
        <w:rPr>
          <w:rFonts w:eastAsia="Arial"/>
        </w:rPr>
        <w:t>Fetal Surveillance</w:t>
      </w:r>
    </w:p>
    <w:p w14:paraId="69D6E278" w14:textId="5A726C58" w:rsidR="0C4F4EC7" w:rsidRDefault="0C4F4EC7" w:rsidP="143A4CE6">
      <w:pPr>
        <w:pStyle w:val="Bullet"/>
        <w:spacing w:before="0" w:after="0" w:line="276" w:lineRule="auto"/>
        <w:rPr>
          <w:rFonts w:eastAsia="Arial"/>
        </w:rPr>
      </w:pPr>
      <w:r w:rsidRPr="143A4CE6">
        <w:rPr>
          <w:rFonts w:eastAsia="Arial"/>
        </w:rPr>
        <w:t>Labour and Birth: Care during First, Second, Third and Fourth Stage</w:t>
      </w:r>
    </w:p>
    <w:p w14:paraId="79ED48BA" w14:textId="77777777" w:rsidR="00CB1EE4" w:rsidRPr="00CB1EE4" w:rsidRDefault="00CB1EE4" w:rsidP="00CB1EE4">
      <w:pPr>
        <w:pStyle w:val="Bullet"/>
        <w:rPr>
          <w:rFonts w:eastAsia="Arial"/>
        </w:rPr>
      </w:pPr>
      <w:r w:rsidRPr="00CB1EE4">
        <w:rPr>
          <w:rFonts w:eastAsia="Arial"/>
        </w:rPr>
        <w:t>Neonatal Hypoglycaemia</w:t>
      </w:r>
    </w:p>
    <w:p w14:paraId="7C35C493" w14:textId="7252E551" w:rsidR="0C4F4EC7" w:rsidRDefault="00405895" w:rsidP="143A4CE6">
      <w:pPr>
        <w:pStyle w:val="Bullet"/>
        <w:spacing w:before="0" w:after="0" w:line="276" w:lineRule="auto"/>
        <w:rPr>
          <w:rFonts w:eastAsia="Arial"/>
        </w:rPr>
      </w:pPr>
      <w:r w:rsidRPr="00405895">
        <w:rPr>
          <w:rFonts w:eastAsia="Arial"/>
        </w:rPr>
        <w:t xml:space="preserve">Perinatal and Infant Mental Health Wellbeing </w:t>
      </w:r>
    </w:p>
    <w:p w14:paraId="3002C3FD" w14:textId="7B61033D" w:rsidR="0C4F4EC7" w:rsidRDefault="0C4F4EC7" w:rsidP="143A4CE6">
      <w:pPr>
        <w:pStyle w:val="Bullet"/>
        <w:spacing w:before="0" w:after="0" w:line="276" w:lineRule="auto"/>
        <w:rPr>
          <w:rFonts w:eastAsia="Arial"/>
        </w:rPr>
      </w:pPr>
      <w:r w:rsidRPr="143A4CE6">
        <w:rPr>
          <w:rFonts w:eastAsia="Arial"/>
        </w:rPr>
        <w:t xml:space="preserve">Pregnancy Care </w:t>
      </w:r>
    </w:p>
    <w:p w14:paraId="29F7604B" w14:textId="77777777" w:rsidR="00481A6C" w:rsidRDefault="00481A6C" w:rsidP="00A6051F">
      <w:pPr>
        <w:pStyle w:val="Heading5"/>
      </w:pPr>
      <w:r>
        <w:t>Legislation</w:t>
      </w:r>
    </w:p>
    <w:p w14:paraId="1235DC30" w14:textId="77777777" w:rsidR="00481A6C" w:rsidRPr="000E7683" w:rsidRDefault="00481A6C" w:rsidP="000E7683">
      <w:pPr>
        <w:pStyle w:val="Bullet"/>
      </w:pPr>
      <w:r w:rsidRPr="00FE46F1">
        <w:rPr>
          <w:i/>
          <w:iCs/>
        </w:rPr>
        <w:t>Health Records (Privacy and Access) Act</w:t>
      </w:r>
      <w:r w:rsidRPr="000E7683">
        <w:t xml:space="preserve"> 1997</w:t>
      </w:r>
    </w:p>
    <w:p w14:paraId="374CE718" w14:textId="77777777" w:rsidR="00481A6C" w:rsidRPr="000E7683" w:rsidRDefault="00481A6C" w:rsidP="000E7683">
      <w:pPr>
        <w:pStyle w:val="Bullet"/>
      </w:pPr>
      <w:r w:rsidRPr="00FE46F1">
        <w:rPr>
          <w:i/>
          <w:iCs/>
        </w:rPr>
        <w:t>Human Rights Act</w:t>
      </w:r>
      <w:r w:rsidRPr="000E7683">
        <w:t xml:space="preserve"> 2004</w:t>
      </w:r>
    </w:p>
    <w:p w14:paraId="1C4A4C67" w14:textId="77777777" w:rsidR="00481A6C" w:rsidRPr="000E7683" w:rsidRDefault="00481A6C" w:rsidP="000E7683">
      <w:pPr>
        <w:pStyle w:val="Bullet"/>
      </w:pPr>
      <w:r w:rsidRPr="00FE46F1">
        <w:rPr>
          <w:i/>
          <w:iCs/>
        </w:rPr>
        <w:t>Work Health and Safety Act</w:t>
      </w:r>
      <w:r w:rsidRPr="000E7683">
        <w:t xml:space="preserve"> 2011</w:t>
      </w:r>
    </w:p>
    <w:p w14:paraId="1D03FF29" w14:textId="32A05A0E" w:rsidR="2572B1CF" w:rsidRDefault="2572B1CF" w:rsidP="143A4CE6">
      <w:pPr>
        <w:pStyle w:val="Bullet"/>
      </w:pPr>
      <w:r w:rsidRPr="143A4CE6">
        <w:rPr>
          <w:i/>
          <w:iCs/>
        </w:rPr>
        <w:t>Carers Recognition Act</w:t>
      </w:r>
      <w:r>
        <w:t xml:space="preserve"> 2021</w:t>
      </w:r>
    </w:p>
    <w:p w14:paraId="66FEDC30" w14:textId="77777777" w:rsidR="00481A6C" w:rsidRDefault="00481A6C" w:rsidP="00A6051F">
      <w:pPr>
        <w:pStyle w:val="Heading5"/>
      </w:pPr>
      <w:r>
        <w:t>Other</w:t>
      </w:r>
    </w:p>
    <w:p w14:paraId="4F5EA52A" w14:textId="3F3429DC" w:rsidR="2572B1CF" w:rsidRDefault="2572B1CF" w:rsidP="143A4CE6">
      <w:pPr>
        <w:pStyle w:val="Bullet"/>
      </w:pPr>
      <w:r>
        <w:t>Australian Charter of Healthcare Right</w:t>
      </w:r>
      <w:r w:rsidR="39C78087">
        <w:t>s</w:t>
      </w:r>
    </w:p>
    <w:p w14:paraId="182E91F2" w14:textId="77777777" w:rsidR="000E7683" w:rsidRPr="000E7683" w:rsidRDefault="396AAEB2" w:rsidP="002D7682">
      <w:pPr>
        <w:pStyle w:val="BodyCopy"/>
      </w:pPr>
      <w:hyperlink w:anchor="_top">
        <w:r w:rsidRPr="143A4CE6">
          <w:rPr>
            <w:rStyle w:val="Hyperlink"/>
          </w:rPr>
          <w:t>Back to Contents</w:t>
        </w:r>
      </w:hyperlink>
    </w:p>
    <w:p w14:paraId="1C1FC720" w14:textId="6E5E696D" w:rsidR="00683126" w:rsidRDefault="0078367D" w:rsidP="00683126">
      <w:pPr>
        <w:pStyle w:val="Heading4"/>
      </w:pPr>
      <w:bookmarkStart w:id="19" w:name="_Toc217400059"/>
      <w:r w:rsidRPr="0078367D">
        <w:t>References</w:t>
      </w:r>
      <w:bookmarkEnd w:id="19"/>
    </w:p>
    <w:p w14:paraId="7B87DD79" w14:textId="77777777" w:rsidR="00683126" w:rsidRPr="00683126" w:rsidRDefault="00683126" w:rsidP="00FE2561">
      <w:pPr>
        <w:pStyle w:val="ListParagraph"/>
        <w:numPr>
          <w:ilvl w:val="0"/>
          <w:numId w:val="16"/>
        </w:numPr>
        <w:spacing w:before="240"/>
        <w:ind w:left="426" w:hanging="426"/>
        <w:rPr>
          <w:rFonts w:asciiTheme="majorHAnsi" w:hAnsiTheme="majorHAnsi" w:cstheme="majorHAnsi"/>
          <w:sz w:val="24"/>
          <w:szCs w:val="24"/>
          <w:u w:val="single"/>
        </w:rPr>
      </w:pPr>
      <w:bookmarkStart w:id="20" w:name="_Hlk213164434"/>
      <w:r w:rsidRPr="00683126">
        <w:rPr>
          <w:rStyle w:val="normaltextrun"/>
          <w:rFonts w:asciiTheme="majorHAnsi" w:hAnsiTheme="majorHAnsi" w:cstheme="majorHAnsi"/>
          <w:color w:val="000000"/>
          <w:sz w:val="24"/>
          <w:szCs w:val="24"/>
          <w:shd w:val="clear" w:color="auto" w:fill="FFFFFF"/>
        </w:rPr>
        <w:t xml:space="preserve">Royal Australia </w:t>
      </w:r>
      <w:r w:rsidRPr="00683126">
        <w:rPr>
          <w:rStyle w:val="normaltextrun"/>
          <w:rFonts w:cstheme="minorHAnsi"/>
          <w:color w:val="000000"/>
          <w:sz w:val="24"/>
          <w:szCs w:val="24"/>
          <w:shd w:val="clear" w:color="auto" w:fill="FFFFFF"/>
        </w:rPr>
        <w:t>and</w:t>
      </w:r>
      <w:r w:rsidRPr="00683126">
        <w:rPr>
          <w:rStyle w:val="normaltextrun"/>
          <w:rFonts w:asciiTheme="majorHAnsi" w:hAnsiTheme="majorHAnsi" w:cstheme="majorHAnsi"/>
          <w:color w:val="000000"/>
          <w:sz w:val="24"/>
          <w:szCs w:val="24"/>
          <w:shd w:val="clear" w:color="auto" w:fill="FFFFFF"/>
        </w:rPr>
        <w:t xml:space="preserve"> New Zealand College of Obstetricians and Gynaecologists. (2022). </w:t>
      </w:r>
      <w:r w:rsidRPr="00683126">
        <w:rPr>
          <w:rStyle w:val="normaltextrun"/>
          <w:rFonts w:asciiTheme="majorHAnsi" w:hAnsiTheme="majorHAnsi" w:cstheme="majorHAnsi"/>
          <w:i/>
          <w:iCs/>
          <w:color w:val="000000"/>
          <w:sz w:val="24"/>
          <w:szCs w:val="24"/>
          <w:shd w:val="clear" w:color="auto" w:fill="FFFFFF"/>
        </w:rPr>
        <w:t xml:space="preserve">Management of Obesity in Pregnancy. </w:t>
      </w:r>
      <w:r w:rsidRPr="00683126">
        <w:rPr>
          <w:rStyle w:val="normaltextrun"/>
          <w:rFonts w:asciiTheme="majorHAnsi" w:hAnsiTheme="majorHAnsi" w:cstheme="majorHAnsi"/>
          <w:color w:val="000000"/>
          <w:sz w:val="24"/>
          <w:szCs w:val="24"/>
          <w:shd w:val="clear" w:color="auto" w:fill="FFFFFF"/>
        </w:rPr>
        <w:t>Available</w:t>
      </w:r>
      <w:r w:rsidRPr="00683126">
        <w:rPr>
          <w:rStyle w:val="normaltextrun"/>
          <w:rFonts w:asciiTheme="majorHAnsi" w:hAnsiTheme="majorHAnsi" w:cstheme="majorHAnsi"/>
          <w:i/>
          <w:iCs/>
          <w:color w:val="000000"/>
          <w:sz w:val="24"/>
          <w:szCs w:val="24"/>
          <w:shd w:val="clear" w:color="auto" w:fill="FFFFFF"/>
        </w:rPr>
        <w:t xml:space="preserve"> from</w:t>
      </w:r>
      <w:bookmarkEnd w:id="20"/>
      <w:r w:rsidRPr="00683126">
        <w:rPr>
          <w:rStyle w:val="normaltextrun"/>
          <w:rFonts w:asciiTheme="majorHAnsi" w:hAnsiTheme="majorHAnsi" w:cstheme="majorHAnsi"/>
          <w:i/>
          <w:iCs/>
          <w:color w:val="000000"/>
          <w:sz w:val="24"/>
          <w:szCs w:val="24"/>
          <w:shd w:val="clear" w:color="auto" w:fill="FFFFFF"/>
        </w:rPr>
        <w:t xml:space="preserve">: </w:t>
      </w:r>
      <w:hyperlink r:id="rId16" w:history="1">
        <w:r w:rsidRPr="00683126">
          <w:rPr>
            <w:rStyle w:val="Hyperlink"/>
            <w:rFonts w:asciiTheme="majorHAnsi" w:hAnsiTheme="majorHAnsi" w:cstheme="majorHAnsi"/>
            <w:sz w:val="24"/>
            <w:szCs w:val="24"/>
            <w:shd w:val="clear" w:color="auto" w:fill="FFFFFF"/>
          </w:rPr>
          <w:t>Management of Obesity in Pregnancy</w:t>
        </w:r>
      </w:hyperlink>
    </w:p>
    <w:p w14:paraId="26487303"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u w:val="single"/>
        </w:rPr>
      </w:pPr>
      <w:r w:rsidRPr="00683126">
        <w:rPr>
          <w:rFonts w:asciiTheme="majorHAnsi" w:hAnsiTheme="majorHAnsi" w:cstheme="majorHAnsi"/>
          <w:sz w:val="24"/>
          <w:szCs w:val="24"/>
        </w:rPr>
        <w:t xml:space="preserve">Australian Living Evidence Collaboration (LEAPP). (2023). Australian Pregnancy Care Guidelines. Available from: </w:t>
      </w:r>
      <w:r w:rsidRPr="00683126">
        <w:rPr>
          <w:rFonts w:asciiTheme="majorHAnsi" w:hAnsiTheme="majorHAnsi" w:cstheme="majorHAnsi"/>
          <w:sz w:val="24"/>
          <w:szCs w:val="24"/>
          <w:u w:val="single"/>
        </w:rPr>
        <w:t xml:space="preserve"> </w:t>
      </w:r>
      <w:hyperlink r:id="rId17" w:anchor="/guideline/jm83RE" w:history="1">
        <w:r w:rsidRPr="00683126">
          <w:rPr>
            <w:rStyle w:val="Hyperlink"/>
            <w:rFonts w:asciiTheme="majorHAnsi" w:hAnsiTheme="majorHAnsi" w:cstheme="majorHAnsi"/>
            <w:sz w:val="24"/>
            <w:szCs w:val="24"/>
          </w:rPr>
          <w:t>Australian Pregnancy Care Guidelines</w:t>
        </w:r>
      </w:hyperlink>
    </w:p>
    <w:p w14:paraId="4470F01D"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u w:val="single"/>
        </w:rPr>
      </w:pPr>
      <w:r w:rsidRPr="00683126">
        <w:rPr>
          <w:rFonts w:asciiTheme="majorHAnsi" w:hAnsiTheme="majorHAnsi" w:cstheme="majorHAnsi"/>
          <w:sz w:val="24"/>
          <w:szCs w:val="24"/>
        </w:rPr>
        <w:t xml:space="preserve">Australian College of Midwives Inc. 4th Edition. 2021. National Midwifery Guidelines for Consultation and Referral. Avail at </w:t>
      </w:r>
      <w:hyperlink r:id="rId18" w:history="1">
        <w:r w:rsidRPr="00683126">
          <w:rPr>
            <w:rStyle w:val="Hyperlink"/>
            <w:rFonts w:asciiTheme="majorHAnsi" w:hAnsiTheme="majorHAnsi" w:cstheme="majorHAnsi"/>
            <w:sz w:val="24"/>
            <w:szCs w:val="24"/>
          </w:rPr>
          <w:t>National-Midwifery-Guidelines-for-Consultation-and-Referral-4th-Edition-(2021).pdf</w:t>
        </w:r>
      </w:hyperlink>
    </w:p>
    <w:p w14:paraId="3BB860F3" w14:textId="77777777" w:rsidR="00683126" w:rsidRPr="00683126" w:rsidRDefault="00683126" w:rsidP="00FE2561">
      <w:pPr>
        <w:pStyle w:val="ListParagraph"/>
        <w:numPr>
          <w:ilvl w:val="0"/>
          <w:numId w:val="16"/>
        </w:numPr>
        <w:rPr>
          <w:rFonts w:asciiTheme="majorHAnsi" w:hAnsiTheme="majorHAnsi" w:cstheme="majorHAnsi"/>
          <w:sz w:val="24"/>
          <w:szCs w:val="24"/>
        </w:rPr>
      </w:pPr>
      <w:r w:rsidRPr="00683126">
        <w:rPr>
          <w:rFonts w:asciiTheme="majorHAnsi" w:hAnsiTheme="majorHAnsi" w:cstheme="majorHAnsi"/>
          <w:sz w:val="24"/>
          <w:szCs w:val="24"/>
        </w:rPr>
        <w:t xml:space="preserve">Queensland Clinical Guidelines. Obesity and pregnancy (including post bariatric surgery). Guideline No. MN21.14-V6-R26. Queensland Health. 2021. Available from: </w:t>
      </w:r>
      <w:hyperlink r:id="rId19" w:history="1">
        <w:r w:rsidRPr="00683126">
          <w:rPr>
            <w:rStyle w:val="Hyperlink"/>
            <w:rFonts w:asciiTheme="majorHAnsi" w:hAnsiTheme="majorHAnsi" w:cstheme="majorHAnsi"/>
            <w:sz w:val="24"/>
            <w:szCs w:val="24"/>
          </w:rPr>
          <w:t>http://www.health.qld.gov.au/qcg</w:t>
        </w:r>
      </w:hyperlink>
      <w:r w:rsidRPr="00683126">
        <w:rPr>
          <w:rFonts w:asciiTheme="majorHAnsi" w:hAnsiTheme="majorHAnsi" w:cstheme="majorHAnsi"/>
          <w:sz w:val="24"/>
          <w:szCs w:val="24"/>
        </w:rPr>
        <w:t xml:space="preserve"> </w:t>
      </w:r>
    </w:p>
    <w:p w14:paraId="2B6C3101" w14:textId="2E5E2FD9" w:rsidR="00683126" w:rsidRPr="00683126" w:rsidRDefault="00683126" w:rsidP="00FE2561">
      <w:pPr>
        <w:pStyle w:val="ListParagraph"/>
        <w:numPr>
          <w:ilvl w:val="0"/>
          <w:numId w:val="16"/>
        </w:numPr>
        <w:rPr>
          <w:rFonts w:asciiTheme="majorHAnsi" w:hAnsiTheme="majorHAnsi" w:cstheme="majorHAnsi"/>
          <w:sz w:val="24"/>
          <w:szCs w:val="24"/>
        </w:rPr>
      </w:pPr>
      <w:r w:rsidRPr="00683126">
        <w:rPr>
          <w:rFonts w:asciiTheme="majorHAnsi" w:hAnsiTheme="majorHAnsi" w:cstheme="majorHAnsi"/>
          <w:sz w:val="24"/>
          <w:szCs w:val="24"/>
        </w:rPr>
        <w:t xml:space="preserve">Australian Government, Australian Institute of Health and Wellbeing (AIHW) Australia’s </w:t>
      </w:r>
      <w:r>
        <w:rPr>
          <w:rFonts w:asciiTheme="majorHAnsi" w:hAnsiTheme="majorHAnsi" w:cstheme="majorHAnsi"/>
          <w:sz w:val="24"/>
          <w:szCs w:val="24"/>
        </w:rPr>
        <w:t>M</w:t>
      </w:r>
      <w:r w:rsidRPr="00683126">
        <w:rPr>
          <w:rFonts w:asciiTheme="majorHAnsi" w:hAnsiTheme="majorHAnsi" w:cstheme="majorHAnsi"/>
          <w:sz w:val="24"/>
          <w:szCs w:val="24"/>
        </w:rPr>
        <w:t xml:space="preserve">others and </w:t>
      </w:r>
      <w:r>
        <w:rPr>
          <w:rFonts w:asciiTheme="majorHAnsi" w:hAnsiTheme="majorHAnsi" w:cstheme="majorHAnsi"/>
          <w:sz w:val="24"/>
          <w:szCs w:val="24"/>
        </w:rPr>
        <w:t>B</w:t>
      </w:r>
      <w:r w:rsidRPr="00683126">
        <w:rPr>
          <w:rFonts w:asciiTheme="majorHAnsi" w:hAnsiTheme="majorHAnsi" w:cstheme="majorHAnsi"/>
          <w:sz w:val="24"/>
          <w:szCs w:val="24"/>
        </w:rPr>
        <w:t xml:space="preserve">abies summary, 2024. Available from: </w:t>
      </w:r>
      <w:hyperlink r:id="rId20">
        <w:r w:rsidRPr="00683126">
          <w:rPr>
            <w:rStyle w:val="Hyperlink"/>
            <w:rFonts w:asciiTheme="majorHAnsi" w:hAnsiTheme="majorHAnsi" w:cstheme="majorHAnsi"/>
            <w:sz w:val="24"/>
            <w:szCs w:val="24"/>
          </w:rPr>
          <w:t>Australia's mothers and babies, Maternal body mass index - Australian Institute of Health and Welfare</w:t>
        </w:r>
      </w:hyperlink>
      <w:r w:rsidRPr="00683126">
        <w:rPr>
          <w:rFonts w:asciiTheme="majorHAnsi" w:hAnsiTheme="majorHAnsi" w:cstheme="majorHAnsi"/>
          <w:sz w:val="24"/>
          <w:szCs w:val="24"/>
        </w:rPr>
        <w:t xml:space="preserve">   </w:t>
      </w:r>
    </w:p>
    <w:p w14:paraId="6418339F" w14:textId="70D7F0DD"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King Edward Memorial Hospital. Women and Newborn Health Services (2024). Increased Body Mass Index: management of a woman with. Available from:</w:t>
      </w:r>
      <w:r w:rsidR="00130B94" w:rsidRPr="00130B94">
        <w:rPr>
          <w:rFonts w:ascii="Arial" w:eastAsia="Calibri" w:hAnsi="Arial" w:cs="Arial"/>
          <w:color w:val="000000" w:themeColor="text1"/>
          <w:sz w:val="24"/>
          <w:szCs w:val="24"/>
        </w:rPr>
        <w:t xml:space="preserve"> </w:t>
      </w:r>
      <w:hyperlink r:id="rId21" w:history="1">
        <w:r w:rsidR="00130B94" w:rsidRPr="00130B94">
          <w:rPr>
            <w:rStyle w:val="Hyperlink"/>
            <w:rFonts w:asciiTheme="majorHAnsi" w:hAnsiTheme="majorHAnsi" w:cstheme="majorHAnsi"/>
            <w:sz w:val="24"/>
            <w:szCs w:val="24"/>
          </w:rPr>
          <w:t>Increased Body Mass Index : management of a woman with</w:t>
        </w:r>
      </w:hyperlink>
    </w:p>
    <w:p w14:paraId="0F814324"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UpToDate. Obesity in pregnancy: Complications and maternal management (2024).</w:t>
      </w:r>
      <w:r w:rsidRPr="00683126">
        <w:rPr>
          <w:rFonts w:asciiTheme="majorHAnsi" w:eastAsia="Calibri" w:hAnsiTheme="majorHAnsi" w:cstheme="majorHAnsi"/>
          <w:color w:val="000000" w:themeColor="text1"/>
          <w:sz w:val="24"/>
          <w:szCs w:val="24"/>
        </w:rPr>
        <w:t xml:space="preserve"> Available from: </w:t>
      </w:r>
      <w:hyperlink r:id="rId22" w:history="1">
        <w:r w:rsidRPr="00683126">
          <w:rPr>
            <w:rStyle w:val="Hyperlink"/>
            <w:rFonts w:asciiTheme="majorHAnsi" w:hAnsiTheme="majorHAnsi" w:cstheme="majorHAnsi"/>
            <w:sz w:val="24"/>
            <w:szCs w:val="24"/>
          </w:rPr>
          <w:t>Obesity in pregnancy: Complications and maternal management - UpToDate</w:t>
        </w:r>
      </w:hyperlink>
    </w:p>
    <w:p w14:paraId="6CF97087"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 xml:space="preserve">Kalantari, E., </w:t>
      </w:r>
      <w:proofErr w:type="spellStart"/>
      <w:r w:rsidRPr="00683126">
        <w:rPr>
          <w:rFonts w:asciiTheme="majorHAnsi" w:hAnsiTheme="majorHAnsi" w:cstheme="majorHAnsi"/>
          <w:sz w:val="24"/>
          <w:szCs w:val="24"/>
        </w:rPr>
        <w:t>Tajvar</w:t>
      </w:r>
      <w:proofErr w:type="spellEnd"/>
      <w:r w:rsidRPr="00683126">
        <w:rPr>
          <w:rFonts w:asciiTheme="majorHAnsi" w:hAnsiTheme="majorHAnsi" w:cstheme="majorHAnsi"/>
          <w:sz w:val="24"/>
          <w:szCs w:val="24"/>
        </w:rPr>
        <w:t xml:space="preserve">, M., </w:t>
      </w:r>
      <w:proofErr w:type="spellStart"/>
      <w:r w:rsidRPr="00683126">
        <w:rPr>
          <w:rFonts w:asciiTheme="majorHAnsi" w:hAnsiTheme="majorHAnsi" w:cstheme="majorHAnsi"/>
          <w:sz w:val="24"/>
          <w:szCs w:val="24"/>
        </w:rPr>
        <w:t>Naderimagham</w:t>
      </w:r>
      <w:proofErr w:type="spellEnd"/>
      <w:r w:rsidRPr="00683126">
        <w:rPr>
          <w:rFonts w:asciiTheme="majorHAnsi" w:hAnsiTheme="majorHAnsi" w:cstheme="majorHAnsi"/>
          <w:sz w:val="24"/>
          <w:szCs w:val="24"/>
        </w:rPr>
        <w:t>, S</w:t>
      </w:r>
      <w:r w:rsidRPr="00683126">
        <w:rPr>
          <w:rFonts w:asciiTheme="majorHAnsi" w:hAnsiTheme="majorHAnsi" w:cstheme="majorHAnsi"/>
          <w:i/>
          <w:iCs/>
          <w:sz w:val="24"/>
          <w:szCs w:val="24"/>
        </w:rPr>
        <w:t>.</w:t>
      </w:r>
      <w:r w:rsidRPr="00683126">
        <w:rPr>
          <w:rFonts w:asciiTheme="majorHAnsi" w:hAnsiTheme="majorHAnsi" w:cstheme="majorHAnsi"/>
          <w:sz w:val="24"/>
          <w:szCs w:val="24"/>
        </w:rPr>
        <w:t> Maternal obesity management: a narrative literature review of health policies. </w:t>
      </w:r>
      <w:r w:rsidRPr="00683126">
        <w:rPr>
          <w:rFonts w:asciiTheme="majorHAnsi" w:hAnsiTheme="majorHAnsi" w:cstheme="majorHAnsi"/>
          <w:i/>
          <w:iCs/>
          <w:sz w:val="24"/>
          <w:szCs w:val="24"/>
        </w:rPr>
        <w:t>BMC Women's Health</w:t>
      </w:r>
      <w:r w:rsidRPr="00683126">
        <w:rPr>
          <w:rFonts w:asciiTheme="majorHAnsi" w:hAnsiTheme="majorHAnsi" w:cstheme="majorHAnsi"/>
          <w:sz w:val="24"/>
          <w:szCs w:val="24"/>
        </w:rPr>
        <w:t xml:space="preserve"> 24, 520 (2024). Available from: </w:t>
      </w:r>
      <w:hyperlink r:id="rId23">
        <w:r w:rsidRPr="00683126">
          <w:rPr>
            <w:rStyle w:val="Hyperlink"/>
            <w:rFonts w:asciiTheme="majorHAnsi" w:hAnsiTheme="majorHAnsi" w:cstheme="majorHAnsi"/>
            <w:sz w:val="24"/>
            <w:szCs w:val="24"/>
          </w:rPr>
          <w:t>Maternal obesity management: a narrative literature review of health policies | BMC Women's Health | Full Text</w:t>
        </w:r>
      </w:hyperlink>
    </w:p>
    <w:p w14:paraId="385ECA94" w14:textId="77777777" w:rsidR="00683126" w:rsidRPr="00683126" w:rsidRDefault="00683126" w:rsidP="00FE2561">
      <w:pPr>
        <w:pStyle w:val="ListParagraph"/>
        <w:numPr>
          <w:ilvl w:val="0"/>
          <w:numId w:val="16"/>
        </w:numPr>
        <w:ind w:left="426" w:hanging="426"/>
        <w:rPr>
          <w:rStyle w:val="eop"/>
          <w:rFonts w:asciiTheme="majorHAnsi" w:hAnsiTheme="majorHAnsi" w:cstheme="majorHAnsi"/>
          <w:sz w:val="24"/>
          <w:szCs w:val="24"/>
          <w:u w:val="single"/>
        </w:rPr>
      </w:pPr>
      <w:r w:rsidRPr="00683126">
        <w:rPr>
          <w:rStyle w:val="normaltextrun"/>
          <w:rFonts w:asciiTheme="majorHAnsi" w:hAnsiTheme="majorHAnsi" w:cstheme="majorHAnsi"/>
          <w:color w:val="000000"/>
          <w:sz w:val="24"/>
          <w:szCs w:val="24"/>
          <w:shd w:val="clear" w:color="auto" w:fill="FFFFFF"/>
        </w:rPr>
        <w:t xml:space="preserve">Australian Commission on Safety and Quality in Health Care. (2022). </w:t>
      </w:r>
      <w:r w:rsidRPr="00683126">
        <w:rPr>
          <w:rStyle w:val="normaltextrun"/>
          <w:rFonts w:asciiTheme="majorHAnsi" w:hAnsiTheme="majorHAnsi" w:cstheme="majorHAnsi"/>
          <w:i/>
          <w:iCs/>
          <w:sz w:val="24"/>
          <w:szCs w:val="24"/>
          <w:shd w:val="clear" w:color="auto" w:fill="FFFFFF"/>
        </w:rPr>
        <w:t>Shared decision making</w:t>
      </w:r>
      <w:r w:rsidRPr="00683126">
        <w:rPr>
          <w:rStyle w:val="normaltextrun"/>
          <w:rFonts w:asciiTheme="majorHAnsi" w:hAnsiTheme="majorHAnsi" w:cstheme="majorHAnsi"/>
          <w:sz w:val="24"/>
          <w:szCs w:val="24"/>
          <w:shd w:val="clear" w:color="auto" w:fill="FFFFFF"/>
        </w:rPr>
        <w:t xml:space="preserve">. </w:t>
      </w:r>
      <w:hyperlink r:id="rId24" w:history="1">
        <w:r w:rsidRPr="00683126">
          <w:rPr>
            <w:rStyle w:val="Hyperlink"/>
            <w:rFonts w:asciiTheme="majorHAnsi" w:hAnsiTheme="majorHAnsi" w:cstheme="majorHAnsi"/>
            <w:sz w:val="24"/>
            <w:szCs w:val="24"/>
            <w:shd w:val="clear" w:color="auto" w:fill="FFFFFF"/>
          </w:rPr>
          <w:t>http://www.safetyandquality.gov.au/our-work/shared-decision-making/</w:t>
        </w:r>
      </w:hyperlink>
    </w:p>
    <w:p w14:paraId="278E5A05"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u w:val="single"/>
        </w:rPr>
      </w:pPr>
      <w:r w:rsidRPr="00683126">
        <w:rPr>
          <w:rFonts w:asciiTheme="majorHAnsi" w:hAnsiTheme="majorHAnsi" w:cstheme="majorHAnsi"/>
          <w:sz w:val="24"/>
          <w:szCs w:val="24"/>
        </w:rPr>
        <w:t xml:space="preserve">Australian Department of Health (2021). National Women’s Health Strategy. 2020-2030.Available from </w:t>
      </w:r>
      <w:hyperlink r:id="rId25" w:history="1">
        <w:r w:rsidRPr="00683126">
          <w:rPr>
            <w:rFonts w:asciiTheme="majorHAnsi" w:hAnsiTheme="majorHAnsi" w:cstheme="majorHAnsi"/>
            <w:sz w:val="24"/>
            <w:szCs w:val="24"/>
            <w:u w:val="single"/>
          </w:rPr>
          <w:t>https://www.health.gov.au/sites/default/files/documents/2021/05/national-women-s-health-strategy-2020-2030_0.pdf</w:t>
        </w:r>
      </w:hyperlink>
    </w:p>
    <w:p w14:paraId="1B204BE2"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 xml:space="preserve">National Health and Medical Research Council (NHMRC). Australian Dietary Guidelines. Eat for Health. Healthy eating when you’re pregnant or breastfeeding (2021). Available from </w:t>
      </w:r>
      <w:hyperlink r:id="rId26">
        <w:r w:rsidRPr="00683126">
          <w:rPr>
            <w:rStyle w:val="Hyperlink"/>
            <w:rFonts w:asciiTheme="majorHAnsi" w:hAnsiTheme="majorHAnsi" w:cstheme="majorHAnsi"/>
            <w:sz w:val="24"/>
            <w:szCs w:val="24"/>
          </w:rPr>
          <w:t>Healthy eating when you’re pregnant or breastfeeding | Eat For Health</w:t>
        </w:r>
      </w:hyperlink>
    </w:p>
    <w:p w14:paraId="410BDD51"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Australian Dietary Guidelines. Eat for Health Information Sheets. Healthy Eating During Pregnancy (2021).</w:t>
      </w:r>
      <w:r w:rsidRPr="00683126">
        <w:rPr>
          <w:rFonts w:asciiTheme="majorHAnsi" w:eastAsia="Calibri" w:hAnsiTheme="majorHAnsi" w:cstheme="majorHAnsi"/>
          <w:color w:val="000000" w:themeColor="text1"/>
          <w:sz w:val="24"/>
          <w:szCs w:val="24"/>
        </w:rPr>
        <w:t xml:space="preserve"> </w:t>
      </w:r>
      <w:hyperlink r:id="rId27" w:history="1">
        <w:r w:rsidRPr="00683126">
          <w:rPr>
            <w:rStyle w:val="Hyperlink"/>
            <w:rFonts w:asciiTheme="majorHAnsi" w:hAnsiTheme="majorHAnsi" w:cstheme="majorHAnsi"/>
            <w:sz w:val="24"/>
            <w:szCs w:val="24"/>
          </w:rPr>
          <w:t>n55h_healthy_eating_during_pregnancy_0_0.pdf</w:t>
        </w:r>
      </w:hyperlink>
    </w:p>
    <w:p w14:paraId="7F363973"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 xml:space="preserve">Australian Government department of Health and Aged Care. Your Healthy Pregnancy Resources (2021).  Available from: </w:t>
      </w:r>
      <w:hyperlink r:id="rId28">
        <w:r w:rsidRPr="00683126">
          <w:rPr>
            <w:rStyle w:val="Hyperlink"/>
            <w:rFonts w:asciiTheme="majorHAnsi" w:hAnsiTheme="majorHAnsi" w:cstheme="majorHAnsi"/>
            <w:sz w:val="24"/>
            <w:szCs w:val="24"/>
          </w:rPr>
          <w:t>Your Healthy Pregnancy resources | Australian Government Department of Health and Aged Care</w:t>
        </w:r>
      </w:hyperlink>
    </w:p>
    <w:p w14:paraId="5E46E67D" w14:textId="77777777" w:rsidR="00683126" w:rsidRPr="00CB1EE4"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lastRenderedPageBreak/>
        <w:t>Royal Australia and New Zealand College of Obstetricians and Gynaecologists Information Sheet (2024). Weight changes during Pregnancy.</w:t>
      </w:r>
      <w:r w:rsidRPr="00683126">
        <w:rPr>
          <w:rFonts w:asciiTheme="majorHAnsi" w:eastAsia="Calibri" w:hAnsiTheme="majorHAnsi" w:cstheme="majorHAnsi"/>
          <w:color w:val="000000" w:themeColor="text1"/>
          <w:sz w:val="24"/>
          <w:szCs w:val="24"/>
        </w:rPr>
        <w:t xml:space="preserve"> </w:t>
      </w:r>
      <w:hyperlink r:id="rId29" w:history="1">
        <w:r w:rsidRPr="00683126">
          <w:rPr>
            <w:rStyle w:val="Hyperlink"/>
            <w:rFonts w:asciiTheme="majorHAnsi" w:hAnsiTheme="majorHAnsi" w:cstheme="majorHAnsi"/>
            <w:sz w:val="24"/>
            <w:szCs w:val="24"/>
          </w:rPr>
          <w:t>Weight Changes During Pregnancy</w:t>
        </w:r>
      </w:hyperlink>
    </w:p>
    <w:p w14:paraId="61053109"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 xml:space="preserve">Denison FC, </w:t>
      </w:r>
      <w:proofErr w:type="spellStart"/>
      <w:r w:rsidRPr="00683126">
        <w:rPr>
          <w:rFonts w:asciiTheme="majorHAnsi" w:hAnsiTheme="majorHAnsi" w:cstheme="majorHAnsi"/>
          <w:sz w:val="24"/>
          <w:szCs w:val="24"/>
        </w:rPr>
        <w:t>Aedla</w:t>
      </w:r>
      <w:proofErr w:type="spellEnd"/>
      <w:r w:rsidRPr="00683126">
        <w:rPr>
          <w:rFonts w:asciiTheme="majorHAnsi" w:hAnsiTheme="majorHAnsi" w:cstheme="majorHAnsi"/>
          <w:sz w:val="24"/>
          <w:szCs w:val="24"/>
        </w:rPr>
        <w:t xml:space="preserve"> NR, Keag O, Hor K, Reynolds RM, Milne A, Diamond A. Royal College of Obstetricians and Gynaecologists. Care of Women with Obesity in Pregnancy. Green-top Guideline No. 72. BJOG 2018. </w:t>
      </w:r>
      <w:hyperlink r:id="rId30">
        <w:r w:rsidRPr="00683126">
          <w:rPr>
            <w:rStyle w:val="Hyperlink"/>
            <w:rFonts w:asciiTheme="majorHAnsi" w:hAnsiTheme="majorHAnsi" w:cstheme="majorHAnsi"/>
            <w:sz w:val="24"/>
            <w:szCs w:val="24"/>
          </w:rPr>
          <w:t>https://obgyn.onlinelibrary.wiley.com/doi/epdf/10.1111/1471-0528.15386</w:t>
        </w:r>
      </w:hyperlink>
      <w:r w:rsidRPr="00683126">
        <w:rPr>
          <w:rFonts w:asciiTheme="majorHAnsi" w:hAnsiTheme="majorHAnsi" w:cstheme="majorHAnsi"/>
          <w:sz w:val="24"/>
          <w:szCs w:val="24"/>
        </w:rPr>
        <w:t xml:space="preserve"> </w:t>
      </w:r>
    </w:p>
    <w:p w14:paraId="1F370821" w14:textId="6C544F13"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 xml:space="preserve">National Institute for Health and Clinical Excellence. </w:t>
      </w:r>
      <w:r w:rsidR="002D3110">
        <w:rPr>
          <w:rFonts w:asciiTheme="majorHAnsi" w:hAnsiTheme="majorHAnsi" w:cstheme="majorHAnsi"/>
          <w:sz w:val="24"/>
          <w:szCs w:val="24"/>
        </w:rPr>
        <w:t>2023.</w:t>
      </w:r>
      <w:r w:rsidRPr="00683126">
        <w:rPr>
          <w:rFonts w:asciiTheme="majorHAnsi" w:hAnsiTheme="majorHAnsi" w:cstheme="majorHAnsi"/>
          <w:sz w:val="24"/>
          <w:szCs w:val="24"/>
        </w:rPr>
        <w:t xml:space="preserve"> Intrapartum care guidelines. Avail at</w:t>
      </w:r>
      <w:r w:rsidR="002D3110">
        <w:rPr>
          <w:rFonts w:asciiTheme="majorHAnsi" w:hAnsiTheme="majorHAnsi" w:cstheme="majorHAnsi"/>
          <w:sz w:val="24"/>
          <w:szCs w:val="24"/>
        </w:rPr>
        <w:t xml:space="preserve">: </w:t>
      </w:r>
      <w:hyperlink r:id="rId31" w:history="1">
        <w:r w:rsidR="002D3110" w:rsidRPr="002D3110">
          <w:rPr>
            <w:rStyle w:val="Hyperlink"/>
            <w:rFonts w:asciiTheme="majorHAnsi" w:hAnsiTheme="majorHAnsi" w:cstheme="majorHAnsi"/>
            <w:sz w:val="24"/>
            <w:szCs w:val="24"/>
          </w:rPr>
          <w:t>Overview | Intrapartum care | Guidance | NICE</w:t>
        </w:r>
      </w:hyperlink>
    </w:p>
    <w:p w14:paraId="1D3F9602" w14:textId="19CDEEAA" w:rsidR="00683126" w:rsidRPr="00683126" w:rsidRDefault="00683126" w:rsidP="00FE2561">
      <w:pPr>
        <w:pStyle w:val="ListParagraph"/>
        <w:numPr>
          <w:ilvl w:val="0"/>
          <w:numId w:val="16"/>
        </w:numPr>
        <w:ind w:left="426" w:hanging="426"/>
        <w:rPr>
          <w:rFonts w:asciiTheme="majorHAnsi" w:hAnsiTheme="majorHAnsi" w:cstheme="majorHAnsi"/>
          <w:b/>
          <w:sz w:val="24"/>
          <w:szCs w:val="24"/>
        </w:rPr>
      </w:pPr>
      <w:r w:rsidRPr="00683126">
        <w:rPr>
          <w:rFonts w:asciiTheme="majorHAnsi" w:hAnsiTheme="majorHAnsi" w:cstheme="majorHAnsi"/>
          <w:sz w:val="24"/>
          <w:szCs w:val="24"/>
        </w:rPr>
        <w:t>National Institute for Health and Clinical Excellence. 20</w:t>
      </w:r>
      <w:r w:rsidR="007B129A">
        <w:rPr>
          <w:rFonts w:asciiTheme="majorHAnsi" w:hAnsiTheme="majorHAnsi" w:cstheme="majorHAnsi"/>
          <w:sz w:val="24"/>
          <w:szCs w:val="24"/>
        </w:rPr>
        <w:t>21</w:t>
      </w:r>
      <w:r w:rsidRPr="00683126">
        <w:rPr>
          <w:rFonts w:asciiTheme="majorHAnsi" w:hAnsiTheme="majorHAnsi" w:cstheme="majorHAnsi"/>
          <w:sz w:val="24"/>
          <w:szCs w:val="24"/>
        </w:rPr>
        <w:t xml:space="preserve">. </w:t>
      </w:r>
      <w:r w:rsidR="002D3110">
        <w:rPr>
          <w:rFonts w:asciiTheme="majorHAnsi" w:hAnsiTheme="majorHAnsi" w:cstheme="majorHAnsi"/>
          <w:sz w:val="24"/>
          <w:szCs w:val="24"/>
        </w:rPr>
        <w:t xml:space="preserve">Antenatal care. </w:t>
      </w:r>
    </w:p>
    <w:p w14:paraId="27455051" w14:textId="77777777" w:rsidR="002D3110" w:rsidRDefault="00683126" w:rsidP="002D3110">
      <w:pPr>
        <w:pStyle w:val="ListParagraph"/>
        <w:rPr>
          <w:rFonts w:asciiTheme="majorHAnsi" w:hAnsiTheme="majorHAnsi" w:cstheme="majorHAnsi"/>
          <w:sz w:val="24"/>
          <w:szCs w:val="24"/>
        </w:rPr>
      </w:pPr>
      <w:r w:rsidRPr="00683126">
        <w:rPr>
          <w:rFonts w:asciiTheme="majorHAnsi" w:hAnsiTheme="majorHAnsi" w:cstheme="majorHAnsi"/>
          <w:sz w:val="24"/>
          <w:szCs w:val="24"/>
        </w:rPr>
        <w:t>Avail at</w:t>
      </w:r>
      <w:r w:rsidR="007B129A">
        <w:rPr>
          <w:rFonts w:asciiTheme="majorHAnsi" w:hAnsiTheme="majorHAnsi" w:cstheme="majorHAnsi"/>
          <w:sz w:val="24"/>
          <w:szCs w:val="24"/>
        </w:rPr>
        <w:t xml:space="preserve"> </w:t>
      </w:r>
      <w:hyperlink r:id="rId32" w:history="1">
        <w:r w:rsidR="002D3110" w:rsidRPr="002D3110">
          <w:rPr>
            <w:rStyle w:val="Hyperlink"/>
            <w:rFonts w:asciiTheme="majorHAnsi" w:hAnsiTheme="majorHAnsi" w:cstheme="majorHAnsi"/>
            <w:sz w:val="24"/>
            <w:szCs w:val="24"/>
          </w:rPr>
          <w:t>Antenatal care</w:t>
        </w:r>
      </w:hyperlink>
    </w:p>
    <w:p w14:paraId="324FA1D8" w14:textId="77777777" w:rsidR="00683126" w:rsidRPr="003A009A" w:rsidRDefault="00683126" w:rsidP="002D3110">
      <w:pPr>
        <w:pStyle w:val="ListParagraph"/>
        <w:numPr>
          <w:ilvl w:val="0"/>
          <w:numId w:val="16"/>
        </w:numPr>
        <w:rPr>
          <w:rFonts w:asciiTheme="majorHAnsi" w:hAnsiTheme="majorHAnsi" w:cstheme="majorHAnsi"/>
        </w:rPr>
      </w:pPr>
      <w:r w:rsidRPr="003A009A">
        <w:rPr>
          <w:rFonts w:cstheme="minorHAnsi"/>
          <w:color w:val="212121"/>
          <w:sz w:val="24"/>
          <w:szCs w:val="24"/>
          <w:shd w:val="clear" w:color="auto" w:fill="FFFFFF"/>
        </w:rPr>
        <w:t xml:space="preserve">Simon A, Pratt M, Hutton B, Skidmore B, </w:t>
      </w:r>
      <w:proofErr w:type="spellStart"/>
      <w:r w:rsidRPr="003A009A">
        <w:rPr>
          <w:rFonts w:cstheme="minorHAnsi"/>
          <w:color w:val="212121"/>
          <w:sz w:val="24"/>
          <w:szCs w:val="24"/>
          <w:shd w:val="clear" w:color="auto" w:fill="FFFFFF"/>
        </w:rPr>
        <w:t>Fakhraei</w:t>
      </w:r>
      <w:proofErr w:type="spellEnd"/>
      <w:r w:rsidRPr="003A009A">
        <w:rPr>
          <w:rFonts w:cstheme="minorHAnsi"/>
          <w:color w:val="212121"/>
          <w:sz w:val="24"/>
          <w:szCs w:val="24"/>
          <w:shd w:val="clear" w:color="auto" w:fill="FFFFFF"/>
        </w:rPr>
        <w:t xml:space="preserve"> R, Rybak N, Corsi DJ, Walker M, Velez MP, Smith GN, Gaudet LM. Guidelines for the management of pregnant women with obesity: A systematic review. </w:t>
      </w:r>
      <w:proofErr w:type="spellStart"/>
      <w:r w:rsidRPr="003A009A">
        <w:rPr>
          <w:rFonts w:cstheme="minorHAnsi"/>
          <w:color w:val="212121"/>
          <w:sz w:val="24"/>
          <w:szCs w:val="24"/>
          <w:shd w:val="clear" w:color="auto" w:fill="FFFFFF"/>
        </w:rPr>
        <w:t>Obes</w:t>
      </w:r>
      <w:proofErr w:type="spellEnd"/>
      <w:r w:rsidRPr="003A009A">
        <w:rPr>
          <w:rFonts w:cstheme="minorHAnsi"/>
          <w:color w:val="212121"/>
          <w:sz w:val="24"/>
          <w:szCs w:val="24"/>
          <w:shd w:val="clear" w:color="auto" w:fill="FFFFFF"/>
        </w:rPr>
        <w:t xml:space="preserve"> Rev. 2020 Mar;21(3). Avail at</w:t>
      </w:r>
      <w:r w:rsidRPr="002D3110">
        <w:rPr>
          <w:rFonts w:asciiTheme="majorHAnsi" w:hAnsiTheme="majorHAnsi" w:cstheme="majorHAnsi"/>
          <w:color w:val="212121"/>
          <w:shd w:val="clear" w:color="auto" w:fill="FFFFFF"/>
        </w:rPr>
        <w:t xml:space="preserve"> </w:t>
      </w:r>
      <w:hyperlink r:id="rId33" w:history="1">
        <w:r w:rsidRPr="002D3110">
          <w:rPr>
            <w:rStyle w:val="Hyperlink"/>
            <w:rFonts w:asciiTheme="majorHAnsi" w:hAnsiTheme="majorHAnsi" w:cstheme="majorHAnsi"/>
            <w:sz w:val="24"/>
            <w:szCs w:val="24"/>
          </w:rPr>
          <w:t>Guidelines for the management of pregnant women with obesity: A systematic review - PubMed (nih.gov)</w:t>
        </w:r>
      </w:hyperlink>
      <w:r w:rsidRPr="003A009A">
        <w:rPr>
          <w:rFonts w:asciiTheme="majorHAnsi" w:hAnsiTheme="majorHAnsi" w:cstheme="majorHAnsi"/>
        </w:rPr>
        <w:t xml:space="preserve"> </w:t>
      </w:r>
    </w:p>
    <w:p w14:paraId="3400AE0A" w14:textId="77777777" w:rsidR="00683126" w:rsidRPr="00683126" w:rsidRDefault="00683126" w:rsidP="00FE2561">
      <w:pPr>
        <w:pStyle w:val="ListParagraph"/>
        <w:numPr>
          <w:ilvl w:val="0"/>
          <w:numId w:val="16"/>
        </w:numPr>
        <w:ind w:left="426" w:hanging="426"/>
        <w:rPr>
          <w:rFonts w:asciiTheme="majorHAnsi" w:hAnsiTheme="majorHAnsi" w:cstheme="majorHAnsi"/>
          <w:sz w:val="24"/>
          <w:szCs w:val="24"/>
        </w:rPr>
      </w:pPr>
      <w:r w:rsidRPr="00683126">
        <w:rPr>
          <w:rFonts w:asciiTheme="majorHAnsi" w:hAnsiTheme="majorHAnsi" w:cstheme="majorHAnsi"/>
          <w:sz w:val="24"/>
          <w:szCs w:val="24"/>
        </w:rPr>
        <w:t>World Health Organisation Global Strategy on diet, physical activity and health.</w:t>
      </w:r>
    </w:p>
    <w:p w14:paraId="192195EB" w14:textId="77777777" w:rsidR="00683126" w:rsidRPr="00683126" w:rsidRDefault="4F5E47C1" w:rsidP="143A4CE6">
      <w:pPr>
        <w:pStyle w:val="ListParagraph"/>
        <w:ind w:left="426"/>
        <w:rPr>
          <w:rFonts w:asciiTheme="majorHAnsi" w:hAnsiTheme="majorHAnsi" w:cstheme="majorBidi"/>
          <w:sz w:val="24"/>
          <w:szCs w:val="24"/>
        </w:rPr>
      </w:pPr>
      <w:r w:rsidRPr="143A4CE6">
        <w:rPr>
          <w:rFonts w:asciiTheme="majorHAnsi" w:hAnsiTheme="majorHAnsi" w:cstheme="majorBidi"/>
          <w:sz w:val="24"/>
          <w:szCs w:val="24"/>
        </w:rPr>
        <w:t xml:space="preserve">Downloaded from </w:t>
      </w:r>
      <w:hyperlink r:id="rId34">
        <w:r w:rsidRPr="143A4CE6">
          <w:rPr>
            <w:rStyle w:val="Hyperlink"/>
            <w:rFonts w:asciiTheme="majorHAnsi" w:hAnsiTheme="majorHAnsi" w:cstheme="majorBidi"/>
            <w:sz w:val="24"/>
            <w:szCs w:val="24"/>
          </w:rPr>
          <w:t>http://www.who.int/dietphysicalactivity/childhood_what/en/</w:t>
        </w:r>
      </w:hyperlink>
    </w:p>
    <w:p w14:paraId="415AF7E9" w14:textId="37A8BEB2" w:rsidR="5921C8DC" w:rsidRPr="00E64AB5" w:rsidRDefault="5921C8DC" w:rsidP="00FE2561">
      <w:pPr>
        <w:pStyle w:val="ListParagraph"/>
        <w:numPr>
          <w:ilvl w:val="0"/>
          <w:numId w:val="16"/>
        </w:numPr>
        <w:rPr>
          <w:rFonts w:asciiTheme="majorHAnsi" w:eastAsiaTheme="majorEastAsia" w:hAnsiTheme="majorHAnsi" w:cstheme="majorBidi"/>
          <w:sz w:val="24"/>
          <w:szCs w:val="24"/>
        </w:rPr>
      </w:pPr>
      <w:r w:rsidRPr="143A4CE6">
        <w:rPr>
          <w:rFonts w:asciiTheme="majorHAnsi" w:eastAsiaTheme="majorEastAsia" w:hAnsiTheme="majorHAnsi" w:cstheme="majorBidi"/>
          <w:color w:val="1C1D1E"/>
          <w:sz w:val="24"/>
          <w:szCs w:val="24"/>
        </w:rPr>
        <w:t xml:space="preserve">Zheng, K.-f., Jones, M.N., Mol, B.W. and Rolnik, D.L. (2024), The impact of body mass index on labour management and mode of delivery: A retrospective matched cohort study. Aust N Z J </w:t>
      </w:r>
      <w:proofErr w:type="spellStart"/>
      <w:r w:rsidRPr="143A4CE6">
        <w:rPr>
          <w:rFonts w:asciiTheme="majorHAnsi" w:eastAsiaTheme="majorEastAsia" w:hAnsiTheme="majorHAnsi" w:cstheme="majorBidi"/>
          <w:color w:val="1C1D1E"/>
          <w:sz w:val="24"/>
          <w:szCs w:val="24"/>
        </w:rPr>
        <w:t>Obstet</w:t>
      </w:r>
      <w:proofErr w:type="spellEnd"/>
      <w:r w:rsidRPr="143A4CE6">
        <w:rPr>
          <w:rFonts w:asciiTheme="majorHAnsi" w:eastAsiaTheme="majorEastAsia" w:hAnsiTheme="majorHAnsi" w:cstheme="majorBidi"/>
          <w:color w:val="1C1D1E"/>
          <w:sz w:val="24"/>
          <w:szCs w:val="24"/>
        </w:rPr>
        <w:t xml:space="preserve"> </w:t>
      </w:r>
      <w:proofErr w:type="spellStart"/>
      <w:r w:rsidRPr="143A4CE6">
        <w:rPr>
          <w:rFonts w:asciiTheme="majorHAnsi" w:eastAsiaTheme="majorEastAsia" w:hAnsiTheme="majorHAnsi" w:cstheme="majorBidi"/>
          <w:color w:val="1C1D1E"/>
          <w:sz w:val="24"/>
          <w:szCs w:val="24"/>
        </w:rPr>
        <w:t>Gynaecol</w:t>
      </w:r>
      <w:proofErr w:type="spellEnd"/>
      <w:r w:rsidRPr="143A4CE6">
        <w:rPr>
          <w:rFonts w:asciiTheme="majorHAnsi" w:eastAsiaTheme="majorEastAsia" w:hAnsiTheme="majorHAnsi" w:cstheme="majorBidi"/>
          <w:color w:val="1C1D1E"/>
          <w:sz w:val="24"/>
          <w:szCs w:val="24"/>
        </w:rPr>
        <w:t xml:space="preserve">, 64: 216-222. </w:t>
      </w:r>
      <w:hyperlink r:id="rId35">
        <w:r w:rsidRPr="143A4CE6">
          <w:rPr>
            <w:rStyle w:val="Hyperlink"/>
            <w:rFonts w:asciiTheme="majorHAnsi" w:eastAsiaTheme="majorEastAsia" w:hAnsiTheme="majorHAnsi" w:cstheme="majorBidi"/>
            <w:sz w:val="24"/>
            <w:szCs w:val="24"/>
          </w:rPr>
          <w:t>https://doi.org/10.1111/ajo.13769</w:t>
        </w:r>
      </w:hyperlink>
    </w:p>
    <w:p w14:paraId="5FF6D720" w14:textId="22581C4E" w:rsidR="00E64AB5" w:rsidRPr="008740E0" w:rsidRDefault="00805F46" w:rsidP="00FE2561">
      <w:pPr>
        <w:pStyle w:val="ListParagraph"/>
        <w:numPr>
          <w:ilvl w:val="0"/>
          <w:numId w:val="16"/>
        </w:numPr>
        <w:rPr>
          <w:rFonts w:asciiTheme="majorHAnsi" w:eastAsiaTheme="majorEastAsia" w:hAnsiTheme="majorHAnsi" w:cstheme="majorBidi"/>
          <w:sz w:val="24"/>
          <w:szCs w:val="24"/>
        </w:rPr>
      </w:pPr>
      <w:r w:rsidRPr="00805F46">
        <w:rPr>
          <w:rFonts w:asciiTheme="majorHAnsi" w:eastAsiaTheme="majorEastAsia" w:hAnsiTheme="majorHAnsi" w:cstheme="majorBidi"/>
          <w:sz w:val="24"/>
          <w:szCs w:val="24"/>
        </w:rPr>
        <w:t>Yang, Z., Phung, H., Freebairn, L., Sexton, R., Raulli, A., &amp; Kelly, P. (2019). Contribution of maternal overweight and obesity to the occurrence of adverse pregnancy outcomes. Australian and New Zealand Journal of Obstetrics and Gynaecology, 59(3), 367–374.</w:t>
      </w:r>
      <w:r>
        <w:rPr>
          <w:rFonts w:asciiTheme="majorHAnsi" w:eastAsiaTheme="majorEastAsia" w:hAnsiTheme="majorHAnsi" w:cstheme="majorBidi"/>
          <w:sz w:val="24"/>
          <w:szCs w:val="24"/>
        </w:rPr>
        <w:t xml:space="preserve"> Available from:</w:t>
      </w:r>
      <w:r w:rsidR="002E5671" w:rsidRPr="002E5671">
        <w:rPr>
          <w:rFonts w:ascii="Arial" w:eastAsia="Calibri" w:hAnsi="Arial" w:cs="Arial"/>
          <w:color w:val="000000" w:themeColor="text1"/>
          <w:sz w:val="24"/>
          <w:szCs w:val="24"/>
        </w:rPr>
        <w:t xml:space="preserve"> </w:t>
      </w:r>
      <w:hyperlink r:id="rId36" w:history="1">
        <w:r w:rsidR="002E5671" w:rsidRPr="002E5671">
          <w:rPr>
            <w:rStyle w:val="Hyperlink"/>
            <w:rFonts w:asciiTheme="majorHAnsi" w:eastAsiaTheme="majorEastAsia" w:hAnsiTheme="majorHAnsi" w:cstheme="majorBidi"/>
            <w:sz w:val="24"/>
            <w:szCs w:val="24"/>
          </w:rPr>
          <w:t>Contribution of maternal overweight and obesity to the occurrence of adverse pregnancy outcomes - Yang - 2019 - Australian and New Zealand Journal of Obstetrics and Gynaecology - Wiley Online Library</w:t>
        </w:r>
      </w:hyperlink>
    </w:p>
    <w:p w14:paraId="42F8F69C" w14:textId="237B8E7A" w:rsidR="008740E0" w:rsidRPr="007C2CED" w:rsidRDefault="008740E0" w:rsidP="00FE2561">
      <w:pPr>
        <w:pStyle w:val="ListParagraph"/>
        <w:numPr>
          <w:ilvl w:val="0"/>
          <w:numId w:val="16"/>
        </w:numPr>
        <w:rPr>
          <w:rFonts w:asciiTheme="majorHAnsi" w:eastAsiaTheme="majorEastAsia" w:hAnsiTheme="majorHAnsi" w:cstheme="majorBidi"/>
          <w:sz w:val="24"/>
          <w:szCs w:val="24"/>
        </w:rPr>
      </w:pPr>
      <w:r w:rsidRPr="00454DA6">
        <w:rPr>
          <w:sz w:val="24"/>
          <w:szCs w:val="24"/>
        </w:rPr>
        <w:t>World Health Organisation (WHO). Recommendations on induction of labour at or beyond term</w:t>
      </w:r>
      <w:r w:rsidR="00454DA6" w:rsidRPr="00454DA6">
        <w:rPr>
          <w:sz w:val="24"/>
          <w:szCs w:val="24"/>
        </w:rPr>
        <w:t xml:space="preserve"> (2018) Updated 2022. Available from: </w:t>
      </w:r>
      <w:hyperlink r:id="rId37" w:history="1">
        <w:r w:rsidR="00454DA6" w:rsidRPr="00454DA6">
          <w:rPr>
            <w:rStyle w:val="Hyperlink"/>
            <w:sz w:val="24"/>
            <w:szCs w:val="24"/>
          </w:rPr>
          <w:t>WHO recommendations on induction of labour, at or beyond term</w:t>
        </w:r>
      </w:hyperlink>
    </w:p>
    <w:p w14:paraId="5C36C378" w14:textId="7C1E3706" w:rsidR="007C2CED" w:rsidRPr="003A009A" w:rsidRDefault="007C2CED" w:rsidP="00FE2561">
      <w:pPr>
        <w:pStyle w:val="ListParagraph"/>
        <w:numPr>
          <w:ilvl w:val="0"/>
          <w:numId w:val="16"/>
        </w:numPr>
        <w:rPr>
          <w:rFonts w:asciiTheme="majorHAnsi" w:eastAsiaTheme="majorEastAsia" w:hAnsiTheme="majorHAnsi" w:cstheme="majorBidi"/>
          <w:sz w:val="24"/>
          <w:szCs w:val="24"/>
        </w:rPr>
      </w:pPr>
      <w:r w:rsidRPr="007C2CED">
        <w:rPr>
          <w:rFonts w:asciiTheme="majorHAnsi" w:eastAsiaTheme="majorEastAsia" w:hAnsiTheme="majorHAnsi" w:cstheme="majorBidi"/>
          <w:sz w:val="24"/>
          <w:szCs w:val="24"/>
        </w:rPr>
        <w:t>Perinatal Society of Australia and New Zealand and Centre of Research Excellence Stillbirth. Position statement: detection and management of fetal growth restriction in singleton pregnancies. Centre of Research Excellence in Stillbirth. Brisbane, Australia, August 2023</w:t>
      </w:r>
      <w:r>
        <w:rPr>
          <w:rFonts w:asciiTheme="majorHAnsi" w:eastAsiaTheme="majorEastAsia" w:hAnsiTheme="majorHAnsi" w:cstheme="majorBidi"/>
          <w:sz w:val="24"/>
          <w:szCs w:val="24"/>
        </w:rPr>
        <w:t>. Available from:</w:t>
      </w:r>
      <w:r w:rsidRPr="007C2CED">
        <w:rPr>
          <w:rFonts w:ascii="Arial" w:eastAsia="Calibri" w:hAnsi="Arial" w:cs="Arial"/>
          <w:color w:val="000000" w:themeColor="text1"/>
          <w:sz w:val="24"/>
          <w:szCs w:val="24"/>
        </w:rPr>
        <w:t xml:space="preserve"> </w:t>
      </w:r>
      <w:hyperlink r:id="rId38" w:history="1">
        <w:r w:rsidRPr="007C2CED">
          <w:rPr>
            <w:rStyle w:val="Hyperlink"/>
            <w:rFonts w:asciiTheme="majorHAnsi" w:eastAsiaTheme="majorEastAsia" w:hAnsiTheme="majorHAnsi" w:cstheme="majorBidi"/>
            <w:sz w:val="24"/>
            <w:szCs w:val="24"/>
          </w:rPr>
          <w:t>FGR_Position-Statement_V2_August2023.pdf</w:t>
        </w:r>
      </w:hyperlink>
    </w:p>
    <w:p w14:paraId="529238AB" w14:textId="0A13DF5D" w:rsidR="00F0525B" w:rsidRPr="003A009A" w:rsidRDefault="00F0525B" w:rsidP="0036444F">
      <w:pPr>
        <w:pStyle w:val="ListParagraph"/>
        <w:numPr>
          <w:ilvl w:val="0"/>
          <w:numId w:val="16"/>
        </w:numPr>
        <w:rPr>
          <w:rFonts w:asciiTheme="majorHAnsi" w:eastAsiaTheme="majorEastAsia" w:hAnsiTheme="majorHAnsi" w:cstheme="majorBidi"/>
          <w:sz w:val="24"/>
          <w:szCs w:val="24"/>
        </w:rPr>
      </w:pPr>
      <w:r w:rsidRPr="003A009A">
        <w:rPr>
          <w:rFonts w:asciiTheme="majorHAnsi" w:eastAsiaTheme="majorEastAsia" w:hAnsiTheme="majorHAnsi" w:cstheme="majorBidi"/>
          <w:sz w:val="24"/>
          <w:szCs w:val="24"/>
        </w:rPr>
        <w:t xml:space="preserve">Perinatal Society of Australia and New Zealand and Centre of Research Excellence in Stillbirth. Position statement: Improving decision-making about timing of birth for low-risk woman at term. Centre of Research Excellence in Stillbirth, Brisbane, Australia, December 2022. Available from: </w:t>
      </w:r>
      <w:hyperlink r:id="rId39" w:history="1">
        <w:r w:rsidRPr="0036444F">
          <w:rPr>
            <w:rStyle w:val="Hyperlink"/>
            <w:rFonts w:asciiTheme="majorHAnsi" w:eastAsiaTheme="majorEastAsia" w:hAnsiTheme="majorHAnsi" w:cstheme="majorBidi"/>
            <w:sz w:val="24"/>
            <w:szCs w:val="24"/>
          </w:rPr>
          <w:t>TOB_Position-Statement_V2_Jan2023.pdf</w:t>
        </w:r>
      </w:hyperlink>
      <w:r w:rsidR="0036444F" w:rsidRPr="003A009A">
        <w:rPr>
          <w:rFonts w:asciiTheme="majorHAnsi" w:eastAsiaTheme="majorEastAsia" w:hAnsiTheme="majorHAnsi" w:cstheme="majorBidi"/>
          <w:sz w:val="24"/>
          <w:szCs w:val="24"/>
        </w:rPr>
        <w:t xml:space="preserve"> </w:t>
      </w:r>
    </w:p>
    <w:p w14:paraId="5FB84B47" w14:textId="5B0DE0DD" w:rsidR="0036444F" w:rsidRPr="00751DC3" w:rsidRDefault="0036444F" w:rsidP="00FE2561">
      <w:pPr>
        <w:pStyle w:val="ListParagraph"/>
        <w:numPr>
          <w:ilvl w:val="0"/>
          <w:numId w:val="16"/>
        </w:numPr>
        <w:rPr>
          <w:rFonts w:asciiTheme="majorHAnsi" w:eastAsiaTheme="majorEastAsia" w:hAnsiTheme="majorHAnsi" w:cstheme="majorBidi"/>
          <w:sz w:val="24"/>
          <w:szCs w:val="24"/>
        </w:rPr>
      </w:pPr>
      <w:r w:rsidRPr="0036444F">
        <w:rPr>
          <w:rFonts w:asciiTheme="majorHAnsi" w:eastAsiaTheme="majorEastAsia" w:hAnsiTheme="majorHAnsi" w:cstheme="majorBidi"/>
          <w:sz w:val="24"/>
          <w:szCs w:val="24"/>
        </w:rPr>
        <w:t>Australian Commission on Safety and Quality in Health Care. Stillbirth Clinical Care Standard. Sydney: ACSQHC; 2022.</w:t>
      </w:r>
      <w:r>
        <w:rPr>
          <w:rFonts w:asciiTheme="majorHAnsi" w:eastAsiaTheme="majorEastAsia" w:hAnsiTheme="majorHAnsi" w:cstheme="majorBidi"/>
          <w:sz w:val="24"/>
          <w:szCs w:val="24"/>
        </w:rPr>
        <w:t xml:space="preserve"> Available from:</w:t>
      </w:r>
      <w:r w:rsidRPr="0036444F">
        <w:rPr>
          <w:rFonts w:ascii="Arial" w:eastAsia="Calibri" w:hAnsi="Arial" w:cs="Arial"/>
          <w:color w:val="000000" w:themeColor="text1"/>
          <w:sz w:val="24"/>
          <w:szCs w:val="24"/>
        </w:rPr>
        <w:t xml:space="preserve"> </w:t>
      </w:r>
      <w:hyperlink r:id="rId40" w:history="1">
        <w:r w:rsidRPr="0036444F">
          <w:rPr>
            <w:rStyle w:val="Hyperlink"/>
            <w:rFonts w:asciiTheme="majorHAnsi" w:eastAsiaTheme="majorEastAsia" w:hAnsiTheme="majorHAnsi" w:cstheme="majorBidi"/>
            <w:sz w:val="24"/>
            <w:szCs w:val="24"/>
          </w:rPr>
          <w:t>Stillbirth Clinical Care Standard (2022) | Australian Commission on Safety and Quality in Health Care</w:t>
        </w:r>
      </w:hyperlink>
    </w:p>
    <w:p w14:paraId="6F523714" w14:textId="006B1665" w:rsidR="00751DC3" w:rsidRPr="000C54B4" w:rsidRDefault="000C54B4" w:rsidP="00FE2561">
      <w:pPr>
        <w:pStyle w:val="ListParagraph"/>
        <w:numPr>
          <w:ilvl w:val="0"/>
          <w:numId w:val="16"/>
        </w:numPr>
        <w:rPr>
          <w:rFonts w:asciiTheme="majorHAnsi" w:eastAsiaTheme="majorEastAsia" w:hAnsiTheme="majorHAnsi" w:cstheme="majorBidi"/>
          <w:sz w:val="24"/>
          <w:szCs w:val="24"/>
        </w:rPr>
      </w:pPr>
      <w:r w:rsidRPr="000C54B4">
        <w:rPr>
          <w:rFonts w:asciiTheme="majorHAnsi" w:eastAsiaTheme="majorEastAsia" w:hAnsiTheme="majorHAnsi" w:cstheme="majorBidi"/>
          <w:sz w:val="24"/>
          <w:szCs w:val="24"/>
        </w:rPr>
        <w:t xml:space="preserve">Royal Australia and New Zealand College of Obstetricians and Gynaecologists. (2022). </w:t>
      </w:r>
      <w:r>
        <w:rPr>
          <w:rFonts w:asciiTheme="majorHAnsi" w:eastAsiaTheme="majorEastAsia" w:hAnsiTheme="majorHAnsi" w:cstheme="majorBidi"/>
          <w:sz w:val="24"/>
          <w:szCs w:val="24"/>
        </w:rPr>
        <w:t xml:space="preserve">Vitamin and Mineral Supplementation in Pregnancy. </w:t>
      </w:r>
      <w:r w:rsidRPr="000C54B4">
        <w:rPr>
          <w:rFonts w:asciiTheme="majorHAnsi" w:eastAsiaTheme="majorEastAsia" w:hAnsiTheme="majorHAnsi" w:cstheme="majorBidi"/>
          <w:sz w:val="24"/>
          <w:szCs w:val="24"/>
        </w:rPr>
        <w:t>Available from</w:t>
      </w:r>
      <w:r w:rsidRPr="000C54B4">
        <w:rPr>
          <w:rFonts w:ascii="Arial" w:eastAsia="Calibri" w:hAnsi="Arial" w:cs="Arial"/>
          <w:color w:val="000000" w:themeColor="text1"/>
          <w:sz w:val="24"/>
          <w:szCs w:val="24"/>
        </w:rPr>
        <w:t xml:space="preserve"> </w:t>
      </w:r>
      <w:hyperlink r:id="rId41" w:history="1">
        <w:r w:rsidRPr="000C54B4">
          <w:rPr>
            <w:rStyle w:val="Hyperlink"/>
            <w:rFonts w:asciiTheme="majorHAnsi" w:eastAsiaTheme="majorEastAsia" w:hAnsiTheme="majorHAnsi" w:cstheme="majorBidi"/>
            <w:sz w:val="24"/>
            <w:szCs w:val="24"/>
          </w:rPr>
          <w:t>Vitamin and mineral supplementation in pregnancy</w:t>
        </w:r>
      </w:hyperlink>
      <w:r w:rsidRPr="000C54B4">
        <w:rPr>
          <w:rFonts w:asciiTheme="majorHAnsi" w:eastAsiaTheme="majorEastAsia" w:hAnsiTheme="majorHAnsi" w:cstheme="majorBidi"/>
          <w:sz w:val="24"/>
          <w:szCs w:val="24"/>
        </w:rPr>
        <w:t xml:space="preserve"> </w:t>
      </w:r>
    </w:p>
    <w:p w14:paraId="57DFD3A4" w14:textId="3B30C975" w:rsidR="00FE2561" w:rsidRDefault="00280C5D" w:rsidP="00F72103">
      <w:pPr>
        <w:pStyle w:val="Bullet"/>
        <w:numPr>
          <w:ilvl w:val="0"/>
          <w:numId w:val="0"/>
        </w:numPr>
        <w:tabs>
          <w:tab w:val="clear" w:pos="425"/>
        </w:tabs>
        <w:spacing w:after="240"/>
        <w:ind w:left="357" w:hanging="357"/>
      </w:pPr>
      <w:hyperlink w:anchor="_top" w:history="1">
        <w:r w:rsidRPr="004A7A7F">
          <w:rPr>
            <w:rStyle w:val="Hyperlink"/>
          </w:rPr>
          <w:t>Back to Contents</w:t>
        </w:r>
      </w:hyperlink>
    </w:p>
    <w:p w14:paraId="2C63D389" w14:textId="0E2CBB98" w:rsidR="5DB52756" w:rsidRPr="00F72103" w:rsidRDefault="5A94307A" w:rsidP="00F72103">
      <w:pPr>
        <w:pStyle w:val="Heading4"/>
      </w:pPr>
      <w:bookmarkStart w:id="21" w:name="_Toc217400060"/>
      <w:r>
        <w:t>Definition of terms</w:t>
      </w:r>
      <w:bookmarkEnd w:id="21"/>
      <w:r>
        <w:t xml:space="preserve"> </w:t>
      </w:r>
    </w:p>
    <w:p w14:paraId="26BC9DD1" w14:textId="4B72D0FD" w:rsidR="00F72103" w:rsidRDefault="5DB52756" w:rsidP="143A4CE6">
      <w:pPr>
        <w:rPr>
          <w:rFonts w:eastAsia="Arial"/>
          <w:b/>
          <w:bCs/>
        </w:rPr>
      </w:pPr>
      <w:r w:rsidRPr="317A33D2">
        <w:rPr>
          <w:rFonts w:eastAsia="Arial"/>
          <w:b/>
          <w:bCs/>
        </w:rPr>
        <w:t>Macrosomia</w:t>
      </w:r>
      <w:r w:rsidR="00426B5F">
        <w:rPr>
          <w:rFonts w:eastAsia="Arial"/>
          <w:b/>
          <w:bCs/>
        </w:rPr>
        <w:t xml:space="preserve"> and Large for </w:t>
      </w:r>
      <w:r w:rsidR="003B67C9">
        <w:rPr>
          <w:rFonts w:eastAsia="Arial"/>
          <w:b/>
          <w:bCs/>
        </w:rPr>
        <w:t>Ge</w:t>
      </w:r>
      <w:r w:rsidR="00426B5F">
        <w:rPr>
          <w:rFonts w:eastAsia="Arial"/>
          <w:b/>
          <w:bCs/>
        </w:rPr>
        <w:t xml:space="preserve">stational </w:t>
      </w:r>
      <w:r w:rsidR="003B67C9">
        <w:rPr>
          <w:rFonts w:eastAsia="Arial"/>
          <w:b/>
          <w:bCs/>
        </w:rPr>
        <w:t>A</w:t>
      </w:r>
      <w:r w:rsidR="00426B5F">
        <w:rPr>
          <w:rFonts w:eastAsia="Arial"/>
          <w:b/>
          <w:bCs/>
        </w:rPr>
        <w:t>ge</w:t>
      </w:r>
      <w:r w:rsidRPr="317A33D2">
        <w:rPr>
          <w:rFonts w:eastAsia="Arial"/>
        </w:rPr>
        <w:t xml:space="preserve">: </w:t>
      </w:r>
      <w:r w:rsidR="003B67C9">
        <w:rPr>
          <w:rFonts w:eastAsia="Arial"/>
        </w:rPr>
        <w:t xml:space="preserve">These two </w:t>
      </w:r>
      <w:r w:rsidR="00426B5F" w:rsidRPr="00426B5F">
        <w:rPr>
          <w:rFonts w:eastAsia="Arial"/>
        </w:rPr>
        <w:t>terms are applied commonly to excessive fetal growth. Large for gestational age (LGA) - implies a birthweight equal to or more than the 90th centile for a given gestational age. Macrosomia - implies growth beyond an absolute birth weight, usually 4000g or 4500g, regardless of gestational age.</w:t>
      </w:r>
      <w:r w:rsidRPr="317A33D2">
        <w:rPr>
          <w:rFonts w:eastAsia="Arial"/>
        </w:rPr>
        <w:t xml:space="preserve"> </w:t>
      </w:r>
    </w:p>
    <w:p w14:paraId="7DF3121E" w14:textId="4BEB8E3D" w:rsidR="5DB52756" w:rsidRDefault="00F72103" w:rsidP="143A4CE6">
      <w:pPr>
        <w:rPr>
          <w:rFonts w:eastAsia="Arial"/>
        </w:rPr>
      </w:pPr>
      <w:r w:rsidRPr="317A33D2">
        <w:rPr>
          <w:rFonts w:eastAsia="Arial"/>
          <w:b/>
          <w:bCs/>
        </w:rPr>
        <w:t>Panniculus</w:t>
      </w:r>
      <w:r w:rsidRPr="317A33D2">
        <w:rPr>
          <w:rFonts w:eastAsia="Arial"/>
        </w:rPr>
        <w:t>: a dense layer of fatty tissue growth, consisting of subcutaneous fat in the lower abdominal area</w:t>
      </w:r>
    </w:p>
    <w:p w14:paraId="561AF399" w14:textId="3283CD97" w:rsidR="00CB1EE4" w:rsidRDefault="00280C5D" w:rsidP="002D7682">
      <w:pPr>
        <w:pStyle w:val="BodyCopy"/>
      </w:pPr>
      <w:hyperlink w:anchor="_top" w:history="1">
        <w:r w:rsidRPr="00481A6C">
          <w:rPr>
            <w:rStyle w:val="Hyperlink"/>
            <w:iCs w:val="0"/>
          </w:rPr>
          <w:t>Back to Contents</w:t>
        </w:r>
      </w:hyperlink>
    </w:p>
    <w:p w14:paraId="25BDFBDB" w14:textId="77777777" w:rsidR="0078367D" w:rsidRDefault="5A94307A" w:rsidP="00A6051F">
      <w:pPr>
        <w:pStyle w:val="Heading4"/>
      </w:pPr>
      <w:bookmarkStart w:id="22" w:name="_Toc217400061"/>
      <w:r>
        <w:t>Search terms</w:t>
      </w:r>
      <w:bookmarkEnd w:id="22"/>
    </w:p>
    <w:p w14:paraId="0473CF3D" w14:textId="4A5EA50F" w:rsidR="00280C5D" w:rsidRDefault="42E29D69" w:rsidP="143A4CE6">
      <w:pPr>
        <w:rPr>
          <w:lang w:eastAsia="en-US"/>
        </w:rPr>
      </w:pPr>
      <w:r w:rsidRPr="143A4CE6">
        <w:rPr>
          <w:rFonts w:eastAsia="Arial"/>
        </w:rPr>
        <w:t>Bariatric woman, Obese woman, Overweight woman, Obesity in pregnancy, Obesity in labour, Obesity and birthing</w:t>
      </w:r>
      <w:r w:rsidR="002A7F01">
        <w:rPr>
          <w:rFonts w:eastAsia="Arial"/>
        </w:rPr>
        <w:t>, north, BMI, body mass index</w:t>
      </w:r>
      <w:r w:rsidRPr="143A4CE6">
        <w:rPr>
          <w:rFonts w:eastAsia="Arial"/>
        </w:rPr>
        <w:t>.</w:t>
      </w:r>
      <w:r w:rsidR="39C78087" w:rsidRPr="143A4CE6">
        <w:rPr>
          <w:lang w:eastAsia="en-US"/>
        </w:rPr>
        <w:t xml:space="preserve"> </w:t>
      </w:r>
    </w:p>
    <w:p w14:paraId="69E1FFFE" w14:textId="77777777" w:rsidR="00280C5D" w:rsidRDefault="39C78087" w:rsidP="002D7682">
      <w:pPr>
        <w:pStyle w:val="Bullet"/>
        <w:numPr>
          <w:ilvl w:val="0"/>
          <w:numId w:val="0"/>
        </w:numPr>
        <w:spacing w:after="240"/>
        <w:rPr>
          <w:lang w:eastAsia="en-US"/>
        </w:rPr>
      </w:pPr>
      <w:hyperlink w:anchor="_top">
        <w:r w:rsidRPr="143A4CE6">
          <w:rPr>
            <w:rStyle w:val="Hyperlink"/>
          </w:rPr>
          <w:t>Back to Contents</w:t>
        </w:r>
      </w:hyperlink>
    </w:p>
    <w:p w14:paraId="2A5085A5" w14:textId="77777777" w:rsidR="009A5010" w:rsidRPr="001F3ED6" w:rsidRDefault="00280C5D" w:rsidP="001F3ED6">
      <w:pPr>
        <w:pStyle w:val="BodyCopy"/>
        <w:rPr>
          <w:rStyle w:val="Bold"/>
        </w:rPr>
      </w:pPr>
      <w:r w:rsidRPr="001F3ED6">
        <w:rPr>
          <w:rStyle w:val="Bold"/>
        </w:rPr>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750120C6"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6E23E2C1" w14:textId="77777777" w:rsidR="00280C5D" w:rsidRDefault="00280C5D" w:rsidP="003B0E72">
            <w:pPr>
              <w:pStyle w:val="Tableheader"/>
            </w:pPr>
            <w:r>
              <w:t>Date amended</w:t>
            </w:r>
          </w:p>
        </w:tc>
        <w:tc>
          <w:tcPr>
            <w:tcW w:w="2477" w:type="dxa"/>
          </w:tcPr>
          <w:p w14:paraId="71BF01D1" w14:textId="77777777" w:rsidR="00280C5D" w:rsidRDefault="00280C5D" w:rsidP="003B0E72">
            <w:pPr>
              <w:pStyle w:val="Tableheader"/>
            </w:pPr>
            <w:r>
              <w:t>Section amended</w:t>
            </w:r>
          </w:p>
        </w:tc>
        <w:tc>
          <w:tcPr>
            <w:tcW w:w="2555" w:type="dxa"/>
          </w:tcPr>
          <w:p w14:paraId="47B5AAEF" w14:textId="77777777" w:rsidR="00280C5D" w:rsidRDefault="00280C5D" w:rsidP="003B0E72">
            <w:pPr>
              <w:pStyle w:val="Tableheader"/>
            </w:pPr>
            <w:r>
              <w:t>Divisional approval</w:t>
            </w:r>
          </w:p>
        </w:tc>
        <w:tc>
          <w:tcPr>
            <w:tcW w:w="2403" w:type="dxa"/>
          </w:tcPr>
          <w:p w14:paraId="1F6B5DFB" w14:textId="77777777" w:rsidR="00280C5D" w:rsidRDefault="00280C5D" w:rsidP="003B0E72">
            <w:pPr>
              <w:pStyle w:val="Tableheader"/>
            </w:pPr>
            <w:r>
              <w:t>Final approval</w:t>
            </w:r>
          </w:p>
        </w:tc>
      </w:tr>
      <w:tr w:rsidR="00280C5D" w14:paraId="3955F6C7" w14:textId="77777777" w:rsidTr="003B0E72">
        <w:tc>
          <w:tcPr>
            <w:tcW w:w="2476" w:type="dxa"/>
          </w:tcPr>
          <w:p w14:paraId="47534DC8" w14:textId="5EA9203C" w:rsidR="00280C5D" w:rsidRDefault="00774E46" w:rsidP="003B0E72">
            <w:pPr>
              <w:pStyle w:val="Tablebody"/>
              <w:rPr>
                <w:lang w:eastAsia="en-US"/>
              </w:rPr>
            </w:pPr>
            <w:r>
              <w:rPr>
                <w:lang w:eastAsia="en-US"/>
              </w:rPr>
              <w:t>24/12/2025</w:t>
            </w:r>
          </w:p>
        </w:tc>
        <w:tc>
          <w:tcPr>
            <w:tcW w:w="2477" w:type="dxa"/>
          </w:tcPr>
          <w:p w14:paraId="61DBC340" w14:textId="350A492B" w:rsidR="00280C5D" w:rsidRDefault="00774E46" w:rsidP="003B0E72">
            <w:pPr>
              <w:pStyle w:val="Tablebody"/>
              <w:rPr>
                <w:lang w:eastAsia="en-US"/>
              </w:rPr>
            </w:pPr>
            <w:r>
              <w:rPr>
                <w:lang w:eastAsia="en-US"/>
              </w:rPr>
              <w:t>New document</w:t>
            </w:r>
          </w:p>
        </w:tc>
        <w:tc>
          <w:tcPr>
            <w:tcW w:w="2555" w:type="dxa"/>
          </w:tcPr>
          <w:p w14:paraId="46DE6709" w14:textId="241BB6BB" w:rsidR="00280C5D" w:rsidRDefault="00774E46" w:rsidP="003B0E72">
            <w:pPr>
              <w:pStyle w:val="Tablebody"/>
              <w:rPr>
                <w:lang w:eastAsia="en-US"/>
              </w:rPr>
            </w:pPr>
            <w:r>
              <w:rPr>
                <w:lang w:eastAsia="en-US"/>
              </w:rPr>
              <w:t>Kath Wakefield, ED WYC</w:t>
            </w:r>
          </w:p>
        </w:tc>
        <w:tc>
          <w:tcPr>
            <w:tcW w:w="2403" w:type="dxa"/>
          </w:tcPr>
          <w:p w14:paraId="5D23969D" w14:textId="3B874B7C" w:rsidR="00280C5D" w:rsidRDefault="00774E46" w:rsidP="003B0E72">
            <w:pPr>
              <w:pStyle w:val="Tablebody"/>
              <w:rPr>
                <w:lang w:eastAsia="en-US"/>
              </w:rPr>
            </w:pPr>
            <w:r>
              <w:rPr>
                <w:lang w:eastAsia="en-US"/>
              </w:rPr>
              <w:t>Policy Document Review Panel</w:t>
            </w:r>
          </w:p>
        </w:tc>
      </w:tr>
      <w:tr w:rsidR="00280C5D" w14:paraId="1535298A" w14:textId="77777777" w:rsidTr="003B0E72">
        <w:tc>
          <w:tcPr>
            <w:tcW w:w="2476" w:type="dxa"/>
          </w:tcPr>
          <w:p w14:paraId="31E8FFCB" w14:textId="77777777" w:rsidR="00280C5D" w:rsidRDefault="00280C5D" w:rsidP="003B0E72">
            <w:pPr>
              <w:pStyle w:val="Tablebody"/>
              <w:rPr>
                <w:lang w:eastAsia="en-US"/>
              </w:rPr>
            </w:pPr>
          </w:p>
        </w:tc>
        <w:tc>
          <w:tcPr>
            <w:tcW w:w="2477" w:type="dxa"/>
          </w:tcPr>
          <w:p w14:paraId="52A9DDDF" w14:textId="77777777" w:rsidR="00280C5D" w:rsidRDefault="00280C5D" w:rsidP="003B0E72">
            <w:pPr>
              <w:pStyle w:val="Tablebody"/>
              <w:rPr>
                <w:lang w:eastAsia="en-US"/>
              </w:rPr>
            </w:pPr>
          </w:p>
        </w:tc>
        <w:tc>
          <w:tcPr>
            <w:tcW w:w="2555" w:type="dxa"/>
          </w:tcPr>
          <w:p w14:paraId="59B186A8" w14:textId="77777777" w:rsidR="00280C5D" w:rsidRDefault="00280C5D" w:rsidP="003B0E72">
            <w:pPr>
              <w:pStyle w:val="Tablebody"/>
              <w:rPr>
                <w:lang w:eastAsia="en-US"/>
              </w:rPr>
            </w:pPr>
          </w:p>
        </w:tc>
        <w:tc>
          <w:tcPr>
            <w:tcW w:w="2403" w:type="dxa"/>
          </w:tcPr>
          <w:p w14:paraId="0A87C249" w14:textId="77777777" w:rsidR="00280C5D" w:rsidRDefault="00280C5D" w:rsidP="003B0E72">
            <w:pPr>
              <w:pStyle w:val="Tablebody"/>
              <w:rPr>
                <w:lang w:eastAsia="en-US"/>
              </w:rPr>
            </w:pPr>
          </w:p>
        </w:tc>
      </w:tr>
    </w:tbl>
    <w:p w14:paraId="33873D65"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73E4F3B4"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664B1040" w14:textId="77777777" w:rsidR="00280C5D" w:rsidRDefault="00280C5D" w:rsidP="003B0E72">
            <w:pPr>
              <w:pStyle w:val="Tableheader"/>
            </w:pPr>
            <w:r>
              <w:t>Document number</w:t>
            </w:r>
          </w:p>
        </w:tc>
        <w:tc>
          <w:tcPr>
            <w:tcW w:w="7653" w:type="dxa"/>
          </w:tcPr>
          <w:p w14:paraId="68BB48CE" w14:textId="77777777" w:rsidR="00280C5D" w:rsidRDefault="00280C5D" w:rsidP="003B0E72">
            <w:pPr>
              <w:pStyle w:val="Tableheader"/>
            </w:pPr>
            <w:r>
              <w:t>Document name</w:t>
            </w:r>
          </w:p>
        </w:tc>
      </w:tr>
      <w:tr w:rsidR="00280C5D" w14:paraId="797B5A7B" w14:textId="77777777" w:rsidTr="003B0E72">
        <w:tc>
          <w:tcPr>
            <w:tcW w:w="2548" w:type="dxa"/>
          </w:tcPr>
          <w:p w14:paraId="31663DAC" w14:textId="3256A184" w:rsidR="00280C5D" w:rsidRDefault="00774E46" w:rsidP="003B0E72">
            <w:pPr>
              <w:pStyle w:val="Tablebody"/>
              <w:rPr>
                <w:lang w:eastAsia="en-US"/>
              </w:rPr>
            </w:pPr>
            <w:r>
              <w:rPr>
                <w:lang w:eastAsia="en-US"/>
              </w:rPr>
              <w:t>CHS21/620</w:t>
            </w:r>
          </w:p>
        </w:tc>
        <w:tc>
          <w:tcPr>
            <w:tcW w:w="7653" w:type="dxa"/>
          </w:tcPr>
          <w:p w14:paraId="3A58BDEF" w14:textId="68C17380" w:rsidR="00280C5D" w:rsidRDefault="00774E46" w:rsidP="003B0E72">
            <w:pPr>
              <w:pStyle w:val="Tablebody"/>
              <w:rPr>
                <w:lang w:eastAsia="en-US"/>
              </w:rPr>
            </w:pPr>
            <w:r>
              <w:rPr>
                <w:lang w:eastAsia="en-US"/>
              </w:rPr>
              <w:t xml:space="preserve">Obesity – Pregnancy, </w:t>
            </w:r>
            <w:proofErr w:type="spellStart"/>
            <w:r>
              <w:rPr>
                <w:lang w:eastAsia="en-US"/>
              </w:rPr>
              <w:t>Labour</w:t>
            </w:r>
            <w:proofErr w:type="spellEnd"/>
            <w:r>
              <w:rPr>
                <w:lang w:eastAsia="en-US"/>
              </w:rPr>
              <w:t>, Birth and Postnatal Care</w:t>
            </w:r>
          </w:p>
        </w:tc>
      </w:tr>
      <w:tr w:rsidR="00280C5D" w14:paraId="2834103F" w14:textId="77777777" w:rsidTr="003B0E72">
        <w:tc>
          <w:tcPr>
            <w:tcW w:w="2548" w:type="dxa"/>
          </w:tcPr>
          <w:p w14:paraId="0C4B06AA" w14:textId="77777777" w:rsidR="00280C5D" w:rsidRDefault="00280C5D" w:rsidP="003B0E72">
            <w:pPr>
              <w:pStyle w:val="Tablebody"/>
              <w:rPr>
                <w:lang w:eastAsia="en-US"/>
              </w:rPr>
            </w:pPr>
          </w:p>
        </w:tc>
        <w:tc>
          <w:tcPr>
            <w:tcW w:w="7653" w:type="dxa"/>
          </w:tcPr>
          <w:p w14:paraId="354B637A" w14:textId="77777777" w:rsidR="00280C5D" w:rsidRDefault="00280C5D" w:rsidP="003B0E72">
            <w:pPr>
              <w:pStyle w:val="Tablebody"/>
              <w:rPr>
                <w:lang w:eastAsia="en-US"/>
              </w:rPr>
            </w:pPr>
          </w:p>
        </w:tc>
      </w:tr>
    </w:tbl>
    <w:p w14:paraId="705FFAF4" w14:textId="77777777" w:rsidR="00280C5D" w:rsidRPr="001F3ED6" w:rsidRDefault="00280C5D" w:rsidP="001F3ED6">
      <w:pPr>
        <w:pStyle w:val="BodyCopy"/>
        <w:rPr>
          <w:rStyle w:val="Bold"/>
        </w:rPr>
      </w:pPr>
      <w:r w:rsidRPr="001F3ED6">
        <w:rPr>
          <w:rStyle w:val="Bold"/>
        </w:rPr>
        <w:t>Disclaimer</w:t>
      </w:r>
    </w:p>
    <w:p w14:paraId="2D2B5A14"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732B796B"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2481F9E1" w14:textId="77777777" w:rsidTr="00E2328B">
        <w:tc>
          <w:tcPr>
            <w:tcW w:w="5271" w:type="dxa"/>
            <w:shd w:val="clear" w:color="auto" w:fill="F4F3EE"/>
            <w:tcMar>
              <w:top w:w="142" w:type="dxa"/>
              <w:left w:w="170" w:type="dxa"/>
              <w:bottom w:w="142" w:type="dxa"/>
              <w:right w:w="170" w:type="dxa"/>
            </w:tcMar>
          </w:tcPr>
          <w:bookmarkStart w:id="23" w:name="_Hlk160027189" w:displacedByCustomXml="next"/>
          <w:sdt>
            <w:sdtPr>
              <w:rPr>
                <w:color w:val="auto"/>
                <w:u w:val="single"/>
              </w:rPr>
              <w:id w:val="643171884"/>
              <w:placeholder>
                <w:docPart w:val="0737B455214F41BA8B7A6E00205BA0F2"/>
              </w:placeholder>
            </w:sdtPr>
            <w:sdtEndPr>
              <w:rPr>
                <w:color w:val="000000" w:themeColor="text1"/>
                <w:u w:val="none"/>
              </w:rPr>
            </w:sdtEndPr>
            <w:sdtContent>
              <w:p w14:paraId="0FF31608" w14:textId="77777777" w:rsidR="00280C5D" w:rsidRPr="00350211" w:rsidRDefault="00280C5D" w:rsidP="003B0E72">
                <w:pPr>
                  <w:pStyle w:val="Bottomblocktext"/>
                  <w:rPr>
                    <w:b/>
                    <w:bCs w:val="0"/>
                    <w:sz w:val="20"/>
                    <w:szCs w:val="20"/>
                  </w:rPr>
                </w:pPr>
                <w:r>
                  <w:rPr>
                    <w:noProof/>
                    <w:sz w:val="20"/>
                    <w:szCs w:val="20"/>
                  </w:rPr>
                  <w:drawing>
                    <wp:inline distT="0" distB="0" distL="0" distR="0" wp14:anchorId="0BB26495" wp14:editId="55C97108">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BA0DB03"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64FF0570"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3E4FF9F90FDA485FB46E757D1FF1A91E"/>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A478683962604B459DC8E1F84CFDB6F1"/>
            </w:placeholder>
            <w:showingPlcHdr/>
          </w:sdtPr>
          <w:sdtEndPr/>
          <w:sdtContent>
            <w:tc>
              <w:tcPr>
                <w:tcW w:w="4650" w:type="dxa"/>
                <w:shd w:val="clear" w:color="auto" w:fill="F4F3EE"/>
                <w:tcMar>
                  <w:top w:w="142" w:type="dxa"/>
                  <w:left w:w="170" w:type="dxa"/>
                  <w:bottom w:w="142" w:type="dxa"/>
                  <w:right w:w="170" w:type="dxa"/>
                </w:tcMar>
              </w:tcPr>
              <w:p w14:paraId="26808390"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C0235FF" wp14:editId="6BDE354D">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4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46AFB79E" wp14:editId="5E2410EC">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4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2B43F80A"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8AA167C" wp14:editId="202D6A57">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4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955568A" wp14:editId="29E591D3">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4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98F7178" w14:textId="77777777" w:rsidR="00280C5D" w:rsidRDefault="00280C5D" w:rsidP="003B0E72">
                <w:pPr>
                  <w:pStyle w:val="Bottomblocktext"/>
                  <w:rPr>
                    <w:sz w:val="20"/>
                    <w:szCs w:val="20"/>
                  </w:rPr>
                </w:pPr>
                <w:hyperlink r:id="rId46" w:history="1">
                  <w:r w:rsidRPr="00350211">
                    <w:rPr>
                      <w:rStyle w:val="Hyperlink"/>
                      <w:sz w:val="20"/>
                      <w:szCs w:val="20"/>
                    </w:rPr>
                    <w:t>canberrahealthservices.act.gov.au/accessibility</w:t>
                  </w:r>
                </w:hyperlink>
              </w:p>
              <w:p w14:paraId="3F0100A1" w14:textId="77777777" w:rsidR="00280C5D" w:rsidRDefault="00280C5D" w:rsidP="003B0E72">
                <w:pPr>
                  <w:pStyle w:val="Bottomblocktext"/>
                </w:pPr>
                <w:r>
                  <w:rPr>
                    <w:b/>
                    <w:bCs w:val="0"/>
                    <w:noProof/>
                  </w:rPr>
                  <w:drawing>
                    <wp:inline distT="0" distB="0" distL="0" distR="0" wp14:anchorId="67180D23" wp14:editId="20BCEE7A">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4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1"/>
      <w:bookmarkEnd w:id="23"/>
    </w:tbl>
    <w:p w14:paraId="3006B09E" w14:textId="6F870399" w:rsidR="00A513AA" w:rsidRDefault="00A513AA" w:rsidP="143A4CE6">
      <w:pPr>
        <w:pStyle w:val="BodyCopy"/>
        <w:spacing w:before="0" w:after="0" w:line="240" w:lineRule="auto"/>
        <w:rPr>
          <w:lang w:eastAsia="en-US"/>
        </w:rPr>
      </w:pPr>
    </w:p>
    <w:sectPr w:rsidR="00A513AA" w:rsidSect="0007270D">
      <w:footerReference w:type="default" r:id="rId48"/>
      <w:headerReference w:type="first" r:id="rId49"/>
      <w:footerReference w:type="first" r:id="rId50"/>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940B" w14:textId="77777777" w:rsidR="00447918" w:rsidRDefault="00447918" w:rsidP="00225769">
      <w:pPr>
        <w:spacing w:after="0" w:line="240" w:lineRule="auto"/>
      </w:pPr>
      <w:r>
        <w:separator/>
      </w:r>
    </w:p>
    <w:p w14:paraId="7D164DDF" w14:textId="77777777" w:rsidR="00447918" w:rsidRDefault="00447918"/>
    <w:p w14:paraId="5BB66915" w14:textId="77777777" w:rsidR="00447918" w:rsidRDefault="00447918"/>
    <w:p w14:paraId="7FEA3B3E" w14:textId="77777777" w:rsidR="00447918" w:rsidRDefault="00447918"/>
    <w:p w14:paraId="57EFB9F3" w14:textId="77777777" w:rsidR="00447918" w:rsidRDefault="00447918"/>
    <w:p w14:paraId="22BD8602" w14:textId="77777777" w:rsidR="00447918" w:rsidRDefault="00447918"/>
    <w:p w14:paraId="5BCAAF53" w14:textId="77777777" w:rsidR="00447918" w:rsidRDefault="00447918"/>
  </w:endnote>
  <w:endnote w:type="continuationSeparator" w:id="0">
    <w:p w14:paraId="7D7FEC0F" w14:textId="77777777" w:rsidR="00447918" w:rsidRDefault="00447918" w:rsidP="00225769">
      <w:pPr>
        <w:spacing w:after="0" w:line="240" w:lineRule="auto"/>
      </w:pPr>
      <w:r>
        <w:continuationSeparator/>
      </w:r>
    </w:p>
    <w:p w14:paraId="2F8FF5A9" w14:textId="77777777" w:rsidR="00447918" w:rsidRDefault="00447918"/>
    <w:p w14:paraId="40D011C3" w14:textId="77777777" w:rsidR="00447918" w:rsidRDefault="00447918"/>
    <w:p w14:paraId="0946369E" w14:textId="77777777" w:rsidR="00447918" w:rsidRDefault="00447918"/>
    <w:p w14:paraId="65A9F787" w14:textId="77777777" w:rsidR="00447918" w:rsidRDefault="00447918"/>
    <w:p w14:paraId="4489F5B9" w14:textId="77777777" w:rsidR="00447918" w:rsidRDefault="00447918"/>
    <w:p w14:paraId="7BA48176" w14:textId="77777777" w:rsidR="00447918" w:rsidRDefault="004479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81A6C" w:rsidRPr="006B62B4" w14:paraId="4160B1BA" w14:textId="77777777" w:rsidTr="003B0E72">
      <w:trPr>
        <w:jc w:val="center"/>
      </w:trPr>
      <w:tc>
        <w:tcPr>
          <w:tcW w:w="1515" w:type="dxa"/>
        </w:tcPr>
        <w:p w14:paraId="54033F89"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1BA952D9"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49DC0DC6"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1A092E96"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1746" w:type="dxa"/>
        </w:tcPr>
        <w:p w14:paraId="6D4CF92C"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836" w:type="dxa"/>
        </w:tcPr>
        <w:p w14:paraId="3CFFEE2B"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481A6C" w:rsidRPr="006B62B4" w14:paraId="0F00E600" w14:textId="77777777" w:rsidTr="003B0E72">
      <w:trPr>
        <w:jc w:val="center"/>
      </w:trPr>
      <w:tc>
        <w:tcPr>
          <w:tcW w:w="1515" w:type="dxa"/>
        </w:tcPr>
        <w:p w14:paraId="358EF8B3" w14:textId="0EE4FE27" w:rsidR="00481A6C" w:rsidRPr="00954F7B" w:rsidRDefault="00774E46" w:rsidP="00481A6C">
          <w:pPr>
            <w:pStyle w:val="Footer"/>
            <w:jc w:val="center"/>
            <w:rPr>
              <w:bCs/>
              <w:iCs/>
              <w:sz w:val="20"/>
              <w:szCs w:val="20"/>
            </w:rPr>
          </w:pPr>
          <w:r>
            <w:rPr>
              <w:bCs/>
              <w:iCs/>
              <w:sz w:val="20"/>
              <w:szCs w:val="20"/>
            </w:rPr>
            <w:t>CHS25/446</w:t>
          </w:r>
        </w:p>
      </w:tc>
      <w:tc>
        <w:tcPr>
          <w:tcW w:w="965" w:type="dxa"/>
        </w:tcPr>
        <w:p w14:paraId="48E7B37C" w14:textId="77FD3445" w:rsidR="00481A6C" w:rsidRPr="00954F7B" w:rsidRDefault="00774E46" w:rsidP="00481A6C">
          <w:pPr>
            <w:pStyle w:val="Footer"/>
            <w:jc w:val="center"/>
            <w:rPr>
              <w:bCs/>
              <w:iCs/>
              <w:sz w:val="20"/>
              <w:szCs w:val="20"/>
            </w:rPr>
          </w:pPr>
          <w:r>
            <w:rPr>
              <w:bCs/>
              <w:iCs/>
              <w:sz w:val="20"/>
              <w:szCs w:val="20"/>
            </w:rPr>
            <w:t>1</w:t>
          </w:r>
        </w:p>
      </w:tc>
      <w:tc>
        <w:tcPr>
          <w:tcW w:w="1552" w:type="dxa"/>
        </w:tcPr>
        <w:p w14:paraId="7BDD6852" w14:textId="46A1F634" w:rsidR="00481A6C" w:rsidRPr="00954F7B" w:rsidRDefault="00774E46" w:rsidP="00481A6C">
          <w:pPr>
            <w:pStyle w:val="Footer"/>
            <w:jc w:val="center"/>
            <w:rPr>
              <w:bCs/>
              <w:iCs/>
              <w:sz w:val="20"/>
              <w:szCs w:val="20"/>
            </w:rPr>
          </w:pPr>
          <w:r>
            <w:rPr>
              <w:bCs/>
              <w:iCs/>
              <w:sz w:val="20"/>
              <w:szCs w:val="20"/>
            </w:rPr>
            <w:t>24/12/2025</w:t>
          </w:r>
        </w:p>
      </w:tc>
      <w:tc>
        <w:tcPr>
          <w:tcW w:w="1456" w:type="dxa"/>
        </w:tcPr>
        <w:p w14:paraId="77F80E8B" w14:textId="6DA70A07" w:rsidR="00481A6C" w:rsidRPr="00954F7B" w:rsidRDefault="00774E46" w:rsidP="00481A6C">
          <w:pPr>
            <w:pStyle w:val="Footer"/>
            <w:jc w:val="center"/>
            <w:rPr>
              <w:bCs/>
              <w:iCs/>
              <w:sz w:val="20"/>
              <w:szCs w:val="20"/>
            </w:rPr>
          </w:pPr>
          <w:r>
            <w:rPr>
              <w:bCs/>
              <w:iCs/>
              <w:sz w:val="20"/>
              <w:szCs w:val="20"/>
            </w:rPr>
            <w:t>01/12/2029</w:t>
          </w:r>
        </w:p>
      </w:tc>
      <w:tc>
        <w:tcPr>
          <w:tcW w:w="1746" w:type="dxa"/>
        </w:tcPr>
        <w:p w14:paraId="0252D4F9" w14:textId="38C5562C" w:rsidR="00481A6C" w:rsidRPr="00954F7B" w:rsidRDefault="00774E46" w:rsidP="00481A6C">
          <w:pPr>
            <w:pStyle w:val="Footer"/>
            <w:jc w:val="center"/>
            <w:rPr>
              <w:bCs/>
              <w:iCs/>
              <w:sz w:val="20"/>
              <w:szCs w:val="20"/>
            </w:rPr>
          </w:pPr>
          <w:r>
            <w:rPr>
              <w:bCs/>
              <w:iCs/>
              <w:sz w:val="20"/>
              <w:szCs w:val="20"/>
            </w:rPr>
            <w:t>WYC- Women and babies</w:t>
          </w:r>
        </w:p>
      </w:tc>
      <w:tc>
        <w:tcPr>
          <w:tcW w:w="1836" w:type="dxa"/>
        </w:tcPr>
        <w:p w14:paraId="3EC10C47" w14:textId="77777777" w:rsidR="00481A6C" w:rsidRPr="00954F7B" w:rsidRDefault="00481A6C" w:rsidP="00481A6C">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30844F30"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8A3DD8" w:rsidRPr="006B62B4" w14:paraId="692D9412" w14:textId="77777777" w:rsidTr="008E1ED9">
      <w:trPr>
        <w:jc w:val="center"/>
      </w:trPr>
      <w:tc>
        <w:tcPr>
          <w:tcW w:w="1515" w:type="dxa"/>
        </w:tcPr>
        <w:p w14:paraId="0BDFCDD4"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23E7FED5"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1627E96E"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1432CF58"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1746" w:type="dxa"/>
        </w:tcPr>
        <w:p w14:paraId="7C492726"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1836" w:type="dxa"/>
        </w:tcPr>
        <w:p w14:paraId="1D6FE840"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7FAD256C" w14:textId="77777777" w:rsidTr="008E1ED9">
      <w:trPr>
        <w:jc w:val="center"/>
      </w:trPr>
      <w:tc>
        <w:tcPr>
          <w:tcW w:w="1515" w:type="dxa"/>
        </w:tcPr>
        <w:p w14:paraId="149678EB" w14:textId="12BF2953" w:rsidR="008A3DD8" w:rsidRPr="00954F7B" w:rsidRDefault="00774E46" w:rsidP="008A3DD8">
          <w:pPr>
            <w:pStyle w:val="Footer"/>
            <w:jc w:val="center"/>
            <w:rPr>
              <w:bCs/>
              <w:iCs/>
              <w:sz w:val="20"/>
              <w:szCs w:val="20"/>
            </w:rPr>
          </w:pPr>
          <w:r>
            <w:rPr>
              <w:bCs/>
              <w:iCs/>
              <w:sz w:val="20"/>
              <w:szCs w:val="20"/>
            </w:rPr>
            <w:t>CHS25/446</w:t>
          </w:r>
        </w:p>
      </w:tc>
      <w:tc>
        <w:tcPr>
          <w:tcW w:w="965" w:type="dxa"/>
        </w:tcPr>
        <w:p w14:paraId="6BA984F1" w14:textId="21BA78CC" w:rsidR="008A3DD8" w:rsidRPr="00954F7B" w:rsidRDefault="00774E46" w:rsidP="008A3DD8">
          <w:pPr>
            <w:pStyle w:val="Footer"/>
            <w:jc w:val="center"/>
            <w:rPr>
              <w:bCs/>
              <w:iCs/>
              <w:sz w:val="20"/>
              <w:szCs w:val="20"/>
            </w:rPr>
          </w:pPr>
          <w:r>
            <w:rPr>
              <w:bCs/>
              <w:iCs/>
              <w:sz w:val="20"/>
              <w:szCs w:val="20"/>
            </w:rPr>
            <w:t>1</w:t>
          </w:r>
        </w:p>
      </w:tc>
      <w:tc>
        <w:tcPr>
          <w:tcW w:w="1552" w:type="dxa"/>
        </w:tcPr>
        <w:p w14:paraId="615E0CE2" w14:textId="6192787F" w:rsidR="008A3DD8" w:rsidRPr="00954F7B" w:rsidRDefault="00774E46" w:rsidP="008A3DD8">
          <w:pPr>
            <w:pStyle w:val="Footer"/>
            <w:jc w:val="center"/>
            <w:rPr>
              <w:bCs/>
              <w:iCs/>
              <w:sz w:val="20"/>
              <w:szCs w:val="20"/>
            </w:rPr>
          </w:pPr>
          <w:r>
            <w:rPr>
              <w:bCs/>
              <w:iCs/>
              <w:sz w:val="20"/>
              <w:szCs w:val="20"/>
            </w:rPr>
            <w:t>24/12/2025</w:t>
          </w:r>
        </w:p>
      </w:tc>
      <w:tc>
        <w:tcPr>
          <w:tcW w:w="1456" w:type="dxa"/>
        </w:tcPr>
        <w:p w14:paraId="70211357" w14:textId="11665742" w:rsidR="008A3DD8" w:rsidRPr="00954F7B" w:rsidRDefault="00774E46" w:rsidP="008A3DD8">
          <w:pPr>
            <w:pStyle w:val="Footer"/>
            <w:jc w:val="center"/>
            <w:rPr>
              <w:bCs/>
              <w:iCs/>
              <w:sz w:val="20"/>
              <w:szCs w:val="20"/>
            </w:rPr>
          </w:pPr>
          <w:r>
            <w:rPr>
              <w:bCs/>
              <w:iCs/>
              <w:sz w:val="20"/>
              <w:szCs w:val="20"/>
            </w:rPr>
            <w:t>01/12/2029</w:t>
          </w:r>
        </w:p>
      </w:tc>
      <w:tc>
        <w:tcPr>
          <w:tcW w:w="1746" w:type="dxa"/>
        </w:tcPr>
        <w:p w14:paraId="3FEFD742" w14:textId="2B76CF2F" w:rsidR="008A3DD8" w:rsidRPr="00954F7B" w:rsidRDefault="00774E46" w:rsidP="008A3DD8">
          <w:pPr>
            <w:pStyle w:val="Footer"/>
            <w:jc w:val="center"/>
            <w:rPr>
              <w:bCs/>
              <w:iCs/>
              <w:sz w:val="20"/>
              <w:szCs w:val="20"/>
            </w:rPr>
          </w:pPr>
          <w:r>
            <w:rPr>
              <w:bCs/>
              <w:iCs/>
              <w:sz w:val="20"/>
              <w:szCs w:val="20"/>
            </w:rPr>
            <w:t>WYC – Women and babies</w:t>
          </w:r>
        </w:p>
      </w:tc>
      <w:tc>
        <w:tcPr>
          <w:tcW w:w="1836" w:type="dxa"/>
        </w:tcPr>
        <w:p w14:paraId="6F21D31E"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3081A66F"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1B3C" w14:textId="77777777" w:rsidR="00447918" w:rsidRDefault="00447918" w:rsidP="009D493B">
      <w:pPr>
        <w:spacing w:after="0" w:line="240" w:lineRule="auto"/>
      </w:pPr>
      <w:r>
        <w:separator/>
      </w:r>
    </w:p>
  </w:footnote>
  <w:footnote w:type="continuationSeparator" w:id="0">
    <w:p w14:paraId="4CB2952A" w14:textId="77777777" w:rsidR="00447918" w:rsidRDefault="00447918" w:rsidP="00A9080B">
      <w:pPr>
        <w:spacing w:after="0" w:line="240" w:lineRule="auto"/>
      </w:pPr>
      <w:r>
        <w:continuationSeparator/>
      </w:r>
    </w:p>
    <w:p w14:paraId="7A114100" w14:textId="77777777" w:rsidR="00447918" w:rsidRDefault="00447918"/>
    <w:p w14:paraId="02F7878D" w14:textId="77777777" w:rsidR="00447918" w:rsidRDefault="004479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B9A8" w14:textId="77777777" w:rsidR="008A3DD8" w:rsidRDefault="008A3DD8">
    <w:pPr>
      <w:pStyle w:val="Header"/>
    </w:pPr>
    <w:r w:rsidRPr="00324CF9">
      <w:rPr>
        <w:noProof/>
      </w:rPr>
      <w:drawing>
        <wp:inline distT="0" distB="0" distL="0" distR="0" wp14:anchorId="007C580E" wp14:editId="3D4AB7AD">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7AD8BE"/>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3E672E"/>
    <w:multiLevelType w:val="hybridMultilevel"/>
    <w:tmpl w:val="059462E0"/>
    <w:lvl w:ilvl="0" w:tplc="3B582DE0">
      <w:start w:val="1"/>
      <w:numFmt w:val="decimal"/>
      <w:lvlText w:val="%1."/>
      <w:lvlJc w:val="left"/>
      <w:pPr>
        <w:ind w:left="360" w:hanging="360"/>
      </w:pPr>
    </w:lvl>
    <w:lvl w:ilvl="1" w:tplc="2F7055E0">
      <w:start w:val="1"/>
      <w:numFmt w:val="lowerLetter"/>
      <w:lvlText w:val="%2."/>
      <w:lvlJc w:val="left"/>
      <w:pPr>
        <w:ind w:left="1080" w:hanging="360"/>
      </w:pPr>
    </w:lvl>
    <w:lvl w:ilvl="2" w:tplc="C916004E">
      <w:start w:val="1"/>
      <w:numFmt w:val="lowerRoman"/>
      <w:lvlText w:val="%3."/>
      <w:lvlJc w:val="right"/>
      <w:pPr>
        <w:ind w:left="1800" w:hanging="180"/>
      </w:pPr>
    </w:lvl>
    <w:lvl w:ilvl="3" w:tplc="2FD43F90">
      <w:start w:val="1"/>
      <w:numFmt w:val="decimal"/>
      <w:lvlText w:val="%4."/>
      <w:lvlJc w:val="left"/>
      <w:pPr>
        <w:ind w:left="2520" w:hanging="360"/>
      </w:pPr>
    </w:lvl>
    <w:lvl w:ilvl="4" w:tplc="DD661608">
      <w:start w:val="1"/>
      <w:numFmt w:val="lowerLetter"/>
      <w:lvlText w:val="%5."/>
      <w:lvlJc w:val="left"/>
      <w:pPr>
        <w:ind w:left="3240" w:hanging="360"/>
      </w:pPr>
    </w:lvl>
    <w:lvl w:ilvl="5" w:tplc="B032FA30">
      <w:start w:val="1"/>
      <w:numFmt w:val="lowerRoman"/>
      <w:lvlText w:val="%6."/>
      <w:lvlJc w:val="right"/>
      <w:pPr>
        <w:ind w:left="3960" w:hanging="180"/>
      </w:pPr>
    </w:lvl>
    <w:lvl w:ilvl="6" w:tplc="B0E4A1F8">
      <w:start w:val="1"/>
      <w:numFmt w:val="decimal"/>
      <w:lvlText w:val="%7."/>
      <w:lvlJc w:val="left"/>
      <w:pPr>
        <w:ind w:left="4680" w:hanging="360"/>
      </w:pPr>
    </w:lvl>
    <w:lvl w:ilvl="7" w:tplc="510216D0">
      <w:start w:val="1"/>
      <w:numFmt w:val="lowerLetter"/>
      <w:lvlText w:val="%8."/>
      <w:lvlJc w:val="left"/>
      <w:pPr>
        <w:ind w:left="5400" w:hanging="360"/>
      </w:pPr>
    </w:lvl>
    <w:lvl w:ilvl="8" w:tplc="82AA3EEC">
      <w:start w:val="1"/>
      <w:numFmt w:val="lowerRoman"/>
      <w:lvlText w:val="%9."/>
      <w:lvlJc w:val="right"/>
      <w:pPr>
        <w:ind w:left="6120" w:hanging="180"/>
      </w:pPr>
    </w:lvl>
  </w:abstractNum>
  <w:abstractNum w:abstractNumId="2" w15:restartNumberingAfterBreak="0">
    <w:nsid w:val="05C46E7E"/>
    <w:multiLevelType w:val="hybridMultilevel"/>
    <w:tmpl w:val="48402A5C"/>
    <w:lvl w:ilvl="0" w:tplc="8D28D230">
      <w:start w:val="1"/>
      <w:numFmt w:val="bullet"/>
      <w:lvlText w:val=""/>
      <w:lvlJc w:val="left"/>
      <w:pPr>
        <w:ind w:left="720" w:hanging="360"/>
      </w:pPr>
      <w:rPr>
        <w:rFonts w:ascii="Symbol" w:hAnsi="Symbol" w:hint="default"/>
        <w:sz w:val="24"/>
        <w:szCs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03A1B"/>
    <w:multiLevelType w:val="hybridMultilevel"/>
    <w:tmpl w:val="3BC41BC0"/>
    <w:lvl w:ilvl="0" w:tplc="E3D6258E">
      <w:start w:val="1"/>
      <w:numFmt w:val="bullet"/>
      <w:lvlText w:val=""/>
      <w:lvlJc w:val="left"/>
      <w:pPr>
        <w:tabs>
          <w:tab w:val="num" w:pos="360"/>
        </w:tabs>
        <w:ind w:left="360" w:hanging="360"/>
      </w:pPr>
      <w:rPr>
        <w:rFonts w:ascii="Symbol" w:hAnsi="Symbol" w:hint="default"/>
        <w:color w:val="auto"/>
        <w:vertAlign w:val="baseline"/>
      </w:rPr>
    </w:lvl>
    <w:lvl w:ilvl="1" w:tplc="0C090003">
      <w:start w:val="1"/>
      <w:numFmt w:val="bullet"/>
      <w:lvlText w:val="o"/>
      <w:lvlJc w:val="left"/>
      <w:pPr>
        <w:tabs>
          <w:tab w:val="num" w:pos="360"/>
        </w:tabs>
        <w:ind w:left="360" w:hanging="360"/>
      </w:pPr>
      <w:rPr>
        <w:rFonts w:ascii="Courier New" w:hAnsi="Courier New" w:cs="Times New Roman" w:hint="default"/>
      </w:rPr>
    </w:lvl>
    <w:lvl w:ilvl="2" w:tplc="0C090005">
      <w:start w:val="1"/>
      <w:numFmt w:val="bullet"/>
      <w:lvlText w:val=""/>
      <w:lvlJc w:val="left"/>
      <w:pPr>
        <w:tabs>
          <w:tab w:val="num" w:pos="1080"/>
        </w:tabs>
        <w:ind w:left="1080" w:hanging="360"/>
      </w:pPr>
      <w:rPr>
        <w:rFonts w:ascii="Wingdings" w:hAnsi="Wingdings" w:hint="default"/>
      </w:rPr>
    </w:lvl>
    <w:lvl w:ilvl="3" w:tplc="0C090001">
      <w:start w:val="1"/>
      <w:numFmt w:val="bullet"/>
      <w:lvlText w:val=""/>
      <w:lvlJc w:val="left"/>
      <w:pPr>
        <w:tabs>
          <w:tab w:val="num" w:pos="1800"/>
        </w:tabs>
        <w:ind w:left="1800" w:hanging="360"/>
      </w:pPr>
      <w:rPr>
        <w:rFonts w:ascii="Symbol" w:hAnsi="Symbol" w:hint="default"/>
      </w:rPr>
    </w:lvl>
    <w:lvl w:ilvl="4" w:tplc="0C090003">
      <w:start w:val="1"/>
      <w:numFmt w:val="bullet"/>
      <w:lvlText w:val="o"/>
      <w:lvlJc w:val="left"/>
      <w:pPr>
        <w:tabs>
          <w:tab w:val="num" w:pos="2520"/>
        </w:tabs>
        <w:ind w:left="2520" w:hanging="360"/>
      </w:pPr>
      <w:rPr>
        <w:rFonts w:ascii="Courier New" w:hAnsi="Courier New" w:cs="Times New Roman" w:hint="default"/>
      </w:rPr>
    </w:lvl>
    <w:lvl w:ilvl="5" w:tplc="0C090005">
      <w:start w:val="1"/>
      <w:numFmt w:val="bullet"/>
      <w:lvlText w:val=""/>
      <w:lvlJc w:val="left"/>
      <w:pPr>
        <w:tabs>
          <w:tab w:val="num" w:pos="3240"/>
        </w:tabs>
        <w:ind w:left="3240" w:hanging="360"/>
      </w:pPr>
      <w:rPr>
        <w:rFonts w:ascii="Wingdings" w:hAnsi="Wingdings" w:hint="default"/>
      </w:rPr>
    </w:lvl>
    <w:lvl w:ilvl="6" w:tplc="0C090001">
      <w:start w:val="1"/>
      <w:numFmt w:val="bullet"/>
      <w:lvlText w:val=""/>
      <w:lvlJc w:val="left"/>
      <w:pPr>
        <w:tabs>
          <w:tab w:val="num" w:pos="3960"/>
        </w:tabs>
        <w:ind w:left="3960" w:hanging="360"/>
      </w:pPr>
      <w:rPr>
        <w:rFonts w:ascii="Symbol" w:hAnsi="Symbol" w:hint="default"/>
      </w:rPr>
    </w:lvl>
    <w:lvl w:ilvl="7" w:tplc="0C090003">
      <w:start w:val="1"/>
      <w:numFmt w:val="bullet"/>
      <w:lvlText w:val="o"/>
      <w:lvlJc w:val="left"/>
      <w:pPr>
        <w:tabs>
          <w:tab w:val="num" w:pos="4680"/>
        </w:tabs>
        <w:ind w:left="4680" w:hanging="360"/>
      </w:pPr>
      <w:rPr>
        <w:rFonts w:ascii="Courier New" w:hAnsi="Courier New" w:cs="Times New Roman" w:hint="default"/>
      </w:rPr>
    </w:lvl>
    <w:lvl w:ilvl="8" w:tplc="0C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9B774DB"/>
    <w:multiLevelType w:val="hybridMultilevel"/>
    <w:tmpl w:val="9C6A25C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0B056091"/>
    <w:multiLevelType w:val="hybridMultilevel"/>
    <w:tmpl w:val="9E6AE62E"/>
    <w:lvl w:ilvl="0" w:tplc="CD1C550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E60F97"/>
    <w:multiLevelType w:val="multilevel"/>
    <w:tmpl w:val="7616C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BA1AF9"/>
    <w:multiLevelType w:val="hybridMultilevel"/>
    <w:tmpl w:val="717C1BA6"/>
    <w:lvl w:ilvl="0" w:tplc="360E492C">
      <w:start w:val="1"/>
      <w:numFmt w:val="bullet"/>
      <w:lvlText w:val="o"/>
      <w:lvlJc w:val="left"/>
      <w:pPr>
        <w:ind w:left="643" w:hanging="360"/>
      </w:pPr>
      <w:rPr>
        <w:rFonts w:ascii="Courier New" w:hAnsi="Courier New" w:cs="Courier New" w:hint="default"/>
        <w:vertAlign w:val="baseline"/>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36C4D1D"/>
    <w:multiLevelType w:val="hybridMultilevel"/>
    <w:tmpl w:val="34505FCE"/>
    <w:lvl w:ilvl="0" w:tplc="BBB0D122">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8187A55"/>
    <w:multiLevelType w:val="hybridMultilevel"/>
    <w:tmpl w:val="A162CAE8"/>
    <w:lvl w:ilvl="0" w:tplc="D97C126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11" w15:restartNumberingAfterBreak="0">
    <w:nsid w:val="1AA11D5A"/>
    <w:multiLevelType w:val="hybridMultilevel"/>
    <w:tmpl w:val="FFFFFFFF"/>
    <w:lvl w:ilvl="0" w:tplc="D6D8A33A">
      <w:start w:val="1"/>
      <w:numFmt w:val="bullet"/>
      <w:lvlText w:val="o"/>
      <w:lvlJc w:val="left"/>
      <w:pPr>
        <w:ind w:left="720" w:hanging="360"/>
      </w:pPr>
      <w:rPr>
        <w:rFonts w:ascii="Courier New" w:hAnsi="Courier New" w:hint="default"/>
      </w:rPr>
    </w:lvl>
    <w:lvl w:ilvl="1" w:tplc="50E49ADA">
      <w:start w:val="1"/>
      <w:numFmt w:val="bullet"/>
      <w:lvlText w:val="o"/>
      <w:lvlJc w:val="left"/>
      <w:pPr>
        <w:ind w:left="1440" w:hanging="360"/>
      </w:pPr>
      <w:rPr>
        <w:rFonts w:ascii="Courier New" w:hAnsi="Courier New" w:hint="default"/>
      </w:rPr>
    </w:lvl>
    <w:lvl w:ilvl="2" w:tplc="33D03F06">
      <w:start w:val="1"/>
      <w:numFmt w:val="bullet"/>
      <w:lvlText w:val=""/>
      <w:lvlJc w:val="left"/>
      <w:pPr>
        <w:ind w:left="2160" w:hanging="360"/>
      </w:pPr>
      <w:rPr>
        <w:rFonts w:ascii="Wingdings" w:hAnsi="Wingdings" w:hint="default"/>
      </w:rPr>
    </w:lvl>
    <w:lvl w:ilvl="3" w:tplc="5D2E0820">
      <w:start w:val="1"/>
      <w:numFmt w:val="bullet"/>
      <w:lvlText w:val=""/>
      <w:lvlJc w:val="left"/>
      <w:pPr>
        <w:ind w:left="2880" w:hanging="360"/>
      </w:pPr>
      <w:rPr>
        <w:rFonts w:ascii="Symbol" w:hAnsi="Symbol" w:hint="default"/>
      </w:rPr>
    </w:lvl>
    <w:lvl w:ilvl="4" w:tplc="01601E9A">
      <w:start w:val="1"/>
      <w:numFmt w:val="bullet"/>
      <w:lvlText w:val="o"/>
      <w:lvlJc w:val="left"/>
      <w:pPr>
        <w:ind w:left="3600" w:hanging="360"/>
      </w:pPr>
      <w:rPr>
        <w:rFonts w:ascii="Courier New" w:hAnsi="Courier New" w:hint="default"/>
      </w:rPr>
    </w:lvl>
    <w:lvl w:ilvl="5" w:tplc="8548A914">
      <w:start w:val="1"/>
      <w:numFmt w:val="bullet"/>
      <w:lvlText w:val=""/>
      <w:lvlJc w:val="left"/>
      <w:pPr>
        <w:ind w:left="4320" w:hanging="360"/>
      </w:pPr>
      <w:rPr>
        <w:rFonts w:ascii="Wingdings" w:hAnsi="Wingdings" w:hint="default"/>
      </w:rPr>
    </w:lvl>
    <w:lvl w:ilvl="6" w:tplc="D98669E4">
      <w:start w:val="1"/>
      <w:numFmt w:val="bullet"/>
      <w:lvlText w:val=""/>
      <w:lvlJc w:val="left"/>
      <w:pPr>
        <w:ind w:left="5040" w:hanging="360"/>
      </w:pPr>
      <w:rPr>
        <w:rFonts w:ascii="Symbol" w:hAnsi="Symbol" w:hint="default"/>
      </w:rPr>
    </w:lvl>
    <w:lvl w:ilvl="7" w:tplc="DC32F706">
      <w:start w:val="1"/>
      <w:numFmt w:val="bullet"/>
      <w:lvlText w:val="o"/>
      <w:lvlJc w:val="left"/>
      <w:pPr>
        <w:ind w:left="5760" w:hanging="360"/>
      </w:pPr>
      <w:rPr>
        <w:rFonts w:ascii="Courier New" w:hAnsi="Courier New" w:hint="default"/>
      </w:rPr>
    </w:lvl>
    <w:lvl w:ilvl="8" w:tplc="21C49C9A">
      <w:start w:val="1"/>
      <w:numFmt w:val="bullet"/>
      <w:lvlText w:val=""/>
      <w:lvlJc w:val="left"/>
      <w:pPr>
        <w:ind w:left="6480" w:hanging="360"/>
      </w:pPr>
      <w:rPr>
        <w:rFonts w:ascii="Wingdings" w:hAnsi="Wingdings" w:hint="default"/>
      </w:rPr>
    </w:lvl>
  </w:abstractNum>
  <w:abstractNum w:abstractNumId="12" w15:restartNumberingAfterBreak="0">
    <w:nsid w:val="1AF23D08"/>
    <w:multiLevelType w:val="hybridMultilevel"/>
    <w:tmpl w:val="FFFFFFFF"/>
    <w:lvl w:ilvl="0" w:tplc="45346306">
      <w:start w:val="1"/>
      <w:numFmt w:val="bullet"/>
      <w:lvlText w:val="o"/>
      <w:lvlJc w:val="left"/>
      <w:pPr>
        <w:ind w:left="720" w:hanging="360"/>
      </w:pPr>
      <w:rPr>
        <w:rFonts w:ascii="Courier New" w:hAnsi="Courier New" w:hint="default"/>
      </w:rPr>
    </w:lvl>
    <w:lvl w:ilvl="1" w:tplc="6A3A99C4">
      <w:start w:val="1"/>
      <w:numFmt w:val="bullet"/>
      <w:lvlText w:val="o"/>
      <w:lvlJc w:val="left"/>
      <w:pPr>
        <w:ind w:left="1440" w:hanging="360"/>
      </w:pPr>
      <w:rPr>
        <w:rFonts w:ascii="Courier New" w:hAnsi="Courier New" w:hint="default"/>
      </w:rPr>
    </w:lvl>
    <w:lvl w:ilvl="2" w:tplc="A0A8D094">
      <w:start w:val="1"/>
      <w:numFmt w:val="bullet"/>
      <w:lvlText w:val=""/>
      <w:lvlJc w:val="left"/>
      <w:pPr>
        <w:ind w:left="2160" w:hanging="360"/>
      </w:pPr>
      <w:rPr>
        <w:rFonts w:ascii="Wingdings" w:hAnsi="Wingdings" w:hint="default"/>
      </w:rPr>
    </w:lvl>
    <w:lvl w:ilvl="3" w:tplc="4B86A494">
      <w:start w:val="1"/>
      <w:numFmt w:val="bullet"/>
      <w:lvlText w:val=""/>
      <w:lvlJc w:val="left"/>
      <w:pPr>
        <w:ind w:left="2880" w:hanging="360"/>
      </w:pPr>
      <w:rPr>
        <w:rFonts w:ascii="Symbol" w:hAnsi="Symbol" w:hint="default"/>
      </w:rPr>
    </w:lvl>
    <w:lvl w:ilvl="4" w:tplc="68726CFE">
      <w:start w:val="1"/>
      <w:numFmt w:val="bullet"/>
      <w:lvlText w:val="o"/>
      <w:lvlJc w:val="left"/>
      <w:pPr>
        <w:ind w:left="3600" w:hanging="360"/>
      </w:pPr>
      <w:rPr>
        <w:rFonts w:ascii="Courier New" w:hAnsi="Courier New" w:hint="default"/>
      </w:rPr>
    </w:lvl>
    <w:lvl w:ilvl="5" w:tplc="C61237BC">
      <w:start w:val="1"/>
      <w:numFmt w:val="bullet"/>
      <w:lvlText w:val=""/>
      <w:lvlJc w:val="left"/>
      <w:pPr>
        <w:ind w:left="4320" w:hanging="360"/>
      </w:pPr>
      <w:rPr>
        <w:rFonts w:ascii="Wingdings" w:hAnsi="Wingdings" w:hint="default"/>
      </w:rPr>
    </w:lvl>
    <w:lvl w:ilvl="6" w:tplc="74BCE000">
      <w:start w:val="1"/>
      <w:numFmt w:val="bullet"/>
      <w:lvlText w:val=""/>
      <w:lvlJc w:val="left"/>
      <w:pPr>
        <w:ind w:left="5040" w:hanging="360"/>
      </w:pPr>
      <w:rPr>
        <w:rFonts w:ascii="Symbol" w:hAnsi="Symbol" w:hint="default"/>
      </w:rPr>
    </w:lvl>
    <w:lvl w:ilvl="7" w:tplc="035C2700">
      <w:start w:val="1"/>
      <w:numFmt w:val="bullet"/>
      <w:lvlText w:val="o"/>
      <w:lvlJc w:val="left"/>
      <w:pPr>
        <w:ind w:left="5760" w:hanging="360"/>
      </w:pPr>
      <w:rPr>
        <w:rFonts w:ascii="Courier New" w:hAnsi="Courier New" w:hint="default"/>
      </w:rPr>
    </w:lvl>
    <w:lvl w:ilvl="8" w:tplc="79E6EA10">
      <w:start w:val="1"/>
      <w:numFmt w:val="bullet"/>
      <w:lvlText w:val=""/>
      <w:lvlJc w:val="left"/>
      <w:pPr>
        <w:ind w:left="6480" w:hanging="360"/>
      </w:pPr>
      <w:rPr>
        <w:rFonts w:ascii="Wingdings" w:hAnsi="Wingdings" w:hint="default"/>
      </w:rPr>
    </w:lvl>
  </w:abstractNum>
  <w:abstractNum w:abstractNumId="13" w15:restartNumberingAfterBreak="0">
    <w:nsid w:val="220F418A"/>
    <w:multiLevelType w:val="multilevel"/>
    <w:tmpl w:val="A46E8346"/>
    <w:lvl w:ilvl="0">
      <w:start w:val="1"/>
      <w:numFmt w:val="bullet"/>
      <w:pStyle w:val="Bullet"/>
      <w:lvlText w:val=""/>
      <w:lvlJc w:val="left"/>
      <w:pPr>
        <w:ind w:left="360" w:hanging="360"/>
      </w:pPr>
      <w:rPr>
        <w:rFonts w:ascii="Symbol" w:hAnsi="Symbol" w:hint="default"/>
        <w:color w:val="auto"/>
        <w:vertAlign w:val="baseline"/>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14" w15:restartNumberingAfterBreak="0">
    <w:nsid w:val="233D20FB"/>
    <w:multiLevelType w:val="hybridMultilevel"/>
    <w:tmpl w:val="FA08A31C"/>
    <w:lvl w:ilvl="0" w:tplc="F2229288">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413230"/>
    <w:multiLevelType w:val="hybridMultilevel"/>
    <w:tmpl w:val="203CE57E"/>
    <w:lvl w:ilvl="0" w:tplc="A328D64C">
      <w:start w:val="1"/>
      <w:numFmt w:val="decimal"/>
      <w:lvlText w:val="%1."/>
      <w:lvlJc w:val="left"/>
      <w:pPr>
        <w:ind w:left="360" w:hanging="360"/>
      </w:pPr>
      <w:rPr>
        <w:sz w:val="24"/>
        <w:szCs w:val="24"/>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771355F"/>
    <w:multiLevelType w:val="hybridMultilevel"/>
    <w:tmpl w:val="FFFFFFFF"/>
    <w:lvl w:ilvl="0" w:tplc="1340D408">
      <w:start w:val="1"/>
      <w:numFmt w:val="bullet"/>
      <w:lvlText w:val=""/>
      <w:lvlJc w:val="left"/>
      <w:pPr>
        <w:ind w:left="360" w:hanging="360"/>
      </w:pPr>
      <w:rPr>
        <w:rFonts w:ascii="Symbol" w:hAnsi="Symbol" w:hint="default"/>
      </w:rPr>
    </w:lvl>
    <w:lvl w:ilvl="1" w:tplc="F1AE33B2">
      <w:start w:val="1"/>
      <w:numFmt w:val="bullet"/>
      <w:lvlText w:val="o"/>
      <w:lvlJc w:val="left"/>
      <w:pPr>
        <w:ind w:left="1440" w:hanging="360"/>
      </w:pPr>
      <w:rPr>
        <w:rFonts w:ascii="Courier New" w:hAnsi="Courier New" w:hint="default"/>
      </w:rPr>
    </w:lvl>
    <w:lvl w:ilvl="2" w:tplc="A5F6392C">
      <w:start w:val="1"/>
      <w:numFmt w:val="bullet"/>
      <w:lvlText w:val=""/>
      <w:lvlJc w:val="left"/>
      <w:pPr>
        <w:ind w:left="2160" w:hanging="360"/>
      </w:pPr>
      <w:rPr>
        <w:rFonts w:ascii="Wingdings" w:hAnsi="Wingdings" w:hint="default"/>
      </w:rPr>
    </w:lvl>
    <w:lvl w:ilvl="3" w:tplc="A07E7252">
      <w:start w:val="1"/>
      <w:numFmt w:val="bullet"/>
      <w:lvlText w:val=""/>
      <w:lvlJc w:val="left"/>
      <w:pPr>
        <w:ind w:left="2880" w:hanging="360"/>
      </w:pPr>
      <w:rPr>
        <w:rFonts w:ascii="Symbol" w:hAnsi="Symbol" w:hint="default"/>
      </w:rPr>
    </w:lvl>
    <w:lvl w:ilvl="4" w:tplc="423EA710">
      <w:start w:val="1"/>
      <w:numFmt w:val="bullet"/>
      <w:lvlText w:val="o"/>
      <w:lvlJc w:val="left"/>
      <w:pPr>
        <w:ind w:left="3600" w:hanging="360"/>
      </w:pPr>
      <w:rPr>
        <w:rFonts w:ascii="Courier New" w:hAnsi="Courier New" w:hint="default"/>
      </w:rPr>
    </w:lvl>
    <w:lvl w:ilvl="5" w:tplc="C04823B2">
      <w:start w:val="1"/>
      <w:numFmt w:val="bullet"/>
      <w:lvlText w:val=""/>
      <w:lvlJc w:val="left"/>
      <w:pPr>
        <w:ind w:left="4320" w:hanging="360"/>
      </w:pPr>
      <w:rPr>
        <w:rFonts w:ascii="Wingdings" w:hAnsi="Wingdings" w:hint="default"/>
      </w:rPr>
    </w:lvl>
    <w:lvl w:ilvl="6" w:tplc="E9723B78">
      <w:start w:val="1"/>
      <w:numFmt w:val="bullet"/>
      <w:lvlText w:val=""/>
      <w:lvlJc w:val="left"/>
      <w:pPr>
        <w:ind w:left="5040" w:hanging="360"/>
      </w:pPr>
      <w:rPr>
        <w:rFonts w:ascii="Symbol" w:hAnsi="Symbol" w:hint="default"/>
      </w:rPr>
    </w:lvl>
    <w:lvl w:ilvl="7" w:tplc="B3E86974">
      <w:start w:val="1"/>
      <w:numFmt w:val="bullet"/>
      <w:lvlText w:val="o"/>
      <w:lvlJc w:val="left"/>
      <w:pPr>
        <w:ind w:left="5760" w:hanging="360"/>
      </w:pPr>
      <w:rPr>
        <w:rFonts w:ascii="Courier New" w:hAnsi="Courier New" w:hint="default"/>
      </w:rPr>
    </w:lvl>
    <w:lvl w:ilvl="8" w:tplc="E75EC1D6">
      <w:start w:val="1"/>
      <w:numFmt w:val="bullet"/>
      <w:lvlText w:val=""/>
      <w:lvlJc w:val="left"/>
      <w:pPr>
        <w:ind w:left="6480" w:hanging="360"/>
      </w:pPr>
      <w:rPr>
        <w:rFonts w:ascii="Wingdings" w:hAnsi="Wingdings" w:hint="default"/>
      </w:rPr>
    </w:lvl>
  </w:abstractNum>
  <w:abstractNum w:abstractNumId="17" w15:restartNumberingAfterBreak="0">
    <w:nsid w:val="2B093B94"/>
    <w:multiLevelType w:val="hybridMultilevel"/>
    <w:tmpl w:val="2B26A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5224BE"/>
    <w:multiLevelType w:val="hybridMultilevel"/>
    <w:tmpl w:val="A26E05FA"/>
    <w:lvl w:ilvl="0" w:tplc="89D2CE8A">
      <w:start w:val="1"/>
      <w:numFmt w:val="decimal"/>
      <w:lvlText w:val="%1."/>
      <w:lvlJc w:val="left"/>
      <w:pPr>
        <w:ind w:left="360" w:hanging="360"/>
      </w:pPr>
      <w:rPr>
        <w:b w:val="0"/>
        <w:bCs/>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33852C5D"/>
    <w:multiLevelType w:val="hybridMultilevel"/>
    <w:tmpl w:val="8C88DA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A85FF6"/>
    <w:multiLevelType w:val="hybridMultilevel"/>
    <w:tmpl w:val="7E3AF1EE"/>
    <w:lvl w:ilvl="0" w:tplc="D2687E2C">
      <w:start w:val="1"/>
      <w:numFmt w:val="bullet"/>
      <w:lvlText w:val="o"/>
      <w:lvlJc w:val="left"/>
      <w:pPr>
        <w:ind w:left="785" w:hanging="360"/>
      </w:pPr>
      <w:rPr>
        <w:rFonts w:ascii="Courier New" w:hAnsi="Courier New" w:cs="Courier New" w:hint="default"/>
        <w:vertAlign w:val="baseline"/>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1" w15:restartNumberingAfterBreak="0">
    <w:nsid w:val="349C0593"/>
    <w:multiLevelType w:val="hybridMultilevel"/>
    <w:tmpl w:val="171ABD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59B30D1"/>
    <w:multiLevelType w:val="hybridMultilevel"/>
    <w:tmpl w:val="0BCCCF4C"/>
    <w:lvl w:ilvl="0" w:tplc="D97C1264">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3" w15:restartNumberingAfterBreak="0">
    <w:nsid w:val="35CD2D06"/>
    <w:multiLevelType w:val="hybridMultilevel"/>
    <w:tmpl w:val="9D68146E"/>
    <w:lvl w:ilvl="0" w:tplc="FFFFFFFF">
      <w:start w:val="1"/>
      <w:numFmt w:val="decimal"/>
      <w:pStyle w:val="Tabletitle-numbered"/>
      <w:lvlText w:val="Table %1."/>
      <w:lvlJc w:val="left"/>
      <w:pPr>
        <w:ind w:left="360" w:hanging="360"/>
      </w:pPr>
      <w:rPr>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7B97CF0"/>
    <w:multiLevelType w:val="hybridMultilevel"/>
    <w:tmpl w:val="363AA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D8058E"/>
    <w:multiLevelType w:val="hybridMultilevel"/>
    <w:tmpl w:val="AEDE1EF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3D436E00"/>
    <w:multiLevelType w:val="hybridMultilevel"/>
    <w:tmpl w:val="528418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E8C41E3"/>
    <w:multiLevelType w:val="hybridMultilevel"/>
    <w:tmpl w:val="854E87EC"/>
    <w:lvl w:ilvl="0" w:tplc="D97C1264">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8" w15:restartNumberingAfterBreak="0">
    <w:nsid w:val="3F9A499E"/>
    <w:multiLevelType w:val="hybridMultilevel"/>
    <w:tmpl w:val="3C10BE7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B3691D"/>
    <w:multiLevelType w:val="hybridMultilevel"/>
    <w:tmpl w:val="BD0AB7E0"/>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0E59D8"/>
    <w:multiLevelType w:val="hybridMultilevel"/>
    <w:tmpl w:val="FCE6C796"/>
    <w:lvl w:ilvl="0" w:tplc="5E22AD2E">
      <w:start w:val="1"/>
      <w:numFmt w:val="bullet"/>
      <w:lvlText w:val=""/>
      <w:lvlJc w:val="left"/>
      <w:pPr>
        <w:ind w:left="360" w:hanging="360"/>
      </w:pPr>
      <w:rPr>
        <w:rFonts w:ascii="Symbol" w:hAnsi="Symbol" w:hint="default"/>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32" w15:restartNumberingAfterBreak="0">
    <w:nsid w:val="46B45FC9"/>
    <w:multiLevelType w:val="hybridMultilevel"/>
    <w:tmpl w:val="CF126440"/>
    <w:lvl w:ilvl="0" w:tplc="8BF83A68">
      <w:start w:val="1"/>
      <w:numFmt w:val="decimal"/>
      <w:lvlText w:val="%1."/>
      <w:lvlJc w:val="left"/>
      <w:pPr>
        <w:ind w:left="360" w:hanging="360"/>
      </w:pPr>
      <w:rPr>
        <w:vertAlign w:val="baseline"/>
      </w:rPr>
    </w:lvl>
    <w:lvl w:ilvl="1" w:tplc="4D58A0FC">
      <w:start w:val="1"/>
      <w:numFmt w:val="lowerLetter"/>
      <w:lvlText w:val="%2."/>
      <w:lvlJc w:val="left"/>
      <w:pPr>
        <w:ind w:left="1080" w:hanging="360"/>
      </w:pPr>
    </w:lvl>
    <w:lvl w:ilvl="2" w:tplc="87043EAC">
      <w:start w:val="1"/>
      <w:numFmt w:val="lowerRoman"/>
      <w:lvlText w:val="%3."/>
      <w:lvlJc w:val="right"/>
      <w:pPr>
        <w:ind w:left="1800" w:hanging="180"/>
      </w:pPr>
    </w:lvl>
    <w:lvl w:ilvl="3" w:tplc="B49E92DC">
      <w:start w:val="1"/>
      <w:numFmt w:val="decimal"/>
      <w:lvlText w:val="%4."/>
      <w:lvlJc w:val="left"/>
      <w:pPr>
        <w:ind w:left="2520" w:hanging="360"/>
      </w:pPr>
    </w:lvl>
    <w:lvl w:ilvl="4" w:tplc="7C926F78">
      <w:start w:val="1"/>
      <w:numFmt w:val="lowerLetter"/>
      <w:lvlText w:val="%5."/>
      <w:lvlJc w:val="left"/>
      <w:pPr>
        <w:ind w:left="3240" w:hanging="360"/>
      </w:pPr>
    </w:lvl>
    <w:lvl w:ilvl="5" w:tplc="D264F0B4">
      <w:start w:val="1"/>
      <w:numFmt w:val="lowerRoman"/>
      <w:lvlText w:val="%6."/>
      <w:lvlJc w:val="right"/>
      <w:pPr>
        <w:ind w:left="3960" w:hanging="180"/>
      </w:pPr>
    </w:lvl>
    <w:lvl w:ilvl="6" w:tplc="E3BADB4A">
      <w:start w:val="1"/>
      <w:numFmt w:val="decimal"/>
      <w:lvlText w:val="%7."/>
      <w:lvlJc w:val="left"/>
      <w:pPr>
        <w:ind w:left="4680" w:hanging="360"/>
      </w:pPr>
    </w:lvl>
    <w:lvl w:ilvl="7" w:tplc="340AE1F2">
      <w:start w:val="1"/>
      <w:numFmt w:val="lowerLetter"/>
      <w:lvlText w:val="%8."/>
      <w:lvlJc w:val="left"/>
      <w:pPr>
        <w:ind w:left="5400" w:hanging="360"/>
      </w:pPr>
    </w:lvl>
    <w:lvl w:ilvl="8" w:tplc="C0C01348">
      <w:start w:val="1"/>
      <w:numFmt w:val="lowerRoman"/>
      <w:lvlText w:val="%9."/>
      <w:lvlJc w:val="right"/>
      <w:pPr>
        <w:ind w:left="6120" w:hanging="180"/>
      </w:pPr>
    </w:lvl>
  </w:abstractNum>
  <w:abstractNum w:abstractNumId="33" w15:restartNumberingAfterBreak="0">
    <w:nsid w:val="46D052EF"/>
    <w:multiLevelType w:val="hybridMultilevel"/>
    <w:tmpl w:val="E41A6E96"/>
    <w:lvl w:ilvl="0" w:tplc="D97C1264">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4" w15:restartNumberingAfterBreak="0">
    <w:nsid w:val="48720AD1"/>
    <w:multiLevelType w:val="hybridMultilevel"/>
    <w:tmpl w:val="49EC5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AC65D25"/>
    <w:multiLevelType w:val="hybridMultilevel"/>
    <w:tmpl w:val="F05A405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1B56409"/>
    <w:multiLevelType w:val="hybridMultilevel"/>
    <w:tmpl w:val="6E18F4E8"/>
    <w:lvl w:ilvl="0" w:tplc="D428BB7E">
      <w:start w:val="1"/>
      <w:numFmt w:val="bullet"/>
      <w:lvlText w:val=""/>
      <w:lvlJc w:val="left"/>
      <w:pPr>
        <w:ind w:left="360" w:hanging="360"/>
      </w:pPr>
      <w:rPr>
        <w:rFonts w:ascii="Symbol" w:hAnsi="Symbol" w:hint="default"/>
        <w:sz w:val="24"/>
        <w:szCs w:val="24"/>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37F01A2"/>
    <w:multiLevelType w:val="hybridMultilevel"/>
    <w:tmpl w:val="9B6C1FA0"/>
    <w:lvl w:ilvl="0" w:tplc="8D28D230">
      <w:start w:val="1"/>
      <w:numFmt w:val="bullet"/>
      <w:lvlText w:val=""/>
      <w:lvlJc w:val="left"/>
      <w:pPr>
        <w:ind w:left="720" w:hanging="360"/>
      </w:pPr>
      <w:rPr>
        <w:rFonts w:ascii="Symbol" w:hAnsi="Symbol" w:hint="default"/>
        <w:sz w:val="24"/>
        <w:szCs w:val="24"/>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A7B02C2"/>
    <w:multiLevelType w:val="hybridMultilevel"/>
    <w:tmpl w:val="289E98F2"/>
    <w:lvl w:ilvl="0" w:tplc="077ECF00">
      <w:start w:val="1"/>
      <w:numFmt w:val="decimal"/>
      <w:lvlText w:val="%1."/>
      <w:lvlJc w:val="left"/>
      <w:pPr>
        <w:ind w:left="360" w:hanging="360"/>
      </w:pPr>
      <w:rPr>
        <w:vertAlign w:val="baseline"/>
      </w:rPr>
    </w:lvl>
    <w:lvl w:ilvl="1" w:tplc="D8F85202">
      <w:start w:val="1"/>
      <w:numFmt w:val="bullet"/>
      <w:lvlText w:val="o"/>
      <w:lvlJc w:val="left"/>
      <w:pPr>
        <w:ind w:left="1440" w:hanging="360"/>
      </w:pPr>
      <w:rPr>
        <w:rFonts w:ascii="Courier New" w:hAnsi="Courier New" w:hint="default"/>
      </w:rPr>
    </w:lvl>
    <w:lvl w:ilvl="2" w:tplc="7DB62BC8">
      <w:start w:val="1"/>
      <w:numFmt w:val="bullet"/>
      <w:lvlText w:val=""/>
      <w:lvlJc w:val="left"/>
      <w:pPr>
        <w:ind w:left="2160" w:hanging="360"/>
      </w:pPr>
      <w:rPr>
        <w:rFonts w:ascii="Wingdings" w:hAnsi="Wingdings" w:hint="default"/>
      </w:rPr>
    </w:lvl>
    <w:lvl w:ilvl="3" w:tplc="F20664D0">
      <w:start w:val="1"/>
      <w:numFmt w:val="bullet"/>
      <w:lvlText w:val=""/>
      <w:lvlJc w:val="left"/>
      <w:pPr>
        <w:ind w:left="2880" w:hanging="360"/>
      </w:pPr>
      <w:rPr>
        <w:rFonts w:ascii="Symbol" w:hAnsi="Symbol" w:hint="default"/>
      </w:rPr>
    </w:lvl>
    <w:lvl w:ilvl="4" w:tplc="0F1E4928">
      <w:start w:val="1"/>
      <w:numFmt w:val="bullet"/>
      <w:lvlText w:val="o"/>
      <w:lvlJc w:val="left"/>
      <w:pPr>
        <w:ind w:left="3600" w:hanging="360"/>
      </w:pPr>
      <w:rPr>
        <w:rFonts w:ascii="Courier New" w:hAnsi="Courier New" w:hint="default"/>
      </w:rPr>
    </w:lvl>
    <w:lvl w:ilvl="5" w:tplc="F0E89380">
      <w:start w:val="1"/>
      <w:numFmt w:val="bullet"/>
      <w:lvlText w:val=""/>
      <w:lvlJc w:val="left"/>
      <w:pPr>
        <w:ind w:left="4320" w:hanging="360"/>
      </w:pPr>
      <w:rPr>
        <w:rFonts w:ascii="Wingdings" w:hAnsi="Wingdings" w:hint="default"/>
      </w:rPr>
    </w:lvl>
    <w:lvl w:ilvl="6" w:tplc="1E8E7EE6">
      <w:start w:val="1"/>
      <w:numFmt w:val="bullet"/>
      <w:lvlText w:val=""/>
      <w:lvlJc w:val="left"/>
      <w:pPr>
        <w:ind w:left="5040" w:hanging="360"/>
      </w:pPr>
      <w:rPr>
        <w:rFonts w:ascii="Symbol" w:hAnsi="Symbol" w:hint="default"/>
      </w:rPr>
    </w:lvl>
    <w:lvl w:ilvl="7" w:tplc="DDB4D55A">
      <w:start w:val="1"/>
      <w:numFmt w:val="bullet"/>
      <w:lvlText w:val="o"/>
      <w:lvlJc w:val="left"/>
      <w:pPr>
        <w:ind w:left="5760" w:hanging="360"/>
      </w:pPr>
      <w:rPr>
        <w:rFonts w:ascii="Courier New" w:hAnsi="Courier New" w:hint="default"/>
      </w:rPr>
    </w:lvl>
    <w:lvl w:ilvl="8" w:tplc="8F9258A2">
      <w:start w:val="1"/>
      <w:numFmt w:val="bullet"/>
      <w:lvlText w:val=""/>
      <w:lvlJc w:val="left"/>
      <w:pPr>
        <w:ind w:left="6480" w:hanging="360"/>
      </w:pPr>
      <w:rPr>
        <w:rFonts w:ascii="Wingdings" w:hAnsi="Wingdings" w:hint="default"/>
      </w:rPr>
    </w:lvl>
  </w:abstractNum>
  <w:abstractNum w:abstractNumId="39" w15:restartNumberingAfterBreak="0">
    <w:nsid w:val="5CEC1384"/>
    <w:multiLevelType w:val="hybridMultilevel"/>
    <w:tmpl w:val="5726C1D0"/>
    <w:lvl w:ilvl="0" w:tplc="CD1C550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4E3A05"/>
    <w:multiLevelType w:val="hybridMultilevel"/>
    <w:tmpl w:val="7A9AE75E"/>
    <w:lvl w:ilvl="0" w:tplc="94FE6524">
      <w:start w:val="1"/>
      <w:numFmt w:val="decimal"/>
      <w:lvlText w:val="%1."/>
      <w:lvlJc w:val="left"/>
      <w:pPr>
        <w:ind w:left="360" w:hanging="360"/>
      </w:pPr>
      <w:rPr>
        <w:b w:val="0"/>
        <w:bCs w:val="0"/>
        <w:sz w:val="24"/>
        <w:szCs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55BEFE3"/>
    <w:multiLevelType w:val="hybridMultilevel"/>
    <w:tmpl w:val="FFFFFFFF"/>
    <w:lvl w:ilvl="0" w:tplc="ECC49898">
      <w:start w:val="1"/>
      <w:numFmt w:val="bullet"/>
      <w:lvlText w:val=""/>
      <w:lvlJc w:val="left"/>
      <w:pPr>
        <w:ind w:left="360" w:hanging="360"/>
      </w:pPr>
      <w:rPr>
        <w:rFonts w:ascii="Symbol" w:hAnsi="Symbol" w:hint="default"/>
      </w:rPr>
    </w:lvl>
    <w:lvl w:ilvl="1" w:tplc="90E87812">
      <w:start w:val="1"/>
      <w:numFmt w:val="bullet"/>
      <w:lvlText w:val="o"/>
      <w:lvlJc w:val="left"/>
      <w:pPr>
        <w:ind w:left="1080" w:hanging="360"/>
      </w:pPr>
      <w:rPr>
        <w:rFonts w:ascii="Courier New" w:hAnsi="Courier New" w:hint="default"/>
      </w:rPr>
    </w:lvl>
    <w:lvl w:ilvl="2" w:tplc="CCBCD708">
      <w:start w:val="1"/>
      <w:numFmt w:val="bullet"/>
      <w:lvlText w:val=""/>
      <w:lvlJc w:val="left"/>
      <w:pPr>
        <w:ind w:left="1800" w:hanging="360"/>
      </w:pPr>
      <w:rPr>
        <w:rFonts w:ascii="Wingdings" w:hAnsi="Wingdings" w:hint="default"/>
      </w:rPr>
    </w:lvl>
    <w:lvl w:ilvl="3" w:tplc="F14A4284">
      <w:start w:val="1"/>
      <w:numFmt w:val="bullet"/>
      <w:lvlText w:val=""/>
      <w:lvlJc w:val="left"/>
      <w:pPr>
        <w:ind w:left="2520" w:hanging="360"/>
      </w:pPr>
      <w:rPr>
        <w:rFonts w:ascii="Symbol" w:hAnsi="Symbol" w:hint="default"/>
      </w:rPr>
    </w:lvl>
    <w:lvl w:ilvl="4" w:tplc="349815CA">
      <w:start w:val="1"/>
      <w:numFmt w:val="bullet"/>
      <w:lvlText w:val="o"/>
      <w:lvlJc w:val="left"/>
      <w:pPr>
        <w:ind w:left="3240" w:hanging="360"/>
      </w:pPr>
      <w:rPr>
        <w:rFonts w:ascii="Courier New" w:hAnsi="Courier New" w:hint="default"/>
      </w:rPr>
    </w:lvl>
    <w:lvl w:ilvl="5" w:tplc="3E9C3E30">
      <w:start w:val="1"/>
      <w:numFmt w:val="bullet"/>
      <w:lvlText w:val=""/>
      <w:lvlJc w:val="left"/>
      <w:pPr>
        <w:ind w:left="3960" w:hanging="360"/>
      </w:pPr>
      <w:rPr>
        <w:rFonts w:ascii="Wingdings" w:hAnsi="Wingdings" w:hint="default"/>
      </w:rPr>
    </w:lvl>
    <w:lvl w:ilvl="6" w:tplc="4AA4D6C0">
      <w:start w:val="1"/>
      <w:numFmt w:val="bullet"/>
      <w:lvlText w:val=""/>
      <w:lvlJc w:val="left"/>
      <w:pPr>
        <w:ind w:left="4680" w:hanging="360"/>
      </w:pPr>
      <w:rPr>
        <w:rFonts w:ascii="Symbol" w:hAnsi="Symbol" w:hint="default"/>
      </w:rPr>
    </w:lvl>
    <w:lvl w:ilvl="7" w:tplc="1680AEA8">
      <w:start w:val="1"/>
      <w:numFmt w:val="bullet"/>
      <w:lvlText w:val="o"/>
      <w:lvlJc w:val="left"/>
      <w:pPr>
        <w:ind w:left="5400" w:hanging="360"/>
      </w:pPr>
      <w:rPr>
        <w:rFonts w:ascii="Courier New" w:hAnsi="Courier New" w:hint="default"/>
      </w:rPr>
    </w:lvl>
    <w:lvl w:ilvl="8" w:tplc="FEAEF048">
      <w:start w:val="1"/>
      <w:numFmt w:val="bullet"/>
      <w:lvlText w:val=""/>
      <w:lvlJc w:val="left"/>
      <w:pPr>
        <w:ind w:left="6120" w:hanging="360"/>
      </w:pPr>
      <w:rPr>
        <w:rFonts w:ascii="Wingdings" w:hAnsi="Wingdings" w:hint="default"/>
      </w:rPr>
    </w:lvl>
  </w:abstractNum>
  <w:abstractNum w:abstractNumId="42" w15:restartNumberingAfterBreak="0">
    <w:nsid w:val="664C2C6B"/>
    <w:multiLevelType w:val="hybridMultilevel"/>
    <w:tmpl w:val="826004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68E2FA2"/>
    <w:multiLevelType w:val="multilevel"/>
    <w:tmpl w:val="6AA49F4E"/>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44" w15:restartNumberingAfterBreak="0">
    <w:nsid w:val="68677C6E"/>
    <w:multiLevelType w:val="hybridMultilevel"/>
    <w:tmpl w:val="6316C6A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6D4C3F8F"/>
    <w:multiLevelType w:val="hybridMultilevel"/>
    <w:tmpl w:val="5AB42A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6" w15:restartNumberingAfterBreak="0">
    <w:nsid w:val="6F5978EB"/>
    <w:multiLevelType w:val="hybridMultilevel"/>
    <w:tmpl w:val="4448FC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15E658B"/>
    <w:multiLevelType w:val="hybridMultilevel"/>
    <w:tmpl w:val="571671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4384F28"/>
    <w:multiLevelType w:val="hybridMultilevel"/>
    <w:tmpl w:val="FEA2499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453C90"/>
    <w:multiLevelType w:val="hybridMultilevel"/>
    <w:tmpl w:val="9A009C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B164401"/>
    <w:multiLevelType w:val="hybridMultilevel"/>
    <w:tmpl w:val="CE3C5BA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7D41CB86"/>
    <w:multiLevelType w:val="hybridMultilevel"/>
    <w:tmpl w:val="C354E3F6"/>
    <w:lvl w:ilvl="0" w:tplc="F2CC22DE">
      <w:start w:val="1"/>
      <w:numFmt w:val="decimal"/>
      <w:lvlText w:val="%1."/>
      <w:lvlJc w:val="left"/>
      <w:pPr>
        <w:ind w:left="360" w:hanging="360"/>
      </w:pPr>
      <w:rPr>
        <w:color w:val="auto"/>
        <w:sz w:val="24"/>
        <w:szCs w:val="24"/>
        <w:vertAlign w:val="baseline"/>
      </w:rPr>
    </w:lvl>
    <w:lvl w:ilvl="1" w:tplc="D0FA86C4">
      <w:start w:val="1"/>
      <w:numFmt w:val="lowerLetter"/>
      <w:lvlText w:val="%2."/>
      <w:lvlJc w:val="left"/>
      <w:pPr>
        <w:ind w:left="1080" w:hanging="360"/>
      </w:pPr>
    </w:lvl>
    <w:lvl w:ilvl="2" w:tplc="A326600A">
      <w:start w:val="1"/>
      <w:numFmt w:val="lowerRoman"/>
      <w:lvlText w:val="%3."/>
      <w:lvlJc w:val="right"/>
      <w:pPr>
        <w:ind w:left="1800" w:hanging="180"/>
      </w:pPr>
    </w:lvl>
    <w:lvl w:ilvl="3" w:tplc="D0328B34">
      <w:start w:val="1"/>
      <w:numFmt w:val="decimal"/>
      <w:lvlText w:val="%4."/>
      <w:lvlJc w:val="left"/>
      <w:pPr>
        <w:ind w:left="2520" w:hanging="360"/>
      </w:pPr>
    </w:lvl>
    <w:lvl w:ilvl="4" w:tplc="E1588D58">
      <w:start w:val="1"/>
      <w:numFmt w:val="lowerLetter"/>
      <w:lvlText w:val="%5."/>
      <w:lvlJc w:val="left"/>
      <w:pPr>
        <w:ind w:left="3240" w:hanging="360"/>
      </w:pPr>
    </w:lvl>
    <w:lvl w:ilvl="5" w:tplc="FC9EE5FA">
      <w:start w:val="1"/>
      <w:numFmt w:val="lowerRoman"/>
      <w:lvlText w:val="%6."/>
      <w:lvlJc w:val="right"/>
      <w:pPr>
        <w:ind w:left="3960" w:hanging="180"/>
      </w:pPr>
    </w:lvl>
    <w:lvl w:ilvl="6" w:tplc="3496D370">
      <w:start w:val="1"/>
      <w:numFmt w:val="decimal"/>
      <w:lvlText w:val="%7."/>
      <w:lvlJc w:val="left"/>
      <w:pPr>
        <w:ind w:left="4680" w:hanging="360"/>
      </w:pPr>
    </w:lvl>
    <w:lvl w:ilvl="7" w:tplc="2AC4E7CE">
      <w:start w:val="1"/>
      <w:numFmt w:val="lowerLetter"/>
      <w:lvlText w:val="%8."/>
      <w:lvlJc w:val="left"/>
      <w:pPr>
        <w:ind w:left="5400" w:hanging="360"/>
      </w:pPr>
    </w:lvl>
    <w:lvl w:ilvl="8" w:tplc="5C06ADCE">
      <w:start w:val="1"/>
      <w:numFmt w:val="lowerRoman"/>
      <w:lvlText w:val="%9."/>
      <w:lvlJc w:val="right"/>
      <w:pPr>
        <w:ind w:left="6120" w:hanging="180"/>
      </w:pPr>
    </w:lvl>
  </w:abstractNum>
  <w:num w:numId="1" w16cid:durableId="233636495">
    <w:abstractNumId w:val="51"/>
  </w:num>
  <w:num w:numId="2" w16cid:durableId="1701399472">
    <w:abstractNumId w:val="32"/>
  </w:num>
  <w:num w:numId="3" w16cid:durableId="1891384719">
    <w:abstractNumId w:val="1"/>
  </w:num>
  <w:num w:numId="4" w16cid:durableId="44067411">
    <w:abstractNumId w:val="41"/>
  </w:num>
  <w:num w:numId="5" w16cid:durableId="928541406">
    <w:abstractNumId w:val="12"/>
  </w:num>
  <w:num w:numId="6" w16cid:durableId="1509100218">
    <w:abstractNumId w:val="11"/>
  </w:num>
  <w:num w:numId="7" w16cid:durableId="1639267078">
    <w:abstractNumId w:val="16"/>
  </w:num>
  <w:num w:numId="8" w16cid:durableId="500702633">
    <w:abstractNumId w:val="38"/>
  </w:num>
  <w:num w:numId="9" w16cid:durableId="842209657">
    <w:abstractNumId w:val="10"/>
  </w:num>
  <w:num w:numId="10" w16cid:durableId="1549294228">
    <w:abstractNumId w:val="28"/>
    <w:lvlOverride w:ilvl="0">
      <w:startOverride w:val="1"/>
    </w:lvlOverride>
  </w:num>
  <w:num w:numId="11" w16cid:durableId="445462943">
    <w:abstractNumId w:val="29"/>
    <w:lvlOverride w:ilvl="0">
      <w:startOverride w:val="1"/>
    </w:lvlOverride>
  </w:num>
  <w:num w:numId="12" w16cid:durableId="681904122">
    <w:abstractNumId w:val="23"/>
  </w:num>
  <w:num w:numId="13" w16cid:durableId="836698820">
    <w:abstractNumId w:val="31"/>
  </w:num>
  <w:num w:numId="14" w16cid:durableId="4028038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3861848">
    <w:abstractNumId w:val="13"/>
  </w:num>
  <w:num w:numId="16" w16cid:durableId="1371228715">
    <w:abstractNumId w:val="18"/>
  </w:num>
  <w:num w:numId="17" w16cid:durableId="1374576382">
    <w:abstractNumId w:val="0"/>
  </w:num>
  <w:num w:numId="18" w16cid:durableId="1933320670">
    <w:abstractNumId w:val="14"/>
  </w:num>
  <w:num w:numId="19" w16cid:durableId="61684090">
    <w:abstractNumId w:val="3"/>
  </w:num>
  <w:num w:numId="20" w16cid:durableId="1920869541">
    <w:abstractNumId w:val="6"/>
  </w:num>
  <w:num w:numId="21" w16cid:durableId="1002129172">
    <w:abstractNumId w:val="8"/>
  </w:num>
  <w:num w:numId="22" w16cid:durableId="1439367779">
    <w:abstractNumId w:val="24"/>
  </w:num>
  <w:num w:numId="23" w16cid:durableId="505676337">
    <w:abstractNumId w:val="26"/>
  </w:num>
  <w:num w:numId="24" w16cid:durableId="182204832">
    <w:abstractNumId w:val="40"/>
  </w:num>
  <w:num w:numId="25" w16cid:durableId="2012486446">
    <w:abstractNumId w:val="45"/>
  </w:num>
  <w:num w:numId="26" w16cid:durableId="412624954">
    <w:abstractNumId w:val="44"/>
  </w:num>
  <w:num w:numId="27" w16cid:durableId="1622952071">
    <w:abstractNumId w:val="19"/>
  </w:num>
  <w:num w:numId="28" w16cid:durableId="580287761">
    <w:abstractNumId w:val="34"/>
  </w:num>
  <w:num w:numId="29" w16cid:durableId="1687511847">
    <w:abstractNumId w:val="15"/>
  </w:num>
  <w:num w:numId="30" w16cid:durableId="1579289516">
    <w:abstractNumId w:val="4"/>
  </w:num>
  <w:num w:numId="31" w16cid:durableId="696808268">
    <w:abstractNumId w:val="47"/>
  </w:num>
  <w:num w:numId="32" w16cid:durableId="169829799">
    <w:abstractNumId w:val="49"/>
  </w:num>
  <w:num w:numId="33" w16cid:durableId="65303807">
    <w:abstractNumId w:val="21"/>
  </w:num>
  <w:num w:numId="34" w16cid:durableId="1167482142">
    <w:abstractNumId w:val="7"/>
  </w:num>
  <w:num w:numId="35" w16cid:durableId="2145660158">
    <w:abstractNumId w:val="37"/>
  </w:num>
  <w:num w:numId="36" w16cid:durableId="1659337806">
    <w:abstractNumId w:val="2"/>
  </w:num>
  <w:num w:numId="37" w16cid:durableId="518549480">
    <w:abstractNumId w:val="46"/>
  </w:num>
  <w:num w:numId="38" w16cid:durableId="988746261">
    <w:abstractNumId w:val="39"/>
  </w:num>
  <w:num w:numId="39" w16cid:durableId="532378258">
    <w:abstractNumId w:val="5"/>
  </w:num>
  <w:num w:numId="40" w16cid:durableId="704185202">
    <w:abstractNumId w:val="35"/>
  </w:num>
  <w:num w:numId="41" w16cid:durableId="2015760596">
    <w:abstractNumId w:val="36"/>
  </w:num>
  <w:num w:numId="42" w16cid:durableId="1229153523">
    <w:abstractNumId w:val="50"/>
  </w:num>
  <w:num w:numId="43" w16cid:durableId="1706371218">
    <w:abstractNumId w:val="9"/>
  </w:num>
  <w:num w:numId="44" w16cid:durableId="1569419969">
    <w:abstractNumId w:val="20"/>
  </w:num>
  <w:num w:numId="45" w16cid:durableId="1691375142">
    <w:abstractNumId w:val="25"/>
  </w:num>
  <w:num w:numId="46" w16cid:durableId="849368862">
    <w:abstractNumId w:val="48"/>
  </w:num>
  <w:num w:numId="47" w16cid:durableId="842666584">
    <w:abstractNumId w:val="13"/>
  </w:num>
  <w:num w:numId="48" w16cid:durableId="1107775108">
    <w:abstractNumId w:val="46"/>
  </w:num>
  <w:num w:numId="49" w16cid:durableId="201983380">
    <w:abstractNumId w:val="27"/>
  </w:num>
  <w:num w:numId="50" w16cid:durableId="260718944">
    <w:abstractNumId w:val="33"/>
  </w:num>
  <w:num w:numId="51" w16cid:durableId="1826820177">
    <w:abstractNumId w:val="17"/>
  </w:num>
  <w:num w:numId="52" w16cid:durableId="1065686256">
    <w:abstractNumId w:val="42"/>
  </w:num>
  <w:num w:numId="53" w16cid:durableId="1801529174">
    <w:abstractNumId w:val="30"/>
  </w:num>
  <w:num w:numId="54" w16cid:durableId="248539584">
    <w:abstractNumId w:val="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26"/>
    <w:rsid w:val="00000822"/>
    <w:rsid w:val="00003728"/>
    <w:rsid w:val="00004B91"/>
    <w:rsid w:val="00006344"/>
    <w:rsid w:val="000068B9"/>
    <w:rsid w:val="000115AB"/>
    <w:rsid w:val="00012DA7"/>
    <w:rsid w:val="00014646"/>
    <w:rsid w:val="0001473F"/>
    <w:rsid w:val="00014D0A"/>
    <w:rsid w:val="00015018"/>
    <w:rsid w:val="00016253"/>
    <w:rsid w:val="00022338"/>
    <w:rsid w:val="000246D6"/>
    <w:rsid w:val="00025C12"/>
    <w:rsid w:val="000347FB"/>
    <w:rsid w:val="00035A11"/>
    <w:rsid w:val="00036249"/>
    <w:rsid w:val="00041D05"/>
    <w:rsid w:val="00042268"/>
    <w:rsid w:val="00042F75"/>
    <w:rsid w:val="00043534"/>
    <w:rsid w:val="00046D4C"/>
    <w:rsid w:val="00047035"/>
    <w:rsid w:val="00047707"/>
    <w:rsid w:val="00047C88"/>
    <w:rsid w:val="00050A6B"/>
    <w:rsid w:val="000513FD"/>
    <w:rsid w:val="00052D11"/>
    <w:rsid w:val="00053BD7"/>
    <w:rsid w:val="00053CC3"/>
    <w:rsid w:val="00053D2F"/>
    <w:rsid w:val="0005461D"/>
    <w:rsid w:val="0005626F"/>
    <w:rsid w:val="0005685E"/>
    <w:rsid w:val="000570A6"/>
    <w:rsid w:val="000601CA"/>
    <w:rsid w:val="00061582"/>
    <w:rsid w:val="00061B8C"/>
    <w:rsid w:val="00070315"/>
    <w:rsid w:val="000707E9"/>
    <w:rsid w:val="00070945"/>
    <w:rsid w:val="000717BA"/>
    <w:rsid w:val="0007270D"/>
    <w:rsid w:val="00075506"/>
    <w:rsid w:val="00076F0F"/>
    <w:rsid w:val="00080F06"/>
    <w:rsid w:val="00080FC2"/>
    <w:rsid w:val="000825CF"/>
    <w:rsid w:val="00082C60"/>
    <w:rsid w:val="00082E7E"/>
    <w:rsid w:val="00082EB1"/>
    <w:rsid w:val="00083D66"/>
    <w:rsid w:val="000848B6"/>
    <w:rsid w:val="000858DB"/>
    <w:rsid w:val="00085A13"/>
    <w:rsid w:val="000905E4"/>
    <w:rsid w:val="0009157D"/>
    <w:rsid w:val="00096C0B"/>
    <w:rsid w:val="00096D01"/>
    <w:rsid w:val="00097F70"/>
    <w:rsid w:val="000A0C18"/>
    <w:rsid w:val="000A1D58"/>
    <w:rsid w:val="000A3AA0"/>
    <w:rsid w:val="000A3F9B"/>
    <w:rsid w:val="000A4C7E"/>
    <w:rsid w:val="000A6268"/>
    <w:rsid w:val="000B04DE"/>
    <w:rsid w:val="000B2FD1"/>
    <w:rsid w:val="000B4346"/>
    <w:rsid w:val="000B4DF9"/>
    <w:rsid w:val="000B5968"/>
    <w:rsid w:val="000B6A88"/>
    <w:rsid w:val="000C36A3"/>
    <w:rsid w:val="000C3973"/>
    <w:rsid w:val="000C48B1"/>
    <w:rsid w:val="000C54B4"/>
    <w:rsid w:val="000C57C6"/>
    <w:rsid w:val="000C6718"/>
    <w:rsid w:val="000C76AA"/>
    <w:rsid w:val="000D0A42"/>
    <w:rsid w:val="000D1668"/>
    <w:rsid w:val="000D6958"/>
    <w:rsid w:val="000D713F"/>
    <w:rsid w:val="000D733B"/>
    <w:rsid w:val="000D742A"/>
    <w:rsid w:val="000E058F"/>
    <w:rsid w:val="000E07C3"/>
    <w:rsid w:val="000E0D16"/>
    <w:rsid w:val="000E1D08"/>
    <w:rsid w:val="000E32D8"/>
    <w:rsid w:val="000E5739"/>
    <w:rsid w:val="000E7683"/>
    <w:rsid w:val="000E77A8"/>
    <w:rsid w:val="000E77F0"/>
    <w:rsid w:val="000F1EB3"/>
    <w:rsid w:val="000F288B"/>
    <w:rsid w:val="000F300A"/>
    <w:rsid w:val="000F3A4B"/>
    <w:rsid w:val="000F4256"/>
    <w:rsid w:val="000F5C20"/>
    <w:rsid w:val="000F79EA"/>
    <w:rsid w:val="0010164B"/>
    <w:rsid w:val="00107118"/>
    <w:rsid w:val="00110D97"/>
    <w:rsid w:val="001127E2"/>
    <w:rsid w:val="00112DAD"/>
    <w:rsid w:val="001140D1"/>
    <w:rsid w:val="001171E4"/>
    <w:rsid w:val="0012007C"/>
    <w:rsid w:val="00120E2E"/>
    <w:rsid w:val="00121181"/>
    <w:rsid w:val="00122329"/>
    <w:rsid w:val="001232C3"/>
    <w:rsid w:val="00124B00"/>
    <w:rsid w:val="00126471"/>
    <w:rsid w:val="00126ADF"/>
    <w:rsid w:val="00126BEE"/>
    <w:rsid w:val="00126DCF"/>
    <w:rsid w:val="00127D91"/>
    <w:rsid w:val="0012E0D3"/>
    <w:rsid w:val="00130B94"/>
    <w:rsid w:val="001317FA"/>
    <w:rsid w:val="001324A3"/>
    <w:rsid w:val="00134AE0"/>
    <w:rsid w:val="00135EF0"/>
    <w:rsid w:val="0013675B"/>
    <w:rsid w:val="00136C50"/>
    <w:rsid w:val="00137347"/>
    <w:rsid w:val="00140924"/>
    <w:rsid w:val="00143024"/>
    <w:rsid w:val="00143C66"/>
    <w:rsid w:val="0014432F"/>
    <w:rsid w:val="00144A90"/>
    <w:rsid w:val="00154D8C"/>
    <w:rsid w:val="001575C5"/>
    <w:rsid w:val="001600FA"/>
    <w:rsid w:val="001616DD"/>
    <w:rsid w:val="00161AE4"/>
    <w:rsid w:val="00161FDC"/>
    <w:rsid w:val="00164201"/>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C9F"/>
    <w:rsid w:val="00195EFB"/>
    <w:rsid w:val="00197F2E"/>
    <w:rsid w:val="001A0124"/>
    <w:rsid w:val="001A1DD6"/>
    <w:rsid w:val="001A2273"/>
    <w:rsid w:val="001B0DC3"/>
    <w:rsid w:val="001B1A6A"/>
    <w:rsid w:val="001B3430"/>
    <w:rsid w:val="001B6F1E"/>
    <w:rsid w:val="001C0F5C"/>
    <w:rsid w:val="001C108E"/>
    <w:rsid w:val="001C223C"/>
    <w:rsid w:val="001C24A7"/>
    <w:rsid w:val="001C263F"/>
    <w:rsid w:val="001C49B6"/>
    <w:rsid w:val="001C5958"/>
    <w:rsid w:val="001C6720"/>
    <w:rsid w:val="001C7775"/>
    <w:rsid w:val="001D0D10"/>
    <w:rsid w:val="001D12A9"/>
    <w:rsid w:val="001D140D"/>
    <w:rsid w:val="001D150B"/>
    <w:rsid w:val="001D182C"/>
    <w:rsid w:val="001D195F"/>
    <w:rsid w:val="001D588C"/>
    <w:rsid w:val="001D67F0"/>
    <w:rsid w:val="001D780B"/>
    <w:rsid w:val="001D7907"/>
    <w:rsid w:val="001E0BEA"/>
    <w:rsid w:val="001E0BED"/>
    <w:rsid w:val="001E2C6F"/>
    <w:rsid w:val="001E30A5"/>
    <w:rsid w:val="001E3D5B"/>
    <w:rsid w:val="001E4A13"/>
    <w:rsid w:val="001E4EF9"/>
    <w:rsid w:val="001E579B"/>
    <w:rsid w:val="001E5FF2"/>
    <w:rsid w:val="001E626E"/>
    <w:rsid w:val="001E7077"/>
    <w:rsid w:val="001E790F"/>
    <w:rsid w:val="001E7A17"/>
    <w:rsid w:val="001F0765"/>
    <w:rsid w:val="001F26B1"/>
    <w:rsid w:val="001F295A"/>
    <w:rsid w:val="001F29F4"/>
    <w:rsid w:val="001F3ED6"/>
    <w:rsid w:val="001F4369"/>
    <w:rsid w:val="001F49DF"/>
    <w:rsid w:val="001F5AE3"/>
    <w:rsid w:val="001F616F"/>
    <w:rsid w:val="001F656A"/>
    <w:rsid w:val="001F68D1"/>
    <w:rsid w:val="001F6D1A"/>
    <w:rsid w:val="001F6E03"/>
    <w:rsid w:val="00200ED6"/>
    <w:rsid w:val="002012D2"/>
    <w:rsid w:val="00201AF6"/>
    <w:rsid w:val="0020360D"/>
    <w:rsid w:val="002046E9"/>
    <w:rsid w:val="0020612C"/>
    <w:rsid w:val="002108F7"/>
    <w:rsid w:val="00211BFA"/>
    <w:rsid w:val="00212F1D"/>
    <w:rsid w:val="002140AE"/>
    <w:rsid w:val="0022138F"/>
    <w:rsid w:val="00225769"/>
    <w:rsid w:val="00225E3B"/>
    <w:rsid w:val="00227104"/>
    <w:rsid w:val="00230054"/>
    <w:rsid w:val="00231BB1"/>
    <w:rsid w:val="002342D5"/>
    <w:rsid w:val="0023501D"/>
    <w:rsid w:val="0023668B"/>
    <w:rsid w:val="00240DC9"/>
    <w:rsid w:val="00241A68"/>
    <w:rsid w:val="00242601"/>
    <w:rsid w:val="002427B0"/>
    <w:rsid w:val="00244149"/>
    <w:rsid w:val="00245BF4"/>
    <w:rsid w:val="00245C8D"/>
    <w:rsid w:val="00246EDC"/>
    <w:rsid w:val="00247BAF"/>
    <w:rsid w:val="00250C3A"/>
    <w:rsid w:val="00251D96"/>
    <w:rsid w:val="00253A48"/>
    <w:rsid w:val="00253EC8"/>
    <w:rsid w:val="0025483C"/>
    <w:rsid w:val="00256701"/>
    <w:rsid w:val="0026085A"/>
    <w:rsid w:val="002620DD"/>
    <w:rsid w:val="002700D3"/>
    <w:rsid w:val="002722DC"/>
    <w:rsid w:val="0027262B"/>
    <w:rsid w:val="00274308"/>
    <w:rsid w:val="00280051"/>
    <w:rsid w:val="00280C5D"/>
    <w:rsid w:val="00280EA1"/>
    <w:rsid w:val="0028150A"/>
    <w:rsid w:val="00281798"/>
    <w:rsid w:val="00281830"/>
    <w:rsid w:val="002827C4"/>
    <w:rsid w:val="00284D13"/>
    <w:rsid w:val="00286C90"/>
    <w:rsid w:val="00291D96"/>
    <w:rsid w:val="00291DD3"/>
    <w:rsid w:val="00292A6B"/>
    <w:rsid w:val="00293B6B"/>
    <w:rsid w:val="00294B76"/>
    <w:rsid w:val="00294C58"/>
    <w:rsid w:val="00294F1A"/>
    <w:rsid w:val="00295D79"/>
    <w:rsid w:val="00296148"/>
    <w:rsid w:val="0029655B"/>
    <w:rsid w:val="002A0163"/>
    <w:rsid w:val="002A295E"/>
    <w:rsid w:val="002A7F01"/>
    <w:rsid w:val="002B2713"/>
    <w:rsid w:val="002B28F3"/>
    <w:rsid w:val="002B3511"/>
    <w:rsid w:val="002B3D19"/>
    <w:rsid w:val="002B3F13"/>
    <w:rsid w:val="002B434C"/>
    <w:rsid w:val="002B5D29"/>
    <w:rsid w:val="002C39F9"/>
    <w:rsid w:val="002C58B8"/>
    <w:rsid w:val="002C7500"/>
    <w:rsid w:val="002C75BC"/>
    <w:rsid w:val="002C7B06"/>
    <w:rsid w:val="002D1CA0"/>
    <w:rsid w:val="002D22CF"/>
    <w:rsid w:val="002D27A2"/>
    <w:rsid w:val="002D2ED2"/>
    <w:rsid w:val="002D3110"/>
    <w:rsid w:val="002D48F4"/>
    <w:rsid w:val="002D4BB3"/>
    <w:rsid w:val="002D4D8A"/>
    <w:rsid w:val="002D56A1"/>
    <w:rsid w:val="002D59A9"/>
    <w:rsid w:val="002D5A00"/>
    <w:rsid w:val="002D7682"/>
    <w:rsid w:val="002E1E63"/>
    <w:rsid w:val="002E1FA1"/>
    <w:rsid w:val="002E5671"/>
    <w:rsid w:val="002E63E1"/>
    <w:rsid w:val="002E6515"/>
    <w:rsid w:val="002E6517"/>
    <w:rsid w:val="002E6687"/>
    <w:rsid w:val="002F2A26"/>
    <w:rsid w:val="002F6957"/>
    <w:rsid w:val="002F6CB3"/>
    <w:rsid w:val="002F7DE5"/>
    <w:rsid w:val="002F7DF1"/>
    <w:rsid w:val="003007EA"/>
    <w:rsid w:val="003027B6"/>
    <w:rsid w:val="00306981"/>
    <w:rsid w:val="00307E8A"/>
    <w:rsid w:val="00307FDA"/>
    <w:rsid w:val="00311585"/>
    <w:rsid w:val="0031196F"/>
    <w:rsid w:val="00312B51"/>
    <w:rsid w:val="00312C39"/>
    <w:rsid w:val="00314716"/>
    <w:rsid w:val="00316881"/>
    <w:rsid w:val="00317020"/>
    <w:rsid w:val="00317101"/>
    <w:rsid w:val="003172CB"/>
    <w:rsid w:val="00317600"/>
    <w:rsid w:val="00317F10"/>
    <w:rsid w:val="003217E1"/>
    <w:rsid w:val="003218C1"/>
    <w:rsid w:val="0032423A"/>
    <w:rsid w:val="003247E9"/>
    <w:rsid w:val="00330349"/>
    <w:rsid w:val="003303F9"/>
    <w:rsid w:val="00330A1E"/>
    <w:rsid w:val="0033168F"/>
    <w:rsid w:val="00331E2B"/>
    <w:rsid w:val="003321DE"/>
    <w:rsid w:val="00333A73"/>
    <w:rsid w:val="00334700"/>
    <w:rsid w:val="003352BA"/>
    <w:rsid w:val="003366C8"/>
    <w:rsid w:val="0033770B"/>
    <w:rsid w:val="0034072B"/>
    <w:rsid w:val="003412E9"/>
    <w:rsid w:val="00342839"/>
    <w:rsid w:val="00342D7C"/>
    <w:rsid w:val="00343A44"/>
    <w:rsid w:val="003441A9"/>
    <w:rsid w:val="003444DC"/>
    <w:rsid w:val="00345128"/>
    <w:rsid w:val="00350211"/>
    <w:rsid w:val="003518BF"/>
    <w:rsid w:val="00352DA1"/>
    <w:rsid w:val="0035392C"/>
    <w:rsid w:val="00354558"/>
    <w:rsid w:val="00363564"/>
    <w:rsid w:val="00364422"/>
    <w:rsid w:val="0036444F"/>
    <w:rsid w:val="0036465D"/>
    <w:rsid w:val="003717C9"/>
    <w:rsid w:val="00372477"/>
    <w:rsid w:val="00372544"/>
    <w:rsid w:val="0037341B"/>
    <w:rsid w:val="00374493"/>
    <w:rsid w:val="00375B4F"/>
    <w:rsid w:val="00376B5F"/>
    <w:rsid w:val="003772ED"/>
    <w:rsid w:val="00377AD9"/>
    <w:rsid w:val="00380288"/>
    <w:rsid w:val="003810B0"/>
    <w:rsid w:val="003817A2"/>
    <w:rsid w:val="00385359"/>
    <w:rsid w:val="00385468"/>
    <w:rsid w:val="0038694C"/>
    <w:rsid w:val="00390CE7"/>
    <w:rsid w:val="00390DAE"/>
    <w:rsid w:val="00393C61"/>
    <w:rsid w:val="00393FF3"/>
    <w:rsid w:val="0039618C"/>
    <w:rsid w:val="0039633A"/>
    <w:rsid w:val="00396B90"/>
    <w:rsid w:val="003A009A"/>
    <w:rsid w:val="003A0BC9"/>
    <w:rsid w:val="003A0D26"/>
    <w:rsid w:val="003A21CD"/>
    <w:rsid w:val="003A230C"/>
    <w:rsid w:val="003A2A9E"/>
    <w:rsid w:val="003A40A7"/>
    <w:rsid w:val="003A55FF"/>
    <w:rsid w:val="003A5ADA"/>
    <w:rsid w:val="003A6511"/>
    <w:rsid w:val="003B1C4D"/>
    <w:rsid w:val="003B28A5"/>
    <w:rsid w:val="003B3F9A"/>
    <w:rsid w:val="003B5121"/>
    <w:rsid w:val="003B57A1"/>
    <w:rsid w:val="003B661D"/>
    <w:rsid w:val="003B67C9"/>
    <w:rsid w:val="003B720D"/>
    <w:rsid w:val="003B760C"/>
    <w:rsid w:val="003C218A"/>
    <w:rsid w:val="003C4430"/>
    <w:rsid w:val="003C5F3E"/>
    <w:rsid w:val="003C6059"/>
    <w:rsid w:val="003C7810"/>
    <w:rsid w:val="003C7B5E"/>
    <w:rsid w:val="003D10DD"/>
    <w:rsid w:val="003D116B"/>
    <w:rsid w:val="003D1C0C"/>
    <w:rsid w:val="003D3B16"/>
    <w:rsid w:val="003D60E0"/>
    <w:rsid w:val="003D6361"/>
    <w:rsid w:val="003D709B"/>
    <w:rsid w:val="003D7463"/>
    <w:rsid w:val="003E0103"/>
    <w:rsid w:val="003E0A22"/>
    <w:rsid w:val="003E5957"/>
    <w:rsid w:val="003E727F"/>
    <w:rsid w:val="003E7D3D"/>
    <w:rsid w:val="003F01DF"/>
    <w:rsid w:val="003F2C18"/>
    <w:rsid w:val="003F6C0E"/>
    <w:rsid w:val="00405895"/>
    <w:rsid w:val="00407C75"/>
    <w:rsid w:val="00411B14"/>
    <w:rsid w:val="00412C91"/>
    <w:rsid w:val="004132C5"/>
    <w:rsid w:val="00414064"/>
    <w:rsid w:val="00415577"/>
    <w:rsid w:val="00415DFF"/>
    <w:rsid w:val="00417745"/>
    <w:rsid w:val="0042012C"/>
    <w:rsid w:val="0042207D"/>
    <w:rsid w:val="00422114"/>
    <w:rsid w:val="00423CA6"/>
    <w:rsid w:val="00423E0D"/>
    <w:rsid w:val="00426B5F"/>
    <w:rsid w:val="00430454"/>
    <w:rsid w:val="004326A8"/>
    <w:rsid w:val="004328A4"/>
    <w:rsid w:val="00434907"/>
    <w:rsid w:val="00436B86"/>
    <w:rsid w:val="0043706A"/>
    <w:rsid w:val="004401B0"/>
    <w:rsid w:val="00441154"/>
    <w:rsid w:val="00441D90"/>
    <w:rsid w:val="00442224"/>
    <w:rsid w:val="004444EE"/>
    <w:rsid w:val="00445DA4"/>
    <w:rsid w:val="0044611A"/>
    <w:rsid w:val="00447918"/>
    <w:rsid w:val="004524CF"/>
    <w:rsid w:val="00452582"/>
    <w:rsid w:val="00454812"/>
    <w:rsid w:val="004549FE"/>
    <w:rsid w:val="00454D38"/>
    <w:rsid w:val="00454DA6"/>
    <w:rsid w:val="00455C81"/>
    <w:rsid w:val="00457272"/>
    <w:rsid w:val="00457DCC"/>
    <w:rsid w:val="00461A18"/>
    <w:rsid w:val="00462060"/>
    <w:rsid w:val="00462211"/>
    <w:rsid w:val="00463C1A"/>
    <w:rsid w:val="00463EEC"/>
    <w:rsid w:val="004640FF"/>
    <w:rsid w:val="00465490"/>
    <w:rsid w:val="00473FD3"/>
    <w:rsid w:val="004740B3"/>
    <w:rsid w:val="00474746"/>
    <w:rsid w:val="00474A6A"/>
    <w:rsid w:val="00474DCC"/>
    <w:rsid w:val="00475AAB"/>
    <w:rsid w:val="00477432"/>
    <w:rsid w:val="00480537"/>
    <w:rsid w:val="00480CF9"/>
    <w:rsid w:val="00480DA2"/>
    <w:rsid w:val="00481A6C"/>
    <w:rsid w:val="0048389D"/>
    <w:rsid w:val="0048401D"/>
    <w:rsid w:val="00486165"/>
    <w:rsid w:val="0049014C"/>
    <w:rsid w:val="00492356"/>
    <w:rsid w:val="004945C5"/>
    <w:rsid w:val="004957A2"/>
    <w:rsid w:val="004A0201"/>
    <w:rsid w:val="004A178D"/>
    <w:rsid w:val="004A1C33"/>
    <w:rsid w:val="004A3058"/>
    <w:rsid w:val="004A4DF0"/>
    <w:rsid w:val="004A7A7F"/>
    <w:rsid w:val="004B031B"/>
    <w:rsid w:val="004B474F"/>
    <w:rsid w:val="004B5B56"/>
    <w:rsid w:val="004C221A"/>
    <w:rsid w:val="004C39F8"/>
    <w:rsid w:val="004C416A"/>
    <w:rsid w:val="004C424C"/>
    <w:rsid w:val="004C55B7"/>
    <w:rsid w:val="004C5D35"/>
    <w:rsid w:val="004C6C6F"/>
    <w:rsid w:val="004D0A68"/>
    <w:rsid w:val="004D20BF"/>
    <w:rsid w:val="004D2AF7"/>
    <w:rsid w:val="004D2C70"/>
    <w:rsid w:val="004D31D0"/>
    <w:rsid w:val="004D31F1"/>
    <w:rsid w:val="004D4286"/>
    <w:rsid w:val="004D4733"/>
    <w:rsid w:val="004D4B45"/>
    <w:rsid w:val="004D667B"/>
    <w:rsid w:val="004D6C3E"/>
    <w:rsid w:val="004D7B29"/>
    <w:rsid w:val="004E14DE"/>
    <w:rsid w:val="004E2562"/>
    <w:rsid w:val="004E2E2F"/>
    <w:rsid w:val="004E7CE8"/>
    <w:rsid w:val="004F00E3"/>
    <w:rsid w:val="004F1BEF"/>
    <w:rsid w:val="004F2430"/>
    <w:rsid w:val="004F2B91"/>
    <w:rsid w:val="004F3034"/>
    <w:rsid w:val="004F435E"/>
    <w:rsid w:val="004F65D7"/>
    <w:rsid w:val="004F66BA"/>
    <w:rsid w:val="00506D24"/>
    <w:rsid w:val="005077D2"/>
    <w:rsid w:val="005118F6"/>
    <w:rsid w:val="0051350A"/>
    <w:rsid w:val="00517604"/>
    <w:rsid w:val="00517DA5"/>
    <w:rsid w:val="00517FA4"/>
    <w:rsid w:val="005216E4"/>
    <w:rsid w:val="00524F11"/>
    <w:rsid w:val="00525801"/>
    <w:rsid w:val="00530642"/>
    <w:rsid w:val="00530F88"/>
    <w:rsid w:val="00532B1C"/>
    <w:rsid w:val="00532EB9"/>
    <w:rsid w:val="00533388"/>
    <w:rsid w:val="00534E1F"/>
    <w:rsid w:val="00537269"/>
    <w:rsid w:val="005412CE"/>
    <w:rsid w:val="005420F6"/>
    <w:rsid w:val="005443C8"/>
    <w:rsid w:val="005447BB"/>
    <w:rsid w:val="0054683B"/>
    <w:rsid w:val="00546BD1"/>
    <w:rsid w:val="00552527"/>
    <w:rsid w:val="005558E1"/>
    <w:rsid w:val="005564A4"/>
    <w:rsid w:val="0055674C"/>
    <w:rsid w:val="00556EB8"/>
    <w:rsid w:val="005606CB"/>
    <w:rsid w:val="00562E91"/>
    <w:rsid w:val="00563265"/>
    <w:rsid w:val="00563FD8"/>
    <w:rsid w:val="00564817"/>
    <w:rsid w:val="0056512E"/>
    <w:rsid w:val="005654E4"/>
    <w:rsid w:val="0056561D"/>
    <w:rsid w:val="005706E9"/>
    <w:rsid w:val="00570849"/>
    <w:rsid w:val="0057158C"/>
    <w:rsid w:val="00576416"/>
    <w:rsid w:val="005778BD"/>
    <w:rsid w:val="00577C65"/>
    <w:rsid w:val="00581121"/>
    <w:rsid w:val="005840B8"/>
    <w:rsid w:val="005867DF"/>
    <w:rsid w:val="005900D8"/>
    <w:rsid w:val="005916F1"/>
    <w:rsid w:val="00592081"/>
    <w:rsid w:val="005A0348"/>
    <w:rsid w:val="005A1FA3"/>
    <w:rsid w:val="005A21F7"/>
    <w:rsid w:val="005A27C0"/>
    <w:rsid w:val="005A4691"/>
    <w:rsid w:val="005A59D3"/>
    <w:rsid w:val="005A6062"/>
    <w:rsid w:val="005A74FF"/>
    <w:rsid w:val="005A7C67"/>
    <w:rsid w:val="005B194A"/>
    <w:rsid w:val="005B234E"/>
    <w:rsid w:val="005B30A7"/>
    <w:rsid w:val="005B3D8A"/>
    <w:rsid w:val="005B3EC2"/>
    <w:rsid w:val="005C1D68"/>
    <w:rsid w:val="005C1F94"/>
    <w:rsid w:val="005C58FA"/>
    <w:rsid w:val="005C5F49"/>
    <w:rsid w:val="005C71BC"/>
    <w:rsid w:val="005D2629"/>
    <w:rsid w:val="005D3451"/>
    <w:rsid w:val="005D3F57"/>
    <w:rsid w:val="005D4A78"/>
    <w:rsid w:val="005D4CEF"/>
    <w:rsid w:val="005D54F1"/>
    <w:rsid w:val="005D5820"/>
    <w:rsid w:val="005D79E1"/>
    <w:rsid w:val="005E03EB"/>
    <w:rsid w:val="005E3D07"/>
    <w:rsid w:val="005E6174"/>
    <w:rsid w:val="005E6B49"/>
    <w:rsid w:val="005E7252"/>
    <w:rsid w:val="005E7AA8"/>
    <w:rsid w:val="005F02C2"/>
    <w:rsid w:val="005F70F7"/>
    <w:rsid w:val="005F797F"/>
    <w:rsid w:val="006046D3"/>
    <w:rsid w:val="00605B03"/>
    <w:rsid w:val="00605E3B"/>
    <w:rsid w:val="006065E8"/>
    <w:rsid w:val="00607039"/>
    <w:rsid w:val="00607B4C"/>
    <w:rsid w:val="0061079D"/>
    <w:rsid w:val="00610940"/>
    <w:rsid w:val="006155F0"/>
    <w:rsid w:val="00616766"/>
    <w:rsid w:val="00620386"/>
    <w:rsid w:val="00621E30"/>
    <w:rsid w:val="00623234"/>
    <w:rsid w:val="006253B6"/>
    <w:rsid w:val="00625A15"/>
    <w:rsid w:val="00627BD8"/>
    <w:rsid w:val="00630BC7"/>
    <w:rsid w:val="0063178C"/>
    <w:rsid w:val="0063477F"/>
    <w:rsid w:val="006349C4"/>
    <w:rsid w:val="00635114"/>
    <w:rsid w:val="00636177"/>
    <w:rsid w:val="006361D0"/>
    <w:rsid w:val="00637BE8"/>
    <w:rsid w:val="00637C90"/>
    <w:rsid w:val="00637D76"/>
    <w:rsid w:val="00640421"/>
    <w:rsid w:val="006408BF"/>
    <w:rsid w:val="00640A07"/>
    <w:rsid w:val="0064271E"/>
    <w:rsid w:val="006431FF"/>
    <w:rsid w:val="0064333A"/>
    <w:rsid w:val="00644F89"/>
    <w:rsid w:val="006553EC"/>
    <w:rsid w:val="00655674"/>
    <w:rsid w:val="00656027"/>
    <w:rsid w:val="00656746"/>
    <w:rsid w:val="006623D2"/>
    <w:rsid w:val="00663064"/>
    <w:rsid w:val="0067005A"/>
    <w:rsid w:val="00680130"/>
    <w:rsid w:val="00681F61"/>
    <w:rsid w:val="006824E0"/>
    <w:rsid w:val="006825BC"/>
    <w:rsid w:val="00682F44"/>
    <w:rsid w:val="00683126"/>
    <w:rsid w:val="00684A68"/>
    <w:rsid w:val="00685810"/>
    <w:rsid w:val="00685883"/>
    <w:rsid w:val="00691C90"/>
    <w:rsid w:val="00692458"/>
    <w:rsid w:val="00692A62"/>
    <w:rsid w:val="0069388D"/>
    <w:rsid w:val="006A0160"/>
    <w:rsid w:val="006A0F4A"/>
    <w:rsid w:val="006A31AB"/>
    <w:rsid w:val="006A5215"/>
    <w:rsid w:val="006B18B2"/>
    <w:rsid w:val="006B3640"/>
    <w:rsid w:val="006B61AC"/>
    <w:rsid w:val="006B6C90"/>
    <w:rsid w:val="006B7CA7"/>
    <w:rsid w:val="006C1521"/>
    <w:rsid w:val="006C39B7"/>
    <w:rsid w:val="006C3C89"/>
    <w:rsid w:val="006C3E8F"/>
    <w:rsid w:val="006C4E7E"/>
    <w:rsid w:val="006C632A"/>
    <w:rsid w:val="006C6BD8"/>
    <w:rsid w:val="006C7001"/>
    <w:rsid w:val="006C7362"/>
    <w:rsid w:val="006D0809"/>
    <w:rsid w:val="006D11DF"/>
    <w:rsid w:val="006D2547"/>
    <w:rsid w:val="006D3EF5"/>
    <w:rsid w:val="006D47A7"/>
    <w:rsid w:val="006E0951"/>
    <w:rsid w:val="006E10A6"/>
    <w:rsid w:val="006E4456"/>
    <w:rsid w:val="006E462E"/>
    <w:rsid w:val="006E5856"/>
    <w:rsid w:val="006E71A5"/>
    <w:rsid w:val="006E73F9"/>
    <w:rsid w:val="006F0585"/>
    <w:rsid w:val="006F1D4C"/>
    <w:rsid w:val="006F47AA"/>
    <w:rsid w:val="006F4A19"/>
    <w:rsid w:val="006F5C70"/>
    <w:rsid w:val="006F73C8"/>
    <w:rsid w:val="00700549"/>
    <w:rsid w:val="00700B1E"/>
    <w:rsid w:val="00700B46"/>
    <w:rsid w:val="00702088"/>
    <w:rsid w:val="00702564"/>
    <w:rsid w:val="007033DE"/>
    <w:rsid w:val="00703CCF"/>
    <w:rsid w:val="00705460"/>
    <w:rsid w:val="0070565D"/>
    <w:rsid w:val="00705E9F"/>
    <w:rsid w:val="00712F00"/>
    <w:rsid w:val="00721B04"/>
    <w:rsid w:val="00721E2A"/>
    <w:rsid w:val="007232A8"/>
    <w:rsid w:val="00724D61"/>
    <w:rsid w:val="00726217"/>
    <w:rsid w:val="007277AF"/>
    <w:rsid w:val="00730C06"/>
    <w:rsid w:val="00735005"/>
    <w:rsid w:val="00735CAA"/>
    <w:rsid w:val="0073719C"/>
    <w:rsid w:val="00742E09"/>
    <w:rsid w:val="00745452"/>
    <w:rsid w:val="00745956"/>
    <w:rsid w:val="00746818"/>
    <w:rsid w:val="00747FC4"/>
    <w:rsid w:val="007501FA"/>
    <w:rsid w:val="00751DC3"/>
    <w:rsid w:val="00752457"/>
    <w:rsid w:val="0075311C"/>
    <w:rsid w:val="0075415F"/>
    <w:rsid w:val="00754898"/>
    <w:rsid w:val="00754A51"/>
    <w:rsid w:val="00760169"/>
    <w:rsid w:val="00760585"/>
    <w:rsid w:val="007606B4"/>
    <w:rsid w:val="00760845"/>
    <w:rsid w:val="00761E54"/>
    <w:rsid w:val="0076206F"/>
    <w:rsid w:val="007640E0"/>
    <w:rsid w:val="00766E67"/>
    <w:rsid w:val="007678AC"/>
    <w:rsid w:val="0077062A"/>
    <w:rsid w:val="00770769"/>
    <w:rsid w:val="0077225F"/>
    <w:rsid w:val="00774042"/>
    <w:rsid w:val="007741B9"/>
    <w:rsid w:val="007747ED"/>
    <w:rsid w:val="00774E46"/>
    <w:rsid w:val="00774FDE"/>
    <w:rsid w:val="00775D89"/>
    <w:rsid w:val="00777EE3"/>
    <w:rsid w:val="007812CF"/>
    <w:rsid w:val="0078367D"/>
    <w:rsid w:val="00784D38"/>
    <w:rsid w:val="00785234"/>
    <w:rsid w:val="007919C0"/>
    <w:rsid w:val="00794435"/>
    <w:rsid w:val="00794ACF"/>
    <w:rsid w:val="00794FDB"/>
    <w:rsid w:val="00795685"/>
    <w:rsid w:val="007A1603"/>
    <w:rsid w:val="007A62BE"/>
    <w:rsid w:val="007A682A"/>
    <w:rsid w:val="007A7F29"/>
    <w:rsid w:val="007B03DA"/>
    <w:rsid w:val="007B129A"/>
    <w:rsid w:val="007B175D"/>
    <w:rsid w:val="007B1A7B"/>
    <w:rsid w:val="007B2918"/>
    <w:rsid w:val="007B3138"/>
    <w:rsid w:val="007B40DC"/>
    <w:rsid w:val="007B4C35"/>
    <w:rsid w:val="007B6F78"/>
    <w:rsid w:val="007B75F4"/>
    <w:rsid w:val="007C10BA"/>
    <w:rsid w:val="007C2324"/>
    <w:rsid w:val="007C2806"/>
    <w:rsid w:val="007C2CED"/>
    <w:rsid w:val="007C5C1B"/>
    <w:rsid w:val="007C666D"/>
    <w:rsid w:val="007C6996"/>
    <w:rsid w:val="007D3448"/>
    <w:rsid w:val="007D3AFB"/>
    <w:rsid w:val="007D6E02"/>
    <w:rsid w:val="007E04CD"/>
    <w:rsid w:val="007E2EFC"/>
    <w:rsid w:val="007E3ECB"/>
    <w:rsid w:val="007E4E9A"/>
    <w:rsid w:val="007E6EE6"/>
    <w:rsid w:val="007F29F8"/>
    <w:rsid w:val="007F2D82"/>
    <w:rsid w:val="007F43F2"/>
    <w:rsid w:val="007F48B2"/>
    <w:rsid w:val="007F4B96"/>
    <w:rsid w:val="007F4EF0"/>
    <w:rsid w:val="007F5A8D"/>
    <w:rsid w:val="007F5CFF"/>
    <w:rsid w:val="0080157E"/>
    <w:rsid w:val="008026B0"/>
    <w:rsid w:val="0080333A"/>
    <w:rsid w:val="00805F46"/>
    <w:rsid w:val="0081013E"/>
    <w:rsid w:val="00810C0D"/>
    <w:rsid w:val="00810F06"/>
    <w:rsid w:val="008113B4"/>
    <w:rsid w:val="008114F0"/>
    <w:rsid w:val="00814D74"/>
    <w:rsid w:val="00814DE5"/>
    <w:rsid w:val="00815DE6"/>
    <w:rsid w:val="00820942"/>
    <w:rsid w:val="008248D1"/>
    <w:rsid w:val="0082586A"/>
    <w:rsid w:val="008261B4"/>
    <w:rsid w:val="00827EDE"/>
    <w:rsid w:val="00832EAB"/>
    <w:rsid w:val="008358B4"/>
    <w:rsid w:val="00842492"/>
    <w:rsid w:val="00842EF4"/>
    <w:rsid w:val="00843D15"/>
    <w:rsid w:val="008440FF"/>
    <w:rsid w:val="00845AA0"/>
    <w:rsid w:val="008510FF"/>
    <w:rsid w:val="0085210F"/>
    <w:rsid w:val="008530BE"/>
    <w:rsid w:val="008538C5"/>
    <w:rsid w:val="008540FA"/>
    <w:rsid w:val="008571F3"/>
    <w:rsid w:val="008606A0"/>
    <w:rsid w:val="00861E1B"/>
    <w:rsid w:val="00862776"/>
    <w:rsid w:val="00863446"/>
    <w:rsid w:val="00863E4E"/>
    <w:rsid w:val="00867895"/>
    <w:rsid w:val="008678CC"/>
    <w:rsid w:val="008740E0"/>
    <w:rsid w:val="00875FE9"/>
    <w:rsid w:val="0087684F"/>
    <w:rsid w:val="00876CAC"/>
    <w:rsid w:val="00885A76"/>
    <w:rsid w:val="00886079"/>
    <w:rsid w:val="00887EBA"/>
    <w:rsid w:val="00891F34"/>
    <w:rsid w:val="00892CF8"/>
    <w:rsid w:val="00892EE6"/>
    <w:rsid w:val="008953DE"/>
    <w:rsid w:val="00895C04"/>
    <w:rsid w:val="008970B7"/>
    <w:rsid w:val="008A0530"/>
    <w:rsid w:val="008A1B21"/>
    <w:rsid w:val="008A1FF9"/>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3407"/>
    <w:rsid w:val="008D428A"/>
    <w:rsid w:val="008D4AA6"/>
    <w:rsid w:val="008E0CD4"/>
    <w:rsid w:val="008E1879"/>
    <w:rsid w:val="008E2267"/>
    <w:rsid w:val="008E634A"/>
    <w:rsid w:val="008E6827"/>
    <w:rsid w:val="008F0F03"/>
    <w:rsid w:val="008F1341"/>
    <w:rsid w:val="008F2CF5"/>
    <w:rsid w:val="008F3034"/>
    <w:rsid w:val="008F3194"/>
    <w:rsid w:val="008F5E84"/>
    <w:rsid w:val="008F65FF"/>
    <w:rsid w:val="00900E06"/>
    <w:rsid w:val="00901E01"/>
    <w:rsid w:val="00904BC8"/>
    <w:rsid w:val="00906D5B"/>
    <w:rsid w:val="00907133"/>
    <w:rsid w:val="009071E8"/>
    <w:rsid w:val="009118F6"/>
    <w:rsid w:val="00911EB8"/>
    <w:rsid w:val="00912168"/>
    <w:rsid w:val="009139C7"/>
    <w:rsid w:val="00913CAC"/>
    <w:rsid w:val="0091437D"/>
    <w:rsid w:val="0091462B"/>
    <w:rsid w:val="009149B8"/>
    <w:rsid w:val="0091550B"/>
    <w:rsid w:val="00915F98"/>
    <w:rsid w:val="0091658D"/>
    <w:rsid w:val="00917142"/>
    <w:rsid w:val="00920EF6"/>
    <w:rsid w:val="00921C0B"/>
    <w:rsid w:val="00921FF8"/>
    <w:rsid w:val="00922A50"/>
    <w:rsid w:val="00923EC8"/>
    <w:rsid w:val="00925F13"/>
    <w:rsid w:val="00926417"/>
    <w:rsid w:val="009277AD"/>
    <w:rsid w:val="009306ED"/>
    <w:rsid w:val="009307DD"/>
    <w:rsid w:val="00930D0D"/>
    <w:rsid w:val="00932D30"/>
    <w:rsid w:val="00933875"/>
    <w:rsid w:val="00933BFA"/>
    <w:rsid w:val="00934A7F"/>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380"/>
    <w:rsid w:val="009504AF"/>
    <w:rsid w:val="0095050A"/>
    <w:rsid w:val="009522A6"/>
    <w:rsid w:val="0095266F"/>
    <w:rsid w:val="0095278E"/>
    <w:rsid w:val="00953E59"/>
    <w:rsid w:val="0095533A"/>
    <w:rsid w:val="0095646B"/>
    <w:rsid w:val="00956557"/>
    <w:rsid w:val="0095694B"/>
    <w:rsid w:val="00957565"/>
    <w:rsid w:val="00957A99"/>
    <w:rsid w:val="009614D6"/>
    <w:rsid w:val="00964D8D"/>
    <w:rsid w:val="00964EDA"/>
    <w:rsid w:val="00965A01"/>
    <w:rsid w:val="00965EA8"/>
    <w:rsid w:val="0096731B"/>
    <w:rsid w:val="00967654"/>
    <w:rsid w:val="0096785D"/>
    <w:rsid w:val="00970842"/>
    <w:rsid w:val="00971125"/>
    <w:rsid w:val="00971F4F"/>
    <w:rsid w:val="00972D70"/>
    <w:rsid w:val="0097363B"/>
    <w:rsid w:val="009746B1"/>
    <w:rsid w:val="00975A13"/>
    <w:rsid w:val="00975EE6"/>
    <w:rsid w:val="00977BFB"/>
    <w:rsid w:val="00982385"/>
    <w:rsid w:val="00982810"/>
    <w:rsid w:val="009903CC"/>
    <w:rsid w:val="00995B1B"/>
    <w:rsid w:val="00997834"/>
    <w:rsid w:val="009A1396"/>
    <w:rsid w:val="009A2981"/>
    <w:rsid w:val="009A336D"/>
    <w:rsid w:val="009A5010"/>
    <w:rsid w:val="009A563F"/>
    <w:rsid w:val="009A63B5"/>
    <w:rsid w:val="009A7037"/>
    <w:rsid w:val="009B205D"/>
    <w:rsid w:val="009B4B93"/>
    <w:rsid w:val="009C07F4"/>
    <w:rsid w:val="009C11CF"/>
    <w:rsid w:val="009C13FA"/>
    <w:rsid w:val="009C2AED"/>
    <w:rsid w:val="009C3490"/>
    <w:rsid w:val="009C3BB0"/>
    <w:rsid w:val="009C575D"/>
    <w:rsid w:val="009C72D3"/>
    <w:rsid w:val="009D0C1A"/>
    <w:rsid w:val="009D1FC0"/>
    <w:rsid w:val="009D2863"/>
    <w:rsid w:val="009D3792"/>
    <w:rsid w:val="009D4238"/>
    <w:rsid w:val="009D493B"/>
    <w:rsid w:val="009D571D"/>
    <w:rsid w:val="009D5E09"/>
    <w:rsid w:val="009D5EE5"/>
    <w:rsid w:val="009D5F1E"/>
    <w:rsid w:val="009D7580"/>
    <w:rsid w:val="009E00C4"/>
    <w:rsid w:val="009E0C7A"/>
    <w:rsid w:val="009E0E38"/>
    <w:rsid w:val="009E1B6C"/>
    <w:rsid w:val="009E1FF0"/>
    <w:rsid w:val="009E31CD"/>
    <w:rsid w:val="009E4FB7"/>
    <w:rsid w:val="009E53F4"/>
    <w:rsid w:val="009E59FA"/>
    <w:rsid w:val="009F72C8"/>
    <w:rsid w:val="00A006D5"/>
    <w:rsid w:val="00A01509"/>
    <w:rsid w:val="00A02651"/>
    <w:rsid w:val="00A0337B"/>
    <w:rsid w:val="00A035E4"/>
    <w:rsid w:val="00A03809"/>
    <w:rsid w:val="00A0459A"/>
    <w:rsid w:val="00A04D88"/>
    <w:rsid w:val="00A07C43"/>
    <w:rsid w:val="00A116EA"/>
    <w:rsid w:val="00A11739"/>
    <w:rsid w:val="00A14311"/>
    <w:rsid w:val="00A1579B"/>
    <w:rsid w:val="00A20CEA"/>
    <w:rsid w:val="00A22CF6"/>
    <w:rsid w:val="00A2358A"/>
    <w:rsid w:val="00A24C42"/>
    <w:rsid w:val="00A2629A"/>
    <w:rsid w:val="00A2642C"/>
    <w:rsid w:val="00A26F1E"/>
    <w:rsid w:val="00A272D4"/>
    <w:rsid w:val="00A2737A"/>
    <w:rsid w:val="00A303C6"/>
    <w:rsid w:val="00A31E06"/>
    <w:rsid w:val="00A32240"/>
    <w:rsid w:val="00A32873"/>
    <w:rsid w:val="00A32B6F"/>
    <w:rsid w:val="00A333F2"/>
    <w:rsid w:val="00A34EAB"/>
    <w:rsid w:val="00A41E01"/>
    <w:rsid w:val="00A435C8"/>
    <w:rsid w:val="00A45D6C"/>
    <w:rsid w:val="00A470E3"/>
    <w:rsid w:val="00A513AA"/>
    <w:rsid w:val="00A6051F"/>
    <w:rsid w:val="00A60EED"/>
    <w:rsid w:val="00A61250"/>
    <w:rsid w:val="00A621FE"/>
    <w:rsid w:val="00A6232E"/>
    <w:rsid w:val="00A630D9"/>
    <w:rsid w:val="00A64430"/>
    <w:rsid w:val="00A65C0A"/>
    <w:rsid w:val="00A66966"/>
    <w:rsid w:val="00A70917"/>
    <w:rsid w:val="00A721C0"/>
    <w:rsid w:val="00A7294C"/>
    <w:rsid w:val="00A731B8"/>
    <w:rsid w:val="00A7517C"/>
    <w:rsid w:val="00A757CC"/>
    <w:rsid w:val="00A774B1"/>
    <w:rsid w:val="00A829E6"/>
    <w:rsid w:val="00A84013"/>
    <w:rsid w:val="00A84E3E"/>
    <w:rsid w:val="00A856B1"/>
    <w:rsid w:val="00A875F3"/>
    <w:rsid w:val="00A9080B"/>
    <w:rsid w:val="00A90E16"/>
    <w:rsid w:val="00A94E61"/>
    <w:rsid w:val="00A95263"/>
    <w:rsid w:val="00A957B0"/>
    <w:rsid w:val="00A95E74"/>
    <w:rsid w:val="00A96564"/>
    <w:rsid w:val="00A96CD8"/>
    <w:rsid w:val="00A979FD"/>
    <w:rsid w:val="00AA15EB"/>
    <w:rsid w:val="00AA2D7A"/>
    <w:rsid w:val="00AA2E86"/>
    <w:rsid w:val="00AA2EC2"/>
    <w:rsid w:val="00AA3549"/>
    <w:rsid w:val="00AA5307"/>
    <w:rsid w:val="00AA5D8A"/>
    <w:rsid w:val="00AA7724"/>
    <w:rsid w:val="00AB3BAC"/>
    <w:rsid w:val="00AB4AD3"/>
    <w:rsid w:val="00AB6E8A"/>
    <w:rsid w:val="00AC0797"/>
    <w:rsid w:val="00AC1866"/>
    <w:rsid w:val="00AC2EDE"/>
    <w:rsid w:val="00AC412D"/>
    <w:rsid w:val="00AC53AF"/>
    <w:rsid w:val="00AC5479"/>
    <w:rsid w:val="00AC7813"/>
    <w:rsid w:val="00AD4F9D"/>
    <w:rsid w:val="00AD628A"/>
    <w:rsid w:val="00AD7946"/>
    <w:rsid w:val="00AE05E1"/>
    <w:rsid w:val="00AE0AC0"/>
    <w:rsid w:val="00AE2123"/>
    <w:rsid w:val="00AE486F"/>
    <w:rsid w:val="00AE59E5"/>
    <w:rsid w:val="00AE629D"/>
    <w:rsid w:val="00AE6938"/>
    <w:rsid w:val="00AE6DBC"/>
    <w:rsid w:val="00AF0A65"/>
    <w:rsid w:val="00AF1992"/>
    <w:rsid w:val="00AF223D"/>
    <w:rsid w:val="00AF22E7"/>
    <w:rsid w:val="00AF3BEE"/>
    <w:rsid w:val="00AF3F61"/>
    <w:rsid w:val="00AF532B"/>
    <w:rsid w:val="00AF5C4F"/>
    <w:rsid w:val="00AF62FB"/>
    <w:rsid w:val="00AF67A9"/>
    <w:rsid w:val="00B024D9"/>
    <w:rsid w:val="00B03FFF"/>
    <w:rsid w:val="00B0502D"/>
    <w:rsid w:val="00B058EF"/>
    <w:rsid w:val="00B0735F"/>
    <w:rsid w:val="00B07F75"/>
    <w:rsid w:val="00B10AB7"/>
    <w:rsid w:val="00B10B76"/>
    <w:rsid w:val="00B1151B"/>
    <w:rsid w:val="00B133A7"/>
    <w:rsid w:val="00B15577"/>
    <w:rsid w:val="00B170A2"/>
    <w:rsid w:val="00B17F72"/>
    <w:rsid w:val="00B203FF"/>
    <w:rsid w:val="00B22277"/>
    <w:rsid w:val="00B22944"/>
    <w:rsid w:val="00B26C22"/>
    <w:rsid w:val="00B2758D"/>
    <w:rsid w:val="00B30482"/>
    <w:rsid w:val="00B31526"/>
    <w:rsid w:val="00B3226B"/>
    <w:rsid w:val="00B326A7"/>
    <w:rsid w:val="00B33322"/>
    <w:rsid w:val="00B33F30"/>
    <w:rsid w:val="00B33FA0"/>
    <w:rsid w:val="00B34124"/>
    <w:rsid w:val="00B3418C"/>
    <w:rsid w:val="00B34980"/>
    <w:rsid w:val="00B36067"/>
    <w:rsid w:val="00B36C89"/>
    <w:rsid w:val="00B41CEE"/>
    <w:rsid w:val="00B420B6"/>
    <w:rsid w:val="00B424B8"/>
    <w:rsid w:val="00B450AD"/>
    <w:rsid w:val="00B47F44"/>
    <w:rsid w:val="00B500E8"/>
    <w:rsid w:val="00B5068E"/>
    <w:rsid w:val="00B506B5"/>
    <w:rsid w:val="00B52163"/>
    <w:rsid w:val="00B55816"/>
    <w:rsid w:val="00B55EF6"/>
    <w:rsid w:val="00B61582"/>
    <w:rsid w:val="00B6217E"/>
    <w:rsid w:val="00B625F2"/>
    <w:rsid w:val="00B627C5"/>
    <w:rsid w:val="00B64367"/>
    <w:rsid w:val="00B64C8C"/>
    <w:rsid w:val="00B65F91"/>
    <w:rsid w:val="00B6769D"/>
    <w:rsid w:val="00B6772A"/>
    <w:rsid w:val="00B75233"/>
    <w:rsid w:val="00B75F7C"/>
    <w:rsid w:val="00B83559"/>
    <w:rsid w:val="00B84A5A"/>
    <w:rsid w:val="00B853F1"/>
    <w:rsid w:val="00B860ED"/>
    <w:rsid w:val="00B86A43"/>
    <w:rsid w:val="00B91976"/>
    <w:rsid w:val="00B92CED"/>
    <w:rsid w:val="00B94117"/>
    <w:rsid w:val="00B968C2"/>
    <w:rsid w:val="00BA028D"/>
    <w:rsid w:val="00BA1722"/>
    <w:rsid w:val="00BA1A3F"/>
    <w:rsid w:val="00BA3E7C"/>
    <w:rsid w:val="00BA556B"/>
    <w:rsid w:val="00BA62AA"/>
    <w:rsid w:val="00BA6C5D"/>
    <w:rsid w:val="00BA6DD4"/>
    <w:rsid w:val="00BA7527"/>
    <w:rsid w:val="00BB1636"/>
    <w:rsid w:val="00BB1B98"/>
    <w:rsid w:val="00BB5BAF"/>
    <w:rsid w:val="00BB5D9D"/>
    <w:rsid w:val="00BB6801"/>
    <w:rsid w:val="00BB7B1F"/>
    <w:rsid w:val="00BC12C5"/>
    <w:rsid w:val="00BC4D26"/>
    <w:rsid w:val="00BC507C"/>
    <w:rsid w:val="00BC5518"/>
    <w:rsid w:val="00BC71D5"/>
    <w:rsid w:val="00BD054F"/>
    <w:rsid w:val="00BD078D"/>
    <w:rsid w:val="00BD10C3"/>
    <w:rsid w:val="00BD429D"/>
    <w:rsid w:val="00BD44A9"/>
    <w:rsid w:val="00BD6D69"/>
    <w:rsid w:val="00BE1539"/>
    <w:rsid w:val="00BE4EDA"/>
    <w:rsid w:val="00BF27FA"/>
    <w:rsid w:val="00BF35EB"/>
    <w:rsid w:val="00BF36A0"/>
    <w:rsid w:val="00BF3884"/>
    <w:rsid w:val="00BF52DE"/>
    <w:rsid w:val="00BF6116"/>
    <w:rsid w:val="00C00318"/>
    <w:rsid w:val="00C01BE9"/>
    <w:rsid w:val="00C0284B"/>
    <w:rsid w:val="00C034D3"/>
    <w:rsid w:val="00C03984"/>
    <w:rsid w:val="00C049CA"/>
    <w:rsid w:val="00C055ED"/>
    <w:rsid w:val="00C07276"/>
    <w:rsid w:val="00C11030"/>
    <w:rsid w:val="00C111B1"/>
    <w:rsid w:val="00C11E48"/>
    <w:rsid w:val="00C12554"/>
    <w:rsid w:val="00C15F4D"/>
    <w:rsid w:val="00C17FF7"/>
    <w:rsid w:val="00C202F8"/>
    <w:rsid w:val="00C20D92"/>
    <w:rsid w:val="00C221C1"/>
    <w:rsid w:val="00C23868"/>
    <w:rsid w:val="00C23A9A"/>
    <w:rsid w:val="00C24670"/>
    <w:rsid w:val="00C247EA"/>
    <w:rsid w:val="00C25557"/>
    <w:rsid w:val="00C32FD3"/>
    <w:rsid w:val="00C3347F"/>
    <w:rsid w:val="00C338D7"/>
    <w:rsid w:val="00C3391B"/>
    <w:rsid w:val="00C33B14"/>
    <w:rsid w:val="00C34A10"/>
    <w:rsid w:val="00C34F92"/>
    <w:rsid w:val="00C35F30"/>
    <w:rsid w:val="00C36B93"/>
    <w:rsid w:val="00C36F3E"/>
    <w:rsid w:val="00C37A4C"/>
    <w:rsid w:val="00C40538"/>
    <w:rsid w:val="00C43ACB"/>
    <w:rsid w:val="00C43EF4"/>
    <w:rsid w:val="00C4612C"/>
    <w:rsid w:val="00C47732"/>
    <w:rsid w:val="00C50963"/>
    <w:rsid w:val="00C50BD6"/>
    <w:rsid w:val="00C50FA2"/>
    <w:rsid w:val="00C51E26"/>
    <w:rsid w:val="00C54D16"/>
    <w:rsid w:val="00C55135"/>
    <w:rsid w:val="00C57A55"/>
    <w:rsid w:val="00C608FB"/>
    <w:rsid w:val="00C62A0C"/>
    <w:rsid w:val="00C62A0E"/>
    <w:rsid w:val="00C635E2"/>
    <w:rsid w:val="00C653A2"/>
    <w:rsid w:val="00C704CF"/>
    <w:rsid w:val="00C72347"/>
    <w:rsid w:val="00C724D0"/>
    <w:rsid w:val="00C72507"/>
    <w:rsid w:val="00C74397"/>
    <w:rsid w:val="00C74A04"/>
    <w:rsid w:val="00C76E2D"/>
    <w:rsid w:val="00C76FFF"/>
    <w:rsid w:val="00C77386"/>
    <w:rsid w:val="00C80421"/>
    <w:rsid w:val="00C818BB"/>
    <w:rsid w:val="00C81DFC"/>
    <w:rsid w:val="00C82214"/>
    <w:rsid w:val="00C84E28"/>
    <w:rsid w:val="00C84EE8"/>
    <w:rsid w:val="00C84F08"/>
    <w:rsid w:val="00C90647"/>
    <w:rsid w:val="00C91310"/>
    <w:rsid w:val="00CA0192"/>
    <w:rsid w:val="00CA3BBD"/>
    <w:rsid w:val="00CA43F1"/>
    <w:rsid w:val="00CA4FDE"/>
    <w:rsid w:val="00CA70E7"/>
    <w:rsid w:val="00CB1EE4"/>
    <w:rsid w:val="00CB228A"/>
    <w:rsid w:val="00CB2E17"/>
    <w:rsid w:val="00CB3056"/>
    <w:rsid w:val="00CB3987"/>
    <w:rsid w:val="00CB46CC"/>
    <w:rsid w:val="00CB61FC"/>
    <w:rsid w:val="00CB7E08"/>
    <w:rsid w:val="00CC2DB4"/>
    <w:rsid w:val="00CC4F4F"/>
    <w:rsid w:val="00CC5575"/>
    <w:rsid w:val="00CC5AD8"/>
    <w:rsid w:val="00CD1D06"/>
    <w:rsid w:val="00CD434F"/>
    <w:rsid w:val="00CE1D90"/>
    <w:rsid w:val="00CE2446"/>
    <w:rsid w:val="00CE5F47"/>
    <w:rsid w:val="00CE6986"/>
    <w:rsid w:val="00CE78F5"/>
    <w:rsid w:val="00CF24D4"/>
    <w:rsid w:val="00CF3925"/>
    <w:rsid w:val="00CF5FC8"/>
    <w:rsid w:val="00D014A3"/>
    <w:rsid w:val="00D01536"/>
    <w:rsid w:val="00D0212D"/>
    <w:rsid w:val="00D027B9"/>
    <w:rsid w:val="00D02A34"/>
    <w:rsid w:val="00D0489B"/>
    <w:rsid w:val="00D04BEB"/>
    <w:rsid w:val="00D052B4"/>
    <w:rsid w:val="00D06F63"/>
    <w:rsid w:val="00D07A8B"/>
    <w:rsid w:val="00D10F72"/>
    <w:rsid w:val="00D17891"/>
    <w:rsid w:val="00D206E0"/>
    <w:rsid w:val="00D214CE"/>
    <w:rsid w:val="00D21B4F"/>
    <w:rsid w:val="00D223CA"/>
    <w:rsid w:val="00D228B8"/>
    <w:rsid w:val="00D25596"/>
    <w:rsid w:val="00D25E0F"/>
    <w:rsid w:val="00D27637"/>
    <w:rsid w:val="00D27E6D"/>
    <w:rsid w:val="00D30343"/>
    <w:rsid w:val="00D3635A"/>
    <w:rsid w:val="00D36920"/>
    <w:rsid w:val="00D36B09"/>
    <w:rsid w:val="00D36E11"/>
    <w:rsid w:val="00D429AB"/>
    <w:rsid w:val="00D434D3"/>
    <w:rsid w:val="00D4358F"/>
    <w:rsid w:val="00D443D7"/>
    <w:rsid w:val="00D5188B"/>
    <w:rsid w:val="00D520E7"/>
    <w:rsid w:val="00D52FE6"/>
    <w:rsid w:val="00D53C66"/>
    <w:rsid w:val="00D56DA0"/>
    <w:rsid w:val="00D62793"/>
    <w:rsid w:val="00D627BE"/>
    <w:rsid w:val="00D635C5"/>
    <w:rsid w:val="00D6578B"/>
    <w:rsid w:val="00D65905"/>
    <w:rsid w:val="00D66A79"/>
    <w:rsid w:val="00D67E6B"/>
    <w:rsid w:val="00D71B35"/>
    <w:rsid w:val="00D74555"/>
    <w:rsid w:val="00D74DFD"/>
    <w:rsid w:val="00D770C8"/>
    <w:rsid w:val="00D80302"/>
    <w:rsid w:val="00D81A2D"/>
    <w:rsid w:val="00D81CB0"/>
    <w:rsid w:val="00D82211"/>
    <w:rsid w:val="00D8365B"/>
    <w:rsid w:val="00D8559E"/>
    <w:rsid w:val="00D85F85"/>
    <w:rsid w:val="00D863DB"/>
    <w:rsid w:val="00D87671"/>
    <w:rsid w:val="00D90346"/>
    <w:rsid w:val="00D92132"/>
    <w:rsid w:val="00D92CE7"/>
    <w:rsid w:val="00D931B6"/>
    <w:rsid w:val="00D939A9"/>
    <w:rsid w:val="00D95849"/>
    <w:rsid w:val="00D9595A"/>
    <w:rsid w:val="00D967DA"/>
    <w:rsid w:val="00D96A05"/>
    <w:rsid w:val="00D96ACC"/>
    <w:rsid w:val="00D974FB"/>
    <w:rsid w:val="00DA031B"/>
    <w:rsid w:val="00DA114D"/>
    <w:rsid w:val="00DA48F8"/>
    <w:rsid w:val="00DA5524"/>
    <w:rsid w:val="00DA60A4"/>
    <w:rsid w:val="00DA63A0"/>
    <w:rsid w:val="00DB0295"/>
    <w:rsid w:val="00DB207B"/>
    <w:rsid w:val="00DB2B9E"/>
    <w:rsid w:val="00DB3285"/>
    <w:rsid w:val="00DB33C6"/>
    <w:rsid w:val="00DB4A87"/>
    <w:rsid w:val="00DB5138"/>
    <w:rsid w:val="00DB6108"/>
    <w:rsid w:val="00DC008F"/>
    <w:rsid w:val="00DC2284"/>
    <w:rsid w:val="00DC6A10"/>
    <w:rsid w:val="00DC6DA2"/>
    <w:rsid w:val="00DD4464"/>
    <w:rsid w:val="00DD6074"/>
    <w:rsid w:val="00DD693A"/>
    <w:rsid w:val="00DE125D"/>
    <w:rsid w:val="00DE5620"/>
    <w:rsid w:val="00DE5C6B"/>
    <w:rsid w:val="00DE5E22"/>
    <w:rsid w:val="00DE6056"/>
    <w:rsid w:val="00DE6090"/>
    <w:rsid w:val="00DF1CBC"/>
    <w:rsid w:val="00DF3337"/>
    <w:rsid w:val="00DF3EFE"/>
    <w:rsid w:val="00E02685"/>
    <w:rsid w:val="00E0642F"/>
    <w:rsid w:val="00E104DF"/>
    <w:rsid w:val="00E10AEA"/>
    <w:rsid w:val="00E17DC5"/>
    <w:rsid w:val="00E21634"/>
    <w:rsid w:val="00E22F91"/>
    <w:rsid w:val="00E2328B"/>
    <w:rsid w:val="00E25BA6"/>
    <w:rsid w:val="00E26D56"/>
    <w:rsid w:val="00E27141"/>
    <w:rsid w:val="00E272E4"/>
    <w:rsid w:val="00E31382"/>
    <w:rsid w:val="00E31596"/>
    <w:rsid w:val="00E342A3"/>
    <w:rsid w:val="00E350DA"/>
    <w:rsid w:val="00E3510F"/>
    <w:rsid w:val="00E3663A"/>
    <w:rsid w:val="00E367AD"/>
    <w:rsid w:val="00E3733D"/>
    <w:rsid w:val="00E40792"/>
    <w:rsid w:val="00E411C5"/>
    <w:rsid w:val="00E41BFA"/>
    <w:rsid w:val="00E43DCB"/>
    <w:rsid w:val="00E44583"/>
    <w:rsid w:val="00E45226"/>
    <w:rsid w:val="00E45436"/>
    <w:rsid w:val="00E47EAF"/>
    <w:rsid w:val="00E55664"/>
    <w:rsid w:val="00E560EB"/>
    <w:rsid w:val="00E563D9"/>
    <w:rsid w:val="00E56F2D"/>
    <w:rsid w:val="00E5710E"/>
    <w:rsid w:val="00E63F4F"/>
    <w:rsid w:val="00E64AB5"/>
    <w:rsid w:val="00E64DA3"/>
    <w:rsid w:val="00E679F9"/>
    <w:rsid w:val="00E7101C"/>
    <w:rsid w:val="00E710F2"/>
    <w:rsid w:val="00E72731"/>
    <w:rsid w:val="00E73A87"/>
    <w:rsid w:val="00E76C52"/>
    <w:rsid w:val="00E80B1C"/>
    <w:rsid w:val="00E870E4"/>
    <w:rsid w:val="00E8796B"/>
    <w:rsid w:val="00E90C07"/>
    <w:rsid w:val="00E91CD8"/>
    <w:rsid w:val="00E921B9"/>
    <w:rsid w:val="00E93F27"/>
    <w:rsid w:val="00E94350"/>
    <w:rsid w:val="00E97B77"/>
    <w:rsid w:val="00EA060C"/>
    <w:rsid w:val="00EA17A4"/>
    <w:rsid w:val="00EA2CD2"/>
    <w:rsid w:val="00EA4041"/>
    <w:rsid w:val="00EA4C6B"/>
    <w:rsid w:val="00EA7109"/>
    <w:rsid w:val="00EB103A"/>
    <w:rsid w:val="00EB256E"/>
    <w:rsid w:val="00EB26B6"/>
    <w:rsid w:val="00EB44CD"/>
    <w:rsid w:val="00EB501B"/>
    <w:rsid w:val="00EB6127"/>
    <w:rsid w:val="00EB70EE"/>
    <w:rsid w:val="00EC0190"/>
    <w:rsid w:val="00EC3146"/>
    <w:rsid w:val="00EC3B56"/>
    <w:rsid w:val="00EC4BB0"/>
    <w:rsid w:val="00EC4C64"/>
    <w:rsid w:val="00EC7202"/>
    <w:rsid w:val="00ED2843"/>
    <w:rsid w:val="00ED2DE6"/>
    <w:rsid w:val="00ED4AAB"/>
    <w:rsid w:val="00EE1C7B"/>
    <w:rsid w:val="00EE285A"/>
    <w:rsid w:val="00EE32A5"/>
    <w:rsid w:val="00EE3372"/>
    <w:rsid w:val="00EE5549"/>
    <w:rsid w:val="00EE5A45"/>
    <w:rsid w:val="00EE6F7A"/>
    <w:rsid w:val="00EF1F94"/>
    <w:rsid w:val="00EF273A"/>
    <w:rsid w:val="00EF46D9"/>
    <w:rsid w:val="00EF6148"/>
    <w:rsid w:val="00EF7E3E"/>
    <w:rsid w:val="00F02D87"/>
    <w:rsid w:val="00F03A6B"/>
    <w:rsid w:val="00F04F4D"/>
    <w:rsid w:val="00F0525B"/>
    <w:rsid w:val="00F05464"/>
    <w:rsid w:val="00F06F33"/>
    <w:rsid w:val="00F071B9"/>
    <w:rsid w:val="00F07604"/>
    <w:rsid w:val="00F109DA"/>
    <w:rsid w:val="00F11715"/>
    <w:rsid w:val="00F122F6"/>
    <w:rsid w:val="00F14625"/>
    <w:rsid w:val="00F15056"/>
    <w:rsid w:val="00F15189"/>
    <w:rsid w:val="00F1598A"/>
    <w:rsid w:val="00F17443"/>
    <w:rsid w:val="00F20036"/>
    <w:rsid w:val="00F20CE3"/>
    <w:rsid w:val="00F20F66"/>
    <w:rsid w:val="00F21E51"/>
    <w:rsid w:val="00F25056"/>
    <w:rsid w:val="00F26716"/>
    <w:rsid w:val="00F26C97"/>
    <w:rsid w:val="00F30638"/>
    <w:rsid w:val="00F30FA6"/>
    <w:rsid w:val="00F3207C"/>
    <w:rsid w:val="00F3287A"/>
    <w:rsid w:val="00F346DE"/>
    <w:rsid w:val="00F34BCF"/>
    <w:rsid w:val="00F351DC"/>
    <w:rsid w:val="00F35656"/>
    <w:rsid w:val="00F3576A"/>
    <w:rsid w:val="00F35EB0"/>
    <w:rsid w:val="00F373D8"/>
    <w:rsid w:val="00F377CE"/>
    <w:rsid w:val="00F41308"/>
    <w:rsid w:val="00F41387"/>
    <w:rsid w:val="00F41532"/>
    <w:rsid w:val="00F4308C"/>
    <w:rsid w:val="00F43365"/>
    <w:rsid w:val="00F43818"/>
    <w:rsid w:val="00F43B50"/>
    <w:rsid w:val="00F44AAE"/>
    <w:rsid w:val="00F4545C"/>
    <w:rsid w:val="00F53EE8"/>
    <w:rsid w:val="00F545A8"/>
    <w:rsid w:val="00F5475F"/>
    <w:rsid w:val="00F54857"/>
    <w:rsid w:val="00F5666F"/>
    <w:rsid w:val="00F56868"/>
    <w:rsid w:val="00F56E41"/>
    <w:rsid w:val="00F571EC"/>
    <w:rsid w:val="00F57ABE"/>
    <w:rsid w:val="00F60B1B"/>
    <w:rsid w:val="00F61534"/>
    <w:rsid w:val="00F61AB0"/>
    <w:rsid w:val="00F622D7"/>
    <w:rsid w:val="00F658A9"/>
    <w:rsid w:val="00F702D4"/>
    <w:rsid w:val="00F71652"/>
    <w:rsid w:val="00F72103"/>
    <w:rsid w:val="00F74407"/>
    <w:rsid w:val="00F75F33"/>
    <w:rsid w:val="00F764BE"/>
    <w:rsid w:val="00F765F1"/>
    <w:rsid w:val="00F77117"/>
    <w:rsid w:val="00F826D8"/>
    <w:rsid w:val="00F84AF1"/>
    <w:rsid w:val="00F86E9A"/>
    <w:rsid w:val="00F879C4"/>
    <w:rsid w:val="00F87D53"/>
    <w:rsid w:val="00F917C0"/>
    <w:rsid w:val="00F9196B"/>
    <w:rsid w:val="00F942C6"/>
    <w:rsid w:val="00F94451"/>
    <w:rsid w:val="00F9448A"/>
    <w:rsid w:val="00F947D6"/>
    <w:rsid w:val="00F94CDC"/>
    <w:rsid w:val="00F94D1F"/>
    <w:rsid w:val="00F9579E"/>
    <w:rsid w:val="00F960D2"/>
    <w:rsid w:val="00F961BE"/>
    <w:rsid w:val="00FA029F"/>
    <w:rsid w:val="00FA16AF"/>
    <w:rsid w:val="00FA4E6F"/>
    <w:rsid w:val="00FA5C1A"/>
    <w:rsid w:val="00FA687C"/>
    <w:rsid w:val="00FA6DE2"/>
    <w:rsid w:val="00FA6EFF"/>
    <w:rsid w:val="00FB0F2E"/>
    <w:rsid w:val="00FB24BB"/>
    <w:rsid w:val="00FB3E04"/>
    <w:rsid w:val="00FB4F23"/>
    <w:rsid w:val="00FB7092"/>
    <w:rsid w:val="00FC1860"/>
    <w:rsid w:val="00FC1B7F"/>
    <w:rsid w:val="00FC1F3B"/>
    <w:rsid w:val="00FC4A8E"/>
    <w:rsid w:val="00FC5688"/>
    <w:rsid w:val="00FD02A0"/>
    <w:rsid w:val="00FD13BC"/>
    <w:rsid w:val="00FD3169"/>
    <w:rsid w:val="00FD37E4"/>
    <w:rsid w:val="00FD4961"/>
    <w:rsid w:val="00FD7976"/>
    <w:rsid w:val="00FE0686"/>
    <w:rsid w:val="00FE2561"/>
    <w:rsid w:val="00FE46F1"/>
    <w:rsid w:val="00FE5081"/>
    <w:rsid w:val="00FE70A6"/>
    <w:rsid w:val="00FE7FF1"/>
    <w:rsid w:val="00FF0FE9"/>
    <w:rsid w:val="00FF248A"/>
    <w:rsid w:val="00FF3F96"/>
    <w:rsid w:val="00FF55B2"/>
    <w:rsid w:val="00FF674A"/>
    <w:rsid w:val="00FF680D"/>
    <w:rsid w:val="00FF79CF"/>
    <w:rsid w:val="0154FC76"/>
    <w:rsid w:val="0167C54F"/>
    <w:rsid w:val="01E59B76"/>
    <w:rsid w:val="01E985E7"/>
    <w:rsid w:val="02A0646D"/>
    <w:rsid w:val="02A4C8FA"/>
    <w:rsid w:val="02D61A4D"/>
    <w:rsid w:val="02DD6908"/>
    <w:rsid w:val="0345F23A"/>
    <w:rsid w:val="03AAE245"/>
    <w:rsid w:val="03AE85EB"/>
    <w:rsid w:val="03BEF3D0"/>
    <w:rsid w:val="03F4CF3C"/>
    <w:rsid w:val="0424A1C5"/>
    <w:rsid w:val="0462F3FB"/>
    <w:rsid w:val="046E6F78"/>
    <w:rsid w:val="04DD8565"/>
    <w:rsid w:val="04E0D40A"/>
    <w:rsid w:val="04F399E1"/>
    <w:rsid w:val="0510D1DC"/>
    <w:rsid w:val="05C4AB15"/>
    <w:rsid w:val="064605BA"/>
    <w:rsid w:val="06479101"/>
    <w:rsid w:val="064FAC48"/>
    <w:rsid w:val="068555CC"/>
    <w:rsid w:val="0696D5CB"/>
    <w:rsid w:val="069A1BD6"/>
    <w:rsid w:val="06BD13D8"/>
    <w:rsid w:val="0711773C"/>
    <w:rsid w:val="0748BC8A"/>
    <w:rsid w:val="0791BCA4"/>
    <w:rsid w:val="07BD91F2"/>
    <w:rsid w:val="07F85168"/>
    <w:rsid w:val="08446FB9"/>
    <w:rsid w:val="0866982E"/>
    <w:rsid w:val="086EF7AA"/>
    <w:rsid w:val="08A520EE"/>
    <w:rsid w:val="08E8ED89"/>
    <w:rsid w:val="08FEF0AB"/>
    <w:rsid w:val="09232FBA"/>
    <w:rsid w:val="0927CC32"/>
    <w:rsid w:val="09295A33"/>
    <w:rsid w:val="093AEBE0"/>
    <w:rsid w:val="098EB89A"/>
    <w:rsid w:val="09EE6B51"/>
    <w:rsid w:val="0A115E88"/>
    <w:rsid w:val="0A253BF8"/>
    <w:rsid w:val="0A2A2AFD"/>
    <w:rsid w:val="0A5AA71E"/>
    <w:rsid w:val="0AAA41FA"/>
    <w:rsid w:val="0ACF333D"/>
    <w:rsid w:val="0AE05D54"/>
    <w:rsid w:val="0AFD51D0"/>
    <w:rsid w:val="0B2422DF"/>
    <w:rsid w:val="0B3404B7"/>
    <w:rsid w:val="0B51DB31"/>
    <w:rsid w:val="0B8DBDBC"/>
    <w:rsid w:val="0B8FDBCC"/>
    <w:rsid w:val="0C1B0E78"/>
    <w:rsid w:val="0C372291"/>
    <w:rsid w:val="0C4DDE1D"/>
    <w:rsid w:val="0C4F4EC7"/>
    <w:rsid w:val="0C94A1B9"/>
    <w:rsid w:val="0D913599"/>
    <w:rsid w:val="0D9204D0"/>
    <w:rsid w:val="0DDD7F69"/>
    <w:rsid w:val="0DEAA33C"/>
    <w:rsid w:val="0DF51F51"/>
    <w:rsid w:val="0E20A362"/>
    <w:rsid w:val="0E239550"/>
    <w:rsid w:val="0E9CF894"/>
    <w:rsid w:val="0ED50C7C"/>
    <w:rsid w:val="0EDF0A19"/>
    <w:rsid w:val="0EE0EC52"/>
    <w:rsid w:val="0F44BE01"/>
    <w:rsid w:val="0F5A9019"/>
    <w:rsid w:val="0F941C71"/>
    <w:rsid w:val="0F98B7E1"/>
    <w:rsid w:val="105484BB"/>
    <w:rsid w:val="10886AC7"/>
    <w:rsid w:val="10B0A9C5"/>
    <w:rsid w:val="10B19FDB"/>
    <w:rsid w:val="10B657D4"/>
    <w:rsid w:val="10DFD558"/>
    <w:rsid w:val="10FE7F73"/>
    <w:rsid w:val="11F51FA9"/>
    <w:rsid w:val="1219F200"/>
    <w:rsid w:val="127B3721"/>
    <w:rsid w:val="12F50F23"/>
    <w:rsid w:val="1318DD07"/>
    <w:rsid w:val="132FA770"/>
    <w:rsid w:val="13DFB048"/>
    <w:rsid w:val="13F580A0"/>
    <w:rsid w:val="1415870F"/>
    <w:rsid w:val="143A4CE6"/>
    <w:rsid w:val="14752B99"/>
    <w:rsid w:val="1488214A"/>
    <w:rsid w:val="148F36C0"/>
    <w:rsid w:val="14B7B4DA"/>
    <w:rsid w:val="150C7E58"/>
    <w:rsid w:val="1518FDAA"/>
    <w:rsid w:val="15403679"/>
    <w:rsid w:val="1550D881"/>
    <w:rsid w:val="1567575C"/>
    <w:rsid w:val="15756257"/>
    <w:rsid w:val="15B57F19"/>
    <w:rsid w:val="15FC886A"/>
    <w:rsid w:val="161C56CE"/>
    <w:rsid w:val="1631050A"/>
    <w:rsid w:val="16524B91"/>
    <w:rsid w:val="16729DF3"/>
    <w:rsid w:val="16940EA8"/>
    <w:rsid w:val="16F715A2"/>
    <w:rsid w:val="17001E3C"/>
    <w:rsid w:val="170B4BAE"/>
    <w:rsid w:val="173168E1"/>
    <w:rsid w:val="1738A0B5"/>
    <w:rsid w:val="173C8191"/>
    <w:rsid w:val="174D9CB0"/>
    <w:rsid w:val="175263C9"/>
    <w:rsid w:val="179FB19C"/>
    <w:rsid w:val="17AE77EE"/>
    <w:rsid w:val="17C5E551"/>
    <w:rsid w:val="17C79972"/>
    <w:rsid w:val="17F36CE4"/>
    <w:rsid w:val="184BB518"/>
    <w:rsid w:val="1876BBD4"/>
    <w:rsid w:val="187B0E65"/>
    <w:rsid w:val="18A59378"/>
    <w:rsid w:val="18E138CA"/>
    <w:rsid w:val="19285D34"/>
    <w:rsid w:val="194E8447"/>
    <w:rsid w:val="19637BA0"/>
    <w:rsid w:val="196765CA"/>
    <w:rsid w:val="1983F5AA"/>
    <w:rsid w:val="19A21B30"/>
    <w:rsid w:val="19AE0910"/>
    <w:rsid w:val="19BFA7EF"/>
    <w:rsid w:val="1A0678F0"/>
    <w:rsid w:val="1A18C0B6"/>
    <w:rsid w:val="1A2A0008"/>
    <w:rsid w:val="1ADEFEF8"/>
    <w:rsid w:val="1B3AA231"/>
    <w:rsid w:val="1B436E11"/>
    <w:rsid w:val="1B4D5ED8"/>
    <w:rsid w:val="1B6A6F59"/>
    <w:rsid w:val="1BE0B9C7"/>
    <w:rsid w:val="1C0AB346"/>
    <w:rsid w:val="1C668C72"/>
    <w:rsid w:val="1C8E3530"/>
    <w:rsid w:val="1C9E5D1C"/>
    <w:rsid w:val="1CAB4952"/>
    <w:rsid w:val="1D484651"/>
    <w:rsid w:val="1D573A5A"/>
    <w:rsid w:val="1DBE1084"/>
    <w:rsid w:val="1DFA0D74"/>
    <w:rsid w:val="1E3037DC"/>
    <w:rsid w:val="1E482C0A"/>
    <w:rsid w:val="1E7EA8CB"/>
    <w:rsid w:val="1EA2539C"/>
    <w:rsid w:val="1F0BA6DF"/>
    <w:rsid w:val="1F116C0C"/>
    <w:rsid w:val="1F40BC8E"/>
    <w:rsid w:val="1F57787E"/>
    <w:rsid w:val="1FA9471C"/>
    <w:rsid w:val="1FBC27D9"/>
    <w:rsid w:val="1FCD7D86"/>
    <w:rsid w:val="1FD08B91"/>
    <w:rsid w:val="1FDE03A6"/>
    <w:rsid w:val="1FFC6C4B"/>
    <w:rsid w:val="20181163"/>
    <w:rsid w:val="203797F2"/>
    <w:rsid w:val="2047322F"/>
    <w:rsid w:val="205A150D"/>
    <w:rsid w:val="20934F60"/>
    <w:rsid w:val="22219167"/>
    <w:rsid w:val="2222BE77"/>
    <w:rsid w:val="222CF4BD"/>
    <w:rsid w:val="2237429B"/>
    <w:rsid w:val="224BB838"/>
    <w:rsid w:val="227A3804"/>
    <w:rsid w:val="227B604D"/>
    <w:rsid w:val="228731B4"/>
    <w:rsid w:val="229A2390"/>
    <w:rsid w:val="22A5CC18"/>
    <w:rsid w:val="22C13D92"/>
    <w:rsid w:val="22C4A9DE"/>
    <w:rsid w:val="22DA47F7"/>
    <w:rsid w:val="22DDEF71"/>
    <w:rsid w:val="22F89F49"/>
    <w:rsid w:val="2354EEF9"/>
    <w:rsid w:val="23DFA9F6"/>
    <w:rsid w:val="2403D959"/>
    <w:rsid w:val="243D2BE0"/>
    <w:rsid w:val="245387CA"/>
    <w:rsid w:val="24894226"/>
    <w:rsid w:val="2497757F"/>
    <w:rsid w:val="24C9F816"/>
    <w:rsid w:val="24F6CF2B"/>
    <w:rsid w:val="250A52EB"/>
    <w:rsid w:val="2545601B"/>
    <w:rsid w:val="254DF4DC"/>
    <w:rsid w:val="256B6196"/>
    <w:rsid w:val="2572B1CF"/>
    <w:rsid w:val="25F9ED5C"/>
    <w:rsid w:val="262473C2"/>
    <w:rsid w:val="26A60809"/>
    <w:rsid w:val="26AC6BC4"/>
    <w:rsid w:val="26CC77FE"/>
    <w:rsid w:val="271A5F66"/>
    <w:rsid w:val="271CFDF6"/>
    <w:rsid w:val="274A621A"/>
    <w:rsid w:val="2760C546"/>
    <w:rsid w:val="279F3ADD"/>
    <w:rsid w:val="27B18656"/>
    <w:rsid w:val="27CEBB2C"/>
    <w:rsid w:val="27D57FDE"/>
    <w:rsid w:val="27ED1565"/>
    <w:rsid w:val="27FB4C00"/>
    <w:rsid w:val="281371F4"/>
    <w:rsid w:val="283075AB"/>
    <w:rsid w:val="28394296"/>
    <w:rsid w:val="283BABF9"/>
    <w:rsid w:val="2876B9B0"/>
    <w:rsid w:val="28818C08"/>
    <w:rsid w:val="29832AB7"/>
    <w:rsid w:val="298E9AF0"/>
    <w:rsid w:val="2992AE33"/>
    <w:rsid w:val="29DC9AB6"/>
    <w:rsid w:val="29E4F554"/>
    <w:rsid w:val="2A2F6F36"/>
    <w:rsid w:val="2A491FA6"/>
    <w:rsid w:val="2A6D57D9"/>
    <w:rsid w:val="2A96E4CA"/>
    <w:rsid w:val="2B3011C1"/>
    <w:rsid w:val="2B76D277"/>
    <w:rsid w:val="2C23971E"/>
    <w:rsid w:val="2C4412B9"/>
    <w:rsid w:val="2CC7C969"/>
    <w:rsid w:val="2CEAFDB2"/>
    <w:rsid w:val="2D671DBF"/>
    <w:rsid w:val="2DDE89D3"/>
    <w:rsid w:val="2DDEDF1E"/>
    <w:rsid w:val="2ECA6BBB"/>
    <w:rsid w:val="2EDE6C3C"/>
    <w:rsid w:val="2EDF62BD"/>
    <w:rsid w:val="2F2234EA"/>
    <w:rsid w:val="2F70FF96"/>
    <w:rsid w:val="30027BC7"/>
    <w:rsid w:val="3009A100"/>
    <w:rsid w:val="305B13B1"/>
    <w:rsid w:val="305BBB7B"/>
    <w:rsid w:val="305F6FB9"/>
    <w:rsid w:val="309B3819"/>
    <w:rsid w:val="30B6EC08"/>
    <w:rsid w:val="3137E7D8"/>
    <w:rsid w:val="31452D85"/>
    <w:rsid w:val="314FE1C6"/>
    <w:rsid w:val="31607155"/>
    <w:rsid w:val="317A33D2"/>
    <w:rsid w:val="322214B1"/>
    <w:rsid w:val="322706E6"/>
    <w:rsid w:val="330476C9"/>
    <w:rsid w:val="33607E90"/>
    <w:rsid w:val="3380E902"/>
    <w:rsid w:val="3381789A"/>
    <w:rsid w:val="338ED79C"/>
    <w:rsid w:val="339059AA"/>
    <w:rsid w:val="33BBAF94"/>
    <w:rsid w:val="33D926F4"/>
    <w:rsid w:val="33E83BC8"/>
    <w:rsid w:val="33F22A40"/>
    <w:rsid w:val="342F7C75"/>
    <w:rsid w:val="34386831"/>
    <w:rsid w:val="35086669"/>
    <w:rsid w:val="35532058"/>
    <w:rsid w:val="356F1804"/>
    <w:rsid w:val="359E81D4"/>
    <w:rsid w:val="35EAAB04"/>
    <w:rsid w:val="3604A5E6"/>
    <w:rsid w:val="3610AED9"/>
    <w:rsid w:val="36DA8E4D"/>
    <w:rsid w:val="36F3C498"/>
    <w:rsid w:val="371A927A"/>
    <w:rsid w:val="3723D7A5"/>
    <w:rsid w:val="37384E00"/>
    <w:rsid w:val="37B51EDA"/>
    <w:rsid w:val="37DC4770"/>
    <w:rsid w:val="37EABE93"/>
    <w:rsid w:val="38695823"/>
    <w:rsid w:val="386B7FEF"/>
    <w:rsid w:val="38716540"/>
    <w:rsid w:val="388E17B5"/>
    <w:rsid w:val="38A90D75"/>
    <w:rsid w:val="38B48487"/>
    <w:rsid w:val="38BDC382"/>
    <w:rsid w:val="396AAEB2"/>
    <w:rsid w:val="39A37859"/>
    <w:rsid w:val="39C78087"/>
    <w:rsid w:val="39CDE11A"/>
    <w:rsid w:val="3A4A011C"/>
    <w:rsid w:val="3A5B5113"/>
    <w:rsid w:val="3A780254"/>
    <w:rsid w:val="3ACF2D49"/>
    <w:rsid w:val="3B338F33"/>
    <w:rsid w:val="3BBEFC6D"/>
    <w:rsid w:val="3BD5E2E1"/>
    <w:rsid w:val="3BEC8F6A"/>
    <w:rsid w:val="3C7650A9"/>
    <w:rsid w:val="3C8ECB29"/>
    <w:rsid w:val="3C92DFB9"/>
    <w:rsid w:val="3CBD4219"/>
    <w:rsid w:val="3CD913F4"/>
    <w:rsid w:val="3CDC08B8"/>
    <w:rsid w:val="3D20EA85"/>
    <w:rsid w:val="3D2CDB69"/>
    <w:rsid w:val="3D3246D1"/>
    <w:rsid w:val="3D9EDF65"/>
    <w:rsid w:val="3DA40372"/>
    <w:rsid w:val="3DAF0BE7"/>
    <w:rsid w:val="3DEDC49F"/>
    <w:rsid w:val="3E0B24D7"/>
    <w:rsid w:val="3E0F194F"/>
    <w:rsid w:val="3E2BA3A8"/>
    <w:rsid w:val="3E3E224F"/>
    <w:rsid w:val="3ECACF91"/>
    <w:rsid w:val="3EE1EC81"/>
    <w:rsid w:val="3F000FC9"/>
    <w:rsid w:val="3F08B497"/>
    <w:rsid w:val="3FE7B242"/>
    <w:rsid w:val="400032B8"/>
    <w:rsid w:val="408B5BCC"/>
    <w:rsid w:val="40D53C2F"/>
    <w:rsid w:val="4126CDB1"/>
    <w:rsid w:val="41653EC0"/>
    <w:rsid w:val="41D63712"/>
    <w:rsid w:val="41D8117A"/>
    <w:rsid w:val="41DD4448"/>
    <w:rsid w:val="42325A65"/>
    <w:rsid w:val="423E56CC"/>
    <w:rsid w:val="42686B89"/>
    <w:rsid w:val="42755826"/>
    <w:rsid w:val="42E29D69"/>
    <w:rsid w:val="42EADCAE"/>
    <w:rsid w:val="42F8E9FE"/>
    <w:rsid w:val="4306DD40"/>
    <w:rsid w:val="433DEB6C"/>
    <w:rsid w:val="4384A259"/>
    <w:rsid w:val="439F4714"/>
    <w:rsid w:val="43BAD4C7"/>
    <w:rsid w:val="444FF004"/>
    <w:rsid w:val="4453C554"/>
    <w:rsid w:val="44565784"/>
    <w:rsid w:val="445F86F8"/>
    <w:rsid w:val="4465CD3D"/>
    <w:rsid w:val="4482CE1E"/>
    <w:rsid w:val="448913C1"/>
    <w:rsid w:val="44F3F5CB"/>
    <w:rsid w:val="45177A5E"/>
    <w:rsid w:val="4546E62E"/>
    <w:rsid w:val="4557CB05"/>
    <w:rsid w:val="4567FEB6"/>
    <w:rsid w:val="45A2D484"/>
    <w:rsid w:val="45E97CB3"/>
    <w:rsid w:val="4618D7C6"/>
    <w:rsid w:val="463C0A8D"/>
    <w:rsid w:val="46552007"/>
    <w:rsid w:val="465BC4A6"/>
    <w:rsid w:val="46824DBB"/>
    <w:rsid w:val="469CD6AD"/>
    <w:rsid w:val="46FF8164"/>
    <w:rsid w:val="471E352A"/>
    <w:rsid w:val="472C9687"/>
    <w:rsid w:val="4739B2EA"/>
    <w:rsid w:val="475D1E5B"/>
    <w:rsid w:val="47721975"/>
    <w:rsid w:val="47796642"/>
    <w:rsid w:val="477CEAD8"/>
    <w:rsid w:val="479B2B8B"/>
    <w:rsid w:val="47B8BD09"/>
    <w:rsid w:val="47FB0D13"/>
    <w:rsid w:val="48089998"/>
    <w:rsid w:val="4821CDCC"/>
    <w:rsid w:val="48595103"/>
    <w:rsid w:val="487E7D57"/>
    <w:rsid w:val="489E1587"/>
    <w:rsid w:val="48E87355"/>
    <w:rsid w:val="48EDF2B3"/>
    <w:rsid w:val="48F3BAE1"/>
    <w:rsid w:val="48F58DC1"/>
    <w:rsid w:val="491BC911"/>
    <w:rsid w:val="493DB743"/>
    <w:rsid w:val="493F535F"/>
    <w:rsid w:val="49546BC0"/>
    <w:rsid w:val="497E1A13"/>
    <w:rsid w:val="499E0640"/>
    <w:rsid w:val="49EA4383"/>
    <w:rsid w:val="49FA773E"/>
    <w:rsid w:val="4AA5D75D"/>
    <w:rsid w:val="4AADF2A1"/>
    <w:rsid w:val="4AB8A860"/>
    <w:rsid w:val="4B242248"/>
    <w:rsid w:val="4BC407BD"/>
    <w:rsid w:val="4C6C2B57"/>
    <w:rsid w:val="4C82AD2F"/>
    <w:rsid w:val="4C93795A"/>
    <w:rsid w:val="4CA8ADAC"/>
    <w:rsid w:val="4CECCDF7"/>
    <w:rsid w:val="4CF5D289"/>
    <w:rsid w:val="4D013658"/>
    <w:rsid w:val="4D8AC3F7"/>
    <w:rsid w:val="4D9CAFA5"/>
    <w:rsid w:val="4DFADC37"/>
    <w:rsid w:val="4E0FCD43"/>
    <w:rsid w:val="4E626546"/>
    <w:rsid w:val="4EB9B085"/>
    <w:rsid w:val="4ED3971C"/>
    <w:rsid w:val="4ED6854B"/>
    <w:rsid w:val="4EDFD6F2"/>
    <w:rsid w:val="4EDFEF2A"/>
    <w:rsid w:val="4F5E47C1"/>
    <w:rsid w:val="4F87FF6C"/>
    <w:rsid w:val="4F95D89B"/>
    <w:rsid w:val="4FA71046"/>
    <w:rsid w:val="5003DFA8"/>
    <w:rsid w:val="5006B948"/>
    <w:rsid w:val="5087082A"/>
    <w:rsid w:val="5087AE57"/>
    <w:rsid w:val="50C7B0C2"/>
    <w:rsid w:val="50E8B99C"/>
    <w:rsid w:val="511FC70C"/>
    <w:rsid w:val="51270E50"/>
    <w:rsid w:val="51445E09"/>
    <w:rsid w:val="51638205"/>
    <w:rsid w:val="517973DC"/>
    <w:rsid w:val="51CB23E2"/>
    <w:rsid w:val="51F0E68D"/>
    <w:rsid w:val="52208737"/>
    <w:rsid w:val="52239B94"/>
    <w:rsid w:val="52370915"/>
    <w:rsid w:val="523BA6A5"/>
    <w:rsid w:val="52592832"/>
    <w:rsid w:val="52A70146"/>
    <w:rsid w:val="52B3B3FA"/>
    <w:rsid w:val="52E24FD7"/>
    <w:rsid w:val="52E32558"/>
    <w:rsid w:val="52FF188C"/>
    <w:rsid w:val="53289AD7"/>
    <w:rsid w:val="53D14DA1"/>
    <w:rsid w:val="540A0F3F"/>
    <w:rsid w:val="5458AFD3"/>
    <w:rsid w:val="54A3A2AC"/>
    <w:rsid w:val="54BB291D"/>
    <w:rsid w:val="54D60AA5"/>
    <w:rsid w:val="559FBF5B"/>
    <w:rsid w:val="55A1746C"/>
    <w:rsid w:val="55B98172"/>
    <w:rsid w:val="55FA034D"/>
    <w:rsid w:val="56031976"/>
    <w:rsid w:val="5605EB48"/>
    <w:rsid w:val="5612426F"/>
    <w:rsid w:val="5645F224"/>
    <w:rsid w:val="565686C8"/>
    <w:rsid w:val="566CDE16"/>
    <w:rsid w:val="5673E09A"/>
    <w:rsid w:val="56DC30B3"/>
    <w:rsid w:val="56E80AC5"/>
    <w:rsid w:val="56E8DDDF"/>
    <w:rsid w:val="56EB3E86"/>
    <w:rsid w:val="5734B69F"/>
    <w:rsid w:val="57977063"/>
    <w:rsid w:val="57A42B17"/>
    <w:rsid w:val="57CA3F6E"/>
    <w:rsid w:val="57EEE09D"/>
    <w:rsid w:val="580120A3"/>
    <w:rsid w:val="587587CC"/>
    <w:rsid w:val="58D1C9C4"/>
    <w:rsid w:val="58D5A4DC"/>
    <w:rsid w:val="591F9EE1"/>
    <w:rsid w:val="5921C8DC"/>
    <w:rsid w:val="593B9CA1"/>
    <w:rsid w:val="5955990F"/>
    <w:rsid w:val="59796B01"/>
    <w:rsid w:val="5985CC8C"/>
    <w:rsid w:val="5987043D"/>
    <w:rsid w:val="5987727A"/>
    <w:rsid w:val="59D8D5DC"/>
    <w:rsid w:val="59FDC10B"/>
    <w:rsid w:val="5A1C18FC"/>
    <w:rsid w:val="5A2A5BE9"/>
    <w:rsid w:val="5A5ECCC4"/>
    <w:rsid w:val="5A672888"/>
    <w:rsid w:val="5A823683"/>
    <w:rsid w:val="5A8C4ABF"/>
    <w:rsid w:val="5A94307A"/>
    <w:rsid w:val="5AAF9021"/>
    <w:rsid w:val="5AC55F66"/>
    <w:rsid w:val="5ACF46E4"/>
    <w:rsid w:val="5AE6DEAF"/>
    <w:rsid w:val="5AF2EE0C"/>
    <w:rsid w:val="5B16DAB4"/>
    <w:rsid w:val="5B3FECA7"/>
    <w:rsid w:val="5B7D4F12"/>
    <w:rsid w:val="5BA40A43"/>
    <w:rsid w:val="5BA852B7"/>
    <w:rsid w:val="5BA9FA89"/>
    <w:rsid w:val="5BC6BFA2"/>
    <w:rsid w:val="5BDDAD0C"/>
    <w:rsid w:val="5BDF98AC"/>
    <w:rsid w:val="5C15B83F"/>
    <w:rsid w:val="5C3A7DC5"/>
    <w:rsid w:val="5CB926D6"/>
    <w:rsid w:val="5D19B004"/>
    <w:rsid w:val="5D671994"/>
    <w:rsid w:val="5D78D6E5"/>
    <w:rsid w:val="5D86F3CA"/>
    <w:rsid w:val="5DB52756"/>
    <w:rsid w:val="5DCF161C"/>
    <w:rsid w:val="5DDF2BA1"/>
    <w:rsid w:val="5E64D4AA"/>
    <w:rsid w:val="5E96A0FE"/>
    <w:rsid w:val="5EF69825"/>
    <w:rsid w:val="5EF6BEE7"/>
    <w:rsid w:val="5F55F81D"/>
    <w:rsid w:val="5F6EF3F8"/>
    <w:rsid w:val="5FDBD858"/>
    <w:rsid w:val="5FE0D913"/>
    <w:rsid w:val="5FE54AC1"/>
    <w:rsid w:val="60527A24"/>
    <w:rsid w:val="606D8E37"/>
    <w:rsid w:val="60A618AE"/>
    <w:rsid w:val="60EC0496"/>
    <w:rsid w:val="6107BE6F"/>
    <w:rsid w:val="61A57CD4"/>
    <w:rsid w:val="61AB952A"/>
    <w:rsid w:val="61F86D77"/>
    <w:rsid w:val="6243FEB5"/>
    <w:rsid w:val="629DD1EA"/>
    <w:rsid w:val="62B32253"/>
    <w:rsid w:val="62C8FFAE"/>
    <w:rsid w:val="62E36AC0"/>
    <w:rsid w:val="630567A8"/>
    <w:rsid w:val="630C92E6"/>
    <w:rsid w:val="6310CF9A"/>
    <w:rsid w:val="6329C9A5"/>
    <w:rsid w:val="632EFCCC"/>
    <w:rsid w:val="634E3FB7"/>
    <w:rsid w:val="636D63D6"/>
    <w:rsid w:val="637E15E9"/>
    <w:rsid w:val="63FE50E1"/>
    <w:rsid w:val="6493BD5B"/>
    <w:rsid w:val="64ADAAA5"/>
    <w:rsid w:val="6578B6BF"/>
    <w:rsid w:val="6592A3F6"/>
    <w:rsid w:val="659E64A8"/>
    <w:rsid w:val="65BBFCE3"/>
    <w:rsid w:val="65EFAB62"/>
    <w:rsid w:val="66731E01"/>
    <w:rsid w:val="6691EFEB"/>
    <w:rsid w:val="66D0DC6D"/>
    <w:rsid w:val="66EB301D"/>
    <w:rsid w:val="672E4D2B"/>
    <w:rsid w:val="67667C04"/>
    <w:rsid w:val="67851DC1"/>
    <w:rsid w:val="67A0D692"/>
    <w:rsid w:val="67BD1537"/>
    <w:rsid w:val="67D581A6"/>
    <w:rsid w:val="67D9D69E"/>
    <w:rsid w:val="67DD4783"/>
    <w:rsid w:val="67EC7918"/>
    <w:rsid w:val="682933E5"/>
    <w:rsid w:val="687D1B9A"/>
    <w:rsid w:val="68EF3FF8"/>
    <w:rsid w:val="68F5654A"/>
    <w:rsid w:val="69870D7A"/>
    <w:rsid w:val="69B46AEA"/>
    <w:rsid w:val="69C66D32"/>
    <w:rsid w:val="6A2E63B5"/>
    <w:rsid w:val="6ABCCD1C"/>
    <w:rsid w:val="6AD7B8D8"/>
    <w:rsid w:val="6AF24445"/>
    <w:rsid w:val="6AF98FD7"/>
    <w:rsid w:val="6B2FF170"/>
    <w:rsid w:val="6B4BBE90"/>
    <w:rsid w:val="6B938852"/>
    <w:rsid w:val="6C10E7E3"/>
    <w:rsid w:val="6C467C16"/>
    <w:rsid w:val="6C6AF73F"/>
    <w:rsid w:val="6C96D812"/>
    <w:rsid w:val="6CD22F0E"/>
    <w:rsid w:val="6CED86B2"/>
    <w:rsid w:val="6D7E73FB"/>
    <w:rsid w:val="6DF0022C"/>
    <w:rsid w:val="6E0140E2"/>
    <w:rsid w:val="6E6DDC85"/>
    <w:rsid w:val="6EBFD816"/>
    <w:rsid w:val="6F25E772"/>
    <w:rsid w:val="6F8A5C23"/>
    <w:rsid w:val="6F9E93E1"/>
    <w:rsid w:val="700D6144"/>
    <w:rsid w:val="7030404E"/>
    <w:rsid w:val="70D2C826"/>
    <w:rsid w:val="711BB6FD"/>
    <w:rsid w:val="715ECA86"/>
    <w:rsid w:val="7160CC1F"/>
    <w:rsid w:val="71F8E578"/>
    <w:rsid w:val="72057867"/>
    <w:rsid w:val="7238D95E"/>
    <w:rsid w:val="7288F2C7"/>
    <w:rsid w:val="733A7812"/>
    <w:rsid w:val="73400FAF"/>
    <w:rsid w:val="734C8420"/>
    <w:rsid w:val="736707FB"/>
    <w:rsid w:val="73827883"/>
    <w:rsid w:val="74532D6A"/>
    <w:rsid w:val="745547F5"/>
    <w:rsid w:val="74938E5D"/>
    <w:rsid w:val="74C0C349"/>
    <w:rsid w:val="74E5A9B3"/>
    <w:rsid w:val="751C447C"/>
    <w:rsid w:val="752FFB2C"/>
    <w:rsid w:val="759E7BB2"/>
    <w:rsid w:val="75A96317"/>
    <w:rsid w:val="75C169AD"/>
    <w:rsid w:val="75CA0DCE"/>
    <w:rsid w:val="75EE1A91"/>
    <w:rsid w:val="761687D0"/>
    <w:rsid w:val="7624213F"/>
    <w:rsid w:val="76356910"/>
    <w:rsid w:val="76735EF0"/>
    <w:rsid w:val="767A850A"/>
    <w:rsid w:val="770888D5"/>
    <w:rsid w:val="772A39D8"/>
    <w:rsid w:val="772F27A8"/>
    <w:rsid w:val="77326405"/>
    <w:rsid w:val="77334FE0"/>
    <w:rsid w:val="773FC9E5"/>
    <w:rsid w:val="777B4DF0"/>
    <w:rsid w:val="77BB9FEC"/>
    <w:rsid w:val="77C0255B"/>
    <w:rsid w:val="783E40FC"/>
    <w:rsid w:val="7842E17B"/>
    <w:rsid w:val="78475120"/>
    <w:rsid w:val="786A6392"/>
    <w:rsid w:val="78FB46BC"/>
    <w:rsid w:val="79549599"/>
    <w:rsid w:val="79999479"/>
    <w:rsid w:val="79B5F085"/>
    <w:rsid w:val="79D8E6FA"/>
    <w:rsid w:val="79F1D368"/>
    <w:rsid w:val="7A1C7762"/>
    <w:rsid w:val="7A2937D3"/>
    <w:rsid w:val="7A32140E"/>
    <w:rsid w:val="7A51EF48"/>
    <w:rsid w:val="7A989B61"/>
    <w:rsid w:val="7ADC574C"/>
    <w:rsid w:val="7AE795E4"/>
    <w:rsid w:val="7B5897E0"/>
    <w:rsid w:val="7B69DC54"/>
    <w:rsid w:val="7B932CA9"/>
    <w:rsid w:val="7BCA6816"/>
    <w:rsid w:val="7C157D5D"/>
    <w:rsid w:val="7C887D97"/>
    <w:rsid w:val="7CBB4043"/>
    <w:rsid w:val="7CE66380"/>
    <w:rsid w:val="7CFD66E8"/>
    <w:rsid w:val="7D1BB624"/>
    <w:rsid w:val="7D591E63"/>
    <w:rsid w:val="7D6C4AF1"/>
    <w:rsid w:val="7DA983CA"/>
    <w:rsid w:val="7DDB6C1E"/>
    <w:rsid w:val="7E053DD5"/>
    <w:rsid w:val="7E5169CB"/>
    <w:rsid w:val="7EE77B0D"/>
    <w:rsid w:val="7EE8E522"/>
    <w:rsid w:val="7F093E37"/>
    <w:rsid w:val="7F3B5F66"/>
    <w:rsid w:val="7F425301"/>
    <w:rsid w:val="7F8788CE"/>
    <w:rsid w:val="7F92A3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08C81836"/>
  <w15:docId w15:val="{09299ACA-B520-43E5-983C-788A9627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5"/>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9"/>
      </w:numPr>
      <w:tabs>
        <w:tab w:val="left" w:pos="425"/>
      </w:tabs>
      <w:spacing w:before="0" w:after="0" w:line="280" w:lineRule="exact"/>
      <w:ind w:right="-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12"/>
      </w:numPr>
      <w:spacing w:before="100" w:beforeAutospacing="1" w:after="120" w:line="280" w:lineRule="exact"/>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14"/>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13"/>
      </w:numPr>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10"/>
      </w:numPr>
    </w:pPr>
    <w:rPr>
      <w:color w:val="000000"/>
    </w:rPr>
  </w:style>
  <w:style w:type="paragraph" w:customStyle="1" w:styleId="Romanlist">
    <w:name w:val="Roman list"/>
    <w:basedOn w:val="AlphaList"/>
    <w:uiPriority w:val="3"/>
    <w:qFormat/>
    <w:rsid w:val="00BA6DD4"/>
    <w:pPr>
      <w:numPr>
        <w:numId w:val="11"/>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iPriority w:val="99"/>
    <w:semiHidden/>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Paragraph">
    <w:name w:val="List Paragraph"/>
    <w:basedOn w:val="Normal"/>
    <w:uiPriority w:val="34"/>
    <w:qFormat/>
    <w:locked/>
    <w:rsid w:val="00683126"/>
    <w:pPr>
      <w:spacing w:before="100" w:after="200"/>
      <w:ind w:left="720"/>
      <w:contextualSpacing/>
    </w:pPr>
    <w:rPr>
      <w:rFonts w:asciiTheme="minorHAnsi" w:eastAsiaTheme="minorEastAsia" w:hAnsiTheme="minorHAnsi" w:cstheme="minorBidi"/>
      <w:color w:val="auto"/>
      <w:sz w:val="20"/>
      <w:szCs w:val="20"/>
    </w:rPr>
  </w:style>
  <w:style w:type="character" w:customStyle="1" w:styleId="normaltextrun">
    <w:name w:val="normaltextrun"/>
    <w:basedOn w:val="DefaultParagraphFont"/>
    <w:rsid w:val="00683126"/>
  </w:style>
  <w:style w:type="character" w:customStyle="1" w:styleId="eop">
    <w:name w:val="eop"/>
    <w:basedOn w:val="DefaultParagraphFont"/>
    <w:rsid w:val="00683126"/>
  </w:style>
  <w:style w:type="paragraph" w:styleId="ListBullet">
    <w:name w:val="List Bullet"/>
    <w:basedOn w:val="Normal"/>
    <w:uiPriority w:val="99"/>
    <w:unhideWhenUsed/>
    <w:rsid w:val="00683126"/>
    <w:pPr>
      <w:numPr>
        <w:numId w:val="17"/>
      </w:numPr>
      <w:tabs>
        <w:tab w:val="clear" w:pos="1080"/>
      </w:tabs>
      <w:spacing w:before="0" w:after="0" w:line="240" w:lineRule="auto"/>
      <w:ind w:left="0" w:firstLine="0"/>
    </w:pPr>
    <w:rPr>
      <w:rFonts w:ascii="Calibri" w:eastAsia="Times New Roman" w:hAnsi="Calibri" w:cs="Times New Roman"/>
      <w:color w:val="auto"/>
      <w:sz w:val="20"/>
      <w:szCs w:val="20"/>
      <w:lang w:eastAsia="en-US"/>
    </w:rPr>
  </w:style>
  <w:style w:type="table" w:styleId="GridTable1Light-Accent1">
    <w:name w:val="Grid Table 1 Light Accent 1"/>
    <w:basedOn w:val="TableNormal"/>
    <w:uiPriority w:val="46"/>
    <w:locked/>
    <w:rsid w:val="00C23A9A"/>
    <w:tblPr>
      <w:tblStyleRowBandSize w:val="1"/>
      <w:tblStyleColBandSize w:val="1"/>
      <w:tblBorders>
        <w:top w:val="single" w:sz="4" w:space="0" w:color="AD8ED8" w:themeColor="accent1" w:themeTint="66"/>
        <w:left w:val="single" w:sz="4" w:space="0" w:color="AD8ED8" w:themeColor="accent1" w:themeTint="66"/>
        <w:bottom w:val="single" w:sz="4" w:space="0" w:color="AD8ED8" w:themeColor="accent1" w:themeTint="66"/>
        <w:right w:val="single" w:sz="4" w:space="0" w:color="AD8ED8" w:themeColor="accent1" w:themeTint="66"/>
        <w:insideH w:val="single" w:sz="4" w:space="0" w:color="AD8ED8" w:themeColor="accent1" w:themeTint="66"/>
        <w:insideV w:val="single" w:sz="4" w:space="0" w:color="AD8ED8" w:themeColor="accent1" w:themeTint="66"/>
      </w:tblBorders>
    </w:tblPr>
    <w:tblStylePr w:type="firstRow">
      <w:rPr>
        <w:b/>
        <w:bCs/>
      </w:rPr>
      <w:tblPr/>
      <w:tcPr>
        <w:tcBorders>
          <w:bottom w:val="single" w:sz="12" w:space="0" w:color="8456C4" w:themeColor="accent1" w:themeTint="99"/>
        </w:tcBorders>
      </w:tcPr>
    </w:tblStylePr>
    <w:tblStylePr w:type="lastRow">
      <w:rPr>
        <w:b/>
        <w:bCs/>
      </w:rPr>
      <w:tblPr/>
      <w:tcPr>
        <w:tcBorders>
          <w:top w:val="double" w:sz="2" w:space="0" w:color="8456C4" w:themeColor="accent1" w:themeTint="99"/>
        </w:tcBorders>
      </w:tcPr>
    </w:tblStylePr>
    <w:tblStylePr w:type="firstCol">
      <w:rPr>
        <w:b/>
        <w:bCs/>
      </w:rPr>
    </w:tblStylePr>
    <w:tblStylePr w:type="lastCol">
      <w:rPr>
        <w:b/>
        <w:bCs/>
      </w:rPr>
    </w:tblStylePr>
  </w:style>
  <w:style w:type="character" w:customStyle="1" w:styleId="A5">
    <w:name w:val="A5"/>
    <w:basedOn w:val="DefaultParagraphFont"/>
    <w:uiPriority w:val="99"/>
    <w:rsid w:val="143A4CE6"/>
    <w:rPr>
      <w:rFonts w:asciiTheme="minorHAnsi" w:eastAsiaTheme="minorEastAsia" w:hAnsiTheme="minorHAnsi" w:cstheme="minorBidi"/>
      <w:color w:val="000000" w:themeColor="text1"/>
      <w:sz w:val="22"/>
      <w:szCs w:val="22"/>
    </w:rPr>
  </w:style>
  <w:style w:type="table" w:styleId="ListTable4-Accent2">
    <w:name w:val="List Table 4 Accent 2"/>
    <w:basedOn w:val="TableNormal"/>
    <w:uiPriority w:val="49"/>
    <w:locked/>
    <w:rsid w:val="003441A9"/>
    <w:tblPr>
      <w:tblStyleRowBandSize w:val="1"/>
      <w:tblStyleColBandSize w:val="1"/>
      <w:tblBorders>
        <w:top w:val="single" w:sz="4" w:space="0" w:color="AA79CC" w:themeColor="accent2" w:themeTint="99"/>
        <w:left w:val="single" w:sz="4" w:space="0" w:color="AA79CC" w:themeColor="accent2" w:themeTint="99"/>
        <w:bottom w:val="single" w:sz="4" w:space="0" w:color="AA79CC" w:themeColor="accent2" w:themeTint="99"/>
        <w:right w:val="single" w:sz="4" w:space="0" w:color="AA79CC" w:themeColor="accent2" w:themeTint="99"/>
        <w:insideH w:val="single" w:sz="4" w:space="0" w:color="AA79CC" w:themeColor="accent2" w:themeTint="99"/>
      </w:tblBorders>
    </w:tblPr>
    <w:tblStylePr w:type="firstRow">
      <w:rPr>
        <w:b/>
        <w:bCs/>
        <w:color w:val="FFFFFF" w:themeColor="background1"/>
      </w:rPr>
      <w:tblPr/>
      <w:tcPr>
        <w:tcBorders>
          <w:top w:val="single" w:sz="4" w:space="0" w:color="6E3894" w:themeColor="accent2"/>
          <w:left w:val="single" w:sz="4" w:space="0" w:color="6E3894" w:themeColor="accent2"/>
          <w:bottom w:val="single" w:sz="4" w:space="0" w:color="6E3894" w:themeColor="accent2"/>
          <w:right w:val="single" w:sz="4" w:space="0" w:color="6E3894" w:themeColor="accent2"/>
          <w:insideH w:val="nil"/>
        </w:tcBorders>
        <w:shd w:val="clear" w:color="auto" w:fill="6E3894" w:themeFill="accent2"/>
      </w:tcPr>
    </w:tblStylePr>
    <w:tblStylePr w:type="lastRow">
      <w:rPr>
        <w:b/>
        <w:bCs/>
      </w:rPr>
      <w:tblPr/>
      <w:tcPr>
        <w:tcBorders>
          <w:top w:val="double" w:sz="4" w:space="0" w:color="AA79CC" w:themeColor="accent2" w:themeTint="99"/>
        </w:tcBorders>
      </w:tcPr>
    </w:tblStylePr>
    <w:tblStylePr w:type="firstCol">
      <w:rPr>
        <w:b/>
        <w:bCs/>
      </w:rPr>
    </w:tblStylePr>
    <w:tblStylePr w:type="lastCol">
      <w:rPr>
        <w:b/>
        <w:bCs/>
      </w:rPr>
    </w:tblStylePr>
    <w:tblStylePr w:type="band1Vert">
      <w:tblPr/>
      <w:tcPr>
        <w:shd w:val="clear" w:color="auto" w:fill="E2D2EE" w:themeFill="accent2" w:themeFillTint="33"/>
      </w:tcPr>
    </w:tblStylePr>
    <w:tblStylePr w:type="band1Horz">
      <w:tblPr/>
      <w:tcPr>
        <w:shd w:val="clear" w:color="auto" w:fill="E2D2EE" w:themeFill="accent2" w:themeFillTint="33"/>
      </w:tcPr>
    </w:tblStylePr>
  </w:style>
  <w:style w:type="table" w:styleId="ListTable3-Accent2">
    <w:name w:val="List Table 3 Accent 2"/>
    <w:basedOn w:val="TableNormal"/>
    <w:uiPriority w:val="48"/>
    <w:locked/>
    <w:rsid w:val="003441A9"/>
    <w:tblPr>
      <w:tblStyleRowBandSize w:val="1"/>
      <w:tblStyleColBandSize w:val="1"/>
      <w:tblBorders>
        <w:top w:val="single" w:sz="4" w:space="0" w:color="6E3894" w:themeColor="accent2"/>
        <w:left w:val="single" w:sz="4" w:space="0" w:color="6E3894" w:themeColor="accent2"/>
        <w:bottom w:val="single" w:sz="4" w:space="0" w:color="6E3894" w:themeColor="accent2"/>
        <w:right w:val="single" w:sz="4" w:space="0" w:color="6E3894" w:themeColor="accent2"/>
      </w:tblBorders>
    </w:tblPr>
    <w:tblStylePr w:type="firstRow">
      <w:rPr>
        <w:b/>
        <w:bCs/>
        <w:color w:val="FFFFFF" w:themeColor="background1"/>
      </w:rPr>
      <w:tblPr/>
      <w:tcPr>
        <w:shd w:val="clear" w:color="auto" w:fill="6E3894" w:themeFill="accent2"/>
      </w:tcPr>
    </w:tblStylePr>
    <w:tblStylePr w:type="lastRow">
      <w:rPr>
        <w:b/>
        <w:bCs/>
      </w:rPr>
      <w:tblPr/>
      <w:tcPr>
        <w:tcBorders>
          <w:top w:val="double" w:sz="4" w:space="0" w:color="6E389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E3894" w:themeColor="accent2"/>
          <w:right w:val="single" w:sz="4" w:space="0" w:color="6E3894" w:themeColor="accent2"/>
        </w:tcBorders>
      </w:tcPr>
    </w:tblStylePr>
    <w:tblStylePr w:type="band1Horz">
      <w:tblPr/>
      <w:tcPr>
        <w:tcBorders>
          <w:top w:val="single" w:sz="4" w:space="0" w:color="6E3894" w:themeColor="accent2"/>
          <w:bottom w:val="single" w:sz="4" w:space="0" w:color="6E389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3894" w:themeColor="accent2"/>
          <w:left w:val="nil"/>
        </w:tcBorders>
      </w:tcPr>
    </w:tblStylePr>
    <w:tblStylePr w:type="swCell">
      <w:tblPr/>
      <w:tcPr>
        <w:tcBorders>
          <w:top w:val="double" w:sz="4" w:space="0" w:color="6E3894" w:themeColor="accent2"/>
          <w:right w:val="nil"/>
        </w:tcBorders>
      </w:tcPr>
    </w:tblStylePr>
  </w:style>
  <w:style w:type="table" w:styleId="GridTable5Dark-Accent2">
    <w:name w:val="Grid Table 5 Dark Accent 2"/>
    <w:basedOn w:val="TableNormal"/>
    <w:uiPriority w:val="50"/>
    <w:locked/>
    <w:rsid w:val="00B860E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D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E389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E389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E389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E3894" w:themeFill="accent2"/>
      </w:tcPr>
    </w:tblStylePr>
    <w:tblStylePr w:type="band1Vert">
      <w:tblPr/>
      <w:tcPr>
        <w:shd w:val="clear" w:color="auto" w:fill="C6A6DD" w:themeFill="accent2" w:themeFillTint="66"/>
      </w:tcPr>
    </w:tblStylePr>
    <w:tblStylePr w:type="band1Horz">
      <w:tblPr/>
      <w:tcPr>
        <w:shd w:val="clear" w:color="auto" w:fill="C6A6DD" w:themeFill="accent2" w:themeFillTint="66"/>
      </w:tcPr>
    </w:tblStylePr>
  </w:style>
  <w:style w:type="table" w:styleId="GridTable4-Accent2">
    <w:name w:val="Grid Table 4 Accent 2"/>
    <w:basedOn w:val="TableNormal"/>
    <w:uiPriority w:val="49"/>
    <w:locked/>
    <w:rsid w:val="00B860ED"/>
    <w:tblPr>
      <w:tblStyleRowBandSize w:val="1"/>
      <w:tblStyleColBandSize w:val="1"/>
      <w:tblBorders>
        <w:top w:val="single" w:sz="4" w:space="0" w:color="AA79CC" w:themeColor="accent2" w:themeTint="99"/>
        <w:left w:val="single" w:sz="4" w:space="0" w:color="AA79CC" w:themeColor="accent2" w:themeTint="99"/>
        <w:bottom w:val="single" w:sz="4" w:space="0" w:color="AA79CC" w:themeColor="accent2" w:themeTint="99"/>
        <w:right w:val="single" w:sz="4" w:space="0" w:color="AA79CC" w:themeColor="accent2" w:themeTint="99"/>
        <w:insideH w:val="single" w:sz="4" w:space="0" w:color="AA79CC" w:themeColor="accent2" w:themeTint="99"/>
        <w:insideV w:val="single" w:sz="4" w:space="0" w:color="AA79CC" w:themeColor="accent2" w:themeTint="99"/>
      </w:tblBorders>
    </w:tblPr>
    <w:tblStylePr w:type="firstRow">
      <w:rPr>
        <w:b/>
        <w:bCs/>
        <w:color w:val="FFFFFF" w:themeColor="background1"/>
      </w:rPr>
      <w:tblPr/>
      <w:tcPr>
        <w:tcBorders>
          <w:top w:val="single" w:sz="4" w:space="0" w:color="6E3894" w:themeColor="accent2"/>
          <w:left w:val="single" w:sz="4" w:space="0" w:color="6E3894" w:themeColor="accent2"/>
          <w:bottom w:val="single" w:sz="4" w:space="0" w:color="6E3894" w:themeColor="accent2"/>
          <w:right w:val="single" w:sz="4" w:space="0" w:color="6E3894" w:themeColor="accent2"/>
          <w:insideH w:val="nil"/>
          <w:insideV w:val="nil"/>
        </w:tcBorders>
        <w:shd w:val="clear" w:color="auto" w:fill="6E3894" w:themeFill="accent2"/>
      </w:tcPr>
    </w:tblStylePr>
    <w:tblStylePr w:type="lastRow">
      <w:rPr>
        <w:b/>
        <w:bCs/>
      </w:rPr>
      <w:tblPr/>
      <w:tcPr>
        <w:tcBorders>
          <w:top w:val="double" w:sz="4" w:space="0" w:color="6E3894" w:themeColor="accent2"/>
        </w:tcBorders>
      </w:tcPr>
    </w:tblStylePr>
    <w:tblStylePr w:type="firstCol">
      <w:rPr>
        <w:b/>
        <w:bCs/>
      </w:rPr>
    </w:tblStylePr>
    <w:tblStylePr w:type="lastCol">
      <w:rPr>
        <w:b/>
        <w:bCs/>
      </w:rPr>
    </w:tblStylePr>
    <w:tblStylePr w:type="band1Vert">
      <w:tblPr/>
      <w:tcPr>
        <w:shd w:val="clear" w:color="auto" w:fill="E2D2EE" w:themeFill="accent2" w:themeFillTint="33"/>
      </w:tcPr>
    </w:tblStylePr>
    <w:tblStylePr w:type="band1Horz">
      <w:tblPr/>
      <w:tcPr>
        <w:shd w:val="clear" w:color="auto" w:fill="E2D2EE" w:themeFill="accent2" w:themeFillTint="33"/>
      </w:tcPr>
    </w:tblStylePr>
  </w:style>
  <w:style w:type="table" w:styleId="ListTable4-Accent1">
    <w:name w:val="List Table 4 Accent 1"/>
    <w:basedOn w:val="TableNormal"/>
    <w:uiPriority w:val="49"/>
    <w:locked/>
    <w:rsid w:val="00F30638"/>
    <w:tblPr>
      <w:tblStyleRowBandSize w:val="1"/>
      <w:tblStyleColBandSize w:val="1"/>
      <w:tblBorders>
        <w:top w:val="single" w:sz="4" w:space="0" w:color="8456C4" w:themeColor="accent1" w:themeTint="99"/>
        <w:left w:val="single" w:sz="4" w:space="0" w:color="8456C4" w:themeColor="accent1" w:themeTint="99"/>
        <w:bottom w:val="single" w:sz="4" w:space="0" w:color="8456C4" w:themeColor="accent1" w:themeTint="99"/>
        <w:right w:val="single" w:sz="4" w:space="0" w:color="8456C4" w:themeColor="accent1" w:themeTint="99"/>
        <w:insideH w:val="single" w:sz="4" w:space="0" w:color="8456C4" w:themeColor="accent1" w:themeTint="99"/>
      </w:tblBorders>
    </w:tblPr>
    <w:tblStylePr w:type="firstRow">
      <w:rPr>
        <w:b/>
        <w:bCs/>
        <w:color w:val="FFFFFF" w:themeColor="background1"/>
      </w:rPr>
      <w:tblPr/>
      <w:tcPr>
        <w:tcBorders>
          <w:top w:val="single" w:sz="4" w:space="0" w:color="3D2262" w:themeColor="accent1"/>
          <w:left w:val="single" w:sz="4" w:space="0" w:color="3D2262" w:themeColor="accent1"/>
          <w:bottom w:val="single" w:sz="4" w:space="0" w:color="3D2262" w:themeColor="accent1"/>
          <w:right w:val="single" w:sz="4" w:space="0" w:color="3D2262" w:themeColor="accent1"/>
          <w:insideH w:val="nil"/>
        </w:tcBorders>
        <w:shd w:val="clear" w:color="auto" w:fill="3D2262" w:themeFill="accent1"/>
      </w:tcPr>
    </w:tblStylePr>
    <w:tblStylePr w:type="lastRow">
      <w:rPr>
        <w:b/>
        <w:bCs/>
      </w:rPr>
      <w:tblPr/>
      <w:tcPr>
        <w:tcBorders>
          <w:top w:val="doub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table" w:styleId="ListTable6Colorful-Accent1">
    <w:name w:val="List Table 6 Colorful Accent 1"/>
    <w:basedOn w:val="TableNormal"/>
    <w:uiPriority w:val="51"/>
    <w:locked/>
    <w:rsid w:val="008538C5"/>
    <w:rPr>
      <w:color w:val="2D1949" w:themeColor="accent1" w:themeShade="BF"/>
    </w:rPr>
    <w:tblPr>
      <w:tblStyleRowBandSize w:val="1"/>
      <w:tblStyleColBandSize w:val="1"/>
      <w:tblBorders>
        <w:top w:val="single" w:sz="4" w:space="0" w:color="3D2262" w:themeColor="accent1"/>
        <w:bottom w:val="single" w:sz="4" w:space="0" w:color="3D2262" w:themeColor="accent1"/>
      </w:tblBorders>
    </w:tblPr>
    <w:tblStylePr w:type="firstRow">
      <w:rPr>
        <w:b/>
        <w:bCs/>
      </w:rPr>
      <w:tblPr/>
      <w:tcPr>
        <w:tcBorders>
          <w:bottom w:val="single" w:sz="4" w:space="0" w:color="3D2262" w:themeColor="accent1"/>
        </w:tcBorders>
      </w:tcPr>
    </w:tblStylePr>
    <w:tblStylePr w:type="lastRow">
      <w:rPr>
        <w:b/>
        <w:bCs/>
      </w:rPr>
      <w:tblPr/>
      <w:tcPr>
        <w:tcBorders>
          <w:top w:val="double" w:sz="4" w:space="0" w:color="3D2262" w:themeColor="accent1"/>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styleId="NormalWeb">
    <w:name w:val="Normal (Web)"/>
    <w:basedOn w:val="Normal"/>
    <w:uiPriority w:val="99"/>
    <w:semiHidden/>
    <w:unhideWhenUsed/>
    <w:rsid w:val="00BA7527"/>
    <w:rPr>
      <w:rFonts w:ascii="Times New Roman" w:hAnsi="Times New Roman" w:cs="Times New Roman"/>
    </w:rPr>
  </w:style>
  <w:style w:type="table" w:customStyle="1" w:styleId="TableGrid1">
    <w:name w:val="Table Grid1"/>
    <w:basedOn w:val="TableNormal"/>
    <w:next w:val="TableGrid"/>
    <w:uiPriority w:val="59"/>
    <w:rsid w:val="00130B94"/>
    <w:rPr>
      <w:rFonts w:ascii="Cambria" w:eastAsia="MS Mincho" w:hAnsi="Cambria"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semiHidden/>
    <w:unhideWhenUsed/>
    <w:rsid w:val="00546BD1"/>
    <w:tblPr>
      <w:tblStyleRowBandSize w:val="1"/>
      <w:tblStyleColBandSize w:val="1"/>
      <w:tblBorders>
        <w:top w:val="single" w:sz="8" w:space="0" w:color="3D2262" w:themeColor="accent1"/>
        <w:left w:val="single" w:sz="8" w:space="0" w:color="3D2262" w:themeColor="accent1"/>
        <w:bottom w:val="single" w:sz="8" w:space="0" w:color="3D2262" w:themeColor="accent1"/>
        <w:right w:val="single" w:sz="8" w:space="0" w:color="3D2262" w:themeColor="accent1"/>
      </w:tblBorders>
    </w:tblPr>
    <w:tblStylePr w:type="firstRow">
      <w:pPr>
        <w:spacing w:before="0" w:after="0" w:line="240" w:lineRule="auto"/>
      </w:pPr>
      <w:rPr>
        <w:b/>
        <w:bCs/>
        <w:color w:val="FFFFFF" w:themeColor="background1"/>
      </w:rPr>
      <w:tblPr/>
      <w:tcPr>
        <w:shd w:val="clear" w:color="auto" w:fill="3D2262" w:themeFill="accent1"/>
      </w:tcPr>
    </w:tblStylePr>
    <w:tblStylePr w:type="lastRow">
      <w:pPr>
        <w:spacing w:before="0" w:after="0" w:line="240" w:lineRule="auto"/>
      </w:pPr>
      <w:rPr>
        <w:b/>
        <w:bCs/>
      </w:rPr>
      <w:tblPr/>
      <w:tcPr>
        <w:tcBorders>
          <w:top w:val="double" w:sz="6" w:space="0" w:color="3D2262" w:themeColor="accent1"/>
          <w:left w:val="single" w:sz="8" w:space="0" w:color="3D2262" w:themeColor="accent1"/>
          <w:bottom w:val="single" w:sz="8" w:space="0" w:color="3D2262" w:themeColor="accent1"/>
          <w:right w:val="single" w:sz="8" w:space="0" w:color="3D2262" w:themeColor="accent1"/>
        </w:tcBorders>
      </w:tcPr>
    </w:tblStylePr>
    <w:tblStylePr w:type="firstCol">
      <w:rPr>
        <w:b/>
        <w:bCs/>
      </w:rPr>
    </w:tblStylePr>
    <w:tblStylePr w:type="lastCol">
      <w:rPr>
        <w:b/>
        <w:bCs/>
      </w:rPr>
    </w:tblStylePr>
    <w:tblStylePr w:type="band1Vert">
      <w:tblPr/>
      <w:tcPr>
        <w:tcBorders>
          <w:top w:val="single" w:sz="8" w:space="0" w:color="3D2262" w:themeColor="accent1"/>
          <w:left w:val="single" w:sz="8" w:space="0" w:color="3D2262" w:themeColor="accent1"/>
          <w:bottom w:val="single" w:sz="8" w:space="0" w:color="3D2262" w:themeColor="accent1"/>
          <w:right w:val="single" w:sz="8" w:space="0" w:color="3D2262" w:themeColor="accent1"/>
        </w:tcBorders>
      </w:tcPr>
    </w:tblStylePr>
    <w:tblStylePr w:type="band1Horz">
      <w:tblPr/>
      <w:tcPr>
        <w:tcBorders>
          <w:top w:val="single" w:sz="8" w:space="0" w:color="3D2262" w:themeColor="accent1"/>
          <w:left w:val="single" w:sz="8" w:space="0" w:color="3D2262" w:themeColor="accent1"/>
          <w:bottom w:val="single" w:sz="8" w:space="0" w:color="3D2262" w:themeColor="accent1"/>
          <w:right w:val="single" w:sz="8" w:space="0" w:color="3D2262" w:themeColor="accent1"/>
        </w:tcBorders>
      </w:tcPr>
    </w:tblStylePr>
  </w:style>
  <w:style w:type="character" w:styleId="Mention">
    <w:name w:val="Mention"/>
    <w:basedOn w:val="DefaultParagraphFont"/>
    <w:uiPriority w:val="99"/>
    <w:unhideWhenUsed/>
    <w:rsid w:val="009522A6"/>
    <w:rPr>
      <w:color w:val="2B579A"/>
      <w:shd w:val="clear" w:color="auto" w:fill="E1DFDD"/>
    </w:rPr>
  </w:style>
  <w:style w:type="table" w:styleId="GridTable2-Accent2">
    <w:name w:val="Grid Table 2 Accent 2"/>
    <w:basedOn w:val="TableNormal"/>
    <w:uiPriority w:val="47"/>
    <w:locked/>
    <w:rsid w:val="001E790F"/>
    <w:tblPr>
      <w:tblStyleRowBandSize w:val="1"/>
      <w:tblStyleColBandSize w:val="1"/>
      <w:tblBorders>
        <w:top w:val="single" w:sz="2" w:space="0" w:color="AA79CC" w:themeColor="accent2" w:themeTint="99"/>
        <w:bottom w:val="single" w:sz="2" w:space="0" w:color="AA79CC" w:themeColor="accent2" w:themeTint="99"/>
        <w:insideH w:val="single" w:sz="2" w:space="0" w:color="AA79CC" w:themeColor="accent2" w:themeTint="99"/>
        <w:insideV w:val="single" w:sz="2" w:space="0" w:color="AA79CC" w:themeColor="accent2" w:themeTint="99"/>
      </w:tblBorders>
    </w:tblPr>
    <w:tblStylePr w:type="firstRow">
      <w:rPr>
        <w:b/>
        <w:bCs/>
      </w:rPr>
      <w:tblPr/>
      <w:tcPr>
        <w:tcBorders>
          <w:top w:val="nil"/>
          <w:bottom w:val="single" w:sz="12" w:space="0" w:color="AA79CC" w:themeColor="accent2" w:themeTint="99"/>
          <w:insideH w:val="nil"/>
          <w:insideV w:val="nil"/>
        </w:tcBorders>
        <w:shd w:val="clear" w:color="auto" w:fill="FFFFFF" w:themeFill="background1"/>
      </w:tcPr>
    </w:tblStylePr>
    <w:tblStylePr w:type="lastRow">
      <w:rPr>
        <w:b/>
        <w:bCs/>
      </w:rPr>
      <w:tblPr/>
      <w:tcPr>
        <w:tcBorders>
          <w:top w:val="double" w:sz="2" w:space="0" w:color="AA79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2EE" w:themeFill="accent2" w:themeFillTint="33"/>
      </w:tcPr>
    </w:tblStylePr>
    <w:tblStylePr w:type="band1Horz">
      <w:tblPr/>
      <w:tcPr>
        <w:shd w:val="clear" w:color="auto" w:fill="E2D2EE" w:themeFill="accent2" w:themeFillTint="33"/>
      </w:tcPr>
    </w:tblStylePr>
  </w:style>
  <w:style w:type="table" w:customStyle="1" w:styleId="Style1">
    <w:name w:val="Style1"/>
    <w:basedOn w:val="TableNormal"/>
    <w:uiPriority w:val="99"/>
    <w:rsid w:val="001E790F"/>
    <w:tblPr/>
  </w:style>
  <w:style w:type="table" w:styleId="ListTable3-Accent1">
    <w:name w:val="List Table 3 Accent 1"/>
    <w:basedOn w:val="TableNormal"/>
    <w:uiPriority w:val="48"/>
    <w:locked/>
    <w:rsid w:val="00375B4F"/>
    <w:tblPr>
      <w:tblStyleRowBandSize w:val="1"/>
      <w:tblStyleColBandSize w:val="1"/>
      <w:tblBorders>
        <w:top w:val="single" w:sz="4" w:space="0" w:color="3D2262" w:themeColor="accent1"/>
        <w:left w:val="single" w:sz="4" w:space="0" w:color="3D2262" w:themeColor="accent1"/>
        <w:bottom w:val="single" w:sz="4" w:space="0" w:color="3D2262" w:themeColor="accent1"/>
        <w:right w:val="single" w:sz="4" w:space="0" w:color="3D2262" w:themeColor="accent1"/>
      </w:tblBorders>
    </w:tblPr>
    <w:tblStylePr w:type="firstRow">
      <w:rPr>
        <w:b/>
        <w:bCs/>
        <w:color w:val="FFFFFF" w:themeColor="background1"/>
      </w:rPr>
      <w:tblPr/>
      <w:tcPr>
        <w:shd w:val="clear" w:color="auto" w:fill="3D2262" w:themeFill="accent1"/>
      </w:tcPr>
    </w:tblStylePr>
    <w:tblStylePr w:type="lastRow">
      <w:rPr>
        <w:b/>
        <w:bCs/>
      </w:rPr>
      <w:tblPr/>
      <w:tcPr>
        <w:tcBorders>
          <w:top w:val="double" w:sz="4" w:space="0" w:color="3D226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262" w:themeColor="accent1"/>
          <w:right w:val="single" w:sz="4" w:space="0" w:color="3D2262" w:themeColor="accent1"/>
        </w:tcBorders>
      </w:tcPr>
    </w:tblStylePr>
    <w:tblStylePr w:type="band1Horz">
      <w:tblPr/>
      <w:tcPr>
        <w:tcBorders>
          <w:top w:val="single" w:sz="4" w:space="0" w:color="3D2262" w:themeColor="accent1"/>
          <w:bottom w:val="single" w:sz="4" w:space="0" w:color="3D226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262" w:themeColor="accent1"/>
          <w:left w:val="nil"/>
        </w:tcBorders>
      </w:tcPr>
    </w:tblStylePr>
    <w:tblStylePr w:type="swCell">
      <w:tblPr/>
      <w:tcPr>
        <w:tcBorders>
          <w:top w:val="double" w:sz="4" w:space="0" w:color="3D226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2843">
      <w:bodyDiv w:val="1"/>
      <w:marLeft w:val="0"/>
      <w:marRight w:val="0"/>
      <w:marTop w:val="0"/>
      <w:marBottom w:val="0"/>
      <w:divBdr>
        <w:top w:val="none" w:sz="0" w:space="0" w:color="auto"/>
        <w:left w:val="none" w:sz="0" w:space="0" w:color="auto"/>
        <w:bottom w:val="none" w:sz="0" w:space="0" w:color="auto"/>
        <w:right w:val="none" w:sz="0" w:space="0" w:color="auto"/>
      </w:divBdr>
    </w:div>
    <w:div w:id="234976651">
      <w:bodyDiv w:val="1"/>
      <w:marLeft w:val="0"/>
      <w:marRight w:val="0"/>
      <w:marTop w:val="0"/>
      <w:marBottom w:val="0"/>
      <w:divBdr>
        <w:top w:val="none" w:sz="0" w:space="0" w:color="auto"/>
        <w:left w:val="none" w:sz="0" w:space="0" w:color="auto"/>
        <w:bottom w:val="none" w:sz="0" w:space="0" w:color="auto"/>
        <w:right w:val="none" w:sz="0" w:space="0" w:color="auto"/>
      </w:divBdr>
    </w:div>
    <w:div w:id="413666154">
      <w:bodyDiv w:val="1"/>
      <w:marLeft w:val="0"/>
      <w:marRight w:val="0"/>
      <w:marTop w:val="0"/>
      <w:marBottom w:val="0"/>
      <w:divBdr>
        <w:top w:val="none" w:sz="0" w:space="0" w:color="auto"/>
        <w:left w:val="none" w:sz="0" w:space="0" w:color="auto"/>
        <w:bottom w:val="none" w:sz="0" w:space="0" w:color="auto"/>
        <w:right w:val="none" w:sz="0" w:space="0" w:color="auto"/>
      </w:divBdr>
    </w:div>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651105220">
      <w:bodyDiv w:val="1"/>
      <w:marLeft w:val="0"/>
      <w:marRight w:val="0"/>
      <w:marTop w:val="0"/>
      <w:marBottom w:val="0"/>
      <w:divBdr>
        <w:top w:val="none" w:sz="0" w:space="0" w:color="auto"/>
        <w:left w:val="none" w:sz="0" w:space="0" w:color="auto"/>
        <w:bottom w:val="none" w:sz="0" w:space="0" w:color="auto"/>
        <w:right w:val="none" w:sz="0" w:space="0" w:color="auto"/>
      </w:divBdr>
    </w:div>
    <w:div w:id="1139802701">
      <w:bodyDiv w:val="1"/>
      <w:marLeft w:val="0"/>
      <w:marRight w:val="0"/>
      <w:marTop w:val="0"/>
      <w:marBottom w:val="0"/>
      <w:divBdr>
        <w:top w:val="none" w:sz="0" w:space="0" w:color="auto"/>
        <w:left w:val="none" w:sz="0" w:space="0" w:color="auto"/>
        <w:bottom w:val="none" w:sz="0" w:space="0" w:color="auto"/>
        <w:right w:val="none" w:sz="0" w:space="0" w:color="auto"/>
      </w:divBdr>
    </w:div>
    <w:div w:id="1263101197">
      <w:bodyDiv w:val="1"/>
      <w:marLeft w:val="0"/>
      <w:marRight w:val="0"/>
      <w:marTop w:val="0"/>
      <w:marBottom w:val="0"/>
      <w:divBdr>
        <w:top w:val="none" w:sz="0" w:space="0" w:color="auto"/>
        <w:left w:val="none" w:sz="0" w:space="0" w:color="auto"/>
        <w:bottom w:val="none" w:sz="0" w:space="0" w:color="auto"/>
        <w:right w:val="none" w:sz="0" w:space="0" w:color="auto"/>
      </w:divBdr>
    </w:div>
    <w:div w:id="1269044021">
      <w:bodyDiv w:val="1"/>
      <w:marLeft w:val="0"/>
      <w:marRight w:val="0"/>
      <w:marTop w:val="0"/>
      <w:marBottom w:val="0"/>
      <w:divBdr>
        <w:top w:val="none" w:sz="0" w:space="0" w:color="auto"/>
        <w:left w:val="none" w:sz="0" w:space="0" w:color="auto"/>
        <w:bottom w:val="none" w:sz="0" w:space="0" w:color="auto"/>
        <w:right w:val="none" w:sz="0" w:space="0" w:color="auto"/>
      </w:divBdr>
    </w:div>
    <w:div w:id="1361584683">
      <w:bodyDiv w:val="1"/>
      <w:marLeft w:val="0"/>
      <w:marRight w:val="0"/>
      <w:marTop w:val="0"/>
      <w:marBottom w:val="0"/>
      <w:divBdr>
        <w:top w:val="none" w:sz="0" w:space="0" w:color="auto"/>
        <w:left w:val="none" w:sz="0" w:space="0" w:color="auto"/>
        <w:bottom w:val="none" w:sz="0" w:space="0" w:color="auto"/>
        <w:right w:val="none" w:sz="0" w:space="0" w:color="auto"/>
      </w:divBdr>
    </w:div>
    <w:div w:id="1499344982">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866942140">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044282097">
      <w:bodyDiv w:val="1"/>
      <w:marLeft w:val="0"/>
      <w:marRight w:val="0"/>
      <w:marTop w:val="0"/>
      <w:marBottom w:val="0"/>
      <w:divBdr>
        <w:top w:val="none" w:sz="0" w:space="0" w:color="auto"/>
        <w:left w:val="none" w:sz="0" w:space="0" w:color="auto"/>
        <w:bottom w:val="none" w:sz="0" w:space="0" w:color="auto"/>
        <w:right w:val="none" w:sz="0" w:space="0" w:color="auto"/>
      </w:divBdr>
    </w:div>
    <w:div w:id="2105879888">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ch.alos@act.gov.au" TargetMode="External"/><Relationship Id="rId18" Type="http://schemas.openxmlformats.org/officeDocument/2006/relationships/hyperlink" Target="file:///C:/Users/cate%20green/Downloads/National-Midwifery-Guidelines-for-Consultation-and-Referral-4th-Edition-(2021).pdf" TargetMode="External"/><Relationship Id="rId26" Type="http://schemas.openxmlformats.org/officeDocument/2006/relationships/hyperlink" Target="https://www.eatforhealth.gov.au/eating-well/healthy-eating-throughout-all-life/healthy-eating-when-you%27re-pregnant-or-breastfeeding" TargetMode="External"/><Relationship Id="rId39" Type="http://schemas.openxmlformats.org/officeDocument/2006/relationships/hyperlink" Target="https://learn.stillbirthcre.org.au/wp-content/uploads/2023/05/TOB_Position-Statement_V2_Jan2023.pdf" TargetMode="External"/><Relationship Id="rId21" Type="http://schemas.openxmlformats.org/officeDocument/2006/relationships/hyperlink" Target="https://www.kemh.health.wa.gov.au/~/media/HSPs/NMHS/Hospitals/WNHS/Documents/Clinical-guidelines/Obs-Gyn-Guidelines/Body-Mass-Index-BMI-more-than-40-Management-of-a-Woman-with.pdf?thn=0" TargetMode="External"/><Relationship Id="rId34" Type="http://schemas.openxmlformats.org/officeDocument/2006/relationships/hyperlink" Target="http://www.who.int/dietphysicalactivity/childhood_what/en/" TargetMode="External"/><Relationship Id="rId42" Type="http://schemas.openxmlformats.org/officeDocument/2006/relationships/image" Target="media/image1.png"/><Relationship Id="rId47" Type="http://schemas.openxmlformats.org/officeDocument/2006/relationships/image" Target="media/image5.png"/><Relationship Id="rId50"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ranzcog.edu.au/wp-content/uploads/Management-Obesity-Pregnancy.pdf" TargetMode="External"/><Relationship Id="rId29" Type="http://schemas.openxmlformats.org/officeDocument/2006/relationships/hyperlink" Target="https://ranzcog.edu.au/wp-content/uploads/Weight-Changes-During-Pregnancy.pdf" TargetMode="External"/><Relationship Id="rId11" Type="http://schemas.openxmlformats.org/officeDocument/2006/relationships/hyperlink" Target="mailto:SNSWLHD-CommunityIntake@health.nsw.gov.au" TargetMode="External"/><Relationship Id="rId24" Type="http://schemas.openxmlformats.org/officeDocument/2006/relationships/hyperlink" Target="http://www.safetyandquality.gov.au/our-work/shared-decision-making/" TargetMode="External"/><Relationship Id="rId32" Type="http://schemas.openxmlformats.org/officeDocument/2006/relationships/hyperlink" Target="https://www.nice.org.uk/guidance/ng201/resources/antenatal-care-pdf-66143709695941" TargetMode="External"/><Relationship Id="rId37" Type="http://schemas.openxmlformats.org/officeDocument/2006/relationships/hyperlink" Target="https://www.who.int/publications/i/item/9789240052796" TargetMode="External"/><Relationship Id="rId40" Type="http://schemas.openxmlformats.org/officeDocument/2006/relationships/hyperlink" Target="https://www.safetyandquality.gov.au/publications-and-resources/resource-library/stillbirth-clinical-care-standard-2022" TargetMode="External"/><Relationship Id="rId45" Type="http://schemas.openxmlformats.org/officeDocument/2006/relationships/image" Target="media/image4.pn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health.qld.gov.au/qcg" TargetMode="External"/><Relationship Id="rId31" Type="http://schemas.openxmlformats.org/officeDocument/2006/relationships/hyperlink" Target="https://www.nice.org.uk/guidance/ng235" TargetMode="External"/><Relationship Id="rId44" Type="http://schemas.openxmlformats.org/officeDocument/2006/relationships/image" Target="media/image3.png"/><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nberrahealthservices.act.gov.au/services-and-clinics/services/central-health-intake-chi" TargetMode="External"/><Relationship Id="rId22" Type="http://schemas.openxmlformats.org/officeDocument/2006/relationships/hyperlink" Target="https://www.uptodate.com/contents/obesity-in-pregnancy-complications-and-maternal-management" TargetMode="External"/><Relationship Id="rId27" Type="http://schemas.openxmlformats.org/officeDocument/2006/relationships/hyperlink" Target="https://www.eatforhealth.gov.au/sites/default/files/2022-09/n55h_healthy_eating_during_pregnancy_0_0.pdf" TargetMode="External"/><Relationship Id="rId30" Type="http://schemas.openxmlformats.org/officeDocument/2006/relationships/hyperlink" Target="https://obgyn.onlinelibrary.wiley.com/doi/epdf/10.1111/1471-0528.15386" TargetMode="External"/><Relationship Id="rId35" Type="http://schemas.openxmlformats.org/officeDocument/2006/relationships/hyperlink" Target="https://doi.org/10.1111/ajo.13769" TargetMode="External"/><Relationship Id="rId43" Type="http://schemas.openxmlformats.org/officeDocument/2006/relationships/image" Target="media/image2.png"/><Relationship Id="rId48"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ALOService@act.gov.au" TargetMode="External"/><Relationship Id="rId17" Type="http://schemas.openxmlformats.org/officeDocument/2006/relationships/hyperlink" Target="https://app.magicapp.org/" TargetMode="External"/><Relationship Id="rId25" Type="http://schemas.openxmlformats.org/officeDocument/2006/relationships/hyperlink" Target="https://www.health.gov.au/sites/default/files/documents/2021/05/national-women-s-health-strategy-2020-2030_0.pdf" TargetMode="External"/><Relationship Id="rId33" Type="http://schemas.openxmlformats.org/officeDocument/2006/relationships/hyperlink" Target="https://pubmed.ncbi.nlm.nih.gov/31943650/" TargetMode="External"/><Relationship Id="rId38" Type="http://schemas.openxmlformats.org/officeDocument/2006/relationships/hyperlink" Target="https://learn.stillbirthcre.org.au/wp-content/uploads/2023/05/FGR_Position-Statement_V2_August2023.pdf" TargetMode="External"/><Relationship Id="rId46" Type="http://schemas.openxmlformats.org/officeDocument/2006/relationships/hyperlink" Target="https://www.canberrahealthservices.act.gov.au/accessibility" TargetMode="External"/><Relationship Id="rId20" Type="http://schemas.openxmlformats.org/officeDocument/2006/relationships/hyperlink" Target="https://www.aihw.gov.au/reports/mothers-babies/australias-mothers-babies/contents/antenatal-period/maternal-body-mass-index" TargetMode="External"/><Relationship Id="rId41" Type="http://schemas.openxmlformats.org/officeDocument/2006/relationships/hyperlink" Target="https://ranzcog.edu.au/wp-content/uploads/Vitamin-Mineral-Supplementation-Pregnancy.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61251249977" TargetMode="External"/><Relationship Id="rId23" Type="http://schemas.openxmlformats.org/officeDocument/2006/relationships/hyperlink" Target="https://bmcwomenshealth.biomedcentral.com/articles/10.1186/s12905-024-03342-2" TargetMode="External"/><Relationship Id="rId28" Type="http://schemas.openxmlformats.org/officeDocument/2006/relationships/hyperlink" Target="https://www.health.gov.au/resources/collections/your-healthy-pregnancy-resources" TargetMode="External"/><Relationship Id="rId36" Type="http://schemas.openxmlformats.org/officeDocument/2006/relationships/hyperlink" Target="https://obgyn.onlinelibrary.wiley.com/doi/full/10.1111/ajo.12866" TargetMode="External"/><Relationship Id="rId4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37B455214F41BA8B7A6E00205BA0F2"/>
        <w:category>
          <w:name w:val="General"/>
          <w:gallery w:val="placeholder"/>
        </w:category>
        <w:types>
          <w:type w:val="bbPlcHdr"/>
        </w:types>
        <w:behaviors>
          <w:behavior w:val="content"/>
        </w:behaviors>
        <w:guid w:val="{75DDF202-9961-4C44-9098-3D4536968310}"/>
      </w:docPartPr>
      <w:docPartBody>
        <w:p w:rsidR="00DB2B9E" w:rsidRDefault="00DB2B9E">
          <w:pPr>
            <w:pStyle w:val="0737B455214F41BA8B7A6E00205BA0F2"/>
          </w:pPr>
          <w:r>
            <w:rPr>
              <w:noProof/>
              <w:sz w:val="20"/>
              <w:szCs w:val="20"/>
            </w:rPr>
            <w:drawing>
              <wp:inline distT="0" distB="0" distL="0" distR="0" wp14:anchorId="1E2E1C03" wp14:editId="1E2E1C04">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3E4FF9F90FDA485FB46E757D1FF1A91E"/>
        <w:category>
          <w:name w:val="General"/>
          <w:gallery w:val="placeholder"/>
        </w:category>
        <w:types>
          <w:type w:val="bbPlcHdr"/>
        </w:types>
        <w:behaviors>
          <w:behavior w:val="content"/>
        </w:behaviors>
        <w:guid w:val="{A1BCEB25-AEED-4555-B0E2-6029427B0E8E}"/>
      </w:docPartPr>
      <w:docPartBody>
        <w:p w:rsidR="00DB2B9E" w:rsidRDefault="00DB2B9E">
          <w:pPr>
            <w:pStyle w:val="3E4FF9F90FDA485FB46E757D1FF1A91E"/>
          </w:pPr>
          <w:r w:rsidRPr="00EE29F8">
            <w:rPr>
              <w:rStyle w:val="PlaceholderText"/>
            </w:rPr>
            <w:t>Choose an item.</w:t>
          </w:r>
        </w:p>
      </w:docPartBody>
    </w:docPart>
    <w:docPart>
      <w:docPartPr>
        <w:name w:val="A478683962604B459DC8E1F84CFDB6F1"/>
        <w:category>
          <w:name w:val="General"/>
          <w:gallery w:val="placeholder"/>
        </w:category>
        <w:types>
          <w:type w:val="bbPlcHdr"/>
        </w:types>
        <w:behaviors>
          <w:behavior w:val="content"/>
        </w:behaviors>
        <w:guid w:val="{2AB8B89B-7D51-4C85-A36C-94DC127004C5}"/>
      </w:docPartPr>
      <w:docPartBody>
        <w:p w:rsidR="00DB2B9E" w:rsidRPr="00F26C97" w:rsidRDefault="00DB2B9E" w:rsidP="003B0E72">
          <w:pPr>
            <w:pStyle w:val="Bottomblocktext"/>
            <w:rPr>
              <w:b/>
              <w:bCs w:val="0"/>
              <w:sz w:val="20"/>
              <w:szCs w:val="20"/>
            </w:rPr>
          </w:pPr>
          <w:r>
            <w:rPr>
              <w:b/>
              <w:bCs w:val="0"/>
              <w:noProof/>
              <w:sz w:val="20"/>
              <w:szCs w:val="20"/>
            </w:rPr>
            <w:drawing>
              <wp:inline distT="0" distB="0" distL="0" distR="0" wp14:anchorId="1E2E1C05" wp14:editId="1E2E1C06">
                <wp:extent cx="338275" cy="331065"/>
                <wp:effectExtent l="0" t="0" r="5080" b="0"/>
                <wp:docPr id="1202450931"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E2E1C07" wp14:editId="1E2E1C08">
                <wp:extent cx="143919" cy="139700"/>
                <wp:effectExtent l="0" t="0" r="8890" b="0"/>
                <wp:docPr id="1940665732"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DB2B9E" w:rsidRPr="00F26C97" w:rsidRDefault="00DB2B9E" w:rsidP="003B0E72">
          <w:pPr>
            <w:pStyle w:val="Bottomblocktext"/>
            <w:rPr>
              <w:b/>
              <w:bCs w:val="0"/>
              <w:sz w:val="20"/>
              <w:szCs w:val="20"/>
            </w:rPr>
          </w:pPr>
          <w:r>
            <w:rPr>
              <w:b/>
              <w:bCs w:val="0"/>
              <w:noProof/>
              <w:sz w:val="20"/>
              <w:szCs w:val="20"/>
            </w:rPr>
            <w:drawing>
              <wp:inline distT="0" distB="0" distL="0" distR="0" wp14:anchorId="1E2E1C09" wp14:editId="1E2E1C0A">
                <wp:extent cx="326104" cy="323850"/>
                <wp:effectExtent l="0" t="0" r="0" b="0"/>
                <wp:docPr id="1237908987"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E2E1C0B" wp14:editId="1E2E1C0C">
                <wp:extent cx="143919" cy="139700"/>
                <wp:effectExtent l="0" t="0" r="8890" b="0"/>
                <wp:docPr id="1312801579"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DB2B9E" w:rsidRDefault="00DB2B9E" w:rsidP="003B0E72">
          <w:pPr>
            <w:pStyle w:val="Bottomblocktext"/>
            <w:rPr>
              <w:sz w:val="20"/>
              <w:szCs w:val="20"/>
            </w:rPr>
          </w:pPr>
          <w:hyperlink r:id="rId8" w:history="1">
            <w:r w:rsidRPr="00350211">
              <w:rPr>
                <w:rStyle w:val="Hyperlink"/>
                <w:sz w:val="20"/>
                <w:szCs w:val="20"/>
              </w:rPr>
              <w:t>canberrahealthservices.act.gov.au/accessibility</w:t>
            </w:r>
          </w:hyperlink>
        </w:p>
        <w:p w:rsidR="00DB2B9E" w:rsidRDefault="00DB2B9E">
          <w:pPr>
            <w:pStyle w:val="A478683962604B459DC8E1F84CFDB6F1"/>
          </w:pPr>
          <w:r>
            <w:rPr>
              <w:b/>
              <w:bCs/>
              <w:noProof/>
            </w:rPr>
            <w:drawing>
              <wp:inline distT="0" distB="0" distL="0" distR="0" wp14:anchorId="1E2E1C0D" wp14:editId="1E2E1C0E">
                <wp:extent cx="1323833" cy="309418"/>
                <wp:effectExtent l="0" t="0" r="0" b="0"/>
                <wp:docPr id="177487997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9E"/>
    <w:rsid w:val="00016253"/>
    <w:rsid w:val="00047C88"/>
    <w:rsid w:val="00061B8C"/>
    <w:rsid w:val="000D6D29"/>
    <w:rsid w:val="002661D1"/>
    <w:rsid w:val="002C2481"/>
    <w:rsid w:val="00351C88"/>
    <w:rsid w:val="0041181E"/>
    <w:rsid w:val="004A3058"/>
    <w:rsid w:val="004F552F"/>
    <w:rsid w:val="004F65D7"/>
    <w:rsid w:val="005447BB"/>
    <w:rsid w:val="006825BC"/>
    <w:rsid w:val="00730C06"/>
    <w:rsid w:val="00735005"/>
    <w:rsid w:val="00761266"/>
    <w:rsid w:val="007F4B96"/>
    <w:rsid w:val="00802F67"/>
    <w:rsid w:val="00810248"/>
    <w:rsid w:val="00815DE6"/>
    <w:rsid w:val="008334B7"/>
    <w:rsid w:val="008571F3"/>
    <w:rsid w:val="008678CC"/>
    <w:rsid w:val="00887EBA"/>
    <w:rsid w:val="00892CF8"/>
    <w:rsid w:val="008A1FF9"/>
    <w:rsid w:val="00971006"/>
    <w:rsid w:val="00975EE6"/>
    <w:rsid w:val="009A563F"/>
    <w:rsid w:val="00A924DE"/>
    <w:rsid w:val="00AC7813"/>
    <w:rsid w:val="00AF3BEE"/>
    <w:rsid w:val="00B10B76"/>
    <w:rsid w:val="00B230CF"/>
    <w:rsid w:val="00B75F7C"/>
    <w:rsid w:val="00BE0FAD"/>
    <w:rsid w:val="00D02A34"/>
    <w:rsid w:val="00DA4233"/>
    <w:rsid w:val="00DB2B9E"/>
    <w:rsid w:val="00DC1B28"/>
    <w:rsid w:val="00E2104B"/>
    <w:rsid w:val="00E95947"/>
    <w:rsid w:val="00F35656"/>
    <w:rsid w:val="00FA64F4"/>
    <w:rsid w:val="00FE4CE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37B455214F41BA8B7A6E00205BA0F2">
    <w:name w:val="0737B455214F41BA8B7A6E00205BA0F2"/>
  </w:style>
  <w:style w:type="character" w:styleId="PlaceholderText">
    <w:name w:val="Placeholder Text"/>
    <w:basedOn w:val="DefaultParagraphFont"/>
    <w:uiPriority w:val="99"/>
    <w:semiHidden/>
    <w:rPr>
      <w:color w:val="808080"/>
    </w:rPr>
  </w:style>
  <w:style w:type="paragraph" w:customStyle="1" w:styleId="3E4FF9F90FDA485FB46E757D1FF1A91E">
    <w:name w:val="3E4FF9F90FDA485FB46E757D1FF1A91E"/>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A478683962604B459DC8E1F84CFDB6F1">
    <w:name w:val="A478683962604B459DC8E1F84CFDB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2025-11-25T13:00:00+00:00</Approval_x0020_Date>
    <Review_x0020_Date xmlns="690b2128-8961-48af-a473-22c34a9accba">2029-11-30T13:00:00+00:00</Review_x0020_Date>
    <TaxCatchAll xmlns="c0239a80-7f07-4ed7-82c3-24ad7d76ada5">
      <Value>432</Value>
      <Value>417</Value>
      <Value>416</Value>
      <Value>415</Value>
    </TaxCatchAll>
    <Version_x0020_Number xmlns="690b2128-8961-48af-a473-22c34a9accba">1</Version_x0020_Number>
    <Notes0 xmlns="690b2128-8961-48af-a473-22c34a9accba" xsi:nil="true"/>
    <Key_x0020_Words xmlns="690b2128-8961-48af-a473-22c34a9accba">Bariatric woman, Obese woman, Overweight woman, Obesity in pregnancy, Obesity in labour, Obesity and birthing, north, BMI, body mass index. </Key_x0020_Words>
    <Type_x0020_of_x0020_Document xmlns="690b2128-8961-48af-a473-22c34a9accba">Guideline</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 21/620 Obesity – Pregnancy, Labour, Birth and Postnatal Care</Replaces_x003a_>
    <ISD_x0020_Submitted xmlns="690b2128-8961-48af-a473-22c34a9accba">Not Required</ISD_x0020_Submitted>
    <Risk_x0020_Rating xmlns="690b2128-8961-48af-a473-22c34a9accba">Medium</Risk_x0020_Rating>
    <Description0 xmlns="690b2128-8961-48af-a473-22c34a9accba">The purpose of this guideline is to outline management strategies that minimise the clinical risk for women/birthing persons with obesity, and their fetus, during pregnancy, labour, birth and the postnatal period</Description0>
    <Display_x0020_on_x0020_Internet xmlns="690b2128-8961-48af-a473-22c34a9accba">true</Display_x0020_on_x0020_Internet>
    <Related_x0020_Documents xmlns="690b2128-8961-48af-a473-22c34a9accba" xsi:nil="true"/>
    <Decision_x0020_Number xmlns="690b2128-8961-48af-a473-22c34a9accba">CHS25/446</Decision_x0020_Number>
    <RelatedPolicies_x002c_ProceduresGuidelines xmlns="690b2128-8961-48af-a473-22c34a9accba">
      <Value>17800</Value>
      <Value>15920</Value>
      <Value>17601</Value>
      <Value>17017</Value>
      <Value>18119</Value>
      <Value>17628</Value>
      <Value>17255</Value>
      <Value>15171</Value>
      <Value>17827</Value>
      <Value>17842</Value>
      <Value>17674</Value>
      <Value>17056</Value>
      <Value>16083</Value>
      <Value>17384</Value>
      <Value>17581</Value>
      <Value>17555</Value>
      <Value>17246</Value>
      <Value>16709</Value>
      <Value>16587</Value>
      <Value>16576</Value>
      <Value>14591</Value>
      <Value>17811</Value>
      <Value>17810</Value>
      <Value>16612</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New_x0020_Owner xmlns="690b2128-8961-48af-a473-22c34a9accba">Women, Youth and Children (WY&amp;C) - Women's and Babies</New_x0020_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8f8c5908837496f01c66d057b0d7d235">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3ee8a0373fc63ef14a112032b8839ca5"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2.xml><?xml version="1.0" encoding="utf-8"?>
<ds:datastoreItem xmlns:ds="http://schemas.openxmlformats.org/officeDocument/2006/customXml" ds:itemID="{4214D3E5-40C1-4F22-A3ED-03F07FA68984}">
  <ds:schemaRefs>
    <ds:schemaRef ds:uri="http://purl.org/dc/elements/1.1/"/>
    <ds:schemaRef ds:uri="c0239a80-7f07-4ed7-82c3-24ad7d76ada5"/>
    <ds:schemaRef ds:uri="http://schemas.microsoft.com/office/2006/documentManagement/types"/>
    <ds:schemaRef ds:uri="http://purl.org/dc/terms/"/>
    <ds:schemaRef ds:uri="http://www.w3.org/XML/1998/namespace"/>
    <ds:schemaRef ds:uri="690b2128-8961-48af-a473-22c34a9accba"/>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E4489B7-0072-4E77-956E-FD5CF452CAA7}">
  <ds:schemaRefs>
    <ds:schemaRef ds:uri="http://schemas.microsoft.com/sharepoint/v3/contenttype/forms"/>
  </ds:schemaRefs>
</ds:datastoreItem>
</file>

<file path=customXml/itemProps4.xml><?xml version="1.0" encoding="utf-8"?>
<ds:datastoreItem xmlns:ds="http://schemas.openxmlformats.org/officeDocument/2006/customXml" ds:itemID="{3207F6F8-DB29-4EDF-A2B6-BC90EB9E91F2}"/>
</file>

<file path=docProps/app.xml><?xml version="1.0" encoding="utf-8"?>
<Properties xmlns="http://schemas.openxmlformats.org/officeDocument/2006/extended-properties" xmlns:vt="http://schemas.openxmlformats.org/officeDocument/2006/docPropsVTypes">
  <Template>Normal</Template>
  <TotalTime>85</TotalTime>
  <Pages>22</Pages>
  <Words>6813</Words>
  <Characters>38839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Obesity - Pregnancy, Labour, Birth and Postnatal Care </dc:title>
  <dc:subject/>
  <dc:creator>Green, Cate</dc:creator>
  <cp:keywords/>
  <cp:lastModifiedBy>Rusanov, Zoia</cp:lastModifiedBy>
  <cp:revision>11</cp:revision>
  <dcterms:created xsi:type="dcterms:W3CDTF">2025-12-23T03:49:00Z</dcterms:created>
  <dcterms:modified xsi:type="dcterms:W3CDTF">2026-01-28T05:51:00Z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Removed">
    <vt:lpwstr>False</vt:lpwstr>
  </property>
  <property fmtid="{D5CDD505-2E9C-101B-9397-08002B2CF9AE}" pid="3" name="MSIP_Label_690d47f2-2d0a-4515-b8de-e13c18f23c62_ActionId">
    <vt:lpwstr>0078a74a-1158-4ba7-b432-9c548edf6e06</vt:lpwstr>
  </property>
  <property fmtid="{D5CDD505-2E9C-101B-9397-08002B2CF9AE}" pid="4" name="MSIP_Label_690d47f2-2d0a-4515-b8de-e13c18f23c62_Name">
    <vt:lpwstr>OFFICIAL</vt:lpwstr>
  </property>
  <property fmtid="{D5CDD505-2E9C-101B-9397-08002B2CF9AE}" pid="5" name="MSIP_Label_690d47f2-2d0a-4515-b8de-e13c18f23c62_SetDate">
    <vt:lpwstr>2025-12-24T02:43:12Z</vt:lpwstr>
  </property>
  <property fmtid="{D5CDD505-2E9C-101B-9397-08002B2CF9AE}" pid="6" name="MSIP_Label_690d47f2-2d0a-4515-b8de-e13c18f23c62_SiteId">
    <vt:lpwstr>b46c1908-0334-4236-b978-585ee88e4199</vt:lpwstr>
  </property>
  <property fmtid="{D5CDD505-2E9C-101B-9397-08002B2CF9AE}" pid="7" name="MSIP_Label_690d47f2-2d0a-4515-b8de-e13c18f23c62_Enabled">
    <vt:lpwstr>True</vt:lpwstr>
  </property>
  <property fmtid="{D5CDD505-2E9C-101B-9397-08002B2CF9AE}" pid="8" name="ContentTypeId">
    <vt:lpwstr>0x0101002046B23B19A8774893278BE755DCE152</vt:lpwstr>
  </property>
  <property fmtid="{D5CDD505-2E9C-101B-9397-08002B2CF9AE}" pid="9"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0"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11" name="MSIP_Label_690d47f2-2d0a-4515-b8de-e13c18f23c62_Extended_MSFT_Method">
    <vt:lpwstr>Privileged</vt:lpwstr>
  </property>
  <property fmtid="{D5CDD505-2E9C-101B-9397-08002B2CF9AE}" pid="12" name="Sensitivity">
    <vt:lpwstr>OFFICIAL</vt:lpwstr>
  </property>
</Properties>
</file>