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829D0" w14:textId="106EB24D" w:rsidR="009A534C" w:rsidRPr="00DA3910" w:rsidRDefault="009A534C" w:rsidP="009A534C">
      <w:pPr>
        <w:rPr>
          <w:rFonts w:cs="Arial"/>
          <w:b/>
          <w:sz w:val="40"/>
          <w:szCs w:val="40"/>
        </w:rPr>
      </w:pPr>
      <w:bookmarkStart w:id="0" w:name="_Hlk106985257"/>
      <w:bookmarkEnd w:id="0"/>
      <w:r w:rsidRPr="00DA3910">
        <w:rPr>
          <w:rFonts w:cs="Arial"/>
          <w:b/>
          <w:sz w:val="40"/>
          <w:szCs w:val="40"/>
        </w:rPr>
        <w:t>Canberra Health Services</w:t>
      </w:r>
    </w:p>
    <w:p w14:paraId="086829D1" w14:textId="03FBB043" w:rsidR="009A534C" w:rsidRPr="00DA3910" w:rsidRDefault="009A534C" w:rsidP="009A534C">
      <w:pPr>
        <w:rPr>
          <w:rFonts w:cs="Arial"/>
          <w:b/>
          <w:sz w:val="40"/>
          <w:szCs w:val="40"/>
        </w:rPr>
      </w:pPr>
      <w:r>
        <w:rPr>
          <w:rFonts w:cs="Arial"/>
          <w:b/>
          <w:sz w:val="40"/>
          <w:szCs w:val="40"/>
        </w:rPr>
        <w:t>Guideline</w:t>
      </w:r>
    </w:p>
    <w:p w14:paraId="086829D2" w14:textId="112C24C6" w:rsidR="009A534C" w:rsidRPr="004259A9" w:rsidRDefault="004259A9" w:rsidP="009A534C">
      <w:pPr>
        <w:rPr>
          <w:rFonts w:cs="Arial"/>
          <w:b/>
          <w:iCs/>
          <w:sz w:val="36"/>
          <w:szCs w:val="36"/>
        </w:rPr>
      </w:pPr>
      <w:r w:rsidRPr="004259A9">
        <w:rPr>
          <w:rFonts w:cs="Arial"/>
          <w:b/>
          <w:iCs/>
          <w:sz w:val="36"/>
          <w:szCs w:val="36"/>
        </w:rPr>
        <w:t>Management of Anaphylaxis in Adults and Children</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9D4" w14:textId="77777777" w:rsidTr="008E74FD">
        <w:trPr>
          <w:cantSplit/>
          <w:trHeight w:val="285"/>
        </w:trPr>
        <w:tc>
          <w:tcPr>
            <w:tcW w:w="9158" w:type="dxa"/>
            <w:shd w:val="clear" w:color="auto" w:fill="D9D9D9" w:themeFill="background1" w:themeFillShade="D9"/>
          </w:tcPr>
          <w:p w14:paraId="086829D3" w14:textId="77777777" w:rsidR="009A534C" w:rsidRPr="00CD1C0E" w:rsidRDefault="009A534C" w:rsidP="00B10F87">
            <w:pPr>
              <w:pStyle w:val="Heading1"/>
            </w:pPr>
            <w:bookmarkStart w:id="1" w:name="_Toc389473273"/>
            <w:bookmarkStart w:id="2" w:name="_Toc393203330"/>
            <w:bookmarkStart w:id="3" w:name="Contents"/>
            <w:bookmarkStart w:id="4" w:name="_Toc151027301"/>
            <w:r w:rsidRPr="00CD1C0E">
              <w:t>Contents</w:t>
            </w:r>
            <w:bookmarkEnd w:id="1"/>
            <w:bookmarkEnd w:id="2"/>
            <w:bookmarkEnd w:id="3"/>
            <w:bookmarkEnd w:id="4"/>
          </w:p>
        </w:tc>
      </w:tr>
    </w:tbl>
    <w:p w14:paraId="086829D5" w14:textId="77777777" w:rsidR="009A534C" w:rsidRDefault="009A534C" w:rsidP="00C13D33"/>
    <w:p w14:paraId="1E079E6E" w14:textId="23DE09A6" w:rsidR="00AA10BF" w:rsidRDefault="00A063FE">
      <w:pPr>
        <w:pStyle w:val="TOC1"/>
        <w:tabs>
          <w:tab w:val="right" w:leader="dot" w:pos="9060"/>
        </w:tabs>
        <w:rPr>
          <w:rFonts w:eastAsiaTheme="minorEastAsia" w:cstheme="minorBidi"/>
          <w:noProof/>
          <w:kern w:val="2"/>
          <w:sz w:val="22"/>
          <w:szCs w:val="22"/>
          <w:lang w:eastAsia="en-AU"/>
          <w14:ligatures w14:val="standardContextual"/>
        </w:rPr>
      </w:pPr>
      <w:r>
        <w:rPr>
          <w:rFonts w:cs="Arial"/>
          <w:b/>
          <w:sz w:val="36"/>
          <w:szCs w:val="36"/>
        </w:rPr>
        <w:fldChar w:fldCharType="begin"/>
      </w:r>
      <w:r w:rsidR="005743AC">
        <w:rPr>
          <w:rFonts w:cs="Arial"/>
          <w:b/>
          <w:sz w:val="36"/>
          <w:szCs w:val="36"/>
        </w:rPr>
        <w:instrText xml:space="preserve"> TOC \h \z \t "Heading 1,1" </w:instrText>
      </w:r>
      <w:r>
        <w:rPr>
          <w:rFonts w:cs="Arial"/>
          <w:b/>
          <w:sz w:val="36"/>
          <w:szCs w:val="36"/>
        </w:rPr>
        <w:fldChar w:fldCharType="separate"/>
      </w:r>
      <w:hyperlink w:anchor="_Toc151027301" w:history="1">
        <w:r w:rsidR="00AA10BF" w:rsidRPr="000736D5">
          <w:rPr>
            <w:rStyle w:val="Hyperlink"/>
            <w:noProof/>
          </w:rPr>
          <w:t>Contents</w:t>
        </w:r>
        <w:r w:rsidR="00AA10BF">
          <w:rPr>
            <w:noProof/>
            <w:webHidden/>
          </w:rPr>
          <w:tab/>
        </w:r>
        <w:r w:rsidR="00AA10BF">
          <w:rPr>
            <w:noProof/>
            <w:webHidden/>
          </w:rPr>
          <w:fldChar w:fldCharType="begin"/>
        </w:r>
        <w:r w:rsidR="00AA10BF">
          <w:rPr>
            <w:noProof/>
            <w:webHidden/>
          </w:rPr>
          <w:instrText xml:space="preserve"> PAGEREF _Toc151027301 \h </w:instrText>
        </w:r>
        <w:r w:rsidR="00AA10BF">
          <w:rPr>
            <w:noProof/>
            <w:webHidden/>
          </w:rPr>
        </w:r>
        <w:r w:rsidR="00AA10BF">
          <w:rPr>
            <w:noProof/>
            <w:webHidden/>
          </w:rPr>
          <w:fldChar w:fldCharType="separate"/>
        </w:r>
        <w:r w:rsidR="00AA10BF">
          <w:rPr>
            <w:noProof/>
            <w:webHidden/>
          </w:rPr>
          <w:t>1</w:t>
        </w:r>
        <w:r w:rsidR="00AA10BF">
          <w:rPr>
            <w:noProof/>
            <w:webHidden/>
          </w:rPr>
          <w:fldChar w:fldCharType="end"/>
        </w:r>
      </w:hyperlink>
    </w:p>
    <w:p w14:paraId="2555B343" w14:textId="03E49164"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02" w:history="1">
        <w:r w:rsidR="00AA10BF" w:rsidRPr="000736D5">
          <w:rPr>
            <w:rStyle w:val="Hyperlink"/>
            <w:noProof/>
          </w:rPr>
          <w:t>Guideline Statement</w:t>
        </w:r>
        <w:r w:rsidR="00AA10BF">
          <w:rPr>
            <w:noProof/>
            <w:webHidden/>
          </w:rPr>
          <w:tab/>
        </w:r>
        <w:r w:rsidR="00AA10BF">
          <w:rPr>
            <w:noProof/>
            <w:webHidden/>
          </w:rPr>
          <w:fldChar w:fldCharType="begin"/>
        </w:r>
        <w:r w:rsidR="00AA10BF">
          <w:rPr>
            <w:noProof/>
            <w:webHidden/>
          </w:rPr>
          <w:instrText xml:space="preserve"> PAGEREF _Toc151027302 \h </w:instrText>
        </w:r>
        <w:r w:rsidR="00AA10BF">
          <w:rPr>
            <w:noProof/>
            <w:webHidden/>
          </w:rPr>
        </w:r>
        <w:r w:rsidR="00AA10BF">
          <w:rPr>
            <w:noProof/>
            <w:webHidden/>
          </w:rPr>
          <w:fldChar w:fldCharType="separate"/>
        </w:r>
        <w:r w:rsidR="00AA10BF">
          <w:rPr>
            <w:noProof/>
            <w:webHidden/>
          </w:rPr>
          <w:t>2</w:t>
        </w:r>
        <w:r w:rsidR="00AA10BF">
          <w:rPr>
            <w:noProof/>
            <w:webHidden/>
          </w:rPr>
          <w:fldChar w:fldCharType="end"/>
        </w:r>
      </w:hyperlink>
    </w:p>
    <w:p w14:paraId="63CAC7E3" w14:textId="5C06D0FC"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03" w:history="1">
        <w:r w:rsidR="00AA10BF" w:rsidRPr="000736D5">
          <w:rPr>
            <w:rStyle w:val="Hyperlink"/>
            <w:noProof/>
          </w:rPr>
          <w:t>Scope</w:t>
        </w:r>
        <w:r w:rsidR="00AA10BF">
          <w:rPr>
            <w:noProof/>
            <w:webHidden/>
          </w:rPr>
          <w:tab/>
        </w:r>
        <w:r w:rsidR="00AA10BF">
          <w:rPr>
            <w:noProof/>
            <w:webHidden/>
          </w:rPr>
          <w:fldChar w:fldCharType="begin"/>
        </w:r>
        <w:r w:rsidR="00AA10BF">
          <w:rPr>
            <w:noProof/>
            <w:webHidden/>
          </w:rPr>
          <w:instrText xml:space="preserve"> PAGEREF _Toc151027303 \h </w:instrText>
        </w:r>
        <w:r w:rsidR="00AA10BF">
          <w:rPr>
            <w:noProof/>
            <w:webHidden/>
          </w:rPr>
        </w:r>
        <w:r w:rsidR="00AA10BF">
          <w:rPr>
            <w:noProof/>
            <w:webHidden/>
          </w:rPr>
          <w:fldChar w:fldCharType="separate"/>
        </w:r>
        <w:r w:rsidR="00AA10BF">
          <w:rPr>
            <w:noProof/>
            <w:webHidden/>
          </w:rPr>
          <w:t>2</w:t>
        </w:r>
        <w:r w:rsidR="00AA10BF">
          <w:rPr>
            <w:noProof/>
            <w:webHidden/>
          </w:rPr>
          <w:fldChar w:fldCharType="end"/>
        </w:r>
      </w:hyperlink>
    </w:p>
    <w:p w14:paraId="7563324B" w14:textId="1627FAE3"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04" w:history="1">
        <w:r w:rsidR="00AA10BF" w:rsidRPr="000736D5">
          <w:rPr>
            <w:rStyle w:val="Hyperlink"/>
            <w:noProof/>
          </w:rPr>
          <w:t>Section 1 – Reducing the Risk of Anaphylaxis</w:t>
        </w:r>
        <w:r w:rsidR="00AA10BF">
          <w:rPr>
            <w:noProof/>
            <w:webHidden/>
          </w:rPr>
          <w:tab/>
        </w:r>
        <w:r w:rsidR="00AA10BF">
          <w:rPr>
            <w:noProof/>
            <w:webHidden/>
          </w:rPr>
          <w:fldChar w:fldCharType="begin"/>
        </w:r>
        <w:r w:rsidR="00AA10BF">
          <w:rPr>
            <w:noProof/>
            <w:webHidden/>
          </w:rPr>
          <w:instrText xml:space="preserve"> PAGEREF _Toc151027304 \h </w:instrText>
        </w:r>
        <w:r w:rsidR="00AA10BF">
          <w:rPr>
            <w:noProof/>
            <w:webHidden/>
          </w:rPr>
        </w:r>
        <w:r w:rsidR="00AA10BF">
          <w:rPr>
            <w:noProof/>
            <w:webHidden/>
          </w:rPr>
          <w:fldChar w:fldCharType="separate"/>
        </w:r>
        <w:r w:rsidR="00AA10BF">
          <w:rPr>
            <w:noProof/>
            <w:webHidden/>
          </w:rPr>
          <w:t>3</w:t>
        </w:r>
        <w:r w:rsidR="00AA10BF">
          <w:rPr>
            <w:noProof/>
            <w:webHidden/>
          </w:rPr>
          <w:fldChar w:fldCharType="end"/>
        </w:r>
      </w:hyperlink>
    </w:p>
    <w:p w14:paraId="798D577C" w14:textId="571DAC29"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05" w:history="1">
        <w:r w:rsidR="00AA10BF" w:rsidRPr="000736D5">
          <w:rPr>
            <w:rStyle w:val="Hyperlink"/>
            <w:noProof/>
          </w:rPr>
          <w:t>Section 2 – Symptoms and Signs of Acute Allergic reaction</w:t>
        </w:r>
        <w:r w:rsidR="00AA10BF">
          <w:rPr>
            <w:noProof/>
            <w:webHidden/>
          </w:rPr>
          <w:tab/>
        </w:r>
        <w:r w:rsidR="00AA10BF">
          <w:rPr>
            <w:noProof/>
            <w:webHidden/>
          </w:rPr>
          <w:fldChar w:fldCharType="begin"/>
        </w:r>
        <w:r w:rsidR="00AA10BF">
          <w:rPr>
            <w:noProof/>
            <w:webHidden/>
          </w:rPr>
          <w:instrText xml:space="preserve"> PAGEREF _Toc151027305 \h </w:instrText>
        </w:r>
        <w:r w:rsidR="00AA10BF">
          <w:rPr>
            <w:noProof/>
            <w:webHidden/>
          </w:rPr>
        </w:r>
        <w:r w:rsidR="00AA10BF">
          <w:rPr>
            <w:noProof/>
            <w:webHidden/>
          </w:rPr>
          <w:fldChar w:fldCharType="separate"/>
        </w:r>
        <w:r w:rsidR="00AA10BF">
          <w:rPr>
            <w:noProof/>
            <w:webHidden/>
          </w:rPr>
          <w:t>3</w:t>
        </w:r>
        <w:r w:rsidR="00AA10BF">
          <w:rPr>
            <w:noProof/>
            <w:webHidden/>
          </w:rPr>
          <w:fldChar w:fldCharType="end"/>
        </w:r>
      </w:hyperlink>
    </w:p>
    <w:p w14:paraId="3E623425" w14:textId="42E80DC0"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06" w:history="1">
        <w:r w:rsidR="00AA10BF" w:rsidRPr="000736D5">
          <w:rPr>
            <w:rStyle w:val="Hyperlink"/>
            <w:noProof/>
          </w:rPr>
          <w:t>Section 3 – Access to Personal Adrenaline Injector</w:t>
        </w:r>
        <w:r w:rsidR="00AA10BF">
          <w:rPr>
            <w:noProof/>
            <w:webHidden/>
          </w:rPr>
          <w:tab/>
        </w:r>
        <w:r w:rsidR="00AA10BF">
          <w:rPr>
            <w:noProof/>
            <w:webHidden/>
          </w:rPr>
          <w:fldChar w:fldCharType="begin"/>
        </w:r>
        <w:r w:rsidR="00AA10BF">
          <w:rPr>
            <w:noProof/>
            <w:webHidden/>
          </w:rPr>
          <w:instrText xml:space="preserve"> PAGEREF _Toc151027306 \h </w:instrText>
        </w:r>
        <w:r w:rsidR="00AA10BF">
          <w:rPr>
            <w:noProof/>
            <w:webHidden/>
          </w:rPr>
        </w:r>
        <w:r w:rsidR="00AA10BF">
          <w:rPr>
            <w:noProof/>
            <w:webHidden/>
          </w:rPr>
          <w:fldChar w:fldCharType="separate"/>
        </w:r>
        <w:r w:rsidR="00AA10BF">
          <w:rPr>
            <w:noProof/>
            <w:webHidden/>
          </w:rPr>
          <w:t>4</w:t>
        </w:r>
        <w:r w:rsidR="00AA10BF">
          <w:rPr>
            <w:noProof/>
            <w:webHidden/>
          </w:rPr>
          <w:fldChar w:fldCharType="end"/>
        </w:r>
      </w:hyperlink>
    </w:p>
    <w:p w14:paraId="58775245" w14:textId="4C6E2DB6"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07" w:history="1">
        <w:r w:rsidR="00AA10BF" w:rsidRPr="000736D5">
          <w:rPr>
            <w:rStyle w:val="Hyperlink"/>
            <w:noProof/>
          </w:rPr>
          <w:t>Section 4 – Emergency Management of Allergy and Anaphylaxis</w:t>
        </w:r>
        <w:r w:rsidR="00AA10BF">
          <w:rPr>
            <w:noProof/>
            <w:webHidden/>
          </w:rPr>
          <w:tab/>
        </w:r>
        <w:r w:rsidR="00AA10BF">
          <w:rPr>
            <w:noProof/>
            <w:webHidden/>
          </w:rPr>
          <w:fldChar w:fldCharType="begin"/>
        </w:r>
        <w:r w:rsidR="00AA10BF">
          <w:rPr>
            <w:noProof/>
            <w:webHidden/>
          </w:rPr>
          <w:instrText xml:space="preserve"> PAGEREF _Toc151027307 \h </w:instrText>
        </w:r>
        <w:r w:rsidR="00AA10BF">
          <w:rPr>
            <w:noProof/>
            <w:webHidden/>
          </w:rPr>
        </w:r>
        <w:r w:rsidR="00AA10BF">
          <w:rPr>
            <w:noProof/>
            <w:webHidden/>
          </w:rPr>
          <w:fldChar w:fldCharType="separate"/>
        </w:r>
        <w:r w:rsidR="00AA10BF">
          <w:rPr>
            <w:noProof/>
            <w:webHidden/>
          </w:rPr>
          <w:t>5</w:t>
        </w:r>
        <w:r w:rsidR="00AA10BF">
          <w:rPr>
            <w:noProof/>
            <w:webHidden/>
          </w:rPr>
          <w:fldChar w:fldCharType="end"/>
        </w:r>
      </w:hyperlink>
    </w:p>
    <w:p w14:paraId="749C114E" w14:textId="3BF7059B"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08" w:history="1">
        <w:r w:rsidR="00AA10BF" w:rsidRPr="000736D5">
          <w:rPr>
            <w:rStyle w:val="Hyperlink"/>
            <w:noProof/>
          </w:rPr>
          <w:t>Section 5 – Different Diagnosis</w:t>
        </w:r>
        <w:r w:rsidR="00AA10BF">
          <w:rPr>
            <w:noProof/>
            <w:webHidden/>
          </w:rPr>
          <w:tab/>
        </w:r>
        <w:r w:rsidR="00AA10BF">
          <w:rPr>
            <w:noProof/>
            <w:webHidden/>
          </w:rPr>
          <w:fldChar w:fldCharType="begin"/>
        </w:r>
        <w:r w:rsidR="00AA10BF">
          <w:rPr>
            <w:noProof/>
            <w:webHidden/>
          </w:rPr>
          <w:instrText xml:space="preserve"> PAGEREF _Toc151027308 \h </w:instrText>
        </w:r>
        <w:r w:rsidR="00AA10BF">
          <w:rPr>
            <w:noProof/>
            <w:webHidden/>
          </w:rPr>
        </w:r>
        <w:r w:rsidR="00AA10BF">
          <w:rPr>
            <w:noProof/>
            <w:webHidden/>
          </w:rPr>
          <w:fldChar w:fldCharType="separate"/>
        </w:r>
        <w:r w:rsidR="00AA10BF">
          <w:rPr>
            <w:noProof/>
            <w:webHidden/>
          </w:rPr>
          <w:t>7</w:t>
        </w:r>
        <w:r w:rsidR="00AA10BF">
          <w:rPr>
            <w:noProof/>
            <w:webHidden/>
          </w:rPr>
          <w:fldChar w:fldCharType="end"/>
        </w:r>
      </w:hyperlink>
    </w:p>
    <w:p w14:paraId="2250E149" w14:textId="4D81F574"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09" w:history="1">
        <w:r w:rsidR="00AA10BF" w:rsidRPr="000736D5">
          <w:rPr>
            <w:rStyle w:val="Hyperlink"/>
            <w:noProof/>
          </w:rPr>
          <w:t>Section 6 – Hospital in the Home (HITH)</w:t>
        </w:r>
        <w:r w:rsidR="00AA10BF">
          <w:rPr>
            <w:noProof/>
            <w:webHidden/>
          </w:rPr>
          <w:tab/>
        </w:r>
        <w:r w:rsidR="00AA10BF">
          <w:rPr>
            <w:noProof/>
            <w:webHidden/>
          </w:rPr>
          <w:fldChar w:fldCharType="begin"/>
        </w:r>
        <w:r w:rsidR="00AA10BF">
          <w:rPr>
            <w:noProof/>
            <w:webHidden/>
          </w:rPr>
          <w:instrText xml:space="preserve"> PAGEREF _Toc151027309 \h </w:instrText>
        </w:r>
        <w:r w:rsidR="00AA10BF">
          <w:rPr>
            <w:noProof/>
            <w:webHidden/>
          </w:rPr>
        </w:r>
        <w:r w:rsidR="00AA10BF">
          <w:rPr>
            <w:noProof/>
            <w:webHidden/>
          </w:rPr>
          <w:fldChar w:fldCharType="separate"/>
        </w:r>
        <w:r w:rsidR="00AA10BF">
          <w:rPr>
            <w:noProof/>
            <w:webHidden/>
          </w:rPr>
          <w:t>8</w:t>
        </w:r>
        <w:r w:rsidR="00AA10BF">
          <w:rPr>
            <w:noProof/>
            <w:webHidden/>
          </w:rPr>
          <w:fldChar w:fldCharType="end"/>
        </w:r>
      </w:hyperlink>
    </w:p>
    <w:p w14:paraId="13DF826B" w14:textId="3152C88C"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10" w:history="1">
        <w:r w:rsidR="00AA10BF" w:rsidRPr="000736D5">
          <w:rPr>
            <w:rStyle w:val="Hyperlink"/>
            <w:noProof/>
          </w:rPr>
          <w:t>Section 7 – Community Care Program (Community Nurses)</w:t>
        </w:r>
        <w:r w:rsidR="00AA10BF">
          <w:rPr>
            <w:noProof/>
            <w:webHidden/>
          </w:rPr>
          <w:tab/>
        </w:r>
        <w:r w:rsidR="00AA10BF">
          <w:rPr>
            <w:noProof/>
            <w:webHidden/>
          </w:rPr>
          <w:fldChar w:fldCharType="begin"/>
        </w:r>
        <w:r w:rsidR="00AA10BF">
          <w:rPr>
            <w:noProof/>
            <w:webHidden/>
          </w:rPr>
          <w:instrText xml:space="preserve"> PAGEREF _Toc151027310 \h </w:instrText>
        </w:r>
        <w:r w:rsidR="00AA10BF">
          <w:rPr>
            <w:noProof/>
            <w:webHidden/>
          </w:rPr>
        </w:r>
        <w:r w:rsidR="00AA10BF">
          <w:rPr>
            <w:noProof/>
            <w:webHidden/>
          </w:rPr>
          <w:fldChar w:fldCharType="separate"/>
        </w:r>
        <w:r w:rsidR="00AA10BF">
          <w:rPr>
            <w:noProof/>
            <w:webHidden/>
          </w:rPr>
          <w:t>9</w:t>
        </w:r>
        <w:r w:rsidR="00AA10BF">
          <w:rPr>
            <w:noProof/>
            <w:webHidden/>
          </w:rPr>
          <w:fldChar w:fldCharType="end"/>
        </w:r>
      </w:hyperlink>
    </w:p>
    <w:p w14:paraId="009AEEA2" w14:textId="09ABF158"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11" w:history="1">
        <w:r w:rsidR="00AA10BF" w:rsidRPr="000736D5">
          <w:rPr>
            <w:rStyle w:val="Hyperlink"/>
            <w:noProof/>
          </w:rPr>
          <w:t>Section 8 – Weston Creek Medical Imaging service</w:t>
        </w:r>
        <w:r w:rsidR="00AA10BF">
          <w:rPr>
            <w:noProof/>
            <w:webHidden/>
          </w:rPr>
          <w:tab/>
        </w:r>
        <w:r w:rsidR="00AA10BF">
          <w:rPr>
            <w:noProof/>
            <w:webHidden/>
          </w:rPr>
          <w:fldChar w:fldCharType="begin"/>
        </w:r>
        <w:r w:rsidR="00AA10BF">
          <w:rPr>
            <w:noProof/>
            <w:webHidden/>
          </w:rPr>
          <w:instrText xml:space="preserve"> PAGEREF _Toc151027311 \h </w:instrText>
        </w:r>
        <w:r w:rsidR="00AA10BF">
          <w:rPr>
            <w:noProof/>
            <w:webHidden/>
          </w:rPr>
        </w:r>
        <w:r w:rsidR="00AA10BF">
          <w:rPr>
            <w:noProof/>
            <w:webHidden/>
          </w:rPr>
          <w:fldChar w:fldCharType="separate"/>
        </w:r>
        <w:r w:rsidR="00AA10BF">
          <w:rPr>
            <w:noProof/>
            <w:webHidden/>
          </w:rPr>
          <w:t>10</w:t>
        </w:r>
        <w:r w:rsidR="00AA10BF">
          <w:rPr>
            <w:noProof/>
            <w:webHidden/>
          </w:rPr>
          <w:fldChar w:fldCharType="end"/>
        </w:r>
      </w:hyperlink>
    </w:p>
    <w:p w14:paraId="52C17353" w14:textId="4D488BF4"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12" w:history="1">
        <w:r w:rsidR="00AA10BF" w:rsidRPr="000736D5">
          <w:rPr>
            <w:rStyle w:val="Hyperlink"/>
            <w:noProof/>
          </w:rPr>
          <w:t>Section 9 – Immunisations</w:t>
        </w:r>
        <w:r w:rsidR="00AA10BF">
          <w:rPr>
            <w:noProof/>
            <w:webHidden/>
          </w:rPr>
          <w:tab/>
        </w:r>
        <w:r w:rsidR="00AA10BF">
          <w:rPr>
            <w:noProof/>
            <w:webHidden/>
          </w:rPr>
          <w:fldChar w:fldCharType="begin"/>
        </w:r>
        <w:r w:rsidR="00AA10BF">
          <w:rPr>
            <w:noProof/>
            <w:webHidden/>
          </w:rPr>
          <w:instrText xml:space="preserve"> PAGEREF _Toc151027312 \h </w:instrText>
        </w:r>
        <w:r w:rsidR="00AA10BF">
          <w:rPr>
            <w:noProof/>
            <w:webHidden/>
          </w:rPr>
        </w:r>
        <w:r w:rsidR="00AA10BF">
          <w:rPr>
            <w:noProof/>
            <w:webHidden/>
          </w:rPr>
          <w:fldChar w:fldCharType="separate"/>
        </w:r>
        <w:r w:rsidR="00AA10BF">
          <w:rPr>
            <w:noProof/>
            <w:webHidden/>
          </w:rPr>
          <w:t>11</w:t>
        </w:r>
        <w:r w:rsidR="00AA10BF">
          <w:rPr>
            <w:noProof/>
            <w:webHidden/>
          </w:rPr>
          <w:fldChar w:fldCharType="end"/>
        </w:r>
      </w:hyperlink>
    </w:p>
    <w:p w14:paraId="62721304" w14:textId="634DBA4B"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13" w:history="1">
        <w:r w:rsidR="00AA10BF" w:rsidRPr="000736D5">
          <w:rPr>
            <w:rStyle w:val="Hyperlink"/>
            <w:noProof/>
          </w:rPr>
          <w:t>Section 10 – Justice Health Services – Custodial Health</w:t>
        </w:r>
        <w:r w:rsidR="00AA10BF">
          <w:rPr>
            <w:noProof/>
            <w:webHidden/>
          </w:rPr>
          <w:tab/>
        </w:r>
        <w:r w:rsidR="00AA10BF">
          <w:rPr>
            <w:noProof/>
            <w:webHidden/>
          </w:rPr>
          <w:fldChar w:fldCharType="begin"/>
        </w:r>
        <w:r w:rsidR="00AA10BF">
          <w:rPr>
            <w:noProof/>
            <w:webHidden/>
          </w:rPr>
          <w:instrText xml:space="preserve"> PAGEREF _Toc151027313 \h </w:instrText>
        </w:r>
        <w:r w:rsidR="00AA10BF">
          <w:rPr>
            <w:noProof/>
            <w:webHidden/>
          </w:rPr>
        </w:r>
        <w:r w:rsidR="00AA10BF">
          <w:rPr>
            <w:noProof/>
            <w:webHidden/>
          </w:rPr>
          <w:fldChar w:fldCharType="separate"/>
        </w:r>
        <w:r w:rsidR="00AA10BF">
          <w:rPr>
            <w:noProof/>
            <w:webHidden/>
          </w:rPr>
          <w:t>13</w:t>
        </w:r>
        <w:r w:rsidR="00AA10BF">
          <w:rPr>
            <w:noProof/>
            <w:webHidden/>
          </w:rPr>
          <w:fldChar w:fldCharType="end"/>
        </w:r>
      </w:hyperlink>
    </w:p>
    <w:p w14:paraId="4D5059EB" w14:textId="5E8F5FC2"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14" w:history="1">
        <w:r w:rsidR="00AA10BF" w:rsidRPr="000736D5">
          <w:rPr>
            <w:rStyle w:val="Hyperlink"/>
            <w:noProof/>
          </w:rPr>
          <w:t>Section 11 – Podiatry Services</w:t>
        </w:r>
        <w:r w:rsidR="00AA10BF">
          <w:rPr>
            <w:noProof/>
            <w:webHidden/>
          </w:rPr>
          <w:tab/>
        </w:r>
        <w:r w:rsidR="00AA10BF">
          <w:rPr>
            <w:noProof/>
            <w:webHidden/>
          </w:rPr>
          <w:fldChar w:fldCharType="begin"/>
        </w:r>
        <w:r w:rsidR="00AA10BF">
          <w:rPr>
            <w:noProof/>
            <w:webHidden/>
          </w:rPr>
          <w:instrText xml:space="preserve"> PAGEREF _Toc151027314 \h </w:instrText>
        </w:r>
        <w:r w:rsidR="00AA10BF">
          <w:rPr>
            <w:noProof/>
            <w:webHidden/>
          </w:rPr>
        </w:r>
        <w:r w:rsidR="00AA10BF">
          <w:rPr>
            <w:noProof/>
            <w:webHidden/>
          </w:rPr>
          <w:fldChar w:fldCharType="separate"/>
        </w:r>
        <w:r w:rsidR="00AA10BF">
          <w:rPr>
            <w:noProof/>
            <w:webHidden/>
          </w:rPr>
          <w:t>14</w:t>
        </w:r>
        <w:r w:rsidR="00AA10BF">
          <w:rPr>
            <w:noProof/>
            <w:webHidden/>
          </w:rPr>
          <w:fldChar w:fldCharType="end"/>
        </w:r>
      </w:hyperlink>
    </w:p>
    <w:p w14:paraId="1E966191" w14:textId="2AAAC079"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15" w:history="1">
        <w:r w:rsidR="00AA10BF" w:rsidRPr="000736D5">
          <w:rPr>
            <w:rStyle w:val="Hyperlink"/>
            <w:noProof/>
          </w:rPr>
          <w:t>Evaluation</w:t>
        </w:r>
        <w:r w:rsidR="00AA10BF">
          <w:rPr>
            <w:noProof/>
            <w:webHidden/>
          </w:rPr>
          <w:tab/>
        </w:r>
        <w:r w:rsidR="00AA10BF">
          <w:rPr>
            <w:noProof/>
            <w:webHidden/>
          </w:rPr>
          <w:fldChar w:fldCharType="begin"/>
        </w:r>
        <w:r w:rsidR="00AA10BF">
          <w:rPr>
            <w:noProof/>
            <w:webHidden/>
          </w:rPr>
          <w:instrText xml:space="preserve"> PAGEREF _Toc151027315 \h </w:instrText>
        </w:r>
        <w:r w:rsidR="00AA10BF">
          <w:rPr>
            <w:noProof/>
            <w:webHidden/>
          </w:rPr>
        </w:r>
        <w:r w:rsidR="00AA10BF">
          <w:rPr>
            <w:noProof/>
            <w:webHidden/>
          </w:rPr>
          <w:fldChar w:fldCharType="separate"/>
        </w:r>
        <w:r w:rsidR="00AA10BF">
          <w:rPr>
            <w:noProof/>
            <w:webHidden/>
          </w:rPr>
          <w:t>15</w:t>
        </w:r>
        <w:r w:rsidR="00AA10BF">
          <w:rPr>
            <w:noProof/>
            <w:webHidden/>
          </w:rPr>
          <w:fldChar w:fldCharType="end"/>
        </w:r>
      </w:hyperlink>
    </w:p>
    <w:p w14:paraId="0A29BF50" w14:textId="10F57F12"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16" w:history="1">
        <w:r w:rsidR="00AA10BF" w:rsidRPr="000736D5">
          <w:rPr>
            <w:rStyle w:val="Hyperlink"/>
            <w:noProof/>
          </w:rPr>
          <w:t>Related Policies, Procedures, Guidelines and Legislation</w:t>
        </w:r>
        <w:r w:rsidR="00AA10BF">
          <w:rPr>
            <w:noProof/>
            <w:webHidden/>
          </w:rPr>
          <w:tab/>
        </w:r>
        <w:r w:rsidR="00AA10BF">
          <w:rPr>
            <w:noProof/>
            <w:webHidden/>
          </w:rPr>
          <w:fldChar w:fldCharType="begin"/>
        </w:r>
        <w:r w:rsidR="00AA10BF">
          <w:rPr>
            <w:noProof/>
            <w:webHidden/>
          </w:rPr>
          <w:instrText xml:space="preserve"> PAGEREF _Toc151027316 \h </w:instrText>
        </w:r>
        <w:r w:rsidR="00AA10BF">
          <w:rPr>
            <w:noProof/>
            <w:webHidden/>
          </w:rPr>
        </w:r>
        <w:r w:rsidR="00AA10BF">
          <w:rPr>
            <w:noProof/>
            <w:webHidden/>
          </w:rPr>
          <w:fldChar w:fldCharType="separate"/>
        </w:r>
        <w:r w:rsidR="00AA10BF">
          <w:rPr>
            <w:noProof/>
            <w:webHidden/>
          </w:rPr>
          <w:t>15</w:t>
        </w:r>
        <w:r w:rsidR="00AA10BF">
          <w:rPr>
            <w:noProof/>
            <w:webHidden/>
          </w:rPr>
          <w:fldChar w:fldCharType="end"/>
        </w:r>
      </w:hyperlink>
    </w:p>
    <w:p w14:paraId="7E9D060C" w14:textId="7EAB6E91"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17" w:history="1">
        <w:r w:rsidR="00AA10BF" w:rsidRPr="000736D5">
          <w:rPr>
            <w:rStyle w:val="Hyperlink"/>
            <w:noProof/>
          </w:rPr>
          <w:t>References</w:t>
        </w:r>
        <w:r w:rsidR="00AA10BF">
          <w:rPr>
            <w:noProof/>
            <w:webHidden/>
          </w:rPr>
          <w:tab/>
        </w:r>
        <w:r w:rsidR="00AA10BF">
          <w:rPr>
            <w:noProof/>
            <w:webHidden/>
          </w:rPr>
          <w:fldChar w:fldCharType="begin"/>
        </w:r>
        <w:r w:rsidR="00AA10BF">
          <w:rPr>
            <w:noProof/>
            <w:webHidden/>
          </w:rPr>
          <w:instrText xml:space="preserve"> PAGEREF _Toc151027317 \h </w:instrText>
        </w:r>
        <w:r w:rsidR="00AA10BF">
          <w:rPr>
            <w:noProof/>
            <w:webHidden/>
          </w:rPr>
        </w:r>
        <w:r w:rsidR="00AA10BF">
          <w:rPr>
            <w:noProof/>
            <w:webHidden/>
          </w:rPr>
          <w:fldChar w:fldCharType="separate"/>
        </w:r>
        <w:r w:rsidR="00AA10BF">
          <w:rPr>
            <w:noProof/>
            <w:webHidden/>
          </w:rPr>
          <w:t>16</w:t>
        </w:r>
        <w:r w:rsidR="00AA10BF">
          <w:rPr>
            <w:noProof/>
            <w:webHidden/>
          </w:rPr>
          <w:fldChar w:fldCharType="end"/>
        </w:r>
      </w:hyperlink>
    </w:p>
    <w:p w14:paraId="68FDFE15" w14:textId="111F7D16"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18" w:history="1">
        <w:r w:rsidR="00AA10BF" w:rsidRPr="000736D5">
          <w:rPr>
            <w:rStyle w:val="Hyperlink"/>
            <w:noProof/>
          </w:rPr>
          <w:t>Definition of Terms (if applicable)</w:t>
        </w:r>
        <w:r w:rsidR="00AA10BF">
          <w:rPr>
            <w:noProof/>
            <w:webHidden/>
          </w:rPr>
          <w:tab/>
        </w:r>
        <w:r w:rsidR="00AA10BF">
          <w:rPr>
            <w:noProof/>
            <w:webHidden/>
          </w:rPr>
          <w:fldChar w:fldCharType="begin"/>
        </w:r>
        <w:r w:rsidR="00AA10BF">
          <w:rPr>
            <w:noProof/>
            <w:webHidden/>
          </w:rPr>
          <w:instrText xml:space="preserve"> PAGEREF _Toc151027318 \h </w:instrText>
        </w:r>
        <w:r w:rsidR="00AA10BF">
          <w:rPr>
            <w:noProof/>
            <w:webHidden/>
          </w:rPr>
        </w:r>
        <w:r w:rsidR="00AA10BF">
          <w:rPr>
            <w:noProof/>
            <w:webHidden/>
          </w:rPr>
          <w:fldChar w:fldCharType="separate"/>
        </w:r>
        <w:r w:rsidR="00AA10BF">
          <w:rPr>
            <w:noProof/>
            <w:webHidden/>
          </w:rPr>
          <w:t>17</w:t>
        </w:r>
        <w:r w:rsidR="00AA10BF">
          <w:rPr>
            <w:noProof/>
            <w:webHidden/>
          </w:rPr>
          <w:fldChar w:fldCharType="end"/>
        </w:r>
      </w:hyperlink>
    </w:p>
    <w:p w14:paraId="7309520E" w14:textId="76F50380" w:rsidR="00AA10BF" w:rsidRDefault="00A44F17">
      <w:pPr>
        <w:pStyle w:val="TOC1"/>
        <w:tabs>
          <w:tab w:val="right" w:leader="dot" w:pos="9060"/>
        </w:tabs>
        <w:rPr>
          <w:rFonts w:eastAsiaTheme="minorEastAsia" w:cstheme="minorBidi"/>
          <w:noProof/>
          <w:kern w:val="2"/>
          <w:sz w:val="22"/>
          <w:szCs w:val="22"/>
          <w:lang w:eastAsia="en-AU"/>
          <w14:ligatures w14:val="standardContextual"/>
        </w:rPr>
      </w:pPr>
      <w:hyperlink w:anchor="_Toc151027319" w:history="1">
        <w:r w:rsidR="00AA10BF" w:rsidRPr="000736D5">
          <w:rPr>
            <w:rStyle w:val="Hyperlink"/>
            <w:noProof/>
          </w:rPr>
          <w:t>Search Terms</w:t>
        </w:r>
        <w:r w:rsidR="00AA10BF">
          <w:rPr>
            <w:noProof/>
            <w:webHidden/>
          </w:rPr>
          <w:tab/>
        </w:r>
        <w:r w:rsidR="00AA10BF">
          <w:rPr>
            <w:noProof/>
            <w:webHidden/>
          </w:rPr>
          <w:fldChar w:fldCharType="begin"/>
        </w:r>
        <w:r w:rsidR="00AA10BF">
          <w:rPr>
            <w:noProof/>
            <w:webHidden/>
          </w:rPr>
          <w:instrText xml:space="preserve"> PAGEREF _Toc151027319 \h </w:instrText>
        </w:r>
        <w:r w:rsidR="00AA10BF">
          <w:rPr>
            <w:noProof/>
            <w:webHidden/>
          </w:rPr>
        </w:r>
        <w:r w:rsidR="00AA10BF">
          <w:rPr>
            <w:noProof/>
            <w:webHidden/>
          </w:rPr>
          <w:fldChar w:fldCharType="separate"/>
        </w:r>
        <w:r w:rsidR="00AA10BF">
          <w:rPr>
            <w:noProof/>
            <w:webHidden/>
          </w:rPr>
          <w:t>17</w:t>
        </w:r>
        <w:r w:rsidR="00AA10BF">
          <w:rPr>
            <w:noProof/>
            <w:webHidden/>
          </w:rPr>
          <w:fldChar w:fldCharType="end"/>
        </w:r>
      </w:hyperlink>
    </w:p>
    <w:p w14:paraId="479DC88A" w14:textId="2B0BA17D" w:rsidR="00AA10BF" w:rsidRDefault="00A44F17">
      <w:pPr>
        <w:pStyle w:val="TOC1"/>
        <w:tabs>
          <w:tab w:val="right" w:leader="dot" w:pos="9060"/>
        </w:tabs>
        <w:rPr>
          <w:noProof/>
        </w:rPr>
      </w:pPr>
      <w:hyperlink w:anchor="_Toc151027320" w:history="1">
        <w:r w:rsidR="00AA10BF" w:rsidRPr="000736D5">
          <w:rPr>
            <w:rStyle w:val="Hyperlink"/>
            <w:noProof/>
          </w:rPr>
          <w:t>Attachments</w:t>
        </w:r>
        <w:r w:rsidR="00AA10BF">
          <w:rPr>
            <w:noProof/>
            <w:webHidden/>
          </w:rPr>
          <w:tab/>
        </w:r>
        <w:r w:rsidR="00AA10BF">
          <w:rPr>
            <w:noProof/>
            <w:webHidden/>
          </w:rPr>
          <w:fldChar w:fldCharType="begin"/>
        </w:r>
        <w:r w:rsidR="00AA10BF">
          <w:rPr>
            <w:noProof/>
            <w:webHidden/>
          </w:rPr>
          <w:instrText xml:space="preserve"> PAGEREF _Toc151027320 \h </w:instrText>
        </w:r>
        <w:r w:rsidR="00AA10BF">
          <w:rPr>
            <w:noProof/>
            <w:webHidden/>
          </w:rPr>
        </w:r>
        <w:r w:rsidR="00AA10BF">
          <w:rPr>
            <w:noProof/>
            <w:webHidden/>
          </w:rPr>
          <w:fldChar w:fldCharType="separate"/>
        </w:r>
        <w:r w:rsidR="00AA10BF">
          <w:rPr>
            <w:noProof/>
            <w:webHidden/>
          </w:rPr>
          <w:t>1</w:t>
        </w:r>
        <w:r w:rsidR="00AA10BF">
          <w:rPr>
            <w:noProof/>
            <w:webHidden/>
          </w:rPr>
          <w:fldChar w:fldCharType="end"/>
        </w:r>
      </w:hyperlink>
      <w:r>
        <w:rPr>
          <w:noProof/>
        </w:rPr>
        <w:t>8</w:t>
      </w:r>
    </w:p>
    <w:p w14:paraId="4FBF17F9" w14:textId="77777777" w:rsidR="00FA2BE1" w:rsidRPr="00FA2BE1" w:rsidRDefault="00FA2BE1" w:rsidP="00FA2BE1">
      <w:pPr>
        <w:rPr>
          <w:rFonts w:eastAsiaTheme="minorEastAsia"/>
        </w:rPr>
      </w:pPr>
    </w:p>
    <w:p w14:paraId="086829E2" w14:textId="0B232DE1" w:rsidR="009A534C" w:rsidRDefault="00A063FE" w:rsidP="006743DB">
      <w:r>
        <w:fldChar w:fldCharType="end"/>
      </w:r>
    </w:p>
    <w:p w14:paraId="086829E3" w14:textId="77777777" w:rsidR="009A534C" w:rsidRDefault="009A534C" w:rsidP="006743DB">
      <w: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9E5" w14:textId="77777777" w:rsidTr="008E74FD">
        <w:trPr>
          <w:cantSplit/>
          <w:trHeight w:val="285"/>
        </w:trPr>
        <w:tc>
          <w:tcPr>
            <w:tcW w:w="9158" w:type="dxa"/>
            <w:shd w:val="clear" w:color="auto" w:fill="D9D9D9" w:themeFill="background1" w:themeFillShade="D9"/>
          </w:tcPr>
          <w:p w14:paraId="086829E4" w14:textId="77777777" w:rsidR="009A534C" w:rsidRPr="002E3BFE" w:rsidRDefault="00010E74" w:rsidP="00B10F87">
            <w:pPr>
              <w:pStyle w:val="Heading1"/>
            </w:pPr>
            <w:bookmarkStart w:id="5" w:name="_Toc151027302"/>
            <w:r>
              <w:lastRenderedPageBreak/>
              <w:t>Guideline Statement</w:t>
            </w:r>
            <w:bookmarkEnd w:id="5"/>
          </w:p>
        </w:tc>
      </w:tr>
    </w:tbl>
    <w:p w14:paraId="0F3858CC" w14:textId="77777777" w:rsidR="00FA2BE1" w:rsidRDefault="00FA2BE1" w:rsidP="00FA2BE1">
      <w:pPr>
        <w:rPr>
          <w:rFonts w:cs="Arial"/>
          <w:b/>
          <w:szCs w:val="24"/>
        </w:rPr>
      </w:pPr>
    </w:p>
    <w:p w14:paraId="7FB34B4B" w14:textId="77777777" w:rsidR="00FA2BE1" w:rsidRDefault="00FA2BE1" w:rsidP="00FA2BE1">
      <w:pPr>
        <w:pStyle w:val="Heading2"/>
      </w:pPr>
      <w:r>
        <w:t>Background</w:t>
      </w:r>
    </w:p>
    <w:p w14:paraId="1C5C7D80" w14:textId="77777777" w:rsidR="00FA2BE1" w:rsidRPr="004259A9" w:rsidRDefault="00FA2BE1" w:rsidP="00FA2BE1">
      <w:pPr>
        <w:rPr>
          <w:iCs/>
        </w:rPr>
      </w:pPr>
      <w:r w:rsidRPr="004259A9">
        <w:rPr>
          <w:iCs/>
        </w:rPr>
        <w:t xml:space="preserve">Anaphylaxis is an abnormally vigorous immune response, which can cause physiological changes, including bronchospasm, haemodynamic instability, vascular leak, rash, and itchiness.  This is usually triggered by exposure to an exogenous antigen such as venom, food, or a drug.  </w:t>
      </w:r>
    </w:p>
    <w:p w14:paraId="234757B7" w14:textId="77777777" w:rsidR="00FA2BE1" w:rsidRPr="004259A9" w:rsidRDefault="00FA2BE1" w:rsidP="00FA2BE1">
      <w:pPr>
        <w:rPr>
          <w:iCs/>
        </w:rPr>
      </w:pPr>
    </w:p>
    <w:p w14:paraId="02FCD483" w14:textId="77777777" w:rsidR="00FA2BE1" w:rsidRPr="004259A9" w:rsidRDefault="00FA2BE1" w:rsidP="00FA2BE1">
      <w:pPr>
        <w:rPr>
          <w:iCs/>
        </w:rPr>
      </w:pPr>
      <w:r w:rsidRPr="004259A9">
        <w:rPr>
          <w:iCs/>
        </w:rPr>
        <w:t>This clinical guideline is informed by the Acute Anaphylaxis Clinical Care Standard (November 21) published by the Australian Commission on Safety and Quality in Healthcare:</w:t>
      </w:r>
      <w:r>
        <w:rPr>
          <w:iCs/>
        </w:rPr>
        <w:t xml:space="preserve"> </w:t>
      </w:r>
      <w:hyperlink r:id="rId11" w:history="1">
        <w:r w:rsidRPr="004259A9">
          <w:rPr>
            <w:rStyle w:val="Hyperlink"/>
            <w:iCs/>
          </w:rPr>
          <w:t>Acute Anaphylaxis Clinical Care Standard | Australian Commission on Safety and Quality in Health Care</w:t>
        </w:r>
      </w:hyperlink>
    </w:p>
    <w:p w14:paraId="38714E94" w14:textId="77777777" w:rsidR="00FA2BE1" w:rsidRDefault="00FA2BE1" w:rsidP="00FA2BE1">
      <w:pPr>
        <w:rPr>
          <w:iCs/>
        </w:rPr>
      </w:pPr>
    </w:p>
    <w:p w14:paraId="6DE044F4" w14:textId="77777777" w:rsidR="00FA2BE1" w:rsidRPr="004259A9" w:rsidRDefault="00FA2BE1" w:rsidP="00FA2BE1">
      <w:pPr>
        <w:rPr>
          <w:iCs/>
        </w:rPr>
      </w:pPr>
      <w:r w:rsidRPr="004259A9">
        <w:rPr>
          <w:iCs/>
        </w:rPr>
        <w:t xml:space="preserve">This guidance is based on the Australian Society of Clinical Immunology and Allergy (ASCIA) guidelines for the Acute Management of Anaphylaxis: </w:t>
      </w:r>
      <w:hyperlink r:id="rId12" w:history="1">
        <w:r w:rsidRPr="004259A9">
          <w:rPr>
            <w:rStyle w:val="Hyperlink"/>
            <w:iCs/>
          </w:rPr>
          <w:t>https://www.allergy.org.au/hp/anaphylaxis</w:t>
        </w:r>
      </w:hyperlink>
    </w:p>
    <w:p w14:paraId="4FC23688" w14:textId="77777777" w:rsidR="00FA2BE1" w:rsidRPr="004259A9" w:rsidRDefault="00FA2BE1" w:rsidP="00FA2BE1">
      <w:pPr>
        <w:rPr>
          <w:iCs/>
        </w:rPr>
      </w:pPr>
    </w:p>
    <w:p w14:paraId="68B2DCD7" w14:textId="77777777" w:rsidR="00FA2BE1" w:rsidRPr="004259A9" w:rsidRDefault="00FA2BE1" w:rsidP="00FA2BE1">
      <w:pPr>
        <w:rPr>
          <w:iCs/>
        </w:rPr>
      </w:pPr>
      <w:r w:rsidRPr="004259A9">
        <w:rPr>
          <w:iCs/>
        </w:rPr>
        <w:t>Please note the following online training resources which clinicians may want to access:</w:t>
      </w:r>
    </w:p>
    <w:p w14:paraId="30CF115A" w14:textId="77777777" w:rsidR="00FA2BE1" w:rsidRPr="004259A9" w:rsidRDefault="00FA2BE1" w:rsidP="00FA2BE1">
      <w:pPr>
        <w:rPr>
          <w:iCs/>
          <w:u w:val="single"/>
        </w:rPr>
      </w:pPr>
      <w:hyperlink r:id="rId13" w:history="1">
        <w:r w:rsidRPr="004259A9">
          <w:rPr>
            <w:rStyle w:val="Hyperlink"/>
            <w:iCs/>
          </w:rPr>
          <w:t>https://allergy.org.au/hp/hp-e-training</w:t>
        </w:r>
      </w:hyperlink>
    </w:p>
    <w:p w14:paraId="12D97D18" w14:textId="77777777" w:rsidR="00FA2BE1" w:rsidRPr="004259A9" w:rsidRDefault="00FA2BE1" w:rsidP="00FA2BE1">
      <w:pPr>
        <w:rPr>
          <w:iCs/>
        </w:rPr>
      </w:pPr>
      <w:hyperlink r:id="rId14" w:history="1">
        <w:r w:rsidRPr="004259A9">
          <w:rPr>
            <w:rStyle w:val="Hyperlink"/>
            <w:iCs/>
          </w:rPr>
          <w:t>https://alm.ascia.org.au/</w:t>
        </w:r>
      </w:hyperlink>
    </w:p>
    <w:p w14:paraId="3CA0BB90" w14:textId="77777777" w:rsidR="00FA2BE1" w:rsidRPr="004259A9" w:rsidRDefault="00FA2BE1" w:rsidP="00FA2BE1">
      <w:pPr>
        <w:rPr>
          <w:iCs/>
        </w:rPr>
      </w:pPr>
    </w:p>
    <w:p w14:paraId="7D4865D7" w14:textId="77777777" w:rsidR="00FA2BE1" w:rsidRDefault="00FA2BE1" w:rsidP="00FA2BE1">
      <w:pPr>
        <w:pStyle w:val="Heading2"/>
      </w:pPr>
      <w:r>
        <w:t>Key Objective</w:t>
      </w:r>
    </w:p>
    <w:p w14:paraId="5D77E3D6" w14:textId="77777777" w:rsidR="00FA2BE1" w:rsidRPr="004259A9" w:rsidRDefault="00FA2BE1" w:rsidP="00FA2BE1">
      <w:pPr>
        <w:rPr>
          <w:iCs/>
        </w:rPr>
      </w:pPr>
      <w:r w:rsidRPr="004259A9">
        <w:rPr>
          <w:iCs/>
        </w:rPr>
        <w:t>This guideline outlines the emergency management of anaphylaxis in children and adults and aims to ensure:</w:t>
      </w:r>
    </w:p>
    <w:p w14:paraId="5B6C76F6" w14:textId="77777777" w:rsidR="00FA2BE1" w:rsidRPr="004259A9" w:rsidRDefault="00FA2BE1" w:rsidP="00FA2BE1">
      <w:pPr>
        <w:pStyle w:val="ListBullet"/>
      </w:pPr>
      <w:r w:rsidRPr="004259A9">
        <w:t>Identification of patients with anaphylaxis</w:t>
      </w:r>
    </w:p>
    <w:p w14:paraId="6B1C9C9F" w14:textId="77777777" w:rsidR="00FA2BE1" w:rsidRPr="004259A9" w:rsidRDefault="00FA2BE1" w:rsidP="00FA2BE1">
      <w:pPr>
        <w:pStyle w:val="ListBullet"/>
      </w:pPr>
      <w:r w:rsidRPr="004259A9">
        <w:t>Safe and effective management of patients with anaphylaxis</w:t>
      </w:r>
    </w:p>
    <w:p w14:paraId="43B1771F" w14:textId="77777777" w:rsidR="00FA2BE1" w:rsidRPr="00010E74" w:rsidRDefault="00FA2BE1" w:rsidP="00FA2BE1"/>
    <w:p w14:paraId="0A33C7BE" w14:textId="77777777" w:rsidR="00FA2BE1" w:rsidRPr="007B6904" w:rsidRDefault="00FA2BE1" w:rsidP="00FA2BE1">
      <w:pPr>
        <w:pStyle w:val="Heading2"/>
      </w:pPr>
      <w:r>
        <w:t>Alerts</w:t>
      </w:r>
      <w:r w:rsidRPr="007B6904">
        <w:t xml:space="preserve"> </w:t>
      </w:r>
    </w:p>
    <w:p w14:paraId="7F827194" w14:textId="77777777" w:rsidR="00FA2BE1" w:rsidRPr="004259A9" w:rsidRDefault="00FA2BE1" w:rsidP="00FA2BE1">
      <w:pPr>
        <w:pStyle w:val="ListBullet"/>
      </w:pPr>
      <w:r w:rsidRPr="004259A9">
        <w:t xml:space="preserve">Anaphylaxis is a severe allergic reaction with manifestations in more than one organ system.  Anaphylaxis is a medical emergency and therefore requires immediate medical </w:t>
      </w:r>
      <w:proofErr w:type="gramStart"/>
      <w:r w:rsidRPr="004259A9">
        <w:t>management</w:t>
      </w:r>
      <w:proofErr w:type="gramEnd"/>
    </w:p>
    <w:p w14:paraId="4A4C2563" w14:textId="77777777" w:rsidR="00FA2BE1" w:rsidRPr="004259A9" w:rsidRDefault="00FA2BE1" w:rsidP="00FA2BE1">
      <w:pPr>
        <w:pStyle w:val="ListBullet"/>
      </w:pPr>
      <w:r w:rsidRPr="004259A9">
        <w:t>Not all drug reactions are anaphylaxis or even allergic in origin. In addition, some features of anaphylaxis can result from other mechanisms. Important examples to note:</w:t>
      </w:r>
    </w:p>
    <w:p w14:paraId="66433316" w14:textId="77777777" w:rsidR="00FA2BE1" w:rsidRPr="004259A9" w:rsidRDefault="00FA2BE1" w:rsidP="00FA2BE1">
      <w:pPr>
        <w:pStyle w:val="ListBullet"/>
        <w:numPr>
          <w:ilvl w:val="0"/>
          <w:numId w:val="34"/>
        </w:numPr>
        <w:ind w:left="851" w:hanging="425"/>
      </w:pPr>
      <w:r w:rsidRPr="004259A9">
        <w:t xml:space="preserve">Vancomycin can cause </w:t>
      </w:r>
      <w:proofErr w:type="gramStart"/>
      <w:r w:rsidRPr="004259A9">
        <w:t>erythema</w:t>
      </w:r>
      <w:proofErr w:type="gramEnd"/>
    </w:p>
    <w:p w14:paraId="3B0BB0F4" w14:textId="77777777" w:rsidR="00FA2BE1" w:rsidRPr="004259A9" w:rsidRDefault="00FA2BE1" w:rsidP="00FA2BE1">
      <w:pPr>
        <w:pStyle w:val="ListBullet"/>
        <w:numPr>
          <w:ilvl w:val="0"/>
          <w:numId w:val="34"/>
        </w:numPr>
        <w:ind w:left="851" w:hanging="425"/>
      </w:pPr>
      <w:r w:rsidRPr="004259A9">
        <w:t xml:space="preserve">ACE inhibitors such as ramipril can cause </w:t>
      </w:r>
      <w:proofErr w:type="gramStart"/>
      <w:r w:rsidRPr="004259A9">
        <w:t>angioedema</w:t>
      </w:r>
      <w:proofErr w:type="gramEnd"/>
    </w:p>
    <w:p w14:paraId="4A9051F0" w14:textId="77777777" w:rsidR="00FA2BE1" w:rsidRPr="004259A9" w:rsidRDefault="00FA2BE1" w:rsidP="00FA2BE1">
      <w:pPr>
        <w:pStyle w:val="ListBullet"/>
        <w:numPr>
          <w:ilvl w:val="0"/>
          <w:numId w:val="34"/>
        </w:numPr>
        <w:ind w:left="851" w:hanging="425"/>
      </w:pPr>
      <w:r w:rsidRPr="004259A9">
        <w:t>Monoclonal antibodies can cause immune activation and cardiovascular collapse.</w:t>
      </w:r>
    </w:p>
    <w:p w14:paraId="1DA4411A" w14:textId="77777777" w:rsidR="00FA2BE1" w:rsidRDefault="00FA2BE1" w:rsidP="00FA2BE1"/>
    <w:p w14:paraId="41623EEA" w14:textId="77777777" w:rsidR="00FA2BE1" w:rsidRDefault="00FA2BE1" w:rsidP="00FA2BE1">
      <w:pPr>
        <w:jc w:val="right"/>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1B2BAC" w14:paraId="35D5C20D" w14:textId="77777777" w:rsidTr="00841616">
        <w:trPr>
          <w:cantSplit/>
          <w:trHeight w:val="285"/>
        </w:trPr>
        <w:tc>
          <w:tcPr>
            <w:tcW w:w="9158" w:type="dxa"/>
            <w:shd w:val="clear" w:color="auto" w:fill="D9D9D9" w:themeFill="background1" w:themeFillShade="D9"/>
          </w:tcPr>
          <w:p w14:paraId="711460E2" w14:textId="77777777" w:rsidR="00FA2BE1" w:rsidRPr="002E3BFE" w:rsidRDefault="00FA2BE1" w:rsidP="00841616">
            <w:pPr>
              <w:pStyle w:val="Heading1"/>
            </w:pPr>
            <w:bookmarkStart w:id="6" w:name="_Toc164338494"/>
            <w:r>
              <w:t>Scope</w:t>
            </w:r>
            <w:bookmarkEnd w:id="6"/>
          </w:p>
        </w:tc>
      </w:tr>
    </w:tbl>
    <w:p w14:paraId="6482419D" w14:textId="77777777" w:rsidR="00FA2BE1" w:rsidRDefault="00FA2BE1" w:rsidP="00FA2BE1"/>
    <w:p w14:paraId="741C1C84" w14:textId="77777777" w:rsidR="00FA2BE1" w:rsidRDefault="00FA2BE1" w:rsidP="00FA2BE1">
      <w:pPr>
        <w:rPr>
          <w:sz w:val="22"/>
        </w:rPr>
      </w:pPr>
      <w:r w:rsidRPr="004259A9">
        <w:rPr>
          <w:rFonts w:cs="Arial"/>
          <w:iCs/>
          <w:szCs w:val="24"/>
        </w:rPr>
        <w:t xml:space="preserve">This document applies to the management of anaphylaxis </w:t>
      </w:r>
      <w:r>
        <w:rPr>
          <w:rFonts w:cs="Arial"/>
          <w:iCs/>
          <w:szCs w:val="24"/>
        </w:rPr>
        <w:t xml:space="preserve">across the </w:t>
      </w:r>
      <w:r>
        <w:t xml:space="preserve">CHS Network including the inpatient facilities at Canberra Hospital, Clare Holland House, North Canberra Hospital, and University of Canberra and </w:t>
      </w:r>
      <w:proofErr w:type="gramStart"/>
      <w:r>
        <w:t>community based</w:t>
      </w:r>
      <w:proofErr w:type="gramEnd"/>
      <w:r>
        <w:t xml:space="preserve"> services.</w:t>
      </w:r>
    </w:p>
    <w:p w14:paraId="757EF726" w14:textId="77777777" w:rsidR="00FA2BE1" w:rsidRPr="004259A9" w:rsidRDefault="00FA2BE1" w:rsidP="00FA2BE1">
      <w:pPr>
        <w:rPr>
          <w:rFonts w:cs="Arial"/>
          <w:iCs/>
          <w:szCs w:val="24"/>
        </w:rPr>
      </w:pPr>
      <w:r w:rsidRPr="004259A9">
        <w:rPr>
          <w:rFonts w:cs="Arial"/>
          <w:iCs/>
          <w:szCs w:val="24"/>
        </w:rPr>
        <w:lastRenderedPageBreak/>
        <w:t xml:space="preserve">The Clinical Care Standard (CCS) does not apply to anaesthetic anaphylaxis however, this guideline addresses this issue. </w:t>
      </w:r>
    </w:p>
    <w:p w14:paraId="22DC6F1B" w14:textId="77777777" w:rsidR="00FA2BE1" w:rsidRPr="004259A9" w:rsidRDefault="00FA2BE1" w:rsidP="00FA2BE1">
      <w:pPr>
        <w:rPr>
          <w:rFonts w:cs="Arial"/>
          <w:iCs/>
          <w:szCs w:val="24"/>
        </w:rPr>
      </w:pPr>
    </w:p>
    <w:p w14:paraId="7D9F33D9" w14:textId="77777777" w:rsidR="00FA2BE1" w:rsidRPr="004259A9" w:rsidRDefault="00FA2BE1" w:rsidP="00FA2BE1">
      <w:pPr>
        <w:rPr>
          <w:rFonts w:cs="Arial"/>
          <w:iCs/>
          <w:szCs w:val="24"/>
        </w:rPr>
      </w:pPr>
      <w:r w:rsidRPr="004259A9">
        <w:rPr>
          <w:rFonts w:cs="Arial"/>
          <w:iCs/>
          <w:szCs w:val="24"/>
        </w:rPr>
        <w:t>This clinical guideline applies to the following staff working within their scope of practice within CHS:</w:t>
      </w:r>
    </w:p>
    <w:p w14:paraId="5F951240" w14:textId="77777777" w:rsidR="00FA2BE1" w:rsidRPr="004259A9" w:rsidRDefault="00FA2BE1" w:rsidP="00FA2BE1">
      <w:pPr>
        <w:numPr>
          <w:ilvl w:val="0"/>
          <w:numId w:val="13"/>
        </w:numPr>
        <w:rPr>
          <w:rFonts w:cs="Arial"/>
          <w:iCs/>
          <w:szCs w:val="24"/>
        </w:rPr>
      </w:pPr>
      <w:r w:rsidRPr="004259A9">
        <w:rPr>
          <w:rFonts w:cs="Arial"/>
          <w:iCs/>
          <w:szCs w:val="24"/>
        </w:rPr>
        <w:t>Medical Officers</w:t>
      </w:r>
    </w:p>
    <w:p w14:paraId="74EA1C5B" w14:textId="77777777" w:rsidR="00FA2BE1" w:rsidRPr="004259A9" w:rsidRDefault="00FA2BE1" w:rsidP="00FA2BE1">
      <w:pPr>
        <w:numPr>
          <w:ilvl w:val="0"/>
          <w:numId w:val="13"/>
        </w:numPr>
        <w:rPr>
          <w:rFonts w:cs="Arial"/>
          <w:iCs/>
          <w:szCs w:val="24"/>
        </w:rPr>
      </w:pPr>
      <w:r w:rsidRPr="004259A9">
        <w:rPr>
          <w:rFonts w:cs="Arial"/>
          <w:iCs/>
          <w:szCs w:val="24"/>
        </w:rPr>
        <w:t xml:space="preserve">Registered nurses (RN) and midwives working within their scope of </w:t>
      </w:r>
      <w:proofErr w:type="gramStart"/>
      <w:r w:rsidRPr="004259A9">
        <w:rPr>
          <w:rFonts w:cs="Arial"/>
          <w:iCs/>
          <w:szCs w:val="24"/>
        </w:rPr>
        <w:t>practice</w:t>
      </w:r>
      <w:proofErr w:type="gramEnd"/>
    </w:p>
    <w:p w14:paraId="544EB99B" w14:textId="77777777" w:rsidR="00FA2BE1" w:rsidRPr="004259A9" w:rsidRDefault="00FA2BE1" w:rsidP="00FA2BE1">
      <w:pPr>
        <w:numPr>
          <w:ilvl w:val="0"/>
          <w:numId w:val="13"/>
        </w:numPr>
        <w:rPr>
          <w:rFonts w:cs="Arial"/>
          <w:iCs/>
          <w:szCs w:val="24"/>
        </w:rPr>
      </w:pPr>
      <w:r w:rsidRPr="004259A9">
        <w:rPr>
          <w:rFonts w:cs="Arial"/>
          <w:iCs/>
          <w:szCs w:val="24"/>
        </w:rPr>
        <w:t>Other authorised prescribers</w:t>
      </w:r>
    </w:p>
    <w:p w14:paraId="6B335489" w14:textId="77777777" w:rsidR="00FA2BE1" w:rsidRPr="004259A9" w:rsidRDefault="00FA2BE1" w:rsidP="00FA2BE1">
      <w:pPr>
        <w:numPr>
          <w:ilvl w:val="0"/>
          <w:numId w:val="13"/>
        </w:numPr>
        <w:rPr>
          <w:rFonts w:cs="Arial"/>
          <w:iCs/>
          <w:szCs w:val="24"/>
        </w:rPr>
      </w:pPr>
      <w:r w:rsidRPr="004259A9">
        <w:rPr>
          <w:rFonts w:cs="Arial"/>
          <w:iCs/>
          <w:szCs w:val="24"/>
        </w:rPr>
        <w:t xml:space="preserve">Podiatry Services: this pertains to podiatrists who administer local anaesthetic agents. The podiatrist must have current training in CPR and anaphylaxis management as per the Podiatry Board of Australia </w:t>
      </w:r>
      <w:proofErr w:type="gramStart"/>
      <w:r w:rsidRPr="004259A9">
        <w:rPr>
          <w:rFonts w:cs="Arial"/>
          <w:iCs/>
          <w:szCs w:val="24"/>
        </w:rPr>
        <w:t>requirements</w:t>
      </w:r>
      <w:proofErr w:type="gramEnd"/>
    </w:p>
    <w:p w14:paraId="2B3EF4D2" w14:textId="77777777" w:rsidR="00FA2BE1" w:rsidRPr="004259A9" w:rsidRDefault="00FA2BE1" w:rsidP="00FA2BE1">
      <w:pPr>
        <w:numPr>
          <w:ilvl w:val="0"/>
          <w:numId w:val="13"/>
        </w:numPr>
        <w:rPr>
          <w:rFonts w:cs="Arial"/>
          <w:iCs/>
          <w:szCs w:val="24"/>
        </w:rPr>
      </w:pPr>
      <w:r w:rsidRPr="004259A9">
        <w:rPr>
          <w:rFonts w:cs="Arial"/>
          <w:iCs/>
          <w:szCs w:val="24"/>
        </w:rPr>
        <w:t xml:space="preserve">Justice Health Services (JHS): this </w:t>
      </w:r>
      <w:r>
        <w:rPr>
          <w:rFonts w:cs="Arial"/>
          <w:iCs/>
          <w:szCs w:val="24"/>
        </w:rPr>
        <w:t>applies</w:t>
      </w:r>
      <w:r w:rsidRPr="004259A9">
        <w:rPr>
          <w:rFonts w:cs="Arial"/>
          <w:iCs/>
          <w:szCs w:val="24"/>
        </w:rPr>
        <w:t xml:space="preserve"> to all anaphylactic events at the Alexander Maconochie Centre (AMC) and </w:t>
      </w:r>
      <w:proofErr w:type="spellStart"/>
      <w:r w:rsidRPr="004259A9">
        <w:rPr>
          <w:rFonts w:cs="Arial"/>
          <w:iCs/>
          <w:szCs w:val="24"/>
        </w:rPr>
        <w:t>Bimberi</w:t>
      </w:r>
      <w:proofErr w:type="spellEnd"/>
      <w:r w:rsidRPr="004259A9">
        <w:rPr>
          <w:rFonts w:cs="Arial"/>
          <w:iCs/>
          <w:szCs w:val="24"/>
        </w:rPr>
        <w:t xml:space="preserve"> Youth Justice Centre (BYJC) while Justice Health Services Custodial Health Registered Nursing and/or </w:t>
      </w:r>
      <w:proofErr w:type="gramStart"/>
      <w:r w:rsidRPr="004259A9">
        <w:rPr>
          <w:rFonts w:cs="Arial"/>
          <w:iCs/>
          <w:szCs w:val="24"/>
        </w:rPr>
        <w:t>Medical</w:t>
      </w:r>
      <w:proofErr w:type="gramEnd"/>
      <w:r w:rsidRPr="004259A9">
        <w:rPr>
          <w:rFonts w:cs="Arial"/>
          <w:iCs/>
          <w:szCs w:val="24"/>
        </w:rPr>
        <w:t xml:space="preserve"> staff are on site. Note JHS medical and nursing staff </w:t>
      </w:r>
      <w:r w:rsidRPr="004259A9">
        <w:rPr>
          <w:rFonts w:cs="Arial"/>
          <w:i/>
          <w:iCs/>
          <w:szCs w:val="24"/>
        </w:rPr>
        <w:t xml:space="preserve">only </w:t>
      </w:r>
      <w:r w:rsidRPr="004259A9">
        <w:rPr>
          <w:rFonts w:cs="Arial"/>
          <w:iCs/>
          <w:szCs w:val="24"/>
        </w:rPr>
        <w:t>are in scope while JHS allied health staff are out of scope (</w:t>
      </w:r>
      <w:proofErr w:type="gramStart"/>
      <w:r w:rsidRPr="004259A9">
        <w:rPr>
          <w:rFonts w:cs="Arial"/>
          <w:iCs/>
          <w:szCs w:val="24"/>
        </w:rPr>
        <w:t>with the exception of</w:t>
      </w:r>
      <w:proofErr w:type="gramEnd"/>
      <w:r w:rsidRPr="004259A9">
        <w:rPr>
          <w:rFonts w:cs="Arial"/>
          <w:iCs/>
          <w:szCs w:val="24"/>
        </w:rPr>
        <w:t xml:space="preserve"> Podiatry)</w:t>
      </w:r>
    </w:p>
    <w:p w14:paraId="2942E93E" w14:textId="77777777" w:rsidR="00FA2BE1" w:rsidRPr="004259A9" w:rsidRDefault="00FA2BE1" w:rsidP="00FA2BE1">
      <w:pPr>
        <w:numPr>
          <w:ilvl w:val="0"/>
          <w:numId w:val="13"/>
        </w:numPr>
        <w:rPr>
          <w:rFonts w:cs="Arial"/>
          <w:iCs/>
          <w:szCs w:val="24"/>
        </w:rPr>
      </w:pPr>
      <w:r w:rsidRPr="004259A9">
        <w:rPr>
          <w:rFonts w:cs="Arial"/>
          <w:iCs/>
          <w:szCs w:val="24"/>
        </w:rPr>
        <w:t>Community Nursing: this pertains to community nurses who administer intravenous (IV) and intramuscular (IM) antibiotics in patients’ homes and health centre clinics.</w:t>
      </w:r>
    </w:p>
    <w:p w14:paraId="06FAB7E8" w14:textId="77777777" w:rsidR="00FA2BE1" w:rsidRPr="004259A9" w:rsidRDefault="00FA2BE1" w:rsidP="00FA2BE1">
      <w:pPr>
        <w:numPr>
          <w:ilvl w:val="0"/>
          <w:numId w:val="13"/>
        </w:numPr>
        <w:rPr>
          <w:rFonts w:cs="Arial"/>
          <w:iCs/>
          <w:szCs w:val="24"/>
        </w:rPr>
      </w:pPr>
      <w:r w:rsidRPr="004259A9">
        <w:rPr>
          <w:rFonts w:cs="Arial"/>
          <w:iCs/>
          <w:szCs w:val="24"/>
        </w:rPr>
        <w:t xml:space="preserve">HITH nurses – this pertains to HITH nurses who administer medications in patients’ </w:t>
      </w:r>
      <w:proofErr w:type="gramStart"/>
      <w:r w:rsidRPr="004259A9">
        <w:rPr>
          <w:rFonts w:cs="Arial"/>
          <w:iCs/>
          <w:szCs w:val="24"/>
        </w:rPr>
        <w:t>homes</w:t>
      </w:r>
      <w:proofErr w:type="gramEnd"/>
    </w:p>
    <w:p w14:paraId="5B6E0497" w14:textId="77777777" w:rsidR="00FA2BE1" w:rsidRPr="004259A9" w:rsidRDefault="00FA2BE1" w:rsidP="00FA2BE1">
      <w:pPr>
        <w:numPr>
          <w:ilvl w:val="0"/>
          <w:numId w:val="13"/>
        </w:numPr>
        <w:rPr>
          <w:rFonts w:cs="Arial"/>
          <w:iCs/>
          <w:szCs w:val="24"/>
        </w:rPr>
      </w:pPr>
      <w:r w:rsidRPr="004259A9">
        <w:rPr>
          <w:rFonts w:cs="Arial"/>
          <w:iCs/>
          <w:szCs w:val="24"/>
        </w:rPr>
        <w:t>Walk in Centres (WiC) Advanced Practice Nurses (APN) and Nurse Practitioners (NP) - This pertains to all presentations for anaphylaxis and anaphylaxis post medication administration and includes children under 2 years.</w:t>
      </w:r>
    </w:p>
    <w:p w14:paraId="26B2EF5F" w14:textId="77777777" w:rsidR="00FA2BE1" w:rsidRDefault="00FA2BE1" w:rsidP="00FA2BE1">
      <w:pPr>
        <w:rPr>
          <w:rFonts w:cs="Arial"/>
          <w:szCs w:val="24"/>
        </w:rPr>
      </w:pPr>
    </w:p>
    <w:p w14:paraId="3995D32C" w14:textId="77777777" w:rsidR="00FA2BE1" w:rsidRPr="00032890" w:rsidRDefault="00FA2BE1" w:rsidP="00FA2BE1">
      <w:pPr>
        <w:jc w:val="right"/>
        <w:rPr>
          <w:rFonts w:cs="Arial"/>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148BC6E8" w14:textId="77777777" w:rsidTr="00841616">
        <w:trPr>
          <w:cantSplit/>
          <w:trHeight w:val="285"/>
        </w:trPr>
        <w:tc>
          <w:tcPr>
            <w:tcW w:w="9158" w:type="dxa"/>
            <w:shd w:val="clear" w:color="auto" w:fill="D9D9D9" w:themeFill="background1" w:themeFillShade="D9"/>
          </w:tcPr>
          <w:p w14:paraId="43D319A6" w14:textId="77777777" w:rsidR="00FA2BE1" w:rsidRPr="00C76688" w:rsidRDefault="00FA2BE1" w:rsidP="00841616">
            <w:pPr>
              <w:pStyle w:val="Heading1"/>
            </w:pPr>
            <w:bookmarkStart w:id="7" w:name="_Toc389473278"/>
            <w:bookmarkStart w:id="8" w:name="_Toc393203334"/>
            <w:bookmarkStart w:id="9" w:name="_Toc164338495"/>
            <w:r w:rsidRPr="00C76688">
              <w:t>Section 1 –</w:t>
            </w:r>
            <w:r>
              <w:t xml:space="preserve"> </w:t>
            </w:r>
            <w:bookmarkEnd w:id="7"/>
            <w:bookmarkEnd w:id="8"/>
            <w:r>
              <w:t>Reducing the Risk of Anaphylaxis</w:t>
            </w:r>
            <w:bookmarkEnd w:id="9"/>
          </w:p>
        </w:tc>
      </w:tr>
    </w:tbl>
    <w:p w14:paraId="515A5E57" w14:textId="77777777" w:rsidR="00FA2BE1" w:rsidRDefault="00FA2BE1" w:rsidP="00FA2BE1">
      <w:pPr>
        <w:outlineLvl w:val="0"/>
        <w:rPr>
          <w:szCs w:val="24"/>
        </w:rPr>
      </w:pPr>
    </w:p>
    <w:p w14:paraId="12E201F4" w14:textId="77777777" w:rsidR="00FA2BE1" w:rsidRPr="00AF27D9" w:rsidRDefault="00FA2BE1" w:rsidP="00FA2BE1">
      <w:pPr>
        <w:rPr>
          <w:rFonts w:cs="Arial"/>
          <w:iCs/>
          <w:szCs w:val="24"/>
        </w:rPr>
      </w:pPr>
      <w:r w:rsidRPr="00AF27D9">
        <w:rPr>
          <w:rFonts w:cs="Arial"/>
          <w:iCs/>
          <w:szCs w:val="24"/>
        </w:rPr>
        <w:t xml:space="preserve">All patients presenting to </w:t>
      </w:r>
      <w:r>
        <w:rPr>
          <w:rFonts w:cs="Arial"/>
          <w:iCs/>
          <w:szCs w:val="24"/>
        </w:rPr>
        <w:t xml:space="preserve">the </w:t>
      </w:r>
      <w:r w:rsidRPr="00AF27D9">
        <w:rPr>
          <w:rFonts w:cs="Arial"/>
          <w:iCs/>
          <w:szCs w:val="24"/>
        </w:rPr>
        <w:t xml:space="preserve">CHS </w:t>
      </w:r>
      <w:r>
        <w:rPr>
          <w:rFonts w:cs="Arial"/>
          <w:iCs/>
          <w:szCs w:val="24"/>
        </w:rPr>
        <w:t xml:space="preserve">Network </w:t>
      </w:r>
      <w:r w:rsidRPr="00AF27D9">
        <w:rPr>
          <w:rFonts w:cs="Arial"/>
          <w:iCs/>
          <w:szCs w:val="24"/>
        </w:rPr>
        <w:t xml:space="preserve">should be asked if they have any alerts or allergies. These are to be documented on the patient’s Comprehensive Care Plan – Part 1 – Risk Screening.  Before commencing a new treatment, staff prescribing and administering the medication should ask the patient if they have any allergies. Consult </w:t>
      </w:r>
      <w:r>
        <w:rPr>
          <w:rFonts w:cs="Arial"/>
          <w:iCs/>
          <w:szCs w:val="24"/>
        </w:rPr>
        <w:t>health</w:t>
      </w:r>
      <w:r w:rsidRPr="00AF27D9">
        <w:rPr>
          <w:rFonts w:cs="Arial"/>
          <w:iCs/>
          <w:szCs w:val="24"/>
        </w:rPr>
        <w:t xml:space="preserve"> records </w:t>
      </w:r>
      <w:r>
        <w:rPr>
          <w:rFonts w:cs="Arial"/>
          <w:iCs/>
          <w:szCs w:val="24"/>
        </w:rPr>
        <w:t xml:space="preserve">in the DHR. </w:t>
      </w:r>
    </w:p>
    <w:p w14:paraId="0371B906" w14:textId="77777777" w:rsidR="00FA2BE1" w:rsidRDefault="00FA2BE1" w:rsidP="00FA2BE1">
      <w:pPr>
        <w:rPr>
          <w:rFonts w:cs="Arial"/>
          <w:i/>
          <w:szCs w:val="24"/>
        </w:rPr>
      </w:pPr>
      <w:r>
        <w:rPr>
          <w:rFonts w:cs="Arial"/>
          <w:i/>
          <w:szCs w:val="24"/>
        </w:rPr>
        <w:t xml:space="preserve"> </w:t>
      </w:r>
    </w:p>
    <w:p w14:paraId="3CD3C451" w14:textId="77777777" w:rsidR="00FA2BE1" w:rsidRPr="00DA3910" w:rsidRDefault="00FA2BE1" w:rsidP="00FA2BE1">
      <w:pPr>
        <w:jc w:val="right"/>
        <w:rPr>
          <w:rFonts w:cs="Arial"/>
          <w:i/>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7D16C1DD" w14:textId="77777777" w:rsidTr="00841616">
        <w:trPr>
          <w:cantSplit/>
          <w:trHeight w:val="285"/>
        </w:trPr>
        <w:tc>
          <w:tcPr>
            <w:tcW w:w="9158" w:type="dxa"/>
            <w:shd w:val="clear" w:color="auto" w:fill="D9D9D9" w:themeFill="background1" w:themeFillShade="D9"/>
          </w:tcPr>
          <w:p w14:paraId="231F268D" w14:textId="77777777" w:rsidR="00FA2BE1" w:rsidRPr="00C76688" w:rsidRDefault="00FA2BE1" w:rsidP="00841616">
            <w:pPr>
              <w:pStyle w:val="Heading1"/>
            </w:pPr>
            <w:bookmarkStart w:id="10" w:name="_Toc389473281"/>
            <w:bookmarkStart w:id="11" w:name="_Toc393203337"/>
            <w:bookmarkStart w:id="12" w:name="_Toc164338496"/>
            <w:r w:rsidRPr="00C76688">
              <w:t xml:space="preserve">Section 2 – </w:t>
            </w:r>
            <w:bookmarkEnd w:id="10"/>
            <w:bookmarkEnd w:id="11"/>
            <w:r>
              <w:t>Symptoms and Signs of Acute Allergic reaction</w:t>
            </w:r>
            <w:bookmarkEnd w:id="12"/>
          </w:p>
        </w:tc>
      </w:tr>
    </w:tbl>
    <w:p w14:paraId="6D1848E6" w14:textId="77777777" w:rsidR="00FA2BE1" w:rsidRDefault="00FA2BE1" w:rsidP="00FA2BE1">
      <w:pPr>
        <w:rPr>
          <w:rFonts w:cs="Arial"/>
          <w:i/>
          <w:szCs w:val="24"/>
        </w:rPr>
      </w:pPr>
    </w:p>
    <w:p w14:paraId="57B18515" w14:textId="77777777" w:rsidR="00FA2BE1" w:rsidRPr="00AF27D9" w:rsidRDefault="00FA2BE1" w:rsidP="00FA2BE1">
      <w:pPr>
        <w:rPr>
          <w:rFonts w:cs="Arial"/>
          <w:b/>
          <w:bCs/>
          <w:iCs/>
          <w:szCs w:val="24"/>
        </w:rPr>
      </w:pPr>
      <w:bookmarkStart w:id="13" w:name="_Toc105499954"/>
      <w:bookmarkStart w:id="14" w:name="_Toc106977832"/>
      <w:bookmarkStart w:id="15" w:name="_Toc106977973"/>
      <w:r w:rsidRPr="00AF27D9">
        <w:rPr>
          <w:rFonts w:cs="Arial"/>
          <w:b/>
          <w:bCs/>
          <w:iCs/>
          <w:szCs w:val="24"/>
        </w:rPr>
        <w:t>Prompt Recognition of Anaphylaxis</w:t>
      </w:r>
      <w:bookmarkEnd w:id="13"/>
      <w:bookmarkEnd w:id="14"/>
      <w:bookmarkEnd w:id="15"/>
    </w:p>
    <w:p w14:paraId="504B5543" w14:textId="77777777" w:rsidR="00FA2BE1" w:rsidRPr="00AF27D9" w:rsidRDefault="00FA2BE1" w:rsidP="00FA2BE1">
      <w:pPr>
        <w:rPr>
          <w:rFonts w:cs="Arial"/>
          <w:iCs/>
          <w:szCs w:val="24"/>
        </w:rPr>
      </w:pPr>
      <w:bookmarkStart w:id="16" w:name="A_patient_with_acute-onset_clinical_dete"/>
      <w:bookmarkStart w:id="17" w:name="_bookmark9"/>
      <w:bookmarkEnd w:id="16"/>
      <w:bookmarkEnd w:id="17"/>
      <w:r w:rsidRPr="00AF27D9">
        <w:rPr>
          <w:rFonts w:cs="Arial"/>
          <w:iCs/>
          <w:szCs w:val="24"/>
        </w:rPr>
        <w:t>A patient with acute-onset clinical deterioration with signs or symptoms of an allergic response is to be rapidly assessed for anaphylaxis, especially in the presence of an allergic trigger or a history of allergy.</w:t>
      </w:r>
    </w:p>
    <w:p w14:paraId="7512D4FC" w14:textId="77777777" w:rsidR="00FA2BE1" w:rsidRPr="00AF27D9" w:rsidRDefault="00FA2BE1" w:rsidP="00FA2BE1">
      <w:pPr>
        <w:rPr>
          <w:rFonts w:cs="Arial"/>
          <w:iCs/>
          <w:szCs w:val="24"/>
        </w:rPr>
      </w:pPr>
    </w:p>
    <w:p w14:paraId="6E81CC18" w14:textId="77777777" w:rsidR="00FA2BE1" w:rsidRPr="00AF27D9" w:rsidRDefault="00FA2BE1" w:rsidP="00FA2BE1">
      <w:pPr>
        <w:rPr>
          <w:rFonts w:cs="Arial"/>
          <w:b/>
          <w:bCs/>
          <w:iCs/>
          <w:szCs w:val="24"/>
        </w:rPr>
      </w:pPr>
      <w:bookmarkStart w:id="18" w:name="_Toc105499955"/>
      <w:bookmarkStart w:id="19" w:name="_Toc106977833"/>
      <w:bookmarkStart w:id="20" w:name="_Toc106977974"/>
      <w:r w:rsidRPr="00AF27D9">
        <w:rPr>
          <w:rFonts w:cs="Arial"/>
          <w:b/>
          <w:bCs/>
          <w:iCs/>
          <w:szCs w:val="24"/>
        </w:rPr>
        <w:t>Mild to Moderate Allergies</w:t>
      </w:r>
      <w:bookmarkEnd w:id="18"/>
      <w:bookmarkEnd w:id="19"/>
      <w:bookmarkEnd w:id="20"/>
    </w:p>
    <w:p w14:paraId="047F9B00" w14:textId="77777777" w:rsidR="00FA2BE1" w:rsidRPr="00AF27D9" w:rsidRDefault="00FA2BE1" w:rsidP="00FA2BE1">
      <w:pPr>
        <w:rPr>
          <w:rFonts w:cs="Arial"/>
          <w:iCs/>
          <w:szCs w:val="24"/>
        </w:rPr>
      </w:pPr>
      <w:r w:rsidRPr="00AF27D9">
        <w:rPr>
          <w:rFonts w:cs="Arial"/>
          <w:iCs/>
          <w:szCs w:val="24"/>
        </w:rPr>
        <w:lastRenderedPageBreak/>
        <w:t>Signs or symptoms that might be observed with any form of allergic reaction:</w:t>
      </w:r>
    </w:p>
    <w:p w14:paraId="2E6A003B" w14:textId="77777777" w:rsidR="00FA2BE1" w:rsidRPr="00AF27D9" w:rsidRDefault="00FA2BE1" w:rsidP="00FA2BE1">
      <w:pPr>
        <w:pStyle w:val="ListBullet"/>
      </w:pPr>
      <w:r w:rsidRPr="00AF27D9">
        <w:t>swelling of lips or eyelids (angioedema)</w:t>
      </w:r>
    </w:p>
    <w:p w14:paraId="339797DF" w14:textId="77777777" w:rsidR="00FA2BE1" w:rsidRPr="00AF27D9" w:rsidRDefault="00FA2BE1" w:rsidP="00FA2BE1">
      <w:pPr>
        <w:pStyle w:val="ListBullet"/>
      </w:pPr>
      <w:r w:rsidRPr="00AF27D9">
        <w:t>rash, hives, or welts (urticaria)</w:t>
      </w:r>
    </w:p>
    <w:p w14:paraId="59AA27F1" w14:textId="77777777" w:rsidR="00FA2BE1" w:rsidRPr="00AF27D9" w:rsidRDefault="00FA2BE1" w:rsidP="00FA2BE1">
      <w:pPr>
        <w:pStyle w:val="ListBullet"/>
      </w:pPr>
      <w:r w:rsidRPr="00AF27D9">
        <w:t>tingling in the mouth</w:t>
      </w:r>
    </w:p>
    <w:p w14:paraId="6FCB31E6" w14:textId="77777777" w:rsidR="00FA2BE1" w:rsidRPr="00AF27D9" w:rsidRDefault="00FA2BE1" w:rsidP="00FA2BE1">
      <w:pPr>
        <w:pStyle w:val="ListBullet"/>
      </w:pPr>
      <w:r w:rsidRPr="00AF27D9">
        <w:t xml:space="preserve">cough or </w:t>
      </w:r>
      <w:proofErr w:type="gramStart"/>
      <w:r w:rsidRPr="00AF27D9">
        <w:t>wheeze</w:t>
      </w:r>
      <w:proofErr w:type="gramEnd"/>
    </w:p>
    <w:p w14:paraId="61462D3A" w14:textId="77777777" w:rsidR="00FA2BE1" w:rsidRPr="00AF27D9" w:rsidRDefault="00FA2BE1" w:rsidP="00FA2BE1">
      <w:pPr>
        <w:pStyle w:val="ListBullet"/>
      </w:pPr>
      <w:r w:rsidRPr="00AF27D9">
        <w:t>skin or mucosal changes.</w:t>
      </w:r>
    </w:p>
    <w:p w14:paraId="5C4200D5" w14:textId="77777777" w:rsidR="00FA2BE1" w:rsidRPr="00AF27D9" w:rsidRDefault="00FA2BE1" w:rsidP="00FA2BE1">
      <w:pPr>
        <w:rPr>
          <w:rFonts w:cs="Arial"/>
          <w:iCs/>
          <w:szCs w:val="24"/>
        </w:rPr>
      </w:pPr>
    </w:p>
    <w:p w14:paraId="6B26C165" w14:textId="77777777" w:rsidR="00FA2BE1" w:rsidRPr="00AF27D9" w:rsidRDefault="00FA2BE1" w:rsidP="00FA2BE1">
      <w:pPr>
        <w:rPr>
          <w:rFonts w:cs="Arial"/>
          <w:b/>
          <w:bCs/>
          <w:iCs/>
          <w:szCs w:val="24"/>
        </w:rPr>
      </w:pPr>
      <w:bookmarkStart w:id="21" w:name="_Toc105499956"/>
      <w:bookmarkStart w:id="22" w:name="_Toc106977834"/>
      <w:bookmarkStart w:id="23" w:name="_Toc106977975"/>
      <w:r w:rsidRPr="00AF27D9">
        <w:rPr>
          <w:rFonts w:cs="Arial"/>
          <w:b/>
          <w:bCs/>
          <w:iCs/>
          <w:szCs w:val="24"/>
        </w:rPr>
        <w:t>Severe Acute Allergic Reaction and Anaphylaxis</w:t>
      </w:r>
      <w:bookmarkEnd w:id="21"/>
      <w:bookmarkEnd w:id="22"/>
      <w:bookmarkEnd w:id="23"/>
    </w:p>
    <w:p w14:paraId="48D62D9C" w14:textId="77777777" w:rsidR="00FA2BE1" w:rsidRPr="00AF27D9" w:rsidRDefault="00FA2BE1" w:rsidP="00FA2BE1">
      <w:pPr>
        <w:rPr>
          <w:rFonts w:cs="Arial"/>
          <w:iCs/>
          <w:szCs w:val="24"/>
        </w:rPr>
      </w:pPr>
      <w:r w:rsidRPr="00AF27D9">
        <w:rPr>
          <w:rFonts w:cs="Arial"/>
          <w:iCs/>
          <w:szCs w:val="24"/>
        </w:rPr>
        <w:t>Signs and symptoms of mild allergy can also occur concurrently in patients with severe allergic reactions. Signs and symptoms that might indicate anaphylaxis:</w:t>
      </w:r>
    </w:p>
    <w:p w14:paraId="5BA0A57E" w14:textId="77777777" w:rsidR="00FA2BE1" w:rsidRPr="00AF27D9" w:rsidRDefault="00FA2BE1" w:rsidP="00FA2BE1">
      <w:pPr>
        <w:pStyle w:val="ListBullet"/>
      </w:pPr>
      <w:r w:rsidRPr="00AF27D9">
        <w:t>shortness of breath</w:t>
      </w:r>
    </w:p>
    <w:p w14:paraId="3CF9BB39" w14:textId="77777777" w:rsidR="00FA2BE1" w:rsidRPr="00AF27D9" w:rsidRDefault="00FA2BE1" w:rsidP="00FA2BE1">
      <w:pPr>
        <w:pStyle w:val="ListBullet"/>
      </w:pPr>
      <w:r w:rsidRPr="00AF27D9">
        <w:t>tightness in the throat</w:t>
      </w:r>
    </w:p>
    <w:p w14:paraId="53905B7D" w14:textId="77777777" w:rsidR="00FA2BE1" w:rsidRPr="00AF27D9" w:rsidRDefault="00FA2BE1" w:rsidP="00FA2BE1">
      <w:pPr>
        <w:pStyle w:val="ListBullet"/>
      </w:pPr>
      <w:r w:rsidRPr="00AF27D9">
        <w:t>sensation of swollen tongue</w:t>
      </w:r>
    </w:p>
    <w:p w14:paraId="6412A5D2" w14:textId="77777777" w:rsidR="00FA2BE1" w:rsidRPr="00AF27D9" w:rsidRDefault="00FA2BE1" w:rsidP="00FA2BE1">
      <w:pPr>
        <w:pStyle w:val="ListBullet"/>
      </w:pPr>
      <w:r w:rsidRPr="00AF27D9">
        <w:t>light headedness</w:t>
      </w:r>
    </w:p>
    <w:p w14:paraId="3A705A35" w14:textId="77777777" w:rsidR="00FA2BE1" w:rsidRPr="00AF27D9" w:rsidRDefault="00FA2BE1" w:rsidP="00FA2BE1">
      <w:pPr>
        <w:pStyle w:val="ListBullet"/>
      </w:pPr>
      <w:r w:rsidRPr="00AF27D9">
        <w:t>sweatiness</w:t>
      </w:r>
    </w:p>
    <w:p w14:paraId="034172D5" w14:textId="77777777" w:rsidR="00FA2BE1" w:rsidRPr="00AF27D9" w:rsidRDefault="00FA2BE1" w:rsidP="00FA2BE1">
      <w:pPr>
        <w:pStyle w:val="ListBullet"/>
      </w:pPr>
      <w:r w:rsidRPr="00AF27D9">
        <w:t>abdominal pain, nausea, diarrhoea</w:t>
      </w:r>
    </w:p>
    <w:p w14:paraId="00DF051D" w14:textId="77777777" w:rsidR="00FA2BE1" w:rsidRPr="00AF27D9" w:rsidRDefault="00FA2BE1" w:rsidP="00FA2BE1">
      <w:pPr>
        <w:pStyle w:val="ListBullet"/>
      </w:pPr>
      <w:r w:rsidRPr="00AF27D9">
        <w:t>severe anxiety</w:t>
      </w:r>
    </w:p>
    <w:p w14:paraId="06D3D1B4" w14:textId="77777777" w:rsidR="00FA2BE1" w:rsidRPr="00AF27D9" w:rsidRDefault="00FA2BE1" w:rsidP="00FA2BE1">
      <w:pPr>
        <w:pStyle w:val="ListBullet"/>
      </w:pPr>
      <w:r w:rsidRPr="00AF27D9">
        <w:t>swelling of the tongue, pharynx, larynx</w:t>
      </w:r>
    </w:p>
    <w:p w14:paraId="0720984A" w14:textId="77777777" w:rsidR="00FA2BE1" w:rsidRPr="00AF27D9" w:rsidRDefault="00FA2BE1" w:rsidP="00FA2BE1">
      <w:pPr>
        <w:pStyle w:val="ListBullet"/>
      </w:pPr>
      <w:r w:rsidRPr="00AF27D9">
        <w:t>widespread wheeze</w:t>
      </w:r>
    </w:p>
    <w:p w14:paraId="087F148D" w14:textId="77777777" w:rsidR="00FA2BE1" w:rsidRPr="00AF27D9" w:rsidRDefault="00FA2BE1" w:rsidP="00FA2BE1">
      <w:pPr>
        <w:pStyle w:val="ListBullet"/>
      </w:pPr>
      <w:r w:rsidRPr="00AF27D9">
        <w:t>hypoxia</w:t>
      </w:r>
    </w:p>
    <w:p w14:paraId="0E441DB4" w14:textId="77777777" w:rsidR="00FA2BE1" w:rsidRPr="00AF27D9" w:rsidRDefault="00FA2BE1" w:rsidP="00FA2BE1">
      <w:pPr>
        <w:pStyle w:val="ListBullet"/>
      </w:pPr>
      <w:r w:rsidRPr="00AF27D9">
        <w:t>tachypnoea</w:t>
      </w:r>
    </w:p>
    <w:p w14:paraId="66343C11" w14:textId="77777777" w:rsidR="00FA2BE1" w:rsidRPr="00AF27D9" w:rsidRDefault="00FA2BE1" w:rsidP="00FA2BE1">
      <w:pPr>
        <w:pStyle w:val="ListBullet"/>
      </w:pPr>
      <w:r w:rsidRPr="00AF27D9">
        <w:t>hypotension</w:t>
      </w:r>
    </w:p>
    <w:p w14:paraId="7CF1349D" w14:textId="77777777" w:rsidR="00FA2BE1" w:rsidRPr="00AF27D9" w:rsidRDefault="00FA2BE1" w:rsidP="00FA2BE1">
      <w:pPr>
        <w:pStyle w:val="ListBullet"/>
      </w:pPr>
      <w:r w:rsidRPr="00AF27D9">
        <w:t>tachycardia</w:t>
      </w:r>
    </w:p>
    <w:p w14:paraId="4C7C78A6" w14:textId="77777777" w:rsidR="00FA2BE1" w:rsidRPr="00AF27D9" w:rsidRDefault="00FA2BE1" w:rsidP="00FA2BE1">
      <w:pPr>
        <w:pStyle w:val="ListBullet"/>
      </w:pPr>
      <w:r w:rsidRPr="00AF27D9">
        <w:t>collapse, loss of consciousness.</w:t>
      </w:r>
    </w:p>
    <w:p w14:paraId="5E2D5DD5" w14:textId="77777777" w:rsidR="00FA2BE1" w:rsidRPr="00AF27D9" w:rsidRDefault="00FA2BE1" w:rsidP="00FA2BE1">
      <w:pPr>
        <w:pStyle w:val="ListBullet"/>
      </w:pPr>
      <w:r w:rsidRPr="00AF27D9">
        <w:t>cardiac arrest</w:t>
      </w:r>
    </w:p>
    <w:p w14:paraId="0D7592F1" w14:textId="77777777" w:rsidR="00FA2BE1" w:rsidRPr="00AF27D9" w:rsidRDefault="00FA2BE1" w:rsidP="00FA2BE1">
      <w:pPr>
        <w:pStyle w:val="ListBullet"/>
      </w:pPr>
      <w:r w:rsidRPr="00AF27D9">
        <w:t>pale and floppy (young infants).</w:t>
      </w:r>
    </w:p>
    <w:p w14:paraId="7292E3DE" w14:textId="77777777" w:rsidR="00FA2BE1" w:rsidRDefault="00FA2BE1" w:rsidP="00FA2BE1">
      <w:pPr>
        <w:rPr>
          <w:rFonts w:cs="Arial"/>
          <w:b/>
          <w:szCs w:val="24"/>
        </w:rPr>
      </w:pPr>
    </w:p>
    <w:p w14:paraId="083C9DF5" w14:textId="77777777" w:rsidR="00FA2BE1" w:rsidRPr="00DA3910" w:rsidRDefault="00FA2BE1" w:rsidP="00FA2BE1">
      <w:pPr>
        <w:jc w:val="right"/>
        <w:rPr>
          <w:rFonts w:cs="Arial"/>
          <w:i/>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2E1AF2AA" w14:textId="77777777" w:rsidTr="00841616">
        <w:trPr>
          <w:cantSplit/>
          <w:trHeight w:val="285"/>
        </w:trPr>
        <w:tc>
          <w:tcPr>
            <w:tcW w:w="9158" w:type="dxa"/>
            <w:shd w:val="clear" w:color="auto" w:fill="D9D9D9" w:themeFill="background1" w:themeFillShade="D9"/>
          </w:tcPr>
          <w:p w14:paraId="18847F79" w14:textId="77777777" w:rsidR="00FA2BE1" w:rsidRPr="003D2D06" w:rsidRDefault="00FA2BE1" w:rsidP="00841616">
            <w:pPr>
              <w:pStyle w:val="Heading1"/>
            </w:pPr>
            <w:bookmarkStart w:id="24" w:name="_Toc389473284"/>
            <w:bookmarkStart w:id="25" w:name="_Toc393203340"/>
            <w:bookmarkStart w:id="26" w:name="_Toc164338497"/>
            <w:r w:rsidRPr="003D2D06">
              <w:t xml:space="preserve">Section </w:t>
            </w:r>
            <w:r>
              <w:t>3</w:t>
            </w:r>
            <w:r w:rsidRPr="003D2D06">
              <w:t xml:space="preserve"> – </w:t>
            </w:r>
            <w:r w:rsidRPr="00B239F5">
              <w:t>Access to Personal Adrenaline Injector</w:t>
            </w:r>
            <w:bookmarkEnd w:id="24"/>
            <w:bookmarkEnd w:id="25"/>
            <w:bookmarkEnd w:id="26"/>
          </w:p>
        </w:tc>
      </w:tr>
    </w:tbl>
    <w:p w14:paraId="5ADC35F4" w14:textId="77777777" w:rsidR="00FA2BE1" w:rsidRDefault="00FA2BE1" w:rsidP="00FA2BE1">
      <w:pPr>
        <w:pStyle w:val="Heading2"/>
      </w:pPr>
    </w:p>
    <w:p w14:paraId="4D0EB572" w14:textId="77777777" w:rsidR="00FA2BE1" w:rsidRPr="00AF27D9" w:rsidRDefault="00FA2BE1" w:rsidP="00FA2BE1">
      <w:pPr>
        <w:rPr>
          <w:rFonts w:cs="Arial"/>
          <w:iCs/>
          <w:szCs w:val="24"/>
        </w:rPr>
      </w:pPr>
      <w:r w:rsidRPr="00AF27D9">
        <w:rPr>
          <w:rFonts w:cs="Arial"/>
          <w:iCs/>
          <w:szCs w:val="24"/>
        </w:rPr>
        <w:t xml:space="preserve">If a patient is known to have a personal adrenalin injector, their capacity to safely use it during the healthcare encounter should be assessed as soon as feasible using the </w:t>
      </w:r>
      <w:bookmarkStart w:id="27" w:name="_Hlk105420723"/>
      <w:proofErr w:type="gramStart"/>
      <w:r w:rsidRPr="00AF27D9">
        <w:rPr>
          <w:rFonts w:cs="Arial"/>
          <w:b/>
          <w:bCs/>
          <w:i/>
          <w:iCs/>
          <w:szCs w:val="24"/>
        </w:rPr>
        <w:t>In</w:t>
      </w:r>
      <w:proofErr w:type="gramEnd"/>
      <w:r w:rsidRPr="00AF27D9">
        <w:rPr>
          <w:rFonts w:cs="Arial"/>
          <w:b/>
          <w:bCs/>
          <w:i/>
          <w:iCs/>
          <w:szCs w:val="24"/>
        </w:rPr>
        <w:t xml:space="preserve"> hospital checklist for patients own use of adrenaline (epinephrine) autoinjector </w:t>
      </w:r>
      <w:bookmarkEnd w:id="27"/>
      <w:r w:rsidRPr="00AF27D9">
        <w:rPr>
          <w:rFonts w:cs="Arial"/>
          <w:iCs/>
          <w:szCs w:val="24"/>
        </w:rPr>
        <w:t xml:space="preserve">at </w:t>
      </w:r>
      <w:r w:rsidRPr="00AF27D9">
        <w:rPr>
          <w:rFonts w:cs="Arial"/>
          <w:iCs/>
          <w:szCs w:val="24"/>
          <w:u w:val="single"/>
        </w:rPr>
        <w:t>Attachment B</w:t>
      </w:r>
      <w:r w:rsidRPr="00AF27D9">
        <w:rPr>
          <w:rFonts w:cs="Arial"/>
          <w:iCs/>
          <w:szCs w:val="24"/>
        </w:rPr>
        <w:t>. This includes:</w:t>
      </w:r>
    </w:p>
    <w:p w14:paraId="4853AE28" w14:textId="77777777" w:rsidR="00FA2BE1" w:rsidRPr="00AF27D9" w:rsidRDefault="00FA2BE1" w:rsidP="00FA2BE1">
      <w:pPr>
        <w:pStyle w:val="ListBullet"/>
      </w:pPr>
      <w:r w:rsidRPr="00AF27D9">
        <w:t xml:space="preserve">Checking their capacity, physical capability and willingness to use their personal adrenaline injector and their ability to recognise the symptoms of </w:t>
      </w:r>
      <w:proofErr w:type="gramStart"/>
      <w:r w:rsidRPr="00AF27D9">
        <w:t>anaphylaxis</w:t>
      </w:r>
      <w:proofErr w:type="gramEnd"/>
    </w:p>
    <w:p w14:paraId="4D4D02E8" w14:textId="77777777" w:rsidR="00FA2BE1" w:rsidRPr="00AF27D9" w:rsidRDefault="00FA2BE1" w:rsidP="00FA2BE1">
      <w:pPr>
        <w:pStyle w:val="ListBullet"/>
      </w:pPr>
      <w:r w:rsidRPr="00AF27D9">
        <w:t xml:space="preserve">Considering medicines administered during the healthcare visit that may impair the patient’s usual ability to recognise and treat anaphylaxis. Involving a family member or carer in the assessment, if appropriate, when a patient is cognitively impaired or lives with a </w:t>
      </w:r>
      <w:proofErr w:type="gramStart"/>
      <w:r w:rsidRPr="00AF27D9">
        <w:t>disability</w:t>
      </w:r>
      <w:proofErr w:type="gramEnd"/>
    </w:p>
    <w:p w14:paraId="1E7557F9" w14:textId="77777777" w:rsidR="00FA2BE1" w:rsidRPr="00AF27D9" w:rsidRDefault="00FA2BE1" w:rsidP="00FA2BE1">
      <w:pPr>
        <w:pStyle w:val="ListBullet"/>
      </w:pPr>
      <w:r w:rsidRPr="00AF27D9">
        <w:t xml:space="preserve">Involving a parent, </w:t>
      </w:r>
      <w:proofErr w:type="gramStart"/>
      <w:r w:rsidRPr="00AF27D9">
        <w:t>guardian</w:t>
      </w:r>
      <w:proofErr w:type="gramEnd"/>
      <w:r w:rsidRPr="00AF27D9">
        <w:t xml:space="preserve"> or carer in the assessment when in the paediatric setting</w:t>
      </w:r>
    </w:p>
    <w:p w14:paraId="16BCAF32" w14:textId="77777777" w:rsidR="00FA2BE1" w:rsidRPr="00AF27D9" w:rsidRDefault="00FA2BE1" w:rsidP="00FA2BE1">
      <w:pPr>
        <w:pStyle w:val="ListBullet"/>
      </w:pPr>
      <w:r w:rsidRPr="00AF27D9">
        <w:t>Patients admitted to mental health units will not have access to their autoinjectors.</w:t>
      </w:r>
    </w:p>
    <w:p w14:paraId="5F99CC6E" w14:textId="77777777" w:rsidR="00FA2BE1" w:rsidRPr="00AF27D9" w:rsidRDefault="00FA2BE1" w:rsidP="00FA2BE1">
      <w:pPr>
        <w:rPr>
          <w:rFonts w:cs="Arial"/>
          <w:iCs/>
          <w:szCs w:val="24"/>
        </w:rPr>
      </w:pPr>
    </w:p>
    <w:p w14:paraId="2A448BCD" w14:textId="77777777" w:rsidR="00FA2BE1" w:rsidRPr="00AF27D9" w:rsidRDefault="00FA2BE1" w:rsidP="00FA2BE1">
      <w:pPr>
        <w:rPr>
          <w:rFonts w:cs="Arial"/>
          <w:iCs/>
          <w:szCs w:val="24"/>
        </w:rPr>
      </w:pPr>
      <w:r w:rsidRPr="00AF27D9">
        <w:rPr>
          <w:rFonts w:cs="Arial"/>
          <w:iCs/>
          <w:szCs w:val="24"/>
        </w:rPr>
        <w:lastRenderedPageBreak/>
        <w:t xml:space="preserve">Except for mental health patients, any patient owning a personal adrenalin injector should have access to it during all healthcare encounters in case self-administration is required. This includes patients keeping their adrenaline injector safely at their bedside during a hospital admission. The medications are to be entered into the Patient’s </w:t>
      </w:r>
      <w:r>
        <w:rPr>
          <w:rFonts w:cs="Arial"/>
          <w:iCs/>
          <w:szCs w:val="24"/>
        </w:rPr>
        <w:t>clinical records</w:t>
      </w:r>
      <w:r w:rsidRPr="00AF27D9">
        <w:rPr>
          <w:rFonts w:cs="Arial"/>
          <w:iCs/>
          <w:szCs w:val="24"/>
        </w:rPr>
        <w:t>.</w:t>
      </w:r>
    </w:p>
    <w:p w14:paraId="22B40A45" w14:textId="77777777" w:rsidR="00FA2BE1" w:rsidRPr="00AF27D9" w:rsidRDefault="00FA2BE1" w:rsidP="00FA2BE1">
      <w:pPr>
        <w:rPr>
          <w:rFonts w:cs="Arial"/>
          <w:iCs/>
          <w:szCs w:val="24"/>
        </w:rPr>
      </w:pPr>
    </w:p>
    <w:p w14:paraId="6FFAC7E3" w14:textId="77777777" w:rsidR="00FA2BE1" w:rsidRPr="00AF27D9" w:rsidRDefault="00FA2BE1" w:rsidP="00FA2BE1">
      <w:pPr>
        <w:rPr>
          <w:rFonts w:cs="Arial"/>
          <w:iCs/>
          <w:szCs w:val="24"/>
        </w:rPr>
      </w:pPr>
      <w:r w:rsidRPr="00AF27D9">
        <w:rPr>
          <w:rFonts w:cs="Arial"/>
          <w:iCs/>
          <w:szCs w:val="24"/>
        </w:rPr>
        <w:t>Patients should be advised that when they recognise the signs of anaphylaxis, they should notify nursing staff and get immediate medical attention. Should there be a delay in administering IM adrenalin on the ward, the patient should use their injector immediately and call for help.</w:t>
      </w:r>
    </w:p>
    <w:p w14:paraId="02D352F8" w14:textId="77777777" w:rsidR="00FA2BE1" w:rsidRDefault="00FA2BE1" w:rsidP="00FA2BE1">
      <w:pPr>
        <w:rPr>
          <w:rFonts w:cs="Arial"/>
          <w:b/>
          <w:szCs w:val="24"/>
        </w:rPr>
      </w:pPr>
    </w:p>
    <w:p w14:paraId="00229F2F" w14:textId="77777777" w:rsidR="00FA2BE1" w:rsidRPr="00D963F9" w:rsidRDefault="00FA2BE1" w:rsidP="00FA2BE1">
      <w:pPr>
        <w:jc w:val="right"/>
        <w:rPr>
          <w:rFonts w:cs="Arial"/>
          <w:i/>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27E0ABC0" w14:textId="77777777" w:rsidTr="00841616">
        <w:trPr>
          <w:cantSplit/>
          <w:trHeight w:val="285"/>
        </w:trPr>
        <w:tc>
          <w:tcPr>
            <w:tcW w:w="9158" w:type="dxa"/>
            <w:shd w:val="clear" w:color="auto" w:fill="D9D9D9" w:themeFill="background1" w:themeFillShade="D9"/>
          </w:tcPr>
          <w:p w14:paraId="4B416C33" w14:textId="77777777" w:rsidR="00FA2BE1" w:rsidRPr="003D2D06" w:rsidRDefault="00FA2BE1" w:rsidP="00841616">
            <w:pPr>
              <w:pStyle w:val="Heading1"/>
            </w:pPr>
            <w:bookmarkStart w:id="28" w:name="_Toc164338498"/>
            <w:r w:rsidRPr="003D2D06">
              <w:t xml:space="preserve">Section </w:t>
            </w:r>
            <w:r>
              <w:t>4</w:t>
            </w:r>
            <w:r w:rsidRPr="003D2D06">
              <w:t xml:space="preserve"> – </w:t>
            </w:r>
            <w:r>
              <w:t>Emergency Management of Allergy and Anaphylaxis</w:t>
            </w:r>
            <w:bookmarkEnd w:id="28"/>
          </w:p>
        </w:tc>
      </w:tr>
    </w:tbl>
    <w:p w14:paraId="7129BC6A" w14:textId="77777777" w:rsidR="00FA2BE1" w:rsidRDefault="00FA2BE1" w:rsidP="00FA2BE1">
      <w:pPr>
        <w:pStyle w:val="Heading2"/>
      </w:pPr>
    </w:p>
    <w:p w14:paraId="692E1C47" w14:textId="77777777" w:rsidR="00FA2BE1" w:rsidRPr="00AF27D9" w:rsidRDefault="00FA2BE1" w:rsidP="00FA2BE1">
      <w:pPr>
        <w:rPr>
          <w:rFonts w:cs="Arial"/>
          <w:b/>
          <w:bCs/>
          <w:iCs/>
          <w:szCs w:val="24"/>
        </w:rPr>
      </w:pPr>
      <w:bookmarkStart w:id="29" w:name="_Toc105499959"/>
      <w:bookmarkStart w:id="30" w:name="_Toc106977837"/>
      <w:bookmarkStart w:id="31" w:name="_Toc106977978"/>
      <w:r w:rsidRPr="00AF27D9">
        <w:rPr>
          <w:rFonts w:cs="Arial"/>
          <w:b/>
          <w:bCs/>
          <w:iCs/>
          <w:szCs w:val="24"/>
        </w:rPr>
        <w:t xml:space="preserve">See Schematic Flowchart – </w:t>
      </w:r>
      <w:r w:rsidRPr="00AF27D9">
        <w:rPr>
          <w:rFonts w:cs="Arial"/>
          <w:b/>
          <w:bCs/>
          <w:iCs/>
          <w:szCs w:val="24"/>
          <w:u w:val="single"/>
        </w:rPr>
        <w:t>Attachment C:</w:t>
      </w:r>
      <w:bookmarkEnd w:id="29"/>
      <w:bookmarkEnd w:id="30"/>
      <w:bookmarkEnd w:id="31"/>
    </w:p>
    <w:p w14:paraId="28FFADAE" w14:textId="77777777" w:rsidR="00FA2BE1" w:rsidRPr="00AF27D9" w:rsidRDefault="00FA2BE1" w:rsidP="00FA2BE1">
      <w:pPr>
        <w:rPr>
          <w:rFonts w:cs="Arial"/>
          <w:iCs/>
          <w:szCs w:val="24"/>
        </w:rPr>
      </w:pPr>
    </w:p>
    <w:p w14:paraId="73B6B689" w14:textId="77777777" w:rsidR="00FA2BE1" w:rsidRPr="00AF27D9" w:rsidRDefault="00FA2BE1" w:rsidP="00FA2BE1">
      <w:pPr>
        <w:rPr>
          <w:rFonts w:cs="Arial"/>
          <w:b/>
          <w:bCs/>
          <w:iCs/>
          <w:szCs w:val="24"/>
        </w:rPr>
      </w:pPr>
      <w:bookmarkStart w:id="32" w:name="_Toc105499960"/>
      <w:bookmarkStart w:id="33" w:name="_Toc106977838"/>
      <w:bookmarkStart w:id="34" w:name="_Toc106977979"/>
      <w:r w:rsidRPr="00AF27D9">
        <w:rPr>
          <w:rFonts w:cs="Arial"/>
          <w:b/>
          <w:bCs/>
          <w:iCs/>
          <w:szCs w:val="24"/>
        </w:rPr>
        <w:t>For Anaphylaxis:</w:t>
      </w:r>
      <w:bookmarkEnd w:id="32"/>
      <w:bookmarkEnd w:id="33"/>
      <w:bookmarkEnd w:id="34"/>
    </w:p>
    <w:p w14:paraId="4385AD2A" w14:textId="77777777" w:rsidR="00FA2BE1" w:rsidRPr="00AF27D9" w:rsidRDefault="00FA2BE1" w:rsidP="00FA2BE1">
      <w:pPr>
        <w:numPr>
          <w:ilvl w:val="0"/>
          <w:numId w:val="17"/>
        </w:numPr>
        <w:rPr>
          <w:rFonts w:cs="Arial"/>
          <w:iCs/>
          <w:szCs w:val="24"/>
        </w:rPr>
      </w:pPr>
      <w:r w:rsidRPr="00AF27D9">
        <w:rPr>
          <w:rFonts w:cs="Arial"/>
          <w:b/>
          <w:bCs/>
          <w:iCs/>
          <w:szCs w:val="24"/>
        </w:rPr>
        <w:t xml:space="preserve">Call for help - </w:t>
      </w:r>
      <w:r w:rsidRPr="00AF27D9">
        <w:rPr>
          <w:rFonts w:cs="Arial"/>
          <w:iCs/>
          <w:szCs w:val="24"/>
        </w:rPr>
        <w:t>Call Medical Emergency Team (MET)</w:t>
      </w:r>
    </w:p>
    <w:p w14:paraId="7A5106C9" w14:textId="77777777" w:rsidR="00FA2BE1" w:rsidRPr="00AF27D9" w:rsidRDefault="00FA2BE1" w:rsidP="00FA2BE1">
      <w:pPr>
        <w:numPr>
          <w:ilvl w:val="0"/>
          <w:numId w:val="18"/>
        </w:numPr>
        <w:ind w:left="851" w:hanging="419"/>
        <w:rPr>
          <w:rFonts w:cs="Arial"/>
          <w:iCs/>
          <w:szCs w:val="24"/>
        </w:rPr>
      </w:pPr>
      <w:r w:rsidRPr="00AF27D9">
        <w:rPr>
          <w:rFonts w:cs="Arial"/>
          <w:iCs/>
          <w:szCs w:val="24"/>
        </w:rPr>
        <w:t>Canberra Hospital</w:t>
      </w:r>
      <w:r>
        <w:rPr>
          <w:rFonts w:cs="Arial"/>
          <w:iCs/>
          <w:szCs w:val="24"/>
        </w:rPr>
        <w:t xml:space="preserve"> and North Canberra Hospital</w:t>
      </w:r>
      <w:r w:rsidRPr="00AF27D9">
        <w:rPr>
          <w:rFonts w:cs="Arial"/>
          <w:iCs/>
          <w:szCs w:val="24"/>
        </w:rPr>
        <w:t>: dial 2222, emergency Code Blue</w:t>
      </w:r>
    </w:p>
    <w:p w14:paraId="117E47C1" w14:textId="77777777" w:rsidR="00FA2BE1" w:rsidRPr="00AF27D9" w:rsidRDefault="00FA2BE1" w:rsidP="00FA2BE1">
      <w:pPr>
        <w:numPr>
          <w:ilvl w:val="0"/>
          <w:numId w:val="18"/>
        </w:numPr>
        <w:ind w:left="851" w:hanging="419"/>
        <w:rPr>
          <w:rFonts w:cs="Arial"/>
          <w:iCs/>
          <w:szCs w:val="24"/>
        </w:rPr>
      </w:pPr>
      <w:r w:rsidRPr="00AF27D9">
        <w:rPr>
          <w:rFonts w:cs="Arial"/>
          <w:iCs/>
          <w:szCs w:val="24"/>
        </w:rPr>
        <w:t>University of Canberra Hospital dial: 2222, emergency Code Blue and if ambulance assistance is required call 0-000)</w:t>
      </w:r>
    </w:p>
    <w:p w14:paraId="34937EF8" w14:textId="77777777" w:rsidR="00FA2BE1" w:rsidRPr="00AF27D9" w:rsidRDefault="00FA2BE1" w:rsidP="00FA2BE1">
      <w:pPr>
        <w:numPr>
          <w:ilvl w:val="0"/>
          <w:numId w:val="18"/>
        </w:numPr>
        <w:ind w:left="851" w:hanging="419"/>
        <w:rPr>
          <w:rFonts w:cs="Arial"/>
          <w:iCs/>
          <w:szCs w:val="24"/>
        </w:rPr>
      </w:pPr>
      <w:r w:rsidRPr="00AF27D9">
        <w:rPr>
          <w:rFonts w:cs="Arial"/>
          <w:iCs/>
          <w:szCs w:val="24"/>
        </w:rPr>
        <w:t>In other settings follow specific guidelines in sections below.</w:t>
      </w:r>
    </w:p>
    <w:p w14:paraId="197AD15A" w14:textId="77777777" w:rsidR="00FA2BE1" w:rsidRPr="00AF27D9" w:rsidRDefault="00FA2BE1" w:rsidP="00FA2BE1">
      <w:pPr>
        <w:numPr>
          <w:ilvl w:val="0"/>
          <w:numId w:val="17"/>
        </w:numPr>
        <w:rPr>
          <w:rFonts w:cs="Arial"/>
          <w:iCs/>
          <w:szCs w:val="24"/>
        </w:rPr>
      </w:pPr>
      <w:r w:rsidRPr="00AF27D9">
        <w:rPr>
          <w:rFonts w:cs="Arial"/>
          <w:iCs/>
          <w:szCs w:val="24"/>
        </w:rPr>
        <w:t xml:space="preserve">Stop any intravenous treatment immediately. Remove any other obvious trigger or </w:t>
      </w:r>
      <w:proofErr w:type="gramStart"/>
      <w:r w:rsidRPr="00AF27D9">
        <w:rPr>
          <w:rFonts w:cs="Arial"/>
          <w:iCs/>
          <w:szCs w:val="24"/>
        </w:rPr>
        <w:t>cause</w:t>
      </w:r>
      <w:proofErr w:type="gramEnd"/>
    </w:p>
    <w:p w14:paraId="17BE3AB2" w14:textId="77777777" w:rsidR="00FA2BE1" w:rsidRPr="00AF27D9" w:rsidRDefault="00FA2BE1" w:rsidP="00FA2BE1">
      <w:pPr>
        <w:numPr>
          <w:ilvl w:val="0"/>
          <w:numId w:val="17"/>
        </w:numPr>
        <w:rPr>
          <w:rFonts w:cs="Arial"/>
          <w:iCs/>
          <w:szCs w:val="24"/>
        </w:rPr>
      </w:pPr>
      <w:r w:rsidRPr="00AF27D9">
        <w:rPr>
          <w:rFonts w:cs="Arial"/>
          <w:iCs/>
          <w:szCs w:val="24"/>
        </w:rPr>
        <w:t>Basic life support – DRSABCD</w:t>
      </w:r>
    </w:p>
    <w:p w14:paraId="77DE7FB3" w14:textId="77777777" w:rsidR="00FA2BE1" w:rsidRPr="00AF27D9" w:rsidRDefault="00FA2BE1" w:rsidP="00FA2BE1">
      <w:pPr>
        <w:numPr>
          <w:ilvl w:val="0"/>
          <w:numId w:val="17"/>
        </w:numPr>
        <w:rPr>
          <w:rFonts w:cs="Arial"/>
          <w:iCs/>
          <w:szCs w:val="24"/>
        </w:rPr>
      </w:pPr>
      <w:r w:rsidRPr="00AF27D9">
        <w:rPr>
          <w:rFonts w:cs="Arial"/>
          <w:iCs/>
          <w:szCs w:val="24"/>
        </w:rPr>
        <w:t xml:space="preserve">Ensure correct patient positioning – Lie the patient flat or in the recovery (left lateral position) if they are pregnant or </w:t>
      </w:r>
      <w:proofErr w:type="gramStart"/>
      <w:r w:rsidRPr="00AF27D9">
        <w:rPr>
          <w:rFonts w:cs="Arial"/>
          <w:iCs/>
          <w:szCs w:val="24"/>
        </w:rPr>
        <w:t>vomiting</w:t>
      </w:r>
      <w:proofErr w:type="gramEnd"/>
    </w:p>
    <w:p w14:paraId="2DD5E958" w14:textId="77777777" w:rsidR="00FA2BE1" w:rsidRPr="00AF27D9" w:rsidRDefault="00FA2BE1" w:rsidP="00FA2BE1">
      <w:pPr>
        <w:numPr>
          <w:ilvl w:val="0"/>
          <w:numId w:val="17"/>
        </w:numPr>
        <w:rPr>
          <w:rFonts w:cs="Arial"/>
          <w:iCs/>
          <w:szCs w:val="24"/>
        </w:rPr>
      </w:pPr>
      <w:r w:rsidRPr="00AF27D9">
        <w:rPr>
          <w:rFonts w:cs="Arial"/>
          <w:iCs/>
          <w:szCs w:val="24"/>
        </w:rPr>
        <w:t>Administer injection of intramuscular adrenaline</w:t>
      </w:r>
      <w:r>
        <w:rPr>
          <w:rFonts w:cs="Arial"/>
          <w:iCs/>
          <w:szCs w:val="24"/>
        </w:rPr>
        <w:t xml:space="preserve"> (Medication Standing Order </w:t>
      </w:r>
      <w:r w:rsidRPr="00EA3ED2">
        <w:rPr>
          <w:rFonts w:cs="Arial"/>
          <w:iCs/>
          <w:szCs w:val="24"/>
        </w:rPr>
        <w:t>CHS21/112</w:t>
      </w:r>
      <w:r>
        <w:rPr>
          <w:rFonts w:cs="Arial"/>
          <w:iCs/>
          <w:szCs w:val="24"/>
        </w:rPr>
        <w:t>)</w:t>
      </w:r>
      <w:r w:rsidRPr="00AF27D9">
        <w:rPr>
          <w:rFonts w:cs="Arial"/>
          <w:iCs/>
          <w:szCs w:val="24"/>
        </w:rPr>
        <w:t xml:space="preserve"> immediately as per Table 1 (below).  This should occur before any other treatment including asthma medicines.  Corticosteroids and antihistamines are not first-line treatments for anaphylaxis.</w:t>
      </w:r>
    </w:p>
    <w:p w14:paraId="02659D6E" w14:textId="77777777" w:rsidR="00FA2BE1" w:rsidRPr="00AF27D9" w:rsidRDefault="00FA2BE1" w:rsidP="00FA2BE1">
      <w:pPr>
        <w:rPr>
          <w:rFonts w:cs="Arial"/>
          <w:b/>
          <w:bCs/>
          <w:iCs/>
          <w:szCs w:val="24"/>
        </w:rPr>
      </w:pPr>
    </w:p>
    <w:p w14:paraId="0F552AE1" w14:textId="77777777" w:rsidR="00FA2BE1" w:rsidRPr="00AF27D9" w:rsidRDefault="00FA2BE1" w:rsidP="00FA2BE1">
      <w:pPr>
        <w:rPr>
          <w:rFonts w:cs="Arial"/>
          <w:b/>
          <w:bCs/>
          <w:iCs/>
          <w:szCs w:val="24"/>
        </w:rPr>
      </w:pPr>
      <w:bookmarkStart w:id="35" w:name="_Toc105499961"/>
      <w:bookmarkStart w:id="36" w:name="_Toc106977839"/>
      <w:bookmarkStart w:id="37" w:name="_Toc106977980"/>
      <w:r w:rsidRPr="00AF27D9">
        <w:rPr>
          <w:rFonts w:cs="Arial"/>
          <w:b/>
          <w:bCs/>
          <w:iCs/>
          <w:szCs w:val="24"/>
        </w:rPr>
        <w:t>Table 1</w:t>
      </w:r>
      <w:bookmarkEnd w:id="35"/>
      <w:bookmarkEnd w:id="36"/>
      <w:bookmarkEnd w:id="37"/>
    </w:p>
    <w:tbl>
      <w:tblPr>
        <w:tblW w:w="9072" w:type="dxa"/>
        <w:tblInd w:w="-10" w:type="dxa"/>
        <w:tblLayout w:type="fixed"/>
        <w:tblCellMar>
          <w:left w:w="0" w:type="dxa"/>
          <w:right w:w="0" w:type="dxa"/>
        </w:tblCellMar>
        <w:tblLook w:val="0000" w:firstRow="0" w:lastRow="0" w:firstColumn="0" w:lastColumn="0" w:noHBand="0" w:noVBand="0"/>
      </w:tblPr>
      <w:tblGrid>
        <w:gridCol w:w="1520"/>
        <w:gridCol w:w="2288"/>
        <w:gridCol w:w="2848"/>
        <w:gridCol w:w="2416"/>
      </w:tblGrid>
      <w:tr w:rsidR="00FA2BE1" w:rsidRPr="00AF27D9" w14:paraId="29BC9963" w14:textId="77777777" w:rsidTr="00841616">
        <w:trPr>
          <w:trHeight w:val="284"/>
          <w:tblHeader/>
        </w:trPr>
        <w:tc>
          <w:tcPr>
            <w:tcW w:w="6656" w:type="dxa"/>
            <w:gridSpan w:val="3"/>
            <w:tcBorders>
              <w:top w:val="single" w:sz="8" w:space="0" w:color="000000"/>
              <w:left w:val="single" w:sz="8" w:space="0" w:color="000000"/>
              <w:bottom w:val="single" w:sz="8" w:space="0" w:color="000000"/>
              <w:right w:val="single" w:sz="8" w:space="0" w:color="000000"/>
            </w:tcBorders>
          </w:tcPr>
          <w:p w14:paraId="515AA9C5" w14:textId="77777777" w:rsidR="00FA2BE1" w:rsidRPr="00AF27D9" w:rsidRDefault="00FA2BE1" w:rsidP="00841616">
            <w:pPr>
              <w:rPr>
                <w:rFonts w:cs="Arial"/>
                <w:b/>
                <w:bCs/>
                <w:iCs/>
                <w:szCs w:val="24"/>
              </w:rPr>
            </w:pPr>
            <w:r w:rsidRPr="00AF27D9">
              <w:rPr>
                <w:rFonts w:cs="Arial"/>
                <w:b/>
                <w:bCs/>
                <w:iCs/>
                <w:szCs w:val="24"/>
              </w:rPr>
              <w:t>Adrenaline 1:1000 (1mg/mL)</w:t>
            </w:r>
          </w:p>
        </w:tc>
        <w:tc>
          <w:tcPr>
            <w:tcW w:w="2416" w:type="dxa"/>
            <w:tcBorders>
              <w:top w:val="single" w:sz="8" w:space="0" w:color="000000"/>
              <w:left w:val="single" w:sz="8" w:space="0" w:color="000000"/>
              <w:bottom w:val="single" w:sz="8" w:space="0" w:color="000000"/>
              <w:right w:val="single" w:sz="8" w:space="0" w:color="000000"/>
            </w:tcBorders>
          </w:tcPr>
          <w:p w14:paraId="1E2FC59B" w14:textId="77777777" w:rsidR="00FA2BE1" w:rsidRPr="00AF27D9" w:rsidRDefault="00FA2BE1" w:rsidP="00841616">
            <w:pPr>
              <w:rPr>
                <w:rFonts w:cs="Arial"/>
                <w:iCs/>
                <w:szCs w:val="24"/>
              </w:rPr>
            </w:pPr>
          </w:p>
        </w:tc>
      </w:tr>
      <w:tr w:rsidR="00FA2BE1" w:rsidRPr="00AF27D9" w14:paraId="0965B8E0" w14:textId="77777777" w:rsidTr="00841616">
        <w:trPr>
          <w:trHeight w:val="283"/>
          <w:tblHeader/>
        </w:trPr>
        <w:tc>
          <w:tcPr>
            <w:tcW w:w="1520" w:type="dxa"/>
            <w:tcBorders>
              <w:top w:val="single" w:sz="8" w:space="0" w:color="000000"/>
              <w:left w:val="single" w:sz="8" w:space="0" w:color="000000"/>
              <w:bottom w:val="single" w:sz="8" w:space="0" w:color="000000"/>
              <w:right w:val="single" w:sz="8" w:space="0" w:color="000000"/>
            </w:tcBorders>
          </w:tcPr>
          <w:p w14:paraId="435528C8" w14:textId="77777777" w:rsidR="00FA2BE1" w:rsidRPr="00AF27D9" w:rsidRDefault="00FA2BE1" w:rsidP="00841616">
            <w:pPr>
              <w:rPr>
                <w:rFonts w:cs="Arial"/>
                <w:b/>
                <w:bCs/>
                <w:iCs/>
                <w:szCs w:val="24"/>
              </w:rPr>
            </w:pPr>
            <w:r w:rsidRPr="00AF27D9">
              <w:rPr>
                <w:rFonts w:cs="Arial"/>
                <w:b/>
                <w:bCs/>
                <w:iCs/>
                <w:szCs w:val="24"/>
              </w:rPr>
              <w:t>Age (years)</w:t>
            </w:r>
          </w:p>
        </w:tc>
        <w:tc>
          <w:tcPr>
            <w:tcW w:w="2288" w:type="dxa"/>
            <w:tcBorders>
              <w:top w:val="single" w:sz="8" w:space="0" w:color="000000"/>
              <w:left w:val="single" w:sz="8" w:space="0" w:color="000000"/>
              <w:bottom w:val="single" w:sz="8" w:space="0" w:color="000000"/>
              <w:right w:val="single" w:sz="8" w:space="0" w:color="000000"/>
            </w:tcBorders>
          </w:tcPr>
          <w:p w14:paraId="350A54E0" w14:textId="77777777" w:rsidR="00FA2BE1" w:rsidRPr="00AF27D9" w:rsidRDefault="00FA2BE1" w:rsidP="00841616">
            <w:pPr>
              <w:rPr>
                <w:rFonts w:cs="Arial"/>
                <w:b/>
                <w:bCs/>
                <w:iCs/>
                <w:szCs w:val="24"/>
              </w:rPr>
            </w:pPr>
            <w:r w:rsidRPr="00AF27D9">
              <w:rPr>
                <w:rFonts w:cs="Arial"/>
                <w:b/>
                <w:bCs/>
                <w:iCs/>
                <w:szCs w:val="24"/>
              </w:rPr>
              <w:t>Weight (kg)</w:t>
            </w:r>
          </w:p>
        </w:tc>
        <w:tc>
          <w:tcPr>
            <w:tcW w:w="2848" w:type="dxa"/>
            <w:tcBorders>
              <w:top w:val="single" w:sz="8" w:space="0" w:color="000000"/>
              <w:left w:val="single" w:sz="8" w:space="0" w:color="000000"/>
              <w:bottom w:val="single" w:sz="8" w:space="0" w:color="000000"/>
              <w:right w:val="single" w:sz="8" w:space="0" w:color="000000"/>
            </w:tcBorders>
          </w:tcPr>
          <w:p w14:paraId="6866F581" w14:textId="77777777" w:rsidR="00FA2BE1" w:rsidRPr="00AF27D9" w:rsidRDefault="00FA2BE1" w:rsidP="00841616">
            <w:pPr>
              <w:rPr>
                <w:rFonts w:cs="Arial"/>
                <w:b/>
                <w:bCs/>
                <w:iCs/>
                <w:szCs w:val="24"/>
              </w:rPr>
            </w:pPr>
            <w:r w:rsidRPr="00AF27D9">
              <w:rPr>
                <w:rFonts w:cs="Arial"/>
                <w:b/>
                <w:bCs/>
                <w:iCs/>
                <w:szCs w:val="24"/>
              </w:rPr>
              <w:t>Adrenaline volume (mL)</w:t>
            </w:r>
          </w:p>
        </w:tc>
        <w:tc>
          <w:tcPr>
            <w:tcW w:w="2416" w:type="dxa"/>
            <w:tcBorders>
              <w:top w:val="single" w:sz="8" w:space="0" w:color="000000"/>
              <w:left w:val="single" w:sz="8" w:space="0" w:color="000000"/>
              <w:bottom w:val="single" w:sz="8" w:space="0" w:color="000000"/>
              <w:right w:val="single" w:sz="8" w:space="0" w:color="000000"/>
            </w:tcBorders>
          </w:tcPr>
          <w:p w14:paraId="50E557CA" w14:textId="77777777" w:rsidR="00FA2BE1" w:rsidRPr="00AF27D9" w:rsidRDefault="00FA2BE1" w:rsidP="00841616">
            <w:pPr>
              <w:rPr>
                <w:rFonts w:cs="Arial"/>
                <w:b/>
                <w:bCs/>
                <w:iCs/>
                <w:szCs w:val="24"/>
              </w:rPr>
            </w:pPr>
            <w:r w:rsidRPr="00AF27D9">
              <w:rPr>
                <w:rFonts w:cs="Arial"/>
                <w:b/>
                <w:bCs/>
                <w:iCs/>
                <w:szCs w:val="24"/>
              </w:rPr>
              <w:t>Adrenaline Injector</w:t>
            </w:r>
          </w:p>
        </w:tc>
      </w:tr>
      <w:tr w:rsidR="00FA2BE1" w:rsidRPr="00AF27D9" w14:paraId="39D88389" w14:textId="77777777" w:rsidTr="00841616">
        <w:trPr>
          <w:trHeight w:val="284"/>
        </w:trPr>
        <w:tc>
          <w:tcPr>
            <w:tcW w:w="1520" w:type="dxa"/>
            <w:tcBorders>
              <w:top w:val="single" w:sz="8" w:space="0" w:color="000000"/>
              <w:left w:val="single" w:sz="8" w:space="0" w:color="000000"/>
              <w:bottom w:val="single" w:sz="8" w:space="0" w:color="000000"/>
              <w:right w:val="single" w:sz="8" w:space="0" w:color="000000"/>
            </w:tcBorders>
          </w:tcPr>
          <w:p w14:paraId="1E7230B6" w14:textId="77777777" w:rsidR="00FA2BE1" w:rsidRPr="00AF27D9" w:rsidRDefault="00FA2BE1" w:rsidP="00841616">
            <w:pPr>
              <w:rPr>
                <w:rFonts w:cs="Arial"/>
                <w:iCs/>
                <w:szCs w:val="24"/>
              </w:rPr>
            </w:pPr>
            <w:r w:rsidRPr="00AF27D9">
              <w:rPr>
                <w:rFonts w:cs="Arial"/>
                <w:iCs/>
                <w:szCs w:val="24"/>
              </w:rPr>
              <w:t>&lt;1</w:t>
            </w:r>
          </w:p>
        </w:tc>
        <w:tc>
          <w:tcPr>
            <w:tcW w:w="2288" w:type="dxa"/>
            <w:tcBorders>
              <w:top w:val="single" w:sz="8" w:space="0" w:color="000000"/>
              <w:left w:val="single" w:sz="8" w:space="0" w:color="000000"/>
              <w:bottom w:val="single" w:sz="8" w:space="0" w:color="000000"/>
              <w:right w:val="single" w:sz="8" w:space="0" w:color="000000"/>
            </w:tcBorders>
          </w:tcPr>
          <w:p w14:paraId="1DC36699" w14:textId="77777777" w:rsidR="00FA2BE1" w:rsidRPr="00AF27D9" w:rsidRDefault="00FA2BE1" w:rsidP="00841616">
            <w:pPr>
              <w:rPr>
                <w:rFonts w:cs="Arial"/>
                <w:iCs/>
                <w:szCs w:val="24"/>
              </w:rPr>
            </w:pPr>
            <w:r w:rsidRPr="00AF27D9">
              <w:rPr>
                <w:rFonts w:cs="Arial"/>
                <w:iCs/>
                <w:szCs w:val="24"/>
              </w:rPr>
              <w:t>&lt;7.5</w:t>
            </w:r>
          </w:p>
        </w:tc>
        <w:tc>
          <w:tcPr>
            <w:tcW w:w="2848" w:type="dxa"/>
            <w:tcBorders>
              <w:top w:val="single" w:sz="8" w:space="0" w:color="000000"/>
              <w:left w:val="single" w:sz="8" w:space="0" w:color="000000"/>
              <w:bottom w:val="single" w:sz="8" w:space="0" w:color="000000"/>
              <w:right w:val="single" w:sz="8" w:space="0" w:color="000000"/>
            </w:tcBorders>
          </w:tcPr>
          <w:p w14:paraId="6C43C310" w14:textId="77777777" w:rsidR="00FA2BE1" w:rsidRPr="00AF27D9" w:rsidRDefault="00FA2BE1" w:rsidP="00841616">
            <w:pPr>
              <w:rPr>
                <w:rFonts w:cs="Arial"/>
                <w:iCs/>
                <w:szCs w:val="24"/>
              </w:rPr>
            </w:pPr>
            <w:r w:rsidRPr="00AF27D9">
              <w:rPr>
                <w:rFonts w:cs="Arial"/>
                <w:iCs/>
                <w:szCs w:val="24"/>
              </w:rPr>
              <w:t>0.1 mL</w:t>
            </w:r>
          </w:p>
        </w:tc>
        <w:tc>
          <w:tcPr>
            <w:tcW w:w="2416" w:type="dxa"/>
            <w:tcBorders>
              <w:top w:val="single" w:sz="8" w:space="0" w:color="000000"/>
              <w:left w:val="single" w:sz="8" w:space="0" w:color="000000"/>
              <w:bottom w:val="single" w:sz="8" w:space="0" w:color="000000"/>
              <w:right w:val="single" w:sz="8" w:space="0" w:color="000000"/>
            </w:tcBorders>
          </w:tcPr>
          <w:p w14:paraId="7E9F2196" w14:textId="77777777" w:rsidR="00FA2BE1" w:rsidRPr="00AF27D9" w:rsidRDefault="00FA2BE1" w:rsidP="00841616">
            <w:pPr>
              <w:rPr>
                <w:rFonts w:cs="Arial"/>
                <w:iCs/>
                <w:szCs w:val="24"/>
              </w:rPr>
            </w:pPr>
            <w:r w:rsidRPr="00AF27D9">
              <w:rPr>
                <w:rFonts w:cs="Arial"/>
                <w:iCs/>
                <w:szCs w:val="24"/>
              </w:rPr>
              <w:t>Not available</w:t>
            </w:r>
          </w:p>
        </w:tc>
      </w:tr>
      <w:tr w:rsidR="00FA2BE1" w:rsidRPr="00AF27D9" w14:paraId="79E633F0" w14:textId="77777777" w:rsidTr="00841616">
        <w:trPr>
          <w:trHeight w:val="283"/>
        </w:trPr>
        <w:tc>
          <w:tcPr>
            <w:tcW w:w="1520" w:type="dxa"/>
            <w:tcBorders>
              <w:top w:val="single" w:sz="8" w:space="0" w:color="000000"/>
              <w:left w:val="single" w:sz="8" w:space="0" w:color="000000"/>
              <w:bottom w:val="single" w:sz="8" w:space="0" w:color="000000"/>
              <w:right w:val="single" w:sz="8" w:space="0" w:color="000000"/>
            </w:tcBorders>
          </w:tcPr>
          <w:p w14:paraId="423AE4FA" w14:textId="77777777" w:rsidR="00FA2BE1" w:rsidRPr="00AF27D9" w:rsidRDefault="00FA2BE1" w:rsidP="00841616">
            <w:pPr>
              <w:rPr>
                <w:rFonts w:cs="Arial"/>
                <w:iCs/>
                <w:szCs w:val="24"/>
              </w:rPr>
            </w:pPr>
            <w:r w:rsidRPr="00AF27D9">
              <w:rPr>
                <w:rFonts w:cs="Arial"/>
                <w:iCs/>
                <w:szCs w:val="24"/>
              </w:rPr>
              <w:t>1-2</w:t>
            </w:r>
          </w:p>
        </w:tc>
        <w:tc>
          <w:tcPr>
            <w:tcW w:w="2288" w:type="dxa"/>
            <w:tcBorders>
              <w:top w:val="single" w:sz="8" w:space="0" w:color="000000"/>
              <w:left w:val="single" w:sz="8" w:space="0" w:color="000000"/>
              <w:bottom w:val="single" w:sz="8" w:space="0" w:color="000000"/>
              <w:right w:val="single" w:sz="8" w:space="0" w:color="000000"/>
            </w:tcBorders>
          </w:tcPr>
          <w:p w14:paraId="686F2C3A" w14:textId="77777777" w:rsidR="00FA2BE1" w:rsidRPr="00AF27D9" w:rsidRDefault="00FA2BE1" w:rsidP="00841616">
            <w:pPr>
              <w:rPr>
                <w:rFonts w:cs="Arial"/>
                <w:iCs/>
                <w:szCs w:val="24"/>
              </w:rPr>
            </w:pPr>
            <w:r w:rsidRPr="00AF27D9">
              <w:rPr>
                <w:rFonts w:cs="Arial"/>
                <w:iCs/>
                <w:szCs w:val="24"/>
              </w:rPr>
              <w:t>10</w:t>
            </w:r>
          </w:p>
        </w:tc>
        <w:tc>
          <w:tcPr>
            <w:tcW w:w="2848" w:type="dxa"/>
            <w:tcBorders>
              <w:top w:val="single" w:sz="8" w:space="0" w:color="000000"/>
              <w:left w:val="single" w:sz="8" w:space="0" w:color="000000"/>
              <w:bottom w:val="single" w:sz="8" w:space="0" w:color="000000"/>
              <w:right w:val="single" w:sz="8" w:space="0" w:color="000000"/>
            </w:tcBorders>
          </w:tcPr>
          <w:p w14:paraId="0C008C02" w14:textId="77777777" w:rsidR="00FA2BE1" w:rsidRPr="00AF27D9" w:rsidRDefault="00FA2BE1" w:rsidP="00841616">
            <w:pPr>
              <w:rPr>
                <w:rFonts w:cs="Arial"/>
                <w:iCs/>
                <w:szCs w:val="24"/>
              </w:rPr>
            </w:pPr>
            <w:r w:rsidRPr="00AF27D9">
              <w:rPr>
                <w:rFonts w:cs="Arial"/>
                <w:iCs/>
                <w:szCs w:val="24"/>
              </w:rPr>
              <w:t>0.1 mL</w:t>
            </w:r>
          </w:p>
        </w:tc>
        <w:tc>
          <w:tcPr>
            <w:tcW w:w="2416" w:type="dxa"/>
            <w:vMerge w:val="restart"/>
            <w:tcBorders>
              <w:top w:val="single" w:sz="8" w:space="0" w:color="000000"/>
              <w:left w:val="single" w:sz="8" w:space="0" w:color="000000"/>
              <w:bottom w:val="single" w:sz="8" w:space="0" w:color="000000"/>
              <w:right w:val="single" w:sz="8" w:space="0" w:color="000000"/>
            </w:tcBorders>
          </w:tcPr>
          <w:p w14:paraId="0C07E187" w14:textId="77777777" w:rsidR="00FA2BE1" w:rsidRPr="00AF27D9" w:rsidRDefault="00FA2BE1" w:rsidP="00841616">
            <w:pPr>
              <w:rPr>
                <w:rFonts w:cs="Arial"/>
                <w:iCs/>
                <w:szCs w:val="24"/>
              </w:rPr>
            </w:pPr>
            <w:r w:rsidRPr="00AF27D9">
              <w:rPr>
                <w:rFonts w:cs="Arial"/>
                <w:iCs/>
                <w:szCs w:val="24"/>
              </w:rPr>
              <w:t>7.5-20 kg (&lt;5 years)</w:t>
            </w:r>
          </w:p>
          <w:p w14:paraId="25639F62" w14:textId="77777777" w:rsidR="00FA2BE1" w:rsidRPr="00AF27D9" w:rsidRDefault="00FA2BE1" w:rsidP="00841616">
            <w:pPr>
              <w:rPr>
                <w:rFonts w:cs="Arial"/>
                <w:iCs/>
                <w:szCs w:val="24"/>
              </w:rPr>
            </w:pPr>
            <w:r w:rsidRPr="00AF27D9">
              <w:rPr>
                <w:rFonts w:cs="Arial"/>
                <w:iCs/>
                <w:szCs w:val="24"/>
              </w:rPr>
              <w:t xml:space="preserve">150 microgram </w:t>
            </w:r>
            <w:proofErr w:type="gramStart"/>
            <w:r w:rsidRPr="00AF27D9">
              <w:rPr>
                <w:rFonts w:cs="Arial"/>
                <w:iCs/>
                <w:szCs w:val="24"/>
              </w:rPr>
              <w:t>device</w:t>
            </w:r>
            <w:proofErr w:type="gramEnd"/>
          </w:p>
        </w:tc>
      </w:tr>
      <w:tr w:rsidR="00FA2BE1" w:rsidRPr="00AF27D9" w14:paraId="06344F29" w14:textId="77777777" w:rsidTr="00841616">
        <w:trPr>
          <w:trHeight w:val="283"/>
        </w:trPr>
        <w:tc>
          <w:tcPr>
            <w:tcW w:w="1520" w:type="dxa"/>
            <w:tcBorders>
              <w:top w:val="single" w:sz="8" w:space="0" w:color="000000"/>
              <w:left w:val="single" w:sz="8" w:space="0" w:color="000000"/>
              <w:bottom w:val="single" w:sz="8" w:space="0" w:color="000000"/>
              <w:right w:val="single" w:sz="8" w:space="0" w:color="000000"/>
            </w:tcBorders>
          </w:tcPr>
          <w:p w14:paraId="0F636704" w14:textId="77777777" w:rsidR="00FA2BE1" w:rsidRPr="00AF27D9" w:rsidRDefault="00FA2BE1" w:rsidP="00841616">
            <w:pPr>
              <w:rPr>
                <w:rFonts w:cs="Arial"/>
                <w:iCs/>
                <w:szCs w:val="24"/>
              </w:rPr>
            </w:pPr>
            <w:r w:rsidRPr="00AF27D9">
              <w:rPr>
                <w:rFonts w:cs="Arial"/>
                <w:iCs/>
                <w:szCs w:val="24"/>
              </w:rPr>
              <w:t>2-3</w:t>
            </w:r>
          </w:p>
        </w:tc>
        <w:tc>
          <w:tcPr>
            <w:tcW w:w="2288" w:type="dxa"/>
            <w:tcBorders>
              <w:top w:val="single" w:sz="8" w:space="0" w:color="000000"/>
              <w:left w:val="single" w:sz="8" w:space="0" w:color="000000"/>
              <w:bottom w:val="single" w:sz="8" w:space="0" w:color="000000"/>
              <w:right w:val="single" w:sz="8" w:space="0" w:color="000000"/>
            </w:tcBorders>
          </w:tcPr>
          <w:p w14:paraId="7373BC6C" w14:textId="77777777" w:rsidR="00FA2BE1" w:rsidRPr="00AF27D9" w:rsidRDefault="00FA2BE1" w:rsidP="00841616">
            <w:pPr>
              <w:rPr>
                <w:rFonts w:cs="Arial"/>
                <w:iCs/>
                <w:szCs w:val="24"/>
              </w:rPr>
            </w:pPr>
            <w:r w:rsidRPr="00AF27D9">
              <w:rPr>
                <w:rFonts w:cs="Arial"/>
                <w:iCs/>
                <w:szCs w:val="24"/>
              </w:rPr>
              <w:t>15</w:t>
            </w:r>
          </w:p>
        </w:tc>
        <w:tc>
          <w:tcPr>
            <w:tcW w:w="2848" w:type="dxa"/>
            <w:tcBorders>
              <w:top w:val="single" w:sz="8" w:space="0" w:color="000000"/>
              <w:left w:val="single" w:sz="8" w:space="0" w:color="000000"/>
              <w:bottom w:val="single" w:sz="8" w:space="0" w:color="000000"/>
              <w:right w:val="single" w:sz="8" w:space="0" w:color="000000"/>
            </w:tcBorders>
          </w:tcPr>
          <w:p w14:paraId="3A106F60" w14:textId="77777777" w:rsidR="00FA2BE1" w:rsidRPr="00AF27D9" w:rsidRDefault="00FA2BE1" w:rsidP="00841616">
            <w:pPr>
              <w:rPr>
                <w:rFonts w:cs="Arial"/>
                <w:iCs/>
                <w:szCs w:val="24"/>
              </w:rPr>
            </w:pPr>
            <w:r w:rsidRPr="00AF27D9">
              <w:rPr>
                <w:rFonts w:cs="Arial"/>
                <w:iCs/>
                <w:szCs w:val="24"/>
              </w:rPr>
              <w:t>0.15 mL</w:t>
            </w:r>
          </w:p>
        </w:tc>
        <w:tc>
          <w:tcPr>
            <w:tcW w:w="2416" w:type="dxa"/>
            <w:vMerge/>
            <w:tcBorders>
              <w:top w:val="nil"/>
              <w:left w:val="single" w:sz="8" w:space="0" w:color="000000"/>
              <w:bottom w:val="single" w:sz="8" w:space="0" w:color="000000"/>
              <w:right w:val="single" w:sz="8" w:space="0" w:color="000000"/>
            </w:tcBorders>
          </w:tcPr>
          <w:p w14:paraId="238D7E55" w14:textId="77777777" w:rsidR="00FA2BE1" w:rsidRPr="00AF27D9" w:rsidRDefault="00FA2BE1" w:rsidP="00841616">
            <w:pPr>
              <w:rPr>
                <w:rFonts w:cs="Arial"/>
                <w:b/>
                <w:bCs/>
                <w:iCs/>
                <w:szCs w:val="24"/>
              </w:rPr>
            </w:pPr>
          </w:p>
        </w:tc>
      </w:tr>
      <w:tr w:rsidR="00FA2BE1" w:rsidRPr="00AF27D9" w14:paraId="1CAF9D49" w14:textId="77777777" w:rsidTr="00841616">
        <w:trPr>
          <w:trHeight w:val="284"/>
        </w:trPr>
        <w:tc>
          <w:tcPr>
            <w:tcW w:w="1520" w:type="dxa"/>
            <w:tcBorders>
              <w:top w:val="single" w:sz="8" w:space="0" w:color="000000"/>
              <w:left w:val="single" w:sz="8" w:space="0" w:color="000000"/>
              <w:bottom w:val="single" w:sz="8" w:space="0" w:color="000000"/>
              <w:right w:val="single" w:sz="8" w:space="0" w:color="000000"/>
            </w:tcBorders>
          </w:tcPr>
          <w:p w14:paraId="1FCD87ED" w14:textId="77777777" w:rsidR="00FA2BE1" w:rsidRPr="00AF27D9" w:rsidRDefault="00FA2BE1" w:rsidP="00841616">
            <w:pPr>
              <w:rPr>
                <w:rFonts w:cs="Arial"/>
                <w:iCs/>
                <w:szCs w:val="24"/>
              </w:rPr>
            </w:pPr>
            <w:r w:rsidRPr="00AF27D9">
              <w:rPr>
                <w:rFonts w:cs="Arial"/>
                <w:iCs/>
                <w:szCs w:val="24"/>
              </w:rPr>
              <w:t>4-6</w:t>
            </w:r>
          </w:p>
        </w:tc>
        <w:tc>
          <w:tcPr>
            <w:tcW w:w="2288" w:type="dxa"/>
            <w:tcBorders>
              <w:top w:val="single" w:sz="8" w:space="0" w:color="000000"/>
              <w:left w:val="single" w:sz="8" w:space="0" w:color="000000"/>
              <w:bottom w:val="single" w:sz="8" w:space="0" w:color="000000"/>
              <w:right w:val="single" w:sz="8" w:space="0" w:color="000000"/>
            </w:tcBorders>
          </w:tcPr>
          <w:p w14:paraId="2AE45322" w14:textId="77777777" w:rsidR="00FA2BE1" w:rsidRPr="00AF27D9" w:rsidRDefault="00FA2BE1" w:rsidP="00841616">
            <w:pPr>
              <w:rPr>
                <w:rFonts w:cs="Arial"/>
                <w:iCs/>
                <w:szCs w:val="24"/>
              </w:rPr>
            </w:pPr>
            <w:r w:rsidRPr="00AF27D9">
              <w:rPr>
                <w:rFonts w:cs="Arial"/>
                <w:iCs/>
                <w:szCs w:val="24"/>
              </w:rPr>
              <w:t>20</w:t>
            </w:r>
          </w:p>
        </w:tc>
        <w:tc>
          <w:tcPr>
            <w:tcW w:w="2848" w:type="dxa"/>
            <w:tcBorders>
              <w:top w:val="single" w:sz="8" w:space="0" w:color="000000"/>
              <w:left w:val="single" w:sz="8" w:space="0" w:color="000000"/>
              <w:bottom w:val="single" w:sz="8" w:space="0" w:color="000000"/>
              <w:right w:val="single" w:sz="8" w:space="0" w:color="000000"/>
            </w:tcBorders>
          </w:tcPr>
          <w:p w14:paraId="1456167F" w14:textId="77777777" w:rsidR="00FA2BE1" w:rsidRPr="00AF27D9" w:rsidRDefault="00FA2BE1" w:rsidP="00841616">
            <w:pPr>
              <w:rPr>
                <w:rFonts w:cs="Arial"/>
                <w:iCs/>
                <w:szCs w:val="24"/>
              </w:rPr>
            </w:pPr>
            <w:r w:rsidRPr="00AF27D9">
              <w:rPr>
                <w:rFonts w:cs="Arial"/>
                <w:iCs/>
                <w:szCs w:val="24"/>
              </w:rPr>
              <w:t>0.2 mL</w:t>
            </w:r>
          </w:p>
        </w:tc>
        <w:tc>
          <w:tcPr>
            <w:tcW w:w="2416" w:type="dxa"/>
            <w:vMerge/>
            <w:tcBorders>
              <w:top w:val="nil"/>
              <w:left w:val="single" w:sz="8" w:space="0" w:color="000000"/>
              <w:bottom w:val="single" w:sz="8" w:space="0" w:color="000000"/>
              <w:right w:val="single" w:sz="8" w:space="0" w:color="000000"/>
            </w:tcBorders>
          </w:tcPr>
          <w:p w14:paraId="45A9C321" w14:textId="77777777" w:rsidR="00FA2BE1" w:rsidRPr="00AF27D9" w:rsidRDefault="00FA2BE1" w:rsidP="00841616">
            <w:pPr>
              <w:rPr>
                <w:rFonts w:cs="Arial"/>
                <w:b/>
                <w:bCs/>
                <w:iCs/>
                <w:szCs w:val="24"/>
              </w:rPr>
            </w:pPr>
          </w:p>
        </w:tc>
      </w:tr>
      <w:tr w:rsidR="00FA2BE1" w:rsidRPr="00AF27D9" w14:paraId="216AA385" w14:textId="77777777" w:rsidTr="00841616">
        <w:trPr>
          <w:trHeight w:val="283"/>
        </w:trPr>
        <w:tc>
          <w:tcPr>
            <w:tcW w:w="1520" w:type="dxa"/>
            <w:tcBorders>
              <w:top w:val="single" w:sz="8" w:space="0" w:color="000000"/>
              <w:left w:val="single" w:sz="8" w:space="0" w:color="000000"/>
              <w:bottom w:val="single" w:sz="8" w:space="0" w:color="000000"/>
              <w:right w:val="single" w:sz="8" w:space="0" w:color="000000"/>
            </w:tcBorders>
          </w:tcPr>
          <w:p w14:paraId="1831BA43" w14:textId="77777777" w:rsidR="00FA2BE1" w:rsidRPr="00AF27D9" w:rsidRDefault="00FA2BE1" w:rsidP="00841616">
            <w:pPr>
              <w:rPr>
                <w:rFonts w:cs="Arial"/>
                <w:iCs/>
                <w:szCs w:val="24"/>
              </w:rPr>
            </w:pPr>
            <w:r w:rsidRPr="00AF27D9">
              <w:rPr>
                <w:rFonts w:cs="Arial"/>
                <w:iCs/>
                <w:szCs w:val="24"/>
              </w:rPr>
              <w:t>7-10</w:t>
            </w:r>
          </w:p>
        </w:tc>
        <w:tc>
          <w:tcPr>
            <w:tcW w:w="2288" w:type="dxa"/>
            <w:tcBorders>
              <w:top w:val="single" w:sz="8" w:space="0" w:color="000000"/>
              <w:left w:val="single" w:sz="8" w:space="0" w:color="000000"/>
              <w:bottom w:val="single" w:sz="8" w:space="0" w:color="000000"/>
              <w:right w:val="single" w:sz="8" w:space="0" w:color="000000"/>
            </w:tcBorders>
          </w:tcPr>
          <w:p w14:paraId="46C34D6B" w14:textId="77777777" w:rsidR="00FA2BE1" w:rsidRPr="00AF27D9" w:rsidRDefault="00FA2BE1" w:rsidP="00841616">
            <w:pPr>
              <w:rPr>
                <w:rFonts w:cs="Arial"/>
                <w:iCs/>
                <w:szCs w:val="24"/>
              </w:rPr>
            </w:pPr>
            <w:r w:rsidRPr="00AF27D9">
              <w:rPr>
                <w:rFonts w:cs="Arial"/>
                <w:iCs/>
                <w:szCs w:val="24"/>
              </w:rPr>
              <w:t>30</w:t>
            </w:r>
          </w:p>
        </w:tc>
        <w:tc>
          <w:tcPr>
            <w:tcW w:w="2848" w:type="dxa"/>
            <w:tcBorders>
              <w:top w:val="single" w:sz="8" w:space="0" w:color="000000"/>
              <w:left w:val="single" w:sz="8" w:space="0" w:color="000000"/>
              <w:bottom w:val="single" w:sz="8" w:space="0" w:color="000000"/>
              <w:right w:val="single" w:sz="8" w:space="0" w:color="000000"/>
            </w:tcBorders>
          </w:tcPr>
          <w:p w14:paraId="4D7DDABC" w14:textId="77777777" w:rsidR="00FA2BE1" w:rsidRPr="00AF27D9" w:rsidRDefault="00FA2BE1" w:rsidP="00841616">
            <w:pPr>
              <w:rPr>
                <w:rFonts w:cs="Arial"/>
                <w:iCs/>
                <w:szCs w:val="24"/>
              </w:rPr>
            </w:pPr>
            <w:r w:rsidRPr="00AF27D9">
              <w:rPr>
                <w:rFonts w:cs="Arial"/>
                <w:iCs/>
                <w:szCs w:val="24"/>
              </w:rPr>
              <w:t>0.3 mL</w:t>
            </w:r>
          </w:p>
        </w:tc>
        <w:tc>
          <w:tcPr>
            <w:tcW w:w="2416" w:type="dxa"/>
            <w:vMerge w:val="restart"/>
            <w:tcBorders>
              <w:top w:val="single" w:sz="8" w:space="0" w:color="000000"/>
              <w:left w:val="single" w:sz="8" w:space="0" w:color="000000"/>
              <w:bottom w:val="single" w:sz="8" w:space="0" w:color="000000"/>
              <w:right w:val="single" w:sz="8" w:space="0" w:color="000000"/>
            </w:tcBorders>
          </w:tcPr>
          <w:p w14:paraId="703D4878" w14:textId="77777777" w:rsidR="00FA2BE1" w:rsidRPr="00AF27D9" w:rsidRDefault="00FA2BE1" w:rsidP="00841616">
            <w:pPr>
              <w:rPr>
                <w:rFonts w:cs="Arial"/>
                <w:iCs/>
                <w:szCs w:val="24"/>
              </w:rPr>
            </w:pPr>
            <w:r w:rsidRPr="00AF27D9">
              <w:rPr>
                <w:rFonts w:cs="Arial"/>
                <w:iCs/>
                <w:szCs w:val="24"/>
              </w:rPr>
              <w:t>&gt;20kg (&gt;5 years)</w:t>
            </w:r>
          </w:p>
          <w:p w14:paraId="7A120C31" w14:textId="77777777" w:rsidR="00FA2BE1" w:rsidRPr="00AF27D9" w:rsidRDefault="00FA2BE1" w:rsidP="00841616">
            <w:pPr>
              <w:rPr>
                <w:rFonts w:cs="Arial"/>
                <w:iCs/>
                <w:szCs w:val="24"/>
              </w:rPr>
            </w:pPr>
            <w:r w:rsidRPr="00AF27D9">
              <w:rPr>
                <w:rFonts w:cs="Arial"/>
                <w:iCs/>
                <w:szCs w:val="24"/>
              </w:rPr>
              <w:t xml:space="preserve">300 microgram </w:t>
            </w:r>
            <w:proofErr w:type="gramStart"/>
            <w:r w:rsidRPr="00AF27D9">
              <w:rPr>
                <w:rFonts w:cs="Arial"/>
                <w:iCs/>
                <w:szCs w:val="24"/>
              </w:rPr>
              <w:t>device</w:t>
            </w:r>
            <w:proofErr w:type="gramEnd"/>
          </w:p>
        </w:tc>
      </w:tr>
      <w:tr w:rsidR="00FA2BE1" w:rsidRPr="00AF27D9" w14:paraId="11C2ADE3" w14:textId="77777777" w:rsidTr="00841616">
        <w:trPr>
          <w:trHeight w:val="268"/>
        </w:trPr>
        <w:tc>
          <w:tcPr>
            <w:tcW w:w="1520" w:type="dxa"/>
            <w:tcBorders>
              <w:top w:val="single" w:sz="8" w:space="0" w:color="000000"/>
              <w:left w:val="single" w:sz="8" w:space="0" w:color="000000"/>
              <w:bottom w:val="single" w:sz="8" w:space="0" w:color="000000"/>
              <w:right w:val="single" w:sz="8" w:space="0" w:color="000000"/>
            </w:tcBorders>
          </w:tcPr>
          <w:p w14:paraId="130FF891" w14:textId="77777777" w:rsidR="00FA2BE1" w:rsidRPr="00AF27D9" w:rsidRDefault="00FA2BE1" w:rsidP="00841616">
            <w:pPr>
              <w:rPr>
                <w:rFonts w:cs="Arial"/>
                <w:iCs/>
                <w:szCs w:val="24"/>
              </w:rPr>
            </w:pPr>
            <w:r w:rsidRPr="00AF27D9">
              <w:rPr>
                <w:rFonts w:cs="Arial"/>
                <w:iCs/>
                <w:szCs w:val="24"/>
              </w:rPr>
              <w:t>10-12</w:t>
            </w:r>
          </w:p>
        </w:tc>
        <w:tc>
          <w:tcPr>
            <w:tcW w:w="2288" w:type="dxa"/>
            <w:tcBorders>
              <w:top w:val="single" w:sz="8" w:space="0" w:color="000000"/>
              <w:left w:val="single" w:sz="8" w:space="0" w:color="000000"/>
              <w:bottom w:val="single" w:sz="8" w:space="0" w:color="000000"/>
              <w:right w:val="single" w:sz="8" w:space="0" w:color="000000"/>
            </w:tcBorders>
          </w:tcPr>
          <w:p w14:paraId="66BF7E95" w14:textId="77777777" w:rsidR="00FA2BE1" w:rsidRPr="00AF27D9" w:rsidRDefault="00FA2BE1" w:rsidP="00841616">
            <w:pPr>
              <w:rPr>
                <w:rFonts w:cs="Arial"/>
                <w:iCs/>
                <w:szCs w:val="24"/>
              </w:rPr>
            </w:pPr>
            <w:r w:rsidRPr="00AF27D9">
              <w:rPr>
                <w:rFonts w:cs="Arial"/>
                <w:iCs/>
                <w:szCs w:val="24"/>
              </w:rPr>
              <w:t>40</w:t>
            </w:r>
          </w:p>
        </w:tc>
        <w:tc>
          <w:tcPr>
            <w:tcW w:w="2848" w:type="dxa"/>
            <w:tcBorders>
              <w:top w:val="single" w:sz="8" w:space="0" w:color="000000"/>
              <w:left w:val="single" w:sz="8" w:space="0" w:color="000000"/>
              <w:bottom w:val="single" w:sz="8" w:space="0" w:color="000000"/>
              <w:right w:val="single" w:sz="8" w:space="0" w:color="000000"/>
            </w:tcBorders>
          </w:tcPr>
          <w:p w14:paraId="5B6804E6" w14:textId="77777777" w:rsidR="00FA2BE1" w:rsidRPr="00AF27D9" w:rsidRDefault="00FA2BE1" w:rsidP="00841616">
            <w:pPr>
              <w:rPr>
                <w:rFonts w:cs="Arial"/>
                <w:iCs/>
                <w:szCs w:val="24"/>
              </w:rPr>
            </w:pPr>
            <w:r w:rsidRPr="00AF27D9">
              <w:rPr>
                <w:rFonts w:cs="Arial"/>
                <w:iCs/>
                <w:szCs w:val="24"/>
              </w:rPr>
              <w:t>0.4 mL</w:t>
            </w:r>
          </w:p>
        </w:tc>
        <w:tc>
          <w:tcPr>
            <w:tcW w:w="2416" w:type="dxa"/>
            <w:vMerge/>
            <w:tcBorders>
              <w:top w:val="nil"/>
              <w:left w:val="single" w:sz="8" w:space="0" w:color="000000"/>
              <w:bottom w:val="single" w:sz="8" w:space="0" w:color="000000"/>
              <w:right w:val="single" w:sz="8" w:space="0" w:color="000000"/>
            </w:tcBorders>
          </w:tcPr>
          <w:p w14:paraId="4090E58A" w14:textId="77777777" w:rsidR="00FA2BE1" w:rsidRPr="00AF27D9" w:rsidRDefault="00FA2BE1" w:rsidP="00841616">
            <w:pPr>
              <w:rPr>
                <w:rFonts w:cs="Arial"/>
                <w:b/>
                <w:bCs/>
                <w:iCs/>
                <w:szCs w:val="24"/>
              </w:rPr>
            </w:pPr>
          </w:p>
        </w:tc>
      </w:tr>
      <w:tr w:rsidR="00FA2BE1" w:rsidRPr="00AF27D9" w14:paraId="650F0F94" w14:textId="77777777" w:rsidTr="00841616">
        <w:trPr>
          <w:trHeight w:val="860"/>
        </w:trPr>
        <w:tc>
          <w:tcPr>
            <w:tcW w:w="1520" w:type="dxa"/>
            <w:tcBorders>
              <w:top w:val="single" w:sz="8" w:space="0" w:color="000000"/>
              <w:left w:val="single" w:sz="8" w:space="0" w:color="000000"/>
              <w:bottom w:val="single" w:sz="8" w:space="0" w:color="000000"/>
              <w:right w:val="single" w:sz="8" w:space="0" w:color="000000"/>
            </w:tcBorders>
          </w:tcPr>
          <w:p w14:paraId="74958D44" w14:textId="77777777" w:rsidR="00FA2BE1" w:rsidRPr="00AF27D9" w:rsidRDefault="00FA2BE1" w:rsidP="00841616">
            <w:pPr>
              <w:rPr>
                <w:rFonts w:cs="Arial"/>
                <w:iCs/>
                <w:szCs w:val="24"/>
              </w:rPr>
            </w:pPr>
            <w:r w:rsidRPr="00AF27D9">
              <w:rPr>
                <w:rFonts w:cs="Arial"/>
                <w:iCs/>
                <w:szCs w:val="24"/>
              </w:rPr>
              <w:t>&gt;12 and adult</w:t>
            </w:r>
          </w:p>
        </w:tc>
        <w:tc>
          <w:tcPr>
            <w:tcW w:w="2288" w:type="dxa"/>
            <w:tcBorders>
              <w:top w:val="single" w:sz="8" w:space="0" w:color="000000"/>
              <w:left w:val="single" w:sz="8" w:space="0" w:color="000000"/>
              <w:bottom w:val="single" w:sz="8" w:space="0" w:color="000000"/>
              <w:right w:val="single" w:sz="8" w:space="0" w:color="000000"/>
            </w:tcBorders>
          </w:tcPr>
          <w:p w14:paraId="28596590" w14:textId="77777777" w:rsidR="00FA2BE1" w:rsidRPr="00AF27D9" w:rsidRDefault="00FA2BE1" w:rsidP="00841616">
            <w:pPr>
              <w:rPr>
                <w:rFonts w:cs="Arial"/>
                <w:iCs/>
                <w:szCs w:val="24"/>
              </w:rPr>
            </w:pPr>
            <w:r w:rsidRPr="00AF27D9">
              <w:rPr>
                <w:rFonts w:cs="Arial"/>
                <w:iCs/>
                <w:szCs w:val="24"/>
              </w:rPr>
              <w:t>&gt;50</w:t>
            </w:r>
          </w:p>
        </w:tc>
        <w:tc>
          <w:tcPr>
            <w:tcW w:w="2848" w:type="dxa"/>
            <w:tcBorders>
              <w:top w:val="single" w:sz="8" w:space="0" w:color="000000"/>
              <w:left w:val="single" w:sz="8" w:space="0" w:color="000000"/>
              <w:bottom w:val="single" w:sz="8" w:space="0" w:color="000000"/>
              <w:right w:val="single" w:sz="8" w:space="0" w:color="000000"/>
            </w:tcBorders>
          </w:tcPr>
          <w:p w14:paraId="089A0288" w14:textId="77777777" w:rsidR="00FA2BE1" w:rsidRPr="00AF27D9" w:rsidRDefault="00FA2BE1" w:rsidP="00841616">
            <w:pPr>
              <w:rPr>
                <w:rFonts w:cs="Arial"/>
                <w:iCs/>
                <w:szCs w:val="24"/>
              </w:rPr>
            </w:pPr>
            <w:r w:rsidRPr="00AF27D9">
              <w:rPr>
                <w:rFonts w:cs="Arial"/>
                <w:iCs/>
                <w:szCs w:val="24"/>
              </w:rPr>
              <w:t>0.5 mL</w:t>
            </w:r>
          </w:p>
        </w:tc>
        <w:tc>
          <w:tcPr>
            <w:tcW w:w="2416" w:type="dxa"/>
            <w:tcBorders>
              <w:top w:val="single" w:sz="8" w:space="0" w:color="000000"/>
              <w:left w:val="single" w:sz="8" w:space="0" w:color="000000"/>
              <w:bottom w:val="single" w:sz="8" w:space="0" w:color="000000"/>
              <w:right w:val="single" w:sz="8" w:space="0" w:color="000000"/>
            </w:tcBorders>
          </w:tcPr>
          <w:p w14:paraId="175FDE3F" w14:textId="77777777" w:rsidR="00FA2BE1" w:rsidRPr="00AF27D9" w:rsidRDefault="00FA2BE1" w:rsidP="00841616">
            <w:pPr>
              <w:rPr>
                <w:rFonts w:cs="Arial"/>
                <w:iCs/>
                <w:szCs w:val="24"/>
              </w:rPr>
            </w:pPr>
            <w:r w:rsidRPr="00AF27D9">
              <w:rPr>
                <w:rFonts w:cs="Arial"/>
                <w:iCs/>
                <w:szCs w:val="24"/>
              </w:rPr>
              <w:t>&gt;50kg (&gt;12 years)</w:t>
            </w:r>
          </w:p>
          <w:p w14:paraId="53DDCB43" w14:textId="77777777" w:rsidR="00FA2BE1" w:rsidRPr="00AF27D9" w:rsidRDefault="00FA2BE1" w:rsidP="00841616">
            <w:pPr>
              <w:rPr>
                <w:rFonts w:cs="Arial"/>
                <w:iCs/>
                <w:szCs w:val="24"/>
              </w:rPr>
            </w:pPr>
            <w:r w:rsidRPr="00AF27D9">
              <w:rPr>
                <w:rFonts w:cs="Arial"/>
                <w:iCs/>
                <w:szCs w:val="24"/>
              </w:rPr>
              <w:t xml:space="preserve">300 or 500 </w:t>
            </w:r>
            <w:proofErr w:type="gramStart"/>
            <w:r w:rsidRPr="00AF27D9">
              <w:rPr>
                <w:rFonts w:cs="Arial"/>
                <w:iCs/>
                <w:szCs w:val="24"/>
              </w:rPr>
              <w:t>microgram</w:t>
            </w:r>
            <w:proofErr w:type="gramEnd"/>
          </w:p>
          <w:p w14:paraId="7ECBA1E7" w14:textId="77777777" w:rsidR="00FA2BE1" w:rsidRPr="00AF27D9" w:rsidRDefault="00FA2BE1" w:rsidP="00841616">
            <w:pPr>
              <w:rPr>
                <w:rFonts w:cs="Arial"/>
                <w:iCs/>
                <w:szCs w:val="24"/>
              </w:rPr>
            </w:pPr>
            <w:r w:rsidRPr="00AF27D9">
              <w:rPr>
                <w:rFonts w:cs="Arial"/>
                <w:iCs/>
                <w:szCs w:val="24"/>
              </w:rPr>
              <w:t>device.</w:t>
            </w:r>
          </w:p>
        </w:tc>
      </w:tr>
    </w:tbl>
    <w:p w14:paraId="0DD599EE" w14:textId="77777777" w:rsidR="00FA2BE1" w:rsidRPr="00AF27D9" w:rsidRDefault="00FA2BE1" w:rsidP="00FA2BE1">
      <w:pPr>
        <w:rPr>
          <w:rFonts w:cs="Arial"/>
          <w:b/>
          <w:bCs/>
          <w:iCs/>
          <w:szCs w:val="24"/>
        </w:rPr>
      </w:pPr>
    </w:p>
    <w:p w14:paraId="567EE7EC" w14:textId="77777777" w:rsidR="00FA2BE1" w:rsidRPr="00AF27D9" w:rsidRDefault="00FA2BE1" w:rsidP="00FA2BE1">
      <w:pPr>
        <w:pBdr>
          <w:top w:val="single" w:sz="4" w:space="1" w:color="auto"/>
          <w:left w:val="single" w:sz="4" w:space="4" w:color="auto"/>
          <w:bottom w:val="single" w:sz="4" w:space="1" w:color="auto"/>
          <w:right w:val="single" w:sz="4" w:space="4" w:color="auto"/>
        </w:pBdr>
        <w:rPr>
          <w:rFonts w:cs="Arial"/>
          <w:iCs/>
          <w:szCs w:val="24"/>
        </w:rPr>
      </w:pPr>
      <w:r w:rsidRPr="00AF27D9">
        <w:rPr>
          <w:rFonts w:cs="Arial"/>
          <w:b/>
          <w:bCs/>
          <w:iCs/>
          <w:szCs w:val="24"/>
        </w:rPr>
        <w:t>Alert</w:t>
      </w:r>
      <w:r>
        <w:rPr>
          <w:rFonts w:cs="Arial"/>
          <w:b/>
          <w:bCs/>
          <w:iCs/>
          <w:szCs w:val="24"/>
        </w:rPr>
        <w:t xml:space="preserve">: </w:t>
      </w:r>
      <w:r w:rsidRPr="00AF27D9">
        <w:rPr>
          <w:rFonts w:cs="Arial"/>
          <w:iCs/>
          <w:szCs w:val="24"/>
        </w:rPr>
        <w:t>Treatment can be repeated after five minutes if there is no response to the first dose. It can be repeated every 5 min as necessary after this, but alternative diagnoses and other factors (section 4) should be considered after two doses if there has been no improvement.</w:t>
      </w:r>
    </w:p>
    <w:p w14:paraId="5D9425DE" w14:textId="77777777" w:rsidR="00FA2BE1" w:rsidRPr="00AF27D9" w:rsidRDefault="00FA2BE1" w:rsidP="00FA2BE1">
      <w:pPr>
        <w:rPr>
          <w:rFonts w:cs="Arial"/>
          <w:iCs/>
          <w:szCs w:val="24"/>
        </w:rPr>
      </w:pPr>
    </w:p>
    <w:p w14:paraId="177DAD63" w14:textId="77777777" w:rsidR="00FA2BE1" w:rsidRPr="00AF27D9" w:rsidRDefault="00FA2BE1" w:rsidP="00FA2BE1">
      <w:pPr>
        <w:numPr>
          <w:ilvl w:val="0"/>
          <w:numId w:val="17"/>
        </w:numPr>
        <w:rPr>
          <w:rFonts w:cs="Arial"/>
          <w:iCs/>
          <w:szCs w:val="24"/>
        </w:rPr>
      </w:pPr>
      <w:r w:rsidRPr="00AF27D9">
        <w:rPr>
          <w:rFonts w:cs="Arial"/>
          <w:iCs/>
          <w:szCs w:val="24"/>
        </w:rPr>
        <w:t xml:space="preserve">Administer oxygen by </w:t>
      </w:r>
      <w:proofErr w:type="gramStart"/>
      <w:r w:rsidRPr="00AF27D9">
        <w:rPr>
          <w:rFonts w:cs="Arial"/>
          <w:iCs/>
          <w:szCs w:val="24"/>
        </w:rPr>
        <w:t>mask</w:t>
      </w:r>
      <w:proofErr w:type="gramEnd"/>
    </w:p>
    <w:p w14:paraId="4B716C7B" w14:textId="77777777" w:rsidR="00FA2BE1" w:rsidRPr="00AF27D9" w:rsidRDefault="00FA2BE1" w:rsidP="00FA2BE1">
      <w:pPr>
        <w:numPr>
          <w:ilvl w:val="0"/>
          <w:numId w:val="17"/>
        </w:numPr>
        <w:rPr>
          <w:rFonts w:cs="Arial"/>
          <w:iCs/>
          <w:szCs w:val="24"/>
        </w:rPr>
      </w:pPr>
      <w:r w:rsidRPr="00AF27D9">
        <w:rPr>
          <w:rFonts w:cs="Arial"/>
          <w:iCs/>
          <w:szCs w:val="24"/>
        </w:rPr>
        <w:t xml:space="preserve">Establish intravenous access if able, noting that some CHS </w:t>
      </w:r>
      <w:r>
        <w:rPr>
          <w:rFonts w:cs="Arial"/>
          <w:iCs/>
          <w:szCs w:val="24"/>
        </w:rPr>
        <w:t xml:space="preserve">Network </w:t>
      </w:r>
      <w:r w:rsidRPr="00AF27D9">
        <w:rPr>
          <w:rFonts w:cs="Arial"/>
          <w:iCs/>
          <w:szCs w:val="24"/>
        </w:rPr>
        <w:t xml:space="preserve">sites may require ACT Ambulance Service </w:t>
      </w:r>
      <w:proofErr w:type="gramStart"/>
      <w:r w:rsidRPr="00AF27D9">
        <w:rPr>
          <w:rFonts w:cs="Arial"/>
          <w:iCs/>
          <w:szCs w:val="24"/>
        </w:rPr>
        <w:t>assistance</w:t>
      </w:r>
      <w:proofErr w:type="gramEnd"/>
    </w:p>
    <w:p w14:paraId="595B8964" w14:textId="77777777" w:rsidR="00FA2BE1" w:rsidRPr="00AF27D9" w:rsidRDefault="00FA2BE1" w:rsidP="00FA2BE1">
      <w:pPr>
        <w:numPr>
          <w:ilvl w:val="0"/>
          <w:numId w:val="17"/>
        </w:numPr>
        <w:rPr>
          <w:rFonts w:cs="Arial"/>
          <w:iCs/>
          <w:szCs w:val="24"/>
        </w:rPr>
      </w:pPr>
      <w:r w:rsidRPr="00AF27D9">
        <w:rPr>
          <w:rFonts w:cs="Arial"/>
          <w:iCs/>
          <w:szCs w:val="24"/>
        </w:rPr>
        <w:t xml:space="preserve">Notify the treating team trainee via </w:t>
      </w:r>
      <w:r>
        <w:rPr>
          <w:rFonts w:cs="Arial"/>
          <w:iCs/>
          <w:szCs w:val="24"/>
        </w:rPr>
        <w:t>your Facility</w:t>
      </w:r>
      <w:r w:rsidRPr="00AF27D9">
        <w:rPr>
          <w:rFonts w:cs="Arial"/>
          <w:iCs/>
          <w:szCs w:val="24"/>
        </w:rPr>
        <w:t xml:space="preserve"> </w:t>
      </w:r>
      <w:proofErr w:type="gramStart"/>
      <w:r w:rsidRPr="00AF27D9">
        <w:rPr>
          <w:rFonts w:cs="Arial"/>
          <w:iCs/>
          <w:szCs w:val="24"/>
        </w:rPr>
        <w:t>switchboard</w:t>
      </w:r>
      <w:proofErr w:type="gramEnd"/>
    </w:p>
    <w:p w14:paraId="27B2B1F2" w14:textId="77777777" w:rsidR="00FA2BE1" w:rsidRPr="00AF27D9" w:rsidRDefault="00FA2BE1" w:rsidP="00FA2BE1">
      <w:pPr>
        <w:numPr>
          <w:ilvl w:val="0"/>
          <w:numId w:val="17"/>
        </w:numPr>
        <w:rPr>
          <w:rFonts w:cs="Arial"/>
          <w:iCs/>
          <w:szCs w:val="24"/>
        </w:rPr>
      </w:pPr>
      <w:r w:rsidRPr="00AF27D9">
        <w:rPr>
          <w:rFonts w:cs="Arial"/>
          <w:iCs/>
          <w:szCs w:val="24"/>
        </w:rPr>
        <w:t>For anaesthetic anaphylaxis, follow the ANZAAG guidelines available in the operating theatres in the Anaphylaxis Box.</w:t>
      </w:r>
    </w:p>
    <w:p w14:paraId="0D616AFB" w14:textId="77777777" w:rsidR="00FA2BE1" w:rsidRPr="00AF27D9" w:rsidRDefault="00FA2BE1" w:rsidP="00FA2BE1">
      <w:pPr>
        <w:rPr>
          <w:rFonts w:cs="Arial"/>
          <w:iCs/>
          <w:szCs w:val="24"/>
        </w:rPr>
      </w:pPr>
    </w:p>
    <w:p w14:paraId="6D51DF65" w14:textId="77777777" w:rsidR="00FA2BE1" w:rsidRPr="00AF27D9" w:rsidRDefault="00FA2BE1" w:rsidP="00FA2BE1">
      <w:pPr>
        <w:rPr>
          <w:rFonts w:cs="Arial"/>
          <w:iCs/>
          <w:szCs w:val="24"/>
        </w:rPr>
      </w:pPr>
      <w:bookmarkStart w:id="38" w:name="_Toc105499962"/>
      <w:r w:rsidRPr="00AF27D9">
        <w:rPr>
          <w:rFonts w:cs="Arial"/>
          <w:iCs/>
          <w:szCs w:val="24"/>
        </w:rPr>
        <w:t>Observation time following anaphylaxis - A patient treated for anaphylaxis remains under clinical observation for at least 4 hours after their last dose of adrenaline, or overnight as appropriate ASCIA Acute Management of Anaphylaxis guidelines.</w:t>
      </w:r>
    </w:p>
    <w:p w14:paraId="78F41914" w14:textId="77777777" w:rsidR="00FA2BE1" w:rsidRPr="00AF27D9" w:rsidRDefault="00FA2BE1" w:rsidP="00FA2BE1">
      <w:pPr>
        <w:rPr>
          <w:rFonts w:cs="Arial"/>
          <w:iCs/>
          <w:szCs w:val="24"/>
        </w:rPr>
      </w:pPr>
    </w:p>
    <w:p w14:paraId="477309FA" w14:textId="77777777" w:rsidR="00FA2BE1" w:rsidRPr="00AF27D9" w:rsidRDefault="00FA2BE1" w:rsidP="00FA2BE1">
      <w:pPr>
        <w:rPr>
          <w:rFonts w:cs="Arial"/>
          <w:iCs/>
          <w:szCs w:val="24"/>
        </w:rPr>
      </w:pPr>
      <w:r w:rsidRPr="00AF27D9">
        <w:rPr>
          <w:rFonts w:cs="Arial"/>
          <w:iCs/>
          <w:szCs w:val="24"/>
        </w:rPr>
        <w:t>Observation timeframes are determined based on assessment and risk appraisal after initial treatment.</w:t>
      </w:r>
    </w:p>
    <w:bookmarkEnd w:id="38"/>
    <w:p w14:paraId="2352A373" w14:textId="77777777" w:rsidR="00FA2BE1" w:rsidRPr="00AF27D9" w:rsidRDefault="00FA2BE1" w:rsidP="00FA2BE1">
      <w:pPr>
        <w:rPr>
          <w:rFonts w:cs="Arial"/>
          <w:b/>
          <w:bCs/>
          <w:iCs/>
          <w:szCs w:val="24"/>
        </w:rPr>
      </w:pPr>
    </w:p>
    <w:p w14:paraId="34552E45" w14:textId="77777777" w:rsidR="00FA2BE1" w:rsidRPr="00AF27D9" w:rsidRDefault="00FA2BE1" w:rsidP="00FA2BE1">
      <w:pPr>
        <w:rPr>
          <w:rFonts w:cs="Arial"/>
          <w:iCs/>
          <w:szCs w:val="24"/>
        </w:rPr>
      </w:pPr>
      <w:r w:rsidRPr="00AF27D9">
        <w:rPr>
          <w:rFonts w:cs="Arial"/>
          <w:b/>
          <w:bCs/>
          <w:iCs/>
          <w:szCs w:val="24"/>
        </w:rPr>
        <w:t>For Anaphylaxis Treated in the</w:t>
      </w:r>
      <w:r w:rsidRPr="00AF27D9">
        <w:rPr>
          <w:rFonts w:cs="Arial"/>
          <w:b/>
          <w:iCs/>
          <w:szCs w:val="24"/>
        </w:rPr>
        <w:t xml:space="preserve"> </w:t>
      </w:r>
      <w:r w:rsidRPr="00AF27D9">
        <w:rPr>
          <w:rFonts w:cs="Arial"/>
          <w:b/>
          <w:bCs/>
          <w:iCs/>
          <w:szCs w:val="24"/>
        </w:rPr>
        <w:t>Canberra Hospital</w:t>
      </w:r>
      <w:r>
        <w:rPr>
          <w:rFonts w:cs="Arial"/>
          <w:b/>
          <w:bCs/>
          <w:iCs/>
          <w:szCs w:val="24"/>
        </w:rPr>
        <w:t xml:space="preserve">, North Canberra Hospital and </w:t>
      </w:r>
      <w:r w:rsidRPr="00AF27D9">
        <w:rPr>
          <w:rFonts w:cs="Arial"/>
          <w:b/>
          <w:bCs/>
          <w:iCs/>
          <w:szCs w:val="24"/>
        </w:rPr>
        <w:t xml:space="preserve">University of Canberra Hospital (including Emergency Department, </w:t>
      </w:r>
      <w:proofErr w:type="gramStart"/>
      <w:r w:rsidRPr="00AF27D9">
        <w:rPr>
          <w:rFonts w:cs="Arial"/>
          <w:b/>
          <w:bCs/>
          <w:iCs/>
          <w:szCs w:val="24"/>
        </w:rPr>
        <w:t>Wards</w:t>
      </w:r>
      <w:proofErr w:type="gramEnd"/>
      <w:r w:rsidRPr="00AF27D9">
        <w:rPr>
          <w:rFonts w:cs="Arial"/>
          <w:b/>
          <w:bCs/>
          <w:iCs/>
          <w:szCs w:val="24"/>
        </w:rPr>
        <w:t xml:space="preserve"> and Outpatient Areas) </w:t>
      </w:r>
      <w:r w:rsidRPr="00AF27D9">
        <w:rPr>
          <w:rFonts w:cs="Arial"/>
          <w:iCs/>
          <w:szCs w:val="24"/>
        </w:rPr>
        <w:t>in addition to the above steps the following is recommended:</w:t>
      </w:r>
    </w:p>
    <w:p w14:paraId="42DCEF73" w14:textId="77777777" w:rsidR="00FA2BE1" w:rsidRPr="00AF27D9" w:rsidRDefault="00FA2BE1" w:rsidP="00FA2BE1">
      <w:pPr>
        <w:pStyle w:val="ListBullet"/>
      </w:pPr>
      <w:r w:rsidRPr="00AF27D9">
        <w:t>If appropriate (i.e., allergen cannot be easily avoided in the future – i.e., food, venom), patient should be discharged with a script for an appropriate adrenaline autoinjector and one autoinjector.</w:t>
      </w:r>
    </w:p>
    <w:p w14:paraId="30DAD536" w14:textId="77777777" w:rsidR="00FA2BE1" w:rsidRPr="00AF27D9" w:rsidRDefault="00FA2BE1" w:rsidP="00FA2BE1">
      <w:pPr>
        <w:pStyle w:val="ListBullet"/>
      </w:pPr>
      <w:r w:rsidRPr="00AF27D9">
        <w:t>Patients who have received adrenaline in hospital for anaphylaxis are eligible for a Pharmaceutical Benefits Scheme (PBS) supported adrenaline autoinjector without the need for consultation (however consultation with an immunologist is recommended).</w:t>
      </w:r>
    </w:p>
    <w:p w14:paraId="56324891" w14:textId="77777777" w:rsidR="00FA2BE1" w:rsidRDefault="00FA2BE1" w:rsidP="00FA2BE1">
      <w:pPr>
        <w:pStyle w:val="ListBullet"/>
      </w:pPr>
      <w:r w:rsidRPr="00AF27D9">
        <w:t>The patient or parents should be educated on the administration of an autoinjector prior to discharge. Patient should also be given an Anaphylaxis Action plan (</w:t>
      </w:r>
      <w:r w:rsidRPr="00AF27D9">
        <w:rPr>
          <w:u w:val="single"/>
        </w:rPr>
        <w:t>Attachment A</w:t>
      </w:r>
      <w:r w:rsidRPr="00AF27D9">
        <w:t>).</w:t>
      </w:r>
    </w:p>
    <w:p w14:paraId="6216B53F" w14:textId="77777777" w:rsidR="00FA2BE1" w:rsidRPr="00AF27D9" w:rsidRDefault="00FA2BE1" w:rsidP="00FA2BE1">
      <w:pPr>
        <w:pStyle w:val="ListBullet"/>
        <w:numPr>
          <w:ilvl w:val="0"/>
          <w:numId w:val="0"/>
        </w:numPr>
        <w:ind w:left="426"/>
      </w:pPr>
    </w:p>
    <w:p w14:paraId="1C34122C" w14:textId="77777777" w:rsidR="00FA2BE1" w:rsidRPr="00AF27D9" w:rsidRDefault="00FA2BE1" w:rsidP="00FA2BE1">
      <w:pPr>
        <w:rPr>
          <w:rFonts w:cs="Arial"/>
          <w:iCs/>
          <w:szCs w:val="24"/>
        </w:rPr>
      </w:pPr>
      <w:r w:rsidRPr="00AF27D9">
        <w:rPr>
          <w:rFonts w:cs="Arial"/>
          <w:iCs/>
          <w:szCs w:val="24"/>
        </w:rPr>
        <w:t>An adrenaline autoinjector is not required for an easily avoidable allergy, (e.g. prescribed medications).</w:t>
      </w:r>
    </w:p>
    <w:p w14:paraId="14A9E520" w14:textId="77777777" w:rsidR="00FA2BE1" w:rsidRPr="00AF27D9" w:rsidRDefault="00FA2BE1" w:rsidP="00FA2BE1">
      <w:pPr>
        <w:pStyle w:val="ListBullet"/>
      </w:pPr>
      <w:r w:rsidRPr="00AF27D9">
        <w:t>Follow up should be arranged in the Immunology clinic, Allergy clinic or Anaesthetic Allergy clinic as appropriate. Please fax to 5124 5543. Contact Registrar or Consultant on call to ensure referral</w:t>
      </w:r>
      <w:r>
        <w:t>.</w:t>
      </w:r>
    </w:p>
    <w:p w14:paraId="54C7A682" w14:textId="77777777" w:rsidR="00FA2BE1" w:rsidRPr="00AF27D9" w:rsidRDefault="00FA2BE1" w:rsidP="00FA2BE1">
      <w:pPr>
        <w:pStyle w:val="ListBullet"/>
      </w:pPr>
      <w:r w:rsidRPr="00AF27D9">
        <w:t xml:space="preserve">Immediately modify the patient’s </w:t>
      </w:r>
      <w:r>
        <w:t>health</w:t>
      </w:r>
      <w:r w:rsidRPr="00AF27D9">
        <w:t xml:space="preserve"> record and alerts </w:t>
      </w:r>
      <w:r>
        <w:t xml:space="preserve">in the DHR </w:t>
      </w:r>
      <w:r w:rsidRPr="00AF27D9">
        <w:t>to reflect the likely cause(s) of the anaphylaxis. If the anaphylaxis was caused by a medication, ensure that a notification</w:t>
      </w:r>
      <w:r>
        <w:t xml:space="preserve"> </w:t>
      </w:r>
      <w:r w:rsidRPr="00AF27D9">
        <w:t>is made to the ACT Adverse Drug Reaction Committee.</w:t>
      </w:r>
    </w:p>
    <w:p w14:paraId="0A4BB7AD" w14:textId="77777777" w:rsidR="00FA2BE1" w:rsidRPr="00AF27D9" w:rsidRDefault="00FA2BE1" w:rsidP="00FA2BE1">
      <w:pPr>
        <w:rPr>
          <w:rFonts w:cs="Arial"/>
          <w:iCs/>
          <w:szCs w:val="24"/>
        </w:rPr>
      </w:pPr>
    </w:p>
    <w:p w14:paraId="15D21149" w14:textId="77777777" w:rsidR="00FA2BE1" w:rsidRPr="00AF27D9" w:rsidRDefault="00FA2BE1" w:rsidP="00FA2BE1">
      <w:pPr>
        <w:rPr>
          <w:rFonts w:cs="Arial"/>
          <w:b/>
          <w:bCs/>
          <w:iCs/>
          <w:szCs w:val="24"/>
        </w:rPr>
      </w:pPr>
      <w:bookmarkStart w:id="39" w:name="_Toc106977840"/>
      <w:bookmarkStart w:id="40" w:name="_Toc106977981"/>
      <w:r w:rsidRPr="00AF27D9">
        <w:rPr>
          <w:rFonts w:cs="Arial"/>
          <w:b/>
          <w:bCs/>
          <w:iCs/>
          <w:szCs w:val="24"/>
        </w:rPr>
        <w:t>Discharge Management and Documentation</w:t>
      </w:r>
      <w:bookmarkEnd w:id="39"/>
      <w:bookmarkEnd w:id="40"/>
    </w:p>
    <w:p w14:paraId="36EDE228" w14:textId="77777777" w:rsidR="00FA2BE1" w:rsidRPr="00AF27D9" w:rsidRDefault="00FA2BE1" w:rsidP="00FA2BE1">
      <w:pPr>
        <w:rPr>
          <w:rFonts w:cs="Arial"/>
          <w:b/>
          <w:bCs/>
          <w:iCs/>
          <w:szCs w:val="24"/>
        </w:rPr>
      </w:pPr>
      <w:r w:rsidRPr="00AF27D9">
        <w:rPr>
          <w:rFonts w:cs="Arial"/>
          <w:iCs/>
          <w:szCs w:val="24"/>
        </w:rPr>
        <w:t xml:space="preserve">Before a patient leaves a healthcare facility (either as an inpatient or outpatient) after having anaphylaxis, they are to be advised of the suspected allergen, allergen avoidance strategies and post-discharge care. </w:t>
      </w:r>
    </w:p>
    <w:p w14:paraId="5F09DAB1" w14:textId="77777777" w:rsidR="00FA2BE1" w:rsidRPr="00AF27D9" w:rsidRDefault="00FA2BE1" w:rsidP="00FA2BE1">
      <w:pPr>
        <w:rPr>
          <w:rFonts w:cs="Arial"/>
          <w:iCs/>
          <w:szCs w:val="24"/>
        </w:rPr>
      </w:pPr>
    </w:p>
    <w:p w14:paraId="1817A10E" w14:textId="77777777" w:rsidR="00FA2BE1" w:rsidRPr="00AF27D9" w:rsidRDefault="00FA2BE1" w:rsidP="00FA2BE1">
      <w:pPr>
        <w:rPr>
          <w:rFonts w:cs="Arial"/>
          <w:b/>
          <w:bCs/>
          <w:iCs/>
          <w:szCs w:val="24"/>
        </w:rPr>
      </w:pPr>
      <w:r w:rsidRPr="00AF27D9">
        <w:rPr>
          <w:rFonts w:cs="Arial"/>
          <w:iCs/>
          <w:szCs w:val="24"/>
        </w:rPr>
        <w:t>The discharge care plan is tailored to the allergen and includes details of the suspected allergen, the appropriate ASCIA Action Plan, and the need for prompt follow-up with a general practitioner within one week and clinical immunology/anaesthetic allergy specialist review. Provide and discuss with patient the Anaphylaxis discharge checklist and discussion guide (</w:t>
      </w:r>
      <w:r w:rsidRPr="00AF27D9">
        <w:rPr>
          <w:rFonts w:cs="Arial"/>
          <w:iCs/>
          <w:szCs w:val="24"/>
          <w:u w:val="single"/>
        </w:rPr>
        <w:t>Attachment H</w:t>
      </w:r>
      <w:r w:rsidRPr="00AF27D9">
        <w:rPr>
          <w:rFonts w:cs="Arial"/>
          <w:iCs/>
          <w:szCs w:val="24"/>
        </w:rPr>
        <w:t xml:space="preserve">). </w:t>
      </w:r>
    </w:p>
    <w:p w14:paraId="5D8A4703" w14:textId="77777777" w:rsidR="00FA2BE1" w:rsidRPr="00AF27D9" w:rsidRDefault="00FA2BE1" w:rsidP="00FA2BE1">
      <w:pPr>
        <w:rPr>
          <w:rFonts w:cs="Arial"/>
          <w:iCs/>
          <w:szCs w:val="24"/>
        </w:rPr>
      </w:pPr>
    </w:p>
    <w:p w14:paraId="1CD32F62" w14:textId="77777777" w:rsidR="00FA2BE1" w:rsidRPr="00AF27D9" w:rsidRDefault="00FA2BE1" w:rsidP="00FA2BE1">
      <w:pPr>
        <w:rPr>
          <w:rFonts w:cs="Arial"/>
          <w:iCs/>
          <w:szCs w:val="24"/>
        </w:rPr>
      </w:pPr>
      <w:r w:rsidRPr="00AF27D9">
        <w:rPr>
          <w:rFonts w:cs="Arial"/>
          <w:iCs/>
          <w:szCs w:val="24"/>
        </w:rPr>
        <w:t>Where there is a risk of re-exposure, the patient will be discharged with a workable autoinjector and a prescription for a personal adrenaline injector. The patient must be trained in its use.</w:t>
      </w:r>
    </w:p>
    <w:p w14:paraId="6CCD8EA7" w14:textId="77777777" w:rsidR="00FA2BE1" w:rsidRPr="00AF27D9" w:rsidRDefault="00FA2BE1" w:rsidP="00FA2BE1">
      <w:pPr>
        <w:rPr>
          <w:rFonts w:cs="Arial"/>
          <w:iCs/>
          <w:szCs w:val="24"/>
        </w:rPr>
      </w:pPr>
    </w:p>
    <w:p w14:paraId="24E68485" w14:textId="77777777" w:rsidR="00FA2BE1" w:rsidRPr="00AF27D9" w:rsidRDefault="00FA2BE1" w:rsidP="00FA2BE1">
      <w:pPr>
        <w:rPr>
          <w:rFonts w:cs="Arial"/>
          <w:iCs/>
          <w:szCs w:val="24"/>
        </w:rPr>
      </w:pPr>
      <w:r w:rsidRPr="00AF27D9">
        <w:rPr>
          <w:rFonts w:cs="Arial"/>
          <w:iCs/>
          <w:szCs w:val="24"/>
        </w:rPr>
        <w:t>Details of the allergen, the anaphylactic reaction and discharge care arrangements are documented in the patient’s healthcare record.</w:t>
      </w:r>
    </w:p>
    <w:p w14:paraId="3A76B2DD" w14:textId="77777777" w:rsidR="00FA2BE1" w:rsidRPr="00AF27D9" w:rsidRDefault="00FA2BE1" w:rsidP="00FA2BE1">
      <w:pPr>
        <w:rPr>
          <w:rFonts w:cs="Arial"/>
          <w:iCs/>
          <w:szCs w:val="24"/>
        </w:rPr>
      </w:pPr>
    </w:p>
    <w:p w14:paraId="76B8AC3D" w14:textId="77777777" w:rsidR="00FA2BE1" w:rsidRPr="00AF27D9" w:rsidRDefault="00FA2BE1" w:rsidP="00FA2BE1">
      <w:pPr>
        <w:rPr>
          <w:rFonts w:cs="Arial"/>
          <w:iCs/>
          <w:szCs w:val="24"/>
        </w:rPr>
      </w:pPr>
      <w:r w:rsidRPr="00AF27D9">
        <w:rPr>
          <w:rFonts w:cs="Arial"/>
          <w:iCs/>
          <w:szCs w:val="24"/>
        </w:rPr>
        <w:t xml:space="preserve">Reporting and documentation should be completed as per the requirements in the </w:t>
      </w:r>
      <w:r w:rsidRPr="00AF27D9">
        <w:rPr>
          <w:rFonts w:cs="Arial"/>
          <w:i/>
          <w:iCs/>
          <w:szCs w:val="24"/>
        </w:rPr>
        <w:t>Medication Handling Policy</w:t>
      </w:r>
      <w:r>
        <w:rPr>
          <w:rFonts w:cs="Arial"/>
          <w:i/>
          <w:iCs/>
          <w:szCs w:val="24"/>
        </w:rPr>
        <w:t>/Procedure</w:t>
      </w:r>
      <w:r>
        <w:rPr>
          <w:rFonts w:cs="Arial"/>
          <w:iCs/>
          <w:szCs w:val="24"/>
        </w:rPr>
        <w:t xml:space="preserve"> and</w:t>
      </w:r>
      <w:r w:rsidRPr="00AF27D9">
        <w:rPr>
          <w:rFonts w:cs="Arial"/>
          <w:i/>
          <w:iCs/>
          <w:szCs w:val="24"/>
        </w:rPr>
        <w:t xml:space="preserve"> Clinical Handover Procedure</w:t>
      </w:r>
      <w:r>
        <w:rPr>
          <w:rFonts w:cs="Arial"/>
          <w:i/>
          <w:iCs/>
          <w:szCs w:val="24"/>
        </w:rPr>
        <w:t xml:space="preserve"> </w:t>
      </w:r>
      <w:r>
        <w:rPr>
          <w:rFonts w:cs="Arial"/>
          <w:szCs w:val="24"/>
        </w:rPr>
        <w:t>for your facility</w:t>
      </w:r>
      <w:r w:rsidRPr="00AF27D9">
        <w:rPr>
          <w:rFonts w:cs="Arial"/>
          <w:i/>
          <w:iCs/>
          <w:szCs w:val="24"/>
        </w:rPr>
        <w:t xml:space="preserve"> </w:t>
      </w:r>
      <w:r w:rsidRPr="00AF27D9">
        <w:rPr>
          <w:rFonts w:cs="Arial"/>
          <w:iCs/>
          <w:szCs w:val="24"/>
        </w:rPr>
        <w:t>and individual area requirements.</w:t>
      </w:r>
    </w:p>
    <w:p w14:paraId="25B485D7" w14:textId="77777777" w:rsidR="00FA2BE1" w:rsidRDefault="00FA2BE1" w:rsidP="00FA2BE1">
      <w:pPr>
        <w:rPr>
          <w:rFonts w:cs="Arial"/>
          <w:b/>
          <w:szCs w:val="24"/>
        </w:rPr>
      </w:pPr>
    </w:p>
    <w:p w14:paraId="197F4F51" w14:textId="77777777" w:rsidR="00FA2BE1" w:rsidRPr="00D963F9" w:rsidRDefault="00FA2BE1" w:rsidP="00FA2BE1">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17638788" w14:textId="77777777" w:rsidTr="00841616">
        <w:trPr>
          <w:cantSplit/>
          <w:trHeight w:val="285"/>
        </w:trPr>
        <w:tc>
          <w:tcPr>
            <w:tcW w:w="9158" w:type="dxa"/>
            <w:shd w:val="clear" w:color="auto" w:fill="D9D9D9" w:themeFill="background1" w:themeFillShade="D9"/>
          </w:tcPr>
          <w:p w14:paraId="44129178" w14:textId="77777777" w:rsidR="00FA2BE1" w:rsidRPr="003D2D06" w:rsidRDefault="00FA2BE1" w:rsidP="00841616">
            <w:pPr>
              <w:pStyle w:val="Heading1"/>
            </w:pPr>
            <w:bookmarkStart w:id="41" w:name="_Toc164338499"/>
            <w:r w:rsidRPr="003D2D06">
              <w:t xml:space="preserve">Section </w:t>
            </w:r>
            <w:r>
              <w:t>5</w:t>
            </w:r>
            <w:r w:rsidRPr="003D2D06">
              <w:t xml:space="preserve"> – </w:t>
            </w:r>
            <w:r>
              <w:t>Different Diagnosis</w:t>
            </w:r>
            <w:bookmarkEnd w:id="41"/>
          </w:p>
        </w:tc>
      </w:tr>
    </w:tbl>
    <w:p w14:paraId="60532533" w14:textId="77777777" w:rsidR="00FA2BE1" w:rsidRDefault="00FA2BE1" w:rsidP="00FA2BE1">
      <w:pPr>
        <w:pStyle w:val="Heading2"/>
      </w:pPr>
    </w:p>
    <w:p w14:paraId="70C70997" w14:textId="77777777" w:rsidR="00FA2BE1" w:rsidRPr="00AF27D9" w:rsidRDefault="00FA2BE1" w:rsidP="00FA2BE1">
      <w:pPr>
        <w:rPr>
          <w:rFonts w:cs="Arial"/>
          <w:iCs/>
          <w:szCs w:val="24"/>
        </w:rPr>
      </w:pPr>
      <w:r w:rsidRPr="00AF27D9">
        <w:rPr>
          <w:rFonts w:cs="Arial"/>
          <w:iCs/>
          <w:szCs w:val="24"/>
        </w:rPr>
        <w:t>In cases where the patient does not respond to adrenaline (i.e., two doses are given without improvement in condition), anaphylaxis may not be the correct diagnosis, or the patient might be on another treatment that prevents adrenaline from working.</w:t>
      </w:r>
    </w:p>
    <w:p w14:paraId="1EC7CD8F" w14:textId="77777777" w:rsidR="00FA2BE1" w:rsidRPr="00AF27D9" w:rsidRDefault="00FA2BE1" w:rsidP="00FA2BE1">
      <w:pPr>
        <w:rPr>
          <w:rFonts w:cs="Arial"/>
          <w:iCs/>
          <w:szCs w:val="24"/>
        </w:rPr>
      </w:pPr>
    </w:p>
    <w:p w14:paraId="7225A968" w14:textId="77777777" w:rsidR="00FA2BE1" w:rsidRPr="00AF27D9" w:rsidRDefault="00FA2BE1" w:rsidP="00FA2BE1">
      <w:pPr>
        <w:rPr>
          <w:rFonts w:cs="Arial"/>
          <w:iCs/>
          <w:szCs w:val="24"/>
        </w:rPr>
      </w:pPr>
      <w:r w:rsidRPr="00AF27D9">
        <w:rPr>
          <w:rFonts w:cs="Arial"/>
          <w:iCs/>
          <w:szCs w:val="24"/>
        </w:rPr>
        <w:t>Examples of such treatments include:</w:t>
      </w:r>
    </w:p>
    <w:p w14:paraId="29E0FF68" w14:textId="77777777" w:rsidR="00FA2BE1" w:rsidRPr="00AF27D9" w:rsidRDefault="00FA2BE1" w:rsidP="00FA2BE1">
      <w:pPr>
        <w:pStyle w:val="ListBullet"/>
      </w:pPr>
      <w:r w:rsidRPr="00AF27D9">
        <w:t xml:space="preserve">ACE inhibitors such as ramipril can cause </w:t>
      </w:r>
      <w:proofErr w:type="gramStart"/>
      <w:r w:rsidRPr="00AF27D9">
        <w:t>angioedema</w:t>
      </w:r>
      <w:proofErr w:type="gramEnd"/>
    </w:p>
    <w:p w14:paraId="37B2FFBD" w14:textId="77777777" w:rsidR="00FA2BE1" w:rsidRPr="00AF27D9" w:rsidRDefault="00FA2BE1" w:rsidP="00FA2BE1">
      <w:pPr>
        <w:pStyle w:val="ListBullet"/>
      </w:pPr>
      <w:r w:rsidRPr="00AF27D9">
        <w:t xml:space="preserve">Monoclonal antibodies can cause immune activation that result in cardiovascular </w:t>
      </w:r>
      <w:proofErr w:type="gramStart"/>
      <w:r w:rsidRPr="00AF27D9">
        <w:t>collapse</w:t>
      </w:r>
      <w:proofErr w:type="gramEnd"/>
    </w:p>
    <w:p w14:paraId="6909D006" w14:textId="77777777" w:rsidR="00FA2BE1" w:rsidRPr="00AF27D9" w:rsidRDefault="00FA2BE1" w:rsidP="00FA2BE1">
      <w:pPr>
        <w:pStyle w:val="ListBullet"/>
      </w:pPr>
      <w:r w:rsidRPr="00AF27D9">
        <w:t>Beta blockers inhibit some actions of adrenaline.</w:t>
      </w:r>
    </w:p>
    <w:p w14:paraId="387E5244" w14:textId="77777777" w:rsidR="00FA2BE1" w:rsidRPr="00AF27D9" w:rsidRDefault="00FA2BE1" w:rsidP="00FA2BE1">
      <w:pPr>
        <w:rPr>
          <w:rFonts w:cs="Arial"/>
          <w:iCs/>
          <w:szCs w:val="24"/>
        </w:rPr>
      </w:pPr>
    </w:p>
    <w:p w14:paraId="6126DD9B" w14:textId="77777777" w:rsidR="00FA2BE1" w:rsidRPr="00AF27D9" w:rsidRDefault="00FA2BE1" w:rsidP="00FA2BE1">
      <w:pPr>
        <w:rPr>
          <w:rFonts w:cs="Arial"/>
          <w:iCs/>
          <w:szCs w:val="24"/>
        </w:rPr>
      </w:pPr>
      <w:r w:rsidRPr="00AF27D9">
        <w:rPr>
          <w:rFonts w:cs="Arial"/>
          <w:iCs/>
          <w:szCs w:val="24"/>
        </w:rPr>
        <w:t xml:space="preserve">In these cases, in addition to steps already taken (e.g., contacting MET or ACTAS) seek urgent medical advice about patient management from Immunology, via the </w:t>
      </w:r>
      <w:r>
        <w:rPr>
          <w:rFonts w:cs="Arial"/>
          <w:iCs/>
          <w:szCs w:val="24"/>
        </w:rPr>
        <w:t>Facility</w:t>
      </w:r>
      <w:r w:rsidRPr="00AF27D9">
        <w:rPr>
          <w:rFonts w:cs="Arial"/>
          <w:iCs/>
          <w:szCs w:val="24"/>
        </w:rPr>
        <w:t xml:space="preserve"> Switchboard</w:t>
      </w:r>
      <w:r>
        <w:rPr>
          <w:rFonts w:cs="Arial"/>
          <w:iCs/>
          <w:szCs w:val="24"/>
        </w:rPr>
        <w:t>.</w:t>
      </w:r>
    </w:p>
    <w:p w14:paraId="2B107A85" w14:textId="77777777" w:rsidR="00FA2BE1" w:rsidRDefault="00FA2BE1" w:rsidP="00FA2BE1">
      <w:pPr>
        <w:rPr>
          <w:rFonts w:cs="Arial"/>
          <w:b/>
          <w:szCs w:val="24"/>
        </w:rPr>
      </w:pPr>
    </w:p>
    <w:p w14:paraId="323919C8" w14:textId="77777777" w:rsidR="00FA2BE1" w:rsidRDefault="00FA2BE1" w:rsidP="00FA2BE1">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p>
    <w:p w14:paraId="539EE2D9" w14:textId="77777777" w:rsidR="00FA2BE1" w:rsidRDefault="00FA2BE1" w:rsidP="00FA2BE1">
      <w:pPr>
        <w:jc w:val="right"/>
        <w:rPr>
          <w:rStyle w:val="Hyperlink"/>
          <w:rFonts w:eastAsiaTheme="majorEastAsia"/>
          <w:i/>
        </w:rPr>
      </w:pPr>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4C346D5E" w14:textId="77777777" w:rsidTr="00841616">
        <w:trPr>
          <w:cantSplit/>
          <w:trHeight w:val="285"/>
        </w:trPr>
        <w:tc>
          <w:tcPr>
            <w:tcW w:w="9158" w:type="dxa"/>
            <w:shd w:val="clear" w:color="auto" w:fill="D9D9D9" w:themeFill="background1" w:themeFillShade="D9"/>
          </w:tcPr>
          <w:p w14:paraId="11718CD4" w14:textId="77777777" w:rsidR="00FA2BE1" w:rsidRPr="003D2D06" w:rsidRDefault="00FA2BE1" w:rsidP="00841616">
            <w:pPr>
              <w:pStyle w:val="Heading1"/>
            </w:pPr>
            <w:bookmarkStart w:id="42" w:name="_Toc164338500"/>
            <w:r w:rsidRPr="003D2D06">
              <w:t xml:space="preserve">Section </w:t>
            </w:r>
            <w:r>
              <w:t>6A</w:t>
            </w:r>
            <w:r w:rsidRPr="003D2D06">
              <w:t xml:space="preserve"> – </w:t>
            </w:r>
            <w:r>
              <w:t>Hospital in the Home (HITH) – Canberra Hospital and University of Canberra Hospital</w:t>
            </w:r>
            <w:bookmarkEnd w:id="42"/>
            <w:r>
              <w:t xml:space="preserve"> </w:t>
            </w:r>
          </w:p>
        </w:tc>
      </w:tr>
    </w:tbl>
    <w:p w14:paraId="12548C83" w14:textId="77777777" w:rsidR="00FA2BE1" w:rsidRDefault="00FA2BE1" w:rsidP="00FA2BE1">
      <w:pPr>
        <w:pStyle w:val="Heading2"/>
      </w:pPr>
    </w:p>
    <w:p w14:paraId="509F3D81" w14:textId="77777777" w:rsidR="00FA2BE1" w:rsidRPr="00AF27D9" w:rsidRDefault="00FA2BE1" w:rsidP="00FA2BE1">
      <w:pPr>
        <w:rPr>
          <w:rFonts w:cs="Arial"/>
          <w:iCs/>
          <w:szCs w:val="24"/>
        </w:rPr>
      </w:pPr>
      <w:r w:rsidRPr="00AF27D9">
        <w:rPr>
          <w:rFonts w:cs="Arial"/>
          <w:iCs/>
          <w:szCs w:val="24"/>
        </w:rPr>
        <w:t>This section applies to HITH nurses and the HITH hospital-based clinics. HITH nurses will carry and supply adrenaline in the Anaphylaxis kit.</w:t>
      </w:r>
    </w:p>
    <w:p w14:paraId="08075562" w14:textId="77777777" w:rsidR="00FA2BE1" w:rsidRPr="00AF27D9" w:rsidRDefault="00FA2BE1" w:rsidP="00FA2BE1">
      <w:pPr>
        <w:rPr>
          <w:rFonts w:cs="Arial"/>
          <w:iCs/>
          <w:szCs w:val="24"/>
        </w:rPr>
      </w:pPr>
    </w:p>
    <w:p w14:paraId="1C634A13" w14:textId="77777777" w:rsidR="00FA2BE1" w:rsidRPr="00AF27D9" w:rsidRDefault="00FA2BE1" w:rsidP="00FA2BE1">
      <w:pPr>
        <w:rPr>
          <w:rFonts w:cs="Arial"/>
          <w:iCs/>
          <w:szCs w:val="24"/>
        </w:rPr>
      </w:pPr>
      <w:r w:rsidRPr="00AF27D9">
        <w:rPr>
          <w:rFonts w:cs="Arial"/>
          <w:iCs/>
          <w:szCs w:val="24"/>
        </w:rPr>
        <w:lastRenderedPageBreak/>
        <w:t>Prior to administering IV Antibiotics the HITH nurse will</w:t>
      </w:r>
      <w:r>
        <w:rPr>
          <w:rFonts w:cs="Arial"/>
          <w:iCs/>
          <w:szCs w:val="24"/>
        </w:rPr>
        <w:t>:</w:t>
      </w:r>
    </w:p>
    <w:p w14:paraId="281D7A98" w14:textId="77777777" w:rsidR="00FA2BE1" w:rsidRPr="00AF27D9" w:rsidRDefault="00FA2BE1" w:rsidP="00FA2BE1">
      <w:pPr>
        <w:pStyle w:val="ListBullet"/>
      </w:pPr>
      <w:r w:rsidRPr="00AF27D9">
        <w:t>Ensure that the patient has received the first dose of the antibiotic at the HITH clinic (except in the case of a patient in a Residential Aged Care Facility)</w:t>
      </w:r>
    </w:p>
    <w:p w14:paraId="0DF4DBD5" w14:textId="77777777" w:rsidR="00FA2BE1" w:rsidRPr="00AF27D9" w:rsidRDefault="00FA2BE1" w:rsidP="00FA2BE1">
      <w:pPr>
        <w:rPr>
          <w:rFonts w:cs="Arial"/>
          <w:iCs/>
          <w:szCs w:val="24"/>
        </w:rPr>
      </w:pPr>
    </w:p>
    <w:p w14:paraId="05A24037" w14:textId="77777777" w:rsidR="00FA2BE1" w:rsidRPr="00AF27D9" w:rsidRDefault="00FA2BE1" w:rsidP="00FA2BE1">
      <w:pPr>
        <w:pBdr>
          <w:top w:val="single" w:sz="4" w:space="1" w:color="auto"/>
          <w:left w:val="single" w:sz="4" w:space="4" w:color="auto"/>
          <w:bottom w:val="single" w:sz="4" w:space="1" w:color="auto"/>
          <w:right w:val="single" w:sz="4" w:space="4" w:color="auto"/>
        </w:pBdr>
        <w:rPr>
          <w:rFonts w:cs="Arial"/>
          <w:b/>
          <w:bCs/>
          <w:iCs/>
          <w:szCs w:val="24"/>
        </w:rPr>
      </w:pPr>
      <w:r w:rsidRPr="00AF27D9">
        <w:rPr>
          <w:rFonts w:cs="Arial"/>
          <w:b/>
          <w:bCs/>
          <w:iCs/>
          <w:szCs w:val="24"/>
        </w:rPr>
        <w:t>Note</w:t>
      </w:r>
    </w:p>
    <w:p w14:paraId="3C863C8C" w14:textId="77777777" w:rsidR="00FA2BE1" w:rsidRPr="00AF27D9" w:rsidRDefault="00FA2BE1" w:rsidP="00FA2BE1">
      <w:pPr>
        <w:pBdr>
          <w:top w:val="single" w:sz="4" w:space="1" w:color="auto"/>
          <w:left w:val="single" w:sz="4" w:space="4" w:color="auto"/>
          <w:bottom w:val="single" w:sz="4" w:space="1" w:color="auto"/>
          <w:right w:val="single" w:sz="4" w:space="4" w:color="auto"/>
        </w:pBdr>
        <w:rPr>
          <w:rFonts w:cs="Arial"/>
          <w:iCs/>
          <w:szCs w:val="24"/>
        </w:rPr>
      </w:pPr>
      <w:r w:rsidRPr="00AF27D9">
        <w:rPr>
          <w:rFonts w:cs="Arial"/>
          <w:iCs/>
          <w:szCs w:val="24"/>
        </w:rPr>
        <w:t>HITH nurses do not administer the first dose of any parenteral medication in the patients’ home, but may do so in a Residential Aged Care Facility</w:t>
      </w:r>
    </w:p>
    <w:p w14:paraId="04CD940A" w14:textId="77777777" w:rsidR="00FA2BE1" w:rsidRPr="00AF27D9" w:rsidRDefault="00FA2BE1" w:rsidP="00FA2BE1">
      <w:pPr>
        <w:rPr>
          <w:rFonts w:cs="Arial"/>
          <w:iCs/>
          <w:szCs w:val="24"/>
        </w:rPr>
      </w:pPr>
    </w:p>
    <w:p w14:paraId="5DB4FA8E" w14:textId="77777777" w:rsidR="00FA2BE1" w:rsidRPr="00A84816" w:rsidRDefault="00FA2BE1" w:rsidP="00FA2BE1">
      <w:pPr>
        <w:pStyle w:val="ListBullet"/>
      </w:pPr>
      <w:r w:rsidRPr="00A84816">
        <w:t>Ensure a medical order for the administration of Adrenaline is documented on the PRN section of the medication chart</w:t>
      </w:r>
      <w:r>
        <w:t xml:space="preserve"> (for UCH and Canberra Hospital only).</w:t>
      </w:r>
    </w:p>
    <w:p w14:paraId="02FCF8E6" w14:textId="77777777" w:rsidR="00FA2BE1" w:rsidRPr="00AF27D9" w:rsidRDefault="00FA2BE1" w:rsidP="00FA2BE1">
      <w:pPr>
        <w:pStyle w:val="ListBullet"/>
      </w:pPr>
      <w:r w:rsidRPr="00AF27D9">
        <w:t>Ensure that the following is available in the HITH Anaphylaxis Kit:</w:t>
      </w:r>
    </w:p>
    <w:p w14:paraId="3DE544D4" w14:textId="77777777" w:rsidR="00FA2BE1" w:rsidRPr="00AF27D9" w:rsidRDefault="00FA2BE1" w:rsidP="00FA2BE1">
      <w:pPr>
        <w:pStyle w:val="ListBullet"/>
        <w:numPr>
          <w:ilvl w:val="0"/>
          <w:numId w:val="35"/>
        </w:numPr>
        <w:ind w:left="851" w:hanging="425"/>
      </w:pPr>
      <w:r w:rsidRPr="00AF27D9">
        <w:t>Two vials of Adrenaline 1:1000 (1m</w:t>
      </w:r>
      <w:r>
        <w:t>L</w:t>
      </w:r>
      <w:r w:rsidRPr="00AF27D9">
        <w:t xml:space="preserve"> each vial)</w:t>
      </w:r>
    </w:p>
    <w:p w14:paraId="1F8E587B" w14:textId="77777777" w:rsidR="00FA2BE1" w:rsidRPr="00AF27D9" w:rsidRDefault="00FA2BE1" w:rsidP="00FA2BE1">
      <w:pPr>
        <w:pStyle w:val="ListBullet"/>
        <w:numPr>
          <w:ilvl w:val="0"/>
          <w:numId w:val="35"/>
        </w:numPr>
        <w:ind w:left="851" w:hanging="425"/>
      </w:pPr>
      <w:r w:rsidRPr="00AF27D9">
        <w:t>1mL syringes, drawing up needles and 23-gauge needles.</w:t>
      </w:r>
    </w:p>
    <w:p w14:paraId="32E51A89" w14:textId="77777777" w:rsidR="00FA2BE1" w:rsidRPr="00AF27D9" w:rsidRDefault="00FA2BE1" w:rsidP="00FA2BE1">
      <w:pPr>
        <w:rPr>
          <w:rFonts w:cs="Arial"/>
          <w:iCs/>
          <w:szCs w:val="24"/>
        </w:rPr>
      </w:pPr>
    </w:p>
    <w:p w14:paraId="1A37C7EC" w14:textId="77777777" w:rsidR="00FA2BE1" w:rsidRPr="00AF27D9" w:rsidRDefault="00FA2BE1" w:rsidP="00FA2BE1">
      <w:pPr>
        <w:rPr>
          <w:rFonts w:cs="Arial"/>
          <w:b/>
          <w:bCs/>
          <w:iCs/>
          <w:szCs w:val="24"/>
        </w:rPr>
      </w:pPr>
      <w:bookmarkStart w:id="43" w:name="_Toc105499965"/>
      <w:bookmarkStart w:id="44" w:name="_Toc106977843"/>
      <w:bookmarkStart w:id="45" w:name="_Toc106977984"/>
      <w:r w:rsidRPr="00AF27D9">
        <w:rPr>
          <w:rFonts w:cs="Arial"/>
          <w:b/>
          <w:bCs/>
          <w:iCs/>
          <w:szCs w:val="24"/>
        </w:rPr>
        <w:t>Management of Mild to Moderate Signs and Symptoms (see Section 2 for definition):</w:t>
      </w:r>
      <w:bookmarkEnd w:id="43"/>
      <w:bookmarkEnd w:id="44"/>
      <w:bookmarkEnd w:id="45"/>
    </w:p>
    <w:p w14:paraId="68FD6D84" w14:textId="77777777" w:rsidR="00FA2BE1" w:rsidRPr="00AF27D9" w:rsidRDefault="00FA2BE1" w:rsidP="00FA2BE1">
      <w:pPr>
        <w:numPr>
          <w:ilvl w:val="0"/>
          <w:numId w:val="20"/>
        </w:numPr>
        <w:rPr>
          <w:rFonts w:cs="Arial"/>
          <w:iCs/>
          <w:szCs w:val="24"/>
        </w:rPr>
      </w:pPr>
      <w:r w:rsidRPr="00AF27D9">
        <w:rPr>
          <w:rFonts w:cs="Arial"/>
          <w:iCs/>
          <w:szCs w:val="24"/>
        </w:rPr>
        <w:t>Cease administration of IV Antibiotic</w:t>
      </w:r>
    </w:p>
    <w:p w14:paraId="5D5F576A" w14:textId="77777777" w:rsidR="00FA2BE1" w:rsidRPr="00AF27D9" w:rsidRDefault="00FA2BE1" w:rsidP="00FA2BE1">
      <w:pPr>
        <w:numPr>
          <w:ilvl w:val="0"/>
          <w:numId w:val="20"/>
        </w:numPr>
        <w:rPr>
          <w:rFonts w:cs="Arial"/>
          <w:iCs/>
          <w:szCs w:val="24"/>
        </w:rPr>
      </w:pPr>
      <w:r w:rsidRPr="00AF27D9">
        <w:rPr>
          <w:rFonts w:cs="Arial"/>
          <w:iCs/>
          <w:szCs w:val="24"/>
        </w:rPr>
        <w:t xml:space="preserve">Monitor patient for at least 20 minutes for improvement or progression of signs and </w:t>
      </w:r>
      <w:proofErr w:type="gramStart"/>
      <w:r w:rsidRPr="00AF27D9">
        <w:rPr>
          <w:rFonts w:cs="Arial"/>
          <w:iCs/>
          <w:szCs w:val="24"/>
        </w:rPr>
        <w:t>symptoms</w:t>
      </w:r>
      <w:proofErr w:type="gramEnd"/>
    </w:p>
    <w:p w14:paraId="2DA95E04" w14:textId="77777777" w:rsidR="00FA2BE1" w:rsidRPr="00AF27D9" w:rsidRDefault="00FA2BE1" w:rsidP="00FA2BE1">
      <w:pPr>
        <w:numPr>
          <w:ilvl w:val="0"/>
          <w:numId w:val="20"/>
        </w:numPr>
        <w:rPr>
          <w:rFonts w:cs="Arial"/>
          <w:iCs/>
          <w:szCs w:val="24"/>
        </w:rPr>
      </w:pPr>
      <w:r w:rsidRPr="00AF27D9">
        <w:rPr>
          <w:rFonts w:cs="Arial"/>
          <w:iCs/>
          <w:szCs w:val="24"/>
        </w:rPr>
        <w:t xml:space="preserve">Report to the patient’s Team Registrar and arrange same day patient review in the HITH clinic. Advise the patient to call an ambulance if symptoms worsen. Advise the patient not to </w:t>
      </w:r>
      <w:proofErr w:type="gramStart"/>
      <w:r w:rsidRPr="00AF27D9">
        <w:rPr>
          <w:rFonts w:cs="Arial"/>
          <w:iCs/>
          <w:szCs w:val="24"/>
        </w:rPr>
        <w:t>drive</w:t>
      </w:r>
      <w:proofErr w:type="gramEnd"/>
    </w:p>
    <w:p w14:paraId="5588977E" w14:textId="77777777" w:rsidR="00FA2BE1" w:rsidRPr="00AF27D9" w:rsidRDefault="00FA2BE1" w:rsidP="00FA2BE1">
      <w:pPr>
        <w:numPr>
          <w:ilvl w:val="0"/>
          <w:numId w:val="20"/>
        </w:numPr>
        <w:rPr>
          <w:rFonts w:cs="Arial"/>
          <w:iCs/>
          <w:szCs w:val="24"/>
        </w:rPr>
      </w:pPr>
      <w:r w:rsidRPr="00AF27D9">
        <w:rPr>
          <w:rFonts w:cs="Arial"/>
          <w:iCs/>
          <w:szCs w:val="24"/>
        </w:rPr>
        <w:t xml:space="preserve">Document all interventions in the patient’s </w:t>
      </w:r>
      <w:r>
        <w:rPr>
          <w:rFonts w:cs="Arial"/>
          <w:iCs/>
          <w:szCs w:val="24"/>
        </w:rPr>
        <w:t>health</w:t>
      </w:r>
      <w:r w:rsidRPr="00AF27D9">
        <w:rPr>
          <w:rFonts w:cs="Arial"/>
          <w:iCs/>
          <w:szCs w:val="24"/>
        </w:rPr>
        <w:t xml:space="preserve"> </w:t>
      </w:r>
      <w:proofErr w:type="gramStart"/>
      <w:r w:rsidRPr="00AF27D9">
        <w:rPr>
          <w:rFonts w:cs="Arial"/>
          <w:iCs/>
          <w:szCs w:val="24"/>
        </w:rPr>
        <w:t>record</w:t>
      </w:r>
      <w:proofErr w:type="gramEnd"/>
    </w:p>
    <w:p w14:paraId="7428A705" w14:textId="77777777" w:rsidR="00FA2BE1" w:rsidRPr="00AF27D9" w:rsidRDefault="00FA2BE1" w:rsidP="00FA2BE1">
      <w:pPr>
        <w:numPr>
          <w:ilvl w:val="0"/>
          <w:numId w:val="20"/>
        </w:numPr>
        <w:rPr>
          <w:rFonts w:cs="Arial"/>
          <w:iCs/>
          <w:szCs w:val="24"/>
        </w:rPr>
      </w:pPr>
      <w:r w:rsidRPr="00AF27D9">
        <w:rPr>
          <w:rFonts w:cs="Arial"/>
          <w:iCs/>
          <w:szCs w:val="24"/>
        </w:rPr>
        <w:t xml:space="preserve">Enter an alert in the </w:t>
      </w:r>
      <w:r>
        <w:rPr>
          <w:rFonts w:cs="Arial"/>
          <w:iCs/>
          <w:szCs w:val="24"/>
        </w:rPr>
        <w:t>DHR</w:t>
      </w:r>
      <w:r w:rsidRPr="00AF27D9">
        <w:rPr>
          <w:rFonts w:cs="Arial"/>
          <w:iCs/>
          <w:szCs w:val="24"/>
        </w:rPr>
        <w:t>.</w:t>
      </w:r>
    </w:p>
    <w:p w14:paraId="569C5A62" w14:textId="77777777" w:rsidR="00FA2BE1" w:rsidRPr="00AF27D9" w:rsidRDefault="00FA2BE1" w:rsidP="00FA2BE1">
      <w:pPr>
        <w:rPr>
          <w:rFonts w:cs="Arial"/>
          <w:iCs/>
          <w:szCs w:val="24"/>
        </w:rPr>
      </w:pPr>
    </w:p>
    <w:p w14:paraId="47444D46" w14:textId="77777777" w:rsidR="00FA2BE1" w:rsidRPr="00AF27D9" w:rsidRDefault="00FA2BE1" w:rsidP="00FA2BE1">
      <w:pPr>
        <w:rPr>
          <w:rFonts w:cs="Arial"/>
          <w:b/>
          <w:bCs/>
          <w:iCs/>
          <w:szCs w:val="24"/>
        </w:rPr>
      </w:pPr>
      <w:bookmarkStart w:id="46" w:name="_Toc105499966"/>
      <w:bookmarkStart w:id="47" w:name="_Toc106977844"/>
      <w:bookmarkStart w:id="48" w:name="_Toc106977985"/>
      <w:r w:rsidRPr="00AF27D9">
        <w:rPr>
          <w:rFonts w:cs="Arial"/>
          <w:b/>
          <w:bCs/>
          <w:iCs/>
          <w:szCs w:val="24"/>
        </w:rPr>
        <w:t>Management of Severe Signs and Symptoms (see Section 2 for definition):</w:t>
      </w:r>
      <w:bookmarkEnd w:id="46"/>
      <w:bookmarkEnd w:id="47"/>
      <w:bookmarkEnd w:id="48"/>
    </w:p>
    <w:p w14:paraId="225550F2" w14:textId="77777777" w:rsidR="00FA2BE1" w:rsidRPr="00AF27D9" w:rsidRDefault="00FA2BE1" w:rsidP="00FA2BE1">
      <w:pPr>
        <w:numPr>
          <w:ilvl w:val="0"/>
          <w:numId w:val="19"/>
        </w:numPr>
        <w:rPr>
          <w:rFonts w:cs="Arial"/>
          <w:iCs/>
          <w:szCs w:val="24"/>
        </w:rPr>
      </w:pPr>
      <w:r w:rsidRPr="00AF27D9">
        <w:rPr>
          <w:rFonts w:cs="Arial"/>
          <w:iCs/>
          <w:szCs w:val="24"/>
        </w:rPr>
        <w:t>Cease administration of IV Antibiotic</w:t>
      </w:r>
    </w:p>
    <w:p w14:paraId="3E0F1793" w14:textId="77777777" w:rsidR="00FA2BE1" w:rsidRPr="00AF27D9" w:rsidRDefault="00FA2BE1" w:rsidP="00FA2BE1">
      <w:pPr>
        <w:numPr>
          <w:ilvl w:val="0"/>
          <w:numId w:val="19"/>
        </w:numPr>
        <w:rPr>
          <w:rFonts w:cs="Arial"/>
          <w:iCs/>
          <w:szCs w:val="24"/>
        </w:rPr>
      </w:pPr>
      <w:r w:rsidRPr="00AF27D9">
        <w:rPr>
          <w:rFonts w:cs="Arial"/>
          <w:iCs/>
          <w:szCs w:val="24"/>
        </w:rPr>
        <w:t xml:space="preserve">Assess airway, breathing, circulation and commence basic life support algorithm (DRSABCD)if </w:t>
      </w:r>
      <w:proofErr w:type="gramStart"/>
      <w:r w:rsidRPr="00AF27D9">
        <w:rPr>
          <w:rFonts w:cs="Arial"/>
          <w:iCs/>
          <w:szCs w:val="24"/>
        </w:rPr>
        <w:t>required</w:t>
      </w:r>
      <w:proofErr w:type="gramEnd"/>
      <w:r w:rsidRPr="00AF27D9">
        <w:rPr>
          <w:rFonts w:cs="Arial"/>
          <w:iCs/>
          <w:szCs w:val="24"/>
        </w:rPr>
        <w:t xml:space="preserve"> </w:t>
      </w:r>
    </w:p>
    <w:p w14:paraId="64083D10" w14:textId="77777777" w:rsidR="00FA2BE1" w:rsidRPr="00AF27D9" w:rsidRDefault="00FA2BE1" w:rsidP="00FA2BE1">
      <w:pPr>
        <w:numPr>
          <w:ilvl w:val="0"/>
          <w:numId w:val="19"/>
        </w:numPr>
        <w:rPr>
          <w:rFonts w:cs="Arial"/>
          <w:iCs/>
          <w:szCs w:val="24"/>
        </w:rPr>
      </w:pPr>
      <w:r w:rsidRPr="00AF27D9">
        <w:rPr>
          <w:rFonts w:cs="Arial"/>
          <w:iCs/>
          <w:szCs w:val="24"/>
        </w:rPr>
        <w:t xml:space="preserve">Lay patient flat, do not stand or walk. If breathing is difficult, allow the patient to </w:t>
      </w:r>
      <w:proofErr w:type="gramStart"/>
      <w:r w:rsidRPr="00AF27D9">
        <w:rPr>
          <w:rFonts w:cs="Arial"/>
          <w:iCs/>
          <w:szCs w:val="24"/>
        </w:rPr>
        <w:t>sit</w:t>
      </w:r>
      <w:proofErr w:type="gramEnd"/>
    </w:p>
    <w:p w14:paraId="2B1B86C6" w14:textId="77777777" w:rsidR="00FA2BE1" w:rsidRPr="00AF27D9" w:rsidRDefault="00FA2BE1" w:rsidP="00FA2BE1">
      <w:pPr>
        <w:numPr>
          <w:ilvl w:val="0"/>
          <w:numId w:val="19"/>
        </w:numPr>
        <w:rPr>
          <w:rFonts w:cs="Arial"/>
          <w:iCs/>
          <w:szCs w:val="24"/>
        </w:rPr>
      </w:pPr>
      <w:r w:rsidRPr="00AF27D9">
        <w:rPr>
          <w:rFonts w:cs="Arial"/>
          <w:iCs/>
          <w:szCs w:val="24"/>
        </w:rPr>
        <w:t xml:space="preserve">If unconscious, lie the patient on the left side and position to keep the airway </w:t>
      </w:r>
      <w:proofErr w:type="gramStart"/>
      <w:r w:rsidRPr="00AF27D9">
        <w:rPr>
          <w:rFonts w:cs="Arial"/>
          <w:iCs/>
          <w:szCs w:val="24"/>
        </w:rPr>
        <w:t>clear</w:t>
      </w:r>
      <w:proofErr w:type="gramEnd"/>
    </w:p>
    <w:p w14:paraId="5A0E2C59" w14:textId="77777777" w:rsidR="00FA2BE1" w:rsidRPr="00AF27D9" w:rsidRDefault="00FA2BE1" w:rsidP="00FA2BE1">
      <w:pPr>
        <w:numPr>
          <w:ilvl w:val="0"/>
          <w:numId w:val="19"/>
        </w:numPr>
        <w:rPr>
          <w:rFonts w:cs="Arial"/>
          <w:iCs/>
          <w:szCs w:val="24"/>
        </w:rPr>
      </w:pPr>
      <w:r w:rsidRPr="00AF27D9">
        <w:rPr>
          <w:rFonts w:cs="Arial"/>
          <w:iCs/>
          <w:szCs w:val="24"/>
        </w:rPr>
        <w:t>Call for ACT Ambulance Service:</w:t>
      </w:r>
    </w:p>
    <w:p w14:paraId="6CC84B0A" w14:textId="77777777" w:rsidR="00FA2BE1" w:rsidRPr="00AF27D9" w:rsidRDefault="00FA2BE1" w:rsidP="00FA2BE1">
      <w:pPr>
        <w:pStyle w:val="ListBullet"/>
        <w:tabs>
          <w:tab w:val="clear" w:pos="1080"/>
          <w:tab w:val="num" w:pos="1512"/>
        </w:tabs>
        <w:ind w:left="858"/>
      </w:pPr>
      <w:r w:rsidRPr="00AF27D9">
        <w:t>Dial 000</w:t>
      </w:r>
    </w:p>
    <w:p w14:paraId="5AF3B05F" w14:textId="77777777" w:rsidR="00FA2BE1" w:rsidRPr="00AF27D9" w:rsidRDefault="00FA2BE1" w:rsidP="00FA2BE1">
      <w:pPr>
        <w:pStyle w:val="ListBullet"/>
        <w:tabs>
          <w:tab w:val="clear" w:pos="1080"/>
          <w:tab w:val="num" w:pos="1512"/>
        </w:tabs>
        <w:ind w:left="858"/>
      </w:pPr>
      <w:r w:rsidRPr="00AF27D9">
        <w:t xml:space="preserve">Dial 112 on a mobile phone - this is the GSM international standard emergency access </w:t>
      </w:r>
      <w:proofErr w:type="gramStart"/>
      <w:r w:rsidRPr="00AF27D9">
        <w:t>number</w:t>
      </w:r>
      <w:proofErr w:type="gramEnd"/>
    </w:p>
    <w:p w14:paraId="51C22286" w14:textId="77777777" w:rsidR="00FA2BE1" w:rsidRPr="00AF27D9" w:rsidRDefault="00FA2BE1" w:rsidP="00FA2BE1">
      <w:pPr>
        <w:numPr>
          <w:ilvl w:val="0"/>
          <w:numId w:val="19"/>
        </w:numPr>
        <w:rPr>
          <w:rFonts w:cs="Arial"/>
          <w:iCs/>
          <w:szCs w:val="24"/>
        </w:rPr>
      </w:pPr>
      <w:r w:rsidRPr="00AF27D9">
        <w:rPr>
          <w:rFonts w:cs="Arial"/>
          <w:iCs/>
          <w:szCs w:val="24"/>
        </w:rPr>
        <w:t>Administer adrenaline (as per doctor’s order on medication chart), IM injection into the mid-lateral thigh. Note the time of administration. If there is no improvement in the patient’s condition the dose can be repeated after 5 minutes</w:t>
      </w:r>
    </w:p>
    <w:p w14:paraId="1FB34BBE" w14:textId="77777777" w:rsidR="00FA2BE1" w:rsidRPr="00AF27D9" w:rsidRDefault="00FA2BE1" w:rsidP="00FA2BE1">
      <w:pPr>
        <w:numPr>
          <w:ilvl w:val="0"/>
          <w:numId w:val="19"/>
        </w:numPr>
        <w:rPr>
          <w:rFonts w:cs="Arial"/>
          <w:iCs/>
          <w:szCs w:val="24"/>
        </w:rPr>
      </w:pPr>
      <w:r w:rsidRPr="00AF27D9">
        <w:rPr>
          <w:rFonts w:cs="Arial"/>
          <w:iCs/>
          <w:szCs w:val="24"/>
        </w:rPr>
        <w:t>Never leave the patient alone</w:t>
      </w:r>
    </w:p>
    <w:p w14:paraId="3C6D826E" w14:textId="77777777" w:rsidR="00FA2BE1" w:rsidRPr="00AF27D9" w:rsidRDefault="00FA2BE1" w:rsidP="00FA2BE1">
      <w:pPr>
        <w:numPr>
          <w:ilvl w:val="0"/>
          <w:numId w:val="19"/>
        </w:numPr>
        <w:rPr>
          <w:rFonts w:cs="Arial"/>
          <w:iCs/>
          <w:szCs w:val="24"/>
        </w:rPr>
      </w:pPr>
      <w:r w:rsidRPr="00AF27D9">
        <w:rPr>
          <w:rFonts w:cs="Arial"/>
          <w:iCs/>
          <w:szCs w:val="24"/>
        </w:rPr>
        <w:t xml:space="preserve">Continue emergency care until ambulance </w:t>
      </w:r>
      <w:proofErr w:type="gramStart"/>
      <w:r w:rsidRPr="00AF27D9">
        <w:rPr>
          <w:rFonts w:cs="Arial"/>
          <w:iCs/>
          <w:szCs w:val="24"/>
        </w:rPr>
        <w:t>arrives</w:t>
      </w:r>
      <w:proofErr w:type="gramEnd"/>
    </w:p>
    <w:p w14:paraId="50317799" w14:textId="77777777" w:rsidR="00FA2BE1" w:rsidRPr="00AF27D9" w:rsidRDefault="00FA2BE1" w:rsidP="00FA2BE1">
      <w:pPr>
        <w:numPr>
          <w:ilvl w:val="0"/>
          <w:numId w:val="19"/>
        </w:numPr>
        <w:rPr>
          <w:rFonts w:cs="Arial"/>
          <w:iCs/>
          <w:szCs w:val="24"/>
        </w:rPr>
      </w:pPr>
      <w:r w:rsidRPr="00AF27D9">
        <w:rPr>
          <w:rFonts w:cs="Arial"/>
          <w:iCs/>
          <w:szCs w:val="24"/>
        </w:rPr>
        <w:t xml:space="preserve">Contact and advise the patient’s Treating Team Registrar if time </w:t>
      </w:r>
      <w:proofErr w:type="gramStart"/>
      <w:r w:rsidRPr="00AF27D9">
        <w:rPr>
          <w:rFonts w:cs="Arial"/>
          <w:iCs/>
          <w:szCs w:val="24"/>
        </w:rPr>
        <w:t>allows</w:t>
      </w:r>
      <w:proofErr w:type="gramEnd"/>
    </w:p>
    <w:p w14:paraId="14C606EB" w14:textId="77777777" w:rsidR="00FA2BE1" w:rsidRPr="00AF27D9" w:rsidRDefault="00FA2BE1" w:rsidP="00FA2BE1">
      <w:pPr>
        <w:numPr>
          <w:ilvl w:val="0"/>
          <w:numId w:val="19"/>
        </w:numPr>
        <w:rPr>
          <w:rFonts w:cs="Arial"/>
          <w:iCs/>
          <w:szCs w:val="24"/>
        </w:rPr>
      </w:pPr>
      <w:r w:rsidRPr="00AF27D9">
        <w:rPr>
          <w:rFonts w:cs="Arial"/>
          <w:iCs/>
          <w:szCs w:val="24"/>
        </w:rPr>
        <w:t xml:space="preserve">Document all interventions in the patient’s clinical </w:t>
      </w:r>
      <w:proofErr w:type="gramStart"/>
      <w:r w:rsidRPr="00AF27D9">
        <w:rPr>
          <w:rFonts w:cs="Arial"/>
          <w:iCs/>
          <w:szCs w:val="24"/>
        </w:rPr>
        <w:t>record</w:t>
      </w:r>
      <w:proofErr w:type="gramEnd"/>
    </w:p>
    <w:p w14:paraId="0C043326" w14:textId="77777777" w:rsidR="00FA2BE1" w:rsidRPr="00AF27D9" w:rsidRDefault="00FA2BE1" w:rsidP="00FA2BE1">
      <w:pPr>
        <w:numPr>
          <w:ilvl w:val="0"/>
          <w:numId w:val="19"/>
        </w:numPr>
        <w:rPr>
          <w:rFonts w:cs="Arial"/>
          <w:iCs/>
          <w:szCs w:val="24"/>
        </w:rPr>
      </w:pPr>
      <w:r w:rsidRPr="00AF27D9">
        <w:rPr>
          <w:rFonts w:cs="Arial"/>
          <w:iCs/>
          <w:szCs w:val="24"/>
        </w:rPr>
        <w:t xml:space="preserve">Enter an alert in the </w:t>
      </w:r>
      <w:proofErr w:type="gramStart"/>
      <w:r>
        <w:rPr>
          <w:rFonts w:cs="Arial"/>
          <w:iCs/>
          <w:szCs w:val="24"/>
        </w:rPr>
        <w:t>DHR</w:t>
      </w:r>
      <w:proofErr w:type="gramEnd"/>
    </w:p>
    <w:p w14:paraId="182B011D" w14:textId="77777777" w:rsidR="00FA2BE1" w:rsidRPr="00AF27D9" w:rsidRDefault="00FA2BE1" w:rsidP="00FA2BE1">
      <w:pPr>
        <w:numPr>
          <w:ilvl w:val="0"/>
          <w:numId w:val="19"/>
        </w:numPr>
        <w:rPr>
          <w:rFonts w:cs="Arial"/>
          <w:iCs/>
          <w:szCs w:val="24"/>
        </w:rPr>
      </w:pPr>
      <w:r w:rsidRPr="00AF27D9">
        <w:rPr>
          <w:rFonts w:cs="Arial"/>
          <w:iCs/>
          <w:szCs w:val="24"/>
        </w:rPr>
        <w:t>Advise the CHS Drugs and Therapeutics Committee.</w:t>
      </w:r>
    </w:p>
    <w:p w14:paraId="44D673E0" w14:textId="77777777" w:rsidR="00FA2BE1" w:rsidRDefault="00FA2BE1" w:rsidP="00FA2BE1">
      <w:pPr>
        <w:rPr>
          <w:rFonts w:cs="Arial"/>
          <w:b/>
          <w:szCs w:val="24"/>
        </w:rPr>
      </w:pPr>
    </w:p>
    <w:p w14:paraId="72283702" w14:textId="77777777" w:rsidR="00FA2BE1" w:rsidRDefault="00FA2BE1" w:rsidP="00FA2BE1">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p>
    <w:p w14:paraId="0BD33161" w14:textId="77777777" w:rsidR="00FA2BE1" w:rsidRDefault="00FA2BE1" w:rsidP="00FA2BE1">
      <w:pPr>
        <w:jc w:val="right"/>
        <w:rPr>
          <w:rStyle w:val="Hyperlink"/>
          <w:rFonts w:eastAsiaTheme="majorEastAsia" w:cs="Arial"/>
          <w:iCs/>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429FFB65" w14:textId="77777777" w:rsidTr="00841616">
        <w:trPr>
          <w:cantSplit/>
          <w:trHeight w:val="285"/>
        </w:trPr>
        <w:tc>
          <w:tcPr>
            <w:tcW w:w="9158" w:type="dxa"/>
            <w:shd w:val="clear" w:color="auto" w:fill="D9D9D9" w:themeFill="background1" w:themeFillShade="D9"/>
          </w:tcPr>
          <w:p w14:paraId="401A0E36" w14:textId="77777777" w:rsidR="00FA2BE1" w:rsidRPr="003D2D06" w:rsidRDefault="00FA2BE1" w:rsidP="00841616">
            <w:pPr>
              <w:pStyle w:val="Heading1"/>
            </w:pPr>
            <w:bookmarkStart w:id="49" w:name="_Toc164338501"/>
            <w:r w:rsidRPr="003D2D06">
              <w:t xml:space="preserve">Section </w:t>
            </w:r>
            <w:r>
              <w:t>6B</w:t>
            </w:r>
            <w:r w:rsidRPr="003D2D06">
              <w:t xml:space="preserve"> – </w:t>
            </w:r>
            <w:r>
              <w:t>Hospital in the Home (HITH) – North Canberra Hospital</w:t>
            </w:r>
            <w:bookmarkEnd w:id="49"/>
            <w:r>
              <w:t xml:space="preserve"> </w:t>
            </w:r>
          </w:p>
        </w:tc>
      </w:tr>
    </w:tbl>
    <w:p w14:paraId="0E7C1A00" w14:textId="77777777" w:rsidR="00FA2BE1" w:rsidRPr="00A84816" w:rsidRDefault="00FA2BE1" w:rsidP="00FA2BE1">
      <w:pPr>
        <w:autoSpaceDE w:val="0"/>
        <w:autoSpaceDN w:val="0"/>
        <w:adjustRightInd w:val="0"/>
        <w:spacing w:line="276" w:lineRule="auto"/>
        <w:rPr>
          <w:rFonts w:cs="Arial"/>
          <w:szCs w:val="24"/>
        </w:rPr>
      </w:pPr>
    </w:p>
    <w:p w14:paraId="49FE3057" w14:textId="77777777" w:rsidR="00FA2BE1" w:rsidRPr="007E1C6F" w:rsidRDefault="00FA2BE1" w:rsidP="00FA2BE1">
      <w:pPr>
        <w:pStyle w:val="ListBullet"/>
      </w:pPr>
      <w:r w:rsidRPr="00E044EF">
        <w:t>The HITH nurse who administers a medication must h</w:t>
      </w:r>
      <w:r w:rsidRPr="00E044EF">
        <w:rPr>
          <w:color w:val="000000"/>
        </w:rPr>
        <w:t>ave annual training in Basic Life Support (BLS).</w:t>
      </w:r>
    </w:p>
    <w:p w14:paraId="3791583E" w14:textId="77777777" w:rsidR="00FA2BE1" w:rsidRPr="00A84816" w:rsidRDefault="00FA2BE1" w:rsidP="00FA2BE1">
      <w:pPr>
        <w:pStyle w:val="ListBullet"/>
      </w:pPr>
      <w:r>
        <w:rPr>
          <w:color w:val="000000"/>
        </w:rPr>
        <w:t xml:space="preserve">A Standing Order for Adrenaline is used for NCH HITH patients. </w:t>
      </w:r>
    </w:p>
    <w:p w14:paraId="5DF305CF" w14:textId="77777777" w:rsidR="00FA2BE1" w:rsidRPr="00E044EF" w:rsidRDefault="00FA2BE1" w:rsidP="00FA2BE1">
      <w:pPr>
        <w:pStyle w:val="ListBullet"/>
      </w:pPr>
      <w:r w:rsidRPr="00E044EF">
        <w:t>HITH staff administering medication will ensure that adequate supplies of adrenaline 1:1000 ampoules, needles and syringes are readily available at the time of, and directly after administration.</w:t>
      </w:r>
    </w:p>
    <w:p w14:paraId="4F32B462" w14:textId="77777777" w:rsidR="00FA2BE1" w:rsidRPr="00E044EF" w:rsidRDefault="00FA2BE1" w:rsidP="00FA2BE1">
      <w:pPr>
        <w:pStyle w:val="ListBullet"/>
      </w:pPr>
      <w:r w:rsidRPr="00E044EF">
        <w:rPr>
          <w:iCs/>
          <w:spacing w:val="-3"/>
        </w:rPr>
        <w:t xml:space="preserve">The Nurse </w:t>
      </w:r>
      <w:r w:rsidRPr="00E044EF">
        <w:t xml:space="preserve">who administers a medication must be able to recognise and effectively manage anaphylaxis.  Attachment I </w:t>
      </w:r>
      <w:proofErr w:type="gramStart"/>
      <w:r w:rsidRPr="00E044EF">
        <w:t>describes</w:t>
      </w:r>
      <w:proofErr w:type="gramEnd"/>
      <w:r w:rsidRPr="00E044EF">
        <w:t xml:space="preserve"> the clinical procedure to be followed in the event of an anaphylactic reaction. </w:t>
      </w:r>
    </w:p>
    <w:p w14:paraId="673EF9CD" w14:textId="77777777" w:rsidR="00FA2BE1" w:rsidRPr="00E1410D" w:rsidRDefault="00FA2BE1" w:rsidP="00FA2BE1">
      <w:pPr>
        <w:pStyle w:val="ListBullet"/>
      </w:pPr>
      <w:r w:rsidRPr="00E1410D">
        <w:t xml:space="preserve">HITH nurses must report to the HITH Unit Medical Director or delegate and the HITH Clinical Manager or delegate any incidents of anaphylaxis or other adverse reactions related to administration of medication as soon as possible. </w:t>
      </w:r>
    </w:p>
    <w:p w14:paraId="76022462" w14:textId="77777777" w:rsidR="00FA2BE1" w:rsidRPr="00E1410D" w:rsidRDefault="00FA2BE1" w:rsidP="00FA2BE1">
      <w:pPr>
        <w:pStyle w:val="ListBullet"/>
      </w:pPr>
      <w:r w:rsidRPr="00E1410D">
        <w:rPr>
          <w:rFonts w:asciiTheme="minorHAnsi" w:hAnsiTheme="minorHAnsi"/>
        </w:rPr>
        <w:t>An Adverse Drug Reaction Reporting Form must be completed by the HITH pharmacist and submitted to the ACT Adverse Drug Reaction Reporting Committee.</w:t>
      </w:r>
    </w:p>
    <w:p w14:paraId="4B3AA78E" w14:textId="77777777" w:rsidR="00FA2BE1" w:rsidRPr="00E044EF" w:rsidRDefault="00FA2BE1" w:rsidP="00FA2BE1">
      <w:pPr>
        <w:pStyle w:val="ListBullet"/>
      </w:pPr>
      <w:r w:rsidRPr="00E044EF">
        <w:t xml:space="preserve">When adrenaline is administered for suspected </w:t>
      </w:r>
      <w:proofErr w:type="gramStart"/>
      <w:r w:rsidRPr="00E044EF">
        <w:t>anaphylaxis</w:t>
      </w:r>
      <w:proofErr w:type="gramEnd"/>
      <w:r w:rsidRPr="00E044EF">
        <w:t xml:space="preserve"> the patient must be transported to hospital via ambulance and a full set of observations recorded every 5 minutes whilst awaiting ambulance transport. Basic Life Support should be undertaken if indicated. </w:t>
      </w:r>
    </w:p>
    <w:p w14:paraId="243AD86A" w14:textId="77777777" w:rsidR="00FA2BE1" w:rsidRPr="00E044EF" w:rsidRDefault="00FA2BE1" w:rsidP="00FA2BE1">
      <w:pPr>
        <w:pStyle w:val="ListBullet"/>
      </w:pPr>
      <w:r w:rsidRPr="00E044EF">
        <w:t xml:space="preserve">Complete </w:t>
      </w:r>
      <w:proofErr w:type="spellStart"/>
      <w:r w:rsidRPr="00E044EF">
        <w:t>Riskman</w:t>
      </w:r>
      <w:proofErr w:type="spellEnd"/>
      <w:r w:rsidRPr="00E044EF">
        <w:t xml:space="preserve"> as per Attachment J Flow chart.</w:t>
      </w:r>
    </w:p>
    <w:p w14:paraId="008D2E95" w14:textId="77777777" w:rsidR="00FA2BE1" w:rsidRPr="00E044EF" w:rsidRDefault="00FA2BE1" w:rsidP="00FA2BE1">
      <w:pPr>
        <w:pStyle w:val="ListBullet"/>
      </w:pPr>
      <w:r w:rsidRPr="00E044EF">
        <w:t>Before the patient leaves hospital after having anaphylaxis, they should be advised about the suspected allergen, allergen avoidance strategies and post-discharge care.</w:t>
      </w:r>
    </w:p>
    <w:p w14:paraId="4340B5F6" w14:textId="77777777" w:rsidR="00FA2BE1" w:rsidRPr="00E044EF" w:rsidRDefault="00FA2BE1" w:rsidP="00FA2BE1">
      <w:pPr>
        <w:pStyle w:val="ListBullet"/>
      </w:pPr>
      <w:r w:rsidRPr="00E044EF">
        <w:t xml:space="preserve">Details of the allergen, anaphylactic reaction and the need for prompt follow-up with GP and immunology/allergy specialist should be communicated to the patient and documented in the patient’s record and discharge </w:t>
      </w:r>
      <w:proofErr w:type="gramStart"/>
      <w:r w:rsidRPr="00E044EF">
        <w:t>summary</w:t>
      </w:r>
      <w:proofErr w:type="gramEnd"/>
      <w:r w:rsidRPr="00E044EF">
        <w:t xml:space="preserve"> </w:t>
      </w:r>
    </w:p>
    <w:p w14:paraId="2491822D" w14:textId="77777777" w:rsidR="00FA2BE1" w:rsidRPr="00E044EF" w:rsidRDefault="00FA2BE1" w:rsidP="00FA2BE1">
      <w:pPr>
        <w:pStyle w:val="ListBullet"/>
      </w:pPr>
      <w:r w:rsidRPr="00E044EF">
        <w:t>The HITH Medical Director or delegate and the HITH Clinical Manager or delegate will be responsible for auditing clinical records of patients with episodes of anaphylaxis. This data will be reported as an identified component at the HITH Morbidity and Mortality review process and will therefore be reported to Clinical Governance Committee.</w:t>
      </w:r>
    </w:p>
    <w:p w14:paraId="7D3BB530" w14:textId="77777777" w:rsidR="00FA2BE1" w:rsidRDefault="00FA2BE1" w:rsidP="00FA2BE1">
      <w:pPr>
        <w:rPr>
          <w:rStyle w:val="Hyperlink"/>
          <w:color w:val="auto"/>
          <w:u w:val="none"/>
        </w:rPr>
      </w:pPr>
    </w:p>
    <w:p w14:paraId="76A2DF28" w14:textId="77777777" w:rsidR="00FA2BE1" w:rsidRPr="007E1C6F" w:rsidRDefault="00FA2BE1" w:rsidP="00FA2BE1">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r>
        <w:rPr>
          <w:noProof/>
          <w:lang w:eastAsia="en-AU"/>
        </w:rPr>
        <mc:AlternateContent>
          <mc:Choice Requires="wps">
            <w:drawing>
              <wp:anchor distT="0" distB="0" distL="114300" distR="114300" simplePos="0" relativeHeight="251663360" behindDoc="0" locked="0" layoutInCell="1" allowOverlap="1" wp14:anchorId="26713960" wp14:editId="60B2CEA5">
                <wp:simplePos x="0" y="0"/>
                <wp:positionH relativeFrom="column">
                  <wp:posOffset>812165</wp:posOffset>
                </wp:positionH>
                <wp:positionV relativeFrom="paragraph">
                  <wp:posOffset>2360930</wp:posOffset>
                </wp:positionV>
                <wp:extent cx="0" cy="171450"/>
                <wp:effectExtent l="7620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F7AEEDA" id="_x0000_t32" coordsize="21600,21600" o:spt="32" o:oned="t" path="m,l21600,21600e" filled="f">
                <v:path arrowok="t" fillok="f" o:connecttype="none"/>
                <o:lock v:ext="edit" shapetype="t"/>
              </v:shapetype>
              <v:shape id="Straight Arrow Connector 3" o:spid="_x0000_s1026" type="#_x0000_t32" style="position:absolute;margin-left:63.95pt;margin-top:185.9pt;width:0;height:1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OCtQEAAL4DAAAOAAAAZHJzL2Uyb0RvYy54bWysU8mO1DAQvSPxD5bvdJIRm6JOz6EHuCAY&#10;wfABHqecWHiTXXSSv6fsdKcRi4QQl4qXelXvPVf2t7M17AQxae863uxqzsBJ32s3dPzLw9tnrzlL&#10;KFwvjHfQ8QUSvz08fbKfQgs3fvSmh8ioiEvtFDo+Ioa2qpIcwYq08wEcXSofrUDaxqHqo5ioujXV&#10;TV2/rCYf+xC9hJTo9G695IdSXymQ+FGpBMhMx4kblhhLfMyxOuxFO0QRRi3PNMQ/sLBCO2q6lboT&#10;KNi3qH8pZbWMPnmFO+lt5ZXSEooGUtPUP6n5PIoARQuZk8JmU/p/ZeWH09HdR7JhCqlN4T5mFbOK&#10;Nn+JH5uLWctmFszI5Hoo6bR51Tx/UXysrrgQE74Db1ledDxhFHoY8eidoxfxsSleidP7hNSZgBdA&#10;bmpcjii0eeN6hkugscGohRsM5Pei9JxSXQmXFS4GVvgnUEz3RHFtU2YJjiayk6Ap6L82WxXKzBCl&#10;jdlAdeH2R9A5N8OgzNffArfs0tE73IBWOx9/1xXnC1W15l9Ur1qz7EffL+X5ih00JMWf80DnKfxx&#10;X+DX3+7wHQAA//8DAFBLAwQUAAYACAAAACEAuOWs8NwAAAALAQAADwAAAGRycy9kb3ducmV2Lnht&#10;bEyPzU7DMBCE70i8g7VIXCpqpwUahzgVioQ4t/AAm9gkEf5JY7dN354tFzjO7KfZmXI7O8tOZopD&#10;8AqypQBmfBv04DsFnx9vDzmwmNBrtMEbBRcTYVvd3pRY6HD2O3Pap45RiI8FKuhTGgvOY9sbh3EZ&#10;RuPp9hUmh4nk1HE94ZnCneUrIZ65w8HThx5HU/em/d4fnYJd/dhkl6kWT+9WyMPiIBdrlErd382v&#10;L8CSmdMfDNf6VB0q6tSEo9eRWdKrjSRUwXqT0YYr8es05Mg8B16V/P+G6gcAAP//AwBQSwECLQAU&#10;AAYACAAAACEAtoM4kv4AAADhAQAAEwAAAAAAAAAAAAAAAAAAAAAAW0NvbnRlbnRfVHlwZXNdLnht&#10;bFBLAQItABQABgAIAAAAIQA4/SH/1gAAAJQBAAALAAAAAAAAAAAAAAAAAC8BAABfcmVscy8ucmVs&#10;c1BLAQItABQABgAIAAAAIQDYTlOCtQEAAL4DAAAOAAAAAAAAAAAAAAAAAC4CAABkcnMvZTJvRG9j&#10;LnhtbFBLAQItABQABgAIAAAAIQC45azw3AAAAAsBAAAPAAAAAAAAAAAAAAAAAA8EAABkcnMvZG93&#10;bnJldi54bWxQSwUGAAAAAAQABADzAAAAGAUAAAAA&#10;" strokecolor="black [3040]">
                <v:stroke endarrow="block"/>
              </v:shape>
            </w:pict>
          </mc:Fallback>
        </mc:AlternateContent>
      </w:r>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05C37804" w14:textId="77777777" w:rsidTr="00841616">
        <w:trPr>
          <w:cantSplit/>
          <w:trHeight w:val="285"/>
        </w:trPr>
        <w:tc>
          <w:tcPr>
            <w:tcW w:w="9158" w:type="dxa"/>
            <w:shd w:val="clear" w:color="auto" w:fill="D9D9D9" w:themeFill="background1" w:themeFillShade="D9"/>
          </w:tcPr>
          <w:p w14:paraId="6157F0F3" w14:textId="77777777" w:rsidR="00FA2BE1" w:rsidRPr="003D2D06" w:rsidRDefault="00FA2BE1" w:rsidP="00841616">
            <w:pPr>
              <w:pStyle w:val="Heading1"/>
            </w:pPr>
            <w:bookmarkStart w:id="50" w:name="_Toc164338502"/>
            <w:r w:rsidRPr="003D2D06">
              <w:t xml:space="preserve">Section </w:t>
            </w:r>
            <w:r>
              <w:t>7</w:t>
            </w:r>
            <w:r w:rsidRPr="003D2D06">
              <w:t xml:space="preserve"> – C</w:t>
            </w:r>
            <w:r>
              <w:t>ommunity Care Program (Community Nurses)</w:t>
            </w:r>
            <w:bookmarkEnd w:id="50"/>
          </w:p>
        </w:tc>
      </w:tr>
    </w:tbl>
    <w:p w14:paraId="36DFEDD9" w14:textId="77777777" w:rsidR="00FA2BE1" w:rsidRDefault="00FA2BE1" w:rsidP="00FA2BE1">
      <w:pPr>
        <w:pStyle w:val="Heading2"/>
      </w:pPr>
    </w:p>
    <w:p w14:paraId="47B460BE" w14:textId="77777777" w:rsidR="00FA2BE1" w:rsidRPr="00AF27D9" w:rsidRDefault="00FA2BE1" w:rsidP="00FA2BE1">
      <w:pPr>
        <w:rPr>
          <w:rFonts w:cs="Arial"/>
          <w:iCs/>
          <w:szCs w:val="24"/>
        </w:rPr>
      </w:pPr>
      <w:r w:rsidRPr="00AF27D9">
        <w:rPr>
          <w:rFonts w:cs="Arial"/>
          <w:iCs/>
          <w:szCs w:val="24"/>
        </w:rPr>
        <w:t>This section applies to community nurses who administer IV or IM antibiotics in patients’ homes or in health centre clinics.</w:t>
      </w:r>
    </w:p>
    <w:p w14:paraId="6DF03ABA" w14:textId="77777777" w:rsidR="00FA2BE1" w:rsidRPr="00AF27D9" w:rsidRDefault="00FA2BE1" w:rsidP="00FA2BE1">
      <w:pPr>
        <w:rPr>
          <w:rFonts w:cs="Arial"/>
          <w:iCs/>
          <w:szCs w:val="24"/>
        </w:rPr>
      </w:pPr>
    </w:p>
    <w:p w14:paraId="3409EC61" w14:textId="77777777" w:rsidR="00FA2BE1" w:rsidRPr="00AF27D9" w:rsidRDefault="00FA2BE1" w:rsidP="00FA2BE1">
      <w:pPr>
        <w:rPr>
          <w:rFonts w:cs="Arial"/>
          <w:iCs/>
          <w:szCs w:val="24"/>
        </w:rPr>
      </w:pPr>
      <w:r w:rsidRPr="00AF27D9">
        <w:rPr>
          <w:rFonts w:cs="Arial"/>
          <w:iCs/>
          <w:szCs w:val="24"/>
        </w:rPr>
        <w:t>Community nurses do not carry or supply adrenaline. Prior to administering IV or IM antibiotics the community nurse will:</w:t>
      </w:r>
    </w:p>
    <w:p w14:paraId="7BBE13FC" w14:textId="77777777" w:rsidR="00FA2BE1" w:rsidRPr="00AF27D9" w:rsidRDefault="00FA2BE1" w:rsidP="00FA2BE1">
      <w:pPr>
        <w:pStyle w:val="ListBullet"/>
      </w:pPr>
      <w:r w:rsidRPr="00AF27D9">
        <w:t xml:space="preserve">Ensure that the patient has received an initial dose of the </w:t>
      </w:r>
      <w:proofErr w:type="gramStart"/>
      <w:r w:rsidRPr="00AF27D9">
        <w:t>antibiotic</w:t>
      </w:r>
      <w:proofErr w:type="gramEnd"/>
    </w:p>
    <w:p w14:paraId="4611A714" w14:textId="77777777" w:rsidR="00FA2BE1" w:rsidRPr="00AF27D9" w:rsidRDefault="00FA2BE1" w:rsidP="00FA2BE1">
      <w:pPr>
        <w:rPr>
          <w:rFonts w:cs="Arial"/>
          <w:iCs/>
          <w:szCs w:val="24"/>
        </w:rPr>
      </w:pPr>
    </w:p>
    <w:p w14:paraId="2E437FE9" w14:textId="77777777" w:rsidR="00FA2BE1" w:rsidRPr="00AF27D9" w:rsidRDefault="00FA2BE1" w:rsidP="00FA2BE1">
      <w:pPr>
        <w:rPr>
          <w:rFonts w:cs="Arial"/>
          <w:b/>
          <w:bCs/>
          <w:iCs/>
          <w:szCs w:val="24"/>
        </w:rPr>
      </w:pPr>
      <w:r w:rsidRPr="00AF27D9">
        <w:rPr>
          <w:rFonts w:cs="Arial"/>
          <w:b/>
          <w:bCs/>
          <w:iCs/>
          <w:szCs w:val="24"/>
        </w:rPr>
        <w:lastRenderedPageBreak/>
        <w:t>Note</w:t>
      </w:r>
    </w:p>
    <w:p w14:paraId="6E8ED8B8" w14:textId="77777777" w:rsidR="00FA2BE1" w:rsidRPr="00AF27D9" w:rsidRDefault="00FA2BE1" w:rsidP="00FA2BE1">
      <w:pPr>
        <w:rPr>
          <w:rFonts w:cs="Arial"/>
          <w:iCs/>
          <w:szCs w:val="24"/>
        </w:rPr>
      </w:pPr>
      <w:r w:rsidRPr="00AF27D9">
        <w:rPr>
          <w:rFonts w:cs="Arial"/>
          <w:iCs/>
          <w:szCs w:val="24"/>
        </w:rPr>
        <w:t>Community nurses do not administer the first dose of any parenteral medication.</w:t>
      </w:r>
    </w:p>
    <w:p w14:paraId="791D0B31" w14:textId="77777777" w:rsidR="00FA2BE1" w:rsidRPr="00AF27D9" w:rsidRDefault="00FA2BE1" w:rsidP="00FA2BE1">
      <w:pPr>
        <w:rPr>
          <w:rFonts w:cs="Arial"/>
          <w:iCs/>
          <w:szCs w:val="24"/>
        </w:rPr>
      </w:pPr>
    </w:p>
    <w:p w14:paraId="6A435CD8" w14:textId="77777777" w:rsidR="00FA2BE1" w:rsidRPr="00AF27D9" w:rsidRDefault="00FA2BE1" w:rsidP="00FA2BE1">
      <w:pPr>
        <w:pStyle w:val="ListBullet"/>
      </w:pPr>
      <w:r w:rsidRPr="00AF27D9">
        <w:t>Ensure a medical order for the administration of Adrenaline is documented on the ‘Medical Officers Orders for Medication Administration’ form located on the Clinical Forms Register, Barcode 75243</w:t>
      </w:r>
    </w:p>
    <w:p w14:paraId="354DC906" w14:textId="77777777" w:rsidR="00FA2BE1" w:rsidRPr="00AF27D9" w:rsidRDefault="00FA2BE1" w:rsidP="00FA2BE1">
      <w:pPr>
        <w:pStyle w:val="ListBullet"/>
      </w:pPr>
      <w:r w:rsidRPr="00AF27D9">
        <w:t>Ensure that the following is available in the patient’s home or health centre clinic:</w:t>
      </w:r>
    </w:p>
    <w:p w14:paraId="0425BD01" w14:textId="77777777" w:rsidR="00FA2BE1" w:rsidRPr="00AF27D9" w:rsidRDefault="00FA2BE1" w:rsidP="00FA2BE1">
      <w:pPr>
        <w:pStyle w:val="ListBullet"/>
        <w:numPr>
          <w:ilvl w:val="0"/>
          <w:numId w:val="36"/>
        </w:numPr>
        <w:ind w:left="851" w:hanging="425"/>
      </w:pPr>
      <w:r w:rsidRPr="00AF27D9">
        <w:t>Two vials of Adrenaline 1:1000 (supplied by the patient)</w:t>
      </w:r>
    </w:p>
    <w:p w14:paraId="36D09054" w14:textId="77777777" w:rsidR="00FA2BE1" w:rsidRPr="00AF27D9" w:rsidRDefault="00FA2BE1" w:rsidP="00FA2BE1">
      <w:pPr>
        <w:pStyle w:val="ListBullet"/>
        <w:numPr>
          <w:ilvl w:val="0"/>
          <w:numId w:val="36"/>
        </w:numPr>
        <w:ind w:left="851" w:hanging="425"/>
      </w:pPr>
      <w:r w:rsidRPr="00AF27D9">
        <w:t>1 mL syringes, drawing up needles and 23-gauge needles (supplied by the Community Care Program).</w:t>
      </w:r>
    </w:p>
    <w:p w14:paraId="7A3DAC7F" w14:textId="77777777" w:rsidR="00FA2BE1" w:rsidRPr="00AF27D9" w:rsidRDefault="00FA2BE1" w:rsidP="00FA2BE1">
      <w:pPr>
        <w:rPr>
          <w:rFonts w:cs="Arial"/>
          <w:iCs/>
          <w:szCs w:val="24"/>
        </w:rPr>
      </w:pPr>
    </w:p>
    <w:p w14:paraId="2B0F7701" w14:textId="77777777" w:rsidR="00FA2BE1" w:rsidRPr="00AF27D9" w:rsidRDefault="00FA2BE1" w:rsidP="00FA2BE1">
      <w:pPr>
        <w:rPr>
          <w:rFonts w:cs="Arial"/>
          <w:b/>
          <w:bCs/>
          <w:iCs/>
          <w:szCs w:val="24"/>
        </w:rPr>
      </w:pPr>
      <w:bookmarkStart w:id="51" w:name="_Toc105499968"/>
      <w:bookmarkStart w:id="52" w:name="_Toc106977846"/>
      <w:bookmarkStart w:id="53" w:name="_Toc106977987"/>
      <w:r w:rsidRPr="00AF27D9">
        <w:rPr>
          <w:rFonts w:cs="Arial"/>
          <w:b/>
          <w:bCs/>
          <w:iCs/>
          <w:szCs w:val="24"/>
        </w:rPr>
        <w:t xml:space="preserve">Management of Mild to Moderate Signs and Symptoms (see </w:t>
      </w:r>
      <w:r w:rsidRPr="00AF27D9">
        <w:rPr>
          <w:rFonts w:cs="Arial"/>
          <w:b/>
          <w:bCs/>
          <w:iCs/>
          <w:szCs w:val="24"/>
          <w:u w:val="single"/>
        </w:rPr>
        <w:t>Section 2 for definition</w:t>
      </w:r>
      <w:r w:rsidRPr="00AF27D9">
        <w:rPr>
          <w:rFonts w:cs="Arial"/>
          <w:b/>
          <w:bCs/>
          <w:iCs/>
          <w:szCs w:val="24"/>
        </w:rPr>
        <w:t>):</w:t>
      </w:r>
      <w:bookmarkEnd w:id="51"/>
      <w:bookmarkEnd w:id="52"/>
      <w:bookmarkEnd w:id="53"/>
    </w:p>
    <w:p w14:paraId="0B552660" w14:textId="77777777" w:rsidR="00FA2BE1" w:rsidRPr="00AF27D9" w:rsidRDefault="00FA2BE1" w:rsidP="00FA2BE1">
      <w:pPr>
        <w:numPr>
          <w:ilvl w:val="0"/>
          <w:numId w:val="26"/>
        </w:numPr>
        <w:rPr>
          <w:rFonts w:cs="Arial"/>
          <w:iCs/>
          <w:szCs w:val="24"/>
        </w:rPr>
      </w:pPr>
      <w:r w:rsidRPr="00AF27D9">
        <w:rPr>
          <w:rFonts w:cs="Arial"/>
          <w:iCs/>
          <w:szCs w:val="24"/>
        </w:rPr>
        <w:t>Cease administration of IV or IM antibiotic</w:t>
      </w:r>
    </w:p>
    <w:p w14:paraId="5CADEF83" w14:textId="77777777" w:rsidR="00FA2BE1" w:rsidRPr="00AF27D9" w:rsidRDefault="00FA2BE1" w:rsidP="00FA2BE1">
      <w:pPr>
        <w:numPr>
          <w:ilvl w:val="0"/>
          <w:numId w:val="26"/>
        </w:numPr>
        <w:rPr>
          <w:rFonts w:cs="Arial"/>
          <w:iCs/>
          <w:szCs w:val="24"/>
        </w:rPr>
      </w:pPr>
      <w:r w:rsidRPr="00AF27D9">
        <w:rPr>
          <w:rFonts w:cs="Arial"/>
          <w:iCs/>
          <w:szCs w:val="24"/>
        </w:rPr>
        <w:t xml:space="preserve">Monitor patient for at least 20 minutes for improvement or progression of signs and </w:t>
      </w:r>
      <w:proofErr w:type="gramStart"/>
      <w:r w:rsidRPr="00AF27D9">
        <w:rPr>
          <w:rFonts w:cs="Arial"/>
          <w:iCs/>
          <w:szCs w:val="24"/>
        </w:rPr>
        <w:t>symptoms</w:t>
      </w:r>
      <w:proofErr w:type="gramEnd"/>
    </w:p>
    <w:p w14:paraId="17CA6F1A" w14:textId="77777777" w:rsidR="00FA2BE1" w:rsidRPr="00AF27D9" w:rsidRDefault="00FA2BE1" w:rsidP="00FA2BE1">
      <w:pPr>
        <w:numPr>
          <w:ilvl w:val="0"/>
          <w:numId w:val="26"/>
        </w:numPr>
        <w:rPr>
          <w:rFonts w:cs="Arial"/>
          <w:iCs/>
          <w:szCs w:val="24"/>
        </w:rPr>
      </w:pPr>
      <w:r w:rsidRPr="00AF27D9">
        <w:rPr>
          <w:rFonts w:cs="Arial"/>
          <w:iCs/>
          <w:szCs w:val="24"/>
        </w:rPr>
        <w:t xml:space="preserve">Report to the patient’s General Practitioner and arrange same day patient review. </w:t>
      </w:r>
    </w:p>
    <w:p w14:paraId="4C14EB3F" w14:textId="77777777" w:rsidR="00FA2BE1" w:rsidRPr="00AF27D9" w:rsidRDefault="00FA2BE1" w:rsidP="00FA2BE1">
      <w:pPr>
        <w:numPr>
          <w:ilvl w:val="0"/>
          <w:numId w:val="26"/>
        </w:numPr>
        <w:rPr>
          <w:rFonts w:cs="Arial"/>
          <w:iCs/>
          <w:szCs w:val="24"/>
        </w:rPr>
      </w:pPr>
      <w:r w:rsidRPr="00AF27D9">
        <w:rPr>
          <w:rFonts w:cs="Arial"/>
          <w:iCs/>
          <w:szCs w:val="24"/>
        </w:rPr>
        <w:t xml:space="preserve">Advise the patient to call an ambulance (or attend ED if safe to do so) if symptoms worsen. </w:t>
      </w:r>
    </w:p>
    <w:p w14:paraId="5991AF92" w14:textId="77777777" w:rsidR="00FA2BE1" w:rsidRPr="00AF27D9" w:rsidRDefault="00FA2BE1" w:rsidP="00FA2BE1">
      <w:pPr>
        <w:numPr>
          <w:ilvl w:val="0"/>
          <w:numId w:val="26"/>
        </w:numPr>
        <w:rPr>
          <w:rFonts w:cs="Arial"/>
          <w:iCs/>
          <w:szCs w:val="24"/>
        </w:rPr>
      </w:pPr>
      <w:r w:rsidRPr="00AF27D9">
        <w:rPr>
          <w:rFonts w:cs="Arial"/>
          <w:iCs/>
          <w:szCs w:val="24"/>
        </w:rPr>
        <w:t xml:space="preserve">Advise the patient not to </w:t>
      </w:r>
      <w:proofErr w:type="gramStart"/>
      <w:r w:rsidRPr="00AF27D9">
        <w:rPr>
          <w:rFonts w:cs="Arial"/>
          <w:iCs/>
          <w:szCs w:val="24"/>
        </w:rPr>
        <w:t>drive</w:t>
      </w:r>
      <w:proofErr w:type="gramEnd"/>
    </w:p>
    <w:p w14:paraId="45094C28" w14:textId="77777777" w:rsidR="00FA2BE1" w:rsidRPr="00AF27D9" w:rsidRDefault="00FA2BE1" w:rsidP="00FA2BE1">
      <w:pPr>
        <w:numPr>
          <w:ilvl w:val="0"/>
          <w:numId w:val="26"/>
        </w:numPr>
        <w:rPr>
          <w:rFonts w:cs="Arial"/>
          <w:iCs/>
          <w:szCs w:val="24"/>
        </w:rPr>
      </w:pPr>
      <w:r w:rsidRPr="00AF27D9">
        <w:rPr>
          <w:rFonts w:cs="Arial"/>
          <w:iCs/>
          <w:szCs w:val="24"/>
        </w:rPr>
        <w:t xml:space="preserve">Document all interventions in the patient’s </w:t>
      </w:r>
      <w:r>
        <w:rPr>
          <w:rFonts w:cs="Arial"/>
          <w:iCs/>
          <w:szCs w:val="24"/>
        </w:rPr>
        <w:t>health</w:t>
      </w:r>
      <w:r w:rsidRPr="00AF27D9">
        <w:rPr>
          <w:rFonts w:cs="Arial"/>
          <w:iCs/>
          <w:szCs w:val="24"/>
        </w:rPr>
        <w:t xml:space="preserve"> record.</w:t>
      </w:r>
    </w:p>
    <w:p w14:paraId="10BB6563" w14:textId="77777777" w:rsidR="00FA2BE1" w:rsidRPr="00AF27D9" w:rsidRDefault="00FA2BE1" w:rsidP="00FA2BE1">
      <w:pPr>
        <w:numPr>
          <w:ilvl w:val="0"/>
          <w:numId w:val="26"/>
        </w:numPr>
        <w:rPr>
          <w:rFonts w:cs="Arial"/>
          <w:iCs/>
          <w:szCs w:val="24"/>
        </w:rPr>
      </w:pPr>
      <w:r w:rsidRPr="00AF27D9">
        <w:rPr>
          <w:rFonts w:cs="Arial"/>
          <w:iCs/>
          <w:szCs w:val="24"/>
        </w:rPr>
        <w:t xml:space="preserve">Add to </w:t>
      </w:r>
      <w:r>
        <w:rPr>
          <w:rFonts w:cs="Arial"/>
          <w:iCs/>
          <w:szCs w:val="24"/>
        </w:rPr>
        <w:t>DHR</w:t>
      </w:r>
      <w:r w:rsidRPr="00AF27D9">
        <w:rPr>
          <w:rFonts w:cs="Arial"/>
          <w:iCs/>
          <w:szCs w:val="24"/>
        </w:rPr>
        <w:t xml:space="preserve"> alerts.</w:t>
      </w:r>
    </w:p>
    <w:p w14:paraId="002D4C0E" w14:textId="77777777" w:rsidR="00FA2BE1" w:rsidRPr="00AF27D9" w:rsidRDefault="00FA2BE1" w:rsidP="00FA2BE1">
      <w:pPr>
        <w:rPr>
          <w:rFonts w:cs="Arial"/>
          <w:iCs/>
          <w:szCs w:val="24"/>
        </w:rPr>
      </w:pPr>
    </w:p>
    <w:p w14:paraId="64CB5454" w14:textId="77777777" w:rsidR="00FA2BE1" w:rsidRPr="00AF27D9" w:rsidRDefault="00FA2BE1" w:rsidP="00FA2BE1">
      <w:pPr>
        <w:rPr>
          <w:rFonts w:cs="Arial"/>
          <w:b/>
          <w:bCs/>
          <w:iCs/>
          <w:szCs w:val="24"/>
        </w:rPr>
      </w:pPr>
      <w:bookmarkStart w:id="54" w:name="_Toc105499969"/>
      <w:bookmarkStart w:id="55" w:name="_Toc106977847"/>
      <w:bookmarkStart w:id="56" w:name="_Toc106977988"/>
      <w:r w:rsidRPr="00AF27D9">
        <w:rPr>
          <w:rFonts w:cs="Arial"/>
          <w:b/>
          <w:bCs/>
          <w:iCs/>
          <w:szCs w:val="24"/>
        </w:rPr>
        <w:t>Management of Severe Signs and Symptoms (see Section 2 for definition):</w:t>
      </w:r>
      <w:bookmarkEnd w:id="54"/>
      <w:bookmarkEnd w:id="55"/>
      <w:bookmarkEnd w:id="56"/>
    </w:p>
    <w:p w14:paraId="676F10E7" w14:textId="77777777" w:rsidR="00FA2BE1" w:rsidRPr="00AF27D9" w:rsidRDefault="00FA2BE1" w:rsidP="00FA2BE1">
      <w:pPr>
        <w:numPr>
          <w:ilvl w:val="0"/>
          <w:numId w:val="25"/>
        </w:numPr>
        <w:rPr>
          <w:rFonts w:cs="Arial"/>
          <w:iCs/>
          <w:szCs w:val="24"/>
        </w:rPr>
      </w:pPr>
      <w:r w:rsidRPr="00AF27D9">
        <w:rPr>
          <w:rFonts w:cs="Arial"/>
          <w:iCs/>
          <w:szCs w:val="24"/>
        </w:rPr>
        <w:t>Cease administration of IV or IM antibiotic</w:t>
      </w:r>
    </w:p>
    <w:p w14:paraId="2AE855D8" w14:textId="77777777" w:rsidR="00FA2BE1" w:rsidRPr="00AF27D9" w:rsidRDefault="00FA2BE1" w:rsidP="00FA2BE1">
      <w:pPr>
        <w:numPr>
          <w:ilvl w:val="0"/>
          <w:numId w:val="25"/>
        </w:numPr>
        <w:rPr>
          <w:rFonts w:cs="Arial"/>
          <w:iCs/>
          <w:szCs w:val="24"/>
        </w:rPr>
      </w:pPr>
      <w:r w:rsidRPr="00AF27D9">
        <w:rPr>
          <w:rFonts w:cs="Arial"/>
          <w:iCs/>
          <w:szCs w:val="24"/>
        </w:rPr>
        <w:t xml:space="preserve">Commence basic life support algorithm- </w:t>
      </w:r>
      <w:proofErr w:type="gramStart"/>
      <w:r w:rsidRPr="00AF27D9">
        <w:rPr>
          <w:rFonts w:cs="Arial"/>
          <w:iCs/>
          <w:szCs w:val="24"/>
        </w:rPr>
        <w:t>DRSABC</w:t>
      </w:r>
      <w:proofErr w:type="gramEnd"/>
    </w:p>
    <w:p w14:paraId="2E3216D6" w14:textId="77777777" w:rsidR="00FA2BE1" w:rsidRPr="00AF27D9" w:rsidRDefault="00FA2BE1" w:rsidP="00FA2BE1">
      <w:pPr>
        <w:numPr>
          <w:ilvl w:val="0"/>
          <w:numId w:val="25"/>
        </w:numPr>
        <w:rPr>
          <w:rFonts w:cs="Arial"/>
          <w:iCs/>
          <w:szCs w:val="24"/>
        </w:rPr>
      </w:pPr>
      <w:r w:rsidRPr="00AF27D9">
        <w:rPr>
          <w:rFonts w:cs="Arial"/>
          <w:iCs/>
          <w:szCs w:val="24"/>
        </w:rPr>
        <w:t xml:space="preserve">Lay patient flat, do not stand or walk. If breathing is difficult, allow the patient to </w:t>
      </w:r>
      <w:proofErr w:type="gramStart"/>
      <w:r w:rsidRPr="00AF27D9">
        <w:rPr>
          <w:rFonts w:cs="Arial"/>
          <w:iCs/>
          <w:szCs w:val="24"/>
        </w:rPr>
        <w:t>sit</w:t>
      </w:r>
      <w:proofErr w:type="gramEnd"/>
    </w:p>
    <w:p w14:paraId="52A2E1A3" w14:textId="77777777" w:rsidR="00FA2BE1" w:rsidRPr="00AF27D9" w:rsidRDefault="00FA2BE1" w:rsidP="00FA2BE1">
      <w:pPr>
        <w:numPr>
          <w:ilvl w:val="0"/>
          <w:numId w:val="25"/>
        </w:numPr>
        <w:rPr>
          <w:rFonts w:cs="Arial"/>
          <w:iCs/>
          <w:szCs w:val="24"/>
        </w:rPr>
      </w:pPr>
      <w:r w:rsidRPr="00AF27D9">
        <w:rPr>
          <w:rFonts w:cs="Arial"/>
          <w:iCs/>
          <w:szCs w:val="24"/>
        </w:rPr>
        <w:t xml:space="preserve">If unconscious, lie the patient on the left side and position to keep the airway </w:t>
      </w:r>
      <w:proofErr w:type="gramStart"/>
      <w:r w:rsidRPr="00AF27D9">
        <w:rPr>
          <w:rFonts w:cs="Arial"/>
          <w:iCs/>
          <w:szCs w:val="24"/>
        </w:rPr>
        <w:t>clear</w:t>
      </w:r>
      <w:proofErr w:type="gramEnd"/>
    </w:p>
    <w:p w14:paraId="4DB71882" w14:textId="77777777" w:rsidR="00FA2BE1" w:rsidRPr="00AF27D9" w:rsidRDefault="00FA2BE1" w:rsidP="00FA2BE1">
      <w:pPr>
        <w:numPr>
          <w:ilvl w:val="0"/>
          <w:numId w:val="25"/>
        </w:numPr>
        <w:rPr>
          <w:rFonts w:cs="Arial"/>
          <w:iCs/>
          <w:szCs w:val="24"/>
        </w:rPr>
      </w:pPr>
      <w:r w:rsidRPr="00AF27D9">
        <w:rPr>
          <w:rFonts w:cs="Arial"/>
          <w:iCs/>
          <w:szCs w:val="24"/>
        </w:rPr>
        <w:t xml:space="preserve">Call for ACT Ambulance Service: </w:t>
      </w:r>
    </w:p>
    <w:p w14:paraId="04341B75" w14:textId="77777777" w:rsidR="00FA2BE1" w:rsidRPr="00AF27D9" w:rsidRDefault="00FA2BE1" w:rsidP="00FA2BE1">
      <w:pPr>
        <w:numPr>
          <w:ilvl w:val="1"/>
          <w:numId w:val="25"/>
        </w:numPr>
        <w:ind w:left="851" w:hanging="425"/>
        <w:rPr>
          <w:rFonts w:cs="Arial"/>
          <w:iCs/>
          <w:szCs w:val="24"/>
        </w:rPr>
      </w:pPr>
      <w:r w:rsidRPr="00AF27D9">
        <w:rPr>
          <w:rFonts w:cs="Arial"/>
          <w:iCs/>
          <w:szCs w:val="24"/>
        </w:rPr>
        <w:t xml:space="preserve">Dial 000 </w:t>
      </w:r>
    </w:p>
    <w:p w14:paraId="5E0DFE04" w14:textId="77777777" w:rsidR="00FA2BE1" w:rsidRPr="00AF27D9" w:rsidRDefault="00FA2BE1" w:rsidP="00FA2BE1">
      <w:pPr>
        <w:numPr>
          <w:ilvl w:val="1"/>
          <w:numId w:val="25"/>
        </w:numPr>
        <w:ind w:left="851" w:hanging="425"/>
        <w:rPr>
          <w:rFonts w:cs="Arial"/>
          <w:iCs/>
          <w:szCs w:val="24"/>
        </w:rPr>
      </w:pPr>
      <w:r w:rsidRPr="00AF27D9">
        <w:rPr>
          <w:rFonts w:cs="Arial"/>
          <w:iCs/>
          <w:szCs w:val="24"/>
        </w:rPr>
        <w:t xml:space="preserve">Dial 112 on a mobile phone – this is the GSM international standard emergency access </w:t>
      </w:r>
      <w:proofErr w:type="gramStart"/>
      <w:r w:rsidRPr="00AF27D9">
        <w:rPr>
          <w:rFonts w:cs="Arial"/>
          <w:iCs/>
          <w:szCs w:val="24"/>
        </w:rPr>
        <w:t>number</w:t>
      </w:r>
      <w:proofErr w:type="gramEnd"/>
    </w:p>
    <w:p w14:paraId="59D6C73A" w14:textId="77777777" w:rsidR="00FA2BE1" w:rsidRPr="00AF27D9" w:rsidRDefault="00FA2BE1" w:rsidP="00FA2BE1">
      <w:pPr>
        <w:numPr>
          <w:ilvl w:val="0"/>
          <w:numId w:val="25"/>
        </w:numPr>
        <w:rPr>
          <w:rFonts w:cs="Arial"/>
          <w:iCs/>
          <w:szCs w:val="24"/>
        </w:rPr>
      </w:pPr>
      <w:r w:rsidRPr="00AF27D9">
        <w:rPr>
          <w:rFonts w:cs="Arial"/>
          <w:iCs/>
          <w:szCs w:val="24"/>
        </w:rPr>
        <w:t xml:space="preserve">Assess airway, breathing, circulation and commence basic life support if </w:t>
      </w:r>
      <w:proofErr w:type="gramStart"/>
      <w:r w:rsidRPr="00AF27D9">
        <w:rPr>
          <w:rFonts w:cs="Arial"/>
          <w:iCs/>
          <w:szCs w:val="24"/>
        </w:rPr>
        <w:t>required</w:t>
      </w:r>
      <w:proofErr w:type="gramEnd"/>
    </w:p>
    <w:p w14:paraId="1FA5EBDE" w14:textId="77777777" w:rsidR="00FA2BE1" w:rsidRPr="00AF27D9" w:rsidRDefault="00FA2BE1" w:rsidP="00FA2BE1">
      <w:pPr>
        <w:numPr>
          <w:ilvl w:val="0"/>
          <w:numId w:val="25"/>
        </w:numPr>
        <w:rPr>
          <w:rFonts w:cs="Arial"/>
          <w:iCs/>
          <w:szCs w:val="24"/>
        </w:rPr>
      </w:pPr>
      <w:r w:rsidRPr="00AF27D9">
        <w:rPr>
          <w:rFonts w:cs="Arial"/>
          <w:iCs/>
          <w:szCs w:val="24"/>
        </w:rPr>
        <w:t>Administer adrenaline (as per doctor’s order), by IM injection into the mid-lateral thigh</w:t>
      </w:r>
      <w:r>
        <w:rPr>
          <w:rFonts w:cs="Arial"/>
          <w:iCs/>
          <w:szCs w:val="24"/>
        </w:rPr>
        <w:t>.</w:t>
      </w:r>
      <w:r w:rsidRPr="00AF27D9">
        <w:rPr>
          <w:rFonts w:cs="Arial"/>
          <w:iCs/>
          <w:szCs w:val="24"/>
        </w:rPr>
        <w:t xml:space="preserve"> </w:t>
      </w:r>
      <w:r>
        <w:rPr>
          <w:rFonts w:cs="Arial"/>
          <w:iCs/>
          <w:szCs w:val="24"/>
        </w:rPr>
        <w:t xml:space="preserve"> </w:t>
      </w:r>
      <w:r w:rsidRPr="00AF27D9">
        <w:rPr>
          <w:rFonts w:cs="Arial"/>
          <w:iCs/>
          <w:szCs w:val="24"/>
        </w:rPr>
        <w:t>Note time of administration. If there is no improvement in the patient’s condition the dose can be repeated after 5 minutes</w:t>
      </w:r>
    </w:p>
    <w:p w14:paraId="3B56576D" w14:textId="77777777" w:rsidR="00FA2BE1" w:rsidRPr="00AF27D9" w:rsidRDefault="00FA2BE1" w:rsidP="00FA2BE1">
      <w:pPr>
        <w:numPr>
          <w:ilvl w:val="0"/>
          <w:numId w:val="25"/>
        </w:numPr>
        <w:rPr>
          <w:rFonts w:cs="Arial"/>
          <w:iCs/>
          <w:szCs w:val="24"/>
        </w:rPr>
      </w:pPr>
      <w:r w:rsidRPr="00AF27D9">
        <w:rPr>
          <w:rFonts w:cs="Arial"/>
          <w:iCs/>
          <w:szCs w:val="24"/>
        </w:rPr>
        <w:t>Never leave the patient alone</w:t>
      </w:r>
    </w:p>
    <w:p w14:paraId="7A64B7C7" w14:textId="77777777" w:rsidR="00FA2BE1" w:rsidRPr="00AF27D9" w:rsidRDefault="00FA2BE1" w:rsidP="00FA2BE1">
      <w:pPr>
        <w:numPr>
          <w:ilvl w:val="0"/>
          <w:numId w:val="25"/>
        </w:numPr>
        <w:rPr>
          <w:rFonts w:cs="Arial"/>
          <w:iCs/>
          <w:szCs w:val="24"/>
        </w:rPr>
      </w:pPr>
      <w:r w:rsidRPr="00AF27D9">
        <w:rPr>
          <w:rFonts w:cs="Arial"/>
          <w:iCs/>
          <w:szCs w:val="24"/>
        </w:rPr>
        <w:t xml:space="preserve">Continue emergency care until ambulance </w:t>
      </w:r>
      <w:proofErr w:type="gramStart"/>
      <w:r w:rsidRPr="00AF27D9">
        <w:rPr>
          <w:rFonts w:cs="Arial"/>
          <w:iCs/>
          <w:szCs w:val="24"/>
        </w:rPr>
        <w:t>arrives</w:t>
      </w:r>
      <w:proofErr w:type="gramEnd"/>
    </w:p>
    <w:p w14:paraId="04EB3C91" w14:textId="77777777" w:rsidR="00FA2BE1" w:rsidRPr="00AF27D9" w:rsidRDefault="00FA2BE1" w:rsidP="00FA2BE1">
      <w:pPr>
        <w:numPr>
          <w:ilvl w:val="0"/>
          <w:numId w:val="25"/>
        </w:numPr>
        <w:rPr>
          <w:rFonts w:cs="Arial"/>
          <w:iCs/>
          <w:szCs w:val="24"/>
        </w:rPr>
      </w:pPr>
      <w:r w:rsidRPr="00AF27D9">
        <w:rPr>
          <w:rFonts w:cs="Arial"/>
          <w:iCs/>
          <w:szCs w:val="24"/>
        </w:rPr>
        <w:t xml:space="preserve">Document all interventions in the patient’s </w:t>
      </w:r>
      <w:r>
        <w:rPr>
          <w:rFonts w:cs="Arial"/>
          <w:iCs/>
          <w:szCs w:val="24"/>
        </w:rPr>
        <w:t>health</w:t>
      </w:r>
      <w:r w:rsidRPr="00AF27D9">
        <w:rPr>
          <w:rFonts w:cs="Arial"/>
          <w:iCs/>
          <w:szCs w:val="24"/>
        </w:rPr>
        <w:t xml:space="preserve"> </w:t>
      </w:r>
      <w:proofErr w:type="gramStart"/>
      <w:r w:rsidRPr="00AF27D9">
        <w:rPr>
          <w:rFonts w:cs="Arial"/>
          <w:iCs/>
          <w:szCs w:val="24"/>
        </w:rPr>
        <w:t>record</w:t>
      </w:r>
      <w:proofErr w:type="gramEnd"/>
    </w:p>
    <w:p w14:paraId="4F7F301C" w14:textId="77777777" w:rsidR="00FA2BE1" w:rsidRPr="00AF27D9" w:rsidRDefault="00FA2BE1" w:rsidP="00FA2BE1">
      <w:pPr>
        <w:numPr>
          <w:ilvl w:val="0"/>
          <w:numId w:val="25"/>
        </w:numPr>
        <w:rPr>
          <w:rFonts w:cs="Arial"/>
          <w:iCs/>
          <w:szCs w:val="24"/>
        </w:rPr>
      </w:pPr>
      <w:r w:rsidRPr="00AF27D9">
        <w:rPr>
          <w:rFonts w:cs="Arial"/>
          <w:iCs/>
          <w:szCs w:val="24"/>
        </w:rPr>
        <w:t xml:space="preserve">Enter an alert in the </w:t>
      </w:r>
      <w:r>
        <w:rPr>
          <w:rFonts w:cs="Arial"/>
          <w:iCs/>
          <w:szCs w:val="24"/>
        </w:rPr>
        <w:t>DHR</w:t>
      </w:r>
      <w:r w:rsidRPr="00AF27D9">
        <w:rPr>
          <w:rFonts w:cs="Arial"/>
          <w:iCs/>
          <w:szCs w:val="24"/>
        </w:rPr>
        <w:t>.</w:t>
      </w:r>
    </w:p>
    <w:p w14:paraId="5D658D2B" w14:textId="77777777" w:rsidR="00FA2BE1" w:rsidRDefault="00FA2BE1" w:rsidP="00FA2BE1">
      <w:pPr>
        <w:rPr>
          <w:rFonts w:cs="Arial"/>
          <w:b/>
          <w:szCs w:val="24"/>
        </w:rPr>
      </w:pPr>
    </w:p>
    <w:p w14:paraId="1BE59326" w14:textId="77777777" w:rsidR="00FA2BE1" w:rsidRDefault="00FA2BE1" w:rsidP="00FA2BE1">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p>
    <w:p w14:paraId="514ADB31" w14:textId="77777777" w:rsidR="00FA2BE1" w:rsidRDefault="00FA2BE1" w:rsidP="00FA2BE1">
      <w:pPr>
        <w:jc w:val="right"/>
        <w:rPr>
          <w:rStyle w:val="Hyperlink"/>
          <w:rFonts w:eastAsiaTheme="majorEastAsia" w:cs="Arial"/>
          <w:i/>
          <w:szCs w:val="24"/>
        </w:rPr>
      </w:pPr>
    </w:p>
    <w:p w14:paraId="3FC7BE18" w14:textId="77777777" w:rsidR="00FA2BE1" w:rsidRDefault="00FA2BE1" w:rsidP="00FA2BE1">
      <w:pPr>
        <w:jc w:val="right"/>
        <w:rPr>
          <w:rStyle w:val="Hyperlink"/>
          <w:rFonts w:eastAsiaTheme="majorEastAsia" w:cs="Arial"/>
          <w:i/>
          <w:szCs w:val="24"/>
        </w:rPr>
      </w:pPr>
    </w:p>
    <w:p w14:paraId="6CD469A5" w14:textId="77777777" w:rsidR="00FA2BE1" w:rsidRDefault="00FA2BE1" w:rsidP="00FA2BE1">
      <w:pPr>
        <w:jc w:val="right"/>
        <w:rPr>
          <w:rStyle w:val="Hyperlink"/>
          <w:rFonts w:eastAsiaTheme="majorEastAsia" w:cs="Arial"/>
          <w:i/>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2A9D77FC" w14:textId="77777777" w:rsidTr="00841616">
        <w:trPr>
          <w:cantSplit/>
          <w:trHeight w:val="285"/>
        </w:trPr>
        <w:tc>
          <w:tcPr>
            <w:tcW w:w="9158" w:type="dxa"/>
            <w:shd w:val="clear" w:color="auto" w:fill="D9D9D9" w:themeFill="background1" w:themeFillShade="D9"/>
          </w:tcPr>
          <w:p w14:paraId="2BE5D15C" w14:textId="77777777" w:rsidR="00FA2BE1" w:rsidRPr="003D2D06" w:rsidRDefault="00FA2BE1" w:rsidP="00841616">
            <w:pPr>
              <w:pStyle w:val="Heading1"/>
            </w:pPr>
            <w:bookmarkStart w:id="57" w:name="_Toc151026304"/>
            <w:bookmarkStart w:id="58" w:name="_Toc164338503"/>
            <w:r w:rsidRPr="003D2D06">
              <w:lastRenderedPageBreak/>
              <w:t>Section</w:t>
            </w:r>
            <w:r>
              <w:t xml:space="preserve"> 8</w:t>
            </w:r>
            <w:r w:rsidRPr="003D2D06">
              <w:t xml:space="preserve"> – </w:t>
            </w:r>
            <w:r>
              <w:t>Weston Creek Medical Imaging service</w:t>
            </w:r>
            <w:bookmarkEnd w:id="57"/>
            <w:bookmarkEnd w:id="58"/>
          </w:p>
        </w:tc>
      </w:tr>
    </w:tbl>
    <w:p w14:paraId="7610D5E9" w14:textId="77777777" w:rsidR="00FA2BE1" w:rsidRDefault="00FA2BE1" w:rsidP="00FA2BE1">
      <w:pPr>
        <w:pStyle w:val="Heading2"/>
      </w:pPr>
    </w:p>
    <w:p w14:paraId="7EEB43E7" w14:textId="77777777" w:rsidR="00FA2BE1" w:rsidRPr="00AF27D9" w:rsidRDefault="00FA2BE1" w:rsidP="00FA2BE1">
      <w:pPr>
        <w:rPr>
          <w:rFonts w:cs="Arial"/>
          <w:iCs/>
          <w:szCs w:val="24"/>
        </w:rPr>
      </w:pPr>
      <w:r w:rsidRPr="00AF27D9">
        <w:rPr>
          <w:rFonts w:cs="Arial"/>
          <w:iCs/>
          <w:szCs w:val="24"/>
        </w:rPr>
        <w:t xml:space="preserve">This section applies to </w:t>
      </w:r>
      <w:r>
        <w:rPr>
          <w:rFonts w:cs="Arial"/>
          <w:iCs/>
          <w:szCs w:val="24"/>
        </w:rPr>
        <w:t>medical imaging</w:t>
      </w:r>
      <w:r w:rsidRPr="00AF27D9">
        <w:rPr>
          <w:rFonts w:cs="Arial"/>
          <w:iCs/>
          <w:szCs w:val="24"/>
        </w:rPr>
        <w:t xml:space="preserve"> nurses </w:t>
      </w:r>
      <w:r>
        <w:rPr>
          <w:rFonts w:cs="Arial"/>
          <w:iCs/>
          <w:szCs w:val="24"/>
        </w:rPr>
        <w:t>working in the Weston Creek Medical Imaging Service for the management of anaphylactic iodinated contrast reaction.</w:t>
      </w:r>
    </w:p>
    <w:p w14:paraId="2298E34A" w14:textId="77777777" w:rsidR="00FA2BE1" w:rsidRDefault="00FA2BE1" w:rsidP="00FA2BE1">
      <w:pPr>
        <w:pStyle w:val="ListBullet"/>
        <w:numPr>
          <w:ilvl w:val="0"/>
          <w:numId w:val="0"/>
        </w:numPr>
      </w:pPr>
    </w:p>
    <w:p w14:paraId="5E5456C9" w14:textId="77777777" w:rsidR="00FA2BE1" w:rsidRDefault="00FA2BE1" w:rsidP="00FA2BE1">
      <w:pPr>
        <w:pStyle w:val="ListBullet"/>
        <w:numPr>
          <w:ilvl w:val="0"/>
          <w:numId w:val="0"/>
        </w:numPr>
      </w:pPr>
      <w:r>
        <w:t xml:space="preserve">All nursing staff must have read the Standing </w:t>
      </w:r>
      <w:r w:rsidRPr="00AF27D9">
        <w:t xml:space="preserve">Medical </w:t>
      </w:r>
      <w:r>
        <w:t>O</w:t>
      </w:r>
      <w:r w:rsidRPr="00AF27D9">
        <w:t xml:space="preserve">rder for the Administration of Adrenaline </w:t>
      </w:r>
      <w:r>
        <w:t>CHS23/010.</w:t>
      </w:r>
    </w:p>
    <w:p w14:paraId="6492531B" w14:textId="77777777" w:rsidR="00FA2BE1" w:rsidRPr="00AF27D9" w:rsidRDefault="00FA2BE1" w:rsidP="00FA2BE1">
      <w:pPr>
        <w:rPr>
          <w:rFonts w:cs="Arial"/>
          <w:iCs/>
          <w:szCs w:val="24"/>
        </w:rPr>
      </w:pPr>
    </w:p>
    <w:p w14:paraId="5C8B16D6" w14:textId="77777777" w:rsidR="00FA2BE1" w:rsidRPr="00AF27D9" w:rsidRDefault="00FA2BE1" w:rsidP="00FA2BE1">
      <w:pPr>
        <w:rPr>
          <w:rFonts w:cs="Arial"/>
          <w:b/>
          <w:bCs/>
          <w:iCs/>
          <w:szCs w:val="24"/>
        </w:rPr>
      </w:pPr>
      <w:r w:rsidRPr="00AF27D9">
        <w:rPr>
          <w:rFonts w:cs="Arial"/>
          <w:b/>
          <w:bCs/>
          <w:iCs/>
          <w:szCs w:val="24"/>
        </w:rPr>
        <w:t xml:space="preserve">Management of Mild to Moderate Signs and Symptoms (see </w:t>
      </w:r>
      <w:r w:rsidRPr="00AF27D9">
        <w:rPr>
          <w:rFonts w:cs="Arial"/>
          <w:b/>
          <w:bCs/>
          <w:iCs/>
          <w:szCs w:val="24"/>
          <w:u w:val="single"/>
        </w:rPr>
        <w:t>Section 2 for definition</w:t>
      </w:r>
      <w:r w:rsidRPr="00AF27D9">
        <w:rPr>
          <w:rFonts w:cs="Arial"/>
          <w:b/>
          <w:bCs/>
          <w:iCs/>
          <w:szCs w:val="24"/>
        </w:rPr>
        <w:t>):</w:t>
      </w:r>
    </w:p>
    <w:p w14:paraId="5EF7FC63" w14:textId="77777777" w:rsidR="00FA2BE1" w:rsidRPr="00AF27D9" w:rsidRDefault="00FA2BE1" w:rsidP="00FA2BE1">
      <w:pPr>
        <w:numPr>
          <w:ilvl w:val="0"/>
          <w:numId w:val="26"/>
        </w:numPr>
        <w:rPr>
          <w:rFonts w:cs="Arial"/>
          <w:iCs/>
          <w:szCs w:val="24"/>
        </w:rPr>
      </w:pPr>
      <w:r w:rsidRPr="00AF27D9">
        <w:rPr>
          <w:rFonts w:cs="Arial"/>
          <w:iCs/>
          <w:szCs w:val="24"/>
        </w:rPr>
        <w:t xml:space="preserve">Cease administration of IV </w:t>
      </w:r>
      <w:r>
        <w:rPr>
          <w:rFonts w:cs="Arial"/>
          <w:iCs/>
          <w:szCs w:val="24"/>
        </w:rPr>
        <w:t>contrast</w:t>
      </w:r>
    </w:p>
    <w:p w14:paraId="6A9A4A56" w14:textId="77777777" w:rsidR="00FA2BE1" w:rsidRPr="007765E1" w:rsidRDefault="00FA2BE1" w:rsidP="00FA2BE1">
      <w:pPr>
        <w:numPr>
          <w:ilvl w:val="0"/>
          <w:numId w:val="26"/>
        </w:numPr>
        <w:rPr>
          <w:rFonts w:cs="Arial"/>
          <w:iCs/>
          <w:szCs w:val="24"/>
        </w:rPr>
      </w:pPr>
      <w:r>
        <w:rPr>
          <w:rFonts w:cs="Arial"/>
          <w:iCs/>
          <w:szCs w:val="24"/>
        </w:rPr>
        <w:t xml:space="preserve">Provide treatment under the direction of the medical officer as per the RANZCR guidelines for the Management of Anaphylactic Iodinated contrast reaction. </w:t>
      </w:r>
    </w:p>
    <w:p w14:paraId="3C22C66B" w14:textId="77777777" w:rsidR="00FA2BE1" w:rsidRDefault="00FA2BE1" w:rsidP="00FA2BE1">
      <w:pPr>
        <w:numPr>
          <w:ilvl w:val="0"/>
          <w:numId w:val="26"/>
        </w:numPr>
        <w:rPr>
          <w:rFonts w:cs="Arial"/>
          <w:iCs/>
          <w:szCs w:val="24"/>
        </w:rPr>
      </w:pPr>
      <w:r w:rsidRPr="00AF27D9">
        <w:rPr>
          <w:rFonts w:cs="Arial"/>
          <w:iCs/>
          <w:szCs w:val="24"/>
        </w:rPr>
        <w:t xml:space="preserve">Advise the patient to call an ambulance (or attend ED if safe to do so) if symptoms worsen. </w:t>
      </w:r>
    </w:p>
    <w:p w14:paraId="1D22D668" w14:textId="77777777" w:rsidR="00FA2BE1" w:rsidRPr="007765E1" w:rsidRDefault="00FA2BE1" w:rsidP="00FA2BE1">
      <w:pPr>
        <w:numPr>
          <w:ilvl w:val="0"/>
          <w:numId w:val="26"/>
        </w:numPr>
        <w:rPr>
          <w:rFonts w:cs="Arial"/>
          <w:iCs/>
          <w:szCs w:val="24"/>
        </w:rPr>
      </w:pPr>
      <w:r w:rsidRPr="007765E1">
        <w:rPr>
          <w:rFonts w:cs="Arial"/>
          <w:iCs/>
          <w:szCs w:val="24"/>
        </w:rPr>
        <w:t>Document all interventions in the patient’s clinical record.</w:t>
      </w:r>
    </w:p>
    <w:p w14:paraId="5C881DF5" w14:textId="77777777" w:rsidR="00FA2BE1" w:rsidRPr="00AF27D9" w:rsidRDefault="00FA2BE1" w:rsidP="00FA2BE1">
      <w:pPr>
        <w:numPr>
          <w:ilvl w:val="0"/>
          <w:numId w:val="26"/>
        </w:numPr>
        <w:rPr>
          <w:rFonts w:cs="Arial"/>
          <w:iCs/>
          <w:szCs w:val="24"/>
        </w:rPr>
      </w:pPr>
      <w:r w:rsidRPr="00AF27D9">
        <w:rPr>
          <w:rFonts w:cs="Arial"/>
          <w:iCs/>
          <w:szCs w:val="24"/>
        </w:rPr>
        <w:t xml:space="preserve">Add to </w:t>
      </w:r>
      <w:r>
        <w:rPr>
          <w:rFonts w:cs="Arial"/>
          <w:iCs/>
          <w:szCs w:val="24"/>
        </w:rPr>
        <w:t xml:space="preserve">patient’s health record in DHR. </w:t>
      </w:r>
    </w:p>
    <w:p w14:paraId="6CF23976" w14:textId="77777777" w:rsidR="00FA2BE1" w:rsidRPr="00AF27D9" w:rsidRDefault="00FA2BE1" w:rsidP="00FA2BE1">
      <w:pPr>
        <w:rPr>
          <w:rFonts w:cs="Arial"/>
          <w:iCs/>
          <w:szCs w:val="24"/>
        </w:rPr>
      </w:pPr>
    </w:p>
    <w:p w14:paraId="23934E91" w14:textId="77777777" w:rsidR="00FA2BE1" w:rsidRPr="00AF27D9" w:rsidRDefault="00FA2BE1" w:rsidP="00FA2BE1">
      <w:pPr>
        <w:rPr>
          <w:rFonts w:cs="Arial"/>
          <w:b/>
          <w:bCs/>
          <w:iCs/>
          <w:szCs w:val="24"/>
        </w:rPr>
      </w:pPr>
      <w:r w:rsidRPr="00AF27D9">
        <w:rPr>
          <w:rFonts w:cs="Arial"/>
          <w:b/>
          <w:bCs/>
          <w:iCs/>
          <w:szCs w:val="24"/>
        </w:rPr>
        <w:t>Management of Severe Signs and Symptoms (see Section 2 for definition):</w:t>
      </w:r>
    </w:p>
    <w:p w14:paraId="6539DD53" w14:textId="77777777" w:rsidR="00FA2BE1" w:rsidRPr="00AF27D9" w:rsidRDefault="00FA2BE1" w:rsidP="00FA2BE1">
      <w:pPr>
        <w:numPr>
          <w:ilvl w:val="0"/>
          <w:numId w:val="25"/>
        </w:numPr>
        <w:rPr>
          <w:rFonts w:cs="Arial"/>
          <w:iCs/>
          <w:szCs w:val="24"/>
        </w:rPr>
      </w:pPr>
      <w:r w:rsidRPr="00AF27D9">
        <w:rPr>
          <w:rFonts w:cs="Arial"/>
          <w:iCs/>
          <w:szCs w:val="24"/>
        </w:rPr>
        <w:t xml:space="preserve">Cease administration of IV </w:t>
      </w:r>
    </w:p>
    <w:p w14:paraId="77ECB262" w14:textId="77777777" w:rsidR="00FA2BE1" w:rsidRPr="00AF27D9" w:rsidRDefault="00FA2BE1" w:rsidP="00FA2BE1">
      <w:pPr>
        <w:numPr>
          <w:ilvl w:val="0"/>
          <w:numId w:val="25"/>
        </w:numPr>
        <w:rPr>
          <w:rFonts w:cs="Arial"/>
          <w:iCs/>
          <w:szCs w:val="24"/>
        </w:rPr>
      </w:pPr>
      <w:r w:rsidRPr="00AF27D9">
        <w:rPr>
          <w:rFonts w:cs="Arial"/>
          <w:iCs/>
          <w:szCs w:val="24"/>
        </w:rPr>
        <w:t xml:space="preserve">Commence basic life support algorithm- </w:t>
      </w:r>
      <w:proofErr w:type="gramStart"/>
      <w:r w:rsidRPr="00AF27D9">
        <w:rPr>
          <w:rFonts w:cs="Arial"/>
          <w:iCs/>
          <w:szCs w:val="24"/>
        </w:rPr>
        <w:t>DRSABC</w:t>
      </w:r>
      <w:proofErr w:type="gramEnd"/>
    </w:p>
    <w:p w14:paraId="4E8455C2" w14:textId="77777777" w:rsidR="00FA2BE1" w:rsidRPr="00AF27D9" w:rsidRDefault="00FA2BE1" w:rsidP="00FA2BE1">
      <w:pPr>
        <w:numPr>
          <w:ilvl w:val="0"/>
          <w:numId w:val="25"/>
        </w:numPr>
        <w:rPr>
          <w:rFonts w:cs="Arial"/>
          <w:iCs/>
          <w:szCs w:val="24"/>
        </w:rPr>
      </w:pPr>
      <w:r w:rsidRPr="00AF27D9">
        <w:rPr>
          <w:rFonts w:cs="Arial"/>
          <w:iCs/>
          <w:szCs w:val="24"/>
        </w:rPr>
        <w:t>Lay patient flat, do not stand or walk. If breathing is difficult, allow the patient to sit.</w:t>
      </w:r>
    </w:p>
    <w:p w14:paraId="45DACC91" w14:textId="77777777" w:rsidR="00FA2BE1" w:rsidRPr="00AF27D9" w:rsidRDefault="00FA2BE1" w:rsidP="00FA2BE1">
      <w:pPr>
        <w:numPr>
          <w:ilvl w:val="0"/>
          <w:numId w:val="25"/>
        </w:numPr>
        <w:rPr>
          <w:rFonts w:cs="Arial"/>
          <w:iCs/>
          <w:szCs w:val="24"/>
        </w:rPr>
      </w:pPr>
      <w:r w:rsidRPr="00AF27D9">
        <w:rPr>
          <w:rFonts w:cs="Arial"/>
          <w:iCs/>
          <w:szCs w:val="24"/>
        </w:rPr>
        <w:t>If unconscious, lie the patient on the left side and position to keep the airway clear.</w:t>
      </w:r>
    </w:p>
    <w:p w14:paraId="75E6AF63" w14:textId="77777777" w:rsidR="00FA2BE1" w:rsidRPr="00AF27D9" w:rsidRDefault="00FA2BE1" w:rsidP="00FA2BE1">
      <w:pPr>
        <w:numPr>
          <w:ilvl w:val="0"/>
          <w:numId w:val="25"/>
        </w:numPr>
        <w:rPr>
          <w:rFonts w:cs="Arial"/>
          <w:iCs/>
          <w:szCs w:val="24"/>
        </w:rPr>
      </w:pPr>
      <w:r w:rsidRPr="00AF27D9">
        <w:rPr>
          <w:rFonts w:cs="Arial"/>
          <w:iCs/>
          <w:szCs w:val="24"/>
        </w:rPr>
        <w:t xml:space="preserve">Call for ACT Ambulance Service: </w:t>
      </w:r>
    </w:p>
    <w:p w14:paraId="2DE36B91" w14:textId="77777777" w:rsidR="00FA2BE1" w:rsidRPr="00AF27D9" w:rsidRDefault="00FA2BE1" w:rsidP="00FA2BE1">
      <w:pPr>
        <w:numPr>
          <w:ilvl w:val="1"/>
          <w:numId w:val="25"/>
        </w:numPr>
        <w:ind w:left="851" w:hanging="425"/>
        <w:rPr>
          <w:rFonts w:cs="Arial"/>
          <w:iCs/>
          <w:szCs w:val="24"/>
        </w:rPr>
      </w:pPr>
      <w:r w:rsidRPr="00AF27D9">
        <w:rPr>
          <w:rFonts w:cs="Arial"/>
          <w:iCs/>
          <w:szCs w:val="24"/>
        </w:rPr>
        <w:t xml:space="preserve">Dial 000 </w:t>
      </w:r>
    </w:p>
    <w:p w14:paraId="08A2643C" w14:textId="77777777" w:rsidR="00FA2BE1" w:rsidRPr="00AF27D9" w:rsidRDefault="00FA2BE1" w:rsidP="00FA2BE1">
      <w:pPr>
        <w:numPr>
          <w:ilvl w:val="1"/>
          <w:numId w:val="25"/>
        </w:numPr>
        <w:ind w:left="851" w:hanging="425"/>
        <w:rPr>
          <w:rFonts w:cs="Arial"/>
          <w:iCs/>
          <w:szCs w:val="24"/>
        </w:rPr>
      </w:pPr>
      <w:r w:rsidRPr="00AF27D9">
        <w:rPr>
          <w:rFonts w:cs="Arial"/>
          <w:iCs/>
          <w:szCs w:val="24"/>
        </w:rPr>
        <w:t xml:space="preserve">Dial 112 on a mobile phone – this is the GSM international standard emergency access </w:t>
      </w:r>
      <w:proofErr w:type="gramStart"/>
      <w:r w:rsidRPr="00AF27D9">
        <w:rPr>
          <w:rFonts w:cs="Arial"/>
          <w:iCs/>
          <w:szCs w:val="24"/>
        </w:rPr>
        <w:t>number</w:t>
      </w:r>
      <w:proofErr w:type="gramEnd"/>
    </w:p>
    <w:p w14:paraId="58EBFB02" w14:textId="77777777" w:rsidR="00FA2BE1" w:rsidRPr="00AF27D9" w:rsidRDefault="00FA2BE1" w:rsidP="00FA2BE1">
      <w:pPr>
        <w:numPr>
          <w:ilvl w:val="0"/>
          <w:numId w:val="25"/>
        </w:numPr>
        <w:rPr>
          <w:rFonts w:cs="Arial"/>
          <w:iCs/>
          <w:szCs w:val="24"/>
        </w:rPr>
      </w:pPr>
      <w:r w:rsidRPr="00AF27D9">
        <w:rPr>
          <w:rFonts w:cs="Arial"/>
          <w:iCs/>
          <w:szCs w:val="24"/>
        </w:rPr>
        <w:t>Assess airway, breathing, circulation and commence basic life support if required.</w:t>
      </w:r>
    </w:p>
    <w:p w14:paraId="700951D1" w14:textId="77777777" w:rsidR="00FA2BE1" w:rsidRPr="00AF27D9" w:rsidRDefault="00FA2BE1" w:rsidP="00FA2BE1">
      <w:pPr>
        <w:numPr>
          <w:ilvl w:val="0"/>
          <w:numId w:val="25"/>
        </w:numPr>
        <w:rPr>
          <w:rFonts w:cs="Arial"/>
          <w:iCs/>
          <w:szCs w:val="24"/>
        </w:rPr>
      </w:pPr>
      <w:r w:rsidRPr="00AF27D9">
        <w:rPr>
          <w:rFonts w:cs="Arial"/>
          <w:iCs/>
          <w:szCs w:val="24"/>
        </w:rPr>
        <w:t xml:space="preserve">Administer adrenaline (as per </w:t>
      </w:r>
      <w:r>
        <w:rPr>
          <w:rFonts w:cs="Arial"/>
          <w:iCs/>
          <w:szCs w:val="24"/>
        </w:rPr>
        <w:t>SMO CHS23/012</w:t>
      </w:r>
      <w:r w:rsidRPr="00AF27D9">
        <w:rPr>
          <w:rFonts w:cs="Arial"/>
          <w:iCs/>
          <w:szCs w:val="24"/>
        </w:rPr>
        <w:t>), by IM injection into the mid-lateral thigh</w:t>
      </w:r>
      <w:r>
        <w:rPr>
          <w:rFonts w:cs="Arial"/>
          <w:iCs/>
          <w:szCs w:val="24"/>
        </w:rPr>
        <w:t>.</w:t>
      </w:r>
      <w:r w:rsidRPr="00AF27D9">
        <w:rPr>
          <w:rFonts w:cs="Arial"/>
          <w:iCs/>
          <w:szCs w:val="24"/>
        </w:rPr>
        <w:t xml:space="preserve"> </w:t>
      </w:r>
      <w:r>
        <w:rPr>
          <w:rFonts w:cs="Arial"/>
          <w:iCs/>
          <w:szCs w:val="24"/>
        </w:rPr>
        <w:t xml:space="preserve"> </w:t>
      </w:r>
      <w:r w:rsidRPr="00AF27D9">
        <w:rPr>
          <w:rFonts w:cs="Arial"/>
          <w:iCs/>
          <w:szCs w:val="24"/>
        </w:rPr>
        <w:t>Note time of administration. If there is no improvement in the patient’s condition the dose can be repeated after 5 minutes</w:t>
      </w:r>
    </w:p>
    <w:p w14:paraId="3094B3D1" w14:textId="77777777" w:rsidR="00FA2BE1" w:rsidRPr="00AF27D9" w:rsidRDefault="00FA2BE1" w:rsidP="00FA2BE1">
      <w:pPr>
        <w:numPr>
          <w:ilvl w:val="0"/>
          <w:numId w:val="25"/>
        </w:numPr>
        <w:rPr>
          <w:rFonts w:cs="Arial"/>
          <w:iCs/>
          <w:szCs w:val="24"/>
        </w:rPr>
      </w:pPr>
      <w:r w:rsidRPr="00AF27D9">
        <w:rPr>
          <w:rFonts w:cs="Arial"/>
          <w:iCs/>
          <w:szCs w:val="24"/>
        </w:rPr>
        <w:t>Never leave the patient alone</w:t>
      </w:r>
    </w:p>
    <w:p w14:paraId="53C31A30" w14:textId="77777777" w:rsidR="00FA2BE1" w:rsidRPr="00AF27D9" w:rsidRDefault="00FA2BE1" w:rsidP="00FA2BE1">
      <w:pPr>
        <w:numPr>
          <w:ilvl w:val="0"/>
          <w:numId w:val="25"/>
        </w:numPr>
        <w:rPr>
          <w:rFonts w:cs="Arial"/>
          <w:iCs/>
          <w:szCs w:val="24"/>
        </w:rPr>
      </w:pPr>
      <w:r w:rsidRPr="00AF27D9">
        <w:rPr>
          <w:rFonts w:cs="Arial"/>
          <w:iCs/>
          <w:szCs w:val="24"/>
        </w:rPr>
        <w:t>Continue emergency care until ambulance arrives.</w:t>
      </w:r>
    </w:p>
    <w:p w14:paraId="7ED0854A" w14:textId="77777777" w:rsidR="00FA2BE1" w:rsidRPr="00AF27D9" w:rsidRDefault="00FA2BE1" w:rsidP="00FA2BE1">
      <w:pPr>
        <w:numPr>
          <w:ilvl w:val="0"/>
          <w:numId w:val="25"/>
        </w:numPr>
        <w:rPr>
          <w:rFonts w:cs="Arial"/>
          <w:iCs/>
          <w:szCs w:val="24"/>
        </w:rPr>
      </w:pPr>
      <w:r w:rsidRPr="00AF27D9">
        <w:rPr>
          <w:rFonts w:cs="Arial"/>
          <w:iCs/>
          <w:szCs w:val="24"/>
        </w:rPr>
        <w:t xml:space="preserve">Document all interventions in the patient’s </w:t>
      </w:r>
      <w:r>
        <w:rPr>
          <w:rFonts w:cs="Arial"/>
          <w:iCs/>
          <w:szCs w:val="24"/>
        </w:rPr>
        <w:t>health</w:t>
      </w:r>
      <w:r w:rsidRPr="00AF27D9">
        <w:rPr>
          <w:rFonts w:cs="Arial"/>
          <w:iCs/>
          <w:szCs w:val="24"/>
        </w:rPr>
        <w:t xml:space="preserve"> record.</w:t>
      </w:r>
    </w:p>
    <w:p w14:paraId="209670A1" w14:textId="77777777" w:rsidR="00FA2BE1" w:rsidRPr="00A74316" w:rsidRDefault="00FA2BE1" w:rsidP="00FA2BE1">
      <w:pPr>
        <w:numPr>
          <w:ilvl w:val="0"/>
          <w:numId w:val="25"/>
        </w:numPr>
        <w:rPr>
          <w:rFonts w:cs="Arial"/>
          <w:iCs/>
          <w:szCs w:val="24"/>
        </w:rPr>
      </w:pPr>
      <w:r w:rsidRPr="00AF27D9">
        <w:rPr>
          <w:rFonts w:cs="Arial"/>
          <w:iCs/>
          <w:szCs w:val="24"/>
        </w:rPr>
        <w:t xml:space="preserve">Enter an alert in the </w:t>
      </w:r>
      <w:r>
        <w:rPr>
          <w:rFonts w:cs="Arial"/>
          <w:iCs/>
          <w:szCs w:val="24"/>
        </w:rPr>
        <w:t xml:space="preserve">patient’s clinical record in DHR. </w:t>
      </w:r>
    </w:p>
    <w:p w14:paraId="466B96FF" w14:textId="77777777" w:rsidR="00FA2BE1" w:rsidRDefault="00FA2BE1" w:rsidP="00FA2BE1">
      <w:pPr>
        <w:rPr>
          <w:rFonts w:cs="Arial"/>
          <w:b/>
          <w:szCs w:val="24"/>
        </w:rPr>
      </w:pPr>
    </w:p>
    <w:p w14:paraId="288C8B8E" w14:textId="77777777" w:rsidR="00FA2BE1" w:rsidRDefault="00FA2BE1" w:rsidP="00FA2BE1">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p>
    <w:p w14:paraId="32D29509" w14:textId="77777777" w:rsidR="00FA2BE1" w:rsidRPr="00D963F9" w:rsidRDefault="00FA2BE1" w:rsidP="00FA2BE1">
      <w:pPr>
        <w:jc w:val="right"/>
        <w:rPr>
          <w:rStyle w:val="Hyperlink"/>
          <w:rFonts w:eastAsiaTheme="majorEastAsia" w:cs="Arial"/>
          <w:i/>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16291C14" w14:textId="77777777" w:rsidTr="00841616">
        <w:trPr>
          <w:cantSplit/>
          <w:trHeight w:val="285"/>
        </w:trPr>
        <w:tc>
          <w:tcPr>
            <w:tcW w:w="9158" w:type="dxa"/>
            <w:shd w:val="clear" w:color="auto" w:fill="D9D9D9" w:themeFill="background1" w:themeFillShade="D9"/>
          </w:tcPr>
          <w:p w14:paraId="53AC5AED" w14:textId="77777777" w:rsidR="00FA2BE1" w:rsidRPr="003D2D06" w:rsidRDefault="00FA2BE1" w:rsidP="00841616">
            <w:pPr>
              <w:pStyle w:val="Heading1"/>
            </w:pPr>
            <w:bookmarkStart w:id="59" w:name="_Toc164338504"/>
            <w:r w:rsidRPr="003D2D06">
              <w:t xml:space="preserve">Section </w:t>
            </w:r>
            <w:r>
              <w:t>9</w:t>
            </w:r>
            <w:r w:rsidRPr="003D2D06">
              <w:t xml:space="preserve"> – </w:t>
            </w:r>
            <w:r>
              <w:t>Immunisations</w:t>
            </w:r>
            <w:bookmarkEnd w:id="59"/>
          </w:p>
        </w:tc>
      </w:tr>
    </w:tbl>
    <w:p w14:paraId="4226E6E9" w14:textId="77777777" w:rsidR="00FA2BE1" w:rsidRDefault="00FA2BE1" w:rsidP="00FA2BE1">
      <w:pPr>
        <w:pStyle w:val="Heading2"/>
      </w:pPr>
    </w:p>
    <w:p w14:paraId="69754299" w14:textId="77777777" w:rsidR="00FA2BE1" w:rsidRPr="00AF27D9" w:rsidRDefault="00FA2BE1" w:rsidP="00FA2BE1">
      <w:pPr>
        <w:rPr>
          <w:rFonts w:cs="Arial"/>
          <w:iCs/>
          <w:szCs w:val="24"/>
        </w:rPr>
      </w:pPr>
      <w:r w:rsidRPr="00AF27D9">
        <w:rPr>
          <w:rFonts w:cs="Arial"/>
          <w:iCs/>
          <w:szCs w:val="24"/>
        </w:rPr>
        <w:t>To minimise the risk of an adverse event following immunisation, prior to vaccination all persons are screened using the pre-vaccination checklist from the Australian Immunisation Guidelines available online at:</w:t>
      </w:r>
      <w:r w:rsidRPr="00AF27D9">
        <w:rPr>
          <w:rFonts w:cs="Arial"/>
          <w:iCs/>
          <w:noProof/>
          <w:szCs w:val="24"/>
        </w:rPr>
        <mc:AlternateContent>
          <mc:Choice Requires="wpg">
            <w:drawing>
              <wp:anchor distT="0" distB="0" distL="114300" distR="114300" simplePos="0" relativeHeight="251659264" behindDoc="1" locked="0" layoutInCell="0" allowOverlap="1" wp14:anchorId="46AE87AD" wp14:editId="3097DBBA">
                <wp:simplePos x="0" y="0"/>
                <wp:positionH relativeFrom="page">
                  <wp:posOffset>894080</wp:posOffset>
                </wp:positionH>
                <wp:positionV relativeFrom="page">
                  <wp:posOffset>10149205</wp:posOffset>
                </wp:positionV>
                <wp:extent cx="5770880" cy="16256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62560"/>
                          <a:chOff x="1408" y="15983"/>
                          <a:chExt cx="9088" cy="256"/>
                        </a:xfrm>
                      </wpg:grpSpPr>
                      <wps:wsp>
                        <wps:cNvPr id="291" name="Freeform 153"/>
                        <wps:cNvSpPr>
                          <a:spLocks/>
                        </wps:cNvSpPr>
                        <wps:spPr bwMode="auto">
                          <a:xfrm>
                            <a:off x="1408" y="15983"/>
                            <a:ext cx="9088" cy="256"/>
                          </a:xfrm>
                          <a:custGeom>
                            <a:avLst/>
                            <a:gdLst>
                              <a:gd name="T0" fmla="*/ 1551 w 9088"/>
                              <a:gd name="T1" fmla="*/ 0 h 256"/>
                              <a:gd name="T2" fmla="*/ 1536 w 9088"/>
                              <a:gd name="T3" fmla="*/ 0 h 256"/>
                              <a:gd name="T4" fmla="*/ 32 w 9088"/>
                              <a:gd name="T5" fmla="*/ 0 h 256"/>
                              <a:gd name="T6" fmla="*/ 16 w 9088"/>
                              <a:gd name="T7" fmla="*/ 0 h 256"/>
                              <a:gd name="T8" fmla="*/ 0 w 9088"/>
                              <a:gd name="T9" fmla="*/ 0 h 256"/>
                              <a:gd name="T10" fmla="*/ 0 w 9088"/>
                              <a:gd name="T11" fmla="*/ 16 h 256"/>
                              <a:gd name="T12" fmla="*/ 16 w 9088"/>
                              <a:gd name="T13" fmla="*/ 16 h 256"/>
                              <a:gd name="T14" fmla="*/ 32 w 9088"/>
                              <a:gd name="T15" fmla="*/ 16 h 256"/>
                              <a:gd name="T16" fmla="*/ 1536 w 9088"/>
                              <a:gd name="T17" fmla="*/ 16 h 256"/>
                              <a:gd name="T18" fmla="*/ 1551 w 9088"/>
                              <a:gd name="T19" fmla="*/ 16 h 256"/>
                              <a:gd name="T20" fmla="*/ 1551 w 9088"/>
                              <a:gd name="T21" fmla="*/ 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88" h="256">
                                <a:moveTo>
                                  <a:pt x="1551" y="0"/>
                                </a:moveTo>
                                <a:lnTo>
                                  <a:pt x="1536" y="0"/>
                                </a:lnTo>
                                <a:lnTo>
                                  <a:pt x="32" y="0"/>
                                </a:lnTo>
                                <a:lnTo>
                                  <a:pt x="16" y="0"/>
                                </a:lnTo>
                                <a:lnTo>
                                  <a:pt x="0" y="0"/>
                                </a:lnTo>
                                <a:lnTo>
                                  <a:pt x="0" y="16"/>
                                </a:lnTo>
                                <a:lnTo>
                                  <a:pt x="16" y="16"/>
                                </a:lnTo>
                                <a:lnTo>
                                  <a:pt x="32" y="16"/>
                                </a:lnTo>
                                <a:lnTo>
                                  <a:pt x="1536" y="16"/>
                                </a:lnTo>
                                <a:lnTo>
                                  <a:pt x="1551" y="16"/>
                                </a:lnTo>
                                <a:lnTo>
                                  <a:pt x="1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54"/>
                        <wps:cNvSpPr>
                          <a:spLocks/>
                        </wps:cNvSpPr>
                        <wps:spPr bwMode="auto">
                          <a:xfrm>
                            <a:off x="1408" y="15983"/>
                            <a:ext cx="9088" cy="256"/>
                          </a:xfrm>
                          <a:custGeom>
                            <a:avLst/>
                            <a:gdLst>
                              <a:gd name="T0" fmla="*/ 7247 w 9088"/>
                              <a:gd name="T1" fmla="*/ 0 h 256"/>
                              <a:gd name="T2" fmla="*/ 5520 w 9088"/>
                              <a:gd name="T3" fmla="*/ 0 h 256"/>
                              <a:gd name="T4" fmla="*/ 5504 w 9088"/>
                              <a:gd name="T5" fmla="*/ 0 h 256"/>
                              <a:gd name="T6" fmla="*/ 4064 w 9088"/>
                              <a:gd name="T7" fmla="*/ 0 h 256"/>
                              <a:gd name="T8" fmla="*/ 4048 w 9088"/>
                              <a:gd name="T9" fmla="*/ 0 h 256"/>
                              <a:gd name="T10" fmla="*/ 2512 w 9088"/>
                              <a:gd name="T11" fmla="*/ 0 h 256"/>
                              <a:gd name="T12" fmla="*/ 2496 w 9088"/>
                              <a:gd name="T13" fmla="*/ 0 h 256"/>
                              <a:gd name="T14" fmla="*/ 2496 w 9088"/>
                              <a:gd name="T15" fmla="*/ 0 h 256"/>
                              <a:gd name="T16" fmla="*/ 1552 w 9088"/>
                              <a:gd name="T17" fmla="*/ 0 h 256"/>
                              <a:gd name="T18" fmla="*/ 1552 w 9088"/>
                              <a:gd name="T19" fmla="*/ 16 h 256"/>
                              <a:gd name="T20" fmla="*/ 2496 w 9088"/>
                              <a:gd name="T21" fmla="*/ 16 h 256"/>
                              <a:gd name="T22" fmla="*/ 2496 w 9088"/>
                              <a:gd name="T23" fmla="*/ 16 h 256"/>
                              <a:gd name="T24" fmla="*/ 2512 w 9088"/>
                              <a:gd name="T25" fmla="*/ 16 h 256"/>
                              <a:gd name="T26" fmla="*/ 4048 w 9088"/>
                              <a:gd name="T27" fmla="*/ 16 h 256"/>
                              <a:gd name="T28" fmla="*/ 4064 w 9088"/>
                              <a:gd name="T29" fmla="*/ 16 h 256"/>
                              <a:gd name="T30" fmla="*/ 5504 w 9088"/>
                              <a:gd name="T31" fmla="*/ 16 h 256"/>
                              <a:gd name="T32" fmla="*/ 5520 w 9088"/>
                              <a:gd name="T33" fmla="*/ 16 h 256"/>
                              <a:gd name="T34" fmla="*/ 7247 w 9088"/>
                              <a:gd name="T35" fmla="*/ 16 h 256"/>
                              <a:gd name="T36" fmla="*/ 7247 w 9088"/>
                              <a:gd name="T37" fmla="*/ 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88" h="256">
                                <a:moveTo>
                                  <a:pt x="7247" y="0"/>
                                </a:moveTo>
                                <a:lnTo>
                                  <a:pt x="5520" y="0"/>
                                </a:lnTo>
                                <a:lnTo>
                                  <a:pt x="5504" y="0"/>
                                </a:lnTo>
                                <a:lnTo>
                                  <a:pt x="4064" y="0"/>
                                </a:lnTo>
                                <a:lnTo>
                                  <a:pt x="4048" y="0"/>
                                </a:lnTo>
                                <a:lnTo>
                                  <a:pt x="2512" y="0"/>
                                </a:lnTo>
                                <a:lnTo>
                                  <a:pt x="2496" y="0"/>
                                </a:lnTo>
                                <a:lnTo>
                                  <a:pt x="2496" y="0"/>
                                </a:lnTo>
                                <a:lnTo>
                                  <a:pt x="1552" y="0"/>
                                </a:lnTo>
                                <a:lnTo>
                                  <a:pt x="1552" y="16"/>
                                </a:lnTo>
                                <a:lnTo>
                                  <a:pt x="2496" y="16"/>
                                </a:lnTo>
                                <a:lnTo>
                                  <a:pt x="2496" y="16"/>
                                </a:lnTo>
                                <a:lnTo>
                                  <a:pt x="2512" y="16"/>
                                </a:lnTo>
                                <a:lnTo>
                                  <a:pt x="4048" y="16"/>
                                </a:lnTo>
                                <a:lnTo>
                                  <a:pt x="4064" y="16"/>
                                </a:lnTo>
                                <a:lnTo>
                                  <a:pt x="5504" y="16"/>
                                </a:lnTo>
                                <a:lnTo>
                                  <a:pt x="5520" y="16"/>
                                </a:lnTo>
                                <a:lnTo>
                                  <a:pt x="7247" y="16"/>
                                </a:lnTo>
                                <a:lnTo>
                                  <a:pt x="7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55"/>
                        <wps:cNvSpPr>
                          <a:spLocks/>
                        </wps:cNvSpPr>
                        <wps:spPr bwMode="auto">
                          <a:xfrm>
                            <a:off x="1408" y="15983"/>
                            <a:ext cx="9088" cy="256"/>
                          </a:xfrm>
                          <a:custGeom>
                            <a:avLst/>
                            <a:gdLst>
                              <a:gd name="T0" fmla="*/ 9088 w 9088"/>
                              <a:gd name="T1" fmla="*/ 16 h 256"/>
                              <a:gd name="T2" fmla="*/ 9072 w 9088"/>
                              <a:gd name="T3" fmla="*/ 16 h 256"/>
                              <a:gd name="T4" fmla="*/ 9072 w 9088"/>
                              <a:gd name="T5" fmla="*/ 240 h 256"/>
                              <a:gd name="T6" fmla="*/ 16 w 9088"/>
                              <a:gd name="T7" fmla="*/ 240 h 256"/>
                              <a:gd name="T8" fmla="*/ 16 w 9088"/>
                              <a:gd name="T9" fmla="*/ 16 h 256"/>
                              <a:gd name="T10" fmla="*/ 0 w 9088"/>
                              <a:gd name="T11" fmla="*/ 16 h 256"/>
                              <a:gd name="T12" fmla="*/ 0 w 9088"/>
                              <a:gd name="T13" fmla="*/ 240 h 256"/>
                              <a:gd name="T14" fmla="*/ 0 w 9088"/>
                              <a:gd name="T15" fmla="*/ 256 h 256"/>
                              <a:gd name="T16" fmla="*/ 16 w 9088"/>
                              <a:gd name="T17" fmla="*/ 256 h 256"/>
                              <a:gd name="T18" fmla="*/ 9072 w 9088"/>
                              <a:gd name="T19" fmla="*/ 256 h 256"/>
                              <a:gd name="T20" fmla="*/ 9088 w 9088"/>
                              <a:gd name="T21" fmla="*/ 256 h 256"/>
                              <a:gd name="T22" fmla="*/ 9088 w 9088"/>
                              <a:gd name="T23" fmla="*/ 240 h 256"/>
                              <a:gd name="T24" fmla="*/ 9088 w 9088"/>
                              <a:gd name="T25" fmla="*/ 16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88" h="256">
                                <a:moveTo>
                                  <a:pt x="9088" y="16"/>
                                </a:moveTo>
                                <a:lnTo>
                                  <a:pt x="9072" y="16"/>
                                </a:lnTo>
                                <a:lnTo>
                                  <a:pt x="9072" y="240"/>
                                </a:lnTo>
                                <a:lnTo>
                                  <a:pt x="16" y="240"/>
                                </a:lnTo>
                                <a:lnTo>
                                  <a:pt x="16" y="16"/>
                                </a:lnTo>
                                <a:lnTo>
                                  <a:pt x="0" y="16"/>
                                </a:lnTo>
                                <a:lnTo>
                                  <a:pt x="0" y="240"/>
                                </a:lnTo>
                                <a:lnTo>
                                  <a:pt x="0" y="256"/>
                                </a:lnTo>
                                <a:lnTo>
                                  <a:pt x="16" y="256"/>
                                </a:lnTo>
                                <a:lnTo>
                                  <a:pt x="9072" y="256"/>
                                </a:lnTo>
                                <a:lnTo>
                                  <a:pt x="9088" y="256"/>
                                </a:lnTo>
                                <a:lnTo>
                                  <a:pt x="9088" y="240"/>
                                </a:lnTo>
                                <a:lnTo>
                                  <a:pt x="908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56"/>
                        <wps:cNvSpPr>
                          <a:spLocks/>
                        </wps:cNvSpPr>
                        <wps:spPr bwMode="auto">
                          <a:xfrm>
                            <a:off x="1408" y="15983"/>
                            <a:ext cx="9088" cy="256"/>
                          </a:xfrm>
                          <a:custGeom>
                            <a:avLst/>
                            <a:gdLst>
                              <a:gd name="T0" fmla="*/ 9088 w 9088"/>
                              <a:gd name="T1" fmla="*/ 0 h 256"/>
                              <a:gd name="T2" fmla="*/ 9072 w 9088"/>
                              <a:gd name="T3" fmla="*/ 0 h 256"/>
                              <a:gd name="T4" fmla="*/ 7264 w 9088"/>
                              <a:gd name="T5" fmla="*/ 0 h 256"/>
                              <a:gd name="T6" fmla="*/ 7248 w 9088"/>
                              <a:gd name="T7" fmla="*/ 0 h 256"/>
                              <a:gd name="T8" fmla="*/ 7248 w 9088"/>
                              <a:gd name="T9" fmla="*/ 16 h 256"/>
                              <a:gd name="T10" fmla="*/ 7264 w 9088"/>
                              <a:gd name="T11" fmla="*/ 16 h 256"/>
                              <a:gd name="T12" fmla="*/ 9072 w 9088"/>
                              <a:gd name="T13" fmla="*/ 16 h 256"/>
                              <a:gd name="T14" fmla="*/ 9088 w 9088"/>
                              <a:gd name="T15" fmla="*/ 16 h 256"/>
                              <a:gd name="T16" fmla="*/ 9088 w 9088"/>
                              <a:gd name="T17" fmla="*/ 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8" h="256">
                                <a:moveTo>
                                  <a:pt x="9088" y="0"/>
                                </a:moveTo>
                                <a:lnTo>
                                  <a:pt x="9072" y="0"/>
                                </a:lnTo>
                                <a:lnTo>
                                  <a:pt x="7264" y="0"/>
                                </a:lnTo>
                                <a:lnTo>
                                  <a:pt x="7248" y="0"/>
                                </a:lnTo>
                                <a:lnTo>
                                  <a:pt x="7248" y="16"/>
                                </a:lnTo>
                                <a:lnTo>
                                  <a:pt x="7264" y="16"/>
                                </a:lnTo>
                                <a:lnTo>
                                  <a:pt x="9072" y="16"/>
                                </a:lnTo>
                                <a:lnTo>
                                  <a:pt x="9088" y="16"/>
                                </a:lnTo>
                                <a:lnTo>
                                  <a:pt x="9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459AA" id="Group 290" o:spid="_x0000_s1026" style="position:absolute;margin-left:70.4pt;margin-top:799.15pt;width:454.4pt;height:12.8pt;z-index:-251657216;mso-position-horizontal-relative:page;mso-position-vertical-relative:page" coordorigin="1408,15983" coordsize="908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BK3QYAAI4uAAAOAAAAZHJzL2Uyb0RvYy54bWzsWttu20YQfS/QfyD4WKAWSZGWJVgOiqQ2&#10;CqRtgKgfQFPUBaW47JK27H59Z/ZCDW0NuU6TIEaUB1MKDw93zszunhF5+eZhV3j3uay3opz74Vng&#10;e3mZieW2XM/9vxbXP1/4Xt2k5TItRJnP/ce89t9c/fjD5b6a5ZHYiGKZSw9Iynq2r+b+pmmq2WhU&#10;Z5t8l9ZnospLOLkScpc28FWuR0uZ7oF9V4yiIDgf7YVcVlJkeV3D/77TJ/0rxb9a5Vnz52pV541X&#10;zH0YW6P+SvX3Fv+Ori7T2Vqm1WabmWGknzCKXbot4aYt1bu0Sb07uX1GtdtmUtRi1ZxlYjcSq9U2&#10;y1UMEE0YPInmRoq7SsWynu3XVSsTSPtEp0+mzf64v5HVx+qD1KOHj+9F9ncNuoz21XpGz+P3tQZ7&#10;t/vfxRLymd41QgX+sJI7pICQvAel72Orb/7QeBn8ZzKZBBcXkIYMzoXnUXJuEpBtIEt4WRgHUDB4&#10;NplejHV2ss2v5vopXK0vhkvx5Cid6fuqsZqxYe6hmOqDXvX/0+vjJq1ylYYa9fggve1y7kfT0PfK&#10;dAciXMs8xxL1wkSNGe8PQKtqTSUlZxBWg/KDYh5TxWrKa5LOsru6ucmFykt6/75udLUv4ZPK9tKM&#10;fwEpWe0KKPyfRhBDEnp7T/EavIVBwC0s8DaeyQJUfcsUEQiocc4wjQmMYYoJZBwxPAkBMTznBBJy&#10;45kQEMMDlUeCPy7QtIM5KlBItQ6YsEKqNAz6OFNHay6ykErNUjmJHVK1WaqO3nwFhFRyloyK3leY&#10;VHiOLKLK95BFVHxSDLDYrO3USTd2NmUPpZlO8MlLcdsL1IJYiRpXNJxbsJ4tQrNeAQrnHgOGlCJY&#10;rSJwv34wJA3BiRMzpAXBEyewXoMXUycwVrSK0C3E0MQIhalX8P4gQxMlFJ8T3MQJ5eUEN5GGbqFi&#10;CWGoUCKEXSfKVIEEy/HUbEjfA7Nxi9eksyptsHjsR28/9/UavoE9BbY1PLET9/lCKEijtkVYk9Wd&#10;1X4J9zsAirILHGsBLNCetsdK8Y11DvpBoQuTFqSfSGOATmtmh2KPekjmbgMoM/ABFG48Sq5BnJHV&#10;Ffc0zqwQda6jwrQqQ9LmF8uCbMC1KLbL621RYFprub59W0jvPkVfqv4ZdTqwQq0VpcDLrHjKmGnj&#10;oJ3OrVg+gomQQptbMOPwYSPkv763B2M79+t/7lKZ+17xWwlOaBrGMWSkUV/iZII1LemZW3omLTOg&#10;mvuND2sbfnzbaPd8V8ntegN3ClXFluIXcIKrLVoMMGP1TI/KfAEz9tVcGZT2M1cWo7iv2pVNonjC&#10;mYVh0wGatN4lSSLOdlCrQDY+6u+oUUiSIGbGRJ0CwwQztB1THJxzTNQmMEzUJMRBfMGMiXoEhqlj&#10;zqIk5Gxnx59xXFT0KJ46GTSOi8rex+WgO6x1B+HBBrExOigfUun7uKj2Tv6sJ8iOP2PJHNWPaM2z&#10;ZB35+bKIqPwsGdW/p1wjqj9LRhPQM4silwSMYSdop2TP5B5Tg8yNDHdqQsavOS4JGNME9CyFY5cE&#10;oDdoR9ZHRhNAJibs66c+4Eij8933AXxXB3NBtQ1uLU8E1a7gbi1PBPWs4G4tT2RaHlgStKXs779w&#10;UUB2mPROcBPq2C1UnNiK3S1UY+sX406oX77/wlVCDdQ2AFz/heaqA7RNjj3qZgcXVwcYLuhOsFjn&#10;1I7O3swe9U3Rzziw4c77+WBoChzYWthAJ9YO7nPhrCYDfLhPqzAGcSZjA7i2AAZxpp4GcG2BuuKe&#10;lsqpk/32OllwRs86WbVOvupOFn/sYjo0F18Jq0lr3qbBhOteXFwlrK0uVNRTRjExgrQvpp4SLPHx&#10;xwPUULJM1NGzTC52vtPMci1/p5PlvDzuG61SLBOVnI0Of84dpupInnDPP5w07zxngN9XmWcpVPWe&#10;soLfiQ/DZ9lwzW6D7Kn3TifLs1H1+9icEoDm0mlsNAe0ME7tz/HnPKf2h32opR3gAn5rcWkhjrc/&#10;X97k66cw0I20Hopz+bhAuLjBFgfLoQndWnJ77Dz8cIS147Mk9qjJdAPiBBq6oabCp1I6cfZG9tgd&#10;/QDsoMYgEF/zgEQM3bjN2FAcLfCZKiff++35XtihnvleVYHfg+9l/GXXAzjZXoaJ7v+TiH3uQrd/&#10;hon6L2hAOVdPXS/DRN1XDxM1X9SSUCPecb098b3c+PbZQmq92JFR5Xt83Mtfs+kjY9Q/ubhX6+K+&#10;ohOyrmXQCFmgNQb2qA0CTkOHHwFx5r8E9mwzZ+46gGt9ySDO2BJX3FNRTl7jBV5DvdELLz2rd2rM&#10;C9r4VjX9rt4uObxGfvUfAAAA//8DAFBLAwQUAAYACAAAACEA3aKcCOMAAAAOAQAADwAAAGRycy9k&#10;b3ducmV2LnhtbEyPwWrDMBBE74X+g9hCb43kODGxazmE0PYUCk0KpTfF2tgmlmQsxXb+vptTc5th&#10;h9k3+XoyLRuw942zEqKZAIa2dLqxlYTvw/vLCpgPymrVOosSruhhXTw+5CrTbrRfOOxDxajE+kxJ&#10;qEPoMs59WaNRfuY6tHQ7ud6oQLavuO7VSOWm5XMhEm5UY+lDrTrc1lie9xcj4WNU4yaO3obd+bS9&#10;/h6Wnz+7CKV8fpo2r8ACTuE/DDd8QoeCmI7uYrVnLfmFIPRAYpmuYmC3iFikCbAjqWQep8CLnN/P&#10;KP4AAAD//wMAUEsBAi0AFAAGAAgAAAAhALaDOJL+AAAA4QEAABMAAAAAAAAAAAAAAAAAAAAAAFtD&#10;b250ZW50X1R5cGVzXS54bWxQSwECLQAUAAYACAAAACEAOP0h/9YAAACUAQAACwAAAAAAAAAAAAAA&#10;AAAvAQAAX3JlbHMvLnJlbHNQSwECLQAUAAYACAAAACEAnRyASt0GAACOLgAADgAAAAAAAAAAAAAA&#10;AAAuAgAAZHJzL2Uyb0RvYy54bWxQSwECLQAUAAYACAAAACEA3aKcCOMAAAAOAQAADwAAAAAAAAAA&#10;AAAAAAA3CQAAZHJzL2Rvd25yZXYueG1sUEsFBgAAAAAEAAQA8wAAAEcKAAAAAA==&#10;" o:allowincell="f">
                <v:shape id="Freeform 153" o:spid="_x0000_s1027" style="position:absolute;left:1408;top:15983;width:9088;height:256;visibility:visible;mso-wrap-style:square;v-text-anchor:top" coordsize="908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0BxwAAANwAAAAPAAAAZHJzL2Rvd25yZXYueG1sRI9BS8NA&#10;FITvgv9heYI3u0lFadNuiyhCL4XaltDcHtnXJHT3bcyuSeyvdwXB4zAz3zDL9WiN6KnzjWMF6SQB&#10;QVw63XCl4Hh4f5iB8AFZo3FMCr7Jw3p1e7PETLuBP6jfh0pECPsMFdQhtJmUvqzJop+4ljh6Z9dZ&#10;DFF2ldQdDhFujZwmybO02HBcqLGl15rKy/7LKhjy3dun4aJ/LE5Xk8+OT9s0L5S6vxtfFiACjeE/&#10;/NfeaAXTeQq/Z+IRkKsfAAAA//8DAFBLAQItABQABgAIAAAAIQDb4fbL7gAAAIUBAAATAAAAAAAA&#10;AAAAAAAAAAAAAABbQ29udGVudF9UeXBlc10ueG1sUEsBAi0AFAAGAAgAAAAhAFr0LFu/AAAAFQEA&#10;AAsAAAAAAAAAAAAAAAAAHwEAAF9yZWxzLy5yZWxzUEsBAi0AFAAGAAgAAAAhAH3OzQHHAAAA3AAA&#10;AA8AAAAAAAAAAAAAAAAABwIAAGRycy9kb3ducmV2LnhtbFBLBQYAAAAAAwADALcAAAD7AgAAAAA=&#10;" path="m1551,r-15,l32,,16,,,,,16r16,l32,16r1504,l1551,16r,-16xe" fillcolor="black" stroked="f">
                  <v:path arrowok="t" o:connecttype="custom" o:connectlocs="1551,0;1536,0;32,0;16,0;0,0;0,16;16,16;32,16;1536,16;1551,16;1551,0" o:connectangles="0,0,0,0,0,0,0,0,0,0,0"/>
                </v:shape>
                <v:shape id="Freeform 154" o:spid="_x0000_s1028" style="position:absolute;left:1408;top:15983;width:9088;height:256;visibility:visible;mso-wrap-style:square;v-text-anchor:top" coordsize="908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N2xwAAANwAAAAPAAAAZHJzL2Rvd25yZXYueG1sRI9BS8NA&#10;FITvQv/D8gre7KYpSo3dFrEUvAi1lmBuj+xrErr7Ns2uSeyvdwXB4zAz3zCrzWiN6KnzjWMF81kC&#10;grh0uuFKwfFjd7cE4QOyRuOYFHyTh816crPCTLuB36k/hEpECPsMFdQhtJmUvqzJop+5ljh6J9dZ&#10;DFF2ldQdDhFujUyT5EFabDgu1NjSS03l+fBlFQz5fnsxXPSL4vNq8uXx/m2eF0rdTsfnJxCBxvAf&#10;/mu/agXpYwq/Z+IRkOsfAAAA//8DAFBLAQItABQABgAIAAAAIQDb4fbL7gAAAIUBAAATAAAAAAAA&#10;AAAAAAAAAAAAAABbQ29udGVudF9UeXBlc10ueG1sUEsBAi0AFAAGAAgAAAAhAFr0LFu/AAAAFQEA&#10;AAsAAAAAAAAAAAAAAAAAHwEAAF9yZWxzLy5yZWxzUEsBAi0AFAAGAAgAAAAhAI0cU3bHAAAA3AAA&#10;AA8AAAAAAAAAAAAAAAAABwIAAGRycy9kb3ducmV2LnhtbFBLBQYAAAAAAwADALcAAAD7AgAAAAA=&#10;" path="m7247,l5520,r-16,l4064,r-16,l2512,r-16,l2496,,1552,r,16l2496,16r,l2512,16r1536,l4064,16r1440,l5520,16r1727,l7247,xe" fillcolor="black" stroked="f">
                  <v:path arrowok="t" o:connecttype="custom" o:connectlocs="7247,0;5520,0;5504,0;4064,0;4048,0;2512,0;2496,0;2496,0;1552,0;1552,16;2496,16;2496,16;2512,16;4048,16;4064,16;5504,16;5520,16;7247,16;7247,0" o:connectangles="0,0,0,0,0,0,0,0,0,0,0,0,0,0,0,0,0,0,0"/>
                </v:shape>
                <v:shape id="Freeform 155" o:spid="_x0000_s1029" style="position:absolute;left:1408;top:15983;width:9088;height:256;visibility:visible;mso-wrap-style:square;v-text-anchor:top" coordsize="908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btxwAAANwAAAAPAAAAZHJzL2Rvd25yZXYueG1sRI9Ba8JA&#10;FITvhf6H5Qne6kalRaOrlJZCLwVrJZjbI/tMgrtv0+yapP76bkHocZiZb5j1drBGdNT62rGC6SQB&#10;QVw4XXOp4PD19rAA4QOyRuOYFPyQh+3m/m6NqXY9f1K3D6WIEPYpKqhCaFIpfVGRRT9xDXH0Tq61&#10;GKJsS6lb7CPcGjlLkidpsea4UGFDLxUV5/3FKuiz3eu34byb58eryRaHx49plis1Hg3PKxCBhvAf&#10;vrXftYLZcg5/Z+IRkJtfAAAA//8DAFBLAQItABQABgAIAAAAIQDb4fbL7gAAAIUBAAATAAAAAAAA&#10;AAAAAAAAAAAAAABbQ29udGVudF9UeXBlc10ueG1sUEsBAi0AFAAGAAgAAAAhAFr0LFu/AAAAFQEA&#10;AAsAAAAAAAAAAAAAAAAAHwEAAF9yZWxzLy5yZWxzUEsBAi0AFAAGAAgAAAAhAOJQ9u3HAAAA3AAA&#10;AA8AAAAAAAAAAAAAAAAABwIAAGRycy9kb3ducmV2LnhtbFBLBQYAAAAAAwADALcAAAD7AgAAAAA=&#10;" path="m9088,16r-16,l9072,240,16,240,16,16,,16,,240r,16l16,256r9056,l9088,256r,-16l9088,16xe" fillcolor="black" stroked="f">
                  <v:path arrowok="t" o:connecttype="custom" o:connectlocs="9088,16;9072,16;9072,240;16,240;16,16;0,16;0,240;0,256;16,256;9072,256;9088,256;9088,240;9088,16" o:connectangles="0,0,0,0,0,0,0,0,0,0,0,0,0"/>
                </v:shape>
                <v:shape id="Freeform 156" o:spid="_x0000_s1030" style="position:absolute;left:1408;top:15983;width:9088;height:256;visibility:visible;mso-wrap-style:square;v-text-anchor:top" coordsize="908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6ZxwAAANwAAAAPAAAAZHJzL2Rvd25yZXYueG1sRI9PS8NA&#10;FMTvgt9heUJvdtNWpU27LaIIXgr2D6G5PbKvSeju25hdk9RP7wqCx2FmfsOsNoM1oqPW144VTMYJ&#10;COLC6ZpLBcfD2/0chA/IGo1jUnAlD5v17c0KU+163lG3D6WIEPYpKqhCaFIpfVGRRT92DXH0zq61&#10;GKJsS6lb7CPcGjlNkidpsea4UGFDLxUVl/2XVdBnH6+fhvNulp++TTY/Pm4nWa7U6G54XoIINIT/&#10;8F/7XSuYLh7g90w8AnL9AwAA//8DAFBLAQItABQABgAIAAAAIQDb4fbL7gAAAIUBAAATAAAAAAAA&#10;AAAAAAAAAAAAAABbQ29udGVudF9UeXBlc10ueG1sUEsBAi0AFAAGAAgAAAAhAFr0LFu/AAAAFQEA&#10;AAsAAAAAAAAAAAAAAAAAHwEAAF9yZWxzLy5yZWxzUEsBAi0AFAAGAAgAAAAhAG25bpnHAAAA3AAA&#10;AA8AAAAAAAAAAAAAAAAABwIAAGRycy9kb3ducmV2LnhtbFBLBQYAAAAAAwADALcAAAD7AgAAAAA=&#10;" path="m9088,r-16,l7264,r-16,l7248,16r16,l9072,16r16,l9088,xe" fillcolor="black" stroked="f">
                  <v:path arrowok="t" o:connecttype="custom" o:connectlocs="9088,0;9072,0;7264,0;7248,0;7248,16;7264,16;9072,16;9088,16;9088,0" o:connectangles="0,0,0,0,0,0,0,0,0"/>
                </v:shape>
                <w10:wrap anchorx="page" anchory="page"/>
              </v:group>
            </w:pict>
          </mc:Fallback>
        </mc:AlternateContent>
      </w:r>
      <w:r w:rsidRPr="00AF27D9">
        <w:rPr>
          <w:rFonts w:cs="Arial"/>
          <w:iCs/>
          <w:szCs w:val="24"/>
        </w:rPr>
        <w:t xml:space="preserve"> </w:t>
      </w:r>
    </w:p>
    <w:p w14:paraId="5288CC23" w14:textId="77777777" w:rsidR="00FA2BE1" w:rsidRPr="00AF27D9" w:rsidRDefault="00FA2BE1" w:rsidP="00FA2BE1">
      <w:pPr>
        <w:rPr>
          <w:rFonts w:cs="Arial"/>
          <w:i/>
          <w:iCs/>
          <w:szCs w:val="24"/>
          <w:u w:val="single"/>
        </w:rPr>
      </w:pPr>
      <w:hyperlink r:id="rId15" w:history="1">
        <w:r w:rsidRPr="00AF27D9">
          <w:rPr>
            <w:rStyle w:val="Hyperlink"/>
            <w:rFonts w:cs="Arial"/>
            <w:i/>
            <w:iCs/>
            <w:szCs w:val="24"/>
          </w:rPr>
          <w:t>https://immunisationhandbook.health.gov.au/resources/handbook-tables/table-pre-</w:t>
        </w:r>
      </w:hyperlink>
      <w:r w:rsidRPr="00AF27D9">
        <w:rPr>
          <w:rFonts w:cs="Arial"/>
          <w:i/>
          <w:iCs/>
          <w:szCs w:val="24"/>
        </w:rPr>
        <w:t xml:space="preserve"> </w:t>
      </w:r>
      <w:hyperlink r:id="rId16" w:history="1">
        <w:r w:rsidRPr="00AF27D9">
          <w:rPr>
            <w:rStyle w:val="Hyperlink"/>
            <w:rFonts w:cs="Arial"/>
            <w:i/>
            <w:iCs/>
            <w:szCs w:val="24"/>
          </w:rPr>
          <w:t>vaccination-screening-checklist</w:t>
        </w:r>
      </w:hyperlink>
    </w:p>
    <w:p w14:paraId="650C2B69" w14:textId="77777777" w:rsidR="00FA2BE1" w:rsidRPr="00AF27D9" w:rsidRDefault="00FA2BE1" w:rsidP="00FA2BE1">
      <w:pPr>
        <w:rPr>
          <w:rFonts w:cs="Arial"/>
          <w:b/>
          <w:bCs/>
          <w:iCs/>
          <w:szCs w:val="24"/>
        </w:rPr>
      </w:pPr>
    </w:p>
    <w:p w14:paraId="1EEA4D0A" w14:textId="77777777" w:rsidR="00FA2BE1" w:rsidRPr="00AF27D9" w:rsidRDefault="00FA2BE1" w:rsidP="00FA2BE1">
      <w:pPr>
        <w:pBdr>
          <w:top w:val="single" w:sz="4" w:space="1" w:color="auto"/>
          <w:left w:val="single" w:sz="4" w:space="4" w:color="auto"/>
          <w:bottom w:val="single" w:sz="4" w:space="1" w:color="auto"/>
          <w:right w:val="single" w:sz="4" w:space="4" w:color="auto"/>
        </w:pBdr>
        <w:rPr>
          <w:rFonts w:cs="Arial"/>
          <w:b/>
          <w:bCs/>
          <w:iCs/>
          <w:szCs w:val="24"/>
        </w:rPr>
      </w:pPr>
      <w:r w:rsidRPr="00AF27D9">
        <w:rPr>
          <w:rFonts w:cs="Arial"/>
          <w:b/>
          <w:bCs/>
          <w:iCs/>
          <w:szCs w:val="24"/>
        </w:rPr>
        <w:t>Alert</w:t>
      </w:r>
    </w:p>
    <w:p w14:paraId="1D9A2FB5" w14:textId="77777777" w:rsidR="00FA2BE1" w:rsidRPr="00AF27D9" w:rsidRDefault="00FA2BE1" w:rsidP="00FA2BE1">
      <w:pPr>
        <w:pBdr>
          <w:top w:val="single" w:sz="4" w:space="1" w:color="auto"/>
          <w:left w:val="single" w:sz="4" w:space="4" w:color="auto"/>
          <w:bottom w:val="single" w:sz="4" w:space="1" w:color="auto"/>
          <w:right w:val="single" w:sz="4" w:space="4" w:color="auto"/>
        </w:pBdr>
        <w:rPr>
          <w:rFonts w:cs="Arial"/>
          <w:iCs/>
          <w:szCs w:val="24"/>
        </w:rPr>
      </w:pPr>
      <w:r w:rsidRPr="00AF27D9">
        <w:rPr>
          <w:rFonts w:cs="Arial"/>
          <w:iCs/>
          <w:szCs w:val="24"/>
        </w:rPr>
        <w:t>Recipients of vaccines must remain under direct observation by a nurse for at least 15 minutes following immunisation.</w:t>
      </w:r>
    </w:p>
    <w:p w14:paraId="3F24F9A3" w14:textId="77777777" w:rsidR="00FA2BE1" w:rsidRPr="00AF27D9" w:rsidRDefault="00FA2BE1" w:rsidP="00FA2BE1">
      <w:pPr>
        <w:rPr>
          <w:rFonts w:cs="Arial"/>
          <w:iCs/>
          <w:szCs w:val="24"/>
        </w:rPr>
      </w:pPr>
    </w:p>
    <w:p w14:paraId="0889B59D" w14:textId="77777777" w:rsidR="00FA2BE1" w:rsidRPr="00AF27D9" w:rsidRDefault="00FA2BE1" w:rsidP="00FA2BE1">
      <w:pPr>
        <w:rPr>
          <w:rFonts w:cs="Arial"/>
          <w:iCs/>
          <w:szCs w:val="24"/>
        </w:rPr>
      </w:pPr>
      <w:r w:rsidRPr="00AF27D9">
        <w:rPr>
          <w:rFonts w:cs="Arial"/>
          <w:iCs/>
          <w:szCs w:val="24"/>
        </w:rPr>
        <w:t xml:space="preserve">A protocol for the management of anaphylaxis and adrenaline must always be immediately at hand wherever vaccines are given. For management of anaphylaxis and adrenaline dosages in an emergency, see </w:t>
      </w:r>
      <w:r w:rsidRPr="00AF27D9">
        <w:rPr>
          <w:rFonts w:cs="Arial"/>
          <w:iCs/>
          <w:szCs w:val="24"/>
          <w:u w:val="single"/>
        </w:rPr>
        <w:t>Section 4</w:t>
      </w:r>
      <w:r w:rsidRPr="00AF27D9">
        <w:rPr>
          <w:rFonts w:cs="Arial"/>
          <w:iCs/>
          <w:szCs w:val="24"/>
        </w:rPr>
        <w:t>.</w:t>
      </w:r>
    </w:p>
    <w:p w14:paraId="260901E2" w14:textId="77777777" w:rsidR="00FA2BE1" w:rsidRPr="00AF27D9" w:rsidRDefault="00FA2BE1" w:rsidP="00FA2BE1">
      <w:pPr>
        <w:rPr>
          <w:rFonts w:cs="Arial"/>
          <w:iCs/>
          <w:szCs w:val="24"/>
        </w:rPr>
      </w:pPr>
    </w:p>
    <w:p w14:paraId="4299F745" w14:textId="77777777" w:rsidR="00FA2BE1" w:rsidRPr="00AF27D9" w:rsidRDefault="00FA2BE1" w:rsidP="00FA2BE1">
      <w:pPr>
        <w:rPr>
          <w:rFonts w:cs="Arial"/>
          <w:iCs/>
          <w:szCs w:val="24"/>
        </w:rPr>
      </w:pPr>
      <w:r w:rsidRPr="00AF27D9">
        <w:rPr>
          <w:rFonts w:cs="Arial"/>
          <w:iCs/>
          <w:szCs w:val="24"/>
        </w:rPr>
        <w:t>Prior to administering a vaccine, staff are to ensure the following emergency equipment is available:</w:t>
      </w:r>
    </w:p>
    <w:p w14:paraId="27AFE670" w14:textId="77777777" w:rsidR="00FA2BE1" w:rsidRPr="00AF27D9" w:rsidRDefault="00FA2BE1" w:rsidP="00FA2BE1">
      <w:pPr>
        <w:pStyle w:val="ListBullet"/>
      </w:pPr>
      <w:r w:rsidRPr="00AF27D9">
        <w:t>Telephone</w:t>
      </w:r>
    </w:p>
    <w:p w14:paraId="22281E65" w14:textId="77777777" w:rsidR="00FA2BE1" w:rsidRPr="00AF27D9" w:rsidRDefault="00FA2BE1" w:rsidP="00FA2BE1">
      <w:pPr>
        <w:pStyle w:val="ListBullet"/>
      </w:pPr>
      <w:r w:rsidRPr="00AF27D9">
        <w:t xml:space="preserve">Laerdal resuscitator age appropriate and (excluding for community health centres and regional sites) pocket face </w:t>
      </w:r>
      <w:proofErr w:type="gramStart"/>
      <w:r w:rsidRPr="00AF27D9">
        <w:t>mask</w:t>
      </w:r>
      <w:proofErr w:type="gramEnd"/>
    </w:p>
    <w:p w14:paraId="7822DC02" w14:textId="77777777" w:rsidR="00FA2BE1" w:rsidRPr="00AF27D9" w:rsidRDefault="00FA2BE1" w:rsidP="00FA2BE1">
      <w:pPr>
        <w:pStyle w:val="ListBullet"/>
      </w:pPr>
      <w:r w:rsidRPr="00AF27D9">
        <w:t>Adrenaline 1:1000 (2 vials and 1mL syringes, 23g needles, drawing up needles).</w:t>
      </w:r>
    </w:p>
    <w:p w14:paraId="6C5F3854" w14:textId="77777777" w:rsidR="00FA2BE1" w:rsidRPr="00AF27D9" w:rsidRDefault="00FA2BE1" w:rsidP="00FA2BE1">
      <w:pPr>
        <w:rPr>
          <w:rFonts w:cs="Arial"/>
          <w:iCs/>
          <w:szCs w:val="24"/>
        </w:rPr>
      </w:pPr>
    </w:p>
    <w:p w14:paraId="1C00D53F" w14:textId="77777777" w:rsidR="00FA2BE1" w:rsidRPr="00AF27D9" w:rsidRDefault="00FA2BE1" w:rsidP="00FA2BE1">
      <w:pPr>
        <w:rPr>
          <w:rFonts w:cs="Arial"/>
          <w:iCs/>
          <w:szCs w:val="24"/>
        </w:rPr>
      </w:pPr>
      <w:r w:rsidRPr="00AF27D9">
        <w:rPr>
          <w:rFonts w:cs="Arial"/>
          <w:iCs/>
          <w:szCs w:val="24"/>
        </w:rPr>
        <w:t>Clinical features which may assist differentiation between a vasovagal episode and anaphylaxis:</w:t>
      </w:r>
    </w:p>
    <w:p w14:paraId="6701868F" w14:textId="77777777" w:rsidR="00FA2BE1" w:rsidRDefault="00FA2BE1" w:rsidP="00FA2BE1">
      <w:pPr>
        <w:rPr>
          <w:rFonts w:cs="Arial"/>
          <w:b/>
          <w:bCs/>
          <w:iCs/>
          <w:szCs w:val="24"/>
        </w:rPr>
      </w:pPr>
      <w:bookmarkStart w:id="60" w:name="_Toc105499971"/>
      <w:bookmarkStart w:id="61" w:name="_Toc106977849"/>
      <w:bookmarkStart w:id="62" w:name="_Toc106977990"/>
    </w:p>
    <w:p w14:paraId="40941063" w14:textId="77777777" w:rsidR="00FA2BE1" w:rsidRPr="00AF27D9" w:rsidRDefault="00FA2BE1" w:rsidP="00FA2BE1">
      <w:pPr>
        <w:rPr>
          <w:rFonts w:cs="Arial"/>
          <w:b/>
          <w:bCs/>
          <w:iCs/>
          <w:szCs w:val="24"/>
        </w:rPr>
      </w:pPr>
      <w:r w:rsidRPr="00AF27D9">
        <w:rPr>
          <w:rFonts w:cs="Arial"/>
          <w:b/>
          <w:bCs/>
          <w:iCs/>
          <w:szCs w:val="24"/>
        </w:rPr>
        <w:t>Table 3</w:t>
      </w:r>
      <w:bookmarkEnd w:id="60"/>
      <w:bookmarkEnd w:id="61"/>
      <w:bookmarkEnd w:id="62"/>
    </w:p>
    <w:tbl>
      <w:tblPr>
        <w:tblW w:w="9216" w:type="dxa"/>
        <w:tblInd w:w="-10" w:type="dxa"/>
        <w:tblLayout w:type="fixed"/>
        <w:tblCellMar>
          <w:left w:w="0" w:type="dxa"/>
          <w:right w:w="0" w:type="dxa"/>
        </w:tblCellMar>
        <w:tblLook w:val="0000" w:firstRow="0" w:lastRow="0" w:firstColumn="0" w:lastColumn="0" w:noHBand="0" w:noVBand="0"/>
      </w:tblPr>
      <w:tblGrid>
        <w:gridCol w:w="1712"/>
        <w:gridCol w:w="2688"/>
        <w:gridCol w:w="4816"/>
      </w:tblGrid>
      <w:tr w:rsidR="00FA2BE1" w:rsidRPr="00AF27D9" w14:paraId="204EE69C" w14:textId="77777777" w:rsidTr="00841616">
        <w:trPr>
          <w:trHeight w:val="284"/>
        </w:trPr>
        <w:tc>
          <w:tcPr>
            <w:tcW w:w="1712" w:type="dxa"/>
            <w:tcBorders>
              <w:top w:val="single" w:sz="8" w:space="0" w:color="000000"/>
              <w:left w:val="single" w:sz="8" w:space="0" w:color="000000"/>
              <w:bottom w:val="single" w:sz="8" w:space="0" w:color="000000"/>
              <w:right w:val="single" w:sz="8" w:space="0" w:color="000000"/>
            </w:tcBorders>
          </w:tcPr>
          <w:p w14:paraId="0B458A26" w14:textId="77777777" w:rsidR="00FA2BE1" w:rsidRPr="00AF27D9" w:rsidRDefault="00FA2BE1" w:rsidP="00841616">
            <w:pPr>
              <w:rPr>
                <w:rFonts w:cs="Arial"/>
                <w:iCs/>
                <w:szCs w:val="24"/>
              </w:rPr>
            </w:pPr>
          </w:p>
        </w:tc>
        <w:tc>
          <w:tcPr>
            <w:tcW w:w="2688" w:type="dxa"/>
            <w:tcBorders>
              <w:top w:val="single" w:sz="8" w:space="0" w:color="000000"/>
              <w:left w:val="single" w:sz="8" w:space="0" w:color="000000"/>
              <w:bottom w:val="single" w:sz="8" w:space="0" w:color="000000"/>
              <w:right w:val="single" w:sz="8" w:space="0" w:color="000000"/>
            </w:tcBorders>
          </w:tcPr>
          <w:p w14:paraId="05D181AA" w14:textId="77777777" w:rsidR="00FA2BE1" w:rsidRPr="00AF27D9" w:rsidRDefault="00FA2BE1" w:rsidP="00841616">
            <w:pPr>
              <w:rPr>
                <w:rFonts w:cs="Arial"/>
                <w:b/>
                <w:bCs/>
                <w:iCs/>
                <w:szCs w:val="24"/>
              </w:rPr>
            </w:pPr>
            <w:r w:rsidRPr="00AF27D9">
              <w:rPr>
                <w:rFonts w:cs="Arial"/>
                <w:b/>
                <w:bCs/>
                <w:iCs/>
                <w:szCs w:val="24"/>
              </w:rPr>
              <w:t>Vasovagal episode</w:t>
            </w:r>
          </w:p>
        </w:tc>
        <w:tc>
          <w:tcPr>
            <w:tcW w:w="4816" w:type="dxa"/>
            <w:tcBorders>
              <w:top w:val="single" w:sz="8" w:space="0" w:color="000000"/>
              <w:left w:val="single" w:sz="8" w:space="0" w:color="000000"/>
              <w:bottom w:val="single" w:sz="8" w:space="0" w:color="000000"/>
              <w:right w:val="single" w:sz="8" w:space="0" w:color="000000"/>
            </w:tcBorders>
          </w:tcPr>
          <w:p w14:paraId="51681087" w14:textId="77777777" w:rsidR="00FA2BE1" w:rsidRPr="00AF27D9" w:rsidRDefault="00FA2BE1" w:rsidP="00841616">
            <w:pPr>
              <w:rPr>
                <w:rFonts w:cs="Arial"/>
                <w:b/>
                <w:bCs/>
                <w:iCs/>
                <w:szCs w:val="24"/>
              </w:rPr>
            </w:pPr>
            <w:r w:rsidRPr="00AF27D9">
              <w:rPr>
                <w:rFonts w:cs="Arial"/>
                <w:b/>
                <w:bCs/>
                <w:iCs/>
                <w:szCs w:val="24"/>
              </w:rPr>
              <w:t>Anaphylaxis</w:t>
            </w:r>
          </w:p>
        </w:tc>
      </w:tr>
      <w:tr w:rsidR="00FA2BE1" w:rsidRPr="00AF27D9" w14:paraId="2B47D515" w14:textId="77777777" w:rsidTr="00841616">
        <w:trPr>
          <w:trHeight w:val="1163"/>
        </w:trPr>
        <w:tc>
          <w:tcPr>
            <w:tcW w:w="1712" w:type="dxa"/>
            <w:tcBorders>
              <w:top w:val="single" w:sz="8" w:space="0" w:color="000000"/>
              <w:left w:val="single" w:sz="8" w:space="0" w:color="000000"/>
              <w:bottom w:val="single" w:sz="8" w:space="0" w:color="000000"/>
              <w:right w:val="single" w:sz="8" w:space="0" w:color="000000"/>
            </w:tcBorders>
          </w:tcPr>
          <w:p w14:paraId="0DF1A0CD" w14:textId="77777777" w:rsidR="00FA2BE1" w:rsidRPr="00AF27D9" w:rsidRDefault="00FA2BE1" w:rsidP="00841616">
            <w:pPr>
              <w:rPr>
                <w:rFonts w:cs="Arial"/>
                <w:iCs/>
                <w:szCs w:val="24"/>
              </w:rPr>
            </w:pPr>
            <w:r w:rsidRPr="00AF27D9">
              <w:rPr>
                <w:rFonts w:cs="Arial"/>
                <w:iCs/>
                <w:szCs w:val="24"/>
              </w:rPr>
              <w:t>Onset</w:t>
            </w:r>
          </w:p>
        </w:tc>
        <w:tc>
          <w:tcPr>
            <w:tcW w:w="2688" w:type="dxa"/>
            <w:tcBorders>
              <w:top w:val="single" w:sz="8" w:space="0" w:color="000000"/>
              <w:left w:val="single" w:sz="8" w:space="0" w:color="000000"/>
              <w:bottom w:val="single" w:sz="8" w:space="0" w:color="000000"/>
              <w:right w:val="single" w:sz="8" w:space="0" w:color="000000"/>
            </w:tcBorders>
          </w:tcPr>
          <w:p w14:paraId="09B29FCF" w14:textId="77777777" w:rsidR="00FA2BE1" w:rsidRPr="00AF27D9" w:rsidRDefault="00FA2BE1" w:rsidP="00841616">
            <w:pPr>
              <w:rPr>
                <w:rFonts w:cs="Arial"/>
                <w:iCs/>
                <w:szCs w:val="24"/>
              </w:rPr>
            </w:pPr>
            <w:r w:rsidRPr="00AF27D9">
              <w:rPr>
                <w:rFonts w:cs="Arial"/>
                <w:iCs/>
                <w:szCs w:val="24"/>
              </w:rPr>
              <w:t>Immediate, usually within minutes of or during vaccine</w:t>
            </w:r>
          </w:p>
          <w:p w14:paraId="24A978AE" w14:textId="77777777" w:rsidR="00FA2BE1" w:rsidRPr="00AF27D9" w:rsidRDefault="00FA2BE1" w:rsidP="00841616">
            <w:pPr>
              <w:rPr>
                <w:rFonts w:cs="Arial"/>
                <w:iCs/>
                <w:szCs w:val="24"/>
              </w:rPr>
            </w:pPr>
            <w:r w:rsidRPr="00AF27D9">
              <w:rPr>
                <w:rFonts w:cs="Arial"/>
                <w:iCs/>
                <w:szCs w:val="24"/>
              </w:rPr>
              <w:t>administration.</w:t>
            </w:r>
          </w:p>
        </w:tc>
        <w:tc>
          <w:tcPr>
            <w:tcW w:w="4816" w:type="dxa"/>
            <w:tcBorders>
              <w:top w:val="single" w:sz="8" w:space="0" w:color="000000"/>
              <w:left w:val="single" w:sz="8" w:space="0" w:color="000000"/>
              <w:bottom w:val="single" w:sz="8" w:space="0" w:color="000000"/>
              <w:right w:val="single" w:sz="8" w:space="0" w:color="000000"/>
            </w:tcBorders>
          </w:tcPr>
          <w:p w14:paraId="148772B2" w14:textId="77777777" w:rsidR="00FA2BE1" w:rsidRPr="00AF27D9" w:rsidRDefault="00FA2BE1" w:rsidP="00841616">
            <w:pPr>
              <w:rPr>
                <w:rFonts w:cs="Arial"/>
                <w:iCs/>
                <w:szCs w:val="24"/>
              </w:rPr>
            </w:pPr>
            <w:r w:rsidRPr="00AF27D9">
              <w:rPr>
                <w:rFonts w:cs="Arial"/>
                <w:iCs/>
                <w:szCs w:val="24"/>
              </w:rPr>
              <w:t>Usually within 15 minutes, but can occur within hours, of vaccine administration.</w:t>
            </w:r>
          </w:p>
        </w:tc>
      </w:tr>
      <w:tr w:rsidR="00FA2BE1" w:rsidRPr="00AF27D9" w14:paraId="68551AB6" w14:textId="77777777" w:rsidTr="00841616">
        <w:trPr>
          <w:trHeight w:val="1164"/>
        </w:trPr>
        <w:tc>
          <w:tcPr>
            <w:tcW w:w="1712" w:type="dxa"/>
            <w:tcBorders>
              <w:top w:val="single" w:sz="8" w:space="0" w:color="000000"/>
              <w:left w:val="single" w:sz="8" w:space="0" w:color="000000"/>
              <w:bottom w:val="single" w:sz="8" w:space="0" w:color="000000"/>
              <w:right w:val="single" w:sz="8" w:space="0" w:color="000000"/>
            </w:tcBorders>
          </w:tcPr>
          <w:p w14:paraId="7DC645DD" w14:textId="77777777" w:rsidR="00FA2BE1" w:rsidRPr="00AF27D9" w:rsidRDefault="00FA2BE1" w:rsidP="00841616">
            <w:pPr>
              <w:rPr>
                <w:rFonts w:cs="Arial"/>
                <w:iCs/>
                <w:szCs w:val="24"/>
              </w:rPr>
            </w:pPr>
            <w:r w:rsidRPr="00AF27D9">
              <w:rPr>
                <w:rFonts w:cs="Arial"/>
                <w:iCs/>
                <w:szCs w:val="24"/>
              </w:rPr>
              <w:t>Skin</w:t>
            </w:r>
          </w:p>
        </w:tc>
        <w:tc>
          <w:tcPr>
            <w:tcW w:w="2688" w:type="dxa"/>
            <w:tcBorders>
              <w:top w:val="single" w:sz="8" w:space="0" w:color="000000"/>
              <w:left w:val="single" w:sz="8" w:space="0" w:color="000000"/>
              <w:bottom w:val="single" w:sz="8" w:space="0" w:color="000000"/>
              <w:right w:val="single" w:sz="8" w:space="0" w:color="000000"/>
            </w:tcBorders>
          </w:tcPr>
          <w:p w14:paraId="3A733B2D" w14:textId="77777777" w:rsidR="00FA2BE1" w:rsidRPr="00AF27D9" w:rsidRDefault="00FA2BE1" w:rsidP="00841616">
            <w:pPr>
              <w:rPr>
                <w:rFonts w:cs="Arial"/>
                <w:iCs/>
                <w:szCs w:val="24"/>
              </w:rPr>
            </w:pPr>
            <w:r w:rsidRPr="00AF27D9">
              <w:rPr>
                <w:rFonts w:cs="Arial"/>
                <w:iCs/>
                <w:szCs w:val="24"/>
              </w:rPr>
              <w:t>Generalised pallor, cool, clammy skin.</w:t>
            </w:r>
          </w:p>
        </w:tc>
        <w:tc>
          <w:tcPr>
            <w:tcW w:w="4816" w:type="dxa"/>
            <w:tcBorders>
              <w:top w:val="single" w:sz="8" w:space="0" w:color="000000"/>
              <w:left w:val="single" w:sz="8" w:space="0" w:color="000000"/>
              <w:bottom w:val="single" w:sz="8" w:space="0" w:color="000000"/>
              <w:right w:val="single" w:sz="8" w:space="0" w:color="000000"/>
            </w:tcBorders>
          </w:tcPr>
          <w:p w14:paraId="71B20BFB" w14:textId="77777777" w:rsidR="00FA2BE1" w:rsidRPr="00AF27D9" w:rsidRDefault="00FA2BE1" w:rsidP="00841616">
            <w:pPr>
              <w:rPr>
                <w:rFonts w:cs="Arial"/>
                <w:iCs/>
                <w:szCs w:val="24"/>
              </w:rPr>
            </w:pPr>
            <w:r w:rsidRPr="00AF27D9">
              <w:rPr>
                <w:rFonts w:cs="Arial"/>
                <w:iCs/>
                <w:szCs w:val="24"/>
              </w:rPr>
              <w:t>Skin itchiness, generalised skin erythema (redness), urticaria (wheals) or angioedema (localised oedema of the deeper layers of the</w:t>
            </w:r>
          </w:p>
          <w:p w14:paraId="568285D5" w14:textId="77777777" w:rsidR="00FA2BE1" w:rsidRPr="00AF27D9" w:rsidRDefault="00FA2BE1" w:rsidP="00841616">
            <w:pPr>
              <w:rPr>
                <w:rFonts w:cs="Arial"/>
                <w:iCs/>
                <w:szCs w:val="24"/>
              </w:rPr>
            </w:pPr>
            <w:r w:rsidRPr="00AF27D9">
              <w:rPr>
                <w:rFonts w:cs="Arial"/>
                <w:iCs/>
                <w:szCs w:val="24"/>
              </w:rPr>
              <w:t>skin or subcutaneous tissues).</w:t>
            </w:r>
          </w:p>
        </w:tc>
      </w:tr>
      <w:tr w:rsidR="00FA2BE1" w:rsidRPr="00AF27D9" w14:paraId="3A7A553C" w14:textId="77777777" w:rsidTr="00841616">
        <w:trPr>
          <w:trHeight w:val="860"/>
        </w:trPr>
        <w:tc>
          <w:tcPr>
            <w:tcW w:w="1712" w:type="dxa"/>
            <w:tcBorders>
              <w:top w:val="single" w:sz="8" w:space="0" w:color="000000"/>
              <w:left w:val="single" w:sz="8" w:space="0" w:color="000000"/>
              <w:bottom w:val="single" w:sz="8" w:space="0" w:color="000000"/>
              <w:right w:val="single" w:sz="8" w:space="0" w:color="000000"/>
            </w:tcBorders>
          </w:tcPr>
          <w:p w14:paraId="23EEAC42" w14:textId="77777777" w:rsidR="00FA2BE1" w:rsidRPr="00AF27D9" w:rsidRDefault="00FA2BE1" w:rsidP="00841616">
            <w:pPr>
              <w:rPr>
                <w:rFonts w:cs="Arial"/>
                <w:iCs/>
                <w:szCs w:val="24"/>
              </w:rPr>
            </w:pPr>
            <w:r w:rsidRPr="00AF27D9">
              <w:rPr>
                <w:rFonts w:cs="Arial"/>
                <w:iCs/>
                <w:szCs w:val="24"/>
              </w:rPr>
              <w:t>Respiratory</w:t>
            </w:r>
          </w:p>
        </w:tc>
        <w:tc>
          <w:tcPr>
            <w:tcW w:w="2688" w:type="dxa"/>
            <w:tcBorders>
              <w:top w:val="single" w:sz="8" w:space="0" w:color="000000"/>
              <w:left w:val="single" w:sz="8" w:space="0" w:color="000000"/>
              <w:bottom w:val="single" w:sz="8" w:space="0" w:color="000000"/>
              <w:right w:val="single" w:sz="8" w:space="0" w:color="000000"/>
            </w:tcBorders>
          </w:tcPr>
          <w:p w14:paraId="16532849" w14:textId="77777777" w:rsidR="00FA2BE1" w:rsidRPr="00AF27D9" w:rsidRDefault="00FA2BE1" w:rsidP="00841616">
            <w:pPr>
              <w:rPr>
                <w:rFonts w:cs="Arial"/>
                <w:iCs/>
                <w:szCs w:val="24"/>
              </w:rPr>
            </w:pPr>
            <w:r w:rsidRPr="00AF27D9">
              <w:rPr>
                <w:rFonts w:cs="Arial"/>
                <w:iCs/>
                <w:szCs w:val="24"/>
              </w:rPr>
              <w:t xml:space="preserve">Normal respiration; may be shallow, but </w:t>
            </w:r>
            <w:proofErr w:type="gramStart"/>
            <w:r w:rsidRPr="00AF27D9">
              <w:rPr>
                <w:rFonts w:cs="Arial"/>
                <w:iCs/>
                <w:szCs w:val="24"/>
              </w:rPr>
              <w:t>not</w:t>
            </w:r>
            <w:proofErr w:type="gramEnd"/>
          </w:p>
          <w:p w14:paraId="0F3D36DD" w14:textId="77777777" w:rsidR="00FA2BE1" w:rsidRPr="00AF27D9" w:rsidRDefault="00FA2BE1" w:rsidP="00841616">
            <w:pPr>
              <w:rPr>
                <w:rFonts w:cs="Arial"/>
                <w:iCs/>
                <w:szCs w:val="24"/>
              </w:rPr>
            </w:pPr>
            <w:r w:rsidRPr="00AF27D9">
              <w:rPr>
                <w:rFonts w:cs="Arial"/>
                <w:iCs/>
                <w:szCs w:val="24"/>
              </w:rPr>
              <w:t>laboured.</w:t>
            </w:r>
          </w:p>
        </w:tc>
        <w:tc>
          <w:tcPr>
            <w:tcW w:w="4816" w:type="dxa"/>
            <w:tcBorders>
              <w:top w:val="single" w:sz="8" w:space="0" w:color="000000"/>
              <w:left w:val="single" w:sz="8" w:space="0" w:color="000000"/>
              <w:bottom w:val="single" w:sz="8" w:space="0" w:color="000000"/>
              <w:right w:val="single" w:sz="8" w:space="0" w:color="000000"/>
            </w:tcBorders>
          </w:tcPr>
          <w:p w14:paraId="3A6E748F" w14:textId="77777777" w:rsidR="00FA2BE1" w:rsidRPr="00AF27D9" w:rsidRDefault="00FA2BE1" w:rsidP="00841616">
            <w:pPr>
              <w:rPr>
                <w:rFonts w:cs="Arial"/>
                <w:iCs/>
                <w:szCs w:val="24"/>
              </w:rPr>
            </w:pPr>
            <w:r w:rsidRPr="00AF27D9">
              <w:rPr>
                <w:rFonts w:cs="Arial"/>
                <w:iCs/>
                <w:szCs w:val="24"/>
              </w:rPr>
              <w:t>Cough, wheeze, stridor, or signs of respiratory distress (tachypnoea, cyanosis, rib recession).</w:t>
            </w:r>
          </w:p>
        </w:tc>
      </w:tr>
      <w:tr w:rsidR="00FA2BE1" w:rsidRPr="00AF27D9" w14:paraId="5F54375F" w14:textId="77777777" w:rsidTr="00841616">
        <w:trPr>
          <w:trHeight w:val="1755"/>
        </w:trPr>
        <w:tc>
          <w:tcPr>
            <w:tcW w:w="1712" w:type="dxa"/>
            <w:tcBorders>
              <w:top w:val="single" w:sz="8" w:space="0" w:color="000000"/>
              <w:left w:val="single" w:sz="8" w:space="0" w:color="000000"/>
              <w:bottom w:val="single" w:sz="8" w:space="0" w:color="000000"/>
              <w:right w:val="single" w:sz="8" w:space="0" w:color="000000"/>
            </w:tcBorders>
          </w:tcPr>
          <w:p w14:paraId="0224BCFC" w14:textId="77777777" w:rsidR="00FA2BE1" w:rsidRPr="00AF27D9" w:rsidRDefault="00FA2BE1" w:rsidP="00841616">
            <w:pPr>
              <w:rPr>
                <w:rFonts w:cs="Arial"/>
                <w:iCs/>
                <w:szCs w:val="24"/>
              </w:rPr>
            </w:pPr>
            <w:r w:rsidRPr="00AF27D9">
              <w:rPr>
                <w:rFonts w:cs="Arial"/>
                <w:iCs/>
                <w:szCs w:val="24"/>
              </w:rPr>
              <w:t>Cardiovascular</w:t>
            </w:r>
          </w:p>
        </w:tc>
        <w:tc>
          <w:tcPr>
            <w:tcW w:w="2688" w:type="dxa"/>
            <w:tcBorders>
              <w:top w:val="single" w:sz="8" w:space="0" w:color="000000"/>
              <w:left w:val="single" w:sz="8" w:space="0" w:color="000000"/>
              <w:bottom w:val="single" w:sz="8" w:space="0" w:color="000000"/>
              <w:right w:val="single" w:sz="8" w:space="0" w:color="000000"/>
            </w:tcBorders>
          </w:tcPr>
          <w:p w14:paraId="5672CF62" w14:textId="77777777" w:rsidR="00FA2BE1" w:rsidRPr="00AF27D9" w:rsidRDefault="00FA2BE1" w:rsidP="00841616">
            <w:pPr>
              <w:rPr>
                <w:rFonts w:cs="Arial"/>
                <w:iCs/>
                <w:szCs w:val="24"/>
              </w:rPr>
            </w:pPr>
            <w:r w:rsidRPr="00AF27D9">
              <w:rPr>
                <w:rFonts w:cs="Arial"/>
                <w:iCs/>
                <w:szCs w:val="24"/>
              </w:rPr>
              <w:t>Bradycardia, weak/ absent peripheral pulse, strong carotid pulse.</w:t>
            </w:r>
          </w:p>
          <w:p w14:paraId="0D8AD985" w14:textId="77777777" w:rsidR="00FA2BE1" w:rsidRPr="00AF27D9" w:rsidRDefault="00FA2BE1" w:rsidP="00841616">
            <w:pPr>
              <w:rPr>
                <w:rFonts w:cs="Arial"/>
                <w:iCs/>
                <w:szCs w:val="24"/>
              </w:rPr>
            </w:pPr>
            <w:r w:rsidRPr="00AF27D9">
              <w:rPr>
                <w:rFonts w:cs="Arial"/>
                <w:iCs/>
                <w:szCs w:val="24"/>
              </w:rPr>
              <w:t>Hypotension – usually transient and corrects in</w:t>
            </w:r>
          </w:p>
          <w:p w14:paraId="22C7718D" w14:textId="77777777" w:rsidR="00FA2BE1" w:rsidRPr="00AF27D9" w:rsidRDefault="00FA2BE1" w:rsidP="00841616">
            <w:pPr>
              <w:rPr>
                <w:rFonts w:cs="Arial"/>
                <w:iCs/>
                <w:szCs w:val="24"/>
              </w:rPr>
            </w:pPr>
            <w:r w:rsidRPr="00AF27D9">
              <w:rPr>
                <w:rFonts w:cs="Arial"/>
                <w:iCs/>
                <w:szCs w:val="24"/>
              </w:rPr>
              <w:t>supine position.</w:t>
            </w:r>
          </w:p>
        </w:tc>
        <w:tc>
          <w:tcPr>
            <w:tcW w:w="4816" w:type="dxa"/>
            <w:tcBorders>
              <w:top w:val="single" w:sz="8" w:space="0" w:color="000000"/>
              <w:left w:val="single" w:sz="8" w:space="0" w:color="000000"/>
              <w:bottom w:val="single" w:sz="8" w:space="0" w:color="000000"/>
              <w:right w:val="single" w:sz="8" w:space="0" w:color="000000"/>
            </w:tcBorders>
          </w:tcPr>
          <w:p w14:paraId="585BE478" w14:textId="77777777" w:rsidR="00FA2BE1" w:rsidRPr="00AF27D9" w:rsidRDefault="00FA2BE1" w:rsidP="00841616">
            <w:pPr>
              <w:rPr>
                <w:rFonts w:cs="Arial"/>
                <w:iCs/>
                <w:szCs w:val="24"/>
              </w:rPr>
            </w:pPr>
            <w:r w:rsidRPr="00AF27D9">
              <w:rPr>
                <w:rFonts w:cs="Arial"/>
                <w:iCs/>
                <w:szCs w:val="24"/>
              </w:rPr>
              <w:t xml:space="preserve">Tachycardia, weak/absent </w:t>
            </w:r>
            <w:proofErr w:type="gramStart"/>
            <w:r w:rsidRPr="00AF27D9">
              <w:rPr>
                <w:rFonts w:cs="Arial"/>
                <w:iCs/>
                <w:szCs w:val="24"/>
              </w:rPr>
              <w:t>peripheral</w:t>
            </w:r>
            <w:proofErr w:type="gramEnd"/>
            <w:r w:rsidRPr="00AF27D9">
              <w:rPr>
                <w:rFonts w:cs="Arial"/>
                <w:iCs/>
                <w:szCs w:val="24"/>
              </w:rPr>
              <w:t xml:space="preserve"> and carotid pulse.</w:t>
            </w:r>
          </w:p>
          <w:p w14:paraId="5858BCEA" w14:textId="77777777" w:rsidR="00FA2BE1" w:rsidRPr="00AF27D9" w:rsidRDefault="00FA2BE1" w:rsidP="00841616">
            <w:pPr>
              <w:rPr>
                <w:rFonts w:cs="Arial"/>
                <w:iCs/>
                <w:szCs w:val="24"/>
              </w:rPr>
            </w:pPr>
            <w:r w:rsidRPr="00AF27D9">
              <w:rPr>
                <w:rFonts w:cs="Arial"/>
                <w:iCs/>
                <w:szCs w:val="24"/>
              </w:rPr>
              <w:t>Hypotension – sustained and no improvement without specific treatment.</w:t>
            </w:r>
          </w:p>
        </w:tc>
      </w:tr>
      <w:tr w:rsidR="00FA2BE1" w:rsidRPr="00AF27D9" w14:paraId="2FF0B443" w14:textId="77777777" w:rsidTr="00841616">
        <w:trPr>
          <w:trHeight w:val="860"/>
        </w:trPr>
        <w:tc>
          <w:tcPr>
            <w:tcW w:w="1712" w:type="dxa"/>
            <w:tcBorders>
              <w:top w:val="single" w:sz="8" w:space="0" w:color="000000"/>
              <w:left w:val="single" w:sz="8" w:space="0" w:color="000000"/>
              <w:bottom w:val="single" w:sz="8" w:space="0" w:color="000000"/>
              <w:right w:val="single" w:sz="8" w:space="0" w:color="000000"/>
            </w:tcBorders>
          </w:tcPr>
          <w:p w14:paraId="3CDD1399" w14:textId="77777777" w:rsidR="00FA2BE1" w:rsidRPr="00AF27D9" w:rsidRDefault="00FA2BE1" w:rsidP="00841616">
            <w:pPr>
              <w:rPr>
                <w:rFonts w:cs="Arial"/>
                <w:iCs/>
                <w:szCs w:val="24"/>
              </w:rPr>
            </w:pPr>
            <w:r w:rsidRPr="00AF27D9">
              <w:rPr>
                <w:rFonts w:cs="Arial"/>
                <w:iCs/>
                <w:szCs w:val="24"/>
              </w:rPr>
              <w:t>Neurological</w:t>
            </w:r>
          </w:p>
        </w:tc>
        <w:tc>
          <w:tcPr>
            <w:tcW w:w="2688" w:type="dxa"/>
            <w:tcBorders>
              <w:top w:val="single" w:sz="8" w:space="0" w:color="000000"/>
              <w:left w:val="single" w:sz="8" w:space="0" w:color="000000"/>
              <w:bottom w:val="single" w:sz="8" w:space="0" w:color="000000"/>
              <w:right w:val="single" w:sz="8" w:space="0" w:color="000000"/>
            </w:tcBorders>
          </w:tcPr>
          <w:p w14:paraId="0845B77E" w14:textId="77777777" w:rsidR="00FA2BE1" w:rsidRPr="00AF27D9" w:rsidRDefault="00FA2BE1" w:rsidP="00841616">
            <w:pPr>
              <w:rPr>
                <w:rFonts w:cs="Arial"/>
                <w:iCs/>
                <w:szCs w:val="24"/>
              </w:rPr>
            </w:pPr>
            <w:r w:rsidRPr="00AF27D9">
              <w:rPr>
                <w:rFonts w:cs="Arial"/>
                <w:iCs/>
                <w:szCs w:val="24"/>
              </w:rPr>
              <w:t>Feels faint, light-headed.</w:t>
            </w:r>
          </w:p>
        </w:tc>
        <w:tc>
          <w:tcPr>
            <w:tcW w:w="4816" w:type="dxa"/>
            <w:tcBorders>
              <w:top w:val="single" w:sz="8" w:space="0" w:color="000000"/>
              <w:left w:val="single" w:sz="8" w:space="0" w:color="000000"/>
              <w:bottom w:val="single" w:sz="8" w:space="0" w:color="000000"/>
              <w:right w:val="single" w:sz="8" w:space="0" w:color="000000"/>
            </w:tcBorders>
          </w:tcPr>
          <w:p w14:paraId="759D0741" w14:textId="77777777" w:rsidR="00FA2BE1" w:rsidRPr="00AF27D9" w:rsidRDefault="00FA2BE1" w:rsidP="00841616">
            <w:pPr>
              <w:rPr>
                <w:rFonts w:cs="Arial"/>
                <w:iCs/>
                <w:szCs w:val="24"/>
              </w:rPr>
            </w:pPr>
            <w:r w:rsidRPr="00AF27D9">
              <w:rPr>
                <w:rFonts w:cs="Arial"/>
                <w:iCs/>
                <w:szCs w:val="24"/>
              </w:rPr>
              <w:t>Sense of severe anxiety and distress.</w:t>
            </w:r>
          </w:p>
          <w:p w14:paraId="242C4871" w14:textId="77777777" w:rsidR="00FA2BE1" w:rsidRPr="00AF27D9" w:rsidRDefault="00FA2BE1" w:rsidP="00841616">
            <w:pPr>
              <w:rPr>
                <w:rFonts w:cs="Arial"/>
                <w:iCs/>
                <w:szCs w:val="24"/>
              </w:rPr>
            </w:pPr>
            <w:r w:rsidRPr="00AF27D9">
              <w:rPr>
                <w:rFonts w:cs="Arial"/>
                <w:iCs/>
                <w:szCs w:val="24"/>
              </w:rPr>
              <w:t>Loss of consciousness – no improvement once</w:t>
            </w:r>
          </w:p>
          <w:p w14:paraId="51E3EC65" w14:textId="77777777" w:rsidR="00FA2BE1" w:rsidRPr="00AF27D9" w:rsidRDefault="00FA2BE1" w:rsidP="00841616">
            <w:pPr>
              <w:rPr>
                <w:rFonts w:cs="Arial"/>
                <w:iCs/>
                <w:szCs w:val="24"/>
              </w:rPr>
            </w:pPr>
            <w:r w:rsidRPr="00AF27D9">
              <w:rPr>
                <w:rFonts w:cs="Arial"/>
                <w:iCs/>
                <w:szCs w:val="24"/>
              </w:rPr>
              <w:t>supine or head down position.</w:t>
            </w:r>
          </w:p>
        </w:tc>
      </w:tr>
      <w:tr w:rsidR="00FA2BE1" w:rsidRPr="00AF27D9" w14:paraId="5C68A51D" w14:textId="77777777" w:rsidTr="00841616">
        <w:trPr>
          <w:trHeight w:val="860"/>
        </w:trPr>
        <w:tc>
          <w:tcPr>
            <w:tcW w:w="1712" w:type="dxa"/>
            <w:tcBorders>
              <w:top w:val="single" w:sz="8" w:space="0" w:color="000000"/>
              <w:left w:val="single" w:sz="8" w:space="0" w:color="000000"/>
              <w:bottom w:val="single" w:sz="8" w:space="0" w:color="000000"/>
              <w:right w:val="single" w:sz="8" w:space="0" w:color="000000"/>
            </w:tcBorders>
          </w:tcPr>
          <w:p w14:paraId="40403273" w14:textId="77777777" w:rsidR="00FA2BE1" w:rsidRPr="00AF27D9" w:rsidRDefault="00FA2BE1" w:rsidP="00841616">
            <w:pPr>
              <w:rPr>
                <w:rFonts w:cs="Arial"/>
                <w:iCs/>
                <w:szCs w:val="24"/>
              </w:rPr>
            </w:pPr>
          </w:p>
        </w:tc>
        <w:tc>
          <w:tcPr>
            <w:tcW w:w="2688" w:type="dxa"/>
            <w:tcBorders>
              <w:top w:val="single" w:sz="8" w:space="0" w:color="000000"/>
              <w:left w:val="single" w:sz="8" w:space="0" w:color="000000"/>
              <w:bottom w:val="single" w:sz="8" w:space="0" w:color="000000"/>
              <w:right w:val="single" w:sz="8" w:space="0" w:color="000000"/>
            </w:tcBorders>
          </w:tcPr>
          <w:p w14:paraId="79DC43E2" w14:textId="77777777" w:rsidR="00FA2BE1" w:rsidRPr="00AF27D9" w:rsidRDefault="00FA2BE1" w:rsidP="00841616">
            <w:pPr>
              <w:rPr>
                <w:rFonts w:cs="Arial"/>
                <w:iCs/>
                <w:szCs w:val="24"/>
              </w:rPr>
            </w:pPr>
            <w:r w:rsidRPr="00AF27D9">
              <w:rPr>
                <w:rFonts w:cs="Arial"/>
                <w:iCs/>
                <w:szCs w:val="24"/>
              </w:rPr>
              <w:t>Loss of consciousness – improves once supine or</w:t>
            </w:r>
          </w:p>
          <w:p w14:paraId="12253AB4" w14:textId="77777777" w:rsidR="00FA2BE1" w:rsidRPr="00AF27D9" w:rsidRDefault="00FA2BE1" w:rsidP="00841616">
            <w:pPr>
              <w:rPr>
                <w:rFonts w:cs="Arial"/>
                <w:iCs/>
                <w:szCs w:val="24"/>
              </w:rPr>
            </w:pPr>
            <w:r w:rsidRPr="00AF27D9">
              <w:rPr>
                <w:rFonts w:cs="Arial"/>
                <w:iCs/>
                <w:szCs w:val="24"/>
              </w:rPr>
              <w:t>head down position.</w:t>
            </w:r>
          </w:p>
        </w:tc>
        <w:tc>
          <w:tcPr>
            <w:tcW w:w="4816" w:type="dxa"/>
            <w:tcBorders>
              <w:top w:val="single" w:sz="8" w:space="0" w:color="000000"/>
              <w:left w:val="single" w:sz="8" w:space="0" w:color="000000"/>
              <w:bottom w:val="single" w:sz="8" w:space="0" w:color="000000"/>
              <w:right w:val="single" w:sz="8" w:space="0" w:color="000000"/>
            </w:tcBorders>
          </w:tcPr>
          <w:p w14:paraId="3949B9C6" w14:textId="77777777" w:rsidR="00FA2BE1" w:rsidRPr="00AF27D9" w:rsidRDefault="00FA2BE1" w:rsidP="00841616">
            <w:pPr>
              <w:rPr>
                <w:rFonts w:cs="Arial"/>
                <w:iCs/>
                <w:szCs w:val="24"/>
              </w:rPr>
            </w:pPr>
          </w:p>
        </w:tc>
      </w:tr>
    </w:tbl>
    <w:p w14:paraId="35932E9D" w14:textId="77777777" w:rsidR="00FA2BE1" w:rsidRPr="00AF27D9" w:rsidRDefault="00FA2BE1" w:rsidP="00FA2BE1">
      <w:pPr>
        <w:rPr>
          <w:rFonts w:cs="Arial"/>
          <w:b/>
          <w:bCs/>
          <w:iCs/>
          <w:szCs w:val="24"/>
        </w:rPr>
      </w:pPr>
    </w:p>
    <w:p w14:paraId="6A701825" w14:textId="77777777" w:rsidR="00FA2BE1" w:rsidRPr="00AF27D9" w:rsidRDefault="00FA2BE1" w:rsidP="00FA2BE1">
      <w:pPr>
        <w:pBdr>
          <w:top w:val="single" w:sz="4" w:space="1" w:color="auto"/>
          <w:left w:val="single" w:sz="4" w:space="4" w:color="auto"/>
          <w:bottom w:val="single" w:sz="4" w:space="1" w:color="auto"/>
          <w:right w:val="single" w:sz="4" w:space="4" w:color="auto"/>
        </w:pBdr>
        <w:rPr>
          <w:rFonts w:cs="Arial"/>
          <w:b/>
          <w:bCs/>
          <w:iCs/>
          <w:szCs w:val="24"/>
        </w:rPr>
      </w:pPr>
      <w:r w:rsidRPr="00AF27D9">
        <w:rPr>
          <w:rFonts w:cs="Arial"/>
          <w:b/>
          <w:bCs/>
          <w:iCs/>
          <w:szCs w:val="24"/>
        </w:rPr>
        <w:t>Note</w:t>
      </w:r>
    </w:p>
    <w:p w14:paraId="695B3ED9" w14:textId="77777777" w:rsidR="00FA2BE1" w:rsidRPr="00AF27D9" w:rsidRDefault="00FA2BE1" w:rsidP="00FA2BE1">
      <w:pPr>
        <w:pBdr>
          <w:top w:val="single" w:sz="4" w:space="1" w:color="auto"/>
          <w:left w:val="single" w:sz="4" w:space="4" w:color="auto"/>
          <w:bottom w:val="single" w:sz="4" w:space="1" w:color="auto"/>
          <w:right w:val="single" w:sz="4" w:space="4" w:color="auto"/>
        </w:pBdr>
        <w:rPr>
          <w:rFonts w:cs="Arial"/>
          <w:iCs/>
          <w:szCs w:val="24"/>
        </w:rPr>
      </w:pPr>
      <w:r w:rsidRPr="00AF27D9">
        <w:rPr>
          <w:rFonts w:cs="Arial"/>
          <w:iCs/>
          <w:szCs w:val="24"/>
        </w:rPr>
        <w:t xml:space="preserve">For Adrenaline dosages used for the treatment of anaphylaxis see table in </w:t>
      </w:r>
      <w:r w:rsidRPr="00AF27D9">
        <w:rPr>
          <w:rFonts w:cs="Arial"/>
          <w:iCs/>
          <w:szCs w:val="24"/>
          <w:u w:val="single"/>
        </w:rPr>
        <w:t>Section 4</w:t>
      </w:r>
      <w:r w:rsidRPr="00AF27D9">
        <w:rPr>
          <w:rFonts w:cs="Arial"/>
          <w:iCs/>
          <w:szCs w:val="24"/>
        </w:rPr>
        <w:t>.</w:t>
      </w:r>
    </w:p>
    <w:p w14:paraId="6C86EAE3" w14:textId="77777777" w:rsidR="00FA2BE1" w:rsidRPr="00AF27D9" w:rsidRDefault="00FA2BE1" w:rsidP="00FA2BE1">
      <w:pPr>
        <w:rPr>
          <w:rFonts w:cs="Arial"/>
          <w:b/>
          <w:bCs/>
          <w:iCs/>
          <w:szCs w:val="24"/>
        </w:rPr>
      </w:pPr>
    </w:p>
    <w:p w14:paraId="0EEE016D" w14:textId="77777777" w:rsidR="00FA2BE1" w:rsidRPr="00AF27D9" w:rsidRDefault="00FA2BE1" w:rsidP="00FA2BE1">
      <w:pPr>
        <w:rPr>
          <w:rFonts w:cs="Arial"/>
          <w:b/>
          <w:bCs/>
          <w:iCs/>
          <w:szCs w:val="24"/>
        </w:rPr>
      </w:pPr>
      <w:r w:rsidRPr="00AF27D9">
        <w:rPr>
          <w:rFonts w:cs="Arial"/>
          <w:b/>
          <w:bCs/>
          <w:iCs/>
          <w:szCs w:val="24"/>
        </w:rPr>
        <w:t>Documentation</w:t>
      </w:r>
    </w:p>
    <w:p w14:paraId="5BB968EB" w14:textId="77777777" w:rsidR="00FA2BE1" w:rsidRPr="00AF27D9" w:rsidRDefault="00FA2BE1" w:rsidP="00FA2BE1">
      <w:pPr>
        <w:pStyle w:val="ListBullet"/>
        <w:rPr>
          <w:rFonts w:cs="Arial"/>
          <w:iCs/>
          <w:szCs w:val="24"/>
        </w:rPr>
      </w:pPr>
      <w:r w:rsidRPr="00AF27D9">
        <w:t xml:space="preserve">All adverse events are reported on Report of Adverse Event Following Immunisation (AEFI) form, located at: </w:t>
      </w:r>
      <w:hyperlink r:id="rId17" w:history="1">
        <w:r w:rsidRPr="00AF27D9">
          <w:rPr>
            <w:rStyle w:val="Hyperlink"/>
            <w:rFonts w:cs="Arial"/>
            <w:iCs/>
            <w:szCs w:val="24"/>
          </w:rPr>
          <w:t>Clinical Apps - Adverse Event Following Immunisation (AEFI) form (sharepoint.com)</w:t>
        </w:r>
      </w:hyperlink>
    </w:p>
    <w:p w14:paraId="72FAF3A8" w14:textId="77777777" w:rsidR="00FA2BE1" w:rsidRPr="00AF27D9" w:rsidRDefault="00FA2BE1" w:rsidP="00FA2BE1">
      <w:pPr>
        <w:pStyle w:val="ListBullet"/>
      </w:pPr>
      <w:r w:rsidRPr="00AF27D9">
        <w:t>(</w:t>
      </w:r>
      <w:r w:rsidRPr="00AF27D9">
        <w:rPr>
          <w:u w:val="single"/>
        </w:rPr>
        <w:t>Attachment G</w:t>
      </w:r>
      <w:r w:rsidRPr="00AF27D9">
        <w:t xml:space="preserve">). This is faxed within 48 hours to Health Protection Service on 5124 5554 or scanned and emailed to </w:t>
      </w:r>
      <w:hyperlink r:id="rId18" w:history="1">
        <w:r w:rsidRPr="00AF27D9">
          <w:rPr>
            <w:rStyle w:val="Hyperlink"/>
            <w:rFonts w:cs="Arial"/>
            <w:iCs/>
            <w:szCs w:val="24"/>
          </w:rPr>
          <w:t>immunisation@act.gov.au.</w:t>
        </w:r>
      </w:hyperlink>
      <w:r w:rsidRPr="00AF27D9">
        <w:t xml:space="preserve"> The Health Protection Service can also be contacted on 5124 9700 and email </w:t>
      </w:r>
      <w:hyperlink r:id="rId19" w:history="1">
        <w:r w:rsidRPr="00AF27D9">
          <w:rPr>
            <w:rStyle w:val="Hyperlink"/>
            <w:rFonts w:cs="Arial"/>
            <w:iCs/>
            <w:szCs w:val="24"/>
          </w:rPr>
          <w:t>hps@act.gov.au</w:t>
        </w:r>
      </w:hyperlink>
    </w:p>
    <w:p w14:paraId="206270A4" w14:textId="77777777" w:rsidR="00FA2BE1" w:rsidRPr="00AF27D9" w:rsidRDefault="00FA2BE1" w:rsidP="00FA2BE1">
      <w:pPr>
        <w:pStyle w:val="ListBullet"/>
      </w:pPr>
      <w:r w:rsidRPr="00AF27D9">
        <w:t xml:space="preserve">Any adverse reaction to an immunisation needs to be recorded in the patient’s </w:t>
      </w:r>
      <w:r>
        <w:t xml:space="preserve">health </w:t>
      </w:r>
      <w:r w:rsidRPr="00AF27D9">
        <w:t xml:space="preserve">record </w:t>
      </w:r>
      <w:r>
        <w:t>in the DHR</w:t>
      </w:r>
      <w:r w:rsidRPr="00AF27D9">
        <w:t>.</w:t>
      </w:r>
    </w:p>
    <w:p w14:paraId="7B87F9BF" w14:textId="77777777" w:rsidR="00FA2BE1" w:rsidRDefault="00FA2BE1" w:rsidP="00FA2BE1">
      <w:pPr>
        <w:rPr>
          <w:rFonts w:cs="Arial"/>
          <w:b/>
          <w:szCs w:val="24"/>
        </w:rPr>
      </w:pPr>
    </w:p>
    <w:p w14:paraId="2A85211B" w14:textId="77777777" w:rsidR="00FA2BE1" w:rsidRPr="00D963F9" w:rsidRDefault="00FA2BE1" w:rsidP="00FA2BE1">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382305EA" w14:textId="77777777" w:rsidTr="00841616">
        <w:trPr>
          <w:cantSplit/>
          <w:trHeight w:val="285"/>
        </w:trPr>
        <w:tc>
          <w:tcPr>
            <w:tcW w:w="9158" w:type="dxa"/>
            <w:shd w:val="clear" w:color="auto" w:fill="D9D9D9" w:themeFill="background1" w:themeFillShade="D9"/>
          </w:tcPr>
          <w:p w14:paraId="5053C114" w14:textId="77777777" w:rsidR="00FA2BE1" w:rsidRPr="003D2D06" w:rsidRDefault="00FA2BE1" w:rsidP="00841616">
            <w:pPr>
              <w:pStyle w:val="Heading1"/>
            </w:pPr>
            <w:bookmarkStart w:id="63" w:name="_Toc164338505"/>
            <w:r w:rsidRPr="003D2D06">
              <w:t xml:space="preserve">Section </w:t>
            </w:r>
            <w:r>
              <w:t>10</w:t>
            </w:r>
            <w:r w:rsidRPr="003D2D06">
              <w:t xml:space="preserve"> – </w:t>
            </w:r>
            <w:r>
              <w:t>Justice Health Services – Custodial Health</w:t>
            </w:r>
            <w:bookmarkEnd w:id="63"/>
          </w:p>
        </w:tc>
      </w:tr>
    </w:tbl>
    <w:p w14:paraId="32A6C032" w14:textId="77777777" w:rsidR="00FA2BE1" w:rsidRDefault="00FA2BE1" w:rsidP="00FA2BE1">
      <w:pPr>
        <w:pStyle w:val="Heading2"/>
      </w:pPr>
    </w:p>
    <w:p w14:paraId="4227FE01" w14:textId="77777777" w:rsidR="00FA2BE1" w:rsidRPr="00EA3ED2" w:rsidRDefault="00FA2BE1" w:rsidP="00FA2BE1">
      <w:pPr>
        <w:rPr>
          <w:rFonts w:cs="Arial"/>
          <w:iCs/>
          <w:szCs w:val="24"/>
        </w:rPr>
      </w:pPr>
      <w:r w:rsidRPr="00EA3ED2">
        <w:rPr>
          <w:rFonts w:cs="Arial"/>
          <w:iCs/>
          <w:szCs w:val="24"/>
        </w:rPr>
        <w:t>In addition to Emergency Management (see Section 4) the following should be performed:</w:t>
      </w:r>
    </w:p>
    <w:p w14:paraId="13483CEA" w14:textId="77777777" w:rsidR="00FA2BE1" w:rsidRPr="00EA3ED2" w:rsidRDefault="00FA2BE1" w:rsidP="00FA2BE1">
      <w:pPr>
        <w:rPr>
          <w:rFonts w:cs="Arial"/>
          <w:iCs/>
          <w:szCs w:val="24"/>
        </w:rPr>
      </w:pPr>
    </w:p>
    <w:p w14:paraId="55559A99" w14:textId="77777777" w:rsidR="00FA2BE1" w:rsidRPr="00EA3ED2" w:rsidRDefault="00FA2BE1" w:rsidP="00FA2BE1">
      <w:pPr>
        <w:rPr>
          <w:rFonts w:cs="Arial"/>
          <w:b/>
          <w:bCs/>
          <w:iCs/>
          <w:szCs w:val="24"/>
        </w:rPr>
      </w:pPr>
      <w:bookmarkStart w:id="64" w:name="_Toc105499973"/>
      <w:bookmarkStart w:id="65" w:name="_Toc106977851"/>
      <w:bookmarkStart w:id="66" w:name="_Toc106977992"/>
      <w:r w:rsidRPr="00EA3ED2">
        <w:rPr>
          <w:rFonts w:cs="Arial"/>
          <w:b/>
          <w:bCs/>
          <w:iCs/>
          <w:szCs w:val="24"/>
        </w:rPr>
        <w:t>Adults at the Alexander Maconochie Centre (AMC)</w:t>
      </w:r>
      <w:bookmarkEnd w:id="64"/>
      <w:bookmarkEnd w:id="65"/>
      <w:bookmarkEnd w:id="66"/>
    </w:p>
    <w:p w14:paraId="5018C542" w14:textId="77777777" w:rsidR="00FA2BE1" w:rsidRPr="00EA3ED2" w:rsidRDefault="00FA2BE1" w:rsidP="00FA2BE1">
      <w:pPr>
        <w:numPr>
          <w:ilvl w:val="0"/>
          <w:numId w:val="29"/>
        </w:numPr>
        <w:rPr>
          <w:rFonts w:cs="Arial"/>
          <w:iCs/>
          <w:szCs w:val="24"/>
        </w:rPr>
      </w:pPr>
      <w:r w:rsidRPr="00EA3ED2">
        <w:rPr>
          <w:rFonts w:cs="Arial"/>
          <w:iCs/>
          <w:szCs w:val="24"/>
        </w:rPr>
        <w:t>In the emergency management of an anaphylaxis and allergic response, Justice Health Services Custodial Health team will generally be notified via Code Pink over the radio and the RN/MO will attend the specified area with the Emergency Bags</w:t>
      </w:r>
    </w:p>
    <w:p w14:paraId="61546179" w14:textId="77777777" w:rsidR="00FA2BE1" w:rsidRPr="00EA3ED2" w:rsidRDefault="00FA2BE1" w:rsidP="00FA2BE1">
      <w:pPr>
        <w:numPr>
          <w:ilvl w:val="0"/>
          <w:numId w:val="29"/>
        </w:numPr>
        <w:rPr>
          <w:rFonts w:cs="Arial"/>
          <w:iCs/>
          <w:szCs w:val="24"/>
        </w:rPr>
      </w:pPr>
      <w:r w:rsidRPr="00EA3ED2">
        <w:rPr>
          <w:rFonts w:cs="Arial"/>
          <w:iCs/>
          <w:szCs w:val="24"/>
        </w:rPr>
        <w:t xml:space="preserve">Initially, the RN/MO will assess the patient including attempting to ascertain the cause of the </w:t>
      </w:r>
      <w:proofErr w:type="gramStart"/>
      <w:r w:rsidRPr="00EA3ED2">
        <w:rPr>
          <w:rFonts w:cs="Arial"/>
          <w:iCs/>
          <w:szCs w:val="24"/>
        </w:rPr>
        <w:t>anaphylaxis</w:t>
      </w:r>
      <w:proofErr w:type="gramEnd"/>
    </w:p>
    <w:p w14:paraId="7D2C3964" w14:textId="77777777" w:rsidR="00FA2BE1" w:rsidRPr="00EA3ED2" w:rsidRDefault="00FA2BE1" w:rsidP="00FA2BE1">
      <w:pPr>
        <w:numPr>
          <w:ilvl w:val="0"/>
          <w:numId w:val="29"/>
        </w:numPr>
        <w:rPr>
          <w:rFonts w:cs="Arial"/>
          <w:iCs/>
          <w:szCs w:val="24"/>
        </w:rPr>
      </w:pPr>
      <w:r w:rsidRPr="00EA3ED2">
        <w:rPr>
          <w:rFonts w:cs="Arial"/>
          <w:iCs/>
          <w:szCs w:val="24"/>
        </w:rPr>
        <w:t>If the patient is having difficulty breathing or is unconscious Basic Life Support should be commenced as per Australian Resuscitation Council (ARC) and CHS Vital Signs &amp; Early Warning Scores Procedure</w:t>
      </w:r>
    </w:p>
    <w:p w14:paraId="24A2BAC0" w14:textId="77777777" w:rsidR="00FA2BE1" w:rsidRPr="00EA3ED2" w:rsidRDefault="00FA2BE1" w:rsidP="00FA2BE1">
      <w:pPr>
        <w:numPr>
          <w:ilvl w:val="0"/>
          <w:numId w:val="29"/>
        </w:numPr>
        <w:rPr>
          <w:rFonts w:cs="Arial"/>
          <w:iCs/>
          <w:szCs w:val="24"/>
        </w:rPr>
      </w:pPr>
      <w:r w:rsidRPr="00EA3ED2">
        <w:rPr>
          <w:rFonts w:cs="Arial"/>
          <w:iCs/>
          <w:szCs w:val="24"/>
        </w:rPr>
        <w:t xml:space="preserve">If the patient is conscious, they should self-administer an autoinjector if they have one prescribed to be in their </w:t>
      </w:r>
      <w:proofErr w:type="gramStart"/>
      <w:r w:rsidRPr="00EA3ED2">
        <w:rPr>
          <w:rFonts w:cs="Arial"/>
          <w:iCs/>
          <w:szCs w:val="24"/>
        </w:rPr>
        <w:t>possession</w:t>
      </w:r>
      <w:proofErr w:type="gramEnd"/>
    </w:p>
    <w:p w14:paraId="11E31053" w14:textId="77777777" w:rsidR="00FA2BE1" w:rsidRPr="00EA3ED2" w:rsidRDefault="00FA2BE1" w:rsidP="00FA2BE1">
      <w:pPr>
        <w:numPr>
          <w:ilvl w:val="0"/>
          <w:numId w:val="29"/>
        </w:numPr>
        <w:rPr>
          <w:rFonts w:cs="Arial"/>
          <w:iCs/>
          <w:szCs w:val="24"/>
        </w:rPr>
      </w:pPr>
      <w:r w:rsidRPr="00EA3ED2">
        <w:rPr>
          <w:rFonts w:cs="Arial"/>
          <w:iCs/>
          <w:szCs w:val="24"/>
        </w:rPr>
        <w:t>After assessment, the responding RN/MO will consider the use of adrenaline 1:1000 in accordance with Adrenaline Medication Standing Order CHS21/112</w:t>
      </w:r>
    </w:p>
    <w:p w14:paraId="4EF5F8F3" w14:textId="77777777" w:rsidR="00FA2BE1" w:rsidRPr="00EA3ED2" w:rsidRDefault="00FA2BE1" w:rsidP="00FA2BE1">
      <w:pPr>
        <w:numPr>
          <w:ilvl w:val="0"/>
          <w:numId w:val="29"/>
        </w:numPr>
        <w:rPr>
          <w:rFonts w:cs="Arial"/>
          <w:iCs/>
          <w:szCs w:val="24"/>
        </w:rPr>
      </w:pPr>
      <w:r w:rsidRPr="00EA3ED2">
        <w:rPr>
          <w:rFonts w:cs="Arial"/>
          <w:iCs/>
          <w:szCs w:val="24"/>
        </w:rPr>
        <w:t xml:space="preserve">Consideration should be given for transfer to </w:t>
      </w:r>
      <w:proofErr w:type="gramStart"/>
      <w:r w:rsidRPr="00EA3ED2">
        <w:rPr>
          <w:rFonts w:cs="Arial"/>
          <w:iCs/>
          <w:szCs w:val="24"/>
        </w:rPr>
        <w:t>hospital</w:t>
      </w:r>
      <w:proofErr w:type="gramEnd"/>
    </w:p>
    <w:p w14:paraId="4D5C4FFA" w14:textId="77777777" w:rsidR="00FA2BE1" w:rsidRPr="00EA3ED2" w:rsidRDefault="00FA2BE1" w:rsidP="00FA2BE1">
      <w:pPr>
        <w:numPr>
          <w:ilvl w:val="0"/>
          <w:numId w:val="29"/>
        </w:numPr>
        <w:rPr>
          <w:rFonts w:cs="Arial"/>
          <w:iCs/>
          <w:szCs w:val="24"/>
        </w:rPr>
      </w:pPr>
      <w:r w:rsidRPr="00EA3ED2">
        <w:rPr>
          <w:rFonts w:cs="Arial"/>
          <w:iCs/>
          <w:szCs w:val="24"/>
        </w:rPr>
        <w:t xml:space="preserve">If an Ambulance should be requested to attend, the RN/MO should seek assistance from another staff member present and request for them to call 0-000 for ACT Ambulance Service and to notify the Master Control Room at AMC and the Officer in Charge if not already </w:t>
      </w:r>
      <w:proofErr w:type="gramStart"/>
      <w:r w:rsidRPr="00EA3ED2">
        <w:rPr>
          <w:rFonts w:cs="Arial"/>
          <w:iCs/>
          <w:szCs w:val="24"/>
        </w:rPr>
        <w:t>present</w:t>
      </w:r>
      <w:proofErr w:type="gramEnd"/>
    </w:p>
    <w:p w14:paraId="69751185" w14:textId="77777777" w:rsidR="00FA2BE1" w:rsidRPr="00EA3ED2" w:rsidRDefault="00FA2BE1" w:rsidP="00FA2BE1">
      <w:pPr>
        <w:numPr>
          <w:ilvl w:val="0"/>
          <w:numId w:val="29"/>
        </w:numPr>
        <w:rPr>
          <w:rFonts w:cs="Arial"/>
          <w:iCs/>
          <w:szCs w:val="24"/>
        </w:rPr>
      </w:pPr>
      <w:r w:rsidRPr="00EA3ED2">
        <w:rPr>
          <w:rFonts w:cs="Arial"/>
          <w:iCs/>
          <w:szCs w:val="24"/>
        </w:rPr>
        <w:t>Prepare patient and any relevant information for transport to the Canberra Hospital.</w:t>
      </w:r>
    </w:p>
    <w:p w14:paraId="4B2E0424" w14:textId="77777777" w:rsidR="00FA2BE1" w:rsidRPr="00E1410D" w:rsidRDefault="00FA2BE1" w:rsidP="00FA2BE1">
      <w:pPr>
        <w:numPr>
          <w:ilvl w:val="0"/>
          <w:numId w:val="29"/>
        </w:numPr>
        <w:rPr>
          <w:rFonts w:cs="Arial"/>
          <w:i/>
          <w:szCs w:val="24"/>
        </w:rPr>
      </w:pPr>
      <w:r w:rsidRPr="00EA3ED2">
        <w:rPr>
          <w:rFonts w:cs="Arial"/>
          <w:iCs/>
          <w:szCs w:val="24"/>
        </w:rPr>
        <w:t xml:space="preserve">This event must be documented in the Mental Health Alcohol Justice Health Integrated Care Electronic Record (MAJICeR) in accordance with the </w:t>
      </w:r>
      <w:r w:rsidRPr="00E1410D">
        <w:rPr>
          <w:rFonts w:cs="Arial"/>
          <w:i/>
          <w:szCs w:val="24"/>
        </w:rPr>
        <w:t>CHS Clinical Handover Procedure</w:t>
      </w:r>
    </w:p>
    <w:p w14:paraId="3F61B757" w14:textId="77777777" w:rsidR="00FA2BE1" w:rsidRPr="00EA3ED2" w:rsidRDefault="00FA2BE1" w:rsidP="00FA2BE1">
      <w:pPr>
        <w:numPr>
          <w:ilvl w:val="0"/>
          <w:numId w:val="29"/>
        </w:numPr>
        <w:rPr>
          <w:rFonts w:cs="Arial"/>
          <w:iCs/>
          <w:szCs w:val="24"/>
        </w:rPr>
      </w:pPr>
      <w:r w:rsidRPr="00EA3ED2">
        <w:rPr>
          <w:rFonts w:cs="Arial"/>
          <w:iCs/>
          <w:szCs w:val="24"/>
        </w:rPr>
        <w:lastRenderedPageBreak/>
        <w:t xml:space="preserve">If anaphylaxis is an adverse reaction to a medical intervention, an incident report should be completed via </w:t>
      </w:r>
      <w:proofErr w:type="spellStart"/>
      <w:r w:rsidRPr="00EA3ED2">
        <w:rPr>
          <w:rFonts w:cs="Arial"/>
          <w:iCs/>
          <w:szCs w:val="24"/>
        </w:rPr>
        <w:t>Riskman</w:t>
      </w:r>
      <w:proofErr w:type="spellEnd"/>
      <w:r w:rsidRPr="00EA3ED2">
        <w:rPr>
          <w:rFonts w:cs="Arial"/>
          <w:iCs/>
          <w:szCs w:val="24"/>
        </w:rPr>
        <w:t xml:space="preserve"> per the </w:t>
      </w:r>
      <w:r w:rsidRPr="00E1410D">
        <w:rPr>
          <w:rFonts w:cs="Arial"/>
          <w:i/>
          <w:szCs w:val="24"/>
        </w:rPr>
        <w:t>CHS Incident Management Policy</w:t>
      </w:r>
    </w:p>
    <w:p w14:paraId="22C34B6A" w14:textId="77777777" w:rsidR="00FA2BE1" w:rsidRPr="00EA3ED2" w:rsidRDefault="00FA2BE1" w:rsidP="00FA2BE1">
      <w:pPr>
        <w:numPr>
          <w:ilvl w:val="0"/>
          <w:numId w:val="29"/>
        </w:numPr>
        <w:rPr>
          <w:rFonts w:cs="Arial"/>
          <w:iCs/>
          <w:szCs w:val="24"/>
        </w:rPr>
      </w:pPr>
      <w:r w:rsidRPr="00EA3ED2">
        <w:rPr>
          <w:rFonts w:cs="Arial"/>
          <w:iCs/>
          <w:szCs w:val="24"/>
        </w:rPr>
        <w:t xml:space="preserve">Enter an alert for the patient in the </w:t>
      </w:r>
      <w:r>
        <w:rPr>
          <w:rFonts w:cs="Arial"/>
          <w:iCs/>
          <w:szCs w:val="24"/>
        </w:rPr>
        <w:t>DHR</w:t>
      </w:r>
      <w:r w:rsidRPr="00EA3ED2">
        <w:rPr>
          <w:rFonts w:cs="Arial"/>
          <w:iCs/>
          <w:szCs w:val="24"/>
        </w:rPr>
        <w:t>.</w:t>
      </w:r>
    </w:p>
    <w:p w14:paraId="3930EDEF" w14:textId="77777777" w:rsidR="00FA2BE1" w:rsidRPr="00EA3ED2" w:rsidRDefault="00FA2BE1" w:rsidP="00FA2BE1">
      <w:pPr>
        <w:rPr>
          <w:rFonts w:cs="Arial"/>
          <w:iCs/>
          <w:szCs w:val="24"/>
        </w:rPr>
      </w:pPr>
    </w:p>
    <w:p w14:paraId="2524CE28" w14:textId="77777777" w:rsidR="00FA2BE1" w:rsidRPr="00EA3ED2" w:rsidRDefault="00FA2BE1" w:rsidP="00FA2BE1">
      <w:pPr>
        <w:rPr>
          <w:rFonts w:cs="Arial"/>
          <w:b/>
          <w:bCs/>
          <w:iCs/>
          <w:szCs w:val="24"/>
        </w:rPr>
      </w:pPr>
      <w:bookmarkStart w:id="67" w:name="_Toc105499974"/>
      <w:bookmarkStart w:id="68" w:name="_Toc106977852"/>
      <w:bookmarkStart w:id="69" w:name="_Toc106977993"/>
      <w:r w:rsidRPr="00EA3ED2">
        <w:rPr>
          <w:rFonts w:cs="Arial"/>
          <w:b/>
          <w:bCs/>
          <w:iCs/>
          <w:szCs w:val="24"/>
        </w:rPr>
        <w:t xml:space="preserve">Young People at the </w:t>
      </w:r>
      <w:proofErr w:type="spellStart"/>
      <w:r w:rsidRPr="00EA3ED2">
        <w:rPr>
          <w:rFonts w:cs="Arial"/>
          <w:b/>
          <w:bCs/>
          <w:iCs/>
          <w:szCs w:val="24"/>
        </w:rPr>
        <w:t>Bimberi</w:t>
      </w:r>
      <w:proofErr w:type="spellEnd"/>
      <w:r w:rsidRPr="00EA3ED2">
        <w:rPr>
          <w:rFonts w:cs="Arial"/>
          <w:b/>
          <w:bCs/>
          <w:iCs/>
          <w:szCs w:val="24"/>
        </w:rPr>
        <w:t xml:space="preserve"> Youth Justice Centre</w:t>
      </w:r>
      <w:bookmarkEnd w:id="67"/>
      <w:bookmarkEnd w:id="68"/>
      <w:bookmarkEnd w:id="69"/>
    </w:p>
    <w:p w14:paraId="10059054" w14:textId="77777777" w:rsidR="00FA2BE1" w:rsidRPr="00EA3ED2" w:rsidRDefault="00FA2BE1" w:rsidP="00FA2BE1">
      <w:pPr>
        <w:numPr>
          <w:ilvl w:val="0"/>
          <w:numId w:val="28"/>
        </w:numPr>
        <w:ind w:left="426" w:hanging="426"/>
        <w:rPr>
          <w:rFonts w:cs="Arial"/>
          <w:iCs/>
          <w:szCs w:val="24"/>
        </w:rPr>
      </w:pPr>
      <w:r w:rsidRPr="00EA3ED2">
        <w:rPr>
          <w:rFonts w:cs="Arial"/>
          <w:iCs/>
          <w:szCs w:val="24"/>
        </w:rPr>
        <w:t xml:space="preserve">When Justice Health Services Nursing or Medical staff are on site at </w:t>
      </w:r>
      <w:proofErr w:type="spellStart"/>
      <w:r w:rsidRPr="00EA3ED2">
        <w:rPr>
          <w:rFonts w:cs="Arial"/>
          <w:iCs/>
          <w:szCs w:val="24"/>
        </w:rPr>
        <w:t>Bimberi</w:t>
      </w:r>
      <w:proofErr w:type="spellEnd"/>
      <w:r w:rsidRPr="00EA3ED2">
        <w:rPr>
          <w:rFonts w:cs="Arial"/>
          <w:iCs/>
          <w:szCs w:val="24"/>
        </w:rPr>
        <w:t xml:space="preserve"> Youth Justice Centre they will be notified either via a Code Blue over the radio or by telephone.</w:t>
      </w:r>
    </w:p>
    <w:p w14:paraId="407E980B" w14:textId="77777777" w:rsidR="00FA2BE1" w:rsidRPr="00EA3ED2" w:rsidRDefault="00FA2BE1" w:rsidP="00FA2BE1">
      <w:pPr>
        <w:numPr>
          <w:ilvl w:val="0"/>
          <w:numId w:val="28"/>
        </w:numPr>
        <w:ind w:left="426" w:hanging="426"/>
        <w:rPr>
          <w:rFonts w:cs="Arial"/>
          <w:iCs/>
          <w:szCs w:val="24"/>
        </w:rPr>
      </w:pPr>
      <w:r w:rsidRPr="00EA3ED2">
        <w:rPr>
          <w:rFonts w:cs="Arial"/>
          <w:iCs/>
          <w:szCs w:val="24"/>
        </w:rPr>
        <w:t xml:space="preserve">The RN/MO on duty will attend the location with the emergency bags to assess the patient and attempt to ascertain the cause of the anaphylaxis. </w:t>
      </w:r>
    </w:p>
    <w:p w14:paraId="539BBA4F" w14:textId="77777777" w:rsidR="00FA2BE1" w:rsidRPr="00EA3ED2" w:rsidRDefault="00FA2BE1" w:rsidP="00FA2BE1">
      <w:pPr>
        <w:numPr>
          <w:ilvl w:val="0"/>
          <w:numId w:val="28"/>
        </w:numPr>
        <w:ind w:left="426" w:hanging="426"/>
        <w:rPr>
          <w:rFonts w:cs="Arial"/>
          <w:iCs/>
          <w:szCs w:val="24"/>
        </w:rPr>
      </w:pPr>
      <w:r w:rsidRPr="00EA3ED2">
        <w:rPr>
          <w:rFonts w:cs="Arial"/>
          <w:iCs/>
          <w:szCs w:val="24"/>
        </w:rPr>
        <w:t>The RN/MO may ask the Youth Workers to call 000 and ask for ACT Ambulance service to attend.</w:t>
      </w:r>
    </w:p>
    <w:p w14:paraId="18473A26" w14:textId="77777777" w:rsidR="00FA2BE1" w:rsidRPr="00EA3ED2" w:rsidRDefault="00FA2BE1" w:rsidP="00FA2BE1">
      <w:pPr>
        <w:numPr>
          <w:ilvl w:val="0"/>
          <w:numId w:val="28"/>
        </w:numPr>
        <w:ind w:left="426" w:hanging="426"/>
        <w:rPr>
          <w:rFonts w:cs="Arial"/>
          <w:iCs/>
          <w:szCs w:val="24"/>
        </w:rPr>
      </w:pPr>
      <w:r w:rsidRPr="00EA3ED2">
        <w:rPr>
          <w:rFonts w:cs="Arial"/>
          <w:iCs/>
          <w:szCs w:val="24"/>
        </w:rPr>
        <w:t>Once the cause of anaphylaxis is known, the responding RN/MO will consider the use of Adrenaline 1:1000 in accordance with the Adrenaline Medication Standing Order CHS21/112.</w:t>
      </w:r>
    </w:p>
    <w:p w14:paraId="7F8E8849" w14:textId="77777777" w:rsidR="00FA2BE1" w:rsidRPr="00EA3ED2" w:rsidRDefault="00FA2BE1" w:rsidP="00FA2BE1">
      <w:pPr>
        <w:numPr>
          <w:ilvl w:val="0"/>
          <w:numId w:val="28"/>
        </w:numPr>
        <w:ind w:left="426" w:hanging="426"/>
        <w:rPr>
          <w:rFonts w:cs="Arial"/>
          <w:iCs/>
          <w:szCs w:val="24"/>
        </w:rPr>
      </w:pPr>
      <w:r w:rsidRPr="00EA3ED2">
        <w:rPr>
          <w:rFonts w:cs="Arial"/>
          <w:iCs/>
          <w:szCs w:val="24"/>
        </w:rPr>
        <w:t>Prepare patient and any relevant information for transport to the Canberra Hospital.</w:t>
      </w:r>
    </w:p>
    <w:p w14:paraId="1A0F5979" w14:textId="77777777" w:rsidR="00FA2BE1" w:rsidRPr="00EA3ED2" w:rsidRDefault="00FA2BE1" w:rsidP="00FA2BE1">
      <w:pPr>
        <w:numPr>
          <w:ilvl w:val="0"/>
          <w:numId w:val="28"/>
        </w:numPr>
        <w:ind w:left="426" w:hanging="426"/>
        <w:rPr>
          <w:rFonts w:cs="Arial"/>
          <w:iCs/>
          <w:szCs w:val="24"/>
        </w:rPr>
      </w:pPr>
      <w:r w:rsidRPr="00EA3ED2">
        <w:rPr>
          <w:rFonts w:cs="Arial"/>
          <w:iCs/>
          <w:szCs w:val="24"/>
        </w:rPr>
        <w:t xml:space="preserve">This event must be documented in the MAJICER in accordance with the </w:t>
      </w:r>
      <w:r w:rsidRPr="00EA3ED2">
        <w:rPr>
          <w:rFonts w:cs="Arial"/>
          <w:i/>
          <w:iCs/>
          <w:szCs w:val="24"/>
        </w:rPr>
        <w:t>CHS Clinical Handover Procedure.</w:t>
      </w:r>
    </w:p>
    <w:p w14:paraId="59E841A9" w14:textId="77777777" w:rsidR="00FA2BE1" w:rsidRPr="00EA3ED2" w:rsidRDefault="00FA2BE1" w:rsidP="00FA2BE1">
      <w:pPr>
        <w:numPr>
          <w:ilvl w:val="0"/>
          <w:numId w:val="28"/>
        </w:numPr>
        <w:ind w:left="426" w:hanging="426"/>
        <w:rPr>
          <w:rFonts w:cs="Arial"/>
          <w:iCs/>
          <w:szCs w:val="24"/>
        </w:rPr>
      </w:pPr>
      <w:r>
        <w:rPr>
          <w:rFonts w:cs="Arial"/>
          <w:iCs/>
          <w:szCs w:val="24"/>
        </w:rPr>
        <w:t xml:space="preserve">Clinical Incident report in </w:t>
      </w:r>
      <w:proofErr w:type="spellStart"/>
      <w:r w:rsidRPr="00EA3ED2">
        <w:rPr>
          <w:rFonts w:cs="Arial"/>
          <w:iCs/>
          <w:szCs w:val="24"/>
        </w:rPr>
        <w:t>Riskman</w:t>
      </w:r>
      <w:proofErr w:type="spellEnd"/>
      <w:r w:rsidRPr="00EA3ED2">
        <w:rPr>
          <w:rFonts w:cs="Arial"/>
          <w:iCs/>
          <w:szCs w:val="24"/>
        </w:rPr>
        <w:t xml:space="preserve"> should also be completed as per the </w:t>
      </w:r>
      <w:r w:rsidRPr="00EA3ED2">
        <w:rPr>
          <w:rFonts w:cs="Arial"/>
          <w:i/>
          <w:iCs/>
          <w:szCs w:val="24"/>
        </w:rPr>
        <w:t>CHS Incident Management Policy.</w:t>
      </w:r>
    </w:p>
    <w:p w14:paraId="3E2BCDE8" w14:textId="77777777" w:rsidR="00FA2BE1" w:rsidRPr="00EA3ED2" w:rsidRDefault="00FA2BE1" w:rsidP="00FA2BE1">
      <w:pPr>
        <w:numPr>
          <w:ilvl w:val="0"/>
          <w:numId w:val="28"/>
        </w:numPr>
        <w:ind w:left="426" w:hanging="426"/>
        <w:rPr>
          <w:rFonts w:cs="Arial"/>
          <w:iCs/>
          <w:szCs w:val="24"/>
        </w:rPr>
      </w:pPr>
      <w:r w:rsidRPr="00EA3ED2">
        <w:rPr>
          <w:rFonts w:cs="Arial"/>
          <w:iCs/>
          <w:szCs w:val="24"/>
        </w:rPr>
        <w:t xml:space="preserve">Once the cause of anaphylaxis is known, enter an alert for the patient in the </w:t>
      </w:r>
      <w:r>
        <w:rPr>
          <w:rFonts w:cs="Arial"/>
          <w:iCs/>
          <w:szCs w:val="24"/>
        </w:rPr>
        <w:t>DHR</w:t>
      </w:r>
      <w:r w:rsidRPr="00EA3ED2">
        <w:rPr>
          <w:rFonts w:cs="Arial"/>
          <w:iCs/>
          <w:szCs w:val="24"/>
        </w:rPr>
        <w:t>.</w:t>
      </w:r>
    </w:p>
    <w:p w14:paraId="31870B22" w14:textId="77777777" w:rsidR="00FA2BE1" w:rsidRPr="00EA3ED2" w:rsidRDefault="00FA2BE1" w:rsidP="00FA2BE1">
      <w:pPr>
        <w:rPr>
          <w:rFonts w:cs="Arial"/>
          <w:b/>
          <w:iCs/>
          <w:szCs w:val="24"/>
        </w:rPr>
      </w:pPr>
    </w:p>
    <w:p w14:paraId="24C2E6A1" w14:textId="77777777" w:rsidR="00FA2BE1" w:rsidRPr="00D963F9" w:rsidRDefault="00FA2BE1" w:rsidP="00FA2BE1">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4ABBC6C3" w14:textId="77777777" w:rsidTr="00841616">
        <w:trPr>
          <w:cantSplit/>
          <w:trHeight w:val="285"/>
        </w:trPr>
        <w:tc>
          <w:tcPr>
            <w:tcW w:w="9158" w:type="dxa"/>
            <w:shd w:val="clear" w:color="auto" w:fill="D9D9D9" w:themeFill="background1" w:themeFillShade="D9"/>
          </w:tcPr>
          <w:p w14:paraId="641668B5" w14:textId="77777777" w:rsidR="00FA2BE1" w:rsidRPr="003D2D06" w:rsidRDefault="00FA2BE1" w:rsidP="00841616">
            <w:pPr>
              <w:pStyle w:val="Heading1"/>
            </w:pPr>
            <w:bookmarkStart w:id="70" w:name="_Toc164338506"/>
            <w:r w:rsidRPr="003D2D06">
              <w:t xml:space="preserve">Section </w:t>
            </w:r>
            <w:r>
              <w:t>11</w:t>
            </w:r>
            <w:r w:rsidRPr="003D2D06">
              <w:t xml:space="preserve"> – </w:t>
            </w:r>
            <w:r>
              <w:t>Podiatry Services</w:t>
            </w:r>
            <w:bookmarkEnd w:id="70"/>
          </w:p>
        </w:tc>
      </w:tr>
    </w:tbl>
    <w:p w14:paraId="20C50CF8" w14:textId="77777777" w:rsidR="00FA2BE1" w:rsidRDefault="00FA2BE1" w:rsidP="00FA2BE1">
      <w:pPr>
        <w:pStyle w:val="Heading2"/>
      </w:pPr>
    </w:p>
    <w:p w14:paraId="428F4FAC" w14:textId="77777777" w:rsidR="00FA2BE1" w:rsidRPr="00EA3ED2" w:rsidRDefault="00FA2BE1" w:rsidP="00FA2BE1">
      <w:pPr>
        <w:rPr>
          <w:rFonts w:cs="Arial"/>
          <w:b/>
          <w:bCs/>
          <w:iCs/>
          <w:szCs w:val="24"/>
        </w:rPr>
      </w:pPr>
      <w:bookmarkStart w:id="71" w:name="_Toc105499976"/>
      <w:bookmarkStart w:id="72" w:name="_Toc106977854"/>
      <w:bookmarkStart w:id="73" w:name="_Toc106977995"/>
      <w:r w:rsidRPr="00EA3ED2">
        <w:rPr>
          <w:rFonts w:cs="Arial"/>
          <w:b/>
          <w:bCs/>
          <w:iCs/>
          <w:szCs w:val="24"/>
        </w:rPr>
        <w:t>Prior to Administering Local Anaesthetic Agents, Podiatrists must:</w:t>
      </w:r>
      <w:bookmarkEnd w:id="71"/>
      <w:bookmarkEnd w:id="72"/>
      <w:bookmarkEnd w:id="73"/>
    </w:p>
    <w:p w14:paraId="0EF06190" w14:textId="77777777" w:rsidR="00FA2BE1" w:rsidRPr="00EA3ED2" w:rsidRDefault="00FA2BE1" w:rsidP="00FA2BE1">
      <w:pPr>
        <w:pStyle w:val="ListBullet"/>
      </w:pPr>
      <w:r w:rsidRPr="00EA3ED2">
        <w:t xml:space="preserve">Ensure adequate dosages of adrenaline (via autoinjector) will be readily available at the time of, and directly after administration. </w:t>
      </w:r>
    </w:p>
    <w:p w14:paraId="36DB9041" w14:textId="77777777" w:rsidR="00FA2BE1" w:rsidRPr="00EA3ED2" w:rsidRDefault="00FA2BE1" w:rsidP="00FA2BE1">
      <w:pPr>
        <w:pStyle w:val="ListBullet"/>
      </w:pPr>
      <w:r w:rsidRPr="00EA3ED2">
        <w:t>The Podiatry Manager needs to be notified at least 2 weeks prior to administering local anaesthetic to persons between 10-20kg, so that the appropriate adrenaline can be ordered. Patients who weigh &lt;10 kg would not be deemed suitable for local anaesthetic administration by podiatrists.</w:t>
      </w:r>
    </w:p>
    <w:p w14:paraId="2039D745" w14:textId="77777777" w:rsidR="00FA2BE1" w:rsidRPr="00EA3ED2" w:rsidRDefault="00FA2BE1" w:rsidP="00FA2BE1">
      <w:pPr>
        <w:pStyle w:val="ListBullet"/>
      </w:pPr>
      <w:r w:rsidRPr="00EA3ED2">
        <w:t>Be able to recognise and effectively manage anaphylaxis.</w:t>
      </w:r>
    </w:p>
    <w:p w14:paraId="66043ABF" w14:textId="77777777" w:rsidR="00FA2BE1" w:rsidRPr="00EA3ED2" w:rsidRDefault="00FA2BE1" w:rsidP="00FA2BE1">
      <w:pPr>
        <w:pStyle w:val="ListBullet"/>
      </w:pPr>
      <w:r w:rsidRPr="00EA3ED2">
        <w:t>Check the Podiatry Nail Surgery Report located on the Clinical Forms. Register and confirm with the patient their allergies or previous reactions to antigens.</w:t>
      </w:r>
    </w:p>
    <w:p w14:paraId="4B4E9291" w14:textId="77777777" w:rsidR="00FA2BE1" w:rsidRPr="00EA3ED2" w:rsidRDefault="00FA2BE1" w:rsidP="00FA2BE1">
      <w:pPr>
        <w:pStyle w:val="ListBullet"/>
      </w:pPr>
      <w:r w:rsidRPr="00EA3ED2">
        <w:t>Ensure there is a duress alarm facility in the health centre clinic.</w:t>
      </w:r>
    </w:p>
    <w:p w14:paraId="2059B512" w14:textId="77777777" w:rsidR="00FA2BE1" w:rsidRPr="00EA3ED2" w:rsidRDefault="00FA2BE1" w:rsidP="00FA2BE1">
      <w:pPr>
        <w:rPr>
          <w:rFonts w:cs="Arial"/>
          <w:iCs/>
          <w:szCs w:val="24"/>
        </w:rPr>
      </w:pPr>
    </w:p>
    <w:p w14:paraId="2C8438B3" w14:textId="77777777" w:rsidR="00FA2BE1" w:rsidRPr="00EA3ED2" w:rsidRDefault="00FA2BE1" w:rsidP="00FA2BE1">
      <w:pPr>
        <w:pBdr>
          <w:top w:val="single" w:sz="4" w:space="1" w:color="auto"/>
          <w:left w:val="single" w:sz="4" w:space="4" w:color="auto"/>
          <w:bottom w:val="single" w:sz="4" w:space="1" w:color="auto"/>
          <w:right w:val="single" w:sz="4" w:space="4" w:color="auto"/>
        </w:pBdr>
        <w:rPr>
          <w:rFonts w:cs="Arial"/>
          <w:b/>
          <w:bCs/>
          <w:iCs/>
          <w:szCs w:val="24"/>
        </w:rPr>
      </w:pPr>
      <w:r w:rsidRPr="00EA3ED2">
        <w:rPr>
          <w:rFonts w:cs="Arial"/>
          <w:b/>
          <w:bCs/>
          <w:iCs/>
          <w:szCs w:val="24"/>
        </w:rPr>
        <w:t xml:space="preserve">Note: </w:t>
      </w:r>
      <w:r w:rsidRPr="00EA3ED2">
        <w:rPr>
          <w:rFonts w:cs="Arial"/>
          <w:iCs/>
          <w:szCs w:val="24"/>
        </w:rPr>
        <w:t>Podiatrists must report to the Podiatry Manager, any incidents of anaphylaxis, or other adverse reactions related to administration of local anaesthetic agent within 24 hours of the event.</w:t>
      </w:r>
    </w:p>
    <w:p w14:paraId="677FF79A" w14:textId="77777777" w:rsidR="00FA2BE1" w:rsidRPr="00EA3ED2" w:rsidRDefault="00FA2BE1" w:rsidP="00FA2BE1">
      <w:pPr>
        <w:rPr>
          <w:rFonts w:cs="Arial"/>
          <w:iCs/>
          <w:szCs w:val="24"/>
        </w:rPr>
      </w:pPr>
    </w:p>
    <w:p w14:paraId="334AC136" w14:textId="77777777" w:rsidR="00FA2BE1" w:rsidRPr="00EA3ED2" w:rsidRDefault="00FA2BE1" w:rsidP="00FA2BE1">
      <w:pPr>
        <w:rPr>
          <w:rFonts w:cs="Arial"/>
          <w:b/>
          <w:bCs/>
          <w:iCs/>
          <w:szCs w:val="24"/>
        </w:rPr>
      </w:pPr>
      <w:bookmarkStart w:id="74" w:name="_Toc105499977"/>
      <w:bookmarkStart w:id="75" w:name="_Toc106977855"/>
      <w:bookmarkStart w:id="76" w:name="_Toc106977996"/>
      <w:r w:rsidRPr="00EA3ED2">
        <w:rPr>
          <w:rFonts w:cs="Arial"/>
          <w:b/>
          <w:bCs/>
          <w:iCs/>
          <w:szCs w:val="24"/>
        </w:rPr>
        <w:t>Management of Mild Signs and Symptoms (see Section 2 for definition):</w:t>
      </w:r>
      <w:bookmarkEnd w:id="74"/>
      <w:bookmarkEnd w:id="75"/>
      <w:bookmarkEnd w:id="76"/>
    </w:p>
    <w:p w14:paraId="55E30E88" w14:textId="77777777" w:rsidR="00FA2BE1" w:rsidRPr="00EA3ED2" w:rsidRDefault="00FA2BE1" w:rsidP="00FA2BE1">
      <w:pPr>
        <w:numPr>
          <w:ilvl w:val="0"/>
          <w:numId w:val="31"/>
        </w:numPr>
        <w:rPr>
          <w:rFonts w:cs="Arial"/>
          <w:iCs/>
          <w:szCs w:val="24"/>
        </w:rPr>
      </w:pPr>
      <w:r w:rsidRPr="00EA3ED2">
        <w:rPr>
          <w:rFonts w:cs="Arial"/>
          <w:iCs/>
          <w:szCs w:val="24"/>
        </w:rPr>
        <w:t>Cease administration of local anaesthetic.</w:t>
      </w:r>
    </w:p>
    <w:p w14:paraId="02B1500D" w14:textId="77777777" w:rsidR="00FA2BE1" w:rsidRPr="00EA3ED2" w:rsidRDefault="00FA2BE1" w:rsidP="00FA2BE1">
      <w:pPr>
        <w:numPr>
          <w:ilvl w:val="0"/>
          <w:numId w:val="31"/>
        </w:numPr>
        <w:rPr>
          <w:rFonts w:cs="Arial"/>
          <w:iCs/>
          <w:szCs w:val="24"/>
        </w:rPr>
      </w:pPr>
      <w:r w:rsidRPr="00EA3ED2">
        <w:rPr>
          <w:rFonts w:cs="Arial"/>
          <w:iCs/>
          <w:szCs w:val="24"/>
        </w:rPr>
        <w:t>Place patient in a supine position whilst remaining in the Podiatry chair.</w:t>
      </w:r>
    </w:p>
    <w:p w14:paraId="6758B1A0" w14:textId="77777777" w:rsidR="00FA2BE1" w:rsidRPr="00EA3ED2" w:rsidRDefault="00FA2BE1" w:rsidP="00FA2BE1">
      <w:pPr>
        <w:numPr>
          <w:ilvl w:val="0"/>
          <w:numId w:val="31"/>
        </w:numPr>
        <w:rPr>
          <w:rFonts w:cs="Arial"/>
          <w:iCs/>
          <w:szCs w:val="24"/>
        </w:rPr>
      </w:pPr>
      <w:r w:rsidRPr="00EA3ED2">
        <w:rPr>
          <w:rFonts w:cs="Arial"/>
          <w:iCs/>
          <w:szCs w:val="24"/>
        </w:rPr>
        <w:t>Never leave the patient alone.</w:t>
      </w:r>
    </w:p>
    <w:p w14:paraId="50A33C17" w14:textId="77777777" w:rsidR="00FA2BE1" w:rsidRPr="00EA3ED2" w:rsidRDefault="00FA2BE1" w:rsidP="00FA2BE1">
      <w:pPr>
        <w:numPr>
          <w:ilvl w:val="0"/>
          <w:numId w:val="31"/>
        </w:numPr>
        <w:rPr>
          <w:rFonts w:cs="Arial"/>
          <w:iCs/>
          <w:szCs w:val="24"/>
        </w:rPr>
      </w:pPr>
      <w:r w:rsidRPr="00EA3ED2">
        <w:rPr>
          <w:rFonts w:cs="Arial"/>
          <w:iCs/>
          <w:szCs w:val="24"/>
        </w:rPr>
        <w:lastRenderedPageBreak/>
        <w:t>Monitor patient for at least 20 minutes for improvement or progression of signs and symptoms.</w:t>
      </w:r>
    </w:p>
    <w:p w14:paraId="21451D97" w14:textId="77777777" w:rsidR="00FA2BE1" w:rsidRPr="00EA3ED2" w:rsidRDefault="00FA2BE1" w:rsidP="00FA2BE1">
      <w:pPr>
        <w:numPr>
          <w:ilvl w:val="0"/>
          <w:numId w:val="31"/>
        </w:numPr>
        <w:rPr>
          <w:rFonts w:cs="Arial"/>
          <w:iCs/>
          <w:szCs w:val="24"/>
        </w:rPr>
      </w:pPr>
      <w:r w:rsidRPr="00EA3ED2">
        <w:rPr>
          <w:rFonts w:cs="Arial"/>
          <w:iCs/>
          <w:szCs w:val="24"/>
        </w:rPr>
        <w:t>Contact patient’s General Practitioner and arrange same day patient review.</w:t>
      </w:r>
    </w:p>
    <w:p w14:paraId="738CFE86" w14:textId="77777777" w:rsidR="00FA2BE1" w:rsidRPr="00EA3ED2" w:rsidRDefault="00FA2BE1" w:rsidP="00FA2BE1">
      <w:pPr>
        <w:numPr>
          <w:ilvl w:val="0"/>
          <w:numId w:val="31"/>
        </w:numPr>
        <w:rPr>
          <w:rFonts w:cs="Arial"/>
          <w:iCs/>
          <w:szCs w:val="24"/>
        </w:rPr>
      </w:pPr>
      <w:r w:rsidRPr="00EA3ED2">
        <w:rPr>
          <w:rFonts w:cs="Arial"/>
          <w:iCs/>
          <w:szCs w:val="24"/>
        </w:rPr>
        <w:t xml:space="preserve">Document all interventions in the patient’s </w:t>
      </w:r>
      <w:r>
        <w:rPr>
          <w:rFonts w:cs="Arial"/>
          <w:iCs/>
          <w:szCs w:val="24"/>
        </w:rPr>
        <w:t>health</w:t>
      </w:r>
      <w:r w:rsidRPr="00EA3ED2">
        <w:rPr>
          <w:rFonts w:cs="Arial"/>
          <w:iCs/>
          <w:szCs w:val="24"/>
        </w:rPr>
        <w:t xml:space="preserve"> record.</w:t>
      </w:r>
    </w:p>
    <w:p w14:paraId="030D3E43" w14:textId="77777777" w:rsidR="00FA2BE1" w:rsidRPr="00EA3ED2" w:rsidRDefault="00FA2BE1" w:rsidP="00FA2BE1">
      <w:pPr>
        <w:numPr>
          <w:ilvl w:val="0"/>
          <w:numId w:val="31"/>
        </w:numPr>
        <w:rPr>
          <w:rFonts w:cs="Arial"/>
          <w:iCs/>
          <w:szCs w:val="24"/>
        </w:rPr>
      </w:pPr>
      <w:r w:rsidRPr="00EA3ED2">
        <w:rPr>
          <w:rFonts w:cs="Arial"/>
          <w:iCs/>
          <w:szCs w:val="24"/>
        </w:rPr>
        <w:t xml:space="preserve">Enter Alert into </w:t>
      </w:r>
      <w:r>
        <w:rPr>
          <w:rFonts w:cs="Arial"/>
          <w:iCs/>
          <w:szCs w:val="24"/>
        </w:rPr>
        <w:t>the DHR</w:t>
      </w:r>
      <w:r w:rsidRPr="00EA3ED2">
        <w:rPr>
          <w:rFonts w:cs="Arial"/>
          <w:iCs/>
          <w:szCs w:val="24"/>
        </w:rPr>
        <w:t>.</w:t>
      </w:r>
    </w:p>
    <w:p w14:paraId="2E1A5341" w14:textId="77777777" w:rsidR="00FA2BE1" w:rsidRPr="00EA3ED2" w:rsidRDefault="00FA2BE1" w:rsidP="00FA2BE1">
      <w:pPr>
        <w:numPr>
          <w:ilvl w:val="0"/>
          <w:numId w:val="31"/>
        </w:numPr>
        <w:rPr>
          <w:rFonts w:cs="Arial"/>
          <w:iCs/>
          <w:szCs w:val="24"/>
        </w:rPr>
      </w:pPr>
      <w:r w:rsidRPr="00EA3ED2">
        <w:rPr>
          <w:rFonts w:cs="Arial"/>
          <w:iCs/>
          <w:szCs w:val="24"/>
        </w:rPr>
        <w:t>Report to the Podiatry Manager within 24 hours.</w:t>
      </w:r>
    </w:p>
    <w:p w14:paraId="42F89FF5" w14:textId="77777777" w:rsidR="00FA2BE1" w:rsidRPr="00EA3ED2" w:rsidRDefault="00FA2BE1" w:rsidP="00FA2BE1">
      <w:pPr>
        <w:rPr>
          <w:rFonts w:cs="Arial"/>
          <w:iCs/>
          <w:szCs w:val="24"/>
        </w:rPr>
      </w:pPr>
    </w:p>
    <w:p w14:paraId="571D6573" w14:textId="77777777" w:rsidR="00FA2BE1" w:rsidRPr="00EA3ED2" w:rsidRDefault="00FA2BE1" w:rsidP="00FA2BE1">
      <w:pPr>
        <w:rPr>
          <w:rFonts w:cs="Arial"/>
          <w:b/>
          <w:bCs/>
          <w:iCs/>
          <w:szCs w:val="24"/>
        </w:rPr>
      </w:pPr>
      <w:bookmarkStart w:id="77" w:name="_Toc105499978"/>
      <w:bookmarkStart w:id="78" w:name="_Toc106977856"/>
      <w:bookmarkStart w:id="79" w:name="_Toc106977997"/>
      <w:r w:rsidRPr="00EA3ED2">
        <w:rPr>
          <w:rFonts w:cs="Arial"/>
          <w:b/>
          <w:bCs/>
          <w:iCs/>
          <w:szCs w:val="24"/>
        </w:rPr>
        <w:t>Management of Anaphylaxis (see Section 2 for definition):</w:t>
      </w:r>
      <w:bookmarkEnd w:id="77"/>
      <w:bookmarkEnd w:id="78"/>
      <w:bookmarkEnd w:id="79"/>
    </w:p>
    <w:p w14:paraId="1DC9D8C0" w14:textId="77777777" w:rsidR="00FA2BE1" w:rsidRPr="00EA3ED2" w:rsidRDefault="00FA2BE1" w:rsidP="00FA2BE1">
      <w:pPr>
        <w:rPr>
          <w:rFonts w:cs="Arial"/>
          <w:iCs/>
          <w:szCs w:val="24"/>
        </w:rPr>
      </w:pPr>
      <w:r w:rsidRPr="00EA3ED2">
        <w:rPr>
          <w:rFonts w:cs="Arial"/>
          <w:iCs/>
          <w:szCs w:val="24"/>
        </w:rPr>
        <w:t xml:space="preserve">Basic life support should be commenced as per Australian Resuscitation Council (ARC), see </w:t>
      </w:r>
      <w:r w:rsidRPr="00EA3ED2">
        <w:rPr>
          <w:rFonts w:cs="Arial"/>
          <w:iCs/>
          <w:szCs w:val="24"/>
          <w:u w:val="single"/>
        </w:rPr>
        <w:t>Attachment D</w:t>
      </w:r>
    </w:p>
    <w:p w14:paraId="638D0DC6" w14:textId="77777777" w:rsidR="00FA2BE1" w:rsidRPr="00EA3ED2" w:rsidRDefault="00FA2BE1" w:rsidP="00FA2BE1">
      <w:pPr>
        <w:numPr>
          <w:ilvl w:val="0"/>
          <w:numId w:val="30"/>
        </w:numPr>
        <w:rPr>
          <w:rFonts w:cs="Arial"/>
          <w:iCs/>
          <w:szCs w:val="24"/>
        </w:rPr>
      </w:pPr>
      <w:r w:rsidRPr="00EA3ED2">
        <w:rPr>
          <w:rFonts w:cs="Arial"/>
          <w:iCs/>
          <w:szCs w:val="24"/>
        </w:rPr>
        <w:t xml:space="preserve">Administer adrenaline via autoinjector (see </w:t>
      </w:r>
      <w:r w:rsidRPr="00EA3ED2">
        <w:rPr>
          <w:rFonts w:cs="Arial"/>
          <w:iCs/>
          <w:szCs w:val="24"/>
          <w:u w:val="single"/>
        </w:rPr>
        <w:t>Attachment E or F</w:t>
      </w:r>
      <w:r w:rsidRPr="00EA3ED2">
        <w:rPr>
          <w:rFonts w:cs="Arial"/>
          <w:iCs/>
          <w:szCs w:val="24"/>
        </w:rPr>
        <w:t>).</w:t>
      </w:r>
    </w:p>
    <w:p w14:paraId="35563E78" w14:textId="77777777" w:rsidR="00FA2BE1" w:rsidRPr="00EA3ED2" w:rsidRDefault="00FA2BE1" w:rsidP="00FA2BE1">
      <w:pPr>
        <w:numPr>
          <w:ilvl w:val="0"/>
          <w:numId w:val="30"/>
        </w:numPr>
        <w:rPr>
          <w:rFonts w:cs="Arial"/>
          <w:iCs/>
          <w:szCs w:val="24"/>
        </w:rPr>
      </w:pPr>
      <w:r w:rsidRPr="00EA3ED2">
        <w:rPr>
          <w:rFonts w:cs="Arial"/>
          <w:iCs/>
          <w:szCs w:val="24"/>
        </w:rPr>
        <w:t>Never leave patient alone.</w:t>
      </w:r>
    </w:p>
    <w:p w14:paraId="48A75DC1" w14:textId="77777777" w:rsidR="00FA2BE1" w:rsidRPr="00EA3ED2" w:rsidRDefault="00FA2BE1" w:rsidP="00FA2BE1">
      <w:pPr>
        <w:numPr>
          <w:ilvl w:val="0"/>
          <w:numId w:val="30"/>
        </w:numPr>
        <w:rPr>
          <w:rFonts w:cs="Arial"/>
          <w:iCs/>
          <w:szCs w:val="24"/>
        </w:rPr>
      </w:pPr>
      <w:r w:rsidRPr="00EA3ED2">
        <w:rPr>
          <w:rFonts w:cs="Arial"/>
          <w:iCs/>
          <w:szCs w:val="24"/>
        </w:rPr>
        <w:t>Call for additional assistance – press duress alarm.</w:t>
      </w:r>
    </w:p>
    <w:p w14:paraId="57C49EFC" w14:textId="77777777" w:rsidR="00FA2BE1" w:rsidRPr="00EA3ED2" w:rsidRDefault="00FA2BE1" w:rsidP="00FA2BE1">
      <w:pPr>
        <w:numPr>
          <w:ilvl w:val="0"/>
          <w:numId w:val="30"/>
        </w:numPr>
        <w:rPr>
          <w:rFonts w:cs="Arial"/>
          <w:iCs/>
          <w:szCs w:val="24"/>
        </w:rPr>
      </w:pPr>
      <w:r w:rsidRPr="00EA3ED2">
        <w:rPr>
          <w:rFonts w:cs="Arial"/>
          <w:iCs/>
          <w:szCs w:val="24"/>
        </w:rPr>
        <w:t>Call for ACT Ambulance Service or advise others to request an ambulance:</w:t>
      </w:r>
    </w:p>
    <w:p w14:paraId="2D141CA3" w14:textId="77777777" w:rsidR="00FA2BE1" w:rsidRPr="00EA3ED2" w:rsidRDefault="00FA2BE1" w:rsidP="00FA2BE1">
      <w:pPr>
        <w:pStyle w:val="ListBullet"/>
        <w:tabs>
          <w:tab w:val="clear" w:pos="1080"/>
          <w:tab w:val="num" w:pos="1710"/>
        </w:tabs>
        <w:ind w:left="851" w:hanging="425"/>
      </w:pPr>
      <w:r w:rsidRPr="00EA3ED2">
        <w:t>Dial 0 to obtain a dial tone, then 000 or</w:t>
      </w:r>
    </w:p>
    <w:p w14:paraId="779B730D" w14:textId="77777777" w:rsidR="00FA2BE1" w:rsidRPr="00EA3ED2" w:rsidRDefault="00FA2BE1" w:rsidP="00FA2BE1">
      <w:pPr>
        <w:pStyle w:val="ListBullet"/>
        <w:tabs>
          <w:tab w:val="clear" w:pos="1080"/>
          <w:tab w:val="num" w:pos="1710"/>
        </w:tabs>
        <w:ind w:left="851" w:hanging="425"/>
      </w:pPr>
      <w:r w:rsidRPr="00EA3ED2">
        <w:t xml:space="preserve">Dial 112 on a mobile phone - this is the GSM international standard emergency access </w:t>
      </w:r>
      <w:proofErr w:type="gramStart"/>
      <w:r w:rsidRPr="00EA3ED2">
        <w:t>number</w:t>
      </w:r>
      <w:proofErr w:type="gramEnd"/>
    </w:p>
    <w:p w14:paraId="2199B1C3" w14:textId="77777777" w:rsidR="00FA2BE1" w:rsidRPr="00EA3ED2" w:rsidRDefault="00FA2BE1" w:rsidP="00FA2BE1">
      <w:pPr>
        <w:numPr>
          <w:ilvl w:val="0"/>
          <w:numId w:val="30"/>
        </w:numPr>
        <w:rPr>
          <w:rFonts w:cs="Arial"/>
          <w:iCs/>
          <w:szCs w:val="24"/>
        </w:rPr>
      </w:pPr>
      <w:r w:rsidRPr="00EA3ED2">
        <w:rPr>
          <w:rFonts w:cs="Arial"/>
          <w:iCs/>
          <w:szCs w:val="24"/>
        </w:rPr>
        <w:t>Continue emergency care until ambulance arrives.</w:t>
      </w:r>
    </w:p>
    <w:p w14:paraId="20453905" w14:textId="77777777" w:rsidR="00FA2BE1" w:rsidRPr="00EA3ED2" w:rsidRDefault="00FA2BE1" w:rsidP="00FA2BE1">
      <w:pPr>
        <w:numPr>
          <w:ilvl w:val="0"/>
          <w:numId w:val="30"/>
        </w:numPr>
        <w:rPr>
          <w:rFonts w:cs="Arial"/>
          <w:iCs/>
          <w:szCs w:val="24"/>
        </w:rPr>
      </w:pPr>
      <w:r w:rsidRPr="00EA3ED2">
        <w:rPr>
          <w:rFonts w:cs="Arial"/>
          <w:iCs/>
          <w:szCs w:val="24"/>
        </w:rPr>
        <w:t>Document all interventions in the patient’s clinical record.</w:t>
      </w:r>
    </w:p>
    <w:p w14:paraId="1AA92A9E" w14:textId="77777777" w:rsidR="00FA2BE1" w:rsidRPr="00EA3ED2" w:rsidRDefault="00FA2BE1" w:rsidP="00FA2BE1">
      <w:pPr>
        <w:numPr>
          <w:ilvl w:val="0"/>
          <w:numId w:val="30"/>
        </w:numPr>
        <w:rPr>
          <w:rFonts w:cs="Arial"/>
          <w:iCs/>
          <w:szCs w:val="24"/>
        </w:rPr>
      </w:pPr>
      <w:r w:rsidRPr="00EA3ED2">
        <w:rPr>
          <w:rFonts w:cs="Arial"/>
          <w:iCs/>
          <w:szCs w:val="24"/>
        </w:rPr>
        <w:t xml:space="preserve">Complete incident report via </w:t>
      </w:r>
      <w:proofErr w:type="spellStart"/>
      <w:r w:rsidRPr="00EA3ED2">
        <w:rPr>
          <w:rFonts w:cs="Arial"/>
          <w:iCs/>
          <w:szCs w:val="24"/>
        </w:rPr>
        <w:t>Riskman</w:t>
      </w:r>
      <w:proofErr w:type="spellEnd"/>
      <w:r w:rsidRPr="00EA3ED2">
        <w:rPr>
          <w:rFonts w:cs="Arial"/>
          <w:iCs/>
          <w:szCs w:val="24"/>
        </w:rPr>
        <w:t>.</w:t>
      </w:r>
    </w:p>
    <w:p w14:paraId="66D4B2E8" w14:textId="77777777" w:rsidR="00FA2BE1" w:rsidRPr="00EA3ED2" w:rsidRDefault="00FA2BE1" w:rsidP="00FA2BE1">
      <w:pPr>
        <w:numPr>
          <w:ilvl w:val="0"/>
          <w:numId w:val="30"/>
        </w:numPr>
        <w:rPr>
          <w:rFonts w:cs="Arial"/>
          <w:iCs/>
          <w:szCs w:val="24"/>
        </w:rPr>
      </w:pPr>
      <w:r w:rsidRPr="00EA3ED2">
        <w:rPr>
          <w:rFonts w:cs="Arial"/>
          <w:iCs/>
          <w:szCs w:val="24"/>
        </w:rPr>
        <w:t xml:space="preserve">Enter Alert into </w:t>
      </w:r>
      <w:r>
        <w:rPr>
          <w:rFonts w:cs="Arial"/>
          <w:iCs/>
          <w:szCs w:val="24"/>
        </w:rPr>
        <w:t>DHR</w:t>
      </w:r>
      <w:r w:rsidRPr="00EA3ED2">
        <w:rPr>
          <w:rFonts w:cs="Arial"/>
          <w:iCs/>
          <w:szCs w:val="24"/>
        </w:rPr>
        <w:t>.</w:t>
      </w:r>
    </w:p>
    <w:p w14:paraId="08E06160" w14:textId="77777777" w:rsidR="00FA2BE1" w:rsidRPr="00EA3ED2" w:rsidRDefault="00FA2BE1" w:rsidP="00FA2BE1">
      <w:pPr>
        <w:numPr>
          <w:ilvl w:val="0"/>
          <w:numId w:val="30"/>
        </w:numPr>
        <w:rPr>
          <w:rFonts w:cs="Arial"/>
          <w:iCs/>
          <w:szCs w:val="24"/>
        </w:rPr>
      </w:pPr>
      <w:r w:rsidRPr="00EA3ED2">
        <w:rPr>
          <w:rFonts w:cs="Arial"/>
          <w:iCs/>
          <w:szCs w:val="24"/>
        </w:rPr>
        <w:t>Report to the Podiatry Manager within 24 hours.</w:t>
      </w:r>
    </w:p>
    <w:p w14:paraId="2304535A" w14:textId="77777777" w:rsidR="00FA2BE1" w:rsidRDefault="00FA2BE1" w:rsidP="00FA2BE1">
      <w:pPr>
        <w:rPr>
          <w:rFonts w:cs="Arial"/>
          <w:b/>
          <w:szCs w:val="24"/>
        </w:rPr>
      </w:pPr>
    </w:p>
    <w:p w14:paraId="77FE755D" w14:textId="77777777" w:rsidR="00FA2BE1" w:rsidRDefault="00FA2BE1" w:rsidP="00FA2BE1">
      <w:pPr>
        <w:jc w:val="right"/>
        <w:rPr>
          <w:rStyle w:val="Hyperlink"/>
          <w:rFonts w:eastAsiaTheme="majorEastAsia" w:cs="Arial"/>
          <w:i/>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518F2C6F" w14:textId="77777777" w:rsidTr="00841616">
        <w:trPr>
          <w:cantSplit/>
          <w:trHeight w:val="285"/>
        </w:trPr>
        <w:tc>
          <w:tcPr>
            <w:tcW w:w="9158" w:type="dxa"/>
            <w:shd w:val="clear" w:color="auto" w:fill="D9D9D9" w:themeFill="background1" w:themeFillShade="D9"/>
          </w:tcPr>
          <w:p w14:paraId="77E97089" w14:textId="77777777" w:rsidR="00FA2BE1" w:rsidRPr="00CD1C0E" w:rsidRDefault="00FA2BE1" w:rsidP="00841616">
            <w:pPr>
              <w:pStyle w:val="Heading1"/>
            </w:pPr>
            <w:bookmarkStart w:id="80" w:name="_Toc164338507"/>
            <w:r>
              <w:t>Evaluation</w:t>
            </w:r>
            <w:bookmarkEnd w:id="80"/>
            <w:r>
              <w:t xml:space="preserve"> </w:t>
            </w:r>
          </w:p>
        </w:tc>
      </w:tr>
    </w:tbl>
    <w:p w14:paraId="7CA8711E" w14:textId="77777777" w:rsidR="00FA2BE1" w:rsidRDefault="00FA2BE1" w:rsidP="00FA2BE1">
      <w:pPr>
        <w:pStyle w:val="Default"/>
        <w:rPr>
          <w:rFonts w:ascii="Calibri" w:hAnsi="Calibri"/>
        </w:rPr>
      </w:pPr>
    </w:p>
    <w:p w14:paraId="65088116" w14:textId="77777777" w:rsidR="00FA2BE1" w:rsidRDefault="00FA2BE1" w:rsidP="00FA2BE1">
      <w:pPr>
        <w:pStyle w:val="Default"/>
        <w:rPr>
          <w:rFonts w:ascii="Calibri" w:hAnsi="Calibri" w:cs="Arial"/>
          <w:b/>
          <w:bCs/>
          <w:iCs/>
          <w:color w:val="auto"/>
          <w:lang w:eastAsia="en-US"/>
        </w:rPr>
      </w:pPr>
      <w:r>
        <w:rPr>
          <w:rFonts w:ascii="Calibri" w:hAnsi="Calibri" w:cs="Arial"/>
          <w:b/>
          <w:bCs/>
          <w:iCs/>
          <w:color w:val="auto"/>
          <w:lang w:eastAsia="en-US"/>
        </w:rPr>
        <w:t>Outcome</w:t>
      </w:r>
    </w:p>
    <w:p w14:paraId="124D0622" w14:textId="77777777" w:rsidR="00FA2BE1" w:rsidRPr="00EA3ED2" w:rsidRDefault="00FA2BE1" w:rsidP="00FA2BE1">
      <w:pPr>
        <w:pStyle w:val="Default"/>
        <w:rPr>
          <w:rFonts w:ascii="Calibri" w:hAnsi="Calibri" w:cs="Arial"/>
          <w:iCs/>
          <w:color w:val="auto"/>
          <w:lang w:eastAsia="en-US"/>
        </w:rPr>
      </w:pPr>
      <w:r w:rsidRPr="00EA3ED2">
        <w:rPr>
          <w:rFonts w:ascii="Calibri" w:hAnsi="Calibri" w:cs="Arial"/>
          <w:iCs/>
          <w:color w:val="auto"/>
          <w:lang w:eastAsia="en-US"/>
        </w:rPr>
        <w:t>No adverse events or near misses arising from management of anaphylaxis, and staff are aware of their responsibilities.</w:t>
      </w:r>
    </w:p>
    <w:p w14:paraId="2FF0F15D" w14:textId="77777777" w:rsidR="00FA2BE1" w:rsidRDefault="00FA2BE1" w:rsidP="00FA2BE1">
      <w:pPr>
        <w:pStyle w:val="Default"/>
        <w:rPr>
          <w:rFonts w:ascii="Calibri" w:hAnsi="Calibri" w:cs="Arial"/>
          <w:b/>
          <w:bCs/>
          <w:iCs/>
          <w:color w:val="auto"/>
          <w:lang w:eastAsia="en-US"/>
        </w:rPr>
      </w:pPr>
    </w:p>
    <w:p w14:paraId="49683A4D" w14:textId="77777777" w:rsidR="00FA2BE1" w:rsidRDefault="00FA2BE1" w:rsidP="00FA2BE1">
      <w:pPr>
        <w:pStyle w:val="Default"/>
        <w:rPr>
          <w:rFonts w:ascii="Calibri" w:hAnsi="Calibri" w:cs="Arial"/>
          <w:b/>
          <w:bCs/>
          <w:iCs/>
          <w:color w:val="auto"/>
          <w:lang w:eastAsia="en-US"/>
        </w:rPr>
      </w:pPr>
      <w:r>
        <w:rPr>
          <w:rFonts w:ascii="Calibri" w:hAnsi="Calibri" w:cs="Arial"/>
          <w:b/>
          <w:bCs/>
          <w:iCs/>
          <w:color w:val="auto"/>
          <w:lang w:eastAsia="en-US"/>
        </w:rPr>
        <w:t>Measures</w:t>
      </w:r>
    </w:p>
    <w:p w14:paraId="3E917AAF" w14:textId="77777777" w:rsidR="00FA2BE1" w:rsidRPr="00EA3ED2" w:rsidRDefault="00FA2BE1" w:rsidP="00FA2BE1">
      <w:pPr>
        <w:rPr>
          <w:szCs w:val="24"/>
        </w:rPr>
      </w:pPr>
      <w:r w:rsidRPr="00EA3ED2">
        <w:rPr>
          <w:szCs w:val="24"/>
        </w:rPr>
        <w:t>This document is evaluated through</w:t>
      </w:r>
      <w:r>
        <w:rPr>
          <w:szCs w:val="24"/>
        </w:rPr>
        <w:t xml:space="preserve"> review of</w:t>
      </w:r>
      <w:r w:rsidRPr="00EA3ED2">
        <w:rPr>
          <w:szCs w:val="24"/>
        </w:rPr>
        <w:t xml:space="preserve"> </w:t>
      </w:r>
      <w:r>
        <w:rPr>
          <w:szCs w:val="24"/>
        </w:rPr>
        <w:t xml:space="preserve">clinical incident </w:t>
      </w:r>
      <w:proofErr w:type="spellStart"/>
      <w:r w:rsidRPr="00EA3ED2">
        <w:rPr>
          <w:szCs w:val="24"/>
        </w:rPr>
        <w:t>Riskman</w:t>
      </w:r>
      <w:proofErr w:type="spellEnd"/>
      <w:r w:rsidRPr="00EA3ED2">
        <w:rPr>
          <w:szCs w:val="24"/>
        </w:rPr>
        <w:t xml:space="preserve"> </w:t>
      </w:r>
      <w:r>
        <w:rPr>
          <w:szCs w:val="24"/>
        </w:rPr>
        <w:t>report</w:t>
      </w:r>
      <w:r w:rsidRPr="00EA3ED2">
        <w:rPr>
          <w:szCs w:val="24"/>
        </w:rPr>
        <w:t xml:space="preserve"> and audits of anaphylaxis management in various clinical locations.</w:t>
      </w:r>
    </w:p>
    <w:p w14:paraId="6E1C55D3" w14:textId="77777777" w:rsidR="00FA2BE1" w:rsidRPr="00EA3ED2" w:rsidRDefault="00FA2BE1" w:rsidP="00FA2BE1">
      <w:pPr>
        <w:rPr>
          <w:szCs w:val="24"/>
        </w:rPr>
      </w:pPr>
    </w:p>
    <w:p w14:paraId="50158014" w14:textId="77777777" w:rsidR="00FA2BE1" w:rsidRDefault="00FA2BE1" w:rsidP="00FA2BE1">
      <w:pPr>
        <w:jc w:val="right"/>
      </w:pPr>
      <w:hyperlink r:id="rId20" w:anchor="Contents" w:history="1">
        <w:r>
          <w:rPr>
            <w:rStyle w:val="Hyperlink"/>
            <w:rFonts w:eastAsiaTheme="majorEastAsia"/>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0C589C3D" w14:textId="77777777" w:rsidTr="00841616">
        <w:trPr>
          <w:cantSplit/>
          <w:trHeight w:val="285"/>
        </w:trPr>
        <w:tc>
          <w:tcPr>
            <w:tcW w:w="9158" w:type="dxa"/>
            <w:shd w:val="clear" w:color="auto" w:fill="D9D9D9" w:themeFill="background1" w:themeFillShade="D9"/>
          </w:tcPr>
          <w:p w14:paraId="63DF65FE" w14:textId="77777777" w:rsidR="00FA2BE1" w:rsidRPr="00CD1C0E" w:rsidRDefault="00FA2BE1" w:rsidP="00841616">
            <w:pPr>
              <w:pStyle w:val="Heading1"/>
            </w:pPr>
            <w:bookmarkStart w:id="81" w:name="_Toc389473287"/>
            <w:bookmarkStart w:id="82" w:name="_Toc393203347"/>
            <w:bookmarkStart w:id="83" w:name="_Toc164338508"/>
            <w:r>
              <w:t>Related Policies, Procedures</w:t>
            </w:r>
            <w:bookmarkEnd w:id="81"/>
            <w:r>
              <w:t>, Guidelines and Legislation</w:t>
            </w:r>
            <w:bookmarkEnd w:id="82"/>
            <w:bookmarkEnd w:id="83"/>
          </w:p>
        </w:tc>
      </w:tr>
    </w:tbl>
    <w:p w14:paraId="3E6E9744" w14:textId="77777777" w:rsidR="00FA2BE1" w:rsidRPr="00EA3ED2" w:rsidRDefault="00FA2BE1" w:rsidP="00FA2BE1">
      <w:pPr>
        <w:rPr>
          <w:iCs/>
          <w:szCs w:val="24"/>
        </w:rPr>
      </w:pPr>
    </w:p>
    <w:p w14:paraId="33ADF401" w14:textId="77777777" w:rsidR="00FA2BE1" w:rsidRPr="00EA3ED2" w:rsidRDefault="00FA2BE1" w:rsidP="00FA2BE1">
      <w:pPr>
        <w:rPr>
          <w:b/>
          <w:bCs/>
          <w:iCs/>
          <w:szCs w:val="24"/>
        </w:rPr>
      </w:pPr>
      <w:bookmarkStart w:id="84" w:name="_Toc105499983"/>
      <w:bookmarkStart w:id="85" w:name="_Toc106977861"/>
      <w:bookmarkStart w:id="86" w:name="_Toc106978002"/>
      <w:r w:rsidRPr="00EA3ED2">
        <w:rPr>
          <w:b/>
          <w:bCs/>
          <w:iCs/>
          <w:szCs w:val="24"/>
        </w:rPr>
        <w:t>Medication Standing Order</w:t>
      </w:r>
      <w:bookmarkEnd w:id="84"/>
      <w:bookmarkEnd w:id="85"/>
      <w:bookmarkEnd w:id="86"/>
    </w:p>
    <w:p w14:paraId="33769E36" w14:textId="77777777" w:rsidR="00FA2BE1" w:rsidRPr="00EA3ED2" w:rsidRDefault="00FA2BE1" w:rsidP="00FA2BE1">
      <w:pPr>
        <w:numPr>
          <w:ilvl w:val="0"/>
          <w:numId w:val="13"/>
        </w:numPr>
        <w:rPr>
          <w:iCs/>
          <w:szCs w:val="24"/>
        </w:rPr>
      </w:pPr>
      <w:r w:rsidRPr="00EA3ED2">
        <w:rPr>
          <w:iCs/>
          <w:szCs w:val="24"/>
        </w:rPr>
        <w:t xml:space="preserve">Adrenaline </w:t>
      </w:r>
      <w:r>
        <w:rPr>
          <w:iCs/>
          <w:szCs w:val="24"/>
        </w:rPr>
        <w:t>Medication S</w:t>
      </w:r>
      <w:r w:rsidRPr="00EA3ED2">
        <w:rPr>
          <w:iCs/>
          <w:szCs w:val="24"/>
        </w:rPr>
        <w:t xml:space="preserve">tanding </w:t>
      </w:r>
      <w:r>
        <w:rPr>
          <w:iCs/>
          <w:szCs w:val="24"/>
        </w:rPr>
        <w:t>O</w:t>
      </w:r>
      <w:r w:rsidRPr="00EA3ED2">
        <w:rPr>
          <w:iCs/>
          <w:szCs w:val="24"/>
        </w:rPr>
        <w:t>rder</w:t>
      </w:r>
    </w:p>
    <w:p w14:paraId="68A03AE8" w14:textId="77777777" w:rsidR="00FA2BE1" w:rsidRPr="00EA3ED2" w:rsidRDefault="00FA2BE1" w:rsidP="00FA2BE1">
      <w:pPr>
        <w:rPr>
          <w:i/>
          <w:szCs w:val="24"/>
        </w:rPr>
      </w:pPr>
    </w:p>
    <w:p w14:paraId="6600C672" w14:textId="77777777" w:rsidR="00FA2BE1" w:rsidRPr="00EA3ED2" w:rsidRDefault="00FA2BE1" w:rsidP="00FA2BE1">
      <w:pPr>
        <w:rPr>
          <w:b/>
          <w:bCs/>
          <w:iCs/>
          <w:szCs w:val="24"/>
        </w:rPr>
      </w:pPr>
      <w:bookmarkStart w:id="87" w:name="_Toc105499984"/>
      <w:bookmarkStart w:id="88" w:name="_Toc106977862"/>
      <w:bookmarkStart w:id="89" w:name="_Toc106978003"/>
      <w:r w:rsidRPr="00EA3ED2">
        <w:rPr>
          <w:b/>
          <w:bCs/>
          <w:iCs/>
          <w:szCs w:val="24"/>
        </w:rPr>
        <w:t>Strategies</w:t>
      </w:r>
      <w:bookmarkEnd w:id="87"/>
      <w:bookmarkEnd w:id="88"/>
      <w:bookmarkEnd w:id="89"/>
    </w:p>
    <w:p w14:paraId="46CA0065" w14:textId="77777777" w:rsidR="00FA2BE1" w:rsidRPr="00EA3ED2" w:rsidRDefault="00FA2BE1" w:rsidP="00FA2BE1">
      <w:pPr>
        <w:rPr>
          <w:iCs/>
          <w:szCs w:val="24"/>
        </w:rPr>
      </w:pPr>
      <w:r w:rsidRPr="00EA3ED2">
        <w:rPr>
          <w:iCs/>
          <w:szCs w:val="24"/>
        </w:rPr>
        <w:t xml:space="preserve">CHS Work Health Safety Strategy 2018-2022 </w:t>
      </w:r>
      <w:hyperlink r:id="rId21" w:history="1">
        <w:r w:rsidRPr="00EA3ED2">
          <w:rPr>
            <w:rStyle w:val="Hyperlink"/>
            <w:iCs/>
            <w:szCs w:val="24"/>
          </w:rPr>
          <w:t>https://healthhub.act.gov.au/news/chs-work-</w:t>
        </w:r>
      </w:hyperlink>
      <w:r w:rsidRPr="00EA3ED2">
        <w:rPr>
          <w:iCs/>
          <w:szCs w:val="24"/>
        </w:rPr>
        <w:t xml:space="preserve"> </w:t>
      </w:r>
      <w:hyperlink r:id="rId22" w:history="1">
        <w:r w:rsidRPr="00EA3ED2">
          <w:rPr>
            <w:rStyle w:val="Hyperlink"/>
            <w:iCs/>
            <w:szCs w:val="24"/>
          </w:rPr>
          <w:t>health-safety-strategy-2018-2022</w:t>
        </w:r>
      </w:hyperlink>
    </w:p>
    <w:p w14:paraId="4E7DFBA1" w14:textId="77777777" w:rsidR="00FA2BE1" w:rsidRPr="00EA3ED2" w:rsidRDefault="00FA2BE1" w:rsidP="00FA2BE1">
      <w:pPr>
        <w:rPr>
          <w:iCs/>
          <w:szCs w:val="24"/>
        </w:rPr>
      </w:pPr>
    </w:p>
    <w:p w14:paraId="522B40A1" w14:textId="77777777" w:rsidR="00FA2BE1" w:rsidRPr="00EA3ED2" w:rsidRDefault="00FA2BE1" w:rsidP="00FA2BE1">
      <w:pPr>
        <w:rPr>
          <w:b/>
          <w:bCs/>
          <w:iCs/>
          <w:szCs w:val="24"/>
        </w:rPr>
      </w:pPr>
      <w:bookmarkStart w:id="90" w:name="_Toc105499985"/>
      <w:bookmarkStart w:id="91" w:name="_Toc106977863"/>
      <w:bookmarkStart w:id="92" w:name="_Toc106978004"/>
      <w:r w:rsidRPr="00EA3ED2">
        <w:rPr>
          <w:b/>
          <w:bCs/>
          <w:iCs/>
          <w:szCs w:val="24"/>
        </w:rPr>
        <w:t>Policies</w:t>
      </w:r>
      <w:bookmarkEnd w:id="90"/>
      <w:bookmarkEnd w:id="91"/>
      <w:bookmarkEnd w:id="92"/>
    </w:p>
    <w:p w14:paraId="605B44F7" w14:textId="77777777" w:rsidR="00FA2BE1" w:rsidRPr="00EA3ED2" w:rsidRDefault="00FA2BE1" w:rsidP="00FA2BE1">
      <w:pPr>
        <w:numPr>
          <w:ilvl w:val="0"/>
          <w:numId w:val="13"/>
        </w:numPr>
        <w:rPr>
          <w:iCs/>
          <w:szCs w:val="24"/>
        </w:rPr>
      </w:pPr>
      <w:r w:rsidRPr="00EA3ED2">
        <w:rPr>
          <w:iCs/>
          <w:szCs w:val="24"/>
        </w:rPr>
        <w:t xml:space="preserve">Medication Handling </w:t>
      </w:r>
    </w:p>
    <w:p w14:paraId="2871A7D3" w14:textId="77777777" w:rsidR="00FA2BE1" w:rsidRPr="00EA3ED2" w:rsidRDefault="00FA2BE1" w:rsidP="00FA2BE1">
      <w:pPr>
        <w:numPr>
          <w:ilvl w:val="0"/>
          <w:numId w:val="13"/>
        </w:numPr>
        <w:rPr>
          <w:iCs/>
          <w:szCs w:val="24"/>
        </w:rPr>
      </w:pPr>
      <w:r w:rsidRPr="00EA3ED2">
        <w:rPr>
          <w:iCs/>
          <w:szCs w:val="24"/>
        </w:rPr>
        <w:t xml:space="preserve">Nursing &amp; Midwifery </w:t>
      </w:r>
      <w:r>
        <w:rPr>
          <w:iCs/>
          <w:szCs w:val="24"/>
        </w:rPr>
        <w:t>Board of Australia (NMBA) Requirements for Practice</w:t>
      </w:r>
    </w:p>
    <w:p w14:paraId="2B40194D" w14:textId="77777777" w:rsidR="00FA2BE1" w:rsidRPr="00EA3ED2" w:rsidRDefault="00FA2BE1" w:rsidP="00FA2BE1">
      <w:pPr>
        <w:numPr>
          <w:ilvl w:val="0"/>
          <w:numId w:val="13"/>
        </w:numPr>
        <w:rPr>
          <w:iCs/>
          <w:szCs w:val="24"/>
        </w:rPr>
      </w:pPr>
      <w:r w:rsidRPr="00EA3ED2">
        <w:rPr>
          <w:iCs/>
          <w:szCs w:val="24"/>
        </w:rPr>
        <w:t xml:space="preserve">Work Health and Safety </w:t>
      </w:r>
    </w:p>
    <w:p w14:paraId="55177C08" w14:textId="77777777" w:rsidR="00FA2BE1" w:rsidRDefault="00FA2BE1" w:rsidP="00FA2BE1">
      <w:pPr>
        <w:numPr>
          <w:ilvl w:val="0"/>
          <w:numId w:val="13"/>
        </w:numPr>
        <w:rPr>
          <w:iCs/>
          <w:szCs w:val="24"/>
        </w:rPr>
      </w:pPr>
      <w:r w:rsidRPr="00EA3ED2">
        <w:rPr>
          <w:iCs/>
          <w:szCs w:val="24"/>
        </w:rPr>
        <w:t>Incident Management</w:t>
      </w:r>
      <w:r>
        <w:rPr>
          <w:iCs/>
          <w:szCs w:val="24"/>
        </w:rPr>
        <w:t xml:space="preserve"> - clinical</w:t>
      </w:r>
    </w:p>
    <w:p w14:paraId="00FE2FAD" w14:textId="77777777" w:rsidR="00FA2BE1" w:rsidRPr="00EA3ED2" w:rsidRDefault="00FA2BE1" w:rsidP="00FA2BE1">
      <w:pPr>
        <w:ind w:left="139"/>
        <w:rPr>
          <w:iCs/>
          <w:szCs w:val="24"/>
        </w:rPr>
      </w:pPr>
    </w:p>
    <w:p w14:paraId="3277C17C" w14:textId="77777777" w:rsidR="00FA2BE1" w:rsidRPr="00EA3ED2" w:rsidRDefault="00FA2BE1" w:rsidP="00FA2BE1">
      <w:pPr>
        <w:rPr>
          <w:b/>
          <w:bCs/>
          <w:iCs/>
          <w:szCs w:val="24"/>
        </w:rPr>
      </w:pPr>
      <w:bookmarkStart w:id="93" w:name="_Toc105499986"/>
      <w:bookmarkStart w:id="94" w:name="_Toc106977864"/>
      <w:bookmarkStart w:id="95" w:name="_Toc106978005"/>
      <w:r w:rsidRPr="00EA3ED2">
        <w:rPr>
          <w:b/>
          <w:bCs/>
          <w:iCs/>
          <w:szCs w:val="24"/>
        </w:rPr>
        <w:t>Procedures</w:t>
      </w:r>
      <w:bookmarkEnd w:id="93"/>
      <w:bookmarkEnd w:id="94"/>
      <w:bookmarkEnd w:id="95"/>
    </w:p>
    <w:p w14:paraId="37469062" w14:textId="77777777" w:rsidR="00FA2BE1" w:rsidRPr="0089599A" w:rsidRDefault="00FA2BE1" w:rsidP="00FA2BE1">
      <w:pPr>
        <w:numPr>
          <w:ilvl w:val="0"/>
          <w:numId w:val="13"/>
        </w:numPr>
        <w:rPr>
          <w:iCs/>
          <w:szCs w:val="24"/>
        </w:rPr>
      </w:pPr>
      <w:r w:rsidRPr="00EA3ED2">
        <w:rPr>
          <w:iCs/>
          <w:szCs w:val="24"/>
        </w:rPr>
        <w:t xml:space="preserve">Immunisation Service Delivery in Schools and Child Health Clinics </w:t>
      </w:r>
    </w:p>
    <w:p w14:paraId="291DD8E1" w14:textId="77777777" w:rsidR="00FA2BE1" w:rsidRPr="00EA3ED2" w:rsidRDefault="00FA2BE1" w:rsidP="00FA2BE1">
      <w:pPr>
        <w:numPr>
          <w:ilvl w:val="0"/>
          <w:numId w:val="13"/>
        </w:numPr>
        <w:rPr>
          <w:iCs/>
          <w:szCs w:val="24"/>
        </w:rPr>
      </w:pPr>
      <w:r w:rsidRPr="00EA3ED2">
        <w:rPr>
          <w:iCs/>
          <w:szCs w:val="24"/>
        </w:rPr>
        <w:t xml:space="preserve"> Oral Food Challenge Testing </w:t>
      </w:r>
      <w:r>
        <w:rPr>
          <w:iCs/>
          <w:szCs w:val="24"/>
        </w:rPr>
        <w:t>(Infant, Child, Adolescent and Adult)</w:t>
      </w:r>
      <w:r w:rsidRPr="00EA3ED2">
        <w:rPr>
          <w:iCs/>
          <w:szCs w:val="24"/>
        </w:rPr>
        <w:t xml:space="preserve"> </w:t>
      </w:r>
    </w:p>
    <w:p w14:paraId="791606A7" w14:textId="77777777" w:rsidR="00FA2BE1" w:rsidRPr="00EA3ED2" w:rsidRDefault="00FA2BE1" w:rsidP="00FA2BE1">
      <w:pPr>
        <w:numPr>
          <w:ilvl w:val="0"/>
          <w:numId w:val="13"/>
        </w:numPr>
        <w:rPr>
          <w:iCs/>
          <w:szCs w:val="24"/>
        </w:rPr>
      </w:pPr>
      <w:r w:rsidRPr="00EA3ED2">
        <w:rPr>
          <w:iCs/>
          <w:szCs w:val="24"/>
        </w:rPr>
        <w:t xml:space="preserve">Clinical Handover </w:t>
      </w:r>
    </w:p>
    <w:p w14:paraId="5D0A297B" w14:textId="77777777" w:rsidR="00FA2BE1" w:rsidRPr="00EA3ED2" w:rsidRDefault="00FA2BE1" w:rsidP="00FA2BE1">
      <w:pPr>
        <w:numPr>
          <w:ilvl w:val="0"/>
          <w:numId w:val="13"/>
        </w:numPr>
        <w:rPr>
          <w:iCs/>
          <w:szCs w:val="24"/>
        </w:rPr>
      </w:pPr>
      <w:r w:rsidRPr="00EA3ED2">
        <w:rPr>
          <w:iCs/>
          <w:szCs w:val="24"/>
        </w:rPr>
        <w:t xml:space="preserve">Patient Identification and Procedure Matching </w:t>
      </w:r>
    </w:p>
    <w:p w14:paraId="69E6346A" w14:textId="77777777" w:rsidR="00FA2BE1" w:rsidRDefault="00FA2BE1" w:rsidP="00FA2BE1">
      <w:pPr>
        <w:numPr>
          <w:ilvl w:val="0"/>
          <w:numId w:val="13"/>
        </w:numPr>
        <w:rPr>
          <w:iCs/>
          <w:szCs w:val="24"/>
        </w:rPr>
      </w:pPr>
      <w:r w:rsidRPr="00EA3ED2">
        <w:rPr>
          <w:iCs/>
          <w:szCs w:val="24"/>
        </w:rPr>
        <w:t xml:space="preserve">Vital Signs &amp; Early Warning Scores </w:t>
      </w:r>
      <w:r>
        <w:rPr>
          <w:iCs/>
          <w:szCs w:val="24"/>
        </w:rPr>
        <w:t>– The Canberra Hospital Inpatient</w:t>
      </w:r>
    </w:p>
    <w:p w14:paraId="3F75B374" w14:textId="77777777" w:rsidR="00FA2BE1" w:rsidRDefault="00FA2BE1" w:rsidP="00FA2BE1">
      <w:pPr>
        <w:numPr>
          <w:ilvl w:val="0"/>
          <w:numId w:val="13"/>
        </w:numPr>
        <w:rPr>
          <w:iCs/>
          <w:szCs w:val="24"/>
        </w:rPr>
      </w:pPr>
      <w:r>
        <w:rPr>
          <w:iCs/>
          <w:szCs w:val="24"/>
        </w:rPr>
        <w:t xml:space="preserve">Vital Signs &amp; Early Warning Scores – North Canberra Hospital </w:t>
      </w:r>
    </w:p>
    <w:p w14:paraId="21724707" w14:textId="77777777" w:rsidR="00FA2BE1" w:rsidRDefault="00FA2BE1" w:rsidP="00FA2BE1">
      <w:pPr>
        <w:numPr>
          <w:ilvl w:val="0"/>
          <w:numId w:val="13"/>
        </w:numPr>
        <w:rPr>
          <w:iCs/>
          <w:szCs w:val="24"/>
        </w:rPr>
      </w:pPr>
      <w:r>
        <w:rPr>
          <w:iCs/>
          <w:szCs w:val="24"/>
        </w:rPr>
        <w:t xml:space="preserve">Vital Signs &amp; Early Warning Scores – University of Canberra Hospital </w:t>
      </w:r>
    </w:p>
    <w:p w14:paraId="381BA1DF" w14:textId="77777777" w:rsidR="00FA2BE1" w:rsidRPr="00EA3ED2" w:rsidRDefault="00FA2BE1" w:rsidP="00FA2BE1">
      <w:pPr>
        <w:numPr>
          <w:ilvl w:val="0"/>
          <w:numId w:val="13"/>
        </w:numPr>
        <w:rPr>
          <w:iCs/>
          <w:szCs w:val="24"/>
        </w:rPr>
      </w:pPr>
      <w:r>
        <w:rPr>
          <w:iCs/>
          <w:szCs w:val="24"/>
        </w:rPr>
        <w:t>NCH Medication Handling Procedure</w:t>
      </w:r>
    </w:p>
    <w:p w14:paraId="171DC90C" w14:textId="77777777" w:rsidR="00FA2BE1" w:rsidRDefault="00FA2BE1" w:rsidP="00FA2BE1">
      <w:pPr>
        <w:pStyle w:val="ListParagraph"/>
        <w:numPr>
          <w:ilvl w:val="0"/>
          <w:numId w:val="38"/>
        </w:numPr>
        <w:autoSpaceDE w:val="0"/>
        <w:autoSpaceDN w:val="0"/>
        <w:adjustRightInd w:val="0"/>
        <w:spacing w:line="276" w:lineRule="auto"/>
        <w:ind w:left="426" w:hanging="426"/>
        <w:contextualSpacing w:val="0"/>
      </w:pPr>
      <w:r w:rsidRPr="00EA3ED2">
        <w:rPr>
          <w:iCs/>
          <w:szCs w:val="24"/>
        </w:rPr>
        <w:t>Open Food Challenges, CHS Nutrition Department internal procedure, August 2009.</w:t>
      </w:r>
    </w:p>
    <w:p w14:paraId="6CB68D73" w14:textId="77777777" w:rsidR="00FA2BE1" w:rsidRPr="00BE2C96" w:rsidRDefault="00FA2BE1" w:rsidP="00FA2BE1">
      <w:pPr>
        <w:ind w:left="432"/>
        <w:rPr>
          <w:iCs/>
          <w:szCs w:val="24"/>
        </w:rPr>
      </w:pPr>
    </w:p>
    <w:p w14:paraId="325D688B" w14:textId="77777777" w:rsidR="00FA2BE1" w:rsidRPr="00EA3ED2" w:rsidRDefault="00FA2BE1" w:rsidP="00FA2BE1">
      <w:pPr>
        <w:rPr>
          <w:b/>
          <w:bCs/>
          <w:iCs/>
          <w:szCs w:val="24"/>
        </w:rPr>
      </w:pPr>
      <w:bookmarkStart w:id="96" w:name="_Toc105499988"/>
      <w:bookmarkStart w:id="97" w:name="_Toc106977866"/>
      <w:bookmarkStart w:id="98" w:name="_Toc106978007"/>
      <w:r w:rsidRPr="00EA3ED2">
        <w:rPr>
          <w:b/>
          <w:bCs/>
          <w:iCs/>
          <w:szCs w:val="24"/>
        </w:rPr>
        <w:t>Legislation</w:t>
      </w:r>
      <w:bookmarkEnd w:id="96"/>
      <w:bookmarkEnd w:id="97"/>
      <w:bookmarkEnd w:id="98"/>
    </w:p>
    <w:p w14:paraId="44806866" w14:textId="77777777" w:rsidR="00FA2BE1" w:rsidRPr="00431A70" w:rsidRDefault="00FA2BE1" w:rsidP="00FA2BE1">
      <w:pPr>
        <w:pStyle w:val="ListBullet"/>
        <w:rPr>
          <w:i/>
          <w:iCs/>
        </w:rPr>
      </w:pPr>
      <w:r w:rsidRPr="00431A70">
        <w:rPr>
          <w:i/>
          <w:iCs/>
        </w:rPr>
        <w:t>Health Practitioner Regulation National Law (ACT) Act 2010</w:t>
      </w:r>
    </w:p>
    <w:p w14:paraId="0D31EAF9" w14:textId="77777777" w:rsidR="00FA2BE1" w:rsidRPr="00431A70" w:rsidRDefault="00FA2BE1" w:rsidP="00FA2BE1">
      <w:pPr>
        <w:pStyle w:val="ListBullet"/>
        <w:rPr>
          <w:i/>
          <w:iCs/>
        </w:rPr>
      </w:pPr>
      <w:r w:rsidRPr="00431A70">
        <w:rPr>
          <w:i/>
          <w:iCs/>
        </w:rPr>
        <w:t>Medicines, Poisons and Therapeutic Goods Act 2008 and Regulations 2008</w:t>
      </w:r>
    </w:p>
    <w:p w14:paraId="4F1004BC" w14:textId="77777777" w:rsidR="00FA2BE1" w:rsidRPr="00431A70" w:rsidRDefault="00FA2BE1" w:rsidP="00FA2BE1">
      <w:pPr>
        <w:pStyle w:val="ListBullet"/>
        <w:rPr>
          <w:i/>
          <w:iCs/>
        </w:rPr>
      </w:pPr>
      <w:r w:rsidRPr="00431A70">
        <w:rPr>
          <w:i/>
          <w:iCs/>
        </w:rPr>
        <w:t>Corrections Management Act 2007</w:t>
      </w:r>
    </w:p>
    <w:p w14:paraId="34927591" w14:textId="77777777" w:rsidR="00FA2BE1" w:rsidRPr="00431A70" w:rsidRDefault="00FA2BE1" w:rsidP="00FA2BE1">
      <w:pPr>
        <w:pStyle w:val="ListBullet"/>
        <w:rPr>
          <w:i/>
          <w:iCs/>
        </w:rPr>
      </w:pPr>
      <w:r w:rsidRPr="00431A70">
        <w:rPr>
          <w:i/>
          <w:iCs/>
        </w:rPr>
        <w:t>Health Records (Privacy and Access) Act 1997</w:t>
      </w:r>
    </w:p>
    <w:p w14:paraId="71B50A46" w14:textId="77777777" w:rsidR="00FA2BE1" w:rsidRPr="00431A70" w:rsidRDefault="00FA2BE1" w:rsidP="00FA2BE1">
      <w:pPr>
        <w:pStyle w:val="ListBullet"/>
        <w:rPr>
          <w:i/>
          <w:iCs/>
        </w:rPr>
      </w:pPr>
      <w:r w:rsidRPr="00431A70">
        <w:rPr>
          <w:i/>
          <w:iCs/>
        </w:rPr>
        <w:t>Health Act 1993</w:t>
      </w:r>
    </w:p>
    <w:p w14:paraId="49580E06" w14:textId="77777777" w:rsidR="00FA2BE1" w:rsidRPr="00431A70" w:rsidRDefault="00FA2BE1" w:rsidP="00FA2BE1">
      <w:pPr>
        <w:pStyle w:val="ListBullet"/>
        <w:rPr>
          <w:i/>
          <w:iCs/>
        </w:rPr>
      </w:pPr>
      <w:r w:rsidRPr="00431A70">
        <w:rPr>
          <w:i/>
          <w:iCs/>
        </w:rPr>
        <w:t>Human Rights Act 2004</w:t>
      </w:r>
    </w:p>
    <w:p w14:paraId="521ED9EA" w14:textId="77777777" w:rsidR="00FA2BE1" w:rsidRPr="00431A70" w:rsidRDefault="00FA2BE1" w:rsidP="00FA2BE1">
      <w:pPr>
        <w:pStyle w:val="ListBullet"/>
        <w:rPr>
          <w:i/>
          <w:iCs/>
        </w:rPr>
      </w:pPr>
      <w:r w:rsidRPr="00431A70">
        <w:rPr>
          <w:i/>
          <w:iCs/>
        </w:rPr>
        <w:t>Privacy Act 1988</w:t>
      </w:r>
    </w:p>
    <w:p w14:paraId="049AC8C4" w14:textId="77777777" w:rsidR="00FA2BE1" w:rsidRPr="00431A70" w:rsidRDefault="00FA2BE1" w:rsidP="00FA2BE1">
      <w:pPr>
        <w:pStyle w:val="ListBullet"/>
        <w:rPr>
          <w:i/>
          <w:iCs/>
        </w:rPr>
      </w:pPr>
      <w:r w:rsidRPr="00431A70">
        <w:rPr>
          <w:i/>
          <w:iCs/>
        </w:rPr>
        <w:t>Public Health Act 1997</w:t>
      </w:r>
    </w:p>
    <w:p w14:paraId="4114CA1D" w14:textId="77777777" w:rsidR="00FA2BE1" w:rsidRPr="00431A70" w:rsidRDefault="00FA2BE1" w:rsidP="00FA2BE1">
      <w:pPr>
        <w:pStyle w:val="ListBullet"/>
        <w:rPr>
          <w:i/>
          <w:iCs/>
        </w:rPr>
      </w:pPr>
      <w:r w:rsidRPr="00431A70">
        <w:rPr>
          <w:i/>
          <w:iCs/>
        </w:rPr>
        <w:t>Public Sector Management Act 1994</w:t>
      </w:r>
    </w:p>
    <w:p w14:paraId="559A9C3E" w14:textId="77777777" w:rsidR="00FA2BE1" w:rsidRPr="00431A70" w:rsidRDefault="00FA2BE1" w:rsidP="00FA2BE1">
      <w:pPr>
        <w:pStyle w:val="ListBullet"/>
        <w:rPr>
          <w:i/>
          <w:iCs/>
        </w:rPr>
      </w:pPr>
      <w:r w:rsidRPr="00431A70">
        <w:rPr>
          <w:i/>
          <w:iCs/>
        </w:rPr>
        <w:t>Work Health and Safety Act 2011</w:t>
      </w:r>
    </w:p>
    <w:p w14:paraId="2768CAF8" w14:textId="77777777" w:rsidR="00FA2BE1" w:rsidRPr="00EA3ED2" w:rsidRDefault="00FA2BE1" w:rsidP="00FA2BE1">
      <w:pPr>
        <w:pStyle w:val="ListBullet"/>
      </w:pPr>
      <w:r w:rsidRPr="00431A70">
        <w:rPr>
          <w:i/>
          <w:iCs/>
        </w:rPr>
        <w:t>ACT Children and Young People</w:t>
      </w:r>
      <w:r>
        <w:rPr>
          <w:i/>
          <w:iCs/>
        </w:rPr>
        <w:t xml:space="preserve"> Act 2008</w:t>
      </w:r>
    </w:p>
    <w:p w14:paraId="7A3F5AC4" w14:textId="77777777" w:rsidR="00FA2BE1" w:rsidRPr="00EA3ED2" w:rsidRDefault="00FA2BE1" w:rsidP="00FA2BE1">
      <w:pPr>
        <w:rPr>
          <w:i/>
          <w:szCs w:val="24"/>
        </w:rPr>
      </w:pPr>
    </w:p>
    <w:p w14:paraId="6B8A06C3" w14:textId="77777777" w:rsidR="00FA2BE1" w:rsidRPr="00EA3ED2" w:rsidRDefault="00FA2BE1" w:rsidP="00FA2BE1">
      <w:pPr>
        <w:rPr>
          <w:b/>
          <w:bCs/>
          <w:i/>
          <w:szCs w:val="24"/>
        </w:rPr>
      </w:pPr>
      <w:bookmarkStart w:id="99" w:name="_Toc105499989"/>
      <w:bookmarkStart w:id="100" w:name="_Toc106977867"/>
      <w:bookmarkStart w:id="101" w:name="_Toc106978008"/>
      <w:r w:rsidRPr="00EA3ED2">
        <w:rPr>
          <w:b/>
          <w:bCs/>
          <w:i/>
          <w:szCs w:val="24"/>
        </w:rPr>
        <w:t>Standards</w:t>
      </w:r>
      <w:bookmarkEnd w:id="99"/>
      <w:bookmarkEnd w:id="100"/>
      <w:bookmarkEnd w:id="101"/>
    </w:p>
    <w:p w14:paraId="293266E5" w14:textId="77777777" w:rsidR="00FA2BE1" w:rsidRPr="00EA3ED2" w:rsidRDefault="00FA2BE1" w:rsidP="00FA2BE1">
      <w:pPr>
        <w:pStyle w:val="ListBullet"/>
      </w:pPr>
      <w:r w:rsidRPr="00EA3ED2">
        <w:t>National Medicines Policy and Quality Use of Medicines Framework</w:t>
      </w:r>
    </w:p>
    <w:p w14:paraId="0DA22301" w14:textId="77777777" w:rsidR="00FA2BE1" w:rsidRPr="00EA3ED2" w:rsidRDefault="00FA2BE1" w:rsidP="00FA2BE1">
      <w:pPr>
        <w:pStyle w:val="ListBullet"/>
      </w:pPr>
      <w:r w:rsidRPr="00EA3ED2">
        <w:t>Australian Commission on Safety and Quality in Healthcare (Medication Safety Standard)</w:t>
      </w:r>
    </w:p>
    <w:p w14:paraId="20259F9A" w14:textId="77777777" w:rsidR="00FA2BE1" w:rsidRPr="00EA3ED2" w:rsidRDefault="00FA2BE1" w:rsidP="00FA2BE1">
      <w:pPr>
        <w:pStyle w:val="ListBullet"/>
      </w:pPr>
      <w:r w:rsidRPr="00EA3ED2">
        <w:t>Code of conduct for registered health practitioners, Podiatry Board of Australia, March 2014</w:t>
      </w:r>
    </w:p>
    <w:p w14:paraId="5E68A04C" w14:textId="77777777" w:rsidR="00FA2BE1" w:rsidRPr="00EA3ED2" w:rsidRDefault="00FA2BE1" w:rsidP="00FA2BE1">
      <w:pPr>
        <w:pStyle w:val="ListBullet"/>
      </w:pPr>
      <w:r w:rsidRPr="00EA3ED2">
        <w:t>Podiatry Competency Standards for Australia and New Zealand August 2009</w:t>
      </w:r>
    </w:p>
    <w:p w14:paraId="6EDA7D24" w14:textId="77777777" w:rsidR="00FA2BE1" w:rsidRPr="00EA3ED2" w:rsidRDefault="00FA2BE1" w:rsidP="00FA2BE1">
      <w:pPr>
        <w:pStyle w:val="ListBullet"/>
      </w:pPr>
      <w:r w:rsidRPr="00EA3ED2">
        <w:t>ACT Standards for Adult Correctional Services, Canberra.</w:t>
      </w:r>
    </w:p>
    <w:p w14:paraId="4EFFBFBE" w14:textId="77777777" w:rsidR="00FA2BE1" w:rsidRPr="00EA3ED2" w:rsidRDefault="00FA2BE1" w:rsidP="00FA2BE1">
      <w:pPr>
        <w:rPr>
          <w:i/>
          <w:szCs w:val="24"/>
        </w:rPr>
      </w:pPr>
    </w:p>
    <w:p w14:paraId="446BCAFE" w14:textId="77777777" w:rsidR="00FA2BE1" w:rsidRPr="00EA3ED2" w:rsidRDefault="00FA2BE1" w:rsidP="00FA2BE1">
      <w:pPr>
        <w:rPr>
          <w:b/>
          <w:bCs/>
          <w:i/>
          <w:szCs w:val="24"/>
        </w:rPr>
      </w:pPr>
      <w:bookmarkStart w:id="102" w:name="_Toc105499990"/>
      <w:bookmarkStart w:id="103" w:name="_Toc106977868"/>
      <w:bookmarkStart w:id="104" w:name="_Toc106978009"/>
      <w:r w:rsidRPr="00EA3ED2">
        <w:rPr>
          <w:b/>
          <w:bCs/>
          <w:i/>
          <w:szCs w:val="24"/>
        </w:rPr>
        <w:t>Competency</w:t>
      </w:r>
      <w:bookmarkEnd w:id="102"/>
      <w:bookmarkEnd w:id="103"/>
      <w:bookmarkEnd w:id="104"/>
    </w:p>
    <w:p w14:paraId="76574C7C" w14:textId="77777777" w:rsidR="00FA2BE1" w:rsidRPr="00EA3ED2" w:rsidRDefault="00FA2BE1" w:rsidP="00FA2BE1">
      <w:pPr>
        <w:pStyle w:val="ListBullet"/>
      </w:pPr>
      <w:r w:rsidRPr="00EA3ED2">
        <w:t>Registration with the Podiatry Board of Australia</w:t>
      </w:r>
    </w:p>
    <w:p w14:paraId="0E1E2590" w14:textId="77777777" w:rsidR="00FA2BE1" w:rsidRPr="00EA3ED2" w:rsidRDefault="00FA2BE1" w:rsidP="00FA2BE1">
      <w:pPr>
        <w:pStyle w:val="ListBullet"/>
      </w:pPr>
      <w:r w:rsidRPr="00EA3ED2">
        <w:t>Current First Aid Certificate as per the Podiatry Board of Australia requirements</w:t>
      </w:r>
    </w:p>
    <w:p w14:paraId="3593CA2C" w14:textId="77777777" w:rsidR="00FA2BE1" w:rsidRPr="00EA3ED2" w:rsidRDefault="00FA2BE1" w:rsidP="00FA2BE1">
      <w:pPr>
        <w:pStyle w:val="ListBullet"/>
      </w:pPr>
      <w:r w:rsidRPr="00EA3ED2">
        <w:t>AHPRA registration with appropriate regulatory authorities.</w:t>
      </w:r>
    </w:p>
    <w:p w14:paraId="01BFD10E" w14:textId="77777777" w:rsidR="00FA2BE1" w:rsidRDefault="00FA2BE1" w:rsidP="00FA2BE1">
      <w:pPr>
        <w:rPr>
          <w:b/>
        </w:rPr>
      </w:pPr>
    </w:p>
    <w:p w14:paraId="36C3BC1C" w14:textId="77777777" w:rsidR="00FA2BE1" w:rsidRDefault="00FA2BE1" w:rsidP="00FA2BE1">
      <w:pPr>
        <w:rPr>
          <w:b/>
        </w:rPr>
      </w:pPr>
      <w:r w:rsidRPr="00752315">
        <w:rPr>
          <w:b/>
        </w:rPr>
        <w:lastRenderedPageBreak/>
        <w:t>Other</w:t>
      </w:r>
    </w:p>
    <w:p w14:paraId="0E145698" w14:textId="77777777" w:rsidR="00FA2BE1" w:rsidRDefault="00FA2BE1" w:rsidP="00FA2BE1">
      <w:pPr>
        <w:pStyle w:val="ListBullet"/>
      </w:pPr>
      <w:r w:rsidRPr="00DD0346">
        <w:t>Australian Charter of Healthcare Rights</w:t>
      </w:r>
    </w:p>
    <w:p w14:paraId="3D4AB639" w14:textId="77777777" w:rsidR="00FA2BE1" w:rsidRPr="00DD0346" w:rsidRDefault="00FA2BE1" w:rsidP="00FA2BE1">
      <w:pPr>
        <w:pStyle w:val="ListBullet"/>
        <w:numPr>
          <w:ilvl w:val="0"/>
          <w:numId w:val="0"/>
        </w:numPr>
      </w:pPr>
    </w:p>
    <w:p w14:paraId="763D7A9A" w14:textId="77777777" w:rsidR="00FA2BE1" w:rsidRPr="00D963F9" w:rsidRDefault="00FA2BE1" w:rsidP="00FA2BE1">
      <w:pPr>
        <w:pStyle w:val="ListParagraph"/>
        <w:jc w:val="right"/>
        <w:rPr>
          <w:rFonts w:eastAsiaTheme="majorEastAsia" w:cs="Arial"/>
          <w:i/>
          <w:color w:val="0000FF"/>
          <w:szCs w:val="24"/>
          <w:u w:val="single"/>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1B2BAC" w14:paraId="0ECD9064" w14:textId="77777777" w:rsidTr="00841616">
        <w:trPr>
          <w:cantSplit/>
          <w:trHeight w:val="285"/>
        </w:trPr>
        <w:tc>
          <w:tcPr>
            <w:tcW w:w="9158" w:type="dxa"/>
            <w:shd w:val="clear" w:color="auto" w:fill="D9D9D9" w:themeFill="background1" w:themeFillShade="D9"/>
          </w:tcPr>
          <w:p w14:paraId="2F95543E" w14:textId="77777777" w:rsidR="00FA2BE1" w:rsidRPr="002E3BFE" w:rsidRDefault="00FA2BE1" w:rsidP="00841616">
            <w:pPr>
              <w:pStyle w:val="Heading1"/>
              <w:rPr>
                <w:szCs w:val="24"/>
              </w:rPr>
            </w:pPr>
            <w:bookmarkStart w:id="105" w:name="_Toc164338509"/>
            <w:r>
              <w:rPr>
                <w:szCs w:val="24"/>
              </w:rPr>
              <w:t>References</w:t>
            </w:r>
            <w:bookmarkEnd w:id="105"/>
          </w:p>
        </w:tc>
      </w:tr>
    </w:tbl>
    <w:p w14:paraId="7F28F2D6" w14:textId="77777777" w:rsidR="00FA2BE1" w:rsidRDefault="00FA2BE1" w:rsidP="00FA2BE1">
      <w:pPr>
        <w:jc w:val="both"/>
        <w:rPr>
          <w:rFonts w:cs="Arial"/>
          <w:b/>
          <w:szCs w:val="24"/>
        </w:rPr>
      </w:pPr>
    </w:p>
    <w:p w14:paraId="60F909E1" w14:textId="77777777" w:rsidR="00FA2BE1" w:rsidRPr="00431A70" w:rsidRDefault="00FA2BE1" w:rsidP="00FA2BE1">
      <w:pPr>
        <w:numPr>
          <w:ilvl w:val="0"/>
          <w:numId w:val="32"/>
        </w:numPr>
        <w:rPr>
          <w:rFonts w:cs="Arial"/>
          <w:iCs/>
          <w:szCs w:val="22"/>
          <w:lang w:eastAsia="en-AU"/>
        </w:rPr>
      </w:pPr>
      <w:r w:rsidRPr="00431A70">
        <w:rPr>
          <w:rFonts w:cs="Arial"/>
          <w:iCs/>
          <w:szCs w:val="22"/>
          <w:lang w:eastAsia="en-AU"/>
        </w:rPr>
        <w:t xml:space="preserve">Ellis AK and Day JH. Diagnosis and management of anaphylaxis. CMAJ 2003;169(4):307- 312. </w:t>
      </w:r>
      <w:hyperlink r:id="rId23" w:history="1">
        <w:r w:rsidRPr="00431A70">
          <w:rPr>
            <w:rStyle w:val="Hyperlink"/>
            <w:rFonts w:cs="Arial"/>
            <w:iCs/>
            <w:szCs w:val="22"/>
            <w:lang w:eastAsia="en-AU"/>
          </w:rPr>
          <w:t>www.cmaj.ca/cgi/content/full/169/4/307</w:t>
        </w:r>
      </w:hyperlink>
    </w:p>
    <w:p w14:paraId="4CFCEC9B" w14:textId="77777777" w:rsidR="00FA2BE1" w:rsidRPr="00431A70" w:rsidRDefault="00FA2BE1" w:rsidP="00FA2BE1">
      <w:pPr>
        <w:numPr>
          <w:ilvl w:val="0"/>
          <w:numId w:val="32"/>
        </w:numPr>
        <w:rPr>
          <w:rFonts w:cs="Arial"/>
          <w:iCs/>
          <w:szCs w:val="22"/>
          <w:lang w:eastAsia="en-AU"/>
        </w:rPr>
      </w:pPr>
      <w:hyperlink r:id="rId24" w:history="1">
        <w:r w:rsidRPr="00431A70">
          <w:rPr>
            <w:rStyle w:val="Hyperlink"/>
            <w:rFonts w:cs="Arial"/>
            <w:iCs/>
            <w:szCs w:val="22"/>
            <w:lang w:eastAsia="en-AU"/>
          </w:rPr>
          <w:t>http://www.nps.org.au/health_professionals/publications/nps_radar/2006/august_200</w:t>
        </w:r>
      </w:hyperlink>
      <w:r w:rsidRPr="00431A70">
        <w:rPr>
          <w:rFonts w:cs="Arial"/>
          <w:iCs/>
          <w:szCs w:val="22"/>
          <w:lang w:eastAsia="en-AU"/>
        </w:rPr>
        <w:t xml:space="preserve"> </w:t>
      </w:r>
      <w:hyperlink r:id="rId25" w:history="1">
        <w:r w:rsidRPr="00431A70">
          <w:rPr>
            <w:rStyle w:val="Hyperlink"/>
            <w:rFonts w:cs="Arial"/>
            <w:iCs/>
            <w:szCs w:val="22"/>
            <w:lang w:eastAsia="en-AU"/>
          </w:rPr>
          <w:t>6/</w:t>
        </w:r>
        <w:proofErr w:type="spellStart"/>
        <w:r w:rsidRPr="00431A70">
          <w:rPr>
            <w:rStyle w:val="Hyperlink"/>
            <w:rFonts w:cs="Arial"/>
            <w:iCs/>
            <w:szCs w:val="22"/>
            <w:lang w:eastAsia="en-AU"/>
          </w:rPr>
          <w:t>epipen</w:t>
        </w:r>
        <w:proofErr w:type="spellEnd"/>
      </w:hyperlink>
    </w:p>
    <w:p w14:paraId="1E0DD76B" w14:textId="77777777" w:rsidR="00FA2BE1" w:rsidRPr="00431A70" w:rsidRDefault="00FA2BE1" w:rsidP="00FA2BE1">
      <w:pPr>
        <w:numPr>
          <w:ilvl w:val="0"/>
          <w:numId w:val="32"/>
        </w:numPr>
        <w:rPr>
          <w:rFonts w:cs="Arial"/>
          <w:iCs/>
          <w:szCs w:val="22"/>
          <w:lang w:eastAsia="en-AU"/>
        </w:rPr>
      </w:pPr>
      <w:r w:rsidRPr="00431A70">
        <w:rPr>
          <w:rFonts w:cs="Arial"/>
          <w:iCs/>
          <w:szCs w:val="22"/>
          <w:lang w:eastAsia="en-AU"/>
        </w:rPr>
        <w:t xml:space="preserve">Australasian Society of Clinical Immunology and Allergy national guidelines </w:t>
      </w:r>
      <w:hyperlink r:id="rId26" w:history="1">
        <w:r w:rsidRPr="00431A70">
          <w:rPr>
            <w:rStyle w:val="Hyperlink"/>
            <w:rFonts w:cs="Arial"/>
            <w:iCs/>
            <w:szCs w:val="22"/>
            <w:lang w:eastAsia="en-AU"/>
          </w:rPr>
          <w:t>(www.allergy.org.au</w:t>
        </w:r>
      </w:hyperlink>
      <w:r w:rsidRPr="00431A70">
        <w:rPr>
          <w:rFonts w:cs="Arial"/>
          <w:iCs/>
          <w:szCs w:val="22"/>
          <w:lang w:eastAsia="en-AU"/>
        </w:rPr>
        <w:t>)</w:t>
      </w:r>
    </w:p>
    <w:p w14:paraId="140DE6EF" w14:textId="77777777" w:rsidR="00FA2BE1" w:rsidRPr="00431A70" w:rsidRDefault="00FA2BE1" w:rsidP="00FA2BE1">
      <w:pPr>
        <w:numPr>
          <w:ilvl w:val="0"/>
          <w:numId w:val="32"/>
        </w:numPr>
        <w:rPr>
          <w:rFonts w:cs="Arial"/>
          <w:iCs/>
          <w:szCs w:val="22"/>
          <w:lang w:eastAsia="en-AU"/>
        </w:rPr>
      </w:pPr>
      <w:r w:rsidRPr="00431A70">
        <w:rPr>
          <w:rFonts w:cs="Arial"/>
          <w:iCs/>
          <w:szCs w:val="22"/>
          <w:lang w:eastAsia="en-AU"/>
        </w:rPr>
        <w:t>The Australian Immunisation Handbook 10th Edition p 85-97.</w:t>
      </w:r>
    </w:p>
    <w:p w14:paraId="7461281A" w14:textId="77777777" w:rsidR="00FA2BE1" w:rsidRPr="00431A70" w:rsidRDefault="00FA2BE1" w:rsidP="00FA2BE1">
      <w:pPr>
        <w:numPr>
          <w:ilvl w:val="0"/>
          <w:numId w:val="32"/>
        </w:numPr>
        <w:rPr>
          <w:rFonts w:cs="Arial"/>
          <w:iCs/>
          <w:szCs w:val="22"/>
          <w:lang w:eastAsia="en-AU"/>
        </w:rPr>
      </w:pPr>
      <w:hyperlink r:id="rId27" w:history="1">
        <w:r w:rsidRPr="00431A70">
          <w:rPr>
            <w:rStyle w:val="Hyperlink"/>
            <w:rFonts w:cs="Arial"/>
            <w:iCs/>
            <w:szCs w:val="22"/>
            <w:lang w:eastAsia="en-AU"/>
          </w:rPr>
          <w:t>http://www.allergy.org.au/images/stories/anaphylaxis/multinew/ENG.How_to_give_Epi</w:t>
        </w:r>
      </w:hyperlink>
      <w:r w:rsidRPr="00431A70">
        <w:rPr>
          <w:rFonts w:cs="Arial"/>
          <w:iCs/>
          <w:szCs w:val="22"/>
          <w:lang w:eastAsia="en-AU"/>
        </w:rPr>
        <w:t xml:space="preserve"> </w:t>
      </w:r>
      <w:hyperlink r:id="rId28" w:history="1">
        <w:r w:rsidRPr="00431A70">
          <w:rPr>
            <w:rStyle w:val="Hyperlink"/>
            <w:rFonts w:cs="Arial"/>
            <w:iCs/>
            <w:szCs w:val="22"/>
            <w:lang w:eastAsia="en-AU"/>
          </w:rPr>
          <w:t>Pen_2011.pdf</w:t>
        </w:r>
      </w:hyperlink>
    </w:p>
    <w:p w14:paraId="4E4C6003" w14:textId="77777777" w:rsidR="00FA2BE1" w:rsidRPr="00431A70" w:rsidRDefault="00FA2BE1" w:rsidP="00FA2BE1">
      <w:pPr>
        <w:numPr>
          <w:ilvl w:val="0"/>
          <w:numId w:val="32"/>
        </w:numPr>
        <w:rPr>
          <w:rFonts w:cs="Arial"/>
          <w:iCs/>
          <w:szCs w:val="22"/>
          <w:lang w:eastAsia="en-AU"/>
        </w:rPr>
      </w:pPr>
      <w:hyperlink r:id="rId29" w:history="1">
        <w:r w:rsidRPr="00431A70">
          <w:rPr>
            <w:rStyle w:val="Hyperlink"/>
            <w:rFonts w:cs="Arial"/>
            <w:iCs/>
            <w:szCs w:val="22"/>
            <w:lang w:eastAsia="en-AU"/>
          </w:rPr>
          <w:t>http://www.allergy.org.au/images/stories/anaphylaxis/2015/ASCIA_Action_Plan_Anaph</w:t>
        </w:r>
      </w:hyperlink>
      <w:r w:rsidRPr="00431A70">
        <w:rPr>
          <w:rFonts w:cs="Arial"/>
          <w:iCs/>
          <w:szCs w:val="22"/>
          <w:lang w:eastAsia="en-AU"/>
        </w:rPr>
        <w:t xml:space="preserve"> </w:t>
      </w:r>
      <w:hyperlink r:id="rId30" w:history="1">
        <w:r w:rsidRPr="00431A70">
          <w:rPr>
            <w:rStyle w:val="Hyperlink"/>
            <w:rFonts w:cs="Arial"/>
            <w:iCs/>
            <w:szCs w:val="22"/>
            <w:lang w:eastAsia="en-AU"/>
          </w:rPr>
          <w:t>ylaxis_EpiPen_Personal_2015.pdf</w:t>
        </w:r>
      </w:hyperlink>
    </w:p>
    <w:p w14:paraId="630C2296" w14:textId="77777777" w:rsidR="00FA2BE1" w:rsidRDefault="00FA2BE1" w:rsidP="00FA2BE1"/>
    <w:p w14:paraId="6397C9FA" w14:textId="77777777" w:rsidR="00FA2BE1" w:rsidRDefault="00FA2BE1" w:rsidP="00FA2BE1">
      <w:pPr>
        <w:jc w:val="right"/>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0F1F60" w14:paraId="318AD045" w14:textId="77777777" w:rsidTr="00841616">
        <w:trPr>
          <w:cantSplit/>
          <w:trHeight w:val="285"/>
        </w:trPr>
        <w:tc>
          <w:tcPr>
            <w:tcW w:w="9158" w:type="dxa"/>
            <w:shd w:val="clear" w:color="auto" w:fill="D9D9D9" w:themeFill="background1" w:themeFillShade="D9"/>
          </w:tcPr>
          <w:p w14:paraId="512C74D4" w14:textId="77777777" w:rsidR="00FA2BE1" w:rsidRPr="000F1F60" w:rsidRDefault="00FA2BE1" w:rsidP="00841616">
            <w:pPr>
              <w:pStyle w:val="Heading1"/>
            </w:pPr>
            <w:bookmarkStart w:id="106" w:name="_Toc164338510"/>
            <w:bookmarkStart w:id="107" w:name="_Toc396290588"/>
            <w:r>
              <w:t>Definition of Terms</w:t>
            </w:r>
            <w:bookmarkEnd w:id="106"/>
            <w:r>
              <w:t xml:space="preserve"> </w:t>
            </w:r>
            <w:bookmarkEnd w:id="107"/>
            <w:r>
              <w:t xml:space="preserve"> </w:t>
            </w:r>
          </w:p>
        </w:tc>
      </w:tr>
    </w:tbl>
    <w:p w14:paraId="3564A615" w14:textId="77777777" w:rsidR="00FA2BE1" w:rsidRDefault="00FA2BE1" w:rsidP="00FA2BE1">
      <w:pPr>
        <w:rPr>
          <w:rFonts w:cs="Arial"/>
          <w:szCs w:val="24"/>
        </w:rPr>
      </w:pPr>
    </w:p>
    <w:tbl>
      <w:tblPr>
        <w:tblStyle w:val="TableGrid"/>
        <w:tblW w:w="0" w:type="auto"/>
        <w:tblLook w:val="04A0" w:firstRow="1" w:lastRow="0" w:firstColumn="1" w:lastColumn="0" w:noHBand="0" w:noVBand="1"/>
      </w:tblPr>
      <w:tblGrid>
        <w:gridCol w:w="2404"/>
        <w:gridCol w:w="6656"/>
      </w:tblGrid>
      <w:tr w:rsidR="00FA2BE1" w14:paraId="5A5A179D" w14:textId="77777777" w:rsidTr="00841616">
        <w:tc>
          <w:tcPr>
            <w:tcW w:w="2405" w:type="dxa"/>
            <w:shd w:val="clear" w:color="auto" w:fill="FFFFFF" w:themeFill="background1"/>
          </w:tcPr>
          <w:p w14:paraId="71444440" w14:textId="77777777" w:rsidR="00FA2BE1" w:rsidRDefault="00FA2BE1" w:rsidP="00841616">
            <w:pPr>
              <w:pStyle w:val="BodyText"/>
              <w:kinsoku w:val="0"/>
              <w:overflowPunct w:val="0"/>
              <w:spacing w:before="52" w:line="290" w:lineRule="exact"/>
            </w:pPr>
            <w:r>
              <w:t>DET</w:t>
            </w:r>
          </w:p>
        </w:tc>
        <w:tc>
          <w:tcPr>
            <w:tcW w:w="6659" w:type="dxa"/>
            <w:shd w:val="clear" w:color="auto" w:fill="FFFFFF" w:themeFill="background1"/>
          </w:tcPr>
          <w:p w14:paraId="62FB362C" w14:textId="77777777" w:rsidR="00FA2BE1" w:rsidRDefault="00FA2BE1" w:rsidP="00841616">
            <w:pPr>
              <w:pStyle w:val="BodyText"/>
              <w:kinsoku w:val="0"/>
              <w:overflowPunct w:val="0"/>
              <w:spacing w:before="52" w:line="290" w:lineRule="exact"/>
            </w:pPr>
            <w:r>
              <w:t>Department of Education</w:t>
            </w:r>
          </w:p>
        </w:tc>
      </w:tr>
      <w:tr w:rsidR="00FA2BE1" w14:paraId="3C35F7CF" w14:textId="77777777" w:rsidTr="00841616">
        <w:tc>
          <w:tcPr>
            <w:tcW w:w="2405" w:type="dxa"/>
            <w:shd w:val="clear" w:color="auto" w:fill="FFFFFF" w:themeFill="background1"/>
          </w:tcPr>
          <w:p w14:paraId="4D48D5E0" w14:textId="77777777" w:rsidR="00FA2BE1" w:rsidRDefault="00FA2BE1" w:rsidP="00841616">
            <w:pPr>
              <w:pStyle w:val="BodyText"/>
              <w:kinsoku w:val="0"/>
              <w:overflowPunct w:val="0"/>
              <w:spacing w:before="52" w:line="290" w:lineRule="exact"/>
            </w:pPr>
            <w:r>
              <w:t>AMC</w:t>
            </w:r>
          </w:p>
        </w:tc>
        <w:tc>
          <w:tcPr>
            <w:tcW w:w="6659" w:type="dxa"/>
            <w:shd w:val="clear" w:color="auto" w:fill="FFFFFF" w:themeFill="background1"/>
          </w:tcPr>
          <w:p w14:paraId="7E41C52B" w14:textId="77777777" w:rsidR="00FA2BE1" w:rsidRDefault="00FA2BE1" w:rsidP="00841616">
            <w:pPr>
              <w:pStyle w:val="BodyText"/>
              <w:kinsoku w:val="0"/>
              <w:overflowPunct w:val="0"/>
              <w:spacing w:before="52" w:line="290" w:lineRule="exact"/>
            </w:pPr>
            <w:r>
              <w:t>Alexander Maconochie Centre</w:t>
            </w:r>
          </w:p>
        </w:tc>
      </w:tr>
      <w:tr w:rsidR="00FA2BE1" w14:paraId="08871411" w14:textId="77777777" w:rsidTr="00841616">
        <w:tc>
          <w:tcPr>
            <w:tcW w:w="2405" w:type="dxa"/>
            <w:shd w:val="clear" w:color="auto" w:fill="FFFFFF" w:themeFill="background1"/>
          </w:tcPr>
          <w:p w14:paraId="7D709D55" w14:textId="77777777" w:rsidR="00FA2BE1" w:rsidRDefault="00FA2BE1" w:rsidP="00841616">
            <w:pPr>
              <w:pStyle w:val="BodyText"/>
              <w:kinsoku w:val="0"/>
              <w:overflowPunct w:val="0"/>
              <w:spacing w:before="52" w:line="290" w:lineRule="exact"/>
            </w:pPr>
            <w:r>
              <w:t>Centre PDC</w:t>
            </w:r>
          </w:p>
        </w:tc>
        <w:tc>
          <w:tcPr>
            <w:tcW w:w="6659" w:type="dxa"/>
            <w:shd w:val="clear" w:color="auto" w:fill="FFFFFF" w:themeFill="background1"/>
          </w:tcPr>
          <w:p w14:paraId="6450BD9D" w14:textId="77777777" w:rsidR="00FA2BE1" w:rsidRDefault="00FA2BE1" w:rsidP="00841616">
            <w:pPr>
              <w:pStyle w:val="BodyText"/>
              <w:kinsoku w:val="0"/>
              <w:overflowPunct w:val="0"/>
              <w:spacing w:before="52" w:line="290" w:lineRule="exact"/>
            </w:pPr>
            <w:r>
              <w:t>Periodic Detention</w:t>
            </w:r>
          </w:p>
        </w:tc>
      </w:tr>
      <w:tr w:rsidR="00FA2BE1" w14:paraId="64B2088D" w14:textId="77777777" w:rsidTr="00841616">
        <w:tc>
          <w:tcPr>
            <w:tcW w:w="2405" w:type="dxa"/>
            <w:shd w:val="clear" w:color="auto" w:fill="FFFFFF" w:themeFill="background1"/>
          </w:tcPr>
          <w:p w14:paraId="41199675" w14:textId="77777777" w:rsidR="00FA2BE1" w:rsidRDefault="00FA2BE1" w:rsidP="00841616">
            <w:pPr>
              <w:pStyle w:val="BodyText"/>
              <w:kinsoku w:val="0"/>
              <w:overflowPunct w:val="0"/>
              <w:spacing w:before="52" w:line="290" w:lineRule="exact"/>
            </w:pPr>
            <w:r>
              <w:t>Centre BYJC</w:t>
            </w:r>
          </w:p>
        </w:tc>
        <w:tc>
          <w:tcPr>
            <w:tcW w:w="6659" w:type="dxa"/>
            <w:shd w:val="clear" w:color="auto" w:fill="FFFFFF" w:themeFill="background1"/>
          </w:tcPr>
          <w:p w14:paraId="0DADEEE2" w14:textId="77777777" w:rsidR="00FA2BE1" w:rsidRDefault="00FA2BE1" w:rsidP="00841616">
            <w:pPr>
              <w:pStyle w:val="BodyText"/>
              <w:kinsoku w:val="0"/>
              <w:overflowPunct w:val="0"/>
              <w:spacing w:before="52" w:line="290" w:lineRule="exact"/>
            </w:pPr>
            <w:proofErr w:type="spellStart"/>
            <w:r>
              <w:t>Bimberi</w:t>
            </w:r>
            <w:proofErr w:type="spellEnd"/>
            <w:r>
              <w:t xml:space="preserve"> Youth</w:t>
            </w:r>
          </w:p>
        </w:tc>
      </w:tr>
      <w:tr w:rsidR="00FA2BE1" w14:paraId="3D6F1421" w14:textId="77777777" w:rsidTr="00841616">
        <w:tc>
          <w:tcPr>
            <w:tcW w:w="2405" w:type="dxa"/>
            <w:shd w:val="clear" w:color="auto" w:fill="FFFFFF" w:themeFill="background1"/>
          </w:tcPr>
          <w:p w14:paraId="1CFEE8C2" w14:textId="77777777" w:rsidR="00FA2BE1" w:rsidRDefault="00FA2BE1" w:rsidP="00841616">
            <w:pPr>
              <w:pStyle w:val="BodyText"/>
              <w:kinsoku w:val="0"/>
              <w:overflowPunct w:val="0"/>
              <w:spacing w:before="52" w:line="290" w:lineRule="exact"/>
            </w:pPr>
            <w:r>
              <w:t>Justice Centre EWS</w:t>
            </w:r>
          </w:p>
        </w:tc>
        <w:tc>
          <w:tcPr>
            <w:tcW w:w="6659" w:type="dxa"/>
            <w:shd w:val="clear" w:color="auto" w:fill="FFFFFF" w:themeFill="background1"/>
          </w:tcPr>
          <w:p w14:paraId="7A3424A7" w14:textId="77777777" w:rsidR="00FA2BE1" w:rsidRDefault="00FA2BE1" w:rsidP="00841616">
            <w:pPr>
              <w:pStyle w:val="BodyText"/>
              <w:kinsoku w:val="0"/>
              <w:overflowPunct w:val="0"/>
              <w:spacing w:before="52" w:line="290" w:lineRule="exact"/>
            </w:pPr>
            <w:r>
              <w:t>Early Warning Signs</w:t>
            </w:r>
          </w:p>
        </w:tc>
      </w:tr>
      <w:tr w:rsidR="00FA2BE1" w14:paraId="35963199" w14:textId="77777777" w:rsidTr="00841616">
        <w:tc>
          <w:tcPr>
            <w:tcW w:w="2405" w:type="dxa"/>
            <w:shd w:val="clear" w:color="auto" w:fill="FFFFFF" w:themeFill="background1"/>
          </w:tcPr>
          <w:p w14:paraId="6963FA65" w14:textId="77777777" w:rsidR="00FA2BE1" w:rsidRDefault="00FA2BE1" w:rsidP="00841616">
            <w:pPr>
              <w:pStyle w:val="BodyText"/>
              <w:kinsoku w:val="0"/>
              <w:overflowPunct w:val="0"/>
              <w:spacing w:before="52" w:line="290" w:lineRule="exact"/>
            </w:pPr>
            <w:r>
              <w:t>MEWS</w:t>
            </w:r>
          </w:p>
        </w:tc>
        <w:tc>
          <w:tcPr>
            <w:tcW w:w="6659" w:type="dxa"/>
            <w:shd w:val="clear" w:color="auto" w:fill="FFFFFF" w:themeFill="background1"/>
          </w:tcPr>
          <w:p w14:paraId="3B89EEAD" w14:textId="77777777" w:rsidR="00FA2BE1" w:rsidRDefault="00FA2BE1" w:rsidP="00841616">
            <w:pPr>
              <w:pStyle w:val="BodyText"/>
              <w:kinsoku w:val="0"/>
              <w:overflowPunct w:val="0"/>
              <w:spacing w:before="52" w:line="290" w:lineRule="exact"/>
            </w:pPr>
            <w:r>
              <w:t>Modified Early Warning Signs</w:t>
            </w:r>
          </w:p>
        </w:tc>
      </w:tr>
      <w:tr w:rsidR="00FA2BE1" w14:paraId="1E778D08" w14:textId="77777777" w:rsidTr="00841616">
        <w:tc>
          <w:tcPr>
            <w:tcW w:w="2405" w:type="dxa"/>
            <w:shd w:val="clear" w:color="auto" w:fill="FFFFFF" w:themeFill="background1"/>
          </w:tcPr>
          <w:p w14:paraId="5DF990C0" w14:textId="77777777" w:rsidR="00FA2BE1" w:rsidRDefault="00FA2BE1" w:rsidP="00841616">
            <w:pPr>
              <w:pStyle w:val="BodyText"/>
              <w:kinsoku w:val="0"/>
              <w:overflowPunct w:val="0"/>
              <w:spacing w:before="52" w:line="290" w:lineRule="exact"/>
            </w:pPr>
            <w:r>
              <w:t>RN</w:t>
            </w:r>
          </w:p>
        </w:tc>
        <w:tc>
          <w:tcPr>
            <w:tcW w:w="6659" w:type="dxa"/>
            <w:shd w:val="clear" w:color="auto" w:fill="FFFFFF" w:themeFill="background1"/>
          </w:tcPr>
          <w:p w14:paraId="4A32EB3E" w14:textId="77777777" w:rsidR="00FA2BE1" w:rsidRDefault="00FA2BE1" w:rsidP="00841616">
            <w:pPr>
              <w:pStyle w:val="BodyText"/>
              <w:kinsoku w:val="0"/>
              <w:overflowPunct w:val="0"/>
              <w:spacing w:before="52" w:line="290" w:lineRule="exact"/>
            </w:pPr>
            <w:r>
              <w:t>Registered Nurse</w:t>
            </w:r>
          </w:p>
        </w:tc>
      </w:tr>
    </w:tbl>
    <w:p w14:paraId="6B6A27C6" w14:textId="77777777" w:rsidR="00FA2BE1" w:rsidRDefault="00FA2BE1" w:rsidP="00FA2BE1">
      <w:pPr>
        <w:rPr>
          <w:rFonts w:cs="Arial"/>
          <w:szCs w:val="24"/>
        </w:rPr>
      </w:pPr>
    </w:p>
    <w:p w14:paraId="6284B5CA" w14:textId="77777777" w:rsidR="00FA2BE1" w:rsidRDefault="00FA2BE1" w:rsidP="00FA2BE1">
      <w:pPr>
        <w:jc w:val="right"/>
      </w:pPr>
      <w:hyperlink w:anchor="Contents" w:history="1">
        <w:r w:rsidRPr="00C91F3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CD1C0E" w14:paraId="3EF33EF7" w14:textId="77777777" w:rsidTr="00841616">
        <w:trPr>
          <w:cantSplit/>
          <w:trHeight w:val="285"/>
        </w:trPr>
        <w:tc>
          <w:tcPr>
            <w:tcW w:w="9158" w:type="dxa"/>
            <w:shd w:val="clear" w:color="auto" w:fill="D9D9D9" w:themeFill="background1" w:themeFillShade="D9"/>
          </w:tcPr>
          <w:p w14:paraId="183EDEBA" w14:textId="77777777" w:rsidR="00FA2BE1" w:rsidRPr="00CD1C0E" w:rsidRDefault="00FA2BE1" w:rsidP="00841616">
            <w:pPr>
              <w:pStyle w:val="Heading1"/>
            </w:pPr>
            <w:bookmarkStart w:id="108" w:name="_Toc389473290"/>
            <w:bookmarkStart w:id="109" w:name="_Toc396290589"/>
            <w:bookmarkStart w:id="110" w:name="_Toc164338511"/>
            <w:r>
              <w:t>Search Terms</w:t>
            </w:r>
            <w:bookmarkEnd w:id="108"/>
            <w:bookmarkEnd w:id="109"/>
            <w:bookmarkEnd w:id="110"/>
            <w:r>
              <w:t xml:space="preserve"> </w:t>
            </w:r>
          </w:p>
        </w:tc>
      </w:tr>
    </w:tbl>
    <w:p w14:paraId="14C368D1" w14:textId="77777777" w:rsidR="00FA2BE1" w:rsidRDefault="00FA2BE1" w:rsidP="00FA2BE1">
      <w:pPr>
        <w:rPr>
          <w:rFonts w:cs="Calibri,Bold"/>
          <w:bCs/>
          <w:i/>
          <w:szCs w:val="24"/>
          <w:lang w:eastAsia="en-AU"/>
        </w:rPr>
      </w:pPr>
    </w:p>
    <w:p w14:paraId="2798E0A9" w14:textId="77777777" w:rsidR="00FA2BE1" w:rsidRPr="00431A70" w:rsidRDefault="00FA2BE1" w:rsidP="00FA2BE1">
      <w:pPr>
        <w:jc w:val="both"/>
        <w:rPr>
          <w:rFonts w:cs="Calibri,Bold"/>
          <w:bCs/>
          <w:iCs/>
          <w:szCs w:val="24"/>
          <w:lang w:eastAsia="en-AU"/>
        </w:rPr>
      </w:pPr>
      <w:r w:rsidRPr="00431A70">
        <w:rPr>
          <w:rFonts w:cs="Calibri,Bold"/>
          <w:bCs/>
          <w:iCs/>
          <w:szCs w:val="24"/>
          <w:lang w:eastAsia="en-AU"/>
        </w:rPr>
        <w:t xml:space="preserve">Acute, Adrenaline, Adverse, Allergy, Anaphylaxis, </w:t>
      </w:r>
      <w:proofErr w:type="spellStart"/>
      <w:r w:rsidRPr="00431A70">
        <w:rPr>
          <w:rFonts w:cs="Calibri,Bold"/>
          <w:bCs/>
          <w:iCs/>
          <w:szCs w:val="24"/>
          <w:lang w:eastAsia="en-AU"/>
        </w:rPr>
        <w:t>Epipen</w:t>
      </w:r>
      <w:proofErr w:type="spellEnd"/>
      <w:r w:rsidRPr="00431A70">
        <w:rPr>
          <w:rFonts w:cs="Calibri,Bold"/>
          <w:bCs/>
          <w:iCs/>
          <w:szCs w:val="24"/>
          <w:lang w:eastAsia="en-AU"/>
        </w:rPr>
        <w:t>, Hypersensitivity, Immunisation, Podiatry, Reaction, Vaccine, Vasovagal</w:t>
      </w:r>
    </w:p>
    <w:p w14:paraId="2EEF78DB" w14:textId="77777777" w:rsidR="00FA2BE1" w:rsidRPr="00901883" w:rsidRDefault="00FA2BE1" w:rsidP="00FA2BE1">
      <w:pPr>
        <w:jc w:val="both"/>
        <w:rPr>
          <w:rFonts w:asciiTheme="minorHAnsi" w:hAnsiTheme="minorHAnsi" w:cs="Arial"/>
          <w:b/>
          <w:i/>
          <w:sz w:val="22"/>
          <w:szCs w:val="22"/>
        </w:rPr>
      </w:pPr>
    </w:p>
    <w:p w14:paraId="33FC2BA5" w14:textId="77777777" w:rsidR="00FA2BE1" w:rsidRPr="00E41A47" w:rsidRDefault="00FA2BE1" w:rsidP="00FA2BE1">
      <w:pPr>
        <w:jc w:val="right"/>
      </w:pPr>
      <w:hyperlink w:anchor="_top" w:history="1">
        <w:r w:rsidRPr="00C91F3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A2BE1" w:rsidRPr="001B2BAC" w14:paraId="1E90A69F" w14:textId="77777777" w:rsidTr="00841616">
        <w:trPr>
          <w:cantSplit/>
          <w:trHeight w:val="285"/>
        </w:trPr>
        <w:tc>
          <w:tcPr>
            <w:tcW w:w="9158" w:type="dxa"/>
            <w:shd w:val="clear" w:color="auto" w:fill="D9D9D9" w:themeFill="background1" w:themeFillShade="D9"/>
          </w:tcPr>
          <w:p w14:paraId="6C233AB8" w14:textId="77777777" w:rsidR="00FA2BE1" w:rsidRPr="002E3BFE" w:rsidRDefault="00FA2BE1" w:rsidP="00841616">
            <w:pPr>
              <w:pStyle w:val="Heading1"/>
              <w:rPr>
                <w:szCs w:val="24"/>
              </w:rPr>
            </w:pPr>
            <w:bookmarkStart w:id="111" w:name="_Toc164338512"/>
            <w:r>
              <w:rPr>
                <w:szCs w:val="24"/>
              </w:rPr>
              <w:lastRenderedPageBreak/>
              <w:t>Attachments</w:t>
            </w:r>
            <w:bookmarkEnd w:id="111"/>
          </w:p>
        </w:tc>
      </w:tr>
    </w:tbl>
    <w:p w14:paraId="2E54EC51" w14:textId="77777777" w:rsidR="00FA2BE1" w:rsidRDefault="00FA2BE1" w:rsidP="00FA2BE1">
      <w:pPr>
        <w:jc w:val="both"/>
        <w:rPr>
          <w:rFonts w:cs="Arial"/>
          <w:bCs/>
          <w:szCs w:val="24"/>
        </w:rPr>
      </w:pPr>
    </w:p>
    <w:p w14:paraId="0AFAAF01" w14:textId="77777777" w:rsidR="00FA2BE1" w:rsidRPr="00431A70" w:rsidRDefault="00FA2BE1" w:rsidP="00FA2BE1">
      <w:pPr>
        <w:jc w:val="both"/>
        <w:rPr>
          <w:rFonts w:cs="Arial"/>
          <w:bCs/>
          <w:szCs w:val="24"/>
        </w:rPr>
      </w:pPr>
      <w:r w:rsidRPr="00431A70">
        <w:rPr>
          <w:rFonts w:cs="Arial"/>
          <w:bCs/>
          <w:szCs w:val="24"/>
        </w:rPr>
        <w:t>Attachment A: Anaphylaxis Action Plan</w:t>
      </w:r>
    </w:p>
    <w:p w14:paraId="4E186918" w14:textId="77777777" w:rsidR="00FA2BE1" w:rsidRPr="00431A70" w:rsidRDefault="00FA2BE1" w:rsidP="00FA2BE1">
      <w:pPr>
        <w:rPr>
          <w:rFonts w:cs="Arial"/>
          <w:bCs/>
          <w:szCs w:val="24"/>
        </w:rPr>
      </w:pPr>
      <w:r w:rsidRPr="00431A70">
        <w:rPr>
          <w:rFonts w:cs="Arial"/>
          <w:bCs/>
          <w:szCs w:val="24"/>
        </w:rPr>
        <w:t>Attachment</w:t>
      </w:r>
      <w:r>
        <w:rPr>
          <w:rFonts w:cs="Arial"/>
          <w:bCs/>
          <w:szCs w:val="24"/>
        </w:rPr>
        <w:t xml:space="preserve"> </w:t>
      </w:r>
      <w:r w:rsidRPr="00431A70">
        <w:rPr>
          <w:rFonts w:cs="Arial"/>
          <w:bCs/>
          <w:szCs w:val="24"/>
        </w:rPr>
        <w:t xml:space="preserve">B: In hospital checklist for patients own use of adrenaline (epinephrine) </w:t>
      </w:r>
      <w:proofErr w:type="gramStart"/>
      <w:r w:rsidRPr="00431A70">
        <w:rPr>
          <w:rFonts w:cs="Arial"/>
          <w:bCs/>
          <w:szCs w:val="24"/>
        </w:rPr>
        <w:t>autoinjectors</w:t>
      </w:r>
      <w:proofErr w:type="gramEnd"/>
    </w:p>
    <w:p w14:paraId="19848C3F" w14:textId="77777777" w:rsidR="00FA2BE1" w:rsidRPr="00431A70" w:rsidRDefault="00FA2BE1" w:rsidP="00FA2BE1">
      <w:pPr>
        <w:jc w:val="both"/>
        <w:rPr>
          <w:rFonts w:cs="Arial"/>
          <w:bCs/>
          <w:szCs w:val="24"/>
        </w:rPr>
      </w:pPr>
      <w:r w:rsidRPr="00431A70">
        <w:rPr>
          <w:rFonts w:cs="Arial"/>
          <w:bCs/>
          <w:szCs w:val="24"/>
        </w:rPr>
        <w:t>Attachment C: Schematic Flow Chart</w:t>
      </w:r>
    </w:p>
    <w:p w14:paraId="0D050E27" w14:textId="77777777" w:rsidR="00FA2BE1" w:rsidRPr="00431A70" w:rsidRDefault="00FA2BE1" w:rsidP="00FA2BE1">
      <w:pPr>
        <w:jc w:val="both"/>
        <w:rPr>
          <w:rFonts w:cs="Arial"/>
          <w:bCs/>
          <w:szCs w:val="24"/>
        </w:rPr>
      </w:pPr>
      <w:r w:rsidRPr="00431A70">
        <w:rPr>
          <w:rFonts w:cs="Arial"/>
          <w:bCs/>
          <w:szCs w:val="24"/>
        </w:rPr>
        <w:t xml:space="preserve">Attachment D: Basic Life Support Chart </w:t>
      </w:r>
    </w:p>
    <w:p w14:paraId="15FCA9AA" w14:textId="77777777" w:rsidR="00FA2BE1" w:rsidRPr="00431A70" w:rsidRDefault="00FA2BE1" w:rsidP="00FA2BE1">
      <w:pPr>
        <w:jc w:val="both"/>
        <w:rPr>
          <w:rFonts w:cs="Arial"/>
          <w:bCs/>
          <w:szCs w:val="24"/>
        </w:rPr>
      </w:pPr>
      <w:r w:rsidRPr="00431A70">
        <w:rPr>
          <w:rFonts w:cs="Arial"/>
          <w:bCs/>
          <w:szCs w:val="24"/>
        </w:rPr>
        <w:t xml:space="preserve">Attachment E: How to Use an EpiPen </w:t>
      </w:r>
    </w:p>
    <w:p w14:paraId="19059AC7" w14:textId="77777777" w:rsidR="00FA2BE1" w:rsidRPr="00431A70" w:rsidRDefault="00FA2BE1" w:rsidP="00FA2BE1">
      <w:pPr>
        <w:jc w:val="both"/>
        <w:rPr>
          <w:rFonts w:cs="Arial"/>
          <w:bCs/>
          <w:szCs w:val="24"/>
        </w:rPr>
      </w:pPr>
      <w:r w:rsidRPr="00431A70">
        <w:rPr>
          <w:rFonts w:cs="Arial"/>
          <w:bCs/>
          <w:szCs w:val="24"/>
        </w:rPr>
        <w:t xml:space="preserve">Attachment F: How to Use an </w:t>
      </w:r>
      <w:proofErr w:type="spellStart"/>
      <w:r w:rsidRPr="00431A70">
        <w:rPr>
          <w:rFonts w:cs="Arial"/>
          <w:bCs/>
          <w:szCs w:val="24"/>
        </w:rPr>
        <w:t>Anapen</w:t>
      </w:r>
      <w:proofErr w:type="spellEnd"/>
    </w:p>
    <w:p w14:paraId="070F8ABB" w14:textId="77777777" w:rsidR="00FA2BE1" w:rsidRPr="00431A70" w:rsidRDefault="00FA2BE1" w:rsidP="00FA2BE1">
      <w:pPr>
        <w:jc w:val="both"/>
        <w:rPr>
          <w:rFonts w:cs="Arial"/>
          <w:bCs/>
          <w:szCs w:val="24"/>
        </w:rPr>
      </w:pPr>
      <w:r w:rsidRPr="00431A70">
        <w:rPr>
          <w:rFonts w:cs="Arial"/>
          <w:bCs/>
          <w:szCs w:val="24"/>
        </w:rPr>
        <w:t>Attachment G: Adverse Event Following Immunisation (AEFI) Form</w:t>
      </w:r>
    </w:p>
    <w:p w14:paraId="7A49D184" w14:textId="77777777" w:rsidR="00FA2BE1" w:rsidRDefault="00FA2BE1" w:rsidP="00FA2BE1">
      <w:pPr>
        <w:jc w:val="both"/>
        <w:rPr>
          <w:rFonts w:cs="Arial"/>
          <w:bCs/>
          <w:szCs w:val="24"/>
        </w:rPr>
      </w:pPr>
      <w:r w:rsidRPr="00431A70">
        <w:rPr>
          <w:rFonts w:cs="Arial"/>
          <w:bCs/>
          <w:szCs w:val="24"/>
        </w:rPr>
        <w:t>Attachment H: Anaphylaxis discharge checklist and discussion guide</w:t>
      </w:r>
    </w:p>
    <w:p w14:paraId="7CF7ADE2" w14:textId="77777777" w:rsidR="00FA2BE1" w:rsidRPr="00E044EF" w:rsidRDefault="00FA2BE1" w:rsidP="00FA2BE1">
      <w:pPr>
        <w:jc w:val="both"/>
        <w:rPr>
          <w:rFonts w:cs="Arial"/>
          <w:szCs w:val="24"/>
        </w:rPr>
      </w:pPr>
      <w:r>
        <w:rPr>
          <w:rFonts w:cs="Arial"/>
          <w:bCs/>
          <w:szCs w:val="24"/>
        </w:rPr>
        <w:t xml:space="preserve">Attachment I: </w:t>
      </w:r>
      <w:r w:rsidRPr="00E1410D">
        <w:rPr>
          <w:rFonts w:cs="Arial"/>
          <w:szCs w:val="24"/>
        </w:rPr>
        <w:t>Clinical procedure for management of anaphylaxis in HITH Services – 2022 Australian Prescriber</w:t>
      </w:r>
    </w:p>
    <w:p w14:paraId="44D6BDE6" w14:textId="77777777" w:rsidR="00FA2BE1" w:rsidRPr="00E1410D" w:rsidRDefault="00FA2BE1" w:rsidP="00FA2BE1">
      <w:pPr>
        <w:rPr>
          <w:rFonts w:cs="Arial"/>
          <w:iCs/>
          <w:szCs w:val="24"/>
        </w:rPr>
      </w:pPr>
      <w:r w:rsidRPr="00E1410D">
        <w:rPr>
          <w:rFonts w:cs="Arial"/>
          <w:iCs/>
          <w:szCs w:val="24"/>
        </w:rPr>
        <w:t xml:space="preserve">Attachment J: </w:t>
      </w:r>
      <w:r w:rsidRPr="00E1410D">
        <w:rPr>
          <w:rFonts w:cs="Arial"/>
          <w:szCs w:val="24"/>
        </w:rPr>
        <w:t>Flowchart for Management of Anaphylaxis in the Community</w:t>
      </w:r>
    </w:p>
    <w:p w14:paraId="7D3FF1B3" w14:textId="77777777" w:rsidR="00FA2BE1" w:rsidRDefault="00FA2BE1" w:rsidP="00FA2BE1">
      <w:pPr>
        <w:rPr>
          <w:rFonts w:cs="Arial"/>
          <w:iCs/>
          <w:sz w:val="20"/>
        </w:rPr>
      </w:pPr>
    </w:p>
    <w:p w14:paraId="1928555E" w14:textId="77777777" w:rsidR="00FA2BE1" w:rsidRDefault="00FA2BE1" w:rsidP="00FA2BE1">
      <w:pPr>
        <w:rPr>
          <w:rFonts w:cs="Arial"/>
          <w:iCs/>
          <w:sz w:val="20"/>
        </w:rPr>
      </w:pPr>
    </w:p>
    <w:p w14:paraId="3B5FBC02" w14:textId="77777777" w:rsidR="00FA2BE1" w:rsidRPr="003E167B" w:rsidRDefault="00FA2BE1" w:rsidP="00FA2BE1">
      <w:pPr>
        <w:rPr>
          <w:rFonts w:cs="Arial"/>
          <w:i/>
          <w:iCs/>
          <w:sz w:val="20"/>
        </w:rPr>
      </w:pPr>
      <w:r w:rsidRPr="003E167B">
        <w:rPr>
          <w:rFonts w:cs="Arial"/>
          <w:b/>
          <w:sz w:val="20"/>
        </w:rPr>
        <w:t>Disclaimer</w:t>
      </w:r>
      <w:r w:rsidRPr="003E167B">
        <w:rPr>
          <w:rFonts w:cs="Arial"/>
          <w:sz w:val="20"/>
        </w:rPr>
        <w:t xml:space="preserve">: </w:t>
      </w:r>
      <w:r w:rsidRPr="003E167B">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3E167B">
        <w:rPr>
          <w:rFonts w:cs="Arial"/>
          <w:i/>
          <w:iCs/>
          <w:sz w:val="20"/>
        </w:rPr>
        <w:t xml:space="preserve"> assumes no responsibility whatsoever.</w:t>
      </w:r>
    </w:p>
    <w:p w14:paraId="62BC6FCB" w14:textId="77777777" w:rsidR="00FA2BE1" w:rsidRPr="003E167B" w:rsidRDefault="00FA2BE1" w:rsidP="00FA2BE1">
      <w:pPr>
        <w:rPr>
          <w:rFonts w:cs="Arial"/>
          <w:i/>
          <w:iCs/>
          <w:sz w:val="20"/>
        </w:rPr>
      </w:pPr>
    </w:p>
    <w:p w14:paraId="72199B21" w14:textId="77777777" w:rsidR="00FA2BE1" w:rsidRDefault="00FA2BE1" w:rsidP="00FA2BE1">
      <w:pPr>
        <w:rPr>
          <w:rFonts w:cs="Arial"/>
          <w:i/>
          <w:iCs/>
          <w:sz w:val="20"/>
        </w:rPr>
      </w:pPr>
    </w:p>
    <w:p w14:paraId="5B613FC4" w14:textId="77777777" w:rsidR="00FA2BE1" w:rsidRPr="003E167B" w:rsidRDefault="00FA2BE1" w:rsidP="00FA2BE1">
      <w:pPr>
        <w:rPr>
          <w:rFonts w:cs="Arial"/>
          <w:i/>
          <w:iCs/>
          <w:sz w:val="20"/>
        </w:rPr>
      </w:pPr>
      <w:r w:rsidRPr="003E167B">
        <w:rPr>
          <w:rFonts w:cs="Arial"/>
          <w:i/>
          <w:iCs/>
          <w:sz w:val="20"/>
        </w:rPr>
        <w:t>Policy Team ONLY to complete the following:</w:t>
      </w:r>
    </w:p>
    <w:tbl>
      <w:tblPr>
        <w:tblStyle w:val="TableGrid"/>
        <w:tblW w:w="0" w:type="auto"/>
        <w:tblLook w:val="04A0" w:firstRow="1" w:lastRow="0" w:firstColumn="1" w:lastColumn="0" w:noHBand="0" w:noVBand="1"/>
      </w:tblPr>
      <w:tblGrid>
        <w:gridCol w:w="1838"/>
        <w:gridCol w:w="2265"/>
        <w:gridCol w:w="2555"/>
        <w:gridCol w:w="2265"/>
      </w:tblGrid>
      <w:tr w:rsidR="00FA2BE1" w:rsidRPr="003E167B" w14:paraId="42FC5425" w14:textId="77777777" w:rsidTr="00841616">
        <w:tc>
          <w:tcPr>
            <w:tcW w:w="1838" w:type="dxa"/>
          </w:tcPr>
          <w:p w14:paraId="3CD828EE" w14:textId="77777777" w:rsidR="00FA2BE1" w:rsidRPr="003E167B" w:rsidRDefault="00FA2BE1" w:rsidP="00841616">
            <w:pPr>
              <w:rPr>
                <w:i/>
                <w:sz w:val="20"/>
              </w:rPr>
            </w:pPr>
            <w:r w:rsidRPr="003E167B">
              <w:rPr>
                <w:i/>
                <w:sz w:val="20"/>
              </w:rPr>
              <w:t>Date Amended</w:t>
            </w:r>
          </w:p>
        </w:tc>
        <w:tc>
          <w:tcPr>
            <w:tcW w:w="2265" w:type="dxa"/>
          </w:tcPr>
          <w:p w14:paraId="4BA70D6C" w14:textId="77777777" w:rsidR="00FA2BE1" w:rsidRPr="003E167B" w:rsidRDefault="00FA2BE1" w:rsidP="00841616">
            <w:pPr>
              <w:rPr>
                <w:i/>
                <w:sz w:val="20"/>
              </w:rPr>
            </w:pPr>
            <w:r w:rsidRPr="003E167B">
              <w:rPr>
                <w:i/>
                <w:sz w:val="20"/>
              </w:rPr>
              <w:t>Section Amended</w:t>
            </w:r>
          </w:p>
        </w:tc>
        <w:tc>
          <w:tcPr>
            <w:tcW w:w="2555" w:type="dxa"/>
          </w:tcPr>
          <w:p w14:paraId="62BAD5B4" w14:textId="77777777" w:rsidR="00FA2BE1" w:rsidRPr="003E167B" w:rsidRDefault="00FA2BE1" w:rsidP="00841616">
            <w:pPr>
              <w:rPr>
                <w:i/>
                <w:sz w:val="20"/>
              </w:rPr>
            </w:pPr>
            <w:r w:rsidRPr="003E167B">
              <w:rPr>
                <w:i/>
                <w:sz w:val="20"/>
              </w:rPr>
              <w:t>Divisional Approval</w:t>
            </w:r>
          </w:p>
        </w:tc>
        <w:tc>
          <w:tcPr>
            <w:tcW w:w="2265" w:type="dxa"/>
          </w:tcPr>
          <w:p w14:paraId="34A542B1" w14:textId="77777777" w:rsidR="00FA2BE1" w:rsidRPr="003E167B" w:rsidRDefault="00FA2BE1" w:rsidP="00841616">
            <w:pPr>
              <w:rPr>
                <w:i/>
                <w:sz w:val="20"/>
              </w:rPr>
            </w:pPr>
            <w:r w:rsidRPr="003E167B">
              <w:rPr>
                <w:i/>
                <w:sz w:val="20"/>
              </w:rPr>
              <w:t xml:space="preserve">Final Approval </w:t>
            </w:r>
          </w:p>
        </w:tc>
      </w:tr>
      <w:tr w:rsidR="00FA2BE1" w:rsidRPr="003E167B" w14:paraId="7BB0EFD0" w14:textId="77777777" w:rsidTr="00841616">
        <w:tc>
          <w:tcPr>
            <w:tcW w:w="1838" w:type="dxa"/>
          </w:tcPr>
          <w:p w14:paraId="6534F318" w14:textId="77777777" w:rsidR="00FA2BE1" w:rsidRPr="003E167B" w:rsidRDefault="00FA2BE1" w:rsidP="00841616">
            <w:pPr>
              <w:rPr>
                <w:i/>
                <w:sz w:val="20"/>
              </w:rPr>
            </w:pPr>
            <w:r>
              <w:rPr>
                <w:i/>
                <w:sz w:val="20"/>
              </w:rPr>
              <w:t>24 June 2022</w:t>
            </w:r>
          </w:p>
        </w:tc>
        <w:tc>
          <w:tcPr>
            <w:tcW w:w="2265" w:type="dxa"/>
          </w:tcPr>
          <w:p w14:paraId="3B5ECFE3" w14:textId="77777777" w:rsidR="00FA2BE1" w:rsidRPr="003E167B" w:rsidRDefault="00FA2BE1" w:rsidP="00841616">
            <w:pPr>
              <w:rPr>
                <w:i/>
                <w:sz w:val="20"/>
              </w:rPr>
            </w:pPr>
            <w:r>
              <w:rPr>
                <w:i/>
                <w:sz w:val="20"/>
              </w:rPr>
              <w:t>Complete Review</w:t>
            </w:r>
          </w:p>
        </w:tc>
        <w:tc>
          <w:tcPr>
            <w:tcW w:w="2555" w:type="dxa"/>
          </w:tcPr>
          <w:p w14:paraId="3F5A0E15" w14:textId="77777777" w:rsidR="00FA2BE1" w:rsidRPr="003E167B" w:rsidRDefault="00FA2BE1" w:rsidP="00841616">
            <w:pPr>
              <w:rPr>
                <w:i/>
                <w:sz w:val="20"/>
              </w:rPr>
            </w:pPr>
            <w:r>
              <w:rPr>
                <w:i/>
                <w:sz w:val="20"/>
              </w:rPr>
              <w:t>Melissa O’Brien, ED-CAS</w:t>
            </w:r>
          </w:p>
        </w:tc>
        <w:tc>
          <w:tcPr>
            <w:tcW w:w="2265" w:type="dxa"/>
          </w:tcPr>
          <w:p w14:paraId="7CDB1491" w14:textId="77777777" w:rsidR="00FA2BE1" w:rsidRPr="003E167B" w:rsidRDefault="00FA2BE1" w:rsidP="00841616">
            <w:pPr>
              <w:rPr>
                <w:i/>
                <w:sz w:val="20"/>
              </w:rPr>
            </w:pPr>
            <w:r>
              <w:rPr>
                <w:i/>
                <w:sz w:val="20"/>
              </w:rPr>
              <w:t>CHS Policy Committee</w:t>
            </w:r>
          </w:p>
        </w:tc>
      </w:tr>
      <w:tr w:rsidR="00FA2BE1" w:rsidRPr="003E167B" w14:paraId="71969E20" w14:textId="77777777" w:rsidTr="00841616">
        <w:tc>
          <w:tcPr>
            <w:tcW w:w="1838" w:type="dxa"/>
          </w:tcPr>
          <w:p w14:paraId="4DED098E" w14:textId="77777777" w:rsidR="00FA2BE1" w:rsidRPr="003E167B" w:rsidRDefault="00FA2BE1" w:rsidP="00841616">
            <w:pPr>
              <w:rPr>
                <w:i/>
                <w:sz w:val="20"/>
              </w:rPr>
            </w:pPr>
            <w:r>
              <w:rPr>
                <w:i/>
                <w:sz w:val="20"/>
              </w:rPr>
              <w:t>16 November 2023</w:t>
            </w:r>
          </w:p>
        </w:tc>
        <w:tc>
          <w:tcPr>
            <w:tcW w:w="2265" w:type="dxa"/>
          </w:tcPr>
          <w:p w14:paraId="19946454" w14:textId="77777777" w:rsidR="00FA2BE1" w:rsidRPr="003E167B" w:rsidRDefault="00FA2BE1" w:rsidP="00841616">
            <w:pPr>
              <w:rPr>
                <w:i/>
                <w:sz w:val="20"/>
              </w:rPr>
            </w:pPr>
            <w:r>
              <w:rPr>
                <w:i/>
                <w:sz w:val="20"/>
              </w:rPr>
              <w:t>Amendment to Section 8</w:t>
            </w:r>
          </w:p>
        </w:tc>
        <w:tc>
          <w:tcPr>
            <w:tcW w:w="2555" w:type="dxa"/>
          </w:tcPr>
          <w:p w14:paraId="6CD9B8E3" w14:textId="77777777" w:rsidR="00FA2BE1" w:rsidRPr="003E167B" w:rsidRDefault="00FA2BE1" w:rsidP="00841616">
            <w:pPr>
              <w:rPr>
                <w:i/>
                <w:sz w:val="20"/>
              </w:rPr>
            </w:pPr>
            <w:r>
              <w:rPr>
                <w:i/>
                <w:sz w:val="20"/>
              </w:rPr>
              <w:t>Dr Katrina Randall Staff Specialist CAS</w:t>
            </w:r>
          </w:p>
        </w:tc>
        <w:tc>
          <w:tcPr>
            <w:tcW w:w="2265" w:type="dxa"/>
          </w:tcPr>
          <w:p w14:paraId="7796DC84" w14:textId="77777777" w:rsidR="00FA2BE1" w:rsidRPr="003E167B" w:rsidRDefault="00FA2BE1" w:rsidP="00841616">
            <w:pPr>
              <w:rPr>
                <w:i/>
                <w:sz w:val="20"/>
              </w:rPr>
            </w:pPr>
            <w:r>
              <w:rPr>
                <w:i/>
                <w:sz w:val="20"/>
              </w:rPr>
              <w:t xml:space="preserve">CHS Policy Team </w:t>
            </w:r>
          </w:p>
        </w:tc>
      </w:tr>
    </w:tbl>
    <w:p w14:paraId="3A3D1A4D" w14:textId="77777777" w:rsidR="00FA2BE1" w:rsidRPr="003E167B" w:rsidRDefault="00FA2BE1" w:rsidP="00FA2BE1">
      <w:pPr>
        <w:rPr>
          <w:rFonts w:cs="Arial"/>
          <w:sz w:val="20"/>
        </w:rPr>
      </w:pPr>
    </w:p>
    <w:p w14:paraId="5526CC5F" w14:textId="77777777" w:rsidR="00FA2BE1" w:rsidRPr="003E167B" w:rsidRDefault="00FA2BE1" w:rsidP="00FA2BE1">
      <w:pPr>
        <w:rPr>
          <w:rFonts w:cs="Arial"/>
          <w:i/>
          <w:sz w:val="20"/>
        </w:rPr>
      </w:pPr>
      <w:r w:rsidRPr="003E167B">
        <w:rPr>
          <w:rFonts w:cs="Arial"/>
          <w:i/>
          <w:sz w:val="20"/>
        </w:rPr>
        <w:t xml:space="preserve">This document supersedes the following: </w:t>
      </w:r>
    </w:p>
    <w:tbl>
      <w:tblPr>
        <w:tblStyle w:val="TableGrid"/>
        <w:tblW w:w="0" w:type="auto"/>
        <w:tblLook w:val="04A0" w:firstRow="1" w:lastRow="0" w:firstColumn="1" w:lastColumn="0" w:noHBand="0" w:noVBand="1"/>
      </w:tblPr>
      <w:tblGrid>
        <w:gridCol w:w="1838"/>
        <w:gridCol w:w="7088"/>
      </w:tblGrid>
      <w:tr w:rsidR="00FA2BE1" w:rsidRPr="003E167B" w14:paraId="31DA6F1E" w14:textId="77777777" w:rsidTr="00841616">
        <w:tc>
          <w:tcPr>
            <w:tcW w:w="1838" w:type="dxa"/>
          </w:tcPr>
          <w:p w14:paraId="4C7B2E87" w14:textId="77777777" w:rsidR="00FA2BE1" w:rsidRPr="003E167B" w:rsidRDefault="00FA2BE1" w:rsidP="00841616">
            <w:pPr>
              <w:rPr>
                <w:i/>
                <w:sz w:val="20"/>
              </w:rPr>
            </w:pPr>
            <w:r w:rsidRPr="003E167B">
              <w:rPr>
                <w:i/>
                <w:sz w:val="20"/>
              </w:rPr>
              <w:t>Document Number</w:t>
            </w:r>
          </w:p>
        </w:tc>
        <w:tc>
          <w:tcPr>
            <w:tcW w:w="7088" w:type="dxa"/>
          </w:tcPr>
          <w:p w14:paraId="2CB4DEF7" w14:textId="77777777" w:rsidR="00FA2BE1" w:rsidRPr="003E167B" w:rsidRDefault="00FA2BE1" w:rsidP="00841616">
            <w:pPr>
              <w:rPr>
                <w:i/>
                <w:sz w:val="20"/>
              </w:rPr>
            </w:pPr>
            <w:r w:rsidRPr="003E167B">
              <w:rPr>
                <w:i/>
                <w:sz w:val="20"/>
              </w:rPr>
              <w:t>Document Name</w:t>
            </w:r>
          </w:p>
        </w:tc>
      </w:tr>
      <w:tr w:rsidR="00FA2BE1" w:rsidRPr="003E167B" w14:paraId="4B305619" w14:textId="77777777" w:rsidTr="00841616">
        <w:tc>
          <w:tcPr>
            <w:tcW w:w="1838" w:type="dxa"/>
          </w:tcPr>
          <w:p w14:paraId="23E58D05" w14:textId="77777777" w:rsidR="00FA2BE1" w:rsidRPr="003E167B" w:rsidRDefault="00FA2BE1" w:rsidP="00841616">
            <w:pPr>
              <w:rPr>
                <w:i/>
                <w:sz w:val="20"/>
              </w:rPr>
            </w:pPr>
            <w:r>
              <w:rPr>
                <w:i/>
                <w:sz w:val="20"/>
              </w:rPr>
              <w:t>CHS21/281</w:t>
            </w:r>
          </w:p>
        </w:tc>
        <w:tc>
          <w:tcPr>
            <w:tcW w:w="7088" w:type="dxa"/>
          </w:tcPr>
          <w:p w14:paraId="385FB85B" w14:textId="77777777" w:rsidR="00FA2BE1" w:rsidRPr="003E167B" w:rsidRDefault="00FA2BE1" w:rsidP="00841616">
            <w:pPr>
              <w:rPr>
                <w:i/>
                <w:sz w:val="20"/>
              </w:rPr>
            </w:pPr>
            <w:r>
              <w:rPr>
                <w:i/>
                <w:sz w:val="20"/>
              </w:rPr>
              <w:t>Management of Anaphylaxis in Adults and Children</w:t>
            </w:r>
          </w:p>
        </w:tc>
      </w:tr>
      <w:tr w:rsidR="00FA2BE1" w:rsidRPr="003E167B" w14:paraId="06C99757" w14:textId="77777777" w:rsidTr="00841616">
        <w:tc>
          <w:tcPr>
            <w:tcW w:w="1838" w:type="dxa"/>
          </w:tcPr>
          <w:p w14:paraId="1863CB29" w14:textId="77777777" w:rsidR="00FA2BE1" w:rsidRPr="003E167B" w:rsidRDefault="00FA2BE1" w:rsidP="00841616">
            <w:pPr>
              <w:rPr>
                <w:i/>
                <w:sz w:val="20"/>
              </w:rPr>
            </w:pPr>
          </w:p>
        </w:tc>
        <w:tc>
          <w:tcPr>
            <w:tcW w:w="7088" w:type="dxa"/>
          </w:tcPr>
          <w:p w14:paraId="4775A1B6" w14:textId="77777777" w:rsidR="00FA2BE1" w:rsidRPr="003E167B" w:rsidRDefault="00FA2BE1" w:rsidP="00841616">
            <w:pPr>
              <w:rPr>
                <w:i/>
                <w:sz w:val="20"/>
              </w:rPr>
            </w:pPr>
          </w:p>
        </w:tc>
      </w:tr>
    </w:tbl>
    <w:p w14:paraId="7EBF9E5F" w14:textId="77777777" w:rsidR="00FA2BE1" w:rsidRDefault="00FA2BE1" w:rsidP="00FA2BE1">
      <w:pPr>
        <w:rPr>
          <w:i/>
          <w:sz w:val="20"/>
          <w:szCs w:val="24"/>
        </w:rPr>
      </w:pPr>
    </w:p>
    <w:p w14:paraId="182BA471" w14:textId="77777777" w:rsidR="00FA2BE1" w:rsidRDefault="00FA2BE1" w:rsidP="00FA2BE1">
      <w:pPr>
        <w:rPr>
          <w:i/>
          <w:sz w:val="20"/>
          <w:szCs w:val="24"/>
        </w:rPr>
      </w:pPr>
    </w:p>
    <w:p w14:paraId="5D503554" w14:textId="77777777" w:rsidR="00FA2BE1" w:rsidRDefault="00FA2BE1" w:rsidP="00FA2BE1">
      <w:pPr>
        <w:rPr>
          <w:i/>
          <w:sz w:val="20"/>
          <w:szCs w:val="24"/>
        </w:rPr>
        <w:sectPr w:rsidR="00FA2BE1" w:rsidSect="00FA2BE1">
          <w:headerReference w:type="default" r:id="rId31"/>
          <w:footerReference w:type="default" r:id="rId32"/>
          <w:pgSz w:w="11906" w:h="16838"/>
          <w:pgMar w:top="663" w:right="1418" w:bottom="1440" w:left="1418" w:header="357" w:footer="306" w:gutter="0"/>
          <w:cols w:space="708"/>
          <w:docGrid w:linePitch="360"/>
        </w:sectPr>
      </w:pPr>
    </w:p>
    <w:p w14:paraId="691AACC8" w14:textId="77777777" w:rsidR="00FA2BE1" w:rsidRDefault="00FA2BE1" w:rsidP="00FA2BE1">
      <w:pPr>
        <w:pStyle w:val="Heading2"/>
      </w:pPr>
      <w:r>
        <w:lastRenderedPageBreak/>
        <w:t>Attachment A: Anaphylaxis Action Plan</w:t>
      </w:r>
    </w:p>
    <w:p w14:paraId="3F63699F" w14:textId="77777777" w:rsidR="00FA2BE1" w:rsidRDefault="00FA2BE1" w:rsidP="00FA2BE1">
      <w:r w:rsidRPr="00D539C8">
        <w:rPr>
          <w:rStyle w:val="FollowedHyperlink"/>
          <w:noProof/>
        </w:rPr>
        <w:drawing>
          <wp:anchor distT="0" distB="0" distL="114300" distR="114300" simplePos="0" relativeHeight="251660288" behindDoc="0" locked="0" layoutInCell="1" allowOverlap="1" wp14:anchorId="4CD54D47" wp14:editId="2E028D69">
            <wp:simplePos x="0" y="0"/>
            <wp:positionH relativeFrom="margin">
              <wp:align>left</wp:align>
            </wp:positionH>
            <wp:positionV relativeFrom="paragraph">
              <wp:posOffset>369570</wp:posOffset>
            </wp:positionV>
            <wp:extent cx="6438900" cy="679132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8900" cy="679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7C0FE" w14:textId="77777777" w:rsidR="00FA2BE1" w:rsidRDefault="00FA2BE1" w:rsidP="00FA2BE1">
      <w:r>
        <w:t xml:space="preserve">Accessed from </w:t>
      </w:r>
      <w:hyperlink r:id="rId34" w:history="1">
        <w:r w:rsidRPr="008F3405">
          <w:rPr>
            <w:rStyle w:val="Hyperlink"/>
          </w:rPr>
          <w:t>https://www.allergy.org.au/images/stories/anaphylaxis/2020/ASCIA_Action_Plan_Anaphylaxis_EpiP en_Red_2020.pdf</w:t>
        </w:r>
      </w:hyperlink>
      <w:r>
        <w:t xml:space="preserve"> </w:t>
      </w:r>
    </w:p>
    <w:p w14:paraId="6713AE02" w14:textId="77777777" w:rsidR="00FA2BE1" w:rsidRDefault="00FA2BE1" w:rsidP="00FA2BE1"/>
    <w:p w14:paraId="7907657B" w14:textId="77777777" w:rsidR="00FA2BE1" w:rsidRDefault="00FA2BE1" w:rsidP="00FA2BE1">
      <w:pPr>
        <w:spacing w:after="200" w:line="276" w:lineRule="auto"/>
      </w:pPr>
      <w:r>
        <w:br w:type="page"/>
      </w:r>
    </w:p>
    <w:p w14:paraId="2BCD08F6" w14:textId="77777777" w:rsidR="00FA2BE1" w:rsidRDefault="00FA2BE1" w:rsidP="00FA2BE1">
      <w:pPr>
        <w:pStyle w:val="Heading2"/>
      </w:pPr>
      <w:r>
        <w:lastRenderedPageBreak/>
        <w:t xml:space="preserve">Attachment B: In hospital checklist for patients own use of adrenaline (epinephrine) </w:t>
      </w:r>
      <w:proofErr w:type="gramStart"/>
      <w:r>
        <w:t>autoinjectors</w:t>
      </w:r>
      <w:proofErr w:type="gramEnd"/>
    </w:p>
    <w:p w14:paraId="73DD80C8" w14:textId="77777777" w:rsidR="00FA2BE1" w:rsidRDefault="00FA2BE1" w:rsidP="00FA2BE1">
      <w:r w:rsidRPr="00872B42">
        <w:rPr>
          <w:noProof/>
          <w:sz w:val="20"/>
        </w:rPr>
        <w:drawing>
          <wp:inline distT="0" distB="0" distL="0" distR="0" wp14:anchorId="32F7CF36" wp14:editId="67D50AD4">
            <wp:extent cx="5476875" cy="7737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4363" cy="7748156"/>
                    </a:xfrm>
                    <a:prstGeom prst="rect">
                      <a:avLst/>
                    </a:prstGeom>
                  </pic:spPr>
                </pic:pic>
              </a:graphicData>
            </a:graphic>
          </wp:inline>
        </w:drawing>
      </w:r>
    </w:p>
    <w:p w14:paraId="13A27A6F" w14:textId="77777777" w:rsidR="00FA2BE1" w:rsidRDefault="00FA2BE1" w:rsidP="00FA2BE1">
      <w:pPr>
        <w:sectPr w:rsidR="00FA2BE1" w:rsidSect="00FA2BE1">
          <w:pgSz w:w="11906" w:h="16838"/>
          <w:pgMar w:top="663" w:right="1418" w:bottom="1440" w:left="1418" w:header="357" w:footer="306" w:gutter="0"/>
          <w:cols w:space="708"/>
          <w:docGrid w:linePitch="360"/>
        </w:sectPr>
      </w:pPr>
    </w:p>
    <w:p w14:paraId="5B3FBEE0" w14:textId="77777777" w:rsidR="00FA2BE1" w:rsidRDefault="00FA2BE1" w:rsidP="00FA2BE1">
      <w:pPr>
        <w:pStyle w:val="Heading2"/>
      </w:pPr>
      <w:r>
        <w:lastRenderedPageBreak/>
        <w:t>Attachment C: Schematic Flow Chart</w:t>
      </w:r>
    </w:p>
    <w:p w14:paraId="378A8D50" w14:textId="77777777" w:rsidR="00FA2BE1" w:rsidRDefault="00FA2BE1" w:rsidP="00FA2BE1">
      <w:pPr>
        <w:sectPr w:rsidR="00FA2BE1" w:rsidSect="00FA2BE1">
          <w:pgSz w:w="16838" w:h="11906" w:orient="landscape"/>
          <w:pgMar w:top="1418" w:right="1440" w:bottom="1418" w:left="663" w:header="357" w:footer="306" w:gutter="0"/>
          <w:cols w:space="708"/>
          <w:docGrid w:linePitch="360"/>
        </w:sectPr>
      </w:pPr>
      <w:r w:rsidRPr="00585E36">
        <w:rPr>
          <w:rFonts w:cs="Calibri"/>
          <w:noProof/>
          <w:sz w:val="22"/>
          <w:szCs w:val="22"/>
          <w:lang w:eastAsia="en-AU"/>
        </w:rPr>
        <w:drawing>
          <wp:inline distT="0" distB="0" distL="0" distR="0" wp14:anchorId="730D5A67" wp14:editId="62521721">
            <wp:extent cx="9156700" cy="51244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56700" cy="5124450"/>
                    </a:xfrm>
                    <a:prstGeom prst="rect">
                      <a:avLst/>
                    </a:prstGeom>
                  </pic:spPr>
                </pic:pic>
              </a:graphicData>
            </a:graphic>
          </wp:inline>
        </w:drawing>
      </w:r>
    </w:p>
    <w:p w14:paraId="595C0C27" w14:textId="77777777" w:rsidR="00FA2BE1" w:rsidRDefault="00FA2BE1" w:rsidP="00FA2BE1">
      <w:pPr>
        <w:pStyle w:val="Heading2"/>
      </w:pPr>
      <w:r>
        <w:lastRenderedPageBreak/>
        <w:t>Attachment D: Basic Life Support Chart</w:t>
      </w:r>
    </w:p>
    <w:p w14:paraId="3B4B290F" w14:textId="77777777" w:rsidR="00FA2BE1" w:rsidRDefault="00FA2BE1" w:rsidP="00FA2BE1">
      <w:r w:rsidRPr="00585E36">
        <w:rPr>
          <w:rFonts w:ascii="Times New Roman" w:hAnsi="Times New Roman"/>
          <w:b/>
          <w:bCs/>
          <w:noProof/>
          <w:sz w:val="22"/>
          <w:szCs w:val="22"/>
          <w:lang w:eastAsia="en-AU"/>
        </w:rPr>
        <w:drawing>
          <wp:inline distT="0" distB="0" distL="0" distR="0" wp14:anchorId="024E349E" wp14:editId="0D454CE5">
            <wp:extent cx="5343525" cy="7343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7343775"/>
                    </a:xfrm>
                    <a:prstGeom prst="rect">
                      <a:avLst/>
                    </a:prstGeom>
                    <a:noFill/>
                    <a:ln>
                      <a:noFill/>
                    </a:ln>
                  </pic:spPr>
                </pic:pic>
              </a:graphicData>
            </a:graphic>
          </wp:inline>
        </w:drawing>
      </w:r>
    </w:p>
    <w:p w14:paraId="4D72E5B6" w14:textId="77777777" w:rsidR="00FA2BE1" w:rsidRDefault="00FA2BE1" w:rsidP="00FA2BE1">
      <w:pPr>
        <w:spacing w:after="200" w:line="276" w:lineRule="auto"/>
      </w:pPr>
      <w:r>
        <w:br w:type="page"/>
      </w:r>
    </w:p>
    <w:p w14:paraId="4BE358F9" w14:textId="77777777" w:rsidR="00FA2BE1" w:rsidRDefault="00FA2BE1" w:rsidP="00FA2BE1">
      <w:pPr>
        <w:pStyle w:val="Heading2"/>
      </w:pPr>
      <w:r>
        <w:lastRenderedPageBreak/>
        <w:t xml:space="preserve">Attachment E: How to use an </w:t>
      </w:r>
      <w:proofErr w:type="spellStart"/>
      <w:proofErr w:type="gramStart"/>
      <w:r>
        <w:t>Epipen</w:t>
      </w:r>
      <w:proofErr w:type="spellEnd"/>
      <w:proofErr w:type="gramEnd"/>
      <w:r>
        <w:t xml:space="preserve"> </w:t>
      </w:r>
    </w:p>
    <w:p w14:paraId="6BD92AD6" w14:textId="77777777" w:rsidR="00FA2BE1" w:rsidRDefault="00FA2BE1" w:rsidP="00FA2BE1">
      <w:r>
        <w:rPr>
          <w:rFonts w:ascii="Times New Roman" w:hAnsi="Times New Roman"/>
          <w:noProof/>
        </w:rPr>
        <w:drawing>
          <wp:inline distT="0" distB="0" distL="0" distR="0" wp14:anchorId="36A3A936" wp14:editId="3F9F5A0B">
            <wp:extent cx="5734050" cy="7419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7419975"/>
                    </a:xfrm>
                    <a:prstGeom prst="rect">
                      <a:avLst/>
                    </a:prstGeom>
                    <a:noFill/>
                    <a:ln>
                      <a:noFill/>
                    </a:ln>
                  </pic:spPr>
                </pic:pic>
              </a:graphicData>
            </a:graphic>
          </wp:inline>
        </w:drawing>
      </w:r>
    </w:p>
    <w:p w14:paraId="054D408B" w14:textId="77777777" w:rsidR="00FA2BE1" w:rsidRDefault="00FA2BE1" w:rsidP="00FA2BE1">
      <w:pPr>
        <w:rPr>
          <w:color w:val="0000FF"/>
          <w:spacing w:val="-2"/>
          <w:sz w:val="22"/>
          <w:szCs w:val="22"/>
          <w:u w:val="single"/>
        </w:rPr>
      </w:pPr>
      <w:r>
        <w:t xml:space="preserve">Accessed from: </w:t>
      </w:r>
      <w:hyperlink r:id="rId39" w:history="1">
        <w:r>
          <w:rPr>
            <w:color w:val="0000FF"/>
            <w:spacing w:val="-2"/>
            <w:sz w:val="22"/>
            <w:szCs w:val="22"/>
            <w:u w:val="single"/>
          </w:rPr>
          <w:t>https://www.allergy.org.au/images/stories/anaphylaxis/2018/ASCIA_PCC_How_to_give_EpiPen_201</w:t>
        </w:r>
      </w:hyperlink>
      <w:r>
        <w:rPr>
          <w:color w:val="0000FF"/>
          <w:spacing w:val="-2"/>
          <w:sz w:val="22"/>
          <w:szCs w:val="22"/>
        </w:rPr>
        <w:t xml:space="preserve"> </w:t>
      </w:r>
      <w:hyperlink r:id="rId40" w:history="1">
        <w:r>
          <w:rPr>
            <w:color w:val="0000FF"/>
            <w:spacing w:val="-2"/>
            <w:sz w:val="22"/>
            <w:szCs w:val="22"/>
            <w:u w:val="single"/>
          </w:rPr>
          <w:t>8.pdf</w:t>
        </w:r>
      </w:hyperlink>
    </w:p>
    <w:p w14:paraId="7FB1BE14" w14:textId="77777777" w:rsidR="00FA2BE1" w:rsidRDefault="00FA2BE1" w:rsidP="00FA2BE1">
      <w:pPr>
        <w:sectPr w:rsidR="00FA2BE1" w:rsidSect="00FA2BE1">
          <w:pgSz w:w="11906" w:h="16838"/>
          <w:pgMar w:top="663" w:right="1418" w:bottom="1440" w:left="1418" w:header="357" w:footer="306" w:gutter="0"/>
          <w:cols w:space="708"/>
          <w:docGrid w:linePitch="360"/>
        </w:sectPr>
      </w:pPr>
    </w:p>
    <w:p w14:paraId="60D5FE33" w14:textId="77777777" w:rsidR="00FA2BE1" w:rsidRDefault="00FA2BE1" w:rsidP="00FA2BE1">
      <w:pPr>
        <w:pStyle w:val="Heading2"/>
      </w:pPr>
      <w:r>
        <w:lastRenderedPageBreak/>
        <w:t xml:space="preserve">Attachment F: How to use an </w:t>
      </w:r>
      <w:proofErr w:type="spellStart"/>
      <w:proofErr w:type="gramStart"/>
      <w:r>
        <w:t>Anapen</w:t>
      </w:r>
      <w:proofErr w:type="spellEnd"/>
      <w:proofErr w:type="gramEnd"/>
    </w:p>
    <w:p w14:paraId="0C85CAF7" w14:textId="77777777" w:rsidR="00FA2BE1" w:rsidRDefault="00FA2BE1" w:rsidP="00FA2BE1"/>
    <w:p w14:paraId="03C81072" w14:textId="77777777" w:rsidR="00FA2BE1" w:rsidRDefault="00FA2BE1" w:rsidP="00FA2BE1">
      <w:pPr>
        <w:pStyle w:val="BodyText"/>
        <w:kinsoku w:val="0"/>
        <w:overflowPunct w:val="0"/>
        <w:spacing w:before="119"/>
        <w:ind w:left="124"/>
        <w:rPr>
          <w:rFonts w:ascii="Lucida Sans" w:hAnsi="Lucida Sans" w:cs="Lucida Sans"/>
          <w:b/>
          <w:bCs/>
          <w:color w:val="812C77"/>
          <w:spacing w:val="-2"/>
        </w:rPr>
      </w:pPr>
      <w:bookmarkStart w:id="112" w:name="How_To_Use"/>
      <w:bookmarkStart w:id="113" w:name="Anapen®_is_administered_via_a_simple,_4_"/>
      <w:bookmarkEnd w:id="112"/>
      <w:bookmarkEnd w:id="113"/>
      <w:proofErr w:type="spellStart"/>
      <w:r>
        <w:rPr>
          <w:rFonts w:ascii="Lucida Sans" w:hAnsi="Lucida Sans" w:cs="Lucida Sans"/>
          <w:b/>
          <w:bCs/>
          <w:color w:val="812C77"/>
        </w:rPr>
        <w:t>Anapen</w:t>
      </w:r>
      <w:proofErr w:type="spellEnd"/>
      <w:r>
        <w:rPr>
          <w:rFonts w:ascii="Lucida Sans" w:hAnsi="Lucida Sans" w:cs="Lucida Sans"/>
          <w:b/>
          <w:bCs/>
          <w:color w:val="812C77"/>
        </w:rPr>
        <w:t>®</w:t>
      </w:r>
      <w:r>
        <w:rPr>
          <w:rFonts w:ascii="Lucida Sans" w:hAnsi="Lucida Sans" w:cs="Lucida Sans"/>
          <w:b/>
          <w:bCs/>
          <w:color w:val="812C77"/>
          <w:spacing w:val="-9"/>
        </w:rPr>
        <w:t xml:space="preserve"> </w:t>
      </w:r>
      <w:r>
        <w:rPr>
          <w:rFonts w:ascii="Lucida Sans" w:hAnsi="Lucida Sans" w:cs="Lucida Sans"/>
          <w:b/>
          <w:bCs/>
          <w:color w:val="812C77"/>
        </w:rPr>
        <w:t>is</w:t>
      </w:r>
      <w:r>
        <w:rPr>
          <w:rFonts w:ascii="Lucida Sans" w:hAnsi="Lucida Sans" w:cs="Lucida Sans"/>
          <w:b/>
          <w:bCs/>
          <w:color w:val="812C77"/>
          <w:spacing w:val="-20"/>
        </w:rPr>
        <w:t xml:space="preserve"> </w:t>
      </w:r>
      <w:r>
        <w:rPr>
          <w:rFonts w:ascii="Lucida Sans" w:hAnsi="Lucida Sans" w:cs="Lucida Sans"/>
          <w:b/>
          <w:bCs/>
          <w:color w:val="812C77"/>
        </w:rPr>
        <w:t>administered</w:t>
      </w:r>
      <w:r>
        <w:rPr>
          <w:rFonts w:ascii="Lucida Sans" w:hAnsi="Lucida Sans" w:cs="Lucida Sans"/>
          <w:b/>
          <w:bCs/>
          <w:color w:val="812C77"/>
          <w:spacing w:val="16"/>
        </w:rPr>
        <w:t xml:space="preserve"> </w:t>
      </w:r>
      <w:r>
        <w:rPr>
          <w:rFonts w:ascii="Lucida Sans" w:hAnsi="Lucida Sans" w:cs="Lucida Sans"/>
          <w:b/>
          <w:bCs/>
          <w:color w:val="812C77"/>
        </w:rPr>
        <w:t>via</w:t>
      </w:r>
      <w:r>
        <w:rPr>
          <w:rFonts w:ascii="Lucida Sans" w:hAnsi="Lucida Sans" w:cs="Lucida Sans"/>
          <w:b/>
          <w:bCs/>
          <w:color w:val="812C77"/>
          <w:spacing w:val="-17"/>
        </w:rPr>
        <w:t xml:space="preserve"> </w:t>
      </w:r>
      <w:r>
        <w:rPr>
          <w:rFonts w:ascii="Lucida Sans" w:hAnsi="Lucida Sans" w:cs="Lucida Sans"/>
          <w:b/>
          <w:bCs/>
          <w:color w:val="812C77"/>
        </w:rPr>
        <w:t>a</w:t>
      </w:r>
      <w:r>
        <w:rPr>
          <w:rFonts w:ascii="Lucida Sans" w:hAnsi="Lucida Sans" w:cs="Lucida Sans"/>
          <w:b/>
          <w:bCs/>
          <w:color w:val="812C77"/>
          <w:spacing w:val="-32"/>
        </w:rPr>
        <w:t xml:space="preserve"> </w:t>
      </w:r>
      <w:r>
        <w:rPr>
          <w:rFonts w:ascii="Lucida Sans" w:hAnsi="Lucida Sans" w:cs="Lucida Sans"/>
          <w:b/>
          <w:bCs/>
          <w:color w:val="812C77"/>
        </w:rPr>
        <w:t>simple,</w:t>
      </w:r>
      <w:r>
        <w:rPr>
          <w:rFonts w:ascii="Lucida Sans" w:hAnsi="Lucida Sans" w:cs="Lucida Sans"/>
          <w:b/>
          <w:bCs/>
          <w:color w:val="812C77"/>
          <w:spacing w:val="-2"/>
        </w:rPr>
        <w:t xml:space="preserve"> </w:t>
      </w:r>
      <w:r>
        <w:rPr>
          <w:rFonts w:ascii="Lucida Sans" w:hAnsi="Lucida Sans" w:cs="Lucida Sans"/>
          <w:b/>
          <w:bCs/>
          <w:color w:val="812C77"/>
        </w:rPr>
        <w:t>4</w:t>
      </w:r>
      <w:r>
        <w:rPr>
          <w:rFonts w:ascii="Lucida Sans" w:hAnsi="Lucida Sans" w:cs="Lucida Sans"/>
          <w:b/>
          <w:bCs/>
          <w:color w:val="812C77"/>
          <w:spacing w:val="-16"/>
        </w:rPr>
        <w:t xml:space="preserve"> </w:t>
      </w:r>
      <w:r>
        <w:rPr>
          <w:rFonts w:ascii="Lucida Sans" w:hAnsi="Lucida Sans" w:cs="Lucida Sans"/>
          <w:b/>
          <w:bCs/>
          <w:color w:val="812C77"/>
        </w:rPr>
        <w:t>step</w:t>
      </w:r>
      <w:r>
        <w:rPr>
          <w:rFonts w:ascii="Lucida Sans" w:hAnsi="Lucida Sans" w:cs="Lucida Sans"/>
          <w:b/>
          <w:bCs/>
          <w:color w:val="812C77"/>
          <w:spacing w:val="-17"/>
        </w:rPr>
        <w:t xml:space="preserve"> </w:t>
      </w:r>
      <w:r>
        <w:rPr>
          <w:rFonts w:ascii="Lucida Sans" w:hAnsi="Lucida Sans" w:cs="Lucida Sans"/>
          <w:b/>
          <w:bCs/>
          <w:color w:val="812C77"/>
          <w:spacing w:val="-2"/>
        </w:rPr>
        <w:t>process</w:t>
      </w:r>
      <w:proofErr w:type="gramStart"/>
      <w:r>
        <w:rPr>
          <w:rFonts w:ascii="Lucida Sans" w:hAnsi="Lucida Sans" w:cs="Lucida Sans"/>
          <w:b/>
          <w:bCs/>
          <w:color w:val="812C77"/>
          <w:spacing w:val="-2"/>
        </w:rPr>
        <w:t>³</w:t>
      </w:r>
      <w:proofErr w:type="gramEnd"/>
    </w:p>
    <w:p w14:paraId="2D2B870F" w14:textId="77777777" w:rsidR="00FA2BE1" w:rsidRDefault="00FA2BE1" w:rsidP="00FA2BE1">
      <w:pPr>
        <w:pStyle w:val="BodyText"/>
        <w:kinsoku w:val="0"/>
        <w:overflowPunct w:val="0"/>
        <w:spacing w:before="119"/>
        <w:ind w:left="124"/>
        <w:rPr>
          <w:rFonts w:ascii="Lucida Sans" w:hAnsi="Lucida Sans" w:cs="Lucida Sans"/>
          <w:b/>
          <w:bCs/>
          <w:color w:val="812C77"/>
          <w:spacing w:val="-2"/>
        </w:rPr>
        <w:sectPr w:rsidR="00FA2BE1" w:rsidSect="00FA2BE1">
          <w:pgSz w:w="11910" w:h="16840"/>
          <w:pgMar w:top="1660" w:right="1300" w:bottom="760" w:left="1300" w:header="496" w:footer="564" w:gutter="0"/>
          <w:cols w:space="720"/>
          <w:noEndnote/>
        </w:sectPr>
      </w:pPr>
    </w:p>
    <w:p w14:paraId="79E91347" w14:textId="77777777" w:rsidR="00FA2BE1" w:rsidRDefault="00FA2BE1" w:rsidP="00FA2BE1">
      <w:pPr>
        <w:pStyle w:val="BodyText"/>
        <w:kinsoku w:val="0"/>
        <w:overflowPunct w:val="0"/>
        <w:spacing w:before="119"/>
        <w:ind w:left="124"/>
        <w:rPr>
          <w:rFonts w:ascii="Lucida Sans" w:hAnsi="Lucida Sans" w:cs="Lucida Sans"/>
          <w:b/>
          <w:bCs/>
          <w:color w:val="812C77"/>
          <w:spacing w:val="-2"/>
        </w:rPr>
      </w:pPr>
    </w:p>
    <w:p w14:paraId="7D9579E8" w14:textId="77777777" w:rsidR="00FA2BE1" w:rsidRDefault="00FA2BE1" w:rsidP="00FA2BE1">
      <w:pPr>
        <w:pStyle w:val="BodyText"/>
        <w:kinsoku w:val="0"/>
        <w:overflowPunct w:val="0"/>
        <w:spacing w:before="119"/>
        <w:ind w:left="124"/>
        <w:rPr>
          <w:rFonts w:ascii="Lucida Sans" w:hAnsi="Lucida Sans" w:cs="Lucida Sans"/>
          <w:b/>
          <w:bCs/>
          <w:color w:val="812C77"/>
          <w:spacing w:val="-2"/>
        </w:rPr>
      </w:pPr>
      <w:bookmarkStart w:id="114" w:name="_Hlk106984995"/>
      <w:bookmarkEnd w:id="114"/>
      <w:r>
        <w:rPr>
          <w:rFonts w:ascii="Times New Roman" w:hAnsi="Times New Roman"/>
          <w:noProof/>
        </w:rPr>
        <w:drawing>
          <wp:inline distT="0" distB="0" distL="0" distR="0" wp14:anchorId="5F4E35F4" wp14:editId="5678C94D">
            <wp:extent cx="2563200" cy="164880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3200" cy="1648800"/>
                    </a:xfrm>
                    <a:prstGeom prst="rect">
                      <a:avLst/>
                    </a:prstGeom>
                    <a:noFill/>
                    <a:ln>
                      <a:noFill/>
                    </a:ln>
                  </pic:spPr>
                </pic:pic>
              </a:graphicData>
            </a:graphic>
          </wp:inline>
        </w:drawing>
      </w:r>
    </w:p>
    <w:p w14:paraId="6A72C7DE" w14:textId="77777777" w:rsidR="00FA2BE1" w:rsidRDefault="00FA2BE1" w:rsidP="00FA2BE1">
      <w:pPr>
        <w:pStyle w:val="BodyText"/>
        <w:kinsoku w:val="0"/>
        <w:overflowPunct w:val="0"/>
        <w:ind w:left="118"/>
        <w:rPr>
          <w:rFonts w:ascii="Times New Roman" w:hAnsi="Times New Roman"/>
          <w:sz w:val="20"/>
        </w:rPr>
      </w:pPr>
      <w:r>
        <w:rPr>
          <w:rFonts w:ascii="Times New Roman" w:hAnsi="Times New Roman"/>
          <w:noProof/>
          <w:sz w:val="20"/>
        </w:rPr>
        <w:drawing>
          <wp:inline distT="0" distB="0" distL="0" distR="0" wp14:anchorId="72CF6BE2" wp14:editId="1A6A9FEF">
            <wp:extent cx="2533650" cy="1647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3650" cy="1647825"/>
                    </a:xfrm>
                    <a:prstGeom prst="rect">
                      <a:avLst/>
                    </a:prstGeom>
                    <a:noFill/>
                    <a:ln>
                      <a:noFill/>
                    </a:ln>
                  </pic:spPr>
                </pic:pic>
              </a:graphicData>
            </a:graphic>
          </wp:inline>
        </w:drawing>
      </w:r>
    </w:p>
    <w:p w14:paraId="506A82F6" w14:textId="77777777" w:rsidR="00FA2BE1" w:rsidRDefault="00FA2BE1" w:rsidP="00FA2BE1">
      <w:pPr>
        <w:pStyle w:val="BodyText"/>
        <w:kinsoku w:val="0"/>
        <w:overflowPunct w:val="0"/>
        <w:ind w:left="118"/>
        <w:rPr>
          <w:rFonts w:ascii="Times New Roman" w:hAnsi="Times New Roman"/>
          <w:sz w:val="20"/>
        </w:rPr>
      </w:pPr>
      <w:r>
        <w:rPr>
          <w:rFonts w:ascii="Times New Roman" w:hAnsi="Times New Roman"/>
          <w:noProof/>
          <w:sz w:val="20"/>
        </w:rPr>
        <w:drawing>
          <wp:inline distT="0" distB="0" distL="0" distR="0" wp14:anchorId="07865DC8" wp14:editId="48C87FD9">
            <wp:extent cx="2562225" cy="1647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2225" cy="1647825"/>
                    </a:xfrm>
                    <a:prstGeom prst="rect">
                      <a:avLst/>
                    </a:prstGeom>
                    <a:noFill/>
                    <a:ln>
                      <a:noFill/>
                    </a:ln>
                  </pic:spPr>
                </pic:pic>
              </a:graphicData>
            </a:graphic>
          </wp:inline>
        </w:drawing>
      </w:r>
    </w:p>
    <w:p w14:paraId="212F061D" w14:textId="77777777" w:rsidR="00FA2BE1" w:rsidRDefault="00FA2BE1" w:rsidP="00FA2BE1">
      <w:pPr>
        <w:pStyle w:val="BodyText"/>
        <w:kinsoku w:val="0"/>
        <w:overflowPunct w:val="0"/>
        <w:ind w:left="118"/>
        <w:rPr>
          <w:rFonts w:ascii="Times New Roman" w:hAnsi="Times New Roman"/>
          <w:sz w:val="20"/>
        </w:rPr>
      </w:pPr>
      <w:r>
        <w:rPr>
          <w:rFonts w:ascii="Times New Roman" w:hAnsi="Times New Roman"/>
          <w:noProof/>
          <w:sz w:val="20"/>
        </w:rPr>
        <w:drawing>
          <wp:inline distT="0" distB="0" distL="0" distR="0" wp14:anchorId="4EDD7887" wp14:editId="2165C4F0">
            <wp:extent cx="2533650" cy="1628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0" cy="1628775"/>
                    </a:xfrm>
                    <a:prstGeom prst="rect">
                      <a:avLst/>
                    </a:prstGeom>
                    <a:noFill/>
                    <a:ln>
                      <a:noFill/>
                    </a:ln>
                  </pic:spPr>
                </pic:pic>
              </a:graphicData>
            </a:graphic>
          </wp:inline>
        </w:drawing>
      </w:r>
    </w:p>
    <w:p w14:paraId="240A4BD9" w14:textId="77777777" w:rsidR="00FA2BE1" w:rsidRDefault="00FA2BE1" w:rsidP="00FA2BE1">
      <w:pPr>
        <w:pStyle w:val="BodyText"/>
        <w:kinsoku w:val="0"/>
        <w:overflowPunct w:val="0"/>
        <w:ind w:left="118"/>
        <w:rPr>
          <w:rFonts w:ascii="Times New Roman" w:hAnsi="Times New Roman"/>
          <w:sz w:val="20"/>
        </w:rPr>
      </w:pPr>
    </w:p>
    <w:p w14:paraId="3A0C77FC" w14:textId="77777777" w:rsidR="00FA2BE1" w:rsidRDefault="00FA2BE1" w:rsidP="00FA2BE1">
      <w:pPr>
        <w:pStyle w:val="BodyText"/>
        <w:kinsoku w:val="0"/>
        <w:overflowPunct w:val="0"/>
        <w:ind w:left="118"/>
        <w:rPr>
          <w:rFonts w:ascii="Times New Roman" w:hAnsi="Times New Roman"/>
          <w:sz w:val="20"/>
        </w:rPr>
      </w:pPr>
    </w:p>
    <w:p w14:paraId="0B63C236" w14:textId="77777777" w:rsidR="00FA2BE1" w:rsidRDefault="00FA2BE1" w:rsidP="00FA2BE1">
      <w:pPr>
        <w:pStyle w:val="BodyText"/>
        <w:widowControl w:val="0"/>
        <w:autoSpaceDE w:val="0"/>
        <w:autoSpaceDN w:val="0"/>
        <w:adjustRightInd w:val="0"/>
        <w:spacing w:after="0"/>
        <w:rPr>
          <w:color w:val="000000"/>
          <w:spacing w:val="-2"/>
        </w:rPr>
      </w:pPr>
    </w:p>
    <w:p w14:paraId="0D1E45EC" w14:textId="77777777" w:rsidR="00FA2BE1" w:rsidRPr="00823778" w:rsidRDefault="00FA2BE1" w:rsidP="00FA2BE1">
      <w:pPr>
        <w:pStyle w:val="BodyText"/>
        <w:widowControl w:val="0"/>
        <w:autoSpaceDE w:val="0"/>
        <w:autoSpaceDN w:val="0"/>
        <w:adjustRightInd w:val="0"/>
        <w:spacing w:after="0"/>
        <w:rPr>
          <w:color w:val="000000"/>
          <w:spacing w:val="-2"/>
        </w:rPr>
      </w:pPr>
    </w:p>
    <w:p w14:paraId="5D6D19F7" w14:textId="77777777" w:rsidR="00FA2BE1" w:rsidRDefault="00FA2BE1" w:rsidP="00FA2BE1">
      <w:pPr>
        <w:pStyle w:val="BodyText"/>
        <w:widowControl w:val="0"/>
        <w:numPr>
          <w:ilvl w:val="3"/>
          <w:numId w:val="33"/>
        </w:numPr>
        <w:autoSpaceDE w:val="0"/>
        <w:autoSpaceDN w:val="0"/>
        <w:adjustRightInd w:val="0"/>
        <w:spacing w:after="0"/>
        <w:ind w:left="567" w:hanging="425"/>
        <w:rPr>
          <w:color w:val="000000"/>
          <w:spacing w:val="-2"/>
        </w:rPr>
      </w:pPr>
      <w:r>
        <w:t>R</w:t>
      </w:r>
      <w:r w:rsidRPr="00B57C76">
        <w:t>emove</w:t>
      </w:r>
      <w:r w:rsidRPr="00B57C76">
        <w:rPr>
          <w:spacing w:val="4"/>
        </w:rPr>
        <w:t xml:space="preserve"> </w:t>
      </w:r>
      <w:r w:rsidRPr="00B57C76">
        <w:t>grey</w:t>
      </w:r>
      <w:r w:rsidRPr="00B57C76">
        <w:rPr>
          <w:spacing w:val="7"/>
        </w:rPr>
        <w:t xml:space="preserve"> </w:t>
      </w:r>
      <w:r w:rsidRPr="00B57C76">
        <w:t>safety</w:t>
      </w:r>
      <w:r w:rsidRPr="00B57C76">
        <w:rPr>
          <w:spacing w:val="7"/>
        </w:rPr>
        <w:t xml:space="preserve"> </w:t>
      </w:r>
      <w:r w:rsidRPr="00B57C76">
        <w:t>cap</w:t>
      </w:r>
      <w:r w:rsidRPr="00B57C76">
        <w:rPr>
          <w:spacing w:val="-9"/>
        </w:rPr>
        <w:t xml:space="preserve"> </w:t>
      </w:r>
      <w:r w:rsidRPr="00B57C76">
        <w:t>from</w:t>
      </w:r>
      <w:r w:rsidRPr="00B57C76">
        <w:rPr>
          <w:spacing w:val="6"/>
        </w:rPr>
        <w:t xml:space="preserve"> </w:t>
      </w:r>
      <w:r w:rsidRPr="00B57C76">
        <w:rPr>
          <w:color w:val="FB0D0D"/>
        </w:rPr>
        <w:t>red</w:t>
      </w:r>
      <w:r w:rsidRPr="00B57C76">
        <w:rPr>
          <w:color w:val="FB0D0D"/>
          <w:spacing w:val="9"/>
        </w:rPr>
        <w:t xml:space="preserve"> </w:t>
      </w:r>
      <w:proofErr w:type="gramStart"/>
      <w:r w:rsidRPr="00B57C76">
        <w:rPr>
          <w:color w:val="000000"/>
          <w:spacing w:val="-2"/>
        </w:rPr>
        <w:t>button</w:t>
      </w:r>
      <w:proofErr w:type="gramEnd"/>
    </w:p>
    <w:p w14:paraId="3D8A1184" w14:textId="77777777" w:rsidR="00FA2BE1" w:rsidRDefault="00FA2BE1" w:rsidP="00FA2BE1">
      <w:pPr>
        <w:pStyle w:val="BodyText"/>
        <w:widowControl w:val="0"/>
        <w:autoSpaceDE w:val="0"/>
        <w:autoSpaceDN w:val="0"/>
        <w:adjustRightInd w:val="0"/>
        <w:spacing w:after="0"/>
        <w:rPr>
          <w:color w:val="000000"/>
          <w:spacing w:val="-2"/>
        </w:rPr>
      </w:pPr>
    </w:p>
    <w:p w14:paraId="74CEC74C" w14:textId="77777777" w:rsidR="00FA2BE1" w:rsidRDefault="00FA2BE1" w:rsidP="00FA2BE1">
      <w:pPr>
        <w:pStyle w:val="BodyText"/>
        <w:widowControl w:val="0"/>
        <w:autoSpaceDE w:val="0"/>
        <w:autoSpaceDN w:val="0"/>
        <w:adjustRightInd w:val="0"/>
        <w:spacing w:after="0"/>
        <w:rPr>
          <w:color w:val="000000"/>
          <w:spacing w:val="-2"/>
        </w:rPr>
      </w:pPr>
    </w:p>
    <w:p w14:paraId="3BC0A05A" w14:textId="77777777" w:rsidR="00FA2BE1" w:rsidRDefault="00FA2BE1" w:rsidP="00FA2BE1">
      <w:pPr>
        <w:pStyle w:val="BodyText"/>
        <w:widowControl w:val="0"/>
        <w:autoSpaceDE w:val="0"/>
        <w:autoSpaceDN w:val="0"/>
        <w:adjustRightInd w:val="0"/>
        <w:spacing w:after="0"/>
        <w:rPr>
          <w:color w:val="000000"/>
          <w:spacing w:val="-2"/>
        </w:rPr>
      </w:pPr>
    </w:p>
    <w:p w14:paraId="67D46C58" w14:textId="77777777" w:rsidR="00FA2BE1" w:rsidRDefault="00FA2BE1" w:rsidP="00FA2BE1">
      <w:pPr>
        <w:pStyle w:val="BodyText"/>
        <w:widowControl w:val="0"/>
        <w:autoSpaceDE w:val="0"/>
        <w:autoSpaceDN w:val="0"/>
        <w:adjustRightInd w:val="0"/>
        <w:spacing w:after="0"/>
        <w:rPr>
          <w:color w:val="000000"/>
          <w:spacing w:val="-2"/>
        </w:rPr>
      </w:pPr>
    </w:p>
    <w:p w14:paraId="5B4D4907" w14:textId="77777777" w:rsidR="00FA2BE1" w:rsidRDefault="00FA2BE1" w:rsidP="00FA2BE1">
      <w:pPr>
        <w:pStyle w:val="BodyText"/>
        <w:widowControl w:val="0"/>
        <w:autoSpaceDE w:val="0"/>
        <w:autoSpaceDN w:val="0"/>
        <w:adjustRightInd w:val="0"/>
        <w:spacing w:after="0"/>
        <w:rPr>
          <w:color w:val="000000"/>
          <w:spacing w:val="-2"/>
        </w:rPr>
      </w:pPr>
    </w:p>
    <w:p w14:paraId="3EF7824F" w14:textId="77777777" w:rsidR="00FA2BE1" w:rsidRDefault="00FA2BE1" w:rsidP="00FA2BE1">
      <w:pPr>
        <w:pStyle w:val="BodyText"/>
        <w:widowControl w:val="0"/>
        <w:autoSpaceDE w:val="0"/>
        <w:autoSpaceDN w:val="0"/>
        <w:adjustRightInd w:val="0"/>
        <w:spacing w:after="0"/>
        <w:rPr>
          <w:color w:val="000000"/>
          <w:spacing w:val="-2"/>
        </w:rPr>
      </w:pPr>
    </w:p>
    <w:p w14:paraId="384EF8B3" w14:textId="77777777" w:rsidR="00FA2BE1" w:rsidRPr="00B57C76" w:rsidRDefault="00FA2BE1" w:rsidP="00FA2BE1">
      <w:pPr>
        <w:pStyle w:val="BodyText"/>
        <w:widowControl w:val="0"/>
        <w:autoSpaceDE w:val="0"/>
        <w:autoSpaceDN w:val="0"/>
        <w:adjustRightInd w:val="0"/>
        <w:spacing w:after="0"/>
        <w:rPr>
          <w:color w:val="000000"/>
          <w:spacing w:val="-2"/>
        </w:rPr>
      </w:pPr>
    </w:p>
    <w:p w14:paraId="48A7C95D" w14:textId="77777777" w:rsidR="00FA2BE1" w:rsidRDefault="00FA2BE1" w:rsidP="00FA2BE1">
      <w:pPr>
        <w:pStyle w:val="BodyText"/>
        <w:widowControl w:val="0"/>
        <w:numPr>
          <w:ilvl w:val="3"/>
          <w:numId w:val="33"/>
        </w:numPr>
        <w:autoSpaceDE w:val="0"/>
        <w:autoSpaceDN w:val="0"/>
        <w:adjustRightInd w:val="0"/>
        <w:spacing w:after="0"/>
        <w:ind w:left="567" w:hanging="425"/>
        <w:rPr>
          <w:spacing w:val="-2"/>
        </w:rPr>
      </w:pPr>
      <w:bookmarkStart w:id="115" w:name="_Toc105500001"/>
      <w:r>
        <w:t>Pull</w:t>
      </w:r>
      <w:r>
        <w:rPr>
          <w:spacing w:val="15"/>
        </w:rPr>
        <w:t xml:space="preserve"> </w:t>
      </w:r>
      <w:r>
        <w:t>of</w:t>
      </w:r>
      <w:r>
        <w:rPr>
          <w:spacing w:val="-13"/>
        </w:rPr>
        <w:t xml:space="preserve"> </w:t>
      </w:r>
      <w:r>
        <w:t>black</w:t>
      </w:r>
      <w:r>
        <w:rPr>
          <w:spacing w:val="-3"/>
        </w:rPr>
        <w:t xml:space="preserve"> </w:t>
      </w:r>
      <w:r>
        <w:t>needle</w:t>
      </w:r>
      <w:r>
        <w:rPr>
          <w:spacing w:val="-8"/>
        </w:rPr>
        <w:t xml:space="preserve"> </w:t>
      </w:r>
      <w:r>
        <w:rPr>
          <w:spacing w:val="-2"/>
        </w:rPr>
        <w:t>shield</w:t>
      </w:r>
      <w:bookmarkEnd w:id="115"/>
    </w:p>
    <w:p w14:paraId="67E4C28F" w14:textId="77777777" w:rsidR="00FA2BE1" w:rsidRDefault="00FA2BE1" w:rsidP="00FA2BE1">
      <w:pPr>
        <w:pStyle w:val="BodyText"/>
        <w:widowControl w:val="0"/>
        <w:autoSpaceDE w:val="0"/>
        <w:autoSpaceDN w:val="0"/>
        <w:adjustRightInd w:val="0"/>
        <w:spacing w:after="0"/>
        <w:rPr>
          <w:spacing w:val="-2"/>
        </w:rPr>
      </w:pPr>
    </w:p>
    <w:p w14:paraId="4E08D69E" w14:textId="77777777" w:rsidR="00FA2BE1" w:rsidRDefault="00FA2BE1" w:rsidP="00FA2BE1">
      <w:pPr>
        <w:pStyle w:val="BodyText"/>
        <w:widowControl w:val="0"/>
        <w:autoSpaceDE w:val="0"/>
        <w:autoSpaceDN w:val="0"/>
        <w:adjustRightInd w:val="0"/>
        <w:spacing w:after="0"/>
        <w:rPr>
          <w:spacing w:val="-2"/>
        </w:rPr>
      </w:pPr>
    </w:p>
    <w:p w14:paraId="441E501A" w14:textId="77777777" w:rsidR="00FA2BE1" w:rsidRDefault="00FA2BE1" w:rsidP="00FA2BE1">
      <w:pPr>
        <w:pStyle w:val="BodyText"/>
        <w:widowControl w:val="0"/>
        <w:autoSpaceDE w:val="0"/>
        <w:autoSpaceDN w:val="0"/>
        <w:adjustRightInd w:val="0"/>
        <w:spacing w:after="0"/>
        <w:rPr>
          <w:spacing w:val="-2"/>
        </w:rPr>
      </w:pPr>
    </w:p>
    <w:p w14:paraId="59F3D414" w14:textId="77777777" w:rsidR="00FA2BE1" w:rsidRDefault="00FA2BE1" w:rsidP="00FA2BE1">
      <w:pPr>
        <w:pStyle w:val="BodyText"/>
        <w:widowControl w:val="0"/>
        <w:autoSpaceDE w:val="0"/>
        <w:autoSpaceDN w:val="0"/>
        <w:adjustRightInd w:val="0"/>
        <w:spacing w:after="0"/>
        <w:rPr>
          <w:spacing w:val="-2"/>
        </w:rPr>
      </w:pPr>
    </w:p>
    <w:p w14:paraId="7A1BECE9" w14:textId="77777777" w:rsidR="00FA2BE1" w:rsidRDefault="00FA2BE1" w:rsidP="00FA2BE1">
      <w:pPr>
        <w:pStyle w:val="BodyText"/>
        <w:widowControl w:val="0"/>
        <w:autoSpaceDE w:val="0"/>
        <w:autoSpaceDN w:val="0"/>
        <w:adjustRightInd w:val="0"/>
        <w:spacing w:after="0"/>
        <w:rPr>
          <w:spacing w:val="-2"/>
        </w:rPr>
      </w:pPr>
    </w:p>
    <w:p w14:paraId="1C5CAB32" w14:textId="77777777" w:rsidR="00FA2BE1" w:rsidRDefault="00FA2BE1" w:rsidP="00FA2BE1">
      <w:pPr>
        <w:pStyle w:val="BodyText"/>
        <w:widowControl w:val="0"/>
        <w:autoSpaceDE w:val="0"/>
        <w:autoSpaceDN w:val="0"/>
        <w:adjustRightInd w:val="0"/>
        <w:spacing w:after="0"/>
        <w:rPr>
          <w:spacing w:val="-2"/>
        </w:rPr>
      </w:pPr>
    </w:p>
    <w:p w14:paraId="2A205D14" w14:textId="77777777" w:rsidR="00FA2BE1" w:rsidRDefault="00FA2BE1" w:rsidP="00FA2BE1">
      <w:pPr>
        <w:pStyle w:val="BodyText"/>
        <w:widowControl w:val="0"/>
        <w:autoSpaceDE w:val="0"/>
        <w:autoSpaceDN w:val="0"/>
        <w:adjustRightInd w:val="0"/>
        <w:spacing w:after="0"/>
        <w:rPr>
          <w:spacing w:val="-2"/>
        </w:rPr>
      </w:pPr>
    </w:p>
    <w:p w14:paraId="369F9FC8" w14:textId="77777777" w:rsidR="00FA2BE1" w:rsidRDefault="00FA2BE1" w:rsidP="00FA2BE1">
      <w:pPr>
        <w:pStyle w:val="BodyText"/>
        <w:widowControl w:val="0"/>
        <w:autoSpaceDE w:val="0"/>
        <w:autoSpaceDN w:val="0"/>
        <w:adjustRightInd w:val="0"/>
        <w:spacing w:after="0"/>
        <w:rPr>
          <w:spacing w:val="-2"/>
        </w:rPr>
      </w:pPr>
    </w:p>
    <w:p w14:paraId="24C19B7E" w14:textId="77777777" w:rsidR="00FA2BE1" w:rsidRDefault="00FA2BE1" w:rsidP="00FA2BE1">
      <w:pPr>
        <w:pStyle w:val="BodyText"/>
        <w:widowControl w:val="0"/>
        <w:numPr>
          <w:ilvl w:val="3"/>
          <w:numId w:val="33"/>
        </w:numPr>
        <w:autoSpaceDE w:val="0"/>
        <w:autoSpaceDN w:val="0"/>
        <w:adjustRightInd w:val="0"/>
        <w:spacing w:after="0"/>
        <w:ind w:left="567" w:hanging="425"/>
        <w:rPr>
          <w:spacing w:val="-2"/>
        </w:rPr>
      </w:pPr>
      <w:r>
        <w:t>Place</w:t>
      </w:r>
      <w:r>
        <w:rPr>
          <w:spacing w:val="-6"/>
        </w:rPr>
        <w:t xml:space="preserve"> </w:t>
      </w:r>
      <w:r>
        <w:t>needle</w:t>
      </w:r>
      <w:r>
        <w:rPr>
          <w:spacing w:val="-3"/>
        </w:rPr>
        <w:t xml:space="preserve"> </w:t>
      </w:r>
      <w:r>
        <w:t>firmly</w:t>
      </w:r>
      <w:r>
        <w:rPr>
          <w:spacing w:val="15"/>
        </w:rPr>
        <w:t xml:space="preserve"> </w:t>
      </w:r>
      <w:r>
        <w:t>against</w:t>
      </w:r>
      <w:r>
        <w:rPr>
          <w:spacing w:val="-8"/>
        </w:rPr>
        <w:t xml:space="preserve"> </w:t>
      </w:r>
      <w:r>
        <w:t>out</w:t>
      </w:r>
      <w:r>
        <w:rPr>
          <w:spacing w:val="-9"/>
        </w:rPr>
        <w:t xml:space="preserve"> </w:t>
      </w:r>
      <w:r>
        <w:t>mid-thigh</w:t>
      </w:r>
      <w:r>
        <w:rPr>
          <w:spacing w:val="19"/>
        </w:rPr>
        <w:t xml:space="preserve"> </w:t>
      </w:r>
      <w:r>
        <w:t>at</w:t>
      </w:r>
      <w:r>
        <w:rPr>
          <w:spacing w:val="8"/>
        </w:rPr>
        <w:t xml:space="preserve"> </w:t>
      </w:r>
      <w:r>
        <w:t>90°</w:t>
      </w:r>
      <w:r>
        <w:rPr>
          <w:spacing w:val="-9"/>
        </w:rPr>
        <w:t xml:space="preserve"> </w:t>
      </w:r>
      <w:r>
        <w:t>angle,</w:t>
      </w:r>
      <w:r>
        <w:rPr>
          <w:spacing w:val="-4"/>
        </w:rPr>
        <w:t xml:space="preserve"> </w:t>
      </w:r>
      <w:r>
        <w:t>with</w:t>
      </w:r>
      <w:r>
        <w:rPr>
          <w:spacing w:val="-1"/>
        </w:rPr>
        <w:t xml:space="preserve"> </w:t>
      </w:r>
      <w:r>
        <w:t>or</w:t>
      </w:r>
      <w:r>
        <w:rPr>
          <w:spacing w:val="-8"/>
        </w:rPr>
        <w:t xml:space="preserve"> </w:t>
      </w:r>
      <w:r>
        <w:t>without</w:t>
      </w:r>
      <w:r>
        <w:rPr>
          <w:spacing w:val="-12"/>
        </w:rPr>
        <w:t xml:space="preserve"> </w:t>
      </w:r>
      <w:proofErr w:type="gramStart"/>
      <w:r>
        <w:rPr>
          <w:spacing w:val="-2"/>
        </w:rPr>
        <w:t>clothing</w:t>
      </w:r>
      <w:proofErr w:type="gramEnd"/>
    </w:p>
    <w:p w14:paraId="3276F077" w14:textId="77777777" w:rsidR="00FA2BE1" w:rsidRDefault="00FA2BE1" w:rsidP="00FA2BE1">
      <w:pPr>
        <w:pStyle w:val="BodyText"/>
        <w:widowControl w:val="0"/>
        <w:autoSpaceDE w:val="0"/>
        <w:autoSpaceDN w:val="0"/>
        <w:adjustRightInd w:val="0"/>
        <w:spacing w:after="0"/>
        <w:rPr>
          <w:spacing w:val="-2"/>
        </w:rPr>
      </w:pPr>
    </w:p>
    <w:p w14:paraId="17F3C7D8" w14:textId="77777777" w:rsidR="00FA2BE1" w:rsidRDefault="00FA2BE1" w:rsidP="00FA2BE1">
      <w:pPr>
        <w:pStyle w:val="BodyText"/>
        <w:widowControl w:val="0"/>
        <w:autoSpaceDE w:val="0"/>
        <w:autoSpaceDN w:val="0"/>
        <w:adjustRightInd w:val="0"/>
        <w:spacing w:after="0"/>
        <w:rPr>
          <w:spacing w:val="-2"/>
        </w:rPr>
      </w:pPr>
    </w:p>
    <w:p w14:paraId="7E466F4C" w14:textId="77777777" w:rsidR="00FA2BE1" w:rsidRDefault="00FA2BE1" w:rsidP="00FA2BE1">
      <w:pPr>
        <w:pStyle w:val="BodyText"/>
        <w:widowControl w:val="0"/>
        <w:autoSpaceDE w:val="0"/>
        <w:autoSpaceDN w:val="0"/>
        <w:adjustRightInd w:val="0"/>
        <w:spacing w:after="0"/>
        <w:rPr>
          <w:spacing w:val="-2"/>
        </w:rPr>
      </w:pPr>
    </w:p>
    <w:p w14:paraId="6F28C1E6" w14:textId="77777777" w:rsidR="00FA2BE1" w:rsidRDefault="00FA2BE1" w:rsidP="00FA2BE1">
      <w:pPr>
        <w:pStyle w:val="BodyText"/>
        <w:widowControl w:val="0"/>
        <w:autoSpaceDE w:val="0"/>
        <w:autoSpaceDN w:val="0"/>
        <w:adjustRightInd w:val="0"/>
        <w:spacing w:after="0"/>
        <w:rPr>
          <w:spacing w:val="-2"/>
        </w:rPr>
      </w:pPr>
    </w:p>
    <w:p w14:paraId="09A3882C" w14:textId="77777777" w:rsidR="00FA2BE1" w:rsidRDefault="00FA2BE1" w:rsidP="00FA2BE1">
      <w:pPr>
        <w:pStyle w:val="BodyText"/>
        <w:widowControl w:val="0"/>
        <w:autoSpaceDE w:val="0"/>
        <w:autoSpaceDN w:val="0"/>
        <w:adjustRightInd w:val="0"/>
        <w:spacing w:after="0"/>
        <w:rPr>
          <w:spacing w:val="-2"/>
        </w:rPr>
      </w:pPr>
    </w:p>
    <w:p w14:paraId="61ABBDF3" w14:textId="77777777" w:rsidR="00FA2BE1" w:rsidRDefault="00FA2BE1" w:rsidP="00FA2BE1">
      <w:pPr>
        <w:pStyle w:val="BodyText"/>
        <w:widowControl w:val="0"/>
        <w:autoSpaceDE w:val="0"/>
        <w:autoSpaceDN w:val="0"/>
        <w:adjustRightInd w:val="0"/>
        <w:spacing w:after="0"/>
        <w:rPr>
          <w:spacing w:val="-2"/>
        </w:rPr>
      </w:pPr>
    </w:p>
    <w:p w14:paraId="14A2F570" w14:textId="77777777" w:rsidR="00FA2BE1" w:rsidRPr="00C84962" w:rsidRDefault="00FA2BE1" w:rsidP="00FA2BE1">
      <w:pPr>
        <w:pStyle w:val="ListParagraph"/>
        <w:numPr>
          <w:ilvl w:val="3"/>
          <w:numId w:val="33"/>
        </w:numPr>
        <w:tabs>
          <w:tab w:val="left" w:pos="364"/>
        </w:tabs>
        <w:kinsoku w:val="0"/>
        <w:overflowPunct w:val="0"/>
        <w:spacing w:before="7"/>
        <w:ind w:left="567" w:hanging="425"/>
        <w:rPr>
          <w:rStyle w:val="BodyTextChar"/>
        </w:rPr>
      </w:pPr>
      <w:r w:rsidRPr="00C84962">
        <w:t>Press</w:t>
      </w:r>
      <w:r w:rsidRPr="00C84962">
        <w:rPr>
          <w:rStyle w:val="BodyTextChar"/>
        </w:rPr>
        <w:t xml:space="preserve"> red button so it clicks. Hold for 10</w:t>
      </w:r>
      <w:r w:rsidRPr="00B57C76">
        <w:rPr>
          <w:rStyle w:val="BodyTextChar"/>
        </w:rPr>
        <w:t xml:space="preserve"> </w:t>
      </w:r>
      <w:r w:rsidRPr="00C84962">
        <w:rPr>
          <w:rStyle w:val="BodyTextChar"/>
        </w:rPr>
        <w:t xml:space="preserve">seconds. Remove </w:t>
      </w:r>
      <w:proofErr w:type="spellStart"/>
      <w:r w:rsidRPr="00C84962">
        <w:rPr>
          <w:rStyle w:val="BodyTextChar"/>
        </w:rPr>
        <w:t>Anapen</w:t>
      </w:r>
      <w:proofErr w:type="spellEnd"/>
      <w:r w:rsidRPr="00C84962">
        <w:rPr>
          <w:rStyle w:val="BodyTextChar"/>
        </w:rPr>
        <w:t>®.</w:t>
      </w:r>
    </w:p>
    <w:p w14:paraId="4AAE7B37" w14:textId="77777777" w:rsidR="00FA2BE1" w:rsidRDefault="00FA2BE1" w:rsidP="00FA2BE1"/>
    <w:p w14:paraId="22B9C94B" w14:textId="77777777" w:rsidR="00FA2BE1" w:rsidRDefault="00FA2BE1" w:rsidP="00FA2BE1"/>
    <w:p w14:paraId="4C6C13B1" w14:textId="77777777" w:rsidR="00FA2BE1" w:rsidRDefault="00FA2BE1" w:rsidP="00FA2BE1"/>
    <w:p w14:paraId="693C5825" w14:textId="77777777" w:rsidR="00FA2BE1" w:rsidRDefault="00FA2BE1" w:rsidP="00FA2BE1"/>
    <w:p w14:paraId="4B0E8465" w14:textId="77777777" w:rsidR="00FA2BE1" w:rsidRDefault="00FA2BE1" w:rsidP="00FA2BE1"/>
    <w:p w14:paraId="06F9E153" w14:textId="77777777" w:rsidR="00FA2BE1" w:rsidRDefault="00FA2BE1" w:rsidP="00FA2BE1">
      <w:pPr>
        <w:spacing w:after="200" w:line="276" w:lineRule="auto"/>
        <w:sectPr w:rsidR="00FA2BE1" w:rsidSect="00FA2BE1">
          <w:type w:val="continuous"/>
          <w:pgSz w:w="11910" w:h="16840"/>
          <w:pgMar w:top="1660" w:right="1300" w:bottom="760" w:left="1300" w:header="496" w:footer="564" w:gutter="0"/>
          <w:cols w:num="2" w:space="720"/>
          <w:noEndnote/>
        </w:sectPr>
      </w:pPr>
    </w:p>
    <w:p w14:paraId="3B45DD55" w14:textId="77777777" w:rsidR="00FA2BE1" w:rsidRDefault="00FA2BE1" w:rsidP="00FA2BE1">
      <w:pPr>
        <w:pStyle w:val="BodyText"/>
        <w:kinsoku w:val="0"/>
        <w:overflowPunct w:val="0"/>
        <w:spacing w:before="119"/>
        <w:ind w:left="124"/>
        <w:rPr>
          <w:rFonts w:ascii="Lucida Sans" w:hAnsi="Lucida Sans" w:cs="Lucida Sans"/>
          <w:b/>
          <w:bCs/>
          <w:color w:val="812C77"/>
          <w:spacing w:val="-2"/>
        </w:rPr>
      </w:pPr>
      <w:bookmarkStart w:id="116" w:name="In_more_detail"/>
      <w:bookmarkEnd w:id="116"/>
      <w:r w:rsidRPr="00D539C8">
        <w:rPr>
          <w:rFonts w:ascii="Lucida Sans" w:hAnsi="Lucida Sans" w:cs="Lucida Sans"/>
          <w:b/>
          <w:bCs/>
        </w:rPr>
        <w:lastRenderedPageBreak/>
        <w:t>In</w:t>
      </w:r>
      <w:r w:rsidRPr="00D539C8">
        <w:rPr>
          <w:rFonts w:ascii="Lucida Sans" w:hAnsi="Lucida Sans" w:cs="Lucida Sans"/>
          <w:b/>
          <w:bCs/>
          <w:spacing w:val="-10"/>
        </w:rPr>
        <w:t xml:space="preserve"> </w:t>
      </w:r>
      <w:r w:rsidRPr="00D539C8">
        <w:rPr>
          <w:rFonts w:ascii="Lucida Sans" w:hAnsi="Lucida Sans" w:cs="Lucida Sans"/>
          <w:b/>
          <w:bCs/>
        </w:rPr>
        <w:t>more</w:t>
      </w:r>
      <w:r w:rsidRPr="00D539C8">
        <w:rPr>
          <w:rFonts w:ascii="Lucida Sans" w:hAnsi="Lucida Sans" w:cs="Lucida Sans"/>
          <w:b/>
          <w:bCs/>
          <w:spacing w:val="-30"/>
        </w:rPr>
        <w:t xml:space="preserve"> </w:t>
      </w:r>
      <w:r w:rsidRPr="00D539C8">
        <w:rPr>
          <w:rFonts w:ascii="Lucida Sans" w:hAnsi="Lucida Sans" w:cs="Lucida Sans"/>
          <w:b/>
          <w:bCs/>
          <w:spacing w:val="-2"/>
        </w:rPr>
        <w:t>detail</w:t>
      </w:r>
    </w:p>
    <w:p w14:paraId="0248D7DB" w14:textId="77777777" w:rsidR="00FA2BE1" w:rsidRPr="00C03951" w:rsidRDefault="00FA2BE1" w:rsidP="00FA2BE1">
      <w:pPr>
        <w:pStyle w:val="BodyText"/>
        <w:rPr>
          <w:b/>
          <w:bCs/>
          <w:spacing w:val="-12"/>
        </w:rPr>
      </w:pPr>
      <w:bookmarkStart w:id="117" w:name="_Toc105500002"/>
      <w:r w:rsidRPr="00C03951">
        <w:rPr>
          <w:b/>
          <w:bCs/>
        </w:rPr>
        <w:t>Step</w:t>
      </w:r>
      <w:r w:rsidRPr="00C03951">
        <w:rPr>
          <w:b/>
          <w:bCs/>
          <w:spacing w:val="-5"/>
        </w:rPr>
        <w:t xml:space="preserve"> </w:t>
      </w:r>
      <w:r w:rsidRPr="00C03951">
        <w:rPr>
          <w:b/>
          <w:bCs/>
          <w:spacing w:val="-12"/>
        </w:rPr>
        <w:t>1</w:t>
      </w:r>
      <w:bookmarkEnd w:id="117"/>
    </w:p>
    <w:p w14:paraId="3F8D9518" w14:textId="77777777" w:rsidR="00FA2BE1" w:rsidRPr="00D539C8" w:rsidRDefault="00FA2BE1" w:rsidP="00FA2BE1">
      <w:pPr>
        <w:pStyle w:val="BodyText"/>
        <w:kinsoku w:val="0"/>
        <w:overflowPunct w:val="0"/>
        <w:spacing w:before="4"/>
        <w:rPr>
          <w:rFonts w:asciiTheme="minorHAnsi" w:hAnsiTheme="minorHAnsi" w:cstheme="minorHAnsi"/>
          <w:b/>
          <w:bCs/>
          <w:sz w:val="23"/>
          <w:szCs w:val="23"/>
        </w:rPr>
      </w:pPr>
      <w:r>
        <w:rPr>
          <w:rFonts w:ascii="Times New Roman" w:hAnsi="Times New Roman"/>
          <w:noProof/>
        </w:rPr>
        <w:drawing>
          <wp:inline distT="0" distB="0" distL="0" distR="0" wp14:anchorId="5840E242" wp14:editId="4C34EB39">
            <wp:extent cx="2533650" cy="1647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650" cy="1647825"/>
                    </a:xfrm>
                    <a:prstGeom prst="rect">
                      <a:avLst/>
                    </a:prstGeom>
                    <a:noFill/>
                    <a:ln>
                      <a:noFill/>
                    </a:ln>
                  </pic:spPr>
                </pic:pic>
              </a:graphicData>
            </a:graphic>
          </wp:inline>
        </w:drawing>
      </w:r>
    </w:p>
    <w:p w14:paraId="359D9DD4" w14:textId="77777777" w:rsidR="00FA2BE1" w:rsidRPr="00D539C8" w:rsidRDefault="00FA2BE1" w:rsidP="00FA2BE1">
      <w:pPr>
        <w:pStyle w:val="BodyText"/>
        <w:kinsoku w:val="0"/>
        <w:overflowPunct w:val="0"/>
        <w:ind w:left="124"/>
        <w:rPr>
          <w:rFonts w:asciiTheme="minorHAnsi" w:hAnsiTheme="minorHAnsi" w:cstheme="minorHAnsi"/>
          <w:spacing w:val="-2"/>
        </w:rPr>
      </w:pPr>
      <w:r w:rsidRPr="00D539C8">
        <w:rPr>
          <w:rFonts w:asciiTheme="minorHAnsi" w:hAnsiTheme="minorHAnsi" w:cstheme="minorHAnsi"/>
        </w:rPr>
        <w:t>Pull</w:t>
      </w:r>
      <w:r w:rsidRPr="00D539C8">
        <w:rPr>
          <w:rFonts w:asciiTheme="minorHAnsi" w:hAnsiTheme="minorHAnsi" w:cstheme="minorHAnsi"/>
          <w:spacing w:val="8"/>
        </w:rPr>
        <w:t xml:space="preserve"> </w:t>
      </w:r>
      <w:r w:rsidRPr="00D539C8">
        <w:rPr>
          <w:rFonts w:asciiTheme="minorHAnsi" w:hAnsiTheme="minorHAnsi" w:cstheme="minorHAnsi"/>
        </w:rPr>
        <w:t>off</w:t>
      </w:r>
      <w:r w:rsidRPr="00D539C8">
        <w:rPr>
          <w:rFonts w:asciiTheme="minorHAnsi" w:hAnsiTheme="minorHAnsi" w:cstheme="minorHAnsi"/>
          <w:spacing w:val="14"/>
        </w:rPr>
        <w:t xml:space="preserve"> </w:t>
      </w:r>
      <w:r w:rsidRPr="00D539C8">
        <w:rPr>
          <w:rFonts w:asciiTheme="minorHAnsi" w:hAnsiTheme="minorHAnsi" w:cstheme="minorHAnsi"/>
        </w:rPr>
        <w:t>the</w:t>
      </w:r>
      <w:r w:rsidRPr="00D539C8">
        <w:rPr>
          <w:rFonts w:asciiTheme="minorHAnsi" w:hAnsiTheme="minorHAnsi" w:cstheme="minorHAnsi"/>
          <w:spacing w:val="1"/>
        </w:rPr>
        <w:t xml:space="preserve"> </w:t>
      </w:r>
      <w:r w:rsidRPr="00D539C8">
        <w:rPr>
          <w:rFonts w:asciiTheme="minorHAnsi" w:hAnsiTheme="minorHAnsi" w:cstheme="minorHAnsi"/>
        </w:rPr>
        <w:t>black</w:t>
      </w:r>
      <w:r w:rsidRPr="00D539C8">
        <w:rPr>
          <w:rFonts w:asciiTheme="minorHAnsi" w:hAnsiTheme="minorHAnsi" w:cstheme="minorHAnsi"/>
          <w:spacing w:val="3"/>
        </w:rPr>
        <w:t xml:space="preserve"> </w:t>
      </w:r>
      <w:r w:rsidRPr="00D539C8">
        <w:rPr>
          <w:rFonts w:asciiTheme="minorHAnsi" w:hAnsiTheme="minorHAnsi" w:cstheme="minorHAnsi"/>
        </w:rPr>
        <w:t>needle</w:t>
      </w:r>
      <w:r w:rsidRPr="00D539C8">
        <w:rPr>
          <w:rFonts w:asciiTheme="minorHAnsi" w:hAnsiTheme="minorHAnsi" w:cstheme="minorHAnsi"/>
          <w:spacing w:val="1"/>
        </w:rPr>
        <w:t xml:space="preserve"> </w:t>
      </w:r>
      <w:r w:rsidRPr="00D539C8">
        <w:rPr>
          <w:rFonts w:asciiTheme="minorHAnsi" w:hAnsiTheme="minorHAnsi" w:cstheme="minorHAnsi"/>
        </w:rPr>
        <w:t>shield</w:t>
      </w:r>
      <w:r w:rsidRPr="00D539C8">
        <w:rPr>
          <w:rFonts w:asciiTheme="minorHAnsi" w:hAnsiTheme="minorHAnsi" w:cstheme="minorHAnsi"/>
          <w:spacing w:val="-15"/>
        </w:rPr>
        <w:t xml:space="preserve"> </w:t>
      </w:r>
      <w:r w:rsidRPr="00D539C8">
        <w:rPr>
          <w:rFonts w:asciiTheme="minorHAnsi" w:hAnsiTheme="minorHAnsi" w:cstheme="minorHAnsi"/>
        </w:rPr>
        <w:t>by</w:t>
      </w:r>
      <w:r w:rsidRPr="00D539C8">
        <w:rPr>
          <w:rFonts w:asciiTheme="minorHAnsi" w:hAnsiTheme="minorHAnsi" w:cstheme="minorHAnsi"/>
          <w:spacing w:val="3"/>
        </w:rPr>
        <w:t xml:space="preserve"> </w:t>
      </w:r>
      <w:r w:rsidRPr="00D539C8">
        <w:rPr>
          <w:rFonts w:asciiTheme="minorHAnsi" w:hAnsiTheme="minorHAnsi" w:cstheme="minorHAnsi"/>
        </w:rPr>
        <w:t>pulling</w:t>
      </w:r>
      <w:r w:rsidRPr="00D539C8">
        <w:rPr>
          <w:rFonts w:asciiTheme="minorHAnsi" w:hAnsiTheme="minorHAnsi" w:cstheme="minorHAnsi"/>
          <w:spacing w:val="-14"/>
        </w:rPr>
        <w:t xml:space="preserve"> </w:t>
      </w:r>
      <w:r w:rsidRPr="00D539C8">
        <w:rPr>
          <w:rFonts w:asciiTheme="minorHAnsi" w:hAnsiTheme="minorHAnsi" w:cstheme="minorHAnsi"/>
        </w:rPr>
        <w:t>hard</w:t>
      </w:r>
      <w:r w:rsidRPr="00D539C8">
        <w:rPr>
          <w:rFonts w:asciiTheme="minorHAnsi" w:hAnsiTheme="minorHAnsi" w:cstheme="minorHAnsi"/>
          <w:spacing w:val="4"/>
        </w:rPr>
        <w:t xml:space="preserve"> </w:t>
      </w:r>
      <w:r w:rsidRPr="00D539C8">
        <w:rPr>
          <w:rFonts w:asciiTheme="minorHAnsi" w:hAnsiTheme="minorHAnsi" w:cstheme="minorHAnsi"/>
        </w:rPr>
        <w:t>in</w:t>
      </w:r>
      <w:r w:rsidRPr="00D539C8">
        <w:rPr>
          <w:rFonts w:asciiTheme="minorHAnsi" w:hAnsiTheme="minorHAnsi" w:cstheme="minorHAnsi"/>
          <w:spacing w:val="3"/>
        </w:rPr>
        <w:t xml:space="preserve"> </w:t>
      </w:r>
      <w:r w:rsidRPr="00D539C8">
        <w:rPr>
          <w:rFonts w:asciiTheme="minorHAnsi" w:hAnsiTheme="minorHAnsi" w:cstheme="minorHAnsi"/>
        </w:rPr>
        <w:t>the</w:t>
      </w:r>
      <w:r w:rsidRPr="00D539C8">
        <w:rPr>
          <w:rFonts w:asciiTheme="minorHAnsi" w:hAnsiTheme="minorHAnsi" w:cstheme="minorHAnsi"/>
          <w:spacing w:val="1"/>
        </w:rPr>
        <w:t xml:space="preserve"> </w:t>
      </w:r>
      <w:r w:rsidRPr="00D539C8">
        <w:rPr>
          <w:rFonts w:asciiTheme="minorHAnsi" w:hAnsiTheme="minorHAnsi" w:cstheme="minorHAnsi"/>
        </w:rPr>
        <w:t>direction</w:t>
      </w:r>
      <w:r w:rsidRPr="00D539C8">
        <w:rPr>
          <w:rFonts w:asciiTheme="minorHAnsi" w:hAnsiTheme="minorHAnsi" w:cstheme="minorHAnsi"/>
          <w:spacing w:val="-14"/>
        </w:rPr>
        <w:t xml:space="preserve"> </w:t>
      </w:r>
      <w:r w:rsidRPr="00D539C8">
        <w:rPr>
          <w:rFonts w:asciiTheme="minorHAnsi" w:hAnsiTheme="minorHAnsi" w:cstheme="minorHAnsi"/>
        </w:rPr>
        <w:t>of</w:t>
      </w:r>
      <w:r w:rsidRPr="00D539C8">
        <w:rPr>
          <w:rFonts w:asciiTheme="minorHAnsi" w:hAnsiTheme="minorHAnsi" w:cstheme="minorHAnsi"/>
          <w:spacing w:val="-5"/>
        </w:rPr>
        <w:t xml:space="preserve"> </w:t>
      </w:r>
      <w:r w:rsidRPr="00D539C8">
        <w:rPr>
          <w:rFonts w:asciiTheme="minorHAnsi" w:hAnsiTheme="minorHAnsi" w:cstheme="minorHAnsi"/>
        </w:rPr>
        <w:t>the</w:t>
      </w:r>
      <w:r w:rsidRPr="00D539C8">
        <w:rPr>
          <w:rFonts w:asciiTheme="minorHAnsi" w:hAnsiTheme="minorHAnsi" w:cstheme="minorHAnsi"/>
          <w:spacing w:val="2"/>
        </w:rPr>
        <w:t xml:space="preserve"> </w:t>
      </w:r>
      <w:r w:rsidRPr="00D539C8">
        <w:rPr>
          <w:rFonts w:asciiTheme="minorHAnsi" w:hAnsiTheme="minorHAnsi" w:cstheme="minorHAnsi"/>
          <w:spacing w:val="-2"/>
        </w:rPr>
        <w:t>arrow.</w:t>
      </w:r>
    </w:p>
    <w:p w14:paraId="7ABC8BE7" w14:textId="77777777" w:rsidR="00FA2BE1" w:rsidRPr="00D539C8" w:rsidRDefault="00FA2BE1" w:rsidP="00FA2BE1">
      <w:pPr>
        <w:pStyle w:val="BodyText"/>
        <w:kinsoku w:val="0"/>
        <w:overflowPunct w:val="0"/>
        <w:spacing w:before="10"/>
        <w:rPr>
          <w:rFonts w:asciiTheme="minorHAnsi" w:hAnsiTheme="minorHAnsi" w:cstheme="minorHAnsi"/>
        </w:rPr>
      </w:pPr>
    </w:p>
    <w:p w14:paraId="2E501E78" w14:textId="77777777" w:rsidR="00FA2BE1" w:rsidRPr="00D539C8" w:rsidRDefault="00FA2BE1" w:rsidP="00FA2BE1">
      <w:pPr>
        <w:pStyle w:val="BodyText"/>
        <w:kinsoku w:val="0"/>
        <w:overflowPunct w:val="0"/>
        <w:spacing w:line="237" w:lineRule="auto"/>
        <w:ind w:left="124"/>
        <w:rPr>
          <w:rFonts w:asciiTheme="minorHAnsi" w:hAnsiTheme="minorHAnsi" w:cstheme="minorHAnsi"/>
        </w:rPr>
      </w:pPr>
      <w:r w:rsidRPr="00D539C8">
        <w:rPr>
          <w:rFonts w:asciiTheme="minorHAnsi" w:hAnsiTheme="minorHAnsi" w:cstheme="minorHAnsi"/>
        </w:rPr>
        <w:t>When the black needle shield is removed,</w:t>
      </w:r>
      <w:r w:rsidRPr="00D539C8">
        <w:rPr>
          <w:rFonts w:asciiTheme="minorHAnsi" w:hAnsiTheme="minorHAnsi" w:cstheme="minorHAnsi"/>
          <w:spacing w:val="-16"/>
        </w:rPr>
        <w:t xml:space="preserve"> </w:t>
      </w:r>
      <w:r w:rsidRPr="00D539C8">
        <w:rPr>
          <w:rFonts w:asciiTheme="minorHAnsi" w:hAnsiTheme="minorHAnsi" w:cstheme="minorHAnsi"/>
        </w:rPr>
        <w:t>a small</w:t>
      </w:r>
      <w:r w:rsidRPr="00D539C8">
        <w:rPr>
          <w:rFonts w:asciiTheme="minorHAnsi" w:hAnsiTheme="minorHAnsi" w:cstheme="minorHAnsi"/>
          <w:spacing w:val="-5"/>
        </w:rPr>
        <w:t xml:space="preserve"> </w:t>
      </w:r>
      <w:r w:rsidRPr="00D539C8">
        <w:rPr>
          <w:rFonts w:asciiTheme="minorHAnsi" w:hAnsiTheme="minorHAnsi" w:cstheme="minorHAnsi"/>
        </w:rPr>
        <w:t>internal</w:t>
      </w:r>
      <w:r w:rsidRPr="00D539C8">
        <w:rPr>
          <w:rFonts w:asciiTheme="minorHAnsi" w:hAnsiTheme="minorHAnsi" w:cstheme="minorHAnsi"/>
          <w:spacing w:val="-5"/>
        </w:rPr>
        <w:t xml:space="preserve"> </w:t>
      </w:r>
      <w:r w:rsidRPr="00D539C8">
        <w:rPr>
          <w:rFonts w:asciiTheme="minorHAnsi" w:hAnsiTheme="minorHAnsi" w:cstheme="minorHAnsi"/>
        </w:rPr>
        <w:t>grey needle shield</w:t>
      </w:r>
      <w:r w:rsidRPr="00D539C8">
        <w:rPr>
          <w:rFonts w:asciiTheme="minorHAnsi" w:hAnsiTheme="minorHAnsi" w:cstheme="minorHAnsi"/>
          <w:spacing w:val="-11"/>
        </w:rPr>
        <w:t xml:space="preserve"> </w:t>
      </w:r>
      <w:r w:rsidRPr="00D539C8">
        <w:rPr>
          <w:rFonts w:asciiTheme="minorHAnsi" w:hAnsiTheme="minorHAnsi" w:cstheme="minorHAnsi"/>
        </w:rPr>
        <w:t>will</w:t>
      </w:r>
      <w:r w:rsidRPr="00D539C8">
        <w:rPr>
          <w:rFonts w:asciiTheme="minorHAnsi" w:hAnsiTheme="minorHAnsi" w:cstheme="minorHAnsi"/>
          <w:spacing w:val="-5"/>
        </w:rPr>
        <w:t xml:space="preserve"> </w:t>
      </w:r>
      <w:r w:rsidRPr="00D539C8">
        <w:rPr>
          <w:rFonts w:asciiTheme="minorHAnsi" w:hAnsiTheme="minorHAnsi" w:cstheme="minorHAnsi"/>
        </w:rPr>
        <w:t xml:space="preserve">come loose. This is supposed to happen. The </w:t>
      </w:r>
      <w:proofErr w:type="spellStart"/>
      <w:r w:rsidRPr="00D539C8">
        <w:rPr>
          <w:rFonts w:asciiTheme="minorHAnsi" w:hAnsiTheme="minorHAnsi" w:cstheme="minorHAnsi"/>
        </w:rPr>
        <w:t>Anapen</w:t>
      </w:r>
      <w:proofErr w:type="spellEnd"/>
      <w:r w:rsidRPr="00D539C8">
        <w:rPr>
          <w:rFonts w:asciiTheme="minorHAnsi" w:hAnsiTheme="minorHAnsi" w:cstheme="minorHAnsi"/>
          <w:i/>
          <w:iCs/>
        </w:rPr>
        <w:t>®</w:t>
      </w:r>
      <w:r w:rsidRPr="00D539C8">
        <w:rPr>
          <w:rFonts w:asciiTheme="minorHAnsi" w:hAnsiTheme="minorHAnsi" w:cstheme="minorHAnsi"/>
          <w:i/>
          <w:iCs/>
          <w:spacing w:val="-2"/>
        </w:rPr>
        <w:t xml:space="preserve"> </w:t>
      </w:r>
      <w:r w:rsidRPr="00D539C8">
        <w:rPr>
          <w:rFonts w:asciiTheme="minorHAnsi" w:hAnsiTheme="minorHAnsi" w:cstheme="minorHAnsi"/>
        </w:rPr>
        <w:t>needle is double capped for safety</w:t>
      </w:r>
      <w:r w:rsidRPr="00D539C8">
        <w:rPr>
          <w:rFonts w:asciiTheme="minorHAnsi" w:hAnsiTheme="minorHAnsi" w:cstheme="minorHAnsi"/>
          <w:spacing w:val="-6"/>
        </w:rPr>
        <w:t xml:space="preserve"> </w:t>
      </w:r>
      <w:r w:rsidRPr="00D539C8">
        <w:rPr>
          <w:rFonts w:asciiTheme="minorHAnsi" w:hAnsiTheme="minorHAnsi" w:cstheme="minorHAnsi"/>
        </w:rPr>
        <w:t>and sterility.</w:t>
      </w:r>
    </w:p>
    <w:p w14:paraId="52ADBDAE" w14:textId="77777777" w:rsidR="00FA2BE1" w:rsidRDefault="00FA2BE1" w:rsidP="00FA2BE1">
      <w:pPr>
        <w:pStyle w:val="BodyText"/>
        <w:kinsoku w:val="0"/>
        <w:overflowPunct w:val="0"/>
        <w:spacing w:before="7"/>
        <w:rPr>
          <w:rFonts w:ascii="Times New Roman" w:hAnsi="Times New Roman"/>
          <w:sz w:val="22"/>
          <w:szCs w:val="22"/>
        </w:rPr>
      </w:pPr>
    </w:p>
    <w:p w14:paraId="6E529F1D" w14:textId="77777777" w:rsidR="00FA2BE1" w:rsidRPr="00C03951" w:rsidRDefault="00FA2BE1" w:rsidP="00FA2BE1">
      <w:pPr>
        <w:pStyle w:val="BodyText"/>
        <w:rPr>
          <w:b/>
          <w:bCs/>
          <w:spacing w:val="-12"/>
        </w:rPr>
      </w:pPr>
      <w:bookmarkStart w:id="118" w:name="_Toc105500003"/>
      <w:r w:rsidRPr="00C03951">
        <w:rPr>
          <w:b/>
          <w:bCs/>
        </w:rPr>
        <w:t>Step</w:t>
      </w:r>
      <w:r w:rsidRPr="00C03951">
        <w:rPr>
          <w:b/>
          <w:bCs/>
          <w:spacing w:val="-5"/>
        </w:rPr>
        <w:t xml:space="preserve"> </w:t>
      </w:r>
      <w:r w:rsidRPr="00C03951">
        <w:rPr>
          <w:b/>
          <w:bCs/>
          <w:spacing w:val="-12"/>
        </w:rPr>
        <w:t>2</w:t>
      </w:r>
      <w:bookmarkEnd w:id="118"/>
    </w:p>
    <w:p w14:paraId="72AF12BE" w14:textId="77777777" w:rsidR="00FA2BE1" w:rsidRPr="00D539C8" w:rsidRDefault="00FA2BE1" w:rsidP="00FA2BE1">
      <w:pPr>
        <w:pStyle w:val="BodyText"/>
        <w:kinsoku w:val="0"/>
        <w:overflowPunct w:val="0"/>
        <w:spacing w:before="4"/>
        <w:rPr>
          <w:rFonts w:asciiTheme="minorHAnsi" w:hAnsiTheme="minorHAnsi" w:cstheme="minorHAnsi"/>
          <w:b/>
          <w:bCs/>
          <w:sz w:val="23"/>
          <w:szCs w:val="23"/>
        </w:rPr>
      </w:pPr>
      <w:r>
        <w:rPr>
          <w:rFonts w:ascii="Times New Roman" w:hAnsi="Times New Roman"/>
          <w:noProof/>
        </w:rPr>
        <w:drawing>
          <wp:inline distT="0" distB="0" distL="0" distR="0" wp14:anchorId="2530BD1B" wp14:editId="59D36EA7">
            <wp:extent cx="2533650" cy="1647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3650" cy="1647825"/>
                    </a:xfrm>
                    <a:prstGeom prst="rect">
                      <a:avLst/>
                    </a:prstGeom>
                    <a:noFill/>
                    <a:ln>
                      <a:noFill/>
                    </a:ln>
                  </pic:spPr>
                </pic:pic>
              </a:graphicData>
            </a:graphic>
          </wp:inline>
        </w:drawing>
      </w:r>
    </w:p>
    <w:p w14:paraId="416F02ED" w14:textId="77777777" w:rsidR="00FA2BE1" w:rsidRPr="00D539C8" w:rsidRDefault="00FA2BE1" w:rsidP="00FA2BE1">
      <w:pPr>
        <w:pStyle w:val="BodyText"/>
        <w:kinsoku w:val="0"/>
        <w:overflowPunct w:val="0"/>
        <w:ind w:left="123"/>
        <w:rPr>
          <w:rFonts w:asciiTheme="minorHAnsi" w:hAnsiTheme="minorHAnsi" w:cstheme="minorHAnsi"/>
          <w:spacing w:val="-2"/>
        </w:rPr>
      </w:pPr>
      <w:r w:rsidRPr="00D539C8">
        <w:rPr>
          <w:rFonts w:asciiTheme="minorHAnsi" w:hAnsiTheme="minorHAnsi" w:cstheme="minorHAnsi"/>
        </w:rPr>
        <w:t>Remove</w:t>
      </w:r>
      <w:r w:rsidRPr="00D539C8">
        <w:rPr>
          <w:rFonts w:asciiTheme="minorHAnsi" w:hAnsiTheme="minorHAnsi" w:cstheme="minorHAnsi"/>
          <w:spacing w:val="3"/>
        </w:rPr>
        <w:t xml:space="preserve"> </w:t>
      </w:r>
      <w:r w:rsidRPr="00D539C8">
        <w:rPr>
          <w:rFonts w:asciiTheme="minorHAnsi" w:hAnsiTheme="minorHAnsi" w:cstheme="minorHAnsi"/>
        </w:rPr>
        <w:t>the</w:t>
      </w:r>
      <w:r w:rsidRPr="00D539C8">
        <w:rPr>
          <w:rFonts w:asciiTheme="minorHAnsi" w:hAnsiTheme="minorHAnsi" w:cstheme="minorHAnsi"/>
          <w:spacing w:val="4"/>
        </w:rPr>
        <w:t xml:space="preserve"> </w:t>
      </w:r>
      <w:r w:rsidRPr="00D539C8">
        <w:rPr>
          <w:rFonts w:asciiTheme="minorHAnsi" w:hAnsiTheme="minorHAnsi" w:cstheme="minorHAnsi"/>
        </w:rPr>
        <w:t>grey</w:t>
      </w:r>
      <w:r w:rsidRPr="00D539C8">
        <w:rPr>
          <w:rFonts w:asciiTheme="minorHAnsi" w:hAnsiTheme="minorHAnsi" w:cstheme="minorHAnsi"/>
          <w:spacing w:val="6"/>
        </w:rPr>
        <w:t xml:space="preserve"> </w:t>
      </w:r>
      <w:r w:rsidRPr="00D539C8">
        <w:rPr>
          <w:rFonts w:asciiTheme="minorHAnsi" w:hAnsiTheme="minorHAnsi" w:cstheme="minorHAnsi"/>
        </w:rPr>
        <w:t>safety</w:t>
      </w:r>
      <w:r w:rsidRPr="00D539C8">
        <w:rPr>
          <w:rFonts w:asciiTheme="minorHAnsi" w:hAnsiTheme="minorHAnsi" w:cstheme="minorHAnsi"/>
          <w:spacing w:val="6"/>
        </w:rPr>
        <w:t xml:space="preserve"> </w:t>
      </w:r>
      <w:r w:rsidRPr="00D539C8">
        <w:rPr>
          <w:rFonts w:asciiTheme="minorHAnsi" w:hAnsiTheme="minorHAnsi" w:cstheme="minorHAnsi"/>
        </w:rPr>
        <w:t>cap</w:t>
      </w:r>
      <w:r w:rsidRPr="00D539C8">
        <w:rPr>
          <w:rFonts w:asciiTheme="minorHAnsi" w:hAnsiTheme="minorHAnsi" w:cstheme="minorHAnsi"/>
          <w:spacing w:val="6"/>
        </w:rPr>
        <w:t xml:space="preserve"> </w:t>
      </w:r>
      <w:r w:rsidRPr="00D539C8">
        <w:rPr>
          <w:rFonts w:asciiTheme="minorHAnsi" w:hAnsiTheme="minorHAnsi" w:cstheme="minorHAnsi"/>
        </w:rPr>
        <w:t>from</w:t>
      </w:r>
      <w:r w:rsidRPr="00D539C8">
        <w:rPr>
          <w:rFonts w:asciiTheme="minorHAnsi" w:hAnsiTheme="minorHAnsi" w:cstheme="minorHAnsi"/>
          <w:spacing w:val="3"/>
        </w:rPr>
        <w:t xml:space="preserve"> </w:t>
      </w:r>
      <w:r w:rsidRPr="00D539C8">
        <w:rPr>
          <w:rFonts w:asciiTheme="minorHAnsi" w:hAnsiTheme="minorHAnsi" w:cstheme="minorHAnsi"/>
        </w:rPr>
        <w:t>the</w:t>
      </w:r>
      <w:r w:rsidRPr="00D539C8">
        <w:rPr>
          <w:rFonts w:asciiTheme="minorHAnsi" w:hAnsiTheme="minorHAnsi" w:cstheme="minorHAnsi"/>
          <w:spacing w:val="4"/>
        </w:rPr>
        <w:t xml:space="preserve"> </w:t>
      </w:r>
      <w:r w:rsidRPr="00D539C8">
        <w:rPr>
          <w:rFonts w:asciiTheme="minorHAnsi" w:hAnsiTheme="minorHAnsi" w:cstheme="minorHAnsi"/>
        </w:rPr>
        <w:t>red</w:t>
      </w:r>
      <w:r w:rsidRPr="00D539C8">
        <w:rPr>
          <w:rFonts w:asciiTheme="minorHAnsi" w:hAnsiTheme="minorHAnsi" w:cstheme="minorHAnsi"/>
          <w:spacing w:val="-13"/>
        </w:rPr>
        <w:t xml:space="preserve"> </w:t>
      </w:r>
      <w:r w:rsidRPr="00D539C8">
        <w:rPr>
          <w:rFonts w:asciiTheme="minorHAnsi" w:hAnsiTheme="minorHAnsi" w:cstheme="minorHAnsi"/>
        </w:rPr>
        <w:t>firing</w:t>
      </w:r>
      <w:r w:rsidRPr="00D539C8">
        <w:rPr>
          <w:rFonts w:asciiTheme="minorHAnsi" w:hAnsiTheme="minorHAnsi" w:cstheme="minorHAnsi"/>
          <w:spacing w:val="-12"/>
        </w:rPr>
        <w:t xml:space="preserve"> </w:t>
      </w:r>
      <w:r w:rsidRPr="00D539C8">
        <w:rPr>
          <w:rFonts w:asciiTheme="minorHAnsi" w:hAnsiTheme="minorHAnsi" w:cstheme="minorHAnsi"/>
          <w:spacing w:val="-2"/>
        </w:rPr>
        <w:t>button.</w:t>
      </w:r>
    </w:p>
    <w:p w14:paraId="5AD01A55" w14:textId="77777777" w:rsidR="00FA2BE1" w:rsidRDefault="00FA2BE1" w:rsidP="00FA2BE1">
      <w:pPr>
        <w:pStyle w:val="BodyText"/>
        <w:kinsoku w:val="0"/>
        <w:overflowPunct w:val="0"/>
        <w:spacing w:before="7"/>
        <w:rPr>
          <w:rFonts w:ascii="Times New Roman" w:hAnsi="Times New Roman"/>
          <w:sz w:val="22"/>
          <w:szCs w:val="22"/>
        </w:rPr>
      </w:pPr>
    </w:p>
    <w:p w14:paraId="7C8F1FB8" w14:textId="77777777" w:rsidR="00FA2BE1" w:rsidRPr="00C03951" w:rsidRDefault="00FA2BE1" w:rsidP="00FA2BE1">
      <w:pPr>
        <w:pStyle w:val="BodyText"/>
        <w:rPr>
          <w:b/>
          <w:bCs/>
          <w:spacing w:val="-12"/>
        </w:rPr>
      </w:pPr>
      <w:bookmarkStart w:id="119" w:name="_Toc105500004"/>
      <w:r w:rsidRPr="00C03951">
        <w:rPr>
          <w:b/>
          <w:bCs/>
        </w:rPr>
        <w:t>Step</w:t>
      </w:r>
      <w:r w:rsidRPr="00C03951">
        <w:rPr>
          <w:b/>
          <w:bCs/>
          <w:spacing w:val="-5"/>
        </w:rPr>
        <w:t xml:space="preserve"> </w:t>
      </w:r>
      <w:r w:rsidRPr="00C03951">
        <w:rPr>
          <w:b/>
          <w:bCs/>
          <w:spacing w:val="-12"/>
        </w:rPr>
        <w:t>3</w:t>
      </w:r>
      <w:bookmarkEnd w:id="119"/>
    </w:p>
    <w:p w14:paraId="19C0C4D1" w14:textId="77777777" w:rsidR="00FA2BE1" w:rsidRDefault="00FA2BE1" w:rsidP="00FA2BE1">
      <w:pPr>
        <w:pStyle w:val="BodyText"/>
        <w:kinsoku w:val="0"/>
        <w:overflowPunct w:val="0"/>
        <w:spacing w:line="237" w:lineRule="auto"/>
        <w:ind w:left="123" w:right="88"/>
        <w:rPr>
          <w:rFonts w:asciiTheme="minorHAnsi" w:hAnsiTheme="minorHAnsi" w:cstheme="minorHAnsi"/>
        </w:rPr>
      </w:pPr>
      <w:r>
        <w:rPr>
          <w:rFonts w:ascii="Times New Roman" w:hAnsi="Times New Roman"/>
          <w:noProof/>
        </w:rPr>
        <w:drawing>
          <wp:inline distT="0" distB="0" distL="0" distR="0" wp14:anchorId="1F48DF33" wp14:editId="49A77BE5">
            <wp:extent cx="2533650" cy="1647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3650" cy="1647825"/>
                    </a:xfrm>
                    <a:prstGeom prst="rect">
                      <a:avLst/>
                    </a:prstGeom>
                    <a:noFill/>
                    <a:ln>
                      <a:noFill/>
                    </a:ln>
                  </pic:spPr>
                </pic:pic>
              </a:graphicData>
            </a:graphic>
          </wp:inline>
        </w:drawing>
      </w:r>
    </w:p>
    <w:p w14:paraId="134B39DB" w14:textId="77777777" w:rsidR="00FA2BE1" w:rsidRPr="00D539C8" w:rsidRDefault="00FA2BE1" w:rsidP="00FA2BE1">
      <w:pPr>
        <w:pStyle w:val="BodyText"/>
        <w:kinsoku w:val="0"/>
        <w:overflowPunct w:val="0"/>
        <w:spacing w:line="237" w:lineRule="auto"/>
        <w:ind w:left="123" w:right="88"/>
        <w:rPr>
          <w:rFonts w:asciiTheme="minorHAnsi" w:hAnsiTheme="minorHAnsi" w:cstheme="minorHAnsi"/>
        </w:rPr>
      </w:pPr>
      <w:r w:rsidRPr="00D539C8">
        <w:rPr>
          <w:rFonts w:asciiTheme="minorHAnsi" w:hAnsiTheme="minorHAnsi" w:cstheme="minorHAnsi"/>
        </w:rPr>
        <w:t xml:space="preserve">Position the needle end of the </w:t>
      </w:r>
      <w:proofErr w:type="spellStart"/>
      <w:r w:rsidRPr="00D539C8">
        <w:rPr>
          <w:rFonts w:asciiTheme="minorHAnsi" w:hAnsiTheme="minorHAnsi" w:cstheme="minorHAnsi"/>
        </w:rPr>
        <w:t>Anapen</w:t>
      </w:r>
      <w:proofErr w:type="spellEnd"/>
      <w:r w:rsidRPr="00D539C8">
        <w:rPr>
          <w:rFonts w:asciiTheme="minorHAnsi" w:hAnsiTheme="minorHAnsi" w:cstheme="minorHAnsi"/>
        </w:rPr>
        <w:t>®</w:t>
      </w:r>
      <w:r w:rsidRPr="00D539C8">
        <w:rPr>
          <w:rFonts w:asciiTheme="minorHAnsi" w:hAnsiTheme="minorHAnsi" w:cstheme="minorHAnsi"/>
          <w:spacing w:val="-12"/>
        </w:rPr>
        <w:t xml:space="preserve"> </w:t>
      </w:r>
      <w:r w:rsidRPr="00D539C8">
        <w:rPr>
          <w:rFonts w:asciiTheme="minorHAnsi" w:hAnsiTheme="minorHAnsi" w:cstheme="minorHAnsi"/>
        </w:rPr>
        <w:t>device against</w:t>
      </w:r>
      <w:r w:rsidRPr="00D539C8">
        <w:rPr>
          <w:rFonts w:asciiTheme="minorHAnsi" w:hAnsiTheme="minorHAnsi" w:cstheme="minorHAnsi"/>
          <w:spacing w:val="-7"/>
        </w:rPr>
        <w:t xml:space="preserve"> </w:t>
      </w:r>
      <w:r w:rsidRPr="00D539C8">
        <w:rPr>
          <w:rFonts w:asciiTheme="minorHAnsi" w:hAnsiTheme="minorHAnsi" w:cstheme="minorHAnsi"/>
        </w:rPr>
        <w:t>the outer</w:t>
      </w:r>
      <w:r w:rsidRPr="00D539C8">
        <w:rPr>
          <w:rFonts w:asciiTheme="minorHAnsi" w:hAnsiTheme="minorHAnsi" w:cstheme="minorHAnsi"/>
          <w:spacing w:val="-4"/>
        </w:rPr>
        <w:t xml:space="preserve"> </w:t>
      </w:r>
      <w:r w:rsidRPr="00D539C8">
        <w:rPr>
          <w:rFonts w:asciiTheme="minorHAnsi" w:hAnsiTheme="minorHAnsi" w:cstheme="minorHAnsi"/>
        </w:rPr>
        <w:t>part</w:t>
      </w:r>
      <w:r w:rsidRPr="00D539C8">
        <w:rPr>
          <w:rFonts w:asciiTheme="minorHAnsi" w:hAnsiTheme="minorHAnsi" w:cstheme="minorHAnsi"/>
          <w:spacing w:val="-7"/>
        </w:rPr>
        <w:t xml:space="preserve"> </w:t>
      </w:r>
      <w:r w:rsidRPr="00D539C8">
        <w:rPr>
          <w:rFonts w:asciiTheme="minorHAnsi" w:hAnsiTheme="minorHAnsi" w:cstheme="minorHAnsi"/>
        </w:rPr>
        <w:t xml:space="preserve">of the thigh. </w:t>
      </w:r>
      <w:proofErr w:type="spellStart"/>
      <w:r w:rsidRPr="00D539C8">
        <w:rPr>
          <w:rFonts w:asciiTheme="minorHAnsi" w:hAnsiTheme="minorHAnsi" w:cstheme="minorHAnsi"/>
        </w:rPr>
        <w:t>Anapen</w:t>
      </w:r>
      <w:proofErr w:type="spellEnd"/>
      <w:r w:rsidRPr="00D539C8">
        <w:rPr>
          <w:rFonts w:asciiTheme="minorHAnsi" w:hAnsiTheme="minorHAnsi" w:cstheme="minorHAnsi"/>
        </w:rPr>
        <w:t xml:space="preserve">® can be used through light clothing, such as denim, </w:t>
      </w:r>
      <w:proofErr w:type="gramStart"/>
      <w:r w:rsidRPr="00D539C8">
        <w:rPr>
          <w:rFonts w:asciiTheme="minorHAnsi" w:hAnsiTheme="minorHAnsi" w:cstheme="minorHAnsi"/>
        </w:rPr>
        <w:t>cotton</w:t>
      </w:r>
      <w:proofErr w:type="gramEnd"/>
      <w:r w:rsidRPr="00D539C8">
        <w:rPr>
          <w:rFonts w:asciiTheme="minorHAnsi" w:hAnsiTheme="minorHAnsi" w:cstheme="minorHAnsi"/>
          <w:spacing w:val="-1"/>
        </w:rPr>
        <w:t xml:space="preserve"> </w:t>
      </w:r>
      <w:r w:rsidRPr="00D539C8">
        <w:rPr>
          <w:rFonts w:asciiTheme="minorHAnsi" w:hAnsiTheme="minorHAnsi" w:cstheme="minorHAnsi"/>
        </w:rPr>
        <w:t>or polyester.</w:t>
      </w:r>
    </w:p>
    <w:p w14:paraId="47F73550" w14:textId="77777777" w:rsidR="00FA2BE1" w:rsidRPr="00D539C8" w:rsidRDefault="00FA2BE1" w:rsidP="00FA2BE1">
      <w:pPr>
        <w:pStyle w:val="BodyText"/>
        <w:pBdr>
          <w:top w:val="single" w:sz="4" w:space="1" w:color="auto"/>
          <w:left w:val="single" w:sz="4" w:space="4" w:color="auto"/>
          <w:bottom w:val="single" w:sz="4" w:space="1" w:color="auto"/>
          <w:right w:val="single" w:sz="4" w:space="4" w:color="auto"/>
        </w:pBdr>
        <w:kinsoku w:val="0"/>
        <w:overflowPunct w:val="0"/>
        <w:spacing w:before="92" w:line="237" w:lineRule="auto"/>
        <w:ind w:left="124"/>
        <w:rPr>
          <w:rFonts w:asciiTheme="minorHAnsi" w:hAnsiTheme="minorHAnsi" w:cstheme="minorHAnsi"/>
        </w:rPr>
      </w:pPr>
      <w:r w:rsidRPr="00823778">
        <w:rPr>
          <w:rFonts w:asciiTheme="minorHAnsi" w:hAnsiTheme="minorHAnsi" w:cstheme="minorHAnsi"/>
          <w:b/>
          <w:bCs/>
        </w:rPr>
        <w:lastRenderedPageBreak/>
        <w:t>Note:</w:t>
      </w:r>
      <w:r w:rsidRPr="00D539C8">
        <w:rPr>
          <w:rFonts w:asciiTheme="minorHAnsi" w:hAnsiTheme="minorHAnsi" w:cstheme="minorHAnsi"/>
        </w:rPr>
        <w:t xml:space="preserve"> </w:t>
      </w:r>
      <w:proofErr w:type="spellStart"/>
      <w:r w:rsidRPr="00D539C8">
        <w:rPr>
          <w:rFonts w:asciiTheme="minorHAnsi" w:hAnsiTheme="minorHAnsi" w:cstheme="minorHAnsi"/>
        </w:rPr>
        <w:t>Anapen</w:t>
      </w:r>
      <w:proofErr w:type="spellEnd"/>
      <w:r w:rsidRPr="00D539C8">
        <w:rPr>
          <w:rFonts w:asciiTheme="minorHAnsi" w:hAnsiTheme="minorHAnsi" w:cstheme="minorHAnsi"/>
        </w:rPr>
        <w:t>®</w:t>
      </w:r>
      <w:r w:rsidRPr="00D539C8">
        <w:rPr>
          <w:rFonts w:asciiTheme="minorHAnsi" w:hAnsiTheme="minorHAnsi" w:cstheme="minorHAnsi"/>
          <w:spacing w:val="-10"/>
        </w:rPr>
        <w:t xml:space="preserve"> </w:t>
      </w:r>
      <w:r w:rsidRPr="00D539C8">
        <w:rPr>
          <w:rFonts w:asciiTheme="minorHAnsi" w:hAnsiTheme="minorHAnsi" w:cstheme="minorHAnsi"/>
        </w:rPr>
        <w:t>is intended only</w:t>
      </w:r>
      <w:r w:rsidRPr="00D539C8">
        <w:rPr>
          <w:rFonts w:asciiTheme="minorHAnsi" w:hAnsiTheme="minorHAnsi" w:cstheme="minorHAnsi"/>
          <w:spacing w:val="-12"/>
        </w:rPr>
        <w:t xml:space="preserve"> </w:t>
      </w:r>
      <w:r w:rsidRPr="00D539C8">
        <w:rPr>
          <w:rFonts w:asciiTheme="minorHAnsi" w:hAnsiTheme="minorHAnsi" w:cstheme="minorHAnsi"/>
        </w:rPr>
        <w:t>for</w:t>
      </w:r>
      <w:r w:rsidRPr="00D539C8">
        <w:rPr>
          <w:rFonts w:asciiTheme="minorHAnsi" w:hAnsiTheme="minorHAnsi" w:cstheme="minorHAnsi"/>
          <w:spacing w:val="-1"/>
        </w:rPr>
        <w:t xml:space="preserve"> </w:t>
      </w:r>
      <w:r w:rsidRPr="00D539C8">
        <w:rPr>
          <w:rFonts w:asciiTheme="minorHAnsi" w:hAnsiTheme="minorHAnsi" w:cstheme="minorHAnsi"/>
        </w:rPr>
        <w:t>intramuscular</w:t>
      </w:r>
      <w:r w:rsidRPr="00D539C8">
        <w:rPr>
          <w:rFonts w:asciiTheme="minorHAnsi" w:hAnsiTheme="minorHAnsi" w:cstheme="minorHAnsi"/>
          <w:spacing w:val="-1"/>
        </w:rPr>
        <w:t xml:space="preserve"> </w:t>
      </w:r>
      <w:r w:rsidRPr="00D539C8">
        <w:rPr>
          <w:rFonts w:asciiTheme="minorHAnsi" w:hAnsiTheme="minorHAnsi" w:cstheme="minorHAnsi"/>
        </w:rPr>
        <w:t>use.</w:t>
      </w:r>
      <w:r w:rsidRPr="00D539C8">
        <w:rPr>
          <w:rFonts w:asciiTheme="minorHAnsi" w:hAnsiTheme="minorHAnsi" w:cstheme="minorHAnsi"/>
          <w:spacing w:val="-16"/>
        </w:rPr>
        <w:t xml:space="preserve"> </w:t>
      </w:r>
      <w:r w:rsidRPr="00D539C8">
        <w:rPr>
          <w:rFonts w:asciiTheme="minorHAnsi" w:hAnsiTheme="minorHAnsi" w:cstheme="minorHAnsi"/>
        </w:rPr>
        <w:t>Administer</w:t>
      </w:r>
      <w:r w:rsidRPr="00D539C8">
        <w:rPr>
          <w:rFonts w:asciiTheme="minorHAnsi" w:hAnsiTheme="minorHAnsi" w:cstheme="minorHAnsi"/>
          <w:spacing w:val="-1"/>
        </w:rPr>
        <w:t xml:space="preserve"> </w:t>
      </w:r>
      <w:r w:rsidRPr="00D539C8">
        <w:rPr>
          <w:rFonts w:asciiTheme="minorHAnsi" w:hAnsiTheme="minorHAnsi" w:cstheme="minorHAnsi"/>
        </w:rPr>
        <w:t>to the outer</w:t>
      </w:r>
      <w:r w:rsidRPr="00D539C8">
        <w:rPr>
          <w:rFonts w:asciiTheme="minorHAnsi" w:hAnsiTheme="minorHAnsi" w:cstheme="minorHAnsi"/>
          <w:spacing w:val="-1"/>
        </w:rPr>
        <w:t xml:space="preserve"> </w:t>
      </w:r>
      <w:r w:rsidRPr="00D539C8">
        <w:rPr>
          <w:rFonts w:asciiTheme="minorHAnsi" w:hAnsiTheme="minorHAnsi" w:cstheme="minorHAnsi"/>
        </w:rPr>
        <w:t>part</w:t>
      </w:r>
      <w:r w:rsidRPr="00D539C8">
        <w:rPr>
          <w:rFonts w:asciiTheme="minorHAnsi" w:hAnsiTheme="minorHAnsi" w:cstheme="minorHAnsi"/>
          <w:spacing w:val="-5"/>
        </w:rPr>
        <w:t xml:space="preserve"> </w:t>
      </w:r>
      <w:r w:rsidRPr="00D539C8">
        <w:rPr>
          <w:rFonts w:asciiTheme="minorHAnsi" w:hAnsiTheme="minorHAnsi" w:cstheme="minorHAnsi"/>
        </w:rPr>
        <w:t>of</w:t>
      </w:r>
      <w:r w:rsidRPr="00D539C8">
        <w:rPr>
          <w:rFonts w:asciiTheme="minorHAnsi" w:hAnsiTheme="minorHAnsi" w:cstheme="minorHAnsi"/>
          <w:spacing w:val="-1"/>
        </w:rPr>
        <w:t xml:space="preserve"> </w:t>
      </w:r>
      <w:r w:rsidRPr="00D539C8">
        <w:rPr>
          <w:rFonts w:asciiTheme="minorHAnsi" w:hAnsiTheme="minorHAnsi" w:cstheme="minorHAnsi"/>
        </w:rPr>
        <w:t>the thigh only, nowhere else.</w:t>
      </w:r>
    </w:p>
    <w:p w14:paraId="71C52516" w14:textId="77777777" w:rsidR="00FA2BE1" w:rsidRPr="00C03951" w:rsidRDefault="00FA2BE1" w:rsidP="00FA2BE1">
      <w:pPr>
        <w:pStyle w:val="BodyText"/>
        <w:rPr>
          <w:b/>
          <w:bCs/>
          <w:spacing w:val="-12"/>
        </w:rPr>
      </w:pPr>
      <w:bookmarkStart w:id="120" w:name="_Toc105500005"/>
      <w:r w:rsidRPr="00C03951">
        <w:rPr>
          <w:b/>
          <w:bCs/>
        </w:rPr>
        <w:t>Step</w:t>
      </w:r>
      <w:r w:rsidRPr="00C03951">
        <w:rPr>
          <w:b/>
          <w:bCs/>
          <w:spacing w:val="-5"/>
        </w:rPr>
        <w:t xml:space="preserve"> </w:t>
      </w:r>
      <w:r w:rsidRPr="00C03951">
        <w:rPr>
          <w:b/>
          <w:bCs/>
          <w:spacing w:val="-12"/>
        </w:rPr>
        <w:t>4</w:t>
      </w:r>
      <w:bookmarkEnd w:id="120"/>
    </w:p>
    <w:p w14:paraId="332CB3D4" w14:textId="77777777" w:rsidR="00FA2BE1" w:rsidRDefault="00FA2BE1" w:rsidP="00FA2BE1">
      <w:pPr>
        <w:pStyle w:val="BodyText"/>
        <w:kinsoku w:val="0"/>
        <w:overflowPunct w:val="0"/>
        <w:spacing w:before="7"/>
        <w:rPr>
          <w:rFonts w:ascii="Times New Roman" w:hAnsi="Times New Roman"/>
          <w:sz w:val="22"/>
          <w:szCs w:val="22"/>
        </w:rPr>
      </w:pPr>
      <w:r>
        <w:rPr>
          <w:noProof/>
        </w:rPr>
        <mc:AlternateContent>
          <mc:Choice Requires="wps">
            <w:drawing>
              <wp:anchor distT="0" distB="0" distL="0" distR="0" simplePos="0" relativeHeight="251661312" behindDoc="0" locked="0" layoutInCell="0" allowOverlap="1" wp14:anchorId="3948EE43" wp14:editId="3DE953A9">
                <wp:simplePos x="0" y="0"/>
                <wp:positionH relativeFrom="page">
                  <wp:posOffset>900430</wp:posOffset>
                </wp:positionH>
                <wp:positionV relativeFrom="paragraph">
                  <wp:posOffset>180975</wp:posOffset>
                </wp:positionV>
                <wp:extent cx="2540000" cy="1651000"/>
                <wp:effectExtent l="0" t="0" r="0" b="0"/>
                <wp:wrapTopAndBottom/>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A72F" w14:textId="77777777" w:rsidR="00FA2BE1" w:rsidRDefault="00FA2BE1" w:rsidP="00FA2BE1">
                            <w:pPr>
                              <w:spacing w:line="2600" w:lineRule="atLeast"/>
                              <w:rPr>
                                <w:rFonts w:ascii="Times New Roman" w:hAnsi="Times New Roman"/>
                                <w:szCs w:val="24"/>
                              </w:rPr>
                            </w:pPr>
                            <w:r>
                              <w:rPr>
                                <w:rFonts w:ascii="Times New Roman" w:hAnsi="Times New Roman"/>
                                <w:noProof/>
                              </w:rPr>
                              <w:drawing>
                                <wp:inline distT="0" distB="0" distL="0" distR="0" wp14:anchorId="7022EA50" wp14:editId="0683F41B">
                                  <wp:extent cx="2533650" cy="1647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0" cy="1647825"/>
                                          </a:xfrm>
                                          <a:prstGeom prst="rect">
                                            <a:avLst/>
                                          </a:prstGeom>
                                          <a:noFill/>
                                          <a:ln>
                                            <a:noFill/>
                                          </a:ln>
                                        </pic:spPr>
                                      </pic:pic>
                                    </a:graphicData>
                                  </a:graphic>
                                </wp:inline>
                              </w:drawing>
                            </w:r>
                          </w:p>
                          <w:p w14:paraId="0503716C" w14:textId="77777777" w:rsidR="00FA2BE1" w:rsidRDefault="00FA2BE1" w:rsidP="00FA2BE1">
                            <w:pPr>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8EE43" id="Rectangle 57" o:spid="_x0000_s1026" style="position:absolute;margin-left:70.9pt;margin-top:14.25pt;width:200pt;height:130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hEzwEAAI8DAAAOAAAAZHJzL2Uyb0RvYy54bWysU9tu2zAMfR+wfxD0vtgO1mIw4hRFiw4D&#10;ugvQ7gNkWbaF2aJGKrGzrx8lx+kub8P8IJCUeMhzSO9u5nEQR4NkwVWy2ORSGKehsa6r5Nfnhzfv&#10;pKCgXKMGcKaSJ0PyZv/61W7ypdlCD0NjUDCIo3LylexD8GWWke7NqGgD3ji+bAFHFdjFLmtQTYw+&#10;Dtk2z6+zCbDxCNoQcfR+uZT7hN+2RofPbUsmiKGS3FtIJ6azjme236myQ+V7q89tqH/oYlTWcdEL&#10;1L0KShzQ/gU1Wo1A0IaNhjGDtrXaJA7Mpsj/YPPUK28SFxaH/EUm+n+w+tPxyX/B2Dr5R9DfSDi4&#10;65XrzC0iTL1RDZcrolDZ5Km8JESHOFXU00doeLTqECBpMLc4RkBmJ+Yk9ekitZmD0BzcXr3N+ZNC&#10;811xfVVEJ9ZQ5ZrukcJ7A6OIRiWRZ5ng1fGRwvJ0fRKrOXiww5DmObjfAowZI6n92HFcDirDXM/C&#10;NmduMVJDc2I+CMuW8Faz0QP+kGLiDakkfT8oNFIMHxxrEtdpNXA16tVQTnNqJYMUi3kXlrU7eLRd&#10;z8hFYuPglnVrbWL00sW5XZ560uS8oXGtfvXTq5f/aP8TAAD//wMAUEsDBBQABgAIAAAAIQASlBCW&#10;3gAAAAoBAAAPAAAAZHJzL2Rvd25yZXYueG1sTI/NTsMwEITvSH0Ha5G4UacVRWmIU1X8qByhRSrc&#10;3HhJotrrKHabwNOz5dIeZ3Y0+02+GJwVR+xC40nBZJyAQCq9aahS8LF5uU1BhKjJaOsJFfxggEUx&#10;usp1ZnxP73hcx0pwCYVMK6hjbDMpQ1mj02HsWyS+ffvO6ciyq6TpdM/lzsppktxLpxviD7Vu8bHG&#10;cr8+OAWrtF1+vvrfvrLPX6vt23b+tJlHpW6uh+UDiIhDPIfhhM/oUDDTzh/IBGFZ300YPSqYpjMQ&#10;HJj9G7uTwY4scnk5ofgDAAD//wMAUEsBAi0AFAAGAAgAAAAhALaDOJL+AAAA4QEAABMAAAAAAAAA&#10;AAAAAAAAAAAAAFtDb250ZW50X1R5cGVzXS54bWxQSwECLQAUAAYACAAAACEAOP0h/9YAAACUAQAA&#10;CwAAAAAAAAAAAAAAAAAvAQAAX3JlbHMvLnJlbHNQSwECLQAUAAYACAAAACEAaNMYRM8BAACPAwAA&#10;DgAAAAAAAAAAAAAAAAAuAgAAZHJzL2Uyb0RvYy54bWxQSwECLQAUAAYACAAAACEAEpQQlt4AAAAK&#10;AQAADwAAAAAAAAAAAAAAAAApBAAAZHJzL2Rvd25yZXYueG1sUEsFBgAAAAAEAAQA8wAAADQFAAAA&#10;AA==&#10;" o:allowincell="f" filled="f" stroked="f">
                <v:textbox inset="0,0,0,0">
                  <w:txbxContent>
                    <w:p w14:paraId="13FDA72F" w14:textId="77777777" w:rsidR="00FA2BE1" w:rsidRDefault="00FA2BE1" w:rsidP="00FA2BE1">
                      <w:pPr>
                        <w:spacing w:line="2600" w:lineRule="atLeast"/>
                        <w:rPr>
                          <w:rFonts w:ascii="Times New Roman" w:hAnsi="Times New Roman"/>
                          <w:szCs w:val="24"/>
                        </w:rPr>
                      </w:pPr>
                      <w:r>
                        <w:rPr>
                          <w:rFonts w:ascii="Times New Roman" w:hAnsi="Times New Roman"/>
                          <w:noProof/>
                        </w:rPr>
                        <w:drawing>
                          <wp:inline distT="0" distB="0" distL="0" distR="0" wp14:anchorId="7022EA50" wp14:editId="0683F41B">
                            <wp:extent cx="2533650" cy="1647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0" cy="1647825"/>
                                    </a:xfrm>
                                    <a:prstGeom prst="rect">
                                      <a:avLst/>
                                    </a:prstGeom>
                                    <a:noFill/>
                                    <a:ln>
                                      <a:noFill/>
                                    </a:ln>
                                  </pic:spPr>
                                </pic:pic>
                              </a:graphicData>
                            </a:graphic>
                          </wp:inline>
                        </w:drawing>
                      </w:r>
                    </w:p>
                    <w:p w14:paraId="0503716C" w14:textId="77777777" w:rsidR="00FA2BE1" w:rsidRDefault="00FA2BE1" w:rsidP="00FA2BE1">
                      <w:pPr>
                        <w:rPr>
                          <w:rFonts w:ascii="Times New Roman" w:hAnsi="Times New Roman"/>
                          <w:szCs w:val="24"/>
                        </w:rPr>
                      </w:pPr>
                    </w:p>
                  </w:txbxContent>
                </v:textbox>
                <w10:wrap type="topAndBottom" anchorx="page"/>
              </v:rect>
            </w:pict>
          </mc:Fallback>
        </mc:AlternateContent>
      </w:r>
    </w:p>
    <w:p w14:paraId="54FBA927" w14:textId="77777777" w:rsidR="00FA2BE1" w:rsidRPr="00D539C8" w:rsidRDefault="00FA2BE1" w:rsidP="00FA2BE1">
      <w:pPr>
        <w:pStyle w:val="BodyText"/>
        <w:kinsoku w:val="0"/>
        <w:overflowPunct w:val="0"/>
        <w:ind w:left="123"/>
        <w:rPr>
          <w:rFonts w:asciiTheme="minorHAnsi" w:hAnsiTheme="minorHAnsi" w:cstheme="minorHAnsi"/>
          <w:spacing w:val="-5"/>
        </w:rPr>
      </w:pPr>
      <w:r w:rsidRPr="00D539C8">
        <w:rPr>
          <w:rFonts w:asciiTheme="minorHAnsi" w:hAnsiTheme="minorHAnsi" w:cstheme="minorHAnsi"/>
        </w:rPr>
        <w:t>WHITE</w:t>
      </w:r>
      <w:r w:rsidRPr="00D539C8">
        <w:rPr>
          <w:rFonts w:asciiTheme="minorHAnsi" w:hAnsiTheme="minorHAnsi" w:cstheme="minorHAnsi"/>
          <w:spacing w:val="-5"/>
        </w:rPr>
        <w:t xml:space="preserve"> </w:t>
      </w:r>
      <w:r w:rsidRPr="00D539C8">
        <w:rPr>
          <w:rFonts w:asciiTheme="minorHAnsi" w:hAnsiTheme="minorHAnsi" w:cstheme="minorHAnsi"/>
        </w:rPr>
        <w:t>END</w:t>
      </w:r>
      <w:r w:rsidRPr="00D539C8">
        <w:rPr>
          <w:rFonts w:asciiTheme="minorHAnsi" w:hAnsiTheme="minorHAnsi" w:cstheme="minorHAnsi"/>
          <w:spacing w:val="2"/>
        </w:rPr>
        <w:t xml:space="preserve"> </w:t>
      </w:r>
      <w:r w:rsidRPr="00D539C8">
        <w:rPr>
          <w:rFonts w:asciiTheme="minorHAnsi" w:hAnsiTheme="minorHAnsi" w:cstheme="minorHAnsi"/>
        </w:rPr>
        <w:t>ON</w:t>
      </w:r>
      <w:r w:rsidRPr="00D539C8">
        <w:rPr>
          <w:rFonts w:asciiTheme="minorHAnsi" w:hAnsiTheme="minorHAnsi" w:cstheme="minorHAnsi"/>
          <w:spacing w:val="-13"/>
        </w:rPr>
        <w:t xml:space="preserve"> </w:t>
      </w:r>
      <w:r w:rsidRPr="00D539C8">
        <w:rPr>
          <w:rFonts w:asciiTheme="minorHAnsi" w:hAnsiTheme="minorHAnsi" w:cstheme="minorHAnsi"/>
        </w:rPr>
        <w:t>LEG</w:t>
      </w:r>
      <w:r w:rsidRPr="00D539C8">
        <w:rPr>
          <w:rFonts w:asciiTheme="minorHAnsi" w:hAnsiTheme="minorHAnsi" w:cstheme="minorHAnsi"/>
          <w:spacing w:val="3"/>
        </w:rPr>
        <w:t xml:space="preserve"> </w:t>
      </w:r>
      <w:r w:rsidRPr="00D539C8">
        <w:rPr>
          <w:rFonts w:asciiTheme="minorHAnsi" w:hAnsiTheme="minorHAnsi" w:cstheme="minorHAnsi"/>
        </w:rPr>
        <w:t>| PRESS</w:t>
      </w:r>
      <w:r w:rsidRPr="00D539C8">
        <w:rPr>
          <w:rFonts w:asciiTheme="minorHAnsi" w:hAnsiTheme="minorHAnsi" w:cstheme="minorHAnsi"/>
          <w:spacing w:val="10"/>
        </w:rPr>
        <w:t xml:space="preserve"> </w:t>
      </w:r>
      <w:r w:rsidRPr="00D539C8">
        <w:rPr>
          <w:rFonts w:asciiTheme="minorHAnsi" w:hAnsiTheme="minorHAnsi" w:cstheme="minorHAnsi"/>
        </w:rPr>
        <w:t>THUMB ON</w:t>
      </w:r>
      <w:r w:rsidRPr="00D539C8">
        <w:rPr>
          <w:rFonts w:asciiTheme="minorHAnsi" w:hAnsiTheme="minorHAnsi" w:cstheme="minorHAnsi"/>
          <w:spacing w:val="-12"/>
        </w:rPr>
        <w:t xml:space="preserve"> </w:t>
      </w:r>
      <w:r w:rsidRPr="00D539C8">
        <w:rPr>
          <w:rFonts w:asciiTheme="minorHAnsi" w:hAnsiTheme="minorHAnsi" w:cstheme="minorHAnsi"/>
          <w:spacing w:val="-5"/>
        </w:rPr>
        <w:t>RED</w:t>
      </w:r>
    </w:p>
    <w:p w14:paraId="55950E8A" w14:textId="77777777" w:rsidR="00FA2BE1" w:rsidRPr="00D539C8" w:rsidRDefault="00FA2BE1" w:rsidP="00FA2BE1">
      <w:pPr>
        <w:pStyle w:val="BodyText"/>
        <w:kinsoku w:val="0"/>
        <w:overflowPunct w:val="0"/>
        <w:spacing w:before="4"/>
        <w:rPr>
          <w:rFonts w:asciiTheme="minorHAnsi" w:hAnsiTheme="minorHAnsi" w:cstheme="minorHAnsi"/>
          <w:b/>
          <w:bCs/>
          <w:sz w:val="23"/>
          <w:szCs w:val="23"/>
        </w:rPr>
      </w:pPr>
    </w:p>
    <w:p w14:paraId="525BA803" w14:textId="77777777" w:rsidR="00FA2BE1" w:rsidRPr="00D539C8" w:rsidRDefault="00FA2BE1" w:rsidP="00FA2BE1">
      <w:pPr>
        <w:pStyle w:val="BodyText"/>
        <w:kinsoku w:val="0"/>
        <w:overflowPunct w:val="0"/>
        <w:ind w:left="123"/>
        <w:rPr>
          <w:rFonts w:asciiTheme="minorHAnsi" w:hAnsiTheme="minorHAnsi" w:cstheme="minorHAnsi"/>
          <w:spacing w:val="-2"/>
        </w:rPr>
      </w:pPr>
      <w:r w:rsidRPr="00D539C8">
        <w:rPr>
          <w:rFonts w:asciiTheme="minorHAnsi" w:hAnsiTheme="minorHAnsi" w:cstheme="minorHAnsi"/>
        </w:rPr>
        <w:t>Press</w:t>
      </w:r>
      <w:r w:rsidRPr="00D539C8">
        <w:rPr>
          <w:rFonts w:asciiTheme="minorHAnsi" w:hAnsiTheme="minorHAnsi" w:cstheme="minorHAnsi"/>
          <w:spacing w:val="-4"/>
        </w:rPr>
        <w:t xml:space="preserve"> </w:t>
      </w:r>
      <w:r w:rsidRPr="00D539C8">
        <w:rPr>
          <w:rFonts w:asciiTheme="minorHAnsi" w:hAnsiTheme="minorHAnsi" w:cstheme="minorHAnsi"/>
        </w:rPr>
        <w:t>the red</w:t>
      </w:r>
      <w:r w:rsidRPr="00D539C8">
        <w:rPr>
          <w:rFonts w:asciiTheme="minorHAnsi" w:hAnsiTheme="minorHAnsi" w:cstheme="minorHAnsi"/>
          <w:spacing w:val="4"/>
        </w:rPr>
        <w:t xml:space="preserve"> </w:t>
      </w:r>
      <w:r w:rsidRPr="00D539C8">
        <w:rPr>
          <w:rFonts w:asciiTheme="minorHAnsi" w:hAnsiTheme="minorHAnsi" w:cstheme="minorHAnsi"/>
        </w:rPr>
        <w:t>firing</w:t>
      </w:r>
      <w:r w:rsidRPr="00D539C8">
        <w:rPr>
          <w:rFonts w:asciiTheme="minorHAnsi" w:hAnsiTheme="minorHAnsi" w:cstheme="minorHAnsi"/>
          <w:spacing w:val="-16"/>
        </w:rPr>
        <w:t xml:space="preserve"> </w:t>
      </w:r>
      <w:r w:rsidRPr="00D539C8">
        <w:rPr>
          <w:rFonts w:asciiTheme="minorHAnsi" w:hAnsiTheme="minorHAnsi" w:cstheme="minorHAnsi"/>
        </w:rPr>
        <w:t>button</w:t>
      </w:r>
      <w:r w:rsidRPr="00D539C8">
        <w:rPr>
          <w:rFonts w:asciiTheme="minorHAnsi" w:hAnsiTheme="minorHAnsi" w:cstheme="minorHAnsi"/>
          <w:spacing w:val="4"/>
        </w:rPr>
        <w:t xml:space="preserve"> </w:t>
      </w:r>
      <w:r w:rsidRPr="00D539C8">
        <w:rPr>
          <w:rFonts w:asciiTheme="minorHAnsi" w:hAnsiTheme="minorHAnsi" w:cstheme="minorHAnsi"/>
        </w:rPr>
        <w:t>so</w:t>
      </w:r>
      <w:r w:rsidRPr="00D539C8">
        <w:rPr>
          <w:rFonts w:asciiTheme="minorHAnsi" w:hAnsiTheme="minorHAnsi" w:cstheme="minorHAnsi"/>
          <w:spacing w:val="3"/>
        </w:rPr>
        <w:t xml:space="preserve"> </w:t>
      </w:r>
      <w:r w:rsidRPr="00D539C8">
        <w:rPr>
          <w:rFonts w:asciiTheme="minorHAnsi" w:hAnsiTheme="minorHAnsi" w:cstheme="minorHAnsi"/>
        </w:rPr>
        <w:t>that</w:t>
      </w:r>
      <w:r w:rsidRPr="00D539C8">
        <w:rPr>
          <w:rFonts w:asciiTheme="minorHAnsi" w:hAnsiTheme="minorHAnsi" w:cstheme="minorHAnsi"/>
          <w:spacing w:val="-9"/>
        </w:rPr>
        <w:t xml:space="preserve"> </w:t>
      </w:r>
      <w:r w:rsidRPr="00D539C8">
        <w:rPr>
          <w:rFonts w:asciiTheme="minorHAnsi" w:hAnsiTheme="minorHAnsi" w:cstheme="minorHAnsi"/>
        </w:rPr>
        <w:t>it</w:t>
      </w:r>
      <w:r w:rsidRPr="00D539C8">
        <w:rPr>
          <w:rFonts w:asciiTheme="minorHAnsi" w:hAnsiTheme="minorHAnsi" w:cstheme="minorHAnsi"/>
          <w:spacing w:val="10"/>
        </w:rPr>
        <w:t xml:space="preserve"> </w:t>
      </w:r>
      <w:r w:rsidRPr="00D539C8">
        <w:rPr>
          <w:rFonts w:asciiTheme="minorHAnsi" w:hAnsiTheme="minorHAnsi" w:cstheme="minorHAnsi"/>
          <w:spacing w:val="-2"/>
        </w:rPr>
        <w:t>clicks.</w:t>
      </w:r>
    </w:p>
    <w:p w14:paraId="214959CD" w14:textId="77777777" w:rsidR="00FA2BE1" w:rsidRPr="00D539C8" w:rsidRDefault="00FA2BE1" w:rsidP="00FA2BE1">
      <w:pPr>
        <w:pStyle w:val="BodyText"/>
        <w:kinsoku w:val="0"/>
        <w:overflowPunct w:val="0"/>
        <w:spacing w:before="10"/>
        <w:rPr>
          <w:rFonts w:asciiTheme="minorHAnsi" w:hAnsiTheme="minorHAnsi" w:cstheme="minorHAnsi"/>
        </w:rPr>
      </w:pPr>
    </w:p>
    <w:p w14:paraId="1606D7BB" w14:textId="77777777" w:rsidR="00FA2BE1" w:rsidRPr="00823778" w:rsidRDefault="00FA2BE1" w:rsidP="00FA2BE1">
      <w:pPr>
        <w:pStyle w:val="BodyText"/>
        <w:kinsoku w:val="0"/>
        <w:overflowPunct w:val="0"/>
        <w:spacing w:line="237" w:lineRule="auto"/>
        <w:ind w:left="123" w:right="88"/>
        <w:rPr>
          <w:rFonts w:asciiTheme="minorHAnsi" w:hAnsiTheme="minorHAnsi" w:cstheme="minorHAnsi"/>
        </w:rPr>
      </w:pPr>
      <w:r w:rsidRPr="00D539C8">
        <w:rPr>
          <w:rFonts w:asciiTheme="minorHAnsi" w:hAnsiTheme="minorHAnsi" w:cstheme="minorHAnsi"/>
        </w:rPr>
        <w:t xml:space="preserve">Hold the </w:t>
      </w:r>
      <w:proofErr w:type="spellStart"/>
      <w:r w:rsidRPr="00D539C8">
        <w:rPr>
          <w:rFonts w:asciiTheme="minorHAnsi" w:hAnsiTheme="minorHAnsi" w:cstheme="minorHAnsi"/>
        </w:rPr>
        <w:t>Anapen</w:t>
      </w:r>
      <w:proofErr w:type="spellEnd"/>
      <w:r w:rsidRPr="00D539C8">
        <w:rPr>
          <w:rFonts w:asciiTheme="minorHAnsi" w:hAnsiTheme="minorHAnsi" w:cstheme="minorHAnsi"/>
          <w:b/>
          <w:bCs/>
        </w:rPr>
        <w:t>®</w:t>
      </w:r>
      <w:r w:rsidRPr="00D539C8">
        <w:rPr>
          <w:rFonts w:asciiTheme="minorHAnsi" w:hAnsiTheme="minorHAnsi" w:cstheme="minorHAnsi"/>
          <w:b/>
          <w:bCs/>
          <w:spacing w:val="-7"/>
        </w:rPr>
        <w:t xml:space="preserve"> </w:t>
      </w:r>
      <w:r w:rsidRPr="00D539C8">
        <w:rPr>
          <w:rFonts w:asciiTheme="minorHAnsi" w:hAnsiTheme="minorHAnsi" w:cstheme="minorHAnsi"/>
        </w:rPr>
        <w:t>device against</w:t>
      </w:r>
      <w:r w:rsidRPr="00D539C8">
        <w:rPr>
          <w:rFonts w:asciiTheme="minorHAnsi" w:hAnsiTheme="minorHAnsi" w:cstheme="minorHAnsi"/>
          <w:spacing w:val="-6"/>
        </w:rPr>
        <w:t xml:space="preserve"> </w:t>
      </w:r>
      <w:r w:rsidRPr="00D539C8">
        <w:rPr>
          <w:rFonts w:asciiTheme="minorHAnsi" w:hAnsiTheme="minorHAnsi" w:cstheme="minorHAnsi"/>
        </w:rPr>
        <w:t>the outer</w:t>
      </w:r>
      <w:r w:rsidRPr="00D539C8">
        <w:rPr>
          <w:rFonts w:asciiTheme="minorHAnsi" w:hAnsiTheme="minorHAnsi" w:cstheme="minorHAnsi"/>
          <w:spacing w:val="-3"/>
        </w:rPr>
        <w:t xml:space="preserve"> </w:t>
      </w:r>
      <w:r w:rsidRPr="00D539C8">
        <w:rPr>
          <w:rFonts w:asciiTheme="minorHAnsi" w:hAnsiTheme="minorHAnsi" w:cstheme="minorHAnsi"/>
        </w:rPr>
        <w:t>thigh for</w:t>
      </w:r>
      <w:r w:rsidRPr="00D539C8">
        <w:rPr>
          <w:rFonts w:asciiTheme="minorHAnsi" w:hAnsiTheme="minorHAnsi" w:cstheme="minorHAnsi"/>
          <w:spacing w:val="-3"/>
        </w:rPr>
        <w:t xml:space="preserve"> </w:t>
      </w:r>
      <w:r w:rsidRPr="00D539C8">
        <w:rPr>
          <w:rFonts w:asciiTheme="minorHAnsi" w:hAnsiTheme="minorHAnsi" w:cstheme="minorHAnsi"/>
        </w:rPr>
        <w:t>10 seconds, then slowly</w:t>
      </w:r>
      <w:r w:rsidRPr="00D539C8">
        <w:rPr>
          <w:rFonts w:asciiTheme="minorHAnsi" w:hAnsiTheme="minorHAnsi" w:cstheme="minorHAnsi"/>
          <w:spacing w:val="-12"/>
        </w:rPr>
        <w:t xml:space="preserve"> </w:t>
      </w:r>
      <w:r w:rsidRPr="00D539C8">
        <w:rPr>
          <w:rFonts w:asciiTheme="minorHAnsi" w:hAnsiTheme="minorHAnsi" w:cstheme="minorHAnsi"/>
        </w:rPr>
        <w:t>remove it</w:t>
      </w:r>
      <w:r w:rsidRPr="00D539C8">
        <w:rPr>
          <w:rFonts w:asciiTheme="minorHAnsi" w:hAnsiTheme="minorHAnsi" w:cstheme="minorHAnsi"/>
          <w:spacing w:val="-6"/>
        </w:rPr>
        <w:t xml:space="preserve"> </w:t>
      </w:r>
      <w:r w:rsidRPr="00D539C8">
        <w:rPr>
          <w:rFonts w:asciiTheme="minorHAnsi" w:hAnsiTheme="minorHAnsi" w:cstheme="minorHAnsi"/>
        </w:rPr>
        <w:t>from the thigh.</w:t>
      </w:r>
    </w:p>
    <w:p w14:paraId="1F8ED4A3" w14:textId="77777777" w:rsidR="00FA2BE1" w:rsidRDefault="00FA2BE1" w:rsidP="00FA2BE1">
      <w:pPr>
        <w:pStyle w:val="BodyText"/>
        <w:kinsoku w:val="0"/>
        <w:overflowPunct w:val="0"/>
        <w:spacing w:before="99"/>
        <w:ind w:left="124"/>
        <w:rPr>
          <w:rFonts w:ascii="Lucida Sans Unicode" w:hAnsi="Lucida Sans Unicode" w:cs="Lucida Sans Unicode"/>
          <w:color w:val="3E4948"/>
          <w:spacing w:val="-2"/>
          <w:sz w:val="17"/>
          <w:szCs w:val="17"/>
        </w:rPr>
      </w:pPr>
      <w:r>
        <w:rPr>
          <w:noProof/>
        </w:rPr>
        <mc:AlternateContent>
          <mc:Choice Requires="wps">
            <w:drawing>
              <wp:anchor distT="0" distB="0" distL="114300" distR="114300" simplePos="0" relativeHeight="251662336" behindDoc="1" locked="0" layoutInCell="0" allowOverlap="1" wp14:anchorId="3B3B53A2" wp14:editId="6E045480">
                <wp:simplePos x="0" y="0"/>
                <wp:positionH relativeFrom="page">
                  <wp:posOffset>903605</wp:posOffset>
                </wp:positionH>
                <wp:positionV relativeFrom="paragraph">
                  <wp:posOffset>48895</wp:posOffset>
                </wp:positionV>
                <wp:extent cx="1300480" cy="172720"/>
                <wp:effectExtent l="0" t="0" r="0" b="0"/>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0480" cy="172720"/>
                        </a:xfrm>
                        <a:custGeom>
                          <a:avLst/>
                          <a:gdLst>
                            <a:gd name="T0" fmla="*/ 2048 w 2048"/>
                            <a:gd name="T1" fmla="*/ 0 h 272"/>
                            <a:gd name="T2" fmla="*/ 0 w 2048"/>
                            <a:gd name="T3" fmla="*/ 0 h 272"/>
                            <a:gd name="T4" fmla="*/ 0 w 2048"/>
                            <a:gd name="T5" fmla="*/ 272 h 272"/>
                            <a:gd name="T6" fmla="*/ 2048 w 2048"/>
                            <a:gd name="T7" fmla="*/ 272 h 272"/>
                            <a:gd name="T8" fmla="*/ 2048 w 2048"/>
                            <a:gd name="T9" fmla="*/ 0 h 272"/>
                          </a:gdLst>
                          <a:ahLst/>
                          <a:cxnLst>
                            <a:cxn ang="0">
                              <a:pos x="T0" y="T1"/>
                            </a:cxn>
                            <a:cxn ang="0">
                              <a:pos x="T2" y="T3"/>
                            </a:cxn>
                            <a:cxn ang="0">
                              <a:pos x="T4" y="T5"/>
                            </a:cxn>
                            <a:cxn ang="0">
                              <a:pos x="T6" y="T7"/>
                            </a:cxn>
                            <a:cxn ang="0">
                              <a:pos x="T8" y="T9"/>
                            </a:cxn>
                          </a:cxnLst>
                          <a:rect l="0" t="0" r="r" b="b"/>
                          <a:pathLst>
                            <a:path w="2048" h="272">
                              <a:moveTo>
                                <a:pt x="2048" y="0"/>
                              </a:moveTo>
                              <a:lnTo>
                                <a:pt x="0" y="0"/>
                              </a:lnTo>
                              <a:lnTo>
                                <a:pt x="0" y="272"/>
                              </a:lnTo>
                              <a:lnTo>
                                <a:pt x="2048" y="272"/>
                              </a:lnTo>
                              <a:lnTo>
                                <a:pt x="20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EBF74" id="Freeform: Shape 50" o:spid="_x0000_s1026" style="position:absolute;margin-left:71.15pt;margin-top:3.85pt;width:102.4pt;height:1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foyQIAAD4HAAAOAAAAZHJzL2Uyb0RvYy54bWysVW1r2zAQ/j7YfxD6OFhtJ2nTmjhltHQM&#10;um7Q7AcoshybyZImKXG6X787+aVOlkIY8wdb8j167u456bS43deS7IR1lVYZTS5iSoTiOq/UJqM/&#10;Vg8frylxnqmcSa1ERl+Eo7fL9+8WjUnFRJda5sISIFEubUxGS+9NGkWOl6Jm7kIbocBYaFszD1O7&#10;iXLLGmCvZTSJ46uo0TY3VnPhHPy9b410GfiLQnD/rSic8ERmFGLz4W3De43vaLlg6cYyU1a8C4P9&#10;QxQ1qxQ4HajumWdka6u/qOqKW+104S+4riNdFBUXIQfIJomPsnkumREhFxDHmUEm9/9o+dPu2Xy3&#10;GLozj5r/dKBI1BiXDhacOMCQdfNV51BDtvU6JLsvbI0rIQ2yD5q+DJqKvSccfibTOJ5dg/QcbMl8&#10;Mp8E0SOW9qv51vnPQgcmtnt0vq1JDqOgaE4Uq8HtCkiKWkJ5PkRkAqSkCZ+uhgMsGcFiUhJweQyZ&#10;HEBO00wPMCdpZgeQ0zSXIwxEcjqeqzHo7czmY9hbXHDgzlHpZgQbqQR12fTKs7IvBt+rrhowIgzP&#10;dhx2gNEOK4+lgfKuEhQaKACFpXsDDOojeHoWGDRG8OVZYNARwfOzwCAUgm/G4Db2LlcL3eO4b1hK&#10;oG+scQ1LDfMoUT8kTUZxX1JSwgB2HRpqvRMrHSAepWoB4Lg/Bq8AqcbAVtIe1dv6rwlkLabb4BB7&#10;b+2/LWpweTbw2CuX2om2tJhzqPGQPGo2OsJOyyp/qKTEnJ3drO+kJTsG/fchPJ3cBzAZtovSuKx1&#10;g39CG8LOg93cpWudv0AXsrpt4nDpwKDU9jclDTTwjLpfW2YFJfKLgg55k8xmoI8Pk9kl9h1ix5b1&#10;2MIUB6qMegrbG4d3vr0ltsZWmxI8JaGcSn+C7ldU2KRCfG1U3QSadNCmu1DwFhjPA+r12lv+AQAA&#10;//8DAFBLAwQUAAYACAAAACEAJOQFjt4AAAAIAQAADwAAAGRycy9kb3ducmV2LnhtbEyPzU7DMBCE&#10;70i8g7VIXCrq9EcEQpyKHyEhoR4SeIBNvCQR9jqK3TR9e9xTue1oRrPf5LvZGjHR6HvHClbLBARx&#10;43TPrYLvr/e7BxA+IGs0jknBiTzsiuurHDPtjlzSVIVWxBL2GSroQhgyKX3TkUW/dANx9H7caDFE&#10;ObZSj3iM5dbIdZLcS4s9xw8dDvTaUfNbHayCF1NWH4mb9h7ncn9aNPVbGz6Vur2Zn59ABJrDJQxn&#10;/IgORWSq3YG1Fybq7XoTowrSFET0N9t0BaI+H48gi1z+H1D8AQAA//8DAFBLAQItABQABgAIAAAA&#10;IQC2gziS/gAAAOEBAAATAAAAAAAAAAAAAAAAAAAAAABbQ29udGVudF9UeXBlc10ueG1sUEsBAi0A&#10;FAAGAAgAAAAhADj9If/WAAAAlAEAAAsAAAAAAAAAAAAAAAAALwEAAF9yZWxzLy5yZWxzUEsBAi0A&#10;FAAGAAgAAAAhAH3K9+jJAgAAPgcAAA4AAAAAAAAAAAAAAAAALgIAAGRycy9lMm9Eb2MueG1sUEsB&#10;Ai0AFAAGAAgAAAAhACTkBY7eAAAACAEAAA8AAAAAAAAAAAAAAAAAIwUAAGRycy9kb3ducmV2Lnht&#10;bFBLBQYAAAAABAAEAPMAAAAuBgAAAAA=&#10;" o:allowincell="f" path="m2048,l,,,272r2048,l2048,xe" stroked="f">
                <v:path arrowok="t" o:connecttype="custom" o:connectlocs="1300480,0;0,0;0,172720;1300480,172720;1300480,0" o:connectangles="0,0,0,0,0"/>
                <w10:wrap anchorx="page"/>
              </v:shape>
            </w:pict>
          </mc:Fallback>
        </mc:AlternateContent>
      </w:r>
      <w:r>
        <w:rPr>
          <w:rFonts w:ascii="Lucida Sans Unicode" w:hAnsi="Lucida Sans Unicode" w:cs="Lucida Sans Unicode"/>
          <w:color w:val="3E4948"/>
          <w:spacing w:val="-2"/>
          <w:sz w:val="17"/>
          <w:szCs w:val="17"/>
        </w:rPr>
        <w:t>©</w:t>
      </w:r>
      <w:r>
        <w:rPr>
          <w:rFonts w:ascii="Lucida Sans Unicode" w:hAnsi="Lucida Sans Unicode" w:cs="Lucida Sans Unicode"/>
          <w:color w:val="3E4948"/>
          <w:spacing w:val="-12"/>
          <w:sz w:val="17"/>
          <w:szCs w:val="17"/>
        </w:rPr>
        <w:t xml:space="preserve"> </w:t>
      </w:r>
      <w:r>
        <w:rPr>
          <w:rFonts w:ascii="Lucida Sans Unicode" w:hAnsi="Lucida Sans Unicode" w:cs="Lucida Sans Unicode"/>
          <w:color w:val="3E4948"/>
          <w:spacing w:val="-2"/>
          <w:sz w:val="17"/>
          <w:szCs w:val="17"/>
        </w:rPr>
        <w:t>2021</w:t>
      </w:r>
      <w:r>
        <w:rPr>
          <w:rFonts w:ascii="Lucida Sans Unicode" w:hAnsi="Lucida Sans Unicode" w:cs="Lucida Sans Unicode"/>
          <w:color w:val="3E4948"/>
          <w:spacing w:val="-1"/>
          <w:sz w:val="17"/>
          <w:szCs w:val="17"/>
        </w:rPr>
        <w:t xml:space="preserve"> </w:t>
      </w:r>
      <w:r>
        <w:rPr>
          <w:rFonts w:ascii="Lucida Sans Unicode" w:hAnsi="Lucida Sans Unicode" w:cs="Lucida Sans Unicode"/>
          <w:color w:val="3E4948"/>
          <w:spacing w:val="-2"/>
          <w:sz w:val="17"/>
          <w:szCs w:val="17"/>
        </w:rPr>
        <w:t>Allergy</w:t>
      </w:r>
      <w:r>
        <w:rPr>
          <w:rFonts w:ascii="Lucida Sans Unicode" w:hAnsi="Lucida Sans Unicode" w:cs="Lucida Sans Unicode"/>
          <w:color w:val="3E4948"/>
          <w:spacing w:val="-7"/>
          <w:sz w:val="17"/>
          <w:szCs w:val="17"/>
        </w:rPr>
        <w:t xml:space="preserve"> </w:t>
      </w:r>
      <w:r>
        <w:rPr>
          <w:rFonts w:ascii="Lucida Sans Unicode" w:hAnsi="Lucida Sans Unicode" w:cs="Lucida Sans Unicode"/>
          <w:color w:val="3E4948"/>
          <w:spacing w:val="-2"/>
          <w:sz w:val="17"/>
          <w:szCs w:val="17"/>
        </w:rPr>
        <w:t>Concept</w:t>
      </w:r>
    </w:p>
    <w:p w14:paraId="4580316E" w14:textId="77777777" w:rsidR="00FA2BE1" w:rsidRDefault="00FA2BE1" w:rsidP="00FA2BE1">
      <w:pPr>
        <w:pStyle w:val="BodyText"/>
        <w:kinsoku w:val="0"/>
        <w:overflowPunct w:val="0"/>
        <w:spacing w:before="11"/>
        <w:ind w:left="124"/>
        <w:rPr>
          <w:color w:val="0000FF"/>
        </w:rPr>
      </w:pPr>
      <w:r>
        <w:t xml:space="preserve">Accessed </w:t>
      </w:r>
      <w:proofErr w:type="gramStart"/>
      <w:r>
        <w:t>from :</w:t>
      </w:r>
      <w:proofErr w:type="gramEnd"/>
      <w:r>
        <w:t xml:space="preserve"> </w:t>
      </w:r>
      <w:hyperlink r:id="rId45" w:history="1">
        <w:r>
          <w:rPr>
            <w:color w:val="0000FF"/>
            <w:u w:val="single"/>
          </w:rPr>
          <w:t>How</w:t>
        </w:r>
        <w:r>
          <w:rPr>
            <w:color w:val="0000FF"/>
            <w:spacing w:val="-2"/>
            <w:u w:val="single"/>
          </w:rPr>
          <w:t xml:space="preserve"> </w:t>
        </w:r>
        <w:r>
          <w:rPr>
            <w:color w:val="0000FF"/>
            <w:u w:val="single"/>
          </w:rPr>
          <w:t>to</w:t>
        </w:r>
        <w:r>
          <w:rPr>
            <w:color w:val="0000FF"/>
            <w:spacing w:val="12"/>
            <w:u w:val="single"/>
          </w:rPr>
          <w:t xml:space="preserve"> </w:t>
        </w:r>
        <w:r>
          <w:rPr>
            <w:color w:val="0000FF"/>
            <w:u w:val="single"/>
          </w:rPr>
          <w:t>Use</w:t>
        </w:r>
        <w:r>
          <w:rPr>
            <w:color w:val="0000FF"/>
            <w:spacing w:val="-14"/>
            <w:u w:val="single"/>
          </w:rPr>
          <w:t xml:space="preserve"> </w:t>
        </w:r>
        <w:r>
          <w:rPr>
            <w:color w:val="0000FF"/>
            <w:u w:val="single"/>
          </w:rPr>
          <w:t>—</w:t>
        </w:r>
        <w:r>
          <w:rPr>
            <w:color w:val="0000FF"/>
            <w:spacing w:val="1"/>
            <w:u w:val="single"/>
          </w:rPr>
          <w:t xml:space="preserve"> </w:t>
        </w:r>
        <w:proofErr w:type="spellStart"/>
        <w:r>
          <w:rPr>
            <w:color w:val="0000FF"/>
            <w:spacing w:val="-2"/>
            <w:u w:val="single"/>
          </w:rPr>
          <w:t>Anapen</w:t>
        </w:r>
        <w:proofErr w:type="spellEnd"/>
      </w:hyperlink>
    </w:p>
    <w:p w14:paraId="61F515FC" w14:textId="77777777" w:rsidR="00FA2BE1" w:rsidRDefault="00FA2BE1" w:rsidP="00FA2BE1">
      <w:pPr>
        <w:spacing w:after="200" w:line="276" w:lineRule="auto"/>
      </w:pPr>
      <w:r>
        <w:br w:type="page"/>
      </w:r>
    </w:p>
    <w:p w14:paraId="12595A43" w14:textId="77777777" w:rsidR="00FA2BE1" w:rsidRDefault="00FA2BE1" w:rsidP="00FA2BE1">
      <w:pPr>
        <w:pStyle w:val="Heading2"/>
      </w:pPr>
      <w:r>
        <w:lastRenderedPageBreak/>
        <w:t>Attachment G: Adverse Event Following Immunisation (AEI) Form</w:t>
      </w:r>
    </w:p>
    <w:p w14:paraId="08E87D88" w14:textId="77777777" w:rsidR="00FA2BE1" w:rsidRDefault="00FA2BE1" w:rsidP="00FA2BE1">
      <w:hyperlink r:id="rId46" w:history="1">
        <w:r w:rsidRPr="00F275D7">
          <w:rPr>
            <w:color w:val="0000FF"/>
            <w:u w:val="single"/>
          </w:rPr>
          <w:t>Clinical Apps - Adverse Event Following Immunisation (AEFI) form (sharepoint.com)</w:t>
        </w:r>
      </w:hyperlink>
    </w:p>
    <w:p w14:paraId="5A247EEE" w14:textId="77777777" w:rsidR="00FA2BE1" w:rsidRDefault="00FA2BE1" w:rsidP="00FA2BE1"/>
    <w:p w14:paraId="452656F6" w14:textId="77777777" w:rsidR="00FA2BE1" w:rsidRDefault="00FA2BE1" w:rsidP="00FA2BE1">
      <w:r w:rsidRPr="00D11981">
        <w:rPr>
          <w:rFonts w:ascii="Times New Roman" w:hAnsi="Times New Roman"/>
          <w:b/>
          <w:noProof/>
        </w:rPr>
        <w:drawing>
          <wp:inline distT="0" distB="0" distL="0" distR="0" wp14:anchorId="372AACDC" wp14:editId="7B363F39">
            <wp:extent cx="5439410" cy="779145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9410" cy="7791450"/>
                    </a:xfrm>
                    <a:prstGeom prst="rect">
                      <a:avLst/>
                    </a:prstGeom>
                    <a:noFill/>
                    <a:ln>
                      <a:noFill/>
                    </a:ln>
                  </pic:spPr>
                </pic:pic>
              </a:graphicData>
            </a:graphic>
          </wp:inline>
        </w:drawing>
      </w:r>
    </w:p>
    <w:p w14:paraId="6AE307C9" w14:textId="77777777" w:rsidR="00FA2BE1" w:rsidRDefault="00FA2BE1" w:rsidP="00FA2BE1">
      <w:r>
        <w:rPr>
          <w:noProof/>
          <w:sz w:val="20"/>
        </w:rPr>
        <w:lastRenderedPageBreak/>
        <w:drawing>
          <wp:inline distT="0" distB="0" distL="0" distR="0" wp14:anchorId="6B245C99" wp14:editId="6D015330">
            <wp:extent cx="5095875" cy="7277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5875" cy="7277100"/>
                    </a:xfrm>
                    <a:prstGeom prst="rect">
                      <a:avLst/>
                    </a:prstGeom>
                    <a:noFill/>
                    <a:ln>
                      <a:noFill/>
                    </a:ln>
                  </pic:spPr>
                </pic:pic>
              </a:graphicData>
            </a:graphic>
          </wp:inline>
        </w:drawing>
      </w:r>
    </w:p>
    <w:p w14:paraId="22AEA3DB" w14:textId="77777777" w:rsidR="00FA2BE1" w:rsidRDefault="00FA2BE1" w:rsidP="00FA2BE1">
      <w:pPr>
        <w:spacing w:after="200" w:line="276" w:lineRule="auto"/>
      </w:pPr>
      <w:r>
        <w:br w:type="page"/>
      </w:r>
    </w:p>
    <w:p w14:paraId="20D0C986" w14:textId="77777777" w:rsidR="00FA2BE1" w:rsidRDefault="00FA2BE1" w:rsidP="00FA2BE1">
      <w:pPr>
        <w:pStyle w:val="Heading2"/>
      </w:pPr>
      <w:r>
        <w:lastRenderedPageBreak/>
        <w:t>Attachment H: Anaphylaxis discharge Checklist and Discussion Guide</w:t>
      </w:r>
    </w:p>
    <w:p w14:paraId="04CFDFAB" w14:textId="77777777" w:rsidR="00FA2BE1" w:rsidRDefault="00FA2BE1" w:rsidP="00FA2BE1">
      <w:r>
        <w:rPr>
          <w:noProof/>
        </w:rPr>
        <w:drawing>
          <wp:inline distT="0" distB="0" distL="0" distR="0" wp14:anchorId="66E15125" wp14:editId="6CF2EA41">
            <wp:extent cx="5759449" cy="795806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9">
                      <a:extLst>
                        <a:ext uri="{28A0092B-C50C-407E-A947-70E740481C1C}">
                          <a14:useLocalDpi xmlns:a14="http://schemas.microsoft.com/office/drawing/2010/main" val="0"/>
                        </a:ext>
                      </a:extLst>
                    </a:blip>
                    <a:stretch>
                      <a:fillRect/>
                    </a:stretch>
                  </pic:blipFill>
                  <pic:spPr>
                    <a:xfrm rot="10800000">
                      <a:off x="0" y="0"/>
                      <a:ext cx="5759449" cy="7958064"/>
                    </a:xfrm>
                    <a:prstGeom prst="rect">
                      <a:avLst/>
                    </a:prstGeom>
                  </pic:spPr>
                </pic:pic>
              </a:graphicData>
            </a:graphic>
          </wp:inline>
        </w:drawing>
      </w:r>
    </w:p>
    <w:p w14:paraId="35C44943" w14:textId="77777777" w:rsidR="00FA2BE1" w:rsidRDefault="00FA2BE1" w:rsidP="00FA2BE1">
      <w:r>
        <w:rPr>
          <w:noProof/>
        </w:rPr>
        <w:lastRenderedPageBreak/>
        <w:drawing>
          <wp:inline distT="0" distB="0" distL="0" distR="0" wp14:anchorId="3E11BC72" wp14:editId="49772C91">
            <wp:extent cx="5759449" cy="8314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0">
                      <a:extLst>
                        <a:ext uri="{28A0092B-C50C-407E-A947-70E740481C1C}">
                          <a14:useLocalDpi xmlns:a14="http://schemas.microsoft.com/office/drawing/2010/main" val="0"/>
                        </a:ext>
                      </a:extLst>
                    </a:blip>
                    <a:stretch>
                      <a:fillRect/>
                    </a:stretch>
                  </pic:blipFill>
                  <pic:spPr>
                    <a:xfrm rot="10800000">
                      <a:off x="0" y="0"/>
                      <a:ext cx="5759449" cy="8314392"/>
                    </a:xfrm>
                    <a:prstGeom prst="rect">
                      <a:avLst/>
                    </a:prstGeom>
                  </pic:spPr>
                </pic:pic>
              </a:graphicData>
            </a:graphic>
          </wp:inline>
        </w:drawing>
      </w:r>
    </w:p>
    <w:p w14:paraId="463B5446" w14:textId="77777777" w:rsidR="00FA2BE1" w:rsidRPr="009C2824" w:rsidRDefault="00FA2BE1" w:rsidP="00FA2BE1">
      <w:pPr>
        <w:rPr>
          <w:rFonts w:cs="Arial"/>
          <w:b/>
          <w:bCs/>
          <w:szCs w:val="24"/>
        </w:rPr>
      </w:pPr>
      <w:r w:rsidRPr="00E1410D">
        <w:rPr>
          <w:b/>
          <w:bCs/>
          <w:szCs w:val="24"/>
        </w:rPr>
        <w:lastRenderedPageBreak/>
        <w:t xml:space="preserve">Attachment I - </w:t>
      </w:r>
      <w:r w:rsidRPr="00E1410D">
        <w:rPr>
          <w:rFonts w:cs="Arial"/>
          <w:b/>
          <w:bCs/>
          <w:szCs w:val="24"/>
        </w:rPr>
        <w:t>Clinical procedure for management of anaphylaxis in HITH Services – 2022 Australian Prescriber</w:t>
      </w:r>
    </w:p>
    <w:p w14:paraId="6D1CDF76" w14:textId="77777777" w:rsidR="00FA2BE1" w:rsidRPr="002471ED" w:rsidRDefault="00FA2BE1" w:rsidP="00FA2BE1">
      <w:pPr>
        <w:rPr>
          <w:szCs w:val="24"/>
        </w:rPr>
      </w:pPr>
    </w:p>
    <w:p w14:paraId="07B5B080" w14:textId="77777777" w:rsidR="00FA2BE1" w:rsidRDefault="00FA2BE1" w:rsidP="00FA2BE1">
      <w:pPr>
        <w:rPr>
          <w:szCs w:val="24"/>
        </w:rPr>
      </w:pPr>
      <w:r>
        <w:rPr>
          <w:noProof/>
          <w:lang w:eastAsia="en-AU"/>
        </w:rPr>
        <w:drawing>
          <wp:inline distT="0" distB="0" distL="0" distR="0" wp14:anchorId="7BF597A1" wp14:editId="17C6FD57">
            <wp:extent cx="5453051" cy="785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5792" t="14958" r="35671" b="11961"/>
                    <a:stretch/>
                  </pic:blipFill>
                  <pic:spPr bwMode="auto">
                    <a:xfrm>
                      <a:off x="0" y="0"/>
                      <a:ext cx="5459970" cy="7864917"/>
                    </a:xfrm>
                    <a:prstGeom prst="rect">
                      <a:avLst/>
                    </a:prstGeom>
                    <a:ln>
                      <a:noFill/>
                    </a:ln>
                    <a:extLst>
                      <a:ext uri="{53640926-AAD7-44D8-BBD7-CCE9431645EC}">
                        <a14:shadowObscured xmlns:a14="http://schemas.microsoft.com/office/drawing/2010/main"/>
                      </a:ext>
                    </a:extLst>
                  </pic:spPr>
                </pic:pic>
              </a:graphicData>
            </a:graphic>
          </wp:inline>
        </w:drawing>
      </w:r>
    </w:p>
    <w:p w14:paraId="6040D113" w14:textId="77777777" w:rsidR="00FA2BE1" w:rsidRPr="009C7341" w:rsidRDefault="00FA2BE1" w:rsidP="00FA2BE1">
      <w:pPr>
        <w:rPr>
          <w:rFonts w:cs="Arial"/>
          <w:b/>
          <w:bCs/>
          <w:szCs w:val="24"/>
        </w:rPr>
      </w:pPr>
      <w:r>
        <w:rPr>
          <w:rFonts w:cs="Arial"/>
          <w:b/>
          <w:bCs/>
          <w:szCs w:val="24"/>
        </w:rPr>
        <w:lastRenderedPageBreak/>
        <w:t xml:space="preserve">Attachment J - </w:t>
      </w:r>
      <w:r w:rsidRPr="009C7341">
        <w:rPr>
          <w:rFonts w:cs="Arial"/>
          <w:b/>
          <w:bCs/>
          <w:szCs w:val="24"/>
        </w:rPr>
        <w:t xml:space="preserve">Flowchart for </w:t>
      </w:r>
      <w:r w:rsidRPr="009C7341">
        <w:rPr>
          <w:rFonts w:cs="Arial"/>
          <w:b/>
          <w:szCs w:val="24"/>
        </w:rPr>
        <w:t xml:space="preserve">Management of Anaphylaxis in the Community </w:t>
      </w:r>
    </w:p>
    <w:p w14:paraId="31A1B70C" w14:textId="77777777" w:rsidR="00FA2BE1" w:rsidRDefault="00FA2BE1" w:rsidP="00FA2BE1">
      <w:pPr>
        <w:rPr>
          <w:szCs w:val="24"/>
        </w:rPr>
      </w:pPr>
    </w:p>
    <w:p w14:paraId="23F8057A" w14:textId="77777777" w:rsidR="00FA2BE1" w:rsidRPr="00D82AD0" w:rsidRDefault="00FA2BE1" w:rsidP="00FA2BE1">
      <w:r w:rsidRPr="004B6D8C">
        <w:rPr>
          <w:noProof/>
          <w:lang w:eastAsia="en-AU"/>
        </w:rPr>
        <w:drawing>
          <wp:inline distT="0" distB="0" distL="0" distR="0" wp14:anchorId="47F1C434" wp14:editId="2100D150">
            <wp:extent cx="5731510" cy="615676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6156766"/>
                    </a:xfrm>
                    <a:prstGeom prst="rect">
                      <a:avLst/>
                    </a:prstGeom>
                    <a:noFill/>
                    <a:ln>
                      <a:noFill/>
                    </a:ln>
                  </pic:spPr>
                </pic:pic>
              </a:graphicData>
            </a:graphic>
          </wp:inline>
        </w:drawing>
      </w:r>
    </w:p>
    <w:p w14:paraId="7CF6E30C" w14:textId="77777777" w:rsidR="00FA2BE1" w:rsidRPr="008A1D42" w:rsidRDefault="00FA2BE1" w:rsidP="00FA2BE1"/>
    <w:p w14:paraId="4CBDCF5A" w14:textId="333F0709" w:rsidR="008A1D42" w:rsidRPr="008A1D42" w:rsidRDefault="008A1D42" w:rsidP="00FA2BE1"/>
    <w:sectPr w:rsidR="008A1D42" w:rsidRPr="008A1D42" w:rsidSect="00823778">
      <w:headerReference w:type="default" r:id="rId53"/>
      <w:footerReference w:type="default" r:id="rId54"/>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4D142" w14:textId="77777777" w:rsidR="00627D0C" w:rsidRDefault="00627D0C" w:rsidP="00F66CB0">
      <w:r>
        <w:separator/>
      </w:r>
    </w:p>
  </w:endnote>
  <w:endnote w:type="continuationSeparator" w:id="0">
    <w:p w14:paraId="16E83687" w14:textId="77777777" w:rsidR="00627D0C" w:rsidRDefault="00627D0C" w:rsidP="00F66CB0">
      <w:r>
        <w:continuationSeparator/>
      </w:r>
    </w:p>
  </w:endnote>
  <w:endnote w:type="continuationNotice" w:id="1">
    <w:p w14:paraId="0EF4E37E" w14:textId="77777777" w:rsidR="00627D0C" w:rsidRDefault="00627D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Borders>
        <w:insideH w:val="single" w:sz="4" w:space="0" w:color="auto"/>
      </w:tblBorders>
      <w:tblLook w:val="00A0" w:firstRow="1" w:lastRow="0" w:firstColumn="1" w:lastColumn="0" w:noHBand="0" w:noVBand="0"/>
    </w:tblPr>
    <w:tblGrid>
      <w:gridCol w:w="1515"/>
      <w:gridCol w:w="965"/>
      <w:gridCol w:w="1552"/>
      <w:gridCol w:w="1456"/>
      <w:gridCol w:w="2167"/>
      <w:gridCol w:w="1417"/>
    </w:tblGrid>
    <w:tr w:rsidR="00FA2BE1" w:rsidRPr="00AE7C5C" w14:paraId="2A8F5EC6" w14:textId="77777777" w:rsidTr="00C82070">
      <w:tc>
        <w:tcPr>
          <w:tcW w:w="1515" w:type="dxa"/>
        </w:tcPr>
        <w:p w14:paraId="1920D338" w14:textId="77777777" w:rsidR="00FA2BE1" w:rsidRPr="00B3752F" w:rsidRDefault="00FA2BE1" w:rsidP="00B10F87">
          <w:pPr>
            <w:pStyle w:val="Footer"/>
            <w:rPr>
              <w:rFonts w:cs="Arial"/>
              <w:b/>
              <w:bCs/>
              <w:i/>
              <w:sz w:val="20"/>
            </w:rPr>
          </w:pPr>
          <w:r w:rsidRPr="00B3752F">
            <w:rPr>
              <w:rFonts w:cs="Arial"/>
              <w:b/>
              <w:bCs/>
              <w:i/>
              <w:sz w:val="20"/>
            </w:rPr>
            <w:t>Doc Number</w:t>
          </w:r>
        </w:p>
      </w:tc>
      <w:tc>
        <w:tcPr>
          <w:tcW w:w="965" w:type="dxa"/>
        </w:tcPr>
        <w:p w14:paraId="1B53CA5C" w14:textId="77777777" w:rsidR="00FA2BE1" w:rsidRPr="00B3752F" w:rsidRDefault="00FA2BE1" w:rsidP="00B10F87">
          <w:pPr>
            <w:pStyle w:val="Footer"/>
            <w:rPr>
              <w:rFonts w:cs="Arial"/>
              <w:b/>
              <w:bCs/>
              <w:i/>
              <w:sz w:val="20"/>
            </w:rPr>
          </w:pPr>
          <w:r w:rsidRPr="00B3752F">
            <w:rPr>
              <w:rFonts w:cs="Arial"/>
              <w:b/>
              <w:bCs/>
              <w:i/>
              <w:sz w:val="20"/>
            </w:rPr>
            <w:t>Version</w:t>
          </w:r>
        </w:p>
      </w:tc>
      <w:tc>
        <w:tcPr>
          <w:tcW w:w="1552" w:type="dxa"/>
        </w:tcPr>
        <w:p w14:paraId="7886FC0B" w14:textId="77777777" w:rsidR="00FA2BE1" w:rsidRPr="00B3752F" w:rsidRDefault="00FA2BE1" w:rsidP="00B10F87">
          <w:pPr>
            <w:pStyle w:val="Footer"/>
            <w:rPr>
              <w:rFonts w:cs="Arial"/>
              <w:b/>
              <w:bCs/>
              <w:i/>
              <w:sz w:val="20"/>
            </w:rPr>
          </w:pPr>
          <w:r w:rsidRPr="00B3752F">
            <w:rPr>
              <w:rFonts w:cs="Arial"/>
              <w:b/>
              <w:bCs/>
              <w:i/>
              <w:sz w:val="20"/>
            </w:rPr>
            <w:t>Issued</w:t>
          </w:r>
        </w:p>
      </w:tc>
      <w:tc>
        <w:tcPr>
          <w:tcW w:w="1456" w:type="dxa"/>
        </w:tcPr>
        <w:p w14:paraId="6D801CEB" w14:textId="77777777" w:rsidR="00FA2BE1" w:rsidRPr="00B3752F" w:rsidRDefault="00FA2BE1" w:rsidP="00B10F87">
          <w:pPr>
            <w:pStyle w:val="Footer"/>
            <w:rPr>
              <w:rFonts w:cs="Arial"/>
              <w:b/>
              <w:bCs/>
              <w:i/>
              <w:sz w:val="20"/>
            </w:rPr>
          </w:pPr>
          <w:r w:rsidRPr="00B3752F">
            <w:rPr>
              <w:rFonts w:cs="Arial"/>
              <w:b/>
              <w:bCs/>
              <w:i/>
              <w:sz w:val="20"/>
            </w:rPr>
            <w:t>Review Date</w:t>
          </w:r>
        </w:p>
      </w:tc>
      <w:tc>
        <w:tcPr>
          <w:tcW w:w="2167" w:type="dxa"/>
        </w:tcPr>
        <w:p w14:paraId="66E24500" w14:textId="77777777" w:rsidR="00FA2BE1" w:rsidRPr="00B3752F" w:rsidRDefault="00FA2BE1" w:rsidP="00B10F87">
          <w:pPr>
            <w:pStyle w:val="Footer"/>
            <w:rPr>
              <w:rFonts w:cs="Arial"/>
              <w:b/>
              <w:bCs/>
              <w:i/>
              <w:sz w:val="20"/>
            </w:rPr>
          </w:pPr>
          <w:r w:rsidRPr="00B3752F">
            <w:rPr>
              <w:rFonts w:cs="Arial"/>
              <w:b/>
              <w:bCs/>
              <w:i/>
              <w:sz w:val="20"/>
            </w:rPr>
            <w:t>Area Responsible</w:t>
          </w:r>
        </w:p>
      </w:tc>
      <w:tc>
        <w:tcPr>
          <w:tcW w:w="1417" w:type="dxa"/>
        </w:tcPr>
        <w:p w14:paraId="117E04EB" w14:textId="77777777" w:rsidR="00FA2BE1" w:rsidRPr="00B3752F" w:rsidRDefault="00FA2BE1" w:rsidP="00B10F87">
          <w:pPr>
            <w:pStyle w:val="Footer"/>
            <w:rPr>
              <w:rFonts w:cs="Arial"/>
              <w:b/>
              <w:bCs/>
              <w:i/>
              <w:sz w:val="20"/>
            </w:rPr>
          </w:pPr>
          <w:r w:rsidRPr="00B3752F">
            <w:rPr>
              <w:rFonts w:cs="Arial"/>
              <w:b/>
              <w:bCs/>
              <w:i/>
              <w:sz w:val="20"/>
            </w:rPr>
            <w:t>Page</w:t>
          </w:r>
        </w:p>
      </w:tc>
    </w:tr>
    <w:tr w:rsidR="00FA2BE1" w14:paraId="7BDAB794" w14:textId="77777777" w:rsidTr="00C82070">
      <w:tc>
        <w:tcPr>
          <w:tcW w:w="1515" w:type="dxa"/>
        </w:tcPr>
        <w:p w14:paraId="59339CA2" w14:textId="77777777" w:rsidR="00FA2BE1" w:rsidRPr="00542EE6" w:rsidRDefault="00FA2BE1" w:rsidP="00B10F87">
          <w:pPr>
            <w:pStyle w:val="Footer"/>
            <w:rPr>
              <w:rFonts w:cs="Arial"/>
              <w:b/>
              <w:bCs/>
              <w:sz w:val="20"/>
            </w:rPr>
          </w:pPr>
          <w:r>
            <w:rPr>
              <w:b/>
              <w:sz w:val="20"/>
            </w:rPr>
            <w:t>CHS22/274</w:t>
          </w:r>
        </w:p>
      </w:tc>
      <w:tc>
        <w:tcPr>
          <w:tcW w:w="965" w:type="dxa"/>
        </w:tcPr>
        <w:p w14:paraId="2C0CD05D" w14:textId="77777777" w:rsidR="00FA2BE1" w:rsidRPr="00B3752F" w:rsidRDefault="00FA2BE1" w:rsidP="00B10F87">
          <w:pPr>
            <w:pStyle w:val="Footer"/>
            <w:rPr>
              <w:rFonts w:cs="Arial"/>
              <w:b/>
              <w:bCs/>
              <w:sz w:val="20"/>
            </w:rPr>
          </w:pPr>
          <w:r>
            <w:rPr>
              <w:rFonts w:cs="Arial"/>
              <w:b/>
              <w:bCs/>
              <w:sz w:val="20"/>
            </w:rPr>
            <w:t>1.1</w:t>
          </w:r>
        </w:p>
      </w:tc>
      <w:tc>
        <w:tcPr>
          <w:tcW w:w="1552" w:type="dxa"/>
        </w:tcPr>
        <w:p w14:paraId="02A24DA4" w14:textId="77777777" w:rsidR="00FA2BE1" w:rsidRPr="00B3752F" w:rsidRDefault="00FA2BE1" w:rsidP="00B10F87">
          <w:pPr>
            <w:pStyle w:val="Footer"/>
            <w:rPr>
              <w:rFonts w:cs="Arial"/>
              <w:b/>
              <w:bCs/>
              <w:sz w:val="20"/>
            </w:rPr>
          </w:pPr>
          <w:r>
            <w:rPr>
              <w:rFonts w:cs="Arial"/>
              <w:b/>
              <w:bCs/>
              <w:sz w:val="20"/>
            </w:rPr>
            <w:t>24/06/2022</w:t>
          </w:r>
        </w:p>
      </w:tc>
      <w:tc>
        <w:tcPr>
          <w:tcW w:w="1456" w:type="dxa"/>
        </w:tcPr>
        <w:p w14:paraId="2789357E" w14:textId="77777777" w:rsidR="00FA2BE1" w:rsidRPr="00B3752F" w:rsidRDefault="00FA2BE1" w:rsidP="00470E63">
          <w:pPr>
            <w:pStyle w:val="Footer"/>
            <w:rPr>
              <w:rFonts w:cs="Arial"/>
              <w:b/>
              <w:bCs/>
              <w:sz w:val="20"/>
            </w:rPr>
          </w:pPr>
          <w:r>
            <w:rPr>
              <w:rFonts w:cs="Arial"/>
              <w:b/>
              <w:bCs/>
              <w:sz w:val="20"/>
            </w:rPr>
            <w:t>01/07/2025</w:t>
          </w:r>
        </w:p>
      </w:tc>
      <w:tc>
        <w:tcPr>
          <w:tcW w:w="2167" w:type="dxa"/>
        </w:tcPr>
        <w:p w14:paraId="55D5DCFE" w14:textId="77777777" w:rsidR="00FA2BE1" w:rsidRPr="00B3752F" w:rsidRDefault="00FA2BE1" w:rsidP="00B10F87">
          <w:pPr>
            <w:pStyle w:val="Footer"/>
            <w:rPr>
              <w:rFonts w:cs="Arial"/>
              <w:b/>
              <w:bCs/>
              <w:sz w:val="20"/>
            </w:rPr>
          </w:pPr>
          <w:r>
            <w:rPr>
              <w:rFonts w:cs="Arial"/>
              <w:b/>
              <w:bCs/>
              <w:sz w:val="20"/>
            </w:rPr>
            <w:t>CAS – Immunology</w:t>
          </w:r>
        </w:p>
      </w:tc>
      <w:tc>
        <w:tcPr>
          <w:tcW w:w="1417" w:type="dxa"/>
        </w:tcPr>
        <w:p w14:paraId="088BF24A" w14:textId="77777777" w:rsidR="00FA2BE1" w:rsidRPr="00B3752F" w:rsidRDefault="00FA2BE1" w:rsidP="00B10F87">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5</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5</w:t>
          </w:r>
          <w:r w:rsidRPr="00B3752F">
            <w:rPr>
              <w:rStyle w:val="PageNumber"/>
              <w:sz w:val="20"/>
            </w:rPr>
            <w:fldChar w:fldCharType="end"/>
          </w:r>
        </w:p>
      </w:tc>
    </w:tr>
    <w:tr w:rsidR="00FA2BE1" w14:paraId="6E2BDE7B" w14:textId="77777777" w:rsidTr="00C82070">
      <w:trPr>
        <w:trHeight w:val="231"/>
      </w:trPr>
      <w:tc>
        <w:tcPr>
          <w:tcW w:w="9072" w:type="dxa"/>
          <w:gridSpan w:val="6"/>
          <w:tcBorders>
            <w:top w:val="single" w:sz="4" w:space="0" w:color="auto"/>
            <w:left w:val="single" w:sz="4" w:space="0" w:color="auto"/>
            <w:bottom w:val="single" w:sz="4" w:space="0" w:color="auto"/>
            <w:right w:val="single" w:sz="4" w:space="0" w:color="auto"/>
          </w:tcBorders>
        </w:tcPr>
        <w:p w14:paraId="10C19989" w14:textId="77777777" w:rsidR="00FA2BE1" w:rsidRPr="002C1428" w:rsidRDefault="00FA2BE1" w:rsidP="008E7509">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2402F9FD" w14:textId="77777777" w:rsidR="00FA2BE1" w:rsidRPr="00AE7C5C" w:rsidRDefault="00FA2BE1" w:rsidP="00470E63">
    <w:pPr>
      <w:pStyle w:val="Footer"/>
      <w:tabs>
        <w:tab w:val="clear" w:pos="4153"/>
        <w:tab w:val="clear" w:pos="8306"/>
        <w:tab w:val="left" w:pos="142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Borders>
        <w:insideH w:val="single" w:sz="4" w:space="0" w:color="auto"/>
      </w:tblBorders>
      <w:tblLook w:val="00A0" w:firstRow="1" w:lastRow="0" w:firstColumn="1" w:lastColumn="0" w:noHBand="0" w:noVBand="0"/>
    </w:tblPr>
    <w:tblGrid>
      <w:gridCol w:w="1515"/>
      <w:gridCol w:w="965"/>
      <w:gridCol w:w="1552"/>
      <w:gridCol w:w="1456"/>
      <w:gridCol w:w="2167"/>
      <w:gridCol w:w="1417"/>
    </w:tblGrid>
    <w:tr w:rsidR="001670BB" w:rsidRPr="00AE7C5C" w14:paraId="08682A7C" w14:textId="77777777" w:rsidTr="00C82070">
      <w:tc>
        <w:tcPr>
          <w:tcW w:w="1515" w:type="dxa"/>
        </w:tcPr>
        <w:p w14:paraId="08682A76" w14:textId="77777777" w:rsidR="001670BB" w:rsidRPr="00B3752F" w:rsidRDefault="001670BB" w:rsidP="00B10F87">
          <w:pPr>
            <w:pStyle w:val="Footer"/>
            <w:rPr>
              <w:rFonts w:cs="Arial"/>
              <w:b/>
              <w:bCs/>
              <w:i/>
              <w:sz w:val="20"/>
            </w:rPr>
          </w:pPr>
          <w:r w:rsidRPr="00B3752F">
            <w:rPr>
              <w:rFonts w:cs="Arial"/>
              <w:b/>
              <w:bCs/>
              <w:i/>
              <w:sz w:val="20"/>
            </w:rPr>
            <w:t>Doc Number</w:t>
          </w:r>
        </w:p>
      </w:tc>
      <w:tc>
        <w:tcPr>
          <w:tcW w:w="965" w:type="dxa"/>
        </w:tcPr>
        <w:p w14:paraId="08682A77" w14:textId="77777777" w:rsidR="001670BB" w:rsidRPr="00B3752F" w:rsidRDefault="001670BB" w:rsidP="00B10F87">
          <w:pPr>
            <w:pStyle w:val="Footer"/>
            <w:rPr>
              <w:rFonts w:cs="Arial"/>
              <w:b/>
              <w:bCs/>
              <w:i/>
              <w:sz w:val="20"/>
            </w:rPr>
          </w:pPr>
          <w:r w:rsidRPr="00B3752F">
            <w:rPr>
              <w:rFonts w:cs="Arial"/>
              <w:b/>
              <w:bCs/>
              <w:i/>
              <w:sz w:val="20"/>
            </w:rPr>
            <w:t>Version</w:t>
          </w:r>
        </w:p>
      </w:tc>
      <w:tc>
        <w:tcPr>
          <w:tcW w:w="1552" w:type="dxa"/>
        </w:tcPr>
        <w:p w14:paraId="08682A78" w14:textId="77777777" w:rsidR="001670BB" w:rsidRPr="00B3752F" w:rsidRDefault="001670BB" w:rsidP="00B10F87">
          <w:pPr>
            <w:pStyle w:val="Footer"/>
            <w:rPr>
              <w:rFonts w:cs="Arial"/>
              <w:b/>
              <w:bCs/>
              <w:i/>
              <w:sz w:val="20"/>
            </w:rPr>
          </w:pPr>
          <w:r w:rsidRPr="00B3752F">
            <w:rPr>
              <w:rFonts w:cs="Arial"/>
              <w:b/>
              <w:bCs/>
              <w:i/>
              <w:sz w:val="20"/>
            </w:rPr>
            <w:t>Issued</w:t>
          </w:r>
        </w:p>
      </w:tc>
      <w:tc>
        <w:tcPr>
          <w:tcW w:w="1456" w:type="dxa"/>
        </w:tcPr>
        <w:p w14:paraId="08682A79" w14:textId="77777777" w:rsidR="001670BB" w:rsidRPr="00B3752F" w:rsidRDefault="001670BB" w:rsidP="00B10F87">
          <w:pPr>
            <w:pStyle w:val="Footer"/>
            <w:rPr>
              <w:rFonts w:cs="Arial"/>
              <w:b/>
              <w:bCs/>
              <w:i/>
              <w:sz w:val="20"/>
            </w:rPr>
          </w:pPr>
          <w:r w:rsidRPr="00B3752F">
            <w:rPr>
              <w:rFonts w:cs="Arial"/>
              <w:b/>
              <w:bCs/>
              <w:i/>
              <w:sz w:val="20"/>
            </w:rPr>
            <w:t>Review Date</w:t>
          </w:r>
        </w:p>
      </w:tc>
      <w:tc>
        <w:tcPr>
          <w:tcW w:w="2167" w:type="dxa"/>
        </w:tcPr>
        <w:p w14:paraId="08682A7A" w14:textId="77777777" w:rsidR="001670BB" w:rsidRPr="00B3752F" w:rsidRDefault="001670BB" w:rsidP="00B10F87">
          <w:pPr>
            <w:pStyle w:val="Footer"/>
            <w:rPr>
              <w:rFonts w:cs="Arial"/>
              <w:b/>
              <w:bCs/>
              <w:i/>
              <w:sz w:val="20"/>
            </w:rPr>
          </w:pPr>
          <w:r w:rsidRPr="00B3752F">
            <w:rPr>
              <w:rFonts w:cs="Arial"/>
              <w:b/>
              <w:bCs/>
              <w:i/>
              <w:sz w:val="20"/>
            </w:rPr>
            <w:t>Area Responsible</w:t>
          </w:r>
        </w:p>
      </w:tc>
      <w:tc>
        <w:tcPr>
          <w:tcW w:w="1417" w:type="dxa"/>
        </w:tcPr>
        <w:p w14:paraId="08682A7B" w14:textId="77777777" w:rsidR="001670BB" w:rsidRPr="00B3752F" w:rsidRDefault="001670BB" w:rsidP="00B10F87">
          <w:pPr>
            <w:pStyle w:val="Footer"/>
            <w:rPr>
              <w:rFonts w:cs="Arial"/>
              <w:b/>
              <w:bCs/>
              <w:i/>
              <w:sz w:val="20"/>
            </w:rPr>
          </w:pPr>
          <w:r w:rsidRPr="00B3752F">
            <w:rPr>
              <w:rFonts w:cs="Arial"/>
              <w:b/>
              <w:bCs/>
              <w:i/>
              <w:sz w:val="20"/>
            </w:rPr>
            <w:t>Page</w:t>
          </w:r>
        </w:p>
      </w:tc>
    </w:tr>
    <w:tr w:rsidR="001670BB" w14:paraId="08682A83" w14:textId="77777777" w:rsidTr="00C82070">
      <w:tc>
        <w:tcPr>
          <w:tcW w:w="1515" w:type="dxa"/>
        </w:tcPr>
        <w:p w14:paraId="08682A7D" w14:textId="365FB836" w:rsidR="001670BB" w:rsidRPr="00542EE6" w:rsidRDefault="00BF5E6C" w:rsidP="00B10F87">
          <w:pPr>
            <w:pStyle w:val="Footer"/>
            <w:rPr>
              <w:rFonts w:cs="Arial"/>
              <w:b/>
              <w:bCs/>
              <w:sz w:val="20"/>
            </w:rPr>
          </w:pPr>
          <w:r>
            <w:rPr>
              <w:b/>
              <w:sz w:val="20"/>
            </w:rPr>
            <w:t>CHS22/274</w:t>
          </w:r>
        </w:p>
      </w:tc>
      <w:tc>
        <w:tcPr>
          <w:tcW w:w="965" w:type="dxa"/>
        </w:tcPr>
        <w:p w14:paraId="08682A7E" w14:textId="6FFCBC57" w:rsidR="001670BB" w:rsidRPr="00B3752F" w:rsidRDefault="00BF5E6C" w:rsidP="00B10F87">
          <w:pPr>
            <w:pStyle w:val="Footer"/>
            <w:rPr>
              <w:rFonts w:cs="Arial"/>
              <w:b/>
              <w:bCs/>
              <w:sz w:val="20"/>
            </w:rPr>
          </w:pPr>
          <w:r>
            <w:rPr>
              <w:rFonts w:cs="Arial"/>
              <w:b/>
              <w:bCs/>
              <w:sz w:val="20"/>
            </w:rPr>
            <w:t>1</w:t>
          </w:r>
          <w:r w:rsidR="001C51DC">
            <w:rPr>
              <w:rFonts w:cs="Arial"/>
              <w:b/>
              <w:bCs/>
              <w:sz w:val="20"/>
            </w:rPr>
            <w:t>.1</w:t>
          </w:r>
        </w:p>
      </w:tc>
      <w:tc>
        <w:tcPr>
          <w:tcW w:w="1552" w:type="dxa"/>
        </w:tcPr>
        <w:p w14:paraId="08682A7F" w14:textId="622D3D1B" w:rsidR="001670BB" w:rsidRPr="00B3752F" w:rsidRDefault="00BF5E6C" w:rsidP="00B10F87">
          <w:pPr>
            <w:pStyle w:val="Footer"/>
            <w:rPr>
              <w:rFonts w:cs="Arial"/>
              <w:b/>
              <w:bCs/>
              <w:sz w:val="20"/>
            </w:rPr>
          </w:pPr>
          <w:r>
            <w:rPr>
              <w:rFonts w:cs="Arial"/>
              <w:b/>
              <w:bCs/>
              <w:sz w:val="20"/>
            </w:rPr>
            <w:t>24/06/2022</w:t>
          </w:r>
        </w:p>
      </w:tc>
      <w:tc>
        <w:tcPr>
          <w:tcW w:w="1456" w:type="dxa"/>
        </w:tcPr>
        <w:p w14:paraId="08682A80" w14:textId="4E4782C0" w:rsidR="001670BB" w:rsidRPr="00B3752F" w:rsidRDefault="00C82070" w:rsidP="00470E63">
          <w:pPr>
            <w:pStyle w:val="Footer"/>
            <w:rPr>
              <w:rFonts w:cs="Arial"/>
              <w:b/>
              <w:bCs/>
              <w:sz w:val="20"/>
            </w:rPr>
          </w:pPr>
          <w:r>
            <w:rPr>
              <w:rFonts w:cs="Arial"/>
              <w:b/>
              <w:bCs/>
              <w:sz w:val="20"/>
            </w:rPr>
            <w:t>01/07/2025</w:t>
          </w:r>
        </w:p>
      </w:tc>
      <w:tc>
        <w:tcPr>
          <w:tcW w:w="2167" w:type="dxa"/>
        </w:tcPr>
        <w:p w14:paraId="08682A81" w14:textId="7655D7A7" w:rsidR="001670BB" w:rsidRPr="00B3752F" w:rsidRDefault="00C82070" w:rsidP="00B10F87">
          <w:pPr>
            <w:pStyle w:val="Footer"/>
            <w:rPr>
              <w:rFonts w:cs="Arial"/>
              <w:b/>
              <w:bCs/>
              <w:sz w:val="20"/>
            </w:rPr>
          </w:pPr>
          <w:r>
            <w:rPr>
              <w:rFonts w:cs="Arial"/>
              <w:b/>
              <w:bCs/>
              <w:sz w:val="20"/>
            </w:rPr>
            <w:t>CAS – Immunology</w:t>
          </w:r>
        </w:p>
      </w:tc>
      <w:tc>
        <w:tcPr>
          <w:tcW w:w="1417" w:type="dxa"/>
        </w:tcPr>
        <w:p w14:paraId="08682A82" w14:textId="77777777" w:rsidR="001670BB" w:rsidRPr="00B3752F" w:rsidRDefault="00A063FE" w:rsidP="00B10F87">
          <w:pPr>
            <w:pStyle w:val="Footer"/>
            <w:rPr>
              <w:sz w:val="20"/>
            </w:rPr>
          </w:pPr>
          <w:r w:rsidRPr="00B3752F">
            <w:rPr>
              <w:rStyle w:val="PageNumber"/>
              <w:sz w:val="20"/>
            </w:rPr>
            <w:fldChar w:fldCharType="begin"/>
          </w:r>
          <w:r w:rsidR="001670BB" w:rsidRPr="00B3752F">
            <w:rPr>
              <w:rStyle w:val="PageNumber"/>
              <w:sz w:val="20"/>
            </w:rPr>
            <w:instrText xml:space="preserve"> PAGE </w:instrText>
          </w:r>
          <w:r w:rsidRPr="00B3752F">
            <w:rPr>
              <w:rStyle w:val="PageNumber"/>
              <w:sz w:val="20"/>
            </w:rPr>
            <w:fldChar w:fldCharType="separate"/>
          </w:r>
          <w:r w:rsidR="00470E63">
            <w:rPr>
              <w:rStyle w:val="PageNumber"/>
              <w:noProof/>
              <w:sz w:val="20"/>
            </w:rPr>
            <w:t>5</w:t>
          </w:r>
          <w:r w:rsidRPr="00B3752F">
            <w:rPr>
              <w:rStyle w:val="PageNumber"/>
              <w:sz w:val="20"/>
            </w:rPr>
            <w:fldChar w:fldCharType="end"/>
          </w:r>
          <w:r w:rsidR="001670BB" w:rsidRPr="00B3752F">
            <w:rPr>
              <w:rStyle w:val="PageNumber"/>
              <w:sz w:val="20"/>
            </w:rPr>
            <w:t xml:space="preserve"> of </w:t>
          </w:r>
          <w:r w:rsidRPr="00B3752F">
            <w:rPr>
              <w:rStyle w:val="PageNumber"/>
              <w:sz w:val="20"/>
            </w:rPr>
            <w:fldChar w:fldCharType="begin"/>
          </w:r>
          <w:r w:rsidR="001670BB" w:rsidRPr="00B3752F">
            <w:rPr>
              <w:rStyle w:val="PageNumber"/>
              <w:sz w:val="20"/>
            </w:rPr>
            <w:instrText xml:space="preserve"> NUMPAGES </w:instrText>
          </w:r>
          <w:r w:rsidRPr="00B3752F">
            <w:rPr>
              <w:rStyle w:val="PageNumber"/>
              <w:sz w:val="20"/>
            </w:rPr>
            <w:fldChar w:fldCharType="separate"/>
          </w:r>
          <w:r w:rsidR="00470E63">
            <w:rPr>
              <w:rStyle w:val="PageNumber"/>
              <w:noProof/>
              <w:sz w:val="20"/>
            </w:rPr>
            <w:t>5</w:t>
          </w:r>
          <w:r w:rsidRPr="00B3752F">
            <w:rPr>
              <w:rStyle w:val="PageNumber"/>
              <w:sz w:val="20"/>
            </w:rPr>
            <w:fldChar w:fldCharType="end"/>
          </w:r>
        </w:p>
      </w:tc>
    </w:tr>
    <w:tr w:rsidR="008E7509" w14:paraId="274E5098" w14:textId="77777777" w:rsidTr="00C82070">
      <w:trPr>
        <w:trHeight w:val="231"/>
      </w:trPr>
      <w:tc>
        <w:tcPr>
          <w:tcW w:w="9072" w:type="dxa"/>
          <w:gridSpan w:val="6"/>
          <w:tcBorders>
            <w:top w:val="single" w:sz="4" w:space="0" w:color="auto"/>
            <w:left w:val="single" w:sz="4" w:space="0" w:color="auto"/>
            <w:bottom w:val="single" w:sz="4" w:space="0" w:color="auto"/>
            <w:right w:val="single" w:sz="4" w:space="0" w:color="auto"/>
          </w:tcBorders>
        </w:tcPr>
        <w:p w14:paraId="581E8E84" w14:textId="208943B0" w:rsidR="008E7509" w:rsidRPr="002C1428" w:rsidRDefault="008E7509" w:rsidP="008E7509">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sidR="00205AF9">
            <w:rPr>
              <w:sz w:val="16"/>
              <w:szCs w:val="16"/>
            </w:rPr>
            <w:t>CHS</w:t>
          </w:r>
          <w:r w:rsidRPr="002C1428">
            <w:rPr>
              <w:sz w:val="16"/>
              <w:szCs w:val="16"/>
            </w:rPr>
            <w:t xml:space="preserve"> Policy Register</w:t>
          </w:r>
        </w:p>
      </w:tc>
    </w:tr>
  </w:tbl>
  <w:p w14:paraId="08682A85" w14:textId="0FDE7BBC" w:rsidR="001670BB" w:rsidRPr="00AE7C5C" w:rsidRDefault="001670BB" w:rsidP="00470E63">
    <w:pPr>
      <w:pStyle w:val="Footer"/>
      <w:tabs>
        <w:tab w:val="clear" w:pos="4153"/>
        <w:tab w:val="clear" w:pos="8306"/>
        <w:tab w:val="left" w:pos="14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EC291" w14:textId="77777777" w:rsidR="00627D0C" w:rsidRDefault="00627D0C" w:rsidP="00F66CB0">
      <w:r>
        <w:separator/>
      </w:r>
    </w:p>
  </w:footnote>
  <w:footnote w:type="continuationSeparator" w:id="0">
    <w:p w14:paraId="119B4AEF" w14:textId="77777777" w:rsidR="00627D0C" w:rsidRDefault="00627D0C" w:rsidP="00F66CB0">
      <w:r>
        <w:continuationSeparator/>
      </w:r>
    </w:p>
  </w:footnote>
  <w:footnote w:type="continuationNotice" w:id="1">
    <w:p w14:paraId="5CE27506" w14:textId="77777777" w:rsidR="00627D0C" w:rsidRDefault="00627D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FA2BE1" w14:paraId="44218B2E" w14:textId="77777777" w:rsidTr="00894713">
      <w:trPr>
        <w:trHeight w:val="1418"/>
      </w:trPr>
      <w:tc>
        <w:tcPr>
          <w:tcW w:w="5556" w:type="dxa"/>
          <w:vAlign w:val="center"/>
          <w:hideMark/>
        </w:tcPr>
        <w:p w14:paraId="376ABC69" w14:textId="77777777" w:rsidR="00FA2BE1" w:rsidRDefault="00FA2BE1" w:rsidP="00A939DF">
          <w:pPr>
            <w:pStyle w:val="Header"/>
            <w:rPr>
              <w:sz w:val="20"/>
            </w:rPr>
          </w:pPr>
          <w:r>
            <w:rPr>
              <w:noProof/>
              <w:sz w:val="20"/>
            </w:rPr>
            <w:drawing>
              <wp:inline distT="0" distB="0" distL="0" distR="0" wp14:anchorId="424A0B5B" wp14:editId="2DA2833E">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14CAD386" w14:textId="77777777" w:rsidR="00FA2BE1" w:rsidRDefault="00FA2BE1" w:rsidP="00A939DF">
          <w:pPr>
            <w:pStyle w:val="Header"/>
            <w:tabs>
              <w:tab w:val="left" w:pos="720"/>
            </w:tabs>
            <w:jc w:val="right"/>
            <w:rPr>
              <w:sz w:val="20"/>
            </w:rPr>
          </w:pPr>
          <w:r>
            <w:rPr>
              <w:sz w:val="20"/>
            </w:rPr>
            <w:t>CHS22/274</w:t>
          </w:r>
        </w:p>
      </w:tc>
    </w:tr>
  </w:tbl>
  <w:p w14:paraId="55E532D6" w14:textId="77777777" w:rsidR="00FA2BE1" w:rsidRPr="00FC3538" w:rsidRDefault="00FA2BE1">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A939DF" w14:paraId="60F17A8F" w14:textId="77777777" w:rsidTr="00894713">
      <w:trPr>
        <w:trHeight w:val="1418"/>
      </w:trPr>
      <w:tc>
        <w:tcPr>
          <w:tcW w:w="5556" w:type="dxa"/>
          <w:vAlign w:val="center"/>
          <w:hideMark/>
        </w:tcPr>
        <w:p w14:paraId="4A5666D5" w14:textId="77777777" w:rsidR="00A939DF" w:rsidRDefault="00A939DF" w:rsidP="00A939DF">
          <w:pPr>
            <w:pStyle w:val="Header"/>
            <w:rPr>
              <w:sz w:val="20"/>
            </w:rPr>
          </w:pPr>
          <w:r>
            <w:rPr>
              <w:noProof/>
              <w:sz w:val="20"/>
            </w:rPr>
            <w:drawing>
              <wp:inline distT="0" distB="0" distL="0" distR="0" wp14:anchorId="2AF797D7" wp14:editId="7788EF6A">
                <wp:extent cx="3295650" cy="723900"/>
                <wp:effectExtent l="0" t="0" r="0" b="0"/>
                <wp:docPr id="16" name="Picture 16"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6FB3D4A4" w14:textId="1417568F" w:rsidR="00A939DF" w:rsidRDefault="00BF5E6C" w:rsidP="00A939DF">
          <w:pPr>
            <w:pStyle w:val="Header"/>
            <w:tabs>
              <w:tab w:val="left" w:pos="720"/>
            </w:tabs>
            <w:jc w:val="right"/>
            <w:rPr>
              <w:sz w:val="20"/>
            </w:rPr>
          </w:pPr>
          <w:bookmarkStart w:id="121" w:name="_top"/>
          <w:bookmarkEnd w:id="121"/>
          <w:r>
            <w:rPr>
              <w:sz w:val="20"/>
            </w:rPr>
            <w:t>CHS22/274</w:t>
          </w:r>
        </w:p>
      </w:tc>
    </w:tr>
  </w:tbl>
  <w:p w14:paraId="08682A75" w14:textId="77777777" w:rsidR="001670BB" w:rsidRPr="00FC3538" w:rsidRDefault="001670BB">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0000402"/>
    <w:multiLevelType w:val="multilevel"/>
    <w:tmpl w:val="85F8F310"/>
    <w:lvl w:ilvl="0">
      <w:numFmt w:val="bullet"/>
      <w:lvlText w:val=""/>
      <w:lvlJc w:val="left"/>
      <w:pPr>
        <w:ind w:left="432" w:hanging="432"/>
      </w:pPr>
      <w:rPr>
        <w:rFonts w:ascii="Symbol" w:hAnsi="Symbol"/>
        <w:w w:val="100"/>
      </w:rPr>
    </w:lvl>
    <w:lvl w:ilvl="1">
      <w:start w:val="1"/>
      <w:numFmt w:val="bullet"/>
      <w:lvlText w:val=""/>
      <w:lvlJc w:val="left"/>
      <w:pPr>
        <w:ind w:left="785" w:hanging="353"/>
      </w:pPr>
      <w:rPr>
        <w:rFonts w:ascii="Symbol" w:hAnsi="Symbol" w:hint="default"/>
        <w:b w:val="0"/>
        <w:i w:val="0"/>
        <w:w w:val="100"/>
        <w:sz w:val="24"/>
      </w:rPr>
    </w:lvl>
    <w:lvl w:ilvl="2">
      <w:numFmt w:val="bullet"/>
      <w:lvlText w:val="•"/>
      <w:lvlJc w:val="left"/>
      <w:pPr>
        <w:ind w:left="921" w:hanging="353"/>
      </w:pPr>
    </w:lvl>
    <w:lvl w:ilvl="3">
      <w:numFmt w:val="bullet"/>
      <w:lvlText w:val="•"/>
      <w:lvlJc w:val="left"/>
      <w:pPr>
        <w:ind w:left="1979" w:hanging="353"/>
      </w:pPr>
    </w:lvl>
    <w:lvl w:ilvl="4">
      <w:numFmt w:val="bullet"/>
      <w:lvlText w:val="•"/>
      <w:lvlJc w:val="left"/>
      <w:pPr>
        <w:ind w:left="3037" w:hanging="353"/>
      </w:pPr>
    </w:lvl>
    <w:lvl w:ilvl="5">
      <w:numFmt w:val="bullet"/>
      <w:lvlText w:val="•"/>
      <w:lvlJc w:val="left"/>
      <w:pPr>
        <w:ind w:left="4095" w:hanging="353"/>
      </w:pPr>
    </w:lvl>
    <w:lvl w:ilvl="6">
      <w:numFmt w:val="bullet"/>
      <w:lvlText w:val="•"/>
      <w:lvlJc w:val="left"/>
      <w:pPr>
        <w:ind w:left="5153" w:hanging="353"/>
      </w:pPr>
    </w:lvl>
    <w:lvl w:ilvl="7">
      <w:numFmt w:val="bullet"/>
      <w:lvlText w:val="•"/>
      <w:lvlJc w:val="left"/>
      <w:pPr>
        <w:ind w:left="6211" w:hanging="353"/>
      </w:pPr>
    </w:lvl>
    <w:lvl w:ilvl="8">
      <w:numFmt w:val="bullet"/>
      <w:lvlText w:val="•"/>
      <w:lvlJc w:val="left"/>
      <w:pPr>
        <w:ind w:left="7269" w:hanging="353"/>
      </w:pPr>
    </w:lvl>
  </w:abstractNum>
  <w:abstractNum w:abstractNumId="2" w15:restartNumberingAfterBreak="0">
    <w:nsid w:val="00000404"/>
    <w:multiLevelType w:val="multilevel"/>
    <w:tmpl w:val="FFFFFFFF"/>
    <w:lvl w:ilvl="0">
      <w:numFmt w:val="bullet"/>
      <w:lvlText w:val=""/>
      <w:lvlJc w:val="left"/>
      <w:pPr>
        <w:ind w:left="556" w:hanging="353"/>
      </w:pPr>
      <w:rPr>
        <w:rFonts w:ascii="Symbol" w:hAnsi="Symbol"/>
        <w:b w:val="0"/>
        <w:i w:val="0"/>
        <w:w w:val="100"/>
        <w:sz w:val="24"/>
      </w:rPr>
    </w:lvl>
    <w:lvl w:ilvl="1">
      <w:numFmt w:val="bullet"/>
      <w:lvlText w:val="•"/>
      <w:lvlJc w:val="left"/>
      <w:pPr>
        <w:ind w:left="1412" w:hanging="353"/>
      </w:pPr>
    </w:lvl>
    <w:lvl w:ilvl="2">
      <w:numFmt w:val="bullet"/>
      <w:lvlText w:val="•"/>
      <w:lvlJc w:val="left"/>
      <w:pPr>
        <w:ind w:left="2272" w:hanging="353"/>
      </w:pPr>
    </w:lvl>
    <w:lvl w:ilvl="3">
      <w:numFmt w:val="bullet"/>
      <w:lvlText w:val="•"/>
      <w:lvlJc w:val="left"/>
      <w:pPr>
        <w:ind w:left="3133" w:hanging="353"/>
      </w:pPr>
    </w:lvl>
    <w:lvl w:ilvl="4">
      <w:numFmt w:val="bullet"/>
      <w:lvlText w:val="•"/>
      <w:lvlJc w:val="left"/>
      <w:pPr>
        <w:ind w:left="3993" w:hanging="353"/>
      </w:pPr>
    </w:lvl>
    <w:lvl w:ilvl="5">
      <w:numFmt w:val="bullet"/>
      <w:lvlText w:val="•"/>
      <w:lvlJc w:val="left"/>
      <w:pPr>
        <w:ind w:left="4854" w:hanging="353"/>
      </w:pPr>
    </w:lvl>
    <w:lvl w:ilvl="6">
      <w:numFmt w:val="bullet"/>
      <w:lvlText w:val="•"/>
      <w:lvlJc w:val="left"/>
      <w:pPr>
        <w:ind w:left="5714" w:hanging="353"/>
      </w:pPr>
    </w:lvl>
    <w:lvl w:ilvl="7">
      <w:numFmt w:val="bullet"/>
      <w:lvlText w:val="•"/>
      <w:lvlJc w:val="left"/>
      <w:pPr>
        <w:ind w:left="6574" w:hanging="353"/>
      </w:pPr>
    </w:lvl>
    <w:lvl w:ilvl="8">
      <w:numFmt w:val="bullet"/>
      <w:lvlText w:val="•"/>
      <w:lvlJc w:val="left"/>
      <w:pPr>
        <w:ind w:left="7435" w:hanging="353"/>
      </w:pPr>
    </w:lvl>
  </w:abstractNum>
  <w:abstractNum w:abstractNumId="3" w15:restartNumberingAfterBreak="0">
    <w:nsid w:val="00000406"/>
    <w:multiLevelType w:val="multilevel"/>
    <w:tmpl w:val="FFFFFFFF"/>
    <w:lvl w:ilvl="0">
      <w:start w:val="1"/>
      <w:numFmt w:val="decimal"/>
      <w:lvlText w:val="%1."/>
      <w:lvlJc w:val="left"/>
      <w:pPr>
        <w:ind w:left="432" w:hanging="432"/>
      </w:pPr>
      <w:rPr>
        <w:rFonts w:ascii="Calibri" w:hAnsi="Calibri" w:cs="Calibri"/>
        <w:b w:val="0"/>
        <w:bCs w:val="0"/>
        <w:i w:val="0"/>
        <w:iCs w:val="0"/>
        <w:spacing w:val="-10"/>
        <w:w w:val="100"/>
        <w:sz w:val="24"/>
        <w:szCs w:val="24"/>
      </w:rPr>
    </w:lvl>
    <w:lvl w:ilvl="1">
      <w:numFmt w:val="bullet"/>
      <w:lvlText w:val="•"/>
      <w:lvlJc w:val="left"/>
      <w:pPr>
        <w:ind w:left="556" w:hanging="432"/>
      </w:pPr>
    </w:lvl>
    <w:lvl w:ilvl="2">
      <w:numFmt w:val="bullet"/>
      <w:lvlText w:val="•"/>
      <w:lvlJc w:val="left"/>
      <w:pPr>
        <w:ind w:left="1529" w:hanging="432"/>
      </w:pPr>
    </w:lvl>
    <w:lvl w:ilvl="3">
      <w:numFmt w:val="bullet"/>
      <w:lvlText w:val="•"/>
      <w:lvlJc w:val="left"/>
      <w:pPr>
        <w:ind w:left="2503" w:hanging="432"/>
      </w:pPr>
    </w:lvl>
    <w:lvl w:ilvl="4">
      <w:numFmt w:val="bullet"/>
      <w:lvlText w:val="•"/>
      <w:lvlJc w:val="left"/>
      <w:pPr>
        <w:ind w:left="3477" w:hanging="432"/>
      </w:pPr>
    </w:lvl>
    <w:lvl w:ilvl="5">
      <w:numFmt w:val="bullet"/>
      <w:lvlText w:val="•"/>
      <w:lvlJc w:val="left"/>
      <w:pPr>
        <w:ind w:left="4451" w:hanging="432"/>
      </w:pPr>
    </w:lvl>
    <w:lvl w:ilvl="6">
      <w:numFmt w:val="bullet"/>
      <w:lvlText w:val="•"/>
      <w:lvlJc w:val="left"/>
      <w:pPr>
        <w:ind w:left="5424" w:hanging="432"/>
      </w:pPr>
    </w:lvl>
    <w:lvl w:ilvl="7">
      <w:numFmt w:val="bullet"/>
      <w:lvlText w:val="•"/>
      <w:lvlJc w:val="left"/>
      <w:pPr>
        <w:ind w:left="6398" w:hanging="432"/>
      </w:pPr>
    </w:lvl>
    <w:lvl w:ilvl="8">
      <w:numFmt w:val="bullet"/>
      <w:lvlText w:val="•"/>
      <w:lvlJc w:val="left"/>
      <w:pPr>
        <w:ind w:left="7372" w:hanging="432"/>
      </w:pPr>
    </w:lvl>
  </w:abstractNum>
  <w:abstractNum w:abstractNumId="4" w15:restartNumberingAfterBreak="0">
    <w:nsid w:val="00000408"/>
    <w:multiLevelType w:val="multilevel"/>
    <w:tmpl w:val="1F24E7EE"/>
    <w:lvl w:ilvl="0">
      <w:start w:val="1"/>
      <w:numFmt w:val="bullet"/>
      <w:lvlText w:val=""/>
      <w:lvlJc w:val="left"/>
      <w:pPr>
        <w:ind w:left="432" w:hanging="432"/>
      </w:pPr>
      <w:rPr>
        <w:rFonts w:ascii="Symbol" w:hAnsi="Symbol" w:hint="default"/>
        <w:b w:val="0"/>
        <w:bCs w:val="0"/>
        <w:i w:val="0"/>
        <w:iCs w:val="0"/>
        <w:spacing w:val="-10"/>
        <w:w w:val="100"/>
        <w:sz w:val="24"/>
        <w:szCs w:val="24"/>
      </w:rPr>
    </w:lvl>
    <w:lvl w:ilvl="1">
      <w:start w:val="1"/>
      <w:numFmt w:val="bullet"/>
      <w:lvlText w:val=""/>
      <w:lvlJc w:val="left"/>
      <w:pPr>
        <w:ind w:left="847" w:hanging="416"/>
      </w:pPr>
      <w:rPr>
        <w:rFonts w:ascii="Symbol" w:hAnsi="Symbol" w:hint="default"/>
        <w:b w:val="0"/>
        <w:i w:val="0"/>
        <w:w w:val="100"/>
        <w:sz w:val="24"/>
      </w:rPr>
    </w:lvl>
    <w:lvl w:ilvl="2">
      <w:numFmt w:val="bullet"/>
      <w:lvlText w:val="•"/>
      <w:lvlJc w:val="left"/>
      <w:pPr>
        <w:ind w:left="1796" w:hanging="416"/>
      </w:pPr>
    </w:lvl>
    <w:lvl w:ilvl="3">
      <w:numFmt w:val="bullet"/>
      <w:lvlText w:val="•"/>
      <w:lvlJc w:val="left"/>
      <w:pPr>
        <w:ind w:left="2736" w:hanging="416"/>
      </w:pPr>
    </w:lvl>
    <w:lvl w:ilvl="4">
      <w:numFmt w:val="bullet"/>
      <w:lvlText w:val="•"/>
      <w:lvlJc w:val="left"/>
      <w:pPr>
        <w:ind w:left="3677" w:hanging="416"/>
      </w:pPr>
    </w:lvl>
    <w:lvl w:ilvl="5">
      <w:numFmt w:val="bullet"/>
      <w:lvlText w:val="•"/>
      <w:lvlJc w:val="left"/>
      <w:pPr>
        <w:ind w:left="4617" w:hanging="416"/>
      </w:pPr>
    </w:lvl>
    <w:lvl w:ilvl="6">
      <w:numFmt w:val="bullet"/>
      <w:lvlText w:val="•"/>
      <w:lvlJc w:val="left"/>
      <w:pPr>
        <w:ind w:left="5558" w:hanging="416"/>
      </w:pPr>
    </w:lvl>
    <w:lvl w:ilvl="7">
      <w:numFmt w:val="bullet"/>
      <w:lvlText w:val="•"/>
      <w:lvlJc w:val="left"/>
      <w:pPr>
        <w:ind w:left="6498" w:hanging="416"/>
      </w:pPr>
    </w:lvl>
    <w:lvl w:ilvl="8">
      <w:numFmt w:val="bullet"/>
      <w:lvlText w:val="•"/>
      <w:lvlJc w:val="left"/>
      <w:pPr>
        <w:ind w:left="7439" w:hanging="416"/>
      </w:pPr>
    </w:lvl>
  </w:abstractNum>
  <w:abstractNum w:abstractNumId="5" w15:restartNumberingAfterBreak="0">
    <w:nsid w:val="00000409"/>
    <w:multiLevelType w:val="multilevel"/>
    <w:tmpl w:val="FFFFFFFF"/>
    <w:lvl w:ilvl="0">
      <w:start w:val="1"/>
      <w:numFmt w:val="decimal"/>
      <w:lvlText w:val="%1."/>
      <w:lvlJc w:val="left"/>
      <w:pPr>
        <w:ind w:left="432" w:hanging="432"/>
      </w:pPr>
      <w:rPr>
        <w:rFonts w:ascii="Calibri" w:hAnsi="Calibri" w:cs="Calibri"/>
        <w:b w:val="0"/>
        <w:bCs w:val="0"/>
        <w:i w:val="0"/>
        <w:iCs w:val="0"/>
        <w:spacing w:val="-10"/>
        <w:w w:val="100"/>
        <w:sz w:val="24"/>
        <w:szCs w:val="24"/>
      </w:rPr>
    </w:lvl>
    <w:lvl w:ilvl="1">
      <w:numFmt w:val="bullet"/>
      <w:lvlText w:val="•"/>
      <w:lvlJc w:val="left"/>
      <w:pPr>
        <w:ind w:left="1325" w:hanging="432"/>
      </w:pPr>
    </w:lvl>
    <w:lvl w:ilvl="2">
      <w:numFmt w:val="bullet"/>
      <w:lvlText w:val="•"/>
      <w:lvlJc w:val="left"/>
      <w:pPr>
        <w:ind w:left="2213" w:hanging="432"/>
      </w:pPr>
    </w:lvl>
    <w:lvl w:ilvl="3">
      <w:numFmt w:val="bullet"/>
      <w:lvlText w:val="•"/>
      <w:lvlJc w:val="left"/>
      <w:pPr>
        <w:ind w:left="3102" w:hanging="432"/>
      </w:pPr>
    </w:lvl>
    <w:lvl w:ilvl="4">
      <w:numFmt w:val="bullet"/>
      <w:lvlText w:val="•"/>
      <w:lvlJc w:val="left"/>
      <w:pPr>
        <w:ind w:left="3990" w:hanging="432"/>
      </w:pPr>
    </w:lvl>
    <w:lvl w:ilvl="5">
      <w:numFmt w:val="bullet"/>
      <w:lvlText w:val="•"/>
      <w:lvlJc w:val="left"/>
      <w:pPr>
        <w:ind w:left="4879" w:hanging="432"/>
      </w:pPr>
    </w:lvl>
    <w:lvl w:ilvl="6">
      <w:numFmt w:val="bullet"/>
      <w:lvlText w:val="•"/>
      <w:lvlJc w:val="left"/>
      <w:pPr>
        <w:ind w:left="5767" w:hanging="432"/>
      </w:pPr>
    </w:lvl>
    <w:lvl w:ilvl="7">
      <w:numFmt w:val="bullet"/>
      <w:lvlText w:val="•"/>
      <w:lvlJc w:val="left"/>
      <w:pPr>
        <w:ind w:left="6655" w:hanging="432"/>
      </w:pPr>
    </w:lvl>
    <w:lvl w:ilvl="8">
      <w:numFmt w:val="bullet"/>
      <w:lvlText w:val="•"/>
      <w:lvlJc w:val="left"/>
      <w:pPr>
        <w:ind w:left="7544" w:hanging="432"/>
      </w:pPr>
    </w:lvl>
  </w:abstractNum>
  <w:abstractNum w:abstractNumId="6" w15:restartNumberingAfterBreak="0">
    <w:nsid w:val="0000040A"/>
    <w:multiLevelType w:val="multilevel"/>
    <w:tmpl w:val="FFFFFFFF"/>
    <w:lvl w:ilvl="0">
      <w:start w:val="1"/>
      <w:numFmt w:val="decimal"/>
      <w:lvlText w:val="%1."/>
      <w:lvlJc w:val="left"/>
      <w:pPr>
        <w:ind w:left="432" w:hanging="432"/>
      </w:pPr>
      <w:rPr>
        <w:rFonts w:ascii="Calibri" w:hAnsi="Calibri" w:cs="Calibri"/>
        <w:b w:val="0"/>
        <w:bCs w:val="0"/>
        <w:i w:val="0"/>
        <w:iCs w:val="0"/>
        <w:spacing w:val="-10"/>
        <w:w w:val="100"/>
        <w:sz w:val="24"/>
        <w:szCs w:val="24"/>
      </w:rPr>
    </w:lvl>
    <w:lvl w:ilvl="1">
      <w:numFmt w:val="bullet"/>
      <w:lvlText w:val=""/>
      <w:lvlJc w:val="left"/>
      <w:pPr>
        <w:ind w:left="720" w:hanging="353"/>
      </w:pPr>
      <w:rPr>
        <w:rFonts w:ascii="Symbol" w:hAnsi="Symbol"/>
        <w:b w:val="0"/>
        <w:i w:val="0"/>
        <w:w w:val="100"/>
        <w:sz w:val="24"/>
      </w:rPr>
    </w:lvl>
    <w:lvl w:ilvl="2">
      <w:numFmt w:val="bullet"/>
      <w:lvlText w:val="•"/>
      <w:lvlJc w:val="left"/>
      <w:pPr>
        <w:ind w:left="1672" w:hanging="353"/>
      </w:pPr>
    </w:lvl>
    <w:lvl w:ilvl="3">
      <w:numFmt w:val="bullet"/>
      <w:lvlText w:val="•"/>
      <w:lvlJc w:val="left"/>
      <w:pPr>
        <w:ind w:left="2628" w:hanging="353"/>
      </w:pPr>
    </w:lvl>
    <w:lvl w:ilvl="4">
      <w:numFmt w:val="bullet"/>
      <w:lvlText w:val="•"/>
      <w:lvlJc w:val="left"/>
      <w:pPr>
        <w:ind w:left="3584" w:hanging="353"/>
      </w:pPr>
    </w:lvl>
    <w:lvl w:ilvl="5">
      <w:numFmt w:val="bullet"/>
      <w:lvlText w:val="•"/>
      <w:lvlJc w:val="left"/>
      <w:pPr>
        <w:ind w:left="4540" w:hanging="353"/>
      </w:pPr>
    </w:lvl>
    <w:lvl w:ilvl="6">
      <w:numFmt w:val="bullet"/>
      <w:lvlText w:val="•"/>
      <w:lvlJc w:val="left"/>
      <w:pPr>
        <w:ind w:left="5496" w:hanging="353"/>
      </w:pPr>
    </w:lvl>
    <w:lvl w:ilvl="7">
      <w:numFmt w:val="bullet"/>
      <w:lvlText w:val="•"/>
      <w:lvlJc w:val="left"/>
      <w:pPr>
        <w:ind w:left="6452" w:hanging="353"/>
      </w:pPr>
    </w:lvl>
    <w:lvl w:ilvl="8">
      <w:numFmt w:val="bullet"/>
      <w:lvlText w:val="•"/>
      <w:lvlJc w:val="left"/>
      <w:pPr>
        <w:ind w:left="7408" w:hanging="353"/>
      </w:pPr>
    </w:lvl>
  </w:abstractNum>
  <w:abstractNum w:abstractNumId="7" w15:restartNumberingAfterBreak="0">
    <w:nsid w:val="0000040B"/>
    <w:multiLevelType w:val="multilevel"/>
    <w:tmpl w:val="FFFFFFFF"/>
    <w:lvl w:ilvl="0">
      <w:start w:val="1"/>
      <w:numFmt w:val="decimal"/>
      <w:lvlText w:val="%1."/>
      <w:lvlJc w:val="left"/>
      <w:pPr>
        <w:ind w:left="432" w:hanging="432"/>
      </w:pPr>
      <w:rPr>
        <w:rFonts w:ascii="Calibri" w:hAnsi="Calibri" w:cs="Calibri"/>
        <w:b w:val="0"/>
        <w:bCs w:val="0"/>
        <w:i w:val="0"/>
        <w:iCs w:val="0"/>
        <w:spacing w:val="-10"/>
        <w:w w:val="100"/>
        <w:sz w:val="24"/>
        <w:szCs w:val="24"/>
      </w:rPr>
    </w:lvl>
    <w:lvl w:ilvl="1">
      <w:numFmt w:val="bullet"/>
      <w:lvlText w:val="•"/>
      <w:lvlJc w:val="left"/>
      <w:pPr>
        <w:ind w:left="1324" w:hanging="432"/>
      </w:pPr>
    </w:lvl>
    <w:lvl w:ilvl="2">
      <w:numFmt w:val="bullet"/>
      <w:lvlText w:val="•"/>
      <w:lvlJc w:val="left"/>
      <w:pPr>
        <w:ind w:left="2212" w:hanging="432"/>
      </w:pPr>
    </w:lvl>
    <w:lvl w:ilvl="3">
      <w:numFmt w:val="bullet"/>
      <w:lvlText w:val="•"/>
      <w:lvlJc w:val="left"/>
      <w:pPr>
        <w:ind w:left="3101" w:hanging="432"/>
      </w:pPr>
    </w:lvl>
    <w:lvl w:ilvl="4">
      <w:numFmt w:val="bullet"/>
      <w:lvlText w:val="•"/>
      <w:lvlJc w:val="left"/>
      <w:pPr>
        <w:ind w:left="3989" w:hanging="432"/>
      </w:pPr>
    </w:lvl>
    <w:lvl w:ilvl="5">
      <w:numFmt w:val="bullet"/>
      <w:lvlText w:val="•"/>
      <w:lvlJc w:val="left"/>
      <w:pPr>
        <w:ind w:left="4878" w:hanging="432"/>
      </w:pPr>
    </w:lvl>
    <w:lvl w:ilvl="6">
      <w:numFmt w:val="bullet"/>
      <w:lvlText w:val="•"/>
      <w:lvlJc w:val="left"/>
      <w:pPr>
        <w:ind w:left="5766" w:hanging="432"/>
      </w:pPr>
    </w:lvl>
    <w:lvl w:ilvl="7">
      <w:numFmt w:val="bullet"/>
      <w:lvlText w:val="•"/>
      <w:lvlJc w:val="left"/>
      <w:pPr>
        <w:ind w:left="6654" w:hanging="432"/>
      </w:pPr>
    </w:lvl>
    <w:lvl w:ilvl="8">
      <w:numFmt w:val="bullet"/>
      <w:lvlText w:val="•"/>
      <w:lvlJc w:val="left"/>
      <w:pPr>
        <w:ind w:left="7543" w:hanging="432"/>
      </w:pPr>
    </w:lvl>
  </w:abstractNum>
  <w:abstractNum w:abstractNumId="8" w15:restartNumberingAfterBreak="0">
    <w:nsid w:val="0000040C"/>
    <w:multiLevelType w:val="multilevel"/>
    <w:tmpl w:val="FFFFFFFF"/>
    <w:lvl w:ilvl="0">
      <w:start w:val="1"/>
      <w:numFmt w:val="decimal"/>
      <w:lvlText w:val="%1."/>
      <w:lvlJc w:val="left"/>
      <w:pPr>
        <w:ind w:left="432" w:hanging="432"/>
      </w:pPr>
      <w:rPr>
        <w:rFonts w:ascii="Calibri" w:hAnsi="Calibri" w:cs="Calibri"/>
        <w:b w:val="0"/>
        <w:bCs w:val="0"/>
        <w:i w:val="0"/>
        <w:iCs w:val="0"/>
        <w:spacing w:val="-10"/>
        <w:w w:val="100"/>
        <w:sz w:val="24"/>
        <w:szCs w:val="24"/>
      </w:rPr>
    </w:lvl>
    <w:lvl w:ilvl="1">
      <w:numFmt w:val="bullet"/>
      <w:lvlText w:val="•"/>
      <w:lvlJc w:val="left"/>
      <w:pPr>
        <w:ind w:left="1324" w:hanging="432"/>
      </w:pPr>
    </w:lvl>
    <w:lvl w:ilvl="2">
      <w:numFmt w:val="bullet"/>
      <w:lvlText w:val="•"/>
      <w:lvlJc w:val="left"/>
      <w:pPr>
        <w:ind w:left="2212" w:hanging="432"/>
      </w:pPr>
    </w:lvl>
    <w:lvl w:ilvl="3">
      <w:numFmt w:val="bullet"/>
      <w:lvlText w:val="•"/>
      <w:lvlJc w:val="left"/>
      <w:pPr>
        <w:ind w:left="3101" w:hanging="432"/>
      </w:pPr>
    </w:lvl>
    <w:lvl w:ilvl="4">
      <w:numFmt w:val="bullet"/>
      <w:lvlText w:val="•"/>
      <w:lvlJc w:val="left"/>
      <w:pPr>
        <w:ind w:left="3989" w:hanging="432"/>
      </w:pPr>
    </w:lvl>
    <w:lvl w:ilvl="5">
      <w:numFmt w:val="bullet"/>
      <w:lvlText w:val="•"/>
      <w:lvlJc w:val="left"/>
      <w:pPr>
        <w:ind w:left="4878" w:hanging="432"/>
      </w:pPr>
    </w:lvl>
    <w:lvl w:ilvl="6">
      <w:numFmt w:val="bullet"/>
      <w:lvlText w:val="•"/>
      <w:lvlJc w:val="left"/>
      <w:pPr>
        <w:ind w:left="5766" w:hanging="432"/>
      </w:pPr>
    </w:lvl>
    <w:lvl w:ilvl="7">
      <w:numFmt w:val="bullet"/>
      <w:lvlText w:val="•"/>
      <w:lvlJc w:val="left"/>
      <w:pPr>
        <w:ind w:left="6654" w:hanging="432"/>
      </w:pPr>
    </w:lvl>
    <w:lvl w:ilvl="8">
      <w:numFmt w:val="bullet"/>
      <w:lvlText w:val="•"/>
      <w:lvlJc w:val="left"/>
      <w:pPr>
        <w:ind w:left="7543" w:hanging="432"/>
      </w:pPr>
    </w:lvl>
  </w:abstractNum>
  <w:abstractNum w:abstractNumId="9" w15:restartNumberingAfterBreak="0">
    <w:nsid w:val="0000040D"/>
    <w:multiLevelType w:val="multilevel"/>
    <w:tmpl w:val="FFFFFFFF"/>
    <w:lvl w:ilvl="0">
      <w:start w:val="1"/>
      <w:numFmt w:val="decimal"/>
      <w:lvlText w:val="%1."/>
      <w:lvlJc w:val="left"/>
      <w:pPr>
        <w:ind w:left="432" w:hanging="432"/>
      </w:pPr>
      <w:rPr>
        <w:rFonts w:ascii="Calibri" w:hAnsi="Calibri" w:cs="Calibri"/>
        <w:b w:val="0"/>
        <w:bCs w:val="0"/>
        <w:i w:val="0"/>
        <w:iCs w:val="0"/>
        <w:spacing w:val="-10"/>
        <w:w w:val="100"/>
        <w:sz w:val="24"/>
        <w:szCs w:val="24"/>
      </w:rPr>
    </w:lvl>
    <w:lvl w:ilvl="1">
      <w:numFmt w:val="bullet"/>
      <w:lvlText w:val="•"/>
      <w:lvlJc w:val="left"/>
      <w:pPr>
        <w:ind w:left="1324" w:hanging="432"/>
      </w:pPr>
    </w:lvl>
    <w:lvl w:ilvl="2">
      <w:numFmt w:val="bullet"/>
      <w:lvlText w:val="•"/>
      <w:lvlJc w:val="left"/>
      <w:pPr>
        <w:ind w:left="2212" w:hanging="432"/>
      </w:pPr>
    </w:lvl>
    <w:lvl w:ilvl="3">
      <w:numFmt w:val="bullet"/>
      <w:lvlText w:val="•"/>
      <w:lvlJc w:val="left"/>
      <w:pPr>
        <w:ind w:left="3101" w:hanging="432"/>
      </w:pPr>
    </w:lvl>
    <w:lvl w:ilvl="4">
      <w:numFmt w:val="bullet"/>
      <w:lvlText w:val="•"/>
      <w:lvlJc w:val="left"/>
      <w:pPr>
        <w:ind w:left="3989" w:hanging="432"/>
      </w:pPr>
    </w:lvl>
    <w:lvl w:ilvl="5">
      <w:numFmt w:val="bullet"/>
      <w:lvlText w:val="•"/>
      <w:lvlJc w:val="left"/>
      <w:pPr>
        <w:ind w:left="4878" w:hanging="432"/>
      </w:pPr>
    </w:lvl>
    <w:lvl w:ilvl="6">
      <w:numFmt w:val="bullet"/>
      <w:lvlText w:val="•"/>
      <w:lvlJc w:val="left"/>
      <w:pPr>
        <w:ind w:left="5766" w:hanging="432"/>
      </w:pPr>
    </w:lvl>
    <w:lvl w:ilvl="7">
      <w:numFmt w:val="bullet"/>
      <w:lvlText w:val="•"/>
      <w:lvlJc w:val="left"/>
      <w:pPr>
        <w:ind w:left="6654" w:hanging="432"/>
      </w:pPr>
    </w:lvl>
    <w:lvl w:ilvl="8">
      <w:numFmt w:val="bullet"/>
      <w:lvlText w:val="•"/>
      <w:lvlJc w:val="left"/>
      <w:pPr>
        <w:ind w:left="7543" w:hanging="432"/>
      </w:pPr>
    </w:lvl>
  </w:abstractNum>
  <w:abstractNum w:abstractNumId="10" w15:restartNumberingAfterBreak="0">
    <w:nsid w:val="0000040E"/>
    <w:multiLevelType w:val="multilevel"/>
    <w:tmpl w:val="FFFFFFFF"/>
    <w:lvl w:ilvl="0">
      <w:start w:val="1"/>
      <w:numFmt w:val="decimal"/>
      <w:lvlText w:val="%1."/>
      <w:lvlJc w:val="left"/>
      <w:pPr>
        <w:ind w:left="368" w:hanging="368"/>
      </w:pPr>
      <w:rPr>
        <w:rFonts w:ascii="Calibri" w:hAnsi="Calibri" w:cs="Calibri"/>
        <w:b w:val="0"/>
        <w:bCs w:val="0"/>
        <w:i w:val="0"/>
        <w:iCs w:val="0"/>
        <w:spacing w:val="-10"/>
        <w:w w:val="100"/>
        <w:sz w:val="24"/>
        <w:szCs w:val="24"/>
      </w:rPr>
    </w:lvl>
    <w:lvl w:ilvl="1">
      <w:numFmt w:val="bullet"/>
      <w:lvlText w:val="•"/>
      <w:lvlJc w:val="left"/>
      <w:pPr>
        <w:ind w:left="1271" w:hanging="368"/>
      </w:pPr>
    </w:lvl>
    <w:lvl w:ilvl="2">
      <w:numFmt w:val="bullet"/>
      <w:lvlText w:val="•"/>
      <w:lvlJc w:val="left"/>
      <w:pPr>
        <w:ind w:left="2165" w:hanging="368"/>
      </w:pPr>
    </w:lvl>
    <w:lvl w:ilvl="3">
      <w:numFmt w:val="bullet"/>
      <w:lvlText w:val="•"/>
      <w:lvlJc w:val="left"/>
      <w:pPr>
        <w:ind w:left="3060" w:hanging="368"/>
      </w:pPr>
    </w:lvl>
    <w:lvl w:ilvl="4">
      <w:numFmt w:val="bullet"/>
      <w:lvlText w:val="•"/>
      <w:lvlJc w:val="left"/>
      <w:pPr>
        <w:ind w:left="3954" w:hanging="368"/>
      </w:pPr>
    </w:lvl>
    <w:lvl w:ilvl="5">
      <w:numFmt w:val="bullet"/>
      <w:lvlText w:val="•"/>
      <w:lvlJc w:val="left"/>
      <w:pPr>
        <w:ind w:left="4849" w:hanging="368"/>
      </w:pPr>
    </w:lvl>
    <w:lvl w:ilvl="6">
      <w:numFmt w:val="bullet"/>
      <w:lvlText w:val="•"/>
      <w:lvlJc w:val="left"/>
      <w:pPr>
        <w:ind w:left="5743" w:hanging="368"/>
      </w:pPr>
    </w:lvl>
    <w:lvl w:ilvl="7">
      <w:numFmt w:val="bullet"/>
      <w:lvlText w:val="•"/>
      <w:lvlJc w:val="left"/>
      <w:pPr>
        <w:ind w:left="6637" w:hanging="368"/>
      </w:pPr>
    </w:lvl>
    <w:lvl w:ilvl="8">
      <w:numFmt w:val="bullet"/>
      <w:lvlText w:val="•"/>
      <w:lvlJc w:val="left"/>
      <w:pPr>
        <w:ind w:left="7532" w:hanging="368"/>
      </w:pPr>
    </w:lvl>
  </w:abstractNum>
  <w:abstractNum w:abstractNumId="11" w15:restartNumberingAfterBreak="0">
    <w:nsid w:val="0000040F"/>
    <w:multiLevelType w:val="multilevel"/>
    <w:tmpl w:val="FFFFFFFF"/>
    <w:lvl w:ilvl="0">
      <w:start w:val="1"/>
      <w:numFmt w:val="decimal"/>
      <w:lvlText w:val="%1."/>
      <w:lvlJc w:val="left"/>
      <w:pPr>
        <w:ind w:left="432" w:hanging="432"/>
      </w:pPr>
      <w:rPr>
        <w:rFonts w:ascii="Calibri" w:hAnsi="Calibri" w:cs="Calibri"/>
        <w:b w:val="0"/>
        <w:bCs w:val="0"/>
        <w:i w:val="0"/>
        <w:iCs w:val="0"/>
        <w:spacing w:val="-10"/>
        <w:w w:val="100"/>
        <w:sz w:val="24"/>
        <w:szCs w:val="24"/>
      </w:rPr>
    </w:lvl>
    <w:lvl w:ilvl="1">
      <w:numFmt w:val="bullet"/>
      <w:lvlText w:val="•"/>
      <w:lvlJc w:val="left"/>
      <w:pPr>
        <w:ind w:left="1324" w:hanging="432"/>
      </w:pPr>
    </w:lvl>
    <w:lvl w:ilvl="2">
      <w:numFmt w:val="bullet"/>
      <w:lvlText w:val="•"/>
      <w:lvlJc w:val="left"/>
      <w:pPr>
        <w:ind w:left="2212" w:hanging="432"/>
      </w:pPr>
    </w:lvl>
    <w:lvl w:ilvl="3">
      <w:numFmt w:val="bullet"/>
      <w:lvlText w:val="•"/>
      <w:lvlJc w:val="left"/>
      <w:pPr>
        <w:ind w:left="3101" w:hanging="432"/>
      </w:pPr>
    </w:lvl>
    <w:lvl w:ilvl="4">
      <w:numFmt w:val="bullet"/>
      <w:lvlText w:val="•"/>
      <w:lvlJc w:val="left"/>
      <w:pPr>
        <w:ind w:left="3989" w:hanging="432"/>
      </w:pPr>
    </w:lvl>
    <w:lvl w:ilvl="5">
      <w:numFmt w:val="bullet"/>
      <w:lvlText w:val="•"/>
      <w:lvlJc w:val="left"/>
      <w:pPr>
        <w:ind w:left="4878" w:hanging="432"/>
      </w:pPr>
    </w:lvl>
    <w:lvl w:ilvl="6">
      <w:numFmt w:val="bullet"/>
      <w:lvlText w:val="•"/>
      <w:lvlJc w:val="left"/>
      <w:pPr>
        <w:ind w:left="5766" w:hanging="432"/>
      </w:pPr>
    </w:lvl>
    <w:lvl w:ilvl="7">
      <w:numFmt w:val="bullet"/>
      <w:lvlText w:val="•"/>
      <w:lvlJc w:val="left"/>
      <w:pPr>
        <w:ind w:left="6654" w:hanging="432"/>
      </w:pPr>
    </w:lvl>
    <w:lvl w:ilvl="8">
      <w:numFmt w:val="bullet"/>
      <w:lvlText w:val="•"/>
      <w:lvlJc w:val="left"/>
      <w:pPr>
        <w:ind w:left="7543" w:hanging="432"/>
      </w:pPr>
    </w:lvl>
  </w:abstractNum>
  <w:abstractNum w:abstractNumId="12" w15:restartNumberingAfterBreak="0">
    <w:nsid w:val="00000410"/>
    <w:multiLevelType w:val="multilevel"/>
    <w:tmpl w:val="FFFFFFFF"/>
    <w:lvl w:ilvl="0">
      <w:start w:val="1"/>
      <w:numFmt w:val="decimal"/>
      <w:lvlText w:val="%1."/>
      <w:lvlJc w:val="left"/>
      <w:pPr>
        <w:ind w:left="432" w:hanging="432"/>
      </w:pPr>
      <w:rPr>
        <w:rFonts w:ascii="Calibri" w:hAnsi="Calibri" w:cs="Calibri"/>
        <w:b w:val="0"/>
        <w:bCs w:val="0"/>
        <w:i w:val="0"/>
        <w:iCs w:val="0"/>
        <w:spacing w:val="-10"/>
        <w:w w:val="100"/>
        <w:sz w:val="24"/>
        <w:szCs w:val="24"/>
      </w:rPr>
    </w:lvl>
    <w:lvl w:ilvl="1">
      <w:numFmt w:val="bullet"/>
      <w:lvlText w:val="o"/>
      <w:lvlJc w:val="left"/>
      <w:pPr>
        <w:ind w:left="847" w:hanging="416"/>
      </w:pPr>
      <w:rPr>
        <w:rFonts w:ascii="Courier New" w:hAnsi="Courier New"/>
        <w:b w:val="0"/>
        <w:i w:val="0"/>
        <w:w w:val="100"/>
        <w:sz w:val="24"/>
      </w:rPr>
    </w:lvl>
    <w:lvl w:ilvl="2">
      <w:numFmt w:val="bullet"/>
      <w:lvlText w:val="•"/>
      <w:lvlJc w:val="left"/>
      <w:pPr>
        <w:ind w:left="1796" w:hanging="416"/>
      </w:pPr>
    </w:lvl>
    <w:lvl w:ilvl="3">
      <w:numFmt w:val="bullet"/>
      <w:lvlText w:val="•"/>
      <w:lvlJc w:val="left"/>
      <w:pPr>
        <w:ind w:left="2736" w:hanging="416"/>
      </w:pPr>
    </w:lvl>
    <w:lvl w:ilvl="4">
      <w:numFmt w:val="bullet"/>
      <w:lvlText w:val="•"/>
      <w:lvlJc w:val="left"/>
      <w:pPr>
        <w:ind w:left="3677" w:hanging="416"/>
      </w:pPr>
    </w:lvl>
    <w:lvl w:ilvl="5">
      <w:numFmt w:val="bullet"/>
      <w:lvlText w:val="•"/>
      <w:lvlJc w:val="left"/>
      <w:pPr>
        <w:ind w:left="4617" w:hanging="416"/>
      </w:pPr>
    </w:lvl>
    <w:lvl w:ilvl="6">
      <w:numFmt w:val="bullet"/>
      <w:lvlText w:val="•"/>
      <w:lvlJc w:val="left"/>
      <w:pPr>
        <w:ind w:left="5558" w:hanging="416"/>
      </w:pPr>
    </w:lvl>
    <w:lvl w:ilvl="7">
      <w:numFmt w:val="bullet"/>
      <w:lvlText w:val="•"/>
      <w:lvlJc w:val="left"/>
      <w:pPr>
        <w:ind w:left="6498" w:hanging="416"/>
      </w:pPr>
    </w:lvl>
    <w:lvl w:ilvl="8">
      <w:numFmt w:val="bullet"/>
      <w:lvlText w:val="•"/>
      <w:lvlJc w:val="left"/>
      <w:pPr>
        <w:ind w:left="7439" w:hanging="416"/>
      </w:pPr>
    </w:lvl>
  </w:abstractNum>
  <w:abstractNum w:abstractNumId="13" w15:restartNumberingAfterBreak="0">
    <w:nsid w:val="00000411"/>
    <w:multiLevelType w:val="multilevel"/>
    <w:tmpl w:val="FFFFFFFF"/>
    <w:lvl w:ilvl="0">
      <w:start w:val="1"/>
      <w:numFmt w:val="decimal"/>
      <w:lvlText w:val="%1."/>
      <w:lvlJc w:val="left"/>
      <w:pPr>
        <w:ind w:left="636" w:hanging="432"/>
      </w:pPr>
      <w:rPr>
        <w:rFonts w:ascii="Calibri" w:hAnsi="Calibri" w:cs="Calibri"/>
        <w:b w:val="0"/>
        <w:bCs w:val="0"/>
        <w:i w:val="0"/>
        <w:iCs w:val="0"/>
        <w:spacing w:val="-10"/>
        <w:w w:val="100"/>
        <w:sz w:val="24"/>
        <w:szCs w:val="24"/>
      </w:rPr>
    </w:lvl>
    <w:lvl w:ilvl="1">
      <w:numFmt w:val="bullet"/>
      <w:lvlText w:val="•"/>
      <w:lvlJc w:val="left"/>
      <w:pPr>
        <w:ind w:left="1120" w:hanging="432"/>
      </w:pPr>
    </w:lvl>
    <w:lvl w:ilvl="2">
      <w:numFmt w:val="bullet"/>
      <w:lvlText w:val="•"/>
      <w:lvlJc w:val="left"/>
      <w:pPr>
        <w:ind w:left="2053" w:hanging="432"/>
      </w:pPr>
    </w:lvl>
    <w:lvl w:ilvl="3">
      <w:numFmt w:val="bullet"/>
      <w:lvlText w:val="•"/>
      <w:lvlJc w:val="left"/>
      <w:pPr>
        <w:ind w:left="2987" w:hanging="432"/>
      </w:pPr>
    </w:lvl>
    <w:lvl w:ilvl="4">
      <w:numFmt w:val="bullet"/>
      <w:lvlText w:val="•"/>
      <w:lvlJc w:val="left"/>
      <w:pPr>
        <w:ind w:left="3921" w:hanging="432"/>
      </w:pPr>
    </w:lvl>
    <w:lvl w:ilvl="5">
      <w:numFmt w:val="bullet"/>
      <w:lvlText w:val="•"/>
      <w:lvlJc w:val="left"/>
      <w:pPr>
        <w:ind w:left="4855" w:hanging="432"/>
      </w:pPr>
    </w:lvl>
    <w:lvl w:ilvl="6">
      <w:numFmt w:val="bullet"/>
      <w:lvlText w:val="•"/>
      <w:lvlJc w:val="left"/>
      <w:pPr>
        <w:ind w:left="5788" w:hanging="432"/>
      </w:pPr>
    </w:lvl>
    <w:lvl w:ilvl="7">
      <w:numFmt w:val="bullet"/>
      <w:lvlText w:val="•"/>
      <w:lvlJc w:val="left"/>
      <w:pPr>
        <w:ind w:left="6722" w:hanging="432"/>
      </w:pPr>
    </w:lvl>
    <w:lvl w:ilvl="8">
      <w:numFmt w:val="bullet"/>
      <w:lvlText w:val="•"/>
      <w:lvlJc w:val="left"/>
      <w:pPr>
        <w:ind w:left="7656" w:hanging="432"/>
      </w:pPr>
    </w:lvl>
  </w:abstractNum>
  <w:abstractNum w:abstractNumId="14" w15:restartNumberingAfterBreak="0">
    <w:nsid w:val="01683054"/>
    <w:multiLevelType w:val="hybridMultilevel"/>
    <w:tmpl w:val="827422B2"/>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0">
    <w:nsid w:val="02342134"/>
    <w:multiLevelType w:val="hybridMultilevel"/>
    <w:tmpl w:val="F55C8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17" w15:restartNumberingAfterBreak="0">
    <w:nsid w:val="055A7229"/>
    <w:multiLevelType w:val="hybridMultilevel"/>
    <w:tmpl w:val="5058C9A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15:restartNumberingAfterBreak="0">
    <w:nsid w:val="08C07146"/>
    <w:multiLevelType w:val="hybridMultilevel"/>
    <w:tmpl w:val="D990085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10AC3714"/>
    <w:multiLevelType w:val="hybridMultilevel"/>
    <w:tmpl w:val="8DCA0690"/>
    <w:lvl w:ilvl="0" w:tplc="A0AA2072">
      <w:start w:val="1"/>
      <w:numFmt w:val="decimal"/>
      <w:lvlText w:val="%1."/>
      <w:lvlJc w:val="left"/>
      <w:pPr>
        <w:ind w:left="1571" w:hanging="360"/>
      </w:pPr>
      <w:rPr>
        <w:rFonts w:ascii="Calibri" w:hAnsi="Calibri" w:hint="default"/>
        <w:b w:val="0"/>
        <w:i w:val="0"/>
        <w:sz w:val="24"/>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0"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3234E9"/>
    <w:multiLevelType w:val="hybridMultilevel"/>
    <w:tmpl w:val="2EC23B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F760CA"/>
    <w:multiLevelType w:val="hybridMultilevel"/>
    <w:tmpl w:val="D2BAE5CE"/>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4" w15:restartNumberingAfterBreak="0">
    <w:nsid w:val="33835D14"/>
    <w:multiLevelType w:val="hybridMultilevel"/>
    <w:tmpl w:val="AE9899C4"/>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5" w15:restartNumberingAfterBreak="0">
    <w:nsid w:val="393D1EF2"/>
    <w:multiLevelType w:val="hybridMultilevel"/>
    <w:tmpl w:val="BC1C084C"/>
    <w:lvl w:ilvl="0" w:tplc="0C090003">
      <w:start w:val="1"/>
      <w:numFmt w:val="bullet"/>
      <w:lvlText w:val="o"/>
      <w:lvlJc w:val="left"/>
      <w:pPr>
        <w:ind w:left="1288" w:hanging="360"/>
      </w:pPr>
      <w:rPr>
        <w:rFonts w:ascii="Courier New" w:hAnsi="Courier New" w:cs="Courier New" w:hint="default"/>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26" w15:restartNumberingAfterBreak="0">
    <w:nsid w:val="39827EEF"/>
    <w:multiLevelType w:val="hybridMultilevel"/>
    <w:tmpl w:val="1B9692C8"/>
    <w:lvl w:ilvl="0" w:tplc="948AD87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6E5A6B"/>
    <w:multiLevelType w:val="hybridMultilevel"/>
    <w:tmpl w:val="D20240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931EBB"/>
    <w:multiLevelType w:val="multilevel"/>
    <w:tmpl w:val="519E7A22"/>
    <w:lvl w:ilvl="0">
      <w:start w:val="1"/>
      <w:numFmt w:val="decimal"/>
      <w:lvlText w:val="%1."/>
      <w:lvlJc w:val="left"/>
      <w:pPr>
        <w:ind w:left="636" w:hanging="432"/>
      </w:pPr>
      <w:rPr>
        <w:rFonts w:ascii="Calibri" w:hAnsi="Calibri" w:cs="Calibri"/>
        <w:b w:val="0"/>
        <w:bCs w:val="0"/>
        <w:i w:val="0"/>
        <w:iCs w:val="0"/>
        <w:spacing w:val="-10"/>
        <w:w w:val="100"/>
        <w:sz w:val="24"/>
        <w:szCs w:val="24"/>
      </w:rPr>
    </w:lvl>
    <w:lvl w:ilvl="1">
      <w:start w:val="1"/>
      <w:numFmt w:val="bullet"/>
      <w:lvlText w:val="o"/>
      <w:lvlJc w:val="left"/>
      <w:pPr>
        <w:ind w:left="924" w:hanging="353"/>
      </w:pPr>
      <w:rPr>
        <w:rFonts w:ascii="Courier New" w:hAnsi="Courier New" w:cs="Courier New" w:hint="default"/>
        <w:b w:val="0"/>
        <w:i w:val="0"/>
        <w:w w:val="100"/>
        <w:sz w:val="24"/>
      </w:rPr>
    </w:lvl>
    <w:lvl w:ilvl="2">
      <w:numFmt w:val="bullet"/>
      <w:lvlText w:val="•"/>
      <w:lvlJc w:val="left"/>
      <w:pPr>
        <w:ind w:left="1876" w:hanging="353"/>
      </w:pPr>
    </w:lvl>
    <w:lvl w:ilvl="3">
      <w:numFmt w:val="bullet"/>
      <w:lvlText w:val="•"/>
      <w:lvlJc w:val="left"/>
      <w:pPr>
        <w:ind w:left="2832" w:hanging="353"/>
      </w:pPr>
    </w:lvl>
    <w:lvl w:ilvl="4">
      <w:numFmt w:val="bullet"/>
      <w:lvlText w:val="•"/>
      <w:lvlJc w:val="left"/>
      <w:pPr>
        <w:ind w:left="3788" w:hanging="353"/>
      </w:pPr>
    </w:lvl>
    <w:lvl w:ilvl="5">
      <w:numFmt w:val="bullet"/>
      <w:lvlText w:val="•"/>
      <w:lvlJc w:val="left"/>
      <w:pPr>
        <w:ind w:left="4744" w:hanging="353"/>
      </w:pPr>
    </w:lvl>
    <w:lvl w:ilvl="6">
      <w:numFmt w:val="bullet"/>
      <w:lvlText w:val="•"/>
      <w:lvlJc w:val="left"/>
      <w:pPr>
        <w:ind w:left="5700" w:hanging="353"/>
      </w:pPr>
    </w:lvl>
    <w:lvl w:ilvl="7">
      <w:numFmt w:val="bullet"/>
      <w:lvlText w:val="•"/>
      <w:lvlJc w:val="left"/>
      <w:pPr>
        <w:ind w:left="6656" w:hanging="353"/>
      </w:pPr>
    </w:lvl>
    <w:lvl w:ilvl="8">
      <w:numFmt w:val="bullet"/>
      <w:lvlText w:val="•"/>
      <w:lvlJc w:val="left"/>
      <w:pPr>
        <w:ind w:left="7612" w:hanging="353"/>
      </w:pPr>
    </w:lvl>
  </w:abstractNum>
  <w:abstractNum w:abstractNumId="29" w15:restartNumberingAfterBreak="0">
    <w:nsid w:val="443147C8"/>
    <w:multiLevelType w:val="multilevel"/>
    <w:tmpl w:val="1B7495CC"/>
    <w:lvl w:ilvl="0">
      <w:numFmt w:val="bullet"/>
      <w:lvlText w:val=""/>
      <w:lvlJc w:val="left"/>
      <w:pPr>
        <w:ind w:left="571" w:hanging="432"/>
      </w:pPr>
      <w:rPr>
        <w:rFonts w:ascii="Symbol" w:hAnsi="Symbol"/>
        <w:w w:val="100"/>
      </w:rPr>
    </w:lvl>
    <w:lvl w:ilvl="1">
      <w:start w:val="1"/>
      <w:numFmt w:val="bullet"/>
      <w:lvlText w:val="o"/>
      <w:lvlJc w:val="left"/>
      <w:pPr>
        <w:ind w:left="924" w:hanging="353"/>
      </w:pPr>
      <w:rPr>
        <w:rFonts w:ascii="Courier New" w:hAnsi="Courier New" w:cs="Courier New" w:hint="default"/>
        <w:b w:val="0"/>
        <w:i w:val="0"/>
        <w:w w:val="100"/>
        <w:sz w:val="24"/>
      </w:rPr>
    </w:lvl>
    <w:lvl w:ilvl="2">
      <w:numFmt w:val="bullet"/>
      <w:lvlText w:val="•"/>
      <w:lvlJc w:val="left"/>
      <w:pPr>
        <w:ind w:left="1060" w:hanging="353"/>
      </w:pPr>
    </w:lvl>
    <w:lvl w:ilvl="3">
      <w:numFmt w:val="bullet"/>
      <w:lvlText w:val="•"/>
      <w:lvlJc w:val="left"/>
      <w:pPr>
        <w:ind w:left="2118" w:hanging="353"/>
      </w:pPr>
    </w:lvl>
    <w:lvl w:ilvl="4">
      <w:numFmt w:val="bullet"/>
      <w:lvlText w:val="•"/>
      <w:lvlJc w:val="left"/>
      <w:pPr>
        <w:ind w:left="3176" w:hanging="353"/>
      </w:pPr>
    </w:lvl>
    <w:lvl w:ilvl="5">
      <w:numFmt w:val="bullet"/>
      <w:lvlText w:val="•"/>
      <w:lvlJc w:val="left"/>
      <w:pPr>
        <w:ind w:left="4234" w:hanging="353"/>
      </w:pPr>
    </w:lvl>
    <w:lvl w:ilvl="6">
      <w:numFmt w:val="bullet"/>
      <w:lvlText w:val="•"/>
      <w:lvlJc w:val="left"/>
      <w:pPr>
        <w:ind w:left="5292" w:hanging="353"/>
      </w:pPr>
    </w:lvl>
    <w:lvl w:ilvl="7">
      <w:numFmt w:val="bullet"/>
      <w:lvlText w:val="•"/>
      <w:lvlJc w:val="left"/>
      <w:pPr>
        <w:ind w:left="6350" w:hanging="353"/>
      </w:pPr>
    </w:lvl>
    <w:lvl w:ilvl="8">
      <w:numFmt w:val="bullet"/>
      <w:lvlText w:val="•"/>
      <w:lvlJc w:val="left"/>
      <w:pPr>
        <w:ind w:left="7408" w:hanging="353"/>
      </w:pPr>
    </w:lvl>
  </w:abstractNum>
  <w:abstractNum w:abstractNumId="30" w15:restartNumberingAfterBreak="0">
    <w:nsid w:val="47C45DC8"/>
    <w:multiLevelType w:val="hybridMultilevel"/>
    <w:tmpl w:val="282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32" w15:restartNumberingAfterBreak="0">
    <w:nsid w:val="5F6978EB"/>
    <w:multiLevelType w:val="hybridMultilevel"/>
    <w:tmpl w:val="3B44F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5461A9"/>
    <w:multiLevelType w:val="hybridMultilevel"/>
    <w:tmpl w:val="91781960"/>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4" w15:restartNumberingAfterBreak="0">
    <w:nsid w:val="70AD67EC"/>
    <w:multiLevelType w:val="hybridMultilevel"/>
    <w:tmpl w:val="37563520"/>
    <w:lvl w:ilvl="0" w:tplc="0C090003">
      <w:start w:val="1"/>
      <w:numFmt w:val="bullet"/>
      <w:lvlText w:val="o"/>
      <w:lvlJc w:val="left"/>
      <w:pPr>
        <w:ind w:left="1070" w:hanging="360"/>
      </w:pPr>
      <w:rPr>
        <w:rFonts w:ascii="Courier New" w:hAnsi="Courier New" w:cs="Courier New"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35" w15:restartNumberingAfterBreak="0">
    <w:nsid w:val="71384BC4"/>
    <w:multiLevelType w:val="multilevel"/>
    <w:tmpl w:val="1F24E7EE"/>
    <w:lvl w:ilvl="0">
      <w:start w:val="1"/>
      <w:numFmt w:val="bullet"/>
      <w:lvlText w:val=""/>
      <w:lvlJc w:val="left"/>
      <w:pPr>
        <w:ind w:left="432" w:hanging="432"/>
      </w:pPr>
      <w:rPr>
        <w:rFonts w:ascii="Symbol" w:hAnsi="Symbol" w:hint="default"/>
        <w:b w:val="0"/>
        <w:bCs w:val="0"/>
        <w:i w:val="0"/>
        <w:iCs w:val="0"/>
        <w:spacing w:val="-10"/>
        <w:w w:val="100"/>
        <w:sz w:val="24"/>
        <w:szCs w:val="24"/>
      </w:rPr>
    </w:lvl>
    <w:lvl w:ilvl="1">
      <w:start w:val="1"/>
      <w:numFmt w:val="bullet"/>
      <w:lvlText w:val=""/>
      <w:lvlJc w:val="left"/>
      <w:pPr>
        <w:ind w:left="847" w:hanging="416"/>
      </w:pPr>
      <w:rPr>
        <w:rFonts w:ascii="Symbol" w:hAnsi="Symbol" w:hint="default"/>
        <w:b w:val="0"/>
        <w:i w:val="0"/>
        <w:w w:val="100"/>
        <w:sz w:val="24"/>
      </w:rPr>
    </w:lvl>
    <w:lvl w:ilvl="2">
      <w:numFmt w:val="bullet"/>
      <w:lvlText w:val="•"/>
      <w:lvlJc w:val="left"/>
      <w:pPr>
        <w:ind w:left="1796" w:hanging="416"/>
      </w:pPr>
    </w:lvl>
    <w:lvl w:ilvl="3">
      <w:numFmt w:val="bullet"/>
      <w:lvlText w:val="•"/>
      <w:lvlJc w:val="left"/>
      <w:pPr>
        <w:ind w:left="2736" w:hanging="416"/>
      </w:pPr>
    </w:lvl>
    <w:lvl w:ilvl="4">
      <w:numFmt w:val="bullet"/>
      <w:lvlText w:val="•"/>
      <w:lvlJc w:val="left"/>
      <w:pPr>
        <w:ind w:left="3677" w:hanging="416"/>
      </w:pPr>
    </w:lvl>
    <w:lvl w:ilvl="5">
      <w:numFmt w:val="bullet"/>
      <w:lvlText w:val="•"/>
      <w:lvlJc w:val="left"/>
      <w:pPr>
        <w:ind w:left="4617" w:hanging="416"/>
      </w:pPr>
    </w:lvl>
    <w:lvl w:ilvl="6">
      <w:numFmt w:val="bullet"/>
      <w:lvlText w:val="•"/>
      <w:lvlJc w:val="left"/>
      <w:pPr>
        <w:ind w:left="5558" w:hanging="416"/>
      </w:pPr>
    </w:lvl>
    <w:lvl w:ilvl="7">
      <w:numFmt w:val="bullet"/>
      <w:lvlText w:val="•"/>
      <w:lvlJc w:val="left"/>
      <w:pPr>
        <w:ind w:left="6498" w:hanging="416"/>
      </w:pPr>
    </w:lvl>
    <w:lvl w:ilvl="8">
      <w:numFmt w:val="bullet"/>
      <w:lvlText w:val="•"/>
      <w:lvlJc w:val="left"/>
      <w:pPr>
        <w:ind w:left="7439" w:hanging="416"/>
      </w:pPr>
    </w:lvl>
  </w:abstractNum>
  <w:abstractNum w:abstractNumId="36" w15:restartNumberingAfterBreak="0">
    <w:nsid w:val="74A238BE"/>
    <w:multiLevelType w:val="hybridMultilevel"/>
    <w:tmpl w:val="1826D710"/>
    <w:lvl w:ilvl="0" w:tplc="0C090003">
      <w:start w:val="1"/>
      <w:numFmt w:val="bullet"/>
      <w:lvlText w:val="o"/>
      <w:lvlJc w:val="left"/>
      <w:pPr>
        <w:ind w:left="1355" w:hanging="360"/>
      </w:pPr>
      <w:rPr>
        <w:rFonts w:ascii="Courier New" w:hAnsi="Courier New" w:cs="Courier New" w:hint="default"/>
      </w:rPr>
    </w:lvl>
    <w:lvl w:ilvl="1" w:tplc="FFFFFFFF" w:tentative="1">
      <w:start w:val="1"/>
      <w:numFmt w:val="bullet"/>
      <w:lvlText w:val="o"/>
      <w:lvlJc w:val="left"/>
      <w:pPr>
        <w:ind w:left="2075" w:hanging="360"/>
      </w:pPr>
      <w:rPr>
        <w:rFonts w:ascii="Courier New" w:hAnsi="Courier New" w:cs="Courier New" w:hint="default"/>
      </w:rPr>
    </w:lvl>
    <w:lvl w:ilvl="2" w:tplc="FFFFFFFF" w:tentative="1">
      <w:start w:val="1"/>
      <w:numFmt w:val="bullet"/>
      <w:lvlText w:val=""/>
      <w:lvlJc w:val="left"/>
      <w:pPr>
        <w:ind w:left="2795" w:hanging="360"/>
      </w:pPr>
      <w:rPr>
        <w:rFonts w:ascii="Wingdings" w:hAnsi="Wingdings" w:hint="default"/>
      </w:rPr>
    </w:lvl>
    <w:lvl w:ilvl="3" w:tplc="FFFFFFFF" w:tentative="1">
      <w:start w:val="1"/>
      <w:numFmt w:val="bullet"/>
      <w:lvlText w:val=""/>
      <w:lvlJc w:val="left"/>
      <w:pPr>
        <w:ind w:left="3515" w:hanging="360"/>
      </w:pPr>
      <w:rPr>
        <w:rFonts w:ascii="Symbol" w:hAnsi="Symbol" w:hint="default"/>
      </w:rPr>
    </w:lvl>
    <w:lvl w:ilvl="4" w:tplc="FFFFFFFF" w:tentative="1">
      <w:start w:val="1"/>
      <w:numFmt w:val="bullet"/>
      <w:lvlText w:val="o"/>
      <w:lvlJc w:val="left"/>
      <w:pPr>
        <w:ind w:left="4235" w:hanging="360"/>
      </w:pPr>
      <w:rPr>
        <w:rFonts w:ascii="Courier New" w:hAnsi="Courier New" w:cs="Courier New" w:hint="default"/>
      </w:rPr>
    </w:lvl>
    <w:lvl w:ilvl="5" w:tplc="FFFFFFFF" w:tentative="1">
      <w:start w:val="1"/>
      <w:numFmt w:val="bullet"/>
      <w:lvlText w:val=""/>
      <w:lvlJc w:val="left"/>
      <w:pPr>
        <w:ind w:left="4955" w:hanging="360"/>
      </w:pPr>
      <w:rPr>
        <w:rFonts w:ascii="Wingdings" w:hAnsi="Wingdings" w:hint="default"/>
      </w:rPr>
    </w:lvl>
    <w:lvl w:ilvl="6" w:tplc="FFFFFFFF" w:tentative="1">
      <w:start w:val="1"/>
      <w:numFmt w:val="bullet"/>
      <w:lvlText w:val=""/>
      <w:lvlJc w:val="left"/>
      <w:pPr>
        <w:ind w:left="5675" w:hanging="360"/>
      </w:pPr>
      <w:rPr>
        <w:rFonts w:ascii="Symbol" w:hAnsi="Symbol" w:hint="default"/>
      </w:rPr>
    </w:lvl>
    <w:lvl w:ilvl="7" w:tplc="FFFFFFFF" w:tentative="1">
      <w:start w:val="1"/>
      <w:numFmt w:val="bullet"/>
      <w:lvlText w:val="o"/>
      <w:lvlJc w:val="left"/>
      <w:pPr>
        <w:ind w:left="6395" w:hanging="360"/>
      </w:pPr>
      <w:rPr>
        <w:rFonts w:ascii="Courier New" w:hAnsi="Courier New" w:cs="Courier New" w:hint="default"/>
      </w:rPr>
    </w:lvl>
    <w:lvl w:ilvl="8" w:tplc="FFFFFFFF" w:tentative="1">
      <w:start w:val="1"/>
      <w:numFmt w:val="bullet"/>
      <w:lvlText w:val=""/>
      <w:lvlJc w:val="left"/>
      <w:pPr>
        <w:ind w:left="7115" w:hanging="360"/>
      </w:pPr>
      <w:rPr>
        <w:rFonts w:ascii="Wingdings" w:hAnsi="Wingdings" w:hint="default"/>
      </w:rPr>
    </w:lvl>
  </w:abstractNum>
  <w:abstractNum w:abstractNumId="37"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39705034">
    <w:abstractNumId w:val="0"/>
  </w:num>
  <w:num w:numId="2" w16cid:durableId="747967442">
    <w:abstractNumId w:val="16"/>
  </w:num>
  <w:num w:numId="3" w16cid:durableId="1611932280">
    <w:abstractNumId w:val="37"/>
  </w:num>
  <w:num w:numId="4" w16cid:durableId="1043290963">
    <w:abstractNumId w:val="20"/>
  </w:num>
  <w:num w:numId="5" w16cid:durableId="163399931">
    <w:abstractNumId w:val="22"/>
  </w:num>
  <w:num w:numId="6" w16cid:durableId="1918779103">
    <w:abstractNumId w:val="19"/>
  </w:num>
  <w:num w:numId="7" w16cid:durableId="1352300129">
    <w:abstractNumId w:val="38"/>
  </w:num>
  <w:num w:numId="8" w16cid:durableId="239291517">
    <w:abstractNumId w:val="31"/>
  </w:num>
  <w:num w:numId="9" w16cid:durableId="1191920078">
    <w:abstractNumId w:val="30"/>
  </w:num>
  <w:num w:numId="10" w16cid:durableId="1403603271">
    <w:abstractNumId w:val="30"/>
  </w:num>
  <w:num w:numId="11" w16cid:durableId="1599563693">
    <w:abstractNumId w:val="15"/>
  </w:num>
  <w:num w:numId="12" w16cid:durableId="182717633">
    <w:abstractNumId w:val="21"/>
  </w:num>
  <w:num w:numId="13" w16cid:durableId="1009602256">
    <w:abstractNumId w:val="1"/>
  </w:num>
  <w:num w:numId="14" w16cid:durableId="418454508">
    <w:abstractNumId w:val="29"/>
  </w:num>
  <w:num w:numId="15" w16cid:durableId="182405747">
    <w:abstractNumId w:val="2"/>
  </w:num>
  <w:num w:numId="16" w16cid:durableId="2049377836">
    <w:abstractNumId w:val="4"/>
  </w:num>
  <w:num w:numId="17" w16cid:durableId="1615870358">
    <w:abstractNumId w:val="3"/>
  </w:num>
  <w:num w:numId="18" w16cid:durableId="1127158087">
    <w:abstractNumId w:val="24"/>
  </w:num>
  <w:num w:numId="19" w16cid:durableId="469440869">
    <w:abstractNumId w:val="6"/>
  </w:num>
  <w:num w:numId="20" w16cid:durableId="1388138785">
    <w:abstractNumId w:val="5"/>
  </w:num>
  <w:num w:numId="21" w16cid:durableId="1662808928">
    <w:abstractNumId w:val="35"/>
  </w:num>
  <w:num w:numId="22" w16cid:durableId="1970428286">
    <w:abstractNumId w:val="25"/>
  </w:num>
  <w:num w:numId="23" w16cid:durableId="877357665">
    <w:abstractNumId w:val="28"/>
  </w:num>
  <w:num w:numId="24" w16cid:durableId="44915716">
    <w:abstractNumId w:val="32"/>
  </w:num>
  <w:num w:numId="25" w16cid:durableId="2101220845">
    <w:abstractNumId w:val="8"/>
  </w:num>
  <w:num w:numId="26" w16cid:durableId="1668678363">
    <w:abstractNumId w:val="7"/>
  </w:num>
  <w:num w:numId="27" w16cid:durableId="1375931253">
    <w:abstractNumId w:val="36"/>
  </w:num>
  <w:num w:numId="28" w16cid:durableId="1583291474">
    <w:abstractNumId w:val="10"/>
  </w:num>
  <w:num w:numId="29" w16cid:durableId="1588811232">
    <w:abstractNumId w:val="9"/>
  </w:num>
  <w:num w:numId="30" w16cid:durableId="2074885933">
    <w:abstractNumId w:val="12"/>
  </w:num>
  <w:num w:numId="31" w16cid:durableId="1278558174">
    <w:abstractNumId w:val="11"/>
  </w:num>
  <w:num w:numId="32" w16cid:durableId="490369869">
    <w:abstractNumId w:val="13"/>
  </w:num>
  <w:num w:numId="33" w16cid:durableId="1348287155">
    <w:abstractNumId w:val="27"/>
  </w:num>
  <w:num w:numId="34" w16cid:durableId="1949046936">
    <w:abstractNumId w:val="23"/>
  </w:num>
  <w:num w:numId="35" w16cid:durableId="1554190660">
    <w:abstractNumId w:val="14"/>
  </w:num>
  <w:num w:numId="36" w16cid:durableId="1610159217">
    <w:abstractNumId w:val="33"/>
  </w:num>
  <w:num w:numId="37" w16cid:durableId="615020209">
    <w:abstractNumId w:val="26"/>
  </w:num>
  <w:num w:numId="38" w16cid:durableId="1017465893">
    <w:abstractNumId w:val="18"/>
  </w:num>
  <w:num w:numId="39" w16cid:durableId="2030373472">
    <w:abstractNumId w:val="17"/>
  </w:num>
  <w:num w:numId="40" w16cid:durableId="9346276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10E74"/>
    <w:rsid w:val="000121C3"/>
    <w:rsid w:val="00015B90"/>
    <w:rsid w:val="0001607A"/>
    <w:rsid w:val="00034C33"/>
    <w:rsid w:val="000728F3"/>
    <w:rsid w:val="0008712B"/>
    <w:rsid w:val="000A3913"/>
    <w:rsid w:val="000A3D5E"/>
    <w:rsid w:val="000B5C8C"/>
    <w:rsid w:val="000C59E2"/>
    <w:rsid w:val="000C7B2D"/>
    <w:rsid w:val="000F524B"/>
    <w:rsid w:val="000F7B7E"/>
    <w:rsid w:val="0010015B"/>
    <w:rsid w:val="00103EEA"/>
    <w:rsid w:val="00153FB3"/>
    <w:rsid w:val="001670BB"/>
    <w:rsid w:val="0018239D"/>
    <w:rsid w:val="00191109"/>
    <w:rsid w:val="001A0053"/>
    <w:rsid w:val="001B2465"/>
    <w:rsid w:val="001B5B1B"/>
    <w:rsid w:val="001C51DC"/>
    <w:rsid w:val="001E64DB"/>
    <w:rsid w:val="001F2829"/>
    <w:rsid w:val="001F2C50"/>
    <w:rsid w:val="001F6D2D"/>
    <w:rsid w:val="00205AF9"/>
    <w:rsid w:val="00240B97"/>
    <w:rsid w:val="0025382D"/>
    <w:rsid w:val="00253F5A"/>
    <w:rsid w:val="00263BA6"/>
    <w:rsid w:val="00266379"/>
    <w:rsid w:val="0026690C"/>
    <w:rsid w:val="0027264D"/>
    <w:rsid w:val="00293E43"/>
    <w:rsid w:val="002B478A"/>
    <w:rsid w:val="002B5F43"/>
    <w:rsid w:val="002C05A8"/>
    <w:rsid w:val="002F7AFC"/>
    <w:rsid w:val="00313707"/>
    <w:rsid w:val="00337D50"/>
    <w:rsid w:val="00345EEB"/>
    <w:rsid w:val="00376A6D"/>
    <w:rsid w:val="00380B98"/>
    <w:rsid w:val="00396023"/>
    <w:rsid w:val="00396F11"/>
    <w:rsid w:val="003C4BB5"/>
    <w:rsid w:val="003E167B"/>
    <w:rsid w:val="003E4CC0"/>
    <w:rsid w:val="003F3D8F"/>
    <w:rsid w:val="00412CED"/>
    <w:rsid w:val="004259A9"/>
    <w:rsid w:val="00427139"/>
    <w:rsid w:val="00431A70"/>
    <w:rsid w:val="004358E9"/>
    <w:rsid w:val="00447B55"/>
    <w:rsid w:val="00465C91"/>
    <w:rsid w:val="00470E63"/>
    <w:rsid w:val="00487DD5"/>
    <w:rsid w:val="004A2E02"/>
    <w:rsid w:val="004A6A76"/>
    <w:rsid w:val="004B7C43"/>
    <w:rsid w:val="004C2B20"/>
    <w:rsid w:val="004E28AD"/>
    <w:rsid w:val="004F1D05"/>
    <w:rsid w:val="004F46FB"/>
    <w:rsid w:val="0050147B"/>
    <w:rsid w:val="00503F75"/>
    <w:rsid w:val="005233B0"/>
    <w:rsid w:val="0052443C"/>
    <w:rsid w:val="0052775E"/>
    <w:rsid w:val="00542514"/>
    <w:rsid w:val="00546AED"/>
    <w:rsid w:val="005621E4"/>
    <w:rsid w:val="005736DB"/>
    <w:rsid w:val="005743AC"/>
    <w:rsid w:val="00585E36"/>
    <w:rsid w:val="00596FD7"/>
    <w:rsid w:val="005A3625"/>
    <w:rsid w:val="005B4738"/>
    <w:rsid w:val="005C212D"/>
    <w:rsid w:val="005C3CB0"/>
    <w:rsid w:val="00612231"/>
    <w:rsid w:val="00614380"/>
    <w:rsid w:val="006243BE"/>
    <w:rsid w:val="00627D0C"/>
    <w:rsid w:val="00633C8D"/>
    <w:rsid w:val="00635EB1"/>
    <w:rsid w:val="006473BB"/>
    <w:rsid w:val="0065246A"/>
    <w:rsid w:val="0066495D"/>
    <w:rsid w:val="006743DB"/>
    <w:rsid w:val="00695EB6"/>
    <w:rsid w:val="006A4D46"/>
    <w:rsid w:val="006A6024"/>
    <w:rsid w:val="006C31FF"/>
    <w:rsid w:val="006C6B6C"/>
    <w:rsid w:val="006C704D"/>
    <w:rsid w:val="0070331D"/>
    <w:rsid w:val="007336A6"/>
    <w:rsid w:val="00741B43"/>
    <w:rsid w:val="007465D9"/>
    <w:rsid w:val="00752315"/>
    <w:rsid w:val="00755FA8"/>
    <w:rsid w:val="00756537"/>
    <w:rsid w:val="00775280"/>
    <w:rsid w:val="007A0EBC"/>
    <w:rsid w:val="007A2406"/>
    <w:rsid w:val="007B4ABB"/>
    <w:rsid w:val="007B6904"/>
    <w:rsid w:val="007F2615"/>
    <w:rsid w:val="00802E4E"/>
    <w:rsid w:val="00816782"/>
    <w:rsid w:val="0082141D"/>
    <w:rsid w:val="00823778"/>
    <w:rsid w:val="00827F24"/>
    <w:rsid w:val="00832080"/>
    <w:rsid w:val="00835A54"/>
    <w:rsid w:val="00855DA8"/>
    <w:rsid w:val="00865480"/>
    <w:rsid w:val="008732E4"/>
    <w:rsid w:val="00886399"/>
    <w:rsid w:val="0089599A"/>
    <w:rsid w:val="008974CA"/>
    <w:rsid w:val="008A1D42"/>
    <w:rsid w:val="008D0559"/>
    <w:rsid w:val="008D0CBA"/>
    <w:rsid w:val="008E0712"/>
    <w:rsid w:val="008E1F7F"/>
    <w:rsid w:val="008E3427"/>
    <w:rsid w:val="008E74FD"/>
    <w:rsid w:val="008E7509"/>
    <w:rsid w:val="008F00E8"/>
    <w:rsid w:val="008F6921"/>
    <w:rsid w:val="00933EED"/>
    <w:rsid w:val="00940CDE"/>
    <w:rsid w:val="0097742A"/>
    <w:rsid w:val="009800CF"/>
    <w:rsid w:val="00980AE7"/>
    <w:rsid w:val="00980EED"/>
    <w:rsid w:val="0098312B"/>
    <w:rsid w:val="0098579F"/>
    <w:rsid w:val="00991670"/>
    <w:rsid w:val="009A534C"/>
    <w:rsid w:val="009B0E44"/>
    <w:rsid w:val="009B4A8F"/>
    <w:rsid w:val="009B6C8C"/>
    <w:rsid w:val="009B6F42"/>
    <w:rsid w:val="009C0FCA"/>
    <w:rsid w:val="009C3963"/>
    <w:rsid w:val="009D323C"/>
    <w:rsid w:val="00A042DD"/>
    <w:rsid w:val="00A063FE"/>
    <w:rsid w:val="00A13087"/>
    <w:rsid w:val="00A32A7C"/>
    <w:rsid w:val="00A3469C"/>
    <w:rsid w:val="00A350E5"/>
    <w:rsid w:val="00A35E2D"/>
    <w:rsid w:val="00A36832"/>
    <w:rsid w:val="00A44F17"/>
    <w:rsid w:val="00A53D56"/>
    <w:rsid w:val="00A74316"/>
    <w:rsid w:val="00A74B8A"/>
    <w:rsid w:val="00A85F61"/>
    <w:rsid w:val="00A86A9D"/>
    <w:rsid w:val="00A86DB3"/>
    <w:rsid w:val="00A939DF"/>
    <w:rsid w:val="00AA10BF"/>
    <w:rsid w:val="00AA25DC"/>
    <w:rsid w:val="00AF27D9"/>
    <w:rsid w:val="00B10F87"/>
    <w:rsid w:val="00B11471"/>
    <w:rsid w:val="00B17115"/>
    <w:rsid w:val="00B21043"/>
    <w:rsid w:val="00B2180E"/>
    <w:rsid w:val="00B239F5"/>
    <w:rsid w:val="00B30DA2"/>
    <w:rsid w:val="00B3602C"/>
    <w:rsid w:val="00B44CAC"/>
    <w:rsid w:val="00B453FC"/>
    <w:rsid w:val="00B573D6"/>
    <w:rsid w:val="00B617B2"/>
    <w:rsid w:val="00B61F35"/>
    <w:rsid w:val="00B634F1"/>
    <w:rsid w:val="00B81455"/>
    <w:rsid w:val="00B9627F"/>
    <w:rsid w:val="00BA0A1B"/>
    <w:rsid w:val="00BA2415"/>
    <w:rsid w:val="00BA4F95"/>
    <w:rsid w:val="00BA5B60"/>
    <w:rsid w:val="00BB33F9"/>
    <w:rsid w:val="00BC3CE6"/>
    <w:rsid w:val="00BD03DB"/>
    <w:rsid w:val="00BE2C96"/>
    <w:rsid w:val="00BE5E41"/>
    <w:rsid w:val="00BF5E6C"/>
    <w:rsid w:val="00C13435"/>
    <w:rsid w:val="00C13D33"/>
    <w:rsid w:val="00C24EDC"/>
    <w:rsid w:val="00C25A76"/>
    <w:rsid w:val="00C26745"/>
    <w:rsid w:val="00C31BD5"/>
    <w:rsid w:val="00C32206"/>
    <w:rsid w:val="00C45B40"/>
    <w:rsid w:val="00C45C67"/>
    <w:rsid w:val="00C523FF"/>
    <w:rsid w:val="00C532D4"/>
    <w:rsid w:val="00C606F3"/>
    <w:rsid w:val="00C71C3C"/>
    <w:rsid w:val="00C82070"/>
    <w:rsid w:val="00C9490E"/>
    <w:rsid w:val="00CA593D"/>
    <w:rsid w:val="00CE77AD"/>
    <w:rsid w:val="00D006EF"/>
    <w:rsid w:val="00D06786"/>
    <w:rsid w:val="00D16211"/>
    <w:rsid w:val="00D21780"/>
    <w:rsid w:val="00D23346"/>
    <w:rsid w:val="00D243B8"/>
    <w:rsid w:val="00D25E51"/>
    <w:rsid w:val="00D34794"/>
    <w:rsid w:val="00D42B85"/>
    <w:rsid w:val="00D4502D"/>
    <w:rsid w:val="00D530CE"/>
    <w:rsid w:val="00D53E3C"/>
    <w:rsid w:val="00D54ED5"/>
    <w:rsid w:val="00D7517E"/>
    <w:rsid w:val="00D77950"/>
    <w:rsid w:val="00D963F9"/>
    <w:rsid w:val="00DC3762"/>
    <w:rsid w:val="00DC739E"/>
    <w:rsid w:val="00DD0346"/>
    <w:rsid w:val="00DD616A"/>
    <w:rsid w:val="00DE0465"/>
    <w:rsid w:val="00E049ED"/>
    <w:rsid w:val="00E34E6D"/>
    <w:rsid w:val="00E37CD4"/>
    <w:rsid w:val="00E41A47"/>
    <w:rsid w:val="00E53B9C"/>
    <w:rsid w:val="00E57848"/>
    <w:rsid w:val="00EA1A1E"/>
    <w:rsid w:val="00EA3ED2"/>
    <w:rsid w:val="00ED21C3"/>
    <w:rsid w:val="00ED388C"/>
    <w:rsid w:val="00ED39D6"/>
    <w:rsid w:val="00EF02B0"/>
    <w:rsid w:val="00F01B61"/>
    <w:rsid w:val="00F13DD8"/>
    <w:rsid w:val="00F149FD"/>
    <w:rsid w:val="00F156A3"/>
    <w:rsid w:val="00F41723"/>
    <w:rsid w:val="00F4262F"/>
    <w:rsid w:val="00F53719"/>
    <w:rsid w:val="00F565DA"/>
    <w:rsid w:val="00F57291"/>
    <w:rsid w:val="00F66CB0"/>
    <w:rsid w:val="00F72D0E"/>
    <w:rsid w:val="00F76C89"/>
    <w:rsid w:val="00F83FBF"/>
    <w:rsid w:val="00F85EE3"/>
    <w:rsid w:val="00FA29B8"/>
    <w:rsid w:val="00FA2BE1"/>
    <w:rsid w:val="00FD3D92"/>
    <w:rsid w:val="00FF389E"/>
    <w:rsid w:val="00FF56DD"/>
    <w:rsid w:val="7039C5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829D0"/>
  <w15:docId w15:val="{7C59962F-F2E2-4E7A-8675-E3BE3607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5743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3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nhideWhenUsed/>
    <w:rsid w:val="00D7517E"/>
    <w:rPr>
      <w:sz w:val="20"/>
    </w:rPr>
  </w:style>
  <w:style w:type="character" w:customStyle="1" w:styleId="CommentTextChar">
    <w:name w:val="Comment Text Char"/>
    <w:basedOn w:val="DefaultParagraphFont"/>
    <w:link w:val="CommentText"/>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
    <w:semiHidden/>
    <w:rsid w:val="005743AC"/>
    <w:rPr>
      <w:rFonts w:asciiTheme="majorHAnsi" w:eastAsiaTheme="majorEastAsia" w:hAnsiTheme="majorHAnsi" w:cstheme="majorBidi"/>
      <w:b/>
      <w:bCs/>
      <w:color w:val="4F81BD" w:themeColor="accent1"/>
      <w:sz w:val="24"/>
      <w:szCs w:val="20"/>
    </w:rPr>
  </w:style>
  <w:style w:type="character" w:styleId="UnresolvedMention">
    <w:name w:val="Unresolved Mention"/>
    <w:basedOn w:val="DefaultParagraphFont"/>
    <w:uiPriority w:val="99"/>
    <w:semiHidden/>
    <w:unhideWhenUsed/>
    <w:rsid w:val="002B478A"/>
    <w:rPr>
      <w:color w:val="605E5C"/>
      <w:shd w:val="clear" w:color="auto" w:fill="E1DFDD"/>
    </w:rPr>
  </w:style>
  <w:style w:type="paragraph" w:styleId="BodyText">
    <w:name w:val="Body Text"/>
    <w:basedOn w:val="Normal"/>
    <w:link w:val="BodyTextChar"/>
    <w:uiPriority w:val="99"/>
    <w:semiHidden/>
    <w:unhideWhenUsed/>
    <w:rsid w:val="004259A9"/>
    <w:pPr>
      <w:spacing w:after="120"/>
    </w:pPr>
  </w:style>
  <w:style w:type="character" w:customStyle="1" w:styleId="BodyTextChar">
    <w:name w:val="Body Text Char"/>
    <w:basedOn w:val="DefaultParagraphFont"/>
    <w:link w:val="BodyText"/>
    <w:uiPriority w:val="1"/>
    <w:rsid w:val="004259A9"/>
    <w:rPr>
      <w:rFonts w:ascii="Calibri" w:eastAsia="Times New Roman" w:hAnsi="Calibri" w:cs="Times New Roman"/>
      <w:sz w:val="24"/>
      <w:szCs w:val="20"/>
    </w:rPr>
  </w:style>
  <w:style w:type="paragraph" w:styleId="Revision">
    <w:name w:val="Revision"/>
    <w:hidden/>
    <w:uiPriority w:val="99"/>
    <w:semiHidden/>
    <w:rsid w:val="00FA2BE1"/>
    <w:pPr>
      <w:spacing w:after="0" w:line="240" w:lineRule="auto"/>
    </w:pPr>
    <w:rPr>
      <w:rFonts w:ascii="Calibri" w:eastAsia="Times New Roman" w:hAnsi="Calibri" w:cs="Times New Roman"/>
      <w:sz w:val="24"/>
      <w:szCs w:val="20"/>
    </w:rPr>
  </w:style>
  <w:style w:type="character" w:customStyle="1" w:styleId="ListParagraphChar">
    <w:name w:val="List Paragraph Char"/>
    <w:basedOn w:val="DefaultParagraphFont"/>
    <w:link w:val="ListParagraph"/>
    <w:uiPriority w:val="34"/>
    <w:rsid w:val="00FA2BE1"/>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867629">
      <w:bodyDiv w:val="1"/>
      <w:marLeft w:val="0"/>
      <w:marRight w:val="0"/>
      <w:marTop w:val="0"/>
      <w:marBottom w:val="0"/>
      <w:divBdr>
        <w:top w:val="none" w:sz="0" w:space="0" w:color="auto"/>
        <w:left w:val="none" w:sz="0" w:space="0" w:color="auto"/>
        <w:bottom w:val="none" w:sz="0" w:space="0" w:color="auto"/>
        <w:right w:val="none" w:sz="0" w:space="0" w:color="auto"/>
      </w:divBdr>
    </w:div>
    <w:div w:id="1272668842">
      <w:bodyDiv w:val="1"/>
      <w:marLeft w:val="0"/>
      <w:marRight w:val="0"/>
      <w:marTop w:val="0"/>
      <w:marBottom w:val="0"/>
      <w:divBdr>
        <w:top w:val="none" w:sz="0" w:space="0" w:color="auto"/>
        <w:left w:val="none" w:sz="0" w:space="0" w:color="auto"/>
        <w:bottom w:val="none" w:sz="0" w:space="0" w:color="auto"/>
        <w:right w:val="none" w:sz="0" w:space="0" w:color="auto"/>
      </w:divBdr>
    </w:div>
    <w:div w:id="1325166974">
      <w:bodyDiv w:val="1"/>
      <w:marLeft w:val="0"/>
      <w:marRight w:val="0"/>
      <w:marTop w:val="0"/>
      <w:marBottom w:val="0"/>
      <w:divBdr>
        <w:top w:val="none" w:sz="0" w:space="0" w:color="auto"/>
        <w:left w:val="none" w:sz="0" w:space="0" w:color="auto"/>
        <w:bottom w:val="none" w:sz="0" w:space="0" w:color="auto"/>
        <w:right w:val="none" w:sz="0" w:space="0" w:color="auto"/>
      </w:divBdr>
    </w:div>
    <w:div w:id="183148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llergy.org.au/hp/hp-e-training" TargetMode="External"/><Relationship Id="rId18" Type="http://schemas.openxmlformats.org/officeDocument/2006/relationships/hyperlink" Target="mailto:immunisation@act.gov.au" TargetMode="External"/><Relationship Id="rId26" Type="http://schemas.openxmlformats.org/officeDocument/2006/relationships/hyperlink" Target="http://www.allergy.org.au/" TargetMode="External"/><Relationship Id="rId39" Type="http://schemas.openxmlformats.org/officeDocument/2006/relationships/hyperlink" Target="https://www.allergy.org.au/images/stories/anaphylaxis/2018/ASCIA_PCC_How_to_give_EpiPen_2018.pdf" TargetMode="External"/><Relationship Id="rId21" Type="http://schemas.openxmlformats.org/officeDocument/2006/relationships/hyperlink" Target="https://healthhub.act.gov.au/news/chs-work-health-safety-strategy-2018-2022" TargetMode="External"/><Relationship Id="rId34" Type="http://schemas.openxmlformats.org/officeDocument/2006/relationships/hyperlink" Target="https://www.allergy.org.au/images/stories/anaphylaxis/2020/ASCIA_Action_Plan_Anaphylaxis_EpiP%20en_Red_2020.pdf" TargetMode="External"/><Relationship Id="rId42" Type="http://schemas.openxmlformats.org/officeDocument/2006/relationships/image" Target="media/image8.jpeg"/><Relationship Id="rId47" Type="http://schemas.openxmlformats.org/officeDocument/2006/relationships/image" Target="media/image11.png"/><Relationship Id="rId50" Type="http://schemas.openxmlformats.org/officeDocument/2006/relationships/image" Target="media/image14.jp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mmunisationhandbook.health.gov.au/resources/handbook-tables/table-pre-vaccination-screening-checklist" TargetMode="External"/><Relationship Id="rId29" Type="http://schemas.openxmlformats.org/officeDocument/2006/relationships/hyperlink" Target="http://www.allergy.org.au/images/stories/anaphylaxis/2015/ASCIA_Action_Plan_Anaphylaxis_EpiPen_Personal_2015.pdf" TargetMode="External"/><Relationship Id="rId11" Type="http://schemas.openxmlformats.org/officeDocument/2006/relationships/hyperlink" Target="https://www.safetyandquality.gov.au/standards/clinical-care-standards/acute-anaphylaxis-clinical-care-standard" TargetMode="External"/><Relationship Id="rId24" Type="http://schemas.openxmlformats.org/officeDocument/2006/relationships/hyperlink" Target="http://www.nps.org.au/health_professionals/publications/nps_radar/2006/august_2006/epipen" TargetMode="External"/><Relationship Id="rId32" Type="http://schemas.openxmlformats.org/officeDocument/2006/relationships/footer" Target="footer1.xml"/><Relationship Id="rId37" Type="http://schemas.openxmlformats.org/officeDocument/2006/relationships/image" Target="media/image5.jpeg"/><Relationship Id="rId40" Type="http://schemas.openxmlformats.org/officeDocument/2006/relationships/hyperlink" Target="https://www.allergy.org.au/images/stories/anaphylaxis/2018/ASCIA_PCC_How_to_give_EpiPen_2018.pdf" TargetMode="External"/><Relationship Id="rId45" Type="http://schemas.openxmlformats.org/officeDocument/2006/relationships/hyperlink" Target="https://www.anapen.com.au/anapen-instructions" TargetMode="External"/><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hps@act.gov.au" TargetMode="External"/><Relationship Id="rId31" Type="http://schemas.openxmlformats.org/officeDocument/2006/relationships/header" Target="header1.xml"/><Relationship Id="rId44" Type="http://schemas.openxmlformats.org/officeDocument/2006/relationships/image" Target="media/image10.jpeg"/><Relationship Id="rId52"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lm.ascia.org.au/" TargetMode="External"/><Relationship Id="rId22" Type="http://schemas.openxmlformats.org/officeDocument/2006/relationships/hyperlink" Target="https://healthhub.act.gov.au/news/chs-work-health-safety-strategy-2018-2022" TargetMode="External"/><Relationship Id="rId27" Type="http://schemas.openxmlformats.org/officeDocument/2006/relationships/hyperlink" Target="http://www.allergy.org.au/images/stories/anaphylaxis/multinew/ENG.How_to_give_EpiPen_2011.pdf" TargetMode="External"/><Relationship Id="rId30" Type="http://schemas.openxmlformats.org/officeDocument/2006/relationships/hyperlink" Target="http://www.allergy.org.au/images/stories/anaphylaxis/2015/ASCIA_Action_Plan_Anaphylaxis_EpiPen_Personal_2015.pdf" TargetMode="External"/><Relationship Id="rId35" Type="http://schemas.openxmlformats.org/officeDocument/2006/relationships/image" Target="media/image3.png"/><Relationship Id="rId43" Type="http://schemas.openxmlformats.org/officeDocument/2006/relationships/image" Target="media/image9.jpeg"/><Relationship Id="rId48" Type="http://schemas.openxmlformats.org/officeDocument/2006/relationships/image" Target="media/image12.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www.allergy.org.au/hp/anaphylaxis" TargetMode="External"/><Relationship Id="rId17" Type="http://schemas.openxmlformats.org/officeDocument/2006/relationships/hyperlink" Target="https://actgovernment.sharepoint.com/sites/Intranet-CHS/Lists/Clinical%20Apps/DispForm.aspx?ID=2" TargetMode="External"/><Relationship Id="rId25" Type="http://schemas.openxmlformats.org/officeDocument/2006/relationships/hyperlink" Target="http://www.nps.org.au/health_professionals/publications/nps_radar/2006/august_2006/epipen" TargetMode="External"/><Relationship Id="rId33" Type="http://schemas.openxmlformats.org/officeDocument/2006/relationships/image" Target="media/image2.png"/><Relationship Id="rId38" Type="http://schemas.openxmlformats.org/officeDocument/2006/relationships/image" Target="media/image6.jpeg"/><Relationship Id="rId46" Type="http://schemas.openxmlformats.org/officeDocument/2006/relationships/hyperlink" Target="https://actgovernment.sharepoint.com/sites/Intranet-CHS/Lists/Clinical%20Apps/DispForm.aspx?ID=2" TargetMode="External"/><Relationship Id="rId20" Type="http://schemas.openxmlformats.org/officeDocument/2006/relationships/hyperlink" Target="file:///Q:/Quality%20and%20Safety/CET/Policy%20Team/CHS%20PC/Resources/Templates/CHS%20Procedure%20Template.docx" TargetMode="External"/><Relationship Id="rId41" Type="http://schemas.openxmlformats.org/officeDocument/2006/relationships/image" Target="media/image7.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mmunisationhandbook.health.gov.au/resources/handbook-tables/table-pre-" TargetMode="External"/><Relationship Id="rId23" Type="http://schemas.openxmlformats.org/officeDocument/2006/relationships/hyperlink" Target="http://www.cmaj.ca/cgi/content/full/169/4/307" TargetMode="External"/><Relationship Id="rId28" Type="http://schemas.openxmlformats.org/officeDocument/2006/relationships/hyperlink" Target="http://www.allergy.org.au/images/stories/anaphylaxis/multinew/ENG.How_to_give_EpiPen_2011.pdf" TargetMode="External"/><Relationship Id="rId36" Type="http://schemas.openxmlformats.org/officeDocument/2006/relationships/image" Target="media/image4.png"/><Relationship Id="rId49"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d2e64bdc2bd6377a6833d64f74ebc14f">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91d7cb21ccc58bf03ce266bfff8f634e"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2022-06-22T14:00:00+00:00</Approval_x0020_Date>
    <Review_x0020_Date xmlns="690b2128-8961-48af-a473-22c34a9accba">2025-06-30T14:00:00+00:00</Review_x0020_Date>
    <TaxCatchAll xmlns="c0239a80-7f07-4ed7-82c3-24ad7d76ada5">
      <Value>417</Value>
      <Value>437</Value>
      <Value>435</Value>
      <Value>434</Value>
      <Value>416</Value>
      <Value>415</Value>
      <Value>448</Value>
      <Value>444</Value>
      <Value>443</Value>
      <Value>420</Value>
    </TaxCatchAll>
    <Version_x0020_Number xmlns="690b2128-8961-48af-a473-22c34a9accba">1.1</Version_x0020_Number>
    <Notes0 xmlns="690b2128-8961-48af-a473-22c34a9accba">24 June 2022 - uploaded to the register; author and case manager notified.
16 November 2023 - Update to Section 8 to include information about Weston Creek Medical Centre</Notes0>
    <Key_x0020_Words xmlns="690b2128-8961-48af-a473-22c34a9accba">Acute, Adrenaline, Adverse, Allergy, Anaphylaxis, Epipen, Hypersensitivity, Immunisation, Podiatry, Reaction, Vaccine, Vasovagal</Key_x0020_Words>
    <Type_x0020_of_x0020_Document xmlns="690b2128-8961-48af-a473-22c34a9accba">Guideline</Type_x0020_of_x0020_Document>
    <Approval_x0020_Name_x007c_Committee xmlns="690b2128-8961-48af-a473-22c34a9accba">CHS Policy Committee</Approval_x0020_Name_x007c_Committee>
    <Status xmlns="690b2128-8961-48af-a473-22c34a9accba">Approved</Status>
    <New_x0020_Applies_x0020_To xmlns="690b2128-8961-48af-a473-22c34a9accba">Canberra Health Services</New_x0020_Applies_x0020_To>
    <Replaces_x003a_ xmlns="690b2128-8961-48af-a473-22c34a9accba">CHS21/281 Management of Anaphylaxis in Adults and Children</Replaces_x003a_>
    <Risk_x0020_Rating xmlns="690b2128-8961-48af-a473-22c34a9accba">High</Risk_x0020_Rating>
    <Description0 xmlns="690b2128-8961-48af-a473-22c34a9accba">This document applies to the management of anaphylaxis within inpatient, outpatient, and community jurisdictions of Canberra Health Services (CHS).</Description0>
    <Display_x0020_on_x0020_Internet xmlns="690b2128-8961-48af-a473-22c34a9accba">true</Display_x0020_on_x0020_Internet>
    <Related_x0020_Documents xmlns="690b2128-8961-48af-a473-22c34a9accba" xsi:nil="true"/>
    <Decision_x0020_Number xmlns="690b2128-8961-48af-a473-22c34a9accba">CHS22/274</Decision_x0020_Number>
    <New_x0020_Owner xmlns="690b2128-8961-48af-a473-22c34a9accba">Cancer and Ambulatory Support (CAS) - Immunology</New_x0020_Owner>
    <ISD_x0020_Submitted xmlns="690b2128-8961-48af-a473-22c34a9accba">Not Required</ISD_x0020_Submitted>
    <RelatedPolicies_x002c_ProceduresGuidelines xmlns="690b2128-8961-48af-a473-22c34a9accba">
      <Value>16249</Value>
      <Value>16471</Value>
      <Value>14889</Value>
      <Value>15722</Value>
      <Value>14408</Value>
      <Value>16157</Value>
      <Value>16255</Value>
      <Value>16293</Value>
      <Value>15087</Value>
      <Value>16369</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Health Practitioner Regulation National Law Act 2010 (Territory)</TermName>
          <TermId xmlns="http://schemas.microsoft.com/office/infopath/2007/PartnerControls">5cf4d844-a9cf-4787-98ba-e0d28c369acc</TermId>
        </TermInfo>
        <TermInfo xmlns="http://schemas.microsoft.com/office/infopath/2007/PartnerControls">
          <TermName xmlns="http://schemas.microsoft.com/office/infopath/2007/PartnerControls">Medicines, Poisons and Therapeutic Goods Act 2008 (Territory)</TermName>
          <TermId xmlns="http://schemas.microsoft.com/office/infopath/2007/PartnerControls">e04bb8da-bc44-4cb4-a98e-c18b8e4177ac</TermId>
        </TermInfo>
        <TermInfo xmlns="http://schemas.microsoft.com/office/infopath/2007/PartnerControls">
          <TermName xmlns="http://schemas.microsoft.com/office/infopath/2007/PartnerControls">Corrections Management Act 2007 (Territory)</TermName>
          <TermId xmlns="http://schemas.microsoft.com/office/infopath/2007/PartnerControls">56fb4dd2-9564-4d81-9cf8-aded72a4b7f9</TermId>
        </TermInfo>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Health Act 1993 (Territory)</TermName>
          <TermId xmlns="http://schemas.microsoft.com/office/infopath/2007/PartnerControls">6acc9136-72a0-4c53-82df-02c904fa25ae</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Privacy Act 1988 (Cth)</TermName>
          <TermId xmlns="http://schemas.microsoft.com/office/infopath/2007/PartnerControls">d0362750-89c1-43aa-94ce-921d8e4022be</TermId>
        </TermInfo>
        <TermInfo xmlns="http://schemas.microsoft.com/office/infopath/2007/PartnerControls">
          <TermName xmlns="http://schemas.microsoft.com/office/infopath/2007/PartnerControls">Public Sector Management Act 1994 (Territory)</TermName>
          <TermId xmlns="http://schemas.microsoft.com/office/infopath/2007/PartnerControls">e033f8b2-2902-4ad1-a6fd-71f5bf9257a3</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Children and Young People Act 2008 (Territory)</TermName>
          <TermId xmlns="http://schemas.microsoft.com/office/infopath/2007/PartnerControls">dcbae983-a86f-43e3-a515-ebe0e01e8da7</TermId>
        </TermInfo>
      </Terms>
    </k0794e393e1f41c2810d090eedba34a0>
  </documentManagement>
</p:properties>
</file>

<file path=customXml/itemProps1.xml><?xml version="1.0" encoding="utf-8"?>
<ds:datastoreItem xmlns:ds="http://schemas.openxmlformats.org/officeDocument/2006/customXml" ds:itemID="{2D99D1DE-DFD2-401C-9665-57008EF3F367}">
  <ds:schemaRefs>
    <ds:schemaRef ds:uri="http://schemas.openxmlformats.org/officeDocument/2006/bibliography"/>
  </ds:schemaRefs>
</ds:datastoreItem>
</file>

<file path=customXml/itemProps2.xml><?xml version="1.0" encoding="utf-8"?>
<ds:datastoreItem xmlns:ds="http://schemas.openxmlformats.org/officeDocument/2006/customXml" ds:itemID="{F8BCE065-8A76-4612-B6B3-FBE0E46BFCF4}">
  <ds:schemaRefs>
    <ds:schemaRef ds:uri="http://schemas.microsoft.com/sharepoint/v3/contenttype/forms"/>
  </ds:schemaRefs>
</ds:datastoreItem>
</file>

<file path=customXml/itemProps3.xml><?xml version="1.0" encoding="utf-8"?>
<ds:datastoreItem xmlns:ds="http://schemas.openxmlformats.org/officeDocument/2006/customXml" ds:itemID="{D44F2734-9CCB-4F83-85E3-6EBC0089AB27}"/>
</file>

<file path=customXml/itemProps4.xml><?xml version="1.0" encoding="utf-8"?>
<ds:datastoreItem xmlns:ds="http://schemas.openxmlformats.org/officeDocument/2006/customXml" ds:itemID="{DB4DC44B-71B7-4995-8E5F-F0CBB4CC20A7}">
  <ds:schemaRefs>
    <ds:schemaRef ds:uri="http://schemas.microsoft.com/office/infopath/2007/PartnerControls"/>
    <ds:schemaRef ds:uri="http://purl.org/dc/terms/"/>
    <ds:schemaRef ds:uri="http://purl.org/dc/elements/1.1/"/>
    <ds:schemaRef ds:uri="http://www.w3.org/XML/1998/namespace"/>
    <ds:schemaRef ds:uri="http://purl.org/dc/dcmitype/"/>
    <ds:schemaRef ds:uri="http://schemas.microsoft.com/office/2006/metadata/properties"/>
    <ds:schemaRef ds:uri="http://schemas.microsoft.com/office/2006/documentManagement/types"/>
    <ds:schemaRef ds:uri="c0239a80-7f07-4ed7-82c3-24ad7d76ada5"/>
    <ds:schemaRef ds:uri="http://schemas.openxmlformats.org/package/2006/metadata/core-properties"/>
    <ds:schemaRef ds:uri="690b2128-8961-48af-a473-22c34a9accb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32</Pages>
  <Words>6072</Words>
  <Characters>34615</Characters>
  <Application>Microsoft Office Word</Application>
  <DocSecurity>0</DocSecurity>
  <Lines>288</Lines>
  <Paragraphs>81</Paragraphs>
  <ScaleCrop>false</ScaleCrop>
  <Company>ACT Government</Company>
  <LinksUpToDate>false</LinksUpToDate>
  <CharactersWithSpaces>40606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Anaphylaxis in Adults and Children</dc:title>
  <dc:subject>23;#Clinical Governance</dc:subject>
  <dc:creator>Kerryn Hunter</dc:creator>
  <cp:lastModifiedBy>Hoffmann, Cameron (Health)</cp:lastModifiedBy>
  <cp:revision>38</cp:revision>
  <cp:lastPrinted>2014-07-16T01:36:00Z</cp:lastPrinted>
  <dcterms:created xsi:type="dcterms:W3CDTF">2022-06-24T05:59:00Z</dcterms:created>
  <dcterms:modified xsi:type="dcterms:W3CDTF">2024-04-22T05:46:00Z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Order">
    <vt:r8>3700</vt:r8>
  </property>
  <property fmtid="{D5CDD505-2E9C-101B-9397-08002B2CF9AE}" pid="4" name="_ExtendedDescription">
    <vt:lpwstr/>
  </property>
  <property fmtid="{D5CDD505-2E9C-101B-9397-08002B2CF9AE}" pid="5" name="Related Legislation &amp; Guidelines">
    <vt:lpwstr>434;#Health Practitioner Regulation National Law Act 2010 (Territory)|5cf4d844-a9cf-4787-98ba-e0d28c369acc;#435;#Medicines, Poisons and Therapeutic Goods Act 2008 (Territory)|e04bb8da-bc44-4cb4-a98e-c18b8e4177ac;#444;#Corrections Management Act 2007 (Territory)|56fb4dd2-9564-4d81-9cf8-aded72a4b7f9;#415;#Health Records (Privacy and Access) Act 1997 (Territory)|d07d1347-0355-417c-badf-2bae9c7c0e3b;#448;#Health Act 1993 (Territory)|6acc9136-72a0-4c53-82df-02c904fa25ae;#416;#Human Rights Act 2004 (Territory)|bbb6fb4a-2117-4ff9-8364-021a762deae2;#437;#Privacy Act 1988 (Cth)|d0362750-89c1-43aa-94ce-921d8e4022be;#443;#Public Sector Management Act 1994 (Territory)|e033f8b2-2902-4ad1-a6fd-71f5bf9257a3;#417;#Work Health and Safety Act 2011 (Territory)|ff017976-c7e7-4dc1-b890-63352415bc5e;#420;#Children and Young People Act 2008 (Territory)|dcbae983-a86f-43e3-a515-ebe0e01e8da7</vt:lpwstr>
  </property>
  <property fmtid="{D5CDD505-2E9C-101B-9397-08002B2CF9AE}" pid="6" name="MSIP_Label_69af8531-eb46-4968-8cb3-105d2f5ea87e_Enabled">
    <vt:lpwstr>true</vt:lpwstr>
  </property>
  <property fmtid="{D5CDD505-2E9C-101B-9397-08002B2CF9AE}" pid="7" name="MSIP_Label_69af8531-eb46-4968-8cb3-105d2f5ea87e_SetDate">
    <vt:lpwstr>2024-04-22T05:42:42Z</vt:lpwstr>
  </property>
  <property fmtid="{D5CDD505-2E9C-101B-9397-08002B2CF9AE}" pid="8" name="MSIP_Label_69af8531-eb46-4968-8cb3-105d2f5ea87e_Method">
    <vt:lpwstr>Standard</vt:lpwstr>
  </property>
  <property fmtid="{D5CDD505-2E9C-101B-9397-08002B2CF9AE}" pid="9" name="MSIP_Label_69af8531-eb46-4968-8cb3-105d2f5ea87e_Name">
    <vt:lpwstr>Official - No Marking</vt:lpwstr>
  </property>
  <property fmtid="{D5CDD505-2E9C-101B-9397-08002B2CF9AE}" pid="10" name="MSIP_Label_69af8531-eb46-4968-8cb3-105d2f5ea87e_SiteId">
    <vt:lpwstr>b46c1908-0334-4236-b978-585ee88e4199</vt:lpwstr>
  </property>
  <property fmtid="{D5CDD505-2E9C-101B-9397-08002B2CF9AE}" pid="11" name="MSIP_Label_69af8531-eb46-4968-8cb3-105d2f5ea87e_ActionId">
    <vt:lpwstr>ff4aa3bb-cfa4-4cc9-8c69-46dbcbb63efe</vt:lpwstr>
  </property>
  <property fmtid="{D5CDD505-2E9C-101B-9397-08002B2CF9AE}" pid="12" name="MSIP_Label_69af8531-eb46-4968-8cb3-105d2f5ea87e_ContentBits">
    <vt:lpwstr>0</vt:lpwstr>
  </property>
</Properties>
</file>