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808814E" w:rsidR="00EF02B0" w:rsidRPr="00931B93" w:rsidRDefault="00EF02B0" w:rsidP="00EF02B0">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14:paraId="2F51A850" w14:textId="67E40CAB" w:rsidR="007B6904" w:rsidRPr="006A3770" w:rsidRDefault="00B8146E" w:rsidP="006A3770">
      <w:pPr>
        <w:rPr>
          <w:rFonts w:cs="Arial"/>
          <w:b/>
          <w:i/>
          <w:sz w:val="36"/>
          <w:szCs w:val="36"/>
        </w:rPr>
      </w:pPr>
      <w:r>
        <w:rPr>
          <w:rFonts w:cs="Arial"/>
          <w:b/>
          <w:sz w:val="36"/>
          <w:szCs w:val="36"/>
        </w:rPr>
        <w:t>Iron Infusions – Adult Only</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511245DE" w:rsidR="007B6904" w:rsidRPr="00CD1C0E" w:rsidRDefault="007B6904" w:rsidP="004213C3">
            <w:pPr>
              <w:pStyle w:val="Heading1"/>
            </w:pPr>
            <w:bookmarkStart w:id="5" w:name="_Toc389473273"/>
            <w:bookmarkStart w:id="6" w:name="Contents"/>
            <w:bookmarkStart w:id="7" w:name="_Toc43903664"/>
            <w:bookmarkStart w:id="8" w:name="_Toc84588308"/>
            <w:r w:rsidRPr="00CD1C0E">
              <w:t>Contents</w:t>
            </w:r>
            <w:bookmarkEnd w:id="5"/>
            <w:bookmarkEnd w:id="6"/>
            <w:bookmarkEnd w:id="7"/>
            <w:bookmarkEnd w:id="8"/>
          </w:p>
        </w:tc>
      </w:tr>
    </w:tbl>
    <w:p w14:paraId="2F51A853" w14:textId="77777777" w:rsidR="007B6904" w:rsidRDefault="007B6904" w:rsidP="007B6904"/>
    <w:p w14:paraId="400325BC" w14:textId="5C13C0AB" w:rsidR="003177ED" w:rsidRDefault="00970C69">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84588308" w:history="1">
        <w:r w:rsidR="003177ED" w:rsidRPr="00531CC4">
          <w:rPr>
            <w:rStyle w:val="Hyperlink"/>
            <w:noProof/>
          </w:rPr>
          <w:t>Contents</w:t>
        </w:r>
        <w:r w:rsidR="003177ED">
          <w:rPr>
            <w:noProof/>
            <w:webHidden/>
          </w:rPr>
          <w:tab/>
        </w:r>
        <w:r w:rsidR="003177ED">
          <w:rPr>
            <w:noProof/>
            <w:webHidden/>
          </w:rPr>
          <w:fldChar w:fldCharType="begin"/>
        </w:r>
        <w:r w:rsidR="003177ED">
          <w:rPr>
            <w:noProof/>
            <w:webHidden/>
          </w:rPr>
          <w:instrText xml:space="preserve"> PAGEREF _Toc84588308 \h </w:instrText>
        </w:r>
        <w:r w:rsidR="003177ED">
          <w:rPr>
            <w:noProof/>
            <w:webHidden/>
          </w:rPr>
        </w:r>
        <w:r w:rsidR="003177ED">
          <w:rPr>
            <w:noProof/>
            <w:webHidden/>
          </w:rPr>
          <w:fldChar w:fldCharType="separate"/>
        </w:r>
        <w:r w:rsidR="003177ED">
          <w:rPr>
            <w:noProof/>
            <w:webHidden/>
          </w:rPr>
          <w:t>1</w:t>
        </w:r>
        <w:r w:rsidR="003177ED">
          <w:rPr>
            <w:noProof/>
            <w:webHidden/>
          </w:rPr>
          <w:fldChar w:fldCharType="end"/>
        </w:r>
      </w:hyperlink>
    </w:p>
    <w:p w14:paraId="53CB8107" w14:textId="5253ECBC" w:rsidR="003177ED" w:rsidRDefault="009B36AD">
      <w:pPr>
        <w:pStyle w:val="TOC1"/>
        <w:tabs>
          <w:tab w:val="right" w:leader="dot" w:pos="9060"/>
        </w:tabs>
        <w:rPr>
          <w:rFonts w:eastAsiaTheme="minorEastAsia" w:cstheme="minorBidi"/>
          <w:noProof/>
          <w:sz w:val="22"/>
          <w:szCs w:val="22"/>
          <w:lang w:eastAsia="en-AU"/>
        </w:rPr>
      </w:pPr>
      <w:hyperlink w:anchor="_Toc84588309" w:history="1">
        <w:r w:rsidR="003177ED" w:rsidRPr="00531CC4">
          <w:rPr>
            <w:rStyle w:val="Hyperlink"/>
            <w:noProof/>
          </w:rPr>
          <w:t>Purpose</w:t>
        </w:r>
        <w:r w:rsidR="003177ED">
          <w:rPr>
            <w:noProof/>
            <w:webHidden/>
          </w:rPr>
          <w:tab/>
        </w:r>
        <w:r w:rsidR="003177ED">
          <w:rPr>
            <w:noProof/>
            <w:webHidden/>
          </w:rPr>
          <w:fldChar w:fldCharType="begin"/>
        </w:r>
        <w:r w:rsidR="003177ED">
          <w:rPr>
            <w:noProof/>
            <w:webHidden/>
          </w:rPr>
          <w:instrText xml:space="preserve"> PAGEREF _Toc84588309 \h </w:instrText>
        </w:r>
        <w:r w:rsidR="003177ED">
          <w:rPr>
            <w:noProof/>
            <w:webHidden/>
          </w:rPr>
        </w:r>
        <w:r w:rsidR="003177ED">
          <w:rPr>
            <w:noProof/>
            <w:webHidden/>
          </w:rPr>
          <w:fldChar w:fldCharType="separate"/>
        </w:r>
        <w:r w:rsidR="003177ED">
          <w:rPr>
            <w:noProof/>
            <w:webHidden/>
          </w:rPr>
          <w:t>2</w:t>
        </w:r>
        <w:r w:rsidR="003177ED">
          <w:rPr>
            <w:noProof/>
            <w:webHidden/>
          </w:rPr>
          <w:fldChar w:fldCharType="end"/>
        </w:r>
      </w:hyperlink>
    </w:p>
    <w:p w14:paraId="4121BA51" w14:textId="4C0C28C1" w:rsidR="003177ED" w:rsidRDefault="009B36AD">
      <w:pPr>
        <w:pStyle w:val="TOC1"/>
        <w:tabs>
          <w:tab w:val="right" w:leader="dot" w:pos="9060"/>
        </w:tabs>
        <w:rPr>
          <w:rFonts w:eastAsiaTheme="minorEastAsia" w:cstheme="minorBidi"/>
          <w:noProof/>
          <w:sz w:val="22"/>
          <w:szCs w:val="22"/>
          <w:lang w:eastAsia="en-AU"/>
        </w:rPr>
      </w:pPr>
      <w:hyperlink w:anchor="_Toc84588310" w:history="1">
        <w:r w:rsidR="003177ED" w:rsidRPr="00531CC4">
          <w:rPr>
            <w:rStyle w:val="Hyperlink"/>
            <w:noProof/>
          </w:rPr>
          <w:t>Alerts</w:t>
        </w:r>
        <w:r w:rsidR="003177ED">
          <w:rPr>
            <w:noProof/>
            <w:webHidden/>
          </w:rPr>
          <w:tab/>
        </w:r>
        <w:r w:rsidR="003177ED">
          <w:rPr>
            <w:noProof/>
            <w:webHidden/>
          </w:rPr>
          <w:fldChar w:fldCharType="begin"/>
        </w:r>
        <w:r w:rsidR="003177ED">
          <w:rPr>
            <w:noProof/>
            <w:webHidden/>
          </w:rPr>
          <w:instrText xml:space="preserve"> PAGEREF _Toc84588310 \h </w:instrText>
        </w:r>
        <w:r w:rsidR="003177ED">
          <w:rPr>
            <w:noProof/>
            <w:webHidden/>
          </w:rPr>
        </w:r>
        <w:r w:rsidR="003177ED">
          <w:rPr>
            <w:noProof/>
            <w:webHidden/>
          </w:rPr>
          <w:fldChar w:fldCharType="separate"/>
        </w:r>
        <w:r w:rsidR="003177ED">
          <w:rPr>
            <w:noProof/>
            <w:webHidden/>
          </w:rPr>
          <w:t>2</w:t>
        </w:r>
        <w:r w:rsidR="003177ED">
          <w:rPr>
            <w:noProof/>
            <w:webHidden/>
          </w:rPr>
          <w:fldChar w:fldCharType="end"/>
        </w:r>
      </w:hyperlink>
    </w:p>
    <w:p w14:paraId="45F587EC" w14:textId="6EACA541" w:rsidR="003177ED" w:rsidRDefault="009B36AD">
      <w:pPr>
        <w:pStyle w:val="TOC1"/>
        <w:tabs>
          <w:tab w:val="right" w:leader="dot" w:pos="9060"/>
        </w:tabs>
        <w:rPr>
          <w:rFonts w:eastAsiaTheme="minorEastAsia" w:cstheme="minorBidi"/>
          <w:noProof/>
          <w:sz w:val="22"/>
          <w:szCs w:val="22"/>
          <w:lang w:eastAsia="en-AU"/>
        </w:rPr>
      </w:pPr>
      <w:hyperlink w:anchor="_Toc84588311" w:history="1">
        <w:r w:rsidR="003177ED" w:rsidRPr="00531CC4">
          <w:rPr>
            <w:rStyle w:val="Hyperlink"/>
            <w:noProof/>
          </w:rPr>
          <w:t>Scope</w:t>
        </w:r>
        <w:r w:rsidR="003177ED">
          <w:rPr>
            <w:noProof/>
            <w:webHidden/>
          </w:rPr>
          <w:tab/>
        </w:r>
        <w:r w:rsidR="003177ED">
          <w:rPr>
            <w:noProof/>
            <w:webHidden/>
          </w:rPr>
          <w:fldChar w:fldCharType="begin"/>
        </w:r>
        <w:r w:rsidR="003177ED">
          <w:rPr>
            <w:noProof/>
            <w:webHidden/>
          </w:rPr>
          <w:instrText xml:space="preserve"> PAGEREF _Toc84588311 \h </w:instrText>
        </w:r>
        <w:r w:rsidR="003177ED">
          <w:rPr>
            <w:noProof/>
            <w:webHidden/>
          </w:rPr>
        </w:r>
        <w:r w:rsidR="003177ED">
          <w:rPr>
            <w:noProof/>
            <w:webHidden/>
          </w:rPr>
          <w:fldChar w:fldCharType="separate"/>
        </w:r>
        <w:r w:rsidR="003177ED">
          <w:rPr>
            <w:noProof/>
            <w:webHidden/>
          </w:rPr>
          <w:t>2</w:t>
        </w:r>
        <w:r w:rsidR="003177ED">
          <w:rPr>
            <w:noProof/>
            <w:webHidden/>
          </w:rPr>
          <w:fldChar w:fldCharType="end"/>
        </w:r>
      </w:hyperlink>
    </w:p>
    <w:p w14:paraId="776C420C" w14:textId="3D5B8DA8" w:rsidR="003177ED" w:rsidRDefault="009B36AD">
      <w:pPr>
        <w:pStyle w:val="TOC1"/>
        <w:tabs>
          <w:tab w:val="right" w:leader="dot" w:pos="9060"/>
        </w:tabs>
        <w:rPr>
          <w:rFonts w:eastAsiaTheme="minorEastAsia" w:cstheme="minorBidi"/>
          <w:noProof/>
          <w:sz w:val="22"/>
          <w:szCs w:val="22"/>
          <w:lang w:eastAsia="en-AU"/>
        </w:rPr>
      </w:pPr>
      <w:hyperlink w:anchor="_Toc84588312" w:history="1">
        <w:r w:rsidR="003177ED" w:rsidRPr="00531CC4">
          <w:rPr>
            <w:rStyle w:val="Hyperlink"/>
            <w:noProof/>
          </w:rPr>
          <w:t>Section 1 - Intravenous Iron Infusion</w:t>
        </w:r>
        <w:r w:rsidR="003177ED">
          <w:rPr>
            <w:noProof/>
            <w:webHidden/>
          </w:rPr>
          <w:tab/>
        </w:r>
        <w:r w:rsidR="003177ED">
          <w:rPr>
            <w:noProof/>
            <w:webHidden/>
          </w:rPr>
          <w:fldChar w:fldCharType="begin"/>
        </w:r>
        <w:r w:rsidR="003177ED">
          <w:rPr>
            <w:noProof/>
            <w:webHidden/>
          </w:rPr>
          <w:instrText xml:space="preserve"> PAGEREF _Toc84588312 \h </w:instrText>
        </w:r>
        <w:r w:rsidR="003177ED">
          <w:rPr>
            <w:noProof/>
            <w:webHidden/>
          </w:rPr>
        </w:r>
        <w:r w:rsidR="003177ED">
          <w:rPr>
            <w:noProof/>
            <w:webHidden/>
          </w:rPr>
          <w:fldChar w:fldCharType="separate"/>
        </w:r>
        <w:r w:rsidR="003177ED">
          <w:rPr>
            <w:noProof/>
            <w:webHidden/>
          </w:rPr>
          <w:t>3</w:t>
        </w:r>
        <w:r w:rsidR="003177ED">
          <w:rPr>
            <w:noProof/>
            <w:webHidden/>
          </w:rPr>
          <w:fldChar w:fldCharType="end"/>
        </w:r>
      </w:hyperlink>
    </w:p>
    <w:p w14:paraId="0F2EB3FC" w14:textId="7D3C59C6" w:rsidR="003177ED" w:rsidRDefault="009B36AD">
      <w:pPr>
        <w:pStyle w:val="TOC1"/>
        <w:tabs>
          <w:tab w:val="right" w:leader="dot" w:pos="9060"/>
        </w:tabs>
        <w:rPr>
          <w:rFonts w:eastAsiaTheme="minorEastAsia" w:cstheme="minorBidi"/>
          <w:noProof/>
          <w:sz w:val="22"/>
          <w:szCs w:val="22"/>
          <w:lang w:eastAsia="en-AU"/>
        </w:rPr>
      </w:pPr>
      <w:hyperlink w:anchor="_Toc84588313" w:history="1">
        <w:r w:rsidR="003177ED" w:rsidRPr="00531CC4">
          <w:rPr>
            <w:rStyle w:val="Hyperlink"/>
            <w:noProof/>
          </w:rPr>
          <w:t>Section 2 - Iron Polymaltose Infusion</w:t>
        </w:r>
        <w:r w:rsidR="003177ED">
          <w:rPr>
            <w:noProof/>
            <w:webHidden/>
          </w:rPr>
          <w:tab/>
        </w:r>
        <w:r w:rsidR="003177ED">
          <w:rPr>
            <w:noProof/>
            <w:webHidden/>
          </w:rPr>
          <w:fldChar w:fldCharType="begin"/>
        </w:r>
        <w:r w:rsidR="003177ED">
          <w:rPr>
            <w:noProof/>
            <w:webHidden/>
          </w:rPr>
          <w:instrText xml:space="preserve"> PAGEREF _Toc84588313 \h </w:instrText>
        </w:r>
        <w:r w:rsidR="003177ED">
          <w:rPr>
            <w:noProof/>
            <w:webHidden/>
          </w:rPr>
        </w:r>
        <w:r w:rsidR="003177ED">
          <w:rPr>
            <w:noProof/>
            <w:webHidden/>
          </w:rPr>
          <w:fldChar w:fldCharType="separate"/>
        </w:r>
        <w:r w:rsidR="003177ED">
          <w:rPr>
            <w:noProof/>
            <w:webHidden/>
          </w:rPr>
          <w:t>4</w:t>
        </w:r>
        <w:r w:rsidR="003177ED">
          <w:rPr>
            <w:noProof/>
            <w:webHidden/>
          </w:rPr>
          <w:fldChar w:fldCharType="end"/>
        </w:r>
      </w:hyperlink>
    </w:p>
    <w:p w14:paraId="0DBB7423" w14:textId="62C45364" w:rsidR="003177ED" w:rsidRDefault="009B36AD">
      <w:pPr>
        <w:pStyle w:val="TOC1"/>
        <w:tabs>
          <w:tab w:val="right" w:leader="dot" w:pos="9060"/>
        </w:tabs>
        <w:rPr>
          <w:rFonts w:eastAsiaTheme="minorEastAsia" w:cstheme="minorBidi"/>
          <w:noProof/>
          <w:sz w:val="22"/>
          <w:szCs w:val="22"/>
          <w:lang w:eastAsia="en-AU"/>
        </w:rPr>
      </w:pPr>
      <w:hyperlink w:anchor="_Toc84588314" w:history="1">
        <w:r w:rsidR="003177ED" w:rsidRPr="00531CC4">
          <w:rPr>
            <w:rStyle w:val="Hyperlink"/>
            <w:noProof/>
          </w:rPr>
          <w:t>Section 3 - Ferric Carboxymaltose Infusion</w:t>
        </w:r>
        <w:r w:rsidR="003177ED">
          <w:rPr>
            <w:noProof/>
            <w:webHidden/>
          </w:rPr>
          <w:tab/>
        </w:r>
        <w:r w:rsidR="003177ED">
          <w:rPr>
            <w:noProof/>
            <w:webHidden/>
          </w:rPr>
          <w:fldChar w:fldCharType="begin"/>
        </w:r>
        <w:r w:rsidR="003177ED">
          <w:rPr>
            <w:noProof/>
            <w:webHidden/>
          </w:rPr>
          <w:instrText xml:space="preserve"> PAGEREF _Toc84588314 \h </w:instrText>
        </w:r>
        <w:r w:rsidR="003177ED">
          <w:rPr>
            <w:noProof/>
            <w:webHidden/>
          </w:rPr>
        </w:r>
        <w:r w:rsidR="003177ED">
          <w:rPr>
            <w:noProof/>
            <w:webHidden/>
          </w:rPr>
          <w:fldChar w:fldCharType="separate"/>
        </w:r>
        <w:r w:rsidR="003177ED">
          <w:rPr>
            <w:noProof/>
            <w:webHidden/>
          </w:rPr>
          <w:t>7</w:t>
        </w:r>
        <w:r w:rsidR="003177ED">
          <w:rPr>
            <w:noProof/>
            <w:webHidden/>
          </w:rPr>
          <w:fldChar w:fldCharType="end"/>
        </w:r>
      </w:hyperlink>
    </w:p>
    <w:p w14:paraId="6B630EEC" w14:textId="110777FD" w:rsidR="003177ED" w:rsidRDefault="009B36AD">
      <w:pPr>
        <w:pStyle w:val="TOC1"/>
        <w:tabs>
          <w:tab w:val="right" w:leader="dot" w:pos="9060"/>
        </w:tabs>
        <w:rPr>
          <w:rFonts w:eastAsiaTheme="minorEastAsia" w:cstheme="minorBidi"/>
          <w:noProof/>
          <w:sz w:val="22"/>
          <w:szCs w:val="22"/>
          <w:lang w:eastAsia="en-AU"/>
        </w:rPr>
      </w:pPr>
      <w:hyperlink w:anchor="_Toc84588315" w:history="1">
        <w:r w:rsidR="003177ED" w:rsidRPr="00531CC4">
          <w:rPr>
            <w:rStyle w:val="Hyperlink"/>
            <w:noProof/>
          </w:rPr>
          <w:t>Section 4 - Iron Sucrose Infusion</w:t>
        </w:r>
        <w:r w:rsidR="003177ED">
          <w:rPr>
            <w:noProof/>
            <w:webHidden/>
          </w:rPr>
          <w:tab/>
        </w:r>
        <w:r w:rsidR="003177ED">
          <w:rPr>
            <w:noProof/>
            <w:webHidden/>
          </w:rPr>
          <w:fldChar w:fldCharType="begin"/>
        </w:r>
        <w:r w:rsidR="003177ED">
          <w:rPr>
            <w:noProof/>
            <w:webHidden/>
          </w:rPr>
          <w:instrText xml:space="preserve"> PAGEREF _Toc84588315 \h </w:instrText>
        </w:r>
        <w:r w:rsidR="003177ED">
          <w:rPr>
            <w:noProof/>
            <w:webHidden/>
          </w:rPr>
        </w:r>
        <w:r w:rsidR="003177ED">
          <w:rPr>
            <w:noProof/>
            <w:webHidden/>
          </w:rPr>
          <w:fldChar w:fldCharType="separate"/>
        </w:r>
        <w:r w:rsidR="003177ED">
          <w:rPr>
            <w:noProof/>
            <w:webHidden/>
          </w:rPr>
          <w:t>8</w:t>
        </w:r>
        <w:r w:rsidR="003177ED">
          <w:rPr>
            <w:noProof/>
            <w:webHidden/>
          </w:rPr>
          <w:fldChar w:fldCharType="end"/>
        </w:r>
      </w:hyperlink>
    </w:p>
    <w:p w14:paraId="52405404" w14:textId="2F0F1E47" w:rsidR="003177ED" w:rsidRDefault="009B36AD">
      <w:pPr>
        <w:pStyle w:val="TOC1"/>
        <w:tabs>
          <w:tab w:val="right" w:leader="dot" w:pos="9060"/>
        </w:tabs>
        <w:rPr>
          <w:rFonts w:eastAsiaTheme="minorEastAsia" w:cstheme="minorBidi"/>
          <w:noProof/>
          <w:sz w:val="22"/>
          <w:szCs w:val="22"/>
          <w:lang w:eastAsia="en-AU"/>
        </w:rPr>
      </w:pPr>
      <w:hyperlink w:anchor="_Toc84588316" w:history="1">
        <w:r w:rsidR="003177ED" w:rsidRPr="00531CC4">
          <w:rPr>
            <w:rStyle w:val="Hyperlink"/>
            <w:noProof/>
          </w:rPr>
          <w:t>Section 5 - Adverse Effects</w:t>
        </w:r>
        <w:r w:rsidR="003177ED">
          <w:rPr>
            <w:noProof/>
            <w:webHidden/>
          </w:rPr>
          <w:tab/>
        </w:r>
        <w:r w:rsidR="003177ED">
          <w:rPr>
            <w:noProof/>
            <w:webHidden/>
          </w:rPr>
          <w:fldChar w:fldCharType="begin"/>
        </w:r>
        <w:r w:rsidR="003177ED">
          <w:rPr>
            <w:noProof/>
            <w:webHidden/>
          </w:rPr>
          <w:instrText xml:space="preserve"> PAGEREF _Toc84588316 \h </w:instrText>
        </w:r>
        <w:r w:rsidR="003177ED">
          <w:rPr>
            <w:noProof/>
            <w:webHidden/>
          </w:rPr>
        </w:r>
        <w:r w:rsidR="003177ED">
          <w:rPr>
            <w:noProof/>
            <w:webHidden/>
          </w:rPr>
          <w:fldChar w:fldCharType="separate"/>
        </w:r>
        <w:r w:rsidR="003177ED">
          <w:rPr>
            <w:noProof/>
            <w:webHidden/>
          </w:rPr>
          <w:t>10</w:t>
        </w:r>
        <w:r w:rsidR="003177ED">
          <w:rPr>
            <w:noProof/>
            <w:webHidden/>
          </w:rPr>
          <w:fldChar w:fldCharType="end"/>
        </w:r>
      </w:hyperlink>
    </w:p>
    <w:p w14:paraId="08E40708" w14:textId="628E19CD" w:rsidR="003177ED" w:rsidRDefault="009B36AD">
      <w:pPr>
        <w:pStyle w:val="TOC1"/>
        <w:tabs>
          <w:tab w:val="right" w:leader="dot" w:pos="9060"/>
        </w:tabs>
        <w:rPr>
          <w:rFonts w:eastAsiaTheme="minorEastAsia" w:cstheme="minorBidi"/>
          <w:noProof/>
          <w:sz w:val="22"/>
          <w:szCs w:val="22"/>
          <w:lang w:eastAsia="en-AU"/>
        </w:rPr>
      </w:pPr>
      <w:hyperlink w:anchor="_Toc84588317" w:history="1">
        <w:r w:rsidR="003177ED" w:rsidRPr="00531CC4">
          <w:rPr>
            <w:rStyle w:val="Hyperlink"/>
            <w:noProof/>
          </w:rPr>
          <w:t>Evaluation</w:t>
        </w:r>
        <w:r w:rsidR="003177ED">
          <w:rPr>
            <w:noProof/>
            <w:webHidden/>
          </w:rPr>
          <w:tab/>
        </w:r>
        <w:r w:rsidR="003177ED">
          <w:rPr>
            <w:noProof/>
            <w:webHidden/>
          </w:rPr>
          <w:fldChar w:fldCharType="begin"/>
        </w:r>
        <w:r w:rsidR="003177ED">
          <w:rPr>
            <w:noProof/>
            <w:webHidden/>
          </w:rPr>
          <w:instrText xml:space="preserve"> PAGEREF _Toc84588317 \h </w:instrText>
        </w:r>
        <w:r w:rsidR="003177ED">
          <w:rPr>
            <w:noProof/>
            <w:webHidden/>
          </w:rPr>
        </w:r>
        <w:r w:rsidR="003177ED">
          <w:rPr>
            <w:noProof/>
            <w:webHidden/>
          </w:rPr>
          <w:fldChar w:fldCharType="separate"/>
        </w:r>
        <w:r w:rsidR="003177ED">
          <w:rPr>
            <w:noProof/>
            <w:webHidden/>
          </w:rPr>
          <w:t>12</w:t>
        </w:r>
        <w:r w:rsidR="003177ED">
          <w:rPr>
            <w:noProof/>
            <w:webHidden/>
          </w:rPr>
          <w:fldChar w:fldCharType="end"/>
        </w:r>
      </w:hyperlink>
    </w:p>
    <w:p w14:paraId="2EEE6EC3" w14:textId="3CE4D402" w:rsidR="003177ED" w:rsidRDefault="009B36AD">
      <w:pPr>
        <w:pStyle w:val="TOC1"/>
        <w:tabs>
          <w:tab w:val="right" w:leader="dot" w:pos="9060"/>
        </w:tabs>
        <w:rPr>
          <w:rFonts w:eastAsiaTheme="minorEastAsia" w:cstheme="minorBidi"/>
          <w:noProof/>
          <w:sz w:val="22"/>
          <w:szCs w:val="22"/>
          <w:lang w:eastAsia="en-AU"/>
        </w:rPr>
      </w:pPr>
      <w:hyperlink w:anchor="_Toc84588318" w:history="1">
        <w:r w:rsidR="003177ED" w:rsidRPr="00531CC4">
          <w:rPr>
            <w:rStyle w:val="Hyperlink"/>
            <w:noProof/>
          </w:rPr>
          <w:t>Related Policies, Procedures, Guidelines and Legislation</w:t>
        </w:r>
        <w:r w:rsidR="003177ED">
          <w:rPr>
            <w:noProof/>
            <w:webHidden/>
          </w:rPr>
          <w:tab/>
        </w:r>
        <w:r w:rsidR="003177ED">
          <w:rPr>
            <w:noProof/>
            <w:webHidden/>
          </w:rPr>
          <w:fldChar w:fldCharType="begin"/>
        </w:r>
        <w:r w:rsidR="003177ED">
          <w:rPr>
            <w:noProof/>
            <w:webHidden/>
          </w:rPr>
          <w:instrText xml:space="preserve"> PAGEREF _Toc84588318 \h </w:instrText>
        </w:r>
        <w:r w:rsidR="003177ED">
          <w:rPr>
            <w:noProof/>
            <w:webHidden/>
          </w:rPr>
        </w:r>
        <w:r w:rsidR="003177ED">
          <w:rPr>
            <w:noProof/>
            <w:webHidden/>
          </w:rPr>
          <w:fldChar w:fldCharType="separate"/>
        </w:r>
        <w:r w:rsidR="003177ED">
          <w:rPr>
            <w:noProof/>
            <w:webHidden/>
          </w:rPr>
          <w:t>12</w:t>
        </w:r>
        <w:r w:rsidR="003177ED">
          <w:rPr>
            <w:noProof/>
            <w:webHidden/>
          </w:rPr>
          <w:fldChar w:fldCharType="end"/>
        </w:r>
      </w:hyperlink>
    </w:p>
    <w:p w14:paraId="0C1BF2CE" w14:textId="0145DFBA" w:rsidR="003177ED" w:rsidRDefault="009B36AD">
      <w:pPr>
        <w:pStyle w:val="TOC1"/>
        <w:tabs>
          <w:tab w:val="right" w:leader="dot" w:pos="9060"/>
        </w:tabs>
        <w:rPr>
          <w:rFonts w:eastAsiaTheme="minorEastAsia" w:cstheme="minorBidi"/>
          <w:noProof/>
          <w:sz w:val="22"/>
          <w:szCs w:val="22"/>
          <w:lang w:eastAsia="en-AU"/>
        </w:rPr>
      </w:pPr>
      <w:hyperlink w:anchor="_Toc84588319" w:history="1">
        <w:r w:rsidR="003177ED" w:rsidRPr="00531CC4">
          <w:rPr>
            <w:rStyle w:val="Hyperlink"/>
            <w:noProof/>
          </w:rPr>
          <w:t>References</w:t>
        </w:r>
        <w:r w:rsidR="003177ED">
          <w:rPr>
            <w:noProof/>
            <w:webHidden/>
          </w:rPr>
          <w:tab/>
        </w:r>
        <w:r w:rsidR="003177ED">
          <w:rPr>
            <w:noProof/>
            <w:webHidden/>
          </w:rPr>
          <w:fldChar w:fldCharType="begin"/>
        </w:r>
        <w:r w:rsidR="003177ED">
          <w:rPr>
            <w:noProof/>
            <w:webHidden/>
          </w:rPr>
          <w:instrText xml:space="preserve"> PAGEREF _Toc84588319 \h </w:instrText>
        </w:r>
        <w:r w:rsidR="003177ED">
          <w:rPr>
            <w:noProof/>
            <w:webHidden/>
          </w:rPr>
        </w:r>
        <w:r w:rsidR="003177ED">
          <w:rPr>
            <w:noProof/>
            <w:webHidden/>
          </w:rPr>
          <w:fldChar w:fldCharType="separate"/>
        </w:r>
        <w:r w:rsidR="003177ED">
          <w:rPr>
            <w:noProof/>
            <w:webHidden/>
          </w:rPr>
          <w:t>13</w:t>
        </w:r>
        <w:r w:rsidR="003177ED">
          <w:rPr>
            <w:noProof/>
            <w:webHidden/>
          </w:rPr>
          <w:fldChar w:fldCharType="end"/>
        </w:r>
      </w:hyperlink>
    </w:p>
    <w:p w14:paraId="273E72A6" w14:textId="257C7B06" w:rsidR="003177ED" w:rsidRDefault="009B36AD">
      <w:pPr>
        <w:pStyle w:val="TOC1"/>
        <w:tabs>
          <w:tab w:val="right" w:leader="dot" w:pos="9060"/>
        </w:tabs>
        <w:rPr>
          <w:rFonts w:eastAsiaTheme="minorEastAsia" w:cstheme="minorBidi"/>
          <w:noProof/>
          <w:sz w:val="22"/>
          <w:szCs w:val="22"/>
          <w:lang w:eastAsia="en-AU"/>
        </w:rPr>
      </w:pPr>
      <w:hyperlink w:anchor="_Toc84588320" w:history="1">
        <w:r w:rsidR="003177ED" w:rsidRPr="00531CC4">
          <w:rPr>
            <w:rStyle w:val="Hyperlink"/>
            <w:noProof/>
          </w:rPr>
          <w:t>Search Terms</w:t>
        </w:r>
        <w:r w:rsidR="003177ED">
          <w:rPr>
            <w:noProof/>
            <w:webHidden/>
          </w:rPr>
          <w:tab/>
        </w:r>
        <w:r w:rsidR="003177ED">
          <w:rPr>
            <w:noProof/>
            <w:webHidden/>
          </w:rPr>
          <w:fldChar w:fldCharType="begin"/>
        </w:r>
        <w:r w:rsidR="003177ED">
          <w:rPr>
            <w:noProof/>
            <w:webHidden/>
          </w:rPr>
          <w:instrText xml:space="preserve"> PAGEREF _Toc84588320 \h </w:instrText>
        </w:r>
        <w:r w:rsidR="003177ED">
          <w:rPr>
            <w:noProof/>
            <w:webHidden/>
          </w:rPr>
        </w:r>
        <w:r w:rsidR="003177ED">
          <w:rPr>
            <w:noProof/>
            <w:webHidden/>
          </w:rPr>
          <w:fldChar w:fldCharType="separate"/>
        </w:r>
        <w:r w:rsidR="003177ED">
          <w:rPr>
            <w:noProof/>
            <w:webHidden/>
          </w:rPr>
          <w:t>14</w:t>
        </w:r>
        <w:r w:rsidR="003177ED">
          <w:rPr>
            <w:noProof/>
            <w:webHidden/>
          </w:rPr>
          <w:fldChar w:fldCharType="end"/>
        </w:r>
      </w:hyperlink>
    </w:p>
    <w:p w14:paraId="21C10B6B" w14:textId="4A4C1D2A" w:rsidR="003177ED" w:rsidRDefault="009B36AD">
      <w:pPr>
        <w:pStyle w:val="TOC1"/>
        <w:tabs>
          <w:tab w:val="right" w:leader="dot" w:pos="9060"/>
        </w:tabs>
        <w:rPr>
          <w:rFonts w:eastAsiaTheme="minorEastAsia" w:cstheme="minorBidi"/>
          <w:noProof/>
          <w:sz w:val="22"/>
          <w:szCs w:val="22"/>
          <w:lang w:eastAsia="en-AU"/>
        </w:rPr>
      </w:pPr>
      <w:hyperlink w:anchor="_Toc84588321" w:history="1">
        <w:r w:rsidR="003177ED" w:rsidRPr="00531CC4">
          <w:rPr>
            <w:rStyle w:val="Hyperlink"/>
            <w:noProof/>
          </w:rPr>
          <w:t>Attachments</w:t>
        </w:r>
        <w:r w:rsidR="003177ED">
          <w:rPr>
            <w:noProof/>
            <w:webHidden/>
          </w:rPr>
          <w:tab/>
        </w:r>
        <w:r w:rsidR="003177ED">
          <w:rPr>
            <w:noProof/>
            <w:webHidden/>
          </w:rPr>
          <w:fldChar w:fldCharType="begin"/>
        </w:r>
        <w:r w:rsidR="003177ED">
          <w:rPr>
            <w:noProof/>
            <w:webHidden/>
          </w:rPr>
          <w:instrText xml:space="preserve"> PAGEREF _Toc84588321 \h </w:instrText>
        </w:r>
        <w:r w:rsidR="003177ED">
          <w:rPr>
            <w:noProof/>
            <w:webHidden/>
          </w:rPr>
        </w:r>
        <w:r w:rsidR="003177ED">
          <w:rPr>
            <w:noProof/>
            <w:webHidden/>
          </w:rPr>
          <w:fldChar w:fldCharType="separate"/>
        </w:r>
        <w:r w:rsidR="003177ED">
          <w:rPr>
            <w:noProof/>
            <w:webHidden/>
          </w:rPr>
          <w:t>14</w:t>
        </w:r>
        <w:r w:rsidR="003177ED">
          <w:rPr>
            <w:noProof/>
            <w:webHidden/>
          </w:rPr>
          <w:fldChar w:fldCharType="end"/>
        </w:r>
      </w:hyperlink>
    </w:p>
    <w:p w14:paraId="2F51A861" w14:textId="05DFDBCB" w:rsidR="007052B1" w:rsidRDefault="00970C69" w:rsidP="007B6904">
      <w:pPr>
        <w:rPr>
          <w:rFonts w:asciiTheme="minorHAnsi" w:hAnsiTheme="minorHAnsi"/>
        </w:rPr>
      </w:pPr>
      <w:r>
        <w:rPr>
          <w:rFonts w:asciiTheme="minorHAnsi" w:hAnsiTheme="minorHAnsi"/>
        </w:rPr>
        <w:fldChar w:fldCharType="end"/>
      </w:r>
    </w:p>
    <w:p w14:paraId="2F51A863" w14:textId="40C978AF" w:rsidR="007B6904" w:rsidRPr="00194FB8" w:rsidRDefault="007052B1" w:rsidP="00194FB8">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643A9E09" w:rsidR="007B6904" w:rsidRPr="00CD1C0E" w:rsidRDefault="007B6904" w:rsidP="004213C3">
            <w:pPr>
              <w:pStyle w:val="Heading1"/>
            </w:pPr>
            <w:bookmarkStart w:id="9" w:name="_Toc389473274"/>
            <w:bookmarkStart w:id="10" w:name="_Toc43903665"/>
            <w:bookmarkStart w:id="11" w:name="_Toc84588309"/>
            <w:r w:rsidRPr="00CD1C0E">
              <w:lastRenderedPageBreak/>
              <w:t>Purpose</w:t>
            </w:r>
            <w:bookmarkEnd w:id="9"/>
            <w:bookmarkEnd w:id="10"/>
            <w:bookmarkEnd w:id="11"/>
          </w:p>
        </w:tc>
      </w:tr>
    </w:tbl>
    <w:p w14:paraId="2F51A866" w14:textId="77777777" w:rsidR="00931B93" w:rsidRDefault="00931B93" w:rsidP="00931B93">
      <w:pPr>
        <w:rPr>
          <w:rFonts w:cs="Arial"/>
          <w:i/>
          <w:szCs w:val="24"/>
        </w:rPr>
      </w:pPr>
    </w:p>
    <w:p w14:paraId="3ACF8AEB" w14:textId="7E5F32F4" w:rsidR="00B8146E" w:rsidRDefault="00B8146E" w:rsidP="00B8146E">
      <w:pPr>
        <w:rPr>
          <w:rFonts w:cs="Arial"/>
          <w:szCs w:val="24"/>
        </w:rPr>
      </w:pPr>
      <w:r>
        <w:rPr>
          <w:rFonts w:cs="Arial"/>
          <w:szCs w:val="24"/>
        </w:rPr>
        <w:t>To ensure the safe prescribing and administration of intravenous (IV) iron (</w:t>
      </w:r>
      <w:r w:rsidR="00870E8B">
        <w:rPr>
          <w:rFonts w:cs="Arial"/>
          <w:szCs w:val="24"/>
        </w:rPr>
        <w:t xml:space="preserve">including either iron </w:t>
      </w:r>
      <w:r>
        <w:rPr>
          <w:rFonts w:cs="Arial"/>
          <w:szCs w:val="24"/>
        </w:rPr>
        <w:t xml:space="preserve">polymaltose, iron sucrose </w:t>
      </w:r>
      <w:r w:rsidR="00870E8B">
        <w:rPr>
          <w:rFonts w:cs="Arial"/>
          <w:szCs w:val="24"/>
        </w:rPr>
        <w:t>or</w:t>
      </w:r>
      <w:r>
        <w:rPr>
          <w:rFonts w:cs="Arial"/>
          <w:szCs w:val="24"/>
        </w:rPr>
        <w:t xml:space="preserve"> ferric</w:t>
      </w:r>
      <w:r w:rsidRPr="00C84349">
        <w:t xml:space="preserve"> </w:t>
      </w:r>
      <w:proofErr w:type="spellStart"/>
      <w:r>
        <w:t>carboxymaltose</w:t>
      </w:r>
      <w:proofErr w:type="spellEnd"/>
      <w:r>
        <w:t>) by i</w:t>
      </w:r>
      <w:r w:rsidRPr="00C84349">
        <w:t>nfusion</w:t>
      </w:r>
      <w:r>
        <w:t>,</w:t>
      </w:r>
      <w:r w:rsidRPr="00C84349">
        <w:t xml:space="preserve"> </w:t>
      </w:r>
      <w:r>
        <w:t xml:space="preserve">to adult patients, </w:t>
      </w:r>
      <w:r w:rsidR="006932FC">
        <w:rPr>
          <w:rFonts w:cs="Arial"/>
          <w:szCs w:val="24"/>
        </w:rPr>
        <w:t xml:space="preserve">at </w:t>
      </w:r>
      <w:r>
        <w:rPr>
          <w:rFonts w:cs="Arial"/>
          <w:szCs w:val="24"/>
        </w:rPr>
        <w:t xml:space="preserve">Canberra Health Services (CHS). </w:t>
      </w:r>
    </w:p>
    <w:p w14:paraId="2F51A86F" w14:textId="77777777" w:rsidR="007B6904" w:rsidRDefault="007B6904" w:rsidP="00931B93">
      <w:pPr>
        <w:rPr>
          <w:rFonts w:cs="Arial"/>
          <w:szCs w:val="24"/>
        </w:rPr>
      </w:pPr>
    </w:p>
    <w:p w14:paraId="2F51A870" w14:textId="77777777" w:rsidR="009E70F4" w:rsidRPr="00CD1C0E" w:rsidRDefault="009B36AD"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B8146E">
        <w:trPr>
          <w:cantSplit/>
          <w:trHeight w:val="285"/>
        </w:trPr>
        <w:tc>
          <w:tcPr>
            <w:tcW w:w="9158" w:type="dxa"/>
            <w:shd w:val="clear" w:color="auto" w:fill="A6A6A6" w:themeFill="background1" w:themeFillShade="A6"/>
          </w:tcPr>
          <w:p w14:paraId="2F51A871" w14:textId="65183DA9" w:rsidR="0074223E" w:rsidRPr="00CD1C0E" w:rsidRDefault="0074223E" w:rsidP="00B8146E">
            <w:pPr>
              <w:pStyle w:val="Heading1"/>
            </w:pPr>
            <w:bookmarkStart w:id="12" w:name="_Toc389473276"/>
            <w:bookmarkStart w:id="13" w:name="_Toc84588310"/>
            <w:r>
              <w:t>Alerts</w:t>
            </w:r>
            <w:bookmarkStart w:id="14" w:name="_Toc43903666"/>
            <w:bookmarkEnd w:id="12"/>
            <w:bookmarkEnd w:id="13"/>
            <w:r w:rsidR="00AB50DD">
              <w:t xml:space="preserve"> </w:t>
            </w:r>
            <w:bookmarkEnd w:id="14"/>
          </w:p>
        </w:tc>
      </w:tr>
    </w:tbl>
    <w:p w14:paraId="2F51A873" w14:textId="77777777" w:rsidR="007B6904" w:rsidRDefault="007B6904" w:rsidP="007B6904">
      <w:pPr>
        <w:rPr>
          <w:rFonts w:cs="Arial"/>
          <w:b/>
          <w:szCs w:val="24"/>
        </w:rPr>
      </w:pPr>
    </w:p>
    <w:p w14:paraId="01BF4011" w14:textId="0D022222" w:rsidR="00B8146E" w:rsidRDefault="00B8146E" w:rsidP="0074206C">
      <w:pPr>
        <w:pStyle w:val="ListParagraph"/>
        <w:numPr>
          <w:ilvl w:val="0"/>
          <w:numId w:val="3"/>
        </w:numPr>
      </w:pPr>
      <w:r w:rsidRPr="00832DC9">
        <w:rPr>
          <w:b/>
        </w:rPr>
        <w:t xml:space="preserve">Subcutaneous leakage of iron </w:t>
      </w:r>
      <w:r>
        <w:rPr>
          <w:b/>
        </w:rPr>
        <w:t xml:space="preserve">- </w:t>
      </w:r>
      <w:r w:rsidRPr="00832DC9">
        <w:t>iron</w:t>
      </w:r>
      <w:r>
        <w:t xml:space="preserve"> infusions that leak under the skin result in permanent discolouration</w:t>
      </w:r>
      <w:r w:rsidR="006932FC">
        <w:t xml:space="preserve"> of the skin</w:t>
      </w:r>
      <w:r w:rsidR="00492B5D">
        <w:t xml:space="preserve"> and can happen in the absence of </w:t>
      </w:r>
      <w:r w:rsidR="00976030">
        <w:t>patient</w:t>
      </w:r>
      <w:r w:rsidR="00492B5D">
        <w:t xml:space="preserve"> reports of discomfort</w:t>
      </w:r>
      <w:r>
        <w:t xml:space="preserve">. Refer to Section 4 for management. </w:t>
      </w:r>
    </w:p>
    <w:p w14:paraId="21096C2C" w14:textId="77777777" w:rsidR="00B8146E" w:rsidRPr="003D1FD5" w:rsidRDefault="00B8146E" w:rsidP="0074206C">
      <w:pPr>
        <w:pStyle w:val="ListParagraph"/>
        <w:numPr>
          <w:ilvl w:val="0"/>
          <w:numId w:val="3"/>
        </w:numPr>
      </w:pPr>
      <w:r>
        <w:rPr>
          <w:rFonts w:asciiTheme="minorHAnsi" w:hAnsiTheme="minorHAnsi" w:cstheme="minorHAnsi"/>
          <w:iCs/>
          <w:szCs w:val="24"/>
        </w:rPr>
        <w:t>Infusion rates</w:t>
      </w:r>
      <w:r w:rsidRPr="00832DC9">
        <w:rPr>
          <w:rFonts w:asciiTheme="minorHAnsi" w:hAnsiTheme="minorHAnsi" w:cstheme="minorHAnsi"/>
          <w:iCs/>
          <w:szCs w:val="24"/>
        </w:rPr>
        <w:t xml:space="preserve">, </w:t>
      </w:r>
      <w:r>
        <w:rPr>
          <w:rFonts w:asciiTheme="minorHAnsi" w:hAnsiTheme="minorHAnsi" w:cstheme="minorHAnsi"/>
          <w:iCs/>
          <w:szCs w:val="24"/>
        </w:rPr>
        <w:t>maximum doses</w:t>
      </w:r>
      <w:r w:rsidRPr="00832DC9">
        <w:rPr>
          <w:rFonts w:asciiTheme="minorHAnsi" w:hAnsiTheme="minorHAnsi" w:cstheme="minorHAnsi"/>
          <w:iCs/>
          <w:szCs w:val="24"/>
        </w:rPr>
        <w:t xml:space="preserve"> and </w:t>
      </w:r>
      <w:r>
        <w:rPr>
          <w:rFonts w:asciiTheme="minorHAnsi" w:hAnsiTheme="minorHAnsi" w:cstheme="minorHAnsi"/>
          <w:iCs/>
          <w:szCs w:val="24"/>
        </w:rPr>
        <w:t>dilutions</w:t>
      </w:r>
      <w:r w:rsidRPr="00832DC9">
        <w:rPr>
          <w:rFonts w:asciiTheme="minorHAnsi" w:hAnsiTheme="minorHAnsi" w:cstheme="minorHAnsi"/>
          <w:iCs/>
          <w:szCs w:val="24"/>
        </w:rPr>
        <w:t xml:space="preserve"> are not interchangeable between </w:t>
      </w:r>
      <w:r>
        <w:rPr>
          <w:rFonts w:asciiTheme="minorHAnsi" w:hAnsiTheme="minorHAnsi" w:cstheme="minorHAnsi"/>
          <w:iCs/>
          <w:szCs w:val="24"/>
        </w:rPr>
        <w:t xml:space="preserve">intravenous </w:t>
      </w:r>
      <w:r w:rsidRPr="00832DC9">
        <w:rPr>
          <w:rFonts w:asciiTheme="minorHAnsi" w:hAnsiTheme="minorHAnsi" w:cstheme="minorHAnsi"/>
          <w:iCs/>
          <w:szCs w:val="24"/>
        </w:rPr>
        <w:t>iron preparations</w:t>
      </w:r>
      <w:r>
        <w:rPr>
          <w:rFonts w:asciiTheme="minorHAnsi" w:hAnsiTheme="minorHAnsi" w:cstheme="minorHAnsi"/>
          <w:iCs/>
          <w:szCs w:val="24"/>
        </w:rPr>
        <w:t>.</w:t>
      </w:r>
    </w:p>
    <w:p w14:paraId="01879CF9" w14:textId="77777777" w:rsidR="00B8146E" w:rsidRPr="004A7A08" w:rsidRDefault="00B8146E" w:rsidP="0074206C">
      <w:pPr>
        <w:pStyle w:val="ListParagraph"/>
        <w:numPr>
          <w:ilvl w:val="0"/>
          <w:numId w:val="3"/>
        </w:numPr>
        <w:rPr>
          <w:i/>
          <w:u w:val="single"/>
        </w:rPr>
      </w:pPr>
      <w:r w:rsidRPr="004A7A08">
        <w:t>Oral iron supplements should not be given together with parenteral iron</w:t>
      </w:r>
      <w:r>
        <w:t>.</w:t>
      </w:r>
    </w:p>
    <w:p w14:paraId="4A9D9D6D" w14:textId="2AB108C9" w:rsidR="00B8146E" w:rsidRPr="00C04E41" w:rsidRDefault="00C04E41" w:rsidP="0074206C">
      <w:pPr>
        <w:pStyle w:val="ListParagraph"/>
        <w:numPr>
          <w:ilvl w:val="0"/>
          <w:numId w:val="3"/>
        </w:numPr>
        <w:rPr>
          <w:i/>
          <w:u w:val="single"/>
        </w:rPr>
      </w:pPr>
      <w:r>
        <w:t>Anaphylactoid reactions</w:t>
      </w:r>
      <w:r w:rsidR="00B8146E" w:rsidRPr="004A7A08">
        <w:t xml:space="preserve"> may occur with intravenous iron so an emergency trolley, and facilities for cardiopulmonary resuscitation must be readily accessible should a hypersensitivity reaction occur</w:t>
      </w:r>
      <w:r w:rsidR="00B8146E">
        <w:t>.</w:t>
      </w:r>
    </w:p>
    <w:p w14:paraId="00CDD2A3" w14:textId="28E631D1" w:rsidR="00C04E41" w:rsidRPr="00B8146E" w:rsidRDefault="00C04E41" w:rsidP="0074206C">
      <w:pPr>
        <w:pStyle w:val="ListParagraph"/>
        <w:numPr>
          <w:ilvl w:val="0"/>
          <w:numId w:val="3"/>
        </w:numPr>
        <w:rPr>
          <w:i/>
          <w:u w:val="single"/>
        </w:rPr>
      </w:pPr>
      <w:r>
        <w:t>Red cell transfusion is inappropriate therapy for Iron deficiency anaemia unless an immediate increase in oxygen delivery is required, such as when the patient is experiencing end-organ compromise (</w:t>
      </w:r>
      <w:r w:rsidR="00976030">
        <w:t>e.g.,</w:t>
      </w:r>
      <w:r>
        <w:t xml:space="preserve"> angina pectoris or cardiac failure), or </w:t>
      </w:r>
      <w:r w:rsidR="00F80A3C">
        <w:t xml:space="preserve">if iron </w:t>
      </w:r>
      <w:r w:rsidR="00976030">
        <w:t>deficiency</w:t>
      </w:r>
      <w:r w:rsidR="00F80A3C">
        <w:t xml:space="preserve"> anaemia</w:t>
      </w:r>
      <w:r>
        <w:t xml:space="preserve"> is complicated by serious, acute ongoing bleeding</w:t>
      </w:r>
      <w:r w:rsidR="00F80A3C">
        <w:t>.</w:t>
      </w:r>
    </w:p>
    <w:p w14:paraId="2F51A878" w14:textId="77777777" w:rsidR="00DE4E25" w:rsidRDefault="00DE4E25" w:rsidP="007B6904">
      <w:pPr>
        <w:rPr>
          <w:rFonts w:cs="Arial"/>
          <w:b/>
          <w:szCs w:val="24"/>
        </w:rPr>
      </w:pPr>
    </w:p>
    <w:p w14:paraId="2F51A879" w14:textId="77777777" w:rsidR="009E70F4" w:rsidRPr="009121F9" w:rsidRDefault="009B36AD"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5AEC33BB" w:rsidR="007B6904" w:rsidRPr="003D2D06" w:rsidRDefault="007B6904" w:rsidP="004213C3">
            <w:pPr>
              <w:pStyle w:val="Heading1"/>
            </w:pPr>
            <w:bookmarkStart w:id="15" w:name="_Toc389473277"/>
            <w:bookmarkStart w:id="16" w:name="_Toc43903667"/>
            <w:bookmarkStart w:id="17" w:name="_Toc84588311"/>
            <w:r w:rsidRPr="003D2D06">
              <w:t>Scope</w:t>
            </w:r>
            <w:bookmarkEnd w:id="15"/>
            <w:bookmarkEnd w:id="16"/>
            <w:bookmarkEnd w:id="17"/>
          </w:p>
        </w:tc>
      </w:tr>
    </w:tbl>
    <w:p w14:paraId="2F51A87C" w14:textId="77777777" w:rsidR="007B6904" w:rsidRPr="00CD1C0E" w:rsidRDefault="007B6904" w:rsidP="007B6904">
      <w:pPr>
        <w:rPr>
          <w:szCs w:val="24"/>
        </w:rPr>
      </w:pPr>
    </w:p>
    <w:p w14:paraId="1FE42FC0" w14:textId="43A3D487" w:rsidR="00B8146E" w:rsidRDefault="00B8146E" w:rsidP="00B8146E">
      <w:r>
        <w:t xml:space="preserve">This procedure applies to all CHS staff working within their scope of practice that prescribe, administer, </w:t>
      </w:r>
      <w:r w:rsidR="00870E8B">
        <w:t xml:space="preserve">supply, </w:t>
      </w:r>
      <w:r>
        <w:t xml:space="preserve">monitor or advise on the use of iron infusions.  </w:t>
      </w:r>
    </w:p>
    <w:p w14:paraId="7F1D052A" w14:textId="175C0DC7" w:rsidR="007128D3" w:rsidRDefault="007128D3" w:rsidP="00B8146E"/>
    <w:p w14:paraId="418945F6" w14:textId="2CF86787" w:rsidR="007128D3" w:rsidRDefault="007128D3" w:rsidP="00B8146E">
      <w:r>
        <w:t>This procedure applies to patients receiving iron infusions in both inpatient and outpatient settings.</w:t>
      </w:r>
    </w:p>
    <w:p w14:paraId="6880B86B" w14:textId="2D2FC4C1" w:rsidR="00572D90" w:rsidRDefault="00572D90" w:rsidP="00B8146E"/>
    <w:p w14:paraId="1C9BD876" w14:textId="281F4CAF" w:rsidR="00572D90" w:rsidRDefault="00572D90" w:rsidP="00572D90">
      <w:r>
        <w:t xml:space="preserve">This procedure </w:t>
      </w:r>
      <w:r w:rsidRPr="00EC6A37">
        <w:rPr>
          <w:u w:val="single"/>
        </w:rPr>
        <w:t>does not apply</w:t>
      </w:r>
      <w:r>
        <w:t xml:space="preserve"> to patients receiving iron infusions through </w:t>
      </w:r>
      <w:r w:rsidR="00976030">
        <w:t>dialysis</w:t>
      </w:r>
      <w:r>
        <w:t xml:space="preserve"> as part of treatment for end stage renal failure. Refer to </w:t>
      </w:r>
      <w:r w:rsidRPr="006932FC">
        <w:rPr>
          <w:i/>
          <w:iCs/>
        </w:rPr>
        <w:t xml:space="preserve">Haemodialysis and Plasma Exchange </w:t>
      </w:r>
      <w:r w:rsidR="006932FC">
        <w:rPr>
          <w:i/>
          <w:iCs/>
        </w:rPr>
        <w:t>in</w:t>
      </w:r>
      <w:r w:rsidRPr="006932FC">
        <w:rPr>
          <w:i/>
          <w:iCs/>
        </w:rPr>
        <w:t xml:space="preserve"> Adults Procedure</w:t>
      </w:r>
      <w:r>
        <w:t xml:space="preserve"> for information about iron</w:t>
      </w:r>
      <w:r w:rsidR="006932FC">
        <w:t xml:space="preserve"> infusions for</w:t>
      </w:r>
      <w:r>
        <w:t xml:space="preserve"> patients receiving haemodialysis.</w:t>
      </w:r>
    </w:p>
    <w:p w14:paraId="2F51A886" w14:textId="77777777" w:rsidR="001F2A9B" w:rsidRDefault="001F2A9B" w:rsidP="00F14EC1"/>
    <w:p w14:paraId="79735A99" w14:textId="53CDAFF0" w:rsidR="000C52F5" w:rsidRDefault="009B36AD" w:rsidP="007128D3">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14E36647" w14:textId="72D76E55" w:rsidR="006932FC" w:rsidRDefault="006932FC" w:rsidP="007128D3">
      <w:pPr>
        <w:jc w:val="right"/>
        <w:rPr>
          <w:rStyle w:val="Hyperlink"/>
          <w:i/>
        </w:rPr>
      </w:pPr>
    </w:p>
    <w:p w14:paraId="4DB0AA17" w14:textId="422147E1" w:rsidR="006932FC" w:rsidRDefault="006932FC" w:rsidP="007128D3">
      <w:pPr>
        <w:jc w:val="right"/>
        <w:rPr>
          <w:rFonts w:cs="Arial"/>
          <w:i/>
          <w:color w:val="0000FF"/>
          <w:szCs w:val="24"/>
          <w:u w:val="single"/>
        </w:rPr>
      </w:pPr>
    </w:p>
    <w:p w14:paraId="11CF4B59" w14:textId="77777777" w:rsidR="00BF7C67" w:rsidRPr="007128D3" w:rsidRDefault="00BF7C67" w:rsidP="007128D3">
      <w:pPr>
        <w:jc w:val="right"/>
        <w:rPr>
          <w:rFonts w:cs="Arial"/>
          <w:i/>
          <w:color w:val="0000FF"/>
          <w:szCs w:val="24"/>
          <w:u w:val="single"/>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59A667D8" w:rsidR="007B6904" w:rsidRPr="00C76688" w:rsidRDefault="006932FC" w:rsidP="00931B93">
            <w:pPr>
              <w:pStyle w:val="Heading1"/>
            </w:pPr>
            <w:bookmarkStart w:id="18" w:name="_Toc84588312"/>
            <w:r>
              <w:lastRenderedPageBreak/>
              <w:t xml:space="preserve">Section 1 - </w:t>
            </w:r>
            <w:r w:rsidR="00B8146E">
              <w:t>Intr</w:t>
            </w:r>
            <w:r w:rsidR="004F35A5">
              <w:t>a</w:t>
            </w:r>
            <w:r w:rsidR="00B8146E">
              <w:t>venous Iron Infusion</w:t>
            </w:r>
            <w:bookmarkEnd w:id="18"/>
          </w:p>
        </w:tc>
      </w:tr>
    </w:tbl>
    <w:p w14:paraId="2F51A88A" w14:textId="77777777" w:rsidR="007B6904" w:rsidRDefault="007B6904" w:rsidP="007B6904">
      <w:pPr>
        <w:outlineLvl w:val="0"/>
        <w:rPr>
          <w:szCs w:val="24"/>
        </w:rPr>
      </w:pPr>
    </w:p>
    <w:p w14:paraId="3D8486B7" w14:textId="211AA032" w:rsidR="00EC6A37" w:rsidRDefault="00EC6A37" w:rsidP="00B8146E">
      <w:pPr>
        <w:pStyle w:val="Heading2"/>
        <w:rPr>
          <w:b w:val="0"/>
          <w:bCs w:val="0"/>
        </w:rPr>
      </w:pPr>
      <w:r w:rsidRPr="00EC6A37">
        <w:rPr>
          <w:b w:val="0"/>
          <w:bCs w:val="0"/>
        </w:rPr>
        <w:t>Management of Iron deficiency Anaemia is an import</w:t>
      </w:r>
      <w:r>
        <w:rPr>
          <w:b w:val="0"/>
          <w:bCs w:val="0"/>
        </w:rPr>
        <w:t>ant part of the</w:t>
      </w:r>
      <w:r w:rsidRPr="00EC6A37">
        <w:rPr>
          <w:b w:val="0"/>
          <w:bCs w:val="0"/>
        </w:rPr>
        <w:t xml:space="preserve"> Patient Blood Management (PBM) Strategy . </w:t>
      </w:r>
      <w:r>
        <w:rPr>
          <w:b w:val="0"/>
          <w:bCs w:val="0"/>
        </w:rPr>
        <w:t>P</w:t>
      </w:r>
      <w:r w:rsidRPr="00EC6A37">
        <w:rPr>
          <w:b w:val="0"/>
          <w:bCs w:val="0"/>
        </w:rPr>
        <w:t xml:space="preserve">BM is a coordinated, patient-centred approach to manage and conserve a patient’s own blood </w:t>
      </w:r>
      <w:r w:rsidR="00976030" w:rsidRPr="00EC6A37">
        <w:rPr>
          <w:b w:val="0"/>
          <w:bCs w:val="0"/>
        </w:rPr>
        <w:t>to</w:t>
      </w:r>
      <w:r w:rsidRPr="00EC6A37">
        <w:rPr>
          <w:b w:val="0"/>
          <w:bCs w:val="0"/>
        </w:rPr>
        <w:t xml:space="preserve"> improve health outcomes. For more</w:t>
      </w:r>
      <w:r>
        <w:rPr>
          <w:b w:val="0"/>
          <w:bCs w:val="0"/>
        </w:rPr>
        <w:t xml:space="preserve"> </w:t>
      </w:r>
      <w:r w:rsidRPr="00EC6A37">
        <w:rPr>
          <w:b w:val="0"/>
          <w:bCs w:val="0"/>
        </w:rPr>
        <w:t>information on PBM</w:t>
      </w:r>
      <w:r>
        <w:rPr>
          <w:b w:val="0"/>
          <w:bCs w:val="0"/>
        </w:rPr>
        <w:t xml:space="preserve"> </w:t>
      </w:r>
      <w:r w:rsidRPr="00EC6A37">
        <w:rPr>
          <w:b w:val="0"/>
          <w:bCs w:val="0"/>
        </w:rPr>
        <w:t xml:space="preserve">see: </w:t>
      </w:r>
      <w:hyperlink r:id="rId11" w:history="1">
        <w:r w:rsidR="007C6552" w:rsidRPr="000C74B3">
          <w:rPr>
            <w:rStyle w:val="Hyperlink"/>
            <w:rFonts w:cstheme="majorBidi"/>
            <w:b w:val="0"/>
            <w:bCs w:val="0"/>
          </w:rPr>
          <w:t>https://www.blood.gov.au/pbm-guidelines</w:t>
        </w:r>
      </w:hyperlink>
    </w:p>
    <w:p w14:paraId="1281264D" w14:textId="77777777" w:rsidR="00EC6A37" w:rsidRDefault="00EC6A37" w:rsidP="00B8146E">
      <w:pPr>
        <w:pStyle w:val="Heading2"/>
      </w:pPr>
    </w:p>
    <w:p w14:paraId="1B3AE6DB" w14:textId="2030FDB1" w:rsidR="00B8146E" w:rsidRPr="0054387D" w:rsidRDefault="00B8146E" w:rsidP="00B8146E">
      <w:pPr>
        <w:pStyle w:val="Heading2"/>
      </w:pPr>
      <w:r w:rsidRPr="0054387D">
        <w:t>Indication</w:t>
      </w:r>
    </w:p>
    <w:p w14:paraId="3DB7162F" w14:textId="0CE83772" w:rsidR="00B8146E" w:rsidRPr="0054387D" w:rsidRDefault="00B8146E" w:rsidP="006E1C8B">
      <w:pPr>
        <w:pStyle w:val="ListBullet"/>
        <w:numPr>
          <w:ilvl w:val="0"/>
          <w:numId w:val="0"/>
        </w:numPr>
        <w:ind w:left="426" w:hanging="426"/>
      </w:pPr>
      <w:r w:rsidRPr="0054387D">
        <w:t>For the treatment of iron deficiency anaemia:</w:t>
      </w:r>
    </w:p>
    <w:p w14:paraId="6BE48359" w14:textId="1C30541B" w:rsidR="00B8146E" w:rsidRPr="0054387D" w:rsidRDefault="00B8146E" w:rsidP="0074206C">
      <w:pPr>
        <w:pStyle w:val="ListBullet"/>
        <w:numPr>
          <w:ilvl w:val="0"/>
          <w:numId w:val="7"/>
        </w:numPr>
      </w:pPr>
      <w:r w:rsidRPr="0054387D">
        <w:t xml:space="preserve">When oral therapy is </w:t>
      </w:r>
      <w:r w:rsidR="00976030" w:rsidRPr="0054387D">
        <w:t>contraindicated,</w:t>
      </w:r>
      <w:r w:rsidRPr="0054387D">
        <w:t xml:space="preserve"> or inappropriate</w:t>
      </w:r>
      <w:r w:rsidR="006E1C8B">
        <w:t xml:space="preserve"> or</w:t>
      </w:r>
      <w:r w:rsidRPr="0054387D">
        <w:t xml:space="preserve"> enteric absorption of iron is defective</w:t>
      </w:r>
    </w:p>
    <w:p w14:paraId="388FCB4B" w14:textId="77777777" w:rsidR="00B8146E" w:rsidRPr="00491DC1" w:rsidRDefault="00B8146E" w:rsidP="0074206C">
      <w:pPr>
        <w:pStyle w:val="ListBullet"/>
        <w:numPr>
          <w:ilvl w:val="0"/>
          <w:numId w:val="7"/>
        </w:numPr>
        <w:rPr>
          <w:b/>
        </w:rPr>
      </w:pPr>
      <w:r>
        <w:t>N</w:t>
      </w:r>
      <w:r w:rsidRPr="0054387D">
        <w:t>on-compliance</w:t>
      </w:r>
      <w:r>
        <w:t xml:space="preserve"> with,</w:t>
      </w:r>
      <w:r w:rsidRPr="0054387D">
        <w:t xml:space="preserve"> or gastrointestinal upset </w:t>
      </w:r>
      <w:r>
        <w:t xml:space="preserve">from, </w:t>
      </w:r>
      <w:r w:rsidRPr="0054387D">
        <w:t xml:space="preserve">oral </w:t>
      </w:r>
      <w:r>
        <w:t>iron preparations</w:t>
      </w:r>
    </w:p>
    <w:p w14:paraId="7F76CDB1" w14:textId="77777777" w:rsidR="00B8146E" w:rsidRPr="00F81732" w:rsidRDefault="00B8146E" w:rsidP="0074206C">
      <w:pPr>
        <w:pStyle w:val="ListBullet"/>
        <w:numPr>
          <w:ilvl w:val="0"/>
          <w:numId w:val="7"/>
        </w:numPr>
        <w:rPr>
          <w:b/>
        </w:rPr>
      </w:pPr>
      <w:r>
        <w:t>Second or third trimester of pregnancy, for the above reasons, or to avoid blood transfusion</w:t>
      </w:r>
    </w:p>
    <w:p w14:paraId="0BBDEA27" w14:textId="77777777" w:rsidR="00B8146E" w:rsidRPr="002A5AF8" w:rsidRDefault="00B8146E" w:rsidP="0074206C">
      <w:pPr>
        <w:pStyle w:val="ListBullet"/>
        <w:numPr>
          <w:ilvl w:val="0"/>
          <w:numId w:val="7"/>
        </w:numPr>
        <w:rPr>
          <w:b/>
        </w:rPr>
      </w:pPr>
      <w:r>
        <w:t>Post-partum or post-surgical anaemia following acute large volume blood loss</w:t>
      </w:r>
    </w:p>
    <w:p w14:paraId="0FCC8E8C" w14:textId="2135815B" w:rsidR="00B8146E" w:rsidRPr="002A5AF8" w:rsidRDefault="00B8146E" w:rsidP="0074206C">
      <w:pPr>
        <w:pStyle w:val="ListBullet"/>
        <w:numPr>
          <w:ilvl w:val="0"/>
          <w:numId w:val="7"/>
        </w:numPr>
        <w:rPr>
          <w:b/>
        </w:rPr>
      </w:pPr>
      <w:r>
        <w:t>Pre-operative patients identified as iron deficient prior to surgery and if oral iron preparations are unlikely</w:t>
      </w:r>
      <w:r w:rsidR="00B2227E">
        <w:t xml:space="preserve"> to</w:t>
      </w:r>
      <w:r>
        <w:t xml:space="preserve"> replace iron stores in the required time</w:t>
      </w:r>
      <w:r w:rsidR="00D730E3">
        <w:t xml:space="preserve"> – Refer to </w:t>
      </w:r>
      <w:r w:rsidR="00976030">
        <w:t>Attachment</w:t>
      </w:r>
      <w:r w:rsidR="00D730E3">
        <w:t xml:space="preserve"> A</w:t>
      </w:r>
    </w:p>
    <w:p w14:paraId="35854310" w14:textId="1A7A4A31" w:rsidR="00B8146E" w:rsidRPr="00C04E41" w:rsidRDefault="00B8146E" w:rsidP="0074206C">
      <w:pPr>
        <w:pStyle w:val="ListBullet"/>
        <w:numPr>
          <w:ilvl w:val="0"/>
          <w:numId w:val="7"/>
        </w:numPr>
        <w:rPr>
          <w:b/>
        </w:rPr>
      </w:pPr>
      <w:r>
        <w:t>With</w:t>
      </w:r>
      <w:r w:rsidRPr="0054387D">
        <w:t xml:space="preserve"> erythropoietin therapy in patients with chronic renal impairment </w:t>
      </w:r>
      <w:r w:rsidR="003E5A88">
        <w:t xml:space="preserve">– Refer to </w:t>
      </w:r>
      <w:r w:rsidR="003E5A88" w:rsidRPr="006932FC">
        <w:rPr>
          <w:i/>
          <w:iCs/>
        </w:rPr>
        <w:t>Haemodialysis and Plasma Exchange for Adults Procedure</w:t>
      </w:r>
      <w:r w:rsidR="003E5A88">
        <w:t xml:space="preserve"> for information about iron in patients receiving haemodialysis.</w:t>
      </w:r>
    </w:p>
    <w:p w14:paraId="7CD667C4" w14:textId="4857CAC8" w:rsidR="00C04E41" w:rsidRPr="001B6BF9" w:rsidRDefault="00C04E41" w:rsidP="0074206C">
      <w:pPr>
        <w:pStyle w:val="ListBullet"/>
        <w:numPr>
          <w:ilvl w:val="0"/>
          <w:numId w:val="7"/>
        </w:numPr>
        <w:rPr>
          <w:b/>
        </w:rPr>
      </w:pPr>
      <w:r>
        <w:t>It is important to note that iron deficiency may occur without anaemia, and suboptimal iron stores will impact on the patient’s ability to respond to the increase in erythropoiesis associated with blood loss.</w:t>
      </w:r>
    </w:p>
    <w:p w14:paraId="6D85FAC2" w14:textId="77777777" w:rsidR="00F24FE2" w:rsidRDefault="00F24FE2" w:rsidP="00B8146E">
      <w:pPr>
        <w:pStyle w:val="Heading2"/>
      </w:pPr>
    </w:p>
    <w:p w14:paraId="546A8B1D" w14:textId="4E3F4D51" w:rsidR="00B8146E" w:rsidRPr="0054387D" w:rsidRDefault="00B8146E" w:rsidP="00B8146E">
      <w:pPr>
        <w:pStyle w:val="Heading2"/>
      </w:pPr>
      <w:r w:rsidRPr="0054387D">
        <w:t>Contraindications</w:t>
      </w:r>
    </w:p>
    <w:p w14:paraId="1667AA42" w14:textId="32FB163A" w:rsidR="00B8146E" w:rsidRDefault="00B8146E" w:rsidP="0074206C">
      <w:pPr>
        <w:pStyle w:val="ListBullet"/>
        <w:numPr>
          <w:ilvl w:val="0"/>
          <w:numId w:val="5"/>
        </w:numPr>
      </w:pPr>
      <w:r w:rsidRPr="0054387D">
        <w:t xml:space="preserve">Previous hypersensitivity to </w:t>
      </w:r>
      <w:r w:rsidR="002A575F">
        <w:t xml:space="preserve">a form of </w:t>
      </w:r>
      <w:r>
        <w:t xml:space="preserve">parenteral </w:t>
      </w:r>
      <w:r w:rsidRPr="0054387D">
        <w:t>iron</w:t>
      </w:r>
      <w:r>
        <w:t xml:space="preserve"> </w:t>
      </w:r>
      <w:r w:rsidRPr="0054387D">
        <w:t xml:space="preserve">– </w:t>
      </w:r>
      <w:r w:rsidR="002A575F">
        <w:t>alternative formulations, including</w:t>
      </w:r>
      <w:r w:rsidR="00B121D1">
        <w:t xml:space="preserve"> </w:t>
      </w:r>
      <w:r w:rsidRPr="0054387D">
        <w:t>iron sucrose (</w:t>
      </w:r>
      <w:proofErr w:type="spellStart"/>
      <w:r w:rsidRPr="0054387D">
        <w:t>Venofer</w:t>
      </w:r>
      <w:proofErr w:type="spellEnd"/>
      <w:r w:rsidRPr="002A5AF8">
        <w:rPr>
          <w:vertAlign w:val="superscript"/>
        </w:rPr>
        <w:t>®</w:t>
      </w:r>
      <w:r w:rsidRPr="0054387D">
        <w:t>) may be a</w:t>
      </w:r>
      <w:r>
        <w:t>n altern</w:t>
      </w:r>
      <w:r w:rsidRPr="0054387D">
        <w:t>ative</w:t>
      </w:r>
      <w:r>
        <w:t xml:space="preserve"> (see </w:t>
      </w:r>
      <w:r w:rsidR="006E1C8B">
        <w:t>S</w:t>
      </w:r>
      <w:r>
        <w:t xml:space="preserve">ection </w:t>
      </w:r>
      <w:r w:rsidR="006932FC">
        <w:t>4</w:t>
      </w:r>
      <w:r>
        <w:t>)</w:t>
      </w:r>
    </w:p>
    <w:p w14:paraId="21FB6DD6" w14:textId="024969F3" w:rsidR="00B8146E" w:rsidRDefault="00B8146E" w:rsidP="0074206C">
      <w:pPr>
        <w:pStyle w:val="ListBullet"/>
        <w:numPr>
          <w:ilvl w:val="0"/>
          <w:numId w:val="5"/>
        </w:numPr>
      </w:pPr>
      <w:r w:rsidRPr="0054387D">
        <w:t>Anaemia not caused by simple iron deficiency (</w:t>
      </w:r>
      <w:r w:rsidR="00976030" w:rsidRPr="0054387D">
        <w:t>e.g.,</w:t>
      </w:r>
      <w:r w:rsidRPr="0054387D">
        <w:t xml:space="preserve"> haemolytic anaemia, megaloblastic anaemia caused by vitamin B</w:t>
      </w:r>
      <w:r w:rsidRPr="002A5AF8">
        <w:rPr>
          <w:vertAlign w:val="subscript"/>
        </w:rPr>
        <w:t>12</w:t>
      </w:r>
      <w:r w:rsidRPr="0054387D">
        <w:t xml:space="preserve"> deficiency, disturbances in erythropoiesis, hypoplasia of the marrow) </w:t>
      </w:r>
    </w:p>
    <w:p w14:paraId="45B165A3" w14:textId="3F967FFC" w:rsidR="00B8146E" w:rsidRDefault="00B8146E" w:rsidP="0074206C">
      <w:pPr>
        <w:pStyle w:val="ListBullet"/>
        <w:numPr>
          <w:ilvl w:val="0"/>
          <w:numId w:val="5"/>
        </w:numPr>
      </w:pPr>
      <w:r w:rsidRPr="0054387D">
        <w:t>Iron overload (</w:t>
      </w:r>
      <w:r w:rsidR="00976030" w:rsidRPr="0054387D">
        <w:t>e.g.,</w:t>
      </w:r>
      <w:r w:rsidRPr="0054387D">
        <w:t xml:space="preserve"> haemochromatosis, </w:t>
      </w:r>
      <w:proofErr w:type="spellStart"/>
      <w:r w:rsidRPr="0054387D">
        <w:t>haemosiderosis</w:t>
      </w:r>
      <w:proofErr w:type="spellEnd"/>
      <w:r w:rsidRPr="0054387D">
        <w:t xml:space="preserve">) </w:t>
      </w:r>
    </w:p>
    <w:p w14:paraId="4194EF36" w14:textId="77777777" w:rsidR="00B8146E" w:rsidRDefault="00B8146E" w:rsidP="0074206C">
      <w:pPr>
        <w:pStyle w:val="ListBullet"/>
        <w:numPr>
          <w:ilvl w:val="0"/>
          <w:numId w:val="5"/>
        </w:numPr>
      </w:pPr>
      <w:r w:rsidRPr="0054387D">
        <w:t>Acute infectious renal complaints</w:t>
      </w:r>
    </w:p>
    <w:p w14:paraId="09A9D206" w14:textId="77777777" w:rsidR="00B8146E" w:rsidRDefault="00B8146E" w:rsidP="0074206C">
      <w:pPr>
        <w:pStyle w:val="ListBullet"/>
        <w:numPr>
          <w:ilvl w:val="0"/>
          <w:numId w:val="5"/>
        </w:numPr>
      </w:pPr>
      <w:r w:rsidRPr="0054387D">
        <w:t>Decompensated hepatic cirrhosis</w:t>
      </w:r>
    </w:p>
    <w:p w14:paraId="52EAD6C4" w14:textId="77777777" w:rsidR="00B8146E" w:rsidRDefault="00B8146E" w:rsidP="0074206C">
      <w:pPr>
        <w:pStyle w:val="ListBullet"/>
        <w:numPr>
          <w:ilvl w:val="0"/>
          <w:numId w:val="5"/>
        </w:numPr>
      </w:pPr>
      <w:r>
        <w:t>P</w:t>
      </w:r>
      <w:r w:rsidRPr="0054387D">
        <w:t>atients with severe inflammation or infection</w:t>
      </w:r>
    </w:p>
    <w:p w14:paraId="163E0BF3" w14:textId="77777777" w:rsidR="00B8146E" w:rsidRPr="0054387D" w:rsidRDefault="00B8146E" w:rsidP="0074206C">
      <w:pPr>
        <w:pStyle w:val="ListBullet"/>
        <w:numPr>
          <w:ilvl w:val="0"/>
          <w:numId w:val="5"/>
        </w:numPr>
      </w:pPr>
      <w:r w:rsidRPr="0054387D">
        <w:t>Uncontrolled hyperparathyroidism</w:t>
      </w:r>
    </w:p>
    <w:p w14:paraId="655D2E96" w14:textId="77777777" w:rsidR="00B8146E" w:rsidRPr="00491DC1" w:rsidRDefault="00B8146E" w:rsidP="006E1C8B">
      <w:pPr>
        <w:pStyle w:val="ListBullet"/>
        <w:numPr>
          <w:ilvl w:val="0"/>
          <w:numId w:val="0"/>
        </w:numPr>
        <w:ind w:left="426"/>
        <w:rPr>
          <w:rFonts w:asciiTheme="minorHAnsi" w:hAnsiTheme="minorHAnsi"/>
          <w:sz w:val="16"/>
        </w:rPr>
      </w:pPr>
    </w:p>
    <w:p w14:paraId="42D10B01" w14:textId="77777777" w:rsidR="00B8146E" w:rsidRPr="0054387D" w:rsidRDefault="00B8146E" w:rsidP="00B8146E">
      <w:pPr>
        <w:pStyle w:val="Heading2"/>
      </w:pPr>
      <w:r w:rsidRPr="0054387D">
        <w:t>Precautions</w:t>
      </w:r>
    </w:p>
    <w:p w14:paraId="68A00F62" w14:textId="2D673950" w:rsidR="00B8146E" w:rsidRPr="0054387D" w:rsidRDefault="00B8146E" w:rsidP="0074206C">
      <w:pPr>
        <w:pStyle w:val="ListBullet"/>
        <w:numPr>
          <w:ilvl w:val="0"/>
          <w:numId w:val="6"/>
        </w:numPr>
      </w:pPr>
      <w:r w:rsidRPr="0054387D">
        <w:t xml:space="preserve">Use with </w:t>
      </w:r>
      <w:r>
        <w:t>c</w:t>
      </w:r>
      <w:r w:rsidRPr="0054387D">
        <w:t xml:space="preserve">aution </w:t>
      </w:r>
      <w:r w:rsidR="006E1C8B">
        <w:t xml:space="preserve">after </w:t>
      </w:r>
      <w:r w:rsidRPr="0054387D">
        <w:t>consult</w:t>
      </w:r>
      <w:r w:rsidR="006E1C8B">
        <w:t>ing</w:t>
      </w:r>
      <w:r w:rsidRPr="0054387D">
        <w:t xml:space="preserve"> treating </w:t>
      </w:r>
      <w:r>
        <w:t>Medical Officer (</w:t>
      </w:r>
      <w:r w:rsidRPr="0054387D">
        <w:t>MO</w:t>
      </w:r>
      <w:r>
        <w:t>)</w:t>
      </w:r>
      <w:r w:rsidR="006E1C8B">
        <w:t xml:space="preserve"> for patients with</w:t>
      </w:r>
      <w:r w:rsidRPr="0054387D">
        <w:t>:</w:t>
      </w:r>
    </w:p>
    <w:p w14:paraId="5F7B23A0" w14:textId="77777777" w:rsidR="00B8146E" w:rsidRPr="00E76F72" w:rsidRDefault="00B8146E" w:rsidP="0074206C">
      <w:pPr>
        <w:pStyle w:val="ListBullet"/>
        <w:numPr>
          <w:ilvl w:val="0"/>
          <w:numId w:val="23"/>
        </w:numPr>
        <w:rPr>
          <w:b/>
        </w:rPr>
      </w:pPr>
      <w:r w:rsidRPr="0054387D">
        <w:t xml:space="preserve">Low iron binding capacity (increased chance of hypersensitivity)          </w:t>
      </w:r>
    </w:p>
    <w:p w14:paraId="1212A917" w14:textId="77777777" w:rsidR="00B8146E" w:rsidRPr="005C7DF0" w:rsidRDefault="00B8146E" w:rsidP="0074206C">
      <w:pPr>
        <w:pStyle w:val="ListBullet"/>
        <w:numPr>
          <w:ilvl w:val="0"/>
          <w:numId w:val="23"/>
        </w:numPr>
        <w:rPr>
          <w:b/>
        </w:rPr>
      </w:pPr>
      <w:r w:rsidRPr="0054387D">
        <w:t>Folic acid deficiency (increased chance of hypersensitivity)</w:t>
      </w:r>
    </w:p>
    <w:p w14:paraId="70ED8369" w14:textId="77777777" w:rsidR="00B8146E" w:rsidRPr="0054387D" w:rsidRDefault="00B8146E" w:rsidP="0074206C">
      <w:pPr>
        <w:pStyle w:val="ListBullet"/>
        <w:numPr>
          <w:ilvl w:val="0"/>
          <w:numId w:val="23"/>
        </w:numPr>
      </w:pPr>
      <w:r w:rsidRPr="0054387D">
        <w:t>Bronchial asthma (increased chance of hypersensitivity)</w:t>
      </w:r>
    </w:p>
    <w:p w14:paraId="62D74BDA" w14:textId="77777777" w:rsidR="00B8146E" w:rsidRPr="0054387D" w:rsidRDefault="00B8146E" w:rsidP="0074206C">
      <w:pPr>
        <w:pStyle w:val="ListBullet"/>
        <w:numPr>
          <w:ilvl w:val="0"/>
          <w:numId w:val="23"/>
        </w:numPr>
      </w:pPr>
      <w:r w:rsidRPr="0054387D">
        <w:t xml:space="preserve">Chronic polyarthritis </w:t>
      </w:r>
    </w:p>
    <w:p w14:paraId="7885DC02" w14:textId="77777777" w:rsidR="00B8146E" w:rsidRPr="0054387D" w:rsidRDefault="00B8146E" w:rsidP="0074206C">
      <w:pPr>
        <w:pStyle w:val="ListBullet"/>
        <w:numPr>
          <w:ilvl w:val="0"/>
          <w:numId w:val="23"/>
        </w:numPr>
      </w:pPr>
      <w:r w:rsidRPr="0054387D">
        <w:t>Infectious hepatitis</w:t>
      </w:r>
    </w:p>
    <w:p w14:paraId="4256358F" w14:textId="77777777" w:rsidR="00B8146E" w:rsidRPr="00491DC1" w:rsidRDefault="00B8146E" w:rsidP="00B8146E">
      <w:pPr>
        <w:pStyle w:val="Heading2"/>
        <w:rPr>
          <w:sz w:val="16"/>
        </w:rPr>
      </w:pPr>
    </w:p>
    <w:p w14:paraId="00517A1B" w14:textId="3C31D316" w:rsidR="00B8146E" w:rsidRPr="007A335F" w:rsidRDefault="00B8146E" w:rsidP="00B8146E">
      <w:pPr>
        <w:rPr>
          <w:b/>
          <w:bCs/>
          <w:vertAlign w:val="superscript"/>
        </w:rPr>
      </w:pPr>
      <w:r w:rsidRPr="00F62A96">
        <w:rPr>
          <w:b/>
          <w:bCs/>
        </w:rPr>
        <w:t>Infusion set-up</w:t>
      </w:r>
      <w:r w:rsidR="007A335F">
        <w:rPr>
          <w:b/>
          <w:bCs/>
          <w:vertAlign w:val="superscript"/>
        </w:rPr>
        <w:t>1</w:t>
      </w:r>
    </w:p>
    <w:p w14:paraId="28BC6687" w14:textId="77777777" w:rsidR="00E901C2" w:rsidRDefault="00E901C2" w:rsidP="00E901C2">
      <w:r>
        <w:t>To minimise risk of iron staining the following procedures are recommended:</w:t>
      </w:r>
    </w:p>
    <w:p w14:paraId="5EB61EC2" w14:textId="165AE3AE" w:rsidR="00E901C2" w:rsidRDefault="00E901C2" w:rsidP="0074206C">
      <w:pPr>
        <w:pStyle w:val="ListParagraph"/>
        <w:numPr>
          <w:ilvl w:val="0"/>
          <w:numId w:val="4"/>
        </w:numPr>
      </w:pPr>
      <w:r>
        <w:t xml:space="preserve">Distal veins of the forearm are preferred site for cannulation and administration of iron infusion (avoid the back of the hand, and sites of flexion </w:t>
      </w:r>
      <w:r w:rsidR="00976030">
        <w:t>e.g.,</w:t>
      </w:r>
      <w:r>
        <w:t xml:space="preserve"> antecubital fossa and wrist)</w:t>
      </w:r>
    </w:p>
    <w:p w14:paraId="0BC6F0E4" w14:textId="77777777" w:rsidR="00E901C2" w:rsidRDefault="00E901C2" w:rsidP="0074206C">
      <w:pPr>
        <w:pStyle w:val="ListParagraph"/>
        <w:numPr>
          <w:ilvl w:val="0"/>
          <w:numId w:val="4"/>
        </w:numPr>
      </w:pPr>
      <w:r>
        <w:t>Use appropriate cannula size (20 to 24 gauge)</w:t>
      </w:r>
    </w:p>
    <w:p w14:paraId="6A140A55" w14:textId="77777777" w:rsidR="00E901C2" w:rsidRDefault="00E901C2" w:rsidP="0074206C">
      <w:pPr>
        <w:pStyle w:val="ListParagraph"/>
        <w:numPr>
          <w:ilvl w:val="0"/>
          <w:numId w:val="4"/>
        </w:numPr>
      </w:pPr>
      <w:r>
        <w:t>Secure the cannula and use an extension set to minimise catheter movement</w:t>
      </w:r>
    </w:p>
    <w:p w14:paraId="1DDD3EDD" w14:textId="77777777" w:rsidR="00E901C2" w:rsidRDefault="00E901C2" w:rsidP="0074206C">
      <w:pPr>
        <w:pStyle w:val="ListParagraph"/>
        <w:numPr>
          <w:ilvl w:val="0"/>
          <w:numId w:val="4"/>
        </w:numPr>
      </w:pPr>
      <w:r>
        <w:t>Leave injection site uncovered, a bandage is not necessary.</w:t>
      </w:r>
    </w:p>
    <w:p w14:paraId="4BC171E9" w14:textId="77777777" w:rsidR="00E901C2" w:rsidRDefault="00E901C2" w:rsidP="0074206C">
      <w:pPr>
        <w:pStyle w:val="ListParagraph"/>
        <w:numPr>
          <w:ilvl w:val="0"/>
          <w:numId w:val="4"/>
        </w:numPr>
      </w:pPr>
      <w:r>
        <w:t>Minimise the number of cannulation attempts</w:t>
      </w:r>
    </w:p>
    <w:p w14:paraId="573BD860" w14:textId="77777777" w:rsidR="00E901C2" w:rsidRDefault="00E901C2" w:rsidP="0074206C">
      <w:pPr>
        <w:pStyle w:val="ListParagraph"/>
        <w:numPr>
          <w:ilvl w:val="0"/>
          <w:numId w:val="4"/>
        </w:numPr>
      </w:pPr>
      <w:r>
        <w:t>IV iron should be commenced only once the patency of the cannula has been confirmed</w:t>
      </w:r>
    </w:p>
    <w:p w14:paraId="2DE8C7D2" w14:textId="0754108B" w:rsidR="00E901C2" w:rsidRDefault="00E901C2" w:rsidP="0074206C">
      <w:pPr>
        <w:pStyle w:val="ListParagraph"/>
        <w:numPr>
          <w:ilvl w:val="0"/>
          <w:numId w:val="4"/>
        </w:numPr>
        <w:rPr>
          <w:lang w:eastAsia="en-AU"/>
        </w:rPr>
      </w:pPr>
      <w:r>
        <w:t xml:space="preserve">Do not administer infusions at </w:t>
      </w:r>
      <w:proofErr w:type="spellStart"/>
      <w:r w:rsidR="00976030">
        <w:t>nighttime</w:t>
      </w:r>
      <w:proofErr w:type="spellEnd"/>
      <w:r>
        <w:t xml:space="preserve"> or to patients who are unable to report symptoms (</w:t>
      </w:r>
      <w:r w:rsidR="00976030">
        <w:t>e.g.,</w:t>
      </w:r>
      <w:r>
        <w:t xml:space="preserve"> </w:t>
      </w:r>
      <w:r w:rsidR="00976030">
        <w:t>anaesthetised</w:t>
      </w:r>
      <w:r>
        <w:t xml:space="preserve"> patients)</w:t>
      </w:r>
    </w:p>
    <w:p w14:paraId="5AA302E8" w14:textId="3FCCE305" w:rsidR="00B8146E" w:rsidRDefault="00B8146E" w:rsidP="0074206C">
      <w:pPr>
        <w:pStyle w:val="ListParagraph"/>
        <w:numPr>
          <w:ilvl w:val="0"/>
          <w:numId w:val="4"/>
        </w:numPr>
      </w:pPr>
      <w:r>
        <w:t xml:space="preserve">Nursing staff should </w:t>
      </w:r>
      <w:r w:rsidR="00976030">
        <w:t>be always alert to extravasation</w:t>
      </w:r>
      <w:r>
        <w:t xml:space="preserve"> as parenteral iron can cause permanent staining of the skin. Refer to Section </w:t>
      </w:r>
      <w:r w:rsidR="0039014D">
        <w:t>5</w:t>
      </w:r>
      <w:r>
        <w:t xml:space="preserve"> for management.</w:t>
      </w:r>
    </w:p>
    <w:p w14:paraId="2F51A892" w14:textId="77777777" w:rsidR="007B6904" w:rsidRDefault="007B6904" w:rsidP="007B6904">
      <w:pPr>
        <w:rPr>
          <w:rFonts w:cs="Arial"/>
          <w:i/>
          <w:szCs w:val="24"/>
        </w:rPr>
      </w:pPr>
      <w:r>
        <w:rPr>
          <w:rFonts w:cs="Arial"/>
          <w:i/>
          <w:szCs w:val="24"/>
        </w:rPr>
        <w:t xml:space="preserve"> </w:t>
      </w:r>
    </w:p>
    <w:p w14:paraId="2F51A893" w14:textId="10D51873" w:rsidR="007B6904" w:rsidRDefault="009B36AD"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8146E" w:rsidRPr="00C76688" w14:paraId="00374391" w14:textId="77777777" w:rsidTr="00B8146E">
        <w:trPr>
          <w:cantSplit/>
          <w:trHeight w:val="285"/>
        </w:trPr>
        <w:tc>
          <w:tcPr>
            <w:tcW w:w="9158" w:type="dxa"/>
            <w:shd w:val="clear" w:color="auto" w:fill="A6A6A6" w:themeFill="background1" w:themeFillShade="A6"/>
          </w:tcPr>
          <w:p w14:paraId="0D7FF06D" w14:textId="3DD912B2" w:rsidR="00B8146E" w:rsidRPr="00C76688" w:rsidRDefault="00B8146E" w:rsidP="00B8146E">
            <w:pPr>
              <w:pStyle w:val="Heading1"/>
            </w:pPr>
            <w:bookmarkStart w:id="19" w:name="_Toc23158585"/>
            <w:bookmarkStart w:id="20" w:name="_Toc84588313"/>
            <w:r>
              <w:t xml:space="preserve">Section </w:t>
            </w:r>
            <w:r w:rsidR="006932FC">
              <w:t>2</w:t>
            </w:r>
            <w:r>
              <w:t xml:space="preserve"> - Iron P</w:t>
            </w:r>
            <w:r w:rsidRPr="00F62A96">
              <w:t>olymaltose</w:t>
            </w:r>
            <w:r>
              <w:t xml:space="preserve"> Infusion</w:t>
            </w:r>
            <w:bookmarkEnd w:id="19"/>
            <w:bookmarkEnd w:id="20"/>
          </w:p>
        </w:tc>
      </w:tr>
    </w:tbl>
    <w:p w14:paraId="6327CD77" w14:textId="77777777" w:rsidR="00B8146E" w:rsidRDefault="00B8146E" w:rsidP="00B8146E">
      <w:pPr>
        <w:pStyle w:val="Heading2"/>
      </w:pPr>
    </w:p>
    <w:p w14:paraId="09024C7D" w14:textId="77777777" w:rsidR="00B8146E" w:rsidRDefault="00B8146E" w:rsidP="00B8146E">
      <w:pPr>
        <w:pStyle w:val="Heading2"/>
      </w:pPr>
      <w:r>
        <w:t>Indication</w:t>
      </w:r>
    </w:p>
    <w:p w14:paraId="383D1BBF" w14:textId="2CB7CB44" w:rsidR="00B8146E" w:rsidRDefault="00D05BDF" w:rsidP="0074206C">
      <w:pPr>
        <w:pStyle w:val="ListParagraph"/>
        <w:numPr>
          <w:ilvl w:val="0"/>
          <w:numId w:val="18"/>
        </w:numPr>
      </w:pPr>
      <w:r>
        <w:t xml:space="preserve">Iron </w:t>
      </w:r>
      <w:r w:rsidR="00AC666D">
        <w:t>Polymaltose</w:t>
      </w:r>
      <w:r>
        <w:t xml:space="preserve"> i</w:t>
      </w:r>
      <w:r w:rsidR="00AC666D">
        <w:t>s</w:t>
      </w:r>
      <w:r>
        <w:t xml:space="preserve"> the f</w:t>
      </w:r>
      <w:r w:rsidR="00B8146E">
        <w:t xml:space="preserve">irst line option for </w:t>
      </w:r>
      <w:r>
        <w:t xml:space="preserve">parenteral </w:t>
      </w:r>
      <w:r w:rsidR="00B8146E">
        <w:t xml:space="preserve">iron for inpatients. Refer to </w:t>
      </w:r>
      <w:hyperlink r:id="rId12" w:history="1">
        <w:r w:rsidR="00005DD9" w:rsidRPr="00005DD9">
          <w:rPr>
            <w:rStyle w:val="Hyperlink"/>
          </w:rPr>
          <w:t>Canberra Hospital Formulary</w:t>
        </w:r>
      </w:hyperlink>
      <w:r w:rsidR="00B8146E">
        <w:t xml:space="preserve"> for further information</w:t>
      </w:r>
      <w:r>
        <w:t xml:space="preserve"> on availability of other forms of parenteral iron</w:t>
      </w:r>
      <w:r w:rsidR="00B8146E">
        <w:t>.</w:t>
      </w:r>
    </w:p>
    <w:p w14:paraId="53C14B00" w14:textId="77777777" w:rsidR="000C52F5" w:rsidRPr="00F473A2" w:rsidRDefault="000C52F5" w:rsidP="00B8146E"/>
    <w:p w14:paraId="090BC182" w14:textId="77777777" w:rsidR="00B8146E" w:rsidRDefault="00B8146E" w:rsidP="00B8146E">
      <w:pPr>
        <w:pStyle w:val="Heading2"/>
      </w:pPr>
      <w:r>
        <w:t>Availability</w:t>
      </w:r>
    </w:p>
    <w:p w14:paraId="230B47A9" w14:textId="28E65560" w:rsidR="00B8146E" w:rsidRDefault="00B8146E" w:rsidP="0074206C">
      <w:pPr>
        <w:pStyle w:val="ListBullet"/>
        <w:numPr>
          <w:ilvl w:val="0"/>
          <w:numId w:val="10"/>
        </w:numPr>
      </w:pPr>
      <w:r>
        <w:t>Standard ready-made i</w:t>
      </w:r>
      <w:r w:rsidRPr="0054387D">
        <w:t>ron polymaltose infusion</w:t>
      </w:r>
      <w:r>
        <w:t xml:space="preserve"> bags are available from the pharmacy department and in some ward areas</w:t>
      </w:r>
      <w:r w:rsidR="00D05BDF">
        <w:t>,</w:t>
      </w:r>
      <w:r>
        <w:t xml:space="preserve"> for the following </w:t>
      </w:r>
      <w:r w:rsidR="00D05BDF">
        <w:t xml:space="preserve">standard </w:t>
      </w:r>
      <w:r>
        <w:t>doses</w:t>
      </w:r>
      <w:r w:rsidR="0039014D">
        <w:t>:</w:t>
      </w:r>
    </w:p>
    <w:p w14:paraId="02C8D10D" w14:textId="77777777" w:rsidR="00B8146E" w:rsidRPr="00FB233D" w:rsidRDefault="00B8146E" w:rsidP="0074206C">
      <w:pPr>
        <w:pStyle w:val="ListBullet"/>
        <w:numPr>
          <w:ilvl w:val="0"/>
          <w:numId w:val="24"/>
        </w:numPr>
        <w:rPr>
          <w:b/>
        </w:rPr>
      </w:pPr>
      <w:r>
        <w:t xml:space="preserve">Iron polymaltose </w:t>
      </w:r>
      <w:r w:rsidRPr="00587901">
        <w:t>1</w:t>
      </w:r>
      <w:r>
        <w:t>000m</w:t>
      </w:r>
      <w:r w:rsidRPr="00587901">
        <w:t xml:space="preserve">g in </w:t>
      </w:r>
      <w:r>
        <w:t xml:space="preserve">250mL </w:t>
      </w:r>
      <w:r w:rsidRPr="00587901">
        <w:t>sodium chloride 0.</w:t>
      </w:r>
      <w:r w:rsidRPr="00491DC1">
        <w:t>9</w:t>
      </w:r>
      <w:r w:rsidRPr="00587901">
        <w:t>%</w:t>
      </w:r>
      <w:r>
        <w:t xml:space="preserve"> (final volume 285mL)</w:t>
      </w:r>
    </w:p>
    <w:p w14:paraId="6D088B1B" w14:textId="77777777" w:rsidR="00B8146E" w:rsidRPr="00FB233D" w:rsidRDefault="00B8146E" w:rsidP="0074206C">
      <w:pPr>
        <w:pStyle w:val="ListBullet"/>
        <w:numPr>
          <w:ilvl w:val="0"/>
          <w:numId w:val="24"/>
        </w:numPr>
        <w:rPr>
          <w:b/>
          <w:bCs/>
        </w:rPr>
      </w:pPr>
      <w:r>
        <w:t xml:space="preserve">Iron polymaltose </w:t>
      </w:r>
      <w:r w:rsidRPr="00587901">
        <w:t>15</w:t>
      </w:r>
      <w:r>
        <w:t>00m</w:t>
      </w:r>
      <w:r w:rsidRPr="00587901">
        <w:t xml:space="preserve">g in </w:t>
      </w:r>
      <w:r>
        <w:t>500mL</w:t>
      </w:r>
      <w:r w:rsidRPr="00587901">
        <w:t xml:space="preserve"> sodium chloride 0.9%</w:t>
      </w:r>
      <w:r>
        <w:t xml:space="preserve"> (final volume 575mL)</w:t>
      </w:r>
    </w:p>
    <w:p w14:paraId="7BCD6B2A" w14:textId="77777777" w:rsidR="00B8146E" w:rsidRPr="00FB233D" w:rsidRDefault="00B8146E" w:rsidP="0074206C">
      <w:pPr>
        <w:pStyle w:val="ListBullet"/>
        <w:numPr>
          <w:ilvl w:val="0"/>
          <w:numId w:val="24"/>
        </w:numPr>
        <w:rPr>
          <w:b/>
          <w:bCs/>
        </w:rPr>
      </w:pPr>
      <w:r w:rsidRPr="00FB2D98">
        <w:t>Iron polymaltose 2000mg in 500mL sodium chloride</w:t>
      </w:r>
      <w:r>
        <w:t xml:space="preserve"> 0.9%</w:t>
      </w:r>
      <w:r w:rsidRPr="00FB2D98">
        <w:t xml:space="preserve"> (final volume 585mL</w:t>
      </w:r>
      <w:r>
        <w:t>)</w:t>
      </w:r>
    </w:p>
    <w:p w14:paraId="00A475F2" w14:textId="3F8C6B2E" w:rsidR="00B8146E" w:rsidRDefault="00B8146E" w:rsidP="0074206C">
      <w:pPr>
        <w:pStyle w:val="ListBullet"/>
        <w:numPr>
          <w:ilvl w:val="0"/>
          <w:numId w:val="10"/>
        </w:numPr>
      </w:pPr>
      <w:r>
        <w:t>For compounding of alternative doses or fluid options please contact your ward pharmacist, or the Pharmacy IV Room, on x42633 or 02 5124 2633</w:t>
      </w:r>
    </w:p>
    <w:p w14:paraId="404D6AAE" w14:textId="77777777" w:rsidR="00B8146E" w:rsidRDefault="00B8146E" w:rsidP="00D05BDF">
      <w:pPr>
        <w:pStyle w:val="ListBullet"/>
        <w:numPr>
          <w:ilvl w:val="0"/>
          <w:numId w:val="0"/>
        </w:numPr>
        <w:ind w:left="426" w:hanging="426"/>
        <w:rPr>
          <w:szCs w:val="24"/>
        </w:rPr>
      </w:pPr>
    </w:p>
    <w:p w14:paraId="4A1E5F51" w14:textId="77777777" w:rsidR="00D05BDF" w:rsidRPr="00F8067E" w:rsidRDefault="00D05BDF" w:rsidP="00D05BDF">
      <w:pPr>
        <w:pStyle w:val="Heading2"/>
      </w:pPr>
      <w:r>
        <w:t xml:space="preserve">Prescribing </w:t>
      </w:r>
    </w:p>
    <w:p w14:paraId="0A3B8477" w14:textId="268F846B" w:rsidR="00D05BDF" w:rsidRDefault="00D05BDF" w:rsidP="0074206C">
      <w:pPr>
        <w:pStyle w:val="ListBullet"/>
        <w:numPr>
          <w:ilvl w:val="0"/>
          <w:numId w:val="9"/>
        </w:numPr>
        <w:ind w:left="360"/>
      </w:pPr>
      <w:r w:rsidRPr="0054387D">
        <w:t xml:space="preserve">Dose is based on </w:t>
      </w:r>
      <w:r w:rsidR="00870E8B">
        <w:t xml:space="preserve">body </w:t>
      </w:r>
      <w:r w:rsidRPr="0054387D">
        <w:t xml:space="preserve">weight and </w:t>
      </w:r>
      <w:r w:rsidR="00870E8B">
        <w:t>haemoglobin</w:t>
      </w:r>
      <w:r w:rsidRPr="0054387D">
        <w:t xml:space="preserve"> of the patient </w:t>
      </w:r>
      <w:r>
        <w:t>– refer to table below</w:t>
      </w:r>
    </w:p>
    <w:p w14:paraId="28557B22" w14:textId="4A87DE4D" w:rsidR="00D05BDF" w:rsidRDefault="00D05BDF" w:rsidP="0074206C">
      <w:pPr>
        <w:pStyle w:val="ListBullet"/>
        <w:numPr>
          <w:ilvl w:val="0"/>
          <w:numId w:val="9"/>
        </w:numPr>
        <w:ind w:left="360"/>
      </w:pPr>
      <w:r w:rsidRPr="0054387D">
        <w:t xml:space="preserve">If </w:t>
      </w:r>
      <w:r>
        <w:t xml:space="preserve">the </w:t>
      </w:r>
      <w:r w:rsidRPr="0054387D">
        <w:t xml:space="preserve">patient has been given a blood transfusion </w:t>
      </w:r>
      <w:r w:rsidR="00976030" w:rsidRPr="0054387D">
        <w:t>to</w:t>
      </w:r>
      <w:r w:rsidRPr="0054387D">
        <w:t xml:space="preserve"> correct the low </w:t>
      </w:r>
      <w:r w:rsidR="00870E8B">
        <w:t>haemoglobin</w:t>
      </w:r>
      <w:r w:rsidRPr="0054387D">
        <w:t xml:space="preserve">, use the </w:t>
      </w:r>
      <w:r>
        <w:t>POST</w:t>
      </w:r>
      <w:r w:rsidRPr="0054387D">
        <w:t xml:space="preserve">-transfusion </w:t>
      </w:r>
      <w:r w:rsidR="00870E8B">
        <w:t>haemoglobin</w:t>
      </w:r>
      <w:r w:rsidRPr="0054387D">
        <w:t xml:space="preserve"> to calculate dose</w:t>
      </w:r>
    </w:p>
    <w:p w14:paraId="7261A024" w14:textId="1E52A416" w:rsidR="00D05BDF" w:rsidRDefault="00D05BDF" w:rsidP="0074206C">
      <w:pPr>
        <w:pStyle w:val="ListBullet"/>
        <w:numPr>
          <w:ilvl w:val="0"/>
          <w:numId w:val="9"/>
        </w:numPr>
        <w:ind w:left="360"/>
      </w:pPr>
      <w:r>
        <w:t xml:space="preserve">Only 1000mg iron polymaltose infusions can be given by rapid </w:t>
      </w:r>
      <w:r w:rsidR="00870E8B">
        <w:t>infusion</w:t>
      </w:r>
      <w:r w:rsidR="00A670EE">
        <w:t xml:space="preserve"> (total infusion time 81 minutes)</w:t>
      </w:r>
    </w:p>
    <w:p w14:paraId="47249441" w14:textId="08F89889" w:rsidR="0039014D" w:rsidRDefault="0039014D">
      <w:pPr>
        <w:spacing w:after="200" w:line="276" w:lineRule="auto"/>
      </w:pPr>
      <w:r>
        <w:br w:type="page"/>
      </w:r>
    </w:p>
    <w:p w14:paraId="75025DAA" w14:textId="7B63D94E" w:rsidR="00B8146E" w:rsidRDefault="00B8146E" w:rsidP="00B8146E">
      <w:pPr>
        <w:pStyle w:val="Heading2"/>
      </w:pPr>
      <w:r w:rsidRPr="00EE03A6">
        <w:lastRenderedPageBreak/>
        <w:t>Dose of Elemental Iron Required</w:t>
      </w:r>
      <w:r>
        <w:t xml:space="preserve"> - Simplified dosing </w:t>
      </w:r>
      <w:r w:rsidR="00680489">
        <w:rPr>
          <w:b w:val="0"/>
          <w:sz w:val="20"/>
          <w:szCs w:val="20"/>
          <w:vertAlign w:val="superscript"/>
        </w:rPr>
        <w:t>2</w:t>
      </w:r>
      <w:r w:rsidRPr="00FB233D">
        <w:rPr>
          <w:b w:val="0"/>
          <w:sz w:val="20"/>
          <w:szCs w:val="20"/>
          <w:vertAlign w:val="superscript"/>
        </w:rPr>
        <w:t>,1</w:t>
      </w:r>
      <w:r w:rsidR="00680489">
        <w:rPr>
          <w:b w:val="0"/>
          <w:sz w:val="20"/>
          <w:szCs w:val="20"/>
          <w:vertAlign w:val="superscript"/>
        </w:rPr>
        <w:t>4</w:t>
      </w:r>
    </w:p>
    <w:p w14:paraId="76D040DC" w14:textId="3AAD40F6" w:rsidR="00B8146E" w:rsidDel="00E9347F" w:rsidRDefault="00B8146E" w:rsidP="0074206C">
      <w:pPr>
        <w:pStyle w:val="ListBullet"/>
        <w:numPr>
          <w:ilvl w:val="0"/>
          <w:numId w:val="11"/>
        </w:numPr>
        <w:jc w:val="both"/>
      </w:pPr>
      <w:r w:rsidRPr="0054387D" w:rsidDel="00E9347F">
        <w:t xml:space="preserve">Dose is based on </w:t>
      </w:r>
      <w:r w:rsidR="00870E8B">
        <w:t xml:space="preserve">body </w:t>
      </w:r>
      <w:r w:rsidRPr="0054387D" w:rsidDel="00E9347F">
        <w:t xml:space="preserve">weight and </w:t>
      </w:r>
      <w:r>
        <w:t>haemoglobin</w:t>
      </w:r>
      <w:r w:rsidRPr="0054387D" w:rsidDel="00E9347F">
        <w:t xml:space="preserve"> of the patient </w:t>
      </w:r>
    </w:p>
    <w:p w14:paraId="2E552CBD" w14:textId="77777777" w:rsidR="00B8146E" w:rsidRPr="0094759F" w:rsidRDefault="00B8146E" w:rsidP="00B8146E"/>
    <w:tbl>
      <w:tblPr>
        <w:tblStyle w:val="TableGrid"/>
        <w:tblW w:w="9060" w:type="dxa"/>
        <w:tblLook w:val="04A0" w:firstRow="1" w:lastRow="0" w:firstColumn="1" w:lastColumn="0" w:noHBand="0" w:noVBand="1"/>
      </w:tblPr>
      <w:tblGrid>
        <w:gridCol w:w="3020"/>
        <w:gridCol w:w="3020"/>
        <w:gridCol w:w="3020"/>
      </w:tblGrid>
      <w:tr w:rsidR="00B8146E" w14:paraId="654870F0" w14:textId="77777777" w:rsidTr="00D05BDF">
        <w:tc>
          <w:tcPr>
            <w:tcW w:w="3020" w:type="dxa"/>
            <w:tcBorders>
              <w:top w:val="nil"/>
              <w:left w:val="nil"/>
            </w:tcBorders>
            <w:shd w:val="clear" w:color="auto" w:fill="auto"/>
          </w:tcPr>
          <w:p w14:paraId="14A20908" w14:textId="77777777" w:rsidR="00B8146E" w:rsidRDefault="00B8146E" w:rsidP="00B8146E">
            <w:pPr>
              <w:jc w:val="center"/>
            </w:pPr>
          </w:p>
        </w:tc>
        <w:tc>
          <w:tcPr>
            <w:tcW w:w="3020" w:type="dxa"/>
            <w:shd w:val="clear" w:color="auto" w:fill="D9D9D9" w:themeFill="background1" w:themeFillShade="D9"/>
          </w:tcPr>
          <w:p w14:paraId="27413E7E" w14:textId="77777777" w:rsidR="00B8146E" w:rsidRDefault="00B8146E" w:rsidP="00B8146E">
            <w:pPr>
              <w:jc w:val="center"/>
            </w:pPr>
            <w:r>
              <w:t>Body Weight &lt; 70kg</w:t>
            </w:r>
          </w:p>
        </w:tc>
        <w:tc>
          <w:tcPr>
            <w:tcW w:w="3020" w:type="dxa"/>
            <w:shd w:val="clear" w:color="auto" w:fill="D9D9D9" w:themeFill="background1" w:themeFillShade="D9"/>
          </w:tcPr>
          <w:p w14:paraId="0D071F4C" w14:textId="77777777" w:rsidR="00B8146E" w:rsidRDefault="00B8146E" w:rsidP="00B8146E">
            <w:pPr>
              <w:jc w:val="center"/>
            </w:pPr>
            <w:r>
              <w:t>Body Weight ≥70kg</w:t>
            </w:r>
          </w:p>
        </w:tc>
      </w:tr>
      <w:tr w:rsidR="00B8146E" w14:paraId="30054C34" w14:textId="77777777" w:rsidTr="00B8146E">
        <w:tc>
          <w:tcPr>
            <w:tcW w:w="3020" w:type="dxa"/>
          </w:tcPr>
          <w:p w14:paraId="27218839" w14:textId="77777777" w:rsidR="00B8146E" w:rsidRDefault="00B8146E" w:rsidP="00B8146E">
            <w:pPr>
              <w:jc w:val="center"/>
            </w:pPr>
            <w:r>
              <w:t xml:space="preserve">Haemoglobin (g/L) </w:t>
            </w:r>
          </w:p>
          <w:p w14:paraId="4C73AECD" w14:textId="77777777" w:rsidR="00B8146E" w:rsidRDefault="00B8146E" w:rsidP="00B8146E">
            <w:pPr>
              <w:jc w:val="center"/>
            </w:pPr>
            <w:r>
              <w:t>pre-blood transfusion</w:t>
            </w:r>
          </w:p>
        </w:tc>
        <w:tc>
          <w:tcPr>
            <w:tcW w:w="6040" w:type="dxa"/>
            <w:gridSpan w:val="2"/>
          </w:tcPr>
          <w:p w14:paraId="0D05BBE1" w14:textId="77777777" w:rsidR="00B8146E" w:rsidRDefault="00B8146E" w:rsidP="00B8146E">
            <w:pPr>
              <w:jc w:val="center"/>
            </w:pPr>
            <w:r>
              <w:t>Dose of elemental iron (mg)</w:t>
            </w:r>
          </w:p>
        </w:tc>
      </w:tr>
      <w:tr w:rsidR="00B8146E" w14:paraId="2EE1C499" w14:textId="77777777" w:rsidTr="00B8146E">
        <w:tc>
          <w:tcPr>
            <w:tcW w:w="3020" w:type="dxa"/>
          </w:tcPr>
          <w:p w14:paraId="564939D6" w14:textId="77777777" w:rsidR="00B8146E" w:rsidRDefault="00B8146E" w:rsidP="00B8146E">
            <w:pPr>
              <w:jc w:val="center"/>
            </w:pPr>
            <w:r>
              <w:t>≥ 100</w:t>
            </w:r>
          </w:p>
        </w:tc>
        <w:tc>
          <w:tcPr>
            <w:tcW w:w="3020" w:type="dxa"/>
          </w:tcPr>
          <w:p w14:paraId="523CA381" w14:textId="77777777" w:rsidR="00B8146E" w:rsidRDefault="00B8146E" w:rsidP="00B8146E">
            <w:pPr>
              <w:jc w:val="center"/>
            </w:pPr>
            <w:r>
              <w:t>1000mg</w:t>
            </w:r>
          </w:p>
        </w:tc>
        <w:tc>
          <w:tcPr>
            <w:tcW w:w="3020" w:type="dxa"/>
          </w:tcPr>
          <w:p w14:paraId="7B5960C1" w14:textId="77777777" w:rsidR="00B8146E" w:rsidRDefault="00B8146E" w:rsidP="00B8146E">
            <w:pPr>
              <w:jc w:val="center"/>
            </w:pPr>
            <w:r>
              <w:t>1500mg</w:t>
            </w:r>
          </w:p>
        </w:tc>
      </w:tr>
      <w:tr w:rsidR="00B8146E" w14:paraId="5FCA0CD2" w14:textId="77777777" w:rsidTr="00B8146E">
        <w:tc>
          <w:tcPr>
            <w:tcW w:w="3020" w:type="dxa"/>
          </w:tcPr>
          <w:p w14:paraId="263FFE6C" w14:textId="77777777" w:rsidR="00B8146E" w:rsidRDefault="00B8146E" w:rsidP="00B8146E">
            <w:pPr>
              <w:jc w:val="center"/>
            </w:pPr>
            <w:r>
              <w:t>70 to 99</w:t>
            </w:r>
          </w:p>
        </w:tc>
        <w:tc>
          <w:tcPr>
            <w:tcW w:w="3020" w:type="dxa"/>
          </w:tcPr>
          <w:p w14:paraId="00102ABD" w14:textId="77777777" w:rsidR="00B8146E" w:rsidRDefault="00B8146E" w:rsidP="00B8146E">
            <w:pPr>
              <w:jc w:val="center"/>
            </w:pPr>
            <w:r>
              <w:t>1500mg</w:t>
            </w:r>
          </w:p>
        </w:tc>
        <w:tc>
          <w:tcPr>
            <w:tcW w:w="3020" w:type="dxa"/>
          </w:tcPr>
          <w:p w14:paraId="07443C4D" w14:textId="77777777" w:rsidR="00B8146E" w:rsidRDefault="00B8146E" w:rsidP="00B8146E">
            <w:pPr>
              <w:jc w:val="center"/>
            </w:pPr>
            <w:r>
              <w:t>2000mg</w:t>
            </w:r>
          </w:p>
        </w:tc>
      </w:tr>
      <w:tr w:rsidR="00B8146E" w14:paraId="55BBA4AB" w14:textId="77777777" w:rsidTr="00B8146E">
        <w:tc>
          <w:tcPr>
            <w:tcW w:w="3020" w:type="dxa"/>
          </w:tcPr>
          <w:p w14:paraId="655ABA49" w14:textId="77777777" w:rsidR="00B8146E" w:rsidRPr="00257F6E" w:rsidRDefault="00B8146E" w:rsidP="00B8146E">
            <w:pPr>
              <w:jc w:val="center"/>
            </w:pPr>
            <w:r w:rsidRPr="00257F6E">
              <w:t>&lt; 70</w:t>
            </w:r>
          </w:p>
        </w:tc>
        <w:tc>
          <w:tcPr>
            <w:tcW w:w="3020" w:type="dxa"/>
          </w:tcPr>
          <w:p w14:paraId="64A95CA8" w14:textId="77777777" w:rsidR="00B8146E" w:rsidRPr="00257F6E" w:rsidRDefault="00B8146E" w:rsidP="00B8146E">
            <w:pPr>
              <w:jc w:val="center"/>
            </w:pPr>
            <w:r w:rsidRPr="00257F6E">
              <w:t>2000mg</w:t>
            </w:r>
          </w:p>
        </w:tc>
        <w:tc>
          <w:tcPr>
            <w:tcW w:w="3020" w:type="dxa"/>
          </w:tcPr>
          <w:p w14:paraId="50548693" w14:textId="77777777" w:rsidR="00B8146E" w:rsidRPr="00257F6E" w:rsidRDefault="00B8146E" w:rsidP="00B8146E">
            <w:pPr>
              <w:jc w:val="center"/>
            </w:pPr>
            <w:r w:rsidRPr="00257F6E">
              <w:t>2000mg</w:t>
            </w:r>
          </w:p>
        </w:tc>
      </w:tr>
    </w:tbl>
    <w:p w14:paraId="1AA92A36" w14:textId="77777777" w:rsidR="00B8146E" w:rsidRPr="001241E6" w:rsidRDefault="00B8146E" w:rsidP="00D05BDF">
      <w:pPr>
        <w:pStyle w:val="ListBullet"/>
        <w:numPr>
          <w:ilvl w:val="0"/>
          <w:numId w:val="0"/>
        </w:numPr>
        <w:ind w:left="426" w:firstLine="294"/>
        <w:rPr>
          <w:sz w:val="20"/>
        </w:rPr>
      </w:pPr>
      <w:r w:rsidRPr="001241E6">
        <w:rPr>
          <w:sz w:val="20"/>
        </w:rPr>
        <w:t xml:space="preserve">* </w:t>
      </w:r>
      <w:r>
        <w:rPr>
          <w:sz w:val="20"/>
        </w:rPr>
        <w:t>R</w:t>
      </w:r>
      <w:r w:rsidRPr="001241E6">
        <w:rPr>
          <w:sz w:val="20"/>
        </w:rPr>
        <w:t>api</w:t>
      </w:r>
      <w:r>
        <w:rPr>
          <w:sz w:val="20"/>
        </w:rPr>
        <w:t>d infusion rates only available for 1</w:t>
      </w:r>
      <w:r w:rsidRPr="001241E6">
        <w:rPr>
          <w:sz w:val="20"/>
        </w:rPr>
        <w:t xml:space="preserve">000mg iron polymaltose </w:t>
      </w:r>
    </w:p>
    <w:p w14:paraId="66C51748" w14:textId="77777777" w:rsidR="00B8146E" w:rsidRPr="001241E6" w:rsidRDefault="00B8146E" w:rsidP="00D05BDF">
      <w:pPr>
        <w:pStyle w:val="ListBullet"/>
        <w:numPr>
          <w:ilvl w:val="0"/>
          <w:numId w:val="0"/>
        </w:numPr>
        <w:ind w:left="426" w:firstLine="294"/>
        <w:rPr>
          <w:sz w:val="20"/>
        </w:rPr>
      </w:pPr>
      <w:r w:rsidRPr="001241E6">
        <w:rPr>
          <w:sz w:val="20"/>
        </w:rPr>
        <w:t>Note: Renal physicians may request iron polymaltose at a dose of 500mg</w:t>
      </w:r>
    </w:p>
    <w:p w14:paraId="321B11CE" w14:textId="77777777" w:rsidR="00B8146E" w:rsidRPr="0009205A" w:rsidRDefault="00B8146E" w:rsidP="00D05BDF">
      <w:pPr>
        <w:pStyle w:val="ListBullet"/>
        <w:numPr>
          <w:ilvl w:val="0"/>
          <w:numId w:val="0"/>
        </w:numPr>
        <w:ind w:left="426"/>
        <w:rPr>
          <w:sz w:val="16"/>
          <w:szCs w:val="16"/>
        </w:rPr>
      </w:pPr>
    </w:p>
    <w:p w14:paraId="5386CDD9" w14:textId="624961EB" w:rsidR="00B8146E" w:rsidRDefault="00870E8B" w:rsidP="0074206C">
      <w:pPr>
        <w:pStyle w:val="ListBullet"/>
        <w:numPr>
          <w:ilvl w:val="0"/>
          <w:numId w:val="12"/>
        </w:numPr>
      </w:pPr>
      <w:r>
        <w:t>If haemoglobin</w:t>
      </w:r>
      <w:r w:rsidR="00B8146E">
        <w:t xml:space="preserve"> level is not available a suggested dose based on body weight is:</w:t>
      </w:r>
    </w:p>
    <w:p w14:paraId="7593D8A4" w14:textId="77777777" w:rsidR="00B8146E" w:rsidRDefault="00B8146E" w:rsidP="0074206C">
      <w:pPr>
        <w:pStyle w:val="ListBullet"/>
        <w:numPr>
          <w:ilvl w:val="0"/>
          <w:numId w:val="25"/>
        </w:numPr>
      </w:pPr>
      <w:r>
        <w:t>&lt; 70kg body weight = 1000mg elemental iron</w:t>
      </w:r>
    </w:p>
    <w:p w14:paraId="43EB117A" w14:textId="77777777" w:rsidR="00B8146E" w:rsidRDefault="00B8146E" w:rsidP="0074206C">
      <w:pPr>
        <w:pStyle w:val="ListBullet"/>
        <w:numPr>
          <w:ilvl w:val="0"/>
          <w:numId w:val="25"/>
        </w:numPr>
      </w:pPr>
      <w:r>
        <w:t>≥ 70kg body weight = 1500mg elemental iron</w:t>
      </w:r>
    </w:p>
    <w:p w14:paraId="2C0A3F93" w14:textId="77777777" w:rsidR="00B8146E" w:rsidRDefault="00B8146E" w:rsidP="0074206C">
      <w:pPr>
        <w:pStyle w:val="ListBullet"/>
        <w:numPr>
          <w:ilvl w:val="0"/>
          <w:numId w:val="11"/>
        </w:numPr>
        <w:jc w:val="both"/>
      </w:pPr>
      <w:r>
        <w:t xml:space="preserve">If Body Mass Index (BMI) ≥ 30, base the dose calculation on ideal (not actual) body weight </w:t>
      </w:r>
    </w:p>
    <w:p w14:paraId="2035C478" w14:textId="77777777" w:rsidR="00B8146E" w:rsidRDefault="00B8146E" w:rsidP="0074206C">
      <w:pPr>
        <w:pStyle w:val="ListBullet"/>
        <w:numPr>
          <w:ilvl w:val="0"/>
          <w:numId w:val="11"/>
        </w:numPr>
        <w:jc w:val="both"/>
      </w:pPr>
      <w:r>
        <w:t>In pregnant women, the pre-pregnancy weight should be used. (If the pre-pregnancy weight is not known then the dose should be based on the current weight less 10%)</w:t>
      </w:r>
    </w:p>
    <w:p w14:paraId="4DF9D2C3" w14:textId="77777777" w:rsidR="00B8146E" w:rsidRPr="0027711B" w:rsidRDefault="00B8146E" w:rsidP="00D05BDF">
      <w:pPr>
        <w:pStyle w:val="ListBullet"/>
        <w:numPr>
          <w:ilvl w:val="0"/>
          <w:numId w:val="0"/>
        </w:numPr>
        <w:ind w:left="360"/>
        <w:rPr>
          <w:rFonts w:asciiTheme="minorHAnsi" w:hAnsiTheme="minorHAnsi" w:cstheme="minorHAnsi"/>
          <w:iCs/>
          <w:szCs w:val="24"/>
        </w:rPr>
      </w:pPr>
    </w:p>
    <w:p w14:paraId="04176F44" w14:textId="77777777" w:rsidR="00B8146E" w:rsidRPr="0054387D" w:rsidRDefault="00B8146E" w:rsidP="00B8146E">
      <w:pPr>
        <w:pStyle w:val="Heading2"/>
      </w:pPr>
      <w:r w:rsidRPr="0054387D">
        <w:t>Line Requirements</w:t>
      </w:r>
    </w:p>
    <w:p w14:paraId="121430D0" w14:textId="4D35EF9C" w:rsidR="00B8146E" w:rsidRPr="008E47AA" w:rsidRDefault="00B8146E" w:rsidP="0074206C">
      <w:pPr>
        <w:numPr>
          <w:ilvl w:val="0"/>
          <w:numId w:val="8"/>
        </w:numPr>
        <w:rPr>
          <w:rFonts w:asciiTheme="minorHAnsi" w:hAnsiTheme="minorHAnsi" w:cstheme="minorHAnsi"/>
          <w:szCs w:val="24"/>
        </w:rPr>
      </w:pPr>
      <w:r w:rsidRPr="008E47AA">
        <w:rPr>
          <w:rFonts w:asciiTheme="minorHAnsi" w:hAnsiTheme="minorHAnsi" w:cstheme="minorHAnsi"/>
          <w:szCs w:val="24"/>
        </w:rPr>
        <w:t>Iron polymaltose should be infused intravenously through a peripheral line</w:t>
      </w:r>
      <w:r w:rsidR="008E47AA">
        <w:rPr>
          <w:rFonts w:asciiTheme="minorHAnsi" w:hAnsiTheme="minorHAnsi" w:cstheme="minorHAnsi"/>
          <w:szCs w:val="24"/>
        </w:rPr>
        <w:t xml:space="preserve">. See ‘Infusion Set Up’ </w:t>
      </w:r>
      <w:r w:rsidR="0039014D">
        <w:rPr>
          <w:rFonts w:asciiTheme="minorHAnsi" w:hAnsiTheme="minorHAnsi" w:cstheme="minorHAnsi"/>
          <w:szCs w:val="24"/>
        </w:rPr>
        <w:t>in Section 1</w:t>
      </w:r>
      <w:r w:rsidR="008E47AA">
        <w:rPr>
          <w:rFonts w:asciiTheme="minorHAnsi" w:hAnsiTheme="minorHAnsi" w:cstheme="minorHAnsi"/>
          <w:szCs w:val="24"/>
        </w:rPr>
        <w:t>.</w:t>
      </w:r>
    </w:p>
    <w:p w14:paraId="2BA15C61" w14:textId="77777777" w:rsidR="00B8146E" w:rsidRPr="00491DC1" w:rsidRDefault="00B8146E" w:rsidP="00B8146E">
      <w:pPr>
        <w:rPr>
          <w:rFonts w:asciiTheme="minorHAnsi" w:hAnsiTheme="minorHAnsi"/>
        </w:rPr>
      </w:pPr>
    </w:p>
    <w:p w14:paraId="6861AD48" w14:textId="213FEF1B" w:rsidR="00B8146E" w:rsidRDefault="00B8146E" w:rsidP="00A670EE">
      <w:pPr>
        <w:pStyle w:val="ListBullet"/>
        <w:numPr>
          <w:ilvl w:val="0"/>
          <w:numId w:val="0"/>
        </w:numPr>
        <w:ind w:left="426" w:hanging="426"/>
      </w:pPr>
      <w:r w:rsidRPr="004010F7">
        <w:rPr>
          <w:rStyle w:val="Heading2Char"/>
        </w:rPr>
        <w:t>Administration</w:t>
      </w:r>
      <w:r w:rsidR="00680489">
        <w:rPr>
          <w:rStyle w:val="Heading2Char"/>
          <w:b w:val="0"/>
          <w:vertAlign w:val="superscript"/>
        </w:rPr>
        <w:t>3</w:t>
      </w:r>
      <w:r w:rsidRPr="004010F7">
        <w:rPr>
          <w:rStyle w:val="Heading2Char"/>
        </w:rPr>
        <w:t xml:space="preserve"> </w:t>
      </w:r>
      <w:r w:rsidRPr="00F8067E">
        <w:t xml:space="preserve"> </w:t>
      </w:r>
    </w:p>
    <w:p w14:paraId="06419E44" w14:textId="6388B00A" w:rsidR="00B8146E" w:rsidRDefault="00B121D1" w:rsidP="0074206C">
      <w:pPr>
        <w:pStyle w:val="ListBullet"/>
        <w:numPr>
          <w:ilvl w:val="0"/>
          <w:numId w:val="8"/>
        </w:numPr>
      </w:pPr>
      <w:r>
        <w:t>Anaphylactoid reactions</w:t>
      </w:r>
      <w:r w:rsidR="00B8146E">
        <w:t xml:space="preserve"> may occur with intravenous iron – see alerts</w:t>
      </w:r>
    </w:p>
    <w:p w14:paraId="73D168E0" w14:textId="5BFFADD9" w:rsidR="00251687" w:rsidRDefault="00251687" w:rsidP="0074206C">
      <w:pPr>
        <w:pStyle w:val="ListBullet"/>
        <w:numPr>
          <w:ilvl w:val="0"/>
          <w:numId w:val="8"/>
        </w:numPr>
      </w:pPr>
      <w:r w:rsidRPr="0054387D">
        <w:t xml:space="preserve">An emergency </w:t>
      </w:r>
      <w:r>
        <w:t>trolley</w:t>
      </w:r>
      <w:r w:rsidRPr="0054387D">
        <w:t xml:space="preserve"> and facilities for cardiopulmonary resuscitation must be readily accessible should a hypersensitivity reaction occur</w:t>
      </w:r>
    </w:p>
    <w:p w14:paraId="1E615AE4" w14:textId="77777777" w:rsidR="00B8146E" w:rsidRDefault="00B8146E" w:rsidP="0074206C">
      <w:pPr>
        <w:pStyle w:val="ListBullet"/>
        <w:numPr>
          <w:ilvl w:val="0"/>
          <w:numId w:val="8"/>
        </w:numPr>
      </w:pPr>
      <w:r>
        <w:t>Each</w:t>
      </w:r>
      <w:r w:rsidRPr="0054387D">
        <w:t xml:space="preserve"> infusion will be run at a ‘test dose rate’ </w:t>
      </w:r>
      <w:r>
        <w:t>for the first 15 minutes, though reaction can occur at any stage through the infusion</w:t>
      </w:r>
    </w:p>
    <w:p w14:paraId="7195B1D4" w14:textId="77777777" w:rsidR="00A670EE" w:rsidRDefault="00A670EE" w:rsidP="0074206C">
      <w:pPr>
        <w:pStyle w:val="ListBullet"/>
        <w:numPr>
          <w:ilvl w:val="0"/>
          <w:numId w:val="8"/>
        </w:numPr>
        <w:rPr>
          <w:rFonts w:asciiTheme="minorHAnsi" w:hAnsiTheme="minorHAnsi"/>
          <w:szCs w:val="24"/>
        </w:rPr>
      </w:pPr>
      <w:r w:rsidRPr="00951D72">
        <w:rPr>
          <w:rFonts w:asciiTheme="minorHAnsi" w:hAnsiTheme="minorHAnsi"/>
          <w:szCs w:val="24"/>
        </w:rPr>
        <w:t xml:space="preserve">If an infusion-related reaction occurs temporarily stop the infusion and restart at the same rate or a reduced rate of 60 mL/hour </w:t>
      </w:r>
    </w:p>
    <w:p w14:paraId="17E89B8C" w14:textId="05350AB7" w:rsidR="00B8146E" w:rsidRDefault="00B8146E" w:rsidP="0074206C">
      <w:pPr>
        <w:pStyle w:val="ListBullet"/>
        <w:numPr>
          <w:ilvl w:val="0"/>
          <w:numId w:val="8"/>
        </w:numPr>
      </w:pPr>
      <w:r>
        <w:t xml:space="preserve">Only 1000mg iron polymaltose infusions can be given by rapid </w:t>
      </w:r>
      <w:r w:rsidR="00E86667">
        <w:t xml:space="preserve">infusion </w:t>
      </w:r>
      <w:r>
        <w:t>protocol</w:t>
      </w:r>
    </w:p>
    <w:p w14:paraId="60AF0162" w14:textId="743D716D" w:rsidR="00A670EE" w:rsidRDefault="00A670EE" w:rsidP="0074206C">
      <w:pPr>
        <w:pStyle w:val="ListBullet"/>
        <w:numPr>
          <w:ilvl w:val="0"/>
          <w:numId w:val="8"/>
        </w:numPr>
      </w:pPr>
      <w:r>
        <w:t>Doses of 1500mg and 2000m</w:t>
      </w:r>
      <w:r w:rsidR="00251687">
        <w:t>g</w:t>
      </w:r>
      <w:r>
        <w:t xml:space="preserve"> must be given by </w:t>
      </w:r>
      <w:r w:rsidR="00E86667">
        <w:t xml:space="preserve">slow infusion </w:t>
      </w:r>
      <w:r w:rsidR="008E4B0C">
        <w:t>protocol</w:t>
      </w:r>
    </w:p>
    <w:p w14:paraId="2123B42A" w14:textId="63C19A43" w:rsidR="00E86667" w:rsidRPr="0054387D" w:rsidRDefault="00E86667" w:rsidP="0074206C">
      <w:pPr>
        <w:pStyle w:val="ListBullet"/>
        <w:numPr>
          <w:ilvl w:val="0"/>
          <w:numId w:val="8"/>
        </w:numPr>
      </w:pPr>
      <w:r>
        <w:t>Refer to table below for information on infusion rates</w:t>
      </w:r>
    </w:p>
    <w:p w14:paraId="1B6B7BB8" w14:textId="77777777" w:rsidR="00B8146E" w:rsidRDefault="00B8146E" w:rsidP="00B8146E"/>
    <w:p w14:paraId="0575FB8B" w14:textId="77777777" w:rsidR="00B8146E" w:rsidRPr="00951D72" w:rsidRDefault="00B8146E" w:rsidP="00B8146E"/>
    <w:p w14:paraId="1A3FB1BB" w14:textId="77777777" w:rsidR="00B8146E" w:rsidRDefault="00B8146E" w:rsidP="00B8146E">
      <w:pPr>
        <w:sectPr w:rsidR="00B8146E" w:rsidSect="004213C3">
          <w:headerReference w:type="default" r:id="rId13"/>
          <w:footerReference w:type="default" r:id="rId14"/>
          <w:pgSz w:w="11906" w:h="16838"/>
          <w:pgMar w:top="663" w:right="1418" w:bottom="1440" w:left="1418" w:header="357" w:footer="306" w:gutter="0"/>
          <w:cols w:space="708"/>
          <w:docGrid w:linePitch="360"/>
        </w:sectPr>
      </w:pPr>
    </w:p>
    <w:tbl>
      <w:tblPr>
        <w:tblStyle w:val="TableGrid"/>
        <w:tblW w:w="14885" w:type="dxa"/>
        <w:jc w:val="center"/>
        <w:tblLayout w:type="fixed"/>
        <w:tblLook w:val="04A0" w:firstRow="1" w:lastRow="0" w:firstColumn="1" w:lastColumn="0" w:noHBand="0" w:noVBand="1"/>
      </w:tblPr>
      <w:tblGrid>
        <w:gridCol w:w="2269"/>
        <w:gridCol w:w="1575"/>
        <w:gridCol w:w="1576"/>
        <w:gridCol w:w="1577"/>
        <w:gridCol w:w="1577"/>
        <w:gridCol w:w="1576"/>
        <w:gridCol w:w="1577"/>
        <w:gridCol w:w="1577"/>
        <w:gridCol w:w="1581"/>
      </w:tblGrid>
      <w:tr w:rsidR="00B8146E" w:rsidRPr="002E6EF7" w14:paraId="149BFB28" w14:textId="77777777" w:rsidTr="00B8146E">
        <w:trPr>
          <w:tblHeader/>
          <w:jc w:val="center"/>
        </w:trPr>
        <w:tc>
          <w:tcPr>
            <w:tcW w:w="2269" w:type="dxa"/>
            <w:tcBorders>
              <w:top w:val="nil"/>
              <w:left w:val="nil"/>
            </w:tcBorders>
          </w:tcPr>
          <w:p w14:paraId="1892092F" w14:textId="77777777" w:rsidR="00B8146E" w:rsidRPr="002E6EF7" w:rsidRDefault="00B8146E" w:rsidP="00B8146E">
            <w:pPr>
              <w:rPr>
                <w:sz w:val="22"/>
                <w:szCs w:val="22"/>
              </w:rPr>
            </w:pPr>
          </w:p>
        </w:tc>
        <w:tc>
          <w:tcPr>
            <w:tcW w:w="6305" w:type="dxa"/>
            <w:gridSpan w:val="4"/>
            <w:shd w:val="clear" w:color="auto" w:fill="EAF1DD" w:themeFill="accent3" w:themeFillTint="33"/>
          </w:tcPr>
          <w:p w14:paraId="35771708" w14:textId="77777777" w:rsidR="00B8146E" w:rsidRPr="002E6EF7" w:rsidRDefault="00B8146E" w:rsidP="00B8146E">
            <w:pPr>
              <w:tabs>
                <w:tab w:val="center" w:pos="2122"/>
                <w:tab w:val="right" w:pos="4245"/>
              </w:tabs>
              <w:rPr>
                <w:sz w:val="22"/>
                <w:szCs w:val="22"/>
              </w:rPr>
            </w:pPr>
            <w:r>
              <w:rPr>
                <w:sz w:val="22"/>
                <w:szCs w:val="22"/>
              </w:rPr>
              <w:tab/>
            </w:r>
            <w:r w:rsidRPr="002E6EF7">
              <w:rPr>
                <w:sz w:val="22"/>
                <w:szCs w:val="22"/>
              </w:rPr>
              <w:t>Rapid Infusion</w:t>
            </w:r>
            <w:r>
              <w:rPr>
                <w:sz w:val="22"/>
                <w:szCs w:val="22"/>
              </w:rPr>
              <w:t xml:space="preserve"> iron polymaltose</w:t>
            </w:r>
            <w:r>
              <w:rPr>
                <w:sz w:val="22"/>
                <w:szCs w:val="22"/>
              </w:rPr>
              <w:tab/>
            </w:r>
          </w:p>
        </w:tc>
        <w:tc>
          <w:tcPr>
            <w:tcW w:w="6311" w:type="dxa"/>
            <w:gridSpan w:val="4"/>
            <w:shd w:val="clear" w:color="auto" w:fill="F2DBDB" w:themeFill="accent2" w:themeFillTint="33"/>
          </w:tcPr>
          <w:p w14:paraId="34BB6845" w14:textId="77777777" w:rsidR="00B8146E" w:rsidRPr="002E6EF7" w:rsidRDefault="00B8146E" w:rsidP="00B8146E">
            <w:pPr>
              <w:tabs>
                <w:tab w:val="center" w:pos="2125"/>
                <w:tab w:val="right" w:pos="4251"/>
              </w:tabs>
              <w:rPr>
                <w:sz w:val="22"/>
                <w:szCs w:val="22"/>
              </w:rPr>
            </w:pPr>
            <w:r>
              <w:rPr>
                <w:sz w:val="22"/>
                <w:szCs w:val="22"/>
              </w:rPr>
              <w:tab/>
            </w:r>
            <w:r w:rsidRPr="002E6EF7">
              <w:rPr>
                <w:sz w:val="22"/>
                <w:szCs w:val="22"/>
              </w:rPr>
              <w:t>Slow Infusion</w:t>
            </w:r>
            <w:r>
              <w:rPr>
                <w:sz w:val="22"/>
                <w:szCs w:val="22"/>
              </w:rPr>
              <w:t xml:space="preserve"> iron polymaltose</w:t>
            </w:r>
            <w:r>
              <w:rPr>
                <w:sz w:val="22"/>
                <w:szCs w:val="22"/>
              </w:rPr>
              <w:tab/>
            </w:r>
          </w:p>
        </w:tc>
      </w:tr>
      <w:tr w:rsidR="00B8146E" w:rsidRPr="002E6EF7" w14:paraId="0A874E76" w14:textId="77777777" w:rsidTr="00E86667">
        <w:trPr>
          <w:trHeight w:val="937"/>
          <w:jc w:val="center"/>
        </w:trPr>
        <w:tc>
          <w:tcPr>
            <w:tcW w:w="2269" w:type="dxa"/>
            <w:tcBorders>
              <w:bottom w:val="single" w:sz="12" w:space="0" w:color="auto"/>
            </w:tcBorders>
            <w:shd w:val="clear" w:color="auto" w:fill="F2F2F2" w:themeFill="background1" w:themeFillShade="F2"/>
          </w:tcPr>
          <w:p w14:paraId="3EFEEA13" w14:textId="77777777" w:rsidR="00B8146E" w:rsidRPr="002E6EF7" w:rsidRDefault="00B8146E" w:rsidP="00B8146E">
            <w:pPr>
              <w:rPr>
                <w:sz w:val="22"/>
                <w:szCs w:val="22"/>
              </w:rPr>
            </w:pPr>
            <w:r w:rsidRPr="002E6EF7">
              <w:rPr>
                <w:sz w:val="22"/>
                <w:szCs w:val="22"/>
              </w:rPr>
              <w:t>Total iron dose presented as iron polymaltose</w:t>
            </w:r>
          </w:p>
        </w:tc>
        <w:tc>
          <w:tcPr>
            <w:tcW w:w="1575" w:type="dxa"/>
            <w:tcBorders>
              <w:bottom w:val="single" w:sz="12" w:space="0" w:color="auto"/>
            </w:tcBorders>
            <w:shd w:val="clear" w:color="auto" w:fill="EAF1DD" w:themeFill="accent3" w:themeFillTint="33"/>
          </w:tcPr>
          <w:p w14:paraId="5466ABC0" w14:textId="77777777" w:rsidR="00B8146E" w:rsidRPr="002E6EF7" w:rsidRDefault="00B8146E" w:rsidP="00B8146E">
            <w:pPr>
              <w:rPr>
                <w:sz w:val="22"/>
                <w:szCs w:val="22"/>
              </w:rPr>
            </w:pPr>
            <w:r w:rsidRPr="002E6EF7">
              <w:rPr>
                <w:sz w:val="22"/>
                <w:szCs w:val="22"/>
              </w:rPr>
              <w:t>Initial Infusion Rate</w:t>
            </w:r>
          </w:p>
        </w:tc>
        <w:tc>
          <w:tcPr>
            <w:tcW w:w="1576" w:type="dxa"/>
            <w:tcBorders>
              <w:bottom w:val="single" w:sz="12" w:space="0" w:color="auto"/>
            </w:tcBorders>
            <w:shd w:val="clear" w:color="auto" w:fill="EAF1DD" w:themeFill="accent3" w:themeFillTint="33"/>
          </w:tcPr>
          <w:p w14:paraId="01D7BE38" w14:textId="77777777" w:rsidR="00B8146E" w:rsidRPr="002E6EF7" w:rsidRDefault="00B8146E" w:rsidP="00B8146E">
            <w:pPr>
              <w:rPr>
                <w:sz w:val="22"/>
                <w:szCs w:val="22"/>
              </w:rPr>
            </w:pPr>
            <w:r w:rsidRPr="002E6EF7">
              <w:rPr>
                <w:sz w:val="22"/>
                <w:szCs w:val="22"/>
              </w:rPr>
              <w:t>If tolerated</w:t>
            </w:r>
            <w:r>
              <w:rPr>
                <w:sz w:val="22"/>
                <w:szCs w:val="22"/>
              </w:rPr>
              <w:t xml:space="preserve"> increase to</w:t>
            </w:r>
          </w:p>
        </w:tc>
        <w:tc>
          <w:tcPr>
            <w:tcW w:w="1577" w:type="dxa"/>
            <w:tcBorders>
              <w:bottom w:val="single" w:sz="12" w:space="0" w:color="auto"/>
            </w:tcBorders>
            <w:shd w:val="clear" w:color="auto" w:fill="EAF1DD" w:themeFill="accent3" w:themeFillTint="33"/>
          </w:tcPr>
          <w:p w14:paraId="4CA9192C" w14:textId="77777777" w:rsidR="00B8146E" w:rsidRPr="002E6EF7" w:rsidRDefault="00B8146E" w:rsidP="00B8146E">
            <w:pPr>
              <w:rPr>
                <w:sz w:val="22"/>
                <w:szCs w:val="22"/>
              </w:rPr>
            </w:pPr>
            <w:r w:rsidRPr="002E6EF7">
              <w:rPr>
                <w:sz w:val="22"/>
                <w:szCs w:val="22"/>
              </w:rPr>
              <w:t>Monitoring</w:t>
            </w:r>
          </w:p>
        </w:tc>
        <w:tc>
          <w:tcPr>
            <w:tcW w:w="1577" w:type="dxa"/>
            <w:tcBorders>
              <w:bottom w:val="single" w:sz="12" w:space="0" w:color="auto"/>
            </w:tcBorders>
            <w:shd w:val="clear" w:color="auto" w:fill="EAF1DD" w:themeFill="accent3" w:themeFillTint="33"/>
          </w:tcPr>
          <w:p w14:paraId="0E379AFC" w14:textId="77777777" w:rsidR="00B8146E" w:rsidRPr="002E6EF7" w:rsidRDefault="00B8146E" w:rsidP="00B8146E">
            <w:pPr>
              <w:rPr>
                <w:sz w:val="22"/>
                <w:szCs w:val="22"/>
              </w:rPr>
            </w:pPr>
            <w:r w:rsidRPr="002E6EF7">
              <w:rPr>
                <w:sz w:val="22"/>
                <w:szCs w:val="22"/>
              </w:rPr>
              <w:t>Total infusion time including test dose</w:t>
            </w:r>
          </w:p>
        </w:tc>
        <w:tc>
          <w:tcPr>
            <w:tcW w:w="1576" w:type="dxa"/>
            <w:tcBorders>
              <w:bottom w:val="single" w:sz="12" w:space="0" w:color="auto"/>
            </w:tcBorders>
            <w:shd w:val="clear" w:color="auto" w:fill="F2DBDB" w:themeFill="accent2" w:themeFillTint="33"/>
          </w:tcPr>
          <w:p w14:paraId="0641728B" w14:textId="77777777" w:rsidR="00B8146E" w:rsidRPr="002E6EF7" w:rsidRDefault="00B8146E" w:rsidP="00B8146E">
            <w:pPr>
              <w:rPr>
                <w:sz w:val="22"/>
                <w:szCs w:val="22"/>
              </w:rPr>
            </w:pPr>
            <w:r w:rsidRPr="002E6EF7">
              <w:rPr>
                <w:sz w:val="22"/>
                <w:szCs w:val="22"/>
              </w:rPr>
              <w:t>Rate</w:t>
            </w:r>
          </w:p>
        </w:tc>
        <w:tc>
          <w:tcPr>
            <w:tcW w:w="1577" w:type="dxa"/>
            <w:tcBorders>
              <w:bottom w:val="single" w:sz="12" w:space="0" w:color="auto"/>
            </w:tcBorders>
            <w:shd w:val="clear" w:color="auto" w:fill="F2DBDB" w:themeFill="accent2" w:themeFillTint="33"/>
          </w:tcPr>
          <w:p w14:paraId="17D3EC6E" w14:textId="77777777" w:rsidR="00B8146E" w:rsidRPr="002E6EF7" w:rsidRDefault="00B8146E" w:rsidP="00B8146E">
            <w:pPr>
              <w:spacing w:after="200" w:line="276" w:lineRule="auto"/>
              <w:rPr>
                <w:sz w:val="22"/>
                <w:szCs w:val="22"/>
              </w:rPr>
            </w:pPr>
            <w:r w:rsidRPr="002E6EF7">
              <w:rPr>
                <w:sz w:val="22"/>
                <w:szCs w:val="22"/>
              </w:rPr>
              <w:t>If tolerated</w:t>
            </w:r>
            <w:r>
              <w:rPr>
                <w:sz w:val="22"/>
                <w:szCs w:val="22"/>
              </w:rPr>
              <w:t xml:space="preserve"> increase to</w:t>
            </w:r>
          </w:p>
        </w:tc>
        <w:tc>
          <w:tcPr>
            <w:tcW w:w="1577" w:type="dxa"/>
            <w:tcBorders>
              <w:bottom w:val="single" w:sz="12" w:space="0" w:color="auto"/>
            </w:tcBorders>
            <w:shd w:val="clear" w:color="auto" w:fill="F2DBDB" w:themeFill="accent2" w:themeFillTint="33"/>
          </w:tcPr>
          <w:p w14:paraId="3821F8B3" w14:textId="77777777" w:rsidR="00B8146E" w:rsidRPr="002E6EF7" w:rsidRDefault="00B8146E" w:rsidP="00B8146E">
            <w:pPr>
              <w:rPr>
                <w:sz w:val="22"/>
                <w:szCs w:val="22"/>
              </w:rPr>
            </w:pPr>
            <w:r w:rsidRPr="002E6EF7">
              <w:rPr>
                <w:sz w:val="22"/>
                <w:szCs w:val="22"/>
              </w:rPr>
              <w:t>Monitoring</w:t>
            </w:r>
          </w:p>
        </w:tc>
        <w:tc>
          <w:tcPr>
            <w:tcW w:w="1581" w:type="dxa"/>
            <w:tcBorders>
              <w:bottom w:val="single" w:sz="12" w:space="0" w:color="auto"/>
            </w:tcBorders>
            <w:shd w:val="clear" w:color="auto" w:fill="F2DBDB" w:themeFill="accent2" w:themeFillTint="33"/>
          </w:tcPr>
          <w:p w14:paraId="0A4EC279" w14:textId="77777777" w:rsidR="00B8146E" w:rsidRPr="002E6EF7" w:rsidRDefault="00B8146E" w:rsidP="00B8146E">
            <w:pPr>
              <w:rPr>
                <w:sz w:val="22"/>
                <w:szCs w:val="22"/>
              </w:rPr>
            </w:pPr>
            <w:r w:rsidRPr="002E6EF7">
              <w:rPr>
                <w:sz w:val="22"/>
                <w:szCs w:val="22"/>
              </w:rPr>
              <w:t>Total infusion time including test dose</w:t>
            </w:r>
          </w:p>
        </w:tc>
      </w:tr>
      <w:tr w:rsidR="00B8146E" w:rsidRPr="002E6EF7" w14:paraId="56AAC792" w14:textId="77777777" w:rsidTr="00E86667">
        <w:trPr>
          <w:jc w:val="center"/>
        </w:trPr>
        <w:tc>
          <w:tcPr>
            <w:tcW w:w="2269" w:type="dxa"/>
            <w:tcBorders>
              <w:top w:val="single" w:sz="12" w:space="0" w:color="auto"/>
              <w:bottom w:val="single" w:sz="12" w:space="0" w:color="auto"/>
            </w:tcBorders>
            <w:shd w:val="clear" w:color="auto" w:fill="F2F2F2" w:themeFill="background1" w:themeFillShade="F2"/>
          </w:tcPr>
          <w:p w14:paraId="03D9C8AE" w14:textId="77777777" w:rsidR="00B8146E" w:rsidRPr="002E6EF7" w:rsidRDefault="00B8146E" w:rsidP="00B8146E">
            <w:pPr>
              <w:rPr>
                <w:sz w:val="22"/>
                <w:szCs w:val="22"/>
              </w:rPr>
            </w:pPr>
            <w:r w:rsidRPr="002E6EF7">
              <w:rPr>
                <w:sz w:val="22"/>
                <w:szCs w:val="22"/>
              </w:rPr>
              <w:t xml:space="preserve">1000mg in 250mL sodium chloride 0.9% </w:t>
            </w:r>
          </w:p>
          <w:p w14:paraId="54F47D72" w14:textId="77777777" w:rsidR="00B8146E" w:rsidRPr="002E6EF7" w:rsidRDefault="00B8146E" w:rsidP="00B8146E">
            <w:pPr>
              <w:rPr>
                <w:sz w:val="22"/>
                <w:szCs w:val="22"/>
              </w:rPr>
            </w:pPr>
          </w:p>
          <w:p w14:paraId="427D6E22" w14:textId="77777777" w:rsidR="00B8146E" w:rsidRPr="002E6EF7" w:rsidRDefault="00B8146E" w:rsidP="00B8146E">
            <w:pPr>
              <w:rPr>
                <w:sz w:val="22"/>
                <w:szCs w:val="22"/>
              </w:rPr>
            </w:pPr>
            <w:r w:rsidRPr="002E6EF7">
              <w:rPr>
                <w:sz w:val="22"/>
                <w:szCs w:val="22"/>
              </w:rPr>
              <w:t>(final volume 285mL)</w:t>
            </w:r>
          </w:p>
        </w:tc>
        <w:tc>
          <w:tcPr>
            <w:tcW w:w="1575" w:type="dxa"/>
            <w:tcBorders>
              <w:top w:val="single" w:sz="12" w:space="0" w:color="auto"/>
              <w:bottom w:val="single" w:sz="12" w:space="0" w:color="auto"/>
            </w:tcBorders>
          </w:tcPr>
          <w:p w14:paraId="60F6E185" w14:textId="77777777" w:rsidR="00B8146E" w:rsidRPr="002E6EF7" w:rsidRDefault="00B8146E" w:rsidP="00B8146E">
            <w:pPr>
              <w:rPr>
                <w:sz w:val="22"/>
                <w:szCs w:val="22"/>
              </w:rPr>
            </w:pPr>
            <w:r>
              <w:rPr>
                <w:sz w:val="22"/>
                <w:szCs w:val="22"/>
              </w:rPr>
              <w:t>40mL/hour for 15 minutes</w:t>
            </w:r>
          </w:p>
        </w:tc>
        <w:tc>
          <w:tcPr>
            <w:tcW w:w="1576" w:type="dxa"/>
            <w:tcBorders>
              <w:top w:val="single" w:sz="12" w:space="0" w:color="auto"/>
              <w:bottom w:val="single" w:sz="12" w:space="0" w:color="auto"/>
            </w:tcBorders>
          </w:tcPr>
          <w:p w14:paraId="7A369CFB" w14:textId="77777777" w:rsidR="00B8146E" w:rsidRPr="002E6EF7" w:rsidRDefault="00B8146E" w:rsidP="00B8146E">
            <w:pPr>
              <w:rPr>
                <w:sz w:val="22"/>
                <w:szCs w:val="22"/>
              </w:rPr>
            </w:pPr>
            <w:r w:rsidRPr="002E6EF7">
              <w:rPr>
                <w:sz w:val="22"/>
                <w:szCs w:val="22"/>
              </w:rPr>
              <w:t>250mL/hour</w:t>
            </w:r>
          </w:p>
        </w:tc>
        <w:tc>
          <w:tcPr>
            <w:tcW w:w="1577" w:type="dxa"/>
            <w:tcBorders>
              <w:top w:val="single" w:sz="12" w:space="0" w:color="auto"/>
              <w:bottom w:val="single" w:sz="12" w:space="0" w:color="auto"/>
            </w:tcBorders>
          </w:tcPr>
          <w:p w14:paraId="1C313814" w14:textId="77777777" w:rsidR="00B8146E" w:rsidRPr="002E6EF7" w:rsidRDefault="00B8146E" w:rsidP="00B8146E">
            <w:pPr>
              <w:rPr>
                <w:sz w:val="22"/>
                <w:szCs w:val="22"/>
              </w:rPr>
            </w:pPr>
            <w:r w:rsidRPr="002E6EF7">
              <w:rPr>
                <w:sz w:val="22"/>
                <w:szCs w:val="22"/>
              </w:rPr>
              <w:t>Vital signs every 5 minutes for 15 minutes, then every 15 minutes until 30 minutes post infusion</w:t>
            </w:r>
          </w:p>
        </w:tc>
        <w:tc>
          <w:tcPr>
            <w:tcW w:w="1577" w:type="dxa"/>
            <w:tcBorders>
              <w:top w:val="single" w:sz="12" w:space="0" w:color="auto"/>
              <w:bottom w:val="single" w:sz="12" w:space="0" w:color="auto"/>
            </w:tcBorders>
          </w:tcPr>
          <w:p w14:paraId="27412A83" w14:textId="77777777" w:rsidR="00B8146E" w:rsidRPr="002E6EF7" w:rsidRDefault="00B8146E" w:rsidP="00B8146E">
            <w:pPr>
              <w:rPr>
                <w:sz w:val="22"/>
                <w:szCs w:val="22"/>
              </w:rPr>
            </w:pPr>
            <w:r w:rsidRPr="002E6EF7">
              <w:rPr>
                <w:sz w:val="22"/>
                <w:szCs w:val="22"/>
              </w:rPr>
              <w:t xml:space="preserve">1 hour 21 minutes </w:t>
            </w:r>
          </w:p>
          <w:p w14:paraId="0A08B5DD" w14:textId="77777777" w:rsidR="00B8146E" w:rsidRPr="002E6EF7" w:rsidRDefault="00B8146E" w:rsidP="00B8146E">
            <w:pPr>
              <w:rPr>
                <w:sz w:val="22"/>
                <w:szCs w:val="22"/>
              </w:rPr>
            </w:pPr>
          </w:p>
          <w:p w14:paraId="0B35A3B3" w14:textId="77777777" w:rsidR="00B8146E" w:rsidRPr="002E6EF7" w:rsidRDefault="00B8146E" w:rsidP="00B8146E">
            <w:pPr>
              <w:rPr>
                <w:sz w:val="22"/>
                <w:szCs w:val="22"/>
              </w:rPr>
            </w:pPr>
            <w:r w:rsidRPr="002E6EF7">
              <w:rPr>
                <w:sz w:val="22"/>
                <w:szCs w:val="22"/>
              </w:rPr>
              <w:t>(81 minutes)</w:t>
            </w:r>
          </w:p>
          <w:p w14:paraId="23D5B749" w14:textId="77777777" w:rsidR="00B8146E" w:rsidRPr="002E6EF7" w:rsidRDefault="00B8146E" w:rsidP="00B8146E">
            <w:pPr>
              <w:rPr>
                <w:sz w:val="22"/>
                <w:szCs w:val="22"/>
              </w:rPr>
            </w:pPr>
          </w:p>
        </w:tc>
        <w:tc>
          <w:tcPr>
            <w:tcW w:w="1576" w:type="dxa"/>
            <w:tcBorders>
              <w:top w:val="single" w:sz="12" w:space="0" w:color="auto"/>
              <w:bottom w:val="single" w:sz="12" w:space="0" w:color="auto"/>
            </w:tcBorders>
          </w:tcPr>
          <w:p w14:paraId="58E53A45" w14:textId="77777777" w:rsidR="00B8146E" w:rsidRPr="002E6EF7" w:rsidRDefault="00B8146E" w:rsidP="00B8146E">
            <w:pPr>
              <w:rPr>
                <w:sz w:val="22"/>
                <w:szCs w:val="22"/>
              </w:rPr>
            </w:pPr>
            <w:r>
              <w:rPr>
                <w:sz w:val="22"/>
                <w:szCs w:val="22"/>
              </w:rPr>
              <w:t>40mL/hour for 15 minutes</w:t>
            </w:r>
          </w:p>
        </w:tc>
        <w:tc>
          <w:tcPr>
            <w:tcW w:w="1577" w:type="dxa"/>
            <w:tcBorders>
              <w:top w:val="single" w:sz="12" w:space="0" w:color="auto"/>
              <w:bottom w:val="single" w:sz="12" w:space="0" w:color="auto"/>
            </w:tcBorders>
          </w:tcPr>
          <w:p w14:paraId="6CF93F3B" w14:textId="77777777" w:rsidR="00B8146E" w:rsidRPr="002E6EF7" w:rsidRDefault="00B8146E" w:rsidP="00B8146E">
            <w:pPr>
              <w:rPr>
                <w:sz w:val="22"/>
                <w:szCs w:val="22"/>
              </w:rPr>
            </w:pPr>
            <w:r w:rsidRPr="002E6EF7">
              <w:rPr>
                <w:sz w:val="22"/>
                <w:szCs w:val="22"/>
              </w:rPr>
              <w:t>120mL/hour</w:t>
            </w:r>
          </w:p>
        </w:tc>
        <w:tc>
          <w:tcPr>
            <w:tcW w:w="1577" w:type="dxa"/>
            <w:tcBorders>
              <w:top w:val="single" w:sz="12" w:space="0" w:color="auto"/>
              <w:bottom w:val="single" w:sz="12" w:space="0" w:color="auto"/>
            </w:tcBorders>
          </w:tcPr>
          <w:p w14:paraId="30FBB64B" w14:textId="77777777" w:rsidR="00B8146E" w:rsidRPr="002E6EF7" w:rsidRDefault="00B8146E" w:rsidP="00B8146E">
            <w:pPr>
              <w:rPr>
                <w:sz w:val="22"/>
                <w:szCs w:val="22"/>
              </w:rPr>
            </w:pPr>
            <w:r w:rsidRPr="002E6EF7">
              <w:rPr>
                <w:sz w:val="22"/>
                <w:szCs w:val="22"/>
              </w:rPr>
              <w:t>Vital signs every 5 minutes for 15 minutes, then every 30 minutes until 30 minutes post infusion</w:t>
            </w:r>
          </w:p>
        </w:tc>
        <w:tc>
          <w:tcPr>
            <w:tcW w:w="1581" w:type="dxa"/>
            <w:tcBorders>
              <w:top w:val="single" w:sz="12" w:space="0" w:color="auto"/>
              <w:bottom w:val="single" w:sz="12" w:space="0" w:color="auto"/>
            </w:tcBorders>
          </w:tcPr>
          <w:p w14:paraId="438D1876" w14:textId="77777777" w:rsidR="00B8146E" w:rsidRPr="002E6EF7" w:rsidRDefault="00B8146E" w:rsidP="00B8146E">
            <w:pPr>
              <w:rPr>
                <w:sz w:val="22"/>
                <w:szCs w:val="22"/>
              </w:rPr>
            </w:pPr>
            <w:r w:rsidRPr="002E6EF7">
              <w:rPr>
                <w:sz w:val="22"/>
                <w:szCs w:val="22"/>
              </w:rPr>
              <w:t>2 hours 33 minutes</w:t>
            </w:r>
          </w:p>
          <w:p w14:paraId="16F05012" w14:textId="77777777" w:rsidR="00B8146E" w:rsidRPr="002E6EF7" w:rsidRDefault="00B8146E" w:rsidP="00B8146E">
            <w:pPr>
              <w:rPr>
                <w:sz w:val="22"/>
                <w:szCs w:val="22"/>
              </w:rPr>
            </w:pPr>
          </w:p>
          <w:p w14:paraId="1C3C76EB" w14:textId="77777777" w:rsidR="00B8146E" w:rsidRPr="002E6EF7" w:rsidRDefault="00B8146E" w:rsidP="00B8146E">
            <w:pPr>
              <w:rPr>
                <w:sz w:val="22"/>
                <w:szCs w:val="22"/>
              </w:rPr>
            </w:pPr>
            <w:r w:rsidRPr="002E6EF7">
              <w:rPr>
                <w:sz w:val="22"/>
                <w:szCs w:val="22"/>
              </w:rPr>
              <w:t>(153 minutes)</w:t>
            </w:r>
          </w:p>
        </w:tc>
      </w:tr>
      <w:tr w:rsidR="00B8146E" w:rsidRPr="002E6EF7" w14:paraId="72258FD4" w14:textId="77777777" w:rsidTr="00E86667">
        <w:trPr>
          <w:jc w:val="center"/>
        </w:trPr>
        <w:tc>
          <w:tcPr>
            <w:tcW w:w="2269" w:type="dxa"/>
            <w:tcBorders>
              <w:top w:val="single" w:sz="12" w:space="0" w:color="auto"/>
              <w:bottom w:val="single" w:sz="12" w:space="0" w:color="auto"/>
            </w:tcBorders>
            <w:shd w:val="clear" w:color="auto" w:fill="F2F2F2" w:themeFill="background1" w:themeFillShade="F2"/>
          </w:tcPr>
          <w:p w14:paraId="70B720B3" w14:textId="77777777" w:rsidR="00B8146E" w:rsidRPr="002E6EF7" w:rsidRDefault="00B8146E" w:rsidP="00B8146E">
            <w:pPr>
              <w:rPr>
                <w:sz w:val="22"/>
                <w:szCs w:val="22"/>
              </w:rPr>
            </w:pPr>
            <w:r w:rsidRPr="002E6EF7">
              <w:rPr>
                <w:sz w:val="22"/>
                <w:szCs w:val="22"/>
              </w:rPr>
              <w:t xml:space="preserve">1500mg in 500mL sodium chloride 0.9% </w:t>
            </w:r>
          </w:p>
          <w:p w14:paraId="3C6E6C1D" w14:textId="77777777" w:rsidR="00B8146E" w:rsidRPr="002E6EF7" w:rsidRDefault="00B8146E" w:rsidP="00B8146E">
            <w:pPr>
              <w:rPr>
                <w:sz w:val="22"/>
                <w:szCs w:val="22"/>
              </w:rPr>
            </w:pPr>
          </w:p>
          <w:p w14:paraId="73365C63" w14:textId="77777777" w:rsidR="00B8146E" w:rsidRPr="002E6EF7" w:rsidRDefault="00B8146E" w:rsidP="00B8146E">
            <w:pPr>
              <w:rPr>
                <w:sz w:val="22"/>
                <w:szCs w:val="22"/>
              </w:rPr>
            </w:pPr>
            <w:r w:rsidRPr="002E6EF7">
              <w:rPr>
                <w:sz w:val="22"/>
                <w:szCs w:val="22"/>
              </w:rPr>
              <w:t>(final volume 575mL)</w:t>
            </w:r>
          </w:p>
        </w:tc>
        <w:tc>
          <w:tcPr>
            <w:tcW w:w="6305" w:type="dxa"/>
            <w:gridSpan w:val="4"/>
            <w:tcBorders>
              <w:top w:val="single" w:sz="12" w:space="0" w:color="auto"/>
              <w:bottom w:val="single" w:sz="12" w:space="0" w:color="auto"/>
            </w:tcBorders>
          </w:tcPr>
          <w:p w14:paraId="07834997" w14:textId="77777777" w:rsidR="00B8146E" w:rsidRPr="002E6EF7" w:rsidRDefault="00B8146E" w:rsidP="00B8146E">
            <w:pPr>
              <w:rPr>
                <w:sz w:val="22"/>
                <w:szCs w:val="22"/>
              </w:rPr>
            </w:pPr>
            <w:r w:rsidRPr="002E6EF7">
              <w:rPr>
                <w:sz w:val="22"/>
                <w:szCs w:val="22"/>
              </w:rPr>
              <w:t>Not available for administration as rapid infusion</w:t>
            </w:r>
          </w:p>
        </w:tc>
        <w:tc>
          <w:tcPr>
            <w:tcW w:w="1576" w:type="dxa"/>
            <w:tcBorders>
              <w:top w:val="single" w:sz="12" w:space="0" w:color="auto"/>
              <w:bottom w:val="single" w:sz="12" w:space="0" w:color="auto"/>
            </w:tcBorders>
          </w:tcPr>
          <w:p w14:paraId="52AAD0A4" w14:textId="77777777" w:rsidR="00B8146E" w:rsidRDefault="00B8146E" w:rsidP="00B8146E">
            <w:pPr>
              <w:rPr>
                <w:sz w:val="22"/>
                <w:szCs w:val="22"/>
              </w:rPr>
            </w:pPr>
            <w:r w:rsidRPr="002E6EF7">
              <w:rPr>
                <w:sz w:val="22"/>
                <w:szCs w:val="22"/>
              </w:rPr>
              <w:t>40mL/hour for 15 minutes</w:t>
            </w:r>
          </w:p>
        </w:tc>
        <w:tc>
          <w:tcPr>
            <w:tcW w:w="1577" w:type="dxa"/>
            <w:tcBorders>
              <w:top w:val="single" w:sz="12" w:space="0" w:color="auto"/>
              <w:bottom w:val="single" w:sz="12" w:space="0" w:color="auto"/>
            </w:tcBorders>
          </w:tcPr>
          <w:p w14:paraId="7E12F28D" w14:textId="77777777" w:rsidR="00B8146E" w:rsidRPr="002E6EF7" w:rsidRDefault="00B8146E" w:rsidP="00B8146E">
            <w:pPr>
              <w:rPr>
                <w:sz w:val="22"/>
                <w:szCs w:val="22"/>
              </w:rPr>
            </w:pPr>
            <w:r w:rsidRPr="002E6EF7">
              <w:rPr>
                <w:sz w:val="22"/>
                <w:szCs w:val="22"/>
              </w:rPr>
              <w:t>120mL/hour</w:t>
            </w:r>
          </w:p>
        </w:tc>
        <w:tc>
          <w:tcPr>
            <w:tcW w:w="1577" w:type="dxa"/>
            <w:tcBorders>
              <w:top w:val="single" w:sz="12" w:space="0" w:color="auto"/>
              <w:bottom w:val="single" w:sz="12" w:space="0" w:color="auto"/>
            </w:tcBorders>
          </w:tcPr>
          <w:p w14:paraId="37EFF64C" w14:textId="77777777" w:rsidR="00B8146E" w:rsidRPr="002E6EF7" w:rsidRDefault="00B8146E" w:rsidP="00B8146E">
            <w:pPr>
              <w:rPr>
                <w:sz w:val="22"/>
                <w:szCs w:val="22"/>
              </w:rPr>
            </w:pPr>
            <w:r w:rsidRPr="002E6EF7">
              <w:rPr>
                <w:sz w:val="22"/>
                <w:szCs w:val="22"/>
              </w:rPr>
              <w:t>Vital signs every 5 minutes for 15 minutes, then every 30 minutes until 30 minutes post infusion</w:t>
            </w:r>
          </w:p>
        </w:tc>
        <w:tc>
          <w:tcPr>
            <w:tcW w:w="1581" w:type="dxa"/>
            <w:tcBorders>
              <w:top w:val="single" w:sz="12" w:space="0" w:color="auto"/>
              <w:bottom w:val="single" w:sz="12" w:space="0" w:color="auto"/>
            </w:tcBorders>
          </w:tcPr>
          <w:p w14:paraId="0BC88AD1" w14:textId="77777777" w:rsidR="00B8146E" w:rsidRPr="002E6EF7" w:rsidRDefault="00B8146E" w:rsidP="00B8146E">
            <w:pPr>
              <w:rPr>
                <w:sz w:val="22"/>
                <w:szCs w:val="22"/>
              </w:rPr>
            </w:pPr>
            <w:r w:rsidRPr="002E6EF7">
              <w:rPr>
                <w:sz w:val="22"/>
                <w:szCs w:val="22"/>
              </w:rPr>
              <w:t>4 hours 58 minutes</w:t>
            </w:r>
          </w:p>
          <w:p w14:paraId="27823929" w14:textId="77777777" w:rsidR="00B8146E" w:rsidRPr="002E6EF7" w:rsidRDefault="00B8146E" w:rsidP="00B8146E">
            <w:pPr>
              <w:rPr>
                <w:sz w:val="22"/>
                <w:szCs w:val="22"/>
              </w:rPr>
            </w:pPr>
          </w:p>
          <w:p w14:paraId="49D7AD70" w14:textId="77777777" w:rsidR="00B8146E" w:rsidRPr="002E6EF7" w:rsidRDefault="00B8146E" w:rsidP="00B8146E">
            <w:pPr>
              <w:rPr>
                <w:sz w:val="22"/>
                <w:szCs w:val="22"/>
              </w:rPr>
            </w:pPr>
            <w:r w:rsidRPr="002E6EF7">
              <w:rPr>
                <w:sz w:val="22"/>
                <w:szCs w:val="22"/>
              </w:rPr>
              <w:t>(283 minutes)</w:t>
            </w:r>
          </w:p>
        </w:tc>
      </w:tr>
      <w:tr w:rsidR="00B8146E" w:rsidRPr="002E6EF7" w14:paraId="17F83315" w14:textId="77777777" w:rsidTr="00E86667">
        <w:trPr>
          <w:jc w:val="center"/>
        </w:trPr>
        <w:tc>
          <w:tcPr>
            <w:tcW w:w="2269" w:type="dxa"/>
            <w:tcBorders>
              <w:top w:val="single" w:sz="12" w:space="0" w:color="auto"/>
            </w:tcBorders>
            <w:shd w:val="clear" w:color="auto" w:fill="F2F2F2" w:themeFill="background1" w:themeFillShade="F2"/>
          </w:tcPr>
          <w:p w14:paraId="260BB8AB" w14:textId="77777777" w:rsidR="00B8146E" w:rsidRDefault="00B8146E" w:rsidP="00B8146E">
            <w:pPr>
              <w:rPr>
                <w:sz w:val="22"/>
                <w:szCs w:val="22"/>
              </w:rPr>
            </w:pPr>
            <w:r w:rsidRPr="002E6EF7">
              <w:rPr>
                <w:sz w:val="22"/>
                <w:szCs w:val="22"/>
              </w:rPr>
              <w:t xml:space="preserve">2000mg in 500mL sodium chloride 0.9% </w:t>
            </w:r>
          </w:p>
          <w:p w14:paraId="2AB84D51" w14:textId="77777777" w:rsidR="00B8146E" w:rsidRDefault="00B8146E" w:rsidP="00B8146E">
            <w:pPr>
              <w:rPr>
                <w:sz w:val="22"/>
                <w:szCs w:val="22"/>
              </w:rPr>
            </w:pPr>
          </w:p>
          <w:p w14:paraId="7B7AE40E" w14:textId="77777777" w:rsidR="00B8146E" w:rsidRPr="002E6EF7" w:rsidRDefault="00B8146E" w:rsidP="00B8146E">
            <w:pPr>
              <w:rPr>
                <w:sz w:val="22"/>
                <w:szCs w:val="22"/>
              </w:rPr>
            </w:pPr>
            <w:r w:rsidRPr="002E6EF7">
              <w:rPr>
                <w:sz w:val="22"/>
                <w:szCs w:val="22"/>
              </w:rPr>
              <w:t>(final volume 585mL)</w:t>
            </w:r>
          </w:p>
        </w:tc>
        <w:tc>
          <w:tcPr>
            <w:tcW w:w="6305" w:type="dxa"/>
            <w:gridSpan w:val="4"/>
            <w:tcBorders>
              <w:top w:val="single" w:sz="12" w:space="0" w:color="auto"/>
            </w:tcBorders>
          </w:tcPr>
          <w:p w14:paraId="348BDFCD" w14:textId="77777777" w:rsidR="00B8146E" w:rsidRPr="002E6EF7" w:rsidRDefault="00B8146E" w:rsidP="00B8146E">
            <w:pPr>
              <w:rPr>
                <w:sz w:val="22"/>
                <w:szCs w:val="22"/>
              </w:rPr>
            </w:pPr>
            <w:r w:rsidRPr="002E6EF7">
              <w:rPr>
                <w:sz w:val="22"/>
                <w:szCs w:val="22"/>
              </w:rPr>
              <w:t>Not available for administration as rapid infusion</w:t>
            </w:r>
          </w:p>
        </w:tc>
        <w:tc>
          <w:tcPr>
            <w:tcW w:w="1576" w:type="dxa"/>
            <w:tcBorders>
              <w:top w:val="single" w:sz="12" w:space="0" w:color="auto"/>
            </w:tcBorders>
          </w:tcPr>
          <w:p w14:paraId="751598E8" w14:textId="77777777" w:rsidR="00B8146E" w:rsidRPr="002E6EF7" w:rsidRDefault="00B8146E" w:rsidP="00B8146E">
            <w:pPr>
              <w:rPr>
                <w:sz w:val="22"/>
                <w:szCs w:val="22"/>
              </w:rPr>
            </w:pPr>
            <w:r w:rsidRPr="002E6EF7">
              <w:rPr>
                <w:sz w:val="22"/>
                <w:szCs w:val="22"/>
              </w:rPr>
              <w:t>40mL/hour for 15 minutes</w:t>
            </w:r>
          </w:p>
        </w:tc>
        <w:tc>
          <w:tcPr>
            <w:tcW w:w="1577" w:type="dxa"/>
            <w:tcBorders>
              <w:top w:val="single" w:sz="12" w:space="0" w:color="auto"/>
            </w:tcBorders>
          </w:tcPr>
          <w:p w14:paraId="5897E987" w14:textId="77777777" w:rsidR="00B8146E" w:rsidRPr="002E6EF7" w:rsidRDefault="00B8146E" w:rsidP="00B8146E">
            <w:pPr>
              <w:rPr>
                <w:sz w:val="22"/>
                <w:szCs w:val="22"/>
              </w:rPr>
            </w:pPr>
            <w:r w:rsidRPr="002E6EF7">
              <w:rPr>
                <w:sz w:val="22"/>
                <w:szCs w:val="22"/>
              </w:rPr>
              <w:t>120mL/hour</w:t>
            </w:r>
          </w:p>
        </w:tc>
        <w:tc>
          <w:tcPr>
            <w:tcW w:w="1577" w:type="dxa"/>
            <w:tcBorders>
              <w:top w:val="single" w:sz="12" w:space="0" w:color="auto"/>
            </w:tcBorders>
          </w:tcPr>
          <w:p w14:paraId="56E6B396" w14:textId="77777777" w:rsidR="00B8146E" w:rsidRPr="002E6EF7" w:rsidRDefault="00B8146E" w:rsidP="00B8146E">
            <w:pPr>
              <w:rPr>
                <w:sz w:val="22"/>
                <w:szCs w:val="22"/>
              </w:rPr>
            </w:pPr>
            <w:r w:rsidRPr="002E6EF7">
              <w:rPr>
                <w:sz w:val="22"/>
                <w:szCs w:val="22"/>
              </w:rPr>
              <w:t>Vital signs every 5 minutes for 15 minutes, then every 30 minutes until 30 minutes post infusion</w:t>
            </w:r>
          </w:p>
        </w:tc>
        <w:tc>
          <w:tcPr>
            <w:tcW w:w="1581" w:type="dxa"/>
            <w:tcBorders>
              <w:top w:val="single" w:sz="12" w:space="0" w:color="auto"/>
            </w:tcBorders>
          </w:tcPr>
          <w:p w14:paraId="6B846FA2" w14:textId="77777777" w:rsidR="00B8146E" w:rsidRPr="002E6EF7" w:rsidRDefault="00B8146E" w:rsidP="00B8146E">
            <w:pPr>
              <w:rPr>
                <w:sz w:val="22"/>
                <w:szCs w:val="22"/>
              </w:rPr>
            </w:pPr>
            <w:r w:rsidRPr="002E6EF7">
              <w:rPr>
                <w:sz w:val="22"/>
                <w:szCs w:val="22"/>
              </w:rPr>
              <w:t>5 hours 3 minutes</w:t>
            </w:r>
          </w:p>
          <w:p w14:paraId="52BB9A81" w14:textId="77777777" w:rsidR="00B8146E" w:rsidRPr="002E6EF7" w:rsidRDefault="00B8146E" w:rsidP="00B8146E">
            <w:pPr>
              <w:rPr>
                <w:sz w:val="22"/>
                <w:szCs w:val="22"/>
              </w:rPr>
            </w:pPr>
          </w:p>
          <w:p w14:paraId="02231C10" w14:textId="77777777" w:rsidR="00B8146E" w:rsidRPr="002E6EF7" w:rsidRDefault="00B8146E" w:rsidP="00B8146E">
            <w:pPr>
              <w:rPr>
                <w:sz w:val="22"/>
                <w:szCs w:val="22"/>
              </w:rPr>
            </w:pPr>
            <w:r w:rsidRPr="002E6EF7">
              <w:rPr>
                <w:sz w:val="22"/>
                <w:szCs w:val="22"/>
              </w:rPr>
              <w:t>(303 minutes)</w:t>
            </w:r>
          </w:p>
        </w:tc>
      </w:tr>
    </w:tbl>
    <w:p w14:paraId="27CC78FC" w14:textId="77777777" w:rsidR="00B8146E" w:rsidRDefault="00B8146E" w:rsidP="00B8146E"/>
    <w:p w14:paraId="6A4A298C" w14:textId="77777777" w:rsidR="00B8146E" w:rsidRDefault="00B8146E" w:rsidP="00B8146E">
      <w:pPr>
        <w:sectPr w:rsidR="00B8146E" w:rsidSect="00B8146E">
          <w:pgSz w:w="16838" w:h="11906" w:orient="landscape"/>
          <w:pgMar w:top="1418" w:right="663" w:bottom="1418" w:left="1440" w:header="357" w:footer="306" w:gutter="0"/>
          <w:cols w:space="708"/>
          <w:docGrid w:linePitch="360"/>
        </w:sectPr>
      </w:pPr>
    </w:p>
    <w:p w14:paraId="3A28BD12" w14:textId="52FEE71A" w:rsidR="00B8146E" w:rsidRDefault="00B8146E" w:rsidP="00B8146E">
      <w:pPr>
        <w:pStyle w:val="Heading2"/>
      </w:pPr>
      <w:r w:rsidRPr="0054387D">
        <w:lastRenderedPageBreak/>
        <w:t>Monitoring</w:t>
      </w:r>
      <w:r>
        <w:t xml:space="preserve"> </w:t>
      </w:r>
      <w:r w:rsidR="00680489">
        <w:rPr>
          <w:b w:val="0"/>
          <w:vertAlign w:val="superscript"/>
        </w:rPr>
        <w:t>2</w:t>
      </w:r>
      <w:r w:rsidRPr="00FB233D">
        <w:rPr>
          <w:b w:val="0"/>
          <w:vertAlign w:val="superscript"/>
        </w:rPr>
        <w:t>,</w:t>
      </w:r>
      <w:r w:rsidR="00680489">
        <w:rPr>
          <w:b w:val="0"/>
          <w:vertAlign w:val="superscript"/>
        </w:rPr>
        <w:t>3</w:t>
      </w:r>
      <w:r>
        <w:t xml:space="preserve"> </w:t>
      </w:r>
    </w:p>
    <w:p w14:paraId="47EA33E1" w14:textId="77777777" w:rsidR="00B8146E" w:rsidRPr="00FB233D" w:rsidRDefault="00B8146E" w:rsidP="00B8146E">
      <w:pPr>
        <w:pStyle w:val="Heading2"/>
        <w:rPr>
          <w:b w:val="0"/>
        </w:rPr>
      </w:pPr>
      <w:r w:rsidRPr="00FB233D">
        <w:rPr>
          <w:b w:val="0"/>
        </w:rPr>
        <w:t xml:space="preserve">A full set of vital signs as per </w:t>
      </w:r>
      <w:r w:rsidRPr="0039014D">
        <w:rPr>
          <w:b w:val="0"/>
          <w:i/>
          <w:iCs/>
        </w:rPr>
        <w:t>Vital Signs and Early Warning Scores procedure</w:t>
      </w:r>
      <w:r w:rsidRPr="00FB233D">
        <w:rPr>
          <w:b w:val="0"/>
        </w:rPr>
        <w:t xml:space="preserve"> at:</w:t>
      </w:r>
    </w:p>
    <w:p w14:paraId="7ED51E7E" w14:textId="7637DB9B" w:rsidR="00B8146E" w:rsidRPr="002654FC" w:rsidRDefault="00B8146E" w:rsidP="0074206C">
      <w:pPr>
        <w:pStyle w:val="ListBullet"/>
        <w:numPr>
          <w:ilvl w:val="0"/>
          <w:numId w:val="8"/>
        </w:numPr>
      </w:pPr>
      <w:r w:rsidRPr="002654FC">
        <w:t>Baseline</w:t>
      </w:r>
      <w:r w:rsidR="0039014D">
        <w:t xml:space="preserve"> (prior to infusion administration)</w:t>
      </w:r>
      <w:r w:rsidRPr="002654FC">
        <w:t>,</w:t>
      </w:r>
      <w:r>
        <w:t xml:space="preserve"> then</w:t>
      </w:r>
    </w:p>
    <w:p w14:paraId="50FFCD38" w14:textId="77777777" w:rsidR="00B8146E" w:rsidRPr="000B796C" w:rsidRDefault="00B8146E" w:rsidP="0074206C">
      <w:pPr>
        <w:pStyle w:val="ListBullet"/>
        <w:numPr>
          <w:ilvl w:val="0"/>
          <w:numId w:val="8"/>
        </w:numPr>
      </w:pPr>
      <w:r>
        <w:t>E</w:t>
      </w:r>
      <w:r w:rsidRPr="000B796C">
        <w:t>very 5 minutes for 15 minutes</w:t>
      </w:r>
      <w:r>
        <w:t xml:space="preserve"> during administration of test dose, then</w:t>
      </w:r>
    </w:p>
    <w:p w14:paraId="0070CA85" w14:textId="77777777" w:rsidR="00B8146E" w:rsidRDefault="00B8146E" w:rsidP="0074206C">
      <w:pPr>
        <w:pStyle w:val="ListBullet"/>
        <w:numPr>
          <w:ilvl w:val="0"/>
          <w:numId w:val="26"/>
        </w:numPr>
      </w:pPr>
      <w:r>
        <w:t>E</w:t>
      </w:r>
      <w:r w:rsidRPr="000B796C">
        <w:t xml:space="preserve">very </w:t>
      </w:r>
      <w:r>
        <w:t>15</w:t>
      </w:r>
      <w:r w:rsidRPr="000B796C">
        <w:t xml:space="preserve"> minutes </w:t>
      </w:r>
      <w:r>
        <w:t xml:space="preserve">for rapid infusion rates </w:t>
      </w:r>
      <w:r w:rsidRPr="000B796C">
        <w:t>until 30 minutes post infusion</w:t>
      </w:r>
      <w:r>
        <w:t>, or</w:t>
      </w:r>
    </w:p>
    <w:p w14:paraId="0215F662" w14:textId="77777777" w:rsidR="00B8146E" w:rsidRDefault="00B8146E" w:rsidP="0074206C">
      <w:pPr>
        <w:pStyle w:val="ListBullet"/>
        <w:numPr>
          <w:ilvl w:val="0"/>
          <w:numId w:val="26"/>
        </w:numPr>
      </w:pPr>
      <w:r>
        <w:t>Every 30 minutes for slow infusion rates until 30 minutes post infusion.</w:t>
      </w:r>
    </w:p>
    <w:p w14:paraId="1F99CB92" w14:textId="59724836" w:rsidR="00B8146E" w:rsidRPr="00951D72" w:rsidRDefault="00B8146E" w:rsidP="0074206C">
      <w:pPr>
        <w:pStyle w:val="ListBullet"/>
        <w:numPr>
          <w:ilvl w:val="0"/>
          <w:numId w:val="8"/>
        </w:numPr>
      </w:pPr>
      <w:r w:rsidRPr="00951D72">
        <w:t xml:space="preserve">If an infusion-related reaction occurs temporarily stop the infusion and </w:t>
      </w:r>
      <w:r w:rsidR="0039014D">
        <w:t xml:space="preserve">then </w:t>
      </w:r>
      <w:r w:rsidRPr="00951D72">
        <w:t xml:space="preserve">restart at the same rate or a reduced rate of 60 mL/hour </w:t>
      </w:r>
    </w:p>
    <w:p w14:paraId="6A236754" w14:textId="77777777" w:rsidR="00B8146E" w:rsidRPr="00460CE0" w:rsidRDefault="00B8146E" w:rsidP="00B8146E"/>
    <w:p w14:paraId="6B3FF76A" w14:textId="77777777" w:rsidR="00B8146E" w:rsidRPr="00FB233D" w:rsidRDefault="009B36AD" w:rsidP="00B8146E">
      <w:pPr>
        <w:jc w:val="right"/>
        <w:rPr>
          <w:rFonts w:cs="Arial"/>
          <w:i/>
          <w:szCs w:val="24"/>
        </w:rPr>
      </w:pPr>
      <w:hyperlink w:anchor="Contents" w:history="1">
        <w:r w:rsidR="00B8146E" w:rsidRPr="00590902">
          <w:rPr>
            <w:rStyle w:val="Hyperlink"/>
            <w:rFonts w:cs="Arial"/>
            <w:i/>
            <w:szCs w:val="24"/>
          </w:rPr>
          <w:t>Back to Table of Contents</w:t>
        </w:r>
      </w:hyperlink>
      <w:r w:rsidR="00B8146E">
        <w:rPr>
          <w:rFonts w:cs="Arial"/>
          <w:i/>
          <w:szCs w:val="24"/>
        </w:rPr>
        <w:t xml:space="preserve"> </w:t>
      </w:r>
      <w:bookmarkStart w:id="21" w:name="_Toc506372705"/>
      <w:bookmarkStart w:id="22" w:name="_Toc23158586"/>
    </w:p>
    <w:tbl>
      <w:tblPr>
        <w:tblpPr w:leftFromText="180" w:rightFromText="180" w:vertAnchor="text" w:horzAnchor="margin" w:tblpY="181"/>
        <w:tblW w:w="9158" w:type="dxa"/>
        <w:tblLook w:val="0000" w:firstRow="0" w:lastRow="0" w:firstColumn="0" w:lastColumn="0" w:noHBand="0" w:noVBand="0"/>
      </w:tblPr>
      <w:tblGrid>
        <w:gridCol w:w="9158"/>
      </w:tblGrid>
      <w:tr w:rsidR="00B8146E" w:rsidRPr="00CD1C0E" w14:paraId="71CF6E97" w14:textId="77777777" w:rsidTr="00B8146E">
        <w:trPr>
          <w:cantSplit/>
          <w:trHeight w:val="285"/>
        </w:trPr>
        <w:tc>
          <w:tcPr>
            <w:tcW w:w="9158" w:type="dxa"/>
            <w:shd w:val="clear" w:color="auto" w:fill="A6A6A6" w:themeFill="background1" w:themeFillShade="A6"/>
          </w:tcPr>
          <w:p w14:paraId="10038344" w14:textId="7EE9E31E" w:rsidR="00B8146E" w:rsidRPr="00C76688" w:rsidRDefault="00B8146E" w:rsidP="00B8146E">
            <w:pPr>
              <w:pStyle w:val="Heading1"/>
            </w:pPr>
            <w:bookmarkStart w:id="23" w:name="_Toc84588314"/>
            <w:r w:rsidRPr="00C76688">
              <w:t xml:space="preserve">Section </w:t>
            </w:r>
            <w:r w:rsidR="006932FC">
              <w:t>3</w:t>
            </w:r>
            <w:r w:rsidRPr="003D2D06">
              <w:t xml:space="preserve"> </w:t>
            </w:r>
            <w:r>
              <w:t>-</w:t>
            </w:r>
            <w:r w:rsidRPr="003D2D06">
              <w:t xml:space="preserve"> </w:t>
            </w:r>
            <w:r>
              <w:t xml:space="preserve">Ferric </w:t>
            </w:r>
            <w:proofErr w:type="spellStart"/>
            <w:r>
              <w:t>Carboxymaltose</w:t>
            </w:r>
            <w:proofErr w:type="spellEnd"/>
            <w:r>
              <w:t xml:space="preserve"> Infusion</w:t>
            </w:r>
            <w:bookmarkEnd w:id="21"/>
            <w:bookmarkEnd w:id="22"/>
            <w:bookmarkEnd w:id="23"/>
          </w:p>
        </w:tc>
      </w:tr>
    </w:tbl>
    <w:p w14:paraId="77AC2B28" w14:textId="77777777" w:rsidR="0039014D" w:rsidRDefault="0039014D" w:rsidP="0039014D">
      <w:pPr>
        <w:pStyle w:val="ListBullet"/>
        <w:numPr>
          <w:ilvl w:val="0"/>
          <w:numId w:val="0"/>
        </w:numPr>
        <w:ind w:left="426" w:hanging="426"/>
        <w:rPr>
          <w:b/>
          <w:bCs/>
        </w:rPr>
      </w:pPr>
    </w:p>
    <w:p w14:paraId="741F89DF" w14:textId="0A4E44A5" w:rsidR="0039014D" w:rsidRDefault="0039014D" w:rsidP="0039014D">
      <w:pPr>
        <w:pStyle w:val="ListBullet"/>
        <w:numPr>
          <w:ilvl w:val="0"/>
          <w:numId w:val="0"/>
        </w:numPr>
        <w:pBdr>
          <w:top w:val="single" w:sz="4" w:space="1" w:color="auto"/>
          <w:left w:val="single" w:sz="4" w:space="4" w:color="auto"/>
          <w:bottom w:val="single" w:sz="4" w:space="1" w:color="auto"/>
          <w:right w:val="single" w:sz="4" w:space="4" w:color="auto"/>
        </w:pBdr>
        <w:ind w:left="426" w:hanging="426"/>
      </w:pPr>
      <w:r w:rsidRPr="0039014D">
        <w:rPr>
          <w:b/>
          <w:bCs/>
        </w:rPr>
        <w:t>Note</w:t>
      </w:r>
      <w:r>
        <w:t xml:space="preserve">: A maximum of 1000mg ferric </w:t>
      </w:r>
      <w:proofErr w:type="spellStart"/>
      <w:r>
        <w:t>carboxymaltose</w:t>
      </w:r>
      <w:proofErr w:type="spellEnd"/>
      <w:r>
        <w:t xml:space="preserve"> may be given as a single dose </w:t>
      </w:r>
      <w:r w:rsidRPr="002C2A12">
        <w:rPr>
          <w:i/>
        </w:rPr>
        <w:t>per week</w:t>
      </w:r>
      <w:r>
        <w:rPr>
          <w:i/>
        </w:rPr>
        <w:t>.</w:t>
      </w:r>
    </w:p>
    <w:p w14:paraId="3DD27B1C" w14:textId="78F92D5D" w:rsidR="00B8146E" w:rsidRDefault="0039014D" w:rsidP="0039014D">
      <w:pPr>
        <w:pBdr>
          <w:top w:val="single" w:sz="4" w:space="1" w:color="auto"/>
          <w:left w:val="single" w:sz="4" w:space="4" w:color="auto"/>
          <w:bottom w:val="single" w:sz="4" w:space="1" w:color="auto"/>
          <w:right w:val="single" w:sz="4" w:space="4" w:color="auto"/>
        </w:pBdr>
        <w:rPr>
          <w:b/>
        </w:rPr>
      </w:pPr>
      <w:r>
        <w:t xml:space="preserve">Outpatients should access ferric </w:t>
      </w:r>
      <w:proofErr w:type="spellStart"/>
      <w:r>
        <w:t>carboxymaltose</w:t>
      </w:r>
      <w:proofErr w:type="spellEnd"/>
      <w:r>
        <w:t xml:space="preserve"> on external PBS prescriptions</w:t>
      </w:r>
    </w:p>
    <w:p w14:paraId="03A77EB8" w14:textId="77777777" w:rsidR="00B8146E" w:rsidRDefault="00B8146E" w:rsidP="00B8146E">
      <w:pPr>
        <w:rPr>
          <w:b/>
        </w:rPr>
      </w:pPr>
    </w:p>
    <w:p w14:paraId="4BB50487" w14:textId="77777777" w:rsidR="00B8146E" w:rsidRPr="00804C53" w:rsidRDefault="00B8146E" w:rsidP="00B8146E">
      <w:pPr>
        <w:rPr>
          <w:b/>
        </w:rPr>
      </w:pPr>
      <w:r w:rsidRPr="00804C53">
        <w:rPr>
          <w:b/>
        </w:rPr>
        <w:t>Indication</w:t>
      </w:r>
    </w:p>
    <w:p w14:paraId="566882FD" w14:textId="275FF89E" w:rsidR="00AA3D99" w:rsidRDefault="00AA3D99" w:rsidP="0074206C">
      <w:pPr>
        <w:pStyle w:val="ListParagraph"/>
        <w:numPr>
          <w:ilvl w:val="0"/>
          <w:numId w:val="18"/>
        </w:numPr>
      </w:pPr>
      <w:r>
        <w:t xml:space="preserve">Iron </w:t>
      </w:r>
      <w:r w:rsidR="00AC666D">
        <w:t>Polymaltose</w:t>
      </w:r>
      <w:r>
        <w:t xml:space="preserve"> i</w:t>
      </w:r>
      <w:r w:rsidR="00AC666D">
        <w:t>s</w:t>
      </w:r>
      <w:r>
        <w:t xml:space="preserve"> the first line option for parenteral iron for inpatients. Refer to the </w:t>
      </w:r>
      <w:hyperlink r:id="rId15" w:history="1">
        <w:r>
          <w:rPr>
            <w:rStyle w:val="Hyperlink"/>
          </w:rPr>
          <w:t>Canberra H</w:t>
        </w:r>
        <w:r w:rsidRPr="00AA3D99">
          <w:rPr>
            <w:rStyle w:val="Hyperlink"/>
          </w:rPr>
          <w:t>ospital Formulary</w:t>
        </w:r>
      </w:hyperlink>
      <w:r>
        <w:t xml:space="preserve"> for further information to determine if your patient is eligible for ferric </w:t>
      </w:r>
      <w:proofErr w:type="spellStart"/>
      <w:r>
        <w:t>carboxymaltose</w:t>
      </w:r>
      <w:proofErr w:type="spellEnd"/>
      <w:r>
        <w:t>.</w:t>
      </w:r>
    </w:p>
    <w:p w14:paraId="6AEBF430" w14:textId="77777777" w:rsidR="00B8146E" w:rsidRPr="00491DC1" w:rsidRDefault="00B8146E" w:rsidP="00144883">
      <w:pPr>
        <w:pStyle w:val="ListBullet"/>
        <w:numPr>
          <w:ilvl w:val="0"/>
          <w:numId w:val="0"/>
        </w:numPr>
        <w:ind w:left="426"/>
        <w:rPr>
          <w:rFonts w:eastAsiaTheme="minorHAnsi"/>
        </w:rPr>
      </w:pPr>
    </w:p>
    <w:p w14:paraId="7903BD36" w14:textId="77777777" w:rsidR="00B8146E" w:rsidRPr="0054387D" w:rsidRDefault="00B8146E" w:rsidP="00B8146E">
      <w:pPr>
        <w:pStyle w:val="Heading2"/>
      </w:pPr>
      <w:r>
        <w:t>Availability</w:t>
      </w:r>
    </w:p>
    <w:p w14:paraId="1F7EB07D" w14:textId="3BF64C05" w:rsidR="00B8146E" w:rsidRPr="00B9032B" w:rsidRDefault="00B8146E" w:rsidP="0074206C">
      <w:pPr>
        <w:pStyle w:val="ListBullet"/>
        <w:numPr>
          <w:ilvl w:val="0"/>
          <w:numId w:val="9"/>
        </w:numPr>
        <w:ind w:left="360"/>
        <w:jc w:val="both"/>
        <w:rPr>
          <w:rFonts w:asciiTheme="minorHAnsi" w:hAnsiTheme="minorHAnsi" w:cstheme="minorHAnsi"/>
          <w:szCs w:val="24"/>
        </w:rPr>
      </w:pPr>
      <w:r>
        <w:t>Ferric</w:t>
      </w:r>
      <w:r w:rsidRPr="0054387D">
        <w:t xml:space="preserve"> </w:t>
      </w:r>
      <w:proofErr w:type="spellStart"/>
      <w:r>
        <w:t>carboxymaltose</w:t>
      </w:r>
      <w:proofErr w:type="spellEnd"/>
      <w:r>
        <w:t xml:space="preserve"> vials</w:t>
      </w:r>
      <w:r w:rsidRPr="0054387D">
        <w:t xml:space="preserve"> are </w:t>
      </w:r>
      <w:r w:rsidR="00AC666D">
        <w:t>dispensed</w:t>
      </w:r>
      <w:r>
        <w:t xml:space="preserve"> by</w:t>
      </w:r>
      <w:r w:rsidRPr="0054387D">
        <w:t xml:space="preserve"> the </w:t>
      </w:r>
      <w:r>
        <w:t xml:space="preserve">hospital </w:t>
      </w:r>
      <w:r w:rsidRPr="0054387D">
        <w:t xml:space="preserve">pharmacy </w:t>
      </w:r>
      <w:r>
        <w:t xml:space="preserve">department upon receipt </w:t>
      </w:r>
      <w:r w:rsidR="00AC666D">
        <w:t>and medication review of the prescription.</w:t>
      </w:r>
    </w:p>
    <w:p w14:paraId="5A45663A" w14:textId="77777777" w:rsidR="00B8146E" w:rsidRDefault="00B8146E" w:rsidP="00144883">
      <w:pPr>
        <w:pStyle w:val="ListBullet"/>
        <w:numPr>
          <w:ilvl w:val="0"/>
          <w:numId w:val="0"/>
        </w:numPr>
        <w:ind w:left="426"/>
        <w:jc w:val="both"/>
      </w:pPr>
      <w:r w:rsidRPr="0054387D">
        <w:t xml:space="preserve"> </w:t>
      </w:r>
    </w:p>
    <w:p w14:paraId="336FAF77" w14:textId="22C4E6B5" w:rsidR="00B8146E" w:rsidRPr="00FA7A10" w:rsidRDefault="00B8146E" w:rsidP="00144883">
      <w:pPr>
        <w:pStyle w:val="ListBullet"/>
        <w:numPr>
          <w:ilvl w:val="0"/>
          <w:numId w:val="0"/>
        </w:numPr>
        <w:ind w:left="426" w:hanging="426"/>
        <w:jc w:val="both"/>
        <w:rPr>
          <w:b/>
        </w:rPr>
      </w:pPr>
      <w:r w:rsidRPr="00FA7A10">
        <w:rPr>
          <w:b/>
        </w:rPr>
        <w:t>Dosing</w:t>
      </w:r>
      <w:r w:rsidRPr="00FB233D">
        <w:rPr>
          <w:vertAlign w:val="superscript"/>
        </w:rPr>
        <w:t xml:space="preserve"> 1</w:t>
      </w:r>
      <w:r w:rsidR="00680489">
        <w:rPr>
          <w:vertAlign w:val="superscript"/>
        </w:rPr>
        <w:t>5</w:t>
      </w:r>
    </w:p>
    <w:tbl>
      <w:tblPr>
        <w:tblStyle w:val="TableGrid"/>
        <w:tblW w:w="0" w:type="auto"/>
        <w:tblLook w:val="04A0" w:firstRow="1" w:lastRow="0" w:firstColumn="1" w:lastColumn="0" w:noHBand="0" w:noVBand="1"/>
      </w:tblPr>
      <w:tblGrid>
        <w:gridCol w:w="3020"/>
        <w:gridCol w:w="3020"/>
        <w:gridCol w:w="3020"/>
      </w:tblGrid>
      <w:tr w:rsidR="00B8146E" w14:paraId="39B31DFD" w14:textId="77777777" w:rsidTr="00144883">
        <w:tc>
          <w:tcPr>
            <w:tcW w:w="3020" w:type="dxa"/>
            <w:shd w:val="clear" w:color="auto" w:fill="D9D9D9" w:themeFill="background1" w:themeFillShade="D9"/>
          </w:tcPr>
          <w:p w14:paraId="5EAB2D63" w14:textId="77777777" w:rsidR="00B8146E" w:rsidRDefault="00B8146E" w:rsidP="00251687">
            <w:pPr>
              <w:pStyle w:val="ListBullet"/>
              <w:numPr>
                <w:ilvl w:val="0"/>
                <w:numId w:val="0"/>
              </w:numPr>
              <w:ind w:left="426" w:hanging="426"/>
              <w:jc w:val="both"/>
            </w:pPr>
            <w:r>
              <w:t>Haemoglobin g/L</w:t>
            </w:r>
          </w:p>
        </w:tc>
        <w:tc>
          <w:tcPr>
            <w:tcW w:w="3020" w:type="dxa"/>
            <w:shd w:val="clear" w:color="auto" w:fill="D9D9D9" w:themeFill="background1" w:themeFillShade="D9"/>
          </w:tcPr>
          <w:p w14:paraId="67F921E7" w14:textId="77777777" w:rsidR="00B8146E" w:rsidRDefault="00B8146E" w:rsidP="00251687">
            <w:pPr>
              <w:pStyle w:val="ListBullet"/>
              <w:numPr>
                <w:ilvl w:val="0"/>
                <w:numId w:val="0"/>
              </w:numPr>
              <w:ind w:left="426" w:hanging="426"/>
              <w:jc w:val="both"/>
            </w:pPr>
            <w:r>
              <w:t>Body Weight 35 to &lt;70 kg</w:t>
            </w:r>
          </w:p>
        </w:tc>
        <w:tc>
          <w:tcPr>
            <w:tcW w:w="3020" w:type="dxa"/>
            <w:shd w:val="clear" w:color="auto" w:fill="D9D9D9" w:themeFill="background1" w:themeFillShade="D9"/>
          </w:tcPr>
          <w:p w14:paraId="5B968D2F" w14:textId="77777777" w:rsidR="00B8146E" w:rsidRDefault="00B8146E" w:rsidP="00251687">
            <w:pPr>
              <w:pStyle w:val="ListBullet"/>
              <w:numPr>
                <w:ilvl w:val="0"/>
                <w:numId w:val="0"/>
              </w:numPr>
              <w:ind w:left="426" w:hanging="426"/>
              <w:jc w:val="both"/>
            </w:pPr>
            <w:r>
              <w:t>Body Weight ≥ 70 kg</w:t>
            </w:r>
          </w:p>
        </w:tc>
      </w:tr>
      <w:tr w:rsidR="00B8146E" w14:paraId="7579B81A" w14:textId="77777777" w:rsidTr="00B8146E">
        <w:tc>
          <w:tcPr>
            <w:tcW w:w="3020" w:type="dxa"/>
          </w:tcPr>
          <w:p w14:paraId="27924B8D" w14:textId="77777777" w:rsidR="00B8146E" w:rsidRDefault="00B8146E" w:rsidP="00144883">
            <w:pPr>
              <w:pStyle w:val="ListBullet"/>
              <w:numPr>
                <w:ilvl w:val="0"/>
                <w:numId w:val="0"/>
              </w:numPr>
              <w:ind w:left="426"/>
              <w:jc w:val="both"/>
            </w:pPr>
            <w:r>
              <w:t>&lt; 100</w:t>
            </w:r>
          </w:p>
        </w:tc>
        <w:tc>
          <w:tcPr>
            <w:tcW w:w="3020" w:type="dxa"/>
          </w:tcPr>
          <w:p w14:paraId="3269357E" w14:textId="77777777" w:rsidR="00B8146E" w:rsidRDefault="00B8146E" w:rsidP="00144883">
            <w:pPr>
              <w:pStyle w:val="ListBullet"/>
              <w:numPr>
                <w:ilvl w:val="0"/>
                <w:numId w:val="0"/>
              </w:numPr>
              <w:ind w:left="426"/>
              <w:jc w:val="both"/>
            </w:pPr>
            <w:r>
              <w:t>1500mg*</w:t>
            </w:r>
          </w:p>
        </w:tc>
        <w:tc>
          <w:tcPr>
            <w:tcW w:w="3020" w:type="dxa"/>
          </w:tcPr>
          <w:p w14:paraId="0935F160" w14:textId="77777777" w:rsidR="00B8146E" w:rsidRDefault="00B8146E" w:rsidP="00144883">
            <w:pPr>
              <w:pStyle w:val="ListBullet"/>
              <w:numPr>
                <w:ilvl w:val="0"/>
                <w:numId w:val="0"/>
              </w:numPr>
              <w:ind w:left="426"/>
              <w:jc w:val="both"/>
            </w:pPr>
            <w:r>
              <w:t>2000mg*</w:t>
            </w:r>
          </w:p>
        </w:tc>
      </w:tr>
      <w:tr w:rsidR="00B8146E" w14:paraId="1BEB5448" w14:textId="77777777" w:rsidTr="00B8146E">
        <w:tc>
          <w:tcPr>
            <w:tcW w:w="3020" w:type="dxa"/>
          </w:tcPr>
          <w:p w14:paraId="5998C18B" w14:textId="77777777" w:rsidR="00B8146E" w:rsidRDefault="00B8146E" w:rsidP="00144883">
            <w:pPr>
              <w:pStyle w:val="ListBullet"/>
              <w:numPr>
                <w:ilvl w:val="0"/>
                <w:numId w:val="0"/>
              </w:numPr>
              <w:ind w:left="426"/>
              <w:jc w:val="both"/>
            </w:pPr>
            <w:r>
              <w:t>≥ 100</w:t>
            </w:r>
          </w:p>
        </w:tc>
        <w:tc>
          <w:tcPr>
            <w:tcW w:w="3020" w:type="dxa"/>
          </w:tcPr>
          <w:p w14:paraId="5445D453" w14:textId="77777777" w:rsidR="00B8146E" w:rsidRDefault="00B8146E" w:rsidP="00144883">
            <w:pPr>
              <w:pStyle w:val="ListBullet"/>
              <w:numPr>
                <w:ilvl w:val="0"/>
                <w:numId w:val="0"/>
              </w:numPr>
              <w:ind w:left="426"/>
              <w:jc w:val="both"/>
            </w:pPr>
            <w:r>
              <w:t>1000mg</w:t>
            </w:r>
          </w:p>
        </w:tc>
        <w:tc>
          <w:tcPr>
            <w:tcW w:w="3020" w:type="dxa"/>
          </w:tcPr>
          <w:p w14:paraId="15EF6466" w14:textId="77777777" w:rsidR="00B8146E" w:rsidRDefault="00B8146E" w:rsidP="00144883">
            <w:pPr>
              <w:pStyle w:val="ListBullet"/>
              <w:numPr>
                <w:ilvl w:val="0"/>
                <w:numId w:val="0"/>
              </w:numPr>
              <w:ind w:left="426"/>
              <w:jc w:val="both"/>
            </w:pPr>
            <w:r>
              <w:t>1500mg*</w:t>
            </w:r>
          </w:p>
        </w:tc>
      </w:tr>
    </w:tbl>
    <w:p w14:paraId="2E0CFC9D" w14:textId="1290C386" w:rsidR="00B8146E" w:rsidRDefault="00B8146E" w:rsidP="0039014D">
      <w:r>
        <w:t xml:space="preserve">Max dose </w:t>
      </w:r>
      <w:r w:rsidRPr="00B53427">
        <w:rPr>
          <w:i/>
        </w:rPr>
        <w:t>per week</w:t>
      </w:r>
      <w:r>
        <w:t xml:space="preserve"> of ferric </w:t>
      </w:r>
      <w:proofErr w:type="spellStart"/>
      <w:r>
        <w:t>carboxymaltose</w:t>
      </w:r>
      <w:proofErr w:type="spellEnd"/>
      <w:r>
        <w:t xml:space="preserve"> is 1000mg. In patients who need more than</w:t>
      </w:r>
      <w:r w:rsidR="0039014D">
        <w:t xml:space="preserve"> </w:t>
      </w:r>
      <w:r>
        <w:t>1000mg, the dose must be divided and given at least one week apart</w:t>
      </w:r>
    </w:p>
    <w:p w14:paraId="4343DE30" w14:textId="77777777" w:rsidR="00B8146E" w:rsidRPr="003D1FD5" w:rsidRDefault="00B8146E" w:rsidP="00144883">
      <w:pPr>
        <w:pStyle w:val="ListBullet"/>
        <w:numPr>
          <w:ilvl w:val="0"/>
          <w:numId w:val="0"/>
        </w:numPr>
        <w:ind w:left="426"/>
        <w:jc w:val="both"/>
        <w:rPr>
          <w:rFonts w:asciiTheme="minorHAnsi" w:hAnsiTheme="minorHAnsi" w:cstheme="minorHAnsi"/>
          <w:sz w:val="16"/>
          <w:szCs w:val="16"/>
        </w:rPr>
      </w:pPr>
    </w:p>
    <w:p w14:paraId="1DAFB866" w14:textId="77777777" w:rsidR="00B8146E" w:rsidRPr="0054387D" w:rsidRDefault="00B8146E" w:rsidP="00B8146E">
      <w:pPr>
        <w:pStyle w:val="Heading2"/>
      </w:pPr>
      <w:r w:rsidRPr="0054387D">
        <w:t>Presentation</w:t>
      </w:r>
    </w:p>
    <w:p w14:paraId="7941D62D" w14:textId="61F24674" w:rsidR="00B8146E" w:rsidRDefault="00B8146E" w:rsidP="0074206C">
      <w:pPr>
        <w:pStyle w:val="ListBullet"/>
        <w:numPr>
          <w:ilvl w:val="0"/>
          <w:numId w:val="9"/>
        </w:numPr>
        <w:ind w:left="360"/>
        <w:jc w:val="both"/>
      </w:pPr>
      <w:r>
        <w:t>100mg/2</w:t>
      </w:r>
      <w:r w:rsidRPr="0054387D">
        <w:t>mL</w:t>
      </w:r>
      <w:r w:rsidR="00144883">
        <w:t xml:space="preserve"> solution in a</w:t>
      </w:r>
      <w:r>
        <w:t xml:space="preserve"> glass vial</w:t>
      </w:r>
    </w:p>
    <w:p w14:paraId="6DC2743B" w14:textId="2A5D9B5E" w:rsidR="00B8146E" w:rsidRPr="0054387D" w:rsidRDefault="00B8146E" w:rsidP="0074206C">
      <w:pPr>
        <w:pStyle w:val="ListBullet"/>
        <w:numPr>
          <w:ilvl w:val="0"/>
          <w:numId w:val="9"/>
        </w:numPr>
        <w:ind w:left="360"/>
        <w:jc w:val="both"/>
      </w:pPr>
      <w:r>
        <w:t>500mg/10mL</w:t>
      </w:r>
      <w:r w:rsidR="00144883">
        <w:t xml:space="preserve"> solution in a</w:t>
      </w:r>
      <w:r w:rsidRPr="0054387D">
        <w:t xml:space="preserve"> </w:t>
      </w:r>
      <w:r>
        <w:t>glass vial</w:t>
      </w:r>
    </w:p>
    <w:p w14:paraId="57F1ED40" w14:textId="77777777" w:rsidR="00B8146E" w:rsidRPr="003D1FD5" w:rsidRDefault="00B8146E" w:rsidP="00B8146E">
      <w:pPr>
        <w:rPr>
          <w:rFonts w:asciiTheme="minorHAnsi" w:hAnsiTheme="minorHAnsi" w:cstheme="minorHAnsi"/>
          <w:iCs/>
          <w:sz w:val="16"/>
          <w:szCs w:val="16"/>
        </w:rPr>
      </w:pPr>
    </w:p>
    <w:p w14:paraId="772786CA" w14:textId="77777777" w:rsidR="00B8146E" w:rsidRPr="00F8067E" w:rsidRDefault="00B8146E" w:rsidP="00B8146E">
      <w:pPr>
        <w:pStyle w:val="Heading2"/>
      </w:pPr>
      <w:r>
        <w:t xml:space="preserve">Prescribing </w:t>
      </w:r>
    </w:p>
    <w:p w14:paraId="426AEBB8" w14:textId="3A8A03B7" w:rsidR="00B8146E" w:rsidRDefault="00B8146E" w:rsidP="0074206C">
      <w:pPr>
        <w:pStyle w:val="ListBullet"/>
        <w:numPr>
          <w:ilvl w:val="0"/>
          <w:numId w:val="9"/>
        </w:numPr>
        <w:ind w:left="360"/>
        <w:jc w:val="both"/>
      </w:pPr>
      <w:r w:rsidRPr="0054387D">
        <w:t xml:space="preserve">Dose is based on </w:t>
      </w:r>
      <w:r w:rsidR="00251687">
        <w:t xml:space="preserve">body </w:t>
      </w:r>
      <w:r w:rsidRPr="0054387D">
        <w:t xml:space="preserve">weight and </w:t>
      </w:r>
      <w:r w:rsidR="00251687">
        <w:t>haemoglobin</w:t>
      </w:r>
      <w:r w:rsidRPr="0054387D">
        <w:t xml:space="preserve"> of the patient </w:t>
      </w:r>
    </w:p>
    <w:p w14:paraId="1AE1C0E5" w14:textId="094CEB38" w:rsidR="00B8146E" w:rsidRDefault="00B8146E" w:rsidP="0074206C">
      <w:pPr>
        <w:pStyle w:val="ListBullet"/>
        <w:numPr>
          <w:ilvl w:val="0"/>
          <w:numId w:val="9"/>
        </w:numPr>
        <w:ind w:left="360"/>
        <w:jc w:val="both"/>
      </w:pPr>
      <w:r w:rsidRPr="0054387D">
        <w:t xml:space="preserve">If patient has been given a blood transfusion </w:t>
      </w:r>
      <w:r w:rsidR="00976030" w:rsidRPr="0054387D">
        <w:t>to</w:t>
      </w:r>
      <w:r w:rsidRPr="0054387D">
        <w:t xml:space="preserve"> correct the low </w:t>
      </w:r>
      <w:r w:rsidR="00251687">
        <w:t>haemoglobin</w:t>
      </w:r>
      <w:r w:rsidRPr="0054387D">
        <w:t xml:space="preserve">, use the </w:t>
      </w:r>
      <w:r>
        <w:t>post</w:t>
      </w:r>
      <w:r w:rsidRPr="0054387D">
        <w:t xml:space="preserve">-transfusion </w:t>
      </w:r>
      <w:r w:rsidR="00251687">
        <w:t>haemoglobin</w:t>
      </w:r>
      <w:r w:rsidRPr="0054387D">
        <w:t xml:space="preserve"> to calculate dose</w:t>
      </w:r>
      <w:r>
        <w:t xml:space="preserve">. Max dose </w:t>
      </w:r>
      <w:r w:rsidRPr="0074206C">
        <w:t>per week</w:t>
      </w:r>
      <w:r>
        <w:t xml:space="preserve"> of ferric </w:t>
      </w:r>
      <w:proofErr w:type="spellStart"/>
      <w:r>
        <w:t>carboxymaltose</w:t>
      </w:r>
      <w:proofErr w:type="spellEnd"/>
      <w:r>
        <w:t xml:space="preserve"> is 1000mg. In patients who need more than 1000mg, the dose must be divided and given at least one week apart</w:t>
      </w:r>
    </w:p>
    <w:p w14:paraId="61B1DCDE" w14:textId="77777777" w:rsidR="00B8146E" w:rsidRPr="00491DC1" w:rsidRDefault="00B8146E" w:rsidP="00144883">
      <w:pPr>
        <w:pStyle w:val="ListBullet"/>
        <w:numPr>
          <w:ilvl w:val="0"/>
          <w:numId w:val="0"/>
        </w:numPr>
        <w:ind w:left="360"/>
      </w:pPr>
    </w:p>
    <w:p w14:paraId="7F731C04" w14:textId="77777777" w:rsidR="00B8146E" w:rsidRPr="0054387D" w:rsidRDefault="00B8146E" w:rsidP="00B8146E">
      <w:pPr>
        <w:pStyle w:val="Heading2"/>
      </w:pPr>
      <w:r w:rsidRPr="0054387D">
        <w:lastRenderedPageBreak/>
        <w:t>Line Requirements</w:t>
      </w:r>
    </w:p>
    <w:p w14:paraId="7E06D0D1" w14:textId="5A100FF4" w:rsidR="00B8146E" w:rsidRPr="00804C53" w:rsidRDefault="00B8146E" w:rsidP="0074206C">
      <w:pPr>
        <w:pStyle w:val="ListBullet"/>
        <w:numPr>
          <w:ilvl w:val="0"/>
          <w:numId w:val="9"/>
        </w:numPr>
        <w:ind w:left="360"/>
        <w:jc w:val="both"/>
      </w:pPr>
      <w:r w:rsidRPr="0074206C">
        <w:t xml:space="preserve">Ferric </w:t>
      </w:r>
      <w:proofErr w:type="spellStart"/>
      <w:r w:rsidRPr="0074206C">
        <w:t>carboxymaltose</w:t>
      </w:r>
      <w:proofErr w:type="spellEnd"/>
      <w:r w:rsidRPr="0074206C">
        <w:t xml:space="preserve"> should be infused intravenously through a peripheral line</w:t>
      </w:r>
      <w:r w:rsidR="008E47AA" w:rsidRPr="0074206C">
        <w:t xml:space="preserve">. See ‘Infusion Set Up’ </w:t>
      </w:r>
      <w:r w:rsidR="0039014D" w:rsidRPr="0074206C">
        <w:t>in Section 1.</w:t>
      </w:r>
    </w:p>
    <w:p w14:paraId="6685DC6E" w14:textId="77777777" w:rsidR="00B8146E" w:rsidRPr="0054387D" w:rsidRDefault="00B8146E" w:rsidP="00B8146E">
      <w:pPr>
        <w:rPr>
          <w:rFonts w:asciiTheme="minorHAnsi" w:hAnsiTheme="minorHAnsi" w:cstheme="minorHAnsi"/>
          <w:szCs w:val="24"/>
        </w:rPr>
      </w:pPr>
    </w:p>
    <w:p w14:paraId="38666791" w14:textId="77777777" w:rsidR="00B8146E" w:rsidRDefault="00B8146E" w:rsidP="00144883">
      <w:pPr>
        <w:pStyle w:val="ListBullet"/>
        <w:numPr>
          <w:ilvl w:val="0"/>
          <w:numId w:val="0"/>
        </w:numPr>
        <w:ind w:left="426" w:hanging="426"/>
      </w:pPr>
      <w:r w:rsidRPr="004010F7">
        <w:rPr>
          <w:rStyle w:val="Heading2Char"/>
        </w:rPr>
        <w:t xml:space="preserve">Administration </w:t>
      </w:r>
      <w:r w:rsidRPr="00F8067E">
        <w:t xml:space="preserve"> </w:t>
      </w:r>
    </w:p>
    <w:p w14:paraId="4B9FE5F7" w14:textId="0C796F2B" w:rsidR="00B8146E" w:rsidRDefault="000C52F5" w:rsidP="0074206C">
      <w:pPr>
        <w:pStyle w:val="ListBullet"/>
        <w:numPr>
          <w:ilvl w:val="0"/>
          <w:numId w:val="9"/>
        </w:numPr>
        <w:ind w:left="360"/>
        <w:jc w:val="both"/>
      </w:pPr>
      <w:r>
        <w:t>Anaphylactoid reactions</w:t>
      </w:r>
      <w:r w:rsidR="00B8146E">
        <w:t xml:space="preserve"> may occur with intravenous iron – see alerts</w:t>
      </w:r>
    </w:p>
    <w:p w14:paraId="4B284C3E" w14:textId="22FD4762" w:rsidR="00251687" w:rsidRPr="00F8067E" w:rsidRDefault="00251687" w:rsidP="0074206C">
      <w:pPr>
        <w:pStyle w:val="ListBullet"/>
        <w:numPr>
          <w:ilvl w:val="0"/>
          <w:numId w:val="9"/>
        </w:numPr>
        <w:ind w:left="360"/>
        <w:jc w:val="both"/>
      </w:pPr>
      <w:r w:rsidRPr="0054387D">
        <w:t xml:space="preserve">An emergency </w:t>
      </w:r>
      <w:r>
        <w:t>trolley</w:t>
      </w:r>
      <w:r w:rsidRPr="0054387D">
        <w:t xml:space="preserve"> and facilities for cardiopulmonary resuscitation must be readily accessible should a hypersensitivity reaction occur</w:t>
      </w:r>
    </w:p>
    <w:p w14:paraId="504608B9" w14:textId="77777777" w:rsidR="00B8146E" w:rsidRDefault="00B8146E" w:rsidP="00144883">
      <w:pPr>
        <w:pStyle w:val="ListBullet"/>
        <w:numPr>
          <w:ilvl w:val="0"/>
          <w:numId w:val="0"/>
        </w:numPr>
        <w:ind w:left="426"/>
      </w:pPr>
    </w:p>
    <w:p w14:paraId="29C992CD" w14:textId="77777777" w:rsidR="00B8146E" w:rsidRDefault="00B8146E" w:rsidP="00813BBF">
      <w:pPr>
        <w:pStyle w:val="ListBullet"/>
        <w:numPr>
          <w:ilvl w:val="0"/>
          <w:numId w:val="0"/>
        </w:numPr>
        <w:ind w:left="426" w:hanging="426"/>
      </w:pPr>
      <w:r>
        <w:t xml:space="preserve">IV </w:t>
      </w:r>
      <w:r w:rsidRPr="00251687">
        <w:rPr>
          <w:u w:val="single"/>
        </w:rPr>
        <w:t>infusion</w:t>
      </w:r>
      <w:r>
        <w:t xml:space="preserve">: </w:t>
      </w:r>
    </w:p>
    <w:p w14:paraId="0021B0A6" w14:textId="593ABEDC" w:rsidR="004125EA" w:rsidRDefault="00B8146E" w:rsidP="0074206C">
      <w:pPr>
        <w:pStyle w:val="ListBullet"/>
        <w:numPr>
          <w:ilvl w:val="0"/>
          <w:numId w:val="9"/>
        </w:numPr>
        <w:ind w:left="360"/>
        <w:jc w:val="both"/>
      </w:pPr>
      <w:r>
        <w:t xml:space="preserve">Doses </w:t>
      </w:r>
      <w:r w:rsidR="00813BBF">
        <w:t>up to</w:t>
      </w:r>
      <w:r>
        <w:t xml:space="preserve"> 500mg</w:t>
      </w:r>
      <w:r w:rsidR="00813BBF">
        <w:t xml:space="preserve"> can be </w:t>
      </w:r>
      <w:r w:rsidR="00251687">
        <w:t>added to</w:t>
      </w:r>
      <w:r>
        <w:t xml:space="preserve"> 100mL sodium chloride 0.9% and infuse</w:t>
      </w:r>
      <w:r w:rsidR="00813BBF">
        <w:t>d</w:t>
      </w:r>
      <w:r>
        <w:t xml:space="preserve"> over </w:t>
      </w:r>
      <w:r w:rsidR="003D427A">
        <w:t>6</w:t>
      </w:r>
      <w:r w:rsidR="00813BBF">
        <w:t xml:space="preserve"> </w:t>
      </w:r>
      <w:r>
        <w:t>minutes</w:t>
      </w:r>
    </w:p>
    <w:p w14:paraId="35118409" w14:textId="728530A0" w:rsidR="00B8146E" w:rsidRPr="0054387D" w:rsidRDefault="00B8146E" w:rsidP="0074206C">
      <w:pPr>
        <w:pStyle w:val="ListBullet"/>
        <w:numPr>
          <w:ilvl w:val="0"/>
          <w:numId w:val="9"/>
        </w:numPr>
        <w:ind w:left="360"/>
        <w:jc w:val="both"/>
      </w:pPr>
      <w:r>
        <w:t xml:space="preserve">Doses </w:t>
      </w:r>
      <w:r w:rsidR="00813BBF">
        <w:t>&gt;</w:t>
      </w:r>
      <w:r>
        <w:t xml:space="preserve"> 500</w:t>
      </w:r>
      <w:r w:rsidR="00813BBF">
        <w:t xml:space="preserve">mg </w:t>
      </w:r>
      <w:r>
        <w:t>to</w:t>
      </w:r>
      <w:r w:rsidR="00813BBF">
        <w:t xml:space="preserve"> a maximum of</w:t>
      </w:r>
      <w:r>
        <w:t xml:space="preserve"> 1000mg </w:t>
      </w:r>
      <w:r w:rsidR="00813BBF">
        <w:t xml:space="preserve">can be </w:t>
      </w:r>
      <w:r w:rsidR="00251687">
        <w:t>added to</w:t>
      </w:r>
      <w:r>
        <w:t xml:space="preserve"> 250mL of sodium chloride 0.9% and infuse</w:t>
      </w:r>
      <w:r w:rsidR="00251687">
        <w:t>d</w:t>
      </w:r>
      <w:r>
        <w:t xml:space="preserve"> over 15 minutes</w:t>
      </w:r>
    </w:p>
    <w:p w14:paraId="7C0324A2" w14:textId="77777777" w:rsidR="00B8146E" w:rsidRDefault="00B8146E" w:rsidP="00144883">
      <w:pPr>
        <w:pStyle w:val="ListBullet"/>
        <w:numPr>
          <w:ilvl w:val="0"/>
          <w:numId w:val="0"/>
        </w:numPr>
        <w:ind w:left="426"/>
        <w:rPr>
          <w:rFonts w:asciiTheme="minorHAnsi" w:hAnsiTheme="minorHAnsi" w:cstheme="minorHAnsi"/>
          <w:szCs w:val="24"/>
        </w:rPr>
      </w:pPr>
    </w:p>
    <w:p w14:paraId="1FA1531D" w14:textId="77777777" w:rsidR="00B8146E" w:rsidRDefault="00B8146E" w:rsidP="00813BBF">
      <w:pPr>
        <w:pStyle w:val="ListBullet"/>
        <w:numPr>
          <w:ilvl w:val="0"/>
          <w:numId w:val="0"/>
        </w:numPr>
        <w:ind w:left="426" w:hanging="426"/>
      </w:pPr>
      <w:r>
        <w:rPr>
          <w:rFonts w:asciiTheme="minorHAnsi" w:hAnsiTheme="minorHAnsi" w:cstheme="minorHAnsi"/>
          <w:szCs w:val="24"/>
        </w:rPr>
        <w:t xml:space="preserve">IV </w:t>
      </w:r>
      <w:r w:rsidRPr="00251687">
        <w:rPr>
          <w:rFonts w:asciiTheme="minorHAnsi" w:hAnsiTheme="minorHAnsi" w:cstheme="minorHAnsi"/>
          <w:szCs w:val="24"/>
          <w:u w:val="single"/>
        </w:rPr>
        <w:t>injection</w:t>
      </w:r>
      <w:r>
        <w:t>:</w:t>
      </w:r>
    </w:p>
    <w:p w14:paraId="0AFE478B" w14:textId="5C7578EC" w:rsidR="00B8146E" w:rsidRDefault="00B8146E" w:rsidP="0074206C">
      <w:pPr>
        <w:pStyle w:val="ListBullet"/>
        <w:numPr>
          <w:ilvl w:val="0"/>
          <w:numId w:val="9"/>
        </w:numPr>
        <w:ind w:left="360"/>
        <w:jc w:val="both"/>
      </w:pPr>
      <w:r>
        <w:t xml:space="preserve">Doses </w:t>
      </w:r>
      <w:r w:rsidR="00813BBF">
        <w:t>up to</w:t>
      </w:r>
      <w:r>
        <w:t xml:space="preserve"> 500mg </w:t>
      </w:r>
      <w:r w:rsidR="00813BBF">
        <w:t>can</w:t>
      </w:r>
      <w:r>
        <w:t xml:space="preserve"> be </w:t>
      </w:r>
      <w:r w:rsidR="00813BBF">
        <w:t>administered</w:t>
      </w:r>
      <w:r>
        <w:t xml:space="preserve"> </w:t>
      </w:r>
      <w:r w:rsidR="00813BBF">
        <w:t>as an intravenous injection</w:t>
      </w:r>
      <w:r w:rsidR="00251687">
        <w:t>,</w:t>
      </w:r>
      <w:r w:rsidR="00813BBF">
        <w:t xml:space="preserve"> </w:t>
      </w:r>
      <w:r>
        <w:t>undiluted at maximum rate of 100mg/minute</w:t>
      </w:r>
      <w:r w:rsidR="003D427A">
        <w:t xml:space="preserve">. Use </w:t>
      </w:r>
      <w:r w:rsidR="00F24FE2">
        <w:t xml:space="preserve">a </w:t>
      </w:r>
      <w:r w:rsidR="00976030">
        <w:t>spring fuser</w:t>
      </w:r>
      <w:r w:rsidR="003D427A">
        <w:t xml:space="preserve"> with flow control tubing of 10mL over 5 minutes. </w:t>
      </w:r>
    </w:p>
    <w:p w14:paraId="580B6853" w14:textId="636858E9" w:rsidR="00B8146E" w:rsidRDefault="00B8146E" w:rsidP="0074206C">
      <w:pPr>
        <w:pStyle w:val="ListBullet"/>
        <w:numPr>
          <w:ilvl w:val="0"/>
          <w:numId w:val="9"/>
        </w:numPr>
        <w:ind w:left="360"/>
        <w:jc w:val="both"/>
      </w:pPr>
      <w:r>
        <w:t xml:space="preserve">Doses </w:t>
      </w:r>
      <w:r w:rsidR="00813BBF">
        <w:t>&gt;</w:t>
      </w:r>
      <w:r>
        <w:t xml:space="preserve"> 500</w:t>
      </w:r>
      <w:r w:rsidR="00813BBF">
        <w:t xml:space="preserve">mg to maximum of </w:t>
      </w:r>
      <w:r>
        <w:t xml:space="preserve">1000mg </w:t>
      </w:r>
      <w:r w:rsidR="00813BBF">
        <w:t>can</w:t>
      </w:r>
      <w:r>
        <w:t xml:space="preserve"> be </w:t>
      </w:r>
      <w:r w:rsidR="00813BBF">
        <w:t>administered as an intravenous injection</w:t>
      </w:r>
      <w:r w:rsidR="00251687">
        <w:t xml:space="preserve">, undiluted </w:t>
      </w:r>
      <w:r>
        <w:t>over 15 minutes</w:t>
      </w:r>
      <w:r w:rsidR="003D427A">
        <w:t xml:space="preserve">. Use a </w:t>
      </w:r>
      <w:r w:rsidR="00976030">
        <w:t>spring fuser</w:t>
      </w:r>
      <w:r w:rsidR="003D427A">
        <w:t xml:space="preserve"> with flow control tubing of 10mL over 15 minutes.</w:t>
      </w:r>
    </w:p>
    <w:p w14:paraId="48AE2745" w14:textId="77777777" w:rsidR="00B8146E" w:rsidRPr="007018DB" w:rsidRDefault="00B8146E" w:rsidP="00144883">
      <w:pPr>
        <w:pStyle w:val="ListBullet"/>
        <w:numPr>
          <w:ilvl w:val="0"/>
          <w:numId w:val="0"/>
        </w:numPr>
        <w:ind w:left="426"/>
        <w:rPr>
          <w:sz w:val="16"/>
          <w:szCs w:val="16"/>
        </w:rPr>
      </w:pPr>
    </w:p>
    <w:p w14:paraId="5C256A37" w14:textId="77777777" w:rsidR="00B8146E" w:rsidRPr="0054387D" w:rsidRDefault="00B8146E" w:rsidP="00B8146E">
      <w:pPr>
        <w:pStyle w:val="Heading2"/>
      </w:pPr>
      <w:r w:rsidRPr="0054387D">
        <w:t>Monitoring</w:t>
      </w:r>
    </w:p>
    <w:p w14:paraId="2268AC41" w14:textId="77777777" w:rsidR="00B8146E" w:rsidRPr="002654FC" w:rsidRDefault="00B8146E" w:rsidP="0074206C">
      <w:pPr>
        <w:pStyle w:val="ListBullet"/>
        <w:numPr>
          <w:ilvl w:val="0"/>
          <w:numId w:val="9"/>
        </w:numPr>
        <w:ind w:left="360"/>
        <w:jc w:val="both"/>
      </w:pPr>
      <w:r w:rsidRPr="002654FC">
        <w:t xml:space="preserve">A full set of vital signs as per </w:t>
      </w:r>
      <w:r w:rsidRPr="0074206C">
        <w:t>Vital Signs and Early Warning Scores procedure</w:t>
      </w:r>
      <w:r w:rsidRPr="002654FC">
        <w:t xml:space="preserve"> at:</w:t>
      </w:r>
    </w:p>
    <w:p w14:paraId="24A4FF26" w14:textId="748BF268" w:rsidR="00B8146E" w:rsidRPr="002654FC" w:rsidRDefault="00B8146E" w:rsidP="0074206C">
      <w:pPr>
        <w:pStyle w:val="ListBullet"/>
        <w:numPr>
          <w:ilvl w:val="0"/>
          <w:numId w:val="27"/>
        </w:numPr>
      </w:pPr>
      <w:r w:rsidRPr="002654FC">
        <w:t>Baseline</w:t>
      </w:r>
      <w:r w:rsidR="0039014D">
        <w:t xml:space="preserve"> (prior to infusion administration)</w:t>
      </w:r>
      <w:r w:rsidRPr="002654FC">
        <w:t>,</w:t>
      </w:r>
      <w:r>
        <w:t xml:space="preserve"> then</w:t>
      </w:r>
    </w:p>
    <w:p w14:paraId="68DD1DDC" w14:textId="77777777" w:rsidR="00B8146E" w:rsidRDefault="00B8146E" w:rsidP="0074206C">
      <w:pPr>
        <w:pStyle w:val="ListBullet"/>
        <w:numPr>
          <w:ilvl w:val="0"/>
          <w:numId w:val="27"/>
        </w:numPr>
      </w:pPr>
      <w:r>
        <w:t>At completion of infusion</w:t>
      </w:r>
    </w:p>
    <w:p w14:paraId="05CF5E96" w14:textId="77777777" w:rsidR="00B8146E" w:rsidRPr="000B796C" w:rsidRDefault="00B8146E" w:rsidP="0074206C">
      <w:pPr>
        <w:pStyle w:val="ListBullet"/>
        <w:numPr>
          <w:ilvl w:val="0"/>
          <w:numId w:val="27"/>
        </w:numPr>
      </w:pPr>
      <w:r>
        <w:t>Patients should be monitored closely for signs of hypersensitivity during and for at least 30 minutes after administration</w:t>
      </w:r>
    </w:p>
    <w:p w14:paraId="7F6C55EA" w14:textId="77777777" w:rsidR="00B8146E" w:rsidRDefault="00B8146E" w:rsidP="00B8146E">
      <w:pPr>
        <w:pStyle w:val="Heading2"/>
      </w:pPr>
    </w:p>
    <w:p w14:paraId="7A28DF66" w14:textId="77777777" w:rsidR="00B8146E" w:rsidRPr="0054387D" w:rsidRDefault="00B8146E" w:rsidP="00B8146E">
      <w:pPr>
        <w:pStyle w:val="Heading2"/>
      </w:pPr>
      <w:r w:rsidRPr="0054387D">
        <w:t xml:space="preserve">Preparation </w:t>
      </w:r>
    </w:p>
    <w:p w14:paraId="0D0F53C1" w14:textId="77777777" w:rsidR="00B8146E" w:rsidRPr="0054387D" w:rsidRDefault="00B8146E" w:rsidP="00601BCF">
      <w:pPr>
        <w:pStyle w:val="ListBullet"/>
        <w:numPr>
          <w:ilvl w:val="0"/>
          <w:numId w:val="0"/>
        </w:numPr>
        <w:ind w:left="426" w:hanging="426"/>
      </w:pPr>
      <w:r w:rsidRPr="0054387D">
        <w:t>Stability</w:t>
      </w:r>
      <w:r>
        <w:t>:</w:t>
      </w:r>
    </w:p>
    <w:p w14:paraId="200CC4CB" w14:textId="5DAA2A51" w:rsidR="00B8146E" w:rsidRDefault="00601BCF" w:rsidP="0074206C">
      <w:pPr>
        <w:pStyle w:val="ListBullet"/>
        <w:numPr>
          <w:ilvl w:val="0"/>
          <w:numId w:val="9"/>
        </w:numPr>
        <w:ind w:left="360"/>
        <w:jc w:val="both"/>
      </w:pPr>
      <w:r>
        <w:t xml:space="preserve">Solutions prepared for infusion or injection </w:t>
      </w:r>
      <w:r w:rsidR="00B8146E">
        <w:t>should be used immediately</w:t>
      </w:r>
    </w:p>
    <w:p w14:paraId="24E663A2" w14:textId="77777777" w:rsidR="00B8146E" w:rsidRDefault="00B8146E" w:rsidP="00B8146E">
      <w:pPr>
        <w:jc w:val="right"/>
      </w:pPr>
    </w:p>
    <w:p w14:paraId="3589070F" w14:textId="77777777" w:rsidR="00B8146E" w:rsidRDefault="009B36AD" w:rsidP="00B8146E">
      <w:pPr>
        <w:jc w:val="right"/>
        <w:rPr>
          <w:rFonts w:cs="Arial"/>
          <w:i/>
          <w:szCs w:val="24"/>
        </w:rPr>
      </w:pPr>
      <w:hyperlink w:anchor="Contents" w:history="1">
        <w:r w:rsidR="00B8146E" w:rsidRPr="00590902">
          <w:rPr>
            <w:rStyle w:val="Hyperlink"/>
            <w:rFonts w:cs="Arial"/>
            <w:i/>
            <w:szCs w:val="24"/>
          </w:rPr>
          <w:t>Back to Table of Contents</w:t>
        </w:r>
      </w:hyperlink>
      <w:r w:rsidR="00B8146E">
        <w:rPr>
          <w:rFonts w:cs="Arial"/>
          <w:i/>
          <w:szCs w:val="24"/>
        </w:rPr>
        <w:t xml:space="preserve"> </w:t>
      </w:r>
    </w:p>
    <w:p w14:paraId="64E08FAE" w14:textId="77777777" w:rsidR="00B8146E" w:rsidRDefault="00B8146E" w:rsidP="00B8146E">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B8146E" w:rsidRPr="00CD1C0E" w14:paraId="73126D0A" w14:textId="77777777" w:rsidTr="00B8146E">
        <w:trPr>
          <w:cantSplit/>
          <w:trHeight w:val="285"/>
        </w:trPr>
        <w:tc>
          <w:tcPr>
            <w:tcW w:w="9158" w:type="dxa"/>
            <w:shd w:val="clear" w:color="auto" w:fill="A6A6A6" w:themeFill="background1" w:themeFillShade="A6"/>
          </w:tcPr>
          <w:p w14:paraId="15F5001F" w14:textId="12950E7D" w:rsidR="00B8146E" w:rsidRPr="003D2D06" w:rsidRDefault="00B8146E" w:rsidP="00B8146E">
            <w:pPr>
              <w:pStyle w:val="Heading1"/>
            </w:pPr>
            <w:bookmarkStart w:id="24" w:name="_Toc23158587"/>
            <w:bookmarkStart w:id="25" w:name="_Toc512518718"/>
            <w:bookmarkStart w:id="26" w:name="_Toc84588315"/>
            <w:r>
              <w:t xml:space="preserve">Section </w:t>
            </w:r>
            <w:r w:rsidR="006932FC">
              <w:t>4</w:t>
            </w:r>
            <w:r w:rsidRPr="00C76688">
              <w:t xml:space="preserve"> </w:t>
            </w:r>
            <w:r>
              <w:t>-</w:t>
            </w:r>
            <w:r w:rsidRPr="00C76688">
              <w:t xml:space="preserve"> </w:t>
            </w:r>
            <w:r>
              <w:t>Iron Sucrose Infusion</w:t>
            </w:r>
            <w:bookmarkStart w:id="27" w:name="_Toc506372706"/>
            <w:bookmarkEnd w:id="24"/>
            <w:bookmarkEnd w:id="25"/>
            <w:bookmarkEnd w:id="26"/>
            <w:r>
              <w:t xml:space="preserve"> </w:t>
            </w:r>
            <w:bookmarkEnd w:id="27"/>
          </w:p>
        </w:tc>
      </w:tr>
    </w:tbl>
    <w:p w14:paraId="24EE1949" w14:textId="77777777" w:rsidR="00B8146E" w:rsidRPr="007463D4" w:rsidRDefault="00B8146E" w:rsidP="00B8146E">
      <w:pPr>
        <w:pStyle w:val="Heading2"/>
      </w:pPr>
    </w:p>
    <w:p w14:paraId="5D4CDAB6" w14:textId="77777777" w:rsidR="00B8146E" w:rsidRDefault="00B8146E" w:rsidP="00B8146E">
      <w:pPr>
        <w:pStyle w:val="Heading2"/>
      </w:pPr>
      <w:r>
        <w:t xml:space="preserve">Indication </w:t>
      </w:r>
    </w:p>
    <w:p w14:paraId="75C3089B" w14:textId="020352AF" w:rsidR="00005DD9" w:rsidRDefault="00005DD9" w:rsidP="0074206C">
      <w:pPr>
        <w:pStyle w:val="ListParagraph"/>
        <w:numPr>
          <w:ilvl w:val="0"/>
          <w:numId w:val="18"/>
        </w:numPr>
      </w:pPr>
      <w:r>
        <w:t xml:space="preserve">Iron </w:t>
      </w:r>
      <w:r w:rsidR="00AC666D">
        <w:t>Polymaltose</w:t>
      </w:r>
      <w:r>
        <w:t xml:space="preserve"> i</w:t>
      </w:r>
      <w:r w:rsidR="00AC666D">
        <w:t>s</w:t>
      </w:r>
      <w:r>
        <w:t xml:space="preserve"> the first line option for parenteral iron for inpatients. Refer to the </w:t>
      </w:r>
      <w:hyperlink r:id="rId16" w:history="1">
        <w:r>
          <w:rPr>
            <w:rStyle w:val="Hyperlink"/>
          </w:rPr>
          <w:t>Canberra H</w:t>
        </w:r>
        <w:r w:rsidRPr="00AA3D99">
          <w:rPr>
            <w:rStyle w:val="Hyperlink"/>
          </w:rPr>
          <w:t>ospital Formulary</w:t>
        </w:r>
      </w:hyperlink>
      <w:r>
        <w:t xml:space="preserve"> for further information to determine if your patient is eligible for Iron Sucrose. </w:t>
      </w:r>
      <w:r w:rsidR="00976030">
        <w:t>Usually,</w:t>
      </w:r>
      <w:r>
        <w:t xml:space="preserve"> Iron Sucrose is indicated if the patient has had a reaction to iron polymaltose.</w:t>
      </w:r>
    </w:p>
    <w:p w14:paraId="255F0B60" w14:textId="77777777" w:rsidR="00E4104D" w:rsidRDefault="00E4104D" w:rsidP="00B8146E">
      <w:pPr>
        <w:pStyle w:val="Heading2"/>
      </w:pPr>
    </w:p>
    <w:p w14:paraId="53860BD3" w14:textId="7F882777" w:rsidR="00B8146E" w:rsidRPr="0054387D" w:rsidRDefault="00B8146E" w:rsidP="00B8146E">
      <w:pPr>
        <w:pStyle w:val="Heading2"/>
      </w:pPr>
      <w:r>
        <w:t>Presentation</w:t>
      </w:r>
    </w:p>
    <w:p w14:paraId="588083EE" w14:textId="653B62CC" w:rsidR="00B8146E" w:rsidRPr="00491DC1" w:rsidRDefault="00B8146E" w:rsidP="0074206C">
      <w:pPr>
        <w:pStyle w:val="ListBullet"/>
        <w:numPr>
          <w:ilvl w:val="0"/>
          <w:numId w:val="8"/>
        </w:numPr>
        <w:rPr>
          <w:b/>
        </w:rPr>
      </w:pPr>
      <w:r>
        <w:t>Iron as iron sucrose (</w:t>
      </w:r>
      <w:proofErr w:type="spellStart"/>
      <w:r w:rsidRPr="0054387D">
        <w:t>Venofer</w:t>
      </w:r>
      <w:proofErr w:type="spellEnd"/>
      <w:r w:rsidR="00976030" w:rsidRPr="0054387D">
        <w:rPr>
          <w:vertAlign w:val="superscript"/>
        </w:rPr>
        <w:t>®</w:t>
      </w:r>
      <w:r w:rsidR="00976030">
        <w:t>)</w:t>
      </w:r>
      <w:r w:rsidR="00976030">
        <w:rPr>
          <w:vertAlign w:val="superscript"/>
        </w:rPr>
        <w:t xml:space="preserve"> </w:t>
      </w:r>
      <w:r w:rsidR="00680489">
        <w:t>100m</w:t>
      </w:r>
      <w:r>
        <w:t>g/5mL ampoule</w:t>
      </w:r>
    </w:p>
    <w:p w14:paraId="555218FA" w14:textId="77777777" w:rsidR="00B8146E" w:rsidRPr="0054387D" w:rsidRDefault="00B8146E" w:rsidP="00B8146E">
      <w:pPr>
        <w:jc w:val="both"/>
        <w:rPr>
          <w:rFonts w:asciiTheme="minorHAnsi" w:hAnsiTheme="minorHAnsi" w:cstheme="minorHAnsi"/>
          <w:szCs w:val="24"/>
        </w:rPr>
      </w:pPr>
    </w:p>
    <w:p w14:paraId="49950EA7" w14:textId="77777777" w:rsidR="00B8146E" w:rsidRPr="0054387D" w:rsidRDefault="00B8146E" w:rsidP="00B8146E">
      <w:pPr>
        <w:pStyle w:val="Heading2"/>
      </w:pPr>
      <w:r>
        <w:t>Availability</w:t>
      </w:r>
    </w:p>
    <w:p w14:paraId="5C5535D1" w14:textId="1632692A" w:rsidR="00B8146E" w:rsidRPr="00005DBD" w:rsidRDefault="00B8146E" w:rsidP="0074206C">
      <w:pPr>
        <w:pStyle w:val="ListBullet"/>
        <w:numPr>
          <w:ilvl w:val="0"/>
          <w:numId w:val="8"/>
        </w:numPr>
        <w:jc w:val="both"/>
        <w:rPr>
          <w:rFonts w:asciiTheme="minorHAnsi" w:hAnsiTheme="minorHAnsi" w:cstheme="minorHAnsi"/>
          <w:iCs/>
          <w:szCs w:val="24"/>
        </w:rPr>
      </w:pPr>
      <w:r>
        <w:t xml:space="preserve">Iron sucrose </w:t>
      </w:r>
      <w:r w:rsidR="00005DBD">
        <w:t>ampoules</w:t>
      </w:r>
      <w:r w:rsidRPr="0054387D">
        <w:t xml:space="preserve"> </w:t>
      </w:r>
      <w:r w:rsidR="00005DBD" w:rsidRPr="00005DBD">
        <w:t>are dispensed by the hospital pharmacy department upon receipt and medication review of the prescription</w:t>
      </w:r>
    </w:p>
    <w:p w14:paraId="411B9B1B" w14:textId="77777777" w:rsidR="00005DBD" w:rsidRDefault="00005DBD" w:rsidP="00B8146E">
      <w:pPr>
        <w:pStyle w:val="Heading2"/>
      </w:pPr>
    </w:p>
    <w:p w14:paraId="707FF615" w14:textId="09639DA9" w:rsidR="00E4104D" w:rsidRPr="00E4104D" w:rsidRDefault="00E4104D" w:rsidP="00E4104D">
      <w:r w:rsidRPr="00E4104D">
        <w:rPr>
          <w:b/>
          <w:bCs/>
        </w:rPr>
        <w:t xml:space="preserve">Prescribing in patients with adequate kidney function (i.e., patients </w:t>
      </w:r>
      <w:r w:rsidRPr="00E4104D">
        <w:rPr>
          <w:b/>
          <w:bCs/>
          <w:u w:val="single"/>
        </w:rPr>
        <w:t>not</w:t>
      </w:r>
      <w:r w:rsidRPr="00E4104D">
        <w:rPr>
          <w:b/>
          <w:bCs/>
        </w:rPr>
        <w:t xml:space="preserve"> receiving haemodialysis</w:t>
      </w:r>
      <w:r>
        <w:rPr>
          <w:b/>
          <w:bCs/>
        </w:rPr>
        <w:t>)</w:t>
      </w:r>
    </w:p>
    <w:p w14:paraId="48CA67DE" w14:textId="2BAD4A8B" w:rsidR="00B8146E" w:rsidRDefault="00E11C45" w:rsidP="0074206C">
      <w:pPr>
        <w:pStyle w:val="ListParagraph"/>
        <w:numPr>
          <w:ilvl w:val="0"/>
          <w:numId w:val="13"/>
        </w:numPr>
      </w:pPr>
      <w:r>
        <w:t>A total dose of 1000mg of i</w:t>
      </w:r>
      <w:r w:rsidR="00B8146E" w:rsidRPr="0054387D">
        <w:t>ron sucrose</w:t>
      </w:r>
      <w:r>
        <w:t xml:space="preserve"> is given in </w:t>
      </w:r>
      <w:r w:rsidR="007128D3">
        <w:t xml:space="preserve">5 x </w:t>
      </w:r>
      <w:r>
        <w:t xml:space="preserve">200mg </w:t>
      </w:r>
      <w:r w:rsidR="007128D3">
        <w:t>doses</w:t>
      </w:r>
      <w:r>
        <w:t xml:space="preserve"> over a </w:t>
      </w:r>
      <w:r w:rsidR="00976030">
        <w:t>14-day</w:t>
      </w:r>
      <w:r>
        <w:t xml:space="preserve"> period. </w:t>
      </w:r>
      <w:r w:rsidR="00B8146E" w:rsidRPr="0054387D">
        <w:t xml:space="preserve"> </w:t>
      </w:r>
      <w:r w:rsidR="00B8146E">
        <w:t xml:space="preserve">200mg </w:t>
      </w:r>
      <w:r>
        <w:t>diluted in</w:t>
      </w:r>
      <w:r w:rsidR="00B8146E">
        <w:t xml:space="preserve"> 50 to 100mL sodium chloride 0.9% </w:t>
      </w:r>
      <w:r>
        <w:t xml:space="preserve">is </w:t>
      </w:r>
      <w:r w:rsidR="00976030">
        <w:t>administered</w:t>
      </w:r>
      <w:r>
        <w:t xml:space="preserve"> intravenously </w:t>
      </w:r>
      <w:r w:rsidR="00B8146E">
        <w:t xml:space="preserve">over 15 minutes. Repeat this on </w:t>
      </w:r>
      <w:r>
        <w:t>4</w:t>
      </w:r>
      <w:r w:rsidR="00B8146E">
        <w:t xml:space="preserve"> different occasions across a </w:t>
      </w:r>
      <w:r w:rsidR="00976030">
        <w:t>14-day</w:t>
      </w:r>
      <w:r w:rsidR="00B8146E">
        <w:t xml:space="preserve"> period to administer total required iron dose </w:t>
      </w:r>
      <w:r>
        <w:t>of 1000mg (</w:t>
      </w:r>
      <w:r w:rsidR="00976030">
        <w:t>i.e.,</w:t>
      </w:r>
      <w:r>
        <w:t xml:space="preserve"> 5 x 200mg = 1000mg)</w:t>
      </w:r>
    </w:p>
    <w:p w14:paraId="17FF8D63" w14:textId="27AA8F37" w:rsidR="00B8146E" w:rsidRDefault="00B8146E" w:rsidP="0074206C">
      <w:pPr>
        <w:pStyle w:val="ListBullet"/>
        <w:numPr>
          <w:ilvl w:val="0"/>
          <w:numId w:val="13"/>
        </w:numPr>
      </w:pPr>
      <w:r w:rsidRPr="0054387D">
        <w:t xml:space="preserve">Patients who are at increased risk of allergic </w:t>
      </w:r>
      <w:r w:rsidR="00976030" w:rsidRPr="0054387D">
        <w:t>reactions may</w:t>
      </w:r>
      <w:r w:rsidRPr="0054387D">
        <w:t xml:space="preserve"> require premedication 20 minutes prior to infusion</w:t>
      </w:r>
      <w:r>
        <w:t xml:space="preserve"> </w:t>
      </w:r>
      <w:r w:rsidRPr="0054387D">
        <w:t xml:space="preserve">(see </w:t>
      </w:r>
      <w:r>
        <w:t>Section 4 adverse effects</w:t>
      </w:r>
      <w:r w:rsidRPr="0054387D">
        <w:t>)</w:t>
      </w:r>
    </w:p>
    <w:p w14:paraId="5544EC9F" w14:textId="77777777" w:rsidR="00E4104D" w:rsidRDefault="00E4104D" w:rsidP="00E4104D">
      <w:pPr>
        <w:pStyle w:val="ListBullet"/>
        <w:numPr>
          <w:ilvl w:val="0"/>
          <w:numId w:val="0"/>
        </w:numPr>
      </w:pPr>
    </w:p>
    <w:p w14:paraId="5FB7C26C" w14:textId="77777777" w:rsidR="00E4104D" w:rsidRPr="00E4104D" w:rsidRDefault="00E4104D" w:rsidP="00E4104D">
      <w:pPr>
        <w:pStyle w:val="Heading2"/>
        <w:pBdr>
          <w:top w:val="single" w:sz="4" w:space="1" w:color="auto"/>
          <w:left w:val="single" w:sz="4" w:space="4" w:color="auto"/>
          <w:bottom w:val="single" w:sz="4" w:space="1" w:color="auto"/>
          <w:right w:val="single" w:sz="4" w:space="4" w:color="auto"/>
        </w:pBdr>
        <w:rPr>
          <w:b w:val="0"/>
          <w:bCs w:val="0"/>
        </w:rPr>
      </w:pPr>
      <w:proofErr w:type="gramStart"/>
      <w:r>
        <w:t>Alert:</w:t>
      </w:r>
      <w:r w:rsidRPr="00E4104D">
        <w:rPr>
          <w:b w:val="0"/>
          <w:bCs w:val="0"/>
        </w:rPr>
        <w:t>.</w:t>
      </w:r>
      <w:proofErr w:type="gramEnd"/>
      <w:r w:rsidRPr="00E4104D">
        <w:rPr>
          <w:b w:val="0"/>
          <w:bCs w:val="0"/>
        </w:rPr>
        <w:t xml:space="preserve"> For patients receiving haemodialysis refer to </w:t>
      </w:r>
      <w:r w:rsidRPr="00E4104D">
        <w:rPr>
          <w:b w:val="0"/>
          <w:bCs w:val="0"/>
          <w:i/>
          <w:iCs/>
        </w:rPr>
        <w:t>Haemodialysis and Plasma Exchange for Adults Procedure)</w:t>
      </w:r>
    </w:p>
    <w:p w14:paraId="41DFCB5B" w14:textId="77777777" w:rsidR="00B8146E" w:rsidRDefault="00B8146E" w:rsidP="00B8146E">
      <w:pPr>
        <w:rPr>
          <w:rFonts w:asciiTheme="minorHAnsi" w:hAnsiTheme="minorHAnsi" w:cstheme="minorHAnsi"/>
          <w:b/>
          <w:iCs/>
          <w:szCs w:val="24"/>
        </w:rPr>
      </w:pPr>
    </w:p>
    <w:p w14:paraId="41894B55" w14:textId="77777777" w:rsidR="00B8146E" w:rsidRPr="0054387D" w:rsidRDefault="00B8146E" w:rsidP="00B8146E">
      <w:pPr>
        <w:rPr>
          <w:rFonts w:asciiTheme="minorHAnsi" w:hAnsiTheme="minorHAnsi" w:cstheme="minorHAnsi"/>
          <w:b/>
          <w:iCs/>
          <w:szCs w:val="24"/>
        </w:rPr>
      </w:pPr>
      <w:r w:rsidRPr="0054387D">
        <w:rPr>
          <w:rFonts w:asciiTheme="minorHAnsi" w:hAnsiTheme="minorHAnsi" w:cstheme="minorHAnsi"/>
          <w:b/>
          <w:iCs/>
          <w:szCs w:val="24"/>
        </w:rPr>
        <w:t>Test Dose</w:t>
      </w:r>
    </w:p>
    <w:p w14:paraId="403E6053" w14:textId="77777777" w:rsidR="00690336" w:rsidRPr="00690336" w:rsidRDefault="00B8146E" w:rsidP="0074206C">
      <w:pPr>
        <w:pStyle w:val="ListParagraph"/>
        <w:numPr>
          <w:ilvl w:val="0"/>
          <w:numId w:val="16"/>
        </w:numPr>
      </w:pPr>
      <w:r w:rsidRPr="00751DED">
        <w:rPr>
          <w:rFonts w:asciiTheme="minorHAnsi" w:hAnsiTheme="minorHAnsi" w:cstheme="minorHAnsi"/>
          <w:szCs w:val="24"/>
        </w:rPr>
        <w:t xml:space="preserve">For iron sucrose infusion in a new patient, a test dose </w:t>
      </w:r>
      <w:r w:rsidR="00690336">
        <w:rPr>
          <w:rFonts w:asciiTheme="minorHAnsi" w:hAnsiTheme="minorHAnsi" w:cstheme="minorHAnsi"/>
          <w:szCs w:val="24"/>
        </w:rPr>
        <w:t xml:space="preserve">of 20mg given intravenously over 15 minutes </w:t>
      </w:r>
      <w:r w:rsidRPr="00751DED">
        <w:rPr>
          <w:rFonts w:asciiTheme="minorHAnsi" w:hAnsiTheme="minorHAnsi" w:cstheme="minorHAnsi"/>
          <w:szCs w:val="24"/>
        </w:rPr>
        <w:t>should be given</w:t>
      </w:r>
      <w:r>
        <w:rPr>
          <w:rFonts w:asciiTheme="minorHAnsi" w:hAnsiTheme="minorHAnsi" w:cstheme="minorHAnsi"/>
          <w:szCs w:val="24"/>
        </w:rPr>
        <w:t xml:space="preserve">. </w:t>
      </w:r>
    </w:p>
    <w:p w14:paraId="7B0C39CE" w14:textId="77777777" w:rsidR="00690336" w:rsidRDefault="00B8146E" w:rsidP="0074206C">
      <w:pPr>
        <w:pStyle w:val="ListParagraph"/>
        <w:numPr>
          <w:ilvl w:val="0"/>
          <w:numId w:val="16"/>
        </w:numPr>
      </w:pPr>
      <w:r>
        <w:rPr>
          <w:rFonts w:asciiTheme="minorHAnsi" w:hAnsiTheme="minorHAnsi" w:cstheme="minorHAnsi"/>
          <w:szCs w:val="24"/>
        </w:rPr>
        <w:t>Give</w:t>
      </w:r>
      <w:r w:rsidRPr="00E76F72">
        <w:t xml:space="preserve"> </w:t>
      </w:r>
      <w:r>
        <w:t>i</w:t>
      </w:r>
      <w:r w:rsidRPr="0054387D">
        <w:t xml:space="preserve">ron sucrose </w:t>
      </w:r>
      <w:r w:rsidRPr="00E76F72">
        <w:t>20mg (1mL) in 20mL sodium chloride 0.9% infused IV over 15 minutes</w:t>
      </w:r>
      <w:r w:rsidR="00690336">
        <w:t xml:space="preserve">. </w:t>
      </w:r>
    </w:p>
    <w:p w14:paraId="4B1BDD96" w14:textId="73D4CEEB" w:rsidR="00B8146E" w:rsidRPr="00E76F72" w:rsidRDefault="00690336" w:rsidP="0074206C">
      <w:pPr>
        <w:pStyle w:val="ListParagraph"/>
        <w:numPr>
          <w:ilvl w:val="0"/>
          <w:numId w:val="16"/>
        </w:numPr>
      </w:pPr>
      <w:r>
        <w:t>The 20mg test dose comes out of the prescribed dose. (</w:t>
      </w:r>
      <w:r w:rsidR="00976030">
        <w:t>e.g.,</w:t>
      </w:r>
      <w:r>
        <w:t xml:space="preserve"> if prescribed dose is 200mg, give 20mg as slow infusion test dose, then give remaining 180mg in 50 to 100mL sodium chloride 0.9% over 15 minutes).</w:t>
      </w:r>
    </w:p>
    <w:p w14:paraId="071097F1" w14:textId="77777777" w:rsidR="00B8146E" w:rsidRPr="00491DC1" w:rsidRDefault="00B8146E" w:rsidP="00B8146E">
      <w:pPr>
        <w:rPr>
          <w:rFonts w:asciiTheme="minorHAnsi" w:hAnsiTheme="minorHAnsi"/>
        </w:rPr>
      </w:pPr>
    </w:p>
    <w:p w14:paraId="22A1A0DD" w14:textId="77777777" w:rsidR="00B8146E" w:rsidRPr="0054387D" w:rsidRDefault="00B8146E" w:rsidP="00B8146E">
      <w:pPr>
        <w:pStyle w:val="Heading2"/>
      </w:pPr>
      <w:r w:rsidRPr="0054387D">
        <w:t>Line Requirements</w:t>
      </w:r>
    </w:p>
    <w:p w14:paraId="2DA50D7C" w14:textId="1B2A9DF6" w:rsidR="00B8146E" w:rsidRPr="005B7451" w:rsidRDefault="00B8146E" w:rsidP="0074206C">
      <w:pPr>
        <w:pStyle w:val="ListParagraph"/>
        <w:numPr>
          <w:ilvl w:val="0"/>
          <w:numId w:val="14"/>
        </w:numPr>
        <w:rPr>
          <w:rFonts w:asciiTheme="minorHAnsi" w:hAnsiTheme="minorHAnsi" w:cstheme="minorHAnsi"/>
          <w:szCs w:val="24"/>
        </w:rPr>
      </w:pPr>
      <w:r w:rsidRPr="005B7451">
        <w:rPr>
          <w:rFonts w:asciiTheme="minorHAnsi" w:hAnsiTheme="minorHAnsi" w:cstheme="minorHAnsi"/>
          <w:szCs w:val="24"/>
        </w:rPr>
        <w:t>Iron sucrose should be infused intravenously through a peripheral line</w:t>
      </w:r>
      <w:r w:rsidR="008E47AA">
        <w:rPr>
          <w:rFonts w:asciiTheme="minorHAnsi" w:hAnsiTheme="minorHAnsi" w:cstheme="minorHAnsi"/>
          <w:szCs w:val="24"/>
        </w:rPr>
        <w:t xml:space="preserve">. See ‘Infusion Set Up’ </w:t>
      </w:r>
      <w:r w:rsidR="00E4104D">
        <w:rPr>
          <w:rFonts w:asciiTheme="minorHAnsi" w:hAnsiTheme="minorHAnsi" w:cstheme="minorHAnsi"/>
          <w:szCs w:val="24"/>
        </w:rPr>
        <w:t>see Section 1</w:t>
      </w:r>
      <w:r w:rsidR="008E47AA">
        <w:rPr>
          <w:rFonts w:asciiTheme="minorHAnsi" w:hAnsiTheme="minorHAnsi" w:cstheme="minorHAnsi"/>
          <w:szCs w:val="24"/>
        </w:rPr>
        <w:t>.</w:t>
      </w:r>
    </w:p>
    <w:p w14:paraId="300327AA" w14:textId="77777777" w:rsidR="00B8146E" w:rsidRDefault="00B8146E" w:rsidP="00005DBD">
      <w:pPr>
        <w:pStyle w:val="ListBullet"/>
        <w:numPr>
          <w:ilvl w:val="0"/>
          <w:numId w:val="0"/>
        </w:numPr>
        <w:ind w:left="426" w:hanging="426"/>
        <w:rPr>
          <w:rStyle w:val="Heading2Char"/>
        </w:rPr>
      </w:pPr>
    </w:p>
    <w:p w14:paraId="04156187" w14:textId="77777777" w:rsidR="00B8146E" w:rsidRDefault="00B8146E" w:rsidP="00005DBD">
      <w:pPr>
        <w:pStyle w:val="ListBullet"/>
        <w:numPr>
          <w:ilvl w:val="0"/>
          <w:numId w:val="0"/>
        </w:numPr>
        <w:ind w:left="426" w:hanging="426"/>
      </w:pPr>
      <w:r w:rsidRPr="004010F7">
        <w:rPr>
          <w:rStyle w:val="Heading2Char"/>
        </w:rPr>
        <w:t xml:space="preserve">Administration </w:t>
      </w:r>
      <w:r w:rsidRPr="00F8067E">
        <w:t xml:space="preserve"> </w:t>
      </w:r>
    </w:p>
    <w:p w14:paraId="07E70FAA" w14:textId="08F45FCF" w:rsidR="00E11C45" w:rsidRDefault="00E11C45" w:rsidP="0074206C">
      <w:pPr>
        <w:pStyle w:val="ListBullet"/>
        <w:numPr>
          <w:ilvl w:val="0"/>
          <w:numId w:val="14"/>
        </w:numPr>
      </w:pPr>
      <w:r>
        <w:t xml:space="preserve">200mg </w:t>
      </w:r>
      <w:r w:rsidR="00251687">
        <w:t xml:space="preserve">iron sucrose </w:t>
      </w:r>
      <w:r>
        <w:t xml:space="preserve">diluted in 50 to 100mL sodium chloride 0.9% </w:t>
      </w:r>
      <w:r w:rsidR="00811314">
        <w:t>administered</w:t>
      </w:r>
      <w:r>
        <w:t xml:space="preserve"> intravenously over 15 minutes</w:t>
      </w:r>
    </w:p>
    <w:p w14:paraId="434B376F" w14:textId="20982599" w:rsidR="00B8146E" w:rsidRDefault="00B8146E" w:rsidP="0074206C">
      <w:pPr>
        <w:pStyle w:val="ListBullet"/>
        <w:numPr>
          <w:ilvl w:val="0"/>
          <w:numId w:val="14"/>
        </w:numPr>
      </w:pPr>
      <w:r w:rsidRPr="0054387D">
        <w:t xml:space="preserve">An emergency </w:t>
      </w:r>
      <w:r>
        <w:t>trolley</w:t>
      </w:r>
      <w:r w:rsidRPr="0054387D">
        <w:t xml:space="preserve"> and facilities for cardiopulmonary resuscitation must be readily accessible should a hypersensitivity reaction occur</w:t>
      </w:r>
    </w:p>
    <w:p w14:paraId="379A6A6D" w14:textId="28EC1DCE" w:rsidR="00B8146E" w:rsidRDefault="00B8146E" w:rsidP="0074206C">
      <w:pPr>
        <w:pStyle w:val="ListBullet"/>
        <w:numPr>
          <w:ilvl w:val="0"/>
          <w:numId w:val="14"/>
        </w:numPr>
      </w:pPr>
      <w:r w:rsidRPr="0054387D">
        <w:t xml:space="preserve">Patients who are at increased risk of allergic </w:t>
      </w:r>
      <w:r w:rsidR="00976030" w:rsidRPr="0054387D">
        <w:t>reactions may</w:t>
      </w:r>
      <w:r w:rsidRPr="0054387D">
        <w:t xml:space="preserve"> require premedication 20 minutes prior to infusion</w:t>
      </w:r>
      <w:r>
        <w:t xml:space="preserve"> </w:t>
      </w:r>
      <w:r w:rsidRPr="0054387D">
        <w:t xml:space="preserve">(see </w:t>
      </w:r>
      <w:r>
        <w:t xml:space="preserve">Section </w:t>
      </w:r>
      <w:r w:rsidR="00E4104D">
        <w:t>5 for managing</w:t>
      </w:r>
      <w:r>
        <w:t xml:space="preserve"> adverse effects</w:t>
      </w:r>
      <w:r w:rsidRPr="0054387D">
        <w:t>)</w:t>
      </w:r>
    </w:p>
    <w:p w14:paraId="39F1ADEA" w14:textId="77777777" w:rsidR="00B8146E" w:rsidRDefault="00B8146E" w:rsidP="00E11C45">
      <w:pPr>
        <w:pStyle w:val="ListBullet"/>
        <w:numPr>
          <w:ilvl w:val="0"/>
          <w:numId w:val="0"/>
        </w:numPr>
        <w:ind w:left="426"/>
        <w:rPr>
          <w:u w:val="single"/>
        </w:rPr>
      </w:pPr>
    </w:p>
    <w:p w14:paraId="07A9CD71" w14:textId="77777777" w:rsidR="00B8146E" w:rsidRPr="00FB233D" w:rsidRDefault="00B8146E" w:rsidP="00E11C45">
      <w:pPr>
        <w:pStyle w:val="ListBullet"/>
        <w:numPr>
          <w:ilvl w:val="0"/>
          <w:numId w:val="0"/>
        </w:numPr>
        <w:ind w:left="426" w:hanging="426"/>
        <w:rPr>
          <w:b/>
        </w:rPr>
      </w:pPr>
      <w:r w:rsidRPr="00FB233D">
        <w:rPr>
          <w:b/>
        </w:rPr>
        <w:t>Monitoring</w:t>
      </w:r>
    </w:p>
    <w:p w14:paraId="675F66C4" w14:textId="77777777" w:rsidR="00E4104D" w:rsidRDefault="00B8146E" w:rsidP="0074206C">
      <w:pPr>
        <w:pStyle w:val="ListBullet"/>
        <w:numPr>
          <w:ilvl w:val="0"/>
          <w:numId w:val="19"/>
        </w:numPr>
      </w:pPr>
      <w:r w:rsidRPr="00FB233D">
        <w:t xml:space="preserve">Take a full set of vital signs as per </w:t>
      </w:r>
      <w:r w:rsidRPr="00E4104D">
        <w:rPr>
          <w:i/>
          <w:iCs/>
        </w:rPr>
        <w:t>Vital Signs and Early Warning Scores Procedure</w:t>
      </w:r>
      <w:r w:rsidRPr="00FB233D">
        <w:t xml:space="preserve"> at</w:t>
      </w:r>
      <w:r w:rsidR="00E4104D">
        <w:t>:</w:t>
      </w:r>
    </w:p>
    <w:p w14:paraId="7C35DC3E" w14:textId="77777777" w:rsidR="00E4104D" w:rsidRDefault="00B8146E" w:rsidP="0074206C">
      <w:pPr>
        <w:pStyle w:val="ListBullet"/>
        <w:numPr>
          <w:ilvl w:val="0"/>
          <w:numId w:val="28"/>
        </w:numPr>
      </w:pPr>
      <w:r w:rsidRPr="00FB233D">
        <w:t>baseline</w:t>
      </w:r>
      <w:r w:rsidR="00E4104D">
        <w:t xml:space="preserve"> (prior to infusion administration)</w:t>
      </w:r>
      <w:r w:rsidRPr="00FB233D">
        <w:t xml:space="preserve">. </w:t>
      </w:r>
    </w:p>
    <w:p w14:paraId="183B1CF4" w14:textId="2D9D0782" w:rsidR="00B8146E" w:rsidRPr="00FB233D" w:rsidRDefault="00B8146E" w:rsidP="0074206C">
      <w:pPr>
        <w:pStyle w:val="ListBullet"/>
        <w:numPr>
          <w:ilvl w:val="0"/>
          <w:numId w:val="28"/>
        </w:numPr>
      </w:pPr>
      <w:r w:rsidRPr="00FB233D">
        <w:lastRenderedPageBreak/>
        <w:t>Patients should be monitored for signs of hypersensitivity during and for at least 30 minutes after administration.</w:t>
      </w:r>
    </w:p>
    <w:p w14:paraId="2ED27942" w14:textId="77777777" w:rsidR="00B8146E" w:rsidRDefault="00B8146E" w:rsidP="00E11C45">
      <w:pPr>
        <w:pStyle w:val="ListBullet"/>
        <w:numPr>
          <w:ilvl w:val="0"/>
          <w:numId w:val="0"/>
        </w:numPr>
        <w:ind w:left="426" w:hanging="426"/>
        <w:rPr>
          <w:u w:val="single"/>
        </w:rPr>
      </w:pPr>
    </w:p>
    <w:p w14:paraId="5B82B0CB" w14:textId="77777777" w:rsidR="00B8146E" w:rsidRPr="00FB233D" w:rsidRDefault="009B36AD" w:rsidP="00B8146E">
      <w:pPr>
        <w:jc w:val="right"/>
        <w:rPr>
          <w:rFonts w:cs="Arial"/>
          <w:i/>
          <w:szCs w:val="24"/>
        </w:rPr>
      </w:pPr>
      <w:hyperlink w:anchor="Contents" w:history="1">
        <w:r w:rsidR="00B8146E" w:rsidRPr="00590902">
          <w:rPr>
            <w:rStyle w:val="Hyperlink"/>
            <w:rFonts w:cs="Arial"/>
            <w:i/>
            <w:szCs w:val="24"/>
          </w:rPr>
          <w:t>Back to Table of Contents</w:t>
        </w:r>
      </w:hyperlink>
      <w:r w:rsidR="00B8146E">
        <w:rPr>
          <w:rFonts w:cs="Arial"/>
          <w:i/>
          <w:szCs w:val="24"/>
        </w:rPr>
        <w:t xml:space="preserve"> </w:t>
      </w:r>
      <w:bookmarkStart w:id="28" w:name="_Toc506372707"/>
      <w:bookmarkStart w:id="29" w:name="_Toc23158588"/>
    </w:p>
    <w:tbl>
      <w:tblPr>
        <w:tblpPr w:leftFromText="180" w:rightFromText="180" w:vertAnchor="text" w:horzAnchor="margin" w:tblpY="181"/>
        <w:tblW w:w="9158" w:type="dxa"/>
        <w:tblLook w:val="0000" w:firstRow="0" w:lastRow="0" w:firstColumn="0" w:lastColumn="0" w:noHBand="0" w:noVBand="0"/>
      </w:tblPr>
      <w:tblGrid>
        <w:gridCol w:w="9158"/>
      </w:tblGrid>
      <w:tr w:rsidR="00B8146E" w:rsidRPr="00CD1C0E" w14:paraId="0AF914ED" w14:textId="77777777" w:rsidTr="00B8146E">
        <w:trPr>
          <w:cantSplit/>
          <w:trHeight w:val="285"/>
        </w:trPr>
        <w:tc>
          <w:tcPr>
            <w:tcW w:w="9158" w:type="dxa"/>
            <w:shd w:val="clear" w:color="auto" w:fill="A6A6A6" w:themeFill="background1" w:themeFillShade="A6"/>
          </w:tcPr>
          <w:p w14:paraId="3FC53117" w14:textId="7A2B3178" w:rsidR="00B8146E" w:rsidRPr="003D2D06" w:rsidRDefault="00B8146E" w:rsidP="00B8146E">
            <w:pPr>
              <w:pStyle w:val="Heading1"/>
            </w:pPr>
            <w:bookmarkStart w:id="30" w:name="_Toc84588316"/>
            <w:r>
              <w:t xml:space="preserve">Section </w:t>
            </w:r>
            <w:r w:rsidR="006932FC">
              <w:t>5</w:t>
            </w:r>
            <w:r>
              <w:t xml:space="preserve"> - Adverse Effects</w:t>
            </w:r>
            <w:bookmarkEnd w:id="28"/>
            <w:bookmarkEnd w:id="29"/>
            <w:bookmarkEnd w:id="30"/>
          </w:p>
        </w:tc>
      </w:tr>
    </w:tbl>
    <w:p w14:paraId="10A48C36" w14:textId="77777777" w:rsidR="00B8146E" w:rsidRDefault="00B8146E" w:rsidP="00B8146E">
      <w:pPr>
        <w:pStyle w:val="Heading2"/>
      </w:pPr>
    </w:p>
    <w:p w14:paraId="13A3AB5E" w14:textId="5E70FA53" w:rsidR="00B8146E" w:rsidRPr="00FB233D" w:rsidRDefault="00B8146E" w:rsidP="00B8146E">
      <w:pPr>
        <w:pStyle w:val="Heading2"/>
        <w:rPr>
          <w:vertAlign w:val="superscript"/>
        </w:rPr>
      </w:pPr>
      <w:r w:rsidRPr="0054387D">
        <w:t>Incompatibilities</w:t>
      </w:r>
      <w:r w:rsidR="00680489">
        <w:rPr>
          <w:b w:val="0"/>
          <w:vertAlign w:val="superscript"/>
        </w:rPr>
        <w:t>3</w:t>
      </w:r>
    </w:p>
    <w:p w14:paraId="08F1EE06" w14:textId="13B059F8" w:rsidR="00B8146E" w:rsidRPr="003D1FD5" w:rsidRDefault="00A80171" w:rsidP="0074206C">
      <w:pPr>
        <w:pStyle w:val="ListBullet"/>
        <w:numPr>
          <w:ilvl w:val="0"/>
          <w:numId w:val="14"/>
        </w:numPr>
        <w:rPr>
          <w:i/>
        </w:rPr>
      </w:pPr>
      <w:r>
        <w:t>I</w:t>
      </w:r>
      <w:r w:rsidR="00B8146E">
        <w:t>ron infusion</w:t>
      </w:r>
      <w:r>
        <w:t>s</w:t>
      </w:r>
      <w:r w:rsidR="00B8146E">
        <w:t xml:space="preserve"> must have </w:t>
      </w:r>
      <w:r>
        <w:t>their</w:t>
      </w:r>
      <w:r w:rsidR="00B8146E">
        <w:t xml:space="preserve"> own </w:t>
      </w:r>
      <w:r>
        <w:t>intravenous</w:t>
      </w:r>
      <w:r w:rsidR="00B8146E">
        <w:t xml:space="preserve"> line because </w:t>
      </w:r>
      <w:r w:rsidR="00F957E1">
        <w:t>they are</w:t>
      </w:r>
      <w:r w:rsidR="00B8146E">
        <w:t xml:space="preserve"> i</w:t>
      </w:r>
      <w:r w:rsidR="00B8146E" w:rsidRPr="0054387D">
        <w:t>ncompatible with other drugs</w:t>
      </w:r>
    </w:p>
    <w:p w14:paraId="44450A7C" w14:textId="77777777" w:rsidR="00B8146E" w:rsidRPr="00491DC1" w:rsidRDefault="00B8146E" w:rsidP="0074206C">
      <w:pPr>
        <w:pStyle w:val="ListBullet"/>
        <w:numPr>
          <w:ilvl w:val="0"/>
          <w:numId w:val="14"/>
        </w:numPr>
        <w:rPr>
          <w:i/>
        </w:rPr>
      </w:pPr>
      <w:r>
        <w:t>Iron is only compatible with</w:t>
      </w:r>
      <w:r w:rsidRPr="0054387D">
        <w:t xml:space="preserve"> </w:t>
      </w:r>
      <w:r>
        <w:t xml:space="preserve">sodium chloride </w:t>
      </w:r>
      <w:r w:rsidRPr="0054387D">
        <w:t>0.9%</w:t>
      </w:r>
    </w:p>
    <w:p w14:paraId="29FA5553" w14:textId="2EFB8649" w:rsidR="00B8146E" w:rsidRPr="00FE6614" w:rsidRDefault="00B8146E" w:rsidP="0074206C">
      <w:pPr>
        <w:pStyle w:val="ListBullet"/>
        <w:numPr>
          <w:ilvl w:val="0"/>
          <w:numId w:val="14"/>
        </w:numPr>
        <w:rPr>
          <w:i/>
        </w:rPr>
      </w:pPr>
      <w:r w:rsidRPr="0054387D">
        <w:t>Refer to the Australian Injectable Drugs Handbook for up-to-date information</w:t>
      </w:r>
    </w:p>
    <w:p w14:paraId="62E6B4EF" w14:textId="77777777" w:rsidR="00FE6614" w:rsidRDefault="00FE6614" w:rsidP="00FE6614">
      <w:pPr>
        <w:pStyle w:val="Heading2"/>
      </w:pPr>
    </w:p>
    <w:p w14:paraId="36A24C0D" w14:textId="2667459F" w:rsidR="00FE6614" w:rsidRPr="0054387D" w:rsidRDefault="00FE6614" w:rsidP="00FE6614">
      <w:pPr>
        <w:pStyle w:val="Heading2"/>
      </w:pPr>
      <w:r w:rsidRPr="0054387D">
        <w:t>Interactions</w:t>
      </w:r>
    </w:p>
    <w:p w14:paraId="0B4C6E2F" w14:textId="77777777" w:rsidR="00FE6614" w:rsidRDefault="00FE6614" w:rsidP="0074206C">
      <w:pPr>
        <w:pStyle w:val="ListBullet"/>
        <w:numPr>
          <w:ilvl w:val="0"/>
          <w:numId w:val="3"/>
        </w:numPr>
      </w:pPr>
      <w:r w:rsidRPr="0054387D">
        <w:t>Oral iron supplements should not be given concomitantly with parenteral iron</w:t>
      </w:r>
      <w:r>
        <w:t>. S</w:t>
      </w:r>
      <w:r w:rsidRPr="0054387D">
        <w:t xml:space="preserve">top oral iron supplements before iron infusion </w:t>
      </w:r>
      <w:r>
        <w:t>and do not restart for one week</w:t>
      </w:r>
    </w:p>
    <w:p w14:paraId="0E2BC44A" w14:textId="77777777" w:rsidR="00FE6614" w:rsidRDefault="00FE6614" w:rsidP="0074206C">
      <w:pPr>
        <w:pStyle w:val="ListBullet"/>
        <w:numPr>
          <w:ilvl w:val="0"/>
          <w:numId w:val="3"/>
        </w:numPr>
      </w:pPr>
      <w:r w:rsidRPr="0054387D">
        <w:t xml:space="preserve">Concomitant administration of </w:t>
      </w:r>
      <w:r>
        <w:t>Angiotensin Converting Enzyme (</w:t>
      </w:r>
      <w:r w:rsidRPr="0054387D">
        <w:t>ACE</w:t>
      </w:r>
      <w:r>
        <w:t>)</w:t>
      </w:r>
      <w:r w:rsidRPr="0054387D">
        <w:t xml:space="preserve"> inhibitors may increase the incidence of adverse effects associated with parenteral iron preparations e.g., erythema, abdominal cramps, nausea, vomiting and hypotension</w:t>
      </w:r>
    </w:p>
    <w:p w14:paraId="4015FBBD" w14:textId="77777777" w:rsidR="00FE6614" w:rsidRPr="0054387D" w:rsidRDefault="00FE6614" w:rsidP="0074206C">
      <w:pPr>
        <w:pStyle w:val="ListBullet"/>
        <w:numPr>
          <w:ilvl w:val="0"/>
          <w:numId w:val="3"/>
        </w:numPr>
      </w:pPr>
      <w:r w:rsidRPr="0054387D">
        <w:t>Refer to an up-to-date interactions resource for comprehensive information</w:t>
      </w:r>
      <w:r>
        <w:t>.</w:t>
      </w:r>
    </w:p>
    <w:p w14:paraId="65880922" w14:textId="77777777" w:rsidR="00E4104D" w:rsidRDefault="00E4104D" w:rsidP="00E4104D">
      <w:pPr>
        <w:rPr>
          <w:b/>
        </w:rPr>
      </w:pPr>
    </w:p>
    <w:p w14:paraId="42F528D0" w14:textId="1C1ED2C1" w:rsidR="00E4104D" w:rsidRPr="002654FC" w:rsidRDefault="00E4104D" w:rsidP="00E4104D">
      <w:pPr>
        <w:rPr>
          <w:b/>
        </w:rPr>
      </w:pPr>
      <w:r w:rsidRPr="002654FC">
        <w:rPr>
          <w:b/>
        </w:rPr>
        <w:t xml:space="preserve">Subcutaneous leakage of iron </w:t>
      </w:r>
    </w:p>
    <w:p w14:paraId="522B8F80" w14:textId="7CD0E742" w:rsidR="00E4104D" w:rsidRDefault="00E4104D" w:rsidP="00E4104D">
      <w:r>
        <w:t>Iron infusions that leak under the skin result in permanent discolouration. While the risk of this occurring is low, patients should be warned of this possibility during the consent process.</w:t>
      </w:r>
    </w:p>
    <w:p w14:paraId="7544D612" w14:textId="77777777" w:rsidR="0074206C" w:rsidRDefault="0074206C" w:rsidP="00E4104D"/>
    <w:p w14:paraId="6C2CF677" w14:textId="77777777" w:rsidR="00E4104D" w:rsidRDefault="00E4104D" w:rsidP="00E4104D">
      <w:r>
        <w:t>To minimise risk of iron staining the following procedures are recommended</w:t>
      </w:r>
      <w:r>
        <w:rPr>
          <w:sz w:val="22"/>
          <w:szCs w:val="18"/>
          <w:vertAlign w:val="superscript"/>
        </w:rPr>
        <w:t>1</w:t>
      </w:r>
      <w:r>
        <w:t xml:space="preserve">: </w:t>
      </w:r>
    </w:p>
    <w:p w14:paraId="13F832B0" w14:textId="77777777" w:rsidR="00E4104D" w:rsidRDefault="00E4104D" w:rsidP="0074206C">
      <w:pPr>
        <w:pStyle w:val="ListParagraph"/>
        <w:numPr>
          <w:ilvl w:val="0"/>
          <w:numId w:val="17"/>
        </w:numPr>
      </w:pPr>
      <w:r>
        <w:t>Distal veins of the forearm are preferred site for cannulation and administration of iron infusion (avoid the back of the hand, and sites of flexion e.g., antecubital fossa and wrist)</w:t>
      </w:r>
    </w:p>
    <w:p w14:paraId="33BD3C5E" w14:textId="77777777" w:rsidR="00E4104D" w:rsidRDefault="00E4104D" w:rsidP="0074206C">
      <w:pPr>
        <w:pStyle w:val="ListParagraph"/>
        <w:numPr>
          <w:ilvl w:val="0"/>
          <w:numId w:val="17"/>
        </w:numPr>
      </w:pPr>
      <w:r>
        <w:t>Use appropriate cannula size (20 to 24 gauge)</w:t>
      </w:r>
    </w:p>
    <w:p w14:paraId="7DC19EFD" w14:textId="77777777" w:rsidR="00E4104D" w:rsidRDefault="00E4104D" w:rsidP="0074206C">
      <w:pPr>
        <w:pStyle w:val="ListParagraph"/>
        <w:numPr>
          <w:ilvl w:val="0"/>
          <w:numId w:val="17"/>
        </w:numPr>
      </w:pPr>
      <w:r>
        <w:t>Secure the cannula and use an extension set to minimise catheter movement</w:t>
      </w:r>
    </w:p>
    <w:p w14:paraId="07FD3CA3" w14:textId="77777777" w:rsidR="00E4104D" w:rsidRDefault="00E4104D" w:rsidP="0074206C">
      <w:pPr>
        <w:pStyle w:val="ListParagraph"/>
        <w:numPr>
          <w:ilvl w:val="0"/>
          <w:numId w:val="17"/>
        </w:numPr>
      </w:pPr>
      <w:r>
        <w:t>Leave injection site uncovered, a bandage is not necessary.</w:t>
      </w:r>
    </w:p>
    <w:p w14:paraId="190BDBE9" w14:textId="77777777" w:rsidR="00E4104D" w:rsidRDefault="00E4104D" w:rsidP="0074206C">
      <w:pPr>
        <w:pStyle w:val="ListParagraph"/>
        <w:numPr>
          <w:ilvl w:val="0"/>
          <w:numId w:val="17"/>
        </w:numPr>
      </w:pPr>
      <w:r>
        <w:t>Minimise the number of cannulation attempts</w:t>
      </w:r>
    </w:p>
    <w:p w14:paraId="770030F0" w14:textId="77777777" w:rsidR="00E4104D" w:rsidRDefault="00E4104D" w:rsidP="0074206C">
      <w:pPr>
        <w:pStyle w:val="ListParagraph"/>
        <w:numPr>
          <w:ilvl w:val="0"/>
          <w:numId w:val="17"/>
        </w:numPr>
      </w:pPr>
      <w:r>
        <w:t>IV iron should be commenced only once the patency of the cannula has been confirmed</w:t>
      </w:r>
    </w:p>
    <w:p w14:paraId="5D626956" w14:textId="77777777" w:rsidR="00E4104D" w:rsidRDefault="00E4104D" w:rsidP="0074206C">
      <w:pPr>
        <w:pStyle w:val="ListParagraph"/>
        <w:numPr>
          <w:ilvl w:val="0"/>
          <w:numId w:val="17"/>
        </w:numPr>
      </w:pPr>
      <w:r>
        <w:t xml:space="preserve">Do not administer infusions at </w:t>
      </w:r>
      <w:proofErr w:type="spellStart"/>
      <w:r>
        <w:t>nighttime</w:t>
      </w:r>
      <w:proofErr w:type="spellEnd"/>
      <w:r>
        <w:t xml:space="preserve"> or to patients who are unable to report symptoms (e.g., anaesthetised patients)</w:t>
      </w:r>
    </w:p>
    <w:p w14:paraId="236FF5B7" w14:textId="77777777" w:rsidR="00E4104D" w:rsidRDefault="00E4104D" w:rsidP="0074206C">
      <w:pPr>
        <w:pStyle w:val="ListParagraph"/>
        <w:numPr>
          <w:ilvl w:val="0"/>
          <w:numId w:val="17"/>
        </w:numPr>
      </w:pPr>
      <w:r>
        <w:t>The infusion site should be regularly monitored during infusion</w:t>
      </w:r>
    </w:p>
    <w:p w14:paraId="19322F6C" w14:textId="77777777" w:rsidR="00E4104D" w:rsidRDefault="00E4104D" w:rsidP="0074206C">
      <w:pPr>
        <w:pStyle w:val="ListParagraph"/>
        <w:numPr>
          <w:ilvl w:val="0"/>
          <w:numId w:val="17"/>
        </w:numPr>
      </w:pPr>
      <w:r>
        <w:t>Pain or infusion site discomfort should prompt immediate cessation of the infusion and it be recommenced only once patency has been confirmed</w:t>
      </w:r>
    </w:p>
    <w:p w14:paraId="3551EFB8" w14:textId="77777777" w:rsidR="00E4104D" w:rsidRDefault="00E4104D" w:rsidP="0074206C">
      <w:pPr>
        <w:pStyle w:val="ListParagraph"/>
        <w:numPr>
          <w:ilvl w:val="0"/>
          <w:numId w:val="17"/>
        </w:numPr>
      </w:pPr>
      <w:r>
        <w:t>The IV cannula must be thoroughly flushed at the end of the infusion to ensure that residual iron within the cannula does not deposit as the cannula is withdrawn</w:t>
      </w:r>
    </w:p>
    <w:p w14:paraId="23662323" w14:textId="77777777" w:rsidR="00E4104D" w:rsidRDefault="00E4104D" w:rsidP="0074206C">
      <w:pPr>
        <w:pStyle w:val="ListParagraph"/>
        <w:numPr>
          <w:ilvl w:val="0"/>
          <w:numId w:val="17"/>
        </w:numPr>
      </w:pPr>
      <w:r w:rsidRPr="00492B5D">
        <w:t xml:space="preserve">Extravasation of iron can cause permanent staining and is not limited to long infusions. Extravasation has been reported with infusions of 15 minutes and in the absence of </w:t>
      </w:r>
      <w:r w:rsidRPr="00492B5D">
        <w:lastRenderedPageBreak/>
        <w:t>patient reports of discomfort. Informing the patient of the potential for skin staining is recommended</w:t>
      </w:r>
      <w:r>
        <w:rPr>
          <w:vertAlign w:val="superscript"/>
        </w:rPr>
        <w:t>3</w:t>
      </w:r>
      <w:r w:rsidRPr="00492B5D">
        <w:t>.</w:t>
      </w:r>
    </w:p>
    <w:p w14:paraId="4027F266" w14:textId="77777777" w:rsidR="00E4104D" w:rsidRDefault="00E4104D" w:rsidP="00E4104D">
      <w:pPr>
        <w:rPr>
          <w:b/>
          <w:bCs/>
        </w:rPr>
      </w:pPr>
    </w:p>
    <w:p w14:paraId="205EBF85" w14:textId="0847A8EB" w:rsidR="00E4104D" w:rsidRPr="00680489" w:rsidRDefault="00E4104D" w:rsidP="00E4104D">
      <w:pPr>
        <w:rPr>
          <w:b/>
          <w:bCs/>
          <w:vertAlign w:val="superscript"/>
        </w:rPr>
      </w:pPr>
      <w:r w:rsidRPr="002E325A">
        <w:rPr>
          <w:b/>
          <w:bCs/>
        </w:rPr>
        <w:t xml:space="preserve">Management of subcutaneous leakage of </w:t>
      </w:r>
      <w:r>
        <w:rPr>
          <w:b/>
          <w:bCs/>
        </w:rPr>
        <w:t>i</w:t>
      </w:r>
      <w:r w:rsidRPr="002E325A">
        <w:rPr>
          <w:b/>
          <w:bCs/>
        </w:rPr>
        <w:t>ron</w:t>
      </w:r>
      <w:r>
        <w:rPr>
          <w:b/>
          <w:bCs/>
          <w:vertAlign w:val="superscript"/>
        </w:rPr>
        <w:t>1</w:t>
      </w:r>
    </w:p>
    <w:p w14:paraId="6DE627EE" w14:textId="09B8BD8A" w:rsidR="00E4104D" w:rsidRDefault="00E4104D" w:rsidP="00E4104D">
      <w:r>
        <w:t>Stop infusion immediately if patient reports pain, swelling, soreness at injection site.</w:t>
      </w:r>
    </w:p>
    <w:p w14:paraId="0F4C1E05" w14:textId="77777777" w:rsidR="00E4104D" w:rsidRDefault="00E4104D" w:rsidP="00E4104D"/>
    <w:p w14:paraId="3196D4C4" w14:textId="77777777" w:rsidR="00E4104D" w:rsidRDefault="00E4104D" w:rsidP="0074206C">
      <w:pPr>
        <w:pStyle w:val="ListParagraph"/>
        <w:numPr>
          <w:ilvl w:val="0"/>
          <w:numId w:val="22"/>
        </w:numPr>
        <w:ind w:left="426" w:hanging="426"/>
      </w:pPr>
      <w:r>
        <w:t>Disconnect giving set</w:t>
      </w:r>
    </w:p>
    <w:p w14:paraId="026D2E10" w14:textId="77777777" w:rsidR="00E4104D" w:rsidRDefault="00E4104D" w:rsidP="0074206C">
      <w:pPr>
        <w:pStyle w:val="ListParagraph"/>
        <w:numPr>
          <w:ilvl w:val="0"/>
          <w:numId w:val="22"/>
        </w:numPr>
        <w:ind w:left="426" w:hanging="426"/>
      </w:pPr>
      <w:r>
        <w:t>Aspirate any residual drug from cannula</w:t>
      </w:r>
    </w:p>
    <w:p w14:paraId="318CBA89" w14:textId="77777777" w:rsidR="00E4104D" w:rsidRDefault="00E4104D" w:rsidP="0074206C">
      <w:pPr>
        <w:pStyle w:val="ListParagraph"/>
        <w:numPr>
          <w:ilvl w:val="0"/>
          <w:numId w:val="22"/>
        </w:numPr>
        <w:ind w:left="426" w:hanging="426"/>
      </w:pPr>
      <w:r>
        <w:t>Remove the cannula</w:t>
      </w:r>
    </w:p>
    <w:p w14:paraId="7EDCDF60" w14:textId="77777777" w:rsidR="00E4104D" w:rsidRDefault="00E4104D" w:rsidP="0074206C">
      <w:pPr>
        <w:pStyle w:val="ListParagraph"/>
        <w:numPr>
          <w:ilvl w:val="0"/>
          <w:numId w:val="22"/>
        </w:numPr>
        <w:ind w:left="426" w:hanging="426"/>
      </w:pPr>
      <w:r>
        <w:t>Apply cold pack for swelling or soreness, though this does not prevent spread of stain</w:t>
      </w:r>
    </w:p>
    <w:p w14:paraId="7A727343" w14:textId="77777777" w:rsidR="00E4104D" w:rsidRDefault="00E4104D" w:rsidP="0074206C">
      <w:pPr>
        <w:pStyle w:val="ListParagraph"/>
        <w:numPr>
          <w:ilvl w:val="0"/>
          <w:numId w:val="22"/>
        </w:numPr>
        <w:ind w:left="426" w:hanging="426"/>
      </w:pPr>
      <w:r>
        <w:t>Take clinical photograph to capture extent of extravasation and to monitor success of treatments</w:t>
      </w:r>
    </w:p>
    <w:p w14:paraId="116ACAFF" w14:textId="41225BA5" w:rsidR="00B8146E" w:rsidRPr="000B796C" w:rsidRDefault="00E4104D" w:rsidP="00E4104D">
      <w:r>
        <w:t>The options for reversing iron staining are limited, with the most evidence for laser therapy. Prompt referral of the patient to a Dermatologist is suggested.</w:t>
      </w:r>
    </w:p>
    <w:p w14:paraId="4B81A99A" w14:textId="77777777" w:rsidR="00B8146E" w:rsidRDefault="00B8146E" w:rsidP="00B8146E">
      <w:r>
        <w:t xml:space="preserve"> </w:t>
      </w:r>
    </w:p>
    <w:p w14:paraId="4854625F" w14:textId="5B330FF6" w:rsidR="00B8146E" w:rsidRPr="0054387D" w:rsidRDefault="00B8146E" w:rsidP="00B8146E">
      <w:pPr>
        <w:pStyle w:val="Heading2"/>
      </w:pPr>
      <w:r w:rsidRPr="0054387D">
        <w:t>Adverse Effects</w:t>
      </w:r>
      <w:r w:rsidR="00FE6614">
        <w:t xml:space="preserve"> of iron infusions</w:t>
      </w:r>
    </w:p>
    <w:p w14:paraId="684E9FCA" w14:textId="6E193309" w:rsidR="00B8146E" w:rsidRPr="0054387D" w:rsidRDefault="00FE6614" w:rsidP="00FE6614">
      <w:pPr>
        <w:pStyle w:val="ListBullet"/>
        <w:numPr>
          <w:ilvl w:val="0"/>
          <w:numId w:val="0"/>
        </w:numPr>
        <w:pBdr>
          <w:top w:val="single" w:sz="4" w:space="1" w:color="auto"/>
          <w:left w:val="single" w:sz="4" w:space="1" w:color="auto"/>
          <w:bottom w:val="single" w:sz="4" w:space="1" w:color="auto"/>
          <w:right w:val="single" w:sz="4" w:space="1" w:color="auto"/>
        </w:pBdr>
      </w:pPr>
      <w:r w:rsidRPr="00FE6614">
        <w:rPr>
          <w:b/>
          <w:bCs/>
        </w:rPr>
        <w:t>Note</w:t>
      </w:r>
      <w:r>
        <w:t xml:space="preserve">: </w:t>
      </w:r>
      <w:r w:rsidR="00B8146E" w:rsidRPr="0054387D">
        <w:t>Patients who are at increased risk of allergic reactions (see Precautions above) may require premedication 20 minutes prior to infusion:</w:t>
      </w:r>
    </w:p>
    <w:p w14:paraId="2B54FAF3" w14:textId="77777777" w:rsidR="00B8146E" w:rsidRPr="00FE6614" w:rsidRDefault="00B8146E" w:rsidP="0074206C">
      <w:pPr>
        <w:pStyle w:val="ListBullet"/>
        <w:numPr>
          <w:ilvl w:val="0"/>
          <w:numId w:val="29"/>
        </w:numPr>
        <w:pBdr>
          <w:top w:val="single" w:sz="4" w:space="1" w:color="auto"/>
          <w:left w:val="single" w:sz="4" w:space="1" w:color="auto"/>
          <w:bottom w:val="single" w:sz="4" w:space="1" w:color="auto"/>
          <w:right w:val="single" w:sz="4" w:space="1" w:color="auto"/>
        </w:pBdr>
      </w:pPr>
      <w:r w:rsidRPr="00FE6614">
        <w:t>100mg IV hydrocortisone</w:t>
      </w:r>
    </w:p>
    <w:p w14:paraId="762C0BB3" w14:textId="77777777" w:rsidR="00B8146E" w:rsidRPr="003147A3" w:rsidRDefault="00B8146E" w:rsidP="0074206C">
      <w:pPr>
        <w:pStyle w:val="ListBullet"/>
        <w:numPr>
          <w:ilvl w:val="0"/>
          <w:numId w:val="29"/>
        </w:numPr>
        <w:pBdr>
          <w:top w:val="single" w:sz="4" w:space="1" w:color="auto"/>
          <w:left w:val="single" w:sz="4" w:space="1" w:color="auto"/>
          <w:bottom w:val="single" w:sz="4" w:space="1" w:color="auto"/>
          <w:right w:val="single" w:sz="4" w:space="1" w:color="auto"/>
        </w:pBdr>
      </w:pPr>
      <w:r w:rsidRPr="00FE6614">
        <w:t>18</w:t>
      </w:r>
      <w:r w:rsidRPr="003147A3">
        <w:t>0mg oral fexofenadine</w:t>
      </w:r>
    </w:p>
    <w:p w14:paraId="12C9C08D" w14:textId="77777777" w:rsidR="00B8146E" w:rsidRPr="0054387D" w:rsidRDefault="00B8146E" w:rsidP="0074206C">
      <w:pPr>
        <w:pStyle w:val="ListBullet"/>
        <w:numPr>
          <w:ilvl w:val="0"/>
          <w:numId w:val="15"/>
        </w:numPr>
      </w:pPr>
      <w:r w:rsidRPr="0054387D">
        <w:t>Anaphylactic reactions occur most frequently within the first several minutes of administration.</w:t>
      </w:r>
    </w:p>
    <w:p w14:paraId="60EC91B3" w14:textId="648A6FAA" w:rsidR="00B8146E" w:rsidRDefault="00B8146E" w:rsidP="0074206C">
      <w:pPr>
        <w:pStyle w:val="ListBullet"/>
        <w:numPr>
          <w:ilvl w:val="0"/>
          <w:numId w:val="15"/>
        </w:numPr>
      </w:pPr>
      <w:r w:rsidRPr="0054387D">
        <w:t xml:space="preserve">If signs of allergic reaction or intolerance occur at </w:t>
      </w:r>
      <w:r>
        <w:t>any time</w:t>
      </w:r>
      <w:r w:rsidRPr="0054387D">
        <w:t xml:space="preserve"> during the infusion, the infusion </w:t>
      </w:r>
      <w:r>
        <w:t>must</w:t>
      </w:r>
      <w:r w:rsidRPr="0054387D">
        <w:t xml:space="preserve"> be </w:t>
      </w:r>
      <w:r w:rsidR="00976030" w:rsidRPr="0054387D">
        <w:t>stopped,</w:t>
      </w:r>
      <w:r w:rsidRPr="0054387D">
        <w:t xml:space="preserve"> and a medical officer contacted immediately </w:t>
      </w:r>
    </w:p>
    <w:p w14:paraId="6E9E6DDF" w14:textId="77777777" w:rsidR="00B8146E" w:rsidRDefault="00B8146E" w:rsidP="002C1A19">
      <w:pPr>
        <w:pStyle w:val="ListBullet"/>
        <w:numPr>
          <w:ilvl w:val="0"/>
          <w:numId w:val="0"/>
        </w:numPr>
        <w:ind w:left="426"/>
      </w:pPr>
    </w:p>
    <w:p w14:paraId="4EE9E8CA" w14:textId="77777777" w:rsidR="00B8146E" w:rsidRPr="0054387D" w:rsidRDefault="00B8146E" w:rsidP="002C1A19">
      <w:pPr>
        <w:pStyle w:val="ListBullet"/>
        <w:numPr>
          <w:ilvl w:val="0"/>
          <w:numId w:val="0"/>
        </w:numPr>
        <w:ind w:left="426" w:hanging="426"/>
      </w:pPr>
      <w:r w:rsidRPr="0054387D">
        <w:t>Immediate adverse effects may include:</w:t>
      </w:r>
    </w:p>
    <w:p w14:paraId="7E94730F" w14:textId="77777777" w:rsidR="00B8146E" w:rsidRPr="0054387D" w:rsidRDefault="00B8146E" w:rsidP="0074206C">
      <w:pPr>
        <w:pStyle w:val="ListBullet"/>
        <w:numPr>
          <w:ilvl w:val="0"/>
          <w:numId w:val="15"/>
        </w:numPr>
      </w:pPr>
      <w:r w:rsidRPr="0054387D">
        <w:t>A</w:t>
      </w:r>
      <w:r>
        <w:t>naphylactoid reactions</w:t>
      </w:r>
      <w:r w:rsidRPr="0054387D">
        <w:t xml:space="preserve"> </w:t>
      </w:r>
    </w:p>
    <w:p w14:paraId="200EF2F3" w14:textId="500CF70D" w:rsidR="00B8146E" w:rsidRPr="0054387D" w:rsidRDefault="00B8146E" w:rsidP="0074206C">
      <w:pPr>
        <w:pStyle w:val="ListBullet"/>
        <w:numPr>
          <w:ilvl w:val="0"/>
          <w:numId w:val="15"/>
        </w:numPr>
      </w:pPr>
      <w:r w:rsidRPr="0054387D">
        <w:t>Bronchospasm with dyspnoea</w:t>
      </w:r>
    </w:p>
    <w:p w14:paraId="788B0859" w14:textId="77777777" w:rsidR="00B8146E" w:rsidRPr="0054387D" w:rsidRDefault="00B8146E" w:rsidP="0074206C">
      <w:pPr>
        <w:pStyle w:val="ListBullet"/>
        <w:numPr>
          <w:ilvl w:val="0"/>
          <w:numId w:val="15"/>
        </w:numPr>
      </w:pPr>
      <w:r w:rsidRPr="0054387D">
        <w:t>Faintness, syncope, tachycardia, hypotension, circulatory collapse</w:t>
      </w:r>
    </w:p>
    <w:p w14:paraId="08CC47C1" w14:textId="0CD45102" w:rsidR="00B8146E" w:rsidRDefault="00B8146E" w:rsidP="0074206C">
      <w:pPr>
        <w:pStyle w:val="ListBullet"/>
        <w:numPr>
          <w:ilvl w:val="0"/>
          <w:numId w:val="15"/>
        </w:numPr>
      </w:pPr>
      <w:r w:rsidRPr="0054387D">
        <w:t>Loss of consciousness</w:t>
      </w:r>
    </w:p>
    <w:p w14:paraId="1F622926" w14:textId="77777777" w:rsidR="00E4104D" w:rsidRDefault="00E4104D" w:rsidP="00E4104D">
      <w:pPr>
        <w:pStyle w:val="ListBullet"/>
        <w:numPr>
          <w:ilvl w:val="0"/>
          <w:numId w:val="0"/>
        </w:numPr>
      </w:pPr>
    </w:p>
    <w:p w14:paraId="43A7D286" w14:textId="73EDD1E7" w:rsidR="00E4104D" w:rsidRPr="0054387D" w:rsidRDefault="00E4104D" w:rsidP="00E4104D">
      <w:pPr>
        <w:pStyle w:val="ListBullet"/>
        <w:numPr>
          <w:ilvl w:val="0"/>
          <w:numId w:val="0"/>
        </w:numPr>
        <w:pBdr>
          <w:top w:val="single" w:sz="4" w:space="1" w:color="auto"/>
          <w:left w:val="single" w:sz="4" w:space="4" w:color="auto"/>
          <w:bottom w:val="single" w:sz="4" w:space="1" w:color="auto"/>
          <w:right w:val="single" w:sz="4" w:space="4" w:color="auto"/>
        </w:pBdr>
      </w:pPr>
      <w:r>
        <w:rPr>
          <w:b/>
          <w:bCs/>
        </w:rPr>
        <w:t xml:space="preserve">Alert: </w:t>
      </w:r>
      <w:r w:rsidRPr="0054387D">
        <w:t xml:space="preserve">If any adverse reactions fall into the </w:t>
      </w:r>
      <w:r>
        <w:t>Medical Emergency Team (</w:t>
      </w:r>
      <w:r w:rsidRPr="0054387D">
        <w:t>MET</w:t>
      </w:r>
      <w:r>
        <w:t>) criteria, a Code Blue must be called (dial 2222)</w:t>
      </w:r>
    </w:p>
    <w:p w14:paraId="7B5FB1D2" w14:textId="4B04A9E8" w:rsidR="00DE0C33" w:rsidRDefault="00DE0C33" w:rsidP="00DE0C33"/>
    <w:p w14:paraId="596E6BBB" w14:textId="091563EF" w:rsidR="00B8146E" w:rsidRDefault="00B8146E" w:rsidP="002C1A19">
      <w:pPr>
        <w:pStyle w:val="ListBullet"/>
        <w:numPr>
          <w:ilvl w:val="0"/>
          <w:numId w:val="0"/>
        </w:numPr>
      </w:pPr>
      <w:r w:rsidRPr="0054387D">
        <w:t xml:space="preserve">Mild allergic reactions (mild rash, itching, no respiratory symptoms, no facial swelling) can be treated with an antihistamine such as </w:t>
      </w:r>
      <w:r w:rsidRPr="003147A3">
        <w:t>fexofenadine.</w:t>
      </w:r>
      <w:r w:rsidRPr="0054387D">
        <w:t xml:space="preserve"> </w:t>
      </w:r>
    </w:p>
    <w:p w14:paraId="700BC2F9" w14:textId="77777777" w:rsidR="00FE6614" w:rsidRDefault="00FE6614" w:rsidP="00FE6614">
      <w:pPr>
        <w:pStyle w:val="ListBullet"/>
        <w:numPr>
          <w:ilvl w:val="0"/>
          <w:numId w:val="0"/>
        </w:numPr>
        <w:ind w:left="426" w:hanging="426"/>
        <w:rPr>
          <w:rFonts w:asciiTheme="minorHAnsi" w:hAnsiTheme="minorHAnsi" w:cstheme="minorHAnsi"/>
          <w:szCs w:val="24"/>
        </w:rPr>
      </w:pPr>
    </w:p>
    <w:p w14:paraId="15D6A3AD" w14:textId="07CD74F0" w:rsidR="00FE6614" w:rsidRPr="0054387D" w:rsidRDefault="00FE6614" w:rsidP="00FE6614">
      <w:pPr>
        <w:pStyle w:val="ListBullet"/>
        <w:numPr>
          <w:ilvl w:val="0"/>
          <w:numId w:val="0"/>
        </w:numPr>
        <w:ind w:left="426" w:hanging="426"/>
        <w:rPr>
          <w:rFonts w:asciiTheme="minorHAnsi" w:hAnsiTheme="minorHAnsi" w:cstheme="minorHAnsi"/>
          <w:szCs w:val="24"/>
        </w:rPr>
      </w:pPr>
      <w:r w:rsidRPr="0054387D">
        <w:rPr>
          <w:rFonts w:asciiTheme="minorHAnsi" w:hAnsiTheme="minorHAnsi" w:cstheme="minorHAnsi"/>
          <w:szCs w:val="24"/>
        </w:rPr>
        <w:t>Delayed Adverse Effects:</w:t>
      </w:r>
    </w:p>
    <w:p w14:paraId="6651E974" w14:textId="77777777" w:rsidR="00FE6614" w:rsidRPr="00E76F72" w:rsidRDefault="00FE6614" w:rsidP="0074206C">
      <w:pPr>
        <w:pStyle w:val="ListBullet"/>
        <w:numPr>
          <w:ilvl w:val="0"/>
          <w:numId w:val="15"/>
        </w:numPr>
      </w:pPr>
      <w:r w:rsidRPr="00E76F72">
        <w:t>Patients with rheumatoid arthritis and other inflammatory diseases (e.g., ankylosing spondylitis, lupus erythematosus) may be at particular risk of delayed reactions, including fever and exacerbation or reactivation of joint pain. They may include:</w:t>
      </w:r>
    </w:p>
    <w:p w14:paraId="6F75FD86" w14:textId="77777777" w:rsidR="00FE6614" w:rsidRPr="00E76F72" w:rsidRDefault="00FE6614" w:rsidP="0074206C">
      <w:pPr>
        <w:pStyle w:val="ListBullet"/>
        <w:numPr>
          <w:ilvl w:val="0"/>
          <w:numId w:val="30"/>
        </w:numPr>
      </w:pPr>
      <w:r w:rsidRPr="00E76F72">
        <w:t>Central Nervous System: dizziness</w:t>
      </w:r>
    </w:p>
    <w:p w14:paraId="1C8BFD96" w14:textId="77777777" w:rsidR="00FE6614" w:rsidRPr="00E76F72" w:rsidRDefault="00FE6614" w:rsidP="0074206C">
      <w:pPr>
        <w:pStyle w:val="ListBullet"/>
        <w:numPr>
          <w:ilvl w:val="0"/>
          <w:numId w:val="30"/>
        </w:numPr>
      </w:pPr>
      <w:r w:rsidRPr="00E76F72">
        <w:t xml:space="preserve">Musculoskeletal: arthralgia, myalgia, sensation of stiffening of arms, </w:t>
      </w:r>
      <w:proofErr w:type="gramStart"/>
      <w:r w:rsidRPr="00E76F72">
        <w:t>legs</w:t>
      </w:r>
      <w:proofErr w:type="gramEnd"/>
      <w:r w:rsidRPr="00E76F72">
        <w:t xml:space="preserve"> or face</w:t>
      </w:r>
    </w:p>
    <w:p w14:paraId="418C195E" w14:textId="77777777" w:rsidR="00FE6614" w:rsidRPr="00E76F72" w:rsidRDefault="00FE6614" w:rsidP="0074206C">
      <w:pPr>
        <w:pStyle w:val="ListBullet"/>
        <w:numPr>
          <w:ilvl w:val="0"/>
          <w:numId w:val="30"/>
        </w:numPr>
      </w:pPr>
      <w:r w:rsidRPr="00E76F72">
        <w:t xml:space="preserve">Haematological: generalised lymphadenopathy </w:t>
      </w:r>
    </w:p>
    <w:p w14:paraId="36B5F5A1" w14:textId="77777777" w:rsidR="00FE6614" w:rsidRPr="00E76F72" w:rsidRDefault="00FE6614" w:rsidP="0074206C">
      <w:pPr>
        <w:pStyle w:val="ListBullet"/>
        <w:numPr>
          <w:ilvl w:val="0"/>
          <w:numId w:val="30"/>
        </w:numPr>
      </w:pPr>
      <w:r w:rsidRPr="00E76F72">
        <w:lastRenderedPageBreak/>
        <w:t>Dermatological: angioneurotic oedema, rash, urticaria</w:t>
      </w:r>
    </w:p>
    <w:p w14:paraId="7D9CEA17" w14:textId="77777777" w:rsidR="00FE6614" w:rsidRPr="00E76F72" w:rsidRDefault="00FE6614" w:rsidP="0074206C">
      <w:pPr>
        <w:pStyle w:val="ListBullet"/>
        <w:numPr>
          <w:ilvl w:val="0"/>
          <w:numId w:val="30"/>
        </w:numPr>
      </w:pPr>
      <w:r w:rsidRPr="00E76F72">
        <w:t>General: chills, fever, chest &amp; back pain</w:t>
      </w:r>
    </w:p>
    <w:p w14:paraId="7C27D8FF" w14:textId="57C7D7DB" w:rsidR="00B8146E" w:rsidRDefault="00B8146E" w:rsidP="00FE6614">
      <w:pPr>
        <w:pStyle w:val="ListBullet"/>
        <w:numPr>
          <w:ilvl w:val="0"/>
          <w:numId w:val="0"/>
        </w:numPr>
        <w:ind w:left="426" w:hanging="426"/>
      </w:pPr>
    </w:p>
    <w:p w14:paraId="28B0C281" w14:textId="6FAEF305" w:rsidR="00FE6614" w:rsidRPr="00FE6614" w:rsidRDefault="00FE6614" w:rsidP="00FE6614">
      <w:pPr>
        <w:pStyle w:val="ListBullet"/>
        <w:numPr>
          <w:ilvl w:val="0"/>
          <w:numId w:val="0"/>
        </w:numPr>
        <w:ind w:left="426" w:hanging="426"/>
        <w:rPr>
          <w:b/>
          <w:bCs/>
        </w:rPr>
      </w:pPr>
      <w:r>
        <w:rPr>
          <w:b/>
          <w:bCs/>
        </w:rPr>
        <w:t>Side Effects of iron infusions</w:t>
      </w:r>
    </w:p>
    <w:p w14:paraId="1FBC9657" w14:textId="77777777" w:rsidR="00B8146E" w:rsidRPr="004010F7" w:rsidRDefault="00B8146E" w:rsidP="002C1A19">
      <w:pPr>
        <w:pStyle w:val="ListBullet"/>
        <w:numPr>
          <w:ilvl w:val="0"/>
          <w:numId w:val="0"/>
        </w:numPr>
        <w:ind w:left="426" w:hanging="426"/>
      </w:pPr>
      <w:r>
        <w:t>General</w:t>
      </w:r>
      <w:r w:rsidRPr="004010F7">
        <w:t xml:space="preserve"> infusion side effects may include:</w:t>
      </w:r>
    </w:p>
    <w:p w14:paraId="20E04A12" w14:textId="77777777" w:rsidR="00B8146E" w:rsidRDefault="00B8146E" w:rsidP="0074206C">
      <w:pPr>
        <w:pStyle w:val="ListParagraph"/>
        <w:numPr>
          <w:ilvl w:val="0"/>
          <w:numId w:val="3"/>
        </w:numPr>
      </w:pPr>
      <w:r>
        <w:t xml:space="preserve">Cardiovascular: </w:t>
      </w:r>
      <w:r w:rsidRPr="00E76F72">
        <w:t>hypotension</w:t>
      </w:r>
      <w:r>
        <w:t xml:space="preserve">, </w:t>
      </w:r>
      <w:r w:rsidRPr="00E76F72">
        <w:t xml:space="preserve">collapse, </w:t>
      </w:r>
      <w:proofErr w:type="gramStart"/>
      <w:r w:rsidRPr="00E76F72">
        <w:t>tachycardia</w:t>
      </w:r>
      <w:proofErr w:type="gramEnd"/>
      <w:r w:rsidRPr="00E76F72">
        <w:t xml:space="preserve"> and palpitations </w:t>
      </w:r>
    </w:p>
    <w:p w14:paraId="57864C6F" w14:textId="77777777" w:rsidR="00B8146E" w:rsidRPr="00E76F72" w:rsidRDefault="00B8146E" w:rsidP="0074206C">
      <w:pPr>
        <w:pStyle w:val="ListParagraph"/>
        <w:numPr>
          <w:ilvl w:val="0"/>
          <w:numId w:val="3"/>
        </w:numPr>
      </w:pPr>
      <w:r w:rsidRPr="00E76F72">
        <w:t>Central Nervous System: headache</w:t>
      </w:r>
      <w:r>
        <w:t xml:space="preserve"> and</w:t>
      </w:r>
      <w:r w:rsidRPr="00E76F72">
        <w:t xml:space="preserve"> dizziness</w:t>
      </w:r>
      <w:r w:rsidRPr="009E6A00">
        <w:t xml:space="preserve"> </w:t>
      </w:r>
    </w:p>
    <w:p w14:paraId="562F2B7E" w14:textId="77777777" w:rsidR="00B8146E" w:rsidRPr="00E76F72" w:rsidRDefault="00B8146E" w:rsidP="0074206C">
      <w:pPr>
        <w:pStyle w:val="ListParagraph"/>
        <w:numPr>
          <w:ilvl w:val="0"/>
          <w:numId w:val="3"/>
        </w:numPr>
      </w:pPr>
      <w:r w:rsidRPr="00E76F72">
        <w:t>Gastrointestinal: nausea &amp; vomiting (may indicate excessive infusion rate)</w:t>
      </w:r>
      <w:r>
        <w:t>,</w:t>
      </w:r>
      <w:r w:rsidRPr="009E6A00">
        <w:t xml:space="preserve"> </w:t>
      </w:r>
      <w:r w:rsidRPr="00E76F72">
        <w:t>abdominal pain</w:t>
      </w:r>
      <w:r>
        <w:t xml:space="preserve"> and</w:t>
      </w:r>
      <w:r w:rsidRPr="00E76F72">
        <w:t xml:space="preserve"> diarrhoea</w:t>
      </w:r>
    </w:p>
    <w:p w14:paraId="6AA47390" w14:textId="77777777" w:rsidR="00B8146E" w:rsidRPr="00E76F72" w:rsidRDefault="00B8146E" w:rsidP="0074206C">
      <w:pPr>
        <w:pStyle w:val="ListParagraph"/>
        <w:numPr>
          <w:ilvl w:val="0"/>
          <w:numId w:val="3"/>
        </w:numPr>
      </w:pPr>
      <w:r w:rsidRPr="00E76F72">
        <w:t>Musculoskeletal: joint and muscle pain</w:t>
      </w:r>
    </w:p>
    <w:p w14:paraId="41F23FA4" w14:textId="77777777" w:rsidR="00B8146E" w:rsidRPr="00E76F72" w:rsidRDefault="00B8146E" w:rsidP="0074206C">
      <w:pPr>
        <w:pStyle w:val="ListParagraph"/>
        <w:numPr>
          <w:ilvl w:val="0"/>
          <w:numId w:val="3"/>
        </w:numPr>
      </w:pPr>
      <w:r w:rsidRPr="00E76F72">
        <w:t>Dermatological: rash, urticaria</w:t>
      </w:r>
    </w:p>
    <w:p w14:paraId="5A17B63D" w14:textId="133A1773" w:rsidR="00B8146E" w:rsidRPr="00FE6614" w:rsidRDefault="00B8146E" w:rsidP="0074206C">
      <w:pPr>
        <w:pStyle w:val="ListParagraph"/>
        <w:numPr>
          <w:ilvl w:val="0"/>
          <w:numId w:val="3"/>
        </w:numPr>
      </w:pPr>
      <w:r w:rsidRPr="00E76F72">
        <w:t>General: flushing, sweating</w:t>
      </w:r>
      <w:r>
        <w:t xml:space="preserve">, </w:t>
      </w:r>
      <w:r w:rsidRPr="00E76F72">
        <w:t>fever, shivering, chest tightness</w:t>
      </w:r>
    </w:p>
    <w:p w14:paraId="2F51A8AC" w14:textId="6249549C" w:rsidR="007B6904" w:rsidRDefault="007B6904" w:rsidP="007B6904">
      <w:pPr>
        <w:rPr>
          <w:rFonts w:cs="Arial"/>
          <w:b/>
          <w:szCs w:val="24"/>
        </w:rPr>
      </w:pPr>
    </w:p>
    <w:p w14:paraId="323FD8BD" w14:textId="5C5906BF" w:rsidR="00FE6614" w:rsidRDefault="00FE6614" w:rsidP="007B6904">
      <w:pPr>
        <w:rPr>
          <w:rFonts w:cs="Arial"/>
          <w:b/>
          <w:szCs w:val="24"/>
        </w:rPr>
      </w:pPr>
      <w:r>
        <w:rPr>
          <w:rFonts w:cs="Arial"/>
          <w:b/>
          <w:szCs w:val="24"/>
        </w:rPr>
        <w:t>Reporting</w:t>
      </w:r>
    </w:p>
    <w:p w14:paraId="5E64A952" w14:textId="264CDEEC" w:rsidR="00FE6614" w:rsidRDefault="00FE6614" w:rsidP="007B6904">
      <w:pPr>
        <w:rPr>
          <w:rFonts w:cs="Arial"/>
          <w:bCs/>
          <w:szCs w:val="24"/>
        </w:rPr>
      </w:pPr>
      <w:r>
        <w:rPr>
          <w:rFonts w:cs="Arial"/>
          <w:bCs/>
          <w:szCs w:val="24"/>
        </w:rPr>
        <w:t>When a patient experiences an adverse effect from an iron infusion it is reported in the adverse drug reaction form located in the pharmacy page on the intranet.</w:t>
      </w:r>
    </w:p>
    <w:p w14:paraId="6E10C239" w14:textId="13F7F148" w:rsidR="00FE6614" w:rsidRDefault="00FE6614" w:rsidP="007B6904">
      <w:pPr>
        <w:rPr>
          <w:rFonts w:cs="Arial"/>
          <w:bCs/>
          <w:szCs w:val="24"/>
        </w:rPr>
      </w:pPr>
    </w:p>
    <w:p w14:paraId="29F01247" w14:textId="0AAE2498" w:rsidR="00FE6614" w:rsidRDefault="00FE6614" w:rsidP="007B6904">
      <w:pPr>
        <w:rPr>
          <w:rFonts w:cs="Arial"/>
          <w:bCs/>
          <w:szCs w:val="24"/>
        </w:rPr>
      </w:pPr>
      <w:r>
        <w:rPr>
          <w:rFonts w:cs="Arial"/>
          <w:bCs/>
          <w:szCs w:val="24"/>
        </w:rPr>
        <w:t>Other incidents related to iron infusions are reported in the clinical incident reporting system.</w:t>
      </w:r>
    </w:p>
    <w:p w14:paraId="2B21584A" w14:textId="77777777" w:rsidR="00FE6614" w:rsidRPr="00FE6614" w:rsidRDefault="00FE6614" w:rsidP="007B6904">
      <w:pPr>
        <w:rPr>
          <w:rFonts w:cs="Arial"/>
          <w:bCs/>
          <w:szCs w:val="24"/>
        </w:rPr>
      </w:pPr>
    </w:p>
    <w:p w14:paraId="2F51A8AD" w14:textId="77777777" w:rsidR="007B6904" w:rsidRDefault="009B36AD"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59716F0" w:rsidR="00F9158A" w:rsidRPr="00CD1C0E" w:rsidRDefault="00F9158A" w:rsidP="00E73459">
            <w:pPr>
              <w:pStyle w:val="Heading1"/>
              <w:tabs>
                <w:tab w:val="left" w:pos="1953"/>
              </w:tabs>
            </w:pPr>
            <w:bookmarkStart w:id="31" w:name="_Toc43903671"/>
            <w:bookmarkStart w:id="32" w:name="_Toc84588317"/>
            <w:r>
              <w:t>Evaluation</w:t>
            </w:r>
            <w:bookmarkEnd w:id="31"/>
            <w:bookmarkEnd w:id="32"/>
            <w:r>
              <w:t xml:space="preserve"> </w:t>
            </w:r>
            <w:r w:rsidR="00E73459">
              <w:tab/>
            </w:r>
          </w:p>
        </w:tc>
      </w:tr>
    </w:tbl>
    <w:p w14:paraId="6E93670E" w14:textId="77777777" w:rsidR="00F9158A" w:rsidRDefault="00F9158A" w:rsidP="00F9158A">
      <w:pPr>
        <w:pStyle w:val="Default"/>
        <w:rPr>
          <w:rFonts w:ascii="Calibri" w:hAnsi="Calibri"/>
        </w:rPr>
      </w:pPr>
    </w:p>
    <w:p w14:paraId="392F428C" w14:textId="265FF25C" w:rsidR="00845445" w:rsidRPr="00F957E1" w:rsidRDefault="00845445" w:rsidP="00F9158A">
      <w:pPr>
        <w:pStyle w:val="Default"/>
        <w:rPr>
          <w:rFonts w:ascii="Calibri" w:hAnsi="Calibri" w:cs="Arial"/>
          <w:b/>
          <w:bCs/>
          <w:iCs/>
          <w:color w:val="auto"/>
          <w:lang w:eastAsia="en-US"/>
        </w:rPr>
      </w:pPr>
      <w:r w:rsidRPr="00F957E1">
        <w:rPr>
          <w:rFonts w:ascii="Calibri" w:hAnsi="Calibri" w:cs="Arial"/>
          <w:b/>
          <w:bCs/>
          <w:iCs/>
          <w:color w:val="auto"/>
          <w:lang w:eastAsia="en-US"/>
        </w:rPr>
        <w:t>Outcome</w:t>
      </w:r>
    </w:p>
    <w:p w14:paraId="49E18C96" w14:textId="1F37329E" w:rsidR="00845445" w:rsidRPr="00F957E1" w:rsidRDefault="00F957E1" w:rsidP="00F9158A">
      <w:pPr>
        <w:pStyle w:val="Default"/>
        <w:rPr>
          <w:rFonts w:ascii="Calibri" w:hAnsi="Calibri" w:cs="Arial"/>
          <w:iCs/>
          <w:color w:val="auto"/>
          <w:lang w:eastAsia="en-US"/>
        </w:rPr>
      </w:pPr>
      <w:r w:rsidRPr="00F957E1">
        <w:rPr>
          <w:rFonts w:ascii="Calibri" w:hAnsi="Calibri" w:cs="Arial"/>
          <w:iCs/>
          <w:color w:val="auto"/>
          <w:lang w:eastAsia="en-US"/>
        </w:rPr>
        <w:t>Patients will safely receive the appropriate intravenous iron infusion in the correct dose and administered in the safest way possible.</w:t>
      </w:r>
    </w:p>
    <w:p w14:paraId="6B15B541" w14:textId="77777777" w:rsidR="00F957E1" w:rsidRPr="00F957E1" w:rsidRDefault="00F957E1" w:rsidP="00F9158A">
      <w:pPr>
        <w:pStyle w:val="Default"/>
        <w:rPr>
          <w:rFonts w:ascii="Calibri" w:hAnsi="Calibri" w:cs="Arial"/>
          <w:b/>
          <w:bCs/>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F957E1">
        <w:rPr>
          <w:rFonts w:ascii="Calibri" w:hAnsi="Calibri" w:cs="Arial"/>
          <w:b/>
          <w:bCs/>
          <w:iCs/>
          <w:color w:val="auto"/>
          <w:lang w:eastAsia="en-US"/>
        </w:rPr>
        <w:t>Measures</w:t>
      </w:r>
    </w:p>
    <w:p w14:paraId="0BEE10FD" w14:textId="1923B405" w:rsidR="00F957E1" w:rsidRPr="00F115A5" w:rsidRDefault="00FE6614" w:rsidP="0074206C">
      <w:pPr>
        <w:pStyle w:val="ListBullet"/>
        <w:tabs>
          <w:tab w:val="clear" w:pos="1080"/>
        </w:tabs>
        <w:ind w:left="360"/>
      </w:pPr>
      <w:r>
        <w:t>Review of a</w:t>
      </w:r>
      <w:r w:rsidR="00F957E1" w:rsidRPr="00F115A5">
        <w:t xml:space="preserve">dverse effects due to iron infusions reported </w:t>
      </w:r>
      <w:r>
        <w:t xml:space="preserve">in adverse drug reaction system. </w:t>
      </w:r>
    </w:p>
    <w:p w14:paraId="13E76256" w14:textId="30FD830A" w:rsidR="00F957E1" w:rsidRDefault="00FE6614" w:rsidP="0074206C">
      <w:pPr>
        <w:pStyle w:val="ListBullet"/>
        <w:tabs>
          <w:tab w:val="clear" w:pos="1080"/>
        </w:tabs>
        <w:ind w:left="360"/>
      </w:pPr>
      <w:r>
        <w:t xml:space="preserve">Review of clinical </w:t>
      </w:r>
      <w:r w:rsidR="00F957E1" w:rsidRPr="00F115A5">
        <w:t>incidents re</w:t>
      </w:r>
      <w:r w:rsidR="00F115A5" w:rsidRPr="00F115A5">
        <w:t xml:space="preserve">lating to administration of iron infusions reported in the incident management system </w:t>
      </w:r>
      <w:proofErr w:type="spellStart"/>
      <w:r w:rsidR="00976030" w:rsidRPr="00F115A5">
        <w:t>Riskman</w:t>
      </w:r>
      <w:proofErr w:type="spellEnd"/>
      <w:r w:rsidR="00F115A5" w:rsidRPr="00F115A5">
        <w:t>.</w:t>
      </w:r>
    </w:p>
    <w:p w14:paraId="08E93918" w14:textId="598AD570" w:rsidR="00F115A5" w:rsidRDefault="00F115A5" w:rsidP="0074206C">
      <w:pPr>
        <w:pStyle w:val="ListBullet"/>
        <w:tabs>
          <w:tab w:val="clear" w:pos="1080"/>
        </w:tabs>
        <w:ind w:left="360"/>
      </w:pPr>
      <w:r>
        <w:t xml:space="preserve">Drug Usage Review to ascertain the clinical indications for the different iron preparations to observe if </w:t>
      </w:r>
      <w:r w:rsidR="00976030">
        <w:t>hospital</w:t>
      </w:r>
      <w:r>
        <w:t xml:space="preserve"> formulary restrictions are reserved.</w:t>
      </w:r>
    </w:p>
    <w:p w14:paraId="12FE6335" w14:textId="77777777" w:rsidR="00F115A5" w:rsidRPr="00F115A5" w:rsidRDefault="00F115A5" w:rsidP="0074206C">
      <w:pPr>
        <w:pStyle w:val="Default"/>
        <w:rPr>
          <w:rFonts w:ascii="Calibri" w:hAnsi="Calibri" w:cs="Arial"/>
          <w:iCs/>
          <w:color w:val="auto"/>
          <w:lang w:eastAsia="en-US"/>
        </w:rPr>
      </w:pPr>
    </w:p>
    <w:p w14:paraId="119BA4AD" w14:textId="77777777" w:rsidR="00F9158A" w:rsidRPr="00253F5A" w:rsidRDefault="009B36AD"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1AB0A411" w:rsidR="007B6904" w:rsidRPr="00CD1C0E" w:rsidRDefault="00FF56DD" w:rsidP="00FF56DD">
            <w:pPr>
              <w:pStyle w:val="Heading1"/>
            </w:pPr>
            <w:bookmarkStart w:id="33" w:name="_Toc389473287"/>
            <w:bookmarkStart w:id="34" w:name="_Toc43903672"/>
            <w:bookmarkStart w:id="35" w:name="_Toc84588318"/>
            <w:r>
              <w:t xml:space="preserve">Related Policies, </w:t>
            </w:r>
            <w:r w:rsidR="007B6904">
              <w:t>Procedures</w:t>
            </w:r>
            <w:bookmarkEnd w:id="33"/>
            <w:r>
              <w:t>, Guidelines and Legislation</w:t>
            </w:r>
            <w:bookmarkEnd w:id="34"/>
            <w:bookmarkEnd w:id="35"/>
          </w:p>
        </w:tc>
      </w:tr>
    </w:tbl>
    <w:p w14:paraId="2F51A8B7" w14:textId="77777777" w:rsidR="007B6904" w:rsidRDefault="007B6904" w:rsidP="007B6904">
      <w:pPr>
        <w:rPr>
          <w:szCs w:val="24"/>
        </w:rPr>
      </w:pPr>
    </w:p>
    <w:p w14:paraId="3EE64381" w14:textId="77777777" w:rsidR="00B8146E" w:rsidRPr="00201FB6" w:rsidRDefault="00B8146E" w:rsidP="00B8146E">
      <w:pPr>
        <w:rPr>
          <w:b/>
        </w:rPr>
      </w:pPr>
      <w:r w:rsidRPr="00201FB6">
        <w:rPr>
          <w:b/>
        </w:rPr>
        <w:t>Policies</w:t>
      </w:r>
    </w:p>
    <w:p w14:paraId="22B8725F" w14:textId="77777777" w:rsidR="00B8146E" w:rsidRDefault="00B8146E" w:rsidP="0074206C">
      <w:pPr>
        <w:numPr>
          <w:ilvl w:val="0"/>
          <w:numId w:val="2"/>
        </w:numPr>
        <w:ind w:left="360"/>
        <w:rPr>
          <w:rFonts w:cs="Arial"/>
          <w:szCs w:val="24"/>
        </w:rPr>
      </w:pPr>
      <w:r w:rsidRPr="000A7335">
        <w:rPr>
          <w:rFonts w:cs="Arial"/>
          <w:szCs w:val="24"/>
        </w:rPr>
        <w:t xml:space="preserve">Nursing and Midwifery Continuing Competence </w:t>
      </w:r>
    </w:p>
    <w:p w14:paraId="75C0B368" w14:textId="699C443D" w:rsidR="00B8146E" w:rsidRDefault="00FE6614" w:rsidP="0074206C">
      <w:pPr>
        <w:numPr>
          <w:ilvl w:val="0"/>
          <w:numId w:val="2"/>
        </w:numPr>
        <w:ind w:left="360"/>
        <w:rPr>
          <w:rFonts w:cs="Arial"/>
          <w:szCs w:val="24"/>
        </w:rPr>
      </w:pPr>
      <w:r>
        <w:rPr>
          <w:rFonts w:cs="Arial"/>
          <w:szCs w:val="24"/>
        </w:rPr>
        <w:t xml:space="preserve">Informed </w:t>
      </w:r>
      <w:r w:rsidR="00B8146E">
        <w:rPr>
          <w:rFonts w:cs="Arial"/>
          <w:szCs w:val="24"/>
        </w:rPr>
        <w:t xml:space="preserve">Consent </w:t>
      </w:r>
      <w:r>
        <w:rPr>
          <w:rFonts w:cs="Arial"/>
          <w:szCs w:val="24"/>
        </w:rPr>
        <w:t>(Clinical)</w:t>
      </w:r>
      <w:r w:rsidR="00B8146E">
        <w:rPr>
          <w:rFonts w:cs="Arial"/>
          <w:szCs w:val="24"/>
        </w:rPr>
        <w:t xml:space="preserve"> </w:t>
      </w:r>
    </w:p>
    <w:p w14:paraId="7CAFA3CC" w14:textId="77777777" w:rsidR="00B8146E" w:rsidRDefault="00B8146E" w:rsidP="0074206C">
      <w:pPr>
        <w:numPr>
          <w:ilvl w:val="0"/>
          <w:numId w:val="2"/>
        </w:numPr>
        <w:ind w:left="360"/>
        <w:rPr>
          <w:rFonts w:cs="Arial"/>
          <w:szCs w:val="24"/>
        </w:rPr>
      </w:pPr>
      <w:r>
        <w:rPr>
          <w:rFonts w:cs="Arial"/>
          <w:szCs w:val="24"/>
        </w:rPr>
        <w:t>Medication Handling</w:t>
      </w:r>
    </w:p>
    <w:p w14:paraId="792BD599" w14:textId="2AF2CA75" w:rsidR="00B8146E" w:rsidRDefault="00B8146E" w:rsidP="00B8146E">
      <w:pPr>
        <w:rPr>
          <w:rFonts w:cs="Arial"/>
          <w:szCs w:val="24"/>
        </w:rPr>
      </w:pPr>
    </w:p>
    <w:p w14:paraId="3F4DB0F0" w14:textId="77777777" w:rsidR="00FE6614" w:rsidRPr="000A7335" w:rsidRDefault="00FE6614" w:rsidP="00B8146E">
      <w:pPr>
        <w:rPr>
          <w:rFonts w:cs="Arial"/>
          <w:szCs w:val="24"/>
        </w:rPr>
      </w:pPr>
    </w:p>
    <w:p w14:paraId="34A462B4" w14:textId="18438C4A" w:rsidR="00B8146E" w:rsidRPr="00FE6614" w:rsidRDefault="00B8146E" w:rsidP="00FE6614">
      <w:pPr>
        <w:rPr>
          <w:b/>
        </w:rPr>
      </w:pPr>
      <w:r w:rsidRPr="00201FB6">
        <w:rPr>
          <w:b/>
        </w:rPr>
        <w:t>Procedures</w:t>
      </w:r>
    </w:p>
    <w:p w14:paraId="216B552E" w14:textId="4C790DD0" w:rsidR="00B8146E" w:rsidRPr="001F2A9B" w:rsidRDefault="00FE6614" w:rsidP="0074206C">
      <w:pPr>
        <w:numPr>
          <w:ilvl w:val="0"/>
          <w:numId w:val="2"/>
        </w:numPr>
        <w:ind w:left="360"/>
        <w:rPr>
          <w:rFonts w:cs="Arial"/>
          <w:szCs w:val="24"/>
        </w:rPr>
      </w:pPr>
      <w:r>
        <w:rPr>
          <w:rFonts w:cs="Arial"/>
          <w:szCs w:val="24"/>
        </w:rPr>
        <w:t xml:space="preserve">Infection Prevention and Control - </w:t>
      </w:r>
      <w:r w:rsidR="00B8146E" w:rsidRPr="001F2A9B">
        <w:rPr>
          <w:rFonts w:cs="Arial"/>
          <w:szCs w:val="24"/>
        </w:rPr>
        <w:t xml:space="preserve">Healthcare Associated Infections </w:t>
      </w:r>
    </w:p>
    <w:p w14:paraId="2DAF8B9F" w14:textId="77777777" w:rsidR="00B8146E" w:rsidRDefault="00B8146E" w:rsidP="0074206C">
      <w:pPr>
        <w:pStyle w:val="ListParagraph"/>
        <w:numPr>
          <w:ilvl w:val="0"/>
          <w:numId w:val="2"/>
        </w:numPr>
        <w:ind w:left="360"/>
        <w:rPr>
          <w:rFonts w:cs="Arial"/>
          <w:szCs w:val="24"/>
        </w:rPr>
      </w:pPr>
      <w:r>
        <w:rPr>
          <w:rFonts w:cs="Arial"/>
          <w:szCs w:val="24"/>
        </w:rPr>
        <w:t xml:space="preserve">Peritoneal Dialysis </w:t>
      </w:r>
    </w:p>
    <w:p w14:paraId="428C184C" w14:textId="3C00D2E0" w:rsidR="00B8146E" w:rsidRDefault="00B8146E" w:rsidP="0074206C">
      <w:pPr>
        <w:pStyle w:val="ListParagraph"/>
        <w:numPr>
          <w:ilvl w:val="0"/>
          <w:numId w:val="2"/>
        </w:numPr>
        <w:ind w:left="360"/>
        <w:rPr>
          <w:rFonts w:cs="Arial"/>
          <w:szCs w:val="24"/>
        </w:rPr>
      </w:pPr>
      <w:r>
        <w:rPr>
          <w:rFonts w:cs="Arial"/>
          <w:szCs w:val="24"/>
        </w:rPr>
        <w:t xml:space="preserve">Haemodialysis </w:t>
      </w:r>
      <w:r w:rsidR="00BE701C">
        <w:rPr>
          <w:rFonts w:cs="Arial"/>
          <w:szCs w:val="24"/>
        </w:rPr>
        <w:t xml:space="preserve">and Plasma </w:t>
      </w:r>
      <w:proofErr w:type="spellStart"/>
      <w:r w:rsidR="00BE701C">
        <w:rPr>
          <w:rFonts w:cs="Arial"/>
          <w:szCs w:val="24"/>
        </w:rPr>
        <w:t>Echange</w:t>
      </w:r>
      <w:proofErr w:type="spellEnd"/>
      <w:r w:rsidR="00BE701C">
        <w:rPr>
          <w:rFonts w:cs="Arial"/>
          <w:szCs w:val="24"/>
        </w:rPr>
        <w:t xml:space="preserve"> for</w:t>
      </w:r>
      <w:r>
        <w:rPr>
          <w:rFonts w:cs="Arial"/>
          <w:szCs w:val="24"/>
        </w:rPr>
        <w:t xml:space="preserve"> Adults</w:t>
      </w:r>
    </w:p>
    <w:p w14:paraId="138CE4AB" w14:textId="77777777" w:rsidR="00B8146E" w:rsidRDefault="00B8146E" w:rsidP="0074206C">
      <w:pPr>
        <w:pStyle w:val="ListParagraph"/>
        <w:numPr>
          <w:ilvl w:val="0"/>
          <w:numId w:val="2"/>
        </w:numPr>
        <w:ind w:left="360"/>
        <w:rPr>
          <w:rFonts w:cs="Arial"/>
          <w:szCs w:val="24"/>
        </w:rPr>
      </w:pPr>
      <w:r>
        <w:rPr>
          <w:rFonts w:cs="Arial"/>
          <w:szCs w:val="24"/>
        </w:rPr>
        <w:t>Vital Signs and Early Warning Scores</w:t>
      </w:r>
    </w:p>
    <w:p w14:paraId="1F2D2B6C" w14:textId="06A6A209" w:rsidR="00B8146E" w:rsidRDefault="00B8146E" w:rsidP="0074206C">
      <w:pPr>
        <w:pStyle w:val="ListParagraph"/>
        <w:numPr>
          <w:ilvl w:val="0"/>
          <w:numId w:val="2"/>
        </w:numPr>
        <w:ind w:left="360"/>
        <w:rPr>
          <w:rFonts w:cs="Arial"/>
          <w:szCs w:val="24"/>
        </w:rPr>
      </w:pPr>
      <w:r>
        <w:rPr>
          <w:rFonts w:cs="Arial"/>
          <w:szCs w:val="24"/>
        </w:rPr>
        <w:t>University of Canberra Hospital (UCH) – Vital Signs and Early Warning Scores</w:t>
      </w:r>
    </w:p>
    <w:p w14:paraId="41A2F1C3" w14:textId="7B52D8A5" w:rsidR="00BE701C" w:rsidRDefault="00BE701C" w:rsidP="0074206C">
      <w:pPr>
        <w:pStyle w:val="ListParagraph"/>
        <w:numPr>
          <w:ilvl w:val="0"/>
          <w:numId w:val="2"/>
        </w:numPr>
        <w:ind w:left="360"/>
        <w:rPr>
          <w:rFonts w:cs="Arial"/>
          <w:szCs w:val="24"/>
        </w:rPr>
      </w:pPr>
      <w:r>
        <w:rPr>
          <w:rFonts w:cs="Arial"/>
          <w:szCs w:val="24"/>
        </w:rPr>
        <w:t>Patient Identification and Procedure Matching</w:t>
      </w:r>
    </w:p>
    <w:p w14:paraId="344E25B5" w14:textId="190FA5D4" w:rsidR="00BE701C" w:rsidRDefault="00BE701C" w:rsidP="0074206C">
      <w:pPr>
        <w:pStyle w:val="ListParagraph"/>
        <w:numPr>
          <w:ilvl w:val="0"/>
          <w:numId w:val="2"/>
        </w:numPr>
        <w:ind w:left="360"/>
        <w:rPr>
          <w:rFonts w:cs="Arial"/>
          <w:szCs w:val="24"/>
        </w:rPr>
      </w:pPr>
      <w:r>
        <w:rPr>
          <w:rFonts w:cs="Arial"/>
          <w:szCs w:val="24"/>
        </w:rPr>
        <w:t>Peripheral Intravenous Cannula Adults and Children (not neonates)</w:t>
      </w:r>
    </w:p>
    <w:p w14:paraId="08597DBA" w14:textId="34969594" w:rsidR="00BE701C" w:rsidRPr="000A7335" w:rsidRDefault="00BE701C" w:rsidP="0074206C">
      <w:pPr>
        <w:pStyle w:val="ListParagraph"/>
        <w:numPr>
          <w:ilvl w:val="0"/>
          <w:numId w:val="2"/>
        </w:numPr>
        <w:ind w:left="360"/>
        <w:rPr>
          <w:rFonts w:cs="Arial"/>
          <w:szCs w:val="24"/>
        </w:rPr>
      </w:pPr>
      <w:r>
        <w:rPr>
          <w:rFonts w:cs="Arial"/>
          <w:szCs w:val="24"/>
        </w:rPr>
        <w:t>Venous and Arterial Access Management in the Department of Neonatology</w:t>
      </w:r>
    </w:p>
    <w:p w14:paraId="22E783A9" w14:textId="77777777" w:rsidR="00B8146E" w:rsidRDefault="00B8146E" w:rsidP="00B8146E">
      <w:pPr>
        <w:rPr>
          <w:b/>
        </w:rPr>
      </w:pPr>
    </w:p>
    <w:p w14:paraId="26B2B16E" w14:textId="77777777" w:rsidR="00B8146E" w:rsidRDefault="00B8146E" w:rsidP="00B8146E">
      <w:pPr>
        <w:rPr>
          <w:b/>
        </w:rPr>
      </w:pPr>
      <w:r>
        <w:rPr>
          <w:b/>
        </w:rPr>
        <w:t>Guidelines</w:t>
      </w:r>
    </w:p>
    <w:p w14:paraId="304D83EE" w14:textId="5C7090C9" w:rsidR="00B8146E" w:rsidRPr="00BE3427" w:rsidRDefault="00B8146E" w:rsidP="0074206C">
      <w:pPr>
        <w:pStyle w:val="ListParagraph"/>
        <w:numPr>
          <w:ilvl w:val="0"/>
          <w:numId w:val="20"/>
        </w:numPr>
        <w:rPr>
          <w:bCs/>
        </w:rPr>
      </w:pPr>
      <w:r>
        <w:rPr>
          <w:bCs/>
        </w:rPr>
        <w:t xml:space="preserve">Intermittent Haemodialysis </w:t>
      </w:r>
    </w:p>
    <w:p w14:paraId="28CB196E" w14:textId="2F212274" w:rsidR="00B8146E" w:rsidRPr="00BE3427" w:rsidRDefault="00BE701C" w:rsidP="0074206C">
      <w:pPr>
        <w:pStyle w:val="ListParagraph"/>
        <w:numPr>
          <w:ilvl w:val="0"/>
          <w:numId w:val="20"/>
        </w:numPr>
        <w:rPr>
          <w:b/>
        </w:rPr>
      </w:pPr>
      <w:r>
        <w:rPr>
          <w:bCs/>
        </w:rPr>
        <w:t xml:space="preserve">Renal Vascular </w:t>
      </w:r>
      <w:r w:rsidR="00B8146E">
        <w:rPr>
          <w:bCs/>
        </w:rPr>
        <w:t xml:space="preserve">Access for Renal Replacement Therapy </w:t>
      </w:r>
      <w:r>
        <w:rPr>
          <w:bCs/>
        </w:rPr>
        <w:t>in Adults</w:t>
      </w:r>
    </w:p>
    <w:p w14:paraId="6B077E10" w14:textId="77777777" w:rsidR="00B8146E" w:rsidRPr="00697167" w:rsidRDefault="00B8146E" w:rsidP="00B8146E">
      <w:pPr>
        <w:rPr>
          <w:b/>
        </w:rPr>
      </w:pPr>
    </w:p>
    <w:p w14:paraId="197C170A" w14:textId="77777777" w:rsidR="00B8146E" w:rsidRPr="00201FB6" w:rsidRDefault="00B8146E" w:rsidP="00B8146E">
      <w:pPr>
        <w:rPr>
          <w:b/>
        </w:rPr>
      </w:pPr>
      <w:r w:rsidRPr="00201FB6">
        <w:rPr>
          <w:b/>
        </w:rPr>
        <w:t>Legislation</w:t>
      </w:r>
    </w:p>
    <w:p w14:paraId="488C8B69" w14:textId="77777777" w:rsidR="00B8146E" w:rsidRPr="000A7335" w:rsidRDefault="00B8146E" w:rsidP="0074206C">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52CD1E80" w14:textId="77777777" w:rsidR="00B8146E" w:rsidRPr="000A7335" w:rsidRDefault="00B8146E" w:rsidP="0074206C">
      <w:pPr>
        <w:numPr>
          <w:ilvl w:val="0"/>
          <w:numId w:val="2"/>
        </w:numPr>
        <w:ind w:left="360"/>
        <w:rPr>
          <w:rFonts w:cs="Arial"/>
          <w:szCs w:val="24"/>
        </w:rPr>
      </w:pPr>
      <w:r w:rsidRPr="001F2A9B">
        <w:rPr>
          <w:rFonts w:cs="Arial"/>
          <w:i/>
          <w:szCs w:val="24"/>
        </w:rPr>
        <w:t>Human Rights Act</w:t>
      </w:r>
      <w:r w:rsidRPr="000A7335">
        <w:rPr>
          <w:rFonts w:cs="Arial"/>
          <w:szCs w:val="24"/>
        </w:rPr>
        <w:t xml:space="preserve"> 2004</w:t>
      </w:r>
    </w:p>
    <w:p w14:paraId="2217E8CC" w14:textId="77777777" w:rsidR="00B8146E" w:rsidRDefault="00B8146E" w:rsidP="0074206C">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2011</w:t>
      </w:r>
    </w:p>
    <w:p w14:paraId="0A4A9ADA" w14:textId="77777777" w:rsidR="00B8146E" w:rsidRPr="00C4124B" w:rsidRDefault="00B8146E" w:rsidP="0074206C">
      <w:pPr>
        <w:numPr>
          <w:ilvl w:val="0"/>
          <w:numId w:val="2"/>
        </w:numPr>
        <w:ind w:left="360"/>
        <w:rPr>
          <w:rFonts w:cs="Arial"/>
          <w:szCs w:val="24"/>
        </w:rPr>
      </w:pPr>
      <w:r>
        <w:rPr>
          <w:rFonts w:cs="Arial"/>
          <w:i/>
          <w:szCs w:val="24"/>
        </w:rPr>
        <w:t>Medicines, Poisons and Therapeutic Goods Act</w:t>
      </w:r>
      <w:r>
        <w:rPr>
          <w:rFonts w:cs="Arial"/>
          <w:iCs/>
          <w:szCs w:val="24"/>
        </w:rPr>
        <w:t xml:space="preserve"> 2008</w:t>
      </w:r>
    </w:p>
    <w:p w14:paraId="6B234E45" w14:textId="25339682" w:rsidR="00B8146E" w:rsidRPr="00BE701C" w:rsidRDefault="00B8146E" w:rsidP="0074206C">
      <w:pPr>
        <w:numPr>
          <w:ilvl w:val="0"/>
          <w:numId w:val="2"/>
        </w:numPr>
        <w:ind w:left="360"/>
        <w:rPr>
          <w:rFonts w:cs="Arial"/>
          <w:szCs w:val="24"/>
        </w:rPr>
      </w:pPr>
      <w:r>
        <w:rPr>
          <w:rFonts w:cs="Arial"/>
          <w:i/>
          <w:szCs w:val="24"/>
        </w:rPr>
        <w:t xml:space="preserve">Medicines, Poisons and Therapeutic Goods Regulation </w:t>
      </w:r>
      <w:r>
        <w:rPr>
          <w:rFonts w:cs="Arial"/>
          <w:iCs/>
          <w:szCs w:val="24"/>
        </w:rPr>
        <w:t>2008</w:t>
      </w:r>
    </w:p>
    <w:p w14:paraId="4721AEF3" w14:textId="7241832E" w:rsidR="00BE701C" w:rsidRDefault="00BE701C" w:rsidP="00BE701C">
      <w:pPr>
        <w:rPr>
          <w:rFonts w:cs="Arial"/>
          <w:szCs w:val="24"/>
        </w:rPr>
      </w:pPr>
    </w:p>
    <w:p w14:paraId="565272EC" w14:textId="0DCD7279" w:rsidR="00BE701C" w:rsidRDefault="00BE701C" w:rsidP="00BE701C">
      <w:pPr>
        <w:rPr>
          <w:rFonts w:cs="Arial"/>
          <w:b/>
          <w:bCs/>
          <w:szCs w:val="24"/>
        </w:rPr>
      </w:pPr>
      <w:r>
        <w:rPr>
          <w:rFonts w:cs="Arial"/>
          <w:b/>
          <w:bCs/>
          <w:szCs w:val="24"/>
        </w:rPr>
        <w:t>Other</w:t>
      </w:r>
    </w:p>
    <w:p w14:paraId="1DAD3EFC" w14:textId="4C8DE9E5" w:rsidR="00BE701C" w:rsidRPr="00BE701C" w:rsidRDefault="00BE701C" w:rsidP="00BE701C">
      <w:pPr>
        <w:pStyle w:val="ListBullet"/>
      </w:pPr>
      <w:r>
        <w:t>Australian Charter in Healthcare Rights</w:t>
      </w:r>
    </w:p>
    <w:p w14:paraId="2F51A8C9" w14:textId="77777777" w:rsidR="007B6904" w:rsidRPr="00FF56DD" w:rsidRDefault="007B6904" w:rsidP="007B6904">
      <w:pPr>
        <w:ind w:left="720"/>
        <w:rPr>
          <w:rFonts w:cs="Arial"/>
          <w:i/>
          <w:szCs w:val="24"/>
        </w:rPr>
      </w:pPr>
    </w:p>
    <w:p w14:paraId="2F51A8CA" w14:textId="77777777" w:rsidR="007B6904" w:rsidRDefault="009B36AD"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5B71F20B" w:rsidR="007B6904" w:rsidRPr="00CD1C0E" w:rsidRDefault="007B6904" w:rsidP="004213C3">
            <w:pPr>
              <w:pStyle w:val="Heading1"/>
            </w:pPr>
            <w:bookmarkStart w:id="36" w:name="_Toc389473288"/>
            <w:bookmarkStart w:id="37" w:name="_Toc43903673"/>
            <w:bookmarkStart w:id="38" w:name="_Toc84588319"/>
            <w:r>
              <w:t>References</w:t>
            </w:r>
            <w:bookmarkEnd w:id="36"/>
            <w:bookmarkEnd w:id="37"/>
            <w:bookmarkEnd w:id="38"/>
          </w:p>
        </w:tc>
      </w:tr>
    </w:tbl>
    <w:p w14:paraId="2F51A8CD" w14:textId="77777777" w:rsidR="007B6904" w:rsidRPr="00DE4E25" w:rsidRDefault="007B6904" w:rsidP="007B6904">
      <w:pPr>
        <w:rPr>
          <w:rFonts w:asciiTheme="majorHAnsi" w:hAnsiTheme="majorHAnsi" w:cstheme="majorHAnsi"/>
          <w:szCs w:val="24"/>
        </w:rPr>
      </w:pPr>
      <w:bookmarkStart w:id="39" w:name="_Toc389131245"/>
    </w:p>
    <w:bookmarkEnd w:id="39"/>
    <w:p w14:paraId="0F0DD198" w14:textId="77777777" w:rsidR="00680489" w:rsidRPr="00F41793" w:rsidRDefault="00680489" w:rsidP="0074206C">
      <w:pPr>
        <w:pStyle w:val="ListParagraph"/>
        <w:numPr>
          <w:ilvl w:val="0"/>
          <w:numId w:val="21"/>
        </w:numPr>
        <w:rPr>
          <w:rFonts w:asciiTheme="minorHAnsi" w:hAnsiTheme="minorHAnsi" w:cstheme="minorHAnsi"/>
          <w:szCs w:val="24"/>
        </w:rPr>
      </w:pPr>
      <w:r w:rsidRPr="00F41793">
        <w:rPr>
          <w:rFonts w:asciiTheme="minorHAnsi" w:hAnsiTheme="minorHAnsi" w:cstheme="minorHAnsi"/>
          <w:szCs w:val="24"/>
        </w:rPr>
        <w:t xml:space="preserve">Canning M, </w:t>
      </w:r>
      <w:proofErr w:type="spellStart"/>
      <w:r w:rsidRPr="00F41793">
        <w:rPr>
          <w:rFonts w:asciiTheme="minorHAnsi" w:hAnsiTheme="minorHAnsi" w:cstheme="minorHAnsi"/>
          <w:szCs w:val="24"/>
        </w:rPr>
        <w:t>Grannell</w:t>
      </w:r>
      <w:proofErr w:type="spellEnd"/>
      <w:r w:rsidRPr="00F41793">
        <w:rPr>
          <w:rFonts w:asciiTheme="minorHAnsi" w:hAnsiTheme="minorHAnsi" w:cstheme="minorHAnsi"/>
          <w:szCs w:val="24"/>
        </w:rPr>
        <w:t xml:space="preserve"> L. A stain on iron therapy. Aust </w:t>
      </w:r>
      <w:proofErr w:type="spellStart"/>
      <w:r w:rsidRPr="00F41793">
        <w:rPr>
          <w:rFonts w:asciiTheme="minorHAnsi" w:hAnsiTheme="minorHAnsi" w:cstheme="minorHAnsi"/>
          <w:szCs w:val="24"/>
        </w:rPr>
        <w:t>Prescr</w:t>
      </w:r>
      <w:proofErr w:type="spellEnd"/>
      <w:r w:rsidRPr="00F41793">
        <w:rPr>
          <w:rFonts w:asciiTheme="minorHAnsi" w:hAnsiTheme="minorHAnsi" w:cstheme="minorHAnsi"/>
          <w:szCs w:val="24"/>
        </w:rPr>
        <w:t xml:space="preserve"> 2020;43:160-3. Available from </w:t>
      </w:r>
      <w:r w:rsidRPr="00F41793">
        <w:rPr>
          <w:szCs w:val="24"/>
        </w:rPr>
        <w:t>DOI: 10.18773/austprescr.2020.051</w:t>
      </w:r>
    </w:p>
    <w:p w14:paraId="202E751C" w14:textId="77777777" w:rsidR="00680489" w:rsidRPr="00491DC1" w:rsidRDefault="00680489" w:rsidP="0074206C">
      <w:pPr>
        <w:pStyle w:val="ListParagraph"/>
        <w:numPr>
          <w:ilvl w:val="0"/>
          <w:numId w:val="21"/>
        </w:numPr>
        <w:autoSpaceDE w:val="0"/>
        <w:autoSpaceDN w:val="0"/>
        <w:rPr>
          <w:sz w:val="22"/>
        </w:rPr>
      </w:pPr>
      <w:proofErr w:type="spellStart"/>
      <w:r w:rsidRPr="00B178A5">
        <w:rPr>
          <w:rFonts w:asciiTheme="minorHAnsi" w:hAnsiTheme="minorHAnsi" w:cstheme="minorHAnsi"/>
          <w:szCs w:val="24"/>
        </w:rPr>
        <w:t>Ferrosig</w:t>
      </w:r>
      <w:proofErr w:type="spellEnd"/>
      <w:r w:rsidRPr="00B178A5">
        <w:rPr>
          <w:rFonts w:asciiTheme="minorHAnsi" w:hAnsiTheme="minorHAnsi" w:cstheme="minorHAnsi"/>
          <w:szCs w:val="24"/>
        </w:rPr>
        <w:t xml:space="preserve"> (Iron Polymaltose Injection Product Information: Sigma Pharmaceutical (Australia) Pty Ltd.  Available at MIMS Online.</w:t>
      </w:r>
    </w:p>
    <w:p w14:paraId="314F7230" w14:textId="77777777" w:rsidR="00680489" w:rsidRPr="00491DC1" w:rsidRDefault="00680489" w:rsidP="0074206C">
      <w:pPr>
        <w:pStyle w:val="ListParagraph"/>
        <w:numPr>
          <w:ilvl w:val="0"/>
          <w:numId w:val="21"/>
        </w:numPr>
        <w:autoSpaceDE w:val="0"/>
        <w:autoSpaceDN w:val="0"/>
        <w:rPr>
          <w:sz w:val="22"/>
        </w:rPr>
      </w:pPr>
      <w:proofErr w:type="spellStart"/>
      <w:r>
        <w:t>Ermer</w:t>
      </w:r>
      <w:proofErr w:type="spellEnd"/>
      <w:r>
        <w:t xml:space="preserve"> J &amp; Symons K (ed). Australian Injectable Drug Handbook Eight Edition. Content last updated 31/8/21. </w:t>
      </w:r>
      <w:r w:rsidRPr="00491DC1">
        <w:t>The Society of Hospital Pharmacists of Australia</w:t>
      </w:r>
      <w:r>
        <w:t xml:space="preserve">, 2020.  </w:t>
      </w:r>
    </w:p>
    <w:p w14:paraId="4FDC6C0F"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Newnham, E., Ahmad, I., Thornton, A., and Gibson, P.R. (2006) ‘Safety of iron polymaltose given as a total dose iron infusion’.  Internal Medicine Journal.  36: 672-674.</w:t>
      </w:r>
    </w:p>
    <w:p w14:paraId="562A665F"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NSW Therapeutic Advisory Group (2008) ‘Iron Polymaltose Infusions Discussion Paper’.  New South Wales Therapeutic Advisory Group Inc.</w:t>
      </w:r>
    </w:p>
    <w:p w14:paraId="33A62C12"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Iron Polymaltose Compound Infusion (20</w:t>
      </w:r>
      <w:r>
        <w:rPr>
          <w:rFonts w:asciiTheme="minorHAnsi" w:hAnsiTheme="minorHAnsi" w:cstheme="minorHAnsi"/>
          <w:szCs w:val="24"/>
        </w:rPr>
        <w:t>10</w:t>
      </w:r>
      <w:r w:rsidRPr="00E76F72">
        <w:rPr>
          <w:rFonts w:asciiTheme="minorHAnsi" w:hAnsiTheme="minorHAnsi" w:cstheme="minorHAnsi"/>
          <w:szCs w:val="24"/>
        </w:rPr>
        <w:t xml:space="preserve">) </w:t>
      </w:r>
      <w:r>
        <w:rPr>
          <w:rFonts w:asciiTheme="minorHAnsi" w:hAnsiTheme="minorHAnsi" w:cstheme="minorHAnsi"/>
          <w:szCs w:val="24"/>
        </w:rPr>
        <w:t>Ballarat</w:t>
      </w:r>
      <w:r w:rsidRPr="00E76F72">
        <w:rPr>
          <w:rFonts w:asciiTheme="minorHAnsi" w:hAnsiTheme="minorHAnsi" w:cstheme="minorHAnsi"/>
          <w:szCs w:val="24"/>
        </w:rPr>
        <w:t xml:space="preserve"> Health Services.</w:t>
      </w:r>
    </w:p>
    <w:p w14:paraId="08F5750D"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Drug Protocol: Iron polymaltose infusion (2007) Sydney West Area Health Service.</w:t>
      </w:r>
    </w:p>
    <w:p w14:paraId="4B982447"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Iron Infusion (Iron Polymaltose) Guideline (2007) North Coast Area Health Service.</w:t>
      </w:r>
    </w:p>
    <w:p w14:paraId="26B4863F" w14:textId="77777777" w:rsidR="00680489" w:rsidRPr="00E76F72" w:rsidRDefault="00680489" w:rsidP="0074206C">
      <w:pPr>
        <w:pStyle w:val="ListParagraph"/>
        <w:numPr>
          <w:ilvl w:val="0"/>
          <w:numId w:val="21"/>
        </w:numPr>
        <w:rPr>
          <w:rFonts w:asciiTheme="minorHAnsi" w:hAnsiTheme="minorHAnsi" w:cstheme="minorHAnsi"/>
          <w:szCs w:val="24"/>
        </w:rPr>
      </w:pPr>
      <w:proofErr w:type="spellStart"/>
      <w:r w:rsidRPr="00E76F72">
        <w:rPr>
          <w:rFonts w:asciiTheme="minorHAnsi" w:hAnsiTheme="minorHAnsi" w:cstheme="minorHAnsi"/>
          <w:szCs w:val="24"/>
        </w:rPr>
        <w:t>Venofer</w:t>
      </w:r>
      <w:proofErr w:type="spellEnd"/>
      <w:r w:rsidRPr="00E76F72">
        <w:rPr>
          <w:rFonts w:asciiTheme="minorHAnsi" w:hAnsiTheme="minorHAnsi" w:cstheme="minorHAnsi"/>
          <w:szCs w:val="24"/>
        </w:rPr>
        <w:t xml:space="preserve"> (Iron Sucrose) Injection Product Information: Sigma Pharmaceutical (Australia) Pty Ltd.  Available at MIMS Online.</w:t>
      </w:r>
    </w:p>
    <w:p w14:paraId="768ED92E" w14:textId="77777777" w:rsidR="00680489" w:rsidRPr="00E76F72" w:rsidRDefault="00680489" w:rsidP="0074206C">
      <w:pPr>
        <w:pStyle w:val="ListParagraph"/>
        <w:numPr>
          <w:ilvl w:val="0"/>
          <w:numId w:val="21"/>
        </w:numPr>
        <w:rPr>
          <w:rFonts w:asciiTheme="minorHAnsi" w:hAnsiTheme="minorHAnsi" w:cstheme="minorHAnsi"/>
          <w:szCs w:val="24"/>
        </w:rPr>
      </w:pPr>
      <w:proofErr w:type="spellStart"/>
      <w:r w:rsidRPr="00E76F72">
        <w:rPr>
          <w:rFonts w:asciiTheme="minorHAnsi" w:hAnsiTheme="minorHAnsi" w:cstheme="minorHAnsi"/>
          <w:szCs w:val="24"/>
        </w:rPr>
        <w:lastRenderedPageBreak/>
        <w:t>Venofer</w:t>
      </w:r>
      <w:proofErr w:type="spellEnd"/>
      <w:r w:rsidRPr="00E76F72">
        <w:rPr>
          <w:rFonts w:asciiTheme="minorHAnsi" w:hAnsiTheme="minorHAnsi" w:cstheme="minorHAnsi"/>
          <w:szCs w:val="24"/>
        </w:rPr>
        <w:t xml:space="preserve"> Practice Guidelines. Drug Information Unit Westmead Hospital Pharmacy Department, Sydney.</w:t>
      </w:r>
    </w:p>
    <w:p w14:paraId="612E9FB0" w14:textId="77777777" w:rsidR="00680489" w:rsidRPr="00E76F72"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Policies and procedures: Iron Sucrose (</w:t>
      </w:r>
      <w:proofErr w:type="spellStart"/>
      <w:r w:rsidRPr="00E76F72">
        <w:rPr>
          <w:rFonts w:asciiTheme="minorHAnsi" w:hAnsiTheme="minorHAnsi" w:cstheme="minorHAnsi"/>
          <w:szCs w:val="24"/>
        </w:rPr>
        <w:t>Venofer</w:t>
      </w:r>
      <w:proofErr w:type="spellEnd"/>
      <w:r w:rsidRPr="00E76F72">
        <w:rPr>
          <w:rFonts w:asciiTheme="minorHAnsi" w:hAnsiTheme="minorHAnsi" w:cstheme="minorHAnsi"/>
          <w:szCs w:val="24"/>
        </w:rPr>
        <w:t>) (2002) Royal Melbourne Hospital.</w:t>
      </w:r>
    </w:p>
    <w:p w14:paraId="54B10505" w14:textId="77777777" w:rsidR="00680489" w:rsidRPr="00E76F72" w:rsidRDefault="00680489" w:rsidP="0074206C">
      <w:pPr>
        <w:pStyle w:val="ListParagraph"/>
        <w:numPr>
          <w:ilvl w:val="0"/>
          <w:numId w:val="21"/>
        </w:numPr>
        <w:rPr>
          <w:rFonts w:asciiTheme="minorHAnsi" w:hAnsiTheme="minorHAnsi" w:cstheme="minorHAnsi"/>
          <w:szCs w:val="24"/>
        </w:rPr>
      </w:pPr>
      <w:proofErr w:type="spellStart"/>
      <w:r w:rsidRPr="00E76F72">
        <w:rPr>
          <w:rFonts w:asciiTheme="minorHAnsi" w:hAnsiTheme="minorHAnsi" w:cstheme="minorHAnsi"/>
          <w:szCs w:val="24"/>
        </w:rPr>
        <w:t>DrugDex</w:t>
      </w:r>
      <w:proofErr w:type="spellEnd"/>
      <w:r w:rsidRPr="00E76F72">
        <w:rPr>
          <w:rFonts w:asciiTheme="minorHAnsi" w:hAnsiTheme="minorHAnsi" w:cstheme="minorHAnsi"/>
          <w:szCs w:val="24"/>
        </w:rPr>
        <w:t xml:space="preserve"> Evaluation: Iron. (20</w:t>
      </w:r>
      <w:r>
        <w:rPr>
          <w:rFonts w:asciiTheme="minorHAnsi" w:hAnsiTheme="minorHAnsi" w:cstheme="minorHAnsi"/>
          <w:szCs w:val="24"/>
        </w:rPr>
        <w:t>18</w:t>
      </w:r>
      <w:r w:rsidRPr="00E76F72">
        <w:rPr>
          <w:rFonts w:asciiTheme="minorHAnsi" w:hAnsiTheme="minorHAnsi" w:cstheme="minorHAnsi"/>
          <w:szCs w:val="24"/>
        </w:rPr>
        <w:t>). Available at Micromedex Online.</w:t>
      </w:r>
    </w:p>
    <w:p w14:paraId="261A61BE" w14:textId="77777777" w:rsidR="00680489" w:rsidRDefault="00680489" w:rsidP="0074206C">
      <w:pPr>
        <w:pStyle w:val="ListParagraph"/>
        <w:numPr>
          <w:ilvl w:val="0"/>
          <w:numId w:val="21"/>
        </w:numPr>
        <w:rPr>
          <w:rFonts w:asciiTheme="minorHAnsi" w:hAnsiTheme="minorHAnsi" w:cstheme="minorHAnsi"/>
          <w:szCs w:val="24"/>
        </w:rPr>
      </w:pPr>
      <w:r w:rsidRPr="00E76F72">
        <w:rPr>
          <w:rFonts w:asciiTheme="minorHAnsi" w:hAnsiTheme="minorHAnsi" w:cstheme="minorHAnsi"/>
          <w:szCs w:val="24"/>
        </w:rPr>
        <w:t>Iron Sucrose: Drug Information (20</w:t>
      </w:r>
      <w:r>
        <w:rPr>
          <w:rFonts w:asciiTheme="minorHAnsi" w:hAnsiTheme="minorHAnsi" w:cstheme="minorHAnsi"/>
          <w:szCs w:val="24"/>
        </w:rPr>
        <w:t>18</w:t>
      </w:r>
      <w:r w:rsidRPr="00E76F72">
        <w:rPr>
          <w:rFonts w:asciiTheme="minorHAnsi" w:hAnsiTheme="minorHAnsi" w:cstheme="minorHAnsi"/>
          <w:szCs w:val="24"/>
        </w:rPr>
        <w:t>).  Available at UpToDate Online.</w:t>
      </w:r>
    </w:p>
    <w:p w14:paraId="5D247017" w14:textId="77777777" w:rsidR="00680489" w:rsidRDefault="00680489" w:rsidP="0074206C">
      <w:pPr>
        <w:pStyle w:val="ListParagraph"/>
        <w:numPr>
          <w:ilvl w:val="0"/>
          <w:numId w:val="21"/>
        </w:numPr>
        <w:rPr>
          <w:rFonts w:asciiTheme="minorHAnsi" w:hAnsiTheme="minorHAnsi" w:cstheme="minorHAnsi"/>
          <w:szCs w:val="24"/>
        </w:rPr>
      </w:pPr>
      <w:proofErr w:type="spellStart"/>
      <w:r>
        <w:rPr>
          <w:rFonts w:asciiTheme="minorHAnsi" w:hAnsiTheme="minorHAnsi" w:cstheme="minorHAnsi"/>
          <w:szCs w:val="24"/>
        </w:rPr>
        <w:t>Evstatiev</w:t>
      </w:r>
      <w:proofErr w:type="spellEnd"/>
      <w:r>
        <w:rPr>
          <w:rFonts w:asciiTheme="minorHAnsi" w:hAnsiTheme="minorHAnsi" w:cstheme="minorHAnsi"/>
          <w:szCs w:val="24"/>
        </w:rPr>
        <w:t xml:space="preserve">, R, Marteau, P, Iqbal, T, Khalif, I, Stein, J et.al (2011) </w:t>
      </w:r>
      <w:proofErr w:type="spellStart"/>
      <w:r>
        <w:rPr>
          <w:rFonts w:asciiTheme="minorHAnsi" w:hAnsiTheme="minorHAnsi" w:cstheme="minorHAnsi"/>
          <w:szCs w:val="24"/>
        </w:rPr>
        <w:t>FERGIcor</w:t>
      </w:r>
      <w:proofErr w:type="spellEnd"/>
      <w:r>
        <w:rPr>
          <w:rFonts w:asciiTheme="minorHAnsi" w:hAnsiTheme="minorHAnsi" w:cstheme="minorHAnsi"/>
          <w:szCs w:val="24"/>
        </w:rPr>
        <w:t xml:space="preserve">, a randomized controlled trial on ferric </w:t>
      </w:r>
      <w:proofErr w:type="spellStart"/>
      <w:r>
        <w:rPr>
          <w:rFonts w:asciiTheme="minorHAnsi" w:hAnsiTheme="minorHAnsi" w:cstheme="minorHAnsi"/>
          <w:szCs w:val="24"/>
        </w:rPr>
        <w:t>carboxymaltose</w:t>
      </w:r>
      <w:proofErr w:type="spellEnd"/>
      <w:r>
        <w:rPr>
          <w:rFonts w:asciiTheme="minorHAnsi" w:hAnsiTheme="minorHAnsi" w:cstheme="minorHAnsi"/>
          <w:szCs w:val="24"/>
        </w:rPr>
        <w:t xml:space="preserve"> for iron deficiency anaemia in inflammatory bowel disease. Gastroenterology, 141:846-853.</w:t>
      </w:r>
    </w:p>
    <w:p w14:paraId="59ED19CA" w14:textId="77777777" w:rsidR="00680489" w:rsidRPr="00491DC1" w:rsidRDefault="00680489" w:rsidP="0074206C">
      <w:pPr>
        <w:pStyle w:val="ListParagraph"/>
        <w:numPr>
          <w:ilvl w:val="0"/>
          <w:numId w:val="21"/>
        </w:numPr>
        <w:autoSpaceDE w:val="0"/>
        <w:autoSpaceDN w:val="0"/>
        <w:rPr>
          <w:sz w:val="22"/>
        </w:rPr>
      </w:pPr>
      <w:proofErr w:type="spellStart"/>
      <w:r>
        <w:rPr>
          <w:rFonts w:asciiTheme="minorHAnsi" w:hAnsiTheme="minorHAnsi" w:cstheme="minorHAnsi"/>
          <w:szCs w:val="24"/>
        </w:rPr>
        <w:t>Ferinject</w:t>
      </w:r>
      <w:proofErr w:type="spellEnd"/>
      <w:r w:rsidRPr="00B178A5">
        <w:rPr>
          <w:rFonts w:asciiTheme="minorHAnsi" w:hAnsiTheme="minorHAnsi" w:cstheme="minorHAnsi"/>
          <w:szCs w:val="24"/>
        </w:rPr>
        <w:t xml:space="preserve"> (Iron </w:t>
      </w:r>
      <w:proofErr w:type="spellStart"/>
      <w:r>
        <w:rPr>
          <w:rFonts w:asciiTheme="minorHAnsi" w:hAnsiTheme="minorHAnsi" w:cstheme="minorHAnsi"/>
          <w:szCs w:val="24"/>
        </w:rPr>
        <w:t>Carboxymaltose</w:t>
      </w:r>
      <w:proofErr w:type="spellEnd"/>
      <w:r w:rsidRPr="00B178A5">
        <w:rPr>
          <w:rFonts w:asciiTheme="minorHAnsi" w:hAnsiTheme="minorHAnsi" w:cstheme="minorHAnsi"/>
          <w:szCs w:val="24"/>
        </w:rPr>
        <w:t xml:space="preserve"> Injection Product Information: </w:t>
      </w:r>
      <w:proofErr w:type="spellStart"/>
      <w:r>
        <w:rPr>
          <w:rFonts w:asciiTheme="minorHAnsi" w:hAnsiTheme="minorHAnsi" w:cstheme="minorHAnsi"/>
          <w:szCs w:val="24"/>
        </w:rPr>
        <w:t>Vifor</w:t>
      </w:r>
      <w:proofErr w:type="spellEnd"/>
      <w:r>
        <w:rPr>
          <w:rFonts w:asciiTheme="minorHAnsi" w:hAnsiTheme="minorHAnsi" w:cstheme="minorHAnsi"/>
          <w:szCs w:val="24"/>
        </w:rPr>
        <w:t xml:space="preserve"> Pharma Pty Ltd</w:t>
      </w:r>
      <w:r w:rsidRPr="00B178A5">
        <w:rPr>
          <w:rFonts w:asciiTheme="minorHAnsi" w:hAnsiTheme="minorHAnsi" w:cstheme="minorHAnsi"/>
          <w:szCs w:val="24"/>
        </w:rPr>
        <w:t xml:space="preserve"> (Australia) Pty Ltd.  Available at MIMS Online.</w:t>
      </w:r>
    </w:p>
    <w:p w14:paraId="780348C0" w14:textId="77777777" w:rsidR="00680489" w:rsidRDefault="00680489" w:rsidP="0074206C">
      <w:pPr>
        <w:pStyle w:val="ListParagraph"/>
        <w:numPr>
          <w:ilvl w:val="0"/>
          <w:numId w:val="21"/>
        </w:numPr>
        <w:rPr>
          <w:rFonts w:asciiTheme="minorHAnsi" w:hAnsiTheme="minorHAnsi" w:cstheme="minorHAnsi"/>
          <w:szCs w:val="24"/>
        </w:rPr>
      </w:pPr>
      <w:r>
        <w:rPr>
          <w:rFonts w:asciiTheme="minorHAnsi" w:hAnsiTheme="minorHAnsi" w:cstheme="minorHAnsi"/>
          <w:szCs w:val="24"/>
        </w:rPr>
        <w:t>Iron; Dosing/Administration Iron Sucrose. Micromedex (2021) Available at IBM Micromedex.</w:t>
      </w:r>
    </w:p>
    <w:p w14:paraId="310ADCF2" w14:textId="49A14D47" w:rsidR="00680489" w:rsidRDefault="00680489" w:rsidP="0074206C">
      <w:pPr>
        <w:pStyle w:val="ListParagraph"/>
        <w:numPr>
          <w:ilvl w:val="0"/>
          <w:numId w:val="21"/>
        </w:numPr>
        <w:rPr>
          <w:rFonts w:asciiTheme="minorHAnsi" w:hAnsiTheme="minorHAnsi" w:cstheme="minorHAnsi"/>
          <w:szCs w:val="24"/>
        </w:rPr>
      </w:pPr>
      <w:r>
        <w:rPr>
          <w:rFonts w:asciiTheme="minorHAnsi" w:hAnsiTheme="minorHAnsi" w:cstheme="minorHAnsi"/>
          <w:szCs w:val="24"/>
        </w:rPr>
        <w:t>Drug Guideline, Parenteral Iron Infusion (2010). Alfred Health.</w:t>
      </w:r>
    </w:p>
    <w:p w14:paraId="4C1E69AB" w14:textId="77777777" w:rsidR="009B36AD" w:rsidRDefault="009B36AD" w:rsidP="009B36AD">
      <w:pPr>
        <w:pStyle w:val="ListParagraph"/>
        <w:ind w:left="360"/>
        <w:rPr>
          <w:rFonts w:asciiTheme="minorHAnsi" w:hAnsiTheme="minorHAnsi" w:cstheme="minorHAnsi"/>
          <w:szCs w:val="24"/>
        </w:rPr>
      </w:pPr>
    </w:p>
    <w:p w14:paraId="2F51A8DB" w14:textId="77777777" w:rsidR="00FF56DD" w:rsidRDefault="009B36AD"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06571A31" w:rsidR="007B6904" w:rsidRPr="00CD1C0E" w:rsidRDefault="007B6904" w:rsidP="004213C3">
            <w:pPr>
              <w:pStyle w:val="Heading1"/>
            </w:pPr>
            <w:bookmarkStart w:id="40" w:name="_Toc389473290"/>
            <w:bookmarkStart w:id="41" w:name="_Toc43903675"/>
            <w:bookmarkStart w:id="42" w:name="_Toc84588320"/>
            <w:r>
              <w:t>Search Terms</w:t>
            </w:r>
            <w:bookmarkEnd w:id="40"/>
            <w:bookmarkEnd w:id="41"/>
            <w:bookmarkEnd w:id="42"/>
            <w:r>
              <w:t xml:space="preserve"> </w:t>
            </w:r>
          </w:p>
        </w:tc>
      </w:tr>
    </w:tbl>
    <w:p w14:paraId="2F51A8DE" w14:textId="77777777" w:rsidR="007B6904" w:rsidRDefault="007B6904" w:rsidP="007B6904">
      <w:pPr>
        <w:rPr>
          <w:rFonts w:cs="Calibri,Bold"/>
          <w:bCs/>
          <w:i/>
          <w:szCs w:val="24"/>
          <w:lang w:eastAsia="en-AU"/>
        </w:rPr>
      </w:pPr>
    </w:p>
    <w:p w14:paraId="52184600" w14:textId="77792671" w:rsidR="00B8146E" w:rsidRPr="00E76F72" w:rsidRDefault="00B8146E" w:rsidP="00B8146E">
      <w:pPr>
        <w:rPr>
          <w:rFonts w:cs="Calibri,Bold"/>
          <w:bCs/>
          <w:szCs w:val="24"/>
          <w:lang w:eastAsia="en-AU"/>
        </w:rPr>
      </w:pPr>
      <w:r>
        <w:rPr>
          <w:rFonts w:cs="Calibri,Bold"/>
          <w:bCs/>
          <w:szCs w:val="24"/>
          <w:lang w:eastAsia="en-AU"/>
        </w:rPr>
        <w:t xml:space="preserve">Iron, </w:t>
      </w:r>
      <w:r w:rsidR="00870E8B">
        <w:rPr>
          <w:rFonts w:cs="Calibri,Bold"/>
          <w:bCs/>
          <w:szCs w:val="24"/>
          <w:lang w:eastAsia="en-AU"/>
        </w:rPr>
        <w:t>i</w:t>
      </w:r>
      <w:r w:rsidRPr="00E76F72">
        <w:rPr>
          <w:rFonts w:cs="Calibri,Bold"/>
          <w:bCs/>
          <w:szCs w:val="24"/>
          <w:lang w:eastAsia="en-AU"/>
        </w:rPr>
        <w:t>ron infusion,</w:t>
      </w:r>
      <w:r w:rsidR="00870E8B">
        <w:rPr>
          <w:rFonts w:cs="Calibri,Bold"/>
          <w:bCs/>
          <w:szCs w:val="24"/>
          <w:lang w:eastAsia="en-AU"/>
        </w:rPr>
        <w:t xml:space="preserve"> intravenous iron,</w:t>
      </w:r>
      <w:r w:rsidR="00925DC8">
        <w:rPr>
          <w:rFonts w:cs="Calibri,Bold"/>
          <w:bCs/>
          <w:szCs w:val="24"/>
          <w:lang w:eastAsia="en-AU"/>
        </w:rPr>
        <w:t xml:space="preserve"> iv iron,</w:t>
      </w:r>
      <w:r w:rsidRPr="00E76F72">
        <w:rPr>
          <w:rFonts w:cs="Calibri,Bold"/>
          <w:bCs/>
          <w:szCs w:val="24"/>
          <w:lang w:eastAsia="en-AU"/>
        </w:rPr>
        <w:t xml:space="preserve"> iron sucrose, iron polymaltos</w:t>
      </w:r>
      <w:r w:rsidR="00925DC8">
        <w:rPr>
          <w:rFonts w:cs="Calibri,Bold"/>
          <w:bCs/>
          <w:szCs w:val="24"/>
          <w:lang w:eastAsia="en-AU"/>
        </w:rPr>
        <w:t>e</w:t>
      </w:r>
      <w:r w:rsidRPr="00E76F72">
        <w:rPr>
          <w:rFonts w:cs="Calibri,Bold"/>
          <w:bCs/>
          <w:szCs w:val="24"/>
          <w:lang w:eastAsia="en-AU"/>
        </w:rPr>
        <w:t xml:space="preserve">, </w:t>
      </w:r>
      <w:r w:rsidR="00925DC8" w:rsidRPr="00E76F72">
        <w:rPr>
          <w:rFonts w:cs="Calibri,Bold"/>
          <w:bCs/>
          <w:szCs w:val="24"/>
          <w:lang w:eastAsia="en-AU"/>
        </w:rPr>
        <w:t xml:space="preserve">ferric </w:t>
      </w:r>
      <w:proofErr w:type="spellStart"/>
      <w:r w:rsidR="00925DC8" w:rsidRPr="00E76F72">
        <w:rPr>
          <w:rFonts w:cs="Calibri,Bold"/>
          <w:bCs/>
          <w:szCs w:val="24"/>
          <w:lang w:eastAsia="en-AU"/>
        </w:rPr>
        <w:t>carboxymaltose</w:t>
      </w:r>
      <w:proofErr w:type="spellEnd"/>
      <w:r w:rsidR="00925DC8">
        <w:rPr>
          <w:rFonts w:cs="Calibri,Bold"/>
          <w:bCs/>
          <w:szCs w:val="24"/>
          <w:lang w:eastAsia="en-AU"/>
        </w:rPr>
        <w:t>,</w:t>
      </w:r>
      <w:r w:rsidR="00925DC8" w:rsidRPr="00E76F72">
        <w:rPr>
          <w:rFonts w:cs="Calibri,Bold"/>
          <w:bCs/>
          <w:szCs w:val="24"/>
          <w:lang w:eastAsia="en-AU"/>
        </w:rPr>
        <w:t xml:space="preserve"> </w:t>
      </w:r>
      <w:r w:rsidRPr="00E76F72">
        <w:rPr>
          <w:rFonts w:cs="Calibri,Bold"/>
          <w:bCs/>
          <w:szCs w:val="24"/>
          <w:lang w:eastAsia="en-AU"/>
        </w:rPr>
        <w:t>iron</w:t>
      </w:r>
      <w:r>
        <w:rPr>
          <w:rFonts w:cs="Calibri,Bold"/>
          <w:bCs/>
          <w:szCs w:val="24"/>
          <w:lang w:eastAsia="en-AU"/>
        </w:rPr>
        <w:t xml:space="preserve"> (</w:t>
      </w:r>
      <w:r w:rsidRPr="00E76F72">
        <w:rPr>
          <w:rFonts w:cs="Calibri,Bold"/>
          <w:bCs/>
          <w:szCs w:val="24"/>
          <w:lang w:eastAsia="en-AU"/>
        </w:rPr>
        <w:t>Fe</w:t>
      </w:r>
      <w:r>
        <w:rPr>
          <w:rFonts w:cs="Calibri,Bold"/>
          <w:bCs/>
          <w:szCs w:val="24"/>
          <w:lang w:eastAsia="en-AU"/>
        </w:rPr>
        <w:t>)</w:t>
      </w:r>
      <w:r w:rsidRPr="00E76F72">
        <w:rPr>
          <w:rFonts w:cs="Calibri,Bold"/>
          <w:bCs/>
          <w:szCs w:val="24"/>
          <w:lang w:eastAsia="en-AU"/>
        </w:rPr>
        <w:t>, anaemia</w:t>
      </w:r>
      <w:r>
        <w:rPr>
          <w:rFonts w:cs="Calibri,Bold"/>
          <w:bCs/>
          <w:szCs w:val="24"/>
          <w:lang w:eastAsia="en-AU"/>
        </w:rPr>
        <w:t xml:space="preserve">, ferritin, intravenous, </w:t>
      </w:r>
      <w:proofErr w:type="spellStart"/>
      <w:r w:rsidR="00925DC8">
        <w:rPr>
          <w:rFonts w:cs="Calibri,Bold"/>
          <w:bCs/>
          <w:szCs w:val="24"/>
          <w:lang w:eastAsia="en-AU"/>
        </w:rPr>
        <w:t>ferrinject</w:t>
      </w:r>
      <w:proofErr w:type="spellEnd"/>
      <w:r w:rsidR="00925DC8">
        <w:rPr>
          <w:rFonts w:cs="Calibri,Bold"/>
          <w:bCs/>
          <w:szCs w:val="24"/>
          <w:lang w:eastAsia="en-AU"/>
        </w:rPr>
        <w:t>, iron deficiency.</w:t>
      </w:r>
    </w:p>
    <w:p w14:paraId="2F51A8E0" w14:textId="77777777" w:rsidR="007B6904" w:rsidRPr="00901883" w:rsidRDefault="007B6904" w:rsidP="007B6904">
      <w:pPr>
        <w:jc w:val="both"/>
        <w:rPr>
          <w:rFonts w:asciiTheme="minorHAnsi" w:hAnsiTheme="minorHAnsi" w:cs="Arial"/>
          <w:b/>
          <w:i/>
          <w:sz w:val="22"/>
          <w:szCs w:val="22"/>
        </w:rPr>
      </w:pPr>
    </w:p>
    <w:p w14:paraId="5F6FBD2B" w14:textId="49CD835F" w:rsidR="007C6552" w:rsidRDefault="009B36AD" w:rsidP="00BE701C">
      <w:pPr>
        <w:jc w:val="right"/>
        <w:rPr>
          <w:rStyle w:val="Hyperlink"/>
          <w:rFonts w:cs="Arial"/>
          <w:i/>
          <w:szCs w:val="24"/>
        </w:rPr>
      </w:pPr>
      <w:hyperlink w:anchor="Contents" w:history="1">
        <w:r w:rsidR="007B6904" w:rsidRPr="00590902">
          <w:rPr>
            <w:rStyle w:val="Hyperlink"/>
            <w:rFonts w:cs="Arial"/>
            <w:i/>
            <w:szCs w:val="24"/>
          </w:rPr>
          <w:t>Back to Table of Contents</w:t>
        </w:r>
      </w:hyperlink>
      <w:bookmarkStart w:id="43"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7C6552" w:rsidRPr="00CD1C0E" w14:paraId="70D5F0D2" w14:textId="77777777" w:rsidTr="007A335F">
        <w:trPr>
          <w:cantSplit/>
          <w:trHeight w:val="285"/>
        </w:trPr>
        <w:tc>
          <w:tcPr>
            <w:tcW w:w="9158" w:type="dxa"/>
            <w:shd w:val="clear" w:color="auto" w:fill="A6A6A6" w:themeFill="background1" w:themeFillShade="A6"/>
          </w:tcPr>
          <w:p w14:paraId="79814F8E" w14:textId="13EB1B71" w:rsidR="007C6552" w:rsidRPr="00CD1C0E" w:rsidRDefault="00976030" w:rsidP="007A335F">
            <w:pPr>
              <w:pStyle w:val="Heading1"/>
            </w:pPr>
            <w:bookmarkStart w:id="44" w:name="_Toc84588321"/>
            <w:r>
              <w:t>Attachments</w:t>
            </w:r>
            <w:bookmarkEnd w:id="44"/>
            <w:r w:rsidR="007C6552">
              <w:t xml:space="preserve"> </w:t>
            </w:r>
          </w:p>
        </w:tc>
      </w:tr>
    </w:tbl>
    <w:p w14:paraId="310A6003" w14:textId="77777777" w:rsidR="0074206C" w:rsidRDefault="0074206C" w:rsidP="00BE701C">
      <w:pPr>
        <w:rPr>
          <w:rFonts w:cs="Calibri,Bold"/>
          <w:b/>
          <w:bCs/>
          <w:szCs w:val="24"/>
          <w:lang w:eastAsia="en-AU"/>
        </w:rPr>
      </w:pPr>
    </w:p>
    <w:p w14:paraId="5C4210E5" w14:textId="3D8EF99A" w:rsidR="00BE701C" w:rsidRDefault="00BE701C" w:rsidP="00BE701C">
      <w:pPr>
        <w:rPr>
          <w:rFonts w:cs="Calibri,Bold"/>
          <w:b/>
          <w:bCs/>
          <w:szCs w:val="24"/>
          <w:lang w:eastAsia="en-AU"/>
        </w:rPr>
      </w:pPr>
      <w:r w:rsidRPr="00BE701C">
        <w:rPr>
          <w:rFonts w:cs="Calibri,Bold"/>
          <w:b/>
          <w:bCs/>
          <w:szCs w:val="24"/>
          <w:lang w:eastAsia="en-AU"/>
        </w:rPr>
        <w:t>Attachment A: Preoperative haemoglobin assessment and optimisation template</w:t>
      </w:r>
    </w:p>
    <w:p w14:paraId="24A8A209" w14:textId="77777777" w:rsidR="00BE701C" w:rsidRPr="00BE701C" w:rsidRDefault="00BE701C" w:rsidP="00BE701C">
      <w:pPr>
        <w:rPr>
          <w:rFonts w:cs="Calibri,Bold"/>
          <w:b/>
          <w:bCs/>
          <w:szCs w:val="24"/>
          <w:lang w:eastAsia="en-AU"/>
        </w:rPr>
      </w:pPr>
    </w:p>
    <w:p w14:paraId="0400F458" w14:textId="745D06D0" w:rsidR="00BE701C" w:rsidRPr="00AC7025" w:rsidRDefault="009B36AD" w:rsidP="00BE701C">
      <w:pPr>
        <w:jc w:val="right"/>
        <w:rPr>
          <w:rFonts w:cs="Calibri,Bold"/>
          <w:bCs/>
          <w:i/>
          <w:szCs w:val="24"/>
          <w:lang w:eastAsia="en-AU"/>
        </w:rPr>
      </w:pPr>
      <w:hyperlink w:anchor="Contents" w:history="1">
        <w:r w:rsidR="00BE701C" w:rsidRPr="00590902">
          <w:rPr>
            <w:rStyle w:val="Hyperlink"/>
            <w:rFonts w:cs="Arial"/>
            <w:i/>
            <w:szCs w:val="24"/>
          </w:rPr>
          <w:t>Back to Table of Contents</w:t>
        </w:r>
      </w:hyperlink>
    </w:p>
    <w:p w14:paraId="33AA8C04" w14:textId="77777777" w:rsidR="00BE701C" w:rsidRDefault="00BE701C" w:rsidP="00BE701C">
      <w:pPr>
        <w:rPr>
          <w:rFonts w:cs="Arial"/>
          <w:szCs w:val="24"/>
        </w:rPr>
      </w:pPr>
    </w:p>
    <w:p w14:paraId="30CA4A33" w14:textId="77777777" w:rsidR="00BE701C" w:rsidRPr="008202D3" w:rsidRDefault="00BE701C" w:rsidP="00BE701C">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B8D4AB6" w14:textId="77777777" w:rsidR="00BE701C" w:rsidRPr="008202D3" w:rsidRDefault="00BE701C" w:rsidP="00BE701C">
      <w:pPr>
        <w:rPr>
          <w:rFonts w:cs="Arial"/>
          <w:i/>
          <w:iCs/>
          <w:sz w:val="20"/>
        </w:rPr>
      </w:pPr>
    </w:p>
    <w:p w14:paraId="56780D32" w14:textId="77777777" w:rsidR="00BE701C" w:rsidRPr="008202D3" w:rsidRDefault="00BE701C" w:rsidP="00BE701C">
      <w:pPr>
        <w:rPr>
          <w:rFonts w:cs="Arial"/>
          <w:i/>
          <w:iCs/>
          <w:sz w:val="20"/>
        </w:rPr>
      </w:pPr>
      <w:r w:rsidRPr="008202D3">
        <w:rPr>
          <w:rFonts w:cs="Arial"/>
          <w:i/>
          <w:iCs/>
          <w:sz w:val="20"/>
        </w:rPr>
        <w:t>Policy Team ONLY to complete the following:</w:t>
      </w:r>
    </w:p>
    <w:tbl>
      <w:tblPr>
        <w:tblStyle w:val="TableGrid"/>
        <w:tblW w:w="9067" w:type="dxa"/>
        <w:tblLook w:val="04A0" w:firstRow="1" w:lastRow="0" w:firstColumn="1" w:lastColumn="0" w:noHBand="0" w:noVBand="1"/>
      </w:tblPr>
      <w:tblGrid>
        <w:gridCol w:w="2122"/>
        <w:gridCol w:w="1842"/>
        <w:gridCol w:w="2835"/>
        <w:gridCol w:w="2268"/>
      </w:tblGrid>
      <w:tr w:rsidR="00BE701C" w:rsidRPr="008202D3" w14:paraId="0156E4CB" w14:textId="77777777" w:rsidTr="00C936F1">
        <w:tc>
          <w:tcPr>
            <w:tcW w:w="2122" w:type="dxa"/>
          </w:tcPr>
          <w:p w14:paraId="569F1247" w14:textId="77777777" w:rsidR="00BE701C" w:rsidRPr="008202D3" w:rsidRDefault="00BE701C" w:rsidP="00B2227E">
            <w:pPr>
              <w:rPr>
                <w:i/>
                <w:sz w:val="20"/>
              </w:rPr>
            </w:pPr>
            <w:r w:rsidRPr="008202D3">
              <w:rPr>
                <w:i/>
                <w:sz w:val="20"/>
              </w:rPr>
              <w:t>Date Amended</w:t>
            </w:r>
          </w:p>
        </w:tc>
        <w:tc>
          <w:tcPr>
            <w:tcW w:w="1842" w:type="dxa"/>
          </w:tcPr>
          <w:p w14:paraId="2F8D02D7" w14:textId="77777777" w:rsidR="00BE701C" w:rsidRPr="008202D3" w:rsidRDefault="00BE701C" w:rsidP="00B2227E">
            <w:pPr>
              <w:rPr>
                <w:i/>
                <w:sz w:val="20"/>
              </w:rPr>
            </w:pPr>
            <w:r w:rsidRPr="008202D3">
              <w:rPr>
                <w:i/>
                <w:sz w:val="20"/>
              </w:rPr>
              <w:t>Section Amended</w:t>
            </w:r>
          </w:p>
        </w:tc>
        <w:tc>
          <w:tcPr>
            <w:tcW w:w="2835" w:type="dxa"/>
          </w:tcPr>
          <w:p w14:paraId="4FB2ABCD" w14:textId="77777777" w:rsidR="00BE701C" w:rsidRPr="008202D3" w:rsidRDefault="00BE701C" w:rsidP="00B2227E">
            <w:pPr>
              <w:rPr>
                <w:i/>
                <w:sz w:val="20"/>
              </w:rPr>
            </w:pPr>
            <w:r w:rsidRPr="008202D3">
              <w:rPr>
                <w:i/>
                <w:sz w:val="20"/>
              </w:rPr>
              <w:t>Divisional Approval</w:t>
            </w:r>
          </w:p>
        </w:tc>
        <w:tc>
          <w:tcPr>
            <w:tcW w:w="2268" w:type="dxa"/>
          </w:tcPr>
          <w:p w14:paraId="1475AC12" w14:textId="77777777" w:rsidR="00BE701C" w:rsidRPr="008202D3" w:rsidRDefault="00BE701C" w:rsidP="00B2227E">
            <w:pPr>
              <w:rPr>
                <w:i/>
                <w:sz w:val="20"/>
              </w:rPr>
            </w:pPr>
            <w:r w:rsidRPr="008202D3">
              <w:rPr>
                <w:i/>
                <w:sz w:val="20"/>
              </w:rPr>
              <w:t xml:space="preserve">Final Approval </w:t>
            </w:r>
          </w:p>
        </w:tc>
      </w:tr>
      <w:tr w:rsidR="00BE701C" w:rsidRPr="008202D3" w14:paraId="58A18168" w14:textId="77777777" w:rsidTr="00C936F1">
        <w:tc>
          <w:tcPr>
            <w:tcW w:w="2122" w:type="dxa"/>
          </w:tcPr>
          <w:p w14:paraId="7D93E056" w14:textId="19092E85" w:rsidR="00BE701C" w:rsidRPr="008202D3" w:rsidRDefault="00C936F1" w:rsidP="00B2227E">
            <w:pPr>
              <w:rPr>
                <w:i/>
                <w:sz w:val="20"/>
              </w:rPr>
            </w:pPr>
            <w:r>
              <w:rPr>
                <w:i/>
                <w:sz w:val="20"/>
              </w:rPr>
              <w:t>08 October 2021</w:t>
            </w:r>
          </w:p>
        </w:tc>
        <w:tc>
          <w:tcPr>
            <w:tcW w:w="1842" w:type="dxa"/>
          </w:tcPr>
          <w:p w14:paraId="2D1243F9" w14:textId="08E9AA54" w:rsidR="00BE701C" w:rsidRPr="008202D3" w:rsidRDefault="00C936F1" w:rsidP="00B2227E">
            <w:pPr>
              <w:rPr>
                <w:i/>
                <w:sz w:val="20"/>
              </w:rPr>
            </w:pPr>
            <w:r>
              <w:rPr>
                <w:i/>
                <w:sz w:val="20"/>
              </w:rPr>
              <w:t>Complete Review</w:t>
            </w:r>
          </w:p>
        </w:tc>
        <w:tc>
          <w:tcPr>
            <w:tcW w:w="2835" w:type="dxa"/>
          </w:tcPr>
          <w:p w14:paraId="30C668B9" w14:textId="5D6EB8D4" w:rsidR="00C936F1" w:rsidRPr="008202D3" w:rsidRDefault="00C936F1" w:rsidP="00B2227E">
            <w:pPr>
              <w:rPr>
                <w:i/>
                <w:sz w:val="20"/>
              </w:rPr>
            </w:pPr>
            <w:r>
              <w:rPr>
                <w:i/>
                <w:sz w:val="20"/>
              </w:rPr>
              <w:t>Dr Nick Coatsworth, ED-MSG</w:t>
            </w:r>
          </w:p>
        </w:tc>
        <w:tc>
          <w:tcPr>
            <w:tcW w:w="2268" w:type="dxa"/>
          </w:tcPr>
          <w:p w14:paraId="46AC3CB3" w14:textId="56C784A0" w:rsidR="00BE701C" w:rsidRPr="008202D3" w:rsidRDefault="00C936F1" w:rsidP="00B2227E">
            <w:pPr>
              <w:rPr>
                <w:i/>
                <w:sz w:val="20"/>
              </w:rPr>
            </w:pPr>
            <w:r>
              <w:rPr>
                <w:i/>
                <w:sz w:val="20"/>
              </w:rPr>
              <w:t>CHS Policy Committee</w:t>
            </w:r>
          </w:p>
        </w:tc>
      </w:tr>
      <w:tr w:rsidR="00BE701C" w:rsidRPr="008202D3" w14:paraId="4209ADDD" w14:textId="77777777" w:rsidTr="00C936F1">
        <w:tc>
          <w:tcPr>
            <w:tcW w:w="2122" w:type="dxa"/>
          </w:tcPr>
          <w:p w14:paraId="46EE5F94" w14:textId="77777777" w:rsidR="00BE701C" w:rsidRPr="008202D3" w:rsidRDefault="00BE701C" w:rsidP="00B2227E">
            <w:pPr>
              <w:rPr>
                <w:i/>
                <w:sz w:val="20"/>
              </w:rPr>
            </w:pPr>
          </w:p>
        </w:tc>
        <w:tc>
          <w:tcPr>
            <w:tcW w:w="1842" w:type="dxa"/>
          </w:tcPr>
          <w:p w14:paraId="41D580B7" w14:textId="77777777" w:rsidR="00BE701C" w:rsidRPr="008202D3" w:rsidRDefault="00BE701C" w:rsidP="00B2227E">
            <w:pPr>
              <w:rPr>
                <w:i/>
                <w:sz w:val="20"/>
              </w:rPr>
            </w:pPr>
          </w:p>
        </w:tc>
        <w:tc>
          <w:tcPr>
            <w:tcW w:w="2835" w:type="dxa"/>
          </w:tcPr>
          <w:p w14:paraId="36B7BF0D" w14:textId="77777777" w:rsidR="00BE701C" w:rsidRPr="008202D3" w:rsidRDefault="00BE701C" w:rsidP="00B2227E">
            <w:pPr>
              <w:rPr>
                <w:i/>
                <w:sz w:val="20"/>
              </w:rPr>
            </w:pPr>
          </w:p>
        </w:tc>
        <w:tc>
          <w:tcPr>
            <w:tcW w:w="2268" w:type="dxa"/>
          </w:tcPr>
          <w:p w14:paraId="42293601" w14:textId="77777777" w:rsidR="00BE701C" w:rsidRPr="008202D3" w:rsidRDefault="00BE701C" w:rsidP="00B2227E">
            <w:pPr>
              <w:rPr>
                <w:i/>
                <w:sz w:val="20"/>
              </w:rPr>
            </w:pPr>
          </w:p>
        </w:tc>
      </w:tr>
    </w:tbl>
    <w:p w14:paraId="085FC789" w14:textId="77777777" w:rsidR="00BE701C" w:rsidRPr="008202D3" w:rsidRDefault="00BE701C" w:rsidP="00BE701C">
      <w:pPr>
        <w:rPr>
          <w:rFonts w:cs="Arial"/>
          <w:sz w:val="20"/>
        </w:rPr>
      </w:pPr>
    </w:p>
    <w:p w14:paraId="5D769AD9" w14:textId="77777777" w:rsidR="00BE701C" w:rsidRPr="008202D3" w:rsidRDefault="00BE701C" w:rsidP="00BE701C">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E701C" w:rsidRPr="008202D3" w14:paraId="67463A97" w14:textId="77777777" w:rsidTr="00B2227E">
        <w:tc>
          <w:tcPr>
            <w:tcW w:w="2122" w:type="dxa"/>
          </w:tcPr>
          <w:p w14:paraId="2A1F6CFF" w14:textId="77777777" w:rsidR="00BE701C" w:rsidRPr="008202D3" w:rsidRDefault="00BE701C" w:rsidP="00B2227E">
            <w:pPr>
              <w:rPr>
                <w:i/>
                <w:sz w:val="20"/>
              </w:rPr>
            </w:pPr>
            <w:r w:rsidRPr="008202D3">
              <w:rPr>
                <w:i/>
                <w:sz w:val="20"/>
              </w:rPr>
              <w:t>Document Number</w:t>
            </w:r>
          </w:p>
        </w:tc>
        <w:tc>
          <w:tcPr>
            <w:tcW w:w="6938" w:type="dxa"/>
          </w:tcPr>
          <w:p w14:paraId="12A53746" w14:textId="77777777" w:rsidR="00BE701C" w:rsidRPr="008202D3" w:rsidRDefault="00BE701C" w:rsidP="00B2227E">
            <w:pPr>
              <w:rPr>
                <w:i/>
                <w:sz w:val="20"/>
              </w:rPr>
            </w:pPr>
            <w:r w:rsidRPr="008202D3">
              <w:rPr>
                <w:i/>
                <w:sz w:val="20"/>
              </w:rPr>
              <w:t>Document Name</w:t>
            </w:r>
          </w:p>
        </w:tc>
      </w:tr>
      <w:tr w:rsidR="00BE701C" w:rsidRPr="008202D3" w14:paraId="437EBEE0" w14:textId="77777777" w:rsidTr="00B2227E">
        <w:tc>
          <w:tcPr>
            <w:tcW w:w="2122" w:type="dxa"/>
          </w:tcPr>
          <w:p w14:paraId="0C429B9C" w14:textId="5AA551B6" w:rsidR="00BE701C" w:rsidRPr="008202D3" w:rsidRDefault="005A2A1A" w:rsidP="00B2227E">
            <w:pPr>
              <w:rPr>
                <w:i/>
                <w:sz w:val="20"/>
              </w:rPr>
            </w:pPr>
            <w:r>
              <w:rPr>
                <w:i/>
                <w:sz w:val="20"/>
              </w:rPr>
              <w:t>CHHS18/138</w:t>
            </w:r>
          </w:p>
        </w:tc>
        <w:tc>
          <w:tcPr>
            <w:tcW w:w="6938" w:type="dxa"/>
          </w:tcPr>
          <w:p w14:paraId="72586099" w14:textId="0820E146" w:rsidR="00BE701C" w:rsidRPr="008202D3" w:rsidRDefault="005A2A1A" w:rsidP="00B2227E">
            <w:pPr>
              <w:rPr>
                <w:i/>
                <w:sz w:val="20"/>
              </w:rPr>
            </w:pPr>
            <w:r>
              <w:rPr>
                <w:i/>
                <w:sz w:val="20"/>
              </w:rPr>
              <w:t>Iron Infusions – Adults Only</w:t>
            </w:r>
          </w:p>
        </w:tc>
      </w:tr>
      <w:tr w:rsidR="00BE701C" w:rsidRPr="008202D3" w14:paraId="30C4F054" w14:textId="77777777" w:rsidTr="00B2227E">
        <w:tc>
          <w:tcPr>
            <w:tcW w:w="2122" w:type="dxa"/>
          </w:tcPr>
          <w:p w14:paraId="706D636D" w14:textId="77777777" w:rsidR="00BE701C" w:rsidRPr="008202D3" w:rsidRDefault="00BE701C" w:rsidP="00B2227E">
            <w:pPr>
              <w:rPr>
                <w:i/>
                <w:sz w:val="20"/>
              </w:rPr>
            </w:pPr>
          </w:p>
        </w:tc>
        <w:tc>
          <w:tcPr>
            <w:tcW w:w="6938" w:type="dxa"/>
          </w:tcPr>
          <w:p w14:paraId="2F8C3473" w14:textId="77777777" w:rsidR="00BE701C" w:rsidRPr="008202D3" w:rsidRDefault="00BE701C" w:rsidP="00B2227E">
            <w:pPr>
              <w:rPr>
                <w:i/>
                <w:sz w:val="20"/>
              </w:rPr>
            </w:pPr>
          </w:p>
        </w:tc>
      </w:tr>
    </w:tbl>
    <w:p w14:paraId="0E44841C" w14:textId="77777777" w:rsidR="00BE701C" w:rsidRPr="00010E74" w:rsidRDefault="00BE701C" w:rsidP="00BE701C">
      <w:pPr>
        <w:rPr>
          <w:i/>
          <w:sz w:val="20"/>
          <w:szCs w:val="24"/>
        </w:rPr>
      </w:pPr>
    </w:p>
    <w:p w14:paraId="758CE57C" w14:textId="77777777" w:rsidR="00BE701C" w:rsidRDefault="00BE701C" w:rsidP="00BE701C">
      <w:pPr>
        <w:rPr>
          <w:rFonts w:cs="Arial"/>
          <w:szCs w:val="24"/>
        </w:rPr>
      </w:pPr>
    </w:p>
    <w:p w14:paraId="79F82680" w14:textId="77777777" w:rsidR="00BE701C" w:rsidRDefault="00BE701C" w:rsidP="007C6552">
      <w:pPr>
        <w:rPr>
          <w:rFonts w:cs="Calibri,Bold"/>
          <w:bCs/>
          <w:szCs w:val="24"/>
          <w:lang w:eastAsia="en-AU"/>
        </w:rPr>
      </w:pPr>
    </w:p>
    <w:p w14:paraId="1017458D" w14:textId="77777777" w:rsidR="00BE701C" w:rsidRDefault="00BE701C" w:rsidP="007C6552">
      <w:pPr>
        <w:rPr>
          <w:rFonts w:cs="Calibri,Bold"/>
          <w:bCs/>
          <w:szCs w:val="24"/>
          <w:lang w:eastAsia="en-AU"/>
        </w:rPr>
      </w:pPr>
    </w:p>
    <w:p w14:paraId="4A58D095" w14:textId="77777777" w:rsidR="00BE701C" w:rsidRDefault="00BE701C" w:rsidP="007C6552">
      <w:pPr>
        <w:rPr>
          <w:rFonts w:cs="Calibri,Bold"/>
          <w:bCs/>
          <w:szCs w:val="24"/>
          <w:lang w:eastAsia="en-AU"/>
        </w:rPr>
      </w:pPr>
    </w:p>
    <w:p w14:paraId="7CD04ED2" w14:textId="77777777" w:rsidR="000C0200" w:rsidRDefault="000C0200">
      <w:pPr>
        <w:spacing w:after="200" w:line="276" w:lineRule="auto"/>
        <w:rPr>
          <w:rFonts w:cs="Calibri,Bold"/>
          <w:bCs/>
          <w:szCs w:val="24"/>
          <w:lang w:eastAsia="en-AU"/>
        </w:rPr>
        <w:sectPr w:rsidR="000C0200" w:rsidSect="004213C3">
          <w:headerReference w:type="even" r:id="rId17"/>
          <w:headerReference w:type="default" r:id="rId18"/>
          <w:footerReference w:type="even" r:id="rId19"/>
          <w:footerReference w:type="default" r:id="rId20"/>
          <w:headerReference w:type="first" r:id="rId21"/>
          <w:footerReference w:type="first" r:id="rId22"/>
          <w:pgSz w:w="11906" w:h="16838"/>
          <w:pgMar w:top="663" w:right="1418" w:bottom="1440" w:left="1418" w:header="357" w:footer="306" w:gutter="0"/>
          <w:cols w:space="708"/>
          <w:docGrid w:linePitch="360"/>
        </w:sectPr>
      </w:pPr>
    </w:p>
    <w:p w14:paraId="0E91E24E" w14:textId="6EB02A3B" w:rsidR="00BE701C" w:rsidRPr="000C0200" w:rsidRDefault="00976030" w:rsidP="007C6552">
      <w:pPr>
        <w:rPr>
          <w:rFonts w:cs="Calibri,Bold"/>
          <w:bCs/>
          <w:szCs w:val="24"/>
          <w:lang w:eastAsia="en-AU"/>
        </w:rPr>
      </w:pPr>
      <w:r w:rsidRPr="00BE701C">
        <w:rPr>
          <w:rStyle w:val="Heading2Char"/>
        </w:rPr>
        <w:lastRenderedPageBreak/>
        <w:t>Attachment</w:t>
      </w:r>
      <w:r w:rsidR="007C6552" w:rsidRPr="00BE701C">
        <w:rPr>
          <w:rStyle w:val="Heading2Char"/>
        </w:rPr>
        <w:t xml:space="preserve"> A: Preoperative haemoglobin assessment and optimisation template</w:t>
      </w:r>
      <w:r w:rsidR="007C6552">
        <w:rPr>
          <w:rFonts w:cs="Calibri,Bold"/>
          <w:bCs/>
          <w:szCs w:val="24"/>
          <w:lang w:eastAsia="en-AU"/>
        </w:rPr>
        <w:t>.</w:t>
      </w:r>
      <w:r w:rsidR="009410DF">
        <w:rPr>
          <w:rFonts w:cs="Calibri,Bold"/>
          <w:bCs/>
          <w:szCs w:val="24"/>
          <w:lang w:eastAsia="en-AU"/>
        </w:rPr>
        <w:t xml:space="preserve"> </w:t>
      </w:r>
    </w:p>
    <w:p w14:paraId="08B66E31" w14:textId="357C7602" w:rsidR="000C0200" w:rsidRDefault="000C0200" w:rsidP="000C0200">
      <w:pPr>
        <w:rPr>
          <w:sz w:val="20"/>
        </w:rPr>
      </w:pPr>
      <w:r w:rsidRPr="000C0200">
        <w:rPr>
          <w:sz w:val="20"/>
        </w:rPr>
        <w:t xml:space="preserve"> </w:t>
      </w:r>
      <w:r w:rsidR="009C0BF9" w:rsidRPr="009C0BF9">
        <w:rPr>
          <w:noProof/>
          <w:sz w:val="20"/>
        </w:rPr>
        <w:drawing>
          <wp:inline distT="0" distB="0" distL="0" distR="0" wp14:anchorId="02C7F728" wp14:editId="6B5B4D6D">
            <wp:extent cx="7879295" cy="5173014"/>
            <wp:effectExtent l="0" t="0" r="762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898034" cy="5185317"/>
                    </a:xfrm>
                    <a:prstGeom prst="rect">
                      <a:avLst/>
                    </a:prstGeom>
                  </pic:spPr>
                </pic:pic>
              </a:graphicData>
            </a:graphic>
          </wp:inline>
        </w:drawing>
      </w:r>
    </w:p>
    <w:p w14:paraId="152BB25D" w14:textId="72EDEE9D" w:rsidR="000C0200" w:rsidRDefault="00165F6B" w:rsidP="000C0200">
      <w:pPr>
        <w:rPr>
          <w:sz w:val="20"/>
        </w:rPr>
      </w:pPr>
      <w:r w:rsidRPr="00165F6B">
        <w:rPr>
          <w:noProof/>
          <w:sz w:val="20"/>
        </w:rPr>
        <w:lastRenderedPageBreak/>
        <w:drawing>
          <wp:inline distT="0" distB="0" distL="0" distR="0" wp14:anchorId="2CE7E02B" wp14:editId="3AC9F290">
            <wp:extent cx="8315459" cy="4989275"/>
            <wp:effectExtent l="0" t="0" r="952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322304" cy="4993382"/>
                    </a:xfrm>
                    <a:prstGeom prst="rect">
                      <a:avLst/>
                    </a:prstGeom>
                  </pic:spPr>
                </pic:pic>
              </a:graphicData>
            </a:graphic>
          </wp:inline>
        </w:drawing>
      </w:r>
    </w:p>
    <w:p w14:paraId="08B0FA3C" w14:textId="53F5C3DA" w:rsidR="007C6552" w:rsidRPr="00901883" w:rsidRDefault="000C0200" w:rsidP="00BF7C67">
      <w:pPr>
        <w:rPr>
          <w:rFonts w:asciiTheme="minorHAnsi" w:hAnsiTheme="minorHAnsi" w:cs="Arial"/>
          <w:b/>
          <w:i/>
          <w:sz w:val="22"/>
          <w:szCs w:val="22"/>
        </w:rPr>
      </w:pPr>
      <w:r w:rsidRPr="009410DF">
        <w:rPr>
          <w:sz w:val="20"/>
        </w:rPr>
        <w:t>This</w:t>
      </w:r>
      <w:r>
        <w:rPr>
          <w:sz w:val="20"/>
        </w:rPr>
        <w:t xml:space="preserve"> template comes from </w:t>
      </w:r>
      <w:hyperlink r:id="rId25" w:history="1">
        <w:r w:rsidRPr="0080645F">
          <w:rPr>
            <w:rStyle w:val="Hyperlink"/>
            <w:sz w:val="20"/>
          </w:rPr>
          <w:t>www.nba.gov.au</w:t>
        </w:r>
      </w:hyperlink>
      <w:r>
        <w:rPr>
          <w:sz w:val="20"/>
        </w:rPr>
        <w:t xml:space="preserve"> and </w:t>
      </w:r>
      <w:hyperlink r:id="rId26" w:history="1">
        <w:r w:rsidRPr="009410DF">
          <w:rPr>
            <w:rStyle w:val="Hyperlink"/>
            <w:sz w:val="20"/>
          </w:rPr>
          <w:t>The National Blood Authority’s Patient Blood Management Guideline: Module 2 – Perioperative</w:t>
        </w:r>
      </w:hyperlink>
      <w:r w:rsidRPr="009410DF">
        <w:rPr>
          <w:sz w:val="20"/>
        </w:rPr>
        <w:t xml:space="preserve"> </w:t>
      </w:r>
      <w:r>
        <w:rPr>
          <w:sz w:val="20"/>
        </w:rPr>
        <w:t xml:space="preserve">and </w:t>
      </w:r>
      <w:r w:rsidRPr="009410DF">
        <w:rPr>
          <w:sz w:val="20"/>
        </w:rPr>
        <w:t xml:space="preserve">which is licensed under the Creative Commons </w:t>
      </w:r>
      <w:proofErr w:type="spellStart"/>
      <w:r w:rsidRPr="009410DF">
        <w:rPr>
          <w:sz w:val="20"/>
        </w:rPr>
        <w:t>AttributionNonCommercial-ShareAlike</w:t>
      </w:r>
      <w:proofErr w:type="spellEnd"/>
      <w:r w:rsidRPr="009410DF">
        <w:rPr>
          <w:sz w:val="20"/>
        </w:rPr>
        <w:t xml:space="preserve"> 3.0 Australia licence.</w:t>
      </w:r>
      <w:bookmarkEnd w:id="43"/>
    </w:p>
    <w:sectPr w:rsidR="007C6552" w:rsidRPr="00901883" w:rsidSect="000C0200">
      <w:pgSz w:w="16838" w:h="11906" w:orient="landscape"/>
      <w:pgMar w:top="1418" w:right="663" w:bottom="1418"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67476" w14:textId="77777777" w:rsidR="003177ED" w:rsidRDefault="003177ED" w:rsidP="00F66CB0">
      <w:r>
        <w:separator/>
      </w:r>
    </w:p>
  </w:endnote>
  <w:endnote w:type="continuationSeparator" w:id="0">
    <w:p w14:paraId="064DEAD8" w14:textId="77777777" w:rsidR="003177ED" w:rsidRDefault="003177E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206"/>
      <w:gridCol w:w="1276"/>
      <w:gridCol w:w="2976"/>
      <w:gridCol w:w="1132"/>
    </w:tblGrid>
    <w:tr w:rsidR="003177ED" w:rsidRPr="00AE7C5C" w14:paraId="66C61A16" w14:textId="77777777" w:rsidTr="00B8146E">
      <w:tc>
        <w:tcPr>
          <w:tcW w:w="1515" w:type="dxa"/>
        </w:tcPr>
        <w:p w14:paraId="5B403CD6" w14:textId="77777777" w:rsidR="003177ED" w:rsidRPr="00B3752F" w:rsidRDefault="003177ED" w:rsidP="004213C3">
          <w:pPr>
            <w:pStyle w:val="Footer"/>
            <w:rPr>
              <w:rFonts w:cs="Arial"/>
              <w:b/>
              <w:bCs/>
              <w:i/>
              <w:sz w:val="20"/>
            </w:rPr>
          </w:pPr>
          <w:r w:rsidRPr="00B3752F">
            <w:rPr>
              <w:rFonts w:cs="Arial"/>
              <w:b/>
              <w:bCs/>
              <w:i/>
              <w:sz w:val="20"/>
            </w:rPr>
            <w:t>Doc Number</w:t>
          </w:r>
        </w:p>
      </w:tc>
      <w:tc>
        <w:tcPr>
          <w:tcW w:w="965" w:type="dxa"/>
        </w:tcPr>
        <w:p w14:paraId="4A6AD687" w14:textId="77777777" w:rsidR="003177ED" w:rsidRPr="00B3752F" w:rsidRDefault="003177ED" w:rsidP="004213C3">
          <w:pPr>
            <w:pStyle w:val="Footer"/>
            <w:rPr>
              <w:rFonts w:cs="Arial"/>
              <w:b/>
              <w:bCs/>
              <w:i/>
              <w:sz w:val="20"/>
            </w:rPr>
          </w:pPr>
          <w:r w:rsidRPr="00B3752F">
            <w:rPr>
              <w:rFonts w:cs="Arial"/>
              <w:b/>
              <w:bCs/>
              <w:i/>
              <w:sz w:val="20"/>
            </w:rPr>
            <w:t>Version</w:t>
          </w:r>
        </w:p>
      </w:tc>
      <w:tc>
        <w:tcPr>
          <w:tcW w:w="1206" w:type="dxa"/>
        </w:tcPr>
        <w:p w14:paraId="7FB4CB63" w14:textId="77777777" w:rsidR="003177ED" w:rsidRPr="00B3752F" w:rsidRDefault="003177ED" w:rsidP="004213C3">
          <w:pPr>
            <w:pStyle w:val="Footer"/>
            <w:rPr>
              <w:rFonts w:cs="Arial"/>
              <w:b/>
              <w:bCs/>
              <w:i/>
              <w:sz w:val="20"/>
            </w:rPr>
          </w:pPr>
          <w:r w:rsidRPr="00B3752F">
            <w:rPr>
              <w:rFonts w:cs="Arial"/>
              <w:b/>
              <w:bCs/>
              <w:i/>
              <w:sz w:val="20"/>
            </w:rPr>
            <w:t>Issued</w:t>
          </w:r>
        </w:p>
      </w:tc>
      <w:tc>
        <w:tcPr>
          <w:tcW w:w="1276" w:type="dxa"/>
        </w:tcPr>
        <w:p w14:paraId="55EB86B4" w14:textId="77777777" w:rsidR="003177ED" w:rsidRPr="00B3752F" w:rsidRDefault="003177ED" w:rsidP="004213C3">
          <w:pPr>
            <w:pStyle w:val="Footer"/>
            <w:rPr>
              <w:rFonts w:cs="Arial"/>
              <w:b/>
              <w:bCs/>
              <w:i/>
              <w:sz w:val="20"/>
            </w:rPr>
          </w:pPr>
          <w:r w:rsidRPr="00B3752F">
            <w:rPr>
              <w:rFonts w:cs="Arial"/>
              <w:b/>
              <w:bCs/>
              <w:i/>
              <w:sz w:val="20"/>
            </w:rPr>
            <w:t>Review Date</w:t>
          </w:r>
        </w:p>
      </w:tc>
      <w:tc>
        <w:tcPr>
          <w:tcW w:w="2976" w:type="dxa"/>
        </w:tcPr>
        <w:p w14:paraId="479B9D67" w14:textId="77777777" w:rsidR="003177ED" w:rsidRPr="00B3752F" w:rsidRDefault="003177ED" w:rsidP="004213C3">
          <w:pPr>
            <w:pStyle w:val="Footer"/>
            <w:rPr>
              <w:rFonts w:cs="Arial"/>
              <w:b/>
              <w:bCs/>
              <w:i/>
              <w:sz w:val="20"/>
            </w:rPr>
          </w:pPr>
          <w:r w:rsidRPr="00B3752F">
            <w:rPr>
              <w:rFonts w:cs="Arial"/>
              <w:b/>
              <w:bCs/>
              <w:i/>
              <w:sz w:val="20"/>
            </w:rPr>
            <w:t>Area Responsible</w:t>
          </w:r>
        </w:p>
      </w:tc>
      <w:tc>
        <w:tcPr>
          <w:tcW w:w="1132" w:type="dxa"/>
        </w:tcPr>
        <w:p w14:paraId="37F2557B" w14:textId="77777777" w:rsidR="003177ED" w:rsidRPr="00B3752F" w:rsidRDefault="003177ED" w:rsidP="004213C3">
          <w:pPr>
            <w:pStyle w:val="Footer"/>
            <w:rPr>
              <w:rFonts w:cs="Arial"/>
              <w:b/>
              <w:bCs/>
              <w:i/>
              <w:sz w:val="20"/>
            </w:rPr>
          </w:pPr>
          <w:r w:rsidRPr="00B3752F">
            <w:rPr>
              <w:rFonts w:cs="Arial"/>
              <w:b/>
              <w:bCs/>
              <w:i/>
              <w:sz w:val="20"/>
            </w:rPr>
            <w:t>Page</w:t>
          </w:r>
        </w:p>
      </w:tc>
    </w:tr>
    <w:tr w:rsidR="003177ED" w14:paraId="44DA2168" w14:textId="77777777" w:rsidTr="00B8146E">
      <w:tc>
        <w:tcPr>
          <w:tcW w:w="1515" w:type="dxa"/>
        </w:tcPr>
        <w:p w14:paraId="58E3A5FE" w14:textId="6DDEF5BE" w:rsidR="003177ED" w:rsidRPr="00542EE6" w:rsidRDefault="00C936F1" w:rsidP="004213C3">
          <w:pPr>
            <w:pStyle w:val="Footer"/>
            <w:rPr>
              <w:rFonts w:cs="Arial"/>
              <w:b/>
              <w:bCs/>
              <w:sz w:val="20"/>
            </w:rPr>
          </w:pPr>
          <w:r>
            <w:rPr>
              <w:rFonts w:cs="Arial"/>
              <w:b/>
              <w:bCs/>
              <w:sz w:val="20"/>
            </w:rPr>
            <w:t>CHS21/563</w:t>
          </w:r>
        </w:p>
      </w:tc>
      <w:tc>
        <w:tcPr>
          <w:tcW w:w="965" w:type="dxa"/>
        </w:tcPr>
        <w:p w14:paraId="3063DF9C" w14:textId="77777777" w:rsidR="003177ED" w:rsidRPr="00B3752F" w:rsidRDefault="003177ED" w:rsidP="004213C3">
          <w:pPr>
            <w:pStyle w:val="Footer"/>
            <w:rPr>
              <w:rFonts w:cs="Arial"/>
              <w:b/>
              <w:bCs/>
              <w:sz w:val="20"/>
            </w:rPr>
          </w:pPr>
          <w:r>
            <w:rPr>
              <w:rFonts w:cs="Arial"/>
              <w:b/>
              <w:bCs/>
              <w:sz w:val="20"/>
            </w:rPr>
            <w:t>1</w:t>
          </w:r>
        </w:p>
      </w:tc>
      <w:tc>
        <w:tcPr>
          <w:tcW w:w="1206" w:type="dxa"/>
        </w:tcPr>
        <w:p w14:paraId="02863174" w14:textId="53B18C12" w:rsidR="003177ED" w:rsidRPr="00C936F1" w:rsidRDefault="00C936F1" w:rsidP="00B8146E">
          <w:pPr>
            <w:pStyle w:val="Footer"/>
            <w:rPr>
              <w:rFonts w:cs="Arial"/>
              <w:b/>
              <w:bCs/>
              <w:sz w:val="20"/>
            </w:rPr>
          </w:pPr>
          <w:r w:rsidRPr="00C936F1">
            <w:rPr>
              <w:rFonts w:cs="Arial"/>
              <w:b/>
              <w:bCs/>
              <w:sz w:val="20"/>
            </w:rPr>
            <w:t>08/10/2021</w:t>
          </w:r>
        </w:p>
      </w:tc>
      <w:tc>
        <w:tcPr>
          <w:tcW w:w="1276" w:type="dxa"/>
        </w:tcPr>
        <w:p w14:paraId="7123D115" w14:textId="12DF6758" w:rsidR="003177ED" w:rsidRPr="00B3752F" w:rsidRDefault="00C936F1" w:rsidP="004213C3">
          <w:pPr>
            <w:pStyle w:val="Footer"/>
            <w:rPr>
              <w:rFonts w:cs="Arial"/>
              <w:b/>
              <w:bCs/>
              <w:sz w:val="20"/>
            </w:rPr>
          </w:pPr>
          <w:r>
            <w:rPr>
              <w:rFonts w:cs="Arial"/>
              <w:b/>
              <w:bCs/>
              <w:sz w:val="20"/>
            </w:rPr>
            <w:t>01/10/2025</w:t>
          </w:r>
        </w:p>
      </w:tc>
      <w:tc>
        <w:tcPr>
          <w:tcW w:w="2976" w:type="dxa"/>
        </w:tcPr>
        <w:p w14:paraId="0618F757" w14:textId="77777777" w:rsidR="003177ED" w:rsidRPr="00B3752F" w:rsidRDefault="003177ED" w:rsidP="004213C3">
          <w:pPr>
            <w:pStyle w:val="Footer"/>
            <w:rPr>
              <w:rFonts w:cs="Arial"/>
              <w:b/>
              <w:bCs/>
              <w:sz w:val="20"/>
            </w:rPr>
          </w:pPr>
          <w:r>
            <w:rPr>
              <w:rFonts w:cs="Arial"/>
              <w:b/>
              <w:bCs/>
              <w:sz w:val="20"/>
            </w:rPr>
            <w:t>Medical Services - Pharmacy</w:t>
          </w:r>
        </w:p>
      </w:tc>
      <w:tc>
        <w:tcPr>
          <w:tcW w:w="1132" w:type="dxa"/>
        </w:tcPr>
        <w:p w14:paraId="06D56D98" w14:textId="77777777" w:rsidR="003177ED" w:rsidRPr="00B3752F" w:rsidRDefault="003177ED"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9</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10</w:t>
          </w:r>
          <w:r w:rsidRPr="00B3752F">
            <w:rPr>
              <w:rStyle w:val="PageNumber"/>
              <w:sz w:val="20"/>
            </w:rPr>
            <w:fldChar w:fldCharType="end"/>
          </w:r>
        </w:p>
      </w:tc>
    </w:tr>
    <w:tr w:rsidR="003177ED" w14:paraId="65BC1F9F" w14:textId="77777777" w:rsidTr="00B8146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7F406DAA" w14:textId="774D0C4C" w:rsidR="003177ED" w:rsidRPr="002C1428" w:rsidRDefault="003177ED" w:rsidP="005E1140">
          <w:pPr>
            <w:pStyle w:val="Footer"/>
            <w:jc w:val="center"/>
            <w:rPr>
              <w:rStyle w:val="PageNumber"/>
              <w:sz w:val="16"/>
              <w:szCs w:val="16"/>
            </w:rPr>
          </w:pPr>
          <w:r w:rsidRPr="002C1428">
            <w:rPr>
              <w:sz w:val="16"/>
              <w:szCs w:val="16"/>
            </w:rPr>
            <w:t xml:space="preserve">Do not refer to a paper-based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7D16032E" w14:textId="77777777" w:rsidR="003177ED" w:rsidRPr="00AE7C5C" w:rsidRDefault="003177ED" w:rsidP="00B81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6A067" w14:textId="77777777" w:rsidR="003177ED" w:rsidRDefault="00317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72" w:type="dxa"/>
      <w:tblBorders>
        <w:insideH w:val="single" w:sz="4" w:space="0" w:color="auto"/>
      </w:tblBorders>
      <w:tblLook w:val="00A0" w:firstRow="1" w:lastRow="0" w:firstColumn="1" w:lastColumn="0" w:noHBand="0" w:noVBand="0"/>
    </w:tblPr>
    <w:tblGrid>
      <w:gridCol w:w="1276"/>
      <w:gridCol w:w="965"/>
      <w:gridCol w:w="1325"/>
      <w:gridCol w:w="1396"/>
      <w:gridCol w:w="2835"/>
      <w:gridCol w:w="1375"/>
    </w:tblGrid>
    <w:tr w:rsidR="003177ED" w:rsidRPr="00AE7C5C" w14:paraId="2F51A914" w14:textId="77777777" w:rsidTr="00A57557">
      <w:tc>
        <w:tcPr>
          <w:tcW w:w="1276" w:type="dxa"/>
        </w:tcPr>
        <w:p w14:paraId="2F51A90E" w14:textId="77777777" w:rsidR="003177ED" w:rsidRPr="00B3752F" w:rsidRDefault="003177ED" w:rsidP="004213C3">
          <w:pPr>
            <w:pStyle w:val="Footer"/>
            <w:rPr>
              <w:rFonts w:cs="Arial"/>
              <w:b/>
              <w:bCs/>
              <w:i/>
              <w:sz w:val="20"/>
            </w:rPr>
          </w:pPr>
          <w:r w:rsidRPr="00B3752F">
            <w:rPr>
              <w:rFonts w:cs="Arial"/>
              <w:b/>
              <w:bCs/>
              <w:i/>
              <w:sz w:val="20"/>
            </w:rPr>
            <w:t>Doc Number</w:t>
          </w:r>
        </w:p>
      </w:tc>
      <w:tc>
        <w:tcPr>
          <w:tcW w:w="965" w:type="dxa"/>
        </w:tcPr>
        <w:p w14:paraId="2F51A90F" w14:textId="77777777" w:rsidR="003177ED" w:rsidRPr="00B3752F" w:rsidRDefault="003177ED" w:rsidP="004213C3">
          <w:pPr>
            <w:pStyle w:val="Footer"/>
            <w:rPr>
              <w:rFonts w:cs="Arial"/>
              <w:b/>
              <w:bCs/>
              <w:i/>
              <w:sz w:val="20"/>
            </w:rPr>
          </w:pPr>
          <w:r w:rsidRPr="00B3752F">
            <w:rPr>
              <w:rFonts w:cs="Arial"/>
              <w:b/>
              <w:bCs/>
              <w:i/>
              <w:sz w:val="20"/>
            </w:rPr>
            <w:t>Version</w:t>
          </w:r>
        </w:p>
      </w:tc>
      <w:tc>
        <w:tcPr>
          <w:tcW w:w="1325" w:type="dxa"/>
        </w:tcPr>
        <w:p w14:paraId="2F51A910" w14:textId="77777777" w:rsidR="003177ED" w:rsidRPr="00B3752F" w:rsidRDefault="003177ED" w:rsidP="004213C3">
          <w:pPr>
            <w:pStyle w:val="Footer"/>
            <w:rPr>
              <w:rFonts w:cs="Arial"/>
              <w:b/>
              <w:bCs/>
              <w:i/>
              <w:sz w:val="20"/>
            </w:rPr>
          </w:pPr>
          <w:r w:rsidRPr="00B3752F">
            <w:rPr>
              <w:rFonts w:cs="Arial"/>
              <w:b/>
              <w:bCs/>
              <w:i/>
              <w:sz w:val="20"/>
            </w:rPr>
            <w:t>Issued</w:t>
          </w:r>
        </w:p>
      </w:tc>
      <w:tc>
        <w:tcPr>
          <w:tcW w:w="1396" w:type="dxa"/>
        </w:tcPr>
        <w:p w14:paraId="2F51A911" w14:textId="77777777" w:rsidR="003177ED" w:rsidRPr="00B3752F" w:rsidRDefault="003177ED" w:rsidP="004213C3">
          <w:pPr>
            <w:pStyle w:val="Footer"/>
            <w:rPr>
              <w:rFonts w:cs="Arial"/>
              <w:b/>
              <w:bCs/>
              <w:i/>
              <w:sz w:val="20"/>
            </w:rPr>
          </w:pPr>
          <w:r w:rsidRPr="00B3752F">
            <w:rPr>
              <w:rFonts w:cs="Arial"/>
              <w:b/>
              <w:bCs/>
              <w:i/>
              <w:sz w:val="20"/>
            </w:rPr>
            <w:t>Review Date</w:t>
          </w:r>
        </w:p>
      </w:tc>
      <w:tc>
        <w:tcPr>
          <w:tcW w:w="2835" w:type="dxa"/>
        </w:tcPr>
        <w:p w14:paraId="2F51A912" w14:textId="77777777" w:rsidR="003177ED" w:rsidRPr="00B3752F" w:rsidRDefault="003177ED" w:rsidP="004213C3">
          <w:pPr>
            <w:pStyle w:val="Footer"/>
            <w:rPr>
              <w:rFonts w:cs="Arial"/>
              <w:b/>
              <w:bCs/>
              <w:i/>
              <w:sz w:val="20"/>
            </w:rPr>
          </w:pPr>
          <w:r w:rsidRPr="00B3752F">
            <w:rPr>
              <w:rFonts w:cs="Arial"/>
              <w:b/>
              <w:bCs/>
              <w:i/>
              <w:sz w:val="20"/>
            </w:rPr>
            <w:t>Area Responsible</w:t>
          </w:r>
        </w:p>
      </w:tc>
      <w:tc>
        <w:tcPr>
          <w:tcW w:w="1372" w:type="dxa"/>
        </w:tcPr>
        <w:p w14:paraId="2F51A913" w14:textId="77777777" w:rsidR="003177ED" w:rsidRPr="00B3752F" w:rsidRDefault="003177ED" w:rsidP="004213C3">
          <w:pPr>
            <w:pStyle w:val="Footer"/>
            <w:rPr>
              <w:rFonts w:cs="Arial"/>
              <w:b/>
              <w:bCs/>
              <w:i/>
              <w:sz w:val="20"/>
            </w:rPr>
          </w:pPr>
          <w:r w:rsidRPr="00B3752F">
            <w:rPr>
              <w:rFonts w:cs="Arial"/>
              <w:b/>
              <w:bCs/>
              <w:i/>
              <w:sz w:val="20"/>
            </w:rPr>
            <w:t>Page</w:t>
          </w:r>
        </w:p>
      </w:tc>
    </w:tr>
    <w:tr w:rsidR="003177ED" w14:paraId="2F51A91B" w14:textId="77777777" w:rsidTr="00A57557">
      <w:tc>
        <w:tcPr>
          <w:tcW w:w="1276" w:type="dxa"/>
        </w:tcPr>
        <w:p w14:paraId="2F51A915" w14:textId="6F2D0462" w:rsidR="003177ED" w:rsidRPr="00542EE6" w:rsidRDefault="00A57557" w:rsidP="004213C3">
          <w:pPr>
            <w:pStyle w:val="Footer"/>
            <w:rPr>
              <w:rFonts w:cs="Arial"/>
              <w:b/>
              <w:bCs/>
              <w:sz w:val="20"/>
            </w:rPr>
          </w:pPr>
          <w:r>
            <w:rPr>
              <w:b/>
              <w:sz w:val="20"/>
            </w:rPr>
            <w:t>CHS21/563</w:t>
          </w:r>
        </w:p>
      </w:tc>
      <w:tc>
        <w:tcPr>
          <w:tcW w:w="965" w:type="dxa"/>
        </w:tcPr>
        <w:p w14:paraId="2F51A916" w14:textId="0F86A9EF" w:rsidR="003177ED" w:rsidRPr="00B3752F" w:rsidRDefault="00A57557" w:rsidP="004213C3">
          <w:pPr>
            <w:pStyle w:val="Footer"/>
            <w:rPr>
              <w:rFonts w:cs="Arial"/>
              <w:b/>
              <w:bCs/>
              <w:sz w:val="20"/>
            </w:rPr>
          </w:pPr>
          <w:r>
            <w:rPr>
              <w:rFonts w:cs="Arial"/>
              <w:b/>
              <w:bCs/>
              <w:sz w:val="20"/>
            </w:rPr>
            <w:t>1</w:t>
          </w:r>
        </w:p>
      </w:tc>
      <w:tc>
        <w:tcPr>
          <w:tcW w:w="1325" w:type="dxa"/>
        </w:tcPr>
        <w:p w14:paraId="2F51A917" w14:textId="48FA0B9C" w:rsidR="003177ED" w:rsidRPr="00B3752F" w:rsidRDefault="00A57557" w:rsidP="004213C3">
          <w:pPr>
            <w:pStyle w:val="Footer"/>
            <w:rPr>
              <w:rFonts w:cs="Arial"/>
              <w:b/>
              <w:bCs/>
              <w:sz w:val="20"/>
            </w:rPr>
          </w:pPr>
          <w:r>
            <w:rPr>
              <w:rFonts w:cs="Arial"/>
              <w:b/>
              <w:bCs/>
              <w:sz w:val="20"/>
            </w:rPr>
            <w:t>08/10/2021</w:t>
          </w:r>
        </w:p>
      </w:tc>
      <w:tc>
        <w:tcPr>
          <w:tcW w:w="1396" w:type="dxa"/>
        </w:tcPr>
        <w:p w14:paraId="2F51A918" w14:textId="23609761" w:rsidR="003177ED" w:rsidRPr="00B3752F" w:rsidRDefault="00A57557" w:rsidP="004213C3">
          <w:pPr>
            <w:pStyle w:val="Footer"/>
            <w:rPr>
              <w:rFonts w:cs="Arial"/>
              <w:b/>
              <w:bCs/>
              <w:sz w:val="20"/>
            </w:rPr>
          </w:pPr>
          <w:r>
            <w:rPr>
              <w:rFonts w:cs="Arial"/>
              <w:b/>
              <w:bCs/>
              <w:sz w:val="20"/>
            </w:rPr>
            <w:t>01/10/2025</w:t>
          </w:r>
        </w:p>
      </w:tc>
      <w:tc>
        <w:tcPr>
          <w:tcW w:w="2835" w:type="dxa"/>
        </w:tcPr>
        <w:p w14:paraId="2F51A919" w14:textId="22E7E527" w:rsidR="003177ED" w:rsidRPr="00B3752F" w:rsidRDefault="00A57557" w:rsidP="004213C3">
          <w:pPr>
            <w:pStyle w:val="Footer"/>
            <w:rPr>
              <w:rFonts w:cs="Arial"/>
              <w:b/>
              <w:bCs/>
              <w:sz w:val="20"/>
            </w:rPr>
          </w:pPr>
          <w:r>
            <w:rPr>
              <w:rFonts w:cs="Arial"/>
              <w:b/>
              <w:bCs/>
              <w:sz w:val="20"/>
            </w:rPr>
            <w:t>Medical Services - Pharmacy</w:t>
          </w:r>
        </w:p>
      </w:tc>
      <w:tc>
        <w:tcPr>
          <w:tcW w:w="1372" w:type="dxa"/>
        </w:tcPr>
        <w:p w14:paraId="2F51A91A" w14:textId="77777777" w:rsidR="003177ED" w:rsidRPr="00B3752F" w:rsidRDefault="003177ED"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3177ED" w14:paraId="668DA41F" w14:textId="77777777" w:rsidTr="00A57557">
      <w:trPr>
        <w:trHeight w:val="231"/>
      </w:trPr>
      <w:tc>
        <w:tcPr>
          <w:tcW w:w="9172" w:type="dxa"/>
          <w:gridSpan w:val="6"/>
          <w:tcBorders>
            <w:top w:val="single" w:sz="4" w:space="0" w:color="auto"/>
            <w:left w:val="single" w:sz="4" w:space="0" w:color="auto"/>
            <w:bottom w:val="single" w:sz="4" w:space="0" w:color="auto"/>
            <w:right w:val="single" w:sz="4" w:space="0" w:color="auto"/>
          </w:tcBorders>
        </w:tcPr>
        <w:p w14:paraId="512A806D" w14:textId="713A0083" w:rsidR="003177ED" w:rsidRPr="002C1428" w:rsidRDefault="003177ED"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3177ED" w:rsidRPr="00AE7C5C" w:rsidRDefault="003177ED" w:rsidP="00CD15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EFF04" w14:textId="77777777" w:rsidR="003177ED" w:rsidRDefault="00317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933DF" w14:textId="77777777" w:rsidR="003177ED" w:rsidRDefault="003177ED" w:rsidP="00F66CB0">
      <w:r>
        <w:separator/>
      </w:r>
    </w:p>
  </w:footnote>
  <w:footnote w:type="continuationSeparator" w:id="0">
    <w:p w14:paraId="1F4E71BA" w14:textId="77777777" w:rsidR="003177ED" w:rsidRDefault="003177E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3177ED" w14:paraId="2171208F" w14:textId="77777777" w:rsidTr="0074223E">
      <w:trPr>
        <w:trHeight w:val="1418"/>
      </w:trPr>
      <w:tc>
        <w:tcPr>
          <w:tcW w:w="5556" w:type="dxa"/>
          <w:vAlign w:val="center"/>
          <w:hideMark/>
        </w:tcPr>
        <w:p w14:paraId="2F183798" w14:textId="5F83109D" w:rsidR="003177ED" w:rsidRDefault="003177ED" w:rsidP="0074223E">
          <w:pPr>
            <w:pStyle w:val="Header"/>
            <w:rPr>
              <w:sz w:val="20"/>
            </w:rPr>
          </w:pPr>
          <w:r>
            <w:rPr>
              <w:noProof/>
            </w:rPr>
            <w:drawing>
              <wp:inline distT="0" distB="0" distL="0" distR="0" wp14:anchorId="17CCBCD3" wp14:editId="2474B0A3">
                <wp:extent cx="3295650" cy="723900"/>
                <wp:effectExtent l="0" t="0" r="0" b="0"/>
                <wp:docPr id="9" name="Picture 9"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nberra Health Services_RGB"/>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4F198787" w14:textId="1477A284" w:rsidR="003177ED" w:rsidRDefault="003177ED" w:rsidP="00B8146E">
          <w:pPr>
            <w:pStyle w:val="Header"/>
            <w:tabs>
              <w:tab w:val="left" w:pos="720"/>
            </w:tabs>
            <w:jc w:val="right"/>
            <w:rPr>
              <w:sz w:val="20"/>
            </w:rPr>
          </w:pPr>
          <w:r>
            <w:rPr>
              <w:sz w:val="20"/>
            </w:rPr>
            <w:t>CHS21/</w:t>
          </w:r>
          <w:r w:rsidR="00C936F1">
            <w:rPr>
              <w:sz w:val="20"/>
            </w:rPr>
            <w:t>563</w:t>
          </w:r>
        </w:p>
      </w:tc>
    </w:tr>
  </w:tbl>
  <w:p w14:paraId="0BFAD19D" w14:textId="77777777" w:rsidR="003177ED" w:rsidRPr="00FC3538" w:rsidRDefault="003177ED">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F7783" w14:textId="77777777" w:rsidR="003177ED" w:rsidRDefault="00317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7357"/>
    </w:tblGrid>
    <w:tr w:rsidR="003177ED" w14:paraId="2F51A90C" w14:textId="77777777" w:rsidTr="003177ED">
      <w:trPr>
        <w:trHeight w:val="1418"/>
      </w:trPr>
      <w:tc>
        <w:tcPr>
          <w:tcW w:w="5543" w:type="dxa"/>
          <w:vAlign w:val="center"/>
          <w:hideMark/>
        </w:tcPr>
        <w:p w14:paraId="2F51A90A" w14:textId="1FA349C8" w:rsidR="003177ED" w:rsidRDefault="003177ED" w:rsidP="0074223E">
          <w:pPr>
            <w:pStyle w:val="Header"/>
            <w:rPr>
              <w:sz w:val="20"/>
            </w:rPr>
          </w:pPr>
          <w:r>
            <w:rPr>
              <w:noProof/>
              <w:sz w:val="20"/>
            </w:rPr>
            <w:drawing>
              <wp:inline distT="0" distB="0" distL="0" distR="0" wp14:anchorId="5330CC0D" wp14:editId="56523879">
                <wp:extent cx="3295650" cy="723900"/>
                <wp:effectExtent l="0" t="0" r="0" b="0"/>
                <wp:docPr id="10" name="Picture 1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7357" w:type="dxa"/>
          <w:vAlign w:val="center"/>
          <w:hideMark/>
        </w:tcPr>
        <w:p w14:paraId="2F51A90B" w14:textId="1ACCCD82" w:rsidR="003177ED" w:rsidRDefault="00D212FA">
          <w:pPr>
            <w:pStyle w:val="Header"/>
            <w:tabs>
              <w:tab w:val="left" w:pos="720"/>
            </w:tabs>
            <w:jc w:val="right"/>
            <w:rPr>
              <w:sz w:val="20"/>
            </w:rPr>
          </w:pPr>
          <w:bookmarkStart w:id="45" w:name="_top"/>
          <w:bookmarkEnd w:id="45"/>
          <w:r>
            <w:rPr>
              <w:sz w:val="20"/>
            </w:rPr>
            <w:t>CHS21/563</w:t>
          </w:r>
        </w:p>
      </w:tc>
    </w:tr>
  </w:tbl>
  <w:p w14:paraId="2F51A90D" w14:textId="77777777" w:rsidR="003177ED" w:rsidRPr="00FC3538" w:rsidRDefault="003177ED">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8E906" w14:textId="77777777" w:rsidR="003177ED" w:rsidRDefault="00317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C2EE78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6E51F91"/>
    <w:multiLevelType w:val="hybridMultilevel"/>
    <w:tmpl w:val="560447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B3DAE"/>
    <w:multiLevelType w:val="hybridMultilevel"/>
    <w:tmpl w:val="074427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69292E"/>
    <w:multiLevelType w:val="hybridMultilevel"/>
    <w:tmpl w:val="12689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CB2CCB"/>
    <w:multiLevelType w:val="hybridMultilevel"/>
    <w:tmpl w:val="DCE84EC8"/>
    <w:lvl w:ilvl="0" w:tplc="8F401D6E">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3CE7C76"/>
    <w:multiLevelType w:val="hybridMultilevel"/>
    <w:tmpl w:val="057A6FA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BE33ED"/>
    <w:multiLevelType w:val="hybridMultilevel"/>
    <w:tmpl w:val="2F22AE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D980FFF"/>
    <w:multiLevelType w:val="hybridMultilevel"/>
    <w:tmpl w:val="C4186B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F3E421A"/>
    <w:multiLevelType w:val="hybridMultilevel"/>
    <w:tmpl w:val="61708B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6F0D3F"/>
    <w:multiLevelType w:val="hybridMultilevel"/>
    <w:tmpl w:val="61022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F201E1"/>
    <w:multiLevelType w:val="hybridMultilevel"/>
    <w:tmpl w:val="85C661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E301327"/>
    <w:multiLevelType w:val="hybridMultilevel"/>
    <w:tmpl w:val="ED403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F6E3F12"/>
    <w:multiLevelType w:val="hybridMultilevel"/>
    <w:tmpl w:val="87A06DA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0F200B6"/>
    <w:multiLevelType w:val="hybridMultilevel"/>
    <w:tmpl w:val="C4CE8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CE2923"/>
    <w:multiLevelType w:val="hybridMultilevel"/>
    <w:tmpl w:val="96BC3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EA336D"/>
    <w:multiLevelType w:val="hybridMultilevel"/>
    <w:tmpl w:val="4580AF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EB6188"/>
    <w:multiLevelType w:val="hybridMultilevel"/>
    <w:tmpl w:val="4F6407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02504E7"/>
    <w:multiLevelType w:val="hybridMultilevel"/>
    <w:tmpl w:val="5D3063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6F5BA3"/>
    <w:multiLevelType w:val="hybridMultilevel"/>
    <w:tmpl w:val="6CEC29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AA55CD"/>
    <w:multiLevelType w:val="hybridMultilevel"/>
    <w:tmpl w:val="FEFA8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4F04774"/>
    <w:multiLevelType w:val="hybridMultilevel"/>
    <w:tmpl w:val="EEBC3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9E1CCB"/>
    <w:multiLevelType w:val="hybridMultilevel"/>
    <w:tmpl w:val="CC02074C"/>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2" w15:restartNumberingAfterBreak="0">
    <w:nsid w:val="59295560"/>
    <w:multiLevelType w:val="hybridMultilevel"/>
    <w:tmpl w:val="2C7CE22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DA4EDA"/>
    <w:multiLevelType w:val="hybridMultilevel"/>
    <w:tmpl w:val="776A78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8F0F64"/>
    <w:multiLevelType w:val="hybridMultilevel"/>
    <w:tmpl w:val="B7A0E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C401486"/>
    <w:multiLevelType w:val="hybridMultilevel"/>
    <w:tmpl w:val="1B90C5A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E55293"/>
    <w:multiLevelType w:val="hybridMultilevel"/>
    <w:tmpl w:val="470CF5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DBC1B4D"/>
    <w:multiLevelType w:val="hybridMultilevel"/>
    <w:tmpl w:val="C8FCED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E6E45FA"/>
    <w:multiLevelType w:val="hybridMultilevel"/>
    <w:tmpl w:val="5C5EF9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20"/>
  </w:num>
  <w:num w:numId="5">
    <w:abstractNumId w:val="13"/>
  </w:num>
  <w:num w:numId="6">
    <w:abstractNumId w:val="14"/>
  </w:num>
  <w:num w:numId="7">
    <w:abstractNumId w:val="8"/>
  </w:num>
  <w:num w:numId="8">
    <w:abstractNumId w:val="27"/>
  </w:num>
  <w:num w:numId="9">
    <w:abstractNumId w:val="21"/>
  </w:num>
  <w:num w:numId="10">
    <w:abstractNumId w:val="7"/>
  </w:num>
  <w:num w:numId="11">
    <w:abstractNumId w:val="9"/>
  </w:num>
  <w:num w:numId="12">
    <w:abstractNumId w:val="11"/>
  </w:num>
  <w:num w:numId="13">
    <w:abstractNumId w:val="28"/>
  </w:num>
  <w:num w:numId="14">
    <w:abstractNumId w:val="24"/>
  </w:num>
  <w:num w:numId="15">
    <w:abstractNumId w:val="16"/>
  </w:num>
  <w:num w:numId="16">
    <w:abstractNumId w:val="19"/>
  </w:num>
  <w:num w:numId="17">
    <w:abstractNumId w:val="3"/>
  </w:num>
  <w:num w:numId="18">
    <w:abstractNumId w:val="10"/>
  </w:num>
  <w:num w:numId="19">
    <w:abstractNumId w:val="17"/>
  </w:num>
  <w:num w:numId="20">
    <w:abstractNumId w:val="26"/>
  </w:num>
  <w:num w:numId="21">
    <w:abstractNumId w:val="4"/>
  </w:num>
  <w:num w:numId="22">
    <w:abstractNumId w:val="12"/>
  </w:num>
  <w:num w:numId="23">
    <w:abstractNumId w:val="25"/>
  </w:num>
  <w:num w:numId="24">
    <w:abstractNumId w:val="2"/>
  </w:num>
  <w:num w:numId="25">
    <w:abstractNumId w:val="22"/>
  </w:num>
  <w:num w:numId="26">
    <w:abstractNumId w:val="15"/>
  </w:num>
  <w:num w:numId="27">
    <w:abstractNumId w:val="1"/>
  </w:num>
  <w:num w:numId="28">
    <w:abstractNumId w:val="23"/>
  </w:num>
  <w:num w:numId="29">
    <w:abstractNumId w:val="18"/>
  </w:num>
  <w:num w:numId="3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DBD"/>
    <w:rsid w:val="00005DD9"/>
    <w:rsid w:val="000121C3"/>
    <w:rsid w:val="00015B90"/>
    <w:rsid w:val="0001607A"/>
    <w:rsid w:val="00091AC9"/>
    <w:rsid w:val="00095ECD"/>
    <w:rsid w:val="000A7335"/>
    <w:rsid w:val="000B1620"/>
    <w:rsid w:val="000B5C8C"/>
    <w:rsid w:val="000B71ED"/>
    <w:rsid w:val="000C0200"/>
    <w:rsid w:val="000C52F5"/>
    <w:rsid w:val="000C59E2"/>
    <w:rsid w:val="000C7B2D"/>
    <w:rsid w:val="000F7B7E"/>
    <w:rsid w:val="00103EEA"/>
    <w:rsid w:val="001115D7"/>
    <w:rsid w:val="00144883"/>
    <w:rsid w:val="00165F6B"/>
    <w:rsid w:val="00191109"/>
    <w:rsid w:val="00191235"/>
    <w:rsid w:val="001926F4"/>
    <w:rsid w:val="00194FB8"/>
    <w:rsid w:val="001A0053"/>
    <w:rsid w:val="001B2465"/>
    <w:rsid w:val="001B3435"/>
    <w:rsid w:val="001F2A9B"/>
    <w:rsid w:val="001F6D2D"/>
    <w:rsid w:val="00200D04"/>
    <w:rsid w:val="00201FB6"/>
    <w:rsid w:val="00231F81"/>
    <w:rsid w:val="00236FA7"/>
    <w:rsid w:val="002405CF"/>
    <w:rsid w:val="00240B97"/>
    <w:rsid w:val="00251687"/>
    <w:rsid w:val="0025382D"/>
    <w:rsid w:val="00263BA6"/>
    <w:rsid w:val="0027264D"/>
    <w:rsid w:val="00285D38"/>
    <w:rsid w:val="00293E43"/>
    <w:rsid w:val="002A575F"/>
    <w:rsid w:val="002B5F43"/>
    <w:rsid w:val="002C1A19"/>
    <w:rsid w:val="002E325A"/>
    <w:rsid w:val="00313707"/>
    <w:rsid w:val="003177ED"/>
    <w:rsid w:val="0032270B"/>
    <w:rsid w:val="00337E7C"/>
    <w:rsid w:val="00351CD9"/>
    <w:rsid w:val="00353CBB"/>
    <w:rsid w:val="003542AE"/>
    <w:rsid w:val="00366924"/>
    <w:rsid w:val="00376A6D"/>
    <w:rsid w:val="00380B98"/>
    <w:rsid w:val="0039014D"/>
    <w:rsid w:val="00395E36"/>
    <w:rsid w:val="00396023"/>
    <w:rsid w:val="003C204E"/>
    <w:rsid w:val="003C4BB5"/>
    <w:rsid w:val="003D427A"/>
    <w:rsid w:val="003E4CC0"/>
    <w:rsid w:val="003E5A88"/>
    <w:rsid w:val="003F3D8F"/>
    <w:rsid w:val="00410409"/>
    <w:rsid w:val="004125EA"/>
    <w:rsid w:val="00412CED"/>
    <w:rsid w:val="00416751"/>
    <w:rsid w:val="00420F9E"/>
    <w:rsid w:val="004213C3"/>
    <w:rsid w:val="0042413C"/>
    <w:rsid w:val="00427139"/>
    <w:rsid w:val="00431A1C"/>
    <w:rsid w:val="004358E9"/>
    <w:rsid w:val="004537B3"/>
    <w:rsid w:val="00476759"/>
    <w:rsid w:val="0048050C"/>
    <w:rsid w:val="00487DD5"/>
    <w:rsid w:val="00492B5D"/>
    <w:rsid w:val="004947A7"/>
    <w:rsid w:val="004A2E02"/>
    <w:rsid w:val="004B7C43"/>
    <w:rsid w:val="004C2B20"/>
    <w:rsid w:val="004D6932"/>
    <w:rsid w:val="004E28AD"/>
    <w:rsid w:val="004F0F49"/>
    <w:rsid w:val="004F1D05"/>
    <w:rsid w:val="004F2008"/>
    <w:rsid w:val="004F35A5"/>
    <w:rsid w:val="00505B5D"/>
    <w:rsid w:val="005067CA"/>
    <w:rsid w:val="0052443C"/>
    <w:rsid w:val="00525F00"/>
    <w:rsid w:val="0052775E"/>
    <w:rsid w:val="005416F0"/>
    <w:rsid w:val="00542514"/>
    <w:rsid w:val="00546AED"/>
    <w:rsid w:val="005512EF"/>
    <w:rsid w:val="005621E4"/>
    <w:rsid w:val="00572D90"/>
    <w:rsid w:val="00590902"/>
    <w:rsid w:val="00592A14"/>
    <w:rsid w:val="00596FD7"/>
    <w:rsid w:val="005A2A1A"/>
    <w:rsid w:val="005A3625"/>
    <w:rsid w:val="005B4738"/>
    <w:rsid w:val="005C212D"/>
    <w:rsid w:val="005C3CB0"/>
    <w:rsid w:val="005E1140"/>
    <w:rsid w:val="005F3214"/>
    <w:rsid w:val="00601BCF"/>
    <w:rsid w:val="00612231"/>
    <w:rsid w:val="00635EB1"/>
    <w:rsid w:val="006473BB"/>
    <w:rsid w:val="0066495D"/>
    <w:rsid w:val="00680489"/>
    <w:rsid w:val="00690336"/>
    <w:rsid w:val="006932FC"/>
    <w:rsid w:val="00695EB6"/>
    <w:rsid w:val="006A3770"/>
    <w:rsid w:val="006A4D46"/>
    <w:rsid w:val="006A6024"/>
    <w:rsid w:val="006C31FF"/>
    <w:rsid w:val="006C6256"/>
    <w:rsid w:val="006C6B6C"/>
    <w:rsid w:val="006C704D"/>
    <w:rsid w:val="006D31A2"/>
    <w:rsid w:val="006E1C8B"/>
    <w:rsid w:val="0070331D"/>
    <w:rsid w:val="007052B1"/>
    <w:rsid w:val="00711BF4"/>
    <w:rsid w:val="007128D3"/>
    <w:rsid w:val="00741B43"/>
    <w:rsid w:val="0074206C"/>
    <w:rsid w:val="0074223E"/>
    <w:rsid w:val="007543AC"/>
    <w:rsid w:val="00756537"/>
    <w:rsid w:val="00756A2B"/>
    <w:rsid w:val="007A0EBC"/>
    <w:rsid w:val="007A335F"/>
    <w:rsid w:val="007B27F1"/>
    <w:rsid w:val="007B4ABB"/>
    <w:rsid w:val="007B6904"/>
    <w:rsid w:val="007B7628"/>
    <w:rsid w:val="007C36E4"/>
    <w:rsid w:val="007C6552"/>
    <w:rsid w:val="00811314"/>
    <w:rsid w:val="00813BBF"/>
    <w:rsid w:val="00816782"/>
    <w:rsid w:val="0082141D"/>
    <w:rsid w:val="00827F24"/>
    <w:rsid w:val="00845445"/>
    <w:rsid w:val="00855DA8"/>
    <w:rsid w:val="00870E8B"/>
    <w:rsid w:val="00886399"/>
    <w:rsid w:val="00895FFA"/>
    <w:rsid w:val="008974CA"/>
    <w:rsid w:val="008E1F7F"/>
    <w:rsid w:val="008E47AA"/>
    <w:rsid w:val="008E4B0C"/>
    <w:rsid w:val="008F00E8"/>
    <w:rsid w:val="00906142"/>
    <w:rsid w:val="00925DC8"/>
    <w:rsid w:val="00931B93"/>
    <w:rsid w:val="00933EED"/>
    <w:rsid w:val="00940CDE"/>
    <w:rsid w:val="009410DF"/>
    <w:rsid w:val="00962C46"/>
    <w:rsid w:val="00970C69"/>
    <w:rsid w:val="00976030"/>
    <w:rsid w:val="0097742A"/>
    <w:rsid w:val="0097744F"/>
    <w:rsid w:val="00980EED"/>
    <w:rsid w:val="00991670"/>
    <w:rsid w:val="009B36AD"/>
    <w:rsid w:val="009B6C8C"/>
    <w:rsid w:val="009C0BF9"/>
    <w:rsid w:val="009C0FCA"/>
    <w:rsid w:val="009C3963"/>
    <w:rsid w:val="009D323C"/>
    <w:rsid w:val="009E70F4"/>
    <w:rsid w:val="00A35E2D"/>
    <w:rsid w:val="00A54CB3"/>
    <w:rsid w:val="00A57557"/>
    <w:rsid w:val="00A670EE"/>
    <w:rsid w:val="00A74B8A"/>
    <w:rsid w:val="00A80171"/>
    <w:rsid w:val="00A85F61"/>
    <w:rsid w:val="00A86DB3"/>
    <w:rsid w:val="00A92E4F"/>
    <w:rsid w:val="00AA25DC"/>
    <w:rsid w:val="00AA3D99"/>
    <w:rsid w:val="00AB50DD"/>
    <w:rsid w:val="00AC666D"/>
    <w:rsid w:val="00AC7025"/>
    <w:rsid w:val="00AD196F"/>
    <w:rsid w:val="00AD3CCE"/>
    <w:rsid w:val="00B07A46"/>
    <w:rsid w:val="00B07DCE"/>
    <w:rsid w:val="00B12123"/>
    <w:rsid w:val="00B121D1"/>
    <w:rsid w:val="00B21043"/>
    <w:rsid w:val="00B2227E"/>
    <w:rsid w:val="00B42EA0"/>
    <w:rsid w:val="00B44CAC"/>
    <w:rsid w:val="00B573D6"/>
    <w:rsid w:val="00B73E65"/>
    <w:rsid w:val="00B81455"/>
    <w:rsid w:val="00B8146E"/>
    <w:rsid w:val="00B9627F"/>
    <w:rsid w:val="00BA2415"/>
    <w:rsid w:val="00BA4DB2"/>
    <w:rsid w:val="00BA4F95"/>
    <w:rsid w:val="00BB33F9"/>
    <w:rsid w:val="00BC3CE6"/>
    <w:rsid w:val="00BE5E41"/>
    <w:rsid w:val="00BE701C"/>
    <w:rsid w:val="00BF078E"/>
    <w:rsid w:val="00BF7C67"/>
    <w:rsid w:val="00C04E41"/>
    <w:rsid w:val="00C206FB"/>
    <w:rsid w:val="00C24EDC"/>
    <w:rsid w:val="00C25A76"/>
    <w:rsid w:val="00C31EB3"/>
    <w:rsid w:val="00C32206"/>
    <w:rsid w:val="00C422C8"/>
    <w:rsid w:val="00C45C67"/>
    <w:rsid w:val="00C47091"/>
    <w:rsid w:val="00C523FF"/>
    <w:rsid w:val="00C71C3C"/>
    <w:rsid w:val="00C76998"/>
    <w:rsid w:val="00C936F1"/>
    <w:rsid w:val="00C93E83"/>
    <w:rsid w:val="00CA593D"/>
    <w:rsid w:val="00CC5D11"/>
    <w:rsid w:val="00CD1505"/>
    <w:rsid w:val="00D05BDF"/>
    <w:rsid w:val="00D212FA"/>
    <w:rsid w:val="00D21780"/>
    <w:rsid w:val="00D23346"/>
    <w:rsid w:val="00D243B8"/>
    <w:rsid w:val="00D34794"/>
    <w:rsid w:val="00D4502D"/>
    <w:rsid w:val="00D530CE"/>
    <w:rsid w:val="00D53E3C"/>
    <w:rsid w:val="00D730E3"/>
    <w:rsid w:val="00D77950"/>
    <w:rsid w:val="00DA01B8"/>
    <w:rsid w:val="00DB6753"/>
    <w:rsid w:val="00DC3762"/>
    <w:rsid w:val="00DC5C47"/>
    <w:rsid w:val="00DD616A"/>
    <w:rsid w:val="00DE0465"/>
    <w:rsid w:val="00DE0C33"/>
    <w:rsid w:val="00DE4E25"/>
    <w:rsid w:val="00E049ED"/>
    <w:rsid w:val="00E11C45"/>
    <w:rsid w:val="00E34E6D"/>
    <w:rsid w:val="00E37CD4"/>
    <w:rsid w:val="00E4104D"/>
    <w:rsid w:val="00E57848"/>
    <w:rsid w:val="00E73459"/>
    <w:rsid w:val="00E750BF"/>
    <w:rsid w:val="00E8185D"/>
    <w:rsid w:val="00E86667"/>
    <w:rsid w:val="00E901C2"/>
    <w:rsid w:val="00E90708"/>
    <w:rsid w:val="00EC6A37"/>
    <w:rsid w:val="00ED21C3"/>
    <w:rsid w:val="00ED388C"/>
    <w:rsid w:val="00ED46C3"/>
    <w:rsid w:val="00EF02B0"/>
    <w:rsid w:val="00EF13A4"/>
    <w:rsid w:val="00F01B61"/>
    <w:rsid w:val="00F11338"/>
    <w:rsid w:val="00F115A5"/>
    <w:rsid w:val="00F13AE5"/>
    <w:rsid w:val="00F149FD"/>
    <w:rsid w:val="00F14EC1"/>
    <w:rsid w:val="00F24FE2"/>
    <w:rsid w:val="00F4262F"/>
    <w:rsid w:val="00F53719"/>
    <w:rsid w:val="00F57291"/>
    <w:rsid w:val="00F65FFF"/>
    <w:rsid w:val="00F66CB0"/>
    <w:rsid w:val="00F76C89"/>
    <w:rsid w:val="00F80A3C"/>
    <w:rsid w:val="00F9158A"/>
    <w:rsid w:val="00F957E1"/>
    <w:rsid w:val="00FA29B8"/>
    <w:rsid w:val="00FC7CBC"/>
    <w:rsid w:val="00FD3D92"/>
    <w:rsid w:val="00FE6614"/>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AA3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613496">
      <w:bodyDiv w:val="1"/>
      <w:marLeft w:val="0"/>
      <w:marRight w:val="0"/>
      <w:marTop w:val="0"/>
      <w:marBottom w:val="0"/>
      <w:divBdr>
        <w:top w:val="none" w:sz="0" w:space="0" w:color="auto"/>
        <w:left w:val="none" w:sz="0" w:space="0" w:color="auto"/>
        <w:bottom w:val="none" w:sz="0" w:space="0" w:color="auto"/>
        <w:right w:val="none" w:sz="0" w:space="0" w:color="auto"/>
      </w:divBdr>
    </w:div>
    <w:div w:id="786779303">
      <w:bodyDiv w:val="1"/>
      <w:marLeft w:val="0"/>
      <w:marRight w:val="0"/>
      <w:marTop w:val="0"/>
      <w:marBottom w:val="0"/>
      <w:divBdr>
        <w:top w:val="none" w:sz="0" w:space="0" w:color="auto"/>
        <w:left w:val="none" w:sz="0" w:space="0" w:color="auto"/>
        <w:bottom w:val="none" w:sz="0" w:space="0" w:color="auto"/>
        <w:right w:val="none" w:sz="0" w:space="0" w:color="auto"/>
      </w:divBdr>
    </w:div>
    <w:div w:id="903949241">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19991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www.blood.gov.au/system/files/documents/pbm-module-2-qrg.pdf"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actgovernment.sharepoint.com/sites/Intranet-CHS/SitePages/Formulary.aspx" TargetMode="External"/><Relationship Id="rId17" Type="http://schemas.openxmlformats.org/officeDocument/2006/relationships/header" Target="header2.xml"/><Relationship Id="rId25" Type="http://schemas.openxmlformats.org/officeDocument/2006/relationships/hyperlink" Target="http://www.nba.gov.au" TargetMode="External"/><Relationship Id="rId2" Type="http://schemas.openxmlformats.org/officeDocument/2006/relationships/customXml" Target="../customXml/item2.xml"/><Relationship Id="rId16" Type="http://schemas.openxmlformats.org/officeDocument/2006/relationships/hyperlink" Target="https://actgovernment.sharepoint.com/sites/Intranet-CHS/SitePages/Formulary.asp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ood.gov.au/pbm-guidelines"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actgovernment.sharepoint.com/sites/Intranet-CHS/SitePages/Formulary.aspx"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49160.486FA03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2021-09-29T14:00:00+00:00</Approval_x0020_Date>
    <Review_x0020_Date xmlns="690b2128-8961-48af-a473-22c34a9accba">2025-09-30T14:00:00+00:00</Review_x0020_Date>
    <TaxCatchAll xmlns="c0239a80-7f07-4ed7-82c3-24ad7d76ada5" xsi:nil="true"/>
    <Version_x0020_Number xmlns="690b2128-8961-48af-a473-22c34a9accba">1</Version_x0020_Number>
    <Notes0 xmlns="690b2128-8961-48af-a473-22c34a9accba">08 Oct 2021 - uploaded, advise sent to author and case manager.</Notes0>
    <Key_x0020_Words xmlns="690b2128-8961-48af-a473-22c34a9accba">Iron, iron infusion, intravenous iron, iv iron, iron sucrose, iron polymaltose, ferric carboxymaltose, iron (Fe), anaemia, ferritin, intravenous, ferrinject, iron deficiency</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CHHS18/138 Iron Infusions - Adults Only</Replaces_x003a_>
    <Risk_x0020_Rating xmlns="690b2128-8961-48af-a473-22c34a9accba">Medium</Risk_x0020_Rating>
    <Description0 xmlns="690b2128-8961-48af-a473-22c34a9accba">This procedure applies to all CHS staff working within their scope of practice that prescribe, administer, supply, monitor or advise on the use of iron infusions. </Description0>
    <Display_x0020_on_x0020_Internet xmlns="690b2128-8961-48af-a473-22c34a9accba">true</Display_x0020_on_x0020_Internet>
    <Related_x0020_Documents xmlns="690b2128-8961-48af-a473-22c34a9accba" xsi:nil="true"/>
    <Decision_x0020_Number xmlns="690b2128-8961-48af-a473-22c34a9accba">CHS21/563</Decision_x0020_Number>
    <New_x0020_Owner xmlns="690b2128-8961-48af-a473-22c34a9accba">Medical Services Group - Pharmacy</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 ds:uri="http://purl.org/dc/terms/"/>
    <ds:schemaRef ds:uri="http://schemas.microsoft.com/office/2006/documentManagement/types"/>
    <ds:schemaRef ds:uri="http://schemas.openxmlformats.org/package/2006/metadata/core-properties"/>
    <ds:schemaRef ds:uri="http://purl.org/dc/elements/1.1/"/>
    <ds:schemaRef ds:uri="690b2128-8961-48af-a473-22c34a9accba"/>
    <ds:schemaRef ds:uri="http://www.w3.org/XML/1998/namespace"/>
    <ds:schemaRef ds:uri="http://purl.org/dc/dcmitype/"/>
  </ds:schemaRefs>
</ds:datastoreItem>
</file>

<file path=customXml/itemProps2.xml><?xml version="1.0" encoding="utf-8"?>
<ds:datastoreItem xmlns:ds="http://schemas.openxmlformats.org/officeDocument/2006/customXml" ds:itemID="{F81E727B-F5FA-466F-A116-6E824F515D5D}">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CDDE3B97-7D67-44D3-AEC1-C205A152AF57}"/>
</file>

<file path=docProps/app.xml><?xml version="1.0" encoding="utf-8"?>
<Properties xmlns="http://schemas.openxmlformats.org/officeDocument/2006/extended-properties" xmlns:vt="http://schemas.openxmlformats.org/officeDocument/2006/docPropsVTypes">
  <Template>Normal</Template>
  <TotalTime>27</TotalTime>
  <Pages>16</Pages>
  <Words>3977</Words>
  <Characters>22674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Infusions - Adult Only</dc:title>
  <dc:subject>23;#Clinical Governance;#18;#Patient Care Procedures &amp; Processes</dc:subject>
  <dc:creator>Kerryn Hunter</dc:creator>
  <cp:lastModifiedBy>Stahre, Maria (Health)</cp:lastModifiedBy>
  <cp:revision>9</cp:revision>
  <cp:lastPrinted>2015-01-20T22:40:00Z</cp:lastPrinted>
  <dcterms:created xsi:type="dcterms:W3CDTF">2021-10-01T00:42:00Z</dcterms:created>
  <dcterms:modified xsi:type="dcterms:W3CDTF">2021-10-08T01:56:00Z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0d47f2-2d0a-4515-b8de-e13c18f23c62_Enabled">
    <vt:lpwstr>true</vt:lpwstr>
  </property>
  <property fmtid="{D5CDD505-2E9C-101B-9397-08002B2CF9AE}" pid="4" name="MSIP_Label_690d47f2-2d0a-4515-b8de-e13c18f23c62_SetDate">
    <vt:lpwstr>2021-09-24T04:20:40Z</vt:lpwstr>
  </property>
  <property fmtid="{D5CDD505-2E9C-101B-9397-08002B2CF9AE}" pid="5" name="MSIP_Label_690d47f2-2d0a-4515-b8de-e13c18f23c62_Method">
    <vt:lpwstr>Privileged</vt:lpwstr>
  </property>
  <property fmtid="{D5CDD505-2E9C-101B-9397-08002B2CF9AE}" pid="6" name="MSIP_Label_690d47f2-2d0a-4515-b8de-e13c18f23c62_Name">
    <vt:lpwstr>OFFICIAL</vt:lpwstr>
  </property>
  <property fmtid="{D5CDD505-2E9C-101B-9397-08002B2CF9AE}" pid="7" name="MSIP_Label_690d47f2-2d0a-4515-b8de-e13c18f23c62_SiteId">
    <vt:lpwstr>b46c1908-0334-4236-b978-585ee88e4199</vt:lpwstr>
  </property>
  <property fmtid="{D5CDD505-2E9C-101B-9397-08002B2CF9AE}" pid="8" name="MSIP_Label_690d47f2-2d0a-4515-b8de-e13c18f23c62_ActionId">
    <vt:lpwstr>1aa0b68b-8b92-4928-bbba-8fe3cec19316</vt:lpwstr>
  </property>
  <property fmtid="{D5CDD505-2E9C-101B-9397-08002B2CF9AE}" pid="9" name="MSIP_Label_690d47f2-2d0a-4515-b8de-e13c18f23c62_ContentBits">
    <vt:lpwstr>1</vt:lpwstr>
  </property>
</Properties>
</file>