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B3223" w14:textId="77777777" w:rsidR="00197F2E" w:rsidRPr="0007270D" w:rsidRDefault="00EE0C5F" w:rsidP="00241A68">
      <w:pPr>
        <w:pStyle w:val="Heading1"/>
      </w:pPr>
      <w:r>
        <w:t>Procedure</w:t>
      </w:r>
      <w:r w:rsidR="008606A0" w:rsidRPr="0007270D">
        <w:t xml:space="preserve"> </w:t>
      </w:r>
      <w:r w:rsidR="008606A0" w:rsidRPr="00241A68">
        <w:rPr>
          <w:b w:val="0"/>
          <w:bCs w:val="0"/>
        </w:rPr>
        <w:t xml:space="preserve">| </w:t>
      </w:r>
      <w:r w:rsidR="00481A6C" w:rsidRPr="00241A68">
        <w:rPr>
          <w:b w:val="0"/>
          <w:bCs w:val="0"/>
        </w:rPr>
        <w:t>Canberra Health Services</w:t>
      </w:r>
    </w:p>
    <w:p w14:paraId="56F29130" w14:textId="77777777" w:rsidR="002D5CCB" w:rsidRPr="00D049DE" w:rsidRDefault="002D5CCB" w:rsidP="002D5CCB">
      <w:pPr>
        <w:rPr>
          <w:i/>
          <w:iCs/>
          <w:sz w:val="36"/>
          <w:szCs w:val="36"/>
        </w:rPr>
      </w:pPr>
      <w:r w:rsidRPr="00D049DE">
        <w:rPr>
          <w:sz w:val="36"/>
          <w:szCs w:val="36"/>
        </w:rPr>
        <w:t>Electroconvulsive Therapy (ECT)/Neurostimulation (NS)</w:t>
      </w:r>
    </w:p>
    <w:p w14:paraId="60687BEC" w14:textId="7094ED57" w:rsidR="00CA4FDE" w:rsidRPr="00C34A10" w:rsidRDefault="00E31596" w:rsidP="00C34A10">
      <w:pPr>
        <w:pStyle w:val="BodyCopy"/>
        <w:spacing w:before="0" w:line="240" w:lineRule="auto"/>
        <w:rPr>
          <w:color w:val="575757" w:themeColor="text2"/>
        </w:rPr>
      </w:pPr>
      <w:r w:rsidRPr="00197F2E">
        <w:t>CHS</w:t>
      </w:r>
      <w:bookmarkStart w:id="0" w:name="_Hlk157074578"/>
      <w:r w:rsidR="00C66980">
        <w:t>25/261</w:t>
      </w:r>
    </w:p>
    <w:sdt>
      <w:sdtPr>
        <w:rPr>
          <w:sz w:val="32"/>
        </w:rPr>
        <w:id w:val="-1206019646"/>
        <w:docPartObj>
          <w:docPartGallery w:val="Table of Contents"/>
          <w:docPartUnique/>
        </w:docPartObj>
      </w:sdtPr>
      <w:sdtEndPr>
        <w:rPr>
          <w:noProof/>
        </w:rPr>
      </w:sdtEndPr>
      <w:sdtContent>
        <w:p w14:paraId="2366EDB2" w14:textId="77777777" w:rsidR="00A731B8" w:rsidRPr="000E7683" w:rsidRDefault="00A731B8">
          <w:pPr>
            <w:pStyle w:val="TOCHeading"/>
            <w:rPr>
              <w:rStyle w:val="Heading3Char"/>
              <w:b/>
              <w:bCs w:val="0"/>
            </w:rPr>
          </w:pPr>
          <w:r w:rsidRPr="007B1A7B">
            <w:rPr>
              <w:rStyle w:val="Heading3Char"/>
              <w:b/>
              <w:bCs w:val="0"/>
            </w:rPr>
            <w:t>Contents</w:t>
          </w:r>
        </w:p>
        <w:p w14:paraId="3B88890A" w14:textId="24E0A1C7" w:rsidR="001E400F" w:rsidRDefault="00A621FE">
          <w:pPr>
            <w:pStyle w:val="TOC1"/>
            <w:rPr>
              <w:rFonts w:asciiTheme="minorHAnsi" w:eastAsiaTheme="minorEastAsia" w:hAnsiTheme="minorHAnsi" w:cstheme="minorBidi"/>
              <w:color w:val="auto"/>
              <w:kern w:val="2"/>
              <w14:ligatures w14:val="standardContextual"/>
            </w:rPr>
          </w:pPr>
          <w:r>
            <w:rPr>
              <w:rFonts w:cs="Times New Roman"/>
              <w:b/>
            </w:rPr>
            <w:fldChar w:fldCharType="begin"/>
          </w:r>
          <w:r>
            <w:rPr>
              <w:rFonts w:cs="Times New Roman"/>
              <w:b/>
            </w:rPr>
            <w:instrText xml:space="preserve"> TOC \h \z \u \t "Heading 4,1" </w:instrText>
          </w:r>
          <w:r>
            <w:rPr>
              <w:rFonts w:cs="Times New Roman"/>
              <w:b/>
            </w:rPr>
            <w:fldChar w:fldCharType="separate"/>
          </w:r>
          <w:hyperlink w:anchor="_Toc204357988" w:history="1">
            <w:r w:rsidR="001E400F" w:rsidRPr="00702A34">
              <w:rPr>
                <w:rStyle w:val="Hyperlink"/>
              </w:rPr>
              <w:t>Purpose</w:t>
            </w:r>
            <w:r w:rsidR="001E400F">
              <w:rPr>
                <w:webHidden/>
              </w:rPr>
              <w:tab/>
            </w:r>
            <w:r w:rsidR="001E400F">
              <w:rPr>
                <w:webHidden/>
              </w:rPr>
              <w:fldChar w:fldCharType="begin"/>
            </w:r>
            <w:r w:rsidR="001E400F">
              <w:rPr>
                <w:webHidden/>
              </w:rPr>
              <w:instrText xml:space="preserve"> PAGEREF _Toc204357988 \h </w:instrText>
            </w:r>
            <w:r w:rsidR="001E400F">
              <w:rPr>
                <w:webHidden/>
              </w:rPr>
            </w:r>
            <w:r w:rsidR="001E400F">
              <w:rPr>
                <w:webHidden/>
              </w:rPr>
              <w:fldChar w:fldCharType="separate"/>
            </w:r>
            <w:r w:rsidR="001E400F">
              <w:rPr>
                <w:webHidden/>
              </w:rPr>
              <w:t>3</w:t>
            </w:r>
            <w:r w:rsidR="001E400F">
              <w:rPr>
                <w:webHidden/>
              </w:rPr>
              <w:fldChar w:fldCharType="end"/>
            </w:r>
          </w:hyperlink>
        </w:p>
        <w:p w14:paraId="7FFE1254" w14:textId="0B033BF4" w:rsidR="001E400F" w:rsidRDefault="001E400F">
          <w:pPr>
            <w:pStyle w:val="TOC1"/>
            <w:rPr>
              <w:rFonts w:asciiTheme="minorHAnsi" w:eastAsiaTheme="minorEastAsia" w:hAnsiTheme="minorHAnsi" w:cstheme="minorBidi"/>
              <w:color w:val="auto"/>
              <w:kern w:val="2"/>
              <w14:ligatures w14:val="standardContextual"/>
            </w:rPr>
          </w:pPr>
          <w:hyperlink w:anchor="_Toc204357989" w:history="1">
            <w:r w:rsidRPr="00702A34">
              <w:rPr>
                <w:rStyle w:val="Hyperlink"/>
              </w:rPr>
              <w:t>Alerts</w:t>
            </w:r>
            <w:r>
              <w:rPr>
                <w:webHidden/>
              </w:rPr>
              <w:tab/>
            </w:r>
            <w:r>
              <w:rPr>
                <w:webHidden/>
              </w:rPr>
              <w:fldChar w:fldCharType="begin"/>
            </w:r>
            <w:r>
              <w:rPr>
                <w:webHidden/>
              </w:rPr>
              <w:instrText xml:space="preserve"> PAGEREF _Toc204357989 \h </w:instrText>
            </w:r>
            <w:r>
              <w:rPr>
                <w:webHidden/>
              </w:rPr>
            </w:r>
            <w:r>
              <w:rPr>
                <w:webHidden/>
              </w:rPr>
              <w:fldChar w:fldCharType="separate"/>
            </w:r>
            <w:r>
              <w:rPr>
                <w:webHidden/>
              </w:rPr>
              <w:t>3</w:t>
            </w:r>
            <w:r>
              <w:rPr>
                <w:webHidden/>
              </w:rPr>
              <w:fldChar w:fldCharType="end"/>
            </w:r>
          </w:hyperlink>
        </w:p>
        <w:p w14:paraId="51122E94" w14:textId="127CFF56" w:rsidR="001E400F" w:rsidRDefault="001E400F">
          <w:pPr>
            <w:pStyle w:val="TOC1"/>
            <w:rPr>
              <w:rFonts w:asciiTheme="minorHAnsi" w:eastAsiaTheme="minorEastAsia" w:hAnsiTheme="minorHAnsi" w:cstheme="minorBidi"/>
              <w:color w:val="auto"/>
              <w:kern w:val="2"/>
              <w14:ligatures w14:val="standardContextual"/>
            </w:rPr>
          </w:pPr>
          <w:hyperlink w:anchor="_Toc204357990" w:history="1">
            <w:r w:rsidRPr="00702A34">
              <w:rPr>
                <w:rStyle w:val="Hyperlink"/>
              </w:rPr>
              <w:t>Scope</w:t>
            </w:r>
            <w:r>
              <w:rPr>
                <w:webHidden/>
              </w:rPr>
              <w:tab/>
            </w:r>
            <w:r>
              <w:rPr>
                <w:webHidden/>
              </w:rPr>
              <w:fldChar w:fldCharType="begin"/>
            </w:r>
            <w:r>
              <w:rPr>
                <w:webHidden/>
              </w:rPr>
              <w:instrText xml:space="preserve"> PAGEREF _Toc204357990 \h </w:instrText>
            </w:r>
            <w:r>
              <w:rPr>
                <w:webHidden/>
              </w:rPr>
            </w:r>
            <w:r>
              <w:rPr>
                <w:webHidden/>
              </w:rPr>
              <w:fldChar w:fldCharType="separate"/>
            </w:r>
            <w:r>
              <w:rPr>
                <w:webHidden/>
              </w:rPr>
              <w:t>4</w:t>
            </w:r>
            <w:r>
              <w:rPr>
                <w:webHidden/>
              </w:rPr>
              <w:fldChar w:fldCharType="end"/>
            </w:r>
          </w:hyperlink>
        </w:p>
        <w:p w14:paraId="4191CC97" w14:textId="3710B2D5" w:rsidR="001E400F" w:rsidRDefault="001E400F">
          <w:pPr>
            <w:pStyle w:val="TOC1"/>
            <w:rPr>
              <w:rFonts w:asciiTheme="minorHAnsi" w:eastAsiaTheme="minorEastAsia" w:hAnsiTheme="minorHAnsi" w:cstheme="minorBidi"/>
              <w:color w:val="auto"/>
              <w:kern w:val="2"/>
              <w14:ligatures w14:val="standardContextual"/>
            </w:rPr>
          </w:pPr>
          <w:hyperlink w:anchor="_Toc204357991" w:history="1">
            <w:r w:rsidRPr="00702A34">
              <w:rPr>
                <w:rStyle w:val="Hyperlink"/>
              </w:rPr>
              <w:t>Section 1 Governance</w:t>
            </w:r>
            <w:r>
              <w:rPr>
                <w:webHidden/>
              </w:rPr>
              <w:tab/>
            </w:r>
            <w:r>
              <w:rPr>
                <w:webHidden/>
              </w:rPr>
              <w:fldChar w:fldCharType="begin"/>
            </w:r>
            <w:r>
              <w:rPr>
                <w:webHidden/>
              </w:rPr>
              <w:instrText xml:space="preserve"> PAGEREF _Toc204357991 \h </w:instrText>
            </w:r>
            <w:r>
              <w:rPr>
                <w:webHidden/>
              </w:rPr>
            </w:r>
            <w:r>
              <w:rPr>
                <w:webHidden/>
              </w:rPr>
              <w:fldChar w:fldCharType="separate"/>
            </w:r>
            <w:r>
              <w:rPr>
                <w:webHidden/>
              </w:rPr>
              <w:t>4</w:t>
            </w:r>
            <w:r>
              <w:rPr>
                <w:webHidden/>
              </w:rPr>
              <w:fldChar w:fldCharType="end"/>
            </w:r>
          </w:hyperlink>
        </w:p>
        <w:p w14:paraId="11629B1E" w14:textId="5AF14135" w:rsidR="001E400F" w:rsidRDefault="001E400F">
          <w:pPr>
            <w:pStyle w:val="TOC1"/>
            <w:rPr>
              <w:rFonts w:asciiTheme="minorHAnsi" w:eastAsiaTheme="minorEastAsia" w:hAnsiTheme="minorHAnsi" w:cstheme="minorBidi"/>
              <w:color w:val="auto"/>
              <w:kern w:val="2"/>
              <w14:ligatures w14:val="standardContextual"/>
            </w:rPr>
          </w:pPr>
          <w:hyperlink w:anchor="_Toc204357992" w:history="1">
            <w:r w:rsidRPr="00702A34">
              <w:rPr>
                <w:rStyle w:val="Hyperlink"/>
              </w:rPr>
              <w:t>Section 2 – Roles and Responsibilities</w:t>
            </w:r>
            <w:r>
              <w:rPr>
                <w:webHidden/>
              </w:rPr>
              <w:tab/>
            </w:r>
            <w:r>
              <w:rPr>
                <w:webHidden/>
              </w:rPr>
              <w:fldChar w:fldCharType="begin"/>
            </w:r>
            <w:r>
              <w:rPr>
                <w:webHidden/>
              </w:rPr>
              <w:instrText xml:space="preserve"> PAGEREF _Toc204357992 \h </w:instrText>
            </w:r>
            <w:r>
              <w:rPr>
                <w:webHidden/>
              </w:rPr>
            </w:r>
            <w:r>
              <w:rPr>
                <w:webHidden/>
              </w:rPr>
              <w:fldChar w:fldCharType="separate"/>
            </w:r>
            <w:r>
              <w:rPr>
                <w:webHidden/>
              </w:rPr>
              <w:t>5</w:t>
            </w:r>
            <w:r>
              <w:rPr>
                <w:webHidden/>
              </w:rPr>
              <w:fldChar w:fldCharType="end"/>
            </w:r>
          </w:hyperlink>
        </w:p>
        <w:p w14:paraId="0EE594B6" w14:textId="678ED371" w:rsidR="001E400F" w:rsidRDefault="001E400F">
          <w:pPr>
            <w:pStyle w:val="TOC1"/>
            <w:rPr>
              <w:rFonts w:asciiTheme="minorHAnsi" w:eastAsiaTheme="minorEastAsia" w:hAnsiTheme="minorHAnsi" w:cstheme="minorBidi"/>
              <w:color w:val="auto"/>
              <w:kern w:val="2"/>
              <w14:ligatures w14:val="standardContextual"/>
            </w:rPr>
          </w:pPr>
          <w:hyperlink w:anchor="_Toc204357993" w:history="1">
            <w:r w:rsidRPr="00702A34">
              <w:rPr>
                <w:rStyle w:val="Hyperlink"/>
              </w:rPr>
              <w:t>Section 3 – Clinical Training, Credentialing and Scope of Practice</w:t>
            </w:r>
            <w:r>
              <w:rPr>
                <w:webHidden/>
              </w:rPr>
              <w:tab/>
            </w:r>
            <w:r>
              <w:rPr>
                <w:webHidden/>
              </w:rPr>
              <w:fldChar w:fldCharType="begin"/>
            </w:r>
            <w:r>
              <w:rPr>
                <w:webHidden/>
              </w:rPr>
              <w:instrText xml:space="preserve"> PAGEREF _Toc204357993 \h </w:instrText>
            </w:r>
            <w:r>
              <w:rPr>
                <w:webHidden/>
              </w:rPr>
            </w:r>
            <w:r>
              <w:rPr>
                <w:webHidden/>
              </w:rPr>
              <w:fldChar w:fldCharType="separate"/>
            </w:r>
            <w:r>
              <w:rPr>
                <w:webHidden/>
              </w:rPr>
              <w:t>12</w:t>
            </w:r>
            <w:r>
              <w:rPr>
                <w:webHidden/>
              </w:rPr>
              <w:fldChar w:fldCharType="end"/>
            </w:r>
          </w:hyperlink>
        </w:p>
        <w:p w14:paraId="1886B02F" w14:textId="4B1EF887" w:rsidR="001E400F" w:rsidRDefault="001E400F">
          <w:pPr>
            <w:pStyle w:val="TOC1"/>
            <w:rPr>
              <w:rFonts w:asciiTheme="minorHAnsi" w:eastAsiaTheme="minorEastAsia" w:hAnsiTheme="minorHAnsi" w:cstheme="minorBidi"/>
              <w:color w:val="auto"/>
              <w:kern w:val="2"/>
              <w14:ligatures w14:val="standardContextual"/>
            </w:rPr>
          </w:pPr>
          <w:hyperlink w:anchor="_Toc204357994" w:history="1">
            <w:r w:rsidRPr="00702A34">
              <w:rPr>
                <w:rStyle w:val="Hyperlink"/>
              </w:rPr>
              <w:t>Section 4 – Clinical Indications and Special Populations</w:t>
            </w:r>
            <w:r>
              <w:rPr>
                <w:webHidden/>
              </w:rPr>
              <w:tab/>
            </w:r>
            <w:r>
              <w:rPr>
                <w:webHidden/>
              </w:rPr>
              <w:fldChar w:fldCharType="begin"/>
            </w:r>
            <w:r>
              <w:rPr>
                <w:webHidden/>
              </w:rPr>
              <w:instrText xml:space="preserve"> PAGEREF _Toc204357994 \h </w:instrText>
            </w:r>
            <w:r>
              <w:rPr>
                <w:webHidden/>
              </w:rPr>
            </w:r>
            <w:r>
              <w:rPr>
                <w:webHidden/>
              </w:rPr>
              <w:fldChar w:fldCharType="separate"/>
            </w:r>
            <w:r>
              <w:rPr>
                <w:webHidden/>
              </w:rPr>
              <w:t>14</w:t>
            </w:r>
            <w:r>
              <w:rPr>
                <w:webHidden/>
              </w:rPr>
              <w:fldChar w:fldCharType="end"/>
            </w:r>
          </w:hyperlink>
        </w:p>
        <w:p w14:paraId="0221B90B" w14:textId="5A1312EA" w:rsidR="001E400F" w:rsidRDefault="001E400F">
          <w:pPr>
            <w:pStyle w:val="TOC1"/>
            <w:rPr>
              <w:rFonts w:asciiTheme="minorHAnsi" w:eastAsiaTheme="minorEastAsia" w:hAnsiTheme="minorHAnsi" w:cstheme="minorBidi"/>
              <w:color w:val="auto"/>
              <w:kern w:val="2"/>
              <w14:ligatures w14:val="standardContextual"/>
            </w:rPr>
          </w:pPr>
          <w:hyperlink w:anchor="_Toc204357995" w:history="1">
            <w:r w:rsidRPr="00702A34">
              <w:rPr>
                <w:rStyle w:val="Hyperlink"/>
              </w:rPr>
              <w:t>Section 5 – Consent for ECT</w:t>
            </w:r>
            <w:r>
              <w:rPr>
                <w:webHidden/>
              </w:rPr>
              <w:tab/>
            </w:r>
            <w:r>
              <w:rPr>
                <w:webHidden/>
              </w:rPr>
              <w:fldChar w:fldCharType="begin"/>
            </w:r>
            <w:r>
              <w:rPr>
                <w:webHidden/>
              </w:rPr>
              <w:instrText xml:space="preserve"> PAGEREF _Toc204357995 \h </w:instrText>
            </w:r>
            <w:r>
              <w:rPr>
                <w:webHidden/>
              </w:rPr>
            </w:r>
            <w:r>
              <w:rPr>
                <w:webHidden/>
              </w:rPr>
              <w:fldChar w:fldCharType="separate"/>
            </w:r>
            <w:r>
              <w:rPr>
                <w:webHidden/>
              </w:rPr>
              <w:t>16</w:t>
            </w:r>
            <w:r>
              <w:rPr>
                <w:webHidden/>
              </w:rPr>
              <w:fldChar w:fldCharType="end"/>
            </w:r>
          </w:hyperlink>
        </w:p>
        <w:p w14:paraId="62C496C9" w14:textId="66B23B9C" w:rsidR="001E400F" w:rsidRDefault="001E400F">
          <w:pPr>
            <w:pStyle w:val="TOC1"/>
            <w:rPr>
              <w:rFonts w:asciiTheme="minorHAnsi" w:eastAsiaTheme="minorEastAsia" w:hAnsiTheme="minorHAnsi" w:cstheme="minorBidi"/>
              <w:color w:val="auto"/>
              <w:kern w:val="2"/>
              <w14:ligatures w14:val="standardContextual"/>
            </w:rPr>
          </w:pPr>
          <w:hyperlink w:anchor="_Toc204357996" w:history="1">
            <w:r w:rsidRPr="00702A34">
              <w:rPr>
                <w:rStyle w:val="Hyperlink"/>
              </w:rPr>
              <w:t>Section 6 – Electroconvulsive Therapy Orders</w:t>
            </w:r>
            <w:r>
              <w:rPr>
                <w:webHidden/>
              </w:rPr>
              <w:tab/>
            </w:r>
            <w:r>
              <w:rPr>
                <w:webHidden/>
              </w:rPr>
              <w:fldChar w:fldCharType="begin"/>
            </w:r>
            <w:r>
              <w:rPr>
                <w:webHidden/>
              </w:rPr>
              <w:instrText xml:space="preserve"> PAGEREF _Toc204357996 \h </w:instrText>
            </w:r>
            <w:r>
              <w:rPr>
                <w:webHidden/>
              </w:rPr>
            </w:r>
            <w:r>
              <w:rPr>
                <w:webHidden/>
              </w:rPr>
              <w:fldChar w:fldCharType="separate"/>
            </w:r>
            <w:r>
              <w:rPr>
                <w:webHidden/>
              </w:rPr>
              <w:t>18</w:t>
            </w:r>
            <w:r>
              <w:rPr>
                <w:webHidden/>
              </w:rPr>
              <w:fldChar w:fldCharType="end"/>
            </w:r>
          </w:hyperlink>
        </w:p>
        <w:p w14:paraId="2AD99B47" w14:textId="3A97AF7C" w:rsidR="001E400F" w:rsidRDefault="001E400F">
          <w:pPr>
            <w:pStyle w:val="TOC1"/>
            <w:rPr>
              <w:rFonts w:asciiTheme="minorHAnsi" w:eastAsiaTheme="minorEastAsia" w:hAnsiTheme="minorHAnsi" w:cstheme="minorBidi"/>
              <w:color w:val="auto"/>
              <w:kern w:val="2"/>
              <w14:ligatures w14:val="standardContextual"/>
            </w:rPr>
          </w:pPr>
          <w:hyperlink w:anchor="_Toc204357997" w:history="1">
            <w:r w:rsidRPr="00702A34">
              <w:rPr>
                <w:rStyle w:val="Hyperlink"/>
              </w:rPr>
              <w:t xml:space="preserve">Section 7 – Preparation of a </w:t>
            </w:r>
            <w:r w:rsidRPr="00702A34">
              <w:rPr>
                <w:rStyle w:val="Hyperlink"/>
                <w:rFonts w:cstheme="minorHAnsi"/>
              </w:rPr>
              <w:t>Consumer</w:t>
            </w:r>
            <w:r w:rsidRPr="00702A34">
              <w:rPr>
                <w:rStyle w:val="Hyperlink"/>
              </w:rPr>
              <w:t xml:space="preserve"> for ECT</w:t>
            </w:r>
            <w:r>
              <w:rPr>
                <w:webHidden/>
              </w:rPr>
              <w:tab/>
            </w:r>
            <w:r>
              <w:rPr>
                <w:webHidden/>
              </w:rPr>
              <w:fldChar w:fldCharType="begin"/>
            </w:r>
            <w:r>
              <w:rPr>
                <w:webHidden/>
              </w:rPr>
              <w:instrText xml:space="preserve"> PAGEREF _Toc204357997 \h </w:instrText>
            </w:r>
            <w:r>
              <w:rPr>
                <w:webHidden/>
              </w:rPr>
            </w:r>
            <w:r>
              <w:rPr>
                <w:webHidden/>
              </w:rPr>
              <w:fldChar w:fldCharType="separate"/>
            </w:r>
            <w:r>
              <w:rPr>
                <w:webHidden/>
              </w:rPr>
              <w:t>20</w:t>
            </w:r>
            <w:r>
              <w:rPr>
                <w:webHidden/>
              </w:rPr>
              <w:fldChar w:fldCharType="end"/>
            </w:r>
          </w:hyperlink>
        </w:p>
        <w:p w14:paraId="7926BFBE" w14:textId="4BFD5CCE" w:rsidR="001E400F" w:rsidRDefault="001E400F">
          <w:pPr>
            <w:pStyle w:val="TOC1"/>
            <w:rPr>
              <w:rFonts w:asciiTheme="minorHAnsi" w:eastAsiaTheme="minorEastAsia" w:hAnsiTheme="minorHAnsi" w:cstheme="minorBidi"/>
              <w:color w:val="auto"/>
              <w:kern w:val="2"/>
              <w14:ligatures w14:val="standardContextual"/>
            </w:rPr>
          </w:pPr>
          <w:hyperlink w:anchor="_Toc204357998" w:history="1">
            <w:r w:rsidRPr="00702A34">
              <w:rPr>
                <w:rStyle w:val="Hyperlink"/>
              </w:rPr>
              <w:t>Section 8 – Administering ECT</w:t>
            </w:r>
            <w:r>
              <w:rPr>
                <w:webHidden/>
              </w:rPr>
              <w:tab/>
            </w:r>
            <w:r>
              <w:rPr>
                <w:webHidden/>
              </w:rPr>
              <w:fldChar w:fldCharType="begin"/>
            </w:r>
            <w:r>
              <w:rPr>
                <w:webHidden/>
              </w:rPr>
              <w:instrText xml:space="preserve"> PAGEREF _Toc204357998 \h </w:instrText>
            </w:r>
            <w:r>
              <w:rPr>
                <w:webHidden/>
              </w:rPr>
            </w:r>
            <w:r>
              <w:rPr>
                <w:webHidden/>
              </w:rPr>
              <w:fldChar w:fldCharType="separate"/>
            </w:r>
            <w:r>
              <w:rPr>
                <w:webHidden/>
              </w:rPr>
              <w:t>21</w:t>
            </w:r>
            <w:r>
              <w:rPr>
                <w:webHidden/>
              </w:rPr>
              <w:fldChar w:fldCharType="end"/>
            </w:r>
          </w:hyperlink>
        </w:p>
        <w:p w14:paraId="5E96CAC4" w14:textId="2F70712B" w:rsidR="001E400F" w:rsidRDefault="001E400F">
          <w:pPr>
            <w:pStyle w:val="TOC1"/>
            <w:rPr>
              <w:rFonts w:asciiTheme="minorHAnsi" w:eastAsiaTheme="minorEastAsia" w:hAnsiTheme="minorHAnsi" w:cstheme="minorBidi"/>
              <w:color w:val="auto"/>
              <w:kern w:val="2"/>
              <w14:ligatures w14:val="standardContextual"/>
            </w:rPr>
          </w:pPr>
          <w:hyperlink w:anchor="_Toc204357999" w:history="1">
            <w:r w:rsidRPr="00702A34">
              <w:rPr>
                <w:rStyle w:val="Hyperlink"/>
              </w:rPr>
              <w:t>Section 9 – Continuation and Maintenance ECT</w:t>
            </w:r>
            <w:r>
              <w:rPr>
                <w:webHidden/>
              </w:rPr>
              <w:tab/>
            </w:r>
            <w:r>
              <w:rPr>
                <w:webHidden/>
              </w:rPr>
              <w:fldChar w:fldCharType="begin"/>
            </w:r>
            <w:r>
              <w:rPr>
                <w:webHidden/>
              </w:rPr>
              <w:instrText xml:space="preserve"> PAGEREF _Toc204357999 \h </w:instrText>
            </w:r>
            <w:r>
              <w:rPr>
                <w:webHidden/>
              </w:rPr>
            </w:r>
            <w:r>
              <w:rPr>
                <w:webHidden/>
              </w:rPr>
              <w:fldChar w:fldCharType="separate"/>
            </w:r>
            <w:r>
              <w:rPr>
                <w:webHidden/>
              </w:rPr>
              <w:t>23</w:t>
            </w:r>
            <w:r>
              <w:rPr>
                <w:webHidden/>
              </w:rPr>
              <w:fldChar w:fldCharType="end"/>
            </w:r>
          </w:hyperlink>
        </w:p>
        <w:p w14:paraId="59EDAD06" w14:textId="4E6E6FD1" w:rsidR="001E400F" w:rsidRDefault="001E400F">
          <w:pPr>
            <w:pStyle w:val="TOC1"/>
            <w:rPr>
              <w:rFonts w:asciiTheme="minorHAnsi" w:eastAsiaTheme="minorEastAsia" w:hAnsiTheme="minorHAnsi" w:cstheme="minorBidi"/>
              <w:color w:val="auto"/>
              <w:kern w:val="2"/>
              <w14:ligatures w14:val="standardContextual"/>
            </w:rPr>
          </w:pPr>
          <w:hyperlink w:anchor="_Toc204358000" w:history="1">
            <w:r w:rsidRPr="00702A34">
              <w:rPr>
                <w:rStyle w:val="Hyperlink"/>
              </w:rPr>
              <w:t>Section 10 – Referral of outpatients for ECT</w:t>
            </w:r>
            <w:r>
              <w:rPr>
                <w:webHidden/>
              </w:rPr>
              <w:tab/>
            </w:r>
            <w:r>
              <w:rPr>
                <w:webHidden/>
              </w:rPr>
              <w:fldChar w:fldCharType="begin"/>
            </w:r>
            <w:r>
              <w:rPr>
                <w:webHidden/>
              </w:rPr>
              <w:instrText xml:space="preserve"> PAGEREF _Toc204358000 \h </w:instrText>
            </w:r>
            <w:r>
              <w:rPr>
                <w:webHidden/>
              </w:rPr>
            </w:r>
            <w:r>
              <w:rPr>
                <w:webHidden/>
              </w:rPr>
              <w:fldChar w:fldCharType="separate"/>
            </w:r>
            <w:r>
              <w:rPr>
                <w:webHidden/>
              </w:rPr>
              <w:t>23</w:t>
            </w:r>
            <w:r>
              <w:rPr>
                <w:webHidden/>
              </w:rPr>
              <w:fldChar w:fldCharType="end"/>
            </w:r>
          </w:hyperlink>
        </w:p>
        <w:p w14:paraId="0E13A7A2" w14:textId="1C3F055D" w:rsidR="001E400F" w:rsidRDefault="001E400F">
          <w:pPr>
            <w:pStyle w:val="TOC1"/>
            <w:rPr>
              <w:rFonts w:asciiTheme="minorHAnsi" w:eastAsiaTheme="minorEastAsia" w:hAnsiTheme="minorHAnsi" w:cstheme="minorBidi"/>
              <w:color w:val="auto"/>
              <w:kern w:val="2"/>
              <w14:ligatures w14:val="standardContextual"/>
            </w:rPr>
          </w:pPr>
          <w:hyperlink w:anchor="_Toc204358001" w:history="1">
            <w:r w:rsidRPr="00702A34">
              <w:rPr>
                <w:rStyle w:val="Hyperlink"/>
              </w:rPr>
              <w:t>Section 11 – Post ECT follow- up and monitoring</w:t>
            </w:r>
            <w:r>
              <w:rPr>
                <w:webHidden/>
              </w:rPr>
              <w:tab/>
            </w:r>
            <w:r>
              <w:rPr>
                <w:webHidden/>
              </w:rPr>
              <w:fldChar w:fldCharType="begin"/>
            </w:r>
            <w:r>
              <w:rPr>
                <w:webHidden/>
              </w:rPr>
              <w:instrText xml:space="preserve"> PAGEREF _Toc204358001 \h </w:instrText>
            </w:r>
            <w:r>
              <w:rPr>
                <w:webHidden/>
              </w:rPr>
            </w:r>
            <w:r>
              <w:rPr>
                <w:webHidden/>
              </w:rPr>
              <w:fldChar w:fldCharType="separate"/>
            </w:r>
            <w:r>
              <w:rPr>
                <w:webHidden/>
              </w:rPr>
              <w:t>24</w:t>
            </w:r>
            <w:r>
              <w:rPr>
                <w:webHidden/>
              </w:rPr>
              <w:fldChar w:fldCharType="end"/>
            </w:r>
          </w:hyperlink>
        </w:p>
        <w:p w14:paraId="2312AD46" w14:textId="401E272D" w:rsidR="001E400F" w:rsidRDefault="001E400F">
          <w:pPr>
            <w:pStyle w:val="TOC1"/>
            <w:rPr>
              <w:rFonts w:asciiTheme="minorHAnsi" w:eastAsiaTheme="minorEastAsia" w:hAnsiTheme="minorHAnsi" w:cstheme="minorBidi"/>
              <w:color w:val="auto"/>
              <w:kern w:val="2"/>
              <w14:ligatures w14:val="standardContextual"/>
            </w:rPr>
          </w:pPr>
          <w:hyperlink w:anchor="_Toc204358002" w:history="1">
            <w:r w:rsidRPr="00702A34">
              <w:rPr>
                <w:rStyle w:val="Hyperlink"/>
              </w:rPr>
              <w:t>Section 12 – Adverse Incidents and Critical Events</w:t>
            </w:r>
            <w:r>
              <w:rPr>
                <w:webHidden/>
              </w:rPr>
              <w:tab/>
            </w:r>
            <w:r>
              <w:rPr>
                <w:webHidden/>
              </w:rPr>
              <w:fldChar w:fldCharType="begin"/>
            </w:r>
            <w:r>
              <w:rPr>
                <w:webHidden/>
              </w:rPr>
              <w:instrText xml:space="preserve"> PAGEREF _Toc204358002 \h </w:instrText>
            </w:r>
            <w:r>
              <w:rPr>
                <w:webHidden/>
              </w:rPr>
            </w:r>
            <w:r>
              <w:rPr>
                <w:webHidden/>
              </w:rPr>
              <w:fldChar w:fldCharType="separate"/>
            </w:r>
            <w:r>
              <w:rPr>
                <w:webHidden/>
              </w:rPr>
              <w:t>24</w:t>
            </w:r>
            <w:r>
              <w:rPr>
                <w:webHidden/>
              </w:rPr>
              <w:fldChar w:fldCharType="end"/>
            </w:r>
          </w:hyperlink>
        </w:p>
        <w:p w14:paraId="1E8E0B7B" w14:textId="59B9D5F5" w:rsidR="001E400F" w:rsidRDefault="001E400F">
          <w:pPr>
            <w:pStyle w:val="TOC1"/>
            <w:rPr>
              <w:rFonts w:asciiTheme="minorHAnsi" w:eastAsiaTheme="minorEastAsia" w:hAnsiTheme="minorHAnsi" w:cstheme="minorBidi"/>
              <w:color w:val="auto"/>
              <w:kern w:val="2"/>
              <w14:ligatures w14:val="standardContextual"/>
            </w:rPr>
          </w:pPr>
          <w:hyperlink w:anchor="_Toc204358003" w:history="1">
            <w:r w:rsidRPr="00702A34">
              <w:rPr>
                <w:rStyle w:val="Hyperlink"/>
              </w:rPr>
              <w:t>Section 13 – DHR Business Continuity Plan</w:t>
            </w:r>
            <w:r>
              <w:rPr>
                <w:webHidden/>
              </w:rPr>
              <w:tab/>
            </w:r>
            <w:r>
              <w:rPr>
                <w:webHidden/>
              </w:rPr>
              <w:fldChar w:fldCharType="begin"/>
            </w:r>
            <w:r>
              <w:rPr>
                <w:webHidden/>
              </w:rPr>
              <w:instrText xml:space="preserve"> PAGEREF _Toc204358003 \h </w:instrText>
            </w:r>
            <w:r>
              <w:rPr>
                <w:webHidden/>
              </w:rPr>
            </w:r>
            <w:r>
              <w:rPr>
                <w:webHidden/>
              </w:rPr>
              <w:fldChar w:fldCharType="separate"/>
            </w:r>
            <w:r>
              <w:rPr>
                <w:webHidden/>
              </w:rPr>
              <w:t>25</w:t>
            </w:r>
            <w:r>
              <w:rPr>
                <w:webHidden/>
              </w:rPr>
              <w:fldChar w:fldCharType="end"/>
            </w:r>
          </w:hyperlink>
        </w:p>
        <w:p w14:paraId="4A5B383D" w14:textId="00D4FC62" w:rsidR="001E400F" w:rsidRDefault="001E400F">
          <w:pPr>
            <w:pStyle w:val="TOC1"/>
            <w:rPr>
              <w:rFonts w:asciiTheme="minorHAnsi" w:eastAsiaTheme="minorEastAsia" w:hAnsiTheme="minorHAnsi" w:cstheme="minorBidi"/>
              <w:color w:val="auto"/>
              <w:kern w:val="2"/>
              <w14:ligatures w14:val="standardContextual"/>
            </w:rPr>
          </w:pPr>
          <w:hyperlink w:anchor="_Toc204358004" w:history="1">
            <w:r w:rsidRPr="00702A34">
              <w:rPr>
                <w:rStyle w:val="Hyperlink"/>
              </w:rPr>
              <w:t>Evaluation</w:t>
            </w:r>
            <w:r>
              <w:rPr>
                <w:webHidden/>
              </w:rPr>
              <w:tab/>
            </w:r>
            <w:r>
              <w:rPr>
                <w:webHidden/>
              </w:rPr>
              <w:fldChar w:fldCharType="begin"/>
            </w:r>
            <w:r>
              <w:rPr>
                <w:webHidden/>
              </w:rPr>
              <w:instrText xml:space="preserve"> PAGEREF _Toc204358004 \h </w:instrText>
            </w:r>
            <w:r>
              <w:rPr>
                <w:webHidden/>
              </w:rPr>
            </w:r>
            <w:r>
              <w:rPr>
                <w:webHidden/>
              </w:rPr>
              <w:fldChar w:fldCharType="separate"/>
            </w:r>
            <w:r>
              <w:rPr>
                <w:webHidden/>
              </w:rPr>
              <w:t>25</w:t>
            </w:r>
            <w:r>
              <w:rPr>
                <w:webHidden/>
              </w:rPr>
              <w:fldChar w:fldCharType="end"/>
            </w:r>
          </w:hyperlink>
        </w:p>
        <w:p w14:paraId="28894BBC" w14:textId="2BC39690" w:rsidR="001E400F" w:rsidRDefault="001E400F">
          <w:pPr>
            <w:pStyle w:val="TOC1"/>
            <w:rPr>
              <w:rFonts w:asciiTheme="minorHAnsi" w:eastAsiaTheme="minorEastAsia" w:hAnsiTheme="minorHAnsi" w:cstheme="minorBidi"/>
              <w:color w:val="auto"/>
              <w:kern w:val="2"/>
              <w14:ligatures w14:val="standardContextual"/>
            </w:rPr>
          </w:pPr>
          <w:hyperlink w:anchor="_Toc204358005" w:history="1">
            <w:r w:rsidRPr="00702A34">
              <w:rPr>
                <w:rStyle w:val="Hyperlink"/>
              </w:rPr>
              <w:t>Related policies, procedures, guidelines and legislation</w:t>
            </w:r>
            <w:r>
              <w:rPr>
                <w:webHidden/>
              </w:rPr>
              <w:tab/>
            </w:r>
            <w:r>
              <w:rPr>
                <w:webHidden/>
              </w:rPr>
              <w:fldChar w:fldCharType="begin"/>
            </w:r>
            <w:r>
              <w:rPr>
                <w:webHidden/>
              </w:rPr>
              <w:instrText xml:space="preserve"> PAGEREF _Toc204358005 \h </w:instrText>
            </w:r>
            <w:r>
              <w:rPr>
                <w:webHidden/>
              </w:rPr>
            </w:r>
            <w:r>
              <w:rPr>
                <w:webHidden/>
              </w:rPr>
              <w:fldChar w:fldCharType="separate"/>
            </w:r>
            <w:r>
              <w:rPr>
                <w:webHidden/>
              </w:rPr>
              <w:t>25</w:t>
            </w:r>
            <w:r>
              <w:rPr>
                <w:webHidden/>
              </w:rPr>
              <w:fldChar w:fldCharType="end"/>
            </w:r>
          </w:hyperlink>
        </w:p>
        <w:p w14:paraId="362B4164" w14:textId="01515093" w:rsidR="001E400F" w:rsidRDefault="001E400F">
          <w:pPr>
            <w:pStyle w:val="TOC1"/>
            <w:rPr>
              <w:rFonts w:asciiTheme="minorHAnsi" w:eastAsiaTheme="minorEastAsia" w:hAnsiTheme="minorHAnsi" w:cstheme="minorBidi"/>
              <w:color w:val="auto"/>
              <w:kern w:val="2"/>
              <w14:ligatures w14:val="standardContextual"/>
            </w:rPr>
          </w:pPr>
          <w:hyperlink w:anchor="_Toc204358006" w:history="1">
            <w:r w:rsidRPr="00702A34">
              <w:rPr>
                <w:rStyle w:val="Hyperlink"/>
              </w:rPr>
              <w:t>References</w:t>
            </w:r>
            <w:r>
              <w:rPr>
                <w:webHidden/>
              </w:rPr>
              <w:tab/>
            </w:r>
            <w:r>
              <w:rPr>
                <w:webHidden/>
              </w:rPr>
              <w:fldChar w:fldCharType="begin"/>
            </w:r>
            <w:r>
              <w:rPr>
                <w:webHidden/>
              </w:rPr>
              <w:instrText xml:space="preserve"> PAGEREF _Toc204358006 \h </w:instrText>
            </w:r>
            <w:r>
              <w:rPr>
                <w:webHidden/>
              </w:rPr>
            </w:r>
            <w:r>
              <w:rPr>
                <w:webHidden/>
              </w:rPr>
              <w:fldChar w:fldCharType="separate"/>
            </w:r>
            <w:r>
              <w:rPr>
                <w:webHidden/>
              </w:rPr>
              <w:t>26</w:t>
            </w:r>
            <w:r>
              <w:rPr>
                <w:webHidden/>
              </w:rPr>
              <w:fldChar w:fldCharType="end"/>
            </w:r>
          </w:hyperlink>
        </w:p>
        <w:p w14:paraId="347867DB" w14:textId="21A89177" w:rsidR="001E400F" w:rsidRDefault="001E400F">
          <w:pPr>
            <w:pStyle w:val="TOC1"/>
            <w:rPr>
              <w:rFonts w:asciiTheme="minorHAnsi" w:eastAsiaTheme="minorEastAsia" w:hAnsiTheme="minorHAnsi" w:cstheme="minorBidi"/>
              <w:color w:val="auto"/>
              <w:kern w:val="2"/>
              <w14:ligatures w14:val="standardContextual"/>
            </w:rPr>
          </w:pPr>
          <w:hyperlink w:anchor="_Toc204358007" w:history="1">
            <w:r w:rsidRPr="00702A34">
              <w:rPr>
                <w:rStyle w:val="Hyperlink"/>
              </w:rPr>
              <w:t>Definition of terms</w:t>
            </w:r>
            <w:r>
              <w:rPr>
                <w:webHidden/>
              </w:rPr>
              <w:tab/>
            </w:r>
            <w:r>
              <w:rPr>
                <w:webHidden/>
              </w:rPr>
              <w:fldChar w:fldCharType="begin"/>
            </w:r>
            <w:r>
              <w:rPr>
                <w:webHidden/>
              </w:rPr>
              <w:instrText xml:space="preserve"> PAGEREF _Toc204358007 \h </w:instrText>
            </w:r>
            <w:r>
              <w:rPr>
                <w:webHidden/>
              </w:rPr>
            </w:r>
            <w:r>
              <w:rPr>
                <w:webHidden/>
              </w:rPr>
              <w:fldChar w:fldCharType="separate"/>
            </w:r>
            <w:r>
              <w:rPr>
                <w:webHidden/>
              </w:rPr>
              <w:t>27</w:t>
            </w:r>
            <w:r>
              <w:rPr>
                <w:webHidden/>
              </w:rPr>
              <w:fldChar w:fldCharType="end"/>
            </w:r>
          </w:hyperlink>
        </w:p>
        <w:p w14:paraId="0A34FDD3" w14:textId="6EADF3B9" w:rsidR="001E400F" w:rsidRDefault="001E400F">
          <w:pPr>
            <w:pStyle w:val="TOC1"/>
            <w:rPr>
              <w:rFonts w:asciiTheme="minorHAnsi" w:eastAsiaTheme="minorEastAsia" w:hAnsiTheme="minorHAnsi" w:cstheme="minorBidi"/>
              <w:color w:val="auto"/>
              <w:kern w:val="2"/>
              <w14:ligatures w14:val="standardContextual"/>
            </w:rPr>
          </w:pPr>
          <w:hyperlink w:anchor="_Toc204358008" w:history="1">
            <w:r w:rsidRPr="00702A34">
              <w:rPr>
                <w:rStyle w:val="Hyperlink"/>
              </w:rPr>
              <w:t>Search terms</w:t>
            </w:r>
            <w:r>
              <w:rPr>
                <w:webHidden/>
              </w:rPr>
              <w:tab/>
            </w:r>
            <w:r>
              <w:rPr>
                <w:webHidden/>
              </w:rPr>
              <w:fldChar w:fldCharType="begin"/>
            </w:r>
            <w:r>
              <w:rPr>
                <w:webHidden/>
              </w:rPr>
              <w:instrText xml:space="preserve"> PAGEREF _Toc204358008 \h </w:instrText>
            </w:r>
            <w:r>
              <w:rPr>
                <w:webHidden/>
              </w:rPr>
            </w:r>
            <w:r>
              <w:rPr>
                <w:webHidden/>
              </w:rPr>
              <w:fldChar w:fldCharType="separate"/>
            </w:r>
            <w:r>
              <w:rPr>
                <w:webHidden/>
              </w:rPr>
              <w:t>29</w:t>
            </w:r>
            <w:r>
              <w:rPr>
                <w:webHidden/>
              </w:rPr>
              <w:fldChar w:fldCharType="end"/>
            </w:r>
          </w:hyperlink>
        </w:p>
        <w:p w14:paraId="2DFA4326" w14:textId="7A7964CD" w:rsidR="001E400F" w:rsidRDefault="001E400F">
          <w:pPr>
            <w:pStyle w:val="TOC1"/>
            <w:rPr>
              <w:rFonts w:asciiTheme="minorHAnsi" w:eastAsiaTheme="minorEastAsia" w:hAnsiTheme="minorHAnsi" w:cstheme="minorBidi"/>
              <w:color w:val="auto"/>
              <w:kern w:val="2"/>
              <w14:ligatures w14:val="standardContextual"/>
            </w:rPr>
          </w:pPr>
          <w:hyperlink w:anchor="_Toc204358009" w:history="1">
            <w:r w:rsidRPr="00702A34">
              <w:rPr>
                <w:rStyle w:val="Hyperlink"/>
              </w:rPr>
              <w:t>Attachments</w:t>
            </w:r>
            <w:r>
              <w:rPr>
                <w:webHidden/>
              </w:rPr>
              <w:tab/>
            </w:r>
            <w:r>
              <w:rPr>
                <w:webHidden/>
              </w:rPr>
              <w:fldChar w:fldCharType="begin"/>
            </w:r>
            <w:r>
              <w:rPr>
                <w:webHidden/>
              </w:rPr>
              <w:instrText xml:space="preserve"> PAGEREF _Toc204358009 \h </w:instrText>
            </w:r>
            <w:r>
              <w:rPr>
                <w:webHidden/>
              </w:rPr>
            </w:r>
            <w:r>
              <w:rPr>
                <w:webHidden/>
              </w:rPr>
              <w:fldChar w:fldCharType="separate"/>
            </w:r>
            <w:r>
              <w:rPr>
                <w:webHidden/>
              </w:rPr>
              <w:t>30</w:t>
            </w:r>
            <w:r>
              <w:rPr>
                <w:webHidden/>
              </w:rPr>
              <w:fldChar w:fldCharType="end"/>
            </w:r>
          </w:hyperlink>
        </w:p>
        <w:p w14:paraId="74EEC4D2" w14:textId="05EF6FAD" w:rsidR="001E400F" w:rsidRDefault="001E400F">
          <w:pPr>
            <w:pStyle w:val="TOC1"/>
            <w:rPr>
              <w:rFonts w:asciiTheme="minorHAnsi" w:eastAsiaTheme="minorEastAsia" w:hAnsiTheme="minorHAnsi" w:cstheme="minorBidi"/>
              <w:color w:val="auto"/>
              <w:kern w:val="2"/>
              <w14:ligatures w14:val="standardContextual"/>
            </w:rPr>
          </w:pPr>
          <w:hyperlink w:anchor="_Toc204358010" w:history="1">
            <w:r w:rsidRPr="00702A34">
              <w:rPr>
                <w:rStyle w:val="Hyperlink"/>
              </w:rPr>
              <w:t>Attachment 1: Prescription and Administration of ECT Flow Chart for an Adult</w:t>
            </w:r>
            <w:r>
              <w:rPr>
                <w:webHidden/>
              </w:rPr>
              <w:tab/>
            </w:r>
            <w:r>
              <w:rPr>
                <w:webHidden/>
              </w:rPr>
              <w:fldChar w:fldCharType="begin"/>
            </w:r>
            <w:r>
              <w:rPr>
                <w:webHidden/>
              </w:rPr>
              <w:instrText xml:space="preserve"> PAGEREF _Toc204358010 \h </w:instrText>
            </w:r>
            <w:r>
              <w:rPr>
                <w:webHidden/>
              </w:rPr>
            </w:r>
            <w:r>
              <w:rPr>
                <w:webHidden/>
              </w:rPr>
              <w:fldChar w:fldCharType="separate"/>
            </w:r>
            <w:r>
              <w:rPr>
                <w:webHidden/>
              </w:rPr>
              <w:t>32</w:t>
            </w:r>
            <w:r>
              <w:rPr>
                <w:webHidden/>
              </w:rPr>
              <w:fldChar w:fldCharType="end"/>
            </w:r>
          </w:hyperlink>
        </w:p>
        <w:p w14:paraId="07019917" w14:textId="6A58B17B" w:rsidR="001E400F" w:rsidRDefault="001E400F">
          <w:pPr>
            <w:pStyle w:val="TOC1"/>
            <w:rPr>
              <w:rFonts w:asciiTheme="minorHAnsi" w:eastAsiaTheme="minorEastAsia" w:hAnsiTheme="minorHAnsi" w:cstheme="minorBidi"/>
              <w:color w:val="auto"/>
              <w:kern w:val="2"/>
              <w14:ligatures w14:val="standardContextual"/>
            </w:rPr>
          </w:pPr>
          <w:hyperlink w:anchor="_Toc204358011" w:history="1">
            <w:r w:rsidRPr="00702A34">
              <w:rPr>
                <w:rStyle w:val="Hyperlink"/>
              </w:rPr>
              <w:t>Attachment 2: Prescription and Administration of ECT Flow Chart for a Young Person at least 12 years of age but under 18 years of age</w:t>
            </w:r>
            <w:r>
              <w:rPr>
                <w:webHidden/>
              </w:rPr>
              <w:tab/>
            </w:r>
            <w:r>
              <w:rPr>
                <w:webHidden/>
              </w:rPr>
              <w:fldChar w:fldCharType="begin"/>
            </w:r>
            <w:r>
              <w:rPr>
                <w:webHidden/>
              </w:rPr>
              <w:instrText xml:space="preserve"> PAGEREF _Toc204358011 \h </w:instrText>
            </w:r>
            <w:r>
              <w:rPr>
                <w:webHidden/>
              </w:rPr>
            </w:r>
            <w:r>
              <w:rPr>
                <w:webHidden/>
              </w:rPr>
              <w:fldChar w:fldCharType="separate"/>
            </w:r>
            <w:r>
              <w:rPr>
                <w:webHidden/>
              </w:rPr>
              <w:t>33</w:t>
            </w:r>
            <w:r>
              <w:rPr>
                <w:webHidden/>
              </w:rPr>
              <w:fldChar w:fldCharType="end"/>
            </w:r>
          </w:hyperlink>
        </w:p>
        <w:p w14:paraId="635AB0F0" w14:textId="19154520" w:rsidR="001E400F" w:rsidRDefault="001E400F">
          <w:pPr>
            <w:pStyle w:val="TOC1"/>
            <w:rPr>
              <w:rFonts w:asciiTheme="minorHAnsi" w:eastAsiaTheme="minorEastAsia" w:hAnsiTheme="minorHAnsi" w:cstheme="minorBidi"/>
              <w:color w:val="auto"/>
              <w:kern w:val="2"/>
              <w14:ligatures w14:val="standardContextual"/>
            </w:rPr>
          </w:pPr>
          <w:hyperlink w:anchor="_Toc204358012" w:history="1">
            <w:r w:rsidRPr="00702A34">
              <w:rPr>
                <w:rStyle w:val="Hyperlink"/>
              </w:rPr>
              <w:t>Attachment 3: ECT Electrode Placement</w:t>
            </w:r>
            <w:r>
              <w:rPr>
                <w:webHidden/>
              </w:rPr>
              <w:tab/>
            </w:r>
            <w:r>
              <w:rPr>
                <w:webHidden/>
              </w:rPr>
              <w:fldChar w:fldCharType="begin"/>
            </w:r>
            <w:r>
              <w:rPr>
                <w:webHidden/>
              </w:rPr>
              <w:instrText xml:space="preserve"> PAGEREF _Toc204358012 \h </w:instrText>
            </w:r>
            <w:r>
              <w:rPr>
                <w:webHidden/>
              </w:rPr>
            </w:r>
            <w:r>
              <w:rPr>
                <w:webHidden/>
              </w:rPr>
              <w:fldChar w:fldCharType="separate"/>
            </w:r>
            <w:r>
              <w:rPr>
                <w:webHidden/>
              </w:rPr>
              <w:t>34</w:t>
            </w:r>
            <w:r>
              <w:rPr>
                <w:webHidden/>
              </w:rPr>
              <w:fldChar w:fldCharType="end"/>
            </w:r>
          </w:hyperlink>
        </w:p>
        <w:p w14:paraId="2942E020" w14:textId="7573F266" w:rsidR="001E400F" w:rsidRDefault="001E400F">
          <w:pPr>
            <w:pStyle w:val="TOC1"/>
            <w:rPr>
              <w:rFonts w:asciiTheme="minorHAnsi" w:eastAsiaTheme="minorEastAsia" w:hAnsiTheme="minorHAnsi" w:cstheme="minorBidi"/>
              <w:color w:val="auto"/>
              <w:kern w:val="2"/>
              <w14:ligatures w14:val="standardContextual"/>
            </w:rPr>
          </w:pPr>
          <w:hyperlink w:anchor="_Toc204358013" w:history="1">
            <w:r w:rsidRPr="00702A34">
              <w:rPr>
                <w:rStyle w:val="Hyperlink"/>
              </w:rPr>
              <w:t>Attachment 4: Method of ECT Dose Titration and Treatment Schedule for Brief Pulse Thymatron Series IV</w:t>
            </w:r>
            <w:r>
              <w:rPr>
                <w:webHidden/>
              </w:rPr>
              <w:tab/>
            </w:r>
            <w:r>
              <w:rPr>
                <w:webHidden/>
              </w:rPr>
              <w:fldChar w:fldCharType="begin"/>
            </w:r>
            <w:r>
              <w:rPr>
                <w:webHidden/>
              </w:rPr>
              <w:instrText xml:space="preserve"> PAGEREF _Toc204358013 \h </w:instrText>
            </w:r>
            <w:r>
              <w:rPr>
                <w:webHidden/>
              </w:rPr>
            </w:r>
            <w:r>
              <w:rPr>
                <w:webHidden/>
              </w:rPr>
              <w:fldChar w:fldCharType="separate"/>
            </w:r>
            <w:r>
              <w:rPr>
                <w:webHidden/>
              </w:rPr>
              <w:t>37</w:t>
            </w:r>
            <w:r>
              <w:rPr>
                <w:webHidden/>
              </w:rPr>
              <w:fldChar w:fldCharType="end"/>
            </w:r>
          </w:hyperlink>
        </w:p>
        <w:p w14:paraId="059CE58C" w14:textId="28E2CC21" w:rsidR="001E400F" w:rsidRDefault="001E400F">
          <w:pPr>
            <w:pStyle w:val="TOC1"/>
            <w:rPr>
              <w:rFonts w:asciiTheme="minorHAnsi" w:eastAsiaTheme="minorEastAsia" w:hAnsiTheme="minorHAnsi" w:cstheme="minorBidi"/>
              <w:color w:val="auto"/>
              <w:kern w:val="2"/>
              <w14:ligatures w14:val="standardContextual"/>
            </w:rPr>
          </w:pPr>
          <w:hyperlink w:anchor="_Toc204358014" w:history="1">
            <w:r w:rsidRPr="00702A34">
              <w:rPr>
                <w:rStyle w:val="Hyperlink"/>
              </w:rPr>
              <w:t>Attachment 5: Method of ECT Dose Titration and Treatment Schedule for Brief Pulse Thymatron Series IV ultra-brief pulse (0.3 ms and 0.5 ms)</w:t>
            </w:r>
            <w:r>
              <w:rPr>
                <w:webHidden/>
              </w:rPr>
              <w:tab/>
            </w:r>
            <w:r>
              <w:rPr>
                <w:webHidden/>
              </w:rPr>
              <w:fldChar w:fldCharType="begin"/>
            </w:r>
            <w:r>
              <w:rPr>
                <w:webHidden/>
              </w:rPr>
              <w:instrText xml:space="preserve"> PAGEREF _Toc204358014 \h </w:instrText>
            </w:r>
            <w:r>
              <w:rPr>
                <w:webHidden/>
              </w:rPr>
            </w:r>
            <w:r>
              <w:rPr>
                <w:webHidden/>
              </w:rPr>
              <w:fldChar w:fldCharType="separate"/>
            </w:r>
            <w:r>
              <w:rPr>
                <w:webHidden/>
              </w:rPr>
              <w:t>39</w:t>
            </w:r>
            <w:r>
              <w:rPr>
                <w:webHidden/>
              </w:rPr>
              <w:fldChar w:fldCharType="end"/>
            </w:r>
          </w:hyperlink>
        </w:p>
        <w:p w14:paraId="6F1EEEFE" w14:textId="30EA81E9" w:rsidR="001E400F" w:rsidRDefault="001E400F">
          <w:pPr>
            <w:pStyle w:val="TOC1"/>
            <w:rPr>
              <w:rFonts w:asciiTheme="minorHAnsi" w:eastAsiaTheme="minorEastAsia" w:hAnsiTheme="minorHAnsi" w:cstheme="minorBidi"/>
              <w:color w:val="auto"/>
              <w:kern w:val="2"/>
              <w14:ligatures w14:val="standardContextual"/>
            </w:rPr>
          </w:pPr>
          <w:hyperlink w:anchor="_Toc204358015" w:history="1">
            <w:r w:rsidRPr="00702A34">
              <w:rPr>
                <w:rStyle w:val="Hyperlink"/>
              </w:rPr>
              <w:t>Attachment 6: RANZCP guidelines considerations for ECT electrode placements, pulse width and seizure threshold.</w:t>
            </w:r>
            <w:r>
              <w:rPr>
                <w:webHidden/>
              </w:rPr>
              <w:tab/>
            </w:r>
            <w:r>
              <w:rPr>
                <w:webHidden/>
              </w:rPr>
              <w:fldChar w:fldCharType="begin"/>
            </w:r>
            <w:r>
              <w:rPr>
                <w:webHidden/>
              </w:rPr>
              <w:instrText xml:space="preserve"> PAGEREF _Toc204358015 \h </w:instrText>
            </w:r>
            <w:r>
              <w:rPr>
                <w:webHidden/>
              </w:rPr>
            </w:r>
            <w:r>
              <w:rPr>
                <w:webHidden/>
              </w:rPr>
              <w:fldChar w:fldCharType="separate"/>
            </w:r>
            <w:r>
              <w:rPr>
                <w:webHidden/>
              </w:rPr>
              <w:t>40</w:t>
            </w:r>
            <w:r>
              <w:rPr>
                <w:webHidden/>
              </w:rPr>
              <w:fldChar w:fldCharType="end"/>
            </w:r>
          </w:hyperlink>
        </w:p>
        <w:p w14:paraId="20F42ECB" w14:textId="10C37CE3" w:rsidR="00481A6C" w:rsidRDefault="00A621FE" w:rsidP="00481A6C">
          <w:pPr>
            <w:pStyle w:val="TOCHeading2"/>
          </w:pPr>
          <w:r>
            <w:rPr>
              <w:rFonts w:eastAsia="Calibri" w:cs="Times New Roman"/>
              <w:b w:val="0"/>
              <w:noProof/>
              <w:color w:val="000000" w:themeColor="text1"/>
              <w:sz w:val="24"/>
              <w:szCs w:val="24"/>
              <w:lang w:eastAsia="en-AU"/>
            </w:rPr>
            <w:fldChar w:fldCharType="end"/>
          </w:r>
        </w:p>
      </w:sdtContent>
    </w:sdt>
    <w:p w14:paraId="52B3F67D" w14:textId="77777777" w:rsidR="00FE46F1" w:rsidRDefault="00FE46F1">
      <w:pPr>
        <w:spacing w:before="0" w:after="0" w:line="240" w:lineRule="auto"/>
        <w:rPr>
          <w:rFonts w:eastAsia="Times New Roman"/>
          <w:b/>
          <w:color w:val="FFFFFF" w:themeColor="background1"/>
          <w:szCs w:val="80"/>
          <w:lang w:eastAsia="en-US"/>
        </w:rPr>
      </w:pPr>
    </w:p>
    <w:p w14:paraId="5D0403F5" w14:textId="77777777" w:rsidR="00201AF6" w:rsidRDefault="00201AF6">
      <w:pPr>
        <w:spacing w:before="0" w:after="0" w:line="240" w:lineRule="auto"/>
        <w:rPr>
          <w:rFonts w:eastAsia="Times New Roman"/>
          <w:b/>
          <w:bCs/>
          <w:iCs/>
          <w:color w:val="FFFFFF" w:themeColor="background1"/>
          <w:lang w:eastAsia="en-US"/>
        </w:rPr>
      </w:pPr>
      <w:r>
        <w:br w:type="page"/>
      </w:r>
    </w:p>
    <w:p w14:paraId="7E18B314" w14:textId="59D5D84E" w:rsidR="0078367D" w:rsidRPr="00036249" w:rsidRDefault="003254E1" w:rsidP="00036249">
      <w:pPr>
        <w:pStyle w:val="Heading4"/>
      </w:pPr>
      <w:bookmarkStart w:id="1" w:name="_Toc204357988"/>
      <w:r>
        <w:lastRenderedPageBreak/>
        <w:t>Purpose</w:t>
      </w:r>
      <w:bookmarkEnd w:id="1"/>
      <w:r w:rsidR="009746B1" w:rsidRPr="00036249">
        <w:t xml:space="preserve"> </w:t>
      </w:r>
    </w:p>
    <w:p w14:paraId="213280FB" w14:textId="4BEBEF16" w:rsidR="002D5CCB" w:rsidRPr="002D5CCB" w:rsidRDefault="002D5CCB" w:rsidP="00FC39DC">
      <w:pPr>
        <w:pStyle w:val="BodyCopy"/>
      </w:pPr>
      <w:r w:rsidRPr="738F9B79">
        <w:t xml:space="preserve">The purpose of this procedure is to provide information on the safe and effective administration of Electroconvulsive Therapy (ECT), also known as Neurostimulation (NS) to </w:t>
      </w:r>
      <w:r w:rsidR="00FF603C">
        <w:t>consumers</w:t>
      </w:r>
      <w:r w:rsidR="00FF603C" w:rsidRPr="738F9B79">
        <w:t xml:space="preserve"> </w:t>
      </w:r>
      <w:r w:rsidRPr="738F9B79">
        <w:t xml:space="preserve">being treated in Canberra Health Services (CHS) as either voluntary or involuntary under the </w:t>
      </w:r>
      <w:r w:rsidRPr="00D83613">
        <w:rPr>
          <w:i/>
        </w:rPr>
        <w:t>Mental Health Act 2015</w:t>
      </w:r>
      <w:r w:rsidRPr="738F9B79">
        <w:t>.</w:t>
      </w:r>
    </w:p>
    <w:p w14:paraId="298ADA8D" w14:textId="353FEC18" w:rsidR="002D5CCB" w:rsidRDefault="002D5CCB" w:rsidP="00FC39DC">
      <w:pPr>
        <w:pStyle w:val="BodyCopy"/>
      </w:pPr>
      <w:r w:rsidRPr="00212FDC">
        <w:t xml:space="preserve">This procedure provides clinicians with best practice information for the assessment, prescription, administration, and monitoring of </w:t>
      </w:r>
      <w:r w:rsidR="00B137A4">
        <w:t>consumers</w:t>
      </w:r>
      <w:r w:rsidR="00B137A4" w:rsidRPr="00212FDC">
        <w:t xml:space="preserve"> </w:t>
      </w:r>
      <w:r w:rsidRPr="00212FDC">
        <w:t xml:space="preserve">undergoing </w:t>
      </w:r>
      <w:r>
        <w:t>ECT</w:t>
      </w:r>
      <w:r w:rsidRPr="00212FDC">
        <w:t xml:space="preserve"> as well as follow-up after a course of ECT.</w:t>
      </w:r>
    </w:p>
    <w:p w14:paraId="4744C022" w14:textId="5A59568D" w:rsidR="002D5CCB" w:rsidRPr="00212FDC" w:rsidRDefault="002D5CCB" w:rsidP="00FC39DC">
      <w:pPr>
        <w:pStyle w:val="BodyCopy"/>
        <w:rPr>
          <w:rFonts w:cs="Calibri"/>
        </w:rPr>
      </w:pPr>
      <w:r w:rsidRPr="032493B3">
        <w:rPr>
          <w:rFonts w:cs="Calibri"/>
        </w:rPr>
        <w:t>ECT is an evidence-based treatment for severe depressive illness. There is also evidence to support the use of ECT in the treatment of acute mania, catatonia, and schizophrenia and as a long-term maintenance treatment (M–ECT) for the same indications as for acute treatment. It is an available treatment option at many specialist mental health facilities in Australia.  Several organisations in Australia and internationally have produced guidelines to promote best practice and optimal outcomes in terms of efficacy and safety. This Procedure</w:t>
      </w:r>
      <w:r>
        <w:rPr>
          <w:rFonts w:cs="Calibri"/>
        </w:rPr>
        <w:t xml:space="preserve"> </w:t>
      </w:r>
      <w:r w:rsidRPr="032493B3">
        <w:rPr>
          <w:rFonts w:cs="Calibri"/>
        </w:rPr>
        <w:t xml:space="preserve">includes select material from multiple sources, with those of Australian origin being </w:t>
      </w:r>
      <w:r w:rsidR="00BC4E0F" w:rsidRPr="032493B3">
        <w:rPr>
          <w:rFonts w:cs="Calibri"/>
        </w:rPr>
        <w:t>acknowledged</w:t>
      </w:r>
      <w:r w:rsidRPr="032493B3">
        <w:rPr>
          <w:rFonts w:cs="Calibri"/>
          <w:vertAlign w:val="superscript"/>
        </w:rPr>
        <w:t>-3</w:t>
      </w:r>
      <w:r w:rsidRPr="032493B3">
        <w:rPr>
          <w:rFonts w:cs="Calibri"/>
        </w:rPr>
        <w:t xml:space="preserve">. </w:t>
      </w:r>
    </w:p>
    <w:p w14:paraId="75FE6360" w14:textId="77777777" w:rsidR="00481A6C" w:rsidRDefault="00481A6C" w:rsidP="00481A6C">
      <w:pPr>
        <w:pStyle w:val="BodyCopy"/>
        <w:rPr>
          <w:rStyle w:val="Hyperlink"/>
          <w:iCs w:val="0"/>
        </w:rPr>
      </w:pPr>
      <w:hyperlink w:anchor="_top" w:history="1">
        <w:r w:rsidRPr="00481A6C">
          <w:rPr>
            <w:rStyle w:val="Hyperlink"/>
            <w:iCs w:val="0"/>
          </w:rPr>
          <w:t>Back to Contents</w:t>
        </w:r>
      </w:hyperlink>
    </w:p>
    <w:p w14:paraId="3B37567B" w14:textId="0EBA00AC" w:rsidR="0078367D" w:rsidRPr="00AC2EDE" w:rsidRDefault="003254E1" w:rsidP="00197F2E">
      <w:pPr>
        <w:pStyle w:val="Heading4"/>
      </w:pPr>
      <w:bookmarkStart w:id="2" w:name="_Toc204357989"/>
      <w:r>
        <w:rPr>
          <w:rStyle w:val="Hyperlink"/>
          <w:color w:val="FFFFFF" w:themeColor="background1"/>
          <w:u w:val="none"/>
        </w:rPr>
        <w:t>Alerts</w:t>
      </w:r>
      <w:bookmarkEnd w:id="2"/>
      <w:r>
        <w:rPr>
          <w:rStyle w:val="Hyperlink"/>
          <w:color w:val="FFFFFF" w:themeColor="background1"/>
          <w:u w:val="none"/>
        </w:rPr>
        <w:t xml:space="preserve"> </w:t>
      </w:r>
    </w:p>
    <w:p w14:paraId="73A78CF0" w14:textId="1FD8CB9F" w:rsidR="002D5CCB" w:rsidRPr="002D5CCB" w:rsidRDefault="002D5CCB" w:rsidP="00FC39DC">
      <w:pPr>
        <w:pStyle w:val="BodyCopy"/>
      </w:pPr>
      <w:r w:rsidRPr="002D5CCB">
        <w:t xml:space="preserve">Staff should always refer to the </w:t>
      </w:r>
      <w:r w:rsidRPr="002D5CCB">
        <w:rPr>
          <w:i/>
        </w:rPr>
        <w:t xml:space="preserve">Mental Health Act 2015 </w:t>
      </w:r>
      <w:r w:rsidRPr="00F07520">
        <w:rPr>
          <w:u w:val="single"/>
        </w:rPr>
        <w:t xml:space="preserve">(hereafter referred to as </w:t>
      </w:r>
      <w:r w:rsidRPr="002D5CCB">
        <w:rPr>
          <w:i/>
        </w:rPr>
        <w:t>“the Act”</w:t>
      </w:r>
      <w:r w:rsidRPr="00F07520">
        <w:t>)</w:t>
      </w:r>
      <w:r w:rsidRPr="002D5CCB">
        <w:rPr>
          <w:i/>
        </w:rPr>
        <w:t xml:space="preserve"> </w:t>
      </w:r>
      <w:r w:rsidRPr="002D5CCB">
        <w:t>and Chief Psychiatrist Guidelines for the most definitive understanding, interpretation, and explanation of the Act itself, particularly when making any decisions in relation to the Act.</w:t>
      </w:r>
    </w:p>
    <w:p w14:paraId="32C3B452" w14:textId="1ACF5ABD" w:rsidR="002D5CCB" w:rsidRPr="002D5CCB" w:rsidRDefault="002D5CCB" w:rsidP="00FC39DC">
      <w:pPr>
        <w:pStyle w:val="BodyCopy"/>
      </w:pPr>
      <w:r w:rsidRPr="002D5CCB">
        <w:t xml:space="preserve">ECT must </w:t>
      </w:r>
      <w:r w:rsidRPr="002D5CCB">
        <w:rPr>
          <w:b/>
        </w:rPr>
        <w:t xml:space="preserve">never </w:t>
      </w:r>
      <w:r w:rsidRPr="002D5CCB">
        <w:t>be given to children under 12 years of age.</w:t>
      </w:r>
    </w:p>
    <w:p w14:paraId="4DA9AF57" w14:textId="662454A0" w:rsidR="002D5CCB" w:rsidRPr="002D5CCB" w:rsidRDefault="002D5CCB" w:rsidP="00FC39DC">
      <w:pPr>
        <w:pStyle w:val="BodyCopy"/>
      </w:pPr>
      <w:r w:rsidRPr="002D5CCB">
        <w:t>An Emergency ECT order may only be made for a young person who is at least 16 years of age.</w:t>
      </w:r>
    </w:p>
    <w:p w14:paraId="1ABC1B13" w14:textId="70512B09" w:rsidR="002D5CCB" w:rsidRPr="002D5CCB" w:rsidRDefault="002D5CCB" w:rsidP="00FC39DC">
      <w:pPr>
        <w:pStyle w:val="BodyCopy"/>
      </w:pPr>
      <w:r w:rsidRPr="002D5CCB">
        <w:t>ECT should be administered in accordance with the Royal Australian and New Zealand College of Psychiatrists professional practice guidelines for the administration of ECT</w:t>
      </w:r>
      <w:r w:rsidRPr="002D5CCB">
        <w:rPr>
          <w:vertAlign w:val="superscript"/>
        </w:rPr>
        <w:t>1</w:t>
      </w:r>
      <w:r w:rsidRPr="002D5CCB">
        <w:t>. Where new evidence emerges, this should be incorporated in clinical practice only after due consideration within the organisational governance framework of ECT.</w:t>
      </w:r>
    </w:p>
    <w:p w14:paraId="7BCB8921" w14:textId="4E5E1E1D" w:rsidR="00BC4E0F" w:rsidRPr="00F07520" w:rsidRDefault="00BC4E0F" w:rsidP="00FC39DC">
      <w:pPr>
        <w:pStyle w:val="BodyCopy"/>
      </w:pPr>
      <w:r w:rsidRPr="738F9B79">
        <w:t xml:space="preserve">A person commits an offence against the Act if they are not a </w:t>
      </w:r>
      <w:r w:rsidR="004C609C">
        <w:t>medical officer</w:t>
      </w:r>
      <w:r w:rsidRPr="738F9B79">
        <w:t xml:space="preserve">, and they administer ECT to a </w:t>
      </w:r>
      <w:r w:rsidR="00B137A4">
        <w:t>consumer</w:t>
      </w:r>
      <w:r w:rsidRPr="738F9B79">
        <w:t xml:space="preserve">. A doctor commits an offence if they administer ECT to a </w:t>
      </w:r>
      <w:r w:rsidR="00B137A4">
        <w:t xml:space="preserve">consumer </w:t>
      </w:r>
      <w:r w:rsidRPr="738F9B79">
        <w:t>without meeting the requirements to the Act.</w:t>
      </w:r>
    </w:p>
    <w:p w14:paraId="13785357" w14:textId="302A4ECF" w:rsidR="002D5CCB" w:rsidRPr="002D5CCB" w:rsidRDefault="002D5CCB" w:rsidP="00FC39DC">
      <w:pPr>
        <w:pStyle w:val="BodyCopy"/>
      </w:pPr>
      <w:r w:rsidRPr="002D5CCB">
        <w:t xml:space="preserve">Guardians and Attorneys are not </w:t>
      </w:r>
      <w:r w:rsidR="00BA460B">
        <w:t>authorised</w:t>
      </w:r>
      <w:r w:rsidRPr="002D5CCB">
        <w:t xml:space="preserve"> to consent to the administration of ECT.</w:t>
      </w:r>
    </w:p>
    <w:p w14:paraId="122DD325" w14:textId="77777777" w:rsidR="002D5CCB" w:rsidRPr="009B79B5" w:rsidRDefault="002D5CCB" w:rsidP="00BC4E0F">
      <w:pPr>
        <w:spacing w:after="120"/>
        <w:rPr>
          <w:b/>
          <w:bCs/>
        </w:rPr>
      </w:pPr>
      <w:bookmarkStart w:id="3" w:name="_Toc102396655"/>
      <w:r w:rsidRPr="009B79B5">
        <w:rPr>
          <w:b/>
          <w:bCs/>
        </w:rPr>
        <w:t>Use of Restraints</w:t>
      </w:r>
      <w:bookmarkEnd w:id="3"/>
    </w:p>
    <w:p w14:paraId="2F97E518" w14:textId="621E2753" w:rsidR="002D5CCB" w:rsidRDefault="002D5CCB" w:rsidP="00FC39DC">
      <w:pPr>
        <w:pStyle w:val="BodyCopy"/>
      </w:pPr>
      <w:r w:rsidRPr="738F9B79">
        <w:t xml:space="preserve">The use of restraints may be necessary for a </w:t>
      </w:r>
      <w:r w:rsidR="00F0066B">
        <w:rPr>
          <w:rFonts w:cs="Calibri"/>
          <w:szCs w:val="22"/>
        </w:rPr>
        <w:t>consumer</w:t>
      </w:r>
      <w:r w:rsidRPr="738F9B79">
        <w:t xml:space="preserve"> while being transported from an adult mental health inpatient facility or Dhulwa Mental Health Unit (DMHU) to the treatment room</w:t>
      </w:r>
      <w:r w:rsidR="00BC4E0F">
        <w:t>,</w:t>
      </w:r>
      <w:r w:rsidRPr="738F9B79">
        <w:t xml:space="preserve"> if </w:t>
      </w:r>
      <w:r w:rsidRPr="738F9B79">
        <w:lastRenderedPageBreak/>
        <w:t>extreme safety concerns exist. The Chief Psychiatrist or a delegated Psychiatrist can authorise the use of restraint.</w:t>
      </w:r>
    </w:p>
    <w:p w14:paraId="3651C332" w14:textId="77777777" w:rsidR="002D5CCB" w:rsidRDefault="002D5CCB" w:rsidP="00FC39DC">
      <w:pPr>
        <w:pStyle w:val="BodyCopy"/>
      </w:pPr>
      <w:r w:rsidRPr="009B79B5">
        <w:t xml:space="preserve">The authorisation of restraints must be documented by the Consultant Psychiatrist on </w:t>
      </w:r>
      <w:r>
        <w:t xml:space="preserve">Digital Health Record (DHR) or if DHR downtime refer to </w:t>
      </w:r>
      <w:r w:rsidRPr="009B79B5">
        <w:t xml:space="preserve">the </w:t>
      </w:r>
      <w:r w:rsidRPr="009B79B5">
        <w:rPr>
          <w:i/>
        </w:rPr>
        <w:t xml:space="preserve">Clinical Risk Assessment and Management form </w:t>
      </w:r>
      <w:r w:rsidRPr="009B79B5">
        <w:t xml:space="preserve">(see </w:t>
      </w:r>
      <w:r w:rsidRPr="009B79B5">
        <w:rPr>
          <w:i/>
        </w:rPr>
        <w:t>Restraint of a Person</w:t>
      </w:r>
      <w:r>
        <w:rPr>
          <w:i/>
        </w:rPr>
        <w:t xml:space="preserve"> Detained under the Mental Health Act 2015 Procedure</w:t>
      </w:r>
      <w:r w:rsidRPr="009B79B5">
        <w:t>).</w:t>
      </w:r>
    </w:p>
    <w:p w14:paraId="2F66D385" w14:textId="305A420E" w:rsidR="00481A6C" w:rsidRPr="002D5CCB" w:rsidRDefault="00481A6C" w:rsidP="002D5CCB">
      <w:pPr>
        <w:rPr>
          <w:rStyle w:val="Hyperlink"/>
          <w:color w:val="000000" w:themeColor="text1"/>
          <w:u w:val="none"/>
        </w:rPr>
      </w:pPr>
      <w:hyperlink w:anchor="_top" w:history="1">
        <w:r w:rsidRPr="00481A6C">
          <w:rPr>
            <w:rStyle w:val="Hyperlink"/>
          </w:rPr>
          <w:t>Back to Contents</w:t>
        </w:r>
      </w:hyperlink>
    </w:p>
    <w:p w14:paraId="16CD5562" w14:textId="77777777" w:rsidR="003254E1" w:rsidRDefault="003254E1" w:rsidP="003254E1">
      <w:pPr>
        <w:pStyle w:val="Heading4"/>
      </w:pPr>
      <w:bookmarkStart w:id="4" w:name="_Toc204357990"/>
      <w:r>
        <w:t>Scope</w:t>
      </w:r>
      <w:bookmarkEnd w:id="4"/>
    </w:p>
    <w:p w14:paraId="24ACEAC0" w14:textId="39D789F9" w:rsidR="002D5CCB" w:rsidRPr="00212FDC" w:rsidRDefault="002D5CCB" w:rsidP="00FC39DC">
      <w:pPr>
        <w:pStyle w:val="BodyCopy"/>
      </w:pPr>
      <w:bookmarkStart w:id="5" w:name="_Hlk77259691"/>
      <w:r w:rsidRPr="738F9B79">
        <w:t xml:space="preserve">This procedure applies to adults and </w:t>
      </w:r>
      <w:r w:rsidR="00BA460B">
        <w:t>young people</w:t>
      </w:r>
      <w:r w:rsidRPr="738F9B79">
        <w:t xml:space="preserve"> 12 years of age and</w:t>
      </w:r>
      <w:bookmarkEnd w:id="5"/>
      <w:r w:rsidRPr="738F9B79">
        <w:t xml:space="preserve"> over being treated by CHS. People treated by CHS can receive ECT as an inpatient, or day procedure as an outpatient.</w:t>
      </w:r>
    </w:p>
    <w:p w14:paraId="2E6831CD" w14:textId="659AE9D0" w:rsidR="002D5CCB" w:rsidRPr="002D5CCB" w:rsidRDefault="002D5CCB" w:rsidP="00FC39DC">
      <w:pPr>
        <w:pStyle w:val="BodyCopy"/>
      </w:pPr>
      <w:r w:rsidRPr="738F9B79">
        <w:t>In the Australian Capital Territory (ACT) ECT may only be performed in an a</w:t>
      </w:r>
      <w:r w:rsidR="00BA460B">
        <w:t>pproved</w:t>
      </w:r>
      <w:r w:rsidRPr="738F9B79">
        <w:t xml:space="preserve"> </w:t>
      </w:r>
      <w:r w:rsidR="00BA460B">
        <w:t>M</w:t>
      </w:r>
      <w:r w:rsidRPr="738F9B79">
        <w:t xml:space="preserve">ental </w:t>
      </w:r>
      <w:r w:rsidR="00BA460B">
        <w:t>H</w:t>
      </w:r>
      <w:r w:rsidRPr="738F9B79">
        <w:t xml:space="preserve">ealth </w:t>
      </w:r>
      <w:r w:rsidR="00BA460B">
        <w:t>Facility</w:t>
      </w:r>
      <w:r w:rsidRPr="738F9B79">
        <w:t xml:space="preserve">. This procedure provides information for all CHS employees (permanent, temporary, and casual) and all organisations and individuals acting as its agents (including visiting medical officers [VMOs]) and other partners, contractors, consultants, and volunteers) involved in the delivery of ECT. </w:t>
      </w:r>
    </w:p>
    <w:p w14:paraId="6E4B4A67" w14:textId="77777777" w:rsidR="002D5CCB" w:rsidRPr="00212FDC" w:rsidRDefault="002D5CCB" w:rsidP="00FC39DC">
      <w:pPr>
        <w:pStyle w:val="BodyCopy"/>
      </w:pPr>
      <w:r w:rsidRPr="00212FDC">
        <w:t>This document applies to the following staff working within their scope of practice:</w:t>
      </w:r>
    </w:p>
    <w:p w14:paraId="597255D1" w14:textId="77777777" w:rsidR="002D5CCB" w:rsidRPr="002D5CCB" w:rsidRDefault="002D5CCB" w:rsidP="00FC39DC">
      <w:pPr>
        <w:pStyle w:val="Bullet"/>
      </w:pPr>
      <w:r w:rsidRPr="002D5CCB">
        <w:t>Medical Officers</w:t>
      </w:r>
    </w:p>
    <w:p w14:paraId="12530B45" w14:textId="77777777" w:rsidR="002D5CCB" w:rsidRPr="002D5CCB" w:rsidRDefault="002D5CCB" w:rsidP="00FC39DC">
      <w:pPr>
        <w:pStyle w:val="Bullet"/>
      </w:pPr>
      <w:r w:rsidRPr="002D5CCB">
        <w:t xml:space="preserve">Registered Nurses </w:t>
      </w:r>
    </w:p>
    <w:p w14:paraId="16E40F77" w14:textId="77777777" w:rsidR="002D5CCB" w:rsidRPr="002D5CCB" w:rsidRDefault="002D5CCB" w:rsidP="00FC39DC">
      <w:pPr>
        <w:pStyle w:val="Bullet"/>
      </w:pPr>
      <w:r w:rsidRPr="002D5CCB">
        <w:t>ECT Co-ordinator</w:t>
      </w:r>
    </w:p>
    <w:p w14:paraId="463200F3" w14:textId="77777777" w:rsidR="002D5CCB" w:rsidRPr="002D5CCB" w:rsidRDefault="002D5CCB" w:rsidP="00FC39DC">
      <w:pPr>
        <w:pStyle w:val="Bullet"/>
      </w:pPr>
      <w:r w:rsidRPr="002D5CCB">
        <w:t>Allied Health Professionals</w:t>
      </w:r>
    </w:p>
    <w:p w14:paraId="075B5760" w14:textId="77777777" w:rsidR="002D5CCB" w:rsidRPr="002D5CCB" w:rsidRDefault="002D5CCB" w:rsidP="00FC39DC">
      <w:pPr>
        <w:pStyle w:val="Bullet"/>
      </w:pPr>
      <w:r w:rsidRPr="002D5CCB">
        <w:t>Enrolled Nurses</w:t>
      </w:r>
    </w:p>
    <w:p w14:paraId="5633C355" w14:textId="77777777" w:rsidR="002D5CCB" w:rsidRPr="002D5CCB" w:rsidRDefault="002D5CCB" w:rsidP="00FC39DC">
      <w:pPr>
        <w:pStyle w:val="Bullet"/>
      </w:pPr>
      <w:r w:rsidRPr="002D5CCB">
        <w:t>Assistants in Nursing</w:t>
      </w:r>
    </w:p>
    <w:p w14:paraId="1AD97C55" w14:textId="77777777" w:rsidR="002D5CCB" w:rsidRPr="002D5CCB" w:rsidRDefault="002D5CCB" w:rsidP="00FC39DC">
      <w:pPr>
        <w:pStyle w:val="Bullet"/>
      </w:pPr>
      <w:proofErr w:type="spellStart"/>
      <w:r w:rsidRPr="002D5CCB">
        <w:t>Wardspersons</w:t>
      </w:r>
      <w:proofErr w:type="spellEnd"/>
    </w:p>
    <w:p w14:paraId="2483844D" w14:textId="77777777" w:rsidR="002D5CCB" w:rsidRPr="002D5CCB" w:rsidRDefault="002D5CCB" w:rsidP="00FC39DC">
      <w:pPr>
        <w:pStyle w:val="Bullet"/>
      </w:pPr>
      <w:r w:rsidRPr="002D5CCB">
        <w:t>Students under direct supervision.</w:t>
      </w:r>
    </w:p>
    <w:p w14:paraId="5B1AA220" w14:textId="77777777" w:rsidR="003254E1" w:rsidRPr="003254E1" w:rsidRDefault="003254E1" w:rsidP="003254E1">
      <w:pPr>
        <w:pStyle w:val="BodyCopy"/>
        <w:spacing w:before="240"/>
      </w:pPr>
      <w:hyperlink w:anchor="_top" w:history="1">
        <w:r w:rsidRPr="00481A6C">
          <w:rPr>
            <w:rStyle w:val="Hyperlink"/>
            <w:iCs w:val="0"/>
          </w:rPr>
          <w:t>Back to Contents</w:t>
        </w:r>
      </w:hyperlink>
    </w:p>
    <w:p w14:paraId="27CA97AB" w14:textId="6764801B" w:rsidR="0078367D" w:rsidRDefault="0078367D" w:rsidP="00197F2E">
      <w:pPr>
        <w:pStyle w:val="Heading4"/>
      </w:pPr>
      <w:bookmarkStart w:id="6" w:name="_Toc204357991"/>
      <w:r>
        <w:t xml:space="preserve">Section 1 </w:t>
      </w:r>
      <w:r w:rsidR="002D5CCB">
        <w:t>Governance</w:t>
      </w:r>
      <w:bookmarkEnd w:id="6"/>
      <w:r w:rsidR="002D5CCB">
        <w:t xml:space="preserve"> </w:t>
      </w:r>
    </w:p>
    <w:p w14:paraId="1C57C4F5" w14:textId="18C7C56E" w:rsidR="006C0039" w:rsidRDefault="00AC75BB" w:rsidP="00AC75BB">
      <w:pPr>
        <w:pStyle w:val="Heading5"/>
        <w:numPr>
          <w:ilvl w:val="1"/>
          <w:numId w:val="28"/>
        </w:numPr>
      </w:pPr>
      <w:r>
        <w:t>ECT Services</w:t>
      </w:r>
    </w:p>
    <w:p w14:paraId="7678195B" w14:textId="69CDAA7F" w:rsidR="00AC75BB" w:rsidRDefault="00AC75BB" w:rsidP="00FC39DC">
      <w:pPr>
        <w:pStyle w:val="BodyCopy"/>
      </w:pPr>
      <w:r>
        <w:t>T</w:t>
      </w:r>
      <w:r w:rsidRPr="009B79B5">
        <w:t>he provision of ECT services</w:t>
      </w:r>
      <w:r>
        <w:t xml:space="preserve"> at CHS</w:t>
      </w:r>
      <w:r w:rsidRPr="009B79B5">
        <w:t xml:space="preserve"> occur within an organisational framework of an ECT service under the direct leadership of a </w:t>
      </w:r>
      <w:r w:rsidR="00BA460B">
        <w:t xml:space="preserve">consultant </w:t>
      </w:r>
      <w:r w:rsidRPr="009B79B5">
        <w:t xml:space="preserve">psychiatrist who is the Clinical Director of ECT. </w:t>
      </w:r>
    </w:p>
    <w:p w14:paraId="7871B782" w14:textId="77777777" w:rsidR="00AC75BB" w:rsidRDefault="00AC75BB" w:rsidP="00FC39DC">
      <w:pPr>
        <w:pStyle w:val="BodyCopy"/>
      </w:pPr>
      <w:r w:rsidRPr="009B79B5">
        <w:t>The Clinical Director’s role include</w:t>
      </w:r>
      <w:r>
        <w:t xml:space="preserve">s </w:t>
      </w:r>
      <w:r w:rsidRPr="009B79B5">
        <w:t>responsibility for ensuring that standards of ECT practice are maintained including</w:t>
      </w:r>
      <w:r>
        <w:t>:</w:t>
      </w:r>
    </w:p>
    <w:p w14:paraId="3D99F561" w14:textId="77777777" w:rsidR="00AC75BB" w:rsidRPr="00AC75BB" w:rsidRDefault="00AC75BB" w:rsidP="00FC39DC">
      <w:pPr>
        <w:pStyle w:val="Bullet"/>
        <w:rPr>
          <w:rFonts w:eastAsia="Calibri"/>
        </w:rPr>
      </w:pPr>
      <w:r w:rsidRPr="00AC75BB">
        <w:rPr>
          <w:rFonts w:eastAsia="Calibri"/>
        </w:rPr>
        <w:t xml:space="preserve">adequate orientation of new medical staff </w:t>
      </w:r>
    </w:p>
    <w:p w14:paraId="56676D84" w14:textId="77777777" w:rsidR="00AC75BB" w:rsidRPr="00AC75BB" w:rsidRDefault="00AC75BB" w:rsidP="00FC39DC">
      <w:pPr>
        <w:pStyle w:val="Bullet"/>
        <w:rPr>
          <w:rFonts w:eastAsia="Calibri"/>
        </w:rPr>
      </w:pPr>
      <w:r w:rsidRPr="00AC75BB">
        <w:rPr>
          <w:rFonts w:eastAsia="Calibri"/>
        </w:rPr>
        <w:lastRenderedPageBreak/>
        <w:t xml:space="preserve">training for credentialing purposes </w:t>
      </w:r>
    </w:p>
    <w:p w14:paraId="58E154A4" w14:textId="61D73822" w:rsidR="00AC75BB" w:rsidRPr="00AC75BB" w:rsidRDefault="00AC75BB" w:rsidP="00FC39DC">
      <w:pPr>
        <w:pStyle w:val="Bullet"/>
        <w:rPr>
          <w:rFonts w:eastAsia="Calibri"/>
        </w:rPr>
      </w:pPr>
      <w:r w:rsidRPr="00AC75BB">
        <w:rPr>
          <w:rFonts w:eastAsia="Calibri"/>
        </w:rPr>
        <w:t>Investigate and respond to complains about the prescription or administration of ECT</w:t>
      </w:r>
    </w:p>
    <w:p w14:paraId="577902CD" w14:textId="77777777" w:rsidR="00AC75BB" w:rsidRPr="00AC75BB" w:rsidRDefault="00AC75BB" w:rsidP="00FC39DC">
      <w:pPr>
        <w:pStyle w:val="Bullet"/>
        <w:rPr>
          <w:rFonts w:eastAsia="Calibri"/>
        </w:rPr>
      </w:pPr>
      <w:r w:rsidRPr="00AC75BB">
        <w:rPr>
          <w:rFonts w:eastAsia="Calibri"/>
        </w:rPr>
        <w:t xml:space="preserve">documentation </w:t>
      </w:r>
    </w:p>
    <w:p w14:paraId="586D498A" w14:textId="77777777" w:rsidR="00AC75BB" w:rsidRPr="00AC75BB" w:rsidRDefault="00AC75BB" w:rsidP="00FC39DC">
      <w:pPr>
        <w:pStyle w:val="Bullet"/>
        <w:rPr>
          <w:rFonts w:eastAsia="Calibri"/>
        </w:rPr>
      </w:pPr>
      <w:r w:rsidRPr="00AC75BB">
        <w:rPr>
          <w:rFonts w:eastAsia="Calibri"/>
        </w:rPr>
        <w:t xml:space="preserve">data collection </w:t>
      </w:r>
    </w:p>
    <w:p w14:paraId="3E7B3C5E" w14:textId="4F6B7E6B" w:rsidR="00AC75BB" w:rsidRDefault="00AC75BB" w:rsidP="00FC39DC">
      <w:pPr>
        <w:pStyle w:val="Bullet"/>
        <w:rPr>
          <w:rFonts w:eastAsia="Calibri"/>
        </w:rPr>
      </w:pPr>
      <w:r w:rsidRPr="00AC75BB">
        <w:rPr>
          <w:rFonts w:eastAsia="Calibri"/>
        </w:rPr>
        <w:t xml:space="preserve">auditing. </w:t>
      </w:r>
    </w:p>
    <w:p w14:paraId="455C80CB" w14:textId="17510B33" w:rsidR="00AC75BB" w:rsidRPr="00AC75BB" w:rsidRDefault="00AC75BB" w:rsidP="00FC39DC">
      <w:pPr>
        <w:pStyle w:val="BodyCopy"/>
        <w:rPr>
          <w:rFonts w:eastAsia="Calibri"/>
        </w:rPr>
      </w:pPr>
      <w:r w:rsidRPr="00AC75BB">
        <w:rPr>
          <w:rFonts w:eastAsia="Calibri"/>
        </w:rPr>
        <w:t>CHS also has a senior Registered Nurse appointed as the senior clinical nurse for ECT.</w:t>
      </w:r>
    </w:p>
    <w:p w14:paraId="1A298955" w14:textId="29A73E0F" w:rsidR="002D4BB3" w:rsidRPr="00F07520" w:rsidRDefault="00AC75BB" w:rsidP="00AC75BB">
      <w:pPr>
        <w:pStyle w:val="Heading6"/>
        <w:numPr>
          <w:ilvl w:val="1"/>
          <w:numId w:val="28"/>
        </w:numPr>
        <w:rPr>
          <w:b/>
          <w:bCs/>
        </w:rPr>
      </w:pPr>
      <w:bookmarkStart w:id="7" w:name="_Hlk172532356"/>
      <w:r w:rsidRPr="00F07520">
        <w:rPr>
          <w:b/>
          <w:bCs/>
        </w:rPr>
        <w:t>ACT–wide ECT Committee</w:t>
      </w:r>
    </w:p>
    <w:p w14:paraId="3AFF7507" w14:textId="5C2A3BCF" w:rsidR="00AC75BB" w:rsidRPr="00FC39DC" w:rsidRDefault="00AC75BB" w:rsidP="00FC39DC">
      <w:pPr>
        <w:pStyle w:val="BodyCopy"/>
      </w:pPr>
      <w:bookmarkStart w:id="8" w:name="_Toc102396659"/>
      <w:r w:rsidRPr="032493B3">
        <w:t xml:space="preserve">The ACT-wide ECT committee reports to Mental Health, Justice Health and Alcohol and Drug Service (MHJHADS) governance committee. </w:t>
      </w:r>
      <w:bookmarkEnd w:id="8"/>
    </w:p>
    <w:bookmarkEnd w:id="7"/>
    <w:p w14:paraId="4DB05295" w14:textId="24D76A2A" w:rsidR="00481A6C" w:rsidRPr="00481A6C" w:rsidRDefault="00481A6C" w:rsidP="005C5F49">
      <w:pPr>
        <w:pStyle w:val="BodyCopy"/>
        <w:spacing w:before="240"/>
      </w:pPr>
      <w:r>
        <w:fldChar w:fldCharType="begin"/>
      </w:r>
      <w:r>
        <w:instrText>HYPERLINK \l "_top"</w:instrText>
      </w:r>
      <w:r>
        <w:fldChar w:fldCharType="separate"/>
      </w:r>
      <w:r w:rsidRPr="00481A6C">
        <w:rPr>
          <w:rStyle w:val="Hyperlink"/>
          <w:iCs w:val="0"/>
        </w:rPr>
        <w:t>Back to Contents</w:t>
      </w:r>
      <w:r>
        <w:fldChar w:fldCharType="end"/>
      </w:r>
    </w:p>
    <w:p w14:paraId="01FB63A4" w14:textId="242A349D" w:rsidR="00AC75BB" w:rsidRDefault="0078367D" w:rsidP="00AC75BB">
      <w:pPr>
        <w:pStyle w:val="Heading4"/>
      </w:pPr>
      <w:bookmarkStart w:id="9" w:name="_Toc204357992"/>
      <w:r>
        <w:t xml:space="preserve">Section 2 </w:t>
      </w:r>
      <w:r w:rsidR="00AC75BB">
        <w:t>–</w:t>
      </w:r>
      <w:r>
        <w:t xml:space="preserve"> </w:t>
      </w:r>
      <w:r w:rsidR="00AC75BB">
        <w:t>Roles and Responsibilities</w:t>
      </w:r>
      <w:bookmarkEnd w:id="9"/>
      <w:r w:rsidR="00AC75BB">
        <w:t xml:space="preserve"> </w:t>
      </w:r>
      <w:r w:rsidR="003254E1">
        <w:t xml:space="preserve"> </w:t>
      </w:r>
    </w:p>
    <w:p w14:paraId="0231410F" w14:textId="6FE0F9A8" w:rsidR="00AC75BB" w:rsidRDefault="00AC75BB" w:rsidP="00FC39DC">
      <w:pPr>
        <w:pStyle w:val="BodyCopy"/>
        <w:rPr>
          <w:b/>
        </w:rPr>
      </w:pPr>
      <w:r w:rsidRPr="009B79B5">
        <w:t xml:space="preserve">Staff involved in the therapeutic administration of ECT have a key role in educating other parties in understanding and de-mystifying ECT as a treatment modality. For the </w:t>
      </w:r>
      <w:r w:rsidR="00144386">
        <w:rPr>
          <w:rFonts w:cs="Calibri"/>
          <w:szCs w:val="22"/>
        </w:rPr>
        <w:t>consumer</w:t>
      </w:r>
      <w:r>
        <w:t xml:space="preserve"> receiving ECT</w:t>
      </w:r>
      <w:r w:rsidRPr="009B79B5">
        <w:t xml:space="preserve"> and the</w:t>
      </w:r>
      <w:r w:rsidR="006531B3">
        <w:t xml:space="preserve">ir </w:t>
      </w:r>
      <w:bookmarkStart w:id="10" w:name="_Hlk199415733"/>
      <w:r w:rsidR="006531B3">
        <w:t>nominated person,</w:t>
      </w:r>
      <w:r w:rsidRPr="009B79B5">
        <w:t xml:space="preserve"> family</w:t>
      </w:r>
      <w:r w:rsidR="006531B3">
        <w:t xml:space="preserve">, </w:t>
      </w:r>
      <w:r w:rsidRPr="009B79B5">
        <w:t>carer</w:t>
      </w:r>
      <w:r>
        <w:t>,</w:t>
      </w:r>
      <w:r w:rsidRPr="009B79B5">
        <w:t xml:space="preserve"> </w:t>
      </w:r>
      <w:r w:rsidR="006531B3">
        <w:t>or other supports</w:t>
      </w:r>
      <w:bookmarkEnd w:id="10"/>
      <w:r w:rsidR="006531B3">
        <w:t xml:space="preserve">, </w:t>
      </w:r>
      <w:r w:rsidRPr="009B79B5">
        <w:t xml:space="preserve">education focuses on generating an informed understanding of ECT. </w:t>
      </w:r>
    </w:p>
    <w:p w14:paraId="0CB2A9FE" w14:textId="4199897D" w:rsidR="003254E1" w:rsidRDefault="00AC75BB" w:rsidP="003254E1">
      <w:pPr>
        <w:pStyle w:val="Heading5"/>
      </w:pPr>
      <w:r>
        <w:t xml:space="preserve">2.1 Medical Officers </w:t>
      </w:r>
    </w:p>
    <w:p w14:paraId="14713008" w14:textId="5B86159A" w:rsidR="00AC75BB" w:rsidRDefault="00AC75BB" w:rsidP="00FC39DC">
      <w:pPr>
        <w:pStyle w:val="BodyCopy"/>
      </w:pPr>
      <w:r w:rsidRPr="738F9B79">
        <w:t>The</w:t>
      </w:r>
      <w:r w:rsidR="00B1182E">
        <w:t xml:space="preserve"> </w:t>
      </w:r>
      <w:r w:rsidR="00B137A4">
        <w:t xml:space="preserve">consumers </w:t>
      </w:r>
      <w:r w:rsidRPr="738F9B79">
        <w:t xml:space="preserve">clinical treating team (medical officers) are directly responsible for the </w:t>
      </w:r>
      <w:r w:rsidR="00676E33">
        <w:t xml:space="preserve">consumers </w:t>
      </w:r>
      <w:r w:rsidRPr="738F9B79">
        <w:t xml:space="preserve">ongoing treatment, care, and support including follow-up of the </w:t>
      </w:r>
      <w:r w:rsidR="00144386">
        <w:rPr>
          <w:rFonts w:cs="Calibri"/>
          <w:szCs w:val="22"/>
        </w:rPr>
        <w:t>consumer</w:t>
      </w:r>
      <w:r w:rsidRPr="738F9B79">
        <w:t xml:space="preserve"> receiving ECT treatment. </w:t>
      </w:r>
      <w:r>
        <w:t xml:space="preserve">Medical officers should ensure that, with consent from the </w:t>
      </w:r>
      <w:r w:rsidR="00144386">
        <w:rPr>
          <w:rFonts w:cs="Calibri"/>
          <w:szCs w:val="22"/>
        </w:rPr>
        <w:t>consumer</w:t>
      </w:r>
      <w:r>
        <w:t xml:space="preserve"> receiving treatment, </w:t>
      </w:r>
      <w:r w:rsidR="006531B3">
        <w:t>nominated person,</w:t>
      </w:r>
      <w:r w:rsidR="006531B3" w:rsidRPr="009B79B5">
        <w:t xml:space="preserve"> family</w:t>
      </w:r>
      <w:r w:rsidR="006531B3">
        <w:t xml:space="preserve">, </w:t>
      </w:r>
      <w:r w:rsidR="006531B3" w:rsidRPr="009B79B5">
        <w:t>carer</w:t>
      </w:r>
      <w:r w:rsidR="006531B3">
        <w:t>,</w:t>
      </w:r>
      <w:r w:rsidR="006531B3" w:rsidRPr="009B79B5">
        <w:t xml:space="preserve"> </w:t>
      </w:r>
      <w:r w:rsidR="006531B3">
        <w:t>or other supports</w:t>
      </w:r>
      <w:r>
        <w:t xml:space="preserve"> are provided with clear information about the ECT process and given the opportunity to ask questions or raise concerns.</w:t>
      </w:r>
    </w:p>
    <w:p w14:paraId="554C4CF1" w14:textId="77777777" w:rsidR="00AC75BB" w:rsidRDefault="00AC75BB" w:rsidP="00FC39DC">
      <w:pPr>
        <w:pStyle w:val="BodyCopy"/>
      </w:pPr>
      <w:r w:rsidRPr="006C5334">
        <w:t>The clinical team is comprised of</w:t>
      </w:r>
      <w:r>
        <w:t>:</w:t>
      </w:r>
    </w:p>
    <w:p w14:paraId="6B308F91" w14:textId="77777777" w:rsidR="00AC75BB" w:rsidRPr="00AC75BB" w:rsidRDefault="00AC75BB" w:rsidP="00FC39DC">
      <w:pPr>
        <w:pStyle w:val="Bullet"/>
        <w:rPr>
          <w:rFonts w:eastAsia="Calibri"/>
        </w:rPr>
      </w:pPr>
      <w:r w:rsidRPr="00AC75BB">
        <w:rPr>
          <w:rFonts w:eastAsia="Calibri"/>
        </w:rPr>
        <w:t xml:space="preserve">a consultant psychiatrist (the prescribing consultant psychiatrist), </w:t>
      </w:r>
    </w:p>
    <w:p w14:paraId="41009B99" w14:textId="77777777" w:rsidR="00AC75BB" w:rsidRPr="00AC75BB" w:rsidRDefault="00AC75BB" w:rsidP="00FC39DC">
      <w:pPr>
        <w:pStyle w:val="Bullet"/>
        <w:rPr>
          <w:rFonts w:eastAsia="Calibri"/>
        </w:rPr>
      </w:pPr>
      <w:r w:rsidRPr="00AC75BB">
        <w:rPr>
          <w:rFonts w:eastAsia="Calibri"/>
        </w:rPr>
        <w:t xml:space="preserve">psychiatric registrar </w:t>
      </w:r>
    </w:p>
    <w:p w14:paraId="6F4CFBF9" w14:textId="2DEA75BB" w:rsidR="00AC75BB" w:rsidRPr="00BC4E0F" w:rsidRDefault="00AC75BB" w:rsidP="00FC39DC">
      <w:pPr>
        <w:pStyle w:val="Bullet"/>
        <w:rPr>
          <w:rFonts w:eastAsia="Calibri"/>
        </w:rPr>
      </w:pPr>
      <w:r w:rsidRPr="00AC75BB">
        <w:rPr>
          <w:rFonts w:eastAsia="Calibri"/>
        </w:rPr>
        <w:t xml:space="preserve">registered medical officer or junior medical officer. </w:t>
      </w:r>
    </w:p>
    <w:p w14:paraId="3654E055" w14:textId="4F32C21A" w:rsidR="00AC75BB" w:rsidRDefault="00AC75BB" w:rsidP="00BC4E0F">
      <w:pPr>
        <w:pStyle w:val="Heading5"/>
        <w:spacing w:before="120" w:beforeAutospacing="0"/>
      </w:pPr>
      <w:r>
        <w:t>2.2 Treating Consultant Psychiatrist/Psychiatric Registrar</w:t>
      </w:r>
    </w:p>
    <w:p w14:paraId="3F74215B" w14:textId="77777777" w:rsidR="00AC75BB" w:rsidRPr="00AC75BB" w:rsidRDefault="00AC75BB" w:rsidP="00A055F1">
      <w:pPr>
        <w:pStyle w:val="BodyCopy"/>
        <w:rPr>
          <w:rFonts w:eastAsia="Calibri"/>
        </w:rPr>
      </w:pPr>
      <w:bookmarkStart w:id="11" w:name="_Hlk199158747"/>
      <w:r w:rsidRPr="00AC75BB">
        <w:rPr>
          <w:rFonts w:eastAsia="Calibri"/>
        </w:rPr>
        <w:t>The Treating Consultant Psychiatrist/Psychiatric Registrar will:</w:t>
      </w:r>
    </w:p>
    <w:p w14:paraId="6530789F" w14:textId="381CAA2F" w:rsidR="00AC75BB" w:rsidRPr="00F07520" w:rsidRDefault="00AC75BB" w:rsidP="00A055F1">
      <w:pPr>
        <w:pStyle w:val="Bullet"/>
        <w:rPr>
          <w:rFonts w:eastAsia="Calibri"/>
        </w:rPr>
      </w:pPr>
      <w:r w:rsidRPr="00AC75BB">
        <w:rPr>
          <w:rFonts w:eastAsia="Calibri"/>
        </w:rPr>
        <w:t xml:space="preserve">Explain the potential benefits and risks of ECT, alternate treatments and the clinical prognosis of not having any treatment to the </w:t>
      </w:r>
      <w:r w:rsidR="00676E33">
        <w:rPr>
          <w:rFonts w:eastAsia="Calibri"/>
        </w:rPr>
        <w:t xml:space="preserve">consumer </w:t>
      </w:r>
      <w:r w:rsidRPr="00AC75BB">
        <w:rPr>
          <w:rFonts w:eastAsia="Calibri"/>
        </w:rPr>
        <w:t xml:space="preserve">being considered for ECT and with the </w:t>
      </w:r>
      <w:r w:rsidR="00676E33">
        <w:rPr>
          <w:rFonts w:eastAsia="Calibri"/>
        </w:rPr>
        <w:t>consumer</w:t>
      </w:r>
      <w:r w:rsidR="0056665D">
        <w:rPr>
          <w:rFonts w:eastAsia="Calibri"/>
        </w:rPr>
        <w:t xml:space="preserve">s </w:t>
      </w:r>
      <w:r w:rsidRPr="00AC75BB">
        <w:rPr>
          <w:rFonts w:eastAsia="Calibri"/>
        </w:rPr>
        <w:t xml:space="preserve">consent, their </w:t>
      </w:r>
      <w:r w:rsidR="006531B3" w:rsidRPr="006531B3">
        <w:rPr>
          <w:rFonts w:eastAsia="Calibri"/>
        </w:rPr>
        <w:t>nominated person, family, carer, or other supports</w:t>
      </w:r>
      <w:r w:rsidRPr="00AC75BB">
        <w:rPr>
          <w:rFonts w:eastAsia="Calibri"/>
        </w:rPr>
        <w:t xml:space="preserve">. </w:t>
      </w:r>
    </w:p>
    <w:p w14:paraId="0F90606E" w14:textId="146A03C1" w:rsidR="00AC75BB" w:rsidRPr="00AC75BB" w:rsidRDefault="00AC75BB" w:rsidP="00A055F1">
      <w:pPr>
        <w:pStyle w:val="Bullet"/>
        <w:rPr>
          <w:rFonts w:eastAsia="Calibri"/>
        </w:rPr>
      </w:pPr>
      <w:r w:rsidRPr="00AC75BB">
        <w:rPr>
          <w:rFonts w:eastAsia="Calibri"/>
        </w:rPr>
        <w:t xml:space="preserve">A plain language summary of the treatment plan and potential risks should be offered to the </w:t>
      </w:r>
      <w:r w:rsidR="006531B3" w:rsidRPr="006531B3">
        <w:rPr>
          <w:rFonts w:eastAsia="Calibri"/>
        </w:rPr>
        <w:t>nominated person, family, carer, or other supports</w:t>
      </w:r>
      <w:r w:rsidRPr="00AC75BB">
        <w:rPr>
          <w:rFonts w:eastAsia="Calibri"/>
        </w:rPr>
        <w:t xml:space="preserve"> where appropriate and consented</w:t>
      </w:r>
      <w:r w:rsidR="006531B3">
        <w:rPr>
          <w:rFonts w:eastAsia="Calibri"/>
        </w:rPr>
        <w:t>. N</w:t>
      </w:r>
      <w:r w:rsidR="006531B3" w:rsidRPr="006531B3">
        <w:rPr>
          <w:rFonts w:eastAsia="Calibri"/>
        </w:rPr>
        <w:t>ominated person, family, carer, or other support</w:t>
      </w:r>
      <w:r w:rsidR="006531B3">
        <w:rPr>
          <w:rFonts w:eastAsia="Calibri"/>
        </w:rPr>
        <w:t xml:space="preserve">s should also </w:t>
      </w:r>
      <w:r w:rsidRPr="00AC75BB">
        <w:rPr>
          <w:rFonts w:eastAsia="Calibri"/>
        </w:rPr>
        <w:t xml:space="preserve">be informed of how to report side effects post treatment. </w:t>
      </w:r>
    </w:p>
    <w:p w14:paraId="0D051034" w14:textId="10A94A81" w:rsidR="00AC75BB" w:rsidRPr="00AC75BB" w:rsidRDefault="00AC75BB" w:rsidP="00A055F1">
      <w:pPr>
        <w:pStyle w:val="Bullet"/>
        <w:rPr>
          <w:rFonts w:eastAsia="Calibri"/>
        </w:rPr>
      </w:pPr>
      <w:r w:rsidRPr="00AC75BB">
        <w:rPr>
          <w:rFonts w:eastAsia="Calibri"/>
        </w:rPr>
        <w:lastRenderedPageBreak/>
        <w:t>Consider the cessation of benzodiazepines and anticonvulsants (when used as mood stabilisers) prior to ECT treatment, as these can decrease seizure duration and ECT efficiency particularly in Right Unilateral (RUL) ECT.</w:t>
      </w:r>
    </w:p>
    <w:p w14:paraId="164B4587" w14:textId="77777777" w:rsidR="00AC75BB" w:rsidRDefault="00AC75BB" w:rsidP="00A055F1">
      <w:pPr>
        <w:pStyle w:val="Bullet"/>
        <w:rPr>
          <w:rFonts w:eastAsia="Calibri"/>
        </w:rPr>
      </w:pPr>
      <w:r w:rsidRPr="00AC75BB">
        <w:rPr>
          <w:rFonts w:eastAsia="Calibri"/>
        </w:rPr>
        <w:t>Arrange for any diagnostic assessments where applicable i.e., Electrocardiogram (ECG), MRI</w:t>
      </w:r>
    </w:p>
    <w:p w14:paraId="4A7D864D" w14:textId="52FEEF71" w:rsidR="00AC75BB" w:rsidRPr="00AC75BB" w:rsidRDefault="00AC75BB" w:rsidP="00A055F1">
      <w:pPr>
        <w:pStyle w:val="Bullet"/>
        <w:rPr>
          <w:rFonts w:eastAsia="Calibri"/>
          <w:shd w:val="clear" w:color="auto" w:fill="FFFF00"/>
        </w:rPr>
      </w:pPr>
      <w:bookmarkStart w:id="12" w:name="_Hlk199158795"/>
      <w:r w:rsidRPr="00AC75BB">
        <w:rPr>
          <w:rFonts w:eastAsia="Calibri"/>
        </w:rPr>
        <w:t xml:space="preserve">Arrange a specialist consultation for </w:t>
      </w:r>
      <w:r w:rsidR="0056665D">
        <w:rPr>
          <w:rFonts w:eastAsia="Calibri"/>
        </w:rPr>
        <w:t>consumers</w:t>
      </w:r>
      <w:r w:rsidRPr="00AC75BB">
        <w:rPr>
          <w:rFonts w:eastAsia="Calibri"/>
        </w:rPr>
        <w:t xml:space="preserve"> with complex comorbid conditions and ensure a specialist management plan is documented in the </w:t>
      </w:r>
      <w:r w:rsidR="0056665D">
        <w:rPr>
          <w:rFonts w:eastAsia="Calibri"/>
        </w:rPr>
        <w:t>consumers</w:t>
      </w:r>
      <w:r w:rsidRPr="00AC75BB">
        <w:rPr>
          <w:rFonts w:eastAsia="Calibri"/>
        </w:rPr>
        <w:t xml:space="preserve"> DHR.</w:t>
      </w:r>
    </w:p>
    <w:bookmarkEnd w:id="11"/>
    <w:bookmarkEnd w:id="12"/>
    <w:p w14:paraId="058C54CD" w14:textId="74C8063C" w:rsidR="00AC75BB" w:rsidRDefault="00AC75BB" w:rsidP="00AC75BB">
      <w:pPr>
        <w:pStyle w:val="Heading5"/>
      </w:pPr>
      <w:r>
        <w:t xml:space="preserve">2.2.1 DHR Documentation Process </w:t>
      </w:r>
    </w:p>
    <w:p w14:paraId="6767CF7D" w14:textId="1B2007FE" w:rsidR="00AC75BB" w:rsidRPr="00AC75BB" w:rsidRDefault="00AC75BB" w:rsidP="00AC75BB">
      <w:pPr>
        <w:pStyle w:val="BodyCopy"/>
        <w:rPr>
          <w:b/>
        </w:rPr>
      </w:pPr>
      <w:r w:rsidRPr="00AC75BB">
        <w:rPr>
          <w:b/>
        </w:rPr>
        <w:t xml:space="preserve">Open </w:t>
      </w:r>
      <w:r w:rsidR="0056665D">
        <w:rPr>
          <w:b/>
        </w:rPr>
        <w:t>Consumer’s</w:t>
      </w:r>
      <w:r w:rsidR="0056665D" w:rsidRPr="00AC75BB">
        <w:rPr>
          <w:b/>
        </w:rPr>
        <w:t xml:space="preserve"> </w:t>
      </w:r>
      <w:r w:rsidRPr="00AC75BB">
        <w:rPr>
          <w:b/>
        </w:rPr>
        <w:t>File for ECT:</w:t>
      </w:r>
    </w:p>
    <w:p w14:paraId="148FEE04" w14:textId="36DF52A5" w:rsidR="00AC75BB" w:rsidRPr="00AC75BB" w:rsidRDefault="00AC75BB" w:rsidP="00A055F1">
      <w:pPr>
        <w:pStyle w:val="Bullet"/>
      </w:pPr>
      <w:r w:rsidRPr="00AC75BB">
        <w:t>Open ‘Schedule’ from the DHR toolbar</w:t>
      </w:r>
    </w:p>
    <w:p w14:paraId="70AACFBD" w14:textId="4EC35068" w:rsidR="00AC75BB" w:rsidRPr="00AC75BB" w:rsidRDefault="00AC75BB" w:rsidP="00E812D1">
      <w:pPr>
        <w:pStyle w:val="Bullet"/>
        <w:numPr>
          <w:ilvl w:val="1"/>
          <w:numId w:val="1"/>
        </w:numPr>
      </w:pPr>
      <w:r w:rsidRPr="00AC75BB">
        <w:rPr>
          <w:b/>
        </w:rPr>
        <w:t xml:space="preserve">For </w:t>
      </w:r>
      <w:r w:rsidR="00083BC7">
        <w:rPr>
          <w:b/>
        </w:rPr>
        <w:t>North Canberra Hospital (</w:t>
      </w:r>
      <w:r w:rsidRPr="00AC75BB">
        <w:rPr>
          <w:b/>
        </w:rPr>
        <w:t>NCH</w:t>
      </w:r>
      <w:r w:rsidR="00083BC7">
        <w:rPr>
          <w:b/>
        </w:rPr>
        <w:t>)</w:t>
      </w:r>
      <w:r w:rsidRPr="00AC75BB">
        <w:t>: Change ‘Dept:’ to “NCH MAIN THEATRE” by typing: ‘</w:t>
      </w:r>
      <w:proofErr w:type="spellStart"/>
      <w:r w:rsidRPr="00AC75BB">
        <w:t>nch</w:t>
      </w:r>
      <w:proofErr w:type="spellEnd"/>
      <w:r w:rsidRPr="00AC75BB">
        <w:t xml:space="preserve"> main’ and pressing Enter</w:t>
      </w:r>
    </w:p>
    <w:p w14:paraId="63F08004" w14:textId="41BECF5A" w:rsidR="00AC75BB" w:rsidRPr="00AC75BB" w:rsidRDefault="00AC75BB" w:rsidP="00E812D1">
      <w:pPr>
        <w:pStyle w:val="Bullet"/>
        <w:numPr>
          <w:ilvl w:val="1"/>
          <w:numId w:val="1"/>
        </w:numPr>
      </w:pPr>
      <w:r w:rsidRPr="00AC75BB">
        <w:rPr>
          <w:b/>
        </w:rPr>
        <w:t>For</w:t>
      </w:r>
      <w:r w:rsidR="00083BC7">
        <w:rPr>
          <w:b/>
        </w:rPr>
        <w:t xml:space="preserve"> Canberra Hospital (</w:t>
      </w:r>
      <w:r w:rsidR="001E400F">
        <w:rPr>
          <w:b/>
        </w:rPr>
        <w:t>T</w:t>
      </w:r>
      <w:r w:rsidR="004C609C">
        <w:rPr>
          <w:b/>
        </w:rPr>
        <w:t>CH</w:t>
      </w:r>
      <w:r w:rsidR="00083BC7">
        <w:rPr>
          <w:b/>
        </w:rPr>
        <w:t>)</w:t>
      </w:r>
      <w:r w:rsidRPr="00AC75BB">
        <w:t>: Change ‘Dept:’ to “TCH NEUROSTIMULATION” by typing: ‘neurostimulation’ and pressing Enter</w:t>
      </w:r>
    </w:p>
    <w:p w14:paraId="1C6C0B1F" w14:textId="307266B3" w:rsidR="00AC75BB" w:rsidRPr="00AC75BB" w:rsidRDefault="00AC75BB" w:rsidP="00A055F1">
      <w:pPr>
        <w:pStyle w:val="Bullet"/>
      </w:pPr>
      <w:r w:rsidRPr="00AC75BB">
        <w:t xml:space="preserve">Double Click to open </w:t>
      </w:r>
      <w:r w:rsidR="003A2E05">
        <w:t>consumer</w:t>
      </w:r>
      <w:r w:rsidR="003A2E05" w:rsidRPr="00AC75BB">
        <w:t xml:space="preserve"> </w:t>
      </w:r>
      <w:r w:rsidRPr="00AC75BB">
        <w:t>file</w:t>
      </w:r>
    </w:p>
    <w:p w14:paraId="77F36CCA" w14:textId="2FDAA3F1" w:rsidR="00AC75BB" w:rsidRPr="00AC75BB" w:rsidRDefault="00AC75BB" w:rsidP="00BC4E0F">
      <w:pPr>
        <w:pStyle w:val="BodyCopy"/>
        <w:spacing w:after="120"/>
        <w:rPr>
          <w:b/>
        </w:rPr>
      </w:pPr>
      <w:r w:rsidRPr="00AC75BB">
        <w:rPr>
          <w:b/>
        </w:rPr>
        <w:t xml:space="preserve">Sight and Review </w:t>
      </w:r>
      <w:r w:rsidR="003A2E05">
        <w:rPr>
          <w:b/>
        </w:rPr>
        <w:t>Consumer</w:t>
      </w:r>
      <w:r w:rsidR="003A2E05" w:rsidRPr="00AC75BB">
        <w:rPr>
          <w:b/>
        </w:rPr>
        <w:t xml:space="preserve">’s </w:t>
      </w:r>
      <w:r w:rsidRPr="00AC75BB">
        <w:rPr>
          <w:b/>
        </w:rPr>
        <w:t>Consent:</w:t>
      </w:r>
    </w:p>
    <w:p w14:paraId="50A17AFE" w14:textId="77777777" w:rsidR="00AC75BB" w:rsidRPr="00AC75BB" w:rsidRDefault="00AC75BB" w:rsidP="00A055F1">
      <w:pPr>
        <w:pStyle w:val="Bullet"/>
      </w:pPr>
      <w:r w:rsidRPr="00AC75BB">
        <w:t>Open: Mental Health Tab</w:t>
      </w:r>
    </w:p>
    <w:p w14:paraId="5DF8349E" w14:textId="77777777" w:rsidR="00AC75BB" w:rsidRPr="00AC75BB" w:rsidRDefault="00AC75BB" w:rsidP="00A055F1">
      <w:pPr>
        <w:pStyle w:val="Bullet"/>
      </w:pPr>
      <w:r w:rsidRPr="00AC75BB">
        <w:t>Open: Pre and Post ECT tab</w:t>
      </w:r>
    </w:p>
    <w:p w14:paraId="16078324" w14:textId="77777777" w:rsidR="00AC75BB" w:rsidRPr="00AC75BB" w:rsidRDefault="00AC75BB" w:rsidP="00A055F1">
      <w:pPr>
        <w:pStyle w:val="Bullet"/>
      </w:pPr>
      <w:r w:rsidRPr="00AC75BB">
        <w:t xml:space="preserve">Select: ‘Consents’ from side bar </w:t>
      </w:r>
    </w:p>
    <w:p w14:paraId="393ECB94" w14:textId="52C9536C" w:rsidR="00AC75BB" w:rsidRPr="00AC75BB" w:rsidRDefault="00AC75BB" w:rsidP="00A055F1">
      <w:pPr>
        <w:pStyle w:val="Bullet"/>
      </w:pPr>
      <w:r w:rsidRPr="00AC75BB">
        <w:t>Select: ‘Preview Document’ This will allow you to sight and review the consent form</w:t>
      </w:r>
    </w:p>
    <w:p w14:paraId="3914BBE4" w14:textId="3E9AFA5C" w:rsidR="00AC75BB" w:rsidRPr="00AC75BB" w:rsidRDefault="00AC75BB" w:rsidP="00E812D1">
      <w:pPr>
        <w:pStyle w:val="Bullet"/>
        <w:numPr>
          <w:ilvl w:val="1"/>
          <w:numId w:val="1"/>
        </w:numPr>
      </w:pPr>
      <w:r w:rsidRPr="00AC75BB">
        <w:t xml:space="preserve">If under </w:t>
      </w:r>
      <w:r w:rsidR="0095304E">
        <w:t>the</w:t>
      </w:r>
      <w:r w:rsidRPr="00AC75BB">
        <w:t xml:space="preserve"> A</w:t>
      </w:r>
      <w:r w:rsidR="0095304E">
        <w:t>ct</w:t>
      </w:r>
      <w:r w:rsidRPr="00AC75BB">
        <w:t>, select ‘Decision’ on sidebar and click on the relevant order</w:t>
      </w:r>
    </w:p>
    <w:p w14:paraId="6B78EC79" w14:textId="16BFAFD6" w:rsidR="00AC75BB" w:rsidRPr="00AC75BB" w:rsidRDefault="00AC75BB" w:rsidP="00A055F1">
      <w:pPr>
        <w:pStyle w:val="Bullet"/>
      </w:pPr>
      <w:r w:rsidRPr="00AC75BB">
        <w:t>Select ‘Report’</w:t>
      </w:r>
      <w:r>
        <w:t xml:space="preserve"> </w:t>
      </w:r>
      <w:r w:rsidRPr="00AC75BB">
        <w:t>to review document</w:t>
      </w:r>
    </w:p>
    <w:p w14:paraId="1914C536" w14:textId="77777777" w:rsidR="00AC75BB" w:rsidRPr="00AC75BB" w:rsidRDefault="00AC75BB" w:rsidP="00BC4E0F">
      <w:pPr>
        <w:pStyle w:val="BodyCopy"/>
        <w:spacing w:after="120"/>
        <w:rPr>
          <w:b/>
        </w:rPr>
      </w:pPr>
      <w:r w:rsidRPr="00AC75BB">
        <w:rPr>
          <w:b/>
        </w:rPr>
        <w:t>Review ECT Therapy Plan: (this is the prescription for ECT)</w:t>
      </w:r>
    </w:p>
    <w:p w14:paraId="4CDE67C8" w14:textId="77777777" w:rsidR="00AC75BB" w:rsidRPr="00AC75BB" w:rsidRDefault="00AC75BB" w:rsidP="00A055F1">
      <w:pPr>
        <w:pStyle w:val="Bullet"/>
      </w:pPr>
      <w:r w:rsidRPr="00AC75BB">
        <w:t xml:space="preserve">Within the Pre and Post ECT tab, select: ‘Plan Summary’ on sidebar </w:t>
      </w:r>
    </w:p>
    <w:p w14:paraId="0B404238" w14:textId="77777777" w:rsidR="00AC75BB" w:rsidRPr="00AC75BB" w:rsidRDefault="00AC75BB" w:rsidP="00A055F1">
      <w:pPr>
        <w:pStyle w:val="Bullet"/>
      </w:pPr>
      <w:r w:rsidRPr="00AC75BB">
        <w:t>Select: ‘Edit Plan’ tab and select ‘review plan’ review ECT Therapy Plan</w:t>
      </w:r>
    </w:p>
    <w:p w14:paraId="3B391AA9" w14:textId="77777777" w:rsidR="00AC75BB" w:rsidRPr="00AC75BB" w:rsidRDefault="00AC75BB" w:rsidP="00A055F1">
      <w:pPr>
        <w:pStyle w:val="Bullet"/>
      </w:pPr>
      <w:r w:rsidRPr="00AC75BB">
        <w:t xml:space="preserve">Select: ‘Treatment #’ tab and click on ‘Begin Treatment #’ </w:t>
      </w:r>
    </w:p>
    <w:p w14:paraId="18C0A7B4" w14:textId="77777777" w:rsidR="00AC75BB" w:rsidRPr="00AC75BB" w:rsidRDefault="00AC75BB" w:rsidP="00A055F1">
      <w:pPr>
        <w:pStyle w:val="Bullet"/>
      </w:pPr>
      <w:r w:rsidRPr="00AC75BB">
        <w:t>Check all boxes and select ‘Release’</w:t>
      </w:r>
    </w:p>
    <w:p w14:paraId="31EE63DB" w14:textId="77777777" w:rsidR="00AC75BB" w:rsidRPr="00AC75BB" w:rsidRDefault="00AC75BB" w:rsidP="00BC4E0F">
      <w:pPr>
        <w:pStyle w:val="BodyCopy"/>
        <w:spacing w:after="120"/>
        <w:rPr>
          <w:b/>
        </w:rPr>
      </w:pPr>
      <w:r w:rsidRPr="00AC75BB">
        <w:rPr>
          <w:b/>
        </w:rPr>
        <w:t>ECT Authorisation:</w:t>
      </w:r>
    </w:p>
    <w:p w14:paraId="21799CA1" w14:textId="77777777" w:rsidR="00AC75BB" w:rsidRPr="00AC75BB" w:rsidRDefault="00AC75BB" w:rsidP="00A055F1">
      <w:pPr>
        <w:pStyle w:val="Bullet"/>
      </w:pPr>
      <w:r w:rsidRPr="00AC75BB">
        <w:t xml:space="preserve">Within the Pre and Post ECT tab select: ‘ECT Authorisation’ on sidebar </w:t>
      </w:r>
    </w:p>
    <w:p w14:paraId="517A9EAF" w14:textId="77777777" w:rsidR="00AC75BB" w:rsidRPr="00AC75BB" w:rsidRDefault="00AC75BB" w:rsidP="00A055F1">
      <w:pPr>
        <w:pStyle w:val="Bullet"/>
      </w:pPr>
      <w:r w:rsidRPr="00AC75BB">
        <w:t>Complete ECT Authorisation checklist to verify that you’ve sighted and reviewed both the consent and prescription</w:t>
      </w:r>
    </w:p>
    <w:p w14:paraId="68268360" w14:textId="77777777" w:rsidR="00AC75BB" w:rsidRPr="00AC75BB" w:rsidRDefault="00AC75BB" w:rsidP="00A055F1">
      <w:pPr>
        <w:pStyle w:val="Bullet"/>
      </w:pPr>
      <w:r w:rsidRPr="00AC75BB">
        <w:t>Select ‘Close’ to complete and save this entry</w:t>
      </w:r>
    </w:p>
    <w:p w14:paraId="288AF7FB" w14:textId="77777777" w:rsidR="00AC75BB" w:rsidRPr="00AC75BB" w:rsidRDefault="00AC75BB" w:rsidP="00BC4E0F">
      <w:pPr>
        <w:pStyle w:val="BodyCopy"/>
        <w:spacing w:after="120"/>
        <w:rPr>
          <w:b/>
        </w:rPr>
      </w:pPr>
      <w:r w:rsidRPr="00AC75BB">
        <w:rPr>
          <w:b/>
        </w:rPr>
        <w:t>ECT Documentation:</w:t>
      </w:r>
    </w:p>
    <w:p w14:paraId="7658268E" w14:textId="77777777" w:rsidR="00AC75BB" w:rsidRPr="00AC75BB" w:rsidRDefault="00AC75BB" w:rsidP="00A055F1">
      <w:pPr>
        <w:pStyle w:val="Bullet"/>
      </w:pPr>
      <w:r w:rsidRPr="00AC75BB">
        <w:t xml:space="preserve">Within the Pre and Post ECT tab select: ‘Procedure Notes’ on sidebar </w:t>
      </w:r>
    </w:p>
    <w:p w14:paraId="2ECC15A4" w14:textId="013BF13F" w:rsidR="00AC75BB" w:rsidRPr="00AC75BB" w:rsidRDefault="00AC75BB" w:rsidP="00E812D1">
      <w:pPr>
        <w:pStyle w:val="Bullet"/>
        <w:numPr>
          <w:ilvl w:val="1"/>
          <w:numId w:val="1"/>
        </w:numPr>
      </w:pPr>
      <w:r w:rsidRPr="00AC75BB">
        <w:t>Click on the blue hyperlink ‘Electroconvulsive therapy’ for today’s treatment to open a note</w:t>
      </w:r>
    </w:p>
    <w:p w14:paraId="1753D691" w14:textId="76E66E88" w:rsidR="00AC75BB" w:rsidRPr="00AC75BB" w:rsidRDefault="00AC75BB" w:rsidP="00A055F1">
      <w:pPr>
        <w:pStyle w:val="Bullet"/>
      </w:pPr>
      <w:r w:rsidRPr="00AC75BB">
        <w:lastRenderedPageBreak/>
        <w:t>Complete/Fill in template to document treatment details - Select ‘Number of stimulations’ (i.e</w:t>
      </w:r>
      <w:r w:rsidR="0095304E">
        <w:t>.</w:t>
      </w:r>
      <w:r w:rsidRPr="00AC75BB">
        <w:t xml:space="preserve"> 1-4) to expand the form</w:t>
      </w:r>
    </w:p>
    <w:p w14:paraId="065B4209" w14:textId="77777777" w:rsidR="00AC75BB" w:rsidRPr="00AC75BB" w:rsidRDefault="00AC75BB" w:rsidP="00A055F1">
      <w:pPr>
        <w:pStyle w:val="Bullet"/>
      </w:pPr>
      <w:r w:rsidRPr="00AC75BB">
        <w:t>Document time for induction and stimulation (use shortcut ‘n’ for current time ‘t’ for today’s date)</w:t>
      </w:r>
    </w:p>
    <w:p w14:paraId="76010013" w14:textId="6154B617" w:rsidR="00AC75BB" w:rsidRDefault="00AC75BB" w:rsidP="00A055F1">
      <w:pPr>
        <w:pStyle w:val="Bullet"/>
      </w:pPr>
      <w:r w:rsidRPr="00AC75BB">
        <w:t xml:space="preserve">In the ‘comments’ section of the note, type ‘.ECT’ to generate smart phrase template and document staff present, consent, anaesthetic agents, and trace comments. </w:t>
      </w:r>
    </w:p>
    <w:p w14:paraId="622452A3" w14:textId="77777777" w:rsidR="00AC75BB" w:rsidRPr="00AC75BB" w:rsidRDefault="00AC75BB" w:rsidP="00A055F1">
      <w:pPr>
        <w:pStyle w:val="Bullet"/>
      </w:pPr>
      <w:r w:rsidRPr="00AC75BB">
        <w:t>To complete documentation, click into the note under the Edit Note tab on the right side of the screen and then select sign.</w:t>
      </w:r>
    </w:p>
    <w:p w14:paraId="26832CA1" w14:textId="77777777" w:rsidR="00AC75BB" w:rsidRPr="00AC75BB" w:rsidRDefault="00AC75BB" w:rsidP="00A055F1">
      <w:pPr>
        <w:pStyle w:val="Bullet"/>
      </w:pPr>
      <w:r w:rsidRPr="00AC75BB">
        <w:t>Complete ECT register</w:t>
      </w:r>
    </w:p>
    <w:p w14:paraId="1153E82B" w14:textId="77777777" w:rsidR="00AC75BB" w:rsidRPr="00AC75BB" w:rsidRDefault="00AC75BB" w:rsidP="00A055F1">
      <w:pPr>
        <w:pStyle w:val="Bullet"/>
      </w:pPr>
      <w:r w:rsidRPr="00AC75BB">
        <w:t>Sign EEG trace</w:t>
      </w:r>
    </w:p>
    <w:p w14:paraId="5AFE7EA1" w14:textId="77777777" w:rsidR="00AC75BB" w:rsidRPr="00AC75BB" w:rsidRDefault="00AC75BB" w:rsidP="00A055F1">
      <w:pPr>
        <w:pStyle w:val="Bullet"/>
        <w:rPr>
          <w:b/>
        </w:rPr>
      </w:pPr>
      <w:r w:rsidRPr="00AC75BB">
        <w:rPr>
          <w:b/>
        </w:rPr>
        <w:t>Post ECT/Miscellaneous:</w:t>
      </w:r>
    </w:p>
    <w:p w14:paraId="1F7E5FEB" w14:textId="223C0461" w:rsidR="00AC75BB" w:rsidRPr="00AC75BB" w:rsidRDefault="00AC75BB" w:rsidP="00A055F1">
      <w:pPr>
        <w:pStyle w:val="Bullet"/>
      </w:pPr>
      <w:r w:rsidRPr="00AC75BB">
        <w:t>ECT Nurse or Ward Clerk will upload traces. These can be viewed on the DHR via the Media Manager or via Notes under procedure</w:t>
      </w:r>
    </w:p>
    <w:p w14:paraId="0E248325" w14:textId="3CDC6C81" w:rsidR="00AC75BB" w:rsidRPr="00AC75BB" w:rsidRDefault="00AC75BB" w:rsidP="00AC75BB">
      <w:pPr>
        <w:pStyle w:val="Heading5"/>
      </w:pPr>
      <w:r>
        <w:t xml:space="preserve">2.3 ECT Coordinator </w:t>
      </w:r>
    </w:p>
    <w:p w14:paraId="0DADCC1F" w14:textId="77777777" w:rsidR="00AC75BB" w:rsidRPr="00AC75BB" w:rsidRDefault="00AC75BB" w:rsidP="0095304E">
      <w:pPr>
        <w:pStyle w:val="BodyCopy"/>
        <w:rPr>
          <w:rFonts w:eastAsia="Calibri"/>
        </w:rPr>
      </w:pPr>
      <w:bookmarkStart w:id="13" w:name="_Hlk199159246"/>
      <w:r w:rsidRPr="00AC75BB">
        <w:rPr>
          <w:rFonts w:eastAsia="Calibri"/>
        </w:rPr>
        <w:t>The ECT Coordinator is responsible for numerous tasks at various stages of treatment. These include:</w:t>
      </w:r>
    </w:p>
    <w:p w14:paraId="5F7C8931" w14:textId="77777777" w:rsidR="00AC75BB" w:rsidRPr="00AC75BB" w:rsidRDefault="00AC75BB" w:rsidP="0095304E">
      <w:pPr>
        <w:pStyle w:val="Bullet"/>
        <w:rPr>
          <w:rFonts w:eastAsia="Calibri"/>
        </w:rPr>
      </w:pPr>
      <w:r w:rsidRPr="00AC75BB">
        <w:rPr>
          <w:rFonts w:eastAsia="Calibri"/>
        </w:rPr>
        <w:t>Coordinating nursing staff training for the delivery of ECT, including ensuring training is recorded on HRIMS Learning</w:t>
      </w:r>
    </w:p>
    <w:p w14:paraId="47A80507" w14:textId="77777777" w:rsidR="00AC75BB" w:rsidRPr="00AC75BB" w:rsidRDefault="00AC75BB" w:rsidP="0095304E">
      <w:pPr>
        <w:pStyle w:val="Bullet"/>
        <w:rPr>
          <w:rFonts w:eastAsia="Calibri"/>
        </w:rPr>
      </w:pPr>
      <w:r w:rsidRPr="00AC75BB">
        <w:rPr>
          <w:rFonts w:eastAsia="Calibri"/>
        </w:rPr>
        <w:t>Coordinating the daily procedure treatment lists</w:t>
      </w:r>
    </w:p>
    <w:p w14:paraId="13D5AA6C" w14:textId="77777777" w:rsidR="00AC75BB" w:rsidRPr="00AC75BB" w:rsidRDefault="00AC75BB" w:rsidP="0095304E">
      <w:pPr>
        <w:pStyle w:val="Bullet"/>
        <w:rPr>
          <w:rFonts w:eastAsia="Calibri"/>
        </w:rPr>
      </w:pPr>
      <w:r w:rsidRPr="00AC75BB">
        <w:rPr>
          <w:rFonts w:eastAsia="Calibri"/>
        </w:rPr>
        <w:t xml:space="preserve">Stocking consumables such as ECT paper, gels, and other items </w:t>
      </w:r>
    </w:p>
    <w:p w14:paraId="678D53BB" w14:textId="4C2008B7" w:rsidR="00AC75BB" w:rsidRPr="00AC75BB" w:rsidRDefault="00AC75BB" w:rsidP="0095304E">
      <w:pPr>
        <w:pStyle w:val="Bullet"/>
        <w:rPr>
          <w:rFonts w:eastAsia="Calibri"/>
        </w:rPr>
      </w:pPr>
      <w:r w:rsidRPr="00AC75BB">
        <w:rPr>
          <w:rFonts w:eastAsia="Calibri"/>
        </w:rPr>
        <w:t xml:space="preserve">The maintenance of ECT equipment, including arranging regular maintenance of the </w:t>
      </w:r>
      <w:proofErr w:type="spellStart"/>
      <w:r w:rsidRPr="00AC75BB">
        <w:rPr>
          <w:rFonts w:eastAsia="Calibri"/>
        </w:rPr>
        <w:t>Thymatron</w:t>
      </w:r>
      <w:proofErr w:type="spellEnd"/>
      <w:r w:rsidRPr="00AC75BB">
        <w:rPr>
          <w:rFonts w:eastAsia="Calibri"/>
        </w:rPr>
        <w:t xml:space="preserve"> by the Biomedical department as indicated.</w:t>
      </w:r>
    </w:p>
    <w:p w14:paraId="33D22D70" w14:textId="50259154" w:rsidR="00AC75BB" w:rsidRPr="00AC75BB" w:rsidRDefault="00AC75BB" w:rsidP="0095304E">
      <w:pPr>
        <w:pStyle w:val="BodyCopy"/>
        <w:rPr>
          <w:rFonts w:eastAsia="Calibri"/>
        </w:rPr>
      </w:pPr>
      <w:r w:rsidRPr="00AC75BB">
        <w:rPr>
          <w:rFonts w:eastAsia="Calibri"/>
        </w:rPr>
        <w:t>Prior to commencing first treatment</w:t>
      </w:r>
      <w:r w:rsidR="004C609C">
        <w:rPr>
          <w:rFonts w:eastAsia="Calibri"/>
        </w:rPr>
        <w:t xml:space="preserve"> of the day</w:t>
      </w:r>
      <w:r w:rsidR="001E400F">
        <w:rPr>
          <w:rFonts w:eastAsia="Calibri"/>
        </w:rPr>
        <w:t>:</w:t>
      </w:r>
    </w:p>
    <w:p w14:paraId="2125E8DF" w14:textId="77777777" w:rsidR="00AC75BB" w:rsidRPr="00AC75BB" w:rsidRDefault="00AC75BB" w:rsidP="0095304E">
      <w:pPr>
        <w:pStyle w:val="Bullet"/>
        <w:rPr>
          <w:rFonts w:eastAsia="Calibri"/>
        </w:rPr>
      </w:pPr>
      <w:r w:rsidRPr="00AC75BB">
        <w:rPr>
          <w:rFonts w:eastAsia="Calibri"/>
        </w:rPr>
        <w:t>Confirming the ECT Trolley is stocked, and all required equipment is available</w:t>
      </w:r>
    </w:p>
    <w:p w14:paraId="46637BEB" w14:textId="77777777" w:rsidR="00AC75BB" w:rsidRPr="00AC75BB" w:rsidRDefault="00AC75BB" w:rsidP="0095304E">
      <w:pPr>
        <w:pStyle w:val="Bullet"/>
        <w:rPr>
          <w:rFonts w:eastAsia="Calibri"/>
        </w:rPr>
      </w:pPr>
      <w:r w:rsidRPr="00AC75BB">
        <w:rPr>
          <w:rFonts w:eastAsia="Calibri"/>
        </w:rPr>
        <w:t>Running the safety alarm test of the ECT apparatus (</w:t>
      </w:r>
      <w:proofErr w:type="spellStart"/>
      <w:r w:rsidRPr="00AC75BB">
        <w:rPr>
          <w:rFonts w:eastAsia="Calibri"/>
        </w:rPr>
        <w:t>Thymatron</w:t>
      </w:r>
      <w:proofErr w:type="spellEnd"/>
      <w:r w:rsidRPr="00AC75BB">
        <w:rPr>
          <w:rFonts w:eastAsia="Calibri"/>
        </w:rPr>
        <w:t xml:space="preserve"> IV)</w:t>
      </w:r>
    </w:p>
    <w:p w14:paraId="7195B618" w14:textId="77777777" w:rsidR="00AC75BB" w:rsidRPr="00AC75BB" w:rsidRDefault="00AC75BB" w:rsidP="0095304E">
      <w:pPr>
        <w:pStyle w:val="Bullet"/>
        <w:rPr>
          <w:rFonts w:eastAsia="Calibri"/>
        </w:rPr>
      </w:pPr>
      <w:r w:rsidRPr="00AC75BB">
        <w:rPr>
          <w:rFonts w:eastAsia="Calibri"/>
        </w:rPr>
        <w:t>Ensuring the appropriate consents, prescription and orders have been completed.</w:t>
      </w:r>
    </w:p>
    <w:p w14:paraId="17779AC0" w14:textId="22596841" w:rsidR="00AC75BB" w:rsidRPr="00AC75BB" w:rsidRDefault="00AC75BB" w:rsidP="0095304E">
      <w:pPr>
        <w:pStyle w:val="Bullet"/>
        <w:rPr>
          <w:rFonts w:eastAsia="Calibri"/>
        </w:rPr>
      </w:pPr>
      <w:r w:rsidRPr="00AC75BB">
        <w:rPr>
          <w:rFonts w:eastAsia="Calibri"/>
        </w:rPr>
        <w:t xml:space="preserve">Creating the </w:t>
      </w:r>
      <w:r w:rsidR="003A2E05">
        <w:rPr>
          <w:rFonts w:eastAsia="Calibri"/>
        </w:rPr>
        <w:t>consumer</w:t>
      </w:r>
      <w:r w:rsidR="003A2E05" w:rsidRPr="00AC75BB">
        <w:rPr>
          <w:rFonts w:eastAsia="Calibri"/>
        </w:rPr>
        <w:t xml:space="preserve"> </w:t>
      </w:r>
      <w:r w:rsidRPr="00AC75BB">
        <w:rPr>
          <w:rFonts w:eastAsia="Calibri"/>
        </w:rPr>
        <w:t xml:space="preserve">ECT folder and including ECT consent and prescription (when appropriate to include a copy of ECT order and Psychiatric Treatment Order) </w:t>
      </w:r>
    </w:p>
    <w:p w14:paraId="62787E1B" w14:textId="5B01521D" w:rsidR="00AC75BB" w:rsidRPr="00AC75BB" w:rsidRDefault="00AC75BB" w:rsidP="0095304E">
      <w:pPr>
        <w:pStyle w:val="Bullet"/>
        <w:rPr>
          <w:rFonts w:eastAsia="Calibri"/>
        </w:rPr>
      </w:pPr>
      <w:r w:rsidRPr="00AC75BB">
        <w:rPr>
          <w:rFonts w:eastAsia="Calibri"/>
        </w:rPr>
        <w:t xml:space="preserve">Maintain the </w:t>
      </w:r>
      <w:r w:rsidR="002D43AF" w:rsidRPr="00F07520">
        <w:rPr>
          <w:rFonts w:asciiTheme="minorHAnsi" w:hAnsiTheme="minorHAnsi" w:cstheme="minorHAnsi"/>
          <w:szCs w:val="22"/>
        </w:rPr>
        <w:t>consumer</w:t>
      </w:r>
      <w:r w:rsidRPr="00AC75BB">
        <w:rPr>
          <w:rFonts w:eastAsia="Calibri"/>
        </w:rPr>
        <w:t>’s head in Supine position, to ensure adequate airway and comfort</w:t>
      </w:r>
    </w:p>
    <w:p w14:paraId="438AC127" w14:textId="5CB80DD5" w:rsidR="00AC75BB" w:rsidRPr="00AC75BB" w:rsidRDefault="00AC75BB" w:rsidP="0095304E">
      <w:pPr>
        <w:pStyle w:val="Bullet"/>
        <w:rPr>
          <w:rFonts w:eastAsia="Calibri"/>
        </w:rPr>
      </w:pPr>
      <w:r w:rsidRPr="00AC75BB">
        <w:rPr>
          <w:rFonts w:eastAsia="Calibri"/>
        </w:rPr>
        <w:t xml:space="preserve">Place a warm blanket/sheet over the </w:t>
      </w:r>
      <w:r w:rsidR="00FD7299" w:rsidRPr="005F6480">
        <w:rPr>
          <w:rFonts w:asciiTheme="minorHAnsi" w:hAnsiTheme="minorHAnsi" w:cstheme="minorHAnsi"/>
          <w:szCs w:val="22"/>
        </w:rPr>
        <w:t>consumer</w:t>
      </w:r>
      <w:r w:rsidRPr="00AC75BB">
        <w:rPr>
          <w:rFonts w:eastAsia="Calibri"/>
        </w:rPr>
        <w:t xml:space="preserve"> receiving treatment and remove their shoes and socks. </w:t>
      </w:r>
    </w:p>
    <w:bookmarkEnd w:id="13"/>
    <w:p w14:paraId="5A89A8F8" w14:textId="497490A6" w:rsidR="00AC75BB" w:rsidRPr="00AC75BB" w:rsidRDefault="00AC75BB" w:rsidP="00AC75BB">
      <w:pPr>
        <w:pStyle w:val="Heading5"/>
      </w:pPr>
      <w:r>
        <w:t xml:space="preserve">2.4 Nursing Staff </w:t>
      </w:r>
    </w:p>
    <w:p w14:paraId="38904012" w14:textId="77777777" w:rsidR="00AC75BB" w:rsidRDefault="00AC75BB" w:rsidP="0095304E">
      <w:pPr>
        <w:pStyle w:val="BodyCopy"/>
      </w:pPr>
      <w:r w:rsidRPr="006C5334">
        <w:t>Nursing staff have a significant role in the care of people prior to and after the administration of ECT. Nursing staff have the following specific roles and responsibilities:</w:t>
      </w:r>
    </w:p>
    <w:p w14:paraId="69948A63" w14:textId="0F719403" w:rsidR="00AC75BB" w:rsidRPr="00AC75BB" w:rsidRDefault="00AC75BB" w:rsidP="0095304E">
      <w:pPr>
        <w:pStyle w:val="Heading6"/>
      </w:pPr>
      <w:r>
        <w:t xml:space="preserve">2.4.1 Night before procedure  </w:t>
      </w:r>
    </w:p>
    <w:p w14:paraId="3C8CD1C1" w14:textId="1D77FE0D" w:rsidR="00AC75BB" w:rsidRPr="00AC75BB" w:rsidRDefault="00AC75BB" w:rsidP="0095304E">
      <w:pPr>
        <w:pStyle w:val="BodyCopy"/>
        <w:rPr>
          <w:rFonts w:eastAsia="Calibri"/>
        </w:rPr>
      </w:pPr>
      <w:r w:rsidRPr="00AC75BB">
        <w:rPr>
          <w:rFonts w:eastAsia="Calibri"/>
        </w:rPr>
        <w:t xml:space="preserve">The nurse assigned to care for the </w:t>
      </w:r>
      <w:r w:rsidR="00676E7B" w:rsidRPr="005F6480">
        <w:rPr>
          <w:szCs w:val="22"/>
        </w:rPr>
        <w:t>consumer</w:t>
      </w:r>
      <w:r w:rsidRPr="00AC75BB">
        <w:rPr>
          <w:rFonts w:eastAsia="Calibri"/>
        </w:rPr>
        <w:t xml:space="preserve"> overnight will:</w:t>
      </w:r>
    </w:p>
    <w:p w14:paraId="0157B5F4" w14:textId="5C535DD2" w:rsidR="00AC75BB" w:rsidRPr="00AC75BB" w:rsidRDefault="00AC75BB" w:rsidP="0095304E">
      <w:pPr>
        <w:pStyle w:val="Numberedlist"/>
        <w:rPr>
          <w:rFonts w:eastAsia="Calibri"/>
        </w:rPr>
      </w:pPr>
      <w:r w:rsidRPr="00AC75BB">
        <w:rPr>
          <w:rFonts w:eastAsia="Calibri"/>
        </w:rPr>
        <w:lastRenderedPageBreak/>
        <w:t xml:space="preserve">Ensure that the </w:t>
      </w:r>
      <w:r w:rsidR="00676E7B" w:rsidRPr="005F6480">
        <w:rPr>
          <w:szCs w:val="22"/>
        </w:rPr>
        <w:t>consumer</w:t>
      </w:r>
      <w:r w:rsidRPr="00AC75BB">
        <w:rPr>
          <w:rFonts w:eastAsia="Calibri"/>
        </w:rPr>
        <w:t xml:space="preserve"> is fasting for a minimum for 6 hours prior to ECT.  In exceptional cases small amounts of clear fluids can be consumed up until 2 hours before their procedure time, (refer to the </w:t>
      </w:r>
      <w:bookmarkStart w:id="14" w:name="_Hlk63676319"/>
      <w:r w:rsidRPr="00AC75BB">
        <w:rPr>
          <w:rFonts w:eastAsia="Calibri"/>
          <w:i/>
        </w:rPr>
        <w:t xml:space="preserve">Fasting Guidelines for Patients Requiring Sedation or Anaesthesia </w:t>
      </w:r>
      <w:r w:rsidRPr="00AC75BB">
        <w:rPr>
          <w:rFonts w:eastAsia="Calibri"/>
        </w:rPr>
        <w:t>on the Policy and Guidance Documents Register</w:t>
      </w:r>
      <w:bookmarkEnd w:id="14"/>
      <w:r w:rsidRPr="00AC75BB">
        <w:rPr>
          <w:rFonts w:eastAsia="Calibri"/>
        </w:rPr>
        <w:t>).</w:t>
      </w:r>
    </w:p>
    <w:p w14:paraId="1CEC0724" w14:textId="05432DA4" w:rsidR="00AC75BB" w:rsidRPr="00AC75BB" w:rsidRDefault="00AC75BB" w:rsidP="0095304E">
      <w:pPr>
        <w:pStyle w:val="Numberedlist"/>
        <w:rPr>
          <w:rFonts w:eastAsia="Calibri"/>
        </w:rPr>
      </w:pPr>
      <w:r w:rsidRPr="00AC75BB">
        <w:rPr>
          <w:rFonts w:eastAsia="Calibri"/>
        </w:rPr>
        <w:t xml:space="preserve">Where treating team have instructed to withhold medications, as documented in the </w:t>
      </w:r>
      <w:r w:rsidR="00676E7B" w:rsidRPr="005F6480">
        <w:rPr>
          <w:szCs w:val="22"/>
        </w:rPr>
        <w:t>consumer</w:t>
      </w:r>
      <w:r w:rsidRPr="00AC75BB">
        <w:rPr>
          <w:rFonts w:eastAsia="Calibri"/>
        </w:rPr>
        <w:t xml:space="preserve">’s DHR, withhold medications that may affect the quality of the seizure, i.e. benzodiazepines, mood stabilisers or cholinesterase inhibitors </w:t>
      </w:r>
    </w:p>
    <w:p w14:paraId="25DABE15" w14:textId="7D3A92B7" w:rsidR="00AC75BB" w:rsidRDefault="00AC75BB" w:rsidP="0095304E">
      <w:pPr>
        <w:pStyle w:val="Numberedlist"/>
        <w:rPr>
          <w:rFonts w:eastAsia="Calibri"/>
        </w:rPr>
      </w:pPr>
      <w:r w:rsidRPr="00AC75BB">
        <w:rPr>
          <w:rFonts w:eastAsia="Calibri"/>
        </w:rPr>
        <w:t xml:space="preserve">If the </w:t>
      </w:r>
      <w:r w:rsidR="00676E7B" w:rsidRPr="005F6480">
        <w:rPr>
          <w:szCs w:val="22"/>
        </w:rPr>
        <w:t>consumer</w:t>
      </w:r>
      <w:r w:rsidRPr="00AC75BB">
        <w:rPr>
          <w:rFonts w:eastAsia="Calibri"/>
        </w:rPr>
        <w:t xml:space="preserve"> requires antihypertensives or medications to reduce oesophageal reflux, administer these at least two hours prior to ECT procedure with a small sip of water. </w:t>
      </w:r>
    </w:p>
    <w:p w14:paraId="250B487C" w14:textId="42151DF6" w:rsidR="00AC75BB" w:rsidRPr="00AC75BB" w:rsidRDefault="00AC75BB" w:rsidP="0095304E">
      <w:pPr>
        <w:pStyle w:val="BodyCopy"/>
        <w:pBdr>
          <w:top w:val="single" w:sz="4" w:space="1" w:color="auto"/>
          <w:left w:val="single" w:sz="4" w:space="4" w:color="auto"/>
          <w:bottom w:val="single" w:sz="4" w:space="1" w:color="auto"/>
          <w:right w:val="single" w:sz="4" w:space="4" w:color="auto"/>
        </w:pBdr>
        <w:rPr>
          <w:rFonts w:ascii="Symbol" w:hAnsi="Symbol"/>
          <w:szCs w:val="22"/>
        </w:rPr>
      </w:pPr>
      <w:r w:rsidRPr="0095304E">
        <w:rPr>
          <w:b/>
        </w:rPr>
        <w:t>Note:</w:t>
      </w:r>
      <w:r w:rsidRPr="00AC75BB">
        <w:t xml:space="preserve"> people requiring medications can be placed on the end of the ECT list to ensure gastric</w:t>
      </w:r>
      <w:r w:rsidRPr="00AC75BB">
        <w:rPr>
          <w:szCs w:val="22"/>
        </w:rPr>
        <w:t xml:space="preserve"> emptying.</w:t>
      </w:r>
    </w:p>
    <w:p w14:paraId="454876CF" w14:textId="77777777" w:rsidR="00AC75BB" w:rsidRPr="00AC75BB" w:rsidRDefault="00AC75BB" w:rsidP="0095304E">
      <w:pPr>
        <w:pStyle w:val="Numberedlist"/>
        <w:rPr>
          <w:rFonts w:eastAsia="Calibri"/>
        </w:rPr>
      </w:pPr>
      <w:r w:rsidRPr="00AC75BB">
        <w:rPr>
          <w:rFonts w:eastAsia="Calibri"/>
        </w:rPr>
        <w:t xml:space="preserve">Booking transportation the evening prior for inpatients requiring transportation to ECT Treatment Suite. </w:t>
      </w:r>
    </w:p>
    <w:p w14:paraId="77A19610" w14:textId="306C4ED5" w:rsidR="00AC75BB" w:rsidRPr="00AC75BB" w:rsidRDefault="00AC75BB" w:rsidP="001B2E35">
      <w:pPr>
        <w:pStyle w:val="Heading6"/>
      </w:pPr>
      <w:r>
        <w:t xml:space="preserve">2.4.2 Day of procedure  </w:t>
      </w:r>
    </w:p>
    <w:p w14:paraId="3481D733" w14:textId="4B1B61C7" w:rsidR="00AC75BB" w:rsidRPr="00AC75BB" w:rsidRDefault="00AC75BB" w:rsidP="001B2E35">
      <w:pPr>
        <w:pStyle w:val="BodyCopy"/>
        <w:rPr>
          <w:rFonts w:eastAsia="Calibri"/>
        </w:rPr>
      </w:pPr>
      <w:r w:rsidRPr="00AC75BB">
        <w:rPr>
          <w:rFonts w:eastAsia="Calibri"/>
        </w:rPr>
        <w:t xml:space="preserve">On the day of treatment, the </w:t>
      </w:r>
      <w:r w:rsidR="00676E7B" w:rsidRPr="005F6480">
        <w:rPr>
          <w:rFonts w:asciiTheme="minorHAnsi" w:hAnsiTheme="minorHAnsi" w:cstheme="minorHAnsi"/>
          <w:szCs w:val="22"/>
        </w:rPr>
        <w:t>consumer</w:t>
      </w:r>
      <w:r w:rsidRPr="00AC75BB">
        <w:rPr>
          <w:rFonts w:eastAsia="Calibri"/>
        </w:rPr>
        <w:t>’s assigned nurse will:</w:t>
      </w:r>
    </w:p>
    <w:p w14:paraId="7429806A" w14:textId="7482ED53" w:rsidR="00AC75BB" w:rsidRPr="001B2E35" w:rsidRDefault="00AC75BB" w:rsidP="001B2E35">
      <w:pPr>
        <w:pStyle w:val="Numberedlist"/>
        <w:numPr>
          <w:ilvl w:val="0"/>
          <w:numId w:val="66"/>
        </w:numPr>
        <w:rPr>
          <w:rFonts w:eastAsia="Calibri"/>
        </w:rPr>
      </w:pPr>
      <w:r w:rsidRPr="001B2E35">
        <w:rPr>
          <w:rFonts w:eastAsia="Calibri"/>
        </w:rPr>
        <w:t xml:space="preserve">Check that the </w:t>
      </w:r>
      <w:r w:rsidR="00676E7B" w:rsidRPr="001B2E35">
        <w:rPr>
          <w:rFonts w:asciiTheme="minorHAnsi" w:hAnsiTheme="minorHAnsi" w:cstheme="minorHAnsi"/>
          <w:szCs w:val="22"/>
        </w:rPr>
        <w:t>consumer</w:t>
      </w:r>
      <w:r w:rsidRPr="001B2E35">
        <w:rPr>
          <w:rFonts w:eastAsia="Calibri"/>
        </w:rPr>
        <w:t>:</w:t>
      </w:r>
    </w:p>
    <w:p w14:paraId="773047E2" w14:textId="77777777" w:rsidR="00AC75BB" w:rsidRPr="00AC75BB" w:rsidRDefault="00AC75BB" w:rsidP="00517751">
      <w:pPr>
        <w:pStyle w:val="Bullet"/>
        <w:numPr>
          <w:ilvl w:val="1"/>
          <w:numId w:val="1"/>
        </w:numPr>
        <w:rPr>
          <w:rFonts w:eastAsia="Calibri"/>
        </w:rPr>
      </w:pPr>
      <w:r w:rsidRPr="00AC75BB">
        <w:rPr>
          <w:rFonts w:eastAsia="Calibri"/>
        </w:rPr>
        <w:t>has a short-sleeved top on - they may wear a long-sleeved top over this</w:t>
      </w:r>
    </w:p>
    <w:p w14:paraId="1242A02A" w14:textId="77777777" w:rsidR="00AC75BB" w:rsidRPr="00AC75BB" w:rsidRDefault="00AC75BB" w:rsidP="00517751">
      <w:pPr>
        <w:pStyle w:val="Bullet"/>
        <w:numPr>
          <w:ilvl w:val="1"/>
          <w:numId w:val="1"/>
        </w:numPr>
        <w:rPr>
          <w:rFonts w:eastAsia="Calibri"/>
        </w:rPr>
      </w:pPr>
      <w:r w:rsidRPr="00AC75BB">
        <w:rPr>
          <w:rFonts w:eastAsia="Calibri"/>
        </w:rPr>
        <w:t>is not wearing a bra</w:t>
      </w:r>
    </w:p>
    <w:p w14:paraId="210736DD" w14:textId="77777777" w:rsidR="00AC75BB" w:rsidRPr="00AC75BB" w:rsidRDefault="00AC75BB" w:rsidP="00517751">
      <w:pPr>
        <w:pStyle w:val="Bullet"/>
        <w:numPr>
          <w:ilvl w:val="1"/>
          <w:numId w:val="1"/>
        </w:numPr>
        <w:rPr>
          <w:rFonts w:eastAsia="Calibri"/>
        </w:rPr>
      </w:pPr>
      <w:r w:rsidRPr="00AC75BB">
        <w:rPr>
          <w:rFonts w:eastAsia="Calibri"/>
        </w:rPr>
        <w:t>has removed all jewellery or it is covered with tape</w:t>
      </w:r>
    </w:p>
    <w:p w14:paraId="54F1AB47" w14:textId="47B98B33" w:rsidR="00AC75BB" w:rsidRPr="00AC75BB" w:rsidRDefault="00AC75BB" w:rsidP="00517751">
      <w:pPr>
        <w:pStyle w:val="Bullet"/>
        <w:numPr>
          <w:ilvl w:val="1"/>
          <w:numId w:val="1"/>
        </w:numPr>
        <w:rPr>
          <w:rFonts w:eastAsia="Calibri"/>
        </w:rPr>
      </w:pPr>
      <w:r w:rsidRPr="00AC75BB">
        <w:rPr>
          <w:rFonts w:eastAsia="Calibri"/>
        </w:rPr>
        <w:t xml:space="preserve">has an ID band/allergy bracelet visible. </w:t>
      </w:r>
      <w:bookmarkStart w:id="15" w:name="_Hlk100400429"/>
    </w:p>
    <w:p w14:paraId="56449690" w14:textId="590A972E" w:rsidR="00AC75BB" w:rsidRPr="00AC75BB" w:rsidRDefault="00AC75BB" w:rsidP="001B2E35">
      <w:pPr>
        <w:pStyle w:val="Numberedlist"/>
        <w:rPr>
          <w:rFonts w:eastAsia="Calibri"/>
        </w:rPr>
      </w:pPr>
      <w:r w:rsidRPr="00AC75BB">
        <w:rPr>
          <w:rFonts w:eastAsia="Calibri"/>
        </w:rPr>
        <w:t>Complete the ECT Treatment in the DHR.</w:t>
      </w:r>
    </w:p>
    <w:bookmarkEnd w:id="15"/>
    <w:p w14:paraId="2050EF00" w14:textId="5A9BA45C" w:rsidR="00AC75BB" w:rsidRPr="00AC75BB" w:rsidRDefault="00AC75BB" w:rsidP="001B2E35">
      <w:pPr>
        <w:pStyle w:val="Numberedlist"/>
        <w:rPr>
          <w:rFonts w:eastAsia="Calibri"/>
        </w:rPr>
      </w:pPr>
      <w:r w:rsidRPr="00AC75BB">
        <w:rPr>
          <w:rFonts w:eastAsia="Calibri"/>
        </w:rPr>
        <w:t xml:space="preserve">Complete a set of clinical observations and record in the flowsheets tab of the DHR. If the </w:t>
      </w:r>
      <w:r w:rsidR="00676E7B" w:rsidRPr="005F6480">
        <w:rPr>
          <w:rFonts w:asciiTheme="minorHAnsi" w:hAnsiTheme="minorHAnsi" w:cstheme="minorHAnsi"/>
          <w:szCs w:val="22"/>
        </w:rPr>
        <w:t>consumer</w:t>
      </w:r>
      <w:r w:rsidRPr="00AC75BB">
        <w:rPr>
          <w:rFonts w:eastAsia="Calibri"/>
        </w:rPr>
        <w:t xml:space="preserve"> has any cold or flu symptoms, notify the ECT Co-ordinator and Treating team. </w:t>
      </w:r>
    </w:p>
    <w:p w14:paraId="5BEDA0ED" w14:textId="0BF5A246" w:rsidR="00AC75BB" w:rsidRPr="00AC75BB" w:rsidRDefault="00AC75BB" w:rsidP="001B2E35">
      <w:pPr>
        <w:pStyle w:val="Numberedlist"/>
        <w:rPr>
          <w:rFonts w:eastAsia="Calibri"/>
        </w:rPr>
      </w:pPr>
      <w:r w:rsidRPr="00AC75BB">
        <w:rPr>
          <w:rFonts w:eastAsia="Calibri"/>
        </w:rPr>
        <w:t xml:space="preserve">Verify the correct identity of the </w:t>
      </w:r>
      <w:r w:rsidR="00676E7B" w:rsidRPr="005F6480">
        <w:rPr>
          <w:rFonts w:asciiTheme="minorHAnsi" w:hAnsiTheme="minorHAnsi" w:cstheme="minorHAnsi"/>
          <w:szCs w:val="22"/>
        </w:rPr>
        <w:t>consumer</w:t>
      </w:r>
      <w:r w:rsidRPr="00AC75BB">
        <w:rPr>
          <w:rFonts w:eastAsia="Calibri"/>
        </w:rPr>
        <w:t xml:space="preserve"> who has been prescribed ECT prior to transport, refer to </w:t>
      </w:r>
      <w:r w:rsidRPr="00AC75BB">
        <w:rPr>
          <w:rFonts w:eastAsia="Calibri"/>
          <w:i/>
        </w:rPr>
        <w:t xml:space="preserve">Patient Identification and </w:t>
      </w:r>
      <w:r w:rsidR="001B2E35">
        <w:rPr>
          <w:rFonts w:eastAsia="Calibri"/>
          <w:i/>
        </w:rPr>
        <w:t xml:space="preserve">Healthcare Activity </w:t>
      </w:r>
      <w:r w:rsidRPr="00AC75BB">
        <w:rPr>
          <w:rFonts w:eastAsia="Calibri"/>
          <w:i/>
        </w:rPr>
        <w:t>Matching Procedure</w:t>
      </w:r>
    </w:p>
    <w:p w14:paraId="46437A57" w14:textId="740D5950" w:rsidR="00AC75BB" w:rsidRDefault="00AC75BB" w:rsidP="001B2E35">
      <w:pPr>
        <w:pStyle w:val="Numberedlist"/>
        <w:rPr>
          <w:rFonts w:eastAsia="Calibri"/>
        </w:rPr>
      </w:pPr>
      <w:r w:rsidRPr="00AC75BB">
        <w:rPr>
          <w:rFonts w:eastAsia="Calibri"/>
        </w:rPr>
        <w:t>Inpatients being transported will need to have the transport checklist form completed</w:t>
      </w:r>
      <w:r w:rsidR="00D30023">
        <w:rPr>
          <w:rFonts w:eastAsia="Calibri"/>
        </w:rPr>
        <w:t>.</w:t>
      </w:r>
    </w:p>
    <w:p w14:paraId="33FFF4F4" w14:textId="77777777" w:rsidR="00AC75BB" w:rsidRPr="001B2E35" w:rsidRDefault="00AC75BB" w:rsidP="001B2E35">
      <w:pPr>
        <w:pStyle w:val="BodyCopy"/>
        <w:rPr>
          <w:rFonts w:eastAsia="Calibri"/>
          <w:b/>
          <w:bCs w:val="0"/>
        </w:rPr>
      </w:pPr>
      <w:r w:rsidRPr="001B2E35">
        <w:rPr>
          <w:rFonts w:eastAsia="Calibri"/>
          <w:b/>
          <w:bCs w:val="0"/>
        </w:rPr>
        <w:t>Ensure the following documents have been completed prior to leaving for theatre:</w:t>
      </w:r>
    </w:p>
    <w:p w14:paraId="7D651179" w14:textId="77777777" w:rsidR="00AC75BB" w:rsidRPr="00AC75BB" w:rsidRDefault="00AC75BB" w:rsidP="001B2E35">
      <w:pPr>
        <w:pStyle w:val="Bullet"/>
        <w:rPr>
          <w:rFonts w:eastAsia="Calibri"/>
        </w:rPr>
      </w:pPr>
      <w:r w:rsidRPr="00AC75BB">
        <w:rPr>
          <w:rFonts w:eastAsia="Calibri"/>
        </w:rPr>
        <w:t>Electroconvulsive Therapy Consent and Prescription form completed by the treating psychiatrist including the last page showing treatment number, date for treatment, voltage, and pulse width.</w:t>
      </w:r>
    </w:p>
    <w:p w14:paraId="55A34639" w14:textId="05485627" w:rsidR="00AC75BB" w:rsidRPr="00AC75BB" w:rsidRDefault="00AC75BB" w:rsidP="001B2E35">
      <w:pPr>
        <w:pStyle w:val="Bullet"/>
        <w:rPr>
          <w:rFonts w:eastAsia="Calibri"/>
          <w:b/>
        </w:rPr>
      </w:pPr>
      <w:r w:rsidRPr="00AC75BB">
        <w:rPr>
          <w:rFonts w:eastAsia="Calibri"/>
        </w:rPr>
        <w:t xml:space="preserve">Signed consent form (if consent can be provided). Where consent cannot be provided by the </w:t>
      </w:r>
      <w:r w:rsidR="00E82241" w:rsidRPr="005F6480">
        <w:rPr>
          <w:szCs w:val="22"/>
        </w:rPr>
        <w:t>consumer</w:t>
      </w:r>
      <w:r w:rsidRPr="00AC75BB">
        <w:rPr>
          <w:rFonts w:eastAsia="Calibri"/>
        </w:rPr>
        <w:t xml:space="preserve"> receiving treatment, a valid Psychiatric Treatment Order (</w:t>
      </w:r>
      <w:r w:rsidR="001230C1">
        <w:rPr>
          <w:rFonts w:eastAsia="Calibri"/>
        </w:rPr>
        <w:t>PTO</w:t>
      </w:r>
      <w:r w:rsidRPr="00AC75BB">
        <w:rPr>
          <w:rFonts w:eastAsia="Calibri"/>
        </w:rPr>
        <w:t xml:space="preserve">) </w:t>
      </w:r>
      <w:r w:rsidR="008569FC">
        <w:rPr>
          <w:rFonts w:eastAsia="Calibri"/>
        </w:rPr>
        <w:t xml:space="preserve">or Forensic </w:t>
      </w:r>
      <w:r w:rsidR="008569FC" w:rsidRPr="00AC75BB">
        <w:rPr>
          <w:rFonts w:eastAsia="Calibri"/>
        </w:rPr>
        <w:t xml:space="preserve">Psychiatric Treatment Order </w:t>
      </w:r>
      <w:r w:rsidR="008569FC">
        <w:rPr>
          <w:rFonts w:eastAsia="Calibri"/>
        </w:rPr>
        <w:t xml:space="preserve">(FPTO) </w:t>
      </w:r>
      <w:r w:rsidRPr="00AC75BB">
        <w:rPr>
          <w:rFonts w:eastAsia="Calibri"/>
        </w:rPr>
        <w:t>and Electroconvulsive Therapy Order is available.</w:t>
      </w:r>
    </w:p>
    <w:p w14:paraId="233718A9" w14:textId="1A7D23F5" w:rsidR="00AC75BB" w:rsidRPr="00AC75BB" w:rsidRDefault="00AC75BB" w:rsidP="001B2E35">
      <w:pPr>
        <w:pStyle w:val="BodyCopy"/>
        <w:pBdr>
          <w:top w:val="single" w:sz="4" w:space="1" w:color="auto"/>
          <w:left w:val="single" w:sz="4" w:space="4" w:color="auto"/>
          <w:bottom w:val="single" w:sz="4" w:space="1" w:color="auto"/>
          <w:right w:val="single" w:sz="4" w:space="4" w:color="auto"/>
        </w:pBdr>
        <w:rPr>
          <w:rFonts w:ascii="Symbol" w:hAnsi="Symbol"/>
          <w:b/>
        </w:rPr>
      </w:pPr>
      <w:r w:rsidRPr="001B2E35">
        <w:rPr>
          <w:b/>
          <w:bCs w:val="0"/>
        </w:rPr>
        <w:t>Note</w:t>
      </w:r>
      <w:r w:rsidRPr="001838F9">
        <w:t xml:space="preserve">: If the treatment plan has not been documented, call the </w:t>
      </w:r>
      <w:r w:rsidR="00E82241" w:rsidRPr="005F6480">
        <w:rPr>
          <w:rFonts w:asciiTheme="minorHAnsi" w:hAnsiTheme="minorHAnsi" w:cstheme="minorHAnsi"/>
        </w:rPr>
        <w:t>consumer</w:t>
      </w:r>
      <w:r w:rsidRPr="001838F9">
        <w:t xml:space="preserve">’s Prescribing Consultant Psychiatrist, and ensure a decision has been made about treatment for the day. </w:t>
      </w:r>
      <w:r w:rsidRPr="001838F9">
        <w:rPr>
          <w:b/>
        </w:rPr>
        <w:t>If unable to contact the Prescribing Consultant Psychiatrist, the ECT cannot be</w:t>
      </w:r>
      <w:r w:rsidRPr="001838F9">
        <w:rPr>
          <w:b/>
          <w:spacing w:val="-2"/>
        </w:rPr>
        <w:t xml:space="preserve"> </w:t>
      </w:r>
      <w:r w:rsidRPr="001838F9">
        <w:rPr>
          <w:b/>
        </w:rPr>
        <w:t>administered.</w:t>
      </w:r>
    </w:p>
    <w:p w14:paraId="13B9C59E" w14:textId="66FEC56F" w:rsidR="00AC75BB" w:rsidRPr="001E400F" w:rsidRDefault="00AC75BB" w:rsidP="001E400F">
      <w:pPr>
        <w:pStyle w:val="BodyCopy"/>
        <w:rPr>
          <w:rFonts w:eastAsia="Calibri"/>
          <w:b/>
          <w:bCs w:val="0"/>
        </w:rPr>
      </w:pPr>
      <w:r w:rsidRPr="001E400F">
        <w:rPr>
          <w:rFonts w:eastAsia="Calibri"/>
          <w:b/>
          <w:bCs w:val="0"/>
        </w:rPr>
        <w:lastRenderedPageBreak/>
        <w:t>For NCH theatre:</w:t>
      </w:r>
    </w:p>
    <w:p w14:paraId="58DEF70B" w14:textId="1E61D7CC" w:rsidR="00AC75BB" w:rsidRDefault="00AC75BB" w:rsidP="001B2E35">
      <w:pPr>
        <w:pStyle w:val="Numberedlist"/>
        <w:numPr>
          <w:ilvl w:val="0"/>
          <w:numId w:val="67"/>
        </w:numPr>
        <w:rPr>
          <w:rFonts w:eastAsia="Calibri"/>
        </w:rPr>
      </w:pPr>
      <w:r w:rsidRPr="001B2E35">
        <w:rPr>
          <w:rFonts w:eastAsia="Calibri"/>
        </w:rPr>
        <w:t xml:space="preserve">Check the </w:t>
      </w:r>
      <w:r w:rsidRPr="001B2E35">
        <w:rPr>
          <w:rFonts w:eastAsia="Calibri"/>
          <w:i/>
          <w:iCs/>
        </w:rPr>
        <w:t xml:space="preserve">ECT Consent and Check ECT plan </w:t>
      </w:r>
      <w:r w:rsidRPr="001B2E35">
        <w:rPr>
          <w:rFonts w:eastAsia="Calibri"/>
        </w:rPr>
        <w:t xml:space="preserve">to ensure that the consent is current, and that the </w:t>
      </w:r>
      <w:r w:rsidR="00E82241" w:rsidRPr="001B2E35">
        <w:rPr>
          <w:szCs w:val="22"/>
        </w:rPr>
        <w:t>consumer</w:t>
      </w:r>
      <w:r w:rsidRPr="001B2E35">
        <w:rPr>
          <w:rFonts w:eastAsia="Calibri"/>
        </w:rPr>
        <w:t xml:space="preserve"> is receiving the correct dose of ECT and inform the Consultant Psychiatrist if they have any concerns.</w:t>
      </w:r>
    </w:p>
    <w:p w14:paraId="62533650" w14:textId="3C32252C" w:rsidR="008569FC" w:rsidRPr="008569FC" w:rsidRDefault="008569FC" w:rsidP="008569FC">
      <w:pPr>
        <w:pStyle w:val="Numberedlist"/>
        <w:numPr>
          <w:ilvl w:val="0"/>
          <w:numId w:val="67"/>
        </w:numPr>
        <w:rPr>
          <w:rFonts w:eastAsia="Calibri"/>
        </w:rPr>
      </w:pPr>
      <w:r w:rsidRPr="008569FC">
        <w:rPr>
          <w:rFonts w:eastAsia="Calibri"/>
        </w:rPr>
        <w:t xml:space="preserve">Verify the correct identity of the </w:t>
      </w:r>
      <w:r w:rsidRPr="008569FC">
        <w:rPr>
          <w:szCs w:val="22"/>
        </w:rPr>
        <w:t>consumer</w:t>
      </w:r>
      <w:r w:rsidRPr="008569FC">
        <w:rPr>
          <w:rFonts w:eastAsia="Calibri"/>
        </w:rPr>
        <w:t xml:space="preserve"> who has been prescribed ECT, refer to </w:t>
      </w:r>
      <w:r w:rsidRPr="008569FC">
        <w:rPr>
          <w:rFonts w:eastAsia="Calibri"/>
          <w:i/>
        </w:rPr>
        <w:t>Patient Identification and Healthcare Activity Matching Procedure.</w:t>
      </w:r>
    </w:p>
    <w:p w14:paraId="7CB8471F" w14:textId="2AA06EC0" w:rsidR="00AC75BB" w:rsidRPr="00AC75BB" w:rsidRDefault="00AC75BB" w:rsidP="001B2E35">
      <w:pPr>
        <w:pStyle w:val="Numberedlist"/>
        <w:rPr>
          <w:rFonts w:eastAsia="Calibri"/>
        </w:rPr>
      </w:pPr>
      <w:r w:rsidRPr="00AC75BB">
        <w:rPr>
          <w:rFonts w:eastAsia="Calibri"/>
        </w:rPr>
        <w:t xml:space="preserve">Stay with the </w:t>
      </w:r>
      <w:r w:rsidR="00E82241" w:rsidRPr="005F6480">
        <w:rPr>
          <w:szCs w:val="22"/>
        </w:rPr>
        <w:t>consumer</w:t>
      </w:r>
      <w:r w:rsidRPr="00AC75BB">
        <w:rPr>
          <w:rFonts w:eastAsia="Calibri"/>
        </w:rPr>
        <w:t xml:space="preserve"> before and after the administration of medication to provide them with reassurance.</w:t>
      </w:r>
    </w:p>
    <w:p w14:paraId="448D6034" w14:textId="67C573B8" w:rsidR="00AC75BB" w:rsidRPr="00AC75BB" w:rsidRDefault="00AC75BB" w:rsidP="001B2E35">
      <w:pPr>
        <w:pStyle w:val="Numberedlist"/>
        <w:rPr>
          <w:rFonts w:eastAsia="Calibri"/>
          <w:b/>
          <w:bCs/>
        </w:rPr>
      </w:pPr>
      <w:r w:rsidRPr="00AC75BB">
        <w:rPr>
          <w:rFonts w:eastAsia="Calibri"/>
        </w:rPr>
        <w:t xml:space="preserve">Uncover the </w:t>
      </w:r>
      <w:r w:rsidR="00E82241" w:rsidRPr="005F6480">
        <w:rPr>
          <w:szCs w:val="22"/>
        </w:rPr>
        <w:t>consumer</w:t>
      </w:r>
      <w:r w:rsidRPr="00AC75BB">
        <w:rPr>
          <w:rFonts w:eastAsia="Calibri"/>
        </w:rPr>
        <w:t xml:space="preserve">’s feet to monitor for seizure activity after ECT has been administered. </w:t>
      </w:r>
    </w:p>
    <w:p w14:paraId="7EB0931D" w14:textId="09BD84DB" w:rsidR="00AC75BB" w:rsidRPr="00AC75BB" w:rsidRDefault="00AC75BB" w:rsidP="001B2E35">
      <w:pPr>
        <w:pStyle w:val="Numberedlist"/>
        <w:rPr>
          <w:rFonts w:eastAsia="Calibri"/>
          <w:b/>
          <w:bCs/>
        </w:rPr>
      </w:pPr>
      <w:r w:rsidRPr="00AC75BB">
        <w:rPr>
          <w:rFonts w:eastAsia="Calibri"/>
        </w:rPr>
        <w:t xml:space="preserve">When the </w:t>
      </w:r>
      <w:r w:rsidR="00E82241" w:rsidRPr="005F6480">
        <w:rPr>
          <w:szCs w:val="22"/>
        </w:rPr>
        <w:t>consumer</w:t>
      </w:r>
      <w:r w:rsidRPr="00AC75BB">
        <w:rPr>
          <w:rFonts w:eastAsia="Calibri"/>
        </w:rPr>
        <w:t xml:space="preserve"> has been sedated ensure that the mouth guard is placed correctly - wide end at the back to protect the </w:t>
      </w:r>
      <w:r w:rsidR="00E82241" w:rsidRPr="005F6480">
        <w:rPr>
          <w:szCs w:val="22"/>
        </w:rPr>
        <w:t>consumer</w:t>
      </w:r>
      <w:r w:rsidRPr="00AC75BB">
        <w:rPr>
          <w:rFonts w:eastAsia="Calibri"/>
        </w:rPr>
        <w:t>’s back teeth.</w:t>
      </w:r>
    </w:p>
    <w:p w14:paraId="5708B2C6" w14:textId="469E83E6" w:rsidR="00AC75BB" w:rsidRPr="00AC75BB" w:rsidRDefault="00AC75BB" w:rsidP="001B2E35">
      <w:pPr>
        <w:pStyle w:val="Numberedlist"/>
        <w:rPr>
          <w:rFonts w:eastAsia="Calibri"/>
          <w:b/>
          <w:bCs/>
        </w:rPr>
      </w:pPr>
      <w:r w:rsidRPr="00AC75BB">
        <w:rPr>
          <w:rFonts w:eastAsia="Calibri"/>
        </w:rPr>
        <w:t xml:space="preserve">After the procedure has been completed the recovery nurse will monitor the </w:t>
      </w:r>
      <w:r w:rsidR="00FA028C">
        <w:rPr>
          <w:rFonts w:eastAsia="Calibri"/>
        </w:rPr>
        <w:t>consumer</w:t>
      </w:r>
      <w:r w:rsidR="00FA028C" w:rsidRPr="00AC75BB">
        <w:rPr>
          <w:rFonts w:eastAsia="Calibri"/>
        </w:rPr>
        <w:t xml:space="preserve"> </w:t>
      </w:r>
      <w:r w:rsidRPr="00AC75BB">
        <w:rPr>
          <w:rFonts w:eastAsia="Calibri"/>
        </w:rPr>
        <w:t xml:space="preserve">for up to 1 hour. </w:t>
      </w:r>
    </w:p>
    <w:p w14:paraId="03BF3DDC" w14:textId="38363416" w:rsidR="00AC75BB" w:rsidRPr="00BC4E0F" w:rsidRDefault="00AC75BB" w:rsidP="001B2E35">
      <w:pPr>
        <w:pStyle w:val="Numberedlist"/>
        <w:rPr>
          <w:rFonts w:eastAsia="Calibri"/>
          <w:b/>
          <w:bCs/>
        </w:rPr>
      </w:pPr>
      <w:r w:rsidRPr="00AC75BB">
        <w:rPr>
          <w:rFonts w:eastAsia="Calibri"/>
        </w:rPr>
        <w:t xml:space="preserve">Receive a handover from the recovery nurse and accompany the </w:t>
      </w:r>
      <w:r w:rsidR="00E82241" w:rsidRPr="005F6480">
        <w:rPr>
          <w:szCs w:val="22"/>
        </w:rPr>
        <w:t>consumer</w:t>
      </w:r>
      <w:r w:rsidRPr="00AC75BB">
        <w:rPr>
          <w:rFonts w:eastAsia="Calibri"/>
        </w:rPr>
        <w:t xml:space="preserve"> back to the ward and return all belongings back to the </w:t>
      </w:r>
      <w:r w:rsidR="00E82241" w:rsidRPr="005F6480">
        <w:rPr>
          <w:szCs w:val="22"/>
        </w:rPr>
        <w:t>consumer</w:t>
      </w:r>
      <w:r w:rsidRPr="00AC75BB">
        <w:rPr>
          <w:rFonts w:eastAsia="Calibri"/>
        </w:rPr>
        <w:t xml:space="preserve">. </w:t>
      </w:r>
    </w:p>
    <w:p w14:paraId="4DA4F891" w14:textId="12790E2E" w:rsidR="00AC75BB" w:rsidRPr="00AC75BB" w:rsidRDefault="00BC4E0F" w:rsidP="001B2E35">
      <w:pPr>
        <w:pStyle w:val="Numberedlist"/>
        <w:rPr>
          <w:rFonts w:eastAsia="Calibri"/>
          <w:b/>
          <w:bCs/>
        </w:rPr>
      </w:pPr>
      <w:r>
        <w:rPr>
          <w:rFonts w:eastAsia="Calibri"/>
        </w:rPr>
        <w:t xml:space="preserve">Complete a progress note in </w:t>
      </w:r>
      <w:r w:rsidR="00E82241" w:rsidRPr="005F6480">
        <w:rPr>
          <w:szCs w:val="22"/>
        </w:rPr>
        <w:t>consumer</w:t>
      </w:r>
      <w:r>
        <w:rPr>
          <w:rFonts w:eastAsia="Calibri"/>
        </w:rPr>
        <w:t xml:space="preserve">’s DHR. </w:t>
      </w:r>
    </w:p>
    <w:p w14:paraId="4CE0BAE7" w14:textId="2C4A8436" w:rsidR="00AC75BB" w:rsidRPr="001E400F" w:rsidRDefault="00AC75BB" w:rsidP="001E400F">
      <w:pPr>
        <w:pStyle w:val="BodyCopy"/>
        <w:rPr>
          <w:rFonts w:eastAsia="Calibri"/>
          <w:b/>
          <w:bCs w:val="0"/>
        </w:rPr>
      </w:pPr>
      <w:r w:rsidRPr="001E400F">
        <w:rPr>
          <w:rFonts w:eastAsia="Calibri"/>
          <w:b/>
          <w:bCs w:val="0"/>
        </w:rPr>
        <w:t xml:space="preserve">For </w:t>
      </w:r>
      <w:r w:rsidR="001E400F" w:rsidRPr="001E400F">
        <w:rPr>
          <w:rFonts w:eastAsia="Calibri"/>
          <w:b/>
          <w:bCs w:val="0"/>
        </w:rPr>
        <w:t>T</w:t>
      </w:r>
      <w:r w:rsidR="001230C1" w:rsidRPr="001E400F">
        <w:rPr>
          <w:rFonts w:eastAsia="Calibri"/>
          <w:b/>
          <w:bCs w:val="0"/>
        </w:rPr>
        <w:t>CH</w:t>
      </w:r>
      <w:r w:rsidRPr="001E400F">
        <w:rPr>
          <w:rFonts w:eastAsia="Calibri"/>
          <w:b/>
          <w:bCs w:val="0"/>
        </w:rPr>
        <w:t xml:space="preserve"> N</w:t>
      </w:r>
      <w:r w:rsidR="001230C1" w:rsidRPr="001E400F">
        <w:rPr>
          <w:rFonts w:eastAsia="Calibri"/>
          <w:b/>
          <w:bCs w:val="0"/>
        </w:rPr>
        <w:t>eurostimulation Therapy Suite (NTS)</w:t>
      </w:r>
      <w:r w:rsidRPr="001E400F">
        <w:rPr>
          <w:rFonts w:eastAsia="Calibri"/>
          <w:b/>
          <w:bCs w:val="0"/>
        </w:rPr>
        <w:t>:</w:t>
      </w:r>
    </w:p>
    <w:p w14:paraId="646EFCCB" w14:textId="77777777" w:rsidR="00AC75BB" w:rsidRPr="001B2E35" w:rsidRDefault="00AC75BB" w:rsidP="001B2E35">
      <w:pPr>
        <w:pStyle w:val="Numberedlist"/>
        <w:numPr>
          <w:ilvl w:val="0"/>
          <w:numId w:val="68"/>
        </w:numPr>
        <w:rPr>
          <w:rFonts w:eastAsia="Calibri"/>
        </w:rPr>
      </w:pPr>
      <w:r w:rsidRPr="001B2E35">
        <w:rPr>
          <w:rFonts w:eastAsia="Calibri"/>
        </w:rPr>
        <w:t xml:space="preserve">For inpatients the ECT support nurse will receive an ISBAR handover from the ward nurse, for outpatients go to step 2. </w:t>
      </w:r>
    </w:p>
    <w:p w14:paraId="10E4DF86" w14:textId="5E0DFEB6" w:rsidR="00AC75BB" w:rsidRPr="00F07520" w:rsidRDefault="00AC75BB" w:rsidP="001B2E35">
      <w:pPr>
        <w:pStyle w:val="Numberedlist"/>
        <w:rPr>
          <w:rFonts w:eastAsia="Calibri"/>
        </w:rPr>
      </w:pPr>
      <w:r w:rsidRPr="00AC75BB">
        <w:rPr>
          <w:rFonts w:eastAsia="Calibri"/>
        </w:rPr>
        <w:t xml:space="preserve">Verify the correct identity of the </w:t>
      </w:r>
      <w:r w:rsidR="00E82241" w:rsidRPr="005F6480">
        <w:rPr>
          <w:szCs w:val="22"/>
        </w:rPr>
        <w:t>consumer</w:t>
      </w:r>
      <w:r w:rsidRPr="00AC75BB">
        <w:rPr>
          <w:rFonts w:eastAsia="Calibri"/>
        </w:rPr>
        <w:t xml:space="preserve"> who has been prescribed </w:t>
      </w:r>
      <w:r w:rsidR="0047745B" w:rsidRPr="00AC75BB">
        <w:rPr>
          <w:rFonts w:eastAsia="Calibri"/>
        </w:rPr>
        <w:t>ECT, refer</w:t>
      </w:r>
      <w:r w:rsidRPr="00AC75BB">
        <w:rPr>
          <w:rFonts w:eastAsia="Calibri"/>
        </w:rPr>
        <w:t xml:space="preserve"> to </w:t>
      </w:r>
      <w:r w:rsidRPr="00AC75BB">
        <w:rPr>
          <w:rFonts w:eastAsia="Calibri"/>
          <w:i/>
        </w:rPr>
        <w:t xml:space="preserve">Patient Identification and </w:t>
      </w:r>
      <w:r w:rsidR="001B2E35">
        <w:rPr>
          <w:rFonts w:eastAsia="Calibri"/>
          <w:i/>
        </w:rPr>
        <w:t>Healthcare Activity</w:t>
      </w:r>
      <w:r w:rsidRPr="00AC75BB">
        <w:rPr>
          <w:rFonts w:eastAsia="Calibri"/>
          <w:i/>
        </w:rPr>
        <w:t xml:space="preserve"> Matching Procedure.</w:t>
      </w:r>
    </w:p>
    <w:p w14:paraId="375FE11C" w14:textId="05AAD3FF" w:rsidR="00AC75BB" w:rsidRPr="00F07520" w:rsidRDefault="00AC75BB" w:rsidP="001B2E35">
      <w:pPr>
        <w:pStyle w:val="Numberedlist"/>
        <w:rPr>
          <w:rFonts w:eastAsia="Calibri"/>
        </w:rPr>
      </w:pPr>
      <w:r w:rsidRPr="00AC75BB">
        <w:rPr>
          <w:rFonts w:eastAsia="Calibri"/>
        </w:rPr>
        <w:t xml:space="preserve">Check the </w:t>
      </w:r>
      <w:r w:rsidRPr="00AC75BB">
        <w:rPr>
          <w:rFonts w:eastAsia="Calibri"/>
          <w:i/>
        </w:rPr>
        <w:t xml:space="preserve">ECT Consent and Check ECT plan </w:t>
      </w:r>
      <w:r w:rsidRPr="00AC75BB">
        <w:rPr>
          <w:rFonts w:eastAsia="Calibri"/>
        </w:rPr>
        <w:t xml:space="preserve">to ensure that the consent is current, and that the </w:t>
      </w:r>
      <w:r w:rsidR="00EF14D8" w:rsidRPr="005F6480">
        <w:rPr>
          <w:szCs w:val="22"/>
        </w:rPr>
        <w:t>consumer</w:t>
      </w:r>
      <w:r w:rsidRPr="00AC75BB">
        <w:rPr>
          <w:rFonts w:eastAsia="Calibri"/>
        </w:rPr>
        <w:t xml:space="preserve"> is receiving the correct dose of ECT and inform the Consultant Psychiatrist if they have any concerns</w:t>
      </w:r>
      <w:r w:rsidRPr="00AC75BB">
        <w:rPr>
          <w:rFonts w:eastAsia="Calibri"/>
          <w:i/>
        </w:rPr>
        <w:t xml:space="preserve"> </w:t>
      </w:r>
    </w:p>
    <w:p w14:paraId="744BC94F" w14:textId="0593A3C6" w:rsidR="00AC75BB" w:rsidRPr="00AC75BB" w:rsidRDefault="00AC75BB" w:rsidP="001B2E35">
      <w:pPr>
        <w:pStyle w:val="Numberedlist"/>
        <w:rPr>
          <w:rFonts w:eastAsia="Calibri"/>
        </w:rPr>
      </w:pPr>
      <w:r w:rsidRPr="00AC75BB">
        <w:rPr>
          <w:rFonts w:eastAsia="Calibri"/>
        </w:rPr>
        <w:t xml:space="preserve">Complete baseline vitals, </w:t>
      </w:r>
      <w:r w:rsidR="0047745B" w:rsidRPr="00AC75BB">
        <w:rPr>
          <w:rFonts w:eastAsia="Calibri"/>
        </w:rPr>
        <w:t>preoperative</w:t>
      </w:r>
      <w:r w:rsidRPr="00AC75BB">
        <w:rPr>
          <w:rFonts w:eastAsia="Calibri"/>
        </w:rPr>
        <w:t xml:space="preserve"> checklist and Subject Assessment of own Memory Impairment (SAMI) on DHR.</w:t>
      </w:r>
    </w:p>
    <w:p w14:paraId="1A76C93F" w14:textId="0BFE9702" w:rsidR="00AC75BB" w:rsidRPr="00AC75BB" w:rsidRDefault="00AC75BB" w:rsidP="001B2E35">
      <w:pPr>
        <w:pStyle w:val="Numberedlist"/>
        <w:rPr>
          <w:rFonts w:eastAsia="Calibri"/>
        </w:rPr>
      </w:pPr>
      <w:r w:rsidRPr="00AC75BB">
        <w:rPr>
          <w:rFonts w:eastAsia="Calibri"/>
        </w:rPr>
        <w:t xml:space="preserve">Offer the </w:t>
      </w:r>
      <w:r w:rsidR="00EF14D8" w:rsidRPr="005F6480">
        <w:rPr>
          <w:szCs w:val="22"/>
        </w:rPr>
        <w:t>consumer</w:t>
      </w:r>
      <w:r w:rsidRPr="00AC75BB">
        <w:rPr>
          <w:rFonts w:eastAsia="Calibri"/>
        </w:rPr>
        <w:t xml:space="preserve"> a warm blanket and encourage to use the bathroom prior to procedure.</w:t>
      </w:r>
    </w:p>
    <w:p w14:paraId="5A133EF1" w14:textId="40F3E46B" w:rsidR="00AC75BB" w:rsidRPr="00AC75BB" w:rsidRDefault="00AC75BB" w:rsidP="001B2E35">
      <w:pPr>
        <w:pStyle w:val="Numberedlist"/>
        <w:rPr>
          <w:rFonts w:eastAsia="Calibri"/>
        </w:rPr>
      </w:pPr>
      <w:r w:rsidRPr="00AC75BB">
        <w:rPr>
          <w:rFonts w:eastAsia="Calibri"/>
        </w:rPr>
        <w:t xml:space="preserve">Notify the ECT coordinator that the </w:t>
      </w:r>
      <w:r w:rsidR="00EF14D8" w:rsidRPr="005F6480">
        <w:rPr>
          <w:szCs w:val="22"/>
        </w:rPr>
        <w:t>consumer</w:t>
      </w:r>
      <w:r w:rsidRPr="00AC75BB">
        <w:rPr>
          <w:rFonts w:eastAsia="Calibri"/>
        </w:rPr>
        <w:t xml:space="preserve"> is ready for their procedure.</w:t>
      </w:r>
    </w:p>
    <w:p w14:paraId="2F628136" w14:textId="678EBBA7" w:rsidR="00AC75BB" w:rsidRPr="00AC75BB" w:rsidRDefault="00AC75BB" w:rsidP="001B2E35">
      <w:pPr>
        <w:pStyle w:val="Numberedlist"/>
        <w:rPr>
          <w:rFonts w:eastAsia="Calibri"/>
        </w:rPr>
      </w:pPr>
      <w:r w:rsidRPr="00AC75BB">
        <w:rPr>
          <w:rFonts w:eastAsia="Calibri"/>
        </w:rPr>
        <w:t xml:space="preserve">Receive a handover from the recovery nurse post procedure and assist the </w:t>
      </w:r>
      <w:r w:rsidR="00EF14D8" w:rsidRPr="005F6480">
        <w:rPr>
          <w:szCs w:val="22"/>
        </w:rPr>
        <w:t>consumer</w:t>
      </w:r>
      <w:r w:rsidRPr="00AC75BB">
        <w:rPr>
          <w:rFonts w:eastAsia="Calibri"/>
        </w:rPr>
        <w:t xml:space="preserve"> to the second stage recovery area.</w:t>
      </w:r>
    </w:p>
    <w:p w14:paraId="7103D067" w14:textId="77777777" w:rsidR="00AC75BB" w:rsidRPr="00AC75BB" w:rsidRDefault="00AC75BB" w:rsidP="001B2E35">
      <w:pPr>
        <w:pStyle w:val="Numberedlist"/>
        <w:rPr>
          <w:rFonts w:eastAsia="Calibri"/>
        </w:rPr>
      </w:pPr>
      <w:r w:rsidRPr="00AC75BB">
        <w:rPr>
          <w:rFonts w:eastAsia="Calibri"/>
        </w:rPr>
        <w:t xml:space="preserve">Complete the ECT orientation on DHR. </w:t>
      </w:r>
    </w:p>
    <w:p w14:paraId="3A5EECD0" w14:textId="77777777" w:rsidR="00AC75BB" w:rsidRPr="00AC75BB" w:rsidRDefault="00AC75BB" w:rsidP="001B2E35">
      <w:pPr>
        <w:pStyle w:val="Numberedlist"/>
        <w:rPr>
          <w:rFonts w:eastAsia="Calibri"/>
        </w:rPr>
      </w:pPr>
      <w:r w:rsidRPr="00AC75BB">
        <w:rPr>
          <w:rFonts w:eastAsia="Calibri"/>
        </w:rPr>
        <w:t>Complete a full set of vital signs, then half hourly for two (2) hours. For inpatients, complete the initial set of vitals then contact the inpatient ward for collection.</w:t>
      </w:r>
    </w:p>
    <w:p w14:paraId="66AFC8E4" w14:textId="348915CA" w:rsidR="00AC75BB" w:rsidRPr="00AC75BB" w:rsidRDefault="00AC75BB" w:rsidP="001B2E35">
      <w:pPr>
        <w:pStyle w:val="Numberedlist"/>
        <w:rPr>
          <w:rFonts w:eastAsia="Calibri"/>
        </w:rPr>
      </w:pPr>
      <w:r w:rsidRPr="00AC75BB">
        <w:rPr>
          <w:rFonts w:eastAsia="Calibri"/>
        </w:rPr>
        <w:t>Offer regular paracetamol and ibuprofen and fluids for muscle soreness.</w:t>
      </w:r>
    </w:p>
    <w:p w14:paraId="00BAD129" w14:textId="69C1ED40" w:rsidR="00AC75BB" w:rsidRPr="00AC75BB" w:rsidRDefault="00AC75BB" w:rsidP="001B2E35">
      <w:pPr>
        <w:pStyle w:val="Numberedlist"/>
        <w:rPr>
          <w:rFonts w:eastAsia="Calibri"/>
        </w:rPr>
      </w:pPr>
      <w:r w:rsidRPr="00AC75BB">
        <w:rPr>
          <w:rFonts w:eastAsia="Calibri"/>
        </w:rPr>
        <w:t xml:space="preserve">Contact the </w:t>
      </w:r>
      <w:r w:rsidR="00EF14D8" w:rsidRPr="005F6480">
        <w:rPr>
          <w:szCs w:val="22"/>
        </w:rPr>
        <w:t>consumer</w:t>
      </w:r>
      <w:r w:rsidRPr="00AC75BB">
        <w:rPr>
          <w:rFonts w:eastAsia="Calibri"/>
        </w:rPr>
        <w:t xml:space="preserve">s next of kin to arrange pick up time. </w:t>
      </w:r>
    </w:p>
    <w:p w14:paraId="19F6CED0" w14:textId="77777777" w:rsidR="00AC75BB" w:rsidRPr="00AC75BB" w:rsidRDefault="00AC75BB" w:rsidP="001B2E35">
      <w:pPr>
        <w:pStyle w:val="Numberedlist"/>
        <w:rPr>
          <w:rFonts w:eastAsia="Calibri"/>
        </w:rPr>
      </w:pPr>
      <w:r w:rsidRPr="00AC75BB">
        <w:rPr>
          <w:rFonts w:eastAsia="Calibri"/>
        </w:rPr>
        <w:t>Give discharge information</w:t>
      </w:r>
    </w:p>
    <w:p w14:paraId="315CD894" w14:textId="4FB7AC8E" w:rsidR="00AC75BB" w:rsidRPr="00AC75BB" w:rsidRDefault="00AC75BB" w:rsidP="001B2E35">
      <w:pPr>
        <w:pStyle w:val="Numberedlist"/>
        <w:rPr>
          <w:rFonts w:asciiTheme="majorHAnsi" w:eastAsia="Calibri" w:hAnsiTheme="majorHAnsi" w:cstheme="majorHAnsi"/>
        </w:rPr>
      </w:pPr>
      <w:r w:rsidRPr="00AC75BB">
        <w:rPr>
          <w:rFonts w:asciiTheme="majorHAnsi" w:eastAsia="Calibri" w:hAnsiTheme="majorHAnsi" w:cstheme="majorHAnsi"/>
        </w:rPr>
        <w:t xml:space="preserve">Complete a progress note on the </w:t>
      </w:r>
      <w:r w:rsidR="00EF14D8" w:rsidRPr="005F6480">
        <w:rPr>
          <w:szCs w:val="22"/>
        </w:rPr>
        <w:t>consumer</w:t>
      </w:r>
      <w:r w:rsidRPr="00AC75BB">
        <w:rPr>
          <w:rFonts w:asciiTheme="majorHAnsi" w:eastAsia="Calibri" w:hAnsiTheme="majorHAnsi" w:cstheme="majorHAnsi"/>
        </w:rPr>
        <w:t>s DHR.</w:t>
      </w:r>
    </w:p>
    <w:p w14:paraId="7F7C1C60" w14:textId="572EFEC6" w:rsidR="00AC75BB" w:rsidRPr="00AC75BB" w:rsidRDefault="00AC75BB" w:rsidP="00944A27">
      <w:pPr>
        <w:pStyle w:val="Heading6"/>
      </w:pPr>
      <w:r>
        <w:lastRenderedPageBreak/>
        <w:t xml:space="preserve">2.4.3 Post Treatment Nursing Care </w:t>
      </w:r>
    </w:p>
    <w:p w14:paraId="1434B121" w14:textId="6CF2319C" w:rsidR="00AC75BB" w:rsidRPr="00AC75BB" w:rsidRDefault="00AC75BB" w:rsidP="00BC4E0F">
      <w:pPr>
        <w:pStyle w:val="ListBullet"/>
        <w:spacing w:before="120" w:after="120"/>
        <w:rPr>
          <w:rFonts w:asciiTheme="majorHAnsi" w:eastAsia="Calibri" w:hAnsiTheme="majorHAnsi" w:cstheme="majorHAnsi"/>
        </w:rPr>
      </w:pPr>
      <w:r w:rsidRPr="00AC75BB">
        <w:rPr>
          <w:rFonts w:asciiTheme="majorHAnsi" w:eastAsia="Calibri" w:hAnsiTheme="majorHAnsi" w:cstheme="majorHAnsi"/>
        </w:rPr>
        <w:t>On return to ward</w:t>
      </w:r>
      <w:r w:rsidR="00B77A42">
        <w:rPr>
          <w:rFonts w:asciiTheme="majorHAnsi" w:eastAsia="Calibri" w:hAnsiTheme="majorHAnsi" w:cstheme="majorHAnsi"/>
        </w:rPr>
        <w:t xml:space="preserve"> (for inpatients)</w:t>
      </w:r>
      <w:r w:rsidRPr="00AC75BB">
        <w:rPr>
          <w:rFonts w:asciiTheme="majorHAnsi" w:eastAsia="Calibri" w:hAnsiTheme="majorHAnsi" w:cstheme="majorHAnsi"/>
        </w:rPr>
        <w:t xml:space="preserve">: </w:t>
      </w:r>
    </w:p>
    <w:p w14:paraId="447BF742" w14:textId="0E9239A4" w:rsidR="00AC75BB" w:rsidRPr="00944A27" w:rsidRDefault="00AC75BB" w:rsidP="00944A27">
      <w:pPr>
        <w:pStyle w:val="Numberedlist"/>
        <w:numPr>
          <w:ilvl w:val="0"/>
          <w:numId w:val="69"/>
        </w:numPr>
        <w:rPr>
          <w:rFonts w:eastAsia="Calibri"/>
        </w:rPr>
      </w:pPr>
      <w:r w:rsidRPr="00944A27">
        <w:rPr>
          <w:rFonts w:eastAsia="Calibri"/>
        </w:rPr>
        <w:t xml:space="preserve">Orientate the </w:t>
      </w:r>
      <w:r w:rsidR="00EF14D8" w:rsidRPr="00944A27">
        <w:rPr>
          <w:rFonts w:asciiTheme="minorHAnsi" w:hAnsiTheme="minorHAnsi" w:cstheme="minorHAnsi"/>
          <w:szCs w:val="22"/>
        </w:rPr>
        <w:t>consumer</w:t>
      </w:r>
      <w:r w:rsidRPr="00944A27">
        <w:rPr>
          <w:rFonts w:eastAsia="Calibri"/>
        </w:rPr>
        <w:t xml:space="preserve"> to the ward and provide the </w:t>
      </w:r>
      <w:r w:rsidR="00EF14D8" w:rsidRPr="00944A27">
        <w:rPr>
          <w:rFonts w:asciiTheme="minorHAnsi" w:hAnsiTheme="minorHAnsi" w:cstheme="minorHAnsi"/>
          <w:szCs w:val="22"/>
        </w:rPr>
        <w:t>consumer</w:t>
      </w:r>
      <w:r w:rsidRPr="00944A27">
        <w:rPr>
          <w:rFonts w:eastAsia="Calibri"/>
        </w:rPr>
        <w:t xml:space="preserve"> with a meal as they have been fasting.</w:t>
      </w:r>
    </w:p>
    <w:p w14:paraId="62C988A0" w14:textId="77777777" w:rsidR="00AC75BB" w:rsidRDefault="00AC75BB" w:rsidP="00944A27">
      <w:pPr>
        <w:pStyle w:val="Numberedlist"/>
        <w:rPr>
          <w:rFonts w:eastAsia="Calibri"/>
        </w:rPr>
      </w:pPr>
      <w:r w:rsidRPr="00AC75BB">
        <w:rPr>
          <w:rFonts w:eastAsia="Calibri"/>
        </w:rPr>
        <w:t>Complete a full set of vital signs, then half hourly for two (2) hours (30 mins x 2 hours) and 1 hourly for four (4) hours.</w:t>
      </w:r>
    </w:p>
    <w:p w14:paraId="0D8762FA" w14:textId="41B13FAB" w:rsidR="00BC4E0F" w:rsidRPr="00AC75BB" w:rsidRDefault="00BC4E0F" w:rsidP="00944A27">
      <w:pPr>
        <w:pStyle w:val="Numberedlist"/>
        <w:rPr>
          <w:rFonts w:eastAsia="Calibri"/>
        </w:rPr>
      </w:pPr>
      <w:r w:rsidRPr="00AC75BB">
        <w:rPr>
          <w:rFonts w:eastAsia="Calibri"/>
        </w:rPr>
        <w:t>Offer regular paracetamol and ibuprofen and fluids for muscle soreness.</w:t>
      </w:r>
    </w:p>
    <w:p w14:paraId="0FE6C9D2" w14:textId="1B2EF6ED" w:rsidR="00AC75BB" w:rsidRPr="00AC75BB" w:rsidRDefault="00AC75BB" w:rsidP="00BC4E0F">
      <w:pPr>
        <w:pStyle w:val="Heading5"/>
        <w:spacing w:before="120" w:beforeAutospacing="0"/>
      </w:pPr>
      <w:r>
        <w:t xml:space="preserve">2.5 Psychiatrist Administering ECT </w:t>
      </w:r>
    </w:p>
    <w:p w14:paraId="52FAB243" w14:textId="22ACB478" w:rsidR="00AC75BB" w:rsidRPr="00AC75BB" w:rsidRDefault="00AC75BB" w:rsidP="00944A27">
      <w:pPr>
        <w:pStyle w:val="BodyCopy"/>
        <w:rPr>
          <w:rFonts w:eastAsia="Calibri"/>
        </w:rPr>
      </w:pPr>
      <w:r w:rsidRPr="00AC75BB">
        <w:rPr>
          <w:rFonts w:eastAsia="Calibri"/>
        </w:rPr>
        <w:t>ECT will be delivered by a consultant psychiatrist or supervised psychiatric registrar who is credentialed by the Medical Dental Advisory and Appointments Committee (MDAAC).</w:t>
      </w:r>
    </w:p>
    <w:p w14:paraId="7695A1CF" w14:textId="77777777" w:rsidR="00AC75BB" w:rsidRPr="00AC75BB" w:rsidRDefault="00AC75BB" w:rsidP="00944A27">
      <w:pPr>
        <w:pStyle w:val="BodyCopy"/>
        <w:rPr>
          <w:rFonts w:eastAsia="Calibri"/>
        </w:rPr>
      </w:pPr>
      <w:r w:rsidRPr="00AC75BB">
        <w:rPr>
          <w:rFonts w:eastAsia="Calibri"/>
        </w:rPr>
        <w:t>The ECT Consultant Psychiatrist or Psychiatric Registrar is responsible for:</w:t>
      </w:r>
    </w:p>
    <w:p w14:paraId="656D6A7F" w14:textId="77777777" w:rsidR="00AC75BB" w:rsidRPr="00AC75BB" w:rsidRDefault="00AC75BB" w:rsidP="00944A27">
      <w:pPr>
        <w:pStyle w:val="Bullet"/>
        <w:rPr>
          <w:rFonts w:eastAsia="Calibri"/>
        </w:rPr>
      </w:pPr>
      <w:r w:rsidRPr="00AC75BB">
        <w:rPr>
          <w:rFonts w:eastAsia="Calibri"/>
        </w:rPr>
        <w:t>Checking relevant documentation prior to procedure to ensure that ECT may be lawfully administered, including:</w:t>
      </w:r>
    </w:p>
    <w:p w14:paraId="319B8459" w14:textId="028FFCE5" w:rsidR="00AC75BB" w:rsidRPr="00AC75BB" w:rsidRDefault="00AC75BB" w:rsidP="00944A27">
      <w:pPr>
        <w:pStyle w:val="Bullet"/>
        <w:numPr>
          <w:ilvl w:val="1"/>
          <w:numId w:val="1"/>
        </w:numPr>
        <w:rPr>
          <w:rFonts w:eastAsia="Calibri"/>
        </w:rPr>
      </w:pPr>
      <w:r w:rsidRPr="00AC75BB">
        <w:rPr>
          <w:rFonts w:eastAsia="Calibri"/>
        </w:rPr>
        <w:t xml:space="preserve">citing the completed </w:t>
      </w:r>
      <w:r w:rsidRPr="00AC75BB">
        <w:rPr>
          <w:rFonts w:eastAsia="Calibri"/>
          <w:i/>
        </w:rPr>
        <w:t>ECT Consent and Prescription form</w:t>
      </w:r>
      <w:r w:rsidRPr="00AC75BB">
        <w:rPr>
          <w:rFonts w:eastAsia="Calibri"/>
        </w:rPr>
        <w:t>, any relevant advanced care directive/goals of care, ECT order, emergency ECT order, PTO or FPTO</w:t>
      </w:r>
    </w:p>
    <w:p w14:paraId="363107A0" w14:textId="77777777" w:rsidR="00AC75BB" w:rsidRPr="00AC75BB" w:rsidRDefault="00AC75BB" w:rsidP="00944A27">
      <w:pPr>
        <w:pStyle w:val="Bullet"/>
        <w:numPr>
          <w:ilvl w:val="1"/>
          <w:numId w:val="1"/>
        </w:numPr>
        <w:rPr>
          <w:rFonts w:eastAsia="Calibri"/>
        </w:rPr>
      </w:pPr>
      <w:r w:rsidRPr="00AC75BB">
        <w:rPr>
          <w:rFonts w:eastAsia="Calibri"/>
        </w:rPr>
        <w:t>checking for any recommended changes to treatment as made by the treating team</w:t>
      </w:r>
    </w:p>
    <w:p w14:paraId="11FE4EEF" w14:textId="1ABA0353" w:rsidR="00AC75BB" w:rsidRPr="00AC75BB" w:rsidRDefault="00AC75BB" w:rsidP="00944A27">
      <w:pPr>
        <w:pStyle w:val="Bullet"/>
        <w:rPr>
          <w:rFonts w:eastAsia="Calibri"/>
        </w:rPr>
      </w:pPr>
      <w:r w:rsidRPr="00AC75BB">
        <w:rPr>
          <w:rFonts w:eastAsia="Calibri"/>
        </w:rPr>
        <w:t xml:space="preserve">Liaising with the Anaesthetist regarding treatment for the </w:t>
      </w:r>
      <w:r w:rsidR="00EF14D8" w:rsidRPr="005F6480">
        <w:rPr>
          <w:rFonts w:asciiTheme="minorHAnsi" w:hAnsiTheme="minorHAnsi" w:cstheme="minorHAnsi"/>
          <w:szCs w:val="22"/>
        </w:rPr>
        <w:t>consumer</w:t>
      </w:r>
    </w:p>
    <w:p w14:paraId="6426D713" w14:textId="77777777" w:rsidR="00AC75BB" w:rsidRPr="00AC75BB" w:rsidRDefault="00AC75BB" w:rsidP="00944A27">
      <w:pPr>
        <w:pStyle w:val="Bullet"/>
        <w:rPr>
          <w:rFonts w:eastAsia="Calibri"/>
          <w:i/>
        </w:rPr>
      </w:pPr>
      <w:r w:rsidRPr="00AC75BB">
        <w:rPr>
          <w:rFonts w:eastAsia="Calibri"/>
        </w:rPr>
        <w:t xml:space="preserve">Preparing the treating site, such as skin and scalp area, and attaching the ECT tracing electrodes and treating electrodes, see </w:t>
      </w:r>
      <w:r w:rsidRPr="00AC75BB">
        <w:rPr>
          <w:rFonts w:eastAsia="Calibri"/>
          <w:i/>
        </w:rPr>
        <w:t>Attachment 3: ECT electrodes</w:t>
      </w:r>
    </w:p>
    <w:p w14:paraId="4115F335" w14:textId="38FF29B4" w:rsidR="00AC75BB" w:rsidRPr="00AC75BB" w:rsidRDefault="00AC75BB" w:rsidP="00944A27">
      <w:pPr>
        <w:pStyle w:val="Bullet"/>
        <w:rPr>
          <w:rFonts w:eastAsia="Calibri"/>
        </w:rPr>
      </w:pPr>
      <w:r w:rsidRPr="00AC75BB">
        <w:rPr>
          <w:rFonts w:eastAsia="Calibri"/>
          <w:iCs/>
        </w:rPr>
        <w:t xml:space="preserve">Performing a time out (Refer to the </w:t>
      </w:r>
      <w:r w:rsidRPr="00AC75BB">
        <w:rPr>
          <w:rFonts w:eastAsia="Calibri"/>
          <w:i/>
        </w:rPr>
        <w:t xml:space="preserve">Surgical Safety Checklist </w:t>
      </w:r>
      <w:r w:rsidR="008569FC">
        <w:rPr>
          <w:rFonts w:eastAsia="Calibri"/>
          <w:i/>
        </w:rPr>
        <w:t>Procedure</w:t>
      </w:r>
      <w:r w:rsidRPr="00AC75BB">
        <w:rPr>
          <w:rFonts w:eastAsia="Calibri"/>
          <w:iCs/>
        </w:rPr>
        <w:t xml:space="preserve">). </w:t>
      </w:r>
      <w:r w:rsidRPr="00AC75BB">
        <w:rPr>
          <w:rFonts w:eastAsia="Calibri"/>
        </w:rPr>
        <w:t xml:space="preserve">Verifying the correct identity of the </w:t>
      </w:r>
      <w:r w:rsidR="00EF14D8" w:rsidRPr="005F6480">
        <w:rPr>
          <w:rFonts w:asciiTheme="minorHAnsi" w:hAnsiTheme="minorHAnsi" w:cstheme="minorHAnsi"/>
          <w:szCs w:val="22"/>
        </w:rPr>
        <w:t>consumer</w:t>
      </w:r>
      <w:r w:rsidRPr="00AC75BB">
        <w:rPr>
          <w:rFonts w:eastAsia="Calibri"/>
        </w:rPr>
        <w:t xml:space="preserve"> who has been prescribed ECT, and ensuring that the Team ‘Time Out’ is called - before the </w:t>
      </w:r>
      <w:r w:rsidR="00F427C0" w:rsidRPr="005F6480">
        <w:rPr>
          <w:rFonts w:asciiTheme="minorHAnsi" w:hAnsiTheme="minorHAnsi" w:cstheme="minorHAnsi"/>
          <w:szCs w:val="22"/>
        </w:rPr>
        <w:t>consumer</w:t>
      </w:r>
      <w:r w:rsidRPr="00AC75BB">
        <w:rPr>
          <w:rFonts w:eastAsia="Calibri"/>
        </w:rPr>
        <w:t xml:space="preserve"> has been anaesthetised, stopping and conducting a final verification that the procedure is being conducted on the correct </w:t>
      </w:r>
      <w:r w:rsidR="00F427C0" w:rsidRPr="005F6480">
        <w:rPr>
          <w:rFonts w:asciiTheme="minorHAnsi" w:hAnsiTheme="minorHAnsi" w:cstheme="minorHAnsi"/>
          <w:szCs w:val="22"/>
        </w:rPr>
        <w:t>consumer</w:t>
      </w:r>
      <w:r w:rsidRPr="00AC75BB">
        <w:rPr>
          <w:rFonts w:eastAsia="Calibri"/>
        </w:rPr>
        <w:t>, with the correct electrode placement and the charge dose</w:t>
      </w:r>
    </w:p>
    <w:p w14:paraId="02200309" w14:textId="5B74C3AC" w:rsidR="00AC75BB" w:rsidRPr="00AC75BB" w:rsidRDefault="00AC75BB" w:rsidP="00944A27">
      <w:pPr>
        <w:pStyle w:val="Bullet"/>
        <w:rPr>
          <w:rFonts w:eastAsia="Calibri"/>
        </w:rPr>
      </w:pPr>
      <w:r w:rsidRPr="00AC75BB">
        <w:rPr>
          <w:rFonts w:eastAsia="Calibri"/>
        </w:rPr>
        <w:t xml:space="preserve">Overseeing the delivery of ECT, including checking the prescribed electrode placement and charge dose for the </w:t>
      </w:r>
      <w:r w:rsidR="00283890">
        <w:rPr>
          <w:rFonts w:eastAsia="Calibri"/>
        </w:rPr>
        <w:t>consumer</w:t>
      </w:r>
    </w:p>
    <w:p w14:paraId="21212E63" w14:textId="488BB16E" w:rsidR="00AC75BB" w:rsidRPr="00AC75BB" w:rsidRDefault="00AC75BB" w:rsidP="00944A27">
      <w:pPr>
        <w:pStyle w:val="Bullet"/>
        <w:rPr>
          <w:rFonts w:eastAsia="Calibri"/>
        </w:rPr>
      </w:pPr>
      <w:r w:rsidRPr="00AC75BB">
        <w:rPr>
          <w:rFonts w:eastAsia="Calibri"/>
        </w:rPr>
        <w:t xml:space="preserve">Reviewing the </w:t>
      </w:r>
      <w:r w:rsidR="00283890">
        <w:rPr>
          <w:rFonts w:eastAsia="Calibri"/>
        </w:rPr>
        <w:t>consumer’s</w:t>
      </w:r>
      <w:r w:rsidRPr="00AC75BB">
        <w:rPr>
          <w:rFonts w:eastAsia="Calibri"/>
        </w:rPr>
        <w:t xml:space="preserve"> EEG tracings following the delivery of ECT</w:t>
      </w:r>
    </w:p>
    <w:p w14:paraId="10FD55B3" w14:textId="77777777" w:rsidR="00AC75BB" w:rsidRPr="00AC75BB" w:rsidRDefault="00AC75BB" w:rsidP="00944A27">
      <w:pPr>
        <w:pStyle w:val="Bullet"/>
        <w:rPr>
          <w:rFonts w:eastAsia="Calibri"/>
          <w:i/>
        </w:rPr>
      </w:pPr>
      <w:r w:rsidRPr="00AC75BB">
        <w:rPr>
          <w:rFonts w:eastAsia="Calibri"/>
        </w:rPr>
        <w:t>Documenting the effects of treatment, including seizure quality and any complications or side effects present on the ECT Treatment Table on the procedure note</w:t>
      </w:r>
      <w:r w:rsidRPr="00AC75BB">
        <w:rPr>
          <w:rFonts w:eastAsia="Calibri"/>
          <w:i/>
        </w:rPr>
        <w:t xml:space="preserve"> </w:t>
      </w:r>
      <w:r w:rsidRPr="00AC75BB">
        <w:rPr>
          <w:rFonts w:eastAsia="Calibri"/>
        </w:rPr>
        <w:t>located on DHR</w:t>
      </w:r>
    </w:p>
    <w:p w14:paraId="61CD7450" w14:textId="77777777" w:rsidR="00AC75BB" w:rsidRPr="00AC75BB" w:rsidRDefault="00AC75BB" w:rsidP="00944A27">
      <w:pPr>
        <w:pStyle w:val="Bullet"/>
        <w:rPr>
          <w:rFonts w:eastAsia="Calibri"/>
          <w:i/>
        </w:rPr>
      </w:pPr>
      <w:r w:rsidRPr="00AC75BB">
        <w:rPr>
          <w:rFonts w:eastAsia="Calibri"/>
          <w:iCs/>
        </w:rPr>
        <w:t>Recording the administration of the ECT in the ECT Register</w:t>
      </w:r>
    </w:p>
    <w:p w14:paraId="21F41B6C" w14:textId="40BA46BF" w:rsidR="00AC75BB" w:rsidRPr="00AC75BB" w:rsidRDefault="00AC75BB" w:rsidP="00944A27">
      <w:pPr>
        <w:pStyle w:val="Bullet"/>
        <w:rPr>
          <w:rFonts w:eastAsia="Calibri"/>
          <w:i/>
          <w:iCs/>
        </w:rPr>
      </w:pPr>
      <w:r w:rsidRPr="00AC75BB">
        <w:rPr>
          <w:rFonts w:eastAsia="Calibri"/>
        </w:rPr>
        <w:t>Document the procedure in the</w:t>
      </w:r>
      <w:r w:rsidR="00283890">
        <w:rPr>
          <w:rFonts w:eastAsia="Calibri"/>
        </w:rPr>
        <w:t xml:space="preserve"> consumer’s</w:t>
      </w:r>
      <w:r w:rsidRPr="00AC75BB">
        <w:rPr>
          <w:rFonts w:eastAsia="Calibri"/>
        </w:rPr>
        <w:t xml:space="preserve"> progress notes in DHR. The information in the progress notes should include making further recommendations for future treatment or the need for a review by the treating team.</w:t>
      </w:r>
    </w:p>
    <w:p w14:paraId="2CCCC977" w14:textId="77777777" w:rsidR="00AC75BB" w:rsidRPr="00AC75BB" w:rsidRDefault="00AC75BB" w:rsidP="00944A27">
      <w:pPr>
        <w:pStyle w:val="Bullet"/>
        <w:rPr>
          <w:rFonts w:eastAsia="Calibri"/>
        </w:rPr>
      </w:pPr>
      <w:r w:rsidRPr="00AC75BB">
        <w:rPr>
          <w:rFonts w:eastAsia="Calibri"/>
        </w:rPr>
        <w:t>Ensuring that all documentation is complete within the DHR procedure note.</w:t>
      </w:r>
    </w:p>
    <w:p w14:paraId="6E65C6EA" w14:textId="489E3DA7" w:rsidR="00AC75BB" w:rsidRDefault="00AC75BB" w:rsidP="00AC75BB">
      <w:pPr>
        <w:pStyle w:val="Heading5"/>
      </w:pPr>
      <w:r>
        <w:t>2.6 Anaesthetist</w:t>
      </w:r>
    </w:p>
    <w:p w14:paraId="03B19A57" w14:textId="2384150F" w:rsidR="00AC75BB" w:rsidRPr="00AC75BB" w:rsidRDefault="00AC75BB" w:rsidP="00AC75BB">
      <w:pPr>
        <w:pStyle w:val="BodyCopy"/>
      </w:pPr>
      <w:r w:rsidRPr="00AC75BB">
        <w:t>The Anaesthetist is responsible for the administration of the anaesthetic and the</w:t>
      </w:r>
      <w:r>
        <w:t xml:space="preserve"> </w:t>
      </w:r>
      <w:r w:rsidRPr="00AC75BB">
        <w:t xml:space="preserve">maintenance of the </w:t>
      </w:r>
      <w:r w:rsidR="00283890">
        <w:t xml:space="preserve">consumer’s </w:t>
      </w:r>
      <w:r w:rsidRPr="00AC75BB">
        <w:t>airway during the administration of ECT (</w:t>
      </w:r>
      <w:r w:rsidRPr="00F07520">
        <w:rPr>
          <w:i/>
        </w:rPr>
        <w:t>ANZCA</w:t>
      </w:r>
      <w:r w:rsidRPr="00AC75BB">
        <w:t xml:space="preserve"> </w:t>
      </w:r>
      <w:r w:rsidRPr="00AC75BB">
        <w:rPr>
          <w:i/>
        </w:rPr>
        <w:t xml:space="preserve">Guidelines on Sedation </w:t>
      </w:r>
      <w:r w:rsidRPr="00AC75BB">
        <w:rPr>
          <w:i/>
        </w:rPr>
        <w:lastRenderedPageBreak/>
        <w:t>and/or Analgesia for Diagnostic and Interventional Medical, Dental or Surgical Procedures Background Paper</w:t>
      </w:r>
      <w:r w:rsidRPr="00AC75BB">
        <w:t>).</w:t>
      </w:r>
    </w:p>
    <w:p w14:paraId="4F7AA87D" w14:textId="5EA0F27F" w:rsidR="00AC75BB" w:rsidRPr="00AC75BB" w:rsidRDefault="00AC75BB" w:rsidP="00AC75BB">
      <w:pPr>
        <w:pStyle w:val="BodyCopy"/>
      </w:pPr>
      <w:r w:rsidRPr="00AC75BB">
        <w:t>Specific responsibilities include:</w:t>
      </w:r>
    </w:p>
    <w:p w14:paraId="2F9E95AF" w14:textId="015254B4" w:rsidR="00AC75BB" w:rsidRPr="00AC75BB" w:rsidRDefault="00AC75BB" w:rsidP="00944A27">
      <w:pPr>
        <w:pStyle w:val="Bullet"/>
      </w:pPr>
      <w:r w:rsidRPr="00AC75BB">
        <w:t xml:space="preserve">Conducting a pre-anaesthetic assessment of the </w:t>
      </w:r>
      <w:r w:rsidR="00F427C0" w:rsidRPr="005F6480">
        <w:rPr>
          <w:rFonts w:asciiTheme="minorHAnsi" w:hAnsiTheme="minorHAnsi" w:cstheme="minorHAnsi"/>
          <w:szCs w:val="22"/>
        </w:rPr>
        <w:t>consumer</w:t>
      </w:r>
      <w:r w:rsidRPr="00AC75BB">
        <w:t xml:space="preserve"> prior to the commencement of a course of ECT, </w:t>
      </w:r>
      <w:r w:rsidR="008569FC">
        <w:t>this should be documented</w:t>
      </w:r>
      <w:r w:rsidR="008569FC" w:rsidRPr="00AC75BB">
        <w:t xml:space="preserve"> </w:t>
      </w:r>
      <w:r w:rsidRPr="00AC75BB">
        <w:t xml:space="preserve">in the </w:t>
      </w:r>
      <w:r w:rsidR="00F427C0" w:rsidRPr="005F6480">
        <w:rPr>
          <w:rFonts w:asciiTheme="minorHAnsi" w:hAnsiTheme="minorHAnsi" w:cstheme="minorHAnsi"/>
          <w:szCs w:val="22"/>
        </w:rPr>
        <w:t>consumer</w:t>
      </w:r>
      <w:r w:rsidRPr="00AC75BB">
        <w:t>’s DHR.</w:t>
      </w:r>
    </w:p>
    <w:p w14:paraId="71E11EFB" w14:textId="65D3DC16" w:rsidR="00AC75BB" w:rsidRPr="00AC75BB" w:rsidRDefault="00AC75BB" w:rsidP="00944A27">
      <w:pPr>
        <w:pStyle w:val="Bullet"/>
        <w:rPr>
          <w:i/>
        </w:rPr>
      </w:pPr>
      <w:r w:rsidRPr="00AC75BB">
        <w:t xml:space="preserve">Verifying the correct identity of the </w:t>
      </w:r>
      <w:r w:rsidR="00F427C0" w:rsidRPr="005F6480">
        <w:rPr>
          <w:rFonts w:asciiTheme="minorHAnsi" w:hAnsiTheme="minorHAnsi" w:cstheme="minorHAnsi"/>
          <w:szCs w:val="22"/>
        </w:rPr>
        <w:t>consumer</w:t>
      </w:r>
      <w:r w:rsidRPr="00AC75BB">
        <w:t xml:space="preserve"> who has been prescribed ECT, as per </w:t>
      </w:r>
      <w:r w:rsidRPr="00AC75BB">
        <w:rPr>
          <w:i/>
        </w:rPr>
        <w:t xml:space="preserve">Patient Identification and </w:t>
      </w:r>
      <w:r w:rsidR="00944A27">
        <w:rPr>
          <w:i/>
        </w:rPr>
        <w:t xml:space="preserve">Healthcare Activity </w:t>
      </w:r>
      <w:r w:rsidRPr="00AC75BB">
        <w:rPr>
          <w:i/>
        </w:rPr>
        <w:t>Matching Procedure</w:t>
      </w:r>
    </w:p>
    <w:p w14:paraId="646E7D2A" w14:textId="77777777" w:rsidR="00AC75BB" w:rsidRPr="00AC75BB" w:rsidRDefault="00AC75BB" w:rsidP="00944A27">
      <w:pPr>
        <w:pStyle w:val="Bullet"/>
      </w:pPr>
      <w:r w:rsidRPr="00AC75BB">
        <w:t xml:space="preserve">Use Propofol/thiopentone, sparing agents such as Remifentanil, Alfentanil or Ketamine and skeletal muscle relaxant medication such as </w:t>
      </w:r>
      <w:proofErr w:type="spellStart"/>
      <w:r w:rsidRPr="00AC75BB">
        <w:t>suxamethonium</w:t>
      </w:r>
      <w:proofErr w:type="spellEnd"/>
      <w:r w:rsidRPr="00AC75BB">
        <w:t>, vecuronium and rocuronium, as clinically appropriate.</w:t>
      </w:r>
    </w:p>
    <w:p w14:paraId="7DC4A95E" w14:textId="2182EDE4" w:rsidR="00AC75BB" w:rsidRPr="00AC75BB" w:rsidRDefault="00AC75BB" w:rsidP="00944A27">
      <w:pPr>
        <w:pStyle w:val="Bullet"/>
      </w:pPr>
      <w:r w:rsidRPr="00AC75BB">
        <w:t>Consider adequate time lag between sparing agents and Propofol/Thiopentone (minimum 30 sec</w:t>
      </w:r>
      <w:r w:rsidR="00944A27">
        <w:t>ond</w:t>
      </w:r>
      <w:r w:rsidRPr="00AC75BB">
        <w:t>s); and between induction and delivery of stimulus (minimum of 120 sec</w:t>
      </w:r>
      <w:r w:rsidR="00944A27">
        <w:t>ond</w:t>
      </w:r>
      <w:r w:rsidRPr="00AC75BB">
        <w:t>s).</w:t>
      </w:r>
    </w:p>
    <w:p w14:paraId="7CA277AD" w14:textId="00F17C22" w:rsidR="00AC75BB" w:rsidRPr="00AC75BB" w:rsidRDefault="00AC75BB" w:rsidP="00944A27">
      <w:pPr>
        <w:pStyle w:val="Bullet"/>
      </w:pPr>
      <w:r w:rsidRPr="00AC75BB">
        <w:t xml:space="preserve">Ensuring that the </w:t>
      </w:r>
      <w:r w:rsidR="00F427C0" w:rsidRPr="005F6480">
        <w:rPr>
          <w:rFonts w:asciiTheme="minorHAnsi" w:hAnsiTheme="minorHAnsi" w:cstheme="minorHAnsi"/>
          <w:szCs w:val="22"/>
        </w:rPr>
        <w:t>consumer</w:t>
      </w:r>
      <w:r w:rsidRPr="00AC75BB">
        <w:t xml:space="preserve"> has a mouthguard in place during the procedure.</w:t>
      </w:r>
    </w:p>
    <w:p w14:paraId="7FD623DA" w14:textId="77777777" w:rsidR="00AC75BB" w:rsidRPr="00AC75BB" w:rsidRDefault="00AC75BB" w:rsidP="00944A27">
      <w:pPr>
        <w:pStyle w:val="Bullet"/>
      </w:pPr>
      <w:r w:rsidRPr="00AC75BB">
        <w:t>In the event of a prolonged seizure (i.e. a seizure lasting more than 120 seconds) use an appropriate agent to terminate the seizure (e.g. Propofol or a benzodiazepine), and</w:t>
      </w:r>
    </w:p>
    <w:p w14:paraId="552A53B6" w14:textId="4B33C698" w:rsidR="00AC75BB" w:rsidRPr="00AC75BB" w:rsidRDefault="00AC75BB" w:rsidP="00944A27">
      <w:pPr>
        <w:pStyle w:val="Bullet"/>
      </w:pPr>
      <w:r w:rsidRPr="00AC75BB">
        <w:t xml:space="preserve">Conducting a further anaesthetic consult if there are concerns about the </w:t>
      </w:r>
      <w:r w:rsidR="00F427C0" w:rsidRPr="005F6480">
        <w:rPr>
          <w:rFonts w:asciiTheme="minorHAnsi" w:hAnsiTheme="minorHAnsi" w:cstheme="minorHAnsi"/>
          <w:szCs w:val="22"/>
        </w:rPr>
        <w:t>consumer</w:t>
      </w:r>
      <w:r w:rsidRPr="00AC75BB">
        <w:t>’s ongoing fitness for anaesthesia during the course of ECT.</w:t>
      </w:r>
    </w:p>
    <w:p w14:paraId="53DA4E26" w14:textId="77777777" w:rsidR="00AC75BB" w:rsidRPr="00AC75BB" w:rsidRDefault="00AC75BB" w:rsidP="00944A27">
      <w:pPr>
        <w:pStyle w:val="Bullet"/>
      </w:pPr>
      <w:r w:rsidRPr="00AC75BB">
        <w:t>Make anaesthetics recommendations for future treatment as clinically necessary.</w:t>
      </w:r>
    </w:p>
    <w:p w14:paraId="71995AD6" w14:textId="489D3C4D" w:rsidR="00AC75BB" w:rsidRDefault="00AC75BB" w:rsidP="00AC75BB">
      <w:pPr>
        <w:pStyle w:val="Heading5"/>
        <w:spacing w:before="120" w:beforeAutospacing="0"/>
      </w:pPr>
      <w:r>
        <w:t xml:space="preserve">2.7 Peri-operative Recovery Nurse </w:t>
      </w:r>
    </w:p>
    <w:p w14:paraId="03A74434" w14:textId="1C568F70" w:rsidR="00AC75BB" w:rsidRPr="00AC75BB" w:rsidRDefault="00AC75BB" w:rsidP="00944A27">
      <w:pPr>
        <w:pStyle w:val="BodyCopy"/>
      </w:pPr>
      <w:r w:rsidRPr="00AC75BB">
        <w:t xml:space="preserve">The Recovery Nurse is responsible for the care and monitoring of the </w:t>
      </w:r>
      <w:r w:rsidR="00361EB4" w:rsidRPr="005F6480">
        <w:rPr>
          <w:rFonts w:asciiTheme="minorHAnsi" w:hAnsiTheme="minorHAnsi" w:cstheme="minorHAnsi"/>
          <w:szCs w:val="22"/>
        </w:rPr>
        <w:t>consumer</w:t>
      </w:r>
      <w:r w:rsidRPr="00AC75BB">
        <w:t xml:space="preserve"> immediately following the procedure, including:</w:t>
      </w:r>
    </w:p>
    <w:p w14:paraId="42F038BC" w14:textId="3FC96EF0" w:rsidR="00AC75BB" w:rsidRPr="00AC75BB" w:rsidRDefault="00AC75BB" w:rsidP="00944A27">
      <w:pPr>
        <w:pStyle w:val="Bullet"/>
      </w:pPr>
      <w:r w:rsidRPr="00AC75BB">
        <w:t xml:space="preserve">Undertaking clinical observations of the </w:t>
      </w:r>
      <w:r w:rsidR="00361EB4" w:rsidRPr="005F6480">
        <w:rPr>
          <w:rFonts w:asciiTheme="minorHAnsi" w:hAnsiTheme="minorHAnsi" w:cstheme="minorHAnsi"/>
          <w:szCs w:val="22"/>
        </w:rPr>
        <w:t>consumer</w:t>
      </w:r>
      <w:r w:rsidRPr="00AC75BB">
        <w:t xml:space="preserve"> including:</w:t>
      </w:r>
    </w:p>
    <w:p w14:paraId="14BD66D5" w14:textId="77777777" w:rsidR="00AC75BB" w:rsidRPr="00AC75BB" w:rsidRDefault="00AC75BB" w:rsidP="00944A27">
      <w:pPr>
        <w:pStyle w:val="Bullet"/>
        <w:numPr>
          <w:ilvl w:val="1"/>
          <w:numId w:val="1"/>
        </w:numPr>
      </w:pPr>
      <w:r w:rsidRPr="00AC75BB">
        <w:t xml:space="preserve">blood pressure, </w:t>
      </w:r>
    </w:p>
    <w:p w14:paraId="411EA763" w14:textId="77777777" w:rsidR="00AC75BB" w:rsidRPr="00AC75BB" w:rsidRDefault="00AC75BB" w:rsidP="00944A27">
      <w:pPr>
        <w:pStyle w:val="Bullet"/>
        <w:numPr>
          <w:ilvl w:val="1"/>
          <w:numId w:val="1"/>
        </w:numPr>
      </w:pPr>
      <w:r w:rsidRPr="00AC75BB">
        <w:t xml:space="preserve">pulse, </w:t>
      </w:r>
    </w:p>
    <w:p w14:paraId="500848AC" w14:textId="77777777" w:rsidR="00AC75BB" w:rsidRPr="00AC75BB" w:rsidRDefault="00AC75BB" w:rsidP="00944A27">
      <w:pPr>
        <w:pStyle w:val="Bullet"/>
        <w:numPr>
          <w:ilvl w:val="1"/>
          <w:numId w:val="1"/>
        </w:numPr>
      </w:pPr>
      <w:r w:rsidRPr="00AC75BB">
        <w:t xml:space="preserve">respiratory rate, </w:t>
      </w:r>
    </w:p>
    <w:p w14:paraId="68D8C1CD" w14:textId="77777777" w:rsidR="00AC75BB" w:rsidRPr="00AC75BB" w:rsidRDefault="00AC75BB" w:rsidP="00944A27">
      <w:pPr>
        <w:pStyle w:val="Bullet"/>
        <w:numPr>
          <w:ilvl w:val="1"/>
          <w:numId w:val="1"/>
        </w:numPr>
      </w:pPr>
      <w:r w:rsidRPr="00AC75BB">
        <w:t xml:space="preserve">oxygen saturation level </w:t>
      </w:r>
    </w:p>
    <w:p w14:paraId="5E8FD513" w14:textId="77777777" w:rsidR="00AC75BB" w:rsidRPr="00AC75BB" w:rsidRDefault="00AC75BB" w:rsidP="00944A27">
      <w:pPr>
        <w:pStyle w:val="Bullet"/>
        <w:numPr>
          <w:ilvl w:val="1"/>
          <w:numId w:val="1"/>
        </w:numPr>
      </w:pPr>
      <w:r w:rsidRPr="00AC75BB">
        <w:t>alertness (level of consciousness)</w:t>
      </w:r>
    </w:p>
    <w:p w14:paraId="4EEE208E" w14:textId="210FB77F" w:rsidR="00AC75BB" w:rsidRPr="00AC75BB" w:rsidRDefault="00AC75BB" w:rsidP="00944A27">
      <w:pPr>
        <w:pStyle w:val="Bullet"/>
        <w:numPr>
          <w:ilvl w:val="1"/>
          <w:numId w:val="1"/>
        </w:numPr>
      </w:pPr>
      <w:r w:rsidRPr="00AC75BB">
        <w:t xml:space="preserve">at </w:t>
      </w:r>
      <w:r w:rsidR="008A2D0F" w:rsidRPr="00AC75BB">
        <w:t>five-minute</w:t>
      </w:r>
      <w:r w:rsidRPr="00AC75BB">
        <w:t xml:space="preserve"> intervals for an unconscious </w:t>
      </w:r>
      <w:r w:rsidR="00361EB4" w:rsidRPr="005F6480">
        <w:rPr>
          <w:rFonts w:asciiTheme="minorHAnsi" w:hAnsiTheme="minorHAnsi" w:cstheme="minorHAnsi"/>
          <w:szCs w:val="22"/>
        </w:rPr>
        <w:t>consumer</w:t>
      </w:r>
      <w:r w:rsidRPr="00AC75BB">
        <w:t xml:space="preserve"> or 15 minute intervals for a conscious </w:t>
      </w:r>
      <w:r w:rsidR="00361EB4" w:rsidRPr="005F6480">
        <w:rPr>
          <w:rFonts w:asciiTheme="minorHAnsi" w:hAnsiTheme="minorHAnsi" w:cstheme="minorHAnsi"/>
          <w:szCs w:val="22"/>
        </w:rPr>
        <w:t>consumer</w:t>
      </w:r>
      <w:r w:rsidRPr="00AC75BB">
        <w:t>, unless alternate directions are provide</w:t>
      </w:r>
      <w:r w:rsidR="001E400F">
        <w:t>d</w:t>
      </w:r>
      <w:r w:rsidRPr="00AC75BB">
        <w:t xml:space="preserve"> by the anaesthetist or are clinically indicated.</w:t>
      </w:r>
    </w:p>
    <w:p w14:paraId="2063BB95" w14:textId="4E884073" w:rsidR="00AC75BB" w:rsidRPr="00AC75BB" w:rsidRDefault="00AC75BB" w:rsidP="00944A27">
      <w:pPr>
        <w:pStyle w:val="Bullet"/>
      </w:pPr>
      <w:r w:rsidRPr="00AC75BB">
        <w:t xml:space="preserve">Administer ECT orientation questionnaire to the </w:t>
      </w:r>
      <w:r w:rsidR="00361EB4" w:rsidRPr="005F6480">
        <w:rPr>
          <w:rFonts w:asciiTheme="minorHAnsi" w:hAnsiTheme="minorHAnsi" w:cstheme="minorHAnsi"/>
          <w:szCs w:val="22"/>
        </w:rPr>
        <w:t>consumer</w:t>
      </w:r>
      <w:r w:rsidRPr="00AC75BB">
        <w:t xml:space="preserve"> 30 minutes after ECT located on DHR.</w:t>
      </w:r>
    </w:p>
    <w:p w14:paraId="2D200E5C" w14:textId="77777777" w:rsidR="00AC75BB" w:rsidRPr="00AC75BB" w:rsidRDefault="00AC75BB" w:rsidP="00944A27">
      <w:pPr>
        <w:pStyle w:val="Bullet"/>
      </w:pPr>
      <w:r w:rsidRPr="00AC75BB">
        <w:t xml:space="preserve">Recording observations on the </w:t>
      </w:r>
      <w:r w:rsidRPr="00AC75BB">
        <w:rPr>
          <w:i/>
        </w:rPr>
        <w:t>Post-Anaesthetic Observation Chart (DHR flowsheet)</w:t>
      </w:r>
      <w:r w:rsidRPr="00AC75BB">
        <w:t>.</w:t>
      </w:r>
    </w:p>
    <w:p w14:paraId="1EFBE19D" w14:textId="5C1D6B6C" w:rsidR="00AC75BB" w:rsidRPr="006C5334" w:rsidRDefault="00AC75BB" w:rsidP="00944A27">
      <w:pPr>
        <w:pStyle w:val="BodyCopy"/>
        <w:pBdr>
          <w:top w:val="single" w:sz="4" w:space="1" w:color="auto"/>
          <w:left w:val="single" w:sz="4" w:space="4" w:color="auto"/>
          <w:bottom w:val="single" w:sz="4" w:space="1" w:color="auto"/>
          <w:right w:val="single" w:sz="4" w:space="4" w:color="auto"/>
        </w:pBdr>
      </w:pPr>
      <w:r>
        <w:rPr>
          <w:b/>
        </w:rPr>
        <w:t>N</w:t>
      </w:r>
      <w:r w:rsidR="00944A27">
        <w:rPr>
          <w:b/>
        </w:rPr>
        <w:t>ote</w:t>
      </w:r>
      <w:r w:rsidRPr="006C5334">
        <w:t xml:space="preserve">: All </w:t>
      </w:r>
      <w:r w:rsidR="008569FC">
        <w:t>consumers</w:t>
      </w:r>
      <w:r w:rsidR="008569FC" w:rsidRPr="006C5334">
        <w:t xml:space="preserve"> </w:t>
      </w:r>
      <w:r w:rsidRPr="006C5334">
        <w:t>receiving ECT will be in recovery for a minimum of 30 minutes, or as directed by the Anaesthetist.</w:t>
      </w:r>
    </w:p>
    <w:p w14:paraId="5ADF352C" w14:textId="35A502EB" w:rsidR="00AC75BB" w:rsidRDefault="00AC75BB" w:rsidP="00AC75BB">
      <w:pPr>
        <w:pStyle w:val="Heading5"/>
        <w:spacing w:before="120" w:beforeAutospacing="0"/>
      </w:pPr>
      <w:r>
        <w:t xml:space="preserve">2.8 Administration Officer  </w:t>
      </w:r>
    </w:p>
    <w:p w14:paraId="62237221" w14:textId="171C7EEC" w:rsidR="00AC75BB" w:rsidRPr="006C5334" w:rsidRDefault="00AC75BB" w:rsidP="00944A27">
      <w:pPr>
        <w:pStyle w:val="BodyCopy"/>
      </w:pPr>
      <w:r w:rsidRPr="006C5334">
        <w:t xml:space="preserve">The </w:t>
      </w:r>
      <w:r>
        <w:t xml:space="preserve">Administration officer </w:t>
      </w:r>
      <w:r w:rsidRPr="006C5334">
        <w:t>will:</w:t>
      </w:r>
    </w:p>
    <w:p w14:paraId="04DE3831" w14:textId="37D3EE2C" w:rsidR="00AC75BB" w:rsidRPr="006C5334" w:rsidRDefault="00AC75BB" w:rsidP="00944A27">
      <w:pPr>
        <w:pStyle w:val="Bullet"/>
        <w:rPr>
          <w:rFonts w:ascii="Symbol" w:hAnsi="Symbol"/>
        </w:rPr>
      </w:pPr>
      <w:r w:rsidRPr="006C5334">
        <w:lastRenderedPageBreak/>
        <w:t xml:space="preserve">Print </w:t>
      </w:r>
      <w:r w:rsidR="00283890">
        <w:t xml:space="preserve">consumer </w:t>
      </w:r>
      <w:r>
        <w:t>identification</w:t>
      </w:r>
      <w:r w:rsidRPr="006C5334">
        <w:t xml:space="preserve"> labels</w:t>
      </w:r>
      <w:r>
        <w:t>.</w:t>
      </w:r>
      <w:r w:rsidRPr="006C5334">
        <w:t xml:space="preserve"> </w:t>
      </w:r>
    </w:p>
    <w:p w14:paraId="5C1E63A6" w14:textId="3007B361" w:rsidR="00AC75BB" w:rsidRPr="00F07520" w:rsidRDefault="00AC75BB" w:rsidP="00944A27">
      <w:pPr>
        <w:pStyle w:val="Bullet"/>
        <w:rPr>
          <w:rFonts w:ascii="Symbol" w:hAnsi="Symbol"/>
        </w:rPr>
      </w:pPr>
      <w:r w:rsidRPr="006C5334">
        <w:t>Ensur</w:t>
      </w:r>
      <w:r>
        <w:t>e</w:t>
      </w:r>
      <w:r w:rsidRPr="006C5334">
        <w:t xml:space="preserve"> that </w:t>
      </w:r>
      <w:r>
        <w:t xml:space="preserve">the </w:t>
      </w:r>
      <w:r w:rsidR="00361EB4" w:rsidRPr="005F6480">
        <w:rPr>
          <w:rFonts w:asciiTheme="minorHAnsi" w:hAnsiTheme="minorHAnsi" w:cstheme="minorHAnsi"/>
        </w:rPr>
        <w:t>consumer</w:t>
      </w:r>
      <w:r>
        <w:t xml:space="preserve">’s </w:t>
      </w:r>
      <w:r w:rsidRPr="006C5334">
        <w:t xml:space="preserve">EEG tracings are cut into sections, mounted in sequence on a page and entered into the ECT paper file so that they may be scanned into the </w:t>
      </w:r>
      <w:r w:rsidR="00361EB4" w:rsidRPr="005F6480">
        <w:rPr>
          <w:rFonts w:asciiTheme="minorHAnsi" w:hAnsiTheme="minorHAnsi" w:cstheme="minorHAnsi"/>
        </w:rPr>
        <w:t>consumer</w:t>
      </w:r>
      <w:r>
        <w:t>’s DHR record</w:t>
      </w:r>
      <w:r w:rsidRPr="006C5334">
        <w:t xml:space="preserve"> for future</w:t>
      </w:r>
      <w:r w:rsidRPr="006C5334">
        <w:rPr>
          <w:spacing w:val="-2"/>
        </w:rPr>
        <w:t xml:space="preserve"> </w:t>
      </w:r>
      <w:r w:rsidRPr="006C5334">
        <w:t>reference.</w:t>
      </w:r>
    </w:p>
    <w:p w14:paraId="3554FC13" w14:textId="40D2FA6E" w:rsidR="00AC75BB" w:rsidRPr="00AC75BB" w:rsidRDefault="00AC75BB" w:rsidP="00944A27">
      <w:pPr>
        <w:pStyle w:val="Bullet"/>
        <w:rPr>
          <w:rFonts w:ascii="Symbol" w:hAnsi="Symbol"/>
        </w:rPr>
      </w:pPr>
      <w:r>
        <w:t>Complete the Consultant and Registrar roster.</w:t>
      </w:r>
    </w:p>
    <w:p w14:paraId="6EB1CEBB" w14:textId="579D907C" w:rsidR="00AC75BB" w:rsidRPr="00AC75BB" w:rsidRDefault="00AC75BB" w:rsidP="00944A27">
      <w:pPr>
        <w:pStyle w:val="BodyCopy"/>
        <w:pBdr>
          <w:top w:val="single" w:sz="4" w:space="1" w:color="auto"/>
          <w:left w:val="single" w:sz="4" w:space="4" w:color="auto"/>
          <w:bottom w:val="single" w:sz="4" w:space="1" w:color="auto"/>
          <w:right w:val="single" w:sz="4" w:space="4" w:color="auto"/>
        </w:pBdr>
      </w:pPr>
      <w:r w:rsidRPr="006C5334">
        <w:rPr>
          <w:b/>
        </w:rPr>
        <w:t>N</w:t>
      </w:r>
      <w:r w:rsidR="00944A27">
        <w:rPr>
          <w:b/>
        </w:rPr>
        <w:t>ote</w:t>
      </w:r>
      <w:r w:rsidRPr="006C5334">
        <w:t xml:space="preserve">: If paper clinical records are </w:t>
      </w:r>
      <w:r>
        <w:t xml:space="preserve">to be </w:t>
      </w:r>
      <w:r w:rsidRPr="006C5334">
        <w:t>kept</w:t>
      </w:r>
      <w:r>
        <w:t>,</w:t>
      </w:r>
      <w:r w:rsidRPr="006C5334">
        <w:t xml:space="preserve"> the mounted tracings may need to be photocopied as the originals are likely to fade with time.</w:t>
      </w:r>
    </w:p>
    <w:p w14:paraId="79C6745F" w14:textId="77777777" w:rsidR="00481A6C" w:rsidRDefault="00481A6C" w:rsidP="0091462B">
      <w:pPr>
        <w:pStyle w:val="BodyCopy"/>
      </w:pPr>
      <w:hyperlink w:anchor="_top" w:history="1">
        <w:r w:rsidRPr="00481A6C">
          <w:rPr>
            <w:rStyle w:val="Hyperlink"/>
            <w:iCs w:val="0"/>
          </w:rPr>
          <w:t>Back to Contents</w:t>
        </w:r>
      </w:hyperlink>
    </w:p>
    <w:p w14:paraId="4D6B4956" w14:textId="63CE903A" w:rsidR="0078367D" w:rsidRDefault="00AC75BB" w:rsidP="00A6051F">
      <w:pPr>
        <w:pStyle w:val="Heading4"/>
      </w:pPr>
      <w:bookmarkStart w:id="16" w:name="_Toc204357993"/>
      <w:r>
        <w:t>Section 3 – Clinical Training, Credentialing and Scope of Practice</w:t>
      </w:r>
      <w:bookmarkEnd w:id="16"/>
      <w:r>
        <w:t xml:space="preserve"> </w:t>
      </w:r>
    </w:p>
    <w:p w14:paraId="12C17D6B" w14:textId="77777777" w:rsidR="00AC75BB" w:rsidRPr="00AC75BB" w:rsidRDefault="00AC75BB" w:rsidP="00944A27">
      <w:pPr>
        <w:pStyle w:val="BodyCopy"/>
        <w:rPr>
          <w:lang w:eastAsia="en-US"/>
        </w:rPr>
      </w:pPr>
      <w:r w:rsidRPr="00AC75BB">
        <w:rPr>
          <w:lang w:eastAsia="en-US"/>
        </w:rPr>
        <w:t>All consultant psychiatrists, and psychiatric registrars involved in the prescription and administration of ECT must:</w:t>
      </w:r>
    </w:p>
    <w:p w14:paraId="23F5395B" w14:textId="77777777" w:rsidR="00AC75BB" w:rsidRPr="00AC75BB" w:rsidRDefault="00AC75BB" w:rsidP="00944A27">
      <w:pPr>
        <w:pStyle w:val="Bullet"/>
        <w:rPr>
          <w:lang w:eastAsia="en-US"/>
        </w:rPr>
      </w:pPr>
      <w:r w:rsidRPr="00AC75BB">
        <w:rPr>
          <w:lang w:eastAsia="en-US"/>
        </w:rPr>
        <w:t xml:space="preserve">Meet the standard outlined in The Royal Australian and New Zealand College of Psychiatrists (RANZCP) </w:t>
      </w:r>
      <w:proofErr w:type="spellStart"/>
      <w:r w:rsidRPr="00AC75BB">
        <w:rPr>
          <w:lang w:eastAsia="en-US"/>
        </w:rPr>
        <w:t>Entrustable</w:t>
      </w:r>
      <w:proofErr w:type="spellEnd"/>
      <w:r w:rsidRPr="00AC75BB">
        <w:rPr>
          <w:lang w:eastAsia="en-US"/>
        </w:rPr>
        <w:t xml:space="preserve"> professional activity (EPA) (2012),</w:t>
      </w:r>
      <w:r w:rsidRPr="00AC75BB">
        <w:rPr>
          <w:spacing w:val="-1"/>
          <w:lang w:eastAsia="en-US"/>
        </w:rPr>
        <w:t xml:space="preserve"> </w:t>
      </w:r>
      <w:r w:rsidRPr="00AC75BB">
        <w:rPr>
          <w:lang w:eastAsia="en-US"/>
        </w:rPr>
        <w:t>and</w:t>
      </w:r>
    </w:p>
    <w:p w14:paraId="11A6167A" w14:textId="76B95501" w:rsidR="00AC75BB" w:rsidRDefault="00AC75BB" w:rsidP="00944A27">
      <w:pPr>
        <w:pStyle w:val="Bullet"/>
        <w:rPr>
          <w:lang w:eastAsia="en-US"/>
        </w:rPr>
      </w:pPr>
      <w:r w:rsidRPr="00AC75BB">
        <w:rPr>
          <w:lang w:eastAsia="en-US"/>
        </w:rPr>
        <w:t>Be credentialed by the Medical and Dental Appointment Advisory Committee (</w:t>
      </w:r>
      <w:r w:rsidR="00307CDA" w:rsidRPr="00AC75BB">
        <w:rPr>
          <w:lang w:eastAsia="en-US"/>
        </w:rPr>
        <w:t xml:space="preserve">MDAAC) </w:t>
      </w:r>
      <w:r w:rsidR="00307CDA" w:rsidRPr="00AC75BB">
        <w:rPr>
          <w:i/>
          <w:lang w:eastAsia="en-US"/>
        </w:rPr>
        <w:t>Credentialing</w:t>
      </w:r>
      <w:r w:rsidRPr="00AC75BB">
        <w:rPr>
          <w:i/>
          <w:lang w:eastAsia="en-US"/>
        </w:rPr>
        <w:t xml:space="preserve"> and Defining the of Scope of Clinical Practice for Senior Medical and Dental Practitioners</w:t>
      </w:r>
      <w:r w:rsidRPr="00AC75BB">
        <w:rPr>
          <w:i/>
          <w:spacing w:val="-1"/>
          <w:lang w:eastAsia="en-US"/>
        </w:rPr>
        <w:t xml:space="preserve"> </w:t>
      </w:r>
      <w:r w:rsidRPr="00AC75BB">
        <w:rPr>
          <w:i/>
          <w:lang w:eastAsia="en-US"/>
        </w:rPr>
        <w:t>Procedure</w:t>
      </w:r>
      <w:r w:rsidRPr="00AC75BB">
        <w:rPr>
          <w:lang w:eastAsia="en-US"/>
        </w:rPr>
        <w:t>.</w:t>
      </w:r>
    </w:p>
    <w:p w14:paraId="4632AD2B" w14:textId="0387F89A" w:rsidR="00DA1D9D" w:rsidRDefault="00DA1D9D" w:rsidP="00DA1D9D">
      <w:pPr>
        <w:pStyle w:val="Heading5"/>
        <w:spacing w:before="120" w:beforeAutospacing="0"/>
      </w:pPr>
      <w:r>
        <w:t xml:space="preserve">3.1 Prescribing Medical Practitioners </w:t>
      </w:r>
    </w:p>
    <w:p w14:paraId="62100758" w14:textId="77777777" w:rsidR="00DA1D9D" w:rsidRPr="00944A27" w:rsidRDefault="00DA1D9D" w:rsidP="00944A27">
      <w:pPr>
        <w:pStyle w:val="BodyCopy"/>
        <w:rPr>
          <w:u w:val="single"/>
          <w:lang w:eastAsia="en-US"/>
        </w:rPr>
      </w:pPr>
      <w:r w:rsidRPr="00944A27">
        <w:rPr>
          <w:u w:val="single"/>
          <w:lang w:eastAsia="en-US"/>
        </w:rPr>
        <w:t>Maintaining Credentials</w:t>
      </w:r>
    </w:p>
    <w:p w14:paraId="1BF6AF1C" w14:textId="3EFEFC54" w:rsidR="00DA1D9D" w:rsidRPr="00DA1D9D" w:rsidRDefault="00DA1D9D" w:rsidP="00944A27">
      <w:pPr>
        <w:pStyle w:val="BodyCopy"/>
        <w:rPr>
          <w:lang w:eastAsia="en-US"/>
        </w:rPr>
      </w:pPr>
      <w:r w:rsidRPr="00DA1D9D">
        <w:rPr>
          <w:lang w:eastAsia="en-US"/>
        </w:rPr>
        <w:t xml:space="preserve">Any Psychiatrist credentialled by MDAAC can prescribe ECT as treatment modality for </w:t>
      </w:r>
      <w:r w:rsidR="00283890">
        <w:rPr>
          <w:lang w:eastAsia="en-US"/>
        </w:rPr>
        <w:t>consumers</w:t>
      </w:r>
      <w:r w:rsidR="00283890" w:rsidRPr="00DA1D9D">
        <w:rPr>
          <w:lang w:eastAsia="en-US"/>
        </w:rPr>
        <w:t xml:space="preserve"> </w:t>
      </w:r>
      <w:r w:rsidRPr="00DA1D9D">
        <w:rPr>
          <w:lang w:eastAsia="en-US"/>
        </w:rPr>
        <w:t>fulfilling the indications to receive ECT as treatment.</w:t>
      </w:r>
    </w:p>
    <w:p w14:paraId="1584DCB1" w14:textId="427D5F25" w:rsidR="00DA1D9D" w:rsidRPr="00944A27" w:rsidRDefault="00DA1D9D" w:rsidP="00944A27">
      <w:pPr>
        <w:pStyle w:val="BodyCopy"/>
        <w:rPr>
          <w:lang w:eastAsia="en-US"/>
        </w:rPr>
      </w:pPr>
      <w:r w:rsidRPr="00DA1D9D">
        <w:rPr>
          <w:lang w:eastAsia="en-US"/>
        </w:rPr>
        <w:t>Psychiatrist’s must fulfil requirements of Continued Professional Development (CPD) stipulated by RANZCP.</w:t>
      </w:r>
    </w:p>
    <w:p w14:paraId="2921052F" w14:textId="679B196E" w:rsidR="00DA1D9D" w:rsidRDefault="00DA1D9D" w:rsidP="00DA1D9D">
      <w:pPr>
        <w:pStyle w:val="Heading5"/>
        <w:spacing w:before="120" w:beforeAutospacing="0"/>
      </w:pPr>
      <w:r>
        <w:t xml:space="preserve">3.2 Rostered ECT Consultant Psychiatrist or Psychiatric Registrar </w:t>
      </w:r>
    </w:p>
    <w:p w14:paraId="5A736299" w14:textId="77777777" w:rsidR="00DA1D9D" w:rsidRPr="00536499" w:rsidRDefault="00DA1D9D" w:rsidP="00DA1D9D">
      <w:pPr>
        <w:widowControl w:val="0"/>
        <w:tabs>
          <w:tab w:val="left" w:pos="899"/>
        </w:tabs>
        <w:autoSpaceDE w:val="0"/>
        <w:autoSpaceDN w:val="0"/>
        <w:rPr>
          <w:rFonts w:cs="Calibri"/>
          <w:iCs/>
          <w:szCs w:val="22"/>
          <w:u w:val="single"/>
        </w:rPr>
      </w:pPr>
      <w:r w:rsidRPr="00536499">
        <w:rPr>
          <w:rFonts w:cs="Calibri"/>
          <w:iCs/>
          <w:szCs w:val="22"/>
          <w:u w:val="single"/>
        </w:rPr>
        <w:t>Credentialing</w:t>
      </w:r>
    </w:p>
    <w:p w14:paraId="179A61E0" w14:textId="77777777" w:rsidR="00DA1D9D" w:rsidRPr="003B4412" w:rsidRDefault="00DA1D9D" w:rsidP="00944A27">
      <w:pPr>
        <w:pStyle w:val="BodyCopy"/>
      </w:pPr>
      <w:r w:rsidRPr="003B4412">
        <w:t xml:space="preserve">To be granted clinical privileges as a psychiatrist or an advanced psychiatric trainee who can administer ECT at </w:t>
      </w:r>
      <w:r>
        <w:t>CHS</w:t>
      </w:r>
      <w:r w:rsidRPr="003B4412">
        <w:t xml:space="preserve">, the psychiatrist or advanced psychiatric trainee must be credentialed </w:t>
      </w:r>
      <w:r>
        <w:t>by CHS</w:t>
      </w:r>
      <w:r w:rsidRPr="003B4412">
        <w:t xml:space="preserve"> and must demonstrate that they have achieved competence by having completed the following:</w:t>
      </w:r>
    </w:p>
    <w:p w14:paraId="18A97D22" w14:textId="77777777" w:rsidR="00DA1D9D" w:rsidRPr="003B4412" w:rsidRDefault="00DA1D9D" w:rsidP="00944A27">
      <w:pPr>
        <w:pStyle w:val="Bullet"/>
        <w:rPr>
          <w:rFonts w:ascii="Symbol" w:hAnsi="Symbol"/>
        </w:rPr>
      </w:pPr>
      <w:r w:rsidRPr="003B4412">
        <w:t>a formal training course for psychiatrists in ECT within the last five years, and</w:t>
      </w:r>
    </w:p>
    <w:p w14:paraId="581B63ED" w14:textId="21142763" w:rsidR="00DA1D9D" w:rsidRPr="00DA1D9D" w:rsidRDefault="00DA1D9D" w:rsidP="00944A27">
      <w:pPr>
        <w:pStyle w:val="Bullet"/>
        <w:rPr>
          <w:rFonts w:ascii="Symbol" w:hAnsi="Symbol"/>
        </w:rPr>
      </w:pPr>
      <w:r>
        <w:t>be a</w:t>
      </w:r>
      <w:r w:rsidRPr="003B4412">
        <w:t>ssessed by</w:t>
      </w:r>
      <w:r>
        <w:t xml:space="preserve"> the</w:t>
      </w:r>
      <w:r w:rsidRPr="003B4412">
        <w:t xml:space="preserve"> Director of ECT (or another psychiatrist who is currently credentialled by the service and has recent experience in ECT) for necessary knowledge and skills for the procedure. The supervising psychiatrist must be able to confirm in writing to the Director of Clinical Services and </w:t>
      </w:r>
      <w:r>
        <w:t xml:space="preserve">ACT </w:t>
      </w:r>
      <w:r w:rsidRPr="003B4412">
        <w:t>Chief Psychiatrist, that the psychiatrist or advanced psychiatric trainee fulfills requirements of being Credentialed to perform ECT without</w:t>
      </w:r>
      <w:r w:rsidRPr="003B4412">
        <w:rPr>
          <w:spacing w:val="-1"/>
        </w:rPr>
        <w:t xml:space="preserve"> </w:t>
      </w:r>
      <w:r w:rsidRPr="003B4412">
        <w:t>supervision.</w:t>
      </w:r>
    </w:p>
    <w:p w14:paraId="2DD55816" w14:textId="77777777" w:rsidR="00DA1D9D" w:rsidRPr="00536499" w:rsidRDefault="00DA1D9D" w:rsidP="00DA1D9D">
      <w:pPr>
        <w:widowControl w:val="0"/>
        <w:tabs>
          <w:tab w:val="left" w:pos="899"/>
        </w:tabs>
        <w:autoSpaceDE w:val="0"/>
        <w:autoSpaceDN w:val="0"/>
        <w:spacing w:before="1" w:line="292" w:lineRule="exact"/>
        <w:rPr>
          <w:rFonts w:cs="Calibri"/>
          <w:iCs/>
          <w:szCs w:val="22"/>
          <w:u w:val="single"/>
        </w:rPr>
      </w:pPr>
      <w:r w:rsidRPr="00536499">
        <w:rPr>
          <w:rFonts w:cs="Calibri"/>
          <w:iCs/>
          <w:szCs w:val="22"/>
          <w:u w:val="single"/>
        </w:rPr>
        <w:lastRenderedPageBreak/>
        <w:t>Maintaining</w:t>
      </w:r>
      <w:r w:rsidRPr="00536499">
        <w:rPr>
          <w:rFonts w:cs="Calibri"/>
          <w:iCs/>
          <w:spacing w:val="-2"/>
          <w:szCs w:val="22"/>
          <w:u w:val="single"/>
        </w:rPr>
        <w:t xml:space="preserve"> </w:t>
      </w:r>
      <w:r w:rsidRPr="00536499">
        <w:rPr>
          <w:rFonts w:cs="Calibri"/>
          <w:iCs/>
          <w:szCs w:val="22"/>
          <w:u w:val="single"/>
        </w:rPr>
        <w:t>Credentials</w:t>
      </w:r>
    </w:p>
    <w:p w14:paraId="6CA1076D" w14:textId="77777777" w:rsidR="00DA1D9D" w:rsidRPr="003B4412" w:rsidRDefault="00DA1D9D" w:rsidP="00DA1D9D">
      <w:pPr>
        <w:widowControl w:val="0"/>
        <w:tabs>
          <w:tab w:val="left" w:pos="538"/>
          <w:tab w:val="left" w:pos="539"/>
        </w:tabs>
        <w:autoSpaceDE w:val="0"/>
        <w:autoSpaceDN w:val="0"/>
        <w:spacing w:line="305" w:lineRule="exact"/>
        <w:rPr>
          <w:rFonts w:ascii="Symbol" w:hAnsi="Symbol" w:cs="Calibri"/>
          <w:szCs w:val="22"/>
        </w:rPr>
      </w:pPr>
      <w:r w:rsidRPr="003B4412">
        <w:rPr>
          <w:rFonts w:cs="Calibri"/>
          <w:szCs w:val="22"/>
        </w:rPr>
        <w:t>To maintain ECT credentials consultant psychiatrists and psychiatric registrars</w:t>
      </w:r>
      <w:r w:rsidRPr="003B4412">
        <w:rPr>
          <w:rFonts w:cs="Calibri"/>
          <w:spacing w:val="-7"/>
          <w:szCs w:val="22"/>
        </w:rPr>
        <w:t xml:space="preserve"> </w:t>
      </w:r>
      <w:r w:rsidRPr="003B4412">
        <w:rPr>
          <w:rFonts w:cs="Calibri"/>
          <w:szCs w:val="22"/>
        </w:rPr>
        <w:t>must:</w:t>
      </w:r>
    </w:p>
    <w:p w14:paraId="78A6CCB7" w14:textId="77777777" w:rsidR="00DA1D9D" w:rsidRPr="003B4412" w:rsidRDefault="00DA1D9D" w:rsidP="00944A27">
      <w:pPr>
        <w:pStyle w:val="Bullet"/>
        <w:rPr>
          <w:rFonts w:ascii="Courier New" w:hAnsi="Courier New"/>
        </w:rPr>
      </w:pPr>
      <w:r w:rsidRPr="003B4412">
        <w:t>demonstrate maintenance of knowledge and practical skills through ongoing continuing education and practice improvement activities in ECT (including recognised ECT courses, conferences, peer review groups and quality improvement activities)</w:t>
      </w:r>
    </w:p>
    <w:p w14:paraId="32088CE1" w14:textId="77777777" w:rsidR="00DA1D9D" w:rsidRPr="003B4412" w:rsidRDefault="00DA1D9D" w:rsidP="00944A27">
      <w:pPr>
        <w:pStyle w:val="Bullet"/>
        <w:rPr>
          <w:rFonts w:ascii="Courier New" w:hAnsi="Courier New"/>
        </w:rPr>
      </w:pPr>
      <w:r w:rsidRPr="003B4412">
        <w:t>Participate regularly in local ECT</w:t>
      </w:r>
      <w:r w:rsidRPr="003B4412">
        <w:rPr>
          <w:spacing w:val="-1"/>
        </w:rPr>
        <w:t xml:space="preserve"> </w:t>
      </w:r>
      <w:r w:rsidRPr="003B4412">
        <w:t>roster and administer minimum number of ECTs as per re-credentialling requirements.</w:t>
      </w:r>
    </w:p>
    <w:p w14:paraId="4865C8AF" w14:textId="19F361DD" w:rsidR="00DA1D9D" w:rsidRPr="00DA1D9D" w:rsidRDefault="00DA1D9D" w:rsidP="00944A27">
      <w:pPr>
        <w:pStyle w:val="Bullet"/>
        <w:rPr>
          <w:rFonts w:ascii="Courier New" w:hAnsi="Courier New"/>
        </w:rPr>
      </w:pPr>
      <w:r w:rsidRPr="003B4412">
        <w:t>Participate regularly in ECT</w:t>
      </w:r>
      <w:r w:rsidRPr="003B4412">
        <w:rPr>
          <w:spacing w:val="-1"/>
        </w:rPr>
        <w:t xml:space="preserve"> review committee meetings.</w:t>
      </w:r>
    </w:p>
    <w:p w14:paraId="028277E2" w14:textId="77777777" w:rsidR="00DA1D9D" w:rsidRDefault="00DA1D9D" w:rsidP="00DA1D9D">
      <w:pPr>
        <w:pStyle w:val="Heading5"/>
        <w:spacing w:before="120" w:beforeAutospacing="0"/>
      </w:pPr>
      <w:r>
        <w:t>3.3 Trainees</w:t>
      </w:r>
    </w:p>
    <w:p w14:paraId="1EA9C91E" w14:textId="77777777" w:rsidR="00DA1D9D" w:rsidRPr="003B4412" w:rsidRDefault="00DA1D9D" w:rsidP="00944A27">
      <w:pPr>
        <w:pStyle w:val="BodyCopy"/>
      </w:pPr>
      <w:r w:rsidRPr="003B4412">
        <w:t>As per the RANZCP 2012 Fellowship Program Regulations, Policies and Procedure, under Education Training Regulation 9.2, Stage 2 Mandatory Rotations 4.9.6, Mandatory Stage 2 General Psychiatry EPAs</w:t>
      </w:r>
      <w:r>
        <w:t>:</w:t>
      </w:r>
    </w:p>
    <w:p w14:paraId="72953ABE" w14:textId="249F65E1" w:rsidR="00DA1D9D" w:rsidRPr="003B4412" w:rsidRDefault="00DA1D9D" w:rsidP="00944A27">
      <w:pPr>
        <w:pStyle w:val="Bullet"/>
      </w:pPr>
      <w:r w:rsidRPr="003B4412">
        <w:t xml:space="preserve">Trainees must </w:t>
      </w:r>
      <w:r w:rsidR="00A8578D">
        <w:t>be assessed as competent</w:t>
      </w:r>
      <w:r w:rsidRPr="003B4412">
        <w:t xml:space="preserve"> with the ECT </w:t>
      </w:r>
      <w:proofErr w:type="spellStart"/>
      <w:r w:rsidR="00A8578D">
        <w:t>E</w:t>
      </w:r>
      <w:r w:rsidRPr="003B4412">
        <w:t>ntrustable</w:t>
      </w:r>
      <w:proofErr w:type="spellEnd"/>
      <w:r w:rsidRPr="003B4412">
        <w:t xml:space="preserve"> </w:t>
      </w:r>
      <w:r w:rsidR="00A8578D">
        <w:t>P</w:t>
      </w:r>
      <w:r w:rsidRPr="003B4412">
        <w:t xml:space="preserve">rofessional </w:t>
      </w:r>
      <w:r w:rsidR="00A8578D">
        <w:t>A</w:t>
      </w:r>
      <w:r w:rsidRPr="003B4412">
        <w:t xml:space="preserve">ctivity (EPA) ST2- EXP-EPA1 </w:t>
      </w:r>
      <w:r w:rsidRPr="003B4412">
        <w:rPr>
          <w:i/>
        </w:rPr>
        <w:t xml:space="preserve">demonstrating proficiency in all the expected tasks associated with prescription, administration, and monitoring of ECT </w:t>
      </w:r>
      <w:r w:rsidRPr="003B4412">
        <w:t>before they can administer ECT without direct supervision in the ECT delivery suite (RANZCP 2012). The clinical director of ECT should prescribe a consistent approach to supervisor approval of the EPA.</w:t>
      </w:r>
    </w:p>
    <w:p w14:paraId="776DFD4D" w14:textId="697859B3" w:rsidR="00DA1D9D" w:rsidRDefault="00DA1D9D" w:rsidP="00DA1D9D">
      <w:pPr>
        <w:pStyle w:val="Heading5"/>
        <w:spacing w:before="120" w:beforeAutospacing="0"/>
      </w:pPr>
      <w:r>
        <w:t>3.4 Anaesthetists</w:t>
      </w:r>
    </w:p>
    <w:p w14:paraId="6426C2C0" w14:textId="77777777" w:rsidR="00DA1D9D" w:rsidRPr="00DA1D9D" w:rsidRDefault="00DA1D9D" w:rsidP="00DA1D9D">
      <w:pPr>
        <w:pStyle w:val="BodyCopy"/>
        <w:spacing w:after="120" w:line="240" w:lineRule="auto"/>
      </w:pPr>
      <w:r w:rsidRPr="00DA1D9D">
        <w:t>The Anaesthetist must:</w:t>
      </w:r>
    </w:p>
    <w:p w14:paraId="3E0A28E0" w14:textId="77777777" w:rsidR="00DA1D9D" w:rsidRPr="00DA1D9D" w:rsidRDefault="00DA1D9D" w:rsidP="00944A27">
      <w:pPr>
        <w:pStyle w:val="Bullet"/>
      </w:pPr>
      <w:r w:rsidRPr="00DA1D9D">
        <w:t>Be registered by the Australian Health Practitioner Regulation Agency (AHPRA)</w:t>
      </w:r>
    </w:p>
    <w:p w14:paraId="26CEED26" w14:textId="77777777" w:rsidR="00DA1D9D" w:rsidRPr="00DA1D9D" w:rsidRDefault="00DA1D9D" w:rsidP="00944A27">
      <w:pPr>
        <w:pStyle w:val="Bullet"/>
      </w:pPr>
      <w:r w:rsidRPr="00DA1D9D">
        <w:t>Demonstrate knowledge of the ECT procedure</w:t>
      </w:r>
    </w:p>
    <w:p w14:paraId="0F0B63C3" w14:textId="769BFB2C" w:rsidR="00DA1D9D" w:rsidRPr="00DA1D9D" w:rsidRDefault="00DA1D9D" w:rsidP="00944A27">
      <w:pPr>
        <w:pStyle w:val="Bullet"/>
      </w:pPr>
      <w:r w:rsidRPr="00DA1D9D">
        <w:t>Have been provided with an orientation to ECT and the ECT suite.</w:t>
      </w:r>
    </w:p>
    <w:p w14:paraId="5D4C41D2" w14:textId="7F5B450F" w:rsidR="00DA1D9D" w:rsidRDefault="00DA1D9D" w:rsidP="00DA1D9D">
      <w:pPr>
        <w:pStyle w:val="Heading5"/>
        <w:spacing w:before="120" w:beforeAutospacing="0" w:after="240"/>
      </w:pPr>
      <w:r>
        <w:t xml:space="preserve">3.5 Nursing training requirements </w:t>
      </w:r>
    </w:p>
    <w:p w14:paraId="7AD0AD4F" w14:textId="77777777" w:rsidR="00DA1D9D" w:rsidRPr="00DA1D9D" w:rsidRDefault="00DA1D9D" w:rsidP="00944A27">
      <w:pPr>
        <w:pStyle w:val="Heading6"/>
        <w:rPr>
          <w:lang w:eastAsia="en-US"/>
        </w:rPr>
      </w:pPr>
      <w:r w:rsidRPr="00DA1D9D">
        <w:rPr>
          <w:lang w:eastAsia="en-US"/>
        </w:rPr>
        <w:t>ECT Nurse/ECT Coordinator</w:t>
      </w:r>
    </w:p>
    <w:p w14:paraId="3295AD35" w14:textId="77777777" w:rsidR="00DA1D9D" w:rsidRPr="00DA1D9D" w:rsidRDefault="00DA1D9D" w:rsidP="00944A27">
      <w:pPr>
        <w:pStyle w:val="BodyCopy"/>
        <w:rPr>
          <w:lang w:eastAsia="en-US"/>
        </w:rPr>
      </w:pPr>
      <w:r w:rsidRPr="00DA1D9D">
        <w:rPr>
          <w:lang w:eastAsia="en-US"/>
        </w:rPr>
        <w:t>The ECT nurse must:</w:t>
      </w:r>
    </w:p>
    <w:p w14:paraId="33228752" w14:textId="77777777" w:rsidR="00DA1D9D" w:rsidRPr="00DA1D9D" w:rsidRDefault="00DA1D9D" w:rsidP="00944A27">
      <w:pPr>
        <w:pStyle w:val="Bullet"/>
        <w:rPr>
          <w:lang w:eastAsia="en-US"/>
        </w:rPr>
      </w:pPr>
      <w:r w:rsidRPr="00DA1D9D">
        <w:rPr>
          <w:lang w:eastAsia="en-US"/>
        </w:rPr>
        <w:t>Be registered by AHPRA as a Registered Nurse</w:t>
      </w:r>
    </w:p>
    <w:p w14:paraId="4EAE300D" w14:textId="0B2B698B" w:rsidR="00DA1D9D" w:rsidRPr="00DA1D9D" w:rsidRDefault="00DA1D9D" w:rsidP="00944A27">
      <w:pPr>
        <w:pStyle w:val="Bullet"/>
        <w:rPr>
          <w:lang w:eastAsia="en-US"/>
        </w:rPr>
      </w:pPr>
      <w:r w:rsidRPr="00DA1D9D">
        <w:rPr>
          <w:lang w:eastAsia="en-US"/>
        </w:rPr>
        <w:t xml:space="preserve">Have completed formal training in ECT within a 5-year period or completed a refresher course </w:t>
      </w:r>
      <w:r w:rsidR="00CA1E02">
        <w:rPr>
          <w:lang w:eastAsia="en-US"/>
        </w:rPr>
        <w:t xml:space="preserve">if </w:t>
      </w:r>
      <w:r w:rsidRPr="00DA1D9D">
        <w:rPr>
          <w:lang w:eastAsia="en-US"/>
        </w:rPr>
        <w:t>they completed the formal training prior to 5-years ago.</w:t>
      </w:r>
    </w:p>
    <w:p w14:paraId="0B7645B5" w14:textId="77777777" w:rsidR="00DA1D9D" w:rsidRPr="00DA1D9D" w:rsidRDefault="00DA1D9D" w:rsidP="00944A27">
      <w:pPr>
        <w:pStyle w:val="Bullet"/>
        <w:rPr>
          <w:lang w:eastAsia="en-US"/>
        </w:rPr>
      </w:pPr>
      <w:r w:rsidRPr="00DA1D9D">
        <w:rPr>
          <w:lang w:eastAsia="en-US"/>
        </w:rPr>
        <w:t>Demonstrate knowledge of the ECT procedure</w:t>
      </w:r>
    </w:p>
    <w:p w14:paraId="2D5EE099" w14:textId="36BAC41D" w:rsidR="00DA1D9D" w:rsidRPr="00DA1D9D" w:rsidRDefault="00DA1D9D" w:rsidP="00944A27">
      <w:pPr>
        <w:pStyle w:val="Bullet"/>
        <w:rPr>
          <w:lang w:eastAsia="en-US"/>
        </w:rPr>
      </w:pPr>
      <w:r w:rsidRPr="00DA1D9D">
        <w:rPr>
          <w:lang w:eastAsia="en-US"/>
        </w:rPr>
        <w:t>Participate regularly in ECT treatments</w:t>
      </w:r>
    </w:p>
    <w:p w14:paraId="2BDB2327" w14:textId="77777777" w:rsidR="00DA1D9D" w:rsidRPr="00DA1D9D" w:rsidRDefault="00DA1D9D" w:rsidP="00944A27">
      <w:pPr>
        <w:pStyle w:val="Heading6"/>
        <w:rPr>
          <w:lang w:eastAsia="en-US"/>
        </w:rPr>
      </w:pPr>
      <w:r w:rsidRPr="00DA1D9D">
        <w:rPr>
          <w:lang w:eastAsia="en-US"/>
        </w:rPr>
        <w:t>Assigned Nurse</w:t>
      </w:r>
    </w:p>
    <w:p w14:paraId="10E05348" w14:textId="5722EAD2" w:rsidR="00DA1D9D" w:rsidRPr="00DA1D9D" w:rsidRDefault="00DA1D9D" w:rsidP="00944A27">
      <w:pPr>
        <w:pStyle w:val="BodyCopy"/>
        <w:rPr>
          <w:lang w:eastAsia="en-US"/>
        </w:rPr>
      </w:pPr>
      <w:r w:rsidRPr="00DA1D9D">
        <w:rPr>
          <w:lang w:eastAsia="en-US"/>
        </w:rPr>
        <w:t xml:space="preserve">The nurse assigned to each </w:t>
      </w:r>
      <w:r w:rsidR="00361EB4" w:rsidRPr="005F6480">
        <w:rPr>
          <w:rFonts w:asciiTheme="minorHAnsi" w:hAnsiTheme="minorHAnsi" w:cstheme="minorHAnsi"/>
        </w:rPr>
        <w:t>consumer</w:t>
      </w:r>
      <w:r w:rsidRPr="00DA1D9D">
        <w:rPr>
          <w:lang w:eastAsia="en-US"/>
        </w:rPr>
        <w:t xml:space="preserve"> will have:</w:t>
      </w:r>
    </w:p>
    <w:p w14:paraId="08E7A8E8" w14:textId="77777777" w:rsidR="00DA1D9D" w:rsidRPr="00DA1D9D" w:rsidRDefault="00DA1D9D" w:rsidP="00944A27">
      <w:pPr>
        <w:pStyle w:val="Bullet"/>
        <w:rPr>
          <w:lang w:eastAsia="en-US"/>
        </w:rPr>
      </w:pPr>
      <w:r w:rsidRPr="00DA1D9D">
        <w:rPr>
          <w:lang w:eastAsia="en-US"/>
        </w:rPr>
        <w:t>Registration by AHPRA</w:t>
      </w:r>
    </w:p>
    <w:p w14:paraId="3A478527" w14:textId="77777777" w:rsidR="00DA1D9D" w:rsidRPr="00DA1D9D" w:rsidRDefault="00DA1D9D" w:rsidP="00944A27">
      <w:pPr>
        <w:pStyle w:val="Bullet"/>
        <w:rPr>
          <w:lang w:eastAsia="en-US"/>
        </w:rPr>
      </w:pPr>
      <w:r w:rsidRPr="00DA1D9D">
        <w:rPr>
          <w:lang w:eastAsia="en-US"/>
        </w:rPr>
        <w:t>An understanding of this procedure</w:t>
      </w:r>
    </w:p>
    <w:p w14:paraId="64CBFDD6" w14:textId="77777777" w:rsidR="00DA1D9D" w:rsidRPr="00DA1D9D" w:rsidRDefault="00DA1D9D" w:rsidP="00944A27">
      <w:pPr>
        <w:pStyle w:val="Bullet"/>
        <w:rPr>
          <w:lang w:eastAsia="en-US"/>
        </w:rPr>
      </w:pPr>
      <w:r w:rsidRPr="00DA1D9D">
        <w:rPr>
          <w:lang w:eastAsia="en-US"/>
        </w:rPr>
        <w:lastRenderedPageBreak/>
        <w:t>Received annual competency training and been assessed as competent in basic life support and ward MET Call or resuscitation procedures.</w:t>
      </w:r>
    </w:p>
    <w:p w14:paraId="27BED8FD" w14:textId="63F247E9" w:rsidR="00DA1D9D" w:rsidRPr="00DA1D9D" w:rsidRDefault="00DA1D9D" w:rsidP="00944A27">
      <w:pPr>
        <w:pStyle w:val="Bullet"/>
        <w:rPr>
          <w:lang w:eastAsia="en-US"/>
        </w:rPr>
      </w:pPr>
      <w:r w:rsidRPr="00DA1D9D">
        <w:rPr>
          <w:lang w:eastAsia="en-US"/>
        </w:rPr>
        <w:t>Been provided with an orientation to ECT and the ECT suite.</w:t>
      </w:r>
    </w:p>
    <w:p w14:paraId="5F973CA6" w14:textId="77777777" w:rsidR="00DA1D9D" w:rsidRPr="00DA1D9D" w:rsidRDefault="00DA1D9D" w:rsidP="00944A27">
      <w:pPr>
        <w:pStyle w:val="Heading6"/>
        <w:rPr>
          <w:lang w:eastAsia="en-US"/>
        </w:rPr>
      </w:pPr>
      <w:r w:rsidRPr="00DA1D9D">
        <w:rPr>
          <w:lang w:eastAsia="en-US"/>
        </w:rPr>
        <w:t>Recovery Nurse</w:t>
      </w:r>
    </w:p>
    <w:p w14:paraId="47FE905F" w14:textId="77777777" w:rsidR="00DA1D9D" w:rsidRPr="00DA1D9D" w:rsidRDefault="00DA1D9D" w:rsidP="00944A27">
      <w:pPr>
        <w:pStyle w:val="BodyCopy"/>
        <w:rPr>
          <w:lang w:eastAsia="en-US"/>
        </w:rPr>
      </w:pPr>
      <w:r w:rsidRPr="00DA1D9D">
        <w:rPr>
          <w:lang w:eastAsia="en-US"/>
        </w:rPr>
        <w:t>The Recovery Nurse must have:</w:t>
      </w:r>
    </w:p>
    <w:p w14:paraId="0BF5696D" w14:textId="77777777" w:rsidR="00DA1D9D" w:rsidRPr="00DA1D9D" w:rsidRDefault="00DA1D9D" w:rsidP="00944A27">
      <w:pPr>
        <w:pStyle w:val="Bullet"/>
        <w:rPr>
          <w:lang w:eastAsia="en-US"/>
        </w:rPr>
      </w:pPr>
      <w:r w:rsidRPr="00DA1D9D">
        <w:rPr>
          <w:lang w:eastAsia="en-US"/>
        </w:rPr>
        <w:t>Registration by AHPRA</w:t>
      </w:r>
    </w:p>
    <w:p w14:paraId="60DA3710" w14:textId="77777777" w:rsidR="00DA1D9D" w:rsidRPr="00DA1D9D" w:rsidRDefault="00DA1D9D" w:rsidP="00944A27">
      <w:pPr>
        <w:pStyle w:val="Bullet"/>
        <w:rPr>
          <w:b/>
          <w:lang w:eastAsia="en-US"/>
        </w:rPr>
      </w:pPr>
      <w:r w:rsidRPr="00DA1D9D">
        <w:rPr>
          <w:lang w:eastAsia="en-US"/>
        </w:rPr>
        <w:t>Received annual competency training and been assessed as competent in recovery, basic life support/and or advanced life support, ward MET call guidelines and resuscitation procedures</w:t>
      </w:r>
    </w:p>
    <w:p w14:paraId="6CD1C2FF" w14:textId="534AD81E" w:rsidR="00DA1D9D" w:rsidRPr="00AC75BB" w:rsidRDefault="00DA1D9D" w:rsidP="00944A27">
      <w:pPr>
        <w:pStyle w:val="Bullet"/>
        <w:rPr>
          <w:b/>
          <w:lang w:eastAsia="en-US"/>
        </w:rPr>
      </w:pPr>
      <w:r w:rsidRPr="00DA1D9D">
        <w:rPr>
          <w:lang w:eastAsia="en-US"/>
        </w:rPr>
        <w:t>Been provided with an orientation to ECT and the ECT suite.</w:t>
      </w:r>
    </w:p>
    <w:p w14:paraId="3B45698B" w14:textId="77777777" w:rsidR="00481A6C" w:rsidRDefault="00481A6C" w:rsidP="0091462B">
      <w:pPr>
        <w:pStyle w:val="BodyCopy"/>
      </w:pPr>
      <w:hyperlink w:anchor="_top" w:history="1">
        <w:r w:rsidRPr="00481A6C">
          <w:rPr>
            <w:rStyle w:val="Hyperlink"/>
            <w:iCs w:val="0"/>
          </w:rPr>
          <w:t>Back to Contents</w:t>
        </w:r>
      </w:hyperlink>
    </w:p>
    <w:p w14:paraId="0C30972F" w14:textId="44CB9585" w:rsidR="00DA1D9D" w:rsidRDefault="00DA1D9D" w:rsidP="00DA1D9D">
      <w:pPr>
        <w:pStyle w:val="Heading4"/>
      </w:pPr>
      <w:bookmarkStart w:id="17" w:name="_Toc204357994"/>
      <w:r>
        <w:t>Section 4 – Clinical Indications and Special Populations</w:t>
      </w:r>
      <w:bookmarkEnd w:id="17"/>
      <w:r>
        <w:t xml:space="preserve"> </w:t>
      </w:r>
    </w:p>
    <w:p w14:paraId="5599A8C2" w14:textId="4454B2A9" w:rsidR="00DA1D9D" w:rsidRPr="00DA1D9D" w:rsidRDefault="00DA1D9D" w:rsidP="00DA1D9D">
      <w:pPr>
        <w:pStyle w:val="BodyCopy"/>
        <w:rPr>
          <w:i/>
        </w:rPr>
      </w:pPr>
      <w:r w:rsidRPr="00DA1D9D">
        <w:t xml:space="preserve">In considering the prescription of ECT, the treating team should take into consideration the views and considerations of the </w:t>
      </w:r>
      <w:r w:rsidR="00513D5A" w:rsidRPr="005F6480">
        <w:rPr>
          <w:rFonts w:asciiTheme="minorHAnsi" w:hAnsiTheme="minorHAnsi" w:cstheme="minorHAnsi"/>
          <w:szCs w:val="22"/>
        </w:rPr>
        <w:t>consumer</w:t>
      </w:r>
      <w:r w:rsidRPr="00DA1D9D">
        <w:t xml:space="preserve">, including those documented in an Advance Consent Direction. Refer to </w:t>
      </w:r>
      <w:r w:rsidRPr="00DA1D9D">
        <w:rPr>
          <w:i/>
        </w:rPr>
        <w:t>Advance Agreements, Advance Consent Directions and Nominated Persons under the Mental Health Act 2015</w:t>
      </w:r>
      <w:r w:rsidR="00944A27">
        <w:rPr>
          <w:i/>
        </w:rPr>
        <w:t xml:space="preserve"> Procedure</w:t>
      </w:r>
      <w:r w:rsidRPr="00DA1D9D">
        <w:rPr>
          <w:i/>
        </w:rPr>
        <w:t>.</w:t>
      </w:r>
    </w:p>
    <w:p w14:paraId="328CA7A4" w14:textId="1E42F202" w:rsidR="00DA1D9D" w:rsidRPr="00DA1D9D" w:rsidRDefault="00DA1D9D" w:rsidP="00DA1D9D">
      <w:pPr>
        <w:pStyle w:val="BodyCopy"/>
      </w:pPr>
      <w:r w:rsidRPr="00DA1D9D">
        <w:t xml:space="preserve">The decision to recommend and implement ECT lies with the </w:t>
      </w:r>
      <w:r w:rsidR="00513D5A" w:rsidRPr="005F6480">
        <w:rPr>
          <w:rFonts w:asciiTheme="minorHAnsi" w:hAnsiTheme="minorHAnsi" w:cstheme="minorHAnsi"/>
          <w:szCs w:val="22"/>
        </w:rPr>
        <w:t>consumer</w:t>
      </w:r>
      <w:r w:rsidRPr="00DA1D9D">
        <w:t>’s prescribing consulting psychiatrist and the treating team and should be based on a careful assessment of the potential benefits and risks of ECT, alternate treatments and no treatment.</w:t>
      </w:r>
    </w:p>
    <w:p w14:paraId="590804B6" w14:textId="77777777" w:rsidR="00DA1D9D" w:rsidRPr="00DA1D9D" w:rsidRDefault="00DA1D9D" w:rsidP="00DA1D9D">
      <w:pPr>
        <w:pStyle w:val="BodyCopy"/>
      </w:pPr>
      <w:r w:rsidRPr="00DA1D9D">
        <w:t xml:space="preserve">The </w:t>
      </w:r>
      <w:r w:rsidRPr="00DA1D9D">
        <w:rPr>
          <w:i/>
        </w:rPr>
        <w:t xml:space="preserve">ECT Consent and Prescription Form </w:t>
      </w:r>
      <w:r w:rsidRPr="00DA1D9D">
        <w:t xml:space="preserve">is to be completed by the prescribing consultant psychiatrist or psychiatric registrar. </w:t>
      </w:r>
    </w:p>
    <w:p w14:paraId="3FB98158" w14:textId="73FD3AB0" w:rsidR="00DA1D9D" w:rsidRDefault="00DA1D9D" w:rsidP="00DA1D9D">
      <w:pPr>
        <w:pStyle w:val="Heading5"/>
        <w:spacing w:before="120" w:beforeAutospacing="0" w:after="240"/>
      </w:pPr>
      <w:r>
        <w:t xml:space="preserve">4.1 Clinical Indications </w:t>
      </w:r>
    </w:p>
    <w:p w14:paraId="0C12584E" w14:textId="36D24D5A" w:rsidR="00DA1D9D" w:rsidRPr="00DA1D9D" w:rsidRDefault="00DA1D9D" w:rsidP="00DA1D9D">
      <w:pPr>
        <w:pStyle w:val="BodyCopy"/>
        <w:rPr>
          <w:i/>
        </w:rPr>
      </w:pPr>
      <w:r w:rsidRPr="00DA1D9D">
        <w:rPr>
          <w:i/>
        </w:rPr>
        <w:t>Electroconvulsive therapy (ECT) is a therapeutic medical procedure for the treatment of severe psychiatric disorders. Its primary purpose is to rapidly relieve psychiatric symptoms. ECT involves the delivery of a small electrical current to the brain sufficient to induce a seizure for therapeutic purposes while the patient is under anaesthetic</w:t>
      </w:r>
      <w:r w:rsidRPr="00DA1D9D">
        <w:t>.</w:t>
      </w:r>
      <w:r w:rsidRPr="00DA1D9D">
        <w:rPr>
          <w:i/>
        </w:rPr>
        <w:t xml:space="preserve"> </w:t>
      </w:r>
      <w:r w:rsidRPr="00DA1D9D">
        <w:t>(Weiss, Hussain, Ng, Sarma, Tiller, Waite, Loo, 2019).</w:t>
      </w:r>
    </w:p>
    <w:p w14:paraId="7802A8B5" w14:textId="77777777" w:rsidR="00DA1D9D" w:rsidRPr="00DA1D9D" w:rsidRDefault="00DA1D9D" w:rsidP="00DA1D9D">
      <w:pPr>
        <w:pStyle w:val="BodyCopy"/>
        <w:spacing w:line="240" w:lineRule="auto"/>
      </w:pPr>
      <w:r w:rsidRPr="00DA1D9D">
        <w:t>ECT has a strong evidence base in adults and is used for a range of psychiatric conditions including:</w:t>
      </w:r>
    </w:p>
    <w:p w14:paraId="190F2616" w14:textId="77777777" w:rsidR="00DA1D9D" w:rsidRPr="00DA1D9D" w:rsidRDefault="00DA1D9D" w:rsidP="00944A27">
      <w:pPr>
        <w:pStyle w:val="Bullet"/>
      </w:pPr>
      <w:r w:rsidRPr="00DA1D9D">
        <w:t>Major Depressive Episodes or severe melancholic depression with or without psychotic features</w:t>
      </w:r>
    </w:p>
    <w:p w14:paraId="7534D70E" w14:textId="77777777" w:rsidR="00DA1D9D" w:rsidRPr="00DA1D9D" w:rsidRDefault="00DA1D9D" w:rsidP="00944A27">
      <w:pPr>
        <w:pStyle w:val="Bullet"/>
      </w:pPr>
      <w:r w:rsidRPr="00DA1D9D">
        <w:t>Mania or a manic episode</w:t>
      </w:r>
    </w:p>
    <w:p w14:paraId="072B35B7" w14:textId="77777777" w:rsidR="00DA1D9D" w:rsidRPr="00DA1D9D" w:rsidRDefault="00DA1D9D" w:rsidP="00944A27">
      <w:pPr>
        <w:pStyle w:val="Bullet"/>
      </w:pPr>
      <w:r w:rsidRPr="00DA1D9D">
        <w:t>Schizophrenia and related disorders (schizophreniform disorder, schizoaffective disorder), especially when the condition is acute or chronic and treatment resistant</w:t>
      </w:r>
    </w:p>
    <w:p w14:paraId="1FB86A40" w14:textId="77777777" w:rsidR="00DA1D9D" w:rsidRPr="00DA1D9D" w:rsidRDefault="00DA1D9D" w:rsidP="00944A27">
      <w:pPr>
        <w:pStyle w:val="Bullet"/>
      </w:pPr>
      <w:r w:rsidRPr="00DA1D9D">
        <w:t>Puerperal psychosis</w:t>
      </w:r>
    </w:p>
    <w:p w14:paraId="00D0D8A5" w14:textId="77777777" w:rsidR="00DA1D9D" w:rsidRPr="00DA1D9D" w:rsidRDefault="00DA1D9D" w:rsidP="00944A27">
      <w:pPr>
        <w:pStyle w:val="Bullet"/>
      </w:pPr>
      <w:r w:rsidRPr="00DA1D9D">
        <w:lastRenderedPageBreak/>
        <w:t>Psychosis</w:t>
      </w:r>
    </w:p>
    <w:p w14:paraId="6713D8AD" w14:textId="77777777" w:rsidR="00DA1D9D" w:rsidRPr="00DA1D9D" w:rsidRDefault="00DA1D9D" w:rsidP="00944A27">
      <w:pPr>
        <w:pStyle w:val="Bullet"/>
      </w:pPr>
      <w:r w:rsidRPr="00DA1D9D">
        <w:t>Catatonia.</w:t>
      </w:r>
    </w:p>
    <w:p w14:paraId="5107D86F" w14:textId="46525A29" w:rsidR="00DA1D9D" w:rsidRPr="00DA1D9D" w:rsidRDefault="00DA1D9D" w:rsidP="00DA1D9D">
      <w:pPr>
        <w:pStyle w:val="BodyCopy"/>
      </w:pPr>
      <w:r w:rsidRPr="00DA1D9D">
        <w:t>When considering the prescription of ECT, a second opinion may be obtained when clinically indicated</w:t>
      </w:r>
      <w:r w:rsidR="003A6000">
        <w:t xml:space="preserve">. Support from a </w:t>
      </w:r>
      <w:r w:rsidR="00944A27">
        <w:t>second</w:t>
      </w:r>
      <w:r w:rsidR="003A6000">
        <w:t xml:space="preserve"> Consultant Psychiatrist</w:t>
      </w:r>
      <w:r w:rsidRPr="00DA1D9D">
        <w:t xml:space="preserve"> must be obtained when applying for an Emergency ECT Order and when applying for an ECT Order or for a </w:t>
      </w:r>
      <w:r w:rsidR="00513D5A" w:rsidRPr="005F6480">
        <w:rPr>
          <w:rFonts w:asciiTheme="minorHAnsi" w:hAnsiTheme="minorHAnsi" w:cstheme="minorHAnsi"/>
          <w:szCs w:val="22"/>
        </w:rPr>
        <w:t>consumer</w:t>
      </w:r>
      <w:r w:rsidRPr="00DA1D9D">
        <w:t xml:space="preserve"> under 18 years of age.</w:t>
      </w:r>
    </w:p>
    <w:p w14:paraId="3506ECAC" w14:textId="77777777" w:rsidR="00DA1D9D" w:rsidRPr="00DA1D9D" w:rsidRDefault="00DA1D9D" w:rsidP="00DA1D9D">
      <w:pPr>
        <w:pStyle w:val="BodyCopy"/>
      </w:pPr>
      <w:r w:rsidRPr="00DA1D9D">
        <w:t>ECT may have a role in treating certain medical conditions when standard management practices have failed. These include:</w:t>
      </w:r>
    </w:p>
    <w:p w14:paraId="65B24DDC" w14:textId="77777777" w:rsidR="00DA1D9D" w:rsidRPr="00DA1D9D" w:rsidRDefault="00DA1D9D" w:rsidP="00944A27">
      <w:pPr>
        <w:pStyle w:val="Bullet"/>
      </w:pPr>
      <w:r w:rsidRPr="00DA1D9D">
        <w:t>Neuroleptic Malignant Syndrome</w:t>
      </w:r>
    </w:p>
    <w:p w14:paraId="0461E6CA" w14:textId="77777777" w:rsidR="00DA1D9D" w:rsidRPr="00DA1D9D" w:rsidRDefault="00DA1D9D" w:rsidP="00944A27">
      <w:pPr>
        <w:pStyle w:val="Bullet"/>
      </w:pPr>
      <w:r w:rsidRPr="00DA1D9D">
        <w:t>Intractable Seizure Disorder</w:t>
      </w:r>
    </w:p>
    <w:p w14:paraId="3ADF7C25" w14:textId="77777777" w:rsidR="00DA1D9D" w:rsidRPr="00DA1D9D" w:rsidRDefault="00DA1D9D" w:rsidP="00944A27">
      <w:pPr>
        <w:pStyle w:val="Bullet"/>
      </w:pPr>
      <w:r w:rsidRPr="00DA1D9D">
        <w:t>Parkinson’s Disease</w:t>
      </w:r>
    </w:p>
    <w:p w14:paraId="3EF2B184" w14:textId="77777777" w:rsidR="00DA1D9D" w:rsidRPr="00D127C4" w:rsidRDefault="00DA1D9D" w:rsidP="00944A27">
      <w:pPr>
        <w:pStyle w:val="Bullet"/>
        <w:rPr>
          <w:rFonts w:ascii="Symbol" w:hAnsi="Symbol" w:cs="Calibri"/>
          <w:szCs w:val="22"/>
        </w:rPr>
      </w:pPr>
      <w:r w:rsidRPr="00D127C4">
        <w:rPr>
          <w:rFonts w:cs="Calibri"/>
          <w:szCs w:val="22"/>
        </w:rPr>
        <w:t>Autism, specifically the treatment of severe and repetitive self-injurious behaviour</w:t>
      </w:r>
    </w:p>
    <w:p w14:paraId="7F90DFA7" w14:textId="3CE34931" w:rsidR="00DA1D9D" w:rsidRPr="00D127C4" w:rsidRDefault="00DA1D9D" w:rsidP="00944A27">
      <w:pPr>
        <w:pStyle w:val="Bullet"/>
        <w:rPr>
          <w:rFonts w:ascii="Symbol" w:hAnsi="Symbol" w:cs="Calibri"/>
          <w:szCs w:val="22"/>
        </w:rPr>
      </w:pPr>
      <w:r w:rsidRPr="00D127C4">
        <w:rPr>
          <w:rFonts w:cs="Calibri"/>
          <w:szCs w:val="22"/>
        </w:rPr>
        <w:t>Dementia, specifically the treatment of agitated and aggressive</w:t>
      </w:r>
      <w:r w:rsidRPr="00D127C4">
        <w:rPr>
          <w:rFonts w:cs="Calibri"/>
          <w:spacing w:val="-6"/>
          <w:szCs w:val="22"/>
        </w:rPr>
        <w:t xml:space="preserve"> </w:t>
      </w:r>
      <w:r w:rsidR="00FD5821">
        <w:rPr>
          <w:rFonts w:cs="Calibri"/>
          <w:szCs w:val="22"/>
        </w:rPr>
        <w:t>consumers</w:t>
      </w:r>
      <w:r w:rsidRPr="00D127C4">
        <w:rPr>
          <w:rFonts w:cs="Calibri"/>
          <w:szCs w:val="22"/>
        </w:rPr>
        <w:t>.</w:t>
      </w:r>
    </w:p>
    <w:p w14:paraId="2C488144" w14:textId="5C26BC11" w:rsidR="00DA1D9D" w:rsidRDefault="00DA1D9D" w:rsidP="00DA1D9D">
      <w:pPr>
        <w:pStyle w:val="Heading5"/>
        <w:spacing w:before="120" w:beforeAutospacing="0" w:after="240"/>
      </w:pPr>
      <w:r>
        <w:t>4.</w:t>
      </w:r>
      <w:r w:rsidR="00BC4E0F">
        <w:t xml:space="preserve">2 Special Populations </w:t>
      </w:r>
      <w:r>
        <w:t xml:space="preserve"> </w:t>
      </w:r>
    </w:p>
    <w:p w14:paraId="69E5087D" w14:textId="77777777" w:rsidR="00DA1D9D" w:rsidRPr="00DA1D9D" w:rsidRDefault="00DA1D9D" w:rsidP="00944A27">
      <w:pPr>
        <w:pStyle w:val="Heading6"/>
      </w:pPr>
      <w:r w:rsidRPr="00DA1D9D">
        <w:t>Children and adolescents</w:t>
      </w:r>
    </w:p>
    <w:p w14:paraId="7DCAF58F" w14:textId="46AA3880" w:rsidR="00DA1D9D" w:rsidRPr="00DA1D9D" w:rsidRDefault="00DA1D9D" w:rsidP="00BC4E0F">
      <w:pPr>
        <w:pStyle w:val="BodyCopy"/>
        <w:spacing w:after="120" w:line="240" w:lineRule="auto"/>
        <w:rPr>
          <w:i/>
        </w:rPr>
      </w:pPr>
      <w:r w:rsidRPr="00DA1D9D">
        <w:t>ECT is very rarely administered to children and adolescents. The Act</w:t>
      </w:r>
      <w:r>
        <w:rPr>
          <w:i/>
        </w:rPr>
        <w:t xml:space="preserve"> </w:t>
      </w:r>
      <w:r w:rsidRPr="00DA1D9D">
        <w:t>prohibits the administration of ECT to children under 12 years of age.</w:t>
      </w:r>
    </w:p>
    <w:p w14:paraId="4F6171AD" w14:textId="646CA9AB" w:rsidR="00DA1D9D" w:rsidRPr="00DA1D9D" w:rsidRDefault="00DA1D9D" w:rsidP="00BC4E0F">
      <w:pPr>
        <w:pStyle w:val="BodyCopy"/>
        <w:spacing w:after="120" w:line="240" w:lineRule="auto"/>
      </w:pPr>
      <w:r w:rsidRPr="00DA1D9D">
        <w:t>For issues of consent and prescription of ECT for children and adolescents, see Section 5.</w:t>
      </w:r>
    </w:p>
    <w:p w14:paraId="6A8997B7" w14:textId="77777777" w:rsidR="00DA1D9D" w:rsidRPr="00DA1D9D" w:rsidRDefault="00DA1D9D" w:rsidP="00944A27">
      <w:pPr>
        <w:pStyle w:val="Heading6"/>
      </w:pPr>
      <w:r w:rsidRPr="00DA1D9D">
        <w:t>Pregnancy and the post-partum period</w:t>
      </w:r>
    </w:p>
    <w:p w14:paraId="3B8E2CB6" w14:textId="77777777" w:rsidR="00DA1D9D" w:rsidRPr="00DA1D9D" w:rsidRDefault="00DA1D9D" w:rsidP="00BC4E0F">
      <w:pPr>
        <w:pStyle w:val="BodyCopy"/>
        <w:spacing w:after="120"/>
      </w:pPr>
      <w:r w:rsidRPr="00DA1D9D">
        <w:t>ECT is considered a low-risk and effective treatment in all stages of pregnancy and during the post-partum period. The decision to prescribe ECT needs to take into account:</w:t>
      </w:r>
    </w:p>
    <w:p w14:paraId="585604CD" w14:textId="77777777" w:rsidR="00DA1D9D" w:rsidRPr="00DA1D9D" w:rsidRDefault="00DA1D9D" w:rsidP="00944A27">
      <w:pPr>
        <w:pStyle w:val="Bullet"/>
      </w:pPr>
      <w:r w:rsidRPr="00DA1D9D">
        <w:t>the potential benefits and risks of ECT</w:t>
      </w:r>
    </w:p>
    <w:p w14:paraId="77031FA2" w14:textId="77777777" w:rsidR="00DA1D9D" w:rsidRPr="00DA1D9D" w:rsidRDefault="00DA1D9D" w:rsidP="00944A27">
      <w:pPr>
        <w:pStyle w:val="Bullet"/>
      </w:pPr>
      <w:r w:rsidRPr="00DA1D9D">
        <w:t xml:space="preserve">alternate treatments and no treatment </w:t>
      </w:r>
    </w:p>
    <w:p w14:paraId="4DE19106" w14:textId="77777777" w:rsidR="00DA1D9D" w:rsidRPr="00DA1D9D" w:rsidRDefault="00DA1D9D" w:rsidP="00944A27">
      <w:pPr>
        <w:pStyle w:val="Bullet"/>
      </w:pPr>
      <w:r w:rsidRPr="00DA1D9D">
        <w:t xml:space="preserve">the risks to the mother </w:t>
      </w:r>
    </w:p>
    <w:p w14:paraId="618560BB" w14:textId="77777777" w:rsidR="00DA1D9D" w:rsidRPr="00DA1D9D" w:rsidRDefault="00DA1D9D" w:rsidP="00944A27">
      <w:pPr>
        <w:pStyle w:val="Bullet"/>
      </w:pPr>
      <w:r w:rsidRPr="00DA1D9D">
        <w:t xml:space="preserve">foetus and baby of having an untreated illness </w:t>
      </w:r>
    </w:p>
    <w:p w14:paraId="4D90F42F" w14:textId="458BCB40" w:rsidR="00DA1D9D" w:rsidRPr="00DA1D9D" w:rsidRDefault="00DA1D9D" w:rsidP="00944A27">
      <w:pPr>
        <w:pStyle w:val="Bullet"/>
      </w:pPr>
      <w:r w:rsidRPr="00DA1D9D">
        <w:t>any complications which may increase the risks of ECT or the anaesthetic.</w:t>
      </w:r>
    </w:p>
    <w:p w14:paraId="5AF0D6C8" w14:textId="77777777" w:rsidR="00BC4E0F" w:rsidRDefault="00DA1D9D" w:rsidP="00BC4E0F">
      <w:pPr>
        <w:pStyle w:val="BodyCopy"/>
        <w:spacing w:after="120"/>
      </w:pPr>
      <w:r w:rsidRPr="00DA1D9D">
        <w:t>Careful monitoring of maternal physiologic parameters is necessary and ECT induced hypertension needs to be managed.</w:t>
      </w:r>
    </w:p>
    <w:p w14:paraId="60BF8446" w14:textId="767BBD3B" w:rsidR="00DA1D9D" w:rsidRPr="00DA1D9D" w:rsidRDefault="00DA1D9D" w:rsidP="00BC4E0F">
      <w:pPr>
        <w:pStyle w:val="BodyCopy"/>
        <w:spacing w:after="120"/>
      </w:pPr>
      <w:r w:rsidRPr="00DA1D9D">
        <w:t xml:space="preserve">Depending on the trimester of pregnancy, adjustments may be required to anaesthetic management to ensure the </w:t>
      </w:r>
      <w:r w:rsidR="00513D5A" w:rsidRPr="005F6480">
        <w:rPr>
          <w:rFonts w:asciiTheme="minorHAnsi" w:hAnsiTheme="minorHAnsi" w:cstheme="minorHAnsi"/>
          <w:szCs w:val="22"/>
        </w:rPr>
        <w:t>consumer</w:t>
      </w:r>
      <w:r w:rsidRPr="00DA1D9D">
        <w:t xml:space="preserve"> has adequate oxygenation and avoids hyperventilation.</w:t>
      </w:r>
    </w:p>
    <w:p w14:paraId="4076A5EE" w14:textId="487E42F9" w:rsidR="00DA1D9D" w:rsidRPr="00DA1D9D" w:rsidRDefault="00DA1D9D" w:rsidP="00DA1D9D">
      <w:pPr>
        <w:pStyle w:val="BodyCopy"/>
      </w:pPr>
      <w:r w:rsidRPr="00DA1D9D">
        <w:t xml:space="preserve">Consultation and close collaboration with the obstetrician and anaesthetist </w:t>
      </w:r>
      <w:proofErr w:type="gramStart"/>
      <w:r w:rsidRPr="00DA1D9D">
        <w:t>is</w:t>
      </w:r>
      <w:proofErr w:type="gramEnd"/>
      <w:r w:rsidRPr="00DA1D9D">
        <w:t xml:space="preserve"> recommended.</w:t>
      </w:r>
    </w:p>
    <w:p w14:paraId="7C51FEC8" w14:textId="2EDC3010" w:rsidR="00DA1D9D" w:rsidRPr="00DA1D9D" w:rsidRDefault="00DA1D9D" w:rsidP="00DA1D9D">
      <w:pPr>
        <w:pStyle w:val="BodyCopy"/>
      </w:pPr>
      <w:r w:rsidRPr="00DA1D9D">
        <w:t>Close monitoring of mother and foetus is essential. This may include the use of a doppler or cardiotocography to monitor foetal heart rate.</w:t>
      </w:r>
    </w:p>
    <w:p w14:paraId="70A84C31" w14:textId="77777777" w:rsidR="00DA1D9D" w:rsidRPr="00DA1D9D" w:rsidRDefault="00DA1D9D" w:rsidP="00944A27">
      <w:pPr>
        <w:pStyle w:val="Heading6"/>
      </w:pPr>
      <w:r w:rsidRPr="00DA1D9D">
        <w:t>Older Adults</w:t>
      </w:r>
    </w:p>
    <w:p w14:paraId="5F72D417" w14:textId="041777E0" w:rsidR="00DA1D9D" w:rsidRPr="00DA1D9D" w:rsidRDefault="00DA1D9D" w:rsidP="00BC4E0F">
      <w:pPr>
        <w:pStyle w:val="BodyCopy"/>
        <w:spacing w:after="120"/>
      </w:pPr>
      <w:r w:rsidRPr="00DA1D9D">
        <w:t xml:space="preserve">Older adults are </w:t>
      </w:r>
      <w:r w:rsidR="00FD5821">
        <w:t>consumer</w:t>
      </w:r>
      <w:r w:rsidR="00FD5821" w:rsidRPr="00DA1D9D">
        <w:t xml:space="preserve">s </w:t>
      </w:r>
      <w:r w:rsidRPr="00DA1D9D">
        <w:t>over the age of 65 years in the general population, or over the age of 50 years in the Aboriginal and Torres Strait Islander population.</w:t>
      </w:r>
    </w:p>
    <w:p w14:paraId="41E29E15" w14:textId="595C1961" w:rsidR="00DA1D9D" w:rsidRPr="00DA1D9D" w:rsidRDefault="00DA1D9D" w:rsidP="00BC4E0F">
      <w:pPr>
        <w:pStyle w:val="BodyCopy"/>
        <w:spacing w:after="120"/>
      </w:pPr>
      <w:r w:rsidRPr="00DA1D9D">
        <w:lastRenderedPageBreak/>
        <w:t>ECT is a safe and well tolerated treatment for older adults and is frequently the treatment of choice for those with a depressive illness.</w:t>
      </w:r>
    </w:p>
    <w:p w14:paraId="3B14A180" w14:textId="3D4680EB" w:rsidR="00DA1D9D" w:rsidRPr="00DA1D9D" w:rsidRDefault="00DA1D9D" w:rsidP="00BC4E0F">
      <w:pPr>
        <w:pStyle w:val="BodyCopy"/>
        <w:spacing w:after="120"/>
      </w:pPr>
      <w:r w:rsidRPr="00DA1D9D">
        <w:t>As older adults are more likely to have comorbid medical conditions, it is imperative that appropriate clinical assessments are undertaken prior to the administration of ECT to ensure that comorbid conditions are stable prior to the commencement of a course of ECT.</w:t>
      </w:r>
    </w:p>
    <w:p w14:paraId="721C21DF" w14:textId="54CC99AD" w:rsidR="00DA1D9D" w:rsidRPr="00DA1D9D" w:rsidRDefault="00DA1D9D" w:rsidP="00BC4E0F">
      <w:pPr>
        <w:pStyle w:val="BodyCopy"/>
        <w:spacing w:after="120"/>
      </w:pPr>
      <w:r w:rsidRPr="00DA1D9D">
        <w:t>Regular assessment is required, during the course of ECT to detect any changes in physical or mental state so that appropriate alterations in treatment can be made.</w:t>
      </w:r>
    </w:p>
    <w:p w14:paraId="153420A1" w14:textId="7BCFA890" w:rsidR="00DA1D9D" w:rsidRDefault="00DA1D9D" w:rsidP="00BC4E0F">
      <w:pPr>
        <w:pStyle w:val="BodyCopy"/>
        <w:spacing w:after="120"/>
      </w:pPr>
      <w:r w:rsidRPr="00DA1D9D">
        <w:t xml:space="preserve">Additional attention may be required when assessing decision-making capacity for consent, due to the increased fluctuating nature of capacity in older adults with some comorbid condition, i.e., dementia or delirium. Where decision-making capacity fluctuates, an application to the ACAT for an ECT Order should be considered. Refer to </w:t>
      </w:r>
      <w:r w:rsidRPr="00DA1D9D">
        <w:rPr>
          <w:i/>
        </w:rPr>
        <w:t xml:space="preserve">Advance Agreement, Advance Consent Direction and Nominated Person Procedure </w:t>
      </w:r>
      <w:r w:rsidRPr="00DA1D9D">
        <w:t>and Section 5.</w:t>
      </w:r>
    </w:p>
    <w:p w14:paraId="73EAA7B4" w14:textId="63CB9C32" w:rsidR="00DA1D9D" w:rsidRDefault="00DA1D9D" w:rsidP="0091462B">
      <w:pPr>
        <w:pStyle w:val="BodyCopy"/>
      </w:pPr>
      <w:hyperlink w:anchor="_top" w:history="1">
        <w:r w:rsidRPr="00481A6C">
          <w:rPr>
            <w:rStyle w:val="Hyperlink"/>
            <w:iCs w:val="0"/>
          </w:rPr>
          <w:t>Back to Contents</w:t>
        </w:r>
      </w:hyperlink>
    </w:p>
    <w:p w14:paraId="5F699E34" w14:textId="306FDFE6" w:rsidR="00BC4E0F" w:rsidRDefault="00DA1D9D" w:rsidP="00BC4E0F">
      <w:pPr>
        <w:pStyle w:val="Heading4"/>
      </w:pPr>
      <w:bookmarkStart w:id="18" w:name="_Toc204357995"/>
      <w:r>
        <w:t>Section 5 – Consent for ECT</w:t>
      </w:r>
      <w:bookmarkEnd w:id="18"/>
      <w:r>
        <w:t xml:space="preserve">  </w:t>
      </w:r>
      <w:r w:rsidR="00BC4E0F">
        <w:t xml:space="preserve"> </w:t>
      </w:r>
    </w:p>
    <w:p w14:paraId="5193804A" w14:textId="77777777" w:rsidR="00BC4E0F" w:rsidRPr="00BC4E0F" w:rsidRDefault="00BC4E0F" w:rsidP="00BC4E0F">
      <w:pPr>
        <w:pStyle w:val="BodyCopy"/>
        <w:spacing w:after="120" w:line="240" w:lineRule="auto"/>
      </w:pPr>
      <w:r w:rsidRPr="00BC4E0F">
        <w:t xml:space="preserve">The </w:t>
      </w:r>
      <w:r w:rsidRPr="00BC4E0F">
        <w:rPr>
          <w:i/>
        </w:rPr>
        <w:t xml:space="preserve">Mental Health Act 2015 </w:t>
      </w:r>
      <w:r w:rsidRPr="00BC4E0F">
        <w:t>sets out when ECT may be delivered for each of the following groups of people:</w:t>
      </w:r>
    </w:p>
    <w:p w14:paraId="5509C785" w14:textId="461D7766" w:rsidR="00BC4E0F" w:rsidRDefault="00BC4E0F" w:rsidP="00BC4E0F">
      <w:pPr>
        <w:pStyle w:val="Heading5"/>
        <w:spacing w:before="120" w:beforeAutospacing="0"/>
      </w:pPr>
      <w:r>
        <w:t xml:space="preserve">5.1 Adults </w:t>
      </w:r>
      <w:r w:rsidRPr="00BC4E0F">
        <w:rPr>
          <w:i/>
          <w:iCs w:val="0"/>
        </w:rPr>
        <w:t>with</w:t>
      </w:r>
      <w:r>
        <w:t xml:space="preserve"> decision-making capacity</w:t>
      </w:r>
    </w:p>
    <w:p w14:paraId="49886C4B" w14:textId="2A016566" w:rsidR="00BC4E0F" w:rsidRPr="00D127C4" w:rsidRDefault="00BC4E0F" w:rsidP="00944A27">
      <w:pPr>
        <w:pStyle w:val="BodyCopy"/>
      </w:pPr>
      <w:r w:rsidRPr="00D127C4">
        <w:t xml:space="preserve">ECT may be administered to an adult with decision-making capacity if the </w:t>
      </w:r>
      <w:r w:rsidR="00FF7CEE" w:rsidRPr="005F6480">
        <w:rPr>
          <w:rFonts w:asciiTheme="minorHAnsi" w:hAnsiTheme="minorHAnsi" w:cstheme="minorHAnsi"/>
          <w:szCs w:val="22"/>
        </w:rPr>
        <w:t>consumer</w:t>
      </w:r>
      <w:r w:rsidRPr="00D127C4">
        <w:t>:</w:t>
      </w:r>
    </w:p>
    <w:p w14:paraId="11AF60CD" w14:textId="77777777" w:rsidR="00BC4E0F" w:rsidRPr="00D127C4" w:rsidRDefault="00BC4E0F" w:rsidP="00944A27">
      <w:pPr>
        <w:pStyle w:val="Bullet"/>
        <w:rPr>
          <w:rFonts w:ascii="Symbol" w:hAnsi="Symbol"/>
        </w:rPr>
      </w:pPr>
      <w:r w:rsidRPr="00D127C4">
        <w:t>has given consent to the administration of ECT,</w:t>
      </w:r>
      <w:r w:rsidRPr="00D127C4">
        <w:rPr>
          <w:spacing w:val="-6"/>
        </w:rPr>
        <w:t xml:space="preserve"> </w:t>
      </w:r>
      <w:r w:rsidRPr="00D127C4">
        <w:t>and</w:t>
      </w:r>
    </w:p>
    <w:p w14:paraId="10214D00" w14:textId="77777777" w:rsidR="00BC4E0F" w:rsidRPr="00D127C4" w:rsidRDefault="00BC4E0F" w:rsidP="00944A27">
      <w:pPr>
        <w:pStyle w:val="Bullet"/>
        <w:rPr>
          <w:rFonts w:ascii="Symbol" w:hAnsi="Symbol"/>
        </w:rPr>
      </w:pPr>
      <w:r w:rsidRPr="00D127C4">
        <w:t>has not withdrawn their consent, either orally or in writing,</w:t>
      </w:r>
      <w:r w:rsidRPr="00D127C4">
        <w:rPr>
          <w:spacing w:val="-4"/>
        </w:rPr>
        <w:t xml:space="preserve"> </w:t>
      </w:r>
      <w:r w:rsidRPr="00D127C4">
        <w:t>and</w:t>
      </w:r>
    </w:p>
    <w:p w14:paraId="6893B923" w14:textId="6E1CBD1D" w:rsidR="00BC4E0F" w:rsidRPr="00D127C4" w:rsidRDefault="00BC4E0F" w:rsidP="00944A27">
      <w:pPr>
        <w:pStyle w:val="Bullet"/>
        <w:rPr>
          <w:rFonts w:ascii="Symbol" w:hAnsi="Symbol"/>
        </w:rPr>
      </w:pPr>
      <w:r>
        <w:t xml:space="preserve">Has not had </w:t>
      </w:r>
      <w:r w:rsidRPr="032493B3">
        <w:t>ECT administered:</w:t>
      </w:r>
    </w:p>
    <w:p w14:paraId="559EF22F" w14:textId="77777777" w:rsidR="00BC4E0F" w:rsidRPr="00D127C4" w:rsidRDefault="00BC4E0F" w:rsidP="00944A27">
      <w:pPr>
        <w:pStyle w:val="Bullet"/>
        <w:numPr>
          <w:ilvl w:val="1"/>
          <w:numId w:val="1"/>
        </w:numPr>
        <w:rPr>
          <w:rFonts w:ascii="Courier New" w:hAnsi="Courier New"/>
        </w:rPr>
      </w:pPr>
      <w:r w:rsidRPr="032493B3">
        <w:t>more than nine (9) times since the consent was given,</w:t>
      </w:r>
      <w:r w:rsidRPr="032493B3">
        <w:rPr>
          <w:spacing w:val="-3"/>
        </w:rPr>
        <w:t xml:space="preserve"> </w:t>
      </w:r>
      <w:r w:rsidRPr="032493B3">
        <w:t>or</w:t>
      </w:r>
    </w:p>
    <w:p w14:paraId="07B761AA" w14:textId="7D877C18" w:rsidR="00BC4E0F" w:rsidRPr="00BC4E0F" w:rsidRDefault="00BC4E0F" w:rsidP="00944A27">
      <w:pPr>
        <w:pStyle w:val="Bullet"/>
        <w:numPr>
          <w:ilvl w:val="1"/>
          <w:numId w:val="1"/>
        </w:numPr>
        <w:rPr>
          <w:rFonts w:ascii="Courier New" w:hAnsi="Courier New"/>
        </w:rPr>
      </w:pPr>
      <w:r w:rsidRPr="032493B3">
        <w:t>if the consent was</w:t>
      </w:r>
      <w:r>
        <w:t xml:space="preserve"> given</w:t>
      </w:r>
      <w:r w:rsidRPr="032493B3">
        <w:t xml:space="preserve"> for less than nine (9) </w:t>
      </w:r>
      <w:r>
        <w:t>treatments</w:t>
      </w:r>
      <w:r w:rsidRPr="032493B3">
        <w:t>, then</w:t>
      </w:r>
      <w:r>
        <w:t xml:space="preserve"> only th</w:t>
      </w:r>
      <w:r w:rsidR="003A6000">
        <w:t>at</w:t>
      </w:r>
      <w:r>
        <w:t xml:space="preserve"> number of treatments</w:t>
      </w:r>
      <w:r w:rsidR="003A6000">
        <w:t xml:space="preserve">. </w:t>
      </w:r>
      <w:r>
        <w:t xml:space="preserve"> </w:t>
      </w:r>
    </w:p>
    <w:p w14:paraId="212A6524" w14:textId="77777777" w:rsidR="00BC4E0F" w:rsidRDefault="00BC4E0F" w:rsidP="00BC4E0F">
      <w:pPr>
        <w:spacing w:after="120" w:line="240" w:lineRule="auto"/>
      </w:pPr>
      <w:r w:rsidRPr="00D127C4">
        <w:t xml:space="preserve">Refer to Attachment </w:t>
      </w:r>
      <w:r>
        <w:t>1</w:t>
      </w:r>
      <w:r w:rsidRPr="00D127C4">
        <w:t>: Prescription and Administration of ECT Flow Chart for an Adult.</w:t>
      </w:r>
    </w:p>
    <w:p w14:paraId="1A83EBB5" w14:textId="6376BA59" w:rsidR="00BC4E0F" w:rsidRPr="00D127C4" w:rsidRDefault="00BC4E0F" w:rsidP="00BC4E0F">
      <w:pPr>
        <w:pBdr>
          <w:top w:val="single" w:sz="4" w:space="1" w:color="auto"/>
          <w:left w:val="single" w:sz="4" w:space="4" w:color="auto"/>
          <w:bottom w:val="single" w:sz="4" w:space="1" w:color="auto"/>
          <w:right w:val="single" w:sz="4" w:space="4" w:color="auto"/>
        </w:pBdr>
      </w:pPr>
      <w:r w:rsidRPr="738F9B79">
        <w:rPr>
          <w:b/>
          <w:bCs/>
        </w:rPr>
        <w:t>NOTE</w:t>
      </w:r>
      <w:r w:rsidRPr="738F9B79">
        <w:t xml:space="preserve">: A </w:t>
      </w:r>
      <w:r w:rsidR="00FF7CEE" w:rsidRPr="005F6480">
        <w:rPr>
          <w:rFonts w:asciiTheme="minorHAnsi" w:hAnsiTheme="minorHAnsi" w:cstheme="minorHAnsi"/>
          <w:szCs w:val="22"/>
        </w:rPr>
        <w:t>consumer</w:t>
      </w:r>
      <w:r w:rsidRPr="738F9B79">
        <w:t xml:space="preserve"> is assumed to have decision-making capacity unless it is determined, via assessment, that they lack decision-making capacity, refer to </w:t>
      </w:r>
      <w:r w:rsidR="003A6000">
        <w:t xml:space="preserve">Assessment of Decision making capacity and supported decision making for people being treated under the Mental health Act 2015 procedure, </w:t>
      </w:r>
      <w:r w:rsidRPr="738F9B79">
        <w:rPr>
          <w:i/>
          <w:iCs/>
        </w:rPr>
        <w:t xml:space="preserve">Informed Consent – Clinical Policy </w:t>
      </w:r>
      <w:r w:rsidRPr="738F9B79">
        <w:t>for more information.</w:t>
      </w:r>
    </w:p>
    <w:p w14:paraId="6F26F5D9" w14:textId="0267D695" w:rsidR="00BC4E0F" w:rsidRPr="00BC4E0F" w:rsidRDefault="00BC4E0F" w:rsidP="00BC4E0F">
      <w:pPr>
        <w:pStyle w:val="Heading5"/>
        <w:spacing w:before="120" w:beforeAutospacing="0"/>
      </w:pPr>
      <w:r>
        <w:t xml:space="preserve">5.2 Adults </w:t>
      </w:r>
      <w:r w:rsidRPr="00BC4E0F">
        <w:rPr>
          <w:i/>
          <w:iCs w:val="0"/>
        </w:rPr>
        <w:t>without</w:t>
      </w:r>
      <w:r>
        <w:t xml:space="preserve"> decision-making capacity</w:t>
      </w:r>
    </w:p>
    <w:p w14:paraId="04D9FC5E" w14:textId="5B2802F8" w:rsidR="00BC4E0F" w:rsidRPr="00D127C4" w:rsidRDefault="00770A8B" w:rsidP="00944A27">
      <w:pPr>
        <w:pStyle w:val="Heading6"/>
        <w:rPr>
          <w:rFonts w:ascii="Symbol" w:hAnsi="Symbol"/>
        </w:rPr>
      </w:pPr>
      <w:r>
        <w:t xml:space="preserve">5.2.1 </w:t>
      </w:r>
      <w:r w:rsidR="00BC4E0F" w:rsidRPr="00D127C4">
        <w:t>ECT can be administered to an adult w</w:t>
      </w:r>
      <w:r w:rsidR="00BC4E0F">
        <w:t>ithout</w:t>
      </w:r>
      <w:r w:rsidR="00BC4E0F" w:rsidRPr="00D127C4">
        <w:t xml:space="preserve"> decision-making capacity to consent if:</w:t>
      </w:r>
    </w:p>
    <w:p w14:paraId="39B346CA" w14:textId="518E7233" w:rsidR="00BC4E0F" w:rsidRPr="00D127C4" w:rsidRDefault="00770A8B" w:rsidP="00944A27">
      <w:pPr>
        <w:pStyle w:val="Bullet"/>
        <w:rPr>
          <w:rFonts w:ascii="Courier New" w:hAnsi="Courier New"/>
        </w:rPr>
      </w:pPr>
      <w:r>
        <w:t xml:space="preserve">Consent to ECT is documented in their </w:t>
      </w:r>
      <w:r w:rsidR="00BC4E0F" w:rsidRPr="00D127C4">
        <w:t xml:space="preserve">Advance Consent Direction (see </w:t>
      </w:r>
      <w:r w:rsidR="00BC4E0F" w:rsidRPr="00C44F6D">
        <w:rPr>
          <w:i/>
          <w:iCs/>
        </w:rPr>
        <w:t>Advance Agreement, Advance Consent Direction and Nominated Person Procedure</w:t>
      </w:r>
      <w:r w:rsidR="00BC4E0F" w:rsidRPr="00D127C4">
        <w:t>)</w:t>
      </w:r>
    </w:p>
    <w:p w14:paraId="46CA0343" w14:textId="490B37D4" w:rsidR="00BC4E0F" w:rsidRPr="00D127C4" w:rsidRDefault="00770A8B" w:rsidP="00944A27">
      <w:pPr>
        <w:pStyle w:val="Heading6"/>
        <w:rPr>
          <w:rFonts w:ascii="Courier New" w:hAnsi="Courier New"/>
        </w:rPr>
      </w:pPr>
      <w:r>
        <w:t xml:space="preserve">5.2.2 </w:t>
      </w:r>
      <w:r w:rsidR="00BC4E0F" w:rsidRPr="00D127C4">
        <w:t>ECT may also be administered to an adult w</w:t>
      </w:r>
      <w:r>
        <w:t xml:space="preserve">ithout </w:t>
      </w:r>
      <w:r w:rsidR="00BC4E0F" w:rsidRPr="00D127C4">
        <w:t>decision-making</w:t>
      </w:r>
      <w:r w:rsidR="00BC4E0F" w:rsidRPr="00D127C4">
        <w:rPr>
          <w:spacing w:val="-6"/>
        </w:rPr>
        <w:t xml:space="preserve"> </w:t>
      </w:r>
      <w:r w:rsidR="00BC4E0F" w:rsidRPr="00D127C4">
        <w:t>capacity:</w:t>
      </w:r>
    </w:p>
    <w:p w14:paraId="4EEBFAA7" w14:textId="22BDB6B9" w:rsidR="00BC4E0F" w:rsidRPr="00D127C4" w:rsidRDefault="00BC4E0F" w:rsidP="00C44F6D">
      <w:pPr>
        <w:pStyle w:val="Bullet"/>
        <w:rPr>
          <w:rFonts w:ascii="Courier New" w:hAnsi="Courier New"/>
        </w:rPr>
      </w:pPr>
      <w:r w:rsidRPr="00D127C4">
        <w:t xml:space="preserve">In accordance with an ECT Order or Emergency ECT Order </w:t>
      </w:r>
      <w:r w:rsidR="00770A8B">
        <w:t xml:space="preserve">(see definitions) </w:t>
      </w:r>
      <w:r w:rsidRPr="00D127C4">
        <w:t xml:space="preserve">in relation to the </w:t>
      </w:r>
      <w:r w:rsidR="00FF7CEE" w:rsidRPr="005F6480">
        <w:rPr>
          <w:rFonts w:asciiTheme="minorHAnsi" w:hAnsiTheme="minorHAnsi" w:cstheme="minorHAnsi"/>
        </w:rPr>
        <w:t>consumer</w:t>
      </w:r>
      <w:r w:rsidRPr="00D127C4">
        <w:t xml:space="preserve">, </w:t>
      </w:r>
      <w:r w:rsidR="00770A8B">
        <w:t xml:space="preserve">with a PTO/FPTO. </w:t>
      </w:r>
    </w:p>
    <w:p w14:paraId="1F65FDAC" w14:textId="77777777" w:rsidR="00BC4E0F" w:rsidRPr="00D127C4" w:rsidRDefault="00BC4E0F" w:rsidP="00C44F6D">
      <w:pPr>
        <w:pStyle w:val="BodyCopy"/>
      </w:pPr>
      <w:r w:rsidRPr="00D127C4">
        <w:lastRenderedPageBreak/>
        <w:t xml:space="preserve">Refer to Attachment </w:t>
      </w:r>
      <w:r>
        <w:t>1</w:t>
      </w:r>
      <w:r w:rsidRPr="00D127C4">
        <w:t>: Prescription and Administration of ECT Flow Chart for an Adult.</w:t>
      </w:r>
    </w:p>
    <w:p w14:paraId="37D69B53" w14:textId="6E660C10" w:rsidR="00BC4E0F" w:rsidRDefault="00BC4E0F" w:rsidP="00BC4E0F">
      <w:pPr>
        <w:pStyle w:val="Heading5"/>
        <w:spacing w:before="120" w:beforeAutospacing="0"/>
      </w:pPr>
      <w:r>
        <w:t xml:space="preserve">5.3 Young People </w:t>
      </w:r>
    </w:p>
    <w:p w14:paraId="4112639C" w14:textId="2B4BB95D" w:rsidR="00BC4E0F" w:rsidRPr="00D127C4" w:rsidRDefault="00770A8B" w:rsidP="00C44F6D">
      <w:pPr>
        <w:pStyle w:val="Heading6"/>
        <w:rPr>
          <w:i/>
        </w:rPr>
      </w:pPr>
      <w:r>
        <w:t xml:space="preserve">5.3.1 </w:t>
      </w:r>
      <w:r w:rsidR="00BC4E0F" w:rsidRPr="00D127C4">
        <w:t xml:space="preserve">ECT may be administered to a young </w:t>
      </w:r>
      <w:r w:rsidR="00A65F41">
        <w:t>person</w:t>
      </w:r>
      <w:r w:rsidR="00C44F6D">
        <w:t>(see definition)</w:t>
      </w:r>
      <w:r w:rsidR="00BC4E0F" w:rsidRPr="00D127C4">
        <w:t xml:space="preserve"> </w:t>
      </w:r>
      <w:r w:rsidR="00947511" w:rsidRPr="00D127C4">
        <w:t>who</w:t>
      </w:r>
      <w:r w:rsidR="00947511">
        <w:t>:</w:t>
      </w:r>
    </w:p>
    <w:p w14:paraId="126DCFBC" w14:textId="6C79352B" w:rsidR="00770A8B" w:rsidRPr="00F07520" w:rsidRDefault="00770A8B" w:rsidP="00C44F6D">
      <w:pPr>
        <w:pStyle w:val="Bullet"/>
        <w:rPr>
          <w:rFonts w:ascii="Courier New" w:hAnsi="Courier New"/>
        </w:rPr>
      </w:pPr>
      <w:r>
        <w:t>Consents to ECT, or</w:t>
      </w:r>
    </w:p>
    <w:p w14:paraId="798421EC" w14:textId="1CC34ECC" w:rsidR="00BC4E0F" w:rsidRPr="00F07520" w:rsidRDefault="00770A8B" w:rsidP="00C44F6D">
      <w:pPr>
        <w:pStyle w:val="Bullet"/>
        <w:rPr>
          <w:rFonts w:ascii="Courier New" w:hAnsi="Courier New"/>
        </w:rPr>
      </w:pPr>
      <w:r>
        <w:t>Has an ECT/Emergency ECT order is in place</w:t>
      </w:r>
    </w:p>
    <w:p w14:paraId="0164091B" w14:textId="0BB2A627" w:rsidR="00770A8B" w:rsidRPr="00770A8B" w:rsidRDefault="00770A8B" w:rsidP="00C44F6D">
      <w:pPr>
        <w:pStyle w:val="Heading6"/>
      </w:pPr>
      <w:r>
        <w:t xml:space="preserve">5.3.2 </w:t>
      </w:r>
      <w:r w:rsidRPr="00770A8B">
        <w:t xml:space="preserve">ECT may be administrated to a young </w:t>
      </w:r>
      <w:r w:rsidR="00A65F41">
        <w:t>person</w:t>
      </w:r>
      <w:r w:rsidRPr="00770A8B">
        <w:t xml:space="preserve">: </w:t>
      </w:r>
    </w:p>
    <w:p w14:paraId="348D44EE" w14:textId="5F9CE8ED" w:rsidR="00770A8B" w:rsidRPr="00F07520" w:rsidRDefault="00770A8B" w:rsidP="00C44F6D">
      <w:pPr>
        <w:pStyle w:val="Bullet"/>
        <w:rPr>
          <w:iCs/>
        </w:rPr>
      </w:pPr>
      <w:r w:rsidRPr="00770A8B">
        <w:t xml:space="preserve">In accordance with an ECT Order or Emergency ECT Order in relation to the </w:t>
      </w:r>
      <w:r w:rsidR="00FF7CEE" w:rsidRPr="005F6480">
        <w:rPr>
          <w:rFonts w:asciiTheme="minorHAnsi" w:hAnsiTheme="minorHAnsi" w:cstheme="minorHAnsi"/>
        </w:rPr>
        <w:t>consumer</w:t>
      </w:r>
      <w:r w:rsidRPr="00770A8B">
        <w:t>, with a PTO/ FPTO</w:t>
      </w:r>
    </w:p>
    <w:p w14:paraId="7020625E" w14:textId="0C2275EF" w:rsidR="00770A8B" w:rsidRPr="00D127C4" w:rsidRDefault="00770A8B" w:rsidP="00C44F6D">
      <w:pPr>
        <w:pStyle w:val="BodyCopy"/>
        <w:pBdr>
          <w:top w:val="single" w:sz="4" w:space="1" w:color="auto"/>
          <w:left w:val="single" w:sz="4" w:space="4" w:color="auto"/>
          <w:bottom w:val="single" w:sz="4" w:space="1" w:color="auto"/>
          <w:right w:val="single" w:sz="4" w:space="4" w:color="auto"/>
        </w:pBdr>
      </w:pPr>
      <w:r w:rsidRPr="00770A8B">
        <w:rPr>
          <w:b/>
        </w:rPr>
        <w:t>NOTE</w:t>
      </w:r>
      <w:r w:rsidRPr="738F9B79">
        <w:t xml:space="preserve">: A </w:t>
      </w:r>
      <w:r>
        <w:t xml:space="preserve">young </w:t>
      </w:r>
      <w:r w:rsidR="000F779C">
        <w:rPr>
          <w:rFonts w:asciiTheme="minorHAnsi" w:hAnsiTheme="minorHAnsi" w:cstheme="minorHAnsi"/>
          <w:szCs w:val="22"/>
        </w:rPr>
        <w:t>person</w:t>
      </w:r>
      <w:r w:rsidRPr="738F9B79">
        <w:t xml:space="preserve"> </w:t>
      </w:r>
      <w:r>
        <w:t>12</w:t>
      </w:r>
      <w:r w:rsidR="00C44F6D">
        <w:t xml:space="preserve"> to</w:t>
      </w:r>
      <w:r>
        <w:t>15</w:t>
      </w:r>
      <w:r w:rsidR="00C44F6D">
        <w:t xml:space="preserve"> years</w:t>
      </w:r>
      <w:r>
        <w:t xml:space="preserve"> is not eligible for an emergency ECT order.</w:t>
      </w:r>
    </w:p>
    <w:p w14:paraId="38EA46AE" w14:textId="5D1A1D82" w:rsidR="00BC4E0F" w:rsidRPr="00BC4E0F" w:rsidRDefault="00BC4E0F" w:rsidP="00C44F6D">
      <w:pPr>
        <w:pStyle w:val="BodyCopy"/>
      </w:pPr>
      <w:r w:rsidRPr="00D127C4">
        <w:t>Refer to</w:t>
      </w:r>
      <w:r w:rsidRPr="000B7567">
        <w:t xml:space="preserve"> Attachment 2: Prescription and Administration of ECT Flow Chart for a Young </w:t>
      </w:r>
      <w:r w:rsidR="000F779C">
        <w:t>Person</w:t>
      </w:r>
      <w:r w:rsidRPr="000B7567">
        <w:t xml:space="preserve"> at least 12 years of age but under 18 years of age</w:t>
      </w:r>
    </w:p>
    <w:p w14:paraId="3F4923EF" w14:textId="4F60EB00" w:rsidR="00BC4E0F" w:rsidRDefault="00BC4E0F" w:rsidP="00BC4E0F">
      <w:pPr>
        <w:pStyle w:val="Heading5"/>
        <w:spacing w:before="120" w:beforeAutospacing="0"/>
      </w:pPr>
      <w:r>
        <w:t xml:space="preserve">5.4 Obtaining Consent </w:t>
      </w:r>
    </w:p>
    <w:p w14:paraId="5E04295D" w14:textId="668B4BD5" w:rsidR="00BC4E0F" w:rsidRPr="0024166C" w:rsidRDefault="00BC4E0F" w:rsidP="00C44F6D">
      <w:pPr>
        <w:pStyle w:val="BodyCopy"/>
      </w:pPr>
      <w:r w:rsidRPr="738F9B79">
        <w:t xml:space="preserve">Both verbal and written information should be provided to the </w:t>
      </w:r>
      <w:r w:rsidR="00FF7CEE" w:rsidRPr="005F6480">
        <w:rPr>
          <w:rFonts w:asciiTheme="minorHAnsi" w:hAnsiTheme="minorHAnsi" w:cstheme="minorHAnsi"/>
          <w:szCs w:val="22"/>
        </w:rPr>
        <w:t>consumer</w:t>
      </w:r>
      <w:r w:rsidRPr="738F9B79">
        <w:t xml:space="preserve">, in a language and way of communicating that the </w:t>
      </w:r>
      <w:r w:rsidR="00FF7CEE" w:rsidRPr="005F6480">
        <w:rPr>
          <w:rFonts w:asciiTheme="minorHAnsi" w:hAnsiTheme="minorHAnsi" w:cstheme="minorHAnsi"/>
          <w:szCs w:val="22"/>
        </w:rPr>
        <w:t>consumer</w:t>
      </w:r>
      <w:r w:rsidRPr="738F9B79">
        <w:t xml:space="preserve"> is most likely to understand. The treating team must involve the family, carer, or nominated person (if this is the </w:t>
      </w:r>
      <w:r w:rsidR="00775C81" w:rsidRPr="005F6480">
        <w:rPr>
          <w:rFonts w:asciiTheme="minorHAnsi" w:hAnsiTheme="minorHAnsi" w:cstheme="minorHAnsi"/>
          <w:szCs w:val="22"/>
        </w:rPr>
        <w:t>consumer</w:t>
      </w:r>
      <w:r w:rsidRPr="738F9B79">
        <w:t xml:space="preserve">’s wish) in the discussion about the potential administration of a course of ECT. Use of interpreters, where identified, is imperative. Family, carers or staff who share a native language with the </w:t>
      </w:r>
      <w:r w:rsidR="00FD5821">
        <w:t xml:space="preserve">consumer </w:t>
      </w:r>
      <w:r w:rsidRPr="738F9B79">
        <w:t xml:space="preserve">are not to be used for obtaining consent or providing formal information about the proposed treatment.  Further information is provided in the </w:t>
      </w:r>
      <w:r w:rsidRPr="00F07520">
        <w:rPr>
          <w:i/>
        </w:rPr>
        <w:t>Language Services- Interpreters and Translated Materials for Adults and Children Procedure.</w:t>
      </w:r>
    </w:p>
    <w:p w14:paraId="67CEE6D7" w14:textId="08E90E90" w:rsidR="00BC4E0F" w:rsidRPr="00BC4E0F" w:rsidRDefault="00BC4E0F" w:rsidP="00C44F6D">
      <w:pPr>
        <w:pStyle w:val="BodyCopy"/>
        <w:rPr>
          <w:i/>
        </w:rPr>
      </w:pPr>
      <w:r w:rsidRPr="0024166C">
        <w:t xml:space="preserve">Responsibility for obtaining and documenting consent rests with the </w:t>
      </w:r>
      <w:r w:rsidR="00775C81" w:rsidRPr="005F6480">
        <w:rPr>
          <w:rFonts w:asciiTheme="minorHAnsi" w:hAnsiTheme="minorHAnsi" w:cstheme="minorHAnsi"/>
          <w:szCs w:val="22"/>
        </w:rPr>
        <w:t>consumer</w:t>
      </w:r>
      <w:r w:rsidRPr="0024166C">
        <w:t>’s prescribing Consultant Psychiatrist and treating team.</w:t>
      </w:r>
      <w:r>
        <w:t xml:space="preserve"> Refer to </w:t>
      </w:r>
      <w:r>
        <w:rPr>
          <w:i/>
        </w:rPr>
        <w:t>Informed Consent – Clinical Policy</w:t>
      </w:r>
    </w:p>
    <w:p w14:paraId="077AA6C4" w14:textId="77777777" w:rsidR="00BC4E0F" w:rsidRPr="0024166C" w:rsidRDefault="00BC4E0F" w:rsidP="00C44F6D">
      <w:pPr>
        <w:pStyle w:val="BodyCopy"/>
      </w:pPr>
      <w:r w:rsidRPr="0024166C">
        <w:t>The Rostered Consultant Psychiatrist for ECT is responsible for verifying the accuracy of relevant documentation, including the:</w:t>
      </w:r>
    </w:p>
    <w:p w14:paraId="075C6CD2" w14:textId="77777777" w:rsidR="00BC4E0F" w:rsidRPr="00C44F6D" w:rsidRDefault="00BC4E0F" w:rsidP="00C44F6D">
      <w:pPr>
        <w:pStyle w:val="Bullet"/>
        <w:rPr>
          <w:rFonts w:ascii="Symbol" w:hAnsi="Symbol"/>
          <w:i/>
          <w:iCs/>
        </w:rPr>
      </w:pPr>
      <w:r w:rsidRPr="00C44F6D">
        <w:rPr>
          <w:i/>
          <w:iCs/>
        </w:rPr>
        <w:t>ECT Consent and Prescription</w:t>
      </w:r>
      <w:r w:rsidRPr="00C44F6D">
        <w:rPr>
          <w:i/>
          <w:iCs/>
          <w:spacing w:val="2"/>
        </w:rPr>
        <w:t xml:space="preserve"> </w:t>
      </w:r>
      <w:r w:rsidRPr="00C44F6D">
        <w:rPr>
          <w:i/>
          <w:iCs/>
        </w:rPr>
        <w:t>form</w:t>
      </w:r>
    </w:p>
    <w:p w14:paraId="7FC76FEE" w14:textId="77777777" w:rsidR="00BC4E0F" w:rsidRPr="00C44F6D" w:rsidRDefault="00BC4E0F" w:rsidP="00C44F6D">
      <w:pPr>
        <w:pStyle w:val="Bullet"/>
        <w:rPr>
          <w:rFonts w:ascii="Symbol" w:hAnsi="Symbol"/>
          <w:i/>
          <w:iCs/>
        </w:rPr>
      </w:pPr>
      <w:r w:rsidRPr="00C44F6D">
        <w:rPr>
          <w:i/>
          <w:iCs/>
        </w:rPr>
        <w:t>Advance Consent</w:t>
      </w:r>
      <w:r w:rsidRPr="00C44F6D">
        <w:rPr>
          <w:i/>
          <w:iCs/>
          <w:spacing w:val="1"/>
        </w:rPr>
        <w:t xml:space="preserve"> </w:t>
      </w:r>
      <w:r w:rsidRPr="00C44F6D">
        <w:rPr>
          <w:i/>
          <w:iCs/>
        </w:rPr>
        <w:t>Direction</w:t>
      </w:r>
    </w:p>
    <w:p w14:paraId="211DEDC8" w14:textId="77777777" w:rsidR="00BC4E0F" w:rsidRPr="00C44F6D" w:rsidRDefault="00BC4E0F" w:rsidP="00C44F6D">
      <w:pPr>
        <w:pStyle w:val="Bullet"/>
        <w:rPr>
          <w:rFonts w:ascii="Symbol" w:hAnsi="Symbol"/>
        </w:rPr>
      </w:pPr>
      <w:r w:rsidRPr="00C44F6D">
        <w:rPr>
          <w:i/>
          <w:iCs/>
        </w:rPr>
        <w:t>ECT Order or Emergency ECT Order,</w:t>
      </w:r>
      <w:r w:rsidRPr="00C44F6D">
        <w:rPr>
          <w:i/>
          <w:iCs/>
          <w:spacing w:val="3"/>
        </w:rPr>
        <w:t xml:space="preserve"> </w:t>
      </w:r>
      <w:r w:rsidRPr="00C44F6D">
        <w:t>and</w:t>
      </w:r>
    </w:p>
    <w:p w14:paraId="3C306867" w14:textId="61D34A20" w:rsidR="00BC4E0F" w:rsidRPr="00C44F6D" w:rsidRDefault="00BC4E0F" w:rsidP="00C44F6D">
      <w:pPr>
        <w:pStyle w:val="Bullet"/>
        <w:rPr>
          <w:rFonts w:ascii="Symbol" w:hAnsi="Symbol"/>
          <w:i/>
          <w:iCs/>
        </w:rPr>
      </w:pPr>
      <w:r w:rsidRPr="00C44F6D">
        <w:rPr>
          <w:i/>
          <w:iCs/>
        </w:rPr>
        <w:t>PTO or FPTO.</w:t>
      </w:r>
    </w:p>
    <w:p w14:paraId="3B39C277" w14:textId="6F514CBF" w:rsidR="00BC4E0F" w:rsidRPr="00BC4E0F" w:rsidRDefault="00BC4E0F" w:rsidP="00C44F6D">
      <w:pPr>
        <w:pStyle w:val="BodyCopy"/>
      </w:pPr>
      <w:r w:rsidRPr="0024166C">
        <w:t xml:space="preserve">Consent is not required if the ACAT has made an </w:t>
      </w:r>
      <w:r w:rsidRPr="0024166C">
        <w:rPr>
          <w:i/>
        </w:rPr>
        <w:t xml:space="preserve">ECT Order </w:t>
      </w:r>
      <w:r w:rsidRPr="0024166C">
        <w:t xml:space="preserve">or </w:t>
      </w:r>
      <w:r w:rsidRPr="0024166C">
        <w:rPr>
          <w:i/>
        </w:rPr>
        <w:t xml:space="preserve">an Emergency ECT Order </w:t>
      </w:r>
      <w:r w:rsidRPr="0024166C">
        <w:rPr>
          <w:b/>
        </w:rPr>
        <w:t xml:space="preserve">and </w:t>
      </w:r>
      <w:r w:rsidRPr="0024166C">
        <w:t xml:space="preserve">the </w:t>
      </w:r>
      <w:r w:rsidR="00775C81" w:rsidRPr="005F6480">
        <w:rPr>
          <w:rFonts w:asciiTheme="minorHAnsi" w:hAnsiTheme="minorHAnsi" w:cstheme="minorHAnsi"/>
          <w:szCs w:val="22"/>
        </w:rPr>
        <w:t>consumer</w:t>
      </w:r>
      <w:r w:rsidRPr="0024166C">
        <w:t xml:space="preserve"> also has a </w:t>
      </w:r>
      <w:r w:rsidRPr="0024166C">
        <w:rPr>
          <w:i/>
        </w:rPr>
        <w:t xml:space="preserve">PTO </w:t>
      </w:r>
      <w:r w:rsidRPr="0024166C">
        <w:t xml:space="preserve">or </w:t>
      </w:r>
      <w:r w:rsidRPr="0024166C">
        <w:rPr>
          <w:i/>
        </w:rPr>
        <w:t xml:space="preserve">FPTO </w:t>
      </w:r>
      <w:r w:rsidRPr="0024166C">
        <w:t>in place</w:t>
      </w:r>
      <w:r w:rsidR="00F5663E">
        <w:t>.</w:t>
      </w:r>
      <w:r w:rsidRPr="0024166C">
        <w:t xml:space="preserve"> </w:t>
      </w:r>
      <w:r w:rsidR="00F5663E">
        <w:t>D</w:t>
      </w:r>
      <w:r w:rsidRPr="0024166C">
        <w:t xml:space="preserve">etails of the </w:t>
      </w:r>
      <w:r w:rsidRPr="0024166C">
        <w:rPr>
          <w:i/>
        </w:rPr>
        <w:t xml:space="preserve">ECT Order </w:t>
      </w:r>
      <w:r w:rsidRPr="0024166C">
        <w:t xml:space="preserve">or </w:t>
      </w:r>
      <w:r w:rsidRPr="0024166C">
        <w:rPr>
          <w:i/>
        </w:rPr>
        <w:t xml:space="preserve">Emergency ECT Order </w:t>
      </w:r>
      <w:r w:rsidRPr="0024166C">
        <w:t xml:space="preserve">and the </w:t>
      </w:r>
      <w:r w:rsidRPr="0024166C">
        <w:rPr>
          <w:i/>
        </w:rPr>
        <w:t xml:space="preserve">PTO </w:t>
      </w:r>
      <w:r w:rsidRPr="0024166C">
        <w:t xml:space="preserve">or </w:t>
      </w:r>
      <w:r w:rsidRPr="0024166C">
        <w:rPr>
          <w:i/>
        </w:rPr>
        <w:t xml:space="preserve">FPTO </w:t>
      </w:r>
      <w:r w:rsidRPr="0024166C">
        <w:t xml:space="preserve">must be provided on the </w:t>
      </w:r>
      <w:r w:rsidRPr="0024166C">
        <w:rPr>
          <w:i/>
        </w:rPr>
        <w:t>Electroconvulsive Therapy Consent and Prescription form</w:t>
      </w:r>
      <w:r w:rsidRPr="0024166C">
        <w:t>, with a copy of each attached to the form.</w:t>
      </w:r>
    </w:p>
    <w:p w14:paraId="62641002" w14:textId="23B69654" w:rsidR="00BC4E0F" w:rsidRPr="00BC4E0F" w:rsidRDefault="00BC4E0F" w:rsidP="00C44F6D">
      <w:pPr>
        <w:pStyle w:val="BodyCopy"/>
      </w:pPr>
      <w:r w:rsidRPr="0024166C">
        <w:t xml:space="preserve">A new </w:t>
      </w:r>
      <w:r w:rsidRPr="0024166C">
        <w:rPr>
          <w:i/>
        </w:rPr>
        <w:t xml:space="preserve">Electroconvulsive Therapy Consent and Prescription form </w:t>
      </w:r>
      <w:r w:rsidRPr="0024166C">
        <w:t xml:space="preserve">is required if a course of ECT is required beyond nine treatments as specified within the </w:t>
      </w:r>
      <w:r w:rsidR="00C44F6D" w:rsidRPr="00133100">
        <w:rPr>
          <w:iCs w:val="0"/>
        </w:rPr>
        <w:t>Act</w:t>
      </w:r>
      <w:r w:rsidR="00C44F6D">
        <w:rPr>
          <w:iCs w:val="0"/>
        </w:rPr>
        <w:t>.</w:t>
      </w:r>
    </w:p>
    <w:p w14:paraId="33C6FECF" w14:textId="77777777" w:rsidR="00BC4E0F" w:rsidRPr="0024166C" w:rsidRDefault="00BC4E0F" w:rsidP="00C44F6D">
      <w:pPr>
        <w:pStyle w:val="BodyCopy"/>
      </w:pPr>
      <w:r w:rsidRPr="0024166C">
        <w:lastRenderedPageBreak/>
        <w:t xml:space="preserve">If ECT has previously been administered via an </w:t>
      </w:r>
      <w:r w:rsidRPr="0024166C">
        <w:rPr>
          <w:i/>
        </w:rPr>
        <w:t>ECT Order</w:t>
      </w:r>
      <w:r w:rsidRPr="0024166C">
        <w:t xml:space="preserve">, a new application for an </w:t>
      </w:r>
      <w:r w:rsidRPr="0024166C">
        <w:rPr>
          <w:i/>
        </w:rPr>
        <w:t xml:space="preserve">ECT Order </w:t>
      </w:r>
      <w:r w:rsidRPr="0024166C">
        <w:t>must be made to the ACAT if treatment is required beyond the number of sessions specified in the original order.</w:t>
      </w:r>
    </w:p>
    <w:p w14:paraId="2A7CCE08" w14:textId="6EF97F2A" w:rsidR="00BC4E0F" w:rsidRPr="0024166C" w:rsidRDefault="00BC4E0F" w:rsidP="00C44F6D">
      <w:pPr>
        <w:pStyle w:val="BodyCopy"/>
        <w:pBdr>
          <w:top w:val="single" w:sz="4" w:space="1" w:color="auto"/>
          <w:left w:val="single" w:sz="4" w:space="4" w:color="auto"/>
          <w:bottom w:val="single" w:sz="4" w:space="1" w:color="auto"/>
          <w:right w:val="single" w:sz="4" w:space="4" w:color="auto"/>
        </w:pBdr>
      </w:pPr>
      <w:r w:rsidRPr="032493B3">
        <w:rPr>
          <w:b/>
        </w:rPr>
        <w:t>N</w:t>
      </w:r>
      <w:r w:rsidR="00C44F6D">
        <w:rPr>
          <w:b/>
        </w:rPr>
        <w:t>ote</w:t>
      </w:r>
      <w:r w:rsidRPr="032493B3">
        <w:rPr>
          <w:b/>
        </w:rPr>
        <w:t xml:space="preserve">: </w:t>
      </w:r>
      <w:r w:rsidRPr="032493B3">
        <w:t>An application to ACAT for a further ECT Order can be made prior to the administration of the final ECT treatment.</w:t>
      </w:r>
    </w:p>
    <w:p w14:paraId="3F31DF47" w14:textId="2F8FFACF" w:rsidR="00BC4E0F" w:rsidRDefault="00BC4E0F" w:rsidP="00BC4E0F">
      <w:pPr>
        <w:pStyle w:val="Heading5"/>
        <w:spacing w:before="120" w:beforeAutospacing="0"/>
      </w:pPr>
      <w:r>
        <w:t xml:space="preserve">5.5 Documentation of consent to ECT  </w:t>
      </w:r>
    </w:p>
    <w:p w14:paraId="10EE6412" w14:textId="6E92A27E" w:rsidR="00BC4E0F" w:rsidRPr="00BC4E0F" w:rsidRDefault="00BC4E0F" w:rsidP="00C44F6D">
      <w:pPr>
        <w:pStyle w:val="BodyCopy"/>
        <w:rPr>
          <w:rFonts w:ascii="Symbol" w:hAnsi="Symbol"/>
        </w:rPr>
      </w:pPr>
      <w:bookmarkStart w:id="19" w:name="_Hlk100406431"/>
      <w:r w:rsidRPr="0024166C">
        <w:t xml:space="preserve">The </w:t>
      </w:r>
      <w:r w:rsidRPr="0024166C">
        <w:rPr>
          <w:i/>
        </w:rPr>
        <w:t>Electroconvulsive Therapy Consent and Prescription form</w:t>
      </w:r>
      <w:r w:rsidRPr="0024166C">
        <w:t xml:space="preserve">, located on </w:t>
      </w:r>
      <w:bookmarkEnd w:id="19"/>
      <w:r>
        <w:t>DHR</w:t>
      </w:r>
      <w:r w:rsidRPr="0024166C">
        <w:t>, must be used to document the authorisation of all</w:t>
      </w:r>
      <w:r w:rsidRPr="0024166C">
        <w:rPr>
          <w:spacing w:val="-32"/>
        </w:rPr>
        <w:t xml:space="preserve"> </w:t>
      </w:r>
      <w:r w:rsidRPr="0024166C">
        <w:t>ECT.</w:t>
      </w:r>
    </w:p>
    <w:p w14:paraId="607A8BA2" w14:textId="51C93752" w:rsidR="00BC4E0F" w:rsidRPr="0024166C" w:rsidRDefault="00BC4E0F" w:rsidP="00C44F6D">
      <w:pPr>
        <w:pStyle w:val="BodyCopy"/>
        <w:rPr>
          <w:rFonts w:ascii="Symbol" w:hAnsi="Symbol"/>
        </w:rPr>
      </w:pPr>
      <w:r w:rsidRPr="0024166C">
        <w:t>The following documentation must be completed on</w:t>
      </w:r>
      <w:r w:rsidRPr="0024166C">
        <w:rPr>
          <w:spacing w:val="-3"/>
        </w:rPr>
        <w:t xml:space="preserve"> </w:t>
      </w:r>
      <w:r>
        <w:rPr>
          <w:spacing w:val="-3"/>
        </w:rPr>
        <w:t xml:space="preserve">the </w:t>
      </w:r>
      <w:r w:rsidR="00775C81" w:rsidRPr="005F6480">
        <w:rPr>
          <w:rFonts w:asciiTheme="minorHAnsi" w:hAnsiTheme="minorHAnsi" w:cstheme="minorHAnsi"/>
        </w:rPr>
        <w:t>consumer</w:t>
      </w:r>
      <w:r>
        <w:rPr>
          <w:spacing w:val="-3"/>
        </w:rPr>
        <w:t>’s DHR:</w:t>
      </w:r>
    </w:p>
    <w:p w14:paraId="584BA8FB" w14:textId="77777777" w:rsidR="00BC4E0F" w:rsidRPr="0024166C" w:rsidRDefault="00BC4E0F" w:rsidP="00C44F6D">
      <w:pPr>
        <w:pStyle w:val="Bullet"/>
        <w:rPr>
          <w:rFonts w:ascii="Courier New" w:hAnsi="Courier New"/>
        </w:rPr>
      </w:pPr>
      <w:r w:rsidRPr="0024166C">
        <w:t xml:space="preserve">a file note headed </w:t>
      </w:r>
      <w:r w:rsidRPr="0024166C">
        <w:rPr>
          <w:b/>
        </w:rPr>
        <w:t>Consent for ECT</w:t>
      </w:r>
      <w:r w:rsidRPr="0024166C">
        <w:t>, including the following</w:t>
      </w:r>
      <w:r w:rsidRPr="0024166C">
        <w:rPr>
          <w:spacing w:val="-9"/>
        </w:rPr>
        <w:t xml:space="preserve"> </w:t>
      </w:r>
      <w:r w:rsidRPr="0024166C">
        <w:t>information:</w:t>
      </w:r>
    </w:p>
    <w:p w14:paraId="699E8AEF" w14:textId="163AB3E8" w:rsidR="00BC4E0F" w:rsidRPr="0024166C" w:rsidRDefault="00BC4E0F" w:rsidP="00C44F6D">
      <w:pPr>
        <w:pStyle w:val="Bullet"/>
        <w:numPr>
          <w:ilvl w:val="1"/>
          <w:numId w:val="1"/>
        </w:numPr>
        <w:rPr>
          <w:rFonts w:ascii="Wingdings" w:hAnsi="Wingdings"/>
        </w:rPr>
      </w:pPr>
      <w:r w:rsidRPr="0024166C">
        <w:t xml:space="preserve">discussion with the </w:t>
      </w:r>
      <w:r w:rsidR="00775C81" w:rsidRPr="005F6480">
        <w:rPr>
          <w:rFonts w:asciiTheme="minorHAnsi" w:hAnsiTheme="minorHAnsi" w:cstheme="minorHAnsi"/>
        </w:rPr>
        <w:t>consumer</w:t>
      </w:r>
      <w:r w:rsidRPr="0024166C">
        <w:t xml:space="preserve"> (and their family, carer, and/or </w:t>
      </w:r>
      <w:r>
        <w:t>N</w:t>
      </w:r>
      <w:r w:rsidRPr="0024166C">
        <w:t xml:space="preserve">ominated </w:t>
      </w:r>
      <w:r>
        <w:t>P</w:t>
      </w:r>
      <w:r w:rsidRPr="0024166C">
        <w:t>erson, where relevant), including the information provided about ECT i.e., verbal information from the prescribing consultant psychiatrist and written material about the treatment, its reasons for use, its course and potential benefits and side effects, and</w:t>
      </w:r>
    </w:p>
    <w:p w14:paraId="0244E64B" w14:textId="651479F6" w:rsidR="00BC4E0F" w:rsidRPr="0024166C" w:rsidRDefault="00BC4E0F" w:rsidP="00C44F6D">
      <w:pPr>
        <w:pStyle w:val="Bullet"/>
        <w:numPr>
          <w:ilvl w:val="1"/>
          <w:numId w:val="1"/>
        </w:numPr>
        <w:rPr>
          <w:rFonts w:ascii="Wingdings" w:hAnsi="Wingdings"/>
        </w:rPr>
      </w:pPr>
      <w:r w:rsidRPr="0024166C">
        <w:t xml:space="preserve">details of the assessment of the </w:t>
      </w:r>
      <w:r w:rsidR="00775C81" w:rsidRPr="005F6480">
        <w:rPr>
          <w:rFonts w:asciiTheme="minorHAnsi" w:hAnsiTheme="minorHAnsi" w:cstheme="minorHAnsi"/>
        </w:rPr>
        <w:t>consumer</w:t>
      </w:r>
      <w:r w:rsidRPr="0024166C">
        <w:t>’s decision-making</w:t>
      </w:r>
      <w:r w:rsidRPr="0024166C">
        <w:rPr>
          <w:spacing w:val="-8"/>
        </w:rPr>
        <w:t xml:space="preserve"> </w:t>
      </w:r>
      <w:r w:rsidRPr="0024166C">
        <w:t>capacity</w:t>
      </w:r>
    </w:p>
    <w:p w14:paraId="28437B34" w14:textId="77777777" w:rsidR="00BC4E0F" w:rsidRPr="0024166C" w:rsidRDefault="00BC4E0F" w:rsidP="00BC4E0F">
      <w:pPr>
        <w:widowControl w:val="0"/>
        <w:numPr>
          <w:ilvl w:val="1"/>
          <w:numId w:val="47"/>
        </w:numPr>
        <w:tabs>
          <w:tab w:val="left" w:pos="709"/>
        </w:tabs>
        <w:autoSpaceDE w:val="0"/>
        <w:autoSpaceDN w:val="0"/>
        <w:spacing w:after="120" w:line="298" w:lineRule="exact"/>
        <w:ind w:left="425" w:hanging="363"/>
        <w:rPr>
          <w:rFonts w:ascii="Courier New" w:hAnsi="Courier New" w:cs="Calibri"/>
        </w:rPr>
      </w:pPr>
      <w:r w:rsidRPr="376A7CD8">
        <w:rPr>
          <w:rFonts w:cs="Calibri"/>
        </w:rPr>
        <w:t xml:space="preserve">the </w:t>
      </w:r>
      <w:r w:rsidRPr="376A7CD8">
        <w:rPr>
          <w:rFonts w:cs="Calibri"/>
          <w:i/>
          <w:iCs/>
        </w:rPr>
        <w:t>Electroconvulsive Therapy Consent and Prescription</w:t>
      </w:r>
      <w:r w:rsidRPr="376A7CD8">
        <w:rPr>
          <w:rFonts w:cs="Calibri"/>
        </w:rPr>
        <w:t>,</w:t>
      </w:r>
      <w:r w:rsidRPr="376A7CD8">
        <w:rPr>
          <w:rFonts w:cs="Calibri"/>
          <w:spacing w:val="-7"/>
        </w:rPr>
        <w:t xml:space="preserve"> </w:t>
      </w:r>
      <w:r w:rsidRPr="376A7CD8">
        <w:rPr>
          <w:rFonts w:cs="Calibri"/>
        </w:rPr>
        <w:t>and</w:t>
      </w:r>
    </w:p>
    <w:p w14:paraId="66A1BB38" w14:textId="77777777" w:rsidR="00F5663E" w:rsidRPr="00F07520" w:rsidRDefault="00BC4E0F" w:rsidP="00BC4E0F">
      <w:pPr>
        <w:widowControl w:val="0"/>
        <w:numPr>
          <w:ilvl w:val="1"/>
          <w:numId w:val="47"/>
        </w:numPr>
        <w:tabs>
          <w:tab w:val="left" w:pos="709"/>
        </w:tabs>
        <w:autoSpaceDE w:val="0"/>
        <w:autoSpaceDN w:val="0"/>
        <w:spacing w:before="0" w:after="0" w:line="298" w:lineRule="exact"/>
        <w:ind w:left="426" w:hanging="361"/>
        <w:rPr>
          <w:rFonts w:ascii="Courier New" w:hAnsi="Courier New" w:cs="Calibri"/>
        </w:rPr>
      </w:pPr>
      <w:r w:rsidRPr="376A7CD8">
        <w:rPr>
          <w:rFonts w:cs="Calibri"/>
        </w:rPr>
        <w:t>any advanced care directive (ACD)/goal of care (GOC) (where</w:t>
      </w:r>
      <w:r w:rsidRPr="376A7CD8">
        <w:rPr>
          <w:rFonts w:cs="Calibri"/>
          <w:spacing w:val="1"/>
        </w:rPr>
        <w:t xml:space="preserve"> </w:t>
      </w:r>
      <w:r w:rsidRPr="376A7CD8">
        <w:rPr>
          <w:rFonts w:cs="Calibri"/>
        </w:rPr>
        <w:t>relevant)</w:t>
      </w:r>
    </w:p>
    <w:p w14:paraId="29D50895" w14:textId="5F3ED0FE" w:rsidR="00F5663E" w:rsidRPr="0024166C" w:rsidRDefault="00F5663E" w:rsidP="00F5663E">
      <w:pPr>
        <w:widowControl w:val="0"/>
        <w:numPr>
          <w:ilvl w:val="0"/>
          <w:numId w:val="47"/>
        </w:numPr>
        <w:tabs>
          <w:tab w:val="left" w:pos="538"/>
          <w:tab w:val="left" w:pos="539"/>
        </w:tabs>
        <w:autoSpaceDE w:val="0"/>
        <w:autoSpaceDN w:val="0"/>
        <w:spacing w:after="120" w:line="305" w:lineRule="exact"/>
        <w:ind w:left="425" w:hanging="363"/>
        <w:rPr>
          <w:rFonts w:ascii="Symbol" w:hAnsi="Symbol" w:cs="Calibri"/>
        </w:rPr>
      </w:pPr>
      <w:r w:rsidRPr="0024166C">
        <w:rPr>
          <w:rFonts w:cs="Calibri"/>
        </w:rPr>
        <w:t xml:space="preserve">a copy of the </w:t>
      </w:r>
      <w:r w:rsidRPr="0024166C">
        <w:rPr>
          <w:rFonts w:cs="Calibri"/>
          <w:i/>
        </w:rPr>
        <w:t xml:space="preserve">ECT/Emergency ECT Order </w:t>
      </w:r>
      <w:r w:rsidRPr="0024166C">
        <w:rPr>
          <w:rFonts w:cs="Calibri"/>
        </w:rPr>
        <w:t>authorising the administration of ECT</w:t>
      </w:r>
      <w:r>
        <w:rPr>
          <w:rFonts w:cs="Calibri"/>
        </w:rPr>
        <w:t xml:space="preserve"> </w:t>
      </w:r>
      <w:r w:rsidRPr="0024166C">
        <w:rPr>
          <w:rFonts w:cs="Calibri"/>
        </w:rPr>
        <w:t xml:space="preserve">(if a </w:t>
      </w:r>
      <w:r w:rsidR="006D3743" w:rsidRPr="005F6480">
        <w:rPr>
          <w:rFonts w:asciiTheme="minorHAnsi" w:hAnsiTheme="minorHAnsi" w:cstheme="minorHAnsi"/>
          <w:szCs w:val="22"/>
        </w:rPr>
        <w:t>consumer</w:t>
      </w:r>
      <w:r w:rsidRPr="0024166C">
        <w:rPr>
          <w:rFonts w:cs="Calibri"/>
        </w:rPr>
        <w:t xml:space="preserve"> is receiving ECT as a result of an </w:t>
      </w:r>
      <w:r w:rsidRPr="0024166C">
        <w:rPr>
          <w:rFonts w:cs="Calibri"/>
          <w:i/>
        </w:rPr>
        <w:t>ECT Order or an Emergency ECT Order</w:t>
      </w:r>
      <w:r>
        <w:rPr>
          <w:rFonts w:cs="Calibri"/>
          <w:i/>
        </w:rPr>
        <w:t>)</w:t>
      </w:r>
    </w:p>
    <w:p w14:paraId="6CB6F6DF" w14:textId="07E49AA3" w:rsidR="00F5663E" w:rsidRPr="0024166C" w:rsidRDefault="00F5663E" w:rsidP="00F5663E">
      <w:pPr>
        <w:widowControl w:val="0"/>
        <w:numPr>
          <w:ilvl w:val="0"/>
          <w:numId w:val="47"/>
        </w:numPr>
        <w:tabs>
          <w:tab w:val="left" w:pos="538"/>
          <w:tab w:val="left" w:pos="539"/>
        </w:tabs>
        <w:autoSpaceDE w:val="0"/>
        <w:autoSpaceDN w:val="0"/>
        <w:spacing w:after="120" w:line="242" w:lineRule="auto"/>
        <w:ind w:left="425" w:right="1185" w:hanging="425"/>
        <w:rPr>
          <w:rFonts w:ascii="Symbol" w:hAnsi="Symbol" w:cs="Calibri"/>
        </w:rPr>
      </w:pPr>
      <w:r w:rsidRPr="0024166C">
        <w:rPr>
          <w:rFonts w:cs="Calibri"/>
        </w:rPr>
        <w:t xml:space="preserve">a copy of the </w:t>
      </w:r>
      <w:r w:rsidRPr="0024166C">
        <w:rPr>
          <w:rFonts w:cs="Calibri"/>
          <w:i/>
        </w:rPr>
        <w:t xml:space="preserve">PTO </w:t>
      </w:r>
      <w:r w:rsidRPr="0024166C">
        <w:rPr>
          <w:rFonts w:cs="Calibri"/>
        </w:rPr>
        <w:t xml:space="preserve">or </w:t>
      </w:r>
      <w:r w:rsidRPr="0024166C">
        <w:rPr>
          <w:rFonts w:cs="Calibri"/>
          <w:i/>
        </w:rPr>
        <w:t>FPTO</w:t>
      </w:r>
      <w:r w:rsidRPr="0024166C">
        <w:rPr>
          <w:rFonts w:cs="Calibri"/>
        </w:rPr>
        <w:t xml:space="preserve">, (if a </w:t>
      </w:r>
      <w:r w:rsidR="006D3743" w:rsidRPr="005F6480">
        <w:rPr>
          <w:rFonts w:asciiTheme="minorHAnsi" w:hAnsiTheme="minorHAnsi" w:cstheme="minorHAnsi"/>
          <w:szCs w:val="22"/>
        </w:rPr>
        <w:t>consumer</w:t>
      </w:r>
      <w:r w:rsidRPr="0024166C">
        <w:rPr>
          <w:rFonts w:cs="Calibri"/>
        </w:rPr>
        <w:t xml:space="preserve"> is receiving ECT as a result of an </w:t>
      </w:r>
      <w:r w:rsidRPr="0024166C">
        <w:rPr>
          <w:rFonts w:cs="Calibri"/>
          <w:i/>
        </w:rPr>
        <w:t>ECT Order or an Emergency ECT Order</w:t>
      </w:r>
      <w:r>
        <w:rPr>
          <w:rFonts w:cs="Calibri"/>
          <w:i/>
        </w:rPr>
        <w:t>)</w:t>
      </w:r>
    </w:p>
    <w:p w14:paraId="6169FBFB" w14:textId="56625B31" w:rsidR="00BC4E0F" w:rsidRPr="00BC4E0F" w:rsidRDefault="00F5663E" w:rsidP="00BC4E0F">
      <w:pPr>
        <w:widowControl w:val="0"/>
        <w:numPr>
          <w:ilvl w:val="1"/>
          <w:numId w:val="47"/>
        </w:numPr>
        <w:tabs>
          <w:tab w:val="left" w:pos="709"/>
        </w:tabs>
        <w:autoSpaceDE w:val="0"/>
        <w:autoSpaceDN w:val="0"/>
        <w:spacing w:before="0" w:after="0" w:line="298" w:lineRule="exact"/>
        <w:ind w:left="426" w:hanging="361"/>
        <w:rPr>
          <w:rFonts w:ascii="Courier New" w:hAnsi="Courier New" w:cs="Calibri"/>
        </w:rPr>
      </w:pPr>
      <w:r>
        <w:rPr>
          <w:rFonts w:cs="Calibri"/>
        </w:rPr>
        <w:t xml:space="preserve">Detailed documentation if the </w:t>
      </w:r>
      <w:r w:rsidR="006D3743" w:rsidRPr="005F6480">
        <w:rPr>
          <w:rFonts w:asciiTheme="minorHAnsi" w:hAnsiTheme="minorHAnsi" w:cstheme="minorHAnsi"/>
          <w:szCs w:val="22"/>
        </w:rPr>
        <w:t>consumer</w:t>
      </w:r>
      <w:r>
        <w:rPr>
          <w:rFonts w:cs="Calibri"/>
        </w:rPr>
        <w:t xml:space="preserve"> in refusing or resisting the administration of ECT.</w:t>
      </w:r>
    </w:p>
    <w:p w14:paraId="4CE44598" w14:textId="587830E8" w:rsidR="00DA1D9D" w:rsidRDefault="00DA1D9D" w:rsidP="0091462B">
      <w:pPr>
        <w:pStyle w:val="BodyCopy"/>
      </w:pPr>
      <w:hyperlink w:anchor="_top" w:history="1">
        <w:r w:rsidRPr="00481A6C">
          <w:rPr>
            <w:rStyle w:val="Hyperlink"/>
            <w:iCs w:val="0"/>
          </w:rPr>
          <w:t>Back to Contents</w:t>
        </w:r>
      </w:hyperlink>
    </w:p>
    <w:p w14:paraId="593EF7D8" w14:textId="265B45BD" w:rsidR="00BC4E0F" w:rsidRDefault="00BC4E0F" w:rsidP="00BC4E0F">
      <w:pPr>
        <w:pStyle w:val="Heading4"/>
      </w:pPr>
      <w:bookmarkStart w:id="20" w:name="_Toc204357996"/>
      <w:r>
        <w:t>Section 6 – Electroconvulsive Therapy Orders</w:t>
      </w:r>
      <w:bookmarkEnd w:id="20"/>
      <w:r>
        <w:t xml:space="preserve">    </w:t>
      </w:r>
    </w:p>
    <w:p w14:paraId="349BFBA7" w14:textId="78F2B096" w:rsidR="00BC4E0F" w:rsidRDefault="00BC4E0F" w:rsidP="00C44F6D">
      <w:pPr>
        <w:pStyle w:val="BodyCopy"/>
      </w:pPr>
      <w:r w:rsidRPr="032493B3">
        <w:t>The Act sets out the legislative requirements for the administration of ECT to adults and children over 12 years of age.</w:t>
      </w:r>
      <w:r>
        <w:t xml:space="preserve"> There are two (2) types of orders, an ECT Order and an Emergency ECT Order. </w:t>
      </w:r>
    </w:p>
    <w:p w14:paraId="5C1DE4F5" w14:textId="77777777" w:rsidR="00BC4E0F" w:rsidRDefault="00BC4E0F" w:rsidP="00BC4E0F">
      <w:pPr>
        <w:pStyle w:val="Heading5"/>
        <w:spacing w:before="120" w:beforeAutospacing="0"/>
      </w:pPr>
      <w:r>
        <w:t>6.1 Applying for ECT Order</w:t>
      </w:r>
    </w:p>
    <w:p w14:paraId="662E3971" w14:textId="77777777" w:rsidR="00942584" w:rsidRDefault="00942584" w:rsidP="00C44F6D">
      <w:pPr>
        <w:pStyle w:val="Heading6"/>
      </w:pPr>
      <w:r>
        <w:t>Adults and Young People</w:t>
      </w:r>
    </w:p>
    <w:p w14:paraId="763693C5" w14:textId="43F6997C" w:rsidR="00BC4E0F" w:rsidRPr="00D127C4" w:rsidRDefault="00BC4E0F" w:rsidP="00C44F6D">
      <w:pPr>
        <w:pStyle w:val="BodyCopy"/>
        <w:rPr>
          <w:rFonts w:ascii="Symbol" w:hAnsi="Symbol"/>
        </w:rPr>
      </w:pPr>
      <w:r w:rsidRPr="00D127C4">
        <w:t xml:space="preserve">The Prescribing Consultant Psychiatrist may apply to the ACAT for an ECT Order, using the </w:t>
      </w:r>
      <w:r w:rsidRPr="00D127C4">
        <w:rPr>
          <w:i/>
        </w:rPr>
        <w:t>Electroconvulsive Therapy (ECT) Application Form</w:t>
      </w:r>
      <w:r w:rsidRPr="00D127C4">
        <w:t xml:space="preserve">, available on </w:t>
      </w:r>
      <w:r>
        <w:t>DHR</w:t>
      </w:r>
      <w:r w:rsidRPr="00D127C4">
        <w:t xml:space="preserve">, if they are satisfied that the </w:t>
      </w:r>
      <w:r w:rsidR="006D3743" w:rsidRPr="005F6480">
        <w:rPr>
          <w:rFonts w:asciiTheme="minorHAnsi" w:hAnsiTheme="minorHAnsi" w:cstheme="minorHAnsi"/>
        </w:rPr>
        <w:t>consumer</w:t>
      </w:r>
      <w:r w:rsidRPr="00D127C4">
        <w:t xml:space="preserve"> has a mental illness and:</w:t>
      </w:r>
    </w:p>
    <w:p w14:paraId="26CFE461" w14:textId="666AF533" w:rsidR="00BC4E0F" w:rsidRPr="00D127C4" w:rsidRDefault="00BC4E0F" w:rsidP="00C44F6D">
      <w:pPr>
        <w:pStyle w:val="Bullet"/>
        <w:rPr>
          <w:rFonts w:ascii="Courier New" w:hAnsi="Courier New"/>
        </w:rPr>
      </w:pPr>
      <w:r w:rsidRPr="00D127C4">
        <w:t xml:space="preserve">The </w:t>
      </w:r>
      <w:r w:rsidR="006D3743" w:rsidRPr="005F6480">
        <w:rPr>
          <w:rFonts w:asciiTheme="minorHAnsi" w:hAnsiTheme="minorHAnsi" w:cstheme="minorHAnsi"/>
        </w:rPr>
        <w:t>consumer</w:t>
      </w:r>
      <w:r w:rsidRPr="00D127C4">
        <w:t xml:space="preserve"> lacks decision-making capacity to consent to the administration of ECT, and</w:t>
      </w:r>
    </w:p>
    <w:p w14:paraId="107921CD" w14:textId="42F93F4B" w:rsidR="00BC4E0F" w:rsidRPr="00D127C4" w:rsidRDefault="00BC4E0F" w:rsidP="00C44F6D">
      <w:pPr>
        <w:pStyle w:val="Bullet"/>
        <w:rPr>
          <w:rFonts w:ascii="Courier New" w:hAnsi="Courier New"/>
        </w:rPr>
      </w:pPr>
      <w:r w:rsidRPr="00D127C4">
        <w:lastRenderedPageBreak/>
        <w:t xml:space="preserve">The </w:t>
      </w:r>
      <w:r w:rsidR="006D3743" w:rsidRPr="005F6480">
        <w:rPr>
          <w:rFonts w:asciiTheme="minorHAnsi" w:hAnsiTheme="minorHAnsi" w:cstheme="minorHAnsi"/>
        </w:rPr>
        <w:t>consumer</w:t>
      </w:r>
      <w:r w:rsidRPr="00D127C4">
        <w:t xml:space="preserve"> does not have an Advance Consent Direction (</w:t>
      </w:r>
      <w:r w:rsidR="008465AC" w:rsidRPr="00D127C4">
        <w:t xml:space="preserve">see </w:t>
      </w:r>
      <w:r w:rsidR="008465AC" w:rsidRPr="00D127C4">
        <w:rPr>
          <w:i/>
        </w:rPr>
        <w:t>Advance</w:t>
      </w:r>
      <w:r w:rsidRPr="00D127C4">
        <w:rPr>
          <w:i/>
        </w:rPr>
        <w:t xml:space="preserve"> Agreement, Advance Consent Direction and Nominated Person Procedure</w:t>
      </w:r>
      <w:r w:rsidRPr="00D127C4">
        <w:t>) refusing consent to ECT,</w:t>
      </w:r>
      <w:r w:rsidRPr="00D127C4">
        <w:rPr>
          <w:spacing w:val="-1"/>
        </w:rPr>
        <w:t xml:space="preserve"> </w:t>
      </w:r>
      <w:r w:rsidRPr="00D127C4">
        <w:t>and</w:t>
      </w:r>
    </w:p>
    <w:p w14:paraId="121270AB" w14:textId="6EFDEBB2" w:rsidR="00BC4E0F" w:rsidRPr="00D127C4" w:rsidRDefault="00BC4E0F" w:rsidP="00C44F6D">
      <w:pPr>
        <w:pStyle w:val="Bullet"/>
        <w:rPr>
          <w:rFonts w:ascii="Courier New" w:hAnsi="Courier New"/>
        </w:rPr>
      </w:pPr>
      <w:r w:rsidRPr="00D127C4">
        <w:t xml:space="preserve">The administration of ECT is likely to result in substantial benefit to the </w:t>
      </w:r>
      <w:r w:rsidR="00876416" w:rsidRPr="005F6480">
        <w:rPr>
          <w:rFonts w:asciiTheme="minorHAnsi" w:hAnsiTheme="minorHAnsi" w:cstheme="minorHAnsi"/>
        </w:rPr>
        <w:t>consumer</w:t>
      </w:r>
      <w:r w:rsidRPr="00D127C4">
        <w:t>, and either:</w:t>
      </w:r>
    </w:p>
    <w:p w14:paraId="687916A0" w14:textId="77777777" w:rsidR="00BC4E0F" w:rsidRPr="00D127C4" w:rsidRDefault="00BC4E0F" w:rsidP="00C44F6D">
      <w:pPr>
        <w:pStyle w:val="Bullet"/>
        <w:numPr>
          <w:ilvl w:val="1"/>
          <w:numId w:val="1"/>
        </w:numPr>
        <w:rPr>
          <w:rFonts w:ascii="Wingdings" w:hAnsi="Wingdings"/>
        </w:rPr>
      </w:pPr>
      <w:r w:rsidRPr="00D127C4">
        <w:t>all</w:t>
      </w:r>
      <w:r w:rsidRPr="00D127C4">
        <w:rPr>
          <w:spacing w:val="-11"/>
        </w:rPr>
        <w:t xml:space="preserve"> </w:t>
      </w:r>
      <w:r w:rsidRPr="00D127C4">
        <w:t>other</w:t>
      </w:r>
      <w:r w:rsidRPr="00D127C4">
        <w:rPr>
          <w:spacing w:val="-11"/>
        </w:rPr>
        <w:t xml:space="preserve"> </w:t>
      </w:r>
      <w:r w:rsidRPr="00D127C4">
        <w:t>reasonable</w:t>
      </w:r>
      <w:r w:rsidRPr="00D127C4">
        <w:rPr>
          <w:spacing w:val="-9"/>
        </w:rPr>
        <w:t xml:space="preserve"> </w:t>
      </w:r>
      <w:r w:rsidRPr="00D127C4">
        <w:t>forms</w:t>
      </w:r>
      <w:r w:rsidRPr="00D127C4">
        <w:rPr>
          <w:spacing w:val="-11"/>
        </w:rPr>
        <w:t xml:space="preserve"> </w:t>
      </w:r>
      <w:r w:rsidRPr="00D127C4">
        <w:t>of</w:t>
      </w:r>
      <w:r w:rsidRPr="00D127C4">
        <w:rPr>
          <w:spacing w:val="-10"/>
        </w:rPr>
        <w:t xml:space="preserve"> </w:t>
      </w:r>
      <w:r w:rsidRPr="00D127C4">
        <w:t>treatment</w:t>
      </w:r>
      <w:r w:rsidRPr="00D127C4">
        <w:rPr>
          <w:spacing w:val="-12"/>
        </w:rPr>
        <w:t xml:space="preserve"> </w:t>
      </w:r>
      <w:r w:rsidRPr="00D127C4">
        <w:t>available</w:t>
      </w:r>
      <w:r w:rsidRPr="00D127C4">
        <w:rPr>
          <w:spacing w:val="-13"/>
        </w:rPr>
        <w:t xml:space="preserve"> </w:t>
      </w:r>
      <w:r w:rsidRPr="00D127C4">
        <w:t>have</w:t>
      </w:r>
      <w:r w:rsidRPr="00D127C4">
        <w:rPr>
          <w:spacing w:val="-10"/>
        </w:rPr>
        <w:t xml:space="preserve"> </w:t>
      </w:r>
      <w:r w:rsidRPr="00D127C4">
        <w:t>been</w:t>
      </w:r>
      <w:r w:rsidRPr="00D127C4">
        <w:rPr>
          <w:spacing w:val="-12"/>
        </w:rPr>
        <w:t xml:space="preserve"> </w:t>
      </w:r>
      <w:r w:rsidRPr="00D127C4">
        <w:t>tried</w:t>
      </w:r>
      <w:r w:rsidRPr="00D127C4">
        <w:rPr>
          <w:spacing w:val="-12"/>
        </w:rPr>
        <w:t xml:space="preserve"> </w:t>
      </w:r>
      <w:r w:rsidRPr="00D127C4">
        <w:t>but</w:t>
      </w:r>
      <w:r w:rsidRPr="00D127C4">
        <w:rPr>
          <w:spacing w:val="-9"/>
        </w:rPr>
        <w:t xml:space="preserve"> </w:t>
      </w:r>
      <w:r w:rsidRPr="00D127C4">
        <w:t>have</w:t>
      </w:r>
      <w:r w:rsidRPr="00D127C4">
        <w:rPr>
          <w:spacing w:val="-16"/>
        </w:rPr>
        <w:t xml:space="preserve"> </w:t>
      </w:r>
      <w:r w:rsidRPr="00D127C4">
        <w:t>not</w:t>
      </w:r>
      <w:r w:rsidRPr="00D127C4">
        <w:rPr>
          <w:spacing w:val="-11"/>
        </w:rPr>
        <w:t xml:space="preserve"> </w:t>
      </w:r>
      <w:r w:rsidRPr="00D127C4">
        <w:t>been successful, or</w:t>
      </w:r>
    </w:p>
    <w:p w14:paraId="4A84653B" w14:textId="47F0707D" w:rsidR="00BC4E0F" w:rsidRPr="00BC4E0F" w:rsidRDefault="00BC4E0F" w:rsidP="00C44F6D">
      <w:pPr>
        <w:pStyle w:val="Bullet"/>
        <w:numPr>
          <w:ilvl w:val="1"/>
          <w:numId w:val="1"/>
        </w:numPr>
        <w:rPr>
          <w:rFonts w:ascii="Wingdings" w:hAnsi="Wingdings"/>
        </w:rPr>
      </w:pPr>
      <w:r w:rsidRPr="00D127C4">
        <w:t>the treatment is the most appropriate treatment reasonably</w:t>
      </w:r>
      <w:r w:rsidRPr="00D127C4">
        <w:rPr>
          <w:spacing w:val="-7"/>
        </w:rPr>
        <w:t xml:space="preserve"> </w:t>
      </w:r>
      <w:r w:rsidRPr="00D127C4">
        <w:t>available.</w:t>
      </w:r>
    </w:p>
    <w:p w14:paraId="7B7A4F26" w14:textId="4DB3F630" w:rsidR="00BC4E0F" w:rsidRPr="00BC4E0F" w:rsidRDefault="00BC4E0F" w:rsidP="00BC4E0F">
      <w:pPr>
        <w:pBdr>
          <w:top w:val="single" w:sz="4" w:space="1" w:color="auto"/>
          <w:left w:val="single" w:sz="4" w:space="4" w:color="auto"/>
          <w:bottom w:val="single" w:sz="4" w:space="1" w:color="auto"/>
          <w:right w:val="single" w:sz="4" w:space="4" w:color="auto"/>
        </w:pBdr>
      </w:pPr>
      <w:r w:rsidRPr="00D127C4">
        <w:rPr>
          <w:b/>
        </w:rPr>
        <w:t>N</w:t>
      </w:r>
      <w:r w:rsidR="00C44F6D">
        <w:rPr>
          <w:b/>
        </w:rPr>
        <w:t>ote</w:t>
      </w:r>
      <w:r w:rsidRPr="00D127C4">
        <w:t xml:space="preserve">: For a </w:t>
      </w:r>
      <w:r w:rsidR="00876416" w:rsidRPr="005F6480">
        <w:rPr>
          <w:rFonts w:asciiTheme="minorHAnsi" w:hAnsiTheme="minorHAnsi" w:cstheme="minorHAnsi"/>
          <w:szCs w:val="22"/>
        </w:rPr>
        <w:t>consumer</w:t>
      </w:r>
      <w:r w:rsidRPr="00D127C4">
        <w:t xml:space="preserve"> under 18 years of age, the application must be supported by another Consultant Psychiatrist. At least one of the Psychiatrists must be a Child and Adolescent Psychiatrist.</w:t>
      </w:r>
    </w:p>
    <w:p w14:paraId="18F9C030" w14:textId="556869D0" w:rsidR="00BC4E0F" w:rsidRPr="00523B0D" w:rsidRDefault="00BC4E0F" w:rsidP="00C44F6D">
      <w:pPr>
        <w:pStyle w:val="Heading6"/>
      </w:pPr>
      <w:r>
        <w:t>Submission</w:t>
      </w:r>
      <w:r w:rsidRPr="00523B0D">
        <w:t xml:space="preserve"> </w:t>
      </w:r>
      <w:r>
        <w:t xml:space="preserve">of application for </w:t>
      </w:r>
      <w:r w:rsidRPr="00523B0D">
        <w:t>ECT Orders</w:t>
      </w:r>
    </w:p>
    <w:p w14:paraId="10D66750" w14:textId="7460DB4F" w:rsidR="00D438C4" w:rsidRDefault="00D438C4" w:rsidP="00C44F6D">
      <w:pPr>
        <w:pStyle w:val="BodyCopy"/>
      </w:pPr>
      <w:r w:rsidRPr="00EF5A20">
        <w:t xml:space="preserve">A copy of the </w:t>
      </w:r>
      <w:r>
        <w:t xml:space="preserve">completed </w:t>
      </w:r>
      <w:r w:rsidRPr="00EF5A20">
        <w:t xml:space="preserve">ECT application is automatically sent to the </w:t>
      </w:r>
      <w:r>
        <w:t>Tribunal Liaison Officer’s (</w:t>
      </w:r>
      <w:r w:rsidRPr="00EF5A20">
        <w:t>TLO</w:t>
      </w:r>
      <w:r>
        <w:t>)</w:t>
      </w:r>
      <w:r w:rsidRPr="00EF5A20">
        <w:t xml:space="preserve"> in-basket once signed by a Delegate. </w:t>
      </w:r>
    </w:p>
    <w:p w14:paraId="7989E411" w14:textId="7C406601" w:rsidR="00D438C4" w:rsidRDefault="00D438C4" w:rsidP="00C44F6D">
      <w:pPr>
        <w:pStyle w:val="BodyCopy"/>
      </w:pPr>
      <w:r>
        <w:t xml:space="preserve">If the application is for emergency ECT, the </w:t>
      </w:r>
      <w:r w:rsidRPr="00EF5A20">
        <w:t xml:space="preserve">TLO will send </w:t>
      </w:r>
      <w:r>
        <w:t>to the C</w:t>
      </w:r>
      <w:r w:rsidRPr="00EF5A20">
        <w:t>hief Psychiatrist for endorsement (s160 MH Act).</w:t>
      </w:r>
      <w:r>
        <w:t xml:space="preserve"> If seeking an emergency ECT order, the Application to Waive the </w:t>
      </w:r>
      <w:r w:rsidRPr="00EF5A20">
        <w:t xml:space="preserve">3-day notice </w:t>
      </w:r>
      <w:r>
        <w:t xml:space="preserve">requirement (only for emergency ECT order) must be completed and </w:t>
      </w:r>
      <w:r w:rsidRPr="00EF5A20">
        <w:t>provided to the TLO</w:t>
      </w:r>
      <w:r>
        <w:t>, with the ECT and mental health order applications.</w:t>
      </w:r>
    </w:p>
    <w:p w14:paraId="39FF6327" w14:textId="21B02E86" w:rsidR="00D438C4" w:rsidRPr="00B53C13" w:rsidRDefault="00D438C4" w:rsidP="00D438C4">
      <w:pPr>
        <w:widowControl w:val="0"/>
        <w:autoSpaceDE w:val="0"/>
        <w:autoSpaceDN w:val="0"/>
        <w:ind w:right="-2"/>
        <w:rPr>
          <w:rFonts w:cs="Calibri"/>
          <w:bCs/>
          <w:i/>
        </w:rPr>
      </w:pPr>
      <w:r w:rsidRPr="00EF5A20">
        <w:rPr>
          <w:rFonts w:cs="Calibri"/>
          <w:bCs/>
          <w:iCs/>
        </w:rPr>
        <w:t xml:space="preserve">If a current mental health order is not in place, an application for a mental health order </w:t>
      </w:r>
      <w:r>
        <w:rPr>
          <w:rFonts w:cs="Calibri"/>
          <w:bCs/>
          <w:iCs/>
        </w:rPr>
        <w:t xml:space="preserve">is </w:t>
      </w:r>
      <w:r w:rsidRPr="00EF5A20">
        <w:rPr>
          <w:rFonts w:cs="Calibri"/>
          <w:bCs/>
          <w:iCs/>
        </w:rPr>
        <w:t xml:space="preserve">also required, if the </w:t>
      </w:r>
      <w:r w:rsidR="00876416" w:rsidRPr="005F6480">
        <w:rPr>
          <w:rFonts w:asciiTheme="minorHAnsi" w:hAnsiTheme="minorHAnsi" w:cstheme="minorHAnsi"/>
          <w:szCs w:val="22"/>
        </w:rPr>
        <w:t>consumer</w:t>
      </w:r>
      <w:r w:rsidRPr="00EF5A20">
        <w:rPr>
          <w:rFonts w:cs="Calibri"/>
          <w:bCs/>
          <w:iCs/>
        </w:rPr>
        <w:t xml:space="preserve"> does not consent (consent not included in ACD), refuses or resists the ECT, s149(3)(b)(</w:t>
      </w:r>
      <w:proofErr w:type="spellStart"/>
      <w:r w:rsidRPr="00EF5A20">
        <w:rPr>
          <w:rFonts w:cs="Calibri"/>
          <w:bCs/>
          <w:iCs/>
        </w:rPr>
        <w:t>i</w:t>
      </w:r>
      <w:proofErr w:type="spellEnd"/>
      <w:r w:rsidRPr="00EF5A20">
        <w:rPr>
          <w:rFonts w:cs="Calibri"/>
          <w:bCs/>
          <w:iCs/>
        </w:rPr>
        <w:t>) &amp; s151(2)(b)(</w:t>
      </w:r>
      <w:proofErr w:type="spellStart"/>
      <w:r w:rsidRPr="00EF5A20">
        <w:rPr>
          <w:rFonts w:cs="Calibri"/>
          <w:bCs/>
          <w:iCs/>
        </w:rPr>
        <w:t>i</w:t>
      </w:r>
      <w:proofErr w:type="spellEnd"/>
      <w:r w:rsidRPr="00EF5A20">
        <w:rPr>
          <w:rFonts w:cs="Calibri"/>
          <w:bCs/>
          <w:iCs/>
        </w:rPr>
        <w:t>) of the MH Act.</w:t>
      </w:r>
      <w:r>
        <w:rPr>
          <w:rFonts w:cs="Calibri"/>
          <w:bCs/>
          <w:iCs/>
        </w:rPr>
        <w:t xml:space="preserve"> </w:t>
      </w:r>
      <w:r w:rsidRPr="00B53C13">
        <w:rPr>
          <w:rFonts w:cs="Calibri"/>
          <w:bCs/>
          <w:i/>
        </w:rPr>
        <w:t>(see process outlined in Care of persons subject to a Psychiatric Treatment Order (PTO) with or without a Re</w:t>
      </w:r>
      <w:r>
        <w:rPr>
          <w:rFonts w:cs="Calibri"/>
          <w:bCs/>
          <w:i/>
        </w:rPr>
        <w:t>s</w:t>
      </w:r>
      <w:r w:rsidRPr="00B53C13">
        <w:rPr>
          <w:rFonts w:cs="Calibri"/>
          <w:bCs/>
          <w:i/>
        </w:rPr>
        <w:t xml:space="preserve">triction Order (RO) procedure. </w:t>
      </w:r>
    </w:p>
    <w:p w14:paraId="22284A8A" w14:textId="29FE50EB" w:rsidR="00BC4E0F" w:rsidRDefault="00BC4E0F" w:rsidP="00BC4E0F">
      <w:pPr>
        <w:pStyle w:val="Heading5"/>
        <w:spacing w:before="120" w:beforeAutospacing="0"/>
      </w:pPr>
      <w:r>
        <w:t>6.</w:t>
      </w:r>
      <w:r w:rsidR="00C90FE3">
        <w:t>2</w:t>
      </w:r>
      <w:r>
        <w:t xml:space="preserve"> Content of an ECT Order or an Emergency ECT Order  </w:t>
      </w:r>
    </w:p>
    <w:p w14:paraId="16E13A82" w14:textId="77777777" w:rsidR="00BC4E0F" w:rsidRPr="00553400" w:rsidRDefault="00BC4E0F" w:rsidP="00C44F6D">
      <w:pPr>
        <w:pStyle w:val="Heading6"/>
      </w:pPr>
      <w:r w:rsidRPr="00553400">
        <w:t>ECT Orders</w:t>
      </w:r>
    </w:p>
    <w:p w14:paraId="598E4160" w14:textId="77777777" w:rsidR="00BC4E0F" w:rsidRPr="00D127C4" w:rsidRDefault="00BC4E0F" w:rsidP="00BC4E0F">
      <w:pPr>
        <w:spacing w:after="120"/>
      </w:pPr>
      <w:r w:rsidRPr="00D127C4">
        <w:t>The ECT Order must state:</w:t>
      </w:r>
    </w:p>
    <w:p w14:paraId="416EE9E6" w14:textId="77777777" w:rsidR="00BC4E0F" w:rsidRPr="00D127C4" w:rsidRDefault="00BC4E0F" w:rsidP="00C44F6D">
      <w:pPr>
        <w:pStyle w:val="Bullet"/>
        <w:rPr>
          <w:rFonts w:ascii="Symbol" w:hAnsi="Symbol"/>
        </w:rPr>
      </w:pPr>
      <w:r w:rsidRPr="00D127C4">
        <w:t>the reasons that the ACAT believes that an ECT Order is justifiable,</w:t>
      </w:r>
      <w:r w:rsidRPr="00D127C4">
        <w:rPr>
          <w:spacing w:val="-6"/>
        </w:rPr>
        <w:t xml:space="preserve"> </w:t>
      </w:r>
      <w:r w:rsidRPr="00D127C4">
        <w:t>and</w:t>
      </w:r>
    </w:p>
    <w:p w14:paraId="1A8BF0F1" w14:textId="0AE849EA" w:rsidR="00BC4E0F" w:rsidRPr="00AE395D" w:rsidRDefault="00BC4E0F" w:rsidP="00C44F6D">
      <w:pPr>
        <w:pStyle w:val="Bullet"/>
      </w:pPr>
      <w:r w:rsidRPr="00D127C4">
        <w:t>the maximum number of times ECT may be administered under the Order (no more than nine).</w:t>
      </w:r>
    </w:p>
    <w:p w14:paraId="60885B36" w14:textId="566FF4E4" w:rsidR="00BC4E0F" w:rsidRPr="00553400" w:rsidRDefault="00BC4E0F" w:rsidP="00C44F6D">
      <w:pPr>
        <w:pStyle w:val="Heading6"/>
      </w:pPr>
      <w:r w:rsidRPr="00553400">
        <w:t>Emergency ECT</w:t>
      </w:r>
      <w:r w:rsidRPr="00553400">
        <w:rPr>
          <w:spacing w:val="1"/>
        </w:rPr>
        <w:t xml:space="preserve"> </w:t>
      </w:r>
      <w:r w:rsidRPr="00553400">
        <w:t>Orders</w:t>
      </w:r>
    </w:p>
    <w:p w14:paraId="6A201CA1" w14:textId="77777777" w:rsidR="00BC4E0F" w:rsidRPr="00D127C4" w:rsidRDefault="00BC4E0F" w:rsidP="00223B32">
      <w:pPr>
        <w:pStyle w:val="BodyCopy"/>
      </w:pPr>
      <w:r w:rsidRPr="00D127C4">
        <w:t>The Emergency ECT Order must state:</w:t>
      </w:r>
    </w:p>
    <w:p w14:paraId="6CF7298C" w14:textId="2012BE66" w:rsidR="00BC4E0F" w:rsidRPr="00D127C4" w:rsidRDefault="00BC4E0F" w:rsidP="00223B32">
      <w:pPr>
        <w:pStyle w:val="Bullet"/>
        <w:rPr>
          <w:rFonts w:ascii="Symbol" w:hAnsi="Symbol"/>
        </w:rPr>
      </w:pPr>
      <w:r w:rsidRPr="00D127C4">
        <w:t xml:space="preserve">that ECT may be administered to the </w:t>
      </w:r>
      <w:r w:rsidR="00F65B86" w:rsidRPr="005F6480">
        <w:rPr>
          <w:rFonts w:asciiTheme="minorHAnsi" w:hAnsiTheme="minorHAnsi" w:cstheme="minorHAnsi"/>
          <w:szCs w:val="22"/>
        </w:rPr>
        <w:t>consumer</w:t>
      </w:r>
      <w:r w:rsidRPr="00D127C4">
        <w:t xml:space="preserve"> a stated number of times (not more</w:t>
      </w:r>
      <w:r w:rsidRPr="00D127C4">
        <w:rPr>
          <w:spacing w:val="-39"/>
        </w:rPr>
        <w:t xml:space="preserve"> </w:t>
      </w:r>
      <w:r w:rsidRPr="00D127C4">
        <w:t>than three), and</w:t>
      </w:r>
    </w:p>
    <w:p w14:paraId="1DAD7234" w14:textId="107C7FD8" w:rsidR="00BC4E0F" w:rsidRPr="00BC4E0F" w:rsidRDefault="00BC4E0F" w:rsidP="00223B32">
      <w:pPr>
        <w:pStyle w:val="Bullet"/>
        <w:rPr>
          <w:rFonts w:ascii="Symbol" w:hAnsi="Symbol"/>
        </w:rPr>
      </w:pPr>
      <w:r w:rsidRPr="00D127C4">
        <w:t>the order expires in a stated number of days (not more than</w:t>
      </w:r>
      <w:r w:rsidRPr="00D127C4">
        <w:rPr>
          <w:spacing w:val="-11"/>
        </w:rPr>
        <w:t xml:space="preserve"> </w:t>
      </w:r>
      <w:r w:rsidRPr="00D127C4">
        <w:t>seven).</w:t>
      </w:r>
    </w:p>
    <w:p w14:paraId="74C222DA" w14:textId="5EF0591B" w:rsidR="00BC4E0F" w:rsidRDefault="00BC4E0F" w:rsidP="00F07520">
      <w:pPr>
        <w:pBdr>
          <w:top w:val="single" w:sz="4" w:space="1" w:color="auto"/>
          <w:left w:val="single" w:sz="4" w:space="4" w:color="auto"/>
          <w:bottom w:val="single" w:sz="4" w:space="1" w:color="auto"/>
          <w:right w:val="single" w:sz="4" w:space="0" w:color="auto"/>
        </w:pBdr>
        <w:spacing w:after="120"/>
      </w:pPr>
      <w:r w:rsidRPr="00AE395D">
        <w:rPr>
          <w:b/>
        </w:rPr>
        <w:t>N</w:t>
      </w:r>
      <w:r w:rsidR="00223B32">
        <w:rPr>
          <w:b/>
        </w:rPr>
        <w:t>ote</w:t>
      </w:r>
      <w:r w:rsidRPr="00D127C4">
        <w:t>: If an ECT Order is granted while an Emergency ECT Order is in place, the Emergency ECT Order ceases to be in force.</w:t>
      </w:r>
    </w:p>
    <w:p w14:paraId="3D0193AD" w14:textId="56C00C37" w:rsidR="00BC4E0F" w:rsidRPr="00BC4E0F" w:rsidRDefault="00BC4E0F" w:rsidP="00BC4E0F">
      <w:pPr>
        <w:pStyle w:val="BodyCopy"/>
      </w:pPr>
      <w:hyperlink w:anchor="_top" w:history="1">
        <w:r w:rsidRPr="00481A6C">
          <w:rPr>
            <w:rStyle w:val="Hyperlink"/>
            <w:iCs w:val="0"/>
          </w:rPr>
          <w:t>Back to Contents</w:t>
        </w:r>
      </w:hyperlink>
    </w:p>
    <w:p w14:paraId="0A1C6E03" w14:textId="4FB3F9BE" w:rsidR="00BC4E0F" w:rsidRDefault="00BC4E0F" w:rsidP="00BC4E0F">
      <w:pPr>
        <w:pStyle w:val="Heading4"/>
      </w:pPr>
      <w:bookmarkStart w:id="21" w:name="_Toc204357997"/>
      <w:r>
        <w:t xml:space="preserve">Section 7 – Preparation of a </w:t>
      </w:r>
      <w:r w:rsidR="00F65B86">
        <w:rPr>
          <w:rFonts w:asciiTheme="minorHAnsi" w:hAnsiTheme="minorHAnsi" w:cstheme="minorHAnsi"/>
          <w:szCs w:val="22"/>
        </w:rPr>
        <w:t>C</w:t>
      </w:r>
      <w:r w:rsidR="00F65B86" w:rsidRPr="005F6480">
        <w:rPr>
          <w:rFonts w:asciiTheme="minorHAnsi" w:hAnsiTheme="minorHAnsi" w:cstheme="minorHAnsi"/>
          <w:szCs w:val="22"/>
        </w:rPr>
        <w:t>onsumer</w:t>
      </w:r>
      <w:r>
        <w:t xml:space="preserve"> for ECT</w:t>
      </w:r>
      <w:bookmarkEnd w:id="21"/>
      <w:r>
        <w:t xml:space="preserve"> </w:t>
      </w:r>
    </w:p>
    <w:p w14:paraId="552EDFDE" w14:textId="58FD569E" w:rsidR="00BC4E0F" w:rsidRDefault="00BC4E0F" w:rsidP="00BC4E0F">
      <w:pPr>
        <w:pStyle w:val="Heading5"/>
        <w:spacing w:before="120" w:beforeAutospacing="0"/>
      </w:pPr>
      <w:r>
        <w:t xml:space="preserve">7.1 Pre – ECT work up </w:t>
      </w:r>
    </w:p>
    <w:p w14:paraId="709AE0F6" w14:textId="7DC6AC21" w:rsidR="00BC4E0F" w:rsidRPr="00BC4E0F" w:rsidRDefault="00BC4E0F" w:rsidP="00BC4E0F">
      <w:r w:rsidRPr="12B3BCEA">
        <w:t xml:space="preserve">The treating team is responsible for preparing the </w:t>
      </w:r>
      <w:r w:rsidR="00F65B86" w:rsidRPr="005F6480">
        <w:rPr>
          <w:rFonts w:asciiTheme="minorHAnsi" w:hAnsiTheme="minorHAnsi" w:cstheme="minorHAnsi"/>
          <w:szCs w:val="22"/>
        </w:rPr>
        <w:t>consumer</w:t>
      </w:r>
      <w:r w:rsidRPr="12B3BCEA">
        <w:t xml:space="preserve"> for ECT. This includes ensuring that a comprehensive psychiatric and physical health assessment is carried out and thein the DHR, is completed by the Prescribing Consultant Psychiatrist or Psychiatric Registrar.</w:t>
      </w:r>
    </w:p>
    <w:p w14:paraId="00B533C2" w14:textId="77777777" w:rsidR="00BC4E0F" w:rsidRPr="00AF1ECF" w:rsidRDefault="00BC4E0F" w:rsidP="00223B32">
      <w:pPr>
        <w:pStyle w:val="Heading6"/>
      </w:pPr>
      <w:r w:rsidRPr="00AF1ECF">
        <w:t>Comprehensive physical</w:t>
      </w:r>
      <w:r w:rsidRPr="00AF1ECF">
        <w:rPr>
          <w:spacing w:val="2"/>
        </w:rPr>
        <w:t xml:space="preserve"> </w:t>
      </w:r>
      <w:r w:rsidRPr="00AF1ECF">
        <w:t>examination</w:t>
      </w:r>
    </w:p>
    <w:p w14:paraId="0E7C7ED6" w14:textId="5CF6DA1D" w:rsidR="00BC4E0F" w:rsidRPr="00BC4E0F" w:rsidRDefault="00BC4E0F" w:rsidP="00BC4E0F">
      <w:pPr>
        <w:spacing w:after="120"/>
      </w:pPr>
      <w:r w:rsidRPr="003B4412">
        <w:t>A comprehensive physical examination</w:t>
      </w:r>
      <w:r>
        <w:t xml:space="preserve"> of the </w:t>
      </w:r>
      <w:r w:rsidR="00F65B86" w:rsidRPr="005F6480">
        <w:rPr>
          <w:rFonts w:asciiTheme="minorHAnsi" w:hAnsiTheme="minorHAnsi" w:cstheme="minorHAnsi"/>
          <w:szCs w:val="22"/>
        </w:rPr>
        <w:t>consumer</w:t>
      </w:r>
      <w:r w:rsidRPr="003B4412">
        <w:t xml:space="preserve"> must be conducted and documented in </w:t>
      </w:r>
      <w:r>
        <w:t xml:space="preserve">the </w:t>
      </w:r>
      <w:r w:rsidR="00F65B86" w:rsidRPr="005F6480">
        <w:rPr>
          <w:rFonts w:asciiTheme="minorHAnsi" w:hAnsiTheme="minorHAnsi" w:cstheme="minorHAnsi"/>
          <w:szCs w:val="22"/>
        </w:rPr>
        <w:t>consumer</w:t>
      </w:r>
      <w:r>
        <w:t>’s DHR</w:t>
      </w:r>
      <w:r w:rsidRPr="003B4412">
        <w:t>.</w:t>
      </w:r>
    </w:p>
    <w:p w14:paraId="68BAE7C4" w14:textId="051A7DA1" w:rsidR="00BC4E0F" w:rsidRPr="00BC4E0F" w:rsidRDefault="00BC4E0F" w:rsidP="00BC4E0F">
      <w:pPr>
        <w:spacing w:after="120"/>
      </w:pPr>
      <w:r w:rsidRPr="003B4412">
        <w:t xml:space="preserve">Attention should be given to the </w:t>
      </w:r>
      <w:r w:rsidR="00F65B86" w:rsidRPr="005F6480">
        <w:rPr>
          <w:rFonts w:asciiTheme="minorHAnsi" w:hAnsiTheme="minorHAnsi" w:cstheme="minorHAnsi"/>
          <w:szCs w:val="22"/>
        </w:rPr>
        <w:t>consumer</w:t>
      </w:r>
      <w:r w:rsidRPr="003B4412">
        <w:t>’s current medications, particular medications that may affect seizure threshold, i.e. benzodiazepines, mood stabilisers, Lithium antipsychotics, antidepressants and cholinesterase inhibitors. These medications interfere with seizure threshold, seizure propagation and alter the neuro-behavioural effects of ECT. Treating Psychiatrist should review medication regime before and during the course of ECT.</w:t>
      </w:r>
    </w:p>
    <w:p w14:paraId="655A39B2" w14:textId="5DB7BBBD" w:rsidR="00BC4E0F" w:rsidRPr="003B4412" w:rsidRDefault="00BC4E0F" w:rsidP="00BC4E0F">
      <w:pPr>
        <w:spacing w:after="120"/>
      </w:pPr>
      <w:r w:rsidRPr="032493B3">
        <w:t xml:space="preserve">Vigilance should be paid to the following </w:t>
      </w:r>
      <w:r w:rsidR="00F91505" w:rsidRPr="032493B3">
        <w:t>high-risk</w:t>
      </w:r>
      <w:r w:rsidRPr="032493B3">
        <w:t xml:space="preserve"> comorbidities:</w:t>
      </w:r>
    </w:p>
    <w:p w14:paraId="5164464B" w14:textId="77777777" w:rsidR="00BC4E0F" w:rsidRPr="003B4412" w:rsidRDefault="00BC4E0F" w:rsidP="00223B32">
      <w:pPr>
        <w:pStyle w:val="Bullet"/>
        <w:rPr>
          <w:rFonts w:ascii="Symbol" w:hAnsi="Symbol"/>
        </w:rPr>
      </w:pPr>
      <w:r w:rsidRPr="003B4412">
        <w:t>Bradycardia and</w:t>
      </w:r>
      <w:r w:rsidRPr="003B4412">
        <w:rPr>
          <w:spacing w:val="-1"/>
        </w:rPr>
        <w:t xml:space="preserve"> </w:t>
      </w:r>
      <w:r w:rsidRPr="003B4412">
        <w:t>bradyarrhythmia’s</w:t>
      </w:r>
    </w:p>
    <w:p w14:paraId="0EE982EA" w14:textId="77777777" w:rsidR="00BC4E0F" w:rsidRPr="003B4412" w:rsidRDefault="00BC4E0F" w:rsidP="00223B32">
      <w:pPr>
        <w:pStyle w:val="Bullet"/>
        <w:rPr>
          <w:rFonts w:ascii="Symbol" w:hAnsi="Symbol"/>
        </w:rPr>
      </w:pPr>
      <w:r w:rsidRPr="003B4412">
        <w:t>Poorly controlled</w:t>
      </w:r>
      <w:r w:rsidRPr="003B4412">
        <w:rPr>
          <w:spacing w:val="-1"/>
        </w:rPr>
        <w:t xml:space="preserve"> </w:t>
      </w:r>
      <w:r w:rsidRPr="003B4412">
        <w:t>hypertension</w:t>
      </w:r>
    </w:p>
    <w:p w14:paraId="2F50126A" w14:textId="77777777" w:rsidR="00BC4E0F" w:rsidRPr="003B4412" w:rsidRDefault="00BC4E0F" w:rsidP="00223B32">
      <w:pPr>
        <w:pStyle w:val="Bullet"/>
        <w:rPr>
          <w:rFonts w:ascii="Symbol" w:hAnsi="Symbol"/>
        </w:rPr>
      </w:pPr>
      <w:r w:rsidRPr="003B4412">
        <w:t>Myocardial ischemia especially recent myocardial</w:t>
      </w:r>
      <w:r w:rsidRPr="003B4412">
        <w:rPr>
          <w:spacing w:val="-5"/>
        </w:rPr>
        <w:t xml:space="preserve"> </w:t>
      </w:r>
      <w:r w:rsidRPr="003B4412">
        <w:t>infarction</w:t>
      </w:r>
    </w:p>
    <w:p w14:paraId="2DDF4A52" w14:textId="77777777" w:rsidR="00BC4E0F" w:rsidRPr="003B4412" w:rsidRDefault="00BC4E0F" w:rsidP="00223B32">
      <w:pPr>
        <w:pStyle w:val="Bullet"/>
        <w:rPr>
          <w:rFonts w:ascii="Symbol" w:hAnsi="Symbol"/>
        </w:rPr>
      </w:pPr>
      <w:r w:rsidRPr="003B4412">
        <w:t>Cerebrovascular accident (CVA) (depression associated with severe stroke may respond to ECT)</w:t>
      </w:r>
    </w:p>
    <w:p w14:paraId="6A32EF26" w14:textId="77777777" w:rsidR="00BC4E0F" w:rsidRPr="003B4412" w:rsidRDefault="00BC4E0F" w:rsidP="00223B32">
      <w:pPr>
        <w:pStyle w:val="Bullet"/>
        <w:rPr>
          <w:rFonts w:ascii="Symbol" w:hAnsi="Symbol"/>
        </w:rPr>
      </w:pPr>
      <w:r w:rsidRPr="003B4412">
        <w:t>Raised intracranial</w:t>
      </w:r>
      <w:r w:rsidRPr="003B4412">
        <w:rPr>
          <w:spacing w:val="2"/>
        </w:rPr>
        <w:t xml:space="preserve"> </w:t>
      </w:r>
      <w:r w:rsidRPr="003B4412">
        <w:t>pressure</w:t>
      </w:r>
    </w:p>
    <w:p w14:paraId="3F0D69F5" w14:textId="77777777" w:rsidR="00BC4E0F" w:rsidRPr="003B4412" w:rsidRDefault="00BC4E0F" w:rsidP="00223B32">
      <w:pPr>
        <w:pStyle w:val="Bullet"/>
        <w:rPr>
          <w:rFonts w:ascii="Symbol" w:hAnsi="Symbol"/>
        </w:rPr>
      </w:pPr>
      <w:r w:rsidRPr="003B4412">
        <w:t>Epilepsy</w:t>
      </w:r>
    </w:p>
    <w:p w14:paraId="00A6BE17" w14:textId="77777777" w:rsidR="00BC4E0F" w:rsidRPr="003B4412" w:rsidRDefault="00BC4E0F" w:rsidP="00223B32">
      <w:pPr>
        <w:pStyle w:val="Bullet"/>
        <w:rPr>
          <w:rFonts w:ascii="Symbol" w:hAnsi="Symbol"/>
        </w:rPr>
      </w:pPr>
      <w:r w:rsidRPr="003B4412">
        <w:t>Addison’s</w:t>
      </w:r>
      <w:r w:rsidRPr="003B4412">
        <w:rPr>
          <w:spacing w:val="-1"/>
        </w:rPr>
        <w:t xml:space="preserve"> </w:t>
      </w:r>
      <w:r w:rsidRPr="003B4412">
        <w:t>disease</w:t>
      </w:r>
    </w:p>
    <w:p w14:paraId="17D722EB" w14:textId="77777777" w:rsidR="00BC4E0F" w:rsidRPr="003B4412" w:rsidRDefault="00BC4E0F" w:rsidP="00223B32">
      <w:pPr>
        <w:pStyle w:val="Bullet"/>
        <w:rPr>
          <w:rFonts w:ascii="Symbol" w:hAnsi="Symbol"/>
        </w:rPr>
      </w:pPr>
      <w:r w:rsidRPr="003B4412">
        <w:t>Phaeochromocytoma</w:t>
      </w:r>
    </w:p>
    <w:p w14:paraId="33634B71" w14:textId="77777777" w:rsidR="00BC4E0F" w:rsidRPr="003B4412" w:rsidRDefault="00BC4E0F" w:rsidP="00223B32">
      <w:pPr>
        <w:pStyle w:val="Bullet"/>
        <w:rPr>
          <w:rFonts w:ascii="Symbol" w:hAnsi="Symbol"/>
        </w:rPr>
      </w:pPr>
      <w:r w:rsidRPr="003B4412">
        <w:t>Thyroid</w:t>
      </w:r>
      <w:r w:rsidRPr="003B4412">
        <w:rPr>
          <w:spacing w:val="-2"/>
        </w:rPr>
        <w:t xml:space="preserve"> </w:t>
      </w:r>
      <w:r w:rsidRPr="003B4412">
        <w:t>disease</w:t>
      </w:r>
    </w:p>
    <w:p w14:paraId="03520AA1" w14:textId="77777777" w:rsidR="00BC4E0F" w:rsidRPr="003B4412" w:rsidRDefault="00BC4E0F" w:rsidP="00223B32">
      <w:pPr>
        <w:pStyle w:val="Bullet"/>
        <w:rPr>
          <w:rFonts w:ascii="Symbol" w:hAnsi="Symbol"/>
        </w:rPr>
      </w:pPr>
      <w:r w:rsidRPr="003B4412">
        <w:t>Diabetes</w:t>
      </w:r>
    </w:p>
    <w:p w14:paraId="7D6E72C7" w14:textId="77777777" w:rsidR="00BC4E0F" w:rsidRPr="003B4412" w:rsidRDefault="00BC4E0F" w:rsidP="00223B32">
      <w:pPr>
        <w:pStyle w:val="Bullet"/>
        <w:rPr>
          <w:rFonts w:ascii="Symbol" w:hAnsi="Symbol"/>
        </w:rPr>
      </w:pPr>
      <w:r w:rsidRPr="003B4412">
        <w:t>Electrolyte abnormalities, and</w:t>
      </w:r>
    </w:p>
    <w:p w14:paraId="663F0991" w14:textId="02EDF69B" w:rsidR="00BC4E0F" w:rsidRPr="00BC4E0F" w:rsidRDefault="00BC4E0F" w:rsidP="00223B32">
      <w:pPr>
        <w:pStyle w:val="Bullet"/>
        <w:rPr>
          <w:rFonts w:ascii="Symbol" w:hAnsi="Symbol"/>
        </w:rPr>
      </w:pPr>
      <w:r w:rsidRPr="003B4412">
        <w:t>Obstructive airways</w:t>
      </w:r>
      <w:r w:rsidRPr="003B4412">
        <w:rPr>
          <w:spacing w:val="-1"/>
        </w:rPr>
        <w:t xml:space="preserve"> </w:t>
      </w:r>
      <w:r w:rsidRPr="003B4412">
        <w:t>disease.</w:t>
      </w:r>
    </w:p>
    <w:p w14:paraId="1B5EF8EA" w14:textId="6ACB4930" w:rsidR="00BC4E0F" w:rsidRPr="003B4412" w:rsidRDefault="00BC4E0F" w:rsidP="00BC4E0F">
      <w:pPr>
        <w:spacing w:after="120"/>
      </w:pPr>
      <w:r w:rsidRPr="032493B3">
        <w:t>Clinical investigations should be considered as individually appropriate. Investigations that may routinely be performed prior to ECT include:</w:t>
      </w:r>
    </w:p>
    <w:p w14:paraId="257FD870" w14:textId="77777777" w:rsidR="00BC4E0F" w:rsidRPr="003B4412" w:rsidRDefault="00BC4E0F" w:rsidP="00223B32">
      <w:pPr>
        <w:pStyle w:val="Bullet"/>
        <w:rPr>
          <w:rFonts w:ascii="Symbol" w:hAnsi="Symbol"/>
        </w:rPr>
      </w:pPr>
      <w:r w:rsidRPr="003B4412">
        <w:t>A full blood</w:t>
      </w:r>
      <w:r w:rsidRPr="003B4412">
        <w:rPr>
          <w:spacing w:val="-1"/>
        </w:rPr>
        <w:t xml:space="preserve"> </w:t>
      </w:r>
      <w:r w:rsidRPr="003B4412">
        <w:t>count</w:t>
      </w:r>
    </w:p>
    <w:p w14:paraId="349F19B4" w14:textId="77777777" w:rsidR="00BC4E0F" w:rsidRPr="003B4412" w:rsidRDefault="00BC4E0F" w:rsidP="00223B32">
      <w:pPr>
        <w:pStyle w:val="Bullet"/>
        <w:rPr>
          <w:rFonts w:ascii="Symbol" w:hAnsi="Symbol"/>
        </w:rPr>
      </w:pPr>
      <w:r w:rsidRPr="003B4412">
        <w:t>Urea and /electrolytes test</w:t>
      </w:r>
    </w:p>
    <w:p w14:paraId="56A9E023" w14:textId="77777777" w:rsidR="00BC4E0F" w:rsidRPr="003B4412" w:rsidRDefault="00BC4E0F" w:rsidP="00223B32">
      <w:pPr>
        <w:pStyle w:val="Bullet"/>
        <w:rPr>
          <w:rFonts w:ascii="Symbol" w:hAnsi="Symbol"/>
        </w:rPr>
      </w:pPr>
      <w:r w:rsidRPr="003B4412">
        <w:t>Electrocardiogram</w:t>
      </w:r>
      <w:r w:rsidRPr="003B4412">
        <w:rPr>
          <w:spacing w:val="1"/>
        </w:rPr>
        <w:t xml:space="preserve"> </w:t>
      </w:r>
      <w:r w:rsidRPr="003B4412">
        <w:t>(ECG)</w:t>
      </w:r>
    </w:p>
    <w:p w14:paraId="36FFC602" w14:textId="2C1BA4C1" w:rsidR="00BC4E0F" w:rsidRPr="00BC4E0F" w:rsidRDefault="00BC4E0F" w:rsidP="00223B32">
      <w:pPr>
        <w:pStyle w:val="Bullet"/>
      </w:pPr>
      <w:r w:rsidRPr="00AF1ECF">
        <w:t>Chest X-ray and Neuroimaging may be undertaken if clinically indicated.</w:t>
      </w:r>
    </w:p>
    <w:p w14:paraId="1E7FC804" w14:textId="41F9A167" w:rsidR="00BC4E0F" w:rsidRPr="00BC4E0F" w:rsidRDefault="00BC4E0F" w:rsidP="00223B32">
      <w:pPr>
        <w:pStyle w:val="BodyCopy"/>
        <w:pBdr>
          <w:top w:val="single" w:sz="4" w:space="1" w:color="auto"/>
          <w:left w:val="single" w:sz="4" w:space="4" w:color="auto"/>
          <w:bottom w:val="single" w:sz="4" w:space="1" w:color="auto"/>
          <w:right w:val="single" w:sz="4" w:space="4" w:color="auto"/>
        </w:pBdr>
      </w:pPr>
      <w:r w:rsidRPr="003B4412">
        <w:rPr>
          <w:b/>
        </w:rPr>
        <w:t>NOTE</w:t>
      </w:r>
      <w:r w:rsidRPr="003B4412">
        <w:t xml:space="preserve">: An ECG and serum potassium test provide important information on the risk of cardiac arrhythmias that is not always available from the </w:t>
      </w:r>
      <w:r w:rsidR="00F65B86" w:rsidRPr="005F6480">
        <w:rPr>
          <w:rFonts w:asciiTheme="minorHAnsi" w:hAnsiTheme="minorHAnsi" w:cstheme="minorHAnsi"/>
          <w:szCs w:val="22"/>
        </w:rPr>
        <w:t>consumer</w:t>
      </w:r>
      <w:r w:rsidRPr="003B4412">
        <w:t>’s history and examination.</w:t>
      </w:r>
    </w:p>
    <w:p w14:paraId="27290DBB" w14:textId="77777777" w:rsidR="00BC4E0F" w:rsidRPr="00AF1ECF" w:rsidRDefault="00BC4E0F" w:rsidP="00223B32">
      <w:pPr>
        <w:pStyle w:val="Heading6"/>
      </w:pPr>
      <w:r w:rsidRPr="00AF1ECF">
        <w:lastRenderedPageBreak/>
        <w:t>Cognitive</w:t>
      </w:r>
      <w:r w:rsidRPr="00AF1ECF">
        <w:rPr>
          <w:spacing w:val="-6"/>
        </w:rPr>
        <w:t xml:space="preserve"> </w:t>
      </w:r>
      <w:r w:rsidRPr="00AF1ECF">
        <w:t>Assessment</w:t>
      </w:r>
    </w:p>
    <w:p w14:paraId="6D009553" w14:textId="77777777" w:rsidR="00BC4E0F" w:rsidRPr="003B4412" w:rsidRDefault="00BC4E0F" w:rsidP="00BC4E0F">
      <w:pPr>
        <w:spacing w:after="120"/>
      </w:pPr>
      <w:r w:rsidRPr="003B4412">
        <w:t>An appropriate rating scale should be used to conduct a baseline cognitive examination. Appropriate examinations include</w:t>
      </w:r>
      <w:r w:rsidRPr="003B4412">
        <w:rPr>
          <w:spacing w:val="-3"/>
        </w:rPr>
        <w:t xml:space="preserve"> </w:t>
      </w:r>
      <w:r w:rsidRPr="003B4412">
        <w:t>the:</w:t>
      </w:r>
    </w:p>
    <w:p w14:paraId="4A6D7B8D" w14:textId="77777777" w:rsidR="00BC4E0F" w:rsidRPr="003B4412" w:rsidRDefault="00BC4E0F" w:rsidP="00223B32">
      <w:pPr>
        <w:pStyle w:val="Bullet"/>
        <w:rPr>
          <w:rFonts w:ascii="Symbol" w:hAnsi="Symbol"/>
        </w:rPr>
      </w:pPr>
      <w:r w:rsidRPr="003B4412">
        <w:t>Montreal Cognitive Assessment</w:t>
      </w:r>
      <w:r w:rsidRPr="003B4412">
        <w:rPr>
          <w:spacing w:val="3"/>
        </w:rPr>
        <w:t xml:space="preserve"> </w:t>
      </w:r>
      <w:r w:rsidRPr="003B4412">
        <w:t>(MOCA)</w:t>
      </w:r>
    </w:p>
    <w:p w14:paraId="6529A75D" w14:textId="77777777" w:rsidR="00BC4E0F" w:rsidRPr="003B4412" w:rsidRDefault="00BC4E0F" w:rsidP="00223B32">
      <w:pPr>
        <w:pStyle w:val="Bullet"/>
        <w:rPr>
          <w:rFonts w:ascii="Symbol" w:hAnsi="Symbol"/>
        </w:rPr>
      </w:pPr>
      <w:r w:rsidRPr="003B4412">
        <w:t>Rowland Universal Dementia Assessment Scale (RUDAS) – a Multicultural Cognitive Assessment Scale,</w:t>
      </w:r>
    </w:p>
    <w:p w14:paraId="0A067E25" w14:textId="77777777" w:rsidR="00BC4E0F" w:rsidRPr="003B4412" w:rsidRDefault="00BC4E0F" w:rsidP="00223B32">
      <w:pPr>
        <w:pStyle w:val="Bullet"/>
        <w:rPr>
          <w:rFonts w:ascii="Symbol" w:hAnsi="Symbol"/>
        </w:rPr>
      </w:pPr>
      <w:r w:rsidRPr="003B4412">
        <w:t>Kimberly Indigenous Cognitive Assessment Scale</w:t>
      </w:r>
      <w:r w:rsidRPr="003B4412">
        <w:rPr>
          <w:spacing w:val="-1"/>
        </w:rPr>
        <w:t xml:space="preserve"> </w:t>
      </w:r>
      <w:r w:rsidRPr="003B4412">
        <w:t>(KICA).</w:t>
      </w:r>
    </w:p>
    <w:p w14:paraId="0CEA3396" w14:textId="7968ACD6" w:rsidR="00BC4E0F" w:rsidRDefault="00BC4E0F" w:rsidP="00BC4E0F">
      <w:pPr>
        <w:pStyle w:val="BodyCopy"/>
      </w:pPr>
      <w:hyperlink w:anchor="_top" w:history="1">
        <w:r w:rsidRPr="00481A6C">
          <w:rPr>
            <w:rStyle w:val="Hyperlink"/>
            <w:iCs w:val="0"/>
          </w:rPr>
          <w:t>Back to Contents</w:t>
        </w:r>
      </w:hyperlink>
    </w:p>
    <w:p w14:paraId="097B90DB" w14:textId="0E4836A1" w:rsidR="00BC4E0F" w:rsidRDefault="00BC4E0F" w:rsidP="00BC4E0F">
      <w:pPr>
        <w:pStyle w:val="Heading4"/>
      </w:pPr>
      <w:bookmarkStart w:id="22" w:name="_Toc204357998"/>
      <w:r>
        <w:t>Section 8 – Administering ECT</w:t>
      </w:r>
      <w:bookmarkEnd w:id="22"/>
      <w:r>
        <w:t xml:space="preserve">  </w:t>
      </w:r>
    </w:p>
    <w:p w14:paraId="6C965A6B" w14:textId="18F70009" w:rsidR="00BC4E0F" w:rsidRDefault="00BC4E0F" w:rsidP="00223B32">
      <w:pPr>
        <w:pStyle w:val="BodyCopy"/>
      </w:pPr>
      <w:r w:rsidRPr="003B4412">
        <w:t>There</w:t>
      </w:r>
      <w:r w:rsidRPr="003B4412">
        <w:rPr>
          <w:spacing w:val="-10"/>
        </w:rPr>
        <w:t xml:space="preserve"> </w:t>
      </w:r>
      <w:r w:rsidRPr="003B4412">
        <w:t>are</w:t>
      </w:r>
      <w:r w:rsidRPr="003B4412">
        <w:rPr>
          <w:spacing w:val="-9"/>
        </w:rPr>
        <w:t xml:space="preserve"> </w:t>
      </w:r>
      <w:r w:rsidRPr="003B4412">
        <w:t>multiple</w:t>
      </w:r>
      <w:r w:rsidRPr="003B4412">
        <w:rPr>
          <w:spacing w:val="-9"/>
        </w:rPr>
        <w:t xml:space="preserve"> </w:t>
      </w:r>
      <w:r w:rsidRPr="003B4412">
        <w:t>safe</w:t>
      </w:r>
      <w:r w:rsidRPr="003B4412">
        <w:rPr>
          <w:spacing w:val="-9"/>
        </w:rPr>
        <w:t xml:space="preserve"> </w:t>
      </w:r>
      <w:r w:rsidRPr="003B4412">
        <w:t>and</w:t>
      </w:r>
      <w:r w:rsidRPr="003B4412">
        <w:rPr>
          <w:spacing w:val="-9"/>
        </w:rPr>
        <w:t xml:space="preserve"> </w:t>
      </w:r>
      <w:r w:rsidRPr="003B4412">
        <w:t>effective</w:t>
      </w:r>
      <w:r w:rsidRPr="003B4412">
        <w:rPr>
          <w:spacing w:val="-8"/>
        </w:rPr>
        <w:t xml:space="preserve"> </w:t>
      </w:r>
      <w:r w:rsidRPr="003B4412">
        <w:t>protocols</w:t>
      </w:r>
      <w:r w:rsidRPr="003B4412">
        <w:rPr>
          <w:spacing w:val="-8"/>
        </w:rPr>
        <w:t xml:space="preserve"> </w:t>
      </w:r>
      <w:r w:rsidRPr="003B4412">
        <w:t>for</w:t>
      </w:r>
      <w:r w:rsidRPr="003B4412">
        <w:rPr>
          <w:spacing w:val="-9"/>
        </w:rPr>
        <w:t xml:space="preserve"> </w:t>
      </w:r>
      <w:r w:rsidRPr="003B4412">
        <w:t>the</w:t>
      </w:r>
      <w:r w:rsidRPr="003B4412">
        <w:rPr>
          <w:spacing w:val="-7"/>
        </w:rPr>
        <w:t xml:space="preserve"> </w:t>
      </w:r>
      <w:r w:rsidRPr="003B4412">
        <w:t>administration</w:t>
      </w:r>
      <w:r w:rsidRPr="003B4412">
        <w:rPr>
          <w:spacing w:val="-8"/>
        </w:rPr>
        <w:t xml:space="preserve"> </w:t>
      </w:r>
      <w:r w:rsidRPr="003B4412">
        <w:t>of</w:t>
      </w:r>
      <w:r w:rsidRPr="003B4412">
        <w:rPr>
          <w:spacing w:val="-9"/>
        </w:rPr>
        <w:t xml:space="preserve"> </w:t>
      </w:r>
      <w:r w:rsidRPr="003B4412">
        <w:t>ECT.</w:t>
      </w:r>
      <w:r w:rsidRPr="003B4412">
        <w:rPr>
          <w:spacing w:val="-7"/>
        </w:rPr>
        <w:t xml:space="preserve"> </w:t>
      </w:r>
      <w:r w:rsidRPr="003B4412">
        <w:t>The</w:t>
      </w:r>
      <w:r w:rsidRPr="003B4412">
        <w:rPr>
          <w:spacing w:val="-10"/>
        </w:rPr>
        <w:t xml:space="preserve"> </w:t>
      </w:r>
      <w:r w:rsidRPr="003B4412">
        <w:t>prescription of</w:t>
      </w:r>
      <w:r w:rsidRPr="003B4412">
        <w:rPr>
          <w:spacing w:val="-9"/>
        </w:rPr>
        <w:t xml:space="preserve"> </w:t>
      </w:r>
      <w:r w:rsidRPr="003B4412">
        <w:t>ECT</w:t>
      </w:r>
      <w:r w:rsidRPr="003B4412">
        <w:rPr>
          <w:spacing w:val="-9"/>
        </w:rPr>
        <w:t xml:space="preserve"> </w:t>
      </w:r>
      <w:r w:rsidRPr="003B4412">
        <w:t>should</w:t>
      </w:r>
      <w:r w:rsidRPr="003B4412">
        <w:rPr>
          <w:spacing w:val="-11"/>
        </w:rPr>
        <w:t xml:space="preserve"> </w:t>
      </w:r>
      <w:r w:rsidRPr="003B4412">
        <w:t>be</w:t>
      </w:r>
      <w:r w:rsidRPr="003B4412">
        <w:rPr>
          <w:spacing w:val="-9"/>
        </w:rPr>
        <w:t xml:space="preserve"> </w:t>
      </w:r>
      <w:r w:rsidRPr="003B4412">
        <w:t>individualised</w:t>
      </w:r>
      <w:r w:rsidRPr="003B4412">
        <w:rPr>
          <w:spacing w:val="-11"/>
        </w:rPr>
        <w:t xml:space="preserve"> </w:t>
      </w:r>
      <w:r w:rsidRPr="003B4412">
        <w:t>for</w:t>
      </w:r>
      <w:r w:rsidRPr="003B4412">
        <w:rPr>
          <w:spacing w:val="-12"/>
        </w:rPr>
        <w:t xml:space="preserve"> </w:t>
      </w:r>
      <w:r w:rsidRPr="003B4412">
        <w:t>the</w:t>
      </w:r>
      <w:r w:rsidRPr="003B4412">
        <w:rPr>
          <w:spacing w:val="-8"/>
        </w:rPr>
        <w:t xml:space="preserve"> </w:t>
      </w:r>
      <w:r w:rsidR="00F65B86" w:rsidRPr="005F6480">
        <w:rPr>
          <w:rFonts w:asciiTheme="minorHAnsi" w:hAnsiTheme="minorHAnsi" w:cstheme="minorHAnsi"/>
          <w:szCs w:val="22"/>
        </w:rPr>
        <w:t>consumer</w:t>
      </w:r>
      <w:r w:rsidRPr="003B4412">
        <w:rPr>
          <w:spacing w:val="-7"/>
        </w:rPr>
        <w:t xml:space="preserve"> </w:t>
      </w:r>
      <w:r w:rsidRPr="003B4412">
        <w:t>and</w:t>
      </w:r>
      <w:r w:rsidRPr="003B4412">
        <w:rPr>
          <w:spacing w:val="-13"/>
        </w:rPr>
        <w:t xml:space="preserve"> </w:t>
      </w:r>
      <w:r w:rsidRPr="003B4412">
        <w:t>their</w:t>
      </w:r>
      <w:r w:rsidRPr="003B4412">
        <w:rPr>
          <w:spacing w:val="-11"/>
        </w:rPr>
        <w:t xml:space="preserve"> </w:t>
      </w:r>
      <w:r w:rsidRPr="003B4412">
        <w:t>condition.</w:t>
      </w:r>
      <w:r w:rsidRPr="003B4412">
        <w:rPr>
          <w:spacing w:val="-10"/>
        </w:rPr>
        <w:t xml:space="preserve"> </w:t>
      </w:r>
      <w:r w:rsidRPr="003B4412">
        <w:t>Electrode</w:t>
      </w:r>
      <w:r w:rsidRPr="003B4412">
        <w:rPr>
          <w:spacing w:val="-9"/>
        </w:rPr>
        <w:t xml:space="preserve"> </w:t>
      </w:r>
      <w:r w:rsidRPr="003B4412">
        <w:t>placement,</w:t>
      </w:r>
      <w:r w:rsidRPr="003B4412">
        <w:rPr>
          <w:spacing w:val="-12"/>
        </w:rPr>
        <w:t xml:space="preserve"> </w:t>
      </w:r>
      <w:r w:rsidRPr="003B4412">
        <w:t>dose, pulse width, session frequency, other medications and anaesthetic approaches should be chosen to balance possible cognitive impairment, efficacy and speed of</w:t>
      </w:r>
      <w:r w:rsidRPr="003B4412">
        <w:rPr>
          <w:spacing w:val="-11"/>
        </w:rPr>
        <w:t xml:space="preserve"> </w:t>
      </w:r>
      <w:r w:rsidRPr="003B4412">
        <w:t>recovery.</w:t>
      </w:r>
    </w:p>
    <w:p w14:paraId="1618CD60" w14:textId="77777777" w:rsidR="00B466AC" w:rsidRDefault="00B466AC" w:rsidP="00B466AC">
      <w:pPr>
        <w:pStyle w:val="Heading5"/>
      </w:pPr>
      <w:r>
        <w:t>Reviews During Treatment</w:t>
      </w:r>
    </w:p>
    <w:p w14:paraId="508BA66E" w14:textId="7CE34B8F" w:rsidR="00B466AC" w:rsidRPr="00AC75BB" w:rsidRDefault="00B466AC" w:rsidP="00B466AC">
      <w:pPr>
        <w:pStyle w:val="BodyCopy"/>
        <w:spacing w:after="120"/>
      </w:pPr>
      <w:r w:rsidRPr="00AC75BB">
        <w:t xml:space="preserve">Over an acute course of treatment, the </w:t>
      </w:r>
      <w:r w:rsidR="00A70B4B">
        <w:t>consumer’</w:t>
      </w:r>
      <w:r w:rsidRPr="00AC75BB">
        <w:t xml:space="preserve">s treating team will monitor the </w:t>
      </w:r>
      <w:r w:rsidR="00A70B4B">
        <w:t>consumer</w:t>
      </w:r>
      <w:r w:rsidRPr="00AC75BB">
        <w:t xml:space="preserve"> at least weekly, or, where clinically indicated, review more frequently. The treating team will review the effects of ECT on psychiatric symptoms (such as mood and psychotic symptoms), side-effects (both cognitive and non-cognitive), and if indicated, arrange for a specialist consultation, prior to the next scheduled ECT treatment. </w:t>
      </w:r>
    </w:p>
    <w:p w14:paraId="187C998A" w14:textId="77777777" w:rsidR="00B466AC" w:rsidRPr="00AC75BB" w:rsidRDefault="00B466AC" w:rsidP="00B466AC">
      <w:pPr>
        <w:pStyle w:val="BodyCopy"/>
        <w:spacing w:after="120"/>
      </w:pPr>
      <w:r w:rsidRPr="00AC75BB">
        <w:t>At a minimum, this should include:</w:t>
      </w:r>
    </w:p>
    <w:p w14:paraId="7F1AF2DC" w14:textId="77777777" w:rsidR="00B466AC" w:rsidRPr="00AC75BB" w:rsidRDefault="00B466AC" w:rsidP="00223B32">
      <w:pPr>
        <w:pStyle w:val="Bullet"/>
      </w:pPr>
      <w:r w:rsidRPr="00AC75BB">
        <w:t>completing a cognitive assessment weekly through the treatment course and at end of the course of treatment, and</w:t>
      </w:r>
    </w:p>
    <w:p w14:paraId="47E3D6CF" w14:textId="36D6B385" w:rsidR="00B466AC" w:rsidRPr="00AC75BB" w:rsidRDefault="00B466AC" w:rsidP="00223B32">
      <w:pPr>
        <w:pStyle w:val="Bullet"/>
      </w:pPr>
      <w:r w:rsidRPr="00AC75BB">
        <w:t xml:space="preserve">updating the ECT Prescription and Consent form and in the </w:t>
      </w:r>
      <w:r w:rsidR="00A70B4B">
        <w:t>consumer</w:t>
      </w:r>
      <w:r w:rsidRPr="00AC75BB">
        <w:t>s DHR.</w:t>
      </w:r>
    </w:p>
    <w:p w14:paraId="2C533115" w14:textId="2EBA1AEC" w:rsidR="00BC4E0F" w:rsidRDefault="00BC4E0F" w:rsidP="00BC4E0F">
      <w:pPr>
        <w:pStyle w:val="Heading5"/>
        <w:spacing w:before="120" w:beforeAutospacing="0"/>
      </w:pPr>
      <w:r>
        <w:t xml:space="preserve">8.1 Electrode Placement </w:t>
      </w:r>
    </w:p>
    <w:p w14:paraId="6CE71365" w14:textId="6C176301" w:rsidR="00BC4E0F" w:rsidRPr="003B4412" w:rsidRDefault="00BC4E0F" w:rsidP="00223B32">
      <w:pPr>
        <w:pStyle w:val="BodyCopy"/>
        <w:rPr>
          <w:rFonts w:ascii="Symbol" w:hAnsi="Symbol"/>
        </w:rPr>
      </w:pPr>
      <w:r w:rsidRPr="003B4412">
        <w:t>The most commonly used electrode placements being Right Unilateral (RUL), Bitemporal (BT), and Bifrontal</w:t>
      </w:r>
      <w:r w:rsidRPr="003B4412">
        <w:rPr>
          <w:spacing w:val="-30"/>
        </w:rPr>
        <w:t xml:space="preserve"> </w:t>
      </w:r>
      <w:r w:rsidRPr="003B4412">
        <w:t>(BF). The choice of electrode placement should aim at reducing cognitive side-effects. Unilateral placement is preferred over Bilateral placement (BL), Bitemporal (BT) electrode placement is not the first line of treatment due to its increased risk of retrograde amnesia but may be considered if an urgent and rapid response is required or if a poor</w:t>
      </w:r>
      <w:r>
        <w:t xml:space="preserve"> </w:t>
      </w:r>
      <w:r w:rsidRPr="003B4412">
        <w:t>response is experienced after unilateral</w:t>
      </w:r>
      <w:r w:rsidRPr="003B4412">
        <w:rPr>
          <w:spacing w:val="-9"/>
        </w:rPr>
        <w:t xml:space="preserve"> </w:t>
      </w:r>
      <w:r w:rsidRPr="003B4412">
        <w:t>placement.</w:t>
      </w:r>
    </w:p>
    <w:p w14:paraId="665345AE" w14:textId="3EF242CB" w:rsidR="00BC4E0F" w:rsidRPr="00BC4E0F" w:rsidRDefault="00BC4E0F" w:rsidP="00BC4E0F">
      <w:pPr>
        <w:widowControl w:val="0"/>
        <w:tabs>
          <w:tab w:val="left" w:pos="538"/>
          <w:tab w:val="left" w:pos="539"/>
        </w:tabs>
        <w:autoSpaceDE w:val="0"/>
        <w:autoSpaceDN w:val="0"/>
        <w:spacing w:after="120"/>
        <w:rPr>
          <w:rFonts w:ascii="Symbol" w:hAnsi="Symbol" w:cs="Calibri"/>
          <w:szCs w:val="22"/>
        </w:rPr>
      </w:pPr>
      <w:r w:rsidRPr="003B4412">
        <w:rPr>
          <w:rFonts w:cs="Calibri"/>
          <w:szCs w:val="22"/>
        </w:rPr>
        <w:t>Bifrontal (BF) placement has been demonstrated to have less impact on cardiac rhythms, so may be considered when treating people at risk of ECT induced</w:t>
      </w:r>
      <w:r w:rsidRPr="003B4412">
        <w:rPr>
          <w:rFonts w:cs="Calibri"/>
          <w:spacing w:val="-5"/>
          <w:szCs w:val="22"/>
        </w:rPr>
        <w:t xml:space="preserve"> </w:t>
      </w:r>
      <w:r w:rsidRPr="003B4412">
        <w:rPr>
          <w:rFonts w:cs="Calibri"/>
          <w:szCs w:val="22"/>
        </w:rPr>
        <w:t>arrhythmias.</w:t>
      </w:r>
    </w:p>
    <w:p w14:paraId="23A51FC5" w14:textId="77777777" w:rsidR="00BC4E0F" w:rsidRPr="003B4412" w:rsidRDefault="00BC4E0F" w:rsidP="00BC4E0F">
      <w:pPr>
        <w:widowControl w:val="0"/>
        <w:tabs>
          <w:tab w:val="left" w:pos="538"/>
          <w:tab w:val="left" w:pos="539"/>
        </w:tabs>
        <w:autoSpaceDE w:val="0"/>
        <w:autoSpaceDN w:val="0"/>
        <w:spacing w:after="120"/>
        <w:rPr>
          <w:rFonts w:ascii="Symbol" w:hAnsi="Symbol" w:cs="Calibri"/>
          <w:szCs w:val="22"/>
        </w:rPr>
      </w:pPr>
      <w:r w:rsidRPr="003B4412">
        <w:rPr>
          <w:rFonts w:cs="Calibri"/>
          <w:szCs w:val="22"/>
        </w:rPr>
        <w:t xml:space="preserve">The Prescribing Consultant Psychiatrist will state the desired electrode placement on the </w:t>
      </w:r>
      <w:r w:rsidRPr="003B4412">
        <w:rPr>
          <w:rFonts w:cs="Calibri"/>
          <w:i/>
          <w:szCs w:val="22"/>
        </w:rPr>
        <w:t xml:space="preserve">Electroconvulsive Therapy Consent and Prescription </w:t>
      </w:r>
      <w:r w:rsidRPr="003B4412">
        <w:rPr>
          <w:rFonts w:cs="Calibri"/>
          <w:szCs w:val="22"/>
        </w:rPr>
        <w:t>form at the time of prescription</w:t>
      </w:r>
      <w:r>
        <w:rPr>
          <w:rFonts w:cs="Calibri"/>
          <w:szCs w:val="22"/>
        </w:rPr>
        <w:t>. Refer to</w:t>
      </w:r>
      <w:r w:rsidRPr="003B4412">
        <w:rPr>
          <w:rFonts w:cs="Calibri"/>
          <w:szCs w:val="22"/>
        </w:rPr>
        <w:t xml:space="preserve"> </w:t>
      </w:r>
      <w:r w:rsidRPr="00AC551E">
        <w:rPr>
          <w:rFonts w:cs="Calibri"/>
          <w:iCs/>
          <w:szCs w:val="22"/>
        </w:rPr>
        <w:t>Attachment 3: ECT Electrode Placement</w:t>
      </w:r>
      <w:r w:rsidRPr="003B4412">
        <w:rPr>
          <w:rFonts w:cs="Calibri"/>
          <w:i/>
          <w:szCs w:val="22"/>
        </w:rPr>
        <w:t xml:space="preserve"> </w:t>
      </w:r>
      <w:r w:rsidRPr="003B4412">
        <w:rPr>
          <w:rFonts w:cs="Calibri"/>
          <w:szCs w:val="22"/>
        </w:rPr>
        <w:t xml:space="preserve">for </w:t>
      </w:r>
      <w:r>
        <w:rPr>
          <w:rFonts w:cs="Calibri"/>
          <w:szCs w:val="22"/>
        </w:rPr>
        <w:t>diagrams</w:t>
      </w:r>
      <w:r w:rsidRPr="003B4412">
        <w:rPr>
          <w:rFonts w:cs="Calibri"/>
          <w:szCs w:val="22"/>
        </w:rPr>
        <w:t xml:space="preserve"> of frequently prescribed electrode placement</w:t>
      </w:r>
      <w:r w:rsidRPr="003B4412">
        <w:rPr>
          <w:rFonts w:cs="Calibri"/>
          <w:spacing w:val="-3"/>
          <w:szCs w:val="22"/>
        </w:rPr>
        <w:t xml:space="preserve"> </w:t>
      </w:r>
      <w:r w:rsidRPr="003B4412">
        <w:rPr>
          <w:rFonts w:cs="Calibri"/>
          <w:szCs w:val="22"/>
        </w:rPr>
        <w:t>options.</w:t>
      </w:r>
    </w:p>
    <w:p w14:paraId="4905813E" w14:textId="5D71229D" w:rsidR="00BC4E0F" w:rsidRDefault="00BC4E0F" w:rsidP="00BC4E0F">
      <w:pPr>
        <w:pStyle w:val="Heading5"/>
        <w:spacing w:before="120" w:beforeAutospacing="0"/>
      </w:pPr>
      <w:r>
        <w:lastRenderedPageBreak/>
        <w:t xml:space="preserve">8.2 Pulse Width </w:t>
      </w:r>
    </w:p>
    <w:p w14:paraId="5CCB71C9" w14:textId="70E6FAB6" w:rsidR="00BC4E0F" w:rsidRPr="003B4412" w:rsidRDefault="00BC4E0F" w:rsidP="00223B32">
      <w:pPr>
        <w:pStyle w:val="Bullet"/>
        <w:rPr>
          <w:rFonts w:ascii="Symbol" w:hAnsi="Symbol"/>
        </w:rPr>
      </w:pPr>
      <w:r w:rsidRPr="003B4412">
        <w:t xml:space="preserve">A brief pulse width of 1.0 </w:t>
      </w:r>
      <w:r w:rsidR="00255069">
        <w:t>milliseconds (</w:t>
      </w:r>
      <w:proofErr w:type="spellStart"/>
      <w:r w:rsidRPr="003B4412">
        <w:t>ms</w:t>
      </w:r>
      <w:proofErr w:type="spellEnd"/>
      <w:r w:rsidR="00255069">
        <w:t>)</w:t>
      </w:r>
      <w:r w:rsidRPr="003B4412">
        <w:t xml:space="preserve"> is traditionally used for</w:t>
      </w:r>
      <w:r w:rsidRPr="003B4412">
        <w:rPr>
          <w:spacing w:val="-11"/>
        </w:rPr>
        <w:t xml:space="preserve"> </w:t>
      </w:r>
      <w:r w:rsidRPr="003B4412">
        <w:t>ECT.</w:t>
      </w:r>
    </w:p>
    <w:p w14:paraId="03D9166C" w14:textId="3117F4B4" w:rsidR="00BC4E0F" w:rsidRPr="003B4412" w:rsidRDefault="00BC4E0F" w:rsidP="00223B32">
      <w:pPr>
        <w:pStyle w:val="Bullet"/>
        <w:rPr>
          <w:rFonts w:ascii="Symbol" w:hAnsi="Symbol"/>
        </w:rPr>
      </w:pPr>
      <w:proofErr w:type="spellStart"/>
      <w:r w:rsidRPr="032493B3">
        <w:t>Ultrabrief</w:t>
      </w:r>
      <w:proofErr w:type="spellEnd"/>
      <w:r w:rsidRPr="032493B3">
        <w:t xml:space="preserve"> ECT uses a pulse width of 0.3</w:t>
      </w:r>
      <w:r w:rsidR="00255069">
        <w:t xml:space="preserve"> </w:t>
      </w:r>
      <w:proofErr w:type="spellStart"/>
      <w:r w:rsidR="00255069">
        <w:t>ms</w:t>
      </w:r>
      <w:proofErr w:type="spellEnd"/>
      <w:r w:rsidR="00BC6036">
        <w:t xml:space="preserve"> or below.</w:t>
      </w:r>
    </w:p>
    <w:p w14:paraId="3A3DDE03" w14:textId="77777777" w:rsidR="00BC4E0F" w:rsidRDefault="00BC4E0F" w:rsidP="00223B32">
      <w:pPr>
        <w:pStyle w:val="BodyCopy"/>
      </w:pPr>
      <w:r w:rsidRPr="003B4412">
        <w:t xml:space="preserve">The advantage of </w:t>
      </w:r>
      <w:proofErr w:type="spellStart"/>
      <w:r w:rsidRPr="003B4412">
        <w:t>Ultrabrief</w:t>
      </w:r>
      <w:proofErr w:type="spellEnd"/>
      <w:r w:rsidRPr="003B4412">
        <w:t xml:space="preserve"> pulse width is fewer cognitive side effects, but it is less effective than brief pulse form ECT and treatment benefits can be slower. </w:t>
      </w:r>
    </w:p>
    <w:p w14:paraId="733375B5" w14:textId="4320B699" w:rsidR="00BC4E0F" w:rsidRPr="00BC4E0F" w:rsidRDefault="00BC4E0F" w:rsidP="00223B32">
      <w:pPr>
        <w:pStyle w:val="BodyCopy"/>
        <w:rPr>
          <w:rFonts w:ascii="Symbol" w:hAnsi="Symbol"/>
        </w:rPr>
      </w:pPr>
      <w:proofErr w:type="spellStart"/>
      <w:r w:rsidRPr="003B4412">
        <w:t>Ultrabrief</w:t>
      </w:r>
      <w:proofErr w:type="spellEnd"/>
      <w:r w:rsidRPr="003B4412">
        <w:t xml:space="preserve"> pulse-width should be considered where </w:t>
      </w:r>
      <w:r w:rsidR="00A70B4B">
        <w:t>consumer</w:t>
      </w:r>
      <w:r w:rsidR="00A70B4B" w:rsidRPr="003B4412">
        <w:t xml:space="preserve">s </w:t>
      </w:r>
      <w:r w:rsidRPr="003B4412">
        <w:t xml:space="preserve">are overly concerned about cognitive side effects, </w:t>
      </w:r>
      <w:r w:rsidR="00A70B4B">
        <w:t>consumer</w:t>
      </w:r>
      <w:r w:rsidR="00A70B4B" w:rsidRPr="003B4412">
        <w:t xml:space="preserve">s </w:t>
      </w:r>
      <w:r w:rsidRPr="003B4412">
        <w:t xml:space="preserve">with past history of significant cognitive impairment with/without ECT, </w:t>
      </w:r>
      <w:r w:rsidR="00A70B4B">
        <w:t>consumer</w:t>
      </w:r>
      <w:r w:rsidRPr="003B4412">
        <w:t>s with poor cognitive reserve etc. In such situations, a formal rating scale for symptom severity and cognitive functions should be used to track the track the changes before, during and a</w:t>
      </w:r>
      <w:r>
        <w:t>f</w:t>
      </w:r>
      <w:r w:rsidRPr="003B4412">
        <w:t>t</w:t>
      </w:r>
      <w:r>
        <w:t>er</w:t>
      </w:r>
      <w:r w:rsidRPr="003B4412">
        <w:t xml:space="preserve"> the ECT course.</w:t>
      </w:r>
    </w:p>
    <w:p w14:paraId="256693F3" w14:textId="6ABBFD07" w:rsidR="00BC4E0F" w:rsidRPr="00BC4E0F" w:rsidRDefault="00BC4E0F" w:rsidP="0059116A">
      <w:pPr>
        <w:pStyle w:val="BodyCopy"/>
        <w:rPr>
          <w:rFonts w:ascii="Symbol" w:hAnsi="Symbol"/>
        </w:rPr>
      </w:pPr>
      <w:r w:rsidRPr="003B4412">
        <w:t xml:space="preserve">If the </w:t>
      </w:r>
      <w:r w:rsidR="00B53F0F" w:rsidRPr="005F6480">
        <w:rPr>
          <w:rFonts w:asciiTheme="minorHAnsi" w:hAnsiTheme="minorHAnsi" w:cstheme="minorHAnsi"/>
        </w:rPr>
        <w:t>consumer</w:t>
      </w:r>
      <w:r w:rsidRPr="003B4412">
        <w:t xml:space="preserve"> shows unsatisfactory improvement, a change in pulse-width or electrode placement should be considered and the rationale documented in </w:t>
      </w:r>
      <w:r>
        <w:t xml:space="preserve">the </w:t>
      </w:r>
      <w:r w:rsidR="00A70B4B">
        <w:t>consumer</w:t>
      </w:r>
      <w:r w:rsidRPr="003B4412">
        <w:t xml:space="preserve">’s clinical record. There is limited evidence for the effectiveness of Bilateral </w:t>
      </w:r>
      <w:proofErr w:type="spellStart"/>
      <w:r w:rsidRPr="003B4412">
        <w:t>Ultrabrief</w:t>
      </w:r>
      <w:proofErr w:type="spellEnd"/>
      <w:r w:rsidRPr="003B4412">
        <w:rPr>
          <w:spacing w:val="-7"/>
        </w:rPr>
        <w:t xml:space="preserve"> </w:t>
      </w:r>
      <w:r w:rsidRPr="003B4412">
        <w:t>ECT.</w:t>
      </w:r>
    </w:p>
    <w:p w14:paraId="0BA78E8E" w14:textId="4C314D93" w:rsidR="00BC4E0F" w:rsidRDefault="00BC4E0F" w:rsidP="0059116A">
      <w:pPr>
        <w:pStyle w:val="BodyCopy"/>
      </w:pPr>
      <w:r w:rsidRPr="032493B3">
        <w:t xml:space="preserve">The individual seizure threshold should be established using the stimulus dose titration protocol during the first treatment. Refer to </w:t>
      </w:r>
      <w:bookmarkStart w:id="23" w:name="_Hlk100503085"/>
      <w:r w:rsidRPr="032493B3">
        <w:t>Attachment 4</w:t>
      </w:r>
      <w:bookmarkEnd w:id="23"/>
      <w:r w:rsidRPr="032493B3">
        <w:t xml:space="preserve"> for stimulus dosage titration as appropriate.</w:t>
      </w:r>
    </w:p>
    <w:p w14:paraId="36149CC0" w14:textId="2F6D6F67" w:rsidR="00BC4E0F" w:rsidRPr="003B4412" w:rsidRDefault="00BC4E0F" w:rsidP="0059116A">
      <w:pPr>
        <w:pStyle w:val="BodyCopy"/>
        <w:rPr>
          <w:rFonts w:ascii="Symbol" w:hAnsi="Symbol"/>
        </w:rPr>
      </w:pPr>
      <w:r w:rsidRPr="003B4412">
        <w:t xml:space="preserve">The </w:t>
      </w:r>
      <w:r w:rsidR="00255069">
        <w:t>ro</w:t>
      </w:r>
      <w:r w:rsidR="00255069" w:rsidRPr="003B4412">
        <w:t xml:space="preserve">stered </w:t>
      </w:r>
      <w:r w:rsidRPr="003B4412">
        <w:t xml:space="preserve">ECT Consultant Psychiatrist administering subsequent treatments should ensure that treatment is administered at above threshold doses by choosing </w:t>
      </w:r>
      <w:r w:rsidRPr="003B4412">
        <w:rPr>
          <w:b/>
          <w:i/>
        </w:rPr>
        <w:t>at least three levels</w:t>
      </w:r>
      <w:r w:rsidRPr="003B4412">
        <w:t xml:space="preserve"> </w:t>
      </w:r>
      <w:r w:rsidRPr="003B4412">
        <w:rPr>
          <w:b/>
          <w:i/>
        </w:rPr>
        <w:t>up</w:t>
      </w:r>
      <w:r w:rsidRPr="003B4412">
        <w:t xml:space="preserve"> on dosing chart for right unilateral ECT and </w:t>
      </w:r>
      <w:r w:rsidRPr="003B4412">
        <w:rPr>
          <w:b/>
          <w:i/>
        </w:rPr>
        <w:t>at least one level up</w:t>
      </w:r>
      <w:r w:rsidRPr="003B4412">
        <w:t xml:space="preserve"> on the dosing chart for Bitemporal (BT) and Bifrontal (BF)</w:t>
      </w:r>
      <w:r w:rsidRPr="003B4412">
        <w:rPr>
          <w:spacing w:val="-5"/>
        </w:rPr>
        <w:t xml:space="preserve"> </w:t>
      </w:r>
      <w:r w:rsidRPr="003B4412">
        <w:t>ECT.</w:t>
      </w:r>
    </w:p>
    <w:p w14:paraId="6B4484B2" w14:textId="48E6D813" w:rsidR="00BC4E0F" w:rsidRPr="003B4412" w:rsidRDefault="00BC4E0F" w:rsidP="00BC4E0F">
      <w:pPr>
        <w:widowControl w:val="0"/>
        <w:pBdr>
          <w:top w:val="single" w:sz="4" w:space="1" w:color="auto"/>
          <w:left w:val="single" w:sz="4" w:space="4" w:color="auto"/>
          <w:bottom w:val="single" w:sz="4" w:space="1" w:color="auto"/>
          <w:right w:val="single" w:sz="4" w:space="4" w:color="auto"/>
        </w:pBdr>
        <w:autoSpaceDE w:val="0"/>
        <w:autoSpaceDN w:val="0"/>
        <w:ind w:right="-2"/>
        <w:rPr>
          <w:rFonts w:cs="Calibri"/>
        </w:rPr>
      </w:pPr>
      <w:r w:rsidRPr="003B4412">
        <w:rPr>
          <w:rFonts w:cs="Calibri"/>
          <w:b/>
        </w:rPr>
        <w:t>NOTE</w:t>
      </w:r>
      <w:r w:rsidRPr="003B4412">
        <w:rPr>
          <w:rFonts w:cs="Calibri"/>
        </w:rPr>
        <w:t xml:space="preserve">: the main disadvantage of the titration procedure is that the </w:t>
      </w:r>
      <w:r w:rsidR="00B53F0F" w:rsidRPr="005F6480">
        <w:rPr>
          <w:rFonts w:asciiTheme="minorHAnsi" w:hAnsiTheme="minorHAnsi" w:cstheme="minorHAnsi"/>
          <w:szCs w:val="22"/>
        </w:rPr>
        <w:t>consumer</w:t>
      </w:r>
      <w:r w:rsidRPr="003B4412">
        <w:rPr>
          <w:rFonts w:cs="Calibri"/>
        </w:rPr>
        <w:t xml:space="preserve"> will usually receive one, two or three sub convulsive stimuli, with the risk of bradycardia or asystole</w:t>
      </w:r>
      <w:r w:rsidRPr="003B4412">
        <w:rPr>
          <w:rFonts w:cs="Calibri"/>
          <w:i/>
        </w:rPr>
        <w:t xml:space="preserve">. </w:t>
      </w:r>
      <w:r w:rsidRPr="003B4412">
        <w:rPr>
          <w:rFonts w:cs="Calibri"/>
        </w:rPr>
        <w:t>In people with significant cardiac risk factors, this can be prevented by premedication with atropine or glycopyrrolate.</w:t>
      </w:r>
    </w:p>
    <w:p w14:paraId="2D94C80C" w14:textId="77777777" w:rsidR="00BC4E0F" w:rsidRPr="00AC551E" w:rsidRDefault="00BC4E0F" w:rsidP="0059116A">
      <w:pPr>
        <w:pStyle w:val="Heading6"/>
      </w:pPr>
      <w:r w:rsidRPr="00AC551E">
        <w:t>Stimulus Dose Titration</w:t>
      </w:r>
    </w:p>
    <w:p w14:paraId="7233D259" w14:textId="5AFC2545" w:rsidR="00BC4E0F" w:rsidRPr="00BC4E0F" w:rsidRDefault="00BC4E0F" w:rsidP="0059116A">
      <w:pPr>
        <w:pStyle w:val="BodyCopy"/>
        <w:rPr>
          <w:szCs w:val="22"/>
        </w:rPr>
      </w:pPr>
      <w:r w:rsidRPr="003B4412">
        <w:t xml:space="preserve">If a seizure (defined as a generalised motor seizure or definite EEG seizure of any length or quality, with or without visible motor seizure) does not occur, the dose should be increased as per protocol, and the </w:t>
      </w:r>
      <w:r w:rsidR="00B53F0F" w:rsidRPr="005F6480">
        <w:rPr>
          <w:rFonts w:asciiTheme="minorHAnsi" w:hAnsiTheme="minorHAnsi" w:cstheme="minorHAnsi"/>
          <w:szCs w:val="22"/>
        </w:rPr>
        <w:t>consumer</w:t>
      </w:r>
      <w:r w:rsidRPr="003B4412">
        <w:t xml:space="preserve"> re-stimulated after 15 seconds.</w:t>
      </w:r>
      <w:r>
        <w:t xml:space="preserve"> </w:t>
      </w:r>
      <w:r w:rsidRPr="003B4412">
        <w:rPr>
          <w:szCs w:val="22"/>
        </w:rPr>
        <w:t xml:space="preserve">Refer to </w:t>
      </w:r>
      <w:r w:rsidRPr="00AC551E">
        <w:rPr>
          <w:szCs w:val="22"/>
        </w:rPr>
        <w:t>Attachment 4: Titration Chart – a Method of ECT Dose Titration</w:t>
      </w:r>
      <w:r w:rsidRPr="003B4412">
        <w:rPr>
          <w:i/>
          <w:szCs w:val="22"/>
        </w:rPr>
        <w:t xml:space="preserve"> </w:t>
      </w:r>
    </w:p>
    <w:p w14:paraId="4919942C" w14:textId="77777777" w:rsidR="00BC4E0F" w:rsidRPr="00AC551E" w:rsidRDefault="00BC4E0F" w:rsidP="0059116A">
      <w:pPr>
        <w:pStyle w:val="Heading6"/>
      </w:pPr>
      <w:r w:rsidRPr="00AC551E">
        <w:t>Changing the Stimulus</w:t>
      </w:r>
      <w:r w:rsidRPr="00AC551E">
        <w:rPr>
          <w:spacing w:val="-1"/>
        </w:rPr>
        <w:t xml:space="preserve"> </w:t>
      </w:r>
      <w:r w:rsidRPr="00AC551E">
        <w:t>Dose</w:t>
      </w:r>
    </w:p>
    <w:p w14:paraId="75562EED" w14:textId="77777777" w:rsidR="00BC4E0F" w:rsidRPr="003B4412" w:rsidRDefault="00BC4E0F" w:rsidP="0059116A">
      <w:pPr>
        <w:pStyle w:val="Bullet"/>
        <w:rPr>
          <w:rFonts w:ascii="Symbol" w:hAnsi="Symbol"/>
        </w:rPr>
      </w:pPr>
      <w:r w:rsidRPr="003B4412">
        <w:t xml:space="preserve">In order to ensure that the dose remains supra-threshold, it is usually necessary to increase the dose during </w:t>
      </w:r>
      <w:r>
        <w:t xml:space="preserve">the </w:t>
      </w:r>
      <w:r w:rsidRPr="003B4412">
        <w:t>treatment course, when there is lack of clinical improvement and poor-quality EEG seizure morphology.</w:t>
      </w:r>
      <w:r>
        <w:t xml:space="preserve"> Refer to </w:t>
      </w:r>
      <w:r w:rsidRPr="00E47CE2">
        <w:rPr>
          <w:iCs/>
        </w:rPr>
        <w:t>Attachments 4 and 5</w:t>
      </w:r>
      <w:r w:rsidRPr="003B4412">
        <w:rPr>
          <w:i/>
        </w:rPr>
        <w:t xml:space="preserve"> </w:t>
      </w:r>
      <w:r w:rsidRPr="003B4412">
        <w:t>for stimulus dosage titration as</w:t>
      </w:r>
      <w:r w:rsidRPr="003B4412">
        <w:rPr>
          <w:spacing w:val="-4"/>
        </w:rPr>
        <w:t xml:space="preserve"> </w:t>
      </w:r>
      <w:r w:rsidRPr="003B4412">
        <w:t>appropriate.</w:t>
      </w:r>
    </w:p>
    <w:p w14:paraId="06533D3A" w14:textId="77777777" w:rsidR="00BC4E0F" w:rsidRPr="003B4412" w:rsidRDefault="00BC4E0F" w:rsidP="0059116A">
      <w:pPr>
        <w:pStyle w:val="Bullet"/>
        <w:rPr>
          <w:rFonts w:ascii="Symbol" w:hAnsi="Symbol"/>
        </w:rPr>
      </w:pPr>
      <w:r w:rsidRPr="003B4412">
        <w:t xml:space="preserve">Prior to each treatment, the Prescribing Consultant Psychiatrist will refer to comments from the previous ECT treating psychiatrist with regard to stimulus dose. Where this is not </w:t>
      </w:r>
      <w:r w:rsidRPr="003B4412">
        <w:lastRenderedPageBreak/>
        <w:t>available, the treating psychiatrist will examine the previous treatment records to determine the best treatment</w:t>
      </w:r>
      <w:r w:rsidRPr="003B4412">
        <w:rPr>
          <w:spacing w:val="-1"/>
        </w:rPr>
        <w:t xml:space="preserve"> </w:t>
      </w:r>
      <w:r w:rsidRPr="003B4412">
        <w:t>dose.</w:t>
      </w:r>
    </w:p>
    <w:p w14:paraId="426088C0" w14:textId="77777777" w:rsidR="00BC4E0F" w:rsidRPr="003B4412" w:rsidRDefault="00BC4E0F" w:rsidP="0059116A">
      <w:pPr>
        <w:pStyle w:val="Bullet"/>
        <w:rPr>
          <w:rFonts w:ascii="Symbol" w:hAnsi="Symbol"/>
        </w:rPr>
      </w:pPr>
      <w:r w:rsidRPr="003B4412">
        <w:t>A</w:t>
      </w:r>
      <w:r w:rsidRPr="003B4412">
        <w:rPr>
          <w:spacing w:val="-2"/>
        </w:rPr>
        <w:t xml:space="preserve"> </w:t>
      </w:r>
      <w:r w:rsidRPr="003B4412">
        <w:t>number</w:t>
      </w:r>
      <w:r w:rsidRPr="003B4412">
        <w:rPr>
          <w:spacing w:val="-4"/>
        </w:rPr>
        <w:t xml:space="preserve"> </w:t>
      </w:r>
      <w:r w:rsidRPr="003B4412">
        <w:t>of</w:t>
      </w:r>
      <w:r w:rsidRPr="003B4412">
        <w:rPr>
          <w:spacing w:val="-1"/>
        </w:rPr>
        <w:t xml:space="preserve"> </w:t>
      </w:r>
      <w:r w:rsidRPr="003B4412">
        <w:t>factors</w:t>
      </w:r>
      <w:r w:rsidRPr="003B4412">
        <w:rPr>
          <w:spacing w:val="-3"/>
        </w:rPr>
        <w:t xml:space="preserve"> </w:t>
      </w:r>
      <w:r w:rsidRPr="003B4412">
        <w:t>affect</w:t>
      </w:r>
      <w:r w:rsidRPr="003B4412">
        <w:rPr>
          <w:spacing w:val="-2"/>
        </w:rPr>
        <w:t xml:space="preserve"> </w:t>
      </w:r>
      <w:r w:rsidRPr="003B4412">
        <w:t>the</w:t>
      </w:r>
      <w:r w:rsidRPr="003B4412">
        <w:rPr>
          <w:spacing w:val="-3"/>
        </w:rPr>
        <w:t xml:space="preserve"> </w:t>
      </w:r>
      <w:r w:rsidRPr="003B4412">
        <w:t>quality</w:t>
      </w:r>
      <w:r w:rsidRPr="003B4412">
        <w:rPr>
          <w:spacing w:val="-3"/>
        </w:rPr>
        <w:t xml:space="preserve"> </w:t>
      </w:r>
      <w:r w:rsidRPr="003B4412">
        <w:t>of</w:t>
      </w:r>
      <w:r w:rsidRPr="003B4412">
        <w:rPr>
          <w:spacing w:val="-1"/>
        </w:rPr>
        <w:t xml:space="preserve"> </w:t>
      </w:r>
      <w:r w:rsidRPr="003B4412">
        <w:t>seizures</w:t>
      </w:r>
      <w:r w:rsidRPr="003B4412">
        <w:rPr>
          <w:spacing w:val="-4"/>
        </w:rPr>
        <w:t xml:space="preserve"> </w:t>
      </w:r>
      <w:r w:rsidRPr="003B4412">
        <w:t>such</w:t>
      </w:r>
      <w:r w:rsidRPr="003B4412">
        <w:rPr>
          <w:spacing w:val="-2"/>
        </w:rPr>
        <w:t xml:space="preserve"> </w:t>
      </w:r>
      <w:r w:rsidRPr="003B4412">
        <w:t>as</w:t>
      </w:r>
      <w:r w:rsidRPr="003B4412">
        <w:rPr>
          <w:spacing w:val="-4"/>
        </w:rPr>
        <w:t xml:space="preserve"> </w:t>
      </w:r>
      <w:r w:rsidRPr="003B4412">
        <w:t>dose</w:t>
      </w:r>
      <w:r w:rsidRPr="003B4412">
        <w:rPr>
          <w:spacing w:val="-4"/>
        </w:rPr>
        <w:t xml:space="preserve"> </w:t>
      </w:r>
      <w:r w:rsidRPr="003B4412">
        <w:t>of</w:t>
      </w:r>
      <w:r w:rsidRPr="003B4412">
        <w:rPr>
          <w:spacing w:val="-3"/>
        </w:rPr>
        <w:t xml:space="preserve"> </w:t>
      </w:r>
      <w:r w:rsidRPr="003B4412">
        <w:t>anaesthetic</w:t>
      </w:r>
      <w:r w:rsidRPr="003B4412">
        <w:rPr>
          <w:spacing w:val="-3"/>
        </w:rPr>
        <w:t xml:space="preserve"> </w:t>
      </w:r>
      <w:r w:rsidRPr="003B4412">
        <w:t>agent,</w:t>
      </w:r>
      <w:r w:rsidRPr="003B4412">
        <w:rPr>
          <w:spacing w:val="-3"/>
        </w:rPr>
        <w:t xml:space="preserve"> </w:t>
      </w:r>
      <w:r w:rsidRPr="003B4412">
        <w:t>time to stimulate from induction and sometimes a rising seizure threshold, especially in the elderly. After completion of each ECT treatment, the ECT Consultant psychiatrist should consider making recommendations for the subsequent</w:t>
      </w:r>
      <w:r w:rsidRPr="003B4412">
        <w:rPr>
          <w:spacing w:val="-9"/>
        </w:rPr>
        <w:t xml:space="preserve"> </w:t>
      </w:r>
      <w:r w:rsidRPr="003B4412">
        <w:t>treatment.</w:t>
      </w:r>
    </w:p>
    <w:p w14:paraId="27803DF2" w14:textId="0C9D58E8" w:rsidR="00BC4E0F" w:rsidRDefault="00BC4E0F" w:rsidP="00BC4E0F">
      <w:pPr>
        <w:pStyle w:val="Heading5"/>
        <w:spacing w:before="120" w:beforeAutospacing="0"/>
      </w:pPr>
      <w:r>
        <w:t xml:space="preserve">8.3 Frequency of Treatment  </w:t>
      </w:r>
    </w:p>
    <w:p w14:paraId="77C8246E" w14:textId="7CAC6AFB" w:rsidR="00BC4E0F" w:rsidRPr="00BC4E0F" w:rsidRDefault="00BC4E0F" w:rsidP="0059116A">
      <w:pPr>
        <w:pStyle w:val="Bullet"/>
        <w:rPr>
          <w:rFonts w:ascii="Symbol" w:hAnsi="Symbol"/>
        </w:rPr>
      </w:pPr>
      <w:r w:rsidRPr="003B4412">
        <w:t xml:space="preserve">The Prescribing Consultant Psychiatrist will state the desired frequency of administration (usually two or three times a week) on the </w:t>
      </w:r>
      <w:r w:rsidRPr="003B4412">
        <w:rPr>
          <w:i/>
        </w:rPr>
        <w:t>Electroconvulsive Therapy Consent and Prescription</w:t>
      </w:r>
      <w:r w:rsidRPr="003B4412">
        <w:rPr>
          <w:i/>
          <w:spacing w:val="-1"/>
        </w:rPr>
        <w:t xml:space="preserve"> </w:t>
      </w:r>
      <w:r w:rsidRPr="003B4412">
        <w:t>form.</w:t>
      </w:r>
    </w:p>
    <w:p w14:paraId="0D8C44FB" w14:textId="426B99A6" w:rsidR="00BC4E0F" w:rsidRDefault="00BC4E0F" w:rsidP="0091462B">
      <w:pPr>
        <w:pStyle w:val="BodyCopy"/>
      </w:pPr>
      <w:hyperlink w:anchor="_top" w:history="1">
        <w:r w:rsidRPr="00481A6C">
          <w:rPr>
            <w:rStyle w:val="Hyperlink"/>
            <w:iCs w:val="0"/>
          </w:rPr>
          <w:t>Back to Contents</w:t>
        </w:r>
      </w:hyperlink>
    </w:p>
    <w:p w14:paraId="30F0E51F" w14:textId="4749CC29" w:rsidR="00BC4E0F" w:rsidRDefault="00BC4E0F" w:rsidP="00BC4E0F">
      <w:pPr>
        <w:pStyle w:val="Heading4"/>
      </w:pPr>
      <w:bookmarkStart w:id="24" w:name="_Toc204357999"/>
      <w:r>
        <w:t>Section 9 – Continuation and Maintenance ECT</w:t>
      </w:r>
      <w:bookmarkEnd w:id="24"/>
      <w:r>
        <w:t xml:space="preserve">   </w:t>
      </w:r>
    </w:p>
    <w:p w14:paraId="02ABC702" w14:textId="162EB624" w:rsidR="00BC4E0F" w:rsidRPr="003B4412" w:rsidRDefault="00BC4E0F" w:rsidP="0059116A">
      <w:pPr>
        <w:pStyle w:val="BodyCopy"/>
      </w:pPr>
      <w:r w:rsidRPr="032493B3">
        <w:t>Continuation ECT (</w:t>
      </w:r>
      <w:proofErr w:type="spellStart"/>
      <w:r w:rsidRPr="032493B3">
        <w:t>cECT</w:t>
      </w:r>
      <w:proofErr w:type="spellEnd"/>
      <w:r w:rsidRPr="032493B3">
        <w:t>) or Maintenance ECT (</w:t>
      </w:r>
      <w:proofErr w:type="spellStart"/>
      <w:r w:rsidRPr="032493B3">
        <w:t>mECT</w:t>
      </w:r>
      <w:proofErr w:type="spellEnd"/>
      <w:r w:rsidRPr="032493B3">
        <w:t>) (see definition of terms) is the further administration of ECT treatments following remission of symptoms</w:t>
      </w:r>
      <w:r w:rsidRPr="032493B3">
        <w:rPr>
          <w:vertAlign w:val="superscript"/>
        </w:rPr>
        <w:t>5</w:t>
      </w:r>
      <w:r w:rsidRPr="032493B3">
        <w:t>.</w:t>
      </w:r>
    </w:p>
    <w:p w14:paraId="5014F1F8" w14:textId="190E300A" w:rsidR="00BC4E0F" w:rsidRPr="00BC4E0F" w:rsidRDefault="00BC4E0F" w:rsidP="0059116A">
      <w:pPr>
        <w:pStyle w:val="BodyCopy"/>
      </w:pPr>
      <w:proofErr w:type="spellStart"/>
      <w:r w:rsidRPr="032493B3">
        <w:t>cECT</w:t>
      </w:r>
      <w:proofErr w:type="spellEnd"/>
      <w:r w:rsidRPr="032493B3">
        <w:t xml:space="preserve"> may be administered following a successful course of ECT, we</w:t>
      </w:r>
      <w:r w:rsidRPr="003B4412">
        <w:t>ekly up to monthly, for up to six months after remission from acute illness is achieved. A dynamic schedule of</w:t>
      </w:r>
      <w:r>
        <w:t xml:space="preserve"> </w:t>
      </w:r>
      <w:r w:rsidRPr="003B4412">
        <w:rPr>
          <w:rFonts w:cs="Calibri"/>
        </w:rPr>
        <w:t xml:space="preserve">treatment, tailored to observations of the </w:t>
      </w:r>
      <w:r w:rsidR="00B53F0F" w:rsidRPr="005F6480">
        <w:rPr>
          <w:rFonts w:asciiTheme="minorHAnsi" w:hAnsiTheme="minorHAnsi" w:cstheme="minorHAnsi"/>
          <w:szCs w:val="22"/>
        </w:rPr>
        <w:t>consumer</w:t>
      </w:r>
      <w:r w:rsidRPr="003B4412">
        <w:rPr>
          <w:rFonts w:cs="Calibri"/>
        </w:rPr>
        <w:t>’s mental state at clinical review, may be more appropriate than a fixed schedule.</w:t>
      </w:r>
    </w:p>
    <w:p w14:paraId="0EA1CD32" w14:textId="1EEC4F84" w:rsidR="00BC4E0F" w:rsidRPr="003B4412" w:rsidRDefault="00BC4E0F" w:rsidP="0059116A">
      <w:pPr>
        <w:pStyle w:val="BodyCopy"/>
        <w:rPr>
          <w:rFonts w:cs="Calibri"/>
        </w:rPr>
      </w:pPr>
      <w:proofErr w:type="spellStart"/>
      <w:r w:rsidRPr="003B4412">
        <w:rPr>
          <w:rFonts w:cs="Calibri"/>
        </w:rPr>
        <w:t>mECT</w:t>
      </w:r>
      <w:proofErr w:type="spellEnd"/>
      <w:r w:rsidRPr="003B4412">
        <w:rPr>
          <w:rFonts w:cs="Calibri"/>
        </w:rPr>
        <w:t xml:space="preserve"> may be administered at weekly to monthly intervals (and occasionally less frequently) more than six months after treatment of the acute illness.</w:t>
      </w:r>
    </w:p>
    <w:p w14:paraId="587FA095" w14:textId="5055A282" w:rsidR="00BC4E0F" w:rsidRPr="003B4412" w:rsidRDefault="00BC4E0F" w:rsidP="0059116A">
      <w:pPr>
        <w:pStyle w:val="BodyCopy"/>
        <w:rPr>
          <w:rFonts w:cs="Calibri"/>
        </w:rPr>
      </w:pPr>
      <w:r w:rsidRPr="003B4412">
        <w:rPr>
          <w:rFonts w:cs="Calibri"/>
        </w:rPr>
        <w:t xml:space="preserve">The Prescribing Consultant Psychiatrist must individually tailor the scheduling of </w:t>
      </w:r>
      <w:proofErr w:type="spellStart"/>
      <w:r w:rsidRPr="003B4412">
        <w:rPr>
          <w:rFonts w:cs="Calibri"/>
        </w:rPr>
        <w:t>cECT</w:t>
      </w:r>
      <w:proofErr w:type="spellEnd"/>
      <w:r w:rsidRPr="003B4412">
        <w:rPr>
          <w:rFonts w:cs="Calibri"/>
        </w:rPr>
        <w:t xml:space="preserve"> or </w:t>
      </w:r>
      <w:proofErr w:type="spellStart"/>
      <w:r w:rsidRPr="003B4412">
        <w:rPr>
          <w:rFonts w:cs="Calibri"/>
        </w:rPr>
        <w:t>mECT</w:t>
      </w:r>
      <w:proofErr w:type="spellEnd"/>
      <w:r w:rsidRPr="003B4412">
        <w:rPr>
          <w:rFonts w:cs="Calibri"/>
        </w:rPr>
        <w:t xml:space="preserve"> to maintain wellbeing while minimising potential side effects, particularly cognitive impairment and conduct periodic assessment of the </w:t>
      </w:r>
      <w:r w:rsidR="00B53F0F" w:rsidRPr="005F6480">
        <w:rPr>
          <w:rFonts w:asciiTheme="minorHAnsi" w:hAnsiTheme="minorHAnsi" w:cstheme="minorHAnsi"/>
          <w:szCs w:val="22"/>
        </w:rPr>
        <w:t>consumer</w:t>
      </w:r>
      <w:r w:rsidRPr="003B4412">
        <w:rPr>
          <w:rFonts w:cs="Calibri"/>
        </w:rPr>
        <w:t xml:space="preserve"> as clinically necessary.</w:t>
      </w:r>
    </w:p>
    <w:p w14:paraId="443E3D4D" w14:textId="6509F991" w:rsidR="00BC4E0F" w:rsidRPr="003B4412" w:rsidRDefault="00BC4E0F" w:rsidP="0059116A">
      <w:pPr>
        <w:pStyle w:val="BodyCopy"/>
        <w:rPr>
          <w:rFonts w:cs="Calibri"/>
        </w:rPr>
      </w:pPr>
      <w:r w:rsidRPr="003B4412">
        <w:rPr>
          <w:rFonts w:cs="Calibri"/>
        </w:rPr>
        <w:t xml:space="preserve">Individually tailored monitoring of physical health should be undertaken for people receiving both </w:t>
      </w:r>
      <w:proofErr w:type="spellStart"/>
      <w:r w:rsidRPr="003B4412">
        <w:rPr>
          <w:rFonts w:cs="Calibri"/>
        </w:rPr>
        <w:t>cECT</w:t>
      </w:r>
      <w:proofErr w:type="spellEnd"/>
      <w:r w:rsidRPr="003B4412">
        <w:rPr>
          <w:rFonts w:cs="Calibri"/>
        </w:rPr>
        <w:t xml:space="preserve"> and </w:t>
      </w:r>
      <w:proofErr w:type="spellStart"/>
      <w:r w:rsidRPr="003B4412">
        <w:rPr>
          <w:rFonts w:cs="Calibri"/>
        </w:rPr>
        <w:t>mECT</w:t>
      </w:r>
      <w:proofErr w:type="spellEnd"/>
      <w:r w:rsidRPr="003B4412">
        <w:rPr>
          <w:rFonts w:cs="Calibri"/>
        </w:rPr>
        <w:t>. This should be completed every three months at minimum.</w:t>
      </w:r>
    </w:p>
    <w:p w14:paraId="4B85F668" w14:textId="481E71F2" w:rsidR="00BC4E0F" w:rsidRDefault="00BC4E0F" w:rsidP="0091462B">
      <w:pPr>
        <w:pStyle w:val="BodyCopy"/>
      </w:pPr>
      <w:hyperlink w:anchor="_top" w:history="1">
        <w:r w:rsidRPr="00481A6C">
          <w:rPr>
            <w:rStyle w:val="Hyperlink"/>
            <w:iCs w:val="0"/>
          </w:rPr>
          <w:t>Back to Contents</w:t>
        </w:r>
      </w:hyperlink>
    </w:p>
    <w:p w14:paraId="617173C5" w14:textId="36CBF2B9" w:rsidR="00BC4E0F" w:rsidRDefault="00BC4E0F" w:rsidP="00BC4E0F">
      <w:pPr>
        <w:pStyle w:val="Heading4"/>
      </w:pPr>
      <w:bookmarkStart w:id="25" w:name="_Toc204358000"/>
      <w:r>
        <w:t>Section 10 – Referral of outpatients for ECT</w:t>
      </w:r>
      <w:bookmarkEnd w:id="25"/>
      <w:r>
        <w:t xml:space="preserve">   </w:t>
      </w:r>
    </w:p>
    <w:p w14:paraId="56ADC64C" w14:textId="43D52D49" w:rsidR="00BC4E0F" w:rsidRDefault="00BC4E0F" w:rsidP="00BC4E0F">
      <w:pPr>
        <w:pStyle w:val="Heading5"/>
        <w:spacing w:before="120" w:beforeAutospacing="0"/>
      </w:pPr>
      <w:r>
        <w:t xml:space="preserve">10.1 Referrals </w:t>
      </w:r>
    </w:p>
    <w:p w14:paraId="41F5B780" w14:textId="628AE6E9" w:rsidR="00BC4E0F" w:rsidRPr="00BC4E0F" w:rsidRDefault="00BC4E0F" w:rsidP="00BC4E0F">
      <w:r w:rsidRPr="032493B3">
        <w:t>The Canberra Hospital Neurostimulation Suite (NTS)</w:t>
      </w:r>
      <w:r>
        <w:t xml:space="preserve"> is the only site that administers outpatient ECT and</w:t>
      </w:r>
      <w:r w:rsidRPr="032493B3">
        <w:t xml:space="preserve"> will require the referring</w:t>
      </w:r>
      <w:r>
        <w:t xml:space="preserve"> Psychiatrist</w:t>
      </w:r>
      <w:r w:rsidRPr="032493B3">
        <w:t xml:space="preserve"> to email a referral letter to </w:t>
      </w:r>
      <w:hyperlink r:id="rId10">
        <w:r w:rsidRPr="032493B3">
          <w:rPr>
            <w:color w:val="0000FF"/>
            <w:u w:val="single"/>
          </w:rPr>
          <w:t>CHSECT@act.gov.au</w:t>
        </w:r>
      </w:hyperlink>
      <w:r w:rsidRPr="032493B3">
        <w:t xml:space="preserve">, addressed to ECT director. The referral will be triaged by the </w:t>
      </w:r>
      <w:r>
        <w:t>ECT director</w:t>
      </w:r>
      <w:r w:rsidRPr="032493B3">
        <w:t xml:space="preserve"> and then discussed with the ECT committee. </w:t>
      </w:r>
    </w:p>
    <w:p w14:paraId="30F881BE" w14:textId="22CC4364" w:rsidR="00BC4E0F" w:rsidRDefault="00BC4E0F" w:rsidP="00BC4E0F">
      <w:pPr>
        <w:pStyle w:val="Heading5"/>
        <w:spacing w:before="120" w:beforeAutospacing="0"/>
      </w:pPr>
      <w:r>
        <w:t xml:space="preserve">10.2 Admissions </w:t>
      </w:r>
    </w:p>
    <w:p w14:paraId="32FB764A" w14:textId="31CEFAF1" w:rsidR="00BC4E0F" w:rsidRPr="00BC4E0F" w:rsidRDefault="00BC4E0F" w:rsidP="00BC4E0F">
      <w:r>
        <w:t>Outpatients who attend ECT at the Neurostimulation Therapy Suite are admitted on DHR by the NTS Administration (same day only admission).</w:t>
      </w:r>
    </w:p>
    <w:p w14:paraId="62D5D082" w14:textId="0DF183DC" w:rsidR="00BC4E0F" w:rsidRDefault="00BC4E0F" w:rsidP="00BC4E0F">
      <w:pPr>
        <w:pStyle w:val="Heading5"/>
        <w:spacing w:before="120" w:beforeAutospacing="0"/>
      </w:pPr>
      <w:r>
        <w:lastRenderedPageBreak/>
        <w:t xml:space="preserve">10.3 Discharges </w:t>
      </w:r>
    </w:p>
    <w:p w14:paraId="3B3D52E0" w14:textId="474D29FE" w:rsidR="00BC4E0F" w:rsidRPr="00E47CE2" w:rsidRDefault="005004B2" w:rsidP="00BC4E0F">
      <w:pPr>
        <w:spacing w:after="120"/>
      </w:pPr>
      <w:r>
        <w:t xml:space="preserve">At NTS the </w:t>
      </w:r>
      <w:proofErr w:type="gramStart"/>
      <w:r>
        <w:t>o</w:t>
      </w:r>
      <w:r w:rsidR="00BC4E0F" w:rsidRPr="003B4412">
        <w:t>utpatients</w:t>
      </w:r>
      <w:proofErr w:type="gramEnd"/>
      <w:r w:rsidR="00BC4E0F" w:rsidRPr="003B4412">
        <w:t xml:space="preserve"> </w:t>
      </w:r>
      <w:r>
        <w:t>a</w:t>
      </w:r>
      <w:r w:rsidR="00BC4E0F">
        <w:t>dministration</w:t>
      </w:r>
      <w:r w:rsidR="00BC4E0F" w:rsidRPr="003B4412">
        <w:t xml:space="preserve"> </w:t>
      </w:r>
      <w:r>
        <w:t xml:space="preserve">team </w:t>
      </w:r>
      <w:r w:rsidR="00BC4E0F" w:rsidRPr="003B4412">
        <w:t>will:</w:t>
      </w:r>
    </w:p>
    <w:p w14:paraId="3AA1404E" w14:textId="409EF3E7" w:rsidR="00BC4E0F" w:rsidRPr="003B4412" w:rsidRDefault="00BC4E0F" w:rsidP="0059116A">
      <w:pPr>
        <w:pStyle w:val="Bullet"/>
        <w:rPr>
          <w:rFonts w:ascii="Symbol" w:hAnsi="Symbol"/>
        </w:rPr>
      </w:pPr>
      <w:r w:rsidRPr="003B4412">
        <w:t xml:space="preserve">Discharge the </w:t>
      </w:r>
      <w:r w:rsidR="00B53F0F" w:rsidRPr="005F6480">
        <w:rPr>
          <w:rFonts w:asciiTheme="minorHAnsi" w:hAnsiTheme="minorHAnsi" w:cstheme="minorHAnsi"/>
        </w:rPr>
        <w:t>consumer</w:t>
      </w:r>
      <w:r w:rsidRPr="003B4412">
        <w:t xml:space="preserve"> on</w:t>
      </w:r>
      <w:r>
        <w:t xml:space="preserve"> DHR</w:t>
      </w:r>
      <w:r w:rsidRPr="003B4412">
        <w:t xml:space="preserve"> </w:t>
      </w:r>
    </w:p>
    <w:p w14:paraId="6A6F27E0" w14:textId="2A006503" w:rsidR="00BC4E0F" w:rsidRPr="00BC4E0F" w:rsidRDefault="00BC4E0F" w:rsidP="0059116A">
      <w:pPr>
        <w:pStyle w:val="Bullet"/>
        <w:rPr>
          <w:rFonts w:ascii="Symbol" w:hAnsi="Symbol"/>
        </w:rPr>
      </w:pPr>
      <w:r w:rsidRPr="003B4412">
        <w:t>Maintain the outpatient ECT file until the completion of the course of treatment.</w:t>
      </w:r>
    </w:p>
    <w:p w14:paraId="54F119E2" w14:textId="1A46E27F" w:rsidR="00BC4E0F" w:rsidRDefault="00BC4E0F" w:rsidP="00BC4E0F">
      <w:pPr>
        <w:pBdr>
          <w:top w:val="single" w:sz="4" w:space="1" w:color="auto"/>
          <w:left w:val="single" w:sz="4" w:space="4" w:color="auto"/>
          <w:bottom w:val="single" w:sz="4" w:space="1" w:color="auto"/>
          <w:right w:val="single" w:sz="4" w:space="4" w:color="auto"/>
        </w:pBdr>
      </w:pPr>
      <w:r w:rsidRPr="003B4412">
        <w:rPr>
          <w:b/>
        </w:rPr>
        <w:t xml:space="preserve">NOTE: </w:t>
      </w:r>
      <w:r>
        <w:t>O</w:t>
      </w:r>
      <w:r w:rsidRPr="003B4412">
        <w:t xml:space="preserve">utpatient ECT files will stay </w:t>
      </w:r>
      <w:r>
        <w:t>in NTS</w:t>
      </w:r>
      <w:r w:rsidRPr="003B4412">
        <w:t xml:space="preserve"> until the </w:t>
      </w:r>
      <w:r w:rsidR="00B53F0F" w:rsidRPr="005F6480">
        <w:rPr>
          <w:rFonts w:asciiTheme="minorHAnsi" w:hAnsiTheme="minorHAnsi" w:cstheme="minorHAnsi"/>
          <w:szCs w:val="22"/>
        </w:rPr>
        <w:t>consumer</w:t>
      </w:r>
      <w:r w:rsidRPr="003B4412">
        <w:t xml:space="preserve"> has completed the </w:t>
      </w:r>
      <w:r w:rsidR="00B61039">
        <w:t xml:space="preserve">prescribed </w:t>
      </w:r>
      <w:r w:rsidRPr="003B4412">
        <w:t>number of treatments</w:t>
      </w:r>
      <w:r w:rsidR="00B61039">
        <w:t>.</w:t>
      </w:r>
      <w:r w:rsidRPr="003B4412">
        <w:t xml:space="preserve"> </w:t>
      </w:r>
      <w:r>
        <w:t xml:space="preserve">All completed files are to be sent to Clinical Records. </w:t>
      </w:r>
    </w:p>
    <w:p w14:paraId="612AC344" w14:textId="77777777" w:rsidR="00BC4E0F" w:rsidRDefault="00BC4E0F" w:rsidP="00BC4E0F">
      <w:pPr>
        <w:pStyle w:val="BodyCopy"/>
      </w:pPr>
      <w:hyperlink w:anchor="_top" w:history="1">
        <w:r w:rsidRPr="00481A6C">
          <w:rPr>
            <w:rStyle w:val="Hyperlink"/>
            <w:iCs w:val="0"/>
          </w:rPr>
          <w:t>Back to Contents</w:t>
        </w:r>
      </w:hyperlink>
    </w:p>
    <w:p w14:paraId="08790563" w14:textId="5EBDDFB8" w:rsidR="00BC4E0F" w:rsidRDefault="00BC4E0F" w:rsidP="00BC4E0F">
      <w:pPr>
        <w:pStyle w:val="Heading4"/>
      </w:pPr>
      <w:bookmarkStart w:id="26" w:name="_Toc204358001"/>
      <w:r>
        <w:t>Section 11 – Post ECT follow- up and monitoring</w:t>
      </w:r>
      <w:bookmarkEnd w:id="26"/>
      <w:r>
        <w:t xml:space="preserve">    </w:t>
      </w:r>
    </w:p>
    <w:p w14:paraId="3C48956A" w14:textId="2C6BEF8A" w:rsidR="00180C1A" w:rsidRDefault="00B53F0F" w:rsidP="0059116A">
      <w:pPr>
        <w:pStyle w:val="BodyCopy"/>
      </w:pPr>
      <w:bookmarkStart w:id="27" w:name="_Toc102396704"/>
      <w:r>
        <w:rPr>
          <w:rFonts w:asciiTheme="minorHAnsi" w:hAnsiTheme="minorHAnsi" w:cstheme="minorHAnsi"/>
          <w:szCs w:val="22"/>
        </w:rPr>
        <w:t>C</w:t>
      </w:r>
      <w:r w:rsidRPr="005F6480">
        <w:rPr>
          <w:rFonts w:asciiTheme="minorHAnsi" w:hAnsiTheme="minorHAnsi" w:cstheme="minorHAnsi"/>
          <w:szCs w:val="22"/>
        </w:rPr>
        <w:t>onsumer</w:t>
      </w:r>
      <w:r w:rsidR="00180C1A" w:rsidRPr="003B4412">
        <w:t xml:space="preserve">s receiving </w:t>
      </w:r>
      <w:r w:rsidR="00180C1A">
        <w:t xml:space="preserve">ECT </w:t>
      </w:r>
      <w:r w:rsidR="00180C1A" w:rsidRPr="003B4412">
        <w:t xml:space="preserve">treatment should be advised </w:t>
      </w:r>
      <w:r w:rsidR="00180C1A" w:rsidRPr="00274B59">
        <w:t>for a minimum of 24 hours after receiving ECT</w:t>
      </w:r>
      <w:r w:rsidR="00180C1A" w:rsidRPr="003B4412">
        <w:t xml:space="preserve"> not to</w:t>
      </w:r>
      <w:r w:rsidR="00180C1A">
        <w:t>:</w:t>
      </w:r>
    </w:p>
    <w:p w14:paraId="4798C991" w14:textId="77777777" w:rsidR="00180C1A" w:rsidRDefault="00180C1A" w:rsidP="0059116A">
      <w:pPr>
        <w:pStyle w:val="Bullet"/>
      </w:pPr>
      <w:r w:rsidRPr="00274B59">
        <w:t xml:space="preserve">drive a vehicle </w:t>
      </w:r>
    </w:p>
    <w:p w14:paraId="4B799325" w14:textId="77777777" w:rsidR="00180C1A" w:rsidRDefault="00180C1A" w:rsidP="0059116A">
      <w:pPr>
        <w:pStyle w:val="Bullet"/>
      </w:pPr>
      <w:r w:rsidRPr="00274B59">
        <w:t xml:space="preserve">operate machinery </w:t>
      </w:r>
    </w:p>
    <w:p w14:paraId="120ED99F" w14:textId="77777777" w:rsidR="00180C1A" w:rsidRDefault="00180C1A" w:rsidP="0059116A">
      <w:pPr>
        <w:pStyle w:val="Bullet"/>
      </w:pPr>
      <w:r w:rsidRPr="00274B59">
        <w:t xml:space="preserve">sign any legal documents </w:t>
      </w:r>
    </w:p>
    <w:p w14:paraId="5EBF60CE" w14:textId="77777777" w:rsidR="00180C1A" w:rsidRDefault="00180C1A" w:rsidP="0059116A">
      <w:pPr>
        <w:pStyle w:val="Bullet"/>
      </w:pPr>
      <w:r w:rsidRPr="00274B59">
        <w:t xml:space="preserve">make financial decisions or </w:t>
      </w:r>
    </w:p>
    <w:p w14:paraId="6EF1B9F1" w14:textId="77777777" w:rsidR="00180C1A" w:rsidRPr="00274B59" w:rsidRDefault="00180C1A" w:rsidP="0059116A">
      <w:pPr>
        <w:pStyle w:val="Bullet"/>
      </w:pPr>
      <w:r w:rsidRPr="00274B59">
        <w:t xml:space="preserve">have sole responsibility for children </w:t>
      </w:r>
    </w:p>
    <w:p w14:paraId="7C8CC076" w14:textId="43D14CF6" w:rsidR="00BC4E0F" w:rsidRDefault="00BC4E0F" w:rsidP="0059116A">
      <w:pPr>
        <w:pStyle w:val="BodyCopy"/>
      </w:pPr>
      <w:r w:rsidRPr="003B4412">
        <w:t xml:space="preserve">It is recommended that the </w:t>
      </w:r>
      <w:r w:rsidR="001122C0" w:rsidRPr="005F6480">
        <w:rPr>
          <w:rFonts w:asciiTheme="minorHAnsi" w:hAnsiTheme="minorHAnsi" w:cstheme="minorHAnsi"/>
          <w:szCs w:val="22"/>
        </w:rPr>
        <w:t>consumer</w:t>
      </w:r>
      <w:r w:rsidRPr="003B4412">
        <w:t xml:space="preserve"> receiving ECT:</w:t>
      </w:r>
      <w:bookmarkEnd w:id="27"/>
      <w:r w:rsidRPr="003B4412">
        <w:t xml:space="preserve"> </w:t>
      </w:r>
      <w:bookmarkStart w:id="28" w:name="_Toc102396705"/>
    </w:p>
    <w:p w14:paraId="04970319" w14:textId="309BBA8E" w:rsidR="00BC4E0F" w:rsidRPr="00BC4E0F" w:rsidRDefault="00BC4E0F" w:rsidP="0059116A">
      <w:pPr>
        <w:pStyle w:val="Bullet"/>
      </w:pPr>
      <w:r w:rsidRPr="00BC4E0F">
        <w:t xml:space="preserve">be monitored regularly by their prescribing consultant psychiatrist and community treatment team in conjunction with their general practitioner for a period of time based on their clinical needs. </w:t>
      </w:r>
      <w:bookmarkEnd w:id="28"/>
    </w:p>
    <w:p w14:paraId="305E76D4" w14:textId="15FC70FC" w:rsidR="00BC4E0F" w:rsidRPr="003B4412" w:rsidRDefault="00BC4E0F" w:rsidP="0059116A">
      <w:pPr>
        <w:pStyle w:val="Bullet"/>
      </w:pPr>
      <w:bookmarkStart w:id="29" w:name="_Toc102396706"/>
      <w:r w:rsidRPr="00692A04">
        <w:rPr>
          <w:b/>
          <w:bCs/>
        </w:rPr>
        <w:t>t</w:t>
      </w:r>
      <w:r w:rsidRPr="003B4412">
        <w:rPr>
          <w:b/>
          <w:bCs/>
        </w:rPr>
        <w:t xml:space="preserve">he </w:t>
      </w:r>
      <w:r w:rsidR="001122C0" w:rsidRPr="00F07520">
        <w:rPr>
          <w:rFonts w:asciiTheme="minorHAnsi" w:hAnsiTheme="minorHAnsi" w:cstheme="minorHAnsi"/>
          <w:b/>
          <w:bCs/>
          <w:szCs w:val="22"/>
        </w:rPr>
        <w:t>consume</w:t>
      </w:r>
      <w:r w:rsidR="001122C0" w:rsidRPr="005F6480">
        <w:rPr>
          <w:rFonts w:asciiTheme="minorHAnsi" w:hAnsiTheme="minorHAnsi" w:cstheme="minorHAnsi"/>
          <w:szCs w:val="22"/>
        </w:rPr>
        <w:t>r</w:t>
      </w:r>
      <w:r w:rsidRPr="003B4412">
        <w:rPr>
          <w:b/>
          <w:bCs/>
        </w:rPr>
        <w:t xml:space="preserve"> should </w:t>
      </w:r>
      <w:r w:rsidRPr="003B4412">
        <w:t>also be monitored for any return of symptoms in order to detect any relapse at an early stage.</w:t>
      </w:r>
      <w:bookmarkEnd w:id="29"/>
    </w:p>
    <w:p w14:paraId="330164F4" w14:textId="352C36D4" w:rsidR="00BC4E0F" w:rsidRPr="00F07520" w:rsidRDefault="00BC4E0F" w:rsidP="0059116A">
      <w:pPr>
        <w:pStyle w:val="Bullet"/>
        <w:rPr>
          <w:b/>
          <w:bCs/>
          <w:sz w:val="28"/>
          <w:szCs w:val="28"/>
        </w:rPr>
      </w:pPr>
      <w:bookmarkStart w:id="30" w:name="_Toc102396707"/>
      <w:r w:rsidRPr="003B4412">
        <w:t xml:space="preserve">assess the </w:t>
      </w:r>
      <w:r w:rsidR="001122C0" w:rsidRPr="005F6480">
        <w:rPr>
          <w:rFonts w:asciiTheme="minorHAnsi" w:hAnsiTheme="minorHAnsi" w:cstheme="minorHAnsi"/>
          <w:szCs w:val="22"/>
        </w:rPr>
        <w:t>consumer</w:t>
      </w:r>
      <w:r w:rsidRPr="003B4412">
        <w:t xml:space="preserve"> for any</w:t>
      </w:r>
      <w:r w:rsidRPr="003B4412">
        <w:rPr>
          <w:b/>
          <w:bCs/>
        </w:rPr>
        <w:t xml:space="preserve"> ECT-related cognitive impairment.</w:t>
      </w:r>
      <w:bookmarkEnd w:id="30"/>
    </w:p>
    <w:p w14:paraId="4BEC9EC4" w14:textId="181C0206" w:rsidR="00BC4E0F" w:rsidRPr="0059116A" w:rsidRDefault="00BC4E0F" w:rsidP="0059116A">
      <w:pPr>
        <w:pStyle w:val="Bullet"/>
        <w:rPr>
          <w:b/>
          <w:bCs/>
          <w:sz w:val="28"/>
          <w:szCs w:val="28"/>
        </w:rPr>
      </w:pPr>
      <w:r>
        <w:t xml:space="preserve">Where the </w:t>
      </w:r>
      <w:r w:rsidR="001122C0" w:rsidRPr="005F6480">
        <w:rPr>
          <w:rFonts w:asciiTheme="minorHAnsi" w:hAnsiTheme="minorHAnsi" w:cstheme="minorHAnsi"/>
          <w:szCs w:val="22"/>
        </w:rPr>
        <w:t>consumer</w:t>
      </w:r>
      <w:r>
        <w:t xml:space="preserve"> receiving </w:t>
      </w:r>
      <w:r w:rsidR="00B61039">
        <w:t xml:space="preserve">ECT </w:t>
      </w:r>
      <w:r>
        <w:t xml:space="preserve">consents, </w:t>
      </w:r>
      <w:r w:rsidR="00B61039">
        <w:t xml:space="preserve">nominated person, family, </w:t>
      </w:r>
      <w:r>
        <w:t xml:space="preserve">carers </w:t>
      </w:r>
      <w:r w:rsidR="00B61039">
        <w:t xml:space="preserve">and other supports </w:t>
      </w:r>
      <w:r>
        <w:t>can be invited to participate in post ECT follow up discussions to provide insight into recovery progress.</w:t>
      </w:r>
    </w:p>
    <w:p w14:paraId="0D64D348" w14:textId="25D04E14" w:rsidR="00BC4E0F" w:rsidRDefault="00BC4E0F" w:rsidP="00BC4E0F">
      <w:pPr>
        <w:pStyle w:val="BodyCopy"/>
      </w:pPr>
      <w:hyperlink w:anchor="_top" w:history="1">
        <w:r w:rsidRPr="00481A6C">
          <w:rPr>
            <w:rStyle w:val="Hyperlink"/>
            <w:iCs w:val="0"/>
          </w:rPr>
          <w:t>Back to Contents</w:t>
        </w:r>
      </w:hyperlink>
    </w:p>
    <w:p w14:paraId="4F93B4EC" w14:textId="5844D755" w:rsidR="00BC4E0F" w:rsidRDefault="00BC4E0F" w:rsidP="00BC4E0F">
      <w:pPr>
        <w:pStyle w:val="Heading4"/>
      </w:pPr>
      <w:bookmarkStart w:id="31" w:name="_Toc204358002"/>
      <w:r>
        <w:t>Section 12 – Adverse Incidents and Critical Events</w:t>
      </w:r>
      <w:bookmarkEnd w:id="31"/>
      <w:r>
        <w:t xml:space="preserve">     </w:t>
      </w:r>
    </w:p>
    <w:p w14:paraId="3B5AF780" w14:textId="19AA750A" w:rsidR="00BC4E0F" w:rsidRPr="003B4412" w:rsidRDefault="00BC4E0F" w:rsidP="0059116A">
      <w:pPr>
        <w:pStyle w:val="BodyCopy"/>
        <w:rPr>
          <w:rFonts w:ascii="Symbol" w:hAnsi="Symbol"/>
        </w:rPr>
      </w:pPr>
      <w:r w:rsidRPr="003B4412">
        <w:t xml:space="preserve">All adverse incidents and critical events must be documented in the </w:t>
      </w:r>
      <w:r w:rsidR="001122C0" w:rsidRPr="005F6480">
        <w:rPr>
          <w:rFonts w:asciiTheme="minorHAnsi" w:hAnsiTheme="minorHAnsi" w:cstheme="minorHAnsi"/>
        </w:rPr>
        <w:t>consumer</w:t>
      </w:r>
      <w:r w:rsidRPr="003B4412">
        <w:t xml:space="preserve">’s </w:t>
      </w:r>
      <w:r>
        <w:t>DHR</w:t>
      </w:r>
      <w:r w:rsidRPr="003B4412">
        <w:t xml:space="preserve"> and a </w:t>
      </w:r>
      <w:r>
        <w:t xml:space="preserve">Clinical incident </w:t>
      </w:r>
      <w:r w:rsidR="0059116A">
        <w:t xml:space="preserve">report completed in </w:t>
      </w:r>
      <w:r w:rsidRPr="003B4412">
        <w:t>Riskman</w:t>
      </w:r>
      <w:r>
        <w:t xml:space="preserve">. Refer to </w:t>
      </w:r>
      <w:r w:rsidRPr="003B4412">
        <w:rPr>
          <w:i/>
        </w:rPr>
        <w:t>Incident Management</w:t>
      </w:r>
      <w:r w:rsidRPr="003B4412">
        <w:rPr>
          <w:i/>
          <w:spacing w:val="-5"/>
        </w:rPr>
        <w:t xml:space="preserve"> </w:t>
      </w:r>
      <w:r>
        <w:rPr>
          <w:i/>
          <w:spacing w:val="-5"/>
        </w:rPr>
        <w:t xml:space="preserve">Clinical Policy </w:t>
      </w:r>
      <w:r w:rsidRPr="0059116A">
        <w:rPr>
          <w:iCs w:val="0"/>
          <w:spacing w:val="-5"/>
        </w:rPr>
        <w:t>and</w:t>
      </w:r>
      <w:r>
        <w:rPr>
          <w:i/>
          <w:spacing w:val="-5"/>
        </w:rPr>
        <w:t xml:space="preserve"> </w:t>
      </w:r>
      <w:r w:rsidRPr="003B4412">
        <w:rPr>
          <w:i/>
        </w:rPr>
        <w:t>Procedure</w:t>
      </w:r>
      <w:r w:rsidRPr="003B4412">
        <w:t>).</w:t>
      </w:r>
    </w:p>
    <w:p w14:paraId="420C6B9C" w14:textId="211521BA" w:rsidR="00BC4E0F" w:rsidRPr="00BC4E0F" w:rsidRDefault="00BC4E0F" w:rsidP="0059116A">
      <w:pPr>
        <w:pStyle w:val="BodyCopy"/>
        <w:rPr>
          <w:rFonts w:ascii="Symbol" w:hAnsi="Symbol"/>
        </w:rPr>
      </w:pPr>
      <w:r w:rsidRPr="003B4412">
        <w:t xml:space="preserve">All </w:t>
      </w:r>
      <w:r>
        <w:t>clinical</w:t>
      </w:r>
      <w:r w:rsidRPr="003B4412">
        <w:t xml:space="preserve"> incidents</w:t>
      </w:r>
      <w:r>
        <w:t xml:space="preserve"> reports</w:t>
      </w:r>
      <w:r w:rsidRPr="003B4412">
        <w:t xml:space="preserve"> will be reviewed by the Mental Health, Justice Health, Alcohol and Drug Clinical Review Committee.</w:t>
      </w:r>
    </w:p>
    <w:p w14:paraId="11E37B35" w14:textId="6E389359" w:rsidR="00BC4E0F" w:rsidRPr="00BC4E0F" w:rsidRDefault="00BC4E0F" w:rsidP="00BC4E0F">
      <w:pPr>
        <w:pStyle w:val="BodyCopy"/>
      </w:pPr>
      <w:hyperlink w:anchor="_top" w:history="1">
        <w:r w:rsidRPr="00481A6C">
          <w:rPr>
            <w:rStyle w:val="Hyperlink"/>
            <w:iCs w:val="0"/>
          </w:rPr>
          <w:t>Back to Contents</w:t>
        </w:r>
      </w:hyperlink>
    </w:p>
    <w:p w14:paraId="182F0C06" w14:textId="01D45E83" w:rsidR="00BC4E0F" w:rsidRDefault="00BC4E0F" w:rsidP="00BC4E0F">
      <w:pPr>
        <w:pStyle w:val="Heading4"/>
      </w:pPr>
      <w:bookmarkStart w:id="32" w:name="_Toc204358003"/>
      <w:r>
        <w:lastRenderedPageBreak/>
        <w:t xml:space="preserve">Section 13 – DHR </w:t>
      </w:r>
      <w:r w:rsidR="00C35537">
        <w:t>Business Continuity Plan</w:t>
      </w:r>
      <w:bookmarkEnd w:id="32"/>
      <w:r w:rsidR="00D64107">
        <w:tab/>
      </w:r>
      <w:r>
        <w:t xml:space="preserve">     </w:t>
      </w:r>
    </w:p>
    <w:p w14:paraId="431EC0A6" w14:textId="142F2855" w:rsidR="00314160" w:rsidRPr="00F07520" w:rsidRDefault="00314160" w:rsidP="00BC4E0F">
      <w:pPr>
        <w:widowControl w:val="0"/>
        <w:autoSpaceDE w:val="0"/>
        <w:autoSpaceDN w:val="0"/>
        <w:spacing w:after="120" w:line="304" w:lineRule="exact"/>
        <w:outlineLvl w:val="2"/>
      </w:pPr>
      <w:r>
        <w:t xml:space="preserve">Refer to the Business </w:t>
      </w:r>
      <w:r w:rsidR="00F171FB">
        <w:t>Continuity</w:t>
      </w:r>
      <w:r>
        <w:t xml:space="preserve"> Plan Folder</w:t>
      </w:r>
      <w:r w:rsidR="00F171FB">
        <w:t>.</w:t>
      </w:r>
    </w:p>
    <w:p w14:paraId="2A163B6D" w14:textId="27027931" w:rsidR="00BC4E0F" w:rsidRPr="00BC4E0F" w:rsidRDefault="00BC4E0F" w:rsidP="0091462B">
      <w:pPr>
        <w:pStyle w:val="BodyCopy"/>
      </w:pPr>
      <w:hyperlink w:anchor="_top" w:history="1">
        <w:r w:rsidRPr="00481A6C">
          <w:rPr>
            <w:rStyle w:val="Hyperlink"/>
            <w:iCs w:val="0"/>
          </w:rPr>
          <w:t>Back to Contents</w:t>
        </w:r>
      </w:hyperlink>
    </w:p>
    <w:p w14:paraId="70EEC1CD" w14:textId="77777777" w:rsidR="0078367D" w:rsidRDefault="0078367D" w:rsidP="00A6051F">
      <w:pPr>
        <w:pStyle w:val="Heading4"/>
      </w:pPr>
      <w:bookmarkStart w:id="33" w:name="_Toc176348490"/>
      <w:bookmarkStart w:id="34" w:name="_Toc204358004"/>
      <w:r>
        <w:t>Evaluation</w:t>
      </w:r>
      <w:bookmarkStart w:id="35" w:name="_Hlk43366294"/>
      <w:bookmarkEnd w:id="33"/>
      <w:bookmarkEnd w:id="34"/>
    </w:p>
    <w:bookmarkEnd w:id="35"/>
    <w:p w14:paraId="58C563C8" w14:textId="77777777" w:rsidR="00BC4E0F" w:rsidRPr="00BC4E0F" w:rsidRDefault="00BC4E0F" w:rsidP="00BC4E0F">
      <w:pPr>
        <w:pStyle w:val="Default"/>
        <w:spacing w:before="120" w:after="120"/>
        <w:rPr>
          <w:rFonts w:ascii="Arial" w:hAnsi="Arial" w:cs="Arial"/>
          <w:b/>
          <w:bCs/>
          <w:iCs/>
          <w:color w:val="auto"/>
          <w:lang w:eastAsia="en-US"/>
        </w:rPr>
      </w:pPr>
      <w:r w:rsidRPr="00BC4E0F">
        <w:rPr>
          <w:rFonts w:ascii="Arial" w:hAnsi="Arial" w:cs="Arial"/>
          <w:b/>
          <w:bCs/>
          <w:iCs/>
          <w:color w:val="auto"/>
          <w:lang w:eastAsia="en-US"/>
        </w:rPr>
        <w:t>Outcome</w:t>
      </w:r>
    </w:p>
    <w:p w14:paraId="2791CD52" w14:textId="1E5A1FE7" w:rsidR="00BC4E0F" w:rsidRPr="00BC4E0F" w:rsidRDefault="00F00AEC" w:rsidP="0059116A">
      <w:pPr>
        <w:pStyle w:val="Bullet"/>
        <w:rPr>
          <w:lang w:eastAsia="en-US"/>
        </w:rPr>
      </w:pPr>
      <w:r>
        <w:rPr>
          <w:lang w:eastAsia="en-US"/>
        </w:rPr>
        <w:t>Consumers</w:t>
      </w:r>
      <w:r w:rsidRPr="00BC4E0F">
        <w:rPr>
          <w:lang w:eastAsia="en-US"/>
        </w:rPr>
        <w:t xml:space="preserve"> </w:t>
      </w:r>
      <w:r w:rsidR="00BC4E0F" w:rsidRPr="00BC4E0F">
        <w:rPr>
          <w:lang w:eastAsia="en-US"/>
        </w:rPr>
        <w:t>requiring ECT therapy will have care delivered as per this procedure</w:t>
      </w:r>
    </w:p>
    <w:p w14:paraId="31525D6C" w14:textId="1450E740" w:rsidR="00BC4E0F" w:rsidRPr="0059116A" w:rsidRDefault="00BC4E0F" w:rsidP="00BC4E0F">
      <w:pPr>
        <w:pStyle w:val="Bullet"/>
        <w:rPr>
          <w:lang w:eastAsia="en-US"/>
        </w:rPr>
      </w:pPr>
      <w:r w:rsidRPr="00BC4E0F">
        <w:rPr>
          <w:lang w:eastAsia="en-US"/>
        </w:rPr>
        <w:t>CHS staff delivering ECT therapy will meet the training and credentialing requirements of this procedure</w:t>
      </w:r>
    </w:p>
    <w:p w14:paraId="3FD6D033" w14:textId="77777777" w:rsidR="00BC4E0F" w:rsidRPr="00BC4E0F" w:rsidRDefault="00BC4E0F" w:rsidP="00BC4E0F">
      <w:pPr>
        <w:pStyle w:val="Default"/>
        <w:spacing w:before="120" w:after="120"/>
        <w:rPr>
          <w:rFonts w:ascii="Arial" w:hAnsi="Arial" w:cs="Arial"/>
          <w:b/>
          <w:bCs/>
          <w:iCs/>
          <w:color w:val="auto"/>
          <w:lang w:eastAsia="en-US"/>
        </w:rPr>
      </w:pPr>
      <w:r w:rsidRPr="00BC4E0F">
        <w:rPr>
          <w:rFonts w:ascii="Arial" w:hAnsi="Arial" w:cs="Arial"/>
          <w:b/>
          <w:bCs/>
          <w:iCs/>
          <w:color w:val="auto"/>
          <w:lang w:eastAsia="en-US"/>
        </w:rPr>
        <w:t>Measures</w:t>
      </w:r>
    </w:p>
    <w:p w14:paraId="2EFE17CF" w14:textId="77777777" w:rsidR="00BC4E0F" w:rsidRPr="00BC4E0F" w:rsidRDefault="00BC4E0F" w:rsidP="0059116A">
      <w:pPr>
        <w:pStyle w:val="Bullet"/>
        <w:rPr>
          <w:rStyle w:val="CommentReference"/>
          <w:b/>
          <w:iCs/>
          <w:sz w:val="24"/>
          <w:szCs w:val="24"/>
        </w:rPr>
      </w:pPr>
      <w:r w:rsidRPr="00BC4E0F">
        <w:rPr>
          <w:lang w:eastAsia="en-US"/>
        </w:rPr>
        <w:t>Fortnightly review of all ECT treatments by ECT Committee.</w:t>
      </w:r>
    </w:p>
    <w:p w14:paraId="64E42D86" w14:textId="242701FB" w:rsidR="00BC4E0F" w:rsidRPr="00BC4E0F" w:rsidRDefault="00BC4E0F" w:rsidP="0059116A">
      <w:pPr>
        <w:pStyle w:val="Bullet"/>
        <w:rPr>
          <w:lang w:eastAsia="en-US"/>
        </w:rPr>
      </w:pPr>
      <w:r w:rsidRPr="00BC4E0F">
        <w:rPr>
          <w:lang w:eastAsia="en-US"/>
        </w:rPr>
        <w:t xml:space="preserve">Site specific clinical governance meetings held each month/quarter. </w:t>
      </w:r>
    </w:p>
    <w:p w14:paraId="20B358E8" w14:textId="77777777" w:rsidR="00BC4E0F" w:rsidRPr="00BC4E0F" w:rsidRDefault="00BC4E0F" w:rsidP="0059116A">
      <w:pPr>
        <w:pStyle w:val="Bullet"/>
        <w:rPr>
          <w:i/>
          <w:lang w:eastAsia="en-US"/>
        </w:rPr>
      </w:pPr>
      <w:r w:rsidRPr="00BC4E0F">
        <w:rPr>
          <w:lang w:eastAsia="en-US"/>
        </w:rPr>
        <w:t>Review of clinical incident reports related to ECT</w:t>
      </w:r>
    </w:p>
    <w:p w14:paraId="1B666CFD" w14:textId="77777777" w:rsidR="00BC4E0F" w:rsidRPr="00BC4E0F" w:rsidRDefault="00BC4E0F" w:rsidP="0059116A">
      <w:pPr>
        <w:pStyle w:val="Bullet"/>
        <w:rPr>
          <w:i/>
          <w:lang w:eastAsia="en-US"/>
        </w:rPr>
      </w:pPr>
      <w:r w:rsidRPr="00BC4E0F">
        <w:rPr>
          <w:lang w:eastAsia="en-US"/>
        </w:rPr>
        <w:t>Review of consumer feedback related to ECT</w:t>
      </w:r>
    </w:p>
    <w:p w14:paraId="436FDBEF" w14:textId="77777777" w:rsidR="00BC4E0F" w:rsidRPr="00BC4E0F" w:rsidRDefault="00BC4E0F" w:rsidP="0059116A">
      <w:pPr>
        <w:pStyle w:val="Bullet"/>
        <w:rPr>
          <w:i/>
          <w:lang w:eastAsia="en-US"/>
        </w:rPr>
      </w:pPr>
      <w:r w:rsidRPr="00BC4E0F">
        <w:rPr>
          <w:lang w:eastAsia="en-US"/>
        </w:rPr>
        <w:t>Review of carer feedback related to ECT</w:t>
      </w:r>
    </w:p>
    <w:p w14:paraId="2E0F985E" w14:textId="2090AFA7" w:rsidR="00481A6C" w:rsidRPr="00BC4E0F" w:rsidRDefault="00BC4E0F" w:rsidP="0059116A">
      <w:pPr>
        <w:pStyle w:val="Bullet"/>
        <w:rPr>
          <w:i/>
          <w:lang w:eastAsia="en-US"/>
        </w:rPr>
      </w:pPr>
      <w:r w:rsidRPr="00BC4E0F">
        <w:rPr>
          <w:lang w:eastAsia="en-US"/>
        </w:rPr>
        <w:t>Annual review of staff meeting training and credentialing requirements.</w:t>
      </w:r>
    </w:p>
    <w:p w14:paraId="275527EA" w14:textId="77777777" w:rsidR="00481A6C" w:rsidRDefault="00481A6C" w:rsidP="002D7682">
      <w:pPr>
        <w:pStyle w:val="BodyCopy"/>
        <w:spacing w:after="120"/>
        <w:rPr>
          <w:rStyle w:val="Hyperlink"/>
          <w:iCs w:val="0"/>
        </w:rPr>
      </w:pPr>
      <w:hyperlink w:anchor="_top" w:history="1">
        <w:r w:rsidRPr="00481A6C">
          <w:rPr>
            <w:rStyle w:val="Hyperlink"/>
            <w:iCs w:val="0"/>
          </w:rPr>
          <w:t>Back to Contents</w:t>
        </w:r>
      </w:hyperlink>
    </w:p>
    <w:p w14:paraId="08E906B7" w14:textId="77777777" w:rsidR="00A6051F" w:rsidRDefault="00A6051F" w:rsidP="00A6051F">
      <w:pPr>
        <w:pStyle w:val="Heading4"/>
      </w:pPr>
      <w:bookmarkStart w:id="36" w:name="_Toc204358005"/>
      <w:r>
        <w:t>Related policies, procedures, guidelines and legislation</w:t>
      </w:r>
      <w:bookmarkEnd w:id="36"/>
    </w:p>
    <w:p w14:paraId="3CC92086" w14:textId="77777777" w:rsidR="00BC4E0F" w:rsidRPr="00BC4E0F" w:rsidRDefault="00BC4E0F" w:rsidP="00BC4E0F">
      <w:pPr>
        <w:spacing w:after="120"/>
        <w:rPr>
          <w:b/>
        </w:rPr>
      </w:pPr>
      <w:r w:rsidRPr="00BC4E0F">
        <w:rPr>
          <w:b/>
        </w:rPr>
        <w:t>Policies</w:t>
      </w:r>
    </w:p>
    <w:p w14:paraId="0AF17FC3" w14:textId="77777777" w:rsidR="00BC4E0F" w:rsidRPr="00BC4E0F" w:rsidRDefault="00BC4E0F" w:rsidP="0059116A">
      <w:pPr>
        <w:pStyle w:val="Bullet"/>
      </w:pPr>
      <w:r w:rsidRPr="00BC4E0F">
        <w:t xml:space="preserve">Nursing and Midwifery Board of Australia Requirements to Practice </w:t>
      </w:r>
    </w:p>
    <w:p w14:paraId="6E223440" w14:textId="6A4EF81E" w:rsidR="00BC4E0F" w:rsidRPr="00BC4E0F" w:rsidRDefault="00BC4E0F" w:rsidP="0059116A">
      <w:pPr>
        <w:pStyle w:val="Bullet"/>
      </w:pPr>
      <w:r w:rsidRPr="00BC4E0F">
        <w:t>Incident Management (Clinical)</w:t>
      </w:r>
    </w:p>
    <w:p w14:paraId="313B7097" w14:textId="77777777" w:rsidR="00BC4E0F" w:rsidRPr="00BC4E0F" w:rsidRDefault="00BC4E0F" w:rsidP="00BC4E0F">
      <w:pPr>
        <w:spacing w:after="120"/>
        <w:rPr>
          <w:b/>
        </w:rPr>
      </w:pPr>
      <w:r w:rsidRPr="00BC4E0F">
        <w:rPr>
          <w:b/>
        </w:rPr>
        <w:t>Procedures</w:t>
      </w:r>
    </w:p>
    <w:p w14:paraId="505B15B7" w14:textId="3CD3FDBB" w:rsidR="00BC4E0F" w:rsidRPr="00BC4E0F" w:rsidRDefault="00BC4E0F" w:rsidP="0059116A">
      <w:pPr>
        <w:pStyle w:val="Bullet"/>
      </w:pPr>
      <w:r w:rsidRPr="00BC4E0F">
        <w:t xml:space="preserve">Infection Prevention and Control </w:t>
      </w:r>
    </w:p>
    <w:p w14:paraId="515CE48C" w14:textId="2BB9B6CB" w:rsidR="00BC4E0F" w:rsidRPr="00BC4E0F" w:rsidRDefault="00BC4E0F" w:rsidP="0059116A">
      <w:pPr>
        <w:pStyle w:val="Bullet"/>
      </w:pPr>
      <w:r w:rsidRPr="00BC4E0F">
        <w:t xml:space="preserve">Patient Identification and </w:t>
      </w:r>
      <w:r w:rsidR="0059116A">
        <w:t xml:space="preserve">Healthcare Activity </w:t>
      </w:r>
      <w:r w:rsidRPr="00BC4E0F">
        <w:t xml:space="preserve"> Matching </w:t>
      </w:r>
    </w:p>
    <w:p w14:paraId="73B8AB3E" w14:textId="77777777" w:rsidR="00BC4E0F" w:rsidRPr="00BC4E0F" w:rsidRDefault="00BC4E0F" w:rsidP="0059116A">
      <w:pPr>
        <w:pStyle w:val="Bullet"/>
      </w:pPr>
      <w:r w:rsidRPr="00BC4E0F">
        <w:t>Advance Agreement, Advance Consent Directive and Nominated Persons under the Mental Health Act 2015</w:t>
      </w:r>
    </w:p>
    <w:p w14:paraId="0E8E684E" w14:textId="77777777" w:rsidR="00BC4E0F" w:rsidRPr="00BC4E0F" w:rsidRDefault="00BC4E0F" w:rsidP="0059116A">
      <w:pPr>
        <w:pStyle w:val="Bullet"/>
      </w:pPr>
      <w:r w:rsidRPr="00BC4E0F">
        <w:t>Clinical Handover</w:t>
      </w:r>
    </w:p>
    <w:p w14:paraId="084438B4" w14:textId="77777777" w:rsidR="00BC4E0F" w:rsidRPr="00BC4E0F" w:rsidRDefault="00BC4E0F" w:rsidP="0059116A">
      <w:pPr>
        <w:pStyle w:val="Bullet"/>
      </w:pPr>
      <w:r w:rsidRPr="00BC4E0F">
        <w:t>Credentialing and Definition of Scope of Clinical Practice for Senior Medical and Dental Practitioners</w:t>
      </w:r>
    </w:p>
    <w:p w14:paraId="11DB4447" w14:textId="77777777" w:rsidR="00083BC7" w:rsidRDefault="005004B2" w:rsidP="0059116A">
      <w:pPr>
        <w:pStyle w:val="Bullet"/>
      </w:pPr>
      <w:r w:rsidRPr="005004B2">
        <w:t>Adult Acute Mental Health Services (AAMHS)</w:t>
      </w:r>
      <w:r>
        <w:t xml:space="preserve"> Operational procedure </w:t>
      </w:r>
    </w:p>
    <w:p w14:paraId="23AD76FB" w14:textId="359435A8" w:rsidR="00BC4E0F" w:rsidRPr="00BC4E0F" w:rsidRDefault="00BC4E0F" w:rsidP="0059116A">
      <w:pPr>
        <w:pStyle w:val="Bullet"/>
      </w:pPr>
      <w:r w:rsidRPr="00BC4E0F">
        <w:t>Restraint of a Person detained under the Mental Health Act 2015</w:t>
      </w:r>
    </w:p>
    <w:p w14:paraId="13156A21" w14:textId="77777777" w:rsidR="00BC4E0F" w:rsidRPr="00BC4E0F" w:rsidRDefault="00BC4E0F" w:rsidP="0059116A">
      <w:pPr>
        <w:pStyle w:val="Bullet"/>
      </w:pPr>
      <w:r w:rsidRPr="00BC4E0F">
        <w:t>Clinical Records Management</w:t>
      </w:r>
    </w:p>
    <w:p w14:paraId="3795243E" w14:textId="77777777" w:rsidR="00BC4E0F" w:rsidRPr="00BC4E0F" w:rsidRDefault="00BC4E0F" w:rsidP="0059116A">
      <w:pPr>
        <w:pStyle w:val="Bullet"/>
      </w:pPr>
      <w:r w:rsidRPr="00BC4E0F">
        <w:t>Patient Escort and Transport within Canberra Hospital Campus</w:t>
      </w:r>
    </w:p>
    <w:p w14:paraId="6F9C3776" w14:textId="0654E8E0" w:rsidR="00BC4E0F" w:rsidRPr="00BC4E0F" w:rsidRDefault="00BC4E0F" w:rsidP="0059116A">
      <w:pPr>
        <w:pStyle w:val="Bullet"/>
      </w:pPr>
      <w:r w:rsidRPr="00BC4E0F">
        <w:t>Dhulwa Mental Health Unit</w:t>
      </w:r>
      <w:r w:rsidR="005004B2">
        <w:t xml:space="preserve"> Operational Procedure</w:t>
      </w:r>
    </w:p>
    <w:p w14:paraId="57089B02" w14:textId="77777777" w:rsidR="00BC4E0F" w:rsidRPr="00BC4E0F" w:rsidRDefault="00BC4E0F" w:rsidP="0059116A">
      <w:pPr>
        <w:pStyle w:val="Bullet"/>
      </w:pPr>
      <w:r w:rsidRPr="00BC4E0F">
        <w:t>University of Canberra Hospital (UCH) – Patient Escort and Transport</w:t>
      </w:r>
    </w:p>
    <w:p w14:paraId="002F805C" w14:textId="19ECC650" w:rsidR="00BC4E0F" w:rsidRPr="00BC4E0F" w:rsidRDefault="00BC4E0F" w:rsidP="0059116A">
      <w:pPr>
        <w:pStyle w:val="Bullet"/>
      </w:pPr>
      <w:r w:rsidRPr="00BC4E0F">
        <w:lastRenderedPageBreak/>
        <w:t xml:space="preserve">Non-urgent Escort and Transport of Consumers of Mental Health, Justice Health, Alcohol and Drug Services </w:t>
      </w:r>
    </w:p>
    <w:p w14:paraId="18AE78FB" w14:textId="77777777" w:rsidR="00BC4E0F" w:rsidRPr="00BC4E0F" w:rsidRDefault="00BC4E0F" w:rsidP="00BC4E0F">
      <w:pPr>
        <w:spacing w:after="120"/>
        <w:rPr>
          <w:b/>
        </w:rPr>
      </w:pPr>
      <w:r w:rsidRPr="00BC4E0F">
        <w:rPr>
          <w:b/>
        </w:rPr>
        <w:t xml:space="preserve">Guidelines </w:t>
      </w:r>
    </w:p>
    <w:p w14:paraId="2EA1AD62" w14:textId="039063AD" w:rsidR="00BC4E0F" w:rsidRDefault="00BC4E0F" w:rsidP="0059116A">
      <w:pPr>
        <w:pStyle w:val="Bullet"/>
      </w:pPr>
      <w:r w:rsidRPr="00BC4E0F">
        <w:t xml:space="preserve">Fasting Guidelines for patients Requiring Sedation or Anaesthesia </w:t>
      </w:r>
    </w:p>
    <w:p w14:paraId="714435AD" w14:textId="4096004F" w:rsidR="0059116A" w:rsidRPr="00BC4E0F" w:rsidRDefault="0059116A" w:rsidP="0059116A">
      <w:pPr>
        <w:pStyle w:val="Bullet"/>
      </w:pPr>
      <w:r>
        <w:t>Consent for Healthcare Treatment</w:t>
      </w:r>
    </w:p>
    <w:p w14:paraId="0B8555DB" w14:textId="77777777" w:rsidR="00BC4E0F" w:rsidRPr="00BC4E0F" w:rsidRDefault="00BC4E0F" w:rsidP="00BC4E0F">
      <w:pPr>
        <w:spacing w:after="120"/>
        <w:rPr>
          <w:b/>
        </w:rPr>
      </w:pPr>
      <w:r w:rsidRPr="00BC4E0F">
        <w:rPr>
          <w:b/>
        </w:rPr>
        <w:t>Legislation</w:t>
      </w:r>
    </w:p>
    <w:p w14:paraId="153B7074" w14:textId="77777777" w:rsidR="00BC4E0F" w:rsidRPr="0059116A" w:rsidRDefault="00BC4E0F" w:rsidP="0059116A">
      <w:pPr>
        <w:pStyle w:val="Bullet"/>
        <w:rPr>
          <w:i/>
          <w:iCs/>
        </w:rPr>
      </w:pPr>
      <w:r w:rsidRPr="0059116A">
        <w:rPr>
          <w:i/>
          <w:iCs/>
        </w:rPr>
        <w:t>Health Act 1993 (ACT)</w:t>
      </w:r>
    </w:p>
    <w:p w14:paraId="2455C6F8" w14:textId="77777777" w:rsidR="00BC4E0F" w:rsidRPr="0059116A" w:rsidRDefault="00BC4E0F" w:rsidP="0059116A">
      <w:pPr>
        <w:pStyle w:val="Bullet"/>
        <w:rPr>
          <w:i/>
          <w:iCs/>
        </w:rPr>
      </w:pPr>
      <w:r w:rsidRPr="0059116A">
        <w:rPr>
          <w:i/>
          <w:iCs/>
        </w:rPr>
        <w:t>Health Practitioner Regulation National Law 2010 (ACT)</w:t>
      </w:r>
    </w:p>
    <w:p w14:paraId="09BECDBF" w14:textId="77777777" w:rsidR="00BC4E0F" w:rsidRPr="0059116A" w:rsidRDefault="00BC4E0F" w:rsidP="0059116A">
      <w:pPr>
        <w:pStyle w:val="Bullet"/>
        <w:rPr>
          <w:i/>
          <w:iCs/>
        </w:rPr>
      </w:pPr>
      <w:r w:rsidRPr="0059116A">
        <w:rPr>
          <w:i/>
          <w:iCs/>
        </w:rPr>
        <w:t>Mental Health Act 2015</w:t>
      </w:r>
    </w:p>
    <w:p w14:paraId="16EC5B7C" w14:textId="77777777" w:rsidR="00BC4E0F" w:rsidRPr="0059116A" w:rsidRDefault="00BC4E0F" w:rsidP="0059116A">
      <w:pPr>
        <w:pStyle w:val="Bullet"/>
        <w:rPr>
          <w:i/>
          <w:iCs/>
        </w:rPr>
      </w:pPr>
      <w:r w:rsidRPr="0059116A">
        <w:rPr>
          <w:i/>
          <w:iCs/>
        </w:rPr>
        <w:t>Children and Young Persons Act 2008</w:t>
      </w:r>
    </w:p>
    <w:p w14:paraId="7FDC0B3C" w14:textId="77777777" w:rsidR="00BC4E0F" w:rsidRPr="0059116A" w:rsidRDefault="00BC4E0F" w:rsidP="0059116A">
      <w:pPr>
        <w:pStyle w:val="Bullet"/>
        <w:rPr>
          <w:i/>
          <w:iCs/>
        </w:rPr>
      </w:pPr>
      <w:r w:rsidRPr="0059116A">
        <w:rPr>
          <w:i/>
          <w:iCs/>
        </w:rPr>
        <w:t>Information Privacy Act 2014 (ACT)</w:t>
      </w:r>
    </w:p>
    <w:p w14:paraId="37A7EE64" w14:textId="77777777" w:rsidR="00BC4E0F" w:rsidRPr="0059116A" w:rsidRDefault="00BC4E0F" w:rsidP="0059116A">
      <w:pPr>
        <w:pStyle w:val="Bullet"/>
        <w:rPr>
          <w:i/>
          <w:iCs/>
        </w:rPr>
      </w:pPr>
      <w:r w:rsidRPr="0059116A">
        <w:rPr>
          <w:i/>
          <w:iCs/>
        </w:rPr>
        <w:t>Health Records (Privacy and Access) Act 1997 (ACT)</w:t>
      </w:r>
    </w:p>
    <w:p w14:paraId="407133E4" w14:textId="77777777" w:rsidR="00BC4E0F" w:rsidRPr="0059116A" w:rsidRDefault="00BC4E0F" w:rsidP="0059116A">
      <w:pPr>
        <w:pStyle w:val="Bullet"/>
        <w:rPr>
          <w:i/>
          <w:iCs/>
        </w:rPr>
      </w:pPr>
      <w:r w:rsidRPr="0059116A">
        <w:rPr>
          <w:i/>
          <w:iCs/>
        </w:rPr>
        <w:t xml:space="preserve">Human Rights Act 2004 </w:t>
      </w:r>
    </w:p>
    <w:p w14:paraId="54AE6C37" w14:textId="7F74E6DB" w:rsidR="00180C1A" w:rsidRPr="0059116A" w:rsidRDefault="00180C1A" w:rsidP="0059116A">
      <w:pPr>
        <w:pStyle w:val="Bullet"/>
        <w:rPr>
          <w:i/>
          <w:iCs/>
        </w:rPr>
      </w:pPr>
      <w:r w:rsidRPr="0059116A">
        <w:rPr>
          <w:i/>
          <w:iCs/>
        </w:rPr>
        <w:t>Guardianship and management of Property Act 1991</w:t>
      </w:r>
    </w:p>
    <w:p w14:paraId="11C83740" w14:textId="59C7FC61" w:rsidR="00BC4E0F" w:rsidRPr="0059116A" w:rsidRDefault="00BC4E0F" w:rsidP="0059116A">
      <w:pPr>
        <w:pStyle w:val="Bullet"/>
        <w:rPr>
          <w:i/>
          <w:iCs/>
        </w:rPr>
      </w:pPr>
      <w:r w:rsidRPr="0059116A">
        <w:rPr>
          <w:i/>
          <w:iCs/>
        </w:rPr>
        <w:t xml:space="preserve">Powers of Attorney Act </w:t>
      </w:r>
      <w:r w:rsidR="00180C1A" w:rsidRPr="0059116A">
        <w:rPr>
          <w:i/>
          <w:iCs/>
        </w:rPr>
        <w:t>2006</w:t>
      </w:r>
    </w:p>
    <w:p w14:paraId="51E3E980" w14:textId="6C5F498B" w:rsidR="00180C1A" w:rsidRPr="0059116A" w:rsidRDefault="00180C1A" w:rsidP="0059116A">
      <w:pPr>
        <w:pStyle w:val="Bullet"/>
        <w:rPr>
          <w:i/>
          <w:iCs/>
        </w:rPr>
      </w:pPr>
      <w:r w:rsidRPr="0059116A">
        <w:rPr>
          <w:i/>
          <w:iCs/>
        </w:rPr>
        <w:t>Carers Recognition Act 2021</w:t>
      </w:r>
    </w:p>
    <w:p w14:paraId="48FC5F20" w14:textId="77777777" w:rsidR="00BC4E0F" w:rsidRPr="00BC4E0F" w:rsidRDefault="00BC4E0F" w:rsidP="00BC4E0F">
      <w:pPr>
        <w:spacing w:after="120"/>
        <w:rPr>
          <w:b/>
          <w:bCs/>
          <w:iCs/>
        </w:rPr>
      </w:pPr>
      <w:r w:rsidRPr="00BC4E0F">
        <w:rPr>
          <w:b/>
          <w:bCs/>
          <w:iCs/>
        </w:rPr>
        <w:t>Other</w:t>
      </w:r>
    </w:p>
    <w:p w14:paraId="14DA3667" w14:textId="77777777" w:rsidR="00BC4E0F" w:rsidRPr="00BC4E0F" w:rsidRDefault="00BC4E0F" w:rsidP="0059116A">
      <w:pPr>
        <w:pStyle w:val="Bullet"/>
      </w:pPr>
      <w:r w:rsidRPr="00BC4E0F">
        <w:t>Australian Charter of Health Care Rights</w:t>
      </w:r>
    </w:p>
    <w:p w14:paraId="1265D6DA" w14:textId="77777777" w:rsidR="00BC4E0F" w:rsidRPr="00BC4E0F" w:rsidRDefault="00BC4E0F" w:rsidP="0059116A">
      <w:pPr>
        <w:pStyle w:val="Bullet"/>
      </w:pPr>
      <w:r w:rsidRPr="00BC4E0F">
        <w:t xml:space="preserve">National Safety and Quality Health Service Standards </w:t>
      </w:r>
    </w:p>
    <w:p w14:paraId="67F01CF8" w14:textId="77777777" w:rsidR="00BC4E0F" w:rsidRPr="00BC4E0F" w:rsidRDefault="00BC4E0F" w:rsidP="0059116A">
      <w:pPr>
        <w:pStyle w:val="Bullet"/>
      </w:pPr>
      <w:r w:rsidRPr="00BC4E0F">
        <w:t xml:space="preserve">National standards for Mental Health Services </w:t>
      </w:r>
    </w:p>
    <w:p w14:paraId="019443A5" w14:textId="77777777" w:rsidR="00BC4E0F" w:rsidRPr="00BC4E0F" w:rsidRDefault="00BC4E0F" w:rsidP="0059116A">
      <w:pPr>
        <w:pStyle w:val="Bullet"/>
      </w:pPr>
      <w:r w:rsidRPr="00BC4E0F">
        <w:t xml:space="preserve">Mental Health Statement of Rights and Responsibilities </w:t>
      </w:r>
    </w:p>
    <w:p w14:paraId="2FF3B37C" w14:textId="77777777" w:rsidR="00BC4E0F" w:rsidRPr="00BC4E0F" w:rsidRDefault="00BC4E0F" w:rsidP="0059116A">
      <w:pPr>
        <w:pStyle w:val="Bullet"/>
      </w:pPr>
      <w:r w:rsidRPr="00BC4E0F">
        <w:t xml:space="preserve">Australian and New Zealand College of Anaesthesia (ANZCA) Policy on Supervision of Clinical Experience for Vocational Trainees in Anaesthesia </w:t>
      </w:r>
    </w:p>
    <w:p w14:paraId="33396BC6" w14:textId="77777777" w:rsidR="00BC4E0F" w:rsidRPr="00BC4E0F" w:rsidRDefault="00BC4E0F" w:rsidP="0059116A">
      <w:pPr>
        <w:pStyle w:val="Bullet"/>
      </w:pPr>
      <w:r w:rsidRPr="00BC4E0F">
        <w:t xml:space="preserve">Royal Australian and New Zealand College of Psychiatrists (RANZCP) Training and Assessment Regulation </w:t>
      </w:r>
    </w:p>
    <w:p w14:paraId="3CE85419" w14:textId="77777777" w:rsidR="00BC4E0F" w:rsidRPr="00BC4E0F" w:rsidRDefault="00BC4E0F" w:rsidP="0059116A">
      <w:pPr>
        <w:pStyle w:val="Bullet"/>
      </w:pPr>
      <w:r w:rsidRPr="00BC4E0F">
        <w:t xml:space="preserve">RANZCP Electroconvulsive Therapy and Neuro-Stimulation regulations </w:t>
      </w:r>
    </w:p>
    <w:p w14:paraId="37EF1804" w14:textId="77777777" w:rsidR="00BC4E0F" w:rsidRPr="00BC4E0F" w:rsidRDefault="00BC4E0F" w:rsidP="0059116A">
      <w:pPr>
        <w:pStyle w:val="Bullet"/>
      </w:pPr>
      <w:r w:rsidRPr="00BC4E0F">
        <w:t xml:space="preserve">RANZCP Electroconvulsive Therapy (ECT) </w:t>
      </w:r>
      <w:proofErr w:type="spellStart"/>
      <w:r w:rsidRPr="00BC4E0F">
        <w:t>Entrustable</w:t>
      </w:r>
      <w:proofErr w:type="spellEnd"/>
      <w:r w:rsidRPr="00BC4E0F">
        <w:t xml:space="preserve"> Professional Activity (EPA)</w:t>
      </w:r>
    </w:p>
    <w:p w14:paraId="6A7913D6" w14:textId="77777777" w:rsidR="00BC4E0F" w:rsidRPr="00BC4E0F" w:rsidRDefault="00BC4E0F" w:rsidP="0059116A">
      <w:pPr>
        <w:pStyle w:val="Bullet"/>
      </w:pPr>
      <w:r w:rsidRPr="00BC4E0F">
        <w:t>RANZCP Electroconvulsive Therapy (ECT) Position Statement 74, 2014.</w:t>
      </w:r>
    </w:p>
    <w:p w14:paraId="0A7AC954" w14:textId="77777777" w:rsidR="000E7683" w:rsidRPr="000E7683" w:rsidRDefault="000E7683" w:rsidP="002D7682">
      <w:pPr>
        <w:pStyle w:val="BodyCopy"/>
      </w:pPr>
      <w:hyperlink w:anchor="_top" w:history="1">
        <w:r w:rsidRPr="004A7A7F">
          <w:rPr>
            <w:rStyle w:val="Hyperlink"/>
          </w:rPr>
          <w:t>Back to Contents</w:t>
        </w:r>
      </w:hyperlink>
    </w:p>
    <w:p w14:paraId="238A54B0" w14:textId="77777777" w:rsidR="0078367D" w:rsidRPr="0078367D" w:rsidRDefault="0078367D" w:rsidP="00A6051F">
      <w:pPr>
        <w:pStyle w:val="Heading4"/>
      </w:pPr>
      <w:bookmarkStart w:id="37" w:name="_Toc204358006"/>
      <w:r w:rsidRPr="0078367D">
        <w:t>References</w:t>
      </w:r>
      <w:bookmarkEnd w:id="37"/>
    </w:p>
    <w:p w14:paraId="52998780" w14:textId="0D7A5F0A" w:rsidR="00BC4E0F" w:rsidRPr="003B4412" w:rsidRDefault="00BC4E0F" w:rsidP="0059116A">
      <w:pPr>
        <w:pStyle w:val="Numberedlist"/>
        <w:numPr>
          <w:ilvl w:val="0"/>
          <w:numId w:val="70"/>
        </w:numPr>
      </w:pPr>
      <w:r w:rsidRPr="00D67645">
        <w:t>Weiss, A., Hussain, S., Ng, B., Sarma, S., Tiller, J., Waite, S., &amp; Loo, C. (2019). Royal Australian and New Zealand College of Psychiatrists professional practice guidelines for the administration of electroconvulsive therapy. </w:t>
      </w:r>
      <w:r w:rsidRPr="0059116A">
        <w:rPr>
          <w:i/>
          <w:iCs/>
        </w:rPr>
        <w:t>Australian &amp; New Zealand Journal of Psychiatry</w:t>
      </w:r>
      <w:r w:rsidRPr="00D67645">
        <w:t>, </w:t>
      </w:r>
      <w:r w:rsidRPr="0059116A">
        <w:rPr>
          <w:i/>
          <w:iCs/>
        </w:rPr>
        <w:t>53</w:t>
      </w:r>
      <w:r w:rsidRPr="00D67645">
        <w:t>(7), 609–623. https://doi.org/10.1177/0004867419839139</w:t>
      </w:r>
      <w:r w:rsidR="006B317C" w:rsidRPr="006B317C">
        <w:t xml:space="preserve">Tor, P. C., </w:t>
      </w:r>
      <w:proofErr w:type="spellStart"/>
      <w:r w:rsidR="006B317C" w:rsidRPr="006B317C">
        <w:t>Bautovich</w:t>
      </w:r>
      <w:proofErr w:type="spellEnd"/>
      <w:r w:rsidR="006B317C" w:rsidRPr="006B317C">
        <w:t xml:space="preserve">, A., Wang, M. J., Martin, D., Harvey, S. B., &amp; Loo, C. (2015). A Systematic Review and Meta-Analysis of Brief Versus </w:t>
      </w:r>
      <w:proofErr w:type="spellStart"/>
      <w:r w:rsidR="006B317C" w:rsidRPr="006B317C">
        <w:t>Ultrabrief</w:t>
      </w:r>
      <w:proofErr w:type="spellEnd"/>
      <w:r w:rsidR="006B317C" w:rsidRPr="006B317C">
        <w:t xml:space="preserve"> Right Unilateral Electroconvulsive Therapy for Depression. </w:t>
      </w:r>
      <w:r w:rsidR="006B317C" w:rsidRPr="0059116A">
        <w:rPr>
          <w:i/>
          <w:iCs/>
        </w:rPr>
        <w:t>The Journal of clinical psychiatry</w:t>
      </w:r>
      <w:r w:rsidR="006B317C" w:rsidRPr="006B317C">
        <w:t>, </w:t>
      </w:r>
      <w:r w:rsidR="006B317C" w:rsidRPr="0059116A">
        <w:rPr>
          <w:i/>
          <w:iCs/>
        </w:rPr>
        <w:t>76</w:t>
      </w:r>
      <w:r w:rsidR="006B317C" w:rsidRPr="006B317C">
        <w:t xml:space="preserve">(9), e1092–e1098. </w:t>
      </w:r>
      <w:r w:rsidR="006B317C" w:rsidRPr="006B317C">
        <w:lastRenderedPageBreak/>
        <w:t>https://doi.org/10.4088/JCP.14r09145</w:t>
      </w:r>
      <w:r w:rsidRPr="003B4412">
        <w:t xml:space="preserve">Australian and New Zealand College of Anaesthetists (ANZCA, 2012) </w:t>
      </w:r>
      <w:r w:rsidRPr="0059116A">
        <w:rPr>
          <w:i/>
        </w:rPr>
        <w:t>Recommendations for minimum facilities for safe administration of anaesthesia in operating suites and other anaesthetising locations</w:t>
      </w:r>
      <w:hyperlink r:id="rId11">
        <w:r w:rsidRPr="0059116A">
          <w:rPr>
            <w:i/>
            <w:color w:val="0000FF"/>
            <w:u w:val="single" w:color="0000FF"/>
          </w:rPr>
          <w:t xml:space="preserve"> </w:t>
        </w:r>
        <w:r w:rsidRPr="0059116A">
          <w:rPr>
            <w:color w:val="0000FF"/>
            <w:spacing w:val="-1"/>
            <w:u w:val="single" w:color="0000FF"/>
          </w:rPr>
          <w:t>http://www.google.com/url?sa=t&amp;rct=j&amp;q=&amp;esrc=s&amp;source=web&amp;cd=1&amp;cad=rj</w:t>
        </w:r>
      </w:hyperlink>
      <w:hyperlink r:id="rId12">
        <w:r w:rsidRPr="0059116A">
          <w:rPr>
            <w:color w:val="0000FF"/>
            <w:spacing w:val="-1"/>
            <w:u w:val="single" w:color="0000FF"/>
          </w:rPr>
          <w:t xml:space="preserve"> a&amp;uact=8&amp;ved=2ahUKEwj0vIfGtNDfAhUCOrwKHSf3A8gQFjAAegQIChAC&amp;url=ht</w:t>
        </w:r>
      </w:hyperlink>
      <w:hyperlink r:id="rId13">
        <w:r w:rsidRPr="0059116A">
          <w:rPr>
            <w:color w:val="0000FF"/>
            <w:spacing w:val="-1"/>
            <w:u w:val="single" w:color="0000FF"/>
          </w:rPr>
          <w:t xml:space="preserve"> </w:t>
        </w:r>
        <w:r w:rsidRPr="0059116A">
          <w:rPr>
            <w:color w:val="0000FF"/>
            <w:u w:val="single" w:color="0000FF"/>
          </w:rPr>
          <w:t>tp%3A%2F%2Fwww.anzca.edu.au%2Fdocuments%2Fps55-2012-</w:t>
        </w:r>
      </w:hyperlink>
      <w:hyperlink r:id="rId14">
        <w:r w:rsidRPr="0059116A">
          <w:rPr>
            <w:color w:val="0000FF"/>
            <w:u w:val="single" w:color="0000FF"/>
          </w:rPr>
          <w:t xml:space="preserve"> recommendations-on-minimum-facilities-</w:t>
        </w:r>
      </w:hyperlink>
      <w:hyperlink r:id="rId15">
        <w:r w:rsidRPr="0059116A">
          <w:rPr>
            <w:color w:val="0000FF"/>
            <w:u w:val="single" w:color="0000FF"/>
          </w:rPr>
          <w:t xml:space="preserve"> </w:t>
        </w:r>
        <w:proofErr w:type="spellStart"/>
        <w:r w:rsidRPr="0059116A">
          <w:rPr>
            <w:color w:val="0000FF"/>
            <w:u w:val="single" w:color="0000FF"/>
          </w:rPr>
          <w:t>fo.pdf&amp;usg</w:t>
        </w:r>
        <w:proofErr w:type="spellEnd"/>
        <w:r w:rsidRPr="0059116A">
          <w:rPr>
            <w:color w:val="0000FF"/>
            <w:u w:val="single" w:color="0000FF"/>
          </w:rPr>
          <w:t>=AOvVaw1d3kaonXT0vtoW9Bgob9X5</w:t>
        </w:r>
      </w:hyperlink>
    </w:p>
    <w:p w14:paraId="66F01403" w14:textId="77777777" w:rsidR="00BC4E0F" w:rsidRPr="003B4412" w:rsidRDefault="00BC4E0F" w:rsidP="0059116A">
      <w:pPr>
        <w:pStyle w:val="Numberedlist"/>
      </w:pPr>
      <w:r w:rsidRPr="003B4412">
        <w:t xml:space="preserve">Australian and New Zealand College of Anaesthetists (ANZCA) </w:t>
      </w:r>
      <w:r w:rsidRPr="003B4412">
        <w:rPr>
          <w:i/>
        </w:rPr>
        <w:t>Post-Anaesthesia Recovery Room.</w:t>
      </w:r>
      <w:r w:rsidRPr="003B4412">
        <w:rPr>
          <w:i/>
          <w:color w:val="0000FF"/>
        </w:rPr>
        <w:t xml:space="preserve"> </w:t>
      </w:r>
      <w:hyperlink r:id="rId16">
        <w:r w:rsidRPr="003B4412">
          <w:rPr>
            <w:color w:val="0000FF"/>
            <w:u w:val="single" w:color="0000FF"/>
          </w:rPr>
          <w:t>http://www.anzca.edu.au/documents/ps04-2006-</w:t>
        </w:r>
      </w:hyperlink>
      <w:hyperlink r:id="rId17">
        <w:r w:rsidRPr="003B4412">
          <w:rPr>
            <w:color w:val="0000FF"/>
            <w:u w:val="single" w:color="0000FF"/>
          </w:rPr>
          <w:t xml:space="preserve"> recommendations-for-the-post-anaesthesia.pdf</w:t>
        </w:r>
      </w:hyperlink>
    </w:p>
    <w:p w14:paraId="233CA11E" w14:textId="77777777" w:rsidR="00BC4E0F" w:rsidRPr="003B4412" w:rsidRDefault="00BC4E0F" w:rsidP="0059116A">
      <w:pPr>
        <w:pStyle w:val="Numberedlist"/>
      </w:pPr>
      <w:proofErr w:type="spellStart"/>
      <w:r w:rsidRPr="003B4412">
        <w:t>Lisanby</w:t>
      </w:r>
      <w:proofErr w:type="spellEnd"/>
      <w:r w:rsidRPr="003B4412">
        <w:t xml:space="preserve"> SH, Sampson S, Husain MM, </w:t>
      </w:r>
      <w:hyperlink r:id="rId18">
        <w:r w:rsidRPr="003B4412">
          <w:t>Petrides G</w:t>
        </w:r>
      </w:hyperlink>
      <w:r w:rsidRPr="003B4412">
        <w:t xml:space="preserve">, </w:t>
      </w:r>
      <w:hyperlink r:id="rId19">
        <w:r w:rsidRPr="003B4412">
          <w:t>Knapp RG</w:t>
        </w:r>
      </w:hyperlink>
      <w:r w:rsidRPr="003B4412">
        <w:t xml:space="preserve">, </w:t>
      </w:r>
      <w:hyperlink r:id="rId20">
        <w:r w:rsidRPr="003B4412">
          <w:t>McCall WV</w:t>
        </w:r>
      </w:hyperlink>
      <w:r w:rsidRPr="003B4412">
        <w:t xml:space="preserve">, </w:t>
      </w:r>
      <w:hyperlink r:id="rId21">
        <w:r w:rsidRPr="003B4412">
          <w:t>Young RC</w:t>
        </w:r>
      </w:hyperlink>
      <w:r w:rsidRPr="003B4412">
        <w:t xml:space="preserve">, </w:t>
      </w:r>
      <w:hyperlink r:id="rId22">
        <w:proofErr w:type="spellStart"/>
        <w:r w:rsidRPr="003B4412">
          <w:t>Prudic</w:t>
        </w:r>
        <w:proofErr w:type="spellEnd"/>
      </w:hyperlink>
      <w:hyperlink r:id="rId23">
        <w:r w:rsidRPr="003B4412">
          <w:t xml:space="preserve"> J</w:t>
        </w:r>
      </w:hyperlink>
      <w:r w:rsidRPr="003B4412">
        <w:t xml:space="preserve">, </w:t>
      </w:r>
      <w:hyperlink r:id="rId24">
        <w:r w:rsidRPr="003B4412">
          <w:t>Kellner CH</w:t>
        </w:r>
      </w:hyperlink>
      <w:r w:rsidRPr="003B4412">
        <w:t xml:space="preserve">. Toward individualized post-electroconvulsive therapy care: piloting the Symptom-Titrated, Algorithm-Based Longitudinal ECT (STABLE) intervention. </w:t>
      </w:r>
      <w:r w:rsidRPr="003B4412">
        <w:rPr>
          <w:i/>
        </w:rPr>
        <w:t>Journal of ECT</w:t>
      </w:r>
      <w:r w:rsidRPr="003B4412">
        <w:t>. 2008; 24:</w:t>
      </w:r>
      <w:r w:rsidRPr="003B4412">
        <w:rPr>
          <w:spacing w:val="-4"/>
        </w:rPr>
        <w:t xml:space="preserve"> </w:t>
      </w:r>
      <w:r w:rsidRPr="003B4412">
        <w:t>179–182.</w:t>
      </w:r>
    </w:p>
    <w:p w14:paraId="67FDB032" w14:textId="77777777" w:rsidR="00BC4E0F" w:rsidRPr="003B4412" w:rsidRDefault="00BC4E0F" w:rsidP="0059116A">
      <w:pPr>
        <w:pStyle w:val="Numberedlist"/>
      </w:pPr>
      <w:r w:rsidRPr="003B4412">
        <w:t xml:space="preserve">Weiner RD &amp; Irving MR (2017). Key updates in the clinical application of electroconvulsive therapy, </w:t>
      </w:r>
      <w:r w:rsidRPr="003B4412">
        <w:rPr>
          <w:i/>
        </w:rPr>
        <w:t>International Review of Psychiatry</w:t>
      </w:r>
      <w:r w:rsidRPr="003B4412">
        <w:t>, 29:2, 54-62, DOI: 10.1080/09540261.2017.1309362</w:t>
      </w:r>
    </w:p>
    <w:p w14:paraId="0A5D6621" w14:textId="77777777" w:rsidR="00BC4E0F" w:rsidRPr="003B4412" w:rsidRDefault="00BC4E0F" w:rsidP="0059116A">
      <w:pPr>
        <w:pStyle w:val="Numberedlist"/>
      </w:pPr>
      <w:r w:rsidRPr="003B4412">
        <w:t>Gill SP &amp; Kellner CH. Clinical Practice Recommendations for Continuation and Maintenance Electroconvulsive Therapy for Depression: outcomes From a Review of the Evidence and a Consensus Workshop Held in Australia in May 2017</w:t>
      </w:r>
      <w:r w:rsidRPr="003B4412">
        <w:rPr>
          <w:i/>
        </w:rPr>
        <w:t xml:space="preserve">. Journal of ECT. </w:t>
      </w:r>
      <w:r w:rsidRPr="003B4412">
        <w:t xml:space="preserve">Feb 2018. </w:t>
      </w:r>
      <w:r w:rsidRPr="003B4412">
        <w:rPr>
          <w:color w:val="484848"/>
        </w:rPr>
        <w:t>DOI:</w:t>
      </w:r>
      <w:r w:rsidRPr="003B4412">
        <w:rPr>
          <w:color w:val="0000FF"/>
          <w:spacing w:val="-3"/>
        </w:rPr>
        <w:t xml:space="preserve"> </w:t>
      </w:r>
      <w:hyperlink r:id="rId25">
        <w:r w:rsidRPr="003B4412">
          <w:rPr>
            <w:color w:val="0000FF"/>
            <w:u w:val="single" w:color="0000FF"/>
          </w:rPr>
          <w:t>10.1097/YCT.0000000000000484</w:t>
        </w:r>
      </w:hyperlink>
    </w:p>
    <w:p w14:paraId="3C23AC0C" w14:textId="77777777" w:rsidR="00BC4E0F" w:rsidRPr="003B4412" w:rsidRDefault="00BC4E0F" w:rsidP="0059116A">
      <w:pPr>
        <w:pStyle w:val="Numberedlist"/>
      </w:pPr>
      <w:r w:rsidRPr="003B4412">
        <w:t xml:space="preserve">American Psychiatric Association (APS, 2001). </w:t>
      </w:r>
      <w:r w:rsidRPr="003B4412">
        <w:rPr>
          <w:i/>
        </w:rPr>
        <w:t>The Practice of Electroconvulsive Therapy: Recommendations for Treatment, Training and Privileging: A Task Force Report, 2</w:t>
      </w:r>
      <w:r w:rsidRPr="003B4412">
        <w:rPr>
          <w:i/>
          <w:vertAlign w:val="superscript"/>
        </w:rPr>
        <w:t>nd</w:t>
      </w:r>
      <w:r w:rsidRPr="003B4412">
        <w:rPr>
          <w:i/>
        </w:rPr>
        <w:t xml:space="preserve"> edition</w:t>
      </w:r>
      <w:r w:rsidRPr="003B4412">
        <w:t>. Washington, DC: American Psychiatric</w:t>
      </w:r>
      <w:r w:rsidRPr="003B4412">
        <w:rPr>
          <w:spacing w:val="-8"/>
        </w:rPr>
        <w:t xml:space="preserve"> </w:t>
      </w:r>
      <w:r w:rsidRPr="003B4412">
        <w:t>Association.</w:t>
      </w:r>
    </w:p>
    <w:p w14:paraId="3F8C1AB5" w14:textId="77777777" w:rsidR="00BC4E0F" w:rsidRPr="003B4412" w:rsidRDefault="00BC4E0F" w:rsidP="0059116A">
      <w:pPr>
        <w:pStyle w:val="Numberedlist"/>
      </w:pPr>
      <w:r w:rsidRPr="003B4412">
        <w:t xml:space="preserve">The Royal Australian &amp; New Zealand College of Psychiatrists (RANZCP 2014). </w:t>
      </w:r>
      <w:r w:rsidRPr="003B4412">
        <w:rPr>
          <w:i/>
        </w:rPr>
        <w:t>The Royal Australian &amp; New Zealand College of Psychiatrists 2014, Position Statement 74 Electroconvulsive Therapy (ECT)</w:t>
      </w:r>
      <w:r w:rsidRPr="003B4412">
        <w:t>. Melbourne</w:t>
      </w:r>
      <w:r w:rsidRPr="003B4412">
        <w:rPr>
          <w:spacing w:val="-3"/>
        </w:rPr>
        <w:t xml:space="preserve"> </w:t>
      </w:r>
      <w:r w:rsidRPr="003B4412">
        <w:t>RANZCP.</w:t>
      </w:r>
    </w:p>
    <w:p w14:paraId="7CE95D21" w14:textId="77777777" w:rsidR="00BC4E0F" w:rsidRPr="003B4412" w:rsidRDefault="00BC4E0F" w:rsidP="0059116A">
      <w:pPr>
        <w:pStyle w:val="Numberedlist"/>
      </w:pPr>
      <w:r w:rsidRPr="003B4412">
        <w:t xml:space="preserve">The Royal Australian &amp; New Zealand College of Psychiatrists (RANZCP 2012). </w:t>
      </w:r>
      <w:r w:rsidRPr="003B4412">
        <w:rPr>
          <w:i/>
        </w:rPr>
        <w:t>Stage 2 Mandatory Rotations Education Training Regulation</w:t>
      </w:r>
      <w:r w:rsidRPr="003B4412">
        <w:t>. Melbourne.</w:t>
      </w:r>
      <w:r w:rsidRPr="003B4412">
        <w:rPr>
          <w:spacing w:val="-8"/>
        </w:rPr>
        <w:t xml:space="preserve"> </w:t>
      </w:r>
      <w:r w:rsidRPr="003B4412">
        <w:t>RANZCP.</w:t>
      </w:r>
    </w:p>
    <w:p w14:paraId="1FA6B0DA" w14:textId="77777777" w:rsidR="00BC4E0F" w:rsidRPr="003B4412" w:rsidRDefault="00BC4E0F" w:rsidP="0059116A">
      <w:pPr>
        <w:pStyle w:val="Numberedlist"/>
      </w:pPr>
      <w:r w:rsidRPr="003B4412">
        <w:t xml:space="preserve">Australian and New Zealand College of Anaesthetics (ANZCA, 2016). </w:t>
      </w:r>
      <w:r w:rsidRPr="003B4412">
        <w:rPr>
          <w:i/>
        </w:rPr>
        <w:t xml:space="preserve">Australian and New Zealand College of Anaesthetics (ANZCA) Statement on the Assistant for the Anaesthetist </w:t>
      </w:r>
      <w:r w:rsidRPr="003B4412">
        <w:t>(ANZCA, 2016).</w:t>
      </w:r>
      <w:r w:rsidRPr="003B4412">
        <w:rPr>
          <w:color w:val="0000FF"/>
        </w:rPr>
        <w:t xml:space="preserve"> </w:t>
      </w:r>
      <w:hyperlink r:id="rId26">
        <w:r w:rsidRPr="003B4412">
          <w:rPr>
            <w:color w:val="0000FF"/>
            <w:u w:val="single" w:color="0000FF"/>
          </w:rPr>
          <w:t>http://www.anzca.edu.au/documents/ps08-2015-statement-on-the-</w:t>
        </w:r>
      </w:hyperlink>
      <w:hyperlink r:id="rId27">
        <w:r w:rsidRPr="003B4412">
          <w:rPr>
            <w:color w:val="0000FF"/>
            <w:u w:val="single" w:color="0000FF"/>
          </w:rPr>
          <w:t xml:space="preserve"> assistant-for-the-</w:t>
        </w:r>
        <w:proofErr w:type="spellStart"/>
        <w:r w:rsidRPr="003B4412">
          <w:rPr>
            <w:color w:val="0000FF"/>
            <w:u w:val="single" w:color="0000FF"/>
          </w:rPr>
          <w:t>anaes</w:t>
        </w:r>
        <w:proofErr w:type="spellEnd"/>
      </w:hyperlink>
    </w:p>
    <w:p w14:paraId="00A22AF1" w14:textId="77777777" w:rsidR="00280C5D" w:rsidRDefault="00280C5D" w:rsidP="002D7682">
      <w:pPr>
        <w:pStyle w:val="Bullet"/>
        <w:numPr>
          <w:ilvl w:val="0"/>
          <w:numId w:val="0"/>
        </w:numPr>
        <w:tabs>
          <w:tab w:val="clear" w:pos="425"/>
        </w:tabs>
        <w:spacing w:after="240"/>
        <w:ind w:left="357" w:hanging="357"/>
        <w:rPr>
          <w:lang w:eastAsia="en-US"/>
        </w:rPr>
      </w:pPr>
      <w:hyperlink w:anchor="_top" w:history="1">
        <w:r w:rsidRPr="004A7A7F">
          <w:rPr>
            <w:rStyle w:val="Hyperlink"/>
          </w:rPr>
          <w:t>Back to Contents</w:t>
        </w:r>
      </w:hyperlink>
    </w:p>
    <w:p w14:paraId="68562023" w14:textId="11A58301" w:rsidR="0078367D" w:rsidRDefault="0078367D" w:rsidP="00A6051F">
      <w:pPr>
        <w:pStyle w:val="Heading4"/>
      </w:pPr>
      <w:bookmarkStart w:id="38" w:name="_Toc204358007"/>
      <w:r>
        <w:t>Definition of terms</w:t>
      </w:r>
      <w:bookmarkEnd w:id="38"/>
      <w:r>
        <w:t xml:space="preserve"> </w:t>
      </w:r>
    </w:p>
    <w:p w14:paraId="5D93EB51" w14:textId="2A9CBDE7" w:rsidR="00BC4E0F" w:rsidRPr="00BC4E0F" w:rsidRDefault="00BC4E0F" w:rsidP="00BC4E0F">
      <w:pPr>
        <w:widowControl w:val="0"/>
        <w:autoSpaceDE w:val="0"/>
        <w:autoSpaceDN w:val="0"/>
        <w:spacing w:after="120"/>
        <w:rPr>
          <w:rFonts w:cs="Calibri"/>
        </w:rPr>
      </w:pPr>
      <w:r w:rsidRPr="00BC4E0F">
        <w:rPr>
          <w:rFonts w:cs="Calibri"/>
          <w:b/>
        </w:rPr>
        <w:t xml:space="preserve">ACT Civil and Administrative Tribunal (ACAT) </w:t>
      </w:r>
      <w:r w:rsidRPr="00BC4E0F">
        <w:rPr>
          <w:rFonts w:cs="Calibri"/>
        </w:rPr>
        <w:t xml:space="preserve">– is the tribunal established under the </w:t>
      </w:r>
      <w:r w:rsidRPr="00BC4E0F">
        <w:rPr>
          <w:rFonts w:cs="Calibri"/>
          <w:i/>
        </w:rPr>
        <w:t>ACT Civil and Administrative Tribunal Act 2008</w:t>
      </w:r>
      <w:r w:rsidRPr="00BC4E0F">
        <w:rPr>
          <w:rFonts w:cs="Calibri"/>
        </w:rPr>
        <w:t xml:space="preserve">. The ACAT is tasked with making a range of decisions under the </w:t>
      </w:r>
      <w:r w:rsidRPr="00BC4E0F">
        <w:rPr>
          <w:rFonts w:cs="Calibri"/>
          <w:i/>
        </w:rPr>
        <w:t xml:space="preserve">Mental Health Act 2015 </w:t>
      </w:r>
      <w:r w:rsidRPr="00BC4E0F">
        <w:rPr>
          <w:rFonts w:cs="Calibri"/>
        </w:rPr>
        <w:t xml:space="preserve">in regard to a person’s mental health treatment, care or support. </w:t>
      </w:r>
    </w:p>
    <w:p w14:paraId="368146EC" w14:textId="77777777" w:rsidR="001E400F" w:rsidRPr="00180C1A" w:rsidRDefault="001E400F" w:rsidP="001E400F">
      <w:pPr>
        <w:widowControl w:val="0"/>
        <w:spacing w:after="120"/>
        <w:rPr>
          <w:rFonts w:cs="Calibri"/>
          <w:b/>
          <w:bCs/>
        </w:rPr>
      </w:pPr>
      <w:r w:rsidRPr="00180C1A">
        <w:rPr>
          <w:rFonts w:cs="Calibri"/>
          <w:b/>
          <w:bCs/>
        </w:rPr>
        <w:t xml:space="preserve">Advance Consent Direction – </w:t>
      </w:r>
      <w:r w:rsidRPr="00F07520">
        <w:rPr>
          <w:rFonts w:cs="Calibri"/>
        </w:rPr>
        <w:t xml:space="preserve">a written document made by a person, while they have </w:t>
      </w:r>
      <w:r w:rsidRPr="00F07520">
        <w:rPr>
          <w:rFonts w:cs="Calibri"/>
        </w:rPr>
        <w:lastRenderedPageBreak/>
        <w:t>decision-making capacity to do so, to record their consent or non-consent to receiving treatment, care or support, or specific medications and procedures, if they do not have decision-making capacity.</w:t>
      </w:r>
    </w:p>
    <w:p w14:paraId="2B5B6E60" w14:textId="59973F3C" w:rsidR="00BC4E0F" w:rsidRPr="00BC4E0F" w:rsidRDefault="00BC4E0F" w:rsidP="00BC4E0F">
      <w:pPr>
        <w:widowControl w:val="0"/>
        <w:autoSpaceDE w:val="0"/>
        <w:autoSpaceDN w:val="0"/>
        <w:spacing w:after="120"/>
        <w:rPr>
          <w:rFonts w:cs="Calibri"/>
        </w:rPr>
      </w:pPr>
      <w:r w:rsidRPr="00BC4E0F">
        <w:rPr>
          <w:rFonts w:cs="Calibri"/>
          <w:b/>
        </w:rPr>
        <w:t xml:space="preserve">Chief Psychiatrist </w:t>
      </w:r>
      <w:r w:rsidRPr="00BC4E0F">
        <w:rPr>
          <w:rFonts w:cs="Calibri"/>
        </w:rPr>
        <w:t xml:space="preserve">– is appointed by the Minister for Mental Health under the </w:t>
      </w:r>
      <w:r w:rsidRPr="00BC4E0F">
        <w:rPr>
          <w:rFonts w:cs="Calibri"/>
          <w:i/>
        </w:rPr>
        <w:t xml:space="preserve">Mental Health Act 2015 </w:t>
      </w:r>
      <w:r w:rsidRPr="00BC4E0F">
        <w:rPr>
          <w:rFonts w:cs="Calibri"/>
          <w:iCs/>
        </w:rPr>
        <w:t xml:space="preserve">, </w:t>
      </w:r>
      <w:r w:rsidRPr="00BC4E0F">
        <w:rPr>
          <w:rFonts w:cs="Calibri"/>
        </w:rPr>
        <w:t xml:space="preserve">has responsibility for the treatment, care, and support of people on PTOs and FPTOs. </w:t>
      </w:r>
    </w:p>
    <w:p w14:paraId="1F164FF6" w14:textId="3A74300D" w:rsidR="00BC4E0F" w:rsidRPr="00BC4E0F" w:rsidRDefault="00BC4E0F" w:rsidP="00BC4E0F">
      <w:pPr>
        <w:widowControl w:val="0"/>
        <w:autoSpaceDE w:val="0"/>
        <w:autoSpaceDN w:val="0"/>
        <w:spacing w:after="120"/>
        <w:rPr>
          <w:rFonts w:cs="Calibri"/>
        </w:rPr>
      </w:pPr>
      <w:r w:rsidRPr="00BC4E0F">
        <w:rPr>
          <w:rFonts w:cs="Calibri"/>
          <w:b/>
        </w:rPr>
        <w:t>Continuation</w:t>
      </w:r>
      <w:r w:rsidRPr="00BC4E0F">
        <w:rPr>
          <w:rFonts w:cs="Calibri"/>
          <w:b/>
          <w:spacing w:val="-4"/>
        </w:rPr>
        <w:t xml:space="preserve"> </w:t>
      </w:r>
      <w:r w:rsidRPr="00BC4E0F">
        <w:rPr>
          <w:rFonts w:cs="Calibri"/>
          <w:b/>
        </w:rPr>
        <w:t>ECT</w:t>
      </w:r>
      <w:r w:rsidRPr="00BC4E0F">
        <w:rPr>
          <w:rFonts w:cs="Calibri"/>
          <w:b/>
          <w:spacing w:val="-2"/>
        </w:rPr>
        <w:t xml:space="preserve"> </w:t>
      </w:r>
      <w:r w:rsidRPr="00BC4E0F">
        <w:rPr>
          <w:rFonts w:cs="Calibri"/>
          <w:b/>
        </w:rPr>
        <w:t>(</w:t>
      </w:r>
      <w:proofErr w:type="spellStart"/>
      <w:r w:rsidRPr="00BC4E0F">
        <w:rPr>
          <w:rFonts w:cs="Calibri"/>
          <w:b/>
        </w:rPr>
        <w:t>cECT</w:t>
      </w:r>
      <w:proofErr w:type="spellEnd"/>
      <w:r w:rsidRPr="00BC4E0F">
        <w:rPr>
          <w:rFonts w:cs="Calibri"/>
          <w:b/>
        </w:rPr>
        <w:t>)</w:t>
      </w:r>
      <w:r w:rsidRPr="00BC4E0F">
        <w:rPr>
          <w:rFonts w:cs="Calibri"/>
          <w:b/>
          <w:spacing w:val="-7"/>
        </w:rPr>
        <w:t xml:space="preserve"> </w:t>
      </w:r>
      <w:r w:rsidRPr="00BC4E0F">
        <w:rPr>
          <w:rFonts w:cs="Calibri"/>
        </w:rPr>
        <w:t>–</w:t>
      </w:r>
      <w:r w:rsidRPr="00BC4E0F">
        <w:rPr>
          <w:rFonts w:cs="Calibri"/>
          <w:spacing w:val="-3"/>
        </w:rPr>
        <w:t xml:space="preserve"> </w:t>
      </w:r>
      <w:r w:rsidRPr="00BC4E0F">
        <w:rPr>
          <w:rFonts w:cs="Calibri"/>
        </w:rPr>
        <w:t>is</w:t>
      </w:r>
      <w:r w:rsidRPr="00BC4E0F">
        <w:rPr>
          <w:rFonts w:cs="Calibri"/>
          <w:spacing w:val="-5"/>
        </w:rPr>
        <w:t xml:space="preserve"> </w:t>
      </w:r>
      <w:r w:rsidRPr="00BC4E0F">
        <w:rPr>
          <w:rFonts w:cs="Calibri"/>
        </w:rPr>
        <w:t>defined</w:t>
      </w:r>
      <w:r w:rsidRPr="00BC4E0F">
        <w:rPr>
          <w:rFonts w:cs="Calibri"/>
          <w:spacing w:val="-3"/>
        </w:rPr>
        <w:t xml:space="preserve"> </w:t>
      </w:r>
      <w:r w:rsidRPr="00BC4E0F">
        <w:rPr>
          <w:rFonts w:cs="Calibri"/>
        </w:rPr>
        <w:t>as</w:t>
      </w:r>
      <w:r w:rsidRPr="00BC4E0F">
        <w:rPr>
          <w:rFonts w:cs="Calibri"/>
          <w:spacing w:val="-7"/>
        </w:rPr>
        <w:t xml:space="preserve"> </w:t>
      </w:r>
      <w:r w:rsidRPr="00BC4E0F">
        <w:rPr>
          <w:rFonts w:cs="Calibri"/>
        </w:rPr>
        <w:t>treatment</w:t>
      </w:r>
      <w:r w:rsidRPr="00BC4E0F">
        <w:rPr>
          <w:rFonts w:cs="Calibri"/>
          <w:spacing w:val="-5"/>
        </w:rPr>
        <w:t xml:space="preserve"> </w:t>
      </w:r>
      <w:r w:rsidRPr="00BC4E0F">
        <w:rPr>
          <w:rFonts w:cs="Calibri"/>
        </w:rPr>
        <w:t>administered</w:t>
      </w:r>
      <w:r w:rsidRPr="00BC4E0F">
        <w:rPr>
          <w:rFonts w:cs="Calibri"/>
          <w:spacing w:val="-5"/>
        </w:rPr>
        <w:t xml:space="preserve"> </w:t>
      </w:r>
      <w:r w:rsidRPr="00BC4E0F">
        <w:rPr>
          <w:rFonts w:cs="Calibri"/>
        </w:rPr>
        <w:t>following</w:t>
      </w:r>
      <w:r w:rsidRPr="00BC4E0F">
        <w:rPr>
          <w:rFonts w:cs="Calibri"/>
          <w:spacing w:val="-7"/>
        </w:rPr>
        <w:t xml:space="preserve"> </w:t>
      </w:r>
      <w:r w:rsidRPr="00BC4E0F">
        <w:rPr>
          <w:rFonts w:cs="Calibri"/>
        </w:rPr>
        <w:t>a</w:t>
      </w:r>
      <w:r w:rsidRPr="00BC4E0F">
        <w:rPr>
          <w:rFonts w:cs="Calibri"/>
          <w:spacing w:val="-4"/>
        </w:rPr>
        <w:t xml:space="preserve"> </w:t>
      </w:r>
      <w:r w:rsidRPr="00BC4E0F">
        <w:rPr>
          <w:rFonts w:cs="Calibri"/>
        </w:rPr>
        <w:t>successful</w:t>
      </w:r>
      <w:r w:rsidRPr="00BC4E0F">
        <w:rPr>
          <w:rFonts w:cs="Calibri"/>
          <w:spacing w:val="-5"/>
        </w:rPr>
        <w:t xml:space="preserve"> </w:t>
      </w:r>
      <w:r w:rsidRPr="00BC4E0F">
        <w:rPr>
          <w:rFonts w:cs="Calibri"/>
        </w:rPr>
        <w:t xml:space="preserve">course of ECT, weekly up to monthly, for up to six months after remission from acute illness is achieved. Each ECT prescription is for nine treatments, the treatment can occur over weeks or months. </w:t>
      </w:r>
    </w:p>
    <w:p w14:paraId="2A797ABA" w14:textId="16642C3B" w:rsidR="00BC4E0F" w:rsidRPr="00BC4E0F" w:rsidRDefault="00BC4E0F" w:rsidP="00BC4E0F">
      <w:pPr>
        <w:widowControl w:val="0"/>
        <w:autoSpaceDE w:val="0"/>
        <w:autoSpaceDN w:val="0"/>
        <w:spacing w:after="120"/>
        <w:rPr>
          <w:rFonts w:cs="Calibri"/>
        </w:rPr>
      </w:pPr>
      <w:r w:rsidRPr="00BC4E0F">
        <w:rPr>
          <w:rFonts w:cs="Calibri"/>
          <w:b/>
        </w:rPr>
        <w:t xml:space="preserve">Credentialing </w:t>
      </w:r>
      <w:r w:rsidRPr="00BC4E0F">
        <w:rPr>
          <w:rFonts w:cs="Calibri"/>
        </w:rPr>
        <w:t>– means the formal process used to verify the qualifications, experience, professional standing and other relevant professional attributes of a doctor or dentist for the purpose of forming a view about the competence, performance and professional suitability of the doctor or dentist to provide safe, high quality health care services within a specific organisational environment.</w:t>
      </w:r>
    </w:p>
    <w:p w14:paraId="10F3624A" w14:textId="1C018E2E" w:rsidR="00BC4E0F" w:rsidRPr="00BC4E0F" w:rsidRDefault="00BC4E0F" w:rsidP="00BC4E0F">
      <w:pPr>
        <w:widowControl w:val="0"/>
        <w:autoSpaceDE w:val="0"/>
        <w:autoSpaceDN w:val="0"/>
        <w:spacing w:after="120"/>
        <w:rPr>
          <w:rFonts w:cs="Calibri"/>
        </w:rPr>
      </w:pPr>
      <w:r w:rsidRPr="00BC4E0F">
        <w:rPr>
          <w:rFonts w:cs="Calibri"/>
          <w:b/>
        </w:rPr>
        <w:t xml:space="preserve">Doctor </w:t>
      </w:r>
      <w:r w:rsidRPr="00BC4E0F">
        <w:rPr>
          <w:rFonts w:cs="Calibri"/>
        </w:rPr>
        <w:t xml:space="preserve">– refers to a person employed at the facility as a Consultant Psychiatrist, a Psychiatry Registrar in consultation with a Consultant Psychiatrist, or another doctor (e.g. Emergency Department Registrar) in consultation with a Consultant Psychiatrist (s. 84 </w:t>
      </w:r>
      <w:r w:rsidRPr="00BC4E0F">
        <w:rPr>
          <w:rFonts w:cs="Calibri"/>
          <w:i/>
        </w:rPr>
        <w:t>Mental Health Act 2015</w:t>
      </w:r>
      <w:r w:rsidRPr="00BC4E0F">
        <w:rPr>
          <w:rFonts w:cs="Calibri"/>
        </w:rPr>
        <w:t>).</w:t>
      </w:r>
    </w:p>
    <w:p w14:paraId="16247AFF" w14:textId="02B83DC7" w:rsidR="00BC4E0F" w:rsidRPr="00BC4E0F" w:rsidRDefault="00BC4E0F" w:rsidP="00BC4E0F">
      <w:pPr>
        <w:widowControl w:val="0"/>
        <w:autoSpaceDE w:val="0"/>
        <w:autoSpaceDN w:val="0"/>
        <w:spacing w:after="120"/>
        <w:rPr>
          <w:rFonts w:cs="Calibri"/>
          <w:i/>
        </w:rPr>
      </w:pPr>
      <w:r w:rsidRPr="00BC4E0F">
        <w:rPr>
          <w:rFonts w:cs="Calibri"/>
          <w:b/>
        </w:rPr>
        <w:t xml:space="preserve">Electroconvulsive Therapy </w:t>
      </w:r>
      <w:r w:rsidRPr="00BC4E0F">
        <w:rPr>
          <w:rFonts w:cs="Calibri"/>
        </w:rPr>
        <w:t xml:space="preserve">– means a procedure for the induction of an epileptiform convulsion in a person (s. 145 </w:t>
      </w:r>
      <w:r w:rsidRPr="00BC4E0F">
        <w:rPr>
          <w:rFonts w:cs="Calibri"/>
          <w:i/>
        </w:rPr>
        <w:t>Mental Health Act 2015)</w:t>
      </w:r>
    </w:p>
    <w:p w14:paraId="0444F23C" w14:textId="6642CF5C" w:rsidR="00180C1A" w:rsidRPr="00180C1A" w:rsidRDefault="00180C1A" w:rsidP="00180C1A">
      <w:pPr>
        <w:widowControl w:val="0"/>
        <w:autoSpaceDE w:val="0"/>
        <w:autoSpaceDN w:val="0"/>
        <w:spacing w:after="120"/>
        <w:rPr>
          <w:rFonts w:cs="Calibri"/>
          <w:b/>
          <w:iCs/>
        </w:rPr>
      </w:pPr>
      <w:r w:rsidRPr="00180C1A">
        <w:rPr>
          <w:rFonts w:cs="Calibri"/>
          <w:b/>
          <w:iCs/>
        </w:rPr>
        <w:t xml:space="preserve">Emergency </w:t>
      </w:r>
      <w:r>
        <w:rPr>
          <w:rFonts w:cs="Calibri"/>
          <w:b/>
          <w:iCs/>
        </w:rPr>
        <w:t>E</w:t>
      </w:r>
      <w:r w:rsidRPr="00180C1A">
        <w:rPr>
          <w:rFonts w:cs="Calibri"/>
          <w:b/>
          <w:iCs/>
        </w:rPr>
        <w:t xml:space="preserve">lectroconvulsive </w:t>
      </w:r>
      <w:r>
        <w:rPr>
          <w:rFonts w:cs="Calibri"/>
          <w:b/>
          <w:iCs/>
        </w:rPr>
        <w:t>T</w:t>
      </w:r>
      <w:r w:rsidRPr="00180C1A">
        <w:rPr>
          <w:rFonts w:cs="Calibri"/>
          <w:b/>
          <w:iCs/>
        </w:rPr>
        <w:t xml:space="preserve">herapy </w:t>
      </w:r>
      <w:r>
        <w:rPr>
          <w:rFonts w:cs="Calibri"/>
          <w:b/>
          <w:iCs/>
        </w:rPr>
        <w:t>O</w:t>
      </w:r>
      <w:r w:rsidRPr="00180C1A">
        <w:rPr>
          <w:rFonts w:cs="Calibri"/>
          <w:b/>
          <w:iCs/>
        </w:rPr>
        <w:t xml:space="preserve">rder - </w:t>
      </w:r>
      <w:r w:rsidRPr="00F07520">
        <w:rPr>
          <w:rFonts w:cs="Calibri"/>
          <w:bCs/>
          <w:iCs/>
        </w:rPr>
        <w:t>an order under section 162 of the Mental Health Act 2015 for the emergency administration of electroconvulsive therapy to a person.</w:t>
      </w:r>
    </w:p>
    <w:p w14:paraId="1E2A62C9" w14:textId="719049D2" w:rsidR="00BC4E0F" w:rsidRPr="00BC4E0F" w:rsidRDefault="00BC4E0F" w:rsidP="00BC4E0F">
      <w:pPr>
        <w:widowControl w:val="0"/>
        <w:autoSpaceDE w:val="0"/>
        <w:autoSpaceDN w:val="0"/>
        <w:spacing w:after="120"/>
        <w:rPr>
          <w:rFonts w:cs="Calibri"/>
        </w:rPr>
      </w:pPr>
      <w:r w:rsidRPr="00BC4E0F">
        <w:rPr>
          <w:rFonts w:cs="Calibri"/>
          <w:b/>
        </w:rPr>
        <w:t xml:space="preserve">Forensic Community Care Order (FCCO) </w:t>
      </w:r>
      <w:r w:rsidRPr="00BC4E0F">
        <w:rPr>
          <w:rFonts w:cs="Calibri"/>
        </w:rPr>
        <w:t>– an order made by ACAT authorising involuntary treatment, care, and support for persons with a mental disorder involved with the criminal justice system.</w:t>
      </w:r>
    </w:p>
    <w:p w14:paraId="7074A806" w14:textId="476CE3B7" w:rsidR="00BC4E0F" w:rsidRPr="00BC4E0F" w:rsidRDefault="00BC4E0F" w:rsidP="00BC4E0F">
      <w:pPr>
        <w:widowControl w:val="0"/>
        <w:autoSpaceDE w:val="0"/>
        <w:autoSpaceDN w:val="0"/>
        <w:spacing w:after="120"/>
        <w:rPr>
          <w:rFonts w:cs="Calibri"/>
        </w:rPr>
      </w:pPr>
      <w:r w:rsidRPr="00BC4E0F">
        <w:rPr>
          <w:rFonts w:cs="Calibri"/>
          <w:b/>
        </w:rPr>
        <w:t xml:space="preserve">Forensic Psychiatric Treatment Order (FPTO) </w:t>
      </w:r>
      <w:r w:rsidRPr="00BC4E0F">
        <w:rPr>
          <w:rFonts w:cs="Calibri"/>
        </w:rPr>
        <w:t>– an order made by ACAT authorising involuntary treatment, care, and support for persons with a mental illness involved with the criminal justice system.</w:t>
      </w:r>
    </w:p>
    <w:p w14:paraId="576BCD19" w14:textId="77777777" w:rsidR="001E400F" w:rsidRPr="00BC4E0F" w:rsidRDefault="001E400F" w:rsidP="001E400F">
      <w:pPr>
        <w:widowControl w:val="0"/>
        <w:autoSpaceDE w:val="0"/>
        <w:autoSpaceDN w:val="0"/>
        <w:spacing w:after="120"/>
        <w:rPr>
          <w:rFonts w:cs="Calibri"/>
        </w:rPr>
      </w:pPr>
      <w:r w:rsidRPr="00BC4E0F">
        <w:rPr>
          <w:rFonts w:cs="Calibri"/>
          <w:b/>
        </w:rPr>
        <w:t xml:space="preserve">Involuntary person </w:t>
      </w:r>
      <w:r w:rsidRPr="00BC4E0F">
        <w:rPr>
          <w:rFonts w:cs="Calibri"/>
        </w:rPr>
        <w:t>– a person who is subject to a</w:t>
      </w:r>
      <w:r>
        <w:rPr>
          <w:rFonts w:cs="Calibri"/>
        </w:rPr>
        <w:t xml:space="preserve"> mental health order </w:t>
      </w:r>
      <w:r w:rsidRPr="00BC4E0F">
        <w:rPr>
          <w:rFonts w:cs="Calibri"/>
        </w:rPr>
        <w:t xml:space="preserve"> under the </w:t>
      </w:r>
      <w:r w:rsidRPr="00BC4E0F">
        <w:rPr>
          <w:rFonts w:cs="Calibri"/>
          <w:i/>
        </w:rPr>
        <w:t>Mental Health Act 2015</w:t>
      </w:r>
      <w:r w:rsidRPr="00BC4E0F">
        <w:rPr>
          <w:rFonts w:cs="Calibri"/>
        </w:rPr>
        <w:t>.</w:t>
      </w:r>
    </w:p>
    <w:p w14:paraId="42B279EF" w14:textId="4A9D2C0A" w:rsidR="00BC4E0F" w:rsidRPr="00BC4E0F" w:rsidRDefault="00BC4E0F" w:rsidP="00BC4E0F">
      <w:pPr>
        <w:widowControl w:val="0"/>
        <w:autoSpaceDE w:val="0"/>
        <w:autoSpaceDN w:val="0"/>
        <w:spacing w:after="120"/>
        <w:rPr>
          <w:rFonts w:cs="Calibri"/>
        </w:rPr>
      </w:pPr>
      <w:r w:rsidRPr="00BC4E0F">
        <w:rPr>
          <w:rFonts w:cs="Calibri"/>
          <w:b/>
        </w:rPr>
        <w:t>Maintenance ECT (</w:t>
      </w:r>
      <w:proofErr w:type="spellStart"/>
      <w:r w:rsidRPr="00BC4E0F">
        <w:rPr>
          <w:rFonts w:cs="Calibri"/>
          <w:b/>
        </w:rPr>
        <w:t>mECT</w:t>
      </w:r>
      <w:proofErr w:type="spellEnd"/>
      <w:r w:rsidRPr="00BC4E0F">
        <w:rPr>
          <w:rFonts w:cs="Calibri"/>
          <w:b/>
        </w:rPr>
        <w:t xml:space="preserve">) </w:t>
      </w:r>
      <w:r w:rsidRPr="00BC4E0F">
        <w:rPr>
          <w:rFonts w:cs="Calibri"/>
        </w:rPr>
        <w:t>– is administered at weekly to monthly intervals (and occasionally less frequently) more than six months after treatment of the acute illness and sometimes up to two years.</w:t>
      </w:r>
    </w:p>
    <w:p w14:paraId="1F5A995A" w14:textId="3768C902" w:rsidR="00BC4E0F" w:rsidRPr="00BC4E0F" w:rsidRDefault="00BC4E0F" w:rsidP="00BC4E0F">
      <w:pPr>
        <w:widowControl w:val="0"/>
        <w:autoSpaceDE w:val="0"/>
        <w:autoSpaceDN w:val="0"/>
        <w:spacing w:after="120"/>
        <w:rPr>
          <w:rFonts w:cs="Calibri"/>
        </w:rPr>
      </w:pPr>
      <w:r w:rsidRPr="00BC4E0F">
        <w:rPr>
          <w:rFonts w:cs="Calibri"/>
          <w:b/>
        </w:rPr>
        <w:t xml:space="preserve">Mental disorder </w:t>
      </w:r>
      <w:r w:rsidRPr="00BC4E0F">
        <w:rPr>
          <w:rFonts w:cs="Calibri"/>
        </w:rPr>
        <w:t xml:space="preserve">– is defined as a disturbance or defect, to a substantially disabling degree, of perceptual interpretation, comprehension, reasoning, learning, judgment, memory, motivation, or emotion, but does not include a condition that is a mental illness (s. 9 </w:t>
      </w:r>
      <w:r w:rsidRPr="00BC4E0F">
        <w:rPr>
          <w:rFonts w:cs="Calibri"/>
          <w:i/>
        </w:rPr>
        <w:t>Mental Health Act 2015</w:t>
      </w:r>
      <w:r w:rsidRPr="00BC4E0F">
        <w:rPr>
          <w:rFonts w:cs="Calibri"/>
        </w:rPr>
        <w:t>).</w:t>
      </w:r>
    </w:p>
    <w:p w14:paraId="71B9D787" w14:textId="77777777" w:rsidR="00BC4E0F" w:rsidRPr="00BC4E0F" w:rsidRDefault="00BC4E0F" w:rsidP="00BC4E0F">
      <w:pPr>
        <w:widowControl w:val="0"/>
        <w:autoSpaceDE w:val="0"/>
        <w:autoSpaceDN w:val="0"/>
        <w:spacing w:after="120"/>
        <w:rPr>
          <w:rFonts w:cs="Calibri"/>
        </w:rPr>
      </w:pPr>
      <w:r w:rsidRPr="00BC4E0F">
        <w:rPr>
          <w:rFonts w:cs="Calibri"/>
          <w:b/>
        </w:rPr>
        <w:t xml:space="preserve">Mental illness </w:t>
      </w:r>
      <w:r w:rsidRPr="00BC4E0F">
        <w:rPr>
          <w:rFonts w:cs="Calibri"/>
        </w:rPr>
        <w:t xml:space="preserve">– is defined as a condition that seriously impairs (either temporarily or permanently) the mental functioning of a person in 1 or more areas of thought, mood, volition, </w:t>
      </w:r>
      <w:r w:rsidRPr="00BC4E0F">
        <w:rPr>
          <w:rFonts w:cs="Calibri"/>
        </w:rPr>
        <w:lastRenderedPageBreak/>
        <w:t>perception, orientation, or memory and is characterised by:</w:t>
      </w:r>
    </w:p>
    <w:p w14:paraId="018E3AFA" w14:textId="77777777" w:rsidR="00BC4E0F" w:rsidRPr="00BC4E0F" w:rsidRDefault="00BC4E0F" w:rsidP="0059116A">
      <w:pPr>
        <w:pStyle w:val="Bullet"/>
        <w:rPr>
          <w:rFonts w:ascii="Symbol" w:hAnsi="Symbol"/>
        </w:rPr>
      </w:pPr>
      <w:r w:rsidRPr="00BC4E0F">
        <w:t>at least 1 or more of the following</w:t>
      </w:r>
      <w:r w:rsidRPr="00BC4E0F">
        <w:rPr>
          <w:spacing w:val="-3"/>
        </w:rPr>
        <w:t xml:space="preserve"> </w:t>
      </w:r>
      <w:r w:rsidRPr="00BC4E0F">
        <w:t>symptoms:</w:t>
      </w:r>
    </w:p>
    <w:p w14:paraId="48792FB5" w14:textId="77777777" w:rsidR="00BC4E0F" w:rsidRPr="00BC4E0F" w:rsidRDefault="00BC4E0F" w:rsidP="0059116A">
      <w:pPr>
        <w:pStyle w:val="Bullet"/>
        <w:rPr>
          <w:rFonts w:ascii="Courier New" w:hAnsi="Courier New"/>
        </w:rPr>
      </w:pPr>
      <w:r w:rsidRPr="00BC4E0F">
        <w:t>delusions</w:t>
      </w:r>
    </w:p>
    <w:p w14:paraId="6C281702" w14:textId="77777777" w:rsidR="00BC4E0F" w:rsidRPr="00BC4E0F" w:rsidRDefault="00BC4E0F" w:rsidP="0059116A">
      <w:pPr>
        <w:pStyle w:val="Bullet"/>
        <w:rPr>
          <w:rFonts w:ascii="Courier New" w:hAnsi="Courier New"/>
        </w:rPr>
      </w:pPr>
      <w:r w:rsidRPr="00BC4E0F">
        <w:t>hallucinations</w:t>
      </w:r>
    </w:p>
    <w:p w14:paraId="59078E61" w14:textId="77777777" w:rsidR="00BC4E0F" w:rsidRPr="00BC4E0F" w:rsidRDefault="00BC4E0F" w:rsidP="0059116A">
      <w:pPr>
        <w:pStyle w:val="Bullet"/>
        <w:rPr>
          <w:rFonts w:ascii="Courier New" w:hAnsi="Courier New"/>
        </w:rPr>
      </w:pPr>
      <w:r w:rsidRPr="00BC4E0F">
        <w:t>serious disorders of streams of</w:t>
      </w:r>
      <w:r w:rsidRPr="00BC4E0F">
        <w:rPr>
          <w:spacing w:val="-3"/>
        </w:rPr>
        <w:t xml:space="preserve"> </w:t>
      </w:r>
      <w:r w:rsidRPr="00BC4E0F">
        <w:t>thought</w:t>
      </w:r>
    </w:p>
    <w:p w14:paraId="11EDF363" w14:textId="77777777" w:rsidR="00BC4E0F" w:rsidRPr="00BC4E0F" w:rsidRDefault="00BC4E0F" w:rsidP="0059116A">
      <w:pPr>
        <w:pStyle w:val="Bullet"/>
        <w:rPr>
          <w:rFonts w:ascii="Courier New" w:hAnsi="Courier New"/>
        </w:rPr>
      </w:pPr>
      <w:r w:rsidRPr="00BC4E0F">
        <w:t>serious disorders of thought form,</w:t>
      </w:r>
      <w:r w:rsidRPr="00BC4E0F">
        <w:rPr>
          <w:spacing w:val="-7"/>
        </w:rPr>
        <w:t xml:space="preserve"> </w:t>
      </w:r>
      <w:r w:rsidRPr="00BC4E0F">
        <w:t>or</w:t>
      </w:r>
    </w:p>
    <w:p w14:paraId="709ECFC3" w14:textId="77777777" w:rsidR="00BC4E0F" w:rsidRPr="00BC4E0F" w:rsidRDefault="00BC4E0F" w:rsidP="0059116A">
      <w:pPr>
        <w:pStyle w:val="Bullet"/>
        <w:rPr>
          <w:rFonts w:ascii="Courier New" w:hAnsi="Courier New"/>
        </w:rPr>
      </w:pPr>
      <w:r w:rsidRPr="00BC4E0F">
        <w:t>serious disturbance of mood,</w:t>
      </w:r>
      <w:r w:rsidRPr="00BC4E0F">
        <w:rPr>
          <w:spacing w:val="-3"/>
        </w:rPr>
        <w:t xml:space="preserve"> </w:t>
      </w:r>
      <w:r w:rsidRPr="00BC4E0F">
        <w:t>or</w:t>
      </w:r>
    </w:p>
    <w:p w14:paraId="5B3EE9A7" w14:textId="40816323" w:rsidR="00BC4E0F" w:rsidRPr="00BC4E0F" w:rsidRDefault="00BC4E0F" w:rsidP="0059116A">
      <w:pPr>
        <w:pStyle w:val="Bullet"/>
        <w:rPr>
          <w:rFonts w:ascii="Courier New" w:hAnsi="Courier New"/>
        </w:rPr>
      </w:pPr>
      <w:r w:rsidRPr="00BC4E0F">
        <w:t>sustained</w:t>
      </w:r>
      <w:r w:rsidRPr="00BC4E0F">
        <w:rPr>
          <w:spacing w:val="-6"/>
        </w:rPr>
        <w:t xml:space="preserve"> </w:t>
      </w:r>
      <w:r w:rsidRPr="00BC4E0F">
        <w:t>or</w:t>
      </w:r>
      <w:r w:rsidRPr="00BC4E0F">
        <w:rPr>
          <w:spacing w:val="-7"/>
        </w:rPr>
        <w:t xml:space="preserve"> </w:t>
      </w:r>
      <w:r w:rsidRPr="00BC4E0F">
        <w:t>repeated</w:t>
      </w:r>
      <w:r w:rsidRPr="00BC4E0F">
        <w:rPr>
          <w:spacing w:val="-3"/>
        </w:rPr>
        <w:t xml:space="preserve"> </w:t>
      </w:r>
      <w:r w:rsidRPr="00BC4E0F">
        <w:t>irrational</w:t>
      </w:r>
      <w:r w:rsidRPr="00BC4E0F">
        <w:rPr>
          <w:spacing w:val="-5"/>
        </w:rPr>
        <w:t xml:space="preserve"> </w:t>
      </w:r>
      <w:r w:rsidRPr="00BC4E0F">
        <w:t>behaviour</w:t>
      </w:r>
      <w:r w:rsidRPr="00BC4E0F">
        <w:rPr>
          <w:spacing w:val="-7"/>
        </w:rPr>
        <w:t xml:space="preserve"> </w:t>
      </w:r>
      <w:r w:rsidRPr="00BC4E0F">
        <w:t>that</w:t>
      </w:r>
      <w:r w:rsidRPr="00BC4E0F">
        <w:rPr>
          <w:spacing w:val="-5"/>
        </w:rPr>
        <w:t xml:space="preserve"> </w:t>
      </w:r>
      <w:r w:rsidRPr="00BC4E0F">
        <w:t>may</w:t>
      </w:r>
      <w:r w:rsidRPr="00BC4E0F">
        <w:rPr>
          <w:spacing w:val="-5"/>
        </w:rPr>
        <w:t xml:space="preserve"> </w:t>
      </w:r>
      <w:r w:rsidRPr="00BC4E0F">
        <w:t>be</w:t>
      </w:r>
      <w:r w:rsidRPr="00BC4E0F">
        <w:rPr>
          <w:spacing w:val="-7"/>
        </w:rPr>
        <w:t xml:space="preserve"> </w:t>
      </w:r>
      <w:r w:rsidRPr="00BC4E0F">
        <w:t>taken</w:t>
      </w:r>
      <w:r w:rsidRPr="00BC4E0F">
        <w:rPr>
          <w:spacing w:val="-5"/>
        </w:rPr>
        <w:t xml:space="preserve"> </w:t>
      </w:r>
      <w:r w:rsidRPr="00BC4E0F">
        <w:t>to</w:t>
      </w:r>
      <w:r w:rsidRPr="00BC4E0F">
        <w:rPr>
          <w:spacing w:val="-4"/>
        </w:rPr>
        <w:t xml:space="preserve"> </w:t>
      </w:r>
      <w:r w:rsidRPr="00BC4E0F">
        <w:t>indicate</w:t>
      </w:r>
      <w:r w:rsidRPr="00BC4E0F">
        <w:rPr>
          <w:spacing w:val="-7"/>
        </w:rPr>
        <w:t xml:space="preserve"> </w:t>
      </w:r>
      <w:r w:rsidRPr="00BC4E0F">
        <w:t>the</w:t>
      </w:r>
      <w:r w:rsidRPr="00BC4E0F">
        <w:rPr>
          <w:spacing w:val="-6"/>
        </w:rPr>
        <w:t xml:space="preserve"> </w:t>
      </w:r>
      <w:r w:rsidRPr="00BC4E0F">
        <w:t xml:space="preserve">presence of at least 1 of the above symptoms (s. 10 </w:t>
      </w:r>
      <w:r w:rsidRPr="00BC4E0F">
        <w:rPr>
          <w:i/>
        </w:rPr>
        <w:t>Mental Health Act</w:t>
      </w:r>
      <w:r w:rsidRPr="00BC4E0F">
        <w:rPr>
          <w:i/>
          <w:spacing w:val="-10"/>
        </w:rPr>
        <w:t xml:space="preserve"> </w:t>
      </w:r>
      <w:r w:rsidRPr="00BC4E0F">
        <w:rPr>
          <w:i/>
        </w:rPr>
        <w:t>2015</w:t>
      </w:r>
      <w:r w:rsidRPr="00BC4E0F">
        <w:t>).</w:t>
      </w:r>
    </w:p>
    <w:p w14:paraId="0918C986" w14:textId="68BCE06E" w:rsidR="00BC4E0F" w:rsidRPr="00BC4E0F" w:rsidRDefault="00BC4E0F" w:rsidP="00BC4E0F">
      <w:pPr>
        <w:widowControl w:val="0"/>
        <w:autoSpaceDE w:val="0"/>
        <w:autoSpaceDN w:val="0"/>
        <w:spacing w:after="120"/>
        <w:rPr>
          <w:rFonts w:cs="Calibri"/>
        </w:rPr>
      </w:pPr>
      <w:r w:rsidRPr="00BC4E0F">
        <w:rPr>
          <w:rFonts w:cs="Calibri"/>
          <w:b/>
        </w:rPr>
        <w:t xml:space="preserve">Nominated person </w:t>
      </w:r>
      <w:r w:rsidRPr="00BC4E0F">
        <w:rPr>
          <w:rFonts w:cs="Calibri"/>
        </w:rPr>
        <w:t xml:space="preserve">– a person appointed by a person with a mental disorder or mental illness, when they have decision-making capacity, to help the person by ensuring that their interests are respected if they require treatment, care or support for a mental illness or mental disorder. Examples are a close relative or close friend, a </w:t>
      </w:r>
      <w:proofErr w:type="spellStart"/>
      <w:r w:rsidRPr="00BC4E0F">
        <w:rPr>
          <w:rFonts w:cs="Calibri"/>
        </w:rPr>
        <w:t>carer</w:t>
      </w:r>
      <w:proofErr w:type="spellEnd"/>
      <w:r w:rsidRPr="00BC4E0F">
        <w:rPr>
          <w:rFonts w:cs="Calibri"/>
        </w:rPr>
        <w:t>, the person’s neighbour.</w:t>
      </w:r>
    </w:p>
    <w:p w14:paraId="16F7DFAA" w14:textId="77777777" w:rsidR="00BC4E0F" w:rsidRPr="00BC4E0F" w:rsidRDefault="00BC4E0F" w:rsidP="00BC4E0F">
      <w:pPr>
        <w:widowControl w:val="0"/>
        <w:autoSpaceDE w:val="0"/>
        <w:autoSpaceDN w:val="0"/>
        <w:spacing w:after="120" w:line="292" w:lineRule="exact"/>
        <w:outlineLvl w:val="1"/>
        <w:rPr>
          <w:rFonts w:cs="Calibri"/>
          <w:bCs/>
        </w:rPr>
      </w:pPr>
      <w:bookmarkStart w:id="39" w:name="_Toc102396718"/>
      <w:r w:rsidRPr="00BC4E0F">
        <w:rPr>
          <w:rFonts w:cs="Calibri"/>
          <w:b/>
          <w:bCs/>
        </w:rPr>
        <w:t xml:space="preserve">Person in charge of the facility </w:t>
      </w:r>
      <w:r w:rsidRPr="00BC4E0F">
        <w:rPr>
          <w:rFonts w:cs="Calibri"/>
          <w:bCs/>
        </w:rPr>
        <w:t>– means:</w:t>
      </w:r>
      <w:bookmarkEnd w:id="39"/>
    </w:p>
    <w:p w14:paraId="3E4C4943" w14:textId="77777777" w:rsidR="00BC4E0F" w:rsidRPr="00BC4E0F" w:rsidRDefault="00BC4E0F" w:rsidP="0059116A">
      <w:pPr>
        <w:pStyle w:val="Bullet"/>
        <w:rPr>
          <w:rFonts w:ascii="Symbol" w:hAnsi="Symbol"/>
        </w:rPr>
      </w:pPr>
      <w:r w:rsidRPr="00BC4E0F">
        <w:t>Whilst in the Emergency Department at the Canberra Hospital, under an Emergency Apprehension, the person is charge is the senior emergency department doctor (Registrar or Consultant) allocated to the area in which the person is</w:t>
      </w:r>
      <w:r w:rsidRPr="00BC4E0F">
        <w:rPr>
          <w:spacing w:val="-20"/>
        </w:rPr>
        <w:t xml:space="preserve"> </w:t>
      </w:r>
      <w:r w:rsidRPr="00BC4E0F">
        <w:t>placed</w:t>
      </w:r>
    </w:p>
    <w:p w14:paraId="0FA35447" w14:textId="77777777" w:rsidR="00BC4E0F" w:rsidRPr="00BC4E0F" w:rsidRDefault="00BC4E0F" w:rsidP="0059116A">
      <w:pPr>
        <w:pStyle w:val="Bullet"/>
        <w:rPr>
          <w:rFonts w:ascii="Symbol" w:hAnsi="Symbol"/>
        </w:rPr>
      </w:pPr>
      <w:r w:rsidRPr="00BC4E0F">
        <w:t>In the Emergency Department when the person has been placed on an Emergency Detention 3 days (ED3), the person is under the care of Mental Health, Justice Health, Alcohol and Drug Services (MHJHADS). The person is charge is the Consultant Psychiatrist (Business Hours) or Consultant Psychiatrist on-call (After</w:t>
      </w:r>
      <w:r w:rsidRPr="00BC4E0F">
        <w:rPr>
          <w:spacing w:val="-4"/>
        </w:rPr>
        <w:t xml:space="preserve"> </w:t>
      </w:r>
      <w:r w:rsidRPr="00BC4E0F">
        <w:t>Hours)</w:t>
      </w:r>
    </w:p>
    <w:p w14:paraId="07E4DF78" w14:textId="77777777" w:rsidR="00BC4E0F" w:rsidRPr="00BC4E0F" w:rsidRDefault="00BC4E0F" w:rsidP="0059116A">
      <w:pPr>
        <w:pStyle w:val="Bullet"/>
        <w:rPr>
          <w:rFonts w:ascii="Symbol" w:hAnsi="Symbol"/>
        </w:rPr>
      </w:pPr>
      <w:r w:rsidRPr="00BC4E0F">
        <w:t>On an inpatient approved mental health facility – the Assistant Director of Nursing (Business Hours) or most senior nurse on the unit (After Hours),</w:t>
      </w:r>
      <w:r w:rsidRPr="00BC4E0F">
        <w:rPr>
          <w:spacing w:val="-15"/>
        </w:rPr>
        <w:t xml:space="preserve"> </w:t>
      </w:r>
      <w:r w:rsidRPr="00BC4E0F">
        <w:t>and</w:t>
      </w:r>
    </w:p>
    <w:p w14:paraId="0F48D0EE" w14:textId="09EFC79D" w:rsidR="00BC4E0F" w:rsidRPr="00BC4E0F" w:rsidRDefault="00BC4E0F" w:rsidP="0059116A">
      <w:pPr>
        <w:pStyle w:val="Bullet"/>
        <w:rPr>
          <w:rFonts w:ascii="Symbol" w:hAnsi="Symbol"/>
        </w:rPr>
      </w:pPr>
      <w:r w:rsidRPr="00BC4E0F">
        <w:t>On an inpatient surgical or medical unit – the Clinical Director (Business Hours) or Consultant on Call (After</w:t>
      </w:r>
      <w:r w:rsidRPr="00BC4E0F">
        <w:rPr>
          <w:spacing w:val="-7"/>
        </w:rPr>
        <w:t xml:space="preserve"> </w:t>
      </w:r>
      <w:r w:rsidRPr="00BC4E0F">
        <w:t>Hours).</w:t>
      </w:r>
    </w:p>
    <w:p w14:paraId="6107C550" w14:textId="77777777" w:rsidR="001E400F" w:rsidRDefault="001E400F" w:rsidP="001E400F">
      <w:pPr>
        <w:widowControl w:val="0"/>
        <w:autoSpaceDE w:val="0"/>
        <w:autoSpaceDN w:val="0"/>
        <w:spacing w:after="120"/>
        <w:rPr>
          <w:rFonts w:cs="Calibri"/>
        </w:rPr>
      </w:pPr>
      <w:r w:rsidRPr="001E400F">
        <w:rPr>
          <w:rFonts w:cs="Calibri"/>
          <w:b/>
          <w:bCs/>
        </w:rPr>
        <w:t>Phrase – Nominated person, carer, family, or other supports</w:t>
      </w:r>
      <w:r>
        <w:rPr>
          <w:rFonts w:cs="Calibri"/>
        </w:rPr>
        <w:t xml:space="preserve"> is used, and includes but is not limited to:</w:t>
      </w:r>
    </w:p>
    <w:p w14:paraId="02297804" w14:textId="77777777" w:rsidR="001E400F" w:rsidRPr="001B7955" w:rsidRDefault="001E400F" w:rsidP="001E400F">
      <w:pPr>
        <w:pStyle w:val="Bullet"/>
      </w:pPr>
      <w:r>
        <w:t>Parent, guardian, health attorney, friend, spouse.</w:t>
      </w:r>
    </w:p>
    <w:p w14:paraId="7783F760" w14:textId="77777777" w:rsidR="00BC4E0F" w:rsidRDefault="00BC4E0F" w:rsidP="00BC4E0F">
      <w:pPr>
        <w:widowControl w:val="0"/>
        <w:autoSpaceDE w:val="0"/>
        <w:autoSpaceDN w:val="0"/>
        <w:spacing w:after="120"/>
        <w:rPr>
          <w:rFonts w:cs="Calibri"/>
        </w:rPr>
      </w:pPr>
      <w:r w:rsidRPr="00BC4E0F">
        <w:rPr>
          <w:rFonts w:cs="Calibri"/>
          <w:b/>
        </w:rPr>
        <w:t xml:space="preserve">Psychiatric Treatment Order (PTO) </w:t>
      </w:r>
      <w:r w:rsidRPr="00BC4E0F">
        <w:rPr>
          <w:rFonts w:cs="Calibri"/>
        </w:rPr>
        <w:t>– is an order made by ACAT under authorising involuntary treatment, care or support for persons with a mental illness.</w:t>
      </w:r>
    </w:p>
    <w:p w14:paraId="15AA50F3" w14:textId="60C19282" w:rsidR="001B7955" w:rsidRDefault="001B7955" w:rsidP="00BC4E0F">
      <w:pPr>
        <w:widowControl w:val="0"/>
        <w:autoSpaceDE w:val="0"/>
        <w:autoSpaceDN w:val="0"/>
        <w:spacing w:after="120"/>
        <w:rPr>
          <w:rFonts w:cs="Calibri"/>
        </w:rPr>
      </w:pPr>
      <w:r w:rsidRPr="00F07520">
        <w:rPr>
          <w:rFonts w:cs="Calibri"/>
          <w:b/>
          <w:bCs/>
        </w:rPr>
        <w:t>Young Person</w:t>
      </w:r>
      <w:r>
        <w:rPr>
          <w:rFonts w:cs="Calibri"/>
        </w:rPr>
        <w:t xml:space="preserve"> – a person who is 12 years or older, but not yet 18 years (</w:t>
      </w:r>
      <w:r w:rsidRPr="00F07520">
        <w:rPr>
          <w:rFonts w:cs="Calibri"/>
          <w:i/>
          <w:iCs/>
        </w:rPr>
        <w:t>Children and Young People Act 2008</w:t>
      </w:r>
      <w:r>
        <w:rPr>
          <w:rFonts w:cs="Calibri"/>
        </w:rPr>
        <w:t>).</w:t>
      </w:r>
    </w:p>
    <w:p w14:paraId="04D116B4" w14:textId="77777777" w:rsidR="00280C5D" w:rsidRDefault="00280C5D" w:rsidP="002D7682">
      <w:pPr>
        <w:pStyle w:val="BodyCopy"/>
      </w:pPr>
      <w:hyperlink w:anchor="_top" w:history="1">
        <w:r w:rsidRPr="00481A6C">
          <w:rPr>
            <w:rStyle w:val="Hyperlink"/>
            <w:iCs w:val="0"/>
          </w:rPr>
          <w:t>Back to Contents</w:t>
        </w:r>
      </w:hyperlink>
    </w:p>
    <w:p w14:paraId="6460B26F" w14:textId="77777777" w:rsidR="0078367D" w:rsidRDefault="0078367D" w:rsidP="00A6051F">
      <w:pPr>
        <w:pStyle w:val="Heading4"/>
      </w:pPr>
      <w:bookmarkStart w:id="40" w:name="_Toc204358008"/>
      <w:r>
        <w:t>Search terms</w:t>
      </w:r>
      <w:bookmarkEnd w:id="40"/>
    </w:p>
    <w:p w14:paraId="2E83A823" w14:textId="77777777" w:rsidR="00BC4E0F" w:rsidRPr="003B4412" w:rsidRDefault="00BC4E0F" w:rsidP="0059116A">
      <w:pPr>
        <w:pStyle w:val="BodyCopy"/>
      </w:pPr>
      <w:r w:rsidRPr="003B4412">
        <w:t>Electroconvulsive Therapy, ECT, ECT Order, Emergency ECT Order</w:t>
      </w:r>
    </w:p>
    <w:p w14:paraId="574A6222" w14:textId="77777777" w:rsidR="00280C5D" w:rsidRDefault="00280C5D" w:rsidP="002D7682">
      <w:pPr>
        <w:pStyle w:val="Bullet"/>
        <w:numPr>
          <w:ilvl w:val="0"/>
          <w:numId w:val="0"/>
        </w:numPr>
        <w:spacing w:after="240"/>
        <w:rPr>
          <w:lang w:eastAsia="en-US"/>
        </w:rPr>
      </w:pPr>
      <w:hyperlink w:anchor="_top" w:history="1">
        <w:r w:rsidRPr="00481A6C">
          <w:rPr>
            <w:rStyle w:val="Hyperlink"/>
          </w:rPr>
          <w:t>Back to Contents</w:t>
        </w:r>
      </w:hyperlink>
    </w:p>
    <w:p w14:paraId="5BA3A690" w14:textId="0695C471" w:rsidR="0078367D" w:rsidRPr="009A5010" w:rsidRDefault="0078367D" w:rsidP="00A6051F">
      <w:pPr>
        <w:pStyle w:val="Heading4"/>
      </w:pPr>
      <w:bookmarkStart w:id="41" w:name="_Toc204358009"/>
      <w:r>
        <w:lastRenderedPageBreak/>
        <w:t>Attachments</w:t>
      </w:r>
      <w:bookmarkEnd w:id="41"/>
      <w:r w:rsidR="009746B1">
        <w:t xml:space="preserve"> </w:t>
      </w:r>
    </w:p>
    <w:p w14:paraId="361E65DC" w14:textId="03F51447" w:rsidR="001F3ED6" w:rsidRDefault="001F3ED6" w:rsidP="00A513AA">
      <w:pPr>
        <w:pStyle w:val="Heading7"/>
        <w:rPr>
          <w:lang w:eastAsia="en-US"/>
        </w:rPr>
      </w:pPr>
      <w:r>
        <w:rPr>
          <w:lang w:eastAsia="en-US"/>
        </w:rPr>
        <w:t>Attach</w:t>
      </w:r>
      <w:r w:rsidR="00BC4E0F">
        <w:rPr>
          <w:lang w:eastAsia="en-US"/>
        </w:rPr>
        <w:t>ment 1: Prescribing and Administration of ECT Flo</w:t>
      </w:r>
      <w:r w:rsidR="001B7955">
        <w:rPr>
          <w:lang w:eastAsia="en-US"/>
        </w:rPr>
        <w:t>w</w:t>
      </w:r>
      <w:r w:rsidR="00BC4E0F">
        <w:rPr>
          <w:lang w:eastAsia="en-US"/>
        </w:rPr>
        <w:t xml:space="preserve"> Chart for an Adult </w:t>
      </w:r>
    </w:p>
    <w:p w14:paraId="4785DD5E" w14:textId="6C179160" w:rsidR="00BC4E0F" w:rsidRDefault="00BC4E0F" w:rsidP="00BC4E0F">
      <w:pPr>
        <w:pStyle w:val="Heading7"/>
        <w:rPr>
          <w:lang w:eastAsia="en-US"/>
        </w:rPr>
      </w:pPr>
      <w:r>
        <w:rPr>
          <w:lang w:eastAsia="en-US"/>
        </w:rPr>
        <w:t>Attachment 2: Prescribing and Administration of ECT Flo</w:t>
      </w:r>
      <w:r w:rsidR="001B7955">
        <w:rPr>
          <w:lang w:eastAsia="en-US"/>
        </w:rPr>
        <w:t>w</w:t>
      </w:r>
      <w:r>
        <w:rPr>
          <w:lang w:eastAsia="en-US"/>
        </w:rPr>
        <w:t xml:space="preserve"> Chart for a Young Person at least 12 years of age but under 18 years of age </w:t>
      </w:r>
    </w:p>
    <w:p w14:paraId="12099B97" w14:textId="664409D0" w:rsidR="0007270D" w:rsidRDefault="002D7682" w:rsidP="00BC4E0F">
      <w:pPr>
        <w:pStyle w:val="Heading7"/>
      </w:pPr>
      <w:r>
        <w:t>Attachment 3</w:t>
      </w:r>
      <w:r w:rsidR="00BC4E0F">
        <w:t xml:space="preserve">: ECT Electrode Placement </w:t>
      </w:r>
    </w:p>
    <w:p w14:paraId="0BF8F387" w14:textId="61AF06B7" w:rsidR="00BC4E0F" w:rsidRDefault="00BC4E0F" w:rsidP="00BC4E0F">
      <w:pPr>
        <w:pStyle w:val="Heading7"/>
      </w:pPr>
      <w:r>
        <w:t xml:space="preserve">Attachment 4: </w:t>
      </w:r>
      <w:r w:rsidRPr="005F5812">
        <w:t xml:space="preserve">Method of ECT Dose Titration and Treatment Schedule for Brief Pulse </w:t>
      </w:r>
      <w:proofErr w:type="spellStart"/>
      <w:r w:rsidRPr="005F5812">
        <w:t>Thymatron</w:t>
      </w:r>
      <w:proofErr w:type="spellEnd"/>
      <w:r w:rsidRPr="005F5812">
        <w:t xml:space="preserve"> Series IV</w:t>
      </w:r>
    </w:p>
    <w:p w14:paraId="35D264C7" w14:textId="3BED023A" w:rsidR="00BC4E0F" w:rsidRDefault="00BC4E0F" w:rsidP="00BC4E0F">
      <w:pPr>
        <w:pStyle w:val="Heading7"/>
      </w:pPr>
      <w:r>
        <w:t xml:space="preserve">Attachment 5: </w:t>
      </w:r>
      <w:r w:rsidRPr="005F5812">
        <w:rPr>
          <w:rFonts w:eastAsia="Calibri"/>
        </w:rPr>
        <w:t xml:space="preserve">Method of ECT Dose Titration and Treatment Schedule for Brief Pulse </w:t>
      </w:r>
      <w:proofErr w:type="spellStart"/>
      <w:r w:rsidRPr="005F5812">
        <w:rPr>
          <w:rFonts w:eastAsia="Calibri"/>
        </w:rPr>
        <w:t>Thymatron</w:t>
      </w:r>
      <w:proofErr w:type="spellEnd"/>
      <w:r w:rsidRPr="005F5812">
        <w:rPr>
          <w:rFonts w:eastAsia="Calibri"/>
        </w:rPr>
        <w:t xml:space="preserve"> Series IV ultra-brief pulse (0.3 </w:t>
      </w:r>
      <w:proofErr w:type="spellStart"/>
      <w:r w:rsidRPr="005F5812">
        <w:rPr>
          <w:rFonts w:eastAsia="Calibri"/>
        </w:rPr>
        <w:t>ms</w:t>
      </w:r>
      <w:proofErr w:type="spellEnd"/>
      <w:r w:rsidRPr="005F5812">
        <w:rPr>
          <w:rFonts w:eastAsia="Calibri"/>
        </w:rPr>
        <w:t xml:space="preserve"> and 0.5 </w:t>
      </w:r>
      <w:proofErr w:type="spellStart"/>
      <w:r w:rsidRPr="005F5812">
        <w:rPr>
          <w:rFonts w:eastAsia="Calibri"/>
        </w:rPr>
        <w:t>ms</w:t>
      </w:r>
      <w:proofErr w:type="spellEnd"/>
      <w:r w:rsidRPr="005F5812">
        <w:rPr>
          <w:rFonts w:eastAsia="Calibri"/>
        </w:rPr>
        <w:t>)</w:t>
      </w:r>
    </w:p>
    <w:p w14:paraId="6A2BA15E" w14:textId="13B9E7CC" w:rsidR="00BC4E0F" w:rsidRDefault="00BC4E0F" w:rsidP="00BC4E0F">
      <w:pPr>
        <w:pStyle w:val="Heading7"/>
      </w:pPr>
      <w:r>
        <w:t xml:space="preserve">Attachment 6: </w:t>
      </w:r>
      <w:r w:rsidRPr="005F5812">
        <w:t>RANZCP guidelines considerations for ECT electrode placements, pulse width and seizure threshold.</w:t>
      </w:r>
    </w:p>
    <w:p w14:paraId="15A2B970" w14:textId="77777777" w:rsidR="007B1A7B" w:rsidRDefault="002D7682" w:rsidP="002D7682">
      <w:pPr>
        <w:pStyle w:val="Bullet"/>
        <w:numPr>
          <w:ilvl w:val="0"/>
          <w:numId w:val="0"/>
        </w:numPr>
        <w:spacing w:after="240"/>
        <w:rPr>
          <w:rStyle w:val="Hyperlink"/>
        </w:rPr>
      </w:pPr>
      <w:hyperlink w:anchor="_top" w:history="1">
        <w:r w:rsidRPr="00481A6C">
          <w:rPr>
            <w:rStyle w:val="Hyperlink"/>
          </w:rPr>
          <w:t>Back to Contents</w:t>
        </w:r>
      </w:hyperlink>
    </w:p>
    <w:p w14:paraId="1EB0BF67" w14:textId="4144C8F7" w:rsidR="007B1A7B" w:rsidRDefault="007B1A7B">
      <w:pPr>
        <w:spacing w:before="0" w:after="0" w:line="240" w:lineRule="auto"/>
        <w:rPr>
          <w:rStyle w:val="Hyperlink"/>
          <w:rFonts w:eastAsia="Times New Roman"/>
        </w:rPr>
      </w:pPr>
    </w:p>
    <w:p w14:paraId="7DAB915B" w14:textId="77777777" w:rsidR="009A5010" w:rsidRPr="001F3ED6" w:rsidRDefault="00280C5D" w:rsidP="001F3ED6">
      <w:pPr>
        <w:pStyle w:val="BodyCopy"/>
        <w:rPr>
          <w:rStyle w:val="Bold"/>
        </w:rPr>
      </w:pPr>
      <w:r w:rsidRPr="001F3ED6">
        <w:rPr>
          <w:rStyle w:val="Bold"/>
        </w:rPr>
        <w:t>For Policy Team to complete:</w:t>
      </w:r>
    </w:p>
    <w:tbl>
      <w:tblPr>
        <w:tblStyle w:val="CHSTable"/>
        <w:tblW w:w="0" w:type="auto"/>
        <w:tblLook w:val="0420" w:firstRow="1" w:lastRow="0" w:firstColumn="0" w:lastColumn="0" w:noHBand="0" w:noVBand="1"/>
      </w:tblPr>
      <w:tblGrid>
        <w:gridCol w:w="2476"/>
        <w:gridCol w:w="2477"/>
        <w:gridCol w:w="2555"/>
        <w:gridCol w:w="2403"/>
      </w:tblGrid>
      <w:tr w:rsidR="00280C5D" w14:paraId="1A8B62E6" w14:textId="77777777" w:rsidTr="003B0E72">
        <w:trPr>
          <w:cnfStyle w:val="100000000000" w:firstRow="1" w:lastRow="0" w:firstColumn="0" w:lastColumn="0" w:oddVBand="0" w:evenVBand="0" w:oddHBand="0" w:evenHBand="0" w:firstRowFirstColumn="0" w:firstRowLastColumn="0" w:lastRowFirstColumn="0" w:lastRowLastColumn="0"/>
        </w:trPr>
        <w:tc>
          <w:tcPr>
            <w:tcW w:w="2476" w:type="dxa"/>
          </w:tcPr>
          <w:p w14:paraId="39F44014" w14:textId="77777777" w:rsidR="00280C5D" w:rsidRDefault="00280C5D" w:rsidP="003B0E72">
            <w:pPr>
              <w:pStyle w:val="Tableheader"/>
            </w:pPr>
            <w:r>
              <w:t>Date amended</w:t>
            </w:r>
          </w:p>
        </w:tc>
        <w:tc>
          <w:tcPr>
            <w:tcW w:w="2477" w:type="dxa"/>
          </w:tcPr>
          <w:p w14:paraId="6A4B0805" w14:textId="77777777" w:rsidR="00280C5D" w:rsidRDefault="00280C5D" w:rsidP="003B0E72">
            <w:pPr>
              <w:pStyle w:val="Tableheader"/>
            </w:pPr>
            <w:r>
              <w:t>Section amended</w:t>
            </w:r>
          </w:p>
        </w:tc>
        <w:tc>
          <w:tcPr>
            <w:tcW w:w="2555" w:type="dxa"/>
          </w:tcPr>
          <w:p w14:paraId="5B7F8FF7" w14:textId="77777777" w:rsidR="00280C5D" w:rsidRDefault="00280C5D" w:rsidP="003B0E72">
            <w:pPr>
              <w:pStyle w:val="Tableheader"/>
            </w:pPr>
            <w:r>
              <w:t>Divisional approval</w:t>
            </w:r>
          </w:p>
        </w:tc>
        <w:tc>
          <w:tcPr>
            <w:tcW w:w="2403" w:type="dxa"/>
          </w:tcPr>
          <w:p w14:paraId="47C2E300" w14:textId="77777777" w:rsidR="00280C5D" w:rsidRDefault="00280C5D" w:rsidP="003B0E72">
            <w:pPr>
              <w:pStyle w:val="Tableheader"/>
            </w:pPr>
            <w:r>
              <w:t>Final approval</w:t>
            </w:r>
          </w:p>
        </w:tc>
      </w:tr>
      <w:tr w:rsidR="00A3776B" w14:paraId="4DA78048" w14:textId="77777777" w:rsidTr="008B33C2">
        <w:tc>
          <w:tcPr>
            <w:tcW w:w="2476" w:type="dxa"/>
            <w:vAlign w:val="top"/>
          </w:tcPr>
          <w:p w14:paraId="705DDA9B" w14:textId="3136012A" w:rsidR="00A3776B" w:rsidRDefault="00A3776B" w:rsidP="00A3776B">
            <w:pPr>
              <w:pStyle w:val="Tablebody"/>
              <w:rPr>
                <w:lang w:eastAsia="en-US"/>
              </w:rPr>
            </w:pPr>
            <w:r>
              <w:rPr>
                <w:lang w:eastAsia="en-US"/>
              </w:rPr>
              <w:t>29/07/2025</w:t>
            </w:r>
          </w:p>
        </w:tc>
        <w:tc>
          <w:tcPr>
            <w:tcW w:w="2477" w:type="dxa"/>
            <w:vAlign w:val="top"/>
          </w:tcPr>
          <w:p w14:paraId="5B987055" w14:textId="7FD780E5" w:rsidR="00A3776B" w:rsidRDefault="00A3776B" w:rsidP="00A3776B">
            <w:pPr>
              <w:pStyle w:val="Tablebody"/>
              <w:rPr>
                <w:lang w:eastAsia="en-US"/>
              </w:rPr>
            </w:pPr>
            <w:r>
              <w:rPr>
                <w:lang w:eastAsia="en-US"/>
              </w:rPr>
              <w:t>Complete review</w:t>
            </w:r>
          </w:p>
        </w:tc>
        <w:tc>
          <w:tcPr>
            <w:tcW w:w="2555" w:type="dxa"/>
            <w:vAlign w:val="top"/>
          </w:tcPr>
          <w:p w14:paraId="021A48D2" w14:textId="0978CCD4" w:rsidR="00A3776B" w:rsidRDefault="00A3776B" w:rsidP="00A3776B">
            <w:pPr>
              <w:pStyle w:val="Tablebody"/>
              <w:rPr>
                <w:lang w:eastAsia="en-US"/>
              </w:rPr>
            </w:pPr>
            <w:r>
              <w:rPr>
                <w:lang w:eastAsia="en-US"/>
              </w:rPr>
              <w:t>Bruno Aloisi, General Manager MHJHADS</w:t>
            </w:r>
          </w:p>
        </w:tc>
        <w:tc>
          <w:tcPr>
            <w:tcW w:w="2403" w:type="dxa"/>
            <w:vAlign w:val="top"/>
          </w:tcPr>
          <w:p w14:paraId="45684EE5" w14:textId="7A568966" w:rsidR="00A3776B" w:rsidRDefault="00A3776B" w:rsidP="00A3776B">
            <w:pPr>
              <w:pStyle w:val="Tablebody"/>
              <w:rPr>
                <w:lang w:eastAsia="en-US"/>
              </w:rPr>
            </w:pPr>
            <w:r>
              <w:rPr>
                <w:lang w:eastAsia="en-US"/>
              </w:rPr>
              <w:t>CHS Policy Document Review Panel</w:t>
            </w:r>
          </w:p>
        </w:tc>
      </w:tr>
      <w:tr w:rsidR="00BC4E0F" w14:paraId="1E83F2A1" w14:textId="77777777" w:rsidTr="008B33C2">
        <w:tc>
          <w:tcPr>
            <w:tcW w:w="2476" w:type="dxa"/>
            <w:vAlign w:val="top"/>
          </w:tcPr>
          <w:p w14:paraId="2DF139E0" w14:textId="7CF4B112" w:rsidR="00BC4E0F" w:rsidRDefault="00BC4E0F" w:rsidP="00BC4E0F">
            <w:pPr>
              <w:pStyle w:val="Tablebody"/>
              <w:rPr>
                <w:lang w:eastAsia="en-US"/>
              </w:rPr>
            </w:pPr>
          </w:p>
        </w:tc>
        <w:tc>
          <w:tcPr>
            <w:tcW w:w="2477" w:type="dxa"/>
            <w:vAlign w:val="top"/>
          </w:tcPr>
          <w:p w14:paraId="1A46198C" w14:textId="705EB939" w:rsidR="00BC4E0F" w:rsidRDefault="00BC4E0F" w:rsidP="00BC4E0F">
            <w:pPr>
              <w:pStyle w:val="Tablebody"/>
              <w:rPr>
                <w:lang w:eastAsia="en-US"/>
              </w:rPr>
            </w:pPr>
          </w:p>
        </w:tc>
        <w:tc>
          <w:tcPr>
            <w:tcW w:w="2555" w:type="dxa"/>
            <w:vAlign w:val="top"/>
          </w:tcPr>
          <w:p w14:paraId="0E4EDB2A" w14:textId="0AA17DAB" w:rsidR="00BC4E0F" w:rsidRDefault="00BC4E0F" w:rsidP="00BC4E0F">
            <w:pPr>
              <w:pStyle w:val="Tablebody"/>
              <w:rPr>
                <w:lang w:eastAsia="en-US"/>
              </w:rPr>
            </w:pPr>
          </w:p>
        </w:tc>
        <w:tc>
          <w:tcPr>
            <w:tcW w:w="2403" w:type="dxa"/>
            <w:vAlign w:val="top"/>
          </w:tcPr>
          <w:p w14:paraId="023AA2CB" w14:textId="5C322425" w:rsidR="00BC4E0F" w:rsidRDefault="00BC4E0F" w:rsidP="00BC4E0F">
            <w:pPr>
              <w:pStyle w:val="Tablebody"/>
              <w:rPr>
                <w:lang w:eastAsia="en-US"/>
              </w:rPr>
            </w:pPr>
          </w:p>
        </w:tc>
      </w:tr>
    </w:tbl>
    <w:p w14:paraId="46FFDCC3" w14:textId="77777777" w:rsidR="00280C5D" w:rsidRDefault="00280C5D" w:rsidP="00A6051F">
      <w:pPr>
        <w:spacing w:after="120"/>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280C5D" w14:paraId="361FA932" w14:textId="77777777" w:rsidTr="003B0E72">
        <w:trPr>
          <w:cnfStyle w:val="100000000000" w:firstRow="1" w:lastRow="0" w:firstColumn="0" w:lastColumn="0" w:oddVBand="0" w:evenVBand="0" w:oddHBand="0" w:evenHBand="0" w:firstRowFirstColumn="0" w:firstRowLastColumn="0" w:lastRowFirstColumn="0" w:lastRowLastColumn="0"/>
        </w:trPr>
        <w:tc>
          <w:tcPr>
            <w:tcW w:w="2548" w:type="dxa"/>
          </w:tcPr>
          <w:p w14:paraId="60C50040" w14:textId="77777777" w:rsidR="00280C5D" w:rsidRDefault="00280C5D" w:rsidP="003B0E72">
            <w:pPr>
              <w:pStyle w:val="Tableheader"/>
            </w:pPr>
            <w:r>
              <w:t>Document number</w:t>
            </w:r>
          </w:p>
        </w:tc>
        <w:tc>
          <w:tcPr>
            <w:tcW w:w="7653" w:type="dxa"/>
          </w:tcPr>
          <w:p w14:paraId="00A7882C" w14:textId="77777777" w:rsidR="00280C5D" w:rsidRDefault="00280C5D" w:rsidP="003B0E72">
            <w:pPr>
              <w:pStyle w:val="Tableheader"/>
            </w:pPr>
            <w:r>
              <w:t>Document name</w:t>
            </w:r>
          </w:p>
        </w:tc>
      </w:tr>
      <w:tr w:rsidR="00A3776B" w14:paraId="5922CD6A" w14:textId="77777777" w:rsidTr="0040222F">
        <w:tc>
          <w:tcPr>
            <w:tcW w:w="2548" w:type="dxa"/>
            <w:vAlign w:val="top"/>
          </w:tcPr>
          <w:p w14:paraId="77AAB941" w14:textId="2AB4A525" w:rsidR="00A3776B" w:rsidRDefault="00A3776B" w:rsidP="00A3776B">
            <w:pPr>
              <w:pStyle w:val="Tablebody"/>
              <w:rPr>
                <w:lang w:eastAsia="en-US"/>
              </w:rPr>
            </w:pPr>
            <w:r w:rsidRPr="00433ACB">
              <w:rPr>
                <w:lang w:val="en-AU" w:eastAsia="en-US"/>
              </w:rPr>
              <w:t>CHS22/214</w:t>
            </w:r>
          </w:p>
        </w:tc>
        <w:tc>
          <w:tcPr>
            <w:tcW w:w="7653" w:type="dxa"/>
            <w:vAlign w:val="top"/>
          </w:tcPr>
          <w:p w14:paraId="6B91F2F7" w14:textId="6F3041D3" w:rsidR="00A3776B" w:rsidRDefault="00A3776B" w:rsidP="00A3776B">
            <w:pPr>
              <w:pStyle w:val="Tablebody"/>
              <w:rPr>
                <w:lang w:eastAsia="en-US"/>
              </w:rPr>
            </w:pPr>
            <w:r w:rsidRPr="00433ACB">
              <w:rPr>
                <w:lang w:val="en-AU" w:eastAsia="en-US"/>
              </w:rPr>
              <w:t>Electroconvulsive Therapy (ECT) Neurostimulation (NS) - Adults and Children 12 years of age and over</w:t>
            </w:r>
          </w:p>
        </w:tc>
      </w:tr>
      <w:tr w:rsidR="00BC4E0F" w14:paraId="04A20B29" w14:textId="77777777" w:rsidTr="003B0E72">
        <w:tc>
          <w:tcPr>
            <w:tcW w:w="2548" w:type="dxa"/>
          </w:tcPr>
          <w:p w14:paraId="272F33B3" w14:textId="77777777" w:rsidR="00BC4E0F" w:rsidRDefault="00BC4E0F" w:rsidP="00BC4E0F">
            <w:pPr>
              <w:pStyle w:val="Tablebody"/>
              <w:rPr>
                <w:lang w:eastAsia="en-US"/>
              </w:rPr>
            </w:pPr>
          </w:p>
        </w:tc>
        <w:tc>
          <w:tcPr>
            <w:tcW w:w="7653" w:type="dxa"/>
          </w:tcPr>
          <w:p w14:paraId="58DF2BD9" w14:textId="77777777" w:rsidR="00BC4E0F" w:rsidRDefault="00BC4E0F" w:rsidP="00BC4E0F">
            <w:pPr>
              <w:pStyle w:val="Tablebody"/>
              <w:rPr>
                <w:lang w:eastAsia="en-US"/>
              </w:rPr>
            </w:pPr>
          </w:p>
        </w:tc>
      </w:tr>
    </w:tbl>
    <w:p w14:paraId="5792E9E0" w14:textId="77777777" w:rsidR="00280C5D" w:rsidRPr="001F3ED6" w:rsidRDefault="00280C5D" w:rsidP="001F3ED6">
      <w:pPr>
        <w:pStyle w:val="BodyCopy"/>
        <w:rPr>
          <w:rStyle w:val="Bold"/>
        </w:rPr>
      </w:pPr>
      <w:r w:rsidRPr="001F3ED6">
        <w:rPr>
          <w:rStyle w:val="Bold"/>
        </w:rPr>
        <w:t>Disclaimer</w:t>
      </w:r>
    </w:p>
    <w:p w14:paraId="3A23293E" w14:textId="77777777" w:rsidR="00280C5D" w:rsidRDefault="00280C5D" w:rsidP="00280C5D">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71F1F474" w14:textId="77777777" w:rsidR="00280C5D" w:rsidRDefault="00280C5D" w:rsidP="00280C5D">
      <w:pPr>
        <w:pStyle w:val="Bullet"/>
        <w:numPr>
          <w:ilvl w:val="0"/>
          <w:numId w:val="0"/>
        </w:numPr>
        <w:rPr>
          <w:rStyle w:val="Hyperlink"/>
        </w:rPr>
      </w:pPr>
      <w:hyperlink w:anchor="_top" w:history="1">
        <w:r w:rsidRPr="00481A6C">
          <w:rPr>
            <w:rStyle w:val="Hyperlink"/>
          </w:rPr>
          <w:t>Back to Contents</w:t>
        </w:r>
      </w:hyperlink>
    </w:p>
    <w:p w14:paraId="6A3C0A89" w14:textId="77777777" w:rsidR="00280C5D" w:rsidRDefault="00280C5D" w:rsidP="00280C5D">
      <w:pPr>
        <w:pStyle w:val="Bullet"/>
        <w:numPr>
          <w:ilvl w:val="0"/>
          <w:numId w:val="0"/>
        </w:numPr>
        <w:rPr>
          <w:rStyle w:val="Hyperlink"/>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271"/>
        <w:gridCol w:w="4650"/>
      </w:tblGrid>
      <w:tr w:rsidR="00280C5D" w14:paraId="5F1EF371" w14:textId="77777777" w:rsidTr="003B0E72">
        <w:tc>
          <w:tcPr>
            <w:tcW w:w="5529" w:type="dxa"/>
            <w:shd w:val="clear" w:color="auto" w:fill="F4F3EE"/>
            <w:tcMar>
              <w:top w:w="142" w:type="dxa"/>
              <w:left w:w="170" w:type="dxa"/>
              <w:bottom w:w="142" w:type="dxa"/>
              <w:right w:w="170" w:type="dxa"/>
            </w:tcMar>
          </w:tcPr>
          <w:bookmarkStart w:id="42" w:name="_Hlk160027189" w:displacedByCustomXml="next"/>
          <w:sdt>
            <w:sdtPr>
              <w:rPr>
                <w:color w:val="auto"/>
                <w:u w:val="single"/>
              </w:rPr>
              <w:id w:val="643171884"/>
              <w:placeholder>
                <w:docPart w:val="77090E07C01543F1B5E1BF15593A6FF8"/>
              </w:placeholder>
            </w:sdtPr>
            <w:sdtEndPr>
              <w:rPr>
                <w:color w:val="000000" w:themeColor="text1"/>
                <w:u w:val="none"/>
              </w:rPr>
            </w:sdtEndPr>
            <w:sdtContent>
              <w:p w14:paraId="1C6D287A" w14:textId="77777777" w:rsidR="00280C5D" w:rsidRPr="00350211" w:rsidRDefault="00280C5D" w:rsidP="003B0E72">
                <w:pPr>
                  <w:pStyle w:val="Bottomblocktext"/>
                  <w:rPr>
                    <w:b/>
                    <w:bCs w:val="0"/>
                    <w:sz w:val="20"/>
                    <w:szCs w:val="20"/>
                  </w:rPr>
                </w:pPr>
                <w:r>
                  <w:rPr>
                    <w:noProof/>
                    <w:sz w:val="20"/>
                    <w:szCs w:val="20"/>
                  </w:rPr>
                  <w:drawing>
                    <wp:inline distT="0" distB="0" distL="0" distR="0" wp14:anchorId="618E17F3" wp14:editId="2339BA3E">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28"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22B689B8" w14:textId="77777777" w:rsidR="00280C5D" w:rsidRDefault="00280C5D" w:rsidP="003B0E72">
                <w:pPr>
                  <w:pStyle w:val="Bottomblocktext"/>
                  <w:rPr>
                    <w:sz w:val="20"/>
                    <w:szCs w:val="20"/>
                  </w:rPr>
                </w:pPr>
                <w:r w:rsidRPr="00350211">
                  <w:rPr>
                    <w:sz w:val="20"/>
                    <w:szCs w:val="20"/>
                  </w:rPr>
                  <w:t xml:space="preserve">Canberra Health Services acknowledges the Ngunnawal people as traditional custodians of the ACT and </w:t>
                </w:r>
                <w:proofErr w:type="spellStart"/>
                <w:r w:rsidRPr="00350211">
                  <w:rPr>
                    <w:sz w:val="20"/>
                    <w:szCs w:val="20"/>
                  </w:rPr>
                  <w:t>recognises</w:t>
                </w:r>
                <w:proofErr w:type="spellEnd"/>
                <w:r w:rsidRPr="00350211">
                  <w:rPr>
                    <w:sz w:val="20"/>
                    <w:szCs w:val="20"/>
                  </w:rPr>
                  <w:t xml:space="preserve"> any other people or families with connection to the lands of the ACT and region. We acknowledge and respect their continuing culture and contribution to the life of this region.</w:t>
                </w:r>
              </w:p>
              <w:p w14:paraId="4FCE1090" w14:textId="77777777" w:rsidR="00280C5D" w:rsidRPr="00350211" w:rsidRDefault="00280C5D" w:rsidP="003B0E72">
                <w:pPr>
                  <w:pStyle w:val="Bottomblocktext"/>
                </w:pPr>
                <w:r w:rsidRPr="00AF532B">
                  <w:t>© Australian Capital Territory, C</w:t>
                </w:r>
                <w:r w:rsidRPr="003F6C0E">
                  <w:t>anberra 20</w:t>
                </w:r>
                <w:sdt>
                  <w:sdtPr>
                    <w:alias w:val="Year selector"/>
                    <w:tag w:val="Year selector"/>
                    <w:id w:val="1385675321"/>
                    <w:placeholder>
                      <w:docPart w:val="BB5C6F91F81C42A8A170C779D66DCF80"/>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Pr="003F6C0E">
                      <w:t>24</w:t>
                    </w:r>
                  </w:sdtContent>
                </w:sdt>
              </w:p>
            </w:sdtContent>
          </w:sdt>
        </w:tc>
        <w:sdt>
          <w:sdtPr>
            <w:id w:val="637692764"/>
            <w:placeholder>
              <w:docPart w:val="928AE4F2770A4569B3E75A010AADEE9F"/>
            </w:placeholder>
            <w:showingPlcHdr/>
          </w:sdtPr>
          <w:sdtEndPr/>
          <w:sdtContent>
            <w:tc>
              <w:tcPr>
                <w:tcW w:w="4665" w:type="dxa"/>
                <w:shd w:val="clear" w:color="auto" w:fill="F4F3EE"/>
                <w:tcMar>
                  <w:top w:w="142" w:type="dxa"/>
                  <w:left w:w="170" w:type="dxa"/>
                  <w:bottom w:w="142" w:type="dxa"/>
                  <w:right w:w="170" w:type="dxa"/>
                </w:tcMar>
              </w:tcPr>
              <w:p w14:paraId="2F5E5169"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78AAA4C0" wp14:editId="457F5DD9">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29"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424030AA" wp14:editId="3397B3A3">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30"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5065EE9A"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5DD351CC" wp14:editId="0EF5FA4B">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31"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0D8FDA67" wp14:editId="62BA5C03">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30"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717F7265" w14:textId="77777777" w:rsidR="00280C5D" w:rsidRDefault="00280C5D" w:rsidP="003B0E72">
                <w:pPr>
                  <w:pStyle w:val="Bottomblocktext"/>
                  <w:rPr>
                    <w:sz w:val="20"/>
                    <w:szCs w:val="20"/>
                  </w:rPr>
                </w:pPr>
                <w:hyperlink r:id="rId32" w:history="1">
                  <w:r w:rsidRPr="00350211">
                    <w:rPr>
                      <w:rStyle w:val="Hyperlink"/>
                      <w:sz w:val="20"/>
                      <w:szCs w:val="20"/>
                    </w:rPr>
                    <w:t>canberrahealthservices.act.gov.au/accessibility</w:t>
                  </w:r>
                </w:hyperlink>
              </w:p>
              <w:p w14:paraId="41546E79" w14:textId="77777777" w:rsidR="00280C5D" w:rsidRDefault="00280C5D" w:rsidP="003B0E72">
                <w:pPr>
                  <w:pStyle w:val="Bottomblocktext"/>
                </w:pPr>
                <w:r>
                  <w:rPr>
                    <w:b/>
                    <w:bCs w:val="0"/>
                    <w:noProof/>
                  </w:rPr>
                  <w:drawing>
                    <wp:inline distT="0" distB="0" distL="0" distR="0" wp14:anchorId="2268BA94" wp14:editId="26CA914A">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33"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0"/>
      <w:bookmarkEnd w:id="42"/>
    </w:tbl>
    <w:p w14:paraId="416E2DF0" w14:textId="77777777" w:rsidR="00201AF6" w:rsidRDefault="00201AF6" w:rsidP="000E7683">
      <w:pPr>
        <w:rPr>
          <w:lang w:eastAsia="en-US"/>
        </w:rPr>
      </w:pPr>
    </w:p>
    <w:p w14:paraId="3AE51BA4" w14:textId="77777777" w:rsidR="00201AF6" w:rsidRDefault="00201AF6">
      <w:pPr>
        <w:spacing w:before="0" w:after="0" w:line="240" w:lineRule="auto"/>
        <w:rPr>
          <w:lang w:eastAsia="en-US"/>
        </w:rPr>
      </w:pPr>
      <w:r>
        <w:rPr>
          <w:lang w:eastAsia="en-US"/>
        </w:rPr>
        <w:br w:type="page"/>
      </w:r>
    </w:p>
    <w:p w14:paraId="0262390D" w14:textId="1F32B854" w:rsidR="004A7A7F" w:rsidRDefault="00201AF6" w:rsidP="00201AF6">
      <w:pPr>
        <w:pStyle w:val="Heading4"/>
      </w:pPr>
      <w:bookmarkStart w:id="43" w:name="_Toc204358010"/>
      <w:r>
        <w:lastRenderedPageBreak/>
        <w:t>Attachment 1</w:t>
      </w:r>
      <w:r w:rsidR="00BC4E0F">
        <w:t>: Prescription and Administration of ECT Flow Chart for an Adult</w:t>
      </w:r>
      <w:bookmarkEnd w:id="43"/>
    </w:p>
    <w:p w14:paraId="669F3F5F" w14:textId="5870FC00" w:rsidR="00BC4E0F" w:rsidRDefault="00761E05" w:rsidP="00201AF6">
      <w:pPr>
        <w:pStyle w:val="BodyCopy"/>
      </w:pPr>
      <w:r>
        <w:rPr>
          <w:noProof/>
        </w:rPr>
        <w:drawing>
          <wp:inline distT="0" distB="0" distL="0" distR="0" wp14:anchorId="01806219" wp14:editId="238AB7D3">
            <wp:extent cx="6707505" cy="7368363"/>
            <wp:effectExtent l="0" t="0" r="0" b="4445"/>
            <wp:docPr id="946146349" name="Picture 1" descr="A flowchart of process to prescribe and administer 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146349" name="Picture 1" descr="A flowchart of process to prescribe and administer ECT"/>
                    <pic:cNvPicPr/>
                  </pic:nvPicPr>
                  <pic:blipFill>
                    <a:blip r:embed="rId34"/>
                    <a:stretch>
                      <a:fillRect/>
                    </a:stretch>
                  </pic:blipFill>
                  <pic:spPr>
                    <a:xfrm>
                      <a:off x="0" y="0"/>
                      <a:ext cx="6732922" cy="7396285"/>
                    </a:xfrm>
                    <a:prstGeom prst="rect">
                      <a:avLst/>
                    </a:prstGeom>
                  </pic:spPr>
                </pic:pic>
              </a:graphicData>
            </a:graphic>
          </wp:inline>
        </w:drawing>
      </w:r>
    </w:p>
    <w:p w14:paraId="6C447FDF" w14:textId="5821A11A" w:rsidR="00BA2A8A" w:rsidRDefault="00A513AA" w:rsidP="00A513AA">
      <w:pPr>
        <w:pStyle w:val="Bullet"/>
        <w:numPr>
          <w:ilvl w:val="0"/>
          <w:numId w:val="0"/>
        </w:numPr>
      </w:pPr>
      <w:hyperlink w:anchor="_top" w:history="1">
        <w:r w:rsidRPr="00481A6C">
          <w:rPr>
            <w:rStyle w:val="Hyperlink"/>
          </w:rPr>
          <w:t>Back to Contents</w:t>
        </w:r>
      </w:hyperlink>
    </w:p>
    <w:p w14:paraId="1A1A1F5A" w14:textId="77777777" w:rsidR="001817EB" w:rsidRDefault="001817EB" w:rsidP="00A513AA">
      <w:pPr>
        <w:pStyle w:val="Bullet"/>
        <w:numPr>
          <w:ilvl w:val="0"/>
          <w:numId w:val="0"/>
        </w:numPr>
      </w:pPr>
    </w:p>
    <w:p w14:paraId="42B40746" w14:textId="77777777" w:rsidR="001817EB" w:rsidRDefault="001817EB" w:rsidP="00A513AA">
      <w:pPr>
        <w:pStyle w:val="Bullet"/>
        <w:numPr>
          <w:ilvl w:val="0"/>
          <w:numId w:val="0"/>
        </w:numPr>
      </w:pPr>
    </w:p>
    <w:p w14:paraId="4AA28889" w14:textId="629CE8DA" w:rsidR="00BC4E0F" w:rsidRDefault="00BC4E0F" w:rsidP="00BC4E0F">
      <w:pPr>
        <w:pStyle w:val="Heading4"/>
      </w:pPr>
      <w:bookmarkStart w:id="44" w:name="_Toc204358011"/>
      <w:r>
        <w:lastRenderedPageBreak/>
        <w:t>Attachment 2: Prescription and Administration of ECT Flow Chart for a Young Person at</w:t>
      </w:r>
      <w:r w:rsidRPr="006566AD">
        <w:t xml:space="preserve"> </w:t>
      </w:r>
      <w:r>
        <w:t>least 12 years of age but under 18 years of age</w:t>
      </w:r>
      <w:bookmarkEnd w:id="44"/>
    </w:p>
    <w:p w14:paraId="6914E47A" w14:textId="3954A93E" w:rsidR="00A513AA" w:rsidRDefault="00A513AA" w:rsidP="00201AF6">
      <w:pPr>
        <w:pStyle w:val="BodyCopy"/>
      </w:pPr>
    </w:p>
    <w:p w14:paraId="253EB5A0" w14:textId="7FED8863" w:rsidR="00BC4E0F" w:rsidRDefault="00BC4E0F" w:rsidP="00201AF6">
      <w:pPr>
        <w:pStyle w:val="BodyCopy"/>
      </w:pPr>
      <w:r>
        <w:rPr>
          <w:noProof/>
        </w:rPr>
        <w:drawing>
          <wp:anchor distT="0" distB="0" distL="114300" distR="114300" simplePos="0" relativeHeight="251661312" behindDoc="1" locked="0" layoutInCell="1" allowOverlap="1" wp14:anchorId="0C99FC14" wp14:editId="5C6B7123">
            <wp:simplePos x="0" y="0"/>
            <wp:positionH relativeFrom="page">
              <wp:align>center</wp:align>
            </wp:positionH>
            <wp:positionV relativeFrom="paragraph">
              <wp:posOffset>358140</wp:posOffset>
            </wp:positionV>
            <wp:extent cx="6946953" cy="5248275"/>
            <wp:effectExtent l="0" t="0" r="6350" b="0"/>
            <wp:wrapNone/>
            <wp:docPr id="3" name="Picture 3" descr="A flow chart of process from prescribing and administering ECT to a young person of at least 12 years of age but under 18 years of 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flow chart of process from prescribing and administering ECT to a young person of at least 12 years of age but under 18 years of age"/>
                    <pic:cNvPicPr/>
                  </pic:nvPicPr>
                  <pic:blipFill>
                    <a:blip r:embed="rId35">
                      <a:extLst>
                        <a:ext uri="{28A0092B-C50C-407E-A947-70E740481C1C}">
                          <a14:useLocalDpi xmlns:a14="http://schemas.microsoft.com/office/drawing/2010/main" val="0"/>
                        </a:ext>
                      </a:extLst>
                    </a:blip>
                    <a:stretch>
                      <a:fillRect/>
                    </a:stretch>
                  </pic:blipFill>
                  <pic:spPr>
                    <a:xfrm>
                      <a:off x="0" y="0"/>
                      <a:ext cx="6946953" cy="5248275"/>
                    </a:xfrm>
                    <a:prstGeom prst="rect">
                      <a:avLst/>
                    </a:prstGeom>
                  </pic:spPr>
                </pic:pic>
              </a:graphicData>
            </a:graphic>
            <wp14:sizeRelH relativeFrom="margin">
              <wp14:pctWidth>0</wp14:pctWidth>
            </wp14:sizeRelH>
            <wp14:sizeRelV relativeFrom="margin">
              <wp14:pctHeight>0</wp14:pctHeight>
            </wp14:sizeRelV>
          </wp:anchor>
        </w:drawing>
      </w:r>
    </w:p>
    <w:p w14:paraId="1D6DBB94" w14:textId="180E6A6E" w:rsidR="00BC4E0F" w:rsidRPr="00BC4E0F" w:rsidRDefault="00BC4E0F" w:rsidP="00BC4E0F"/>
    <w:p w14:paraId="49419678" w14:textId="12679227" w:rsidR="00BC4E0F" w:rsidRPr="00BC4E0F" w:rsidRDefault="00BC4E0F" w:rsidP="00BC4E0F"/>
    <w:p w14:paraId="62D55EE0" w14:textId="77777777" w:rsidR="00BC4E0F" w:rsidRPr="00BC4E0F" w:rsidRDefault="00BC4E0F" w:rsidP="00BC4E0F"/>
    <w:p w14:paraId="21F72EB0" w14:textId="77777777" w:rsidR="00BC4E0F" w:rsidRPr="00BC4E0F" w:rsidRDefault="00BC4E0F" w:rsidP="00BC4E0F"/>
    <w:p w14:paraId="4162DF93" w14:textId="77777777" w:rsidR="00BC4E0F" w:rsidRPr="00BC4E0F" w:rsidRDefault="00BC4E0F" w:rsidP="00BC4E0F"/>
    <w:p w14:paraId="58CE02D1" w14:textId="77777777" w:rsidR="00BC4E0F" w:rsidRPr="00BC4E0F" w:rsidRDefault="00BC4E0F" w:rsidP="00BC4E0F"/>
    <w:p w14:paraId="5A72039D" w14:textId="77777777" w:rsidR="00BC4E0F" w:rsidRPr="00BC4E0F" w:rsidRDefault="00BC4E0F" w:rsidP="00BC4E0F"/>
    <w:p w14:paraId="498627E0" w14:textId="77777777" w:rsidR="00BC4E0F" w:rsidRPr="00BC4E0F" w:rsidRDefault="00BC4E0F" w:rsidP="00BC4E0F"/>
    <w:p w14:paraId="3DD3C391" w14:textId="77777777" w:rsidR="00BC4E0F" w:rsidRPr="00BC4E0F" w:rsidRDefault="00BC4E0F" w:rsidP="00BC4E0F"/>
    <w:p w14:paraId="75A4927D" w14:textId="77777777" w:rsidR="00BC4E0F" w:rsidRDefault="00BC4E0F" w:rsidP="00BC4E0F">
      <w:pPr>
        <w:rPr>
          <w:rFonts w:eastAsia="Times New Roman"/>
          <w:bCs/>
          <w:iCs/>
        </w:rPr>
      </w:pPr>
    </w:p>
    <w:p w14:paraId="7465DA7C" w14:textId="77777777" w:rsidR="00BC4E0F" w:rsidRDefault="00BC4E0F" w:rsidP="00BC4E0F">
      <w:pPr>
        <w:rPr>
          <w:rFonts w:eastAsia="Times New Roman"/>
          <w:bCs/>
          <w:iCs/>
        </w:rPr>
      </w:pPr>
    </w:p>
    <w:p w14:paraId="5F44AEB1" w14:textId="68EE9EC2" w:rsidR="00BC4E0F" w:rsidRDefault="00BC4E0F" w:rsidP="00BC4E0F">
      <w:pPr>
        <w:tabs>
          <w:tab w:val="left" w:pos="13860"/>
        </w:tabs>
      </w:pPr>
      <w:r>
        <w:tab/>
      </w:r>
    </w:p>
    <w:p w14:paraId="23F10CDD" w14:textId="77777777" w:rsidR="00BC4E0F" w:rsidRDefault="00BC4E0F" w:rsidP="00BC4E0F">
      <w:pPr>
        <w:tabs>
          <w:tab w:val="left" w:pos="13860"/>
        </w:tabs>
      </w:pPr>
    </w:p>
    <w:p w14:paraId="6ECA4BC5" w14:textId="77777777" w:rsidR="00BC4E0F" w:rsidRDefault="00BC4E0F" w:rsidP="00BC4E0F">
      <w:pPr>
        <w:tabs>
          <w:tab w:val="left" w:pos="13860"/>
        </w:tabs>
      </w:pPr>
    </w:p>
    <w:p w14:paraId="51EB5FA7" w14:textId="77777777" w:rsidR="00BC4E0F" w:rsidRDefault="00BC4E0F" w:rsidP="00BC4E0F">
      <w:pPr>
        <w:tabs>
          <w:tab w:val="left" w:pos="13860"/>
        </w:tabs>
      </w:pPr>
    </w:p>
    <w:p w14:paraId="0D755686" w14:textId="77777777" w:rsidR="00BC4E0F" w:rsidRDefault="00BC4E0F" w:rsidP="00BC4E0F">
      <w:pPr>
        <w:tabs>
          <w:tab w:val="left" w:pos="13860"/>
        </w:tabs>
      </w:pPr>
    </w:p>
    <w:p w14:paraId="31EA9FF1" w14:textId="77777777" w:rsidR="00BC4E0F" w:rsidRDefault="00BC4E0F" w:rsidP="00BC4E0F">
      <w:pPr>
        <w:tabs>
          <w:tab w:val="left" w:pos="13860"/>
        </w:tabs>
      </w:pPr>
    </w:p>
    <w:p w14:paraId="494EE9D4" w14:textId="77777777" w:rsidR="00BC4E0F" w:rsidRDefault="00BC4E0F" w:rsidP="00BC4E0F">
      <w:pPr>
        <w:tabs>
          <w:tab w:val="left" w:pos="13860"/>
        </w:tabs>
      </w:pPr>
    </w:p>
    <w:p w14:paraId="4A48E7B5" w14:textId="77777777" w:rsidR="001817EB" w:rsidRDefault="001817EB" w:rsidP="00BC4E0F">
      <w:pPr>
        <w:tabs>
          <w:tab w:val="left" w:pos="13860"/>
        </w:tabs>
      </w:pPr>
    </w:p>
    <w:p w14:paraId="3FDB2A36" w14:textId="77777777" w:rsidR="001817EB" w:rsidRDefault="001817EB" w:rsidP="00BC4E0F">
      <w:pPr>
        <w:tabs>
          <w:tab w:val="left" w:pos="13860"/>
        </w:tabs>
      </w:pPr>
    </w:p>
    <w:p w14:paraId="370D9E52" w14:textId="77777777" w:rsidR="00D63DAA" w:rsidRDefault="00D63DAA" w:rsidP="00D63DAA">
      <w:pPr>
        <w:pStyle w:val="Bullet"/>
        <w:numPr>
          <w:ilvl w:val="0"/>
          <w:numId w:val="0"/>
        </w:numPr>
      </w:pPr>
      <w:hyperlink w:anchor="_top" w:history="1">
        <w:r w:rsidRPr="00481A6C">
          <w:rPr>
            <w:rStyle w:val="Hyperlink"/>
          </w:rPr>
          <w:t>Back to Contents</w:t>
        </w:r>
      </w:hyperlink>
    </w:p>
    <w:p w14:paraId="42B13025" w14:textId="77777777" w:rsidR="00BC4E0F" w:rsidRDefault="00BC4E0F" w:rsidP="00BC4E0F">
      <w:pPr>
        <w:tabs>
          <w:tab w:val="left" w:pos="13860"/>
        </w:tabs>
      </w:pPr>
    </w:p>
    <w:p w14:paraId="405AFD74" w14:textId="0DD9F83D" w:rsidR="00BC4E0F" w:rsidRDefault="00BC4E0F" w:rsidP="00BC4E0F">
      <w:pPr>
        <w:pStyle w:val="Heading4"/>
      </w:pPr>
      <w:bookmarkStart w:id="45" w:name="_Toc204358012"/>
      <w:r>
        <w:lastRenderedPageBreak/>
        <w:t>Attachment 3: ECT Electrode Placement</w:t>
      </w:r>
      <w:bookmarkEnd w:id="45"/>
      <w:r>
        <w:t xml:space="preserve"> </w:t>
      </w:r>
    </w:p>
    <w:p w14:paraId="6A8437FA" w14:textId="77777777" w:rsidR="00BC4E0F" w:rsidRDefault="00BC4E0F" w:rsidP="00BC4E0F">
      <w:pPr>
        <w:rPr>
          <w:rFonts w:eastAsia="Times New Roman"/>
          <w:b/>
          <w:bCs/>
          <w:iCs/>
          <w:color w:val="FFFFFF" w:themeColor="background1"/>
          <w:lang w:eastAsia="en-US"/>
        </w:rPr>
      </w:pPr>
    </w:p>
    <w:p w14:paraId="53E9853A" w14:textId="77777777" w:rsidR="00BC4E0F" w:rsidRPr="005F5812" w:rsidRDefault="00BC4E0F" w:rsidP="00BC4E0F">
      <w:pPr>
        <w:rPr>
          <w:b/>
          <w:bCs/>
        </w:rPr>
      </w:pPr>
      <w:r w:rsidRPr="005F5812">
        <w:rPr>
          <w:b/>
          <w:bCs/>
        </w:rPr>
        <w:t>Right Unilateral (RUL) Electrode Placement</w:t>
      </w:r>
    </w:p>
    <w:p w14:paraId="40A8D757" w14:textId="661CB068" w:rsidR="00BC4E0F" w:rsidRPr="005F5812" w:rsidRDefault="00BC4E0F" w:rsidP="00BC4E0F">
      <w:pPr>
        <w:widowControl w:val="0"/>
        <w:autoSpaceDE w:val="0"/>
        <w:autoSpaceDN w:val="0"/>
        <w:ind w:right="1028"/>
        <w:rPr>
          <w:rFonts w:cs="Calibri"/>
        </w:rPr>
      </w:pPr>
      <w:r w:rsidRPr="005F5812">
        <w:rPr>
          <w:noProof/>
        </w:rPr>
        <w:drawing>
          <wp:anchor distT="0" distB="0" distL="0" distR="0" simplePos="0" relativeHeight="251663360" behindDoc="0" locked="0" layoutInCell="1" allowOverlap="1" wp14:anchorId="2859F335" wp14:editId="173886C6">
            <wp:simplePos x="0" y="0"/>
            <wp:positionH relativeFrom="page">
              <wp:posOffset>1768475</wp:posOffset>
            </wp:positionH>
            <wp:positionV relativeFrom="paragraph">
              <wp:posOffset>915670</wp:posOffset>
            </wp:positionV>
            <wp:extent cx="2718435" cy="3331845"/>
            <wp:effectExtent l="0" t="0" r="5715" b="1905"/>
            <wp:wrapTopAndBottom/>
            <wp:docPr id="1" name="image125.jpeg" descr="A drawing of a person's head showing right unilateral electrode placement&#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25.jpeg" descr="A drawing of a person's head showing right unilateral electrode placement&#10;&#10;"/>
                    <pic:cNvPicPr/>
                  </pic:nvPicPr>
                  <pic:blipFill>
                    <a:blip r:embed="rId36" cstate="print"/>
                    <a:stretch>
                      <a:fillRect/>
                    </a:stretch>
                  </pic:blipFill>
                  <pic:spPr>
                    <a:xfrm>
                      <a:off x="0" y="0"/>
                      <a:ext cx="2718435" cy="3331845"/>
                    </a:xfrm>
                    <a:prstGeom prst="rect">
                      <a:avLst/>
                    </a:prstGeom>
                  </pic:spPr>
                </pic:pic>
              </a:graphicData>
            </a:graphic>
            <wp14:sizeRelH relativeFrom="margin">
              <wp14:pctWidth>0</wp14:pctWidth>
            </wp14:sizeRelH>
          </wp:anchor>
        </w:drawing>
      </w:r>
      <w:r w:rsidRPr="005F5812">
        <w:t xml:space="preserve">When using Right Unilateral (RUL) electrode placement, the centre of treatment electrode is placed 2.5 centimetres to the right of the vertex midpoint between external auditory </w:t>
      </w:r>
      <w:proofErr w:type="spellStart"/>
      <w:r w:rsidRPr="005F5812">
        <w:t>meati</w:t>
      </w:r>
      <w:proofErr w:type="spellEnd"/>
      <w:r w:rsidRPr="005F5812">
        <w:t xml:space="preserve"> in a coronal plane, and 2.5 centimetres above a line between</w:t>
      </w:r>
      <w:r w:rsidRPr="005F5812">
        <w:rPr>
          <w:rFonts w:cs="Calibri"/>
        </w:rPr>
        <w:t xml:space="preserve"> outer canthus and external auditory meatus.</w:t>
      </w:r>
    </w:p>
    <w:p w14:paraId="3E04A98E" w14:textId="75A86157" w:rsidR="00BC4E0F" w:rsidRDefault="00BC4E0F" w:rsidP="00BC4E0F">
      <w:pPr>
        <w:rPr>
          <w:rFonts w:cs="Calibri"/>
          <w:noProof/>
        </w:rPr>
      </w:pPr>
      <w:r w:rsidRPr="005F5812">
        <w:rPr>
          <w:rFonts w:cs="Calibri"/>
          <w:noProof/>
        </w:rPr>
        <w:drawing>
          <wp:anchor distT="0" distB="0" distL="114300" distR="114300" simplePos="0" relativeHeight="251664384" behindDoc="1" locked="0" layoutInCell="1" allowOverlap="1" wp14:anchorId="220C25CB" wp14:editId="6CF693B3">
            <wp:simplePos x="0" y="0"/>
            <wp:positionH relativeFrom="column">
              <wp:posOffset>764540</wp:posOffset>
            </wp:positionH>
            <wp:positionV relativeFrom="paragraph">
              <wp:posOffset>3369310</wp:posOffset>
            </wp:positionV>
            <wp:extent cx="3779027" cy="2590800"/>
            <wp:effectExtent l="0" t="0" r="0" b="0"/>
            <wp:wrapTight wrapText="bothSides">
              <wp:wrapPolygon edited="0">
                <wp:start x="0" y="0"/>
                <wp:lineTo x="0" y="21441"/>
                <wp:lineTo x="21451" y="21441"/>
                <wp:lineTo x="21451" y="0"/>
                <wp:lineTo x="0" y="0"/>
              </wp:wrapPolygon>
            </wp:wrapTight>
            <wp:docPr id="54" name="Picture 54" descr="A drawing of a head showing right unilateral electrode placement from the front view and top view&#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drawing of a head showing right unilateral electrode placement from the front view and top view&#10;&#1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779027" cy="2590800"/>
                    </a:xfrm>
                    <a:prstGeom prst="rect">
                      <a:avLst/>
                    </a:prstGeom>
                    <a:noFill/>
                    <a:ln>
                      <a:noFill/>
                    </a:ln>
                  </pic:spPr>
                </pic:pic>
              </a:graphicData>
            </a:graphic>
          </wp:anchor>
        </w:drawing>
      </w:r>
    </w:p>
    <w:p w14:paraId="41F86AE1" w14:textId="77777777" w:rsidR="00BC4E0F" w:rsidRDefault="00BC4E0F" w:rsidP="00BC4E0F">
      <w:pPr>
        <w:rPr>
          <w:rFonts w:cs="Calibri"/>
          <w:noProof/>
        </w:rPr>
      </w:pPr>
    </w:p>
    <w:p w14:paraId="4ECF2AF0" w14:textId="77777777" w:rsidR="00BC4E0F" w:rsidRDefault="00BC4E0F" w:rsidP="00BC4E0F">
      <w:pPr>
        <w:jc w:val="center"/>
        <w:rPr>
          <w:rFonts w:cs="Calibri"/>
          <w:i/>
          <w:sz w:val="22"/>
          <w:szCs w:val="22"/>
        </w:rPr>
      </w:pPr>
    </w:p>
    <w:p w14:paraId="65CCCA71" w14:textId="77777777" w:rsidR="00BC4E0F" w:rsidRDefault="00BC4E0F" w:rsidP="00BC4E0F">
      <w:pPr>
        <w:jc w:val="center"/>
        <w:rPr>
          <w:rFonts w:cs="Calibri"/>
          <w:i/>
          <w:sz w:val="22"/>
          <w:szCs w:val="22"/>
        </w:rPr>
      </w:pPr>
    </w:p>
    <w:p w14:paraId="39F2CC95" w14:textId="77777777" w:rsidR="00BC4E0F" w:rsidRDefault="00BC4E0F" w:rsidP="00BC4E0F">
      <w:pPr>
        <w:jc w:val="center"/>
        <w:rPr>
          <w:rFonts w:cs="Calibri"/>
          <w:i/>
          <w:sz w:val="22"/>
          <w:szCs w:val="22"/>
        </w:rPr>
      </w:pPr>
    </w:p>
    <w:p w14:paraId="21282053" w14:textId="77777777" w:rsidR="00BC4E0F" w:rsidRDefault="00BC4E0F" w:rsidP="00BC4E0F">
      <w:pPr>
        <w:jc w:val="center"/>
        <w:rPr>
          <w:rFonts w:cs="Calibri"/>
          <w:i/>
          <w:sz w:val="22"/>
          <w:szCs w:val="22"/>
        </w:rPr>
      </w:pPr>
    </w:p>
    <w:p w14:paraId="37BEFBF8" w14:textId="77777777" w:rsidR="00BC4E0F" w:rsidRDefault="00BC4E0F" w:rsidP="00BC4E0F">
      <w:pPr>
        <w:jc w:val="center"/>
        <w:rPr>
          <w:rFonts w:cs="Calibri"/>
          <w:i/>
          <w:sz w:val="22"/>
          <w:szCs w:val="22"/>
        </w:rPr>
      </w:pPr>
    </w:p>
    <w:p w14:paraId="723DCA6D" w14:textId="77777777" w:rsidR="00BC4E0F" w:rsidRDefault="00BC4E0F" w:rsidP="00BC4E0F">
      <w:pPr>
        <w:jc w:val="center"/>
        <w:rPr>
          <w:rFonts w:cs="Calibri"/>
          <w:i/>
          <w:sz w:val="22"/>
          <w:szCs w:val="22"/>
        </w:rPr>
      </w:pPr>
    </w:p>
    <w:p w14:paraId="4C415D1A" w14:textId="0ACF1951" w:rsidR="00BC4E0F" w:rsidRDefault="00BC4E0F" w:rsidP="00BC4E0F">
      <w:pPr>
        <w:rPr>
          <w:rFonts w:cs="Calibri"/>
          <w:i/>
          <w:sz w:val="22"/>
          <w:szCs w:val="22"/>
        </w:rPr>
      </w:pPr>
    </w:p>
    <w:p w14:paraId="29E168F8" w14:textId="7C992A47" w:rsidR="00BC4E0F" w:rsidRDefault="00BC4E0F" w:rsidP="00BC4E0F">
      <w:pPr>
        <w:jc w:val="center"/>
        <w:rPr>
          <w:rFonts w:cs="Calibri"/>
          <w:i/>
          <w:sz w:val="22"/>
          <w:szCs w:val="22"/>
        </w:rPr>
      </w:pPr>
      <w:r>
        <w:rPr>
          <w:rFonts w:cs="Calibri"/>
          <w:i/>
          <w:sz w:val="22"/>
          <w:szCs w:val="22"/>
        </w:rPr>
        <w:t xml:space="preserve">Figure </w:t>
      </w:r>
      <w:r w:rsidR="00255069">
        <w:rPr>
          <w:rFonts w:cs="Calibri"/>
          <w:i/>
          <w:sz w:val="22"/>
          <w:szCs w:val="22"/>
        </w:rPr>
        <w:t>1</w:t>
      </w:r>
      <w:r>
        <w:rPr>
          <w:rFonts w:cs="Calibri"/>
          <w:i/>
          <w:sz w:val="22"/>
          <w:szCs w:val="22"/>
        </w:rPr>
        <w:t xml:space="preserve"> </w:t>
      </w:r>
      <w:r w:rsidRPr="005F5812">
        <w:rPr>
          <w:rFonts w:cs="Calibri"/>
          <w:i/>
          <w:sz w:val="22"/>
          <w:szCs w:val="22"/>
        </w:rPr>
        <w:t>Right Unilateral Electrode Placement (Weiss 2018)</w:t>
      </w:r>
    </w:p>
    <w:p w14:paraId="2D229332" w14:textId="77777777" w:rsidR="00BC4E0F" w:rsidRDefault="00BC4E0F" w:rsidP="00BC4E0F">
      <w:pPr>
        <w:jc w:val="center"/>
        <w:rPr>
          <w:rFonts w:cs="Calibri"/>
          <w:i/>
          <w:sz w:val="22"/>
          <w:szCs w:val="22"/>
        </w:rPr>
      </w:pPr>
    </w:p>
    <w:p w14:paraId="6A4F5015" w14:textId="77777777" w:rsidR="00BC4E0F" w:rsidRPr="005F5812" w:rsidRDefault="00BC4E0F" w:rsidP="00BC4E0F">
      <w:pPr>
        <w:spacing w:after="120"/>
        <w:rPr>
          <w:b/>
          <w:bCs/>
        </w:rPr>
      </w:pPr>
      <w:bookmarkStart w:id="46" w:name="_Toc102396725"/>
      <w:r w:rsidRPr="005F5812">
        <w:rPr>
          <w:b/>
          <w:bCs/>
        </w:rPr>
        <w:lastRenderedPageBreak/>
        <w:t>Bifrontal Electrode Placement</w:t>
      </w:r>
      <w:bookmarkEnd w:id="46"/>
    </w:p>
    <w:p w14:paraId="7FC03873" w14:textId="77777777" w:rsidR="00BC4E0F" w:rsidRPr="005F5812" w:rsidRDefault="00BC4E0F" w:rsidP="00BC4E0F">
      <w:r w:rsidRPr="005F5812">
        <w:t xml:space="preserve">For Bifrontal (BF) electrode placement, the centre of treatment electrodes </w:t>
      </w:r>
      <w:proofErr w:type="gramStart"/>
      <w:r w:rsidRPr="005F5812">
        <w:t>are</w:t>
      </w:r>
      <w:proofErr w:type="gramEnd"/>
      <w:r w:rsidRPr="005F5812">
        <w:t xml:space="preserve"> placed 5.0 centimetres above the outer canthus of each eye.</w:t>
      </w:r>
    </w:p>
    <w:p w14:paraId="0C429987" w14:textId="77777777" w:rsidR="00BC4E0F" w:rsidRPr="005F5812" w:rsidRDefault="00BC4E0F" w:rsidP="00BC4E0F">
      <w:pPr>
        <w:widowControl w:val="0"/>
        <w:autoSpaceDE w:val="0"/>
        <w:autoSpaceDN w:val="0"/>
        <w:ind w:left="178" w:right="1389"/>
        <w:rPr>
          <w:rFonts w:cs="Calibri"/>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088C5C" w14:textId="77777777" w:rsidR="00BC4E0F" w:rsidRDefault="00BC4E0F" w:rsidP="00BC4E0F">
      <w:pPr>
        <w:widowControl w:val="0"/>
        <w:autoSpaceDE w:val="0"/>
        <w:autoSpaceDN w:val="0"/>
        <w:ind w:left="178" w:right="1389"/>
        <w:rPr>
          <w:rFonts w:cs="Calibri"/>
        </w:rPr>
      </w:pPr>
      <w:r w:rsidRPr="005F5812">
        <w:rPr>
          <w:rFonts w:cs="Calibri"/>
          <w:noProof/>
        </w:rPr>
        <mc:AlternateContent>
          <mc:Choice Requires="wps">
            <w:drawing>
              <wp:anchor distT="0" distB="0" distL="114300" distR="114300" simplePos="0" relativeHeight="251667456" behindDoc="0" locked="0" layoutInCell="1" allowOverlap="1" wp14:anchorId="4CFD87BA" wp14:editId="354CD066">
                <wp:simplePos x="0" y="0"/>
                <wp:positionH relativeFrom="margin">
                  <wp:posOffset>315849</wp:posOffset>
                </wp:positionH>
                <wp:positionV relativeFrom="paragraph">
                  <wp:posOffset>1041273</wp:posOffset>
                </wp:positionV>
                <wp:extent cx="1877568" cy="329184"/>
                <wp:effectExtent l="0" t="0" r="0" b="0"/>
                <wp:wrapNone/>
                <wp:docPr id="58" name="Text Box 58"/>
                <wp:cNvGraphicFramePr/>
                <a:graphic xmlns:a="http://schemas.openxmlformats.org/drawingml/2006/main">
                  <a:graphicData uri="http://schemas.microsoft.com/office/word/2010/wordprocessingShape">
                    <wps:wsp>
                      <wps:cNvSpPr txBox="1"/>
                      <wps:spPr>
                        <a:xfrm>
                          <a:off x="0" y="0"/>
                          <a:ext cx="1877568" cy="329184"/>
                        </a:xfrm>
                        <a:prstGeom prst="rect">
                          <a:avLst/>
                        </a:prstGeom>
                        <a:noFill/>
                        <a:ln>
                          <a:noFill/>
                        </a:ln>
                      </wps:spPr>
                      <wps:txbx>
                        <w:txbxContent>
                          <w:p w14:paraId="3A1403D6" w14:textId="77777777" w:rsidR="00BC4E0F" w:rsidRPr="008F493B" w:rsidRDefault="00BC4E0F" w:rsidP="00BC4E0F">
                            <w:pPr>
                              <w:pStyle w:val="BodyText"/>
                              <w:ind w:left="178" w:right="1389"/>
                              <w:rPr>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493B">
                              <w:rPr>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FD87BA" id="_x0000_t202" coordsize="21600,21600" o:spt="202" path="m,l,21600r21600,l21600,xe">
                <v:stroke joinstyle="miter"/>
                <v:path gradientshapeok="t" o:connecttype="rect"/>
              </v:shapetype>
              <v:shape id="Text Box 58" o:spid="_x0000_s1026" type="#_x0000_t202" style="position:absolute;left:0;text-align:left;margin-left:24.85pt;margin-top:82pt;width:147.85pt;height:25.9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" filled="f" stroked="f">
                <v:textbox>
                  <w:txbxContent>
                    <w:p w14:paraId="3A1403D6" w14:textId="77777777" w:rsidR="00BC4E0F" w:rsidRPr="008F493B" w:rsidRDefault="00BC4E0F" w:rsidP="00BC4E0F">
                      <w:pPr>
                        <w:pStyle w:val="BodyText"/>
                        <w:ind w:left="178" w:right="1389"/>
                        <w:rPr>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493B">
                        <w:rPr>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cm</w:t>
                      </w:r>
                    </w:p>
                  </w:txbxContent>
                </v:textbox>
                <w10:wrap anchorx="margin"/>
              </v:shape>
            </w:pict>
          </mc:Fallback>
        </mc:AlternateContent>
      </w:r>
      <w:r w:rsidRPr="005F5812">
        <w:rPr>
          <w:rFonts w:cs="Calibri"/>
          <w:noProof/>
        </w:rPr>
        <mc:AlternateContent>
          <mc:Choice Requires="wps">
            <w:drawing>
              <wp:anchor distT="0" distB="0" distL="114300" distR="114300" simplePos="0" relativeHeight="251666432" behindDoc="0" locked="0" layoutInCell="1" allowOverlap="1" wp14:anchorId="5EE3AD1F" wp14:editId="5F7576D2">
                <wp:simplePos x="0" y="0"/>
                <wp:positionH relativeFrom="margin">
                  <wp:posOffset>2090039</wp:posOffset>
                </wp:positionH>
                <wp:positionV relativeFrom="paragraph">
                  <wp:posOffset>1053973</wp:posOffset>
                </wp:positionV>
                <wp:extent cx="1877568" cy="329184"/>
                <wp:effectExtent l="0" t="0" r="0" b="0"/>
                <wp:wrapNone/>
                <wp:docPr id="57" name="Text Box 57"/>
                <wp:cNvGraphicFramePr/>
                <a:graphic xmlns:a="http://schemas.openxmlformats.org/drawingml/2006/main">
                  <a:graphicData uri="http://schemas.microsoft.com/office/word/2010/wordprocessingShape">
                    <wps:wsp>
                      <wps:cNvSpPr txBox="1"/>
                      <wps:spPr>
                        <a:xfrm>
                          <a:off x="0" y="0"/>
                          <a:ext cx="1877568" cy="329184"/>
                        </a:xfrm>
                        <a:prstGeom prst="rect">
                          <a:avLst/>
                        </a:prstGeom>
                        <a:noFill/>
                        <a:ln>
                          <a:noFill/>
                        </a:ln>
                      </wps:spPr>
                      <wps:txbx>
                        <w:txbxContent>
                          <w:p w14:paraId="415B0A47" w14:textId="77777777" w:rsidR="00BC4E0F" w:rsidRPr="008F493B" w:rsidRDefault="00BC4E0F" w:rsidP="00BC4E0F">
                            <w:pPr>
                              <w:pStyle w:val="BodyText"/>
                              <w:ind w:left="178" w:right="1389"/>
                              <w:rPr>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7" w:name="_Hlk100411023"/>
                            <w:bookmarkStart w:id="48" w:name="_Hlk100411024"/>
                            <w:r w:rsidRPr="008F493B">
                              <w:rPr>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cm</w:t>
                            </w:r>
                            <w:bookmarkEnd w:id="47"/>
                            <w:bookmarkEnd w:id="4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3AD1F" id="Text Box 57" o:spid="_x0000_s1027" type="#_x0000_t202" style="position:absolute;left:0;text-align:left;margin-left:164.55pt;margin-top:83pt;width:147.85pt;height:25.9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" filled="f" stroked="f">
                <v:textbox>
                  <w:txbxContent>
                    <w:p w14:paraId="415B0A47" w14:textId="77777777" w:rsidR="00BC4E0F" w:rsidRPr="008F493B" w:rsidRDefault="00BC4E0F" w:rsidP="00BC4E0F">
                      <w:pPr>
                        <w:pStyle w:val="BodyText"/>
                        <w:ind w:left="178" w:right="1389"/>
                        <w:rPr>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9" w:name="_Hlk100411023"/>
                      <w:bookmarkStart w:id="50" w:name="_Hlk100411024"/>
                      <w:r w:rsidRPr="008F493B">
                        <w:rPr>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cm</w:t>
                      </w:r>
                      <w:bookmarkEnd w:id="49"/>
                      <w:bookmarkEnd w:id="50"/>
                    </w:p>
                  </w:txbxContent>
                </v:textbox>
                <w10:wrap anchorx="margin"/>
              </v:shape>
            </w:pict>
          </mc:Fallback>
        </mc:AlternateContent>
      </w:r>
      <w:r w:rsidRPr="005F5812">
        <w:rPr>
          <w:rFonts w:cs="Calibri"/>
          <w:noProof/>
        </w:rPr>
        <w:drawing>
          <wp:inline distT="0" distB="0" distL="0" distR="0" wp14:anchorId="385C3A18" wp14:editId="13C165ED">
            <wp:extent cx="2571912" cy="3681730"/>
            <wp:effectExtent l="0" t="0" r="0" b="0"/>
            <wp:docPr id="53" name="Picture 53" descr="A drawing of a person's head showing bifrontal electrode placement&#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drawing of a person's head showing bifrontal electrode placement&#10;&#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585068" cy="3700563"/>
                    </a:xfrm>
                    <a:prstGeom prst="rect">
                      <a:avLst/>
                    </a:prstGeom>
                    <a:noFill/>
                    <a:ln>
                      <a:noFill/>
                    </a:ln>
                  </pic:spPr>
                </pic:pic>
              </a:graphicData>
            </a:graphic>
          </wp:inline>
        </w:drawing>
      </w:r>
    </w:p>
    <w:p w14:paraId="6B14AA3A" w14:textId="337A26B2" w:rsidR="00BC4E0F" w:rsidRPr="005F5812" w:rsidRDefault="00BC4E0F" w:rsidP="00BC4E0F">
      <w:pPr>
        <w:widowControl w:val="0"/>
        <w:autoSpaceDE w:val="0"/>
        <w:autoSpaceDN w:val="0"/>
        <w:spacing w:before="56"/>
        <w:ind w:left="2280" w:right="3075"/>
        <w:jc w:val="center"/>
        <w:rPr>
          <w:rFonts w:cs="Calibri"/>
          <w:sz w:val="22"/>
          <w:szCs w:val="22"/>
        </w:rPr>
      </w:pPr>
      <w:r w:rsidRPr="005F5812">
        <w:rPr>
          <w:rFonts w:cs="Calibri"/>
          <w:sz w:val="22"/>
          <w:szCs w:val="22"/>
        </w:rPr>
        <w:t xml:space="preserve">Figure </w:t>
      </w:r>
      <w:r w:rsidR="00255069">
        <w:rPr>
          <w:rFonts w:cs="Calibri"/>
          <w:sz w:val="22"/>
          <w:szCs w:val="22"/>
        </w:rPr>
        <w:t>2</w:t>
      </w:r>
      <w:r w:rsidRPr="005F5812">
        <w:rPr>
          <w:rFonts w:cs="Calibri"/>
          <w:sz w:val="22"/>
          <w:szCs w:val="22"/>
        </w:rPr>
        <w:t xml:space="preserve"> Bifrontal Electrode Placement</w:t>
      </w:r>
    </w:p>
    <w:p w14:paraId="297F368F" w14:textId="77777777" w:rsidR="00255069" w:rsidRDefault="00255069">
      <w:pPr>
        <w:spacing w:before="0" w:after="0" w:line="240" w:lineRule="auto"/>
        <w:rPr>
          <w:rFonts w:cs="Calibri"/>
          <w:b/>
          <w:bCs/>
        </w:rPr>
      </w:pPr>
      <w:bookmarkStart w:id="49" w:name="_Toc102396726"/>
      <w:r>
        <w:rPr>
          <w:rFonts w:cs="Calibri"/>
          <w:b/>
          <w:bCs/>
        </w:rPr>
        <w:br w:type="page"/>
      </w:r>
    </w:p>
    <w:p w14:paraId="0C6C167A" w14:textId="6EE02F30" w:rsidR="00BC4E0F" w:rsidRPr="005F5812" w:rsidRDefault="00BC4E0F" w:rsidP="00BC4E0F">
      <w:pPr>
        <w:widowControl w:val="0"/>
        <w:autoSpaceDE w:val="0"/>
        <w:autoSpaceDN w:val="0"/>
        <w:spacing w:after="120" w:line="304" w:lineRule="exact"/>
        <w:ind w:left="539" w:hanging="363"/>
        <w:outlineLvl w:val="2"/>
        <w:rPr>
          <w:rFonts w:cs="Calibri"/>
          <w:b/>
          <w:bCs/>
        </w:rPr>
      </w:pPr>
      <w:r w:rsidRPr="005F5812">
        <w:rPr>
          <w:rFonts w:cs="Calibri"/>
          <w:b/>
          <w:bCs/>
        </w:rPr>
        <w:lastRenderedPageBreak/>
        <w:t>Bitemporal Electrode Placement</w:t>
      </w:r>
      <w:bookmarkEnd w:id="49"/>
    </w:p>
    <w:p w14:paraId="29A6FAB2" w14:textId="61B6FCC4" w:rsidR="00BC4E0F" w:rsidRPr="005F5812" w:rsidRDefault="00BC4E0F" w:rsidP="00BC4E0F">
      <w:pPr>
        <w:widowControl w:val="0"/>
        <w:autoSpaceDE w:val="0"/>
        <w:autoSpaceDN w:val="0"/>
        <w:ind w:left="178" w:right="1072"/>
        <w:rPr>
          <w:rFonts w:cs="Calibri"/>
        </w:rPr>
      </w:pPr>
      <w:r w:rsidRPr="005F5812">
        <w:rPr>
          <w:rFonts w:cs="Calibri"/>
          <w:noProof/>
        </w:rPr>
        <w:drawing>
          <wp:anchor distT="0" distB="0" distL="0" distR="0" simplePos="0" relativeHeight="251669504" behindDoc="0" locked="0" layoutInCell="1" allowOverlap="1" wp14:anchorId="05EC573C" wp14:editId="1074B408">
            <wp:simplePos x="0" y="0"/>
            <wp:positionH relativeFrom="page">
              <wp:posOffset>2035810</wp:posOffset>
            </wp:positionH>
            <wp:positionV relativeFrom="paragraph">
              <wp:posOffset>592455</wp:posOffset>
            </wp:positionV>
            <wp:extent cx="3074670" cy="2639060"/>
            <wp:effectExtent l="0" t="0" r="0" b="8890"/>
            <wp:wrapTopAndBottom/>
            <wp:docPr id="5" name="image127.jpeg" descr="A drawing of a person's head showing bitemporal electrode placement&#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27.jpeg" descr="A drawing of a person's head showing bitemporal electrode placement&#10;&#10;"/>
                    <pic:cNvPicPr/>
                  </pic:nvPicPr>
                  <pic:blipFill>
                    <a:blip r:embed="rId39" cstate="print"/>
                    <a:stretch>
                      <a:fillRect/>
                    </a:stretch>
                  </pic:blipFill>
                  <pic:spPr>
                    <a:xfrm>
                      <a:off x="0" y="0"/>
                      <a:ext cx="3074670" cy="2639060"/>
                    </a:xfrm>
                    <a:prstGeom prst="rect">
                      <a:avLst/>
                    </a:prstGeom>
                  </pic:spPr>
                </pic:pic>
              </a:graphicData>
            </a:graphic>
            <wp14:sizeRelV relativeFrom="margin">
              <wp14:pctHeight>0</wp14:pctHeight>
            </wp14:sizeRelV>
          </wp:anchor>
        </w:drawing>
      </w:r>
      <w:r w:rsidRPr="005F5812">
        <w:rPr>
          <w:rFonts w:cs="Calibri"/>
        </w:rPr>
        <w:t xml:space="preserve">Using Bitemporal (BT) electrode placement, the centre of treatment electrodes </w:t>
      </w:r>
      <w:proofErr w:type="gramStart"/>
      <w:r w:rsidRPr="005F5812">
        <w:rPr>
          <w:rFonts w:cs="Calibri"/>
        </w:rPr>
        <w:t>are</w:t>
      </w:r>
      <w:proofErr w:type="gramEnd"/>
      <w:r w:rsidRPr="005F5812">
        <w:rPr>
          <w:rFonts w:cs="Calibri"/>
        </w:rPr>
        <w:t xml:space="preserve"> placed 2.5 centimetres above line between the outer canthus and external</w:t>
      </w:r>
      <w:r>
        <w:rPr>
          <w:rFonts w:cs="Calibri"/>
        </w:rPr>
        <w:t xml:space="preserve"> </w:t>
      </w:r>
      <w:r w:rsidRPr="005F5812">
        <w:rPr>
          <w:rFonts w:cs="Calibri"/>
        </w:rPr>
        <w:t>auditory meatus bilaterally.</w:t>
      </w:r>
    </w:p>
    <w:p w14:paraId="3C141FCC" w14:textId="77777777" w:rsidR="00BC4E0F" w:rsidRPr="005F5812" w:rsidRDefault="00BC4E0F" w:rsidP="00BC4E0F">
      <w:pPr>
        <w:widowControl w:val="0"/>
        <w:autoSpaceDE w:val="0"/>
        <w:autoSpaceDN w:val="0"/>
        <w:ind w:left="178" w:right="1389"/>
        <w:rPr>
          <w:rFonts w:cs="Calibri"/>
        </w:rPr>
      </w:pPr>
    </w:p>
    <w:p w14:paraId="40E38F3D" w14:textId="259C9FBE" w:rsidR="00BC4E0F" w:rsidRDefault="00BC4E0F" w:rsidP="00BC4E0F">
      <w:pPr>
        <w:widowControl w:val="0"/>
        <w:autoSpaceDE w:val="0"/>
        <w:autoSpaceDN w:val="0"/>
        <w:spacing w:before="22"/>
        <w:ind w:left="2280" w:right="3076"/>
        <w:jc w:val="center"/>
        <w:rPr>
          <w:rFonts w:cs="Calibri"/>
          <w:noProof/>
          <w:sz w:val="22"/>
          <w:szCs w:val="22"/>
        </w:rPr>
      </w:pPr>
      <w:r w:rsidRPr="005F5812">
        <w:rPr>
          <w:rFonts w:cs="Calibri"/>
          <w:noProof/>
          <w:sz w:val="22"/>
          <w:szCs w:val="22"/>
        </w:rPr>
        <w:drawing>
          <wp:inline distT="0" distB="0" distL="0" distR="0" wp14:anchorId="74FAE0D0" wp14:editId="5F83DE55">
            <wp:extent cx="4047490" cy="1871472"/>
            <wp:effectExtent l="0" t="0" r="0" b="0"/>
            <wp:docPr id="55" name="Picture 55" descr="A side view of a person's face showing bilateral electrode placement&#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side view of a person's face showing bilateral electrode placement&#10;&#1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058436" cy="1876533"/>
                    </a:xfrm>
                    <a:prstGeom prst="rect">
                      <a:avLst/>
                    </a:prstGeom>
                    <a:noFill/>
                    <a:ln>
                      <a:noFill/>
                    </a:ln>
                  </pic:spPr>
                </pic:pic>
              </a:graphicData>
            </a:graphic>
          </wp:inline>
        </w:drawing>
      </w:r>
    </w:p>
    <w:p w14:paraId="15FA4B68" w14:textId="2E464FD9" w:rsidR="00BC4E0F" w:rsidRDefault="00255069" w:rsidP="00BC4E0F">
      <w:pPr>
        <w:jc w:val="center"/>
        <w:rPr>
          <w:lang w:eastAsia="en-US"/>
        </w:rPr>
      </w:pPr>
      <w:r w:rsidRPr="005F5812">
        <w:rPr>
          <w:rFonts w:cs="Calibri"/>
          <w:i/>
          <w:sz w:val="22"/>
          <w:szCs w:val="22"/>
        </w:rPr>
        <w:t xml:space="preserve">Figure </w:t>
      </w:r>
      <w:r>
        <w:rPr>
          <w:rFonts w:cs="Calibri"/>
          <w:i/>
          <w:sz w:val="22"/>
          <w:szCs w:val="22"/>
        </w:rPr>
        <w:t>3</w:t>
      </w:r>
      <w:r w:rsidRPr="005F5812">
        <w:rPr>
          <w:rFonts w:cs="Calibri"/>
          <w:i/>
          <w:sz w:val="22"/>
          <w:szCs w:val="22"/>
        </w:rPr>
        <w:t xml:space="preserve"> Bitemporal Electrode Placement (Weiss 2018)</w:t>
      </w:r>
    </w:p>
    <w:p w14:paraId="3ED9B6DE" w14:textId="77777777" w:rsidR="00BC4E0F" w:rsidRDefault="00BC4E0F" w:rsidP="00BC4E0F">
      <w:pPr>
        <w:jc w:val="center"/>
        <w:rPr>
          <w:lang w:eastAsia="en-US"/>
        </w:rPr>
      </w:pPr>
    </w:p>
    <w:p w14:paraId="30F5E0D8" w14:textId="77777777" w:rsidR="00BC4E0F" w:rsidRDefault="00BC4E0F" w:rsidP="00BC4E0F">
      <w:pPr>
        <w:jc w:val="center"/>
        <w:rPr>
          <w:lang w:eastAsia="en-US"/>
        </w:rPr>
      </w:pPr>
    </w:p>
    <w:p w14:paraId="5DAC9313" w14:textId="77777777" w:rsidR="00BC4E0F" w:rsidRDefault="00BC4E0F" w:rsidP="00BC4E0F">
      <w:pPr>
        <w:jc w:val="center"/>
        <w:rPr>
          <w:lang w:eastAsia="en-US"/>
        </w:rPr>
      </w:pPr>
    </w:p>
    <w:p w14:paraId="6A62D0BF" w14:textId="77777777" w:rsidR="00BC4E0F" w:rsidRDefault="00BC4E0F" w:rsidP="00BC4E0F">
      <w:pPr>
        <w:jc w:val="center"/>
        <w:rPr>
          <w:lang w:eastAsia="en-US"/>
        </w:rPr>
      </w:pPr>
    </w:p>
    <w:p w14:paraId="51F8E5EA" w14:textId="77777777" w:rsidR="00BC4E0F" w:rsidRDefault="00BC4E0F" w:rsidP="00BC4E0F">
      <w:pPr>
        <w:jc w:val="center"/>
        <w:rPr>
          <w:lang w:eastAsia="en-US"/>
        </w:rPr>
      </w:pPr>
    </w:p>
    <w:p w14:paraId="129A10D1" w14:textId="77777777" w:rsidR="00BC4E0F" w:rsidRDefault="00BC4E0F" w:rsidP="00BC4E0F">
      <w:pPr>
        <w:jc w:val="center"/>
        <w:rPr>
          <w:lang w:eastAsia="en-US"/>
        </w:rPr>
      </w:pPr>
    </w:p>
    <w:p w14:paraId="5219333D" w14:textId="77777777" w:rsidR="00BC4E0F" w:rsidRDefault="00BC4E0F" w:rsidP="00255069">
      <w:pPr>
        <w:jc w:val="center"/>
        <w:rPr>
          <w:lang w:eastAsia="en-US"/>
        </w:rPr>
      </w:pPr>
    </w:p>
    <w:p w14:paraId="622EF6C2" w14:textId="77777777" w:rsidR="00D63DAA" w:rsidRDefault="00D63DAA" w:rsidP="00D63DAA">
      <w:pPr>
        <w:pStyle w:val="Bullet"/>
        <w:numPr>
          <w:ilvl w:val="0"/>
          <w:numId w:val="0"/>
        </w:numPr>
      </w:pPr>
      <w:hyperlink w:anchor="_top" w:history="1">
        <w:r w:rsidRPr="00481A6C">
          <w:rPr>
            <w:rStyle w:val="Hyperlink"/>
          </w:rPr>
          <w:t>Back to Contents</w:t>
        </w:r>
      </w:hyperlink>
    </w:p>
    <w:p w14:paraId="1DA92F3D" w14:textId="79E1287A" w:rsidR="00BC4E0F" w:rsidRDefault="00BC4E0F" w:rsidP="00BC4E0F">
      <w:pPr>
        <w:pStyle w:val="Heading4"/>
      </w:pPr>
      <w:bookmarkStart w:id="50" w:name="_Toc204358013"/>
      <w:r>
        <w:lastRenderedPageBreak/>
        <w:t xml:space="preserve">Attachment 4: Method of ECT Dose Titration and Treatment Schedule for Brief Pulse </w:t>
      </w:r>
      <w:proofErr w:type="spellStart"/>
      <w:r>
        <w:t>Thymatron</w:t>
      </w:r>
      <w:proofErr w:type="spellEnd"/>
      <w:r>
        <w:t xml:space="preserve"> Series IV</w:t>
      </w:r>
      <w:bookmarkEnd w:id="50"/>
      <w:r>
        <w:t xml:space="preserve"> </w:t>
      </w:r>
    </w:p>
    <w:p w14:paraId="70BDBD64" w14:textId="593157AD" w:rsidR="00D63DAA" w:rsidRPr="005F5812" w:rsidRDefault="00D63DAA" w:rsidP="00133100">
      <w:pPr>
        <w:widowControl w:val="0"/>
        <w:pBdr>
          <w:top w:val="single" w:sz="4" w:space="1" w:color="auto"/>
          <w:left w:val="single" w:sz="4" w:space="4" w:color="auto"/>
          <w:bottom w:val="single" w:sz="4" w:space="1" w:color="auto"/>
          <w:right w:val="single" w:sz="4" w:space="4" w:color="auto"/>
        </w:pBdr>
        <w:autoSpaceDE w:val="0"/>
        <w:autoSpaceDN w:val="0"/>
        <w:spacing w:before="0" w:after="0" w:line="240" w:lineRule="auto"/>
      </w:pPr>
      <w:r w:rsidRPr="00083BC7">
        <w:rPr>
          <w:b/>
          <w:bCs/>
          <w:lang w:eastAsia="en-US"/>
        </w:rPr>
        <w:t>Note:</w:t>
      </w:r>
      <w:r>
        <w:rPr>
          <w:lang w:eastAsia="en-US"/>
        </w:rPr>
        <w:t xml:space="preserve"> </w:t>
      </w:r>
      <w:r w:rsidRPr="005F5812">
        <w:t xml:space="preserve">Start titration at level 1 for </w:t>
      </w:r>
      <w:r>
        <w:rPr>
          <w:rFonts w:cs="Calibri"/>
          <w:szCs w:val="22"/>
        </w:rPr>
        <w:t>consumer</w:t>
      </w:r>
      <w:r w:rsidRPr="005F5812">
        <w:t xml:space="preserve">s aged </w:t>
      </w:r>
      <w:r w:rsidR="00083BC7">
        <w:t>less than</w:t>
      </w:r>
      <w:r w:rsidRPr="005F5812">
        <w:t xml:space="preserve"> 50 years old, Level 2 for </w:t>
      </w:r>
      <w:r>
        <w:rPr>
          <w:rFonts w:cs="Calibri"/>
          <w:szCs w:val="22"/>
        </w:rPr>
        <w:t>consumer</w:t>
      </w:r>
      <w:r w:rsidRPr="005F5812">
        <w:t xml:space="preserve">s aged </w:t>
      </w:r>
      <w:r w:rsidR="00083BC7">
        <w:t>at or above</w:t>
      </w:r>
      <w:r w:rsidRPr="005F5812">
        <w:t xml:space="preserve"> 50 years old.</w:t>
      </w:r>
    </w:p>
    <w:p w14:paraId="3489CA8F" w14:textId="3A17A648" w:rsidR="00D63DAA" w:rsidRPr="00407E6D" w:rsidRDefault="00D63DAA" w:rsidP="00133100">
      <w:pPr>
        <w:pStyle w:val="BodyCopy"/>
      </w:pPr>
    </w:p>
    <w:tbl>
      <w:tblPr>
        <w:tblStyle w:val="TableGrid2"/>
        <w:tblW w:w="9918" w:type="dxa"/>
        <w:tblLook w:val="04A0" w:firstRow="1" w:lastRow="0" w:firstColumn="1" w:lastColumn="0" w:noHBand="0" w:noVBand="1"/>
      </w:tblPr>
      <w:tblGrid>
        <w:gridCol w:w="1480"/>
        <w:gridCol w:w="1473"/>
        <w:gridCol w:w="1578"/>
        <w:gridCol w:w="2410"/>
        <w:gridCol w:w="2977"/>
      </w:tblGrid>
      <w:tr w:rsidR="00083BC7" w:rsidRPr="005F5812" w14:paraId="76244BA1" w14:textId="77777777" w:rsidTr="00083BC7">
        <w:trPr>
          <w:trHeight w:val="411"/>
        </w:trPr>
        <w:tc>
          <w:tcPr>
            <w:tcW w:w="1480" w:type="dxa"/>
          </w:tcPr>
          <w:p w14:paraId="61D4DCFF" w14:textId="77777777" w:rsidR="00083BC7" w:rsidRPr="005F5812" w:rsidRDefault="00083BC7" w:rsidP="00D63DAA">
            <w:pPr>
              <w:jc w:val="center"/>
              <w:rPr>
                <w:rFonts w:ascii="Arial" w:eastAsia="Calibri" w:hAnsi="Arial" w:cs="Arial"/>
                <w:b/>
                <w:bCs/>
                <w:szCs w:val="24"/>
                <w:u w:val="single"/>
              </w:rPr>
            </w:pPr>
            <w:bookmarkStart w:id="51" w:name="_Hlk102415371"/>
            <w:r w:rsidRPr="005F5812">
              <w:rPr>
                <w:rFonts w:ascii="Arial" w:eastAsia="Calibri" w:hAnsi="Arial" w:cs="Arial"/>
                <w:b/>
                <w:bCs/>
                <w:szCs w:val="24"/>
                <w:u w:val="single"/>
              </w:rPr>
              <w:t>Level</w:t>
            </w:r>
          </w:p>
        </w:tc>
        <w:tc>
          <w:tcPr>
            <w:tcW w:w="1473" w:type="dxa"/>
          </w:tcPr>
          <w:p w14:paraId="3E2F1F2B" w14:textId="77777777" w:rsidR="00083BC7" w:rsidRPr="005F5812" w:rsidRDefault="00083BC7" w:rsidP="00D63DAA">
            <w:pPr>
              <w:jc w:val="center"/>
              <w:rPr>
                <w:rFonts w:ascii="Arial" w:eastAsia="Calibri" w:hAnsi="Arial" w:cs="Arial"/>
                <w:b/>
                <w:bCs/>
                <w:szCs w:val="24"/>
                <w:u w:val="single"/>
              </w:rPr>
            </w:pPr>
            <w:r w:rsidRPr="005F5812">
              <w:rPr>
                <w:rFonts w:ascii="Arial" w:eastAsia="Calibri" w:hAnsi="Arial" w:cs="Arial"/>
                <w:b/>
                <w:bCs/>
                <w:szCs w:val="24"/>
                <w:u w:val="single"/>
              </w:rPr>
              <w:t>%</w:t>
            </w:r>
          </w:p>
        </w:tc>
        <w:tc>
          <w:tcPr>
            <w:tcW w:w="1578" w:type="dxa"/>
          </w:tcPr>
          <w:p w14:paraId="30CB8A1E" w14:textId="77777777" w:rsidR="00083BC7" w:rsidRPr="005F5812" w:rsidRDefault="00083BC7" w:rsidP="00D63DAA">
            <w:pPr>
              <w:jc w:val="center"/>
              <w:rPr>
                <w:rFonts w:ascii="Arial" w:eastAsia="Calibri" w:hAnsi="Arial" w:cs="Arial"/>
                <w:b/>
                <w:bCs/>
                <w:szCs w:val="24"/>
                <w:u w:val="single"/>
              </w:rPr>
            </w:pPr>
            <w:proofErr w:type="spellStart"/>
            <w:r w:rsidRPr="005F5812">
              <w:rPr>
                <w:rFonts w:ascii="Arial" w:eastAsia="Calibri" w:hAnsi="Arial" w:cs="Arial"/>
                <w:b/>
                <w:bCs/>
                <w:szCs w:val="24"/>
                <w:u w:val="single"/>
              </w:rPr>
              <w:t>mC</w:t>
            </w:r>
            <w:proofErr w:type="spellEnd"/>
          </w:p>
        </w:tc>
        <w:tc>
          <w:tcPr>
            <w:tcW w:w="2410" w:type="dxa"/>
          </w:tcPr>
          <w:p w14:paraId="0B7E5E0B" w14:textId="77777777" w:rsidR="00083BC7" w:rsidRPr="005F5812" w:rsidRDefault="00083BC7" w:rsidP="00D63DAA">
            <w:pPr>
              <w:jc w:val="center"/>
              <w:rPr>
                <w:rFonts w:ascii="Arial" w:eastAsia="Calibri" w:hAnsi="Arial" w:cs="Arial"/>
                <w:b/>
                <w:bCs/>
                <w:szCs w:val="24"/>
                <w:u w:val="single"/>
              </w:rPr>
            </w:pPr>
            <w:r w:rsidRPr="005F5812">
              <w:rPr>
                <w:rFonts w:ascii="Arial" w:eastAsia="Calibri" w:hAnsi="Arial" w:cs="Arial"/>
                <w:b/>
                <w:bCs/>
                <w:szCs w:val="24"/>
                <w:u w:val="single"/>
              </w:rPr>
              <w:t>Frequency</w:t>
            </w:r>
          </w:p>
          <w:p w14:paraId="09EA87DE" w14:textId="77777777" w:rsidR="00083BC7" w:rsidRPr="005F5812" w:rsidRDefault="00083BC7" w:rsidP="00D63DAA">
            <w:pPr>
              <w:jc w:val="center"/>
              <w:rPr>
                <w:rFonts w:ascii="Arial" w:eastAsia="Calibri" w:hAnsi="Arial" w:cs="Arial"/>
                <w:b/>
                <w:bCs/>
                <w:szCs w:val="24"/>
                <w:u w:val="single"/>
              </w:rPr>
            </w:pPr>
            <w:r w:rsidRPr="005F5812">
              <w:rPr>
                <w:rFonts w:ascii="Arial" w:eastAsia="Calibri" w:hAnsi="Arial" w:cs="Arial"/>
                <w:b/>
                <w:bCs/>
                <w:szCs w:val="24"/>
                <w:u w:val="single"/>
              </w:rPr>
              <w:t>(Hz)</w:t>
            </w:r>
          </w:p>
        </w:tc>
        <w:tc>
          <w:tcPr>
            <w:tcW w:w="2977" w:type="dxa"/>
          </w:tcPr>
          <w:p w14:paraId="056B0826" w14:textId="77777777" w:rsidR="00083BC7" w:rsidRPr="005F5812" w:rsidRDefault="00083BC7" w:rsidP="00D63DAA">
            <w:pPr>
              <w:jc w:val="center"/>
              <w:rPr>
                <w:rFonts w:ascii="Arial" w:eastAsia="Calibri" w:hAnsi="Arial" w:cs="Arial"/>
                <w:b/>
                <w:bCs/>
                <w:szCs w:val="24"/>
                <w:u w:val="single"/>
              </w:rPr>
            </w:pPr>
            <w:r w:rsidRPr="005F5812">
              <w:rPr>
                <w:rFonts w:ascii="Arial" w:eastAsia="Calibri" w:hAnsi="Arial" w:cs="Arial"/>
                <w:b/>
                <w:bCs/>
                <w:szCs w:val="24"/>
                <w:u w:val="single"/>
              </w:rPr>
              <w:t>Duration in seconds</w:t>
            </w:r>
          </w:p>
        </w:tc>
      </w:tr>
      <w:tr w:rsidR="00083BC7" w:rsidRPr="005F5812" w14:paraId="7E03807B" w14:textId="77777777" w:rsidTr="00083BC7">
        <w:trPr>
          <w:trHeight w:val="388"/>
        </w:trPr>
        <w:tc>
          <w:tcPr>
            <w:tcW w:w="1480" w:type="dxa"/>
            <w:shd w:val="clear" w:color="auto" w:fill="D9D9D9" w:themeFill="background1" w:themeFillShade="D9"/>
          </w:tcPr>
          <w:p w14:paraId="7C0E48CF" w14:textId="77777777" w:rsidR="00083BC7" w:rsidRPr="005F5812" w:rsidRDefault="00083BC7" w:rsidP="00D63DAA">
            <w:pPr>
              <w:jc w:val="center"/>
              <w:rPr>
                <w:rFonts w:ascii="Arial" w:eastAsia="Calibri" w:hAnsi="Arial" w:cs="Arial"/>
                <w:b/>
                <w:bCs/>
                <w:szCs w:val="24"/>
                <w:u w:val="single"/>
              </w:rPr>
            </w:pPr>
            <w:r w:rsidRPr="005F5812">
              <w:rPr>
                <w:rFonts w:ascii="Arial" w:eastAsia="Calibri" w:hAnsi="Arial" w:cs="Arial"/>
                <w:b/>
                <w:bCs/>
                <w:szCs w:val="24"/>
                <w:u w:val="single"/>
              </w:rPr>
              <w:t>1</w:t>
            </w:r>
          </w:p>
        </w:tc>
        <w:tc>
          <w:tcPr>
            <w:tcW w:w="1473" w:type="dxa"/>
            <w:shd w:val="clear" w:color="auto" w:fill="D9D9D9" w:themeFill="background1" w:themeFillShade="D9"/>
          </w:tcPr>
          <w:p w14:paraId="4B0C198C" w14:textId="77777777" w:rsidR="00083BC7" w:rsidRPr="005F5812" w:rsidRDefault="00083BC7" w:rsidP="00D63DAA">
            <w:pPr>
              <w:jc w:val="center"/>
              <w:rPr>
                <w:rFonts w:ascii="Arial" w:eastAsia="Calibri" w:hAnsi="Arial" w:cs="Arial"/>
                <w:szCs w:val="24"/>
                <w:u w:val="single"/>
              </w:rPr>
            </w:pPr>
            <w:r w:rsidRPr="005F5812">
              <w:rPr>
                <w:rFonts w:ascii="Arial" w:eastAsia="Calibri" w:hAnsi="Arial" w:cs="Arial"/>
                <w:b/>
                <w:bCs/>
                <w:szCs w:val="24"/>
                <w:u w:val="single"/>
              </w:rPr>
              <w:t>5%</w:t>
            </w:r>
          </w:p>
        </w:tc>
        <w:tc>
          <w:tcPr>
            <w:tcW w:w="1578" w:type="dxa"/>
            <w:shd w:val="clear" w:color="auto" w:fill="D9D9D9" w:themeFill="background1" w:themeFillShade="D9"/>
          </w:tcPr>
          <w:p w14:paraId="2A3CDC83" w14:textId="77777777" w:rsidR="00083BC7" w:rsidRPr="005F5812" w:rsidRDefault="00083BC7" w:rsidP="00D63DAA">
            <w:pPr>
              <w:jc w:val="center"/>
              <w:rPr>
                <w:rFonts w:ascii="Arial" w:eastAsia="Calibri" w:hAnsi="Arial" w:cs="Arial"/>
                <w:szCs w:val="24"/>
                <w:u w:val="single"/>
              </w:rPr>
            </w:pPr>
            <w:r w:rsidRPr="005F5812">
              <w:rPr>
                <w:rFonts w:ascii="Arial" w:eastAsia="Calibri" w:hAnsi="Arial" w:cs="Arial"/>
                <w:szCs w:val="24"/>
                <w:u w:val="single"/>
              </w:rPr>
              <w:t>25</w:t>
            </w:r>
          </w:p>
        </w:tc>
        <w:tc>
          <w:tcPr>
            <w:tcW w:w="2410" w:type="dxa"/>
            <w:shd w:val="clear" w:color="auto" w:fill="D9D9D9" w:themeFill="background1" w:themeFillShade="D9"/>
          </w:tcPr>
          <w:p w14:paraId="7BE46075" w14:textId="77777777" w:rsidR="00083BC7" w:rsidRPr="005F5812" w:rsidRDefault="00083BC7" w:rsidP="00D63DAA">
            <w:pPr>
              <w:jc w:val="center"/>
              <w:rPr>
                <w:rFonts w:ascii="Arial" w:eastAsia="Calibri" w:hAnsi="Arial" w:cs="Arial"/>
                <w:b/>
                <w:bCs/>
                <w:szCs w:val="24"/>
                <w:u w:val="single"/>
              </w:rPr>
            </w:pPr>
            <w:r w:rsidRPr="005F5812">
              <w:rPr>
                <w:rFonts w:ascii="Arial" w:eastAsia="Calibri" w:hAnsi="Arial" w:cs="Arial"/>
                <w:b/>
                <w:bCs/>
                <w:szCs w:val="24"/>
                <w:u w:val="single"/>
              </w:rPr>
              <w:t>30</w:t>
            </w:r>
          </w:p>
        </w:tc>
        <w:tc>
          <w:tcPr>
            <w:tcW w:w="2977" w:type="dxa"/>
            <w:shd w:val="clear" w:color="auto" w:fill="D9D9D9" w:themeFill="background1" w:themeFillShade="D9"/>
          </w:tcPr>
          <w:p w14:paraId="035564AA" w14:textId="77777777" w:rsidR="00083BC7" w:rsidRPr="005F5812" w:rsidRDefault="00083BC7" w:rsidP="00D63DAA">
            <w:pPr>
              <w:jc w:val="center"/>
              <w:rPr>
                <w:rFonts w:ascii="Arial" w:eastAsia="Calibri" w:hAnsi="Arial" w:cs="Arial"/>
                <w:b/>
                <w:bCs/>
                <w:szCs w:val="24"/>
                <w:u w:val="single"/>
              </w:rPr>
            </w:pPr>
            <w:r w:rsidRPr="005F5812">
              <w:rPr>
                <w:rFonts w:ascii="Arial" w:eastAsia="Calibri" w:hAnsi="Arial" w:cs="Arial"/>
                <w:b/>
                <w:bCs/>
                <w:szCs w:val="24"/>
                <w:u w:val="single"/>
              </w:rPr>
              <w:t>0.5</w:t>
            </w:r>
          </w:p>
        </w:tc>
      </w:tr>
      <w:tr w:rsidR="00083BC7" w:rsidRPr="005F5812" w14:paraId="2B870948" w14:textId="77777777" w:rsidTr="00083BC7">
        <w:trPr>
          <w:trHeight w:val="411"/>
        </w:trPr>
        <w:tc>
          <w:tcPr>
            <w:tcW w:w="1480" w:type="dxa"/>
          </w:tcPr>
          <w:p w14:paraId="26024528" w14:textId="77777777" w:rsidR="00083BC7" w:rsidRPr="005F5812" w:rsidRDefault="00083BC7" w:rsidP="00D63DAA">
            <w:pPr>
              <w:jc w:val="center"/>
              <w:rPr>
                <w:rFonts w:ascii="Arial" w:eastAsia="Calibri" w:hAnsi="Arial" w:cs="Arial"/>
                <w:b/>
                <w:bCs/>
                <w:szCs w:val="24"/>
                <w:u w:val="single"/>
              </w:rPr>
            </w:pPr>
            <w:r w:rsidRPr="005F5812">
              <w:rPr>
                <w:rFonts w:ascii="Arial" w:eastAsia="Calibri" w:hAnsi="Arial" w:cs="Arial"/>
                <w:b/>
                <w:bCs/>
                <w:szCs w:val="24"/>
                <w:u w:val="single"/>
              </w:rPr>
              <w:t>2</w:t>
            </w:r>
          </w:p>
        </w:tc>
        <w:tc>
          <w:tcPr>
            <w:tcW w:w="1473" w:type="dxa"/>
          </w:tcPr>
          <w:p w14:paraId="4023D7EA" w14:textId="77777777" w:rsidR="00083BC7" w:rsidRPr="005F5812" w:rsidRDefault="00083BC7" w:rsidP="00D63DAA">
            <w:pPr>
              <w:jc w:val="center"/>
              <w:rPr>
                <w:rFonts w:ascii="Arial" w:eastAsia="Calibri" w:hAnsi="Arial" w:cs="Arial"/>
                <w:szCs w:val="24"/>
                <w:u w:val="single"/>
              </w:rPr>
            </w:pPr>
            <w:r w:rsidRPr="005F5812">
              <w:rPr>
                <w:rFonts w:ascii="Arial" w:eastAsia="Calibri" w:hAnsi="Arial" w:cs="Arial"/>
                <w:b/>
                <w:bCs/>
                <w:szCs w:val="24"/>
                <w:u w:val="single"/>
              </w:rPr>
              <w:t>10%</w:t>
            </w:r>
          </w:p>
        </w:tc>
        <w:tc>
          <w:tcPr>
            <w:tcW w:w="1578" w:type="dxa"/>
          </w:tcPr>
          <w:p w14:paraId="3A1EF151" w14:textId="77777777" w:rsidR="00083BC7" w:rsidRPr="005F5812" w:rsidRDefault="00083BC7" w:rsidP="00D63DAA">
            <w:pPr>
              <w:jc w:val="center"/>
              <w:rPr>
                <w:rFonts w:ascii="Arial" w:eastAsia="Calibri" w:hAnsi="Arial" w:cs="Arial"/>
                <w:szCs w:val="24"/>
                <w:u w:val="single"/>
              </w:rPr>
            </w:pPr>
            <w:r w:rsidRPr="005F5812">
              <w:rPr>
                <w:rFonts w:ascii="Arial" w:eastAsia="Calibri" w:hAnsi="Arial" w:cs="Arial"/>
                <w:szCs w:val="24"/>
                <w:u w:val="single"/>
              </w:rPr>
              <w:t>50</w:t>
            </w:r>
          </w:p>
        </w:tc>
        <w:tc>
          <w:tcPr>
            <w:tcW w:w="2410" w:type="dxa"/>
          </w:tcPr>
          <w:p w14:paraId="501C8AF0" w14:textId="77777777" w:rsidR="00083BC7" w:rsidRPr="005F5812" w:rsidRDefault="00083BC7" w:rsidP="00D63DAA">
            <w:pPr>
              <w:jc w:val="center"/>
              <w:rPr>
                <w:rFonts w:ascii="Arial" w:eastAsia="Calibri" w:hAnsi="Arial" w:cs="Arial"/>
                <w:b/>
                <w:bCs/>
                <w:szCs w:val="24"/>
                <w:u w:val="single"/>
              </w:rPr>
            </w:pPr>
            <w:r w:rsidRPr="005F5812">
              <w:rPr>
                <w:rFonts w:ascii="Arial" w:eastAsia="Calibri" w:hAnsi="Arial" w:cs="Arial"/>
                <w:b/>
                <w:bCs/>
                <w:szCs w:val="24"/>
                <w:u w:val="single"/>
              </w:rPr>
              <w:t>30</w:t>
            </w:r>
          </w:p>
        </w:tc>
        <w:tc>
          <w:tcPr>
            <w:tcW w:w="2977" w:type="dxa"/>
          </w:tcPr>
          <w:p w14:paraId="720B0335" w14:textId="77777777" w:rsidR="00083BC7" w:rsidRPr="005F5812" w:rsidRDefault="00083BC7" w:rsidP="00D63DAA">
            <w:pPr>
              <w:jc w:val="center"/>
              <w:rPr>
                <w:rFonts w:ascii="Arial" w:eastAsia="Calibri" w:hAnsi="Arial" w:cs="Arial"/>
                <w:b/>
                <w:bCs/>
                <w:szCs w:val="24"/>
                <w:u w:val="single"/>
              </w:rPr>
            </w:pPr>
            <w:r w:rsidRPr="005F5812">
              <w:rPr>
                <w:rFonts w:ascii="Arial" w:eastAsia="Calibri" w:hAnsi="Arial" w:cs="Arial"/>
                <w:b/>
                <w:bCs/>
                <w:szCs w:val="24"/>
                <w:u w:val="single"/>
              </w:rPr>
              <w:t>0.9</w:t>
            </w:r>
          </w:p>
        </w:tc>
      </w:tr>
      <w:tr w:rsidR="00083BC7" w:rsidRPr="005F5812" w14:paraId="4C379734" w14:textId="77777777" w:rsidTr="00083BC7">
        <w:trPr>
          <w:trHeight w:val="388"/>
        </w:trPr>
        <w:tc>
          <w:tcPr>
            <w:tcW w:w="1480" w:type="dxa"/>
            <w:shd w:val="clear" w:color="auto" w:fill="D9D9D9" w:themeFill="background1" w:themeFillShade="D9"/>
          </w:tcPr>
          <w:p w14:paraId="096FDE48"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3</w:t>
            </w:r>
          </w:p>
        </w:tc>
        <w:tc>
          <w:tcPr>
            <w:tcW w:w="1473" w:type="dxa"/>
            <w:shd w:val="clear" w:color="auto" w:fill="D9D9D9" w:themeFill="background1" w:themeFillShade="D9"/>
          </w:tcPr>
          <w:p w14:paraId="23AF140D" w14:textId="77777777" w:rsidR="00083BC7" w:rsidRPr="005F5812" w:rsidRDefault="00083BC7" w:rsidP="00D63DAA">
            <w:pPr>
              <w:jc w:val="center"/>
              <w:rPr>
                <w:rFonts w:ascii="Arial" w:eastAsia="Calibri" w:hAnsi="Arial" w:cs="Arial"/>
                <w:szCs w:val="24"/>
              </w:rPr>
            </w:pPr>
            <w:r w:rsidRPr="005F5812">
              <w:rPr>
                <w:rFonts w:ascii="Arial" w:eastAsia="Calibri" w:hAnsi="Arial" w:cs="Arial"/>
                <w:b/>
                <w:bCs/>
                <w:szCs w:val="24"/>
              </w:rPr>
              <w:t>15%</w:t>
            </w:r>
          </w:p>
        </w:tc>
        <w:tc>
          <w:tcPr>
            <w:tcW w:w="1578" w:type="dxa"/>
            <w:shd w:val="clear" w:color="auto" w:fill="D9D9D9" w:themeFill="background1" w:themeFillShade="D9"/>
          </w:tcPr>
          <w:p w14:paraId="0EA0EA6D" w14:textId="77777777" w:rsidR="00083BC7" w:rsidRPr="005F5812" w:rsidRDefault="00083BC7" w:rsidP="00D63DAA">
            <w:pPr>
              <w:jc w:val="center"/>
              <w:rPr>
                <w:rFonts w:ascii="Arial" w:eastAsia="Calibri" w:hAnsi="Arial" w:cs="Arial"/>
                <w:szCs w:val="24"/>
              </w:rPr>
            </w:pPr>
            <w:r w:rsidRPr="005F5812">
              <w:rPr>
                <w:rFonts w:ascii="Arial" w:eastAsia="Calibri" w:hAnsi="Arial" w:cs="Arial"/>
                <w:szCs w:val="24"/>
              </w:rPr>
              <w:t>76</w:t>
            </w:r>
          </w:p>
        </w:tc>
        <w:tc>
          <w:tcPr>
            <w:tcW w:w="2410" w:type="dxa"/>
            <w:shd w:val="clear" w:color="auto" w:fill="D9D9D9" w:themeFill="background1" w:themeFillShade="D9"/>
          </w:tcPr>
          <w:p w14:paraId="4E4E17D0"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30</w:t>
            </w:r>
          </w:p>
        </w:tc>
        <w:tc>
          <w:tcPr>
            <w:tcW w:w="2977" w:type="dxa"/>
            <w:shd w:val="clear" w:color="auto" w:fill="D9D9D9" w:themeFill="background1" w:themeFillShade="D9"/>
          </w:tcPr>
          <w:p w14:paraId="24F45397"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1.4</w:t>
            </w:r>
          </w:p>
        </w:tc>
      </w:tr>
      <w:tr w:rsidR="00083BC7" w:rsidRPr="005F5812" w14:paraId="13D3CDC7" w14:textId="77777777" w:rsidTr="00083BC7">
        <w:trPr>
          <w:trHeight w:val="411"/>
        </w:trPr>
        <w:tc>
          <w:tcPr>
            <w:tcW w:w="1480" w:type="dxa"/>
          </w:tcPr>
          <w:p w14:paraId="0F2F02F1"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4</w:t>
            </w:r>
          </w:p>
        </w:tc>
        <w:tc>
          <w:tcPr>
            <w:tcW w:w="1473" w:type="dxa"/>
          </w:tcPr>
          <w:p w14:paraId="199097B1" w14:textId="77777777" w:rsidR="00083BC7" w:rsidRPr="005F5812" w:rsidRDefault="00083BC7" w:rsidP="00D63DAA">
            <w:pPr>
              <w:jc w:val="center"/>
              <w:rPr>
                <w:rFonts w:ascii="Arial" w:eastAsia="Calibri" w:hAnsi="Arial" w:cs="Arial"/>
                <w:szCs w:val="24"/>
              </w:rPr>
            </w:pPr>
            <w:r w:rsidRPr="005F5812">
              <w:rPr>
                <w:rFonts w:ascii="Arial" w:eastAsia="Calibri" w:hAnsi="Arial" w:cs="Arial"/>
                <w:b/>
                <w:bCs/>
                <w:szCs w:val="24"/>
              </w:rPr>
              <w:t>20%</w:t>
            </w:r>
          </w:p>
        </w:tc>
        <w:tc>
          <w:tcPr>
            <w:tcW w:w="1578" w:type="dxa"/>
          </w:tcPr>
          <w:p w14:paraId="5B18275B" w14:textId="77777777" w:rsidR="00083BC7" w:rsidRPr="005F5812" w:rsidRDefault="00083BC7" w:rsidP="00D63DAA">
            <w:pPr>
              <w:jc w:val="center"/>
              <w:rPr>
                <w:rFonts w:ascii="Arial" w:eastAsia="Calibri" w:hAnsi="Arial" w:cs="Arial"/>
                <w:szCs w:val="24"/>
              </w:rPr>
            </w:pPr>
            <w:r w:rsidRPr="005F5812">
              <w:rPr>
                <w:rFonts w:ascii="Arial" w:eastAsia="Calibri" w:hAnsi="Arial" w:cs="Arial"/>
                <w:szCs w:val="24"/>
              </w:rPr>
              <w:t>101</w:t>
            </w:r>
          </w:p>
        </w:tc>
        <w:tc>
          <w:tcPr>
            <w:tcW w:w="2410" w:type="dxa"/>
          </w:tcPr>
          <w:p w14:paraId="48AAC7E4"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30</w:t>
            </w:r>
          </w:p>
        </w:tc>
        <w:tc>
          <w:tcPr>
            <w:tcW w:w="2977" w:type="dxa"/>
          </w:tcPr>
          <w:p w14:paraId="5AC35D01"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1.9</w:t>
            </w:r>
          </w:p>
        </w:tc>
      </w:tr>
      <w:tr w:rsidR="00083BC7" w:rsidRPr="005F5812" w14:paraId="2622EF22" w14:textId="77777777" w:rsidTr="00083BC7">
        <w:trPr>
          <w:trHeight w:val="388"/>
        </w:trPr>
        <w:tc>
          <w:tcPr>
            <w:tcW w:w="1480" w:type="dxa"/>
            <w:shd w:val="clear" w:color="auto" w:fill="D9D9D9" w:themeFill="background1" w:themeFillShade="D9"/>
          </w:tcPr>
          <w:p w14:paraId="2B3C2609"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5</w:t>
            </w:r>
          </w:p>
        </w:tc>
        <w:tc>
          <w:tcPr>
            <w:tcW w:w="1473" w:type="dxa"/>
            <w:shd w:val="clear" w:color="auto" w:fill="D9D9D9" w:themeFill="background1" w:themeFillShade="D9"/>
          </w:tcPr>
          <w:p w14:paraId="3D8BE5FC" w14:textId="77777777" w:rsidR="00083BC7" w:rsidRPr="005F5812" w:rsidRDefault="00083BC7" w:rsidP="00D63DAA">
            <w:pPr>
              <w:jc w:val="center"/>
              <w:rPr>
                <w:rFonts w:ascii="Arial" w:eastAsia="Calibri" w:hAnsi="Arial" w:cs="Arial"/>
                <w:szCs w:val="24"/>
              </w:rPr>
            </w:pPr>
            <w:r w:rsidRPr="005F5812">
              <w:rPr>
                <w:rFonts w:ascii="Arial" w:eastAsia="Calibri" w:hAnsi="Arial" w:cs="Arial"/>
                <w:b/>
                <w:bCs/>
                <w:szCs w:val="24"/>
              </w:rPr>
              <w:t>25%</w:t>
            </w:r>
          </w:p>
        </w:tc>
        <w:tc>
          <w:tcPr>
            <w:tcW w:w="1578" w:type="dxa"/>
            <w:shd w:val="clear" w:color="auto" w:fill="D9D9D9" w:themeFill="background1" w:themeFillShade="D9"/>
          </w:tcPr>
          <w:p w14:paraId="3B02CFA9" w14:textId="77777777" w:rsidR="00083BC7" w:rsidRPr="005F5812" w:rsidRDefault="00083BC7" w:rsidP="00D63DAA">
            <w:pPr>
              <w:jc w:val="center"/>
              <w:rPr>
                <w:rFonts w:ascii="Arial" w:eastAsia="Calibri" w:hAnsi="Arial" w:cs="Arial"/>
                <w:szCs w:val="24"/>
              </w:rPr>
            </w:pPr>
            <w:r w:rsidRPr="005F5812">
              <w:rPr>
                <w:rFonts w:ascii="Arial" w:eastAsia="Calibri" w:hAnsi="Arial" w:cs="Arial"/>
                <w:szCs w:val="24"/>
              </w:rPr>
              <w:t>126</w:t>
            </w:r>
          </w:p>
        </w:tc>
        <w:tc>
          <w:tcPr>
            <w:tcW w:w="2410" w:type="dxa"/>
            <w:shd w:val="clear" w:color="auto" w:fill="D9D9D9" w:themeFill="background1" w:themeFillShade="D9"/>
          </w:tcPr>
          <w:p w14:paraId="75E55B6F"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30</w:t>
            </w:r>
          </w:p>
        </w:tc>
        <w:tc>
          <w:tcPr>
            <w:tcW w:w="2977" w:type="dxa"/>
            <w:shd w:val="clear" w:color="auto" w:fill="D9D9D9" w:themeFill="background1" w:themeFillShade="D9"/>
          </w:tcPr>
          <w:p w14:paraId="7AF1B7BE"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2.3</w:t>
            </w:r>
          </w:p>
        </w:tc>
      </w:tr>
      <w:tr w:rsidR="00083BC7" w:rsidRPr="005F5812" w14:paraId="3616ED8C" w14:textId="77777777" w:rsidTr="00083BC7">
        <w:trPr>
          <w:trHeight w:val="411"/>
        </w:trPr>
        <w:tc>
          <w:tcPr>
            <w:tcW w:w="1480" w:type="dxa"/>
          </w:tcPr>
          <w:p w14:paraId="2429DFB8"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6</w:t>
            </w:r>
          </w:p>
        </w:tc>
        <w:tc>
          <w:tcPr>
            <w:tcW w:w="1473" w:type="dxa"/>
          </w:tcPr>
          <w:p w14:paraId="75786CD5" w14:textId="77777777" w:rsidR="00083BC7" w:rsidRPr="005F5812" w:rsidRDefault="00083BC7" w:rsidP="00D63DAA">
            <w:pPr>
              <w:jc w:val="center"/>
              <w:rPr>
                <w:rFonts w:ascii="Arial" w:eastAsia="Calibri" w:hAnsi="Arial" w:cs="Arial"/>
                <w:szCs w:val="24"/>
              </w:rPr>
            </w:pPr>
            <w:r w:rsidRPr="005F5812">
              <w:rPr>
                <w:rFonts w:ascii="Arial" w:eastAsia="Calibri" w:hAnsi="Arial" w:cs="Arial"/>
                <w:b/>
                <w:bCs/>
                <w:szCs w:val="24"/>
              </w:rPr>
              <w:t>35%</w:t>
            </w:r>
          </w:p>
        </w:tc>
        <w:tc>
          <w:tcPr>
            <w:tcW w:w="1578" w:type="dxa"/>
          </w:tcPr>
          <w:p w14:paraId="27F4232A" w14:textId="77777777" w:rsidR="00083BC7" w:rsidRPr="005F5812" w:rsidRDefault="00083BC7" w:rsidP="00D63DAA">
            <w:pPr>
              <w:jc w:val="center"/>
              <w:rPr>
                <w:rFonts w:ascii="Arial" w:eastAsia="Calibri" w:hAnsi="Arial" w:cs="Arial"/>
                <w:szCs w:val="24"/>
              </w:rPr>
            </w:pPr>
            <w:r w:rsidRPr="005F5812">
              <w:rPr>
                <w:rFonts w:ascii="Arial" w:eastAsia="Calibri" w:hAnsi="Arial" w:cs="Arial"/>
                <w:szCs w:val="24"/>
              </w:rPr>
              <w:t>176</w:t>
            </w:r>
          </w:p>
        </w:tc>
        <w:tc>
          <w:tcPr>
            <w:tcW w:w="2410" w:type="dxa"/>
          </w:tcPr>
          <w:p w14:paraId="5BF5B86E"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50</w:t>
            </w:r>
          </w:p>
        </w:tc>
        <w:tc>
          <w:tcPr>
            <w:tcW w:w="2977" w:type="dxa"/>
          </w:tcPr>
          <w:p w14:paraId="7CB13A4F"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2.0</w:t>
            </w:r>
          </w:p>
        </w:tc>
      </w:tr>
      <w:tr w:rsidR="00083BC7" w:rsidRPr="005F5812" w14:paraId="771132BD" w14:textId="77777777" w:rsidTr="00083BC7">
        <w:trPr>
          <w:trHeight w:val="411"/>
        </w:trPr>
        <w:tc>
          <w:tcPr>
            <w:tcW w:w="1480" w:type="dxa"/>
            <w:shd w:val="clear" w:color="auto" w:fill="D9D9D9" w:themeFill="background1" w:themeFillShade="D9"/>
          </w:tcPr>
          <w:p w14:paraId="342D7A56"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7</w:t>
            </w:r>
          </w:p>
        </w:tc>
        <w:tc>
          <w:tcPr>
            <w:tcW w:w="1473" w:type="dxa"/>
            <w:shd w:val="clear" w:color="auto" w:fill="D9D9D9" w:themeFill="background1" w:themeFillShade="D9"/>
          </w:tcPr>
          <w:p w14:paraId="4FBB1693" w14:textId="77777777" w:rsidR="00083BC7" w:rsidRPr="005F5812" w:rsidRDefault="00083BC7" w:rsidP="00D63DAA">
            <w:pPr>
              <w:jc w:val="center"/>
              <w:rPr>
                <w:rFonts w:ascii="Arial" w:eastAsia="Calibri" w:hAnsi="Arial" w:cs="Arial"/>
                <w:szCs w:val="24"/>
              </w:rPr>
            </w:pPr>
            <w:r w:rsidRPr="005F5812">
              <w:rPr>
                <w:rFonts w:ascii="Arial" w:eastAsia="Calibri" w:hAnsi="Arial" w:cs="Arial"/>
                <w:b/>
                <w:bCs/>
                <w:szCs w:val="24"/>
              </w:rPr>
              <w:t>45%</w:t>
            </w:r>
          </w:p>
        </w:tc>
        <w:tc>
          <w:tcPr>
            <w:tcW w:w="1578" w:type="dxa"/>
            <w:shd w:val="clear" w:color="auto" w:fill="D9D9D9" w:themeFill="background1" w:themeFillShade="D9"/>
          </w:tcPr>
          <w:p w14:paraId="575DDD5E" w14:textId="77777777" w:rsidR="00083BC7" w:rsidRPr="005F5812" w:rsidRDefault="00083BC7" w:rsidP="00D63DAA">
            <w:pPr>
              <w:jc w:val="center"/>
              <w:rPr>
                <w:rFonts w:ascii="Arial" w:eastAsia="Calibri" w:hAnsi="Arial" w:cs="Arial"/>
                <w:szCs w:val="24"/>
              </w:rPr>
            </w:pPr>
            <w:r w:rsidRPr="005F5812">
              <w:rPr>
                <w:rFonts w:ascii="Arial" w:eastAsia="Calibri" w:hAnsi="Arial" w:cs="Arial"/>
                <w:szCs w:val="24"/>
              </w:rPr>
              <w:t>227</w:t>
            </w:r>
          </w:p>
        </w:tc>
        <w:tc>
          <w:tcPr>
            <w:tcW w:w="2410" w:type="dxa"/>
            <w:shd w:val="clear" w:color="auto" w:fill="D9D9D9" w:themeFill="background1" w:themeFillShade="D9"/>
          </w:tcPr>
          <w:p w14:paraId="4702426E"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50</w:t>
            </w:r>
          </w:p>
        </w:tc>
        <w:tc>
          <w:tcPr>
            <w:tcW w:w="2977" w:type="dxa"/>
            <w:shd w:val="clear" w:color="auto" w:fill="D9D9D9" w:themeFill="background1" w:themeFillShade="D9"/>
          </w:tcPr>
          <w:p w14:paraId="3CBB434A"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2.5</w:t>
            </w:r>
          </w:p>
        </w:tc>
      </w:tr>
      <w:tr w:rsidR="00083BC7" w:rsidRPr="005F5812" w14:paraId="68A489EC" w14:textId="77777777" w:rsidTr="00083BC7">
        <w:trPr>
          <w:trHeight w:val="388"/>
        </w:trPr>
        <w:tc>
          <w:tcPr>
            <w:tcW w:w="1480" w:type="dxa"/>
          </w:tcPr>
          <w:p w14:paraId="175CA0E5"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8</w:t>
            </w:r>
          </w:p>
        </w:tc>
        <w:tc>
          <w:tcPr>
            <w:tcW w:w="1473" w:type="dxa"/>
          </w:tcPr>
          <w:p w14:paraId="5795312E" w14:textId="77777777" w:rsidR="00083BC7" w:rsidRPr="005F5812" w:rsidRDefault="00083BC7" w:rsidP="00D63DAA">
            <w:pPr>
              <w:jc w:val="center"/>
              <w:rPr>
                <w:rFonts w:ascii="Arial" w:eastAsia="Calibri" w:hAnsi="Arial" w:cs="Arial"/>
                <w:szCs w:val="24"/>
              </w:rPr>
            </w:pPr>
            <w:r w:rsidRPr="005F5812">
              <w:rPr>
                <w:rFonts w:ascii="Arial" w:eastAsia="Calibri" w:hAnsi="Arial" w:cs="Arial"/>
                <w:b/>
                <w:bCs/>
                <w:szCs w:val="24"/>
              </w:rPr>
              <w:t>65%</w:t>
            </w:r>
          </w:p>
        </w:tc>
        <w:tc>
          <w:tcPr>
            <w:tcW w:w="1578" w:type="dxa"/>
          </w:tcPr>
          <w:p w14:paraId="118C9033" w14:textId="77777777" w:rsidR="00083BC7" w:rsidRPr="005F5812" w:rsidRDefault="00083BC7" w:rsidP="00D63DAA">
            <w:pPr>
              <w:jc w:val="center"/>
              <w:rPr>
                <w:rFonts w:ascii="Arial" w:eastAsia="Calibri" w:hAnsi="Arial" w:cs="Arial"/>
                <w:szCs w:val="24"/>
              </w:rPr>
            </w:pPr>
            <w:r w:rsidRPr="005F5812">
              <w:rPr>
                <w:rFonts w:ascii="Arial" w:eastAsia="Calibri" w:hAnsi="Arial" w:cs="Arial"/>
                <w:szCs w:val="24"/>
              </w:rPr>
              <w:t>328</w:t>
            </w:r>
          </w:p>
        </w:tc>
        <w:tc>
          <w:tcPr>
            <w:tcW w:w="2410" w:type="dxa"/>
          </w:tcPr>
          <w:p w14:paraId="5884A9E0"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70</w:t>
            </w:r>
          </w:p>
        </w:tc>
        <w:tc>
          <w:tcPr>
            <w:tcW w:w="2977" w:type="dxa"/>
          </w:tcPr>
          <w:p w14:paraId="7475DCCD"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2.6</w:t>
            </w:r>
          </w:p>
        </w:tc>
      </w:tr>
      <w:tr w:rsidR="00083BC7" w:rsidRPr="005F5812" w14:paraId="518169CB" w14:textId="77777777" w:rsidTr="00083BC7">
        <w:trPr>
          <w:trHeight w:val="411"/>
        </w:trPr>
        <w:tc>
          <w:tcPr>
            <w:tcW w:w="1480" w:type="dxa"/>
            <w:shd w:val="clear" w:color="auto" w:fill="D9D9D9" w:themeFill="background1" w:themeFillShade="D9"/>
          </w:tcPr>
          <w:p w14:paraId="0294A67C"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9</w:t>
            </w:r>
          </w:p>
        </w:tc>
        <w:tc>
          <w:tcPr>
            <w:tcW w:w="1473" w:type="dxa"/>
            <w:shd w:val="clear" w:color="auto" w:fill="D9D9D9" w:themeFill="background1" w:themeFillShade="D9"/>
          </w:tcPr>
          <w:p w14:paraId="1BC39660" w14:textId="77777777" w:rsidR="00083BC7" w:rsidRPr="005F5812" w:rsidRDefault="00083BC7" w:rsidP="00D63DAA">
            <w:pPr>
              <w:jc w:val="center"/>
              <w:rPr>
                <w:rFonts w:ascii="Arial" w:eastAsia="Calibri" w:hAnsi="Arial" w:cs="Arial"/>
                <w:szCs w:val="24"/>
              </w:rPr>
            </w:pPr>
            <w:r w:rsidRPr="005F5812">
              <w:rPr>
                <w:rFonts w:ascii="Arial" w:eastAsia="Calibri" w:hAnsi="Arial" w:cs="Arial"/>
                <w:b/>
                <w:bCs/>
                <w:szCs w:val="24"/>
              </w:rPr>
              <w:t>90%</w:t>
            </w:r>
          </w:p>
        </w:tc>
        <w:tc>
          <w:tcPr>
            <w:tcW w:w="1578" w:type="dxa"/>
            <w:shd w:val="clear" w:color="auto" w:fill="D9D9D9" w:themeFill="background1" w:themeFillShade="D9"/>
          </w:tcPr>
          <w:p w14:paraId="396CA49D" w14:textId="77777777" w:rsidR="00083BC7" w:rsidRPr="005F5812" w:rsidRDefault="00083BC7" w:rsidP="00D63DAA">
            <w:pPr>
              <w:jc w:val="center"/>
              <w:rPr>
                <w:rFonts w:ascii="Arial" w:eastAsia="Calibri" w:hAnsi="Arial" w:cs="Arial"/>
                <w:szCs w:val="24"/>
              </w:rPr>
            </w:pPr>
            <w:r w:rsidRPr="005F5812">
              <w:rPr>
                <w:rFonts w:ascii="Arial" w:eastAsia="Calibri" w:hAnsi="Arial" w:cs="Arial"/>
                <w:szCs w:val="24"/>
              </w:rPr>
              <w:t>454</w:t>
            </w:r>
          </w:p>
        </w:tc>
        <w:tc>
          <w:tcPr>
            <w:tcW w:w="2410" w:type="dxa"/>
            <w:shd w:val="clear" w:color="auto" w:fill="D9D9D9" w:themeFill="background1" w:themeFillShade="D9"/>
          </w:tcPr>
          <w:p w14:paraId="17F3ED4F"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70</w:t>
            </w:r>
          </w:p>
        </w:tc>
        <w:tc>
          <w:tcPr>
            <w:tcW w:w="2977" w:type="dxa"/>
            <w:shd w:val="clear" w:color="auto" w:fill="D9D9D9" w:themeFill="background1" w:themeFillShade="D9"/>
          </w:tcPr>
          <w:p w14:paraId="03E3B41D"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3.6</w:t>
            </w:r>
          </w:p>
        </w:tc>
      </w:tr>
      <w:tr w:rsidR="00083BC7" w:rsidRPr="005F5812" w14:paraId="0B58BC8F" w14:textId="77777777" w:rsidTr="00083BC7">
        <w:trPr>
          <w:trHeight w:val="388"/>
        </w:trPr>
        <w:tc>
          <w:tcPr>
            <w:tcW w:w="1480" w:type="dxa"/>
          </w:tcPr>
          <w:p w14:paraId="4490614E"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10</w:t>
            </w:r>
          </w:p>
        </w:tc>
        <w:tc>
          <w:tcPr>
            <w:tcW w:w="1473" w:type="dxa"/>
          </w:tcPr>
          <w:p w14:paraId="71F1C2FA" w14:textId="77777777" w:rsidR="00083BC7" w:rsidRPr="005F5812" w:rsidRDefault="00083BC7" w:rsidP="00D63DAA">
            <w:pPr>
              <w:jc w:val="center"/>
              <w:rPr>
                <w:rFonts w:ascii="Arial" w:eastAsia="Calibri" w:hAnsi="Arial" w:cs="Arial"/>
                <w:szCs w:val="24"/>
              </w:rPr>
            </w:pPr>
            <w:r w:rsidRPr="005F5812">
              <w:rPr>
                <w:rFonts w:ascii="Arial" w:eastAsia="Calibri" w:hAnsi="Arial" w:cs="Arial"/>
                <w:b/>
                <w:bCs/>
                <w:szCs w:val="24"/>
              </w:rPr>
              <w:t>120%</w:t>
            </w:r>
          </w:p>
        </w:tc>
        <w:tc>
          <w:tcPr>
            <w:tcW w:w="1578" w:type="dxa"/>
          </w:tcPr>
          <w:p w14:paraId="62D1E243" w14:textId="77777777" w:rsidR="00083BC7" w:rsidRPr="005F5812" w:rsidRDefault="00083BC7" w:rsidP="00D63DAA">
            <w:pPr>
              <w:jc w:val="center"/>
              <w:rPr>
                <w:rFonts w:ascii="Arial" w:eastAsia="Calibri" w:hAnsi="Arial" w:cs="Arial"/>
                <w:szCs w:val="24"/>
              </w:rPr>
            </w:pPr>
            <w:r w:rsidRPr="005F5812">
              <w:rPr>
                <w:rFonts w:ascii="Arial" w:eastAsia="Calibri" w:hAnsi="Arial" w:cs="Arial"/>
                <w:szCs w:val="24"/>
              </w:rPr>
              <w:t>605</w:t>
            </w:r>
          </w:p>
        </w:tc>
        <w:tc>
          <w:tcPr>
            <w:tcW w:w="2410" w:type="dxa"/>
          </w:tcPr>
          <w:p w14:paraId="28E1FE7B"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70</w:t>
            </w:r>
          </w:p>
        </w:tc>
        <w:tc>
          <w:tcPr>
            <w:tcW w:w="2977" w:type="dxa"/>
          </w:tcPr>
          <w:p w14:paraId="00EC7BDF"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4.8</w:t>
            </w:r>
          </w:p>
        </w:tc>
      </w:tr>
      <w:tr w:rsidR="00083BC7" w:rsidRPr="005F5812" w14:paraId="1BED7CDD" w14:textId="77777777" w:rsidTr="00083BC7">
        <w:trPr>
          <w:trHeight w:val="411"/>
        </w:trPr>
        <w:tc>
          <w:tcPr>
            <w:tcW w:w="1480" w:type="dxa"/>
            <w:shd w:val="clear" w:color="auto" w:fill="D9D9D9" w:themeFill="background1" w:themeFillShade="D9"/>
          </w:tcPr>
          <w:p w14:paraId="355CBD3B"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11</w:t>
            </w:r>
          </w:p>
        </w:tc>
        <w:tc>
          <w:tcPr>
            <w:tcW w:w="1473" w:type="dxa"/>
            <w:shd w:val="clear" w:color="auto" w:fill="D9D9D9" w:themeFill="background1" w:themeFillShade="D9"/>
          </w:tcPr>
          <w:p w14:paraId="41D45567" w14:textId="77777777" w:rsidR="00083BC7" w:rsidRPr="005F5812" w:rsidRDefault="00083BC7" w:rsidP="00D63DAA">
            <w:pPr>
              <w:jc w:val="center"/>
              <w:rPr>
                <w:rFonts w:ascii="Arial" w:eastAsia="Calibri" w:hAnsi="Arial" w:cs="Arial"/>
                <w:szCs w:val="24"/>
              </w:rPr>
            </w:pPr>
            <w:r w:rsidRPr="005F5812">
              <w:rPr>
                <w:rFonts w:ascii="Arial" w:eastAsia="Calibri" w:hAnsi="Arial" w:cs="Arial"/>
                <w:b/>
                <w:bCs/>
                <w:szCs w:val="24"/>
              </w:rPr>
              <w:t>160%</w:t>
            </w:r>
          </w:p>
        </w:tc>
        <w:tc>
          <w:tcPr>
            <w:tcW w:w="1578" w:type="dxa"/>
            <w:shd w:val="clear" w:color="auto" w:fill="D9D9D9" w:themeFill="background1" w:themeFillShade="D9"/>
          </w:tcPr>
          <w:p w14:paraId="09DD2983" w14:textId="77777777" w:rsidR="00083BC7" w:rsidRPr="005F5812" w:rsidRDefault="00083BC7" w:rsidP="00D63DAA">
            <w:pPr>
              <w:jc w:val="center"/>
              <w:rPr>
                <w:rFonts w:ascii="Arial" w:eastAsia="Calibri" w:hAnsi="Arial" w:cs="Arial"/>
                <w:szCs w:val="24"/>
              </w:rPr>
            </w:pPr>
            <w:r w:rsidRPr="005F5812">
              <w:rPr>
                <w:rFonts w:ascii="Arial" w:eastAsia="Calibri" w:hAnsi="Arial" w:cs="Arial"/>
                <w:szCs w:val="24"/>
              </w:rPr>
              <w:t>806</w:t>
            </w:r>
          </w:p>
        </w:tc>
        <w:tc>
          <w:tcPr>
            <w:tcW w:w="2410" w:type="dxa"/>
            <w:shd w:val="clear" w:color="auto" w:fill="D9D9D9" w:themeFill="background1" w:themeFillShade="D9"/>
          </w:tcPr>
          <w:p w14:paraId="048E38F2"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70</w:t>
            </w:r>
          </w:p>
        </w:tc>
        <w:tc>
          <w:tcPr>
            <w:tcW w:w="2977" w:type="dxa"/>
            <w:shd w:val="clear" w:color="auto" w:fill="D9D9D9" w:themeFill="background1" w:themeFillShade="D9"/>
          </w:tcPr>
          <w:p w14:paraId="5F2B51C9"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6.4</w:t>
            </w:r>
          </w:p>
        </w:tc>
      </w:tr>
      <w:bookmarkEnd w:id="51"/>
      <w:tr w:rsidR="00083BC7" w:rsidRPr="005F5812" w14:paraId="4EE6E302" w14:textId="77777777" w:rsidTr="00083BC7">
        <w:trPr>
          <w:trHeight w:val="70"/>
        </w:trPr>
        <w:tc>
          <w:tcPr>
            <w:tcW w:w="1480" w:type="dxa"/>
          </w:tcPr>
          <w:p w14:paraId="1101EF0C"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12</w:t>
            </w:r>
          </w:p>
        </w:tc>
        <w:tc>
          <w:tcPr>
            <w:tcW w:w="1473" w:type="dxa"/>
          </w:tcPr>
          <w:p w14:paraId="123C4727" w14:textId="77777777" w:rsidR="00083BC7" w:rsidRPr="005F5812" w:rsidRDefault="00083BC7" w:rsidP="00D63DAA">
            <w:pPr>
              <w:jc w:val="center"/>
              <w:rPr>
                <w:rFonts w:ascii="Arial" w:eastAsia="Calibri" w:hAnsi="Arial" w:cs="Arial"/>
                <w:szCs w:val="24"/>
              </w:rPr>
            </w:pPr>
            <w:r w:rsidRPr="005F5812">
              <w:rPr>
                <w:rFonts w:ascii="Arial" w:eastAsia="Calibri" w:hAnsi="Arial" w:cs="Arial"/>
                <w:b/>
                <w:bCs/>
                <w:szCs w:val="24"/>
              </w:rPr>
              <w:t>200%</w:t>
            </w:r>
          </w:p>
        </w:tc>
        <w:tc>
          <w:tcPr>
            <w:tcW w:w="1578" w:type="dxa"/>
          </w:tcPr>
          <w:p w14:paraId="2D824D18" w14:textId="77777777" w:rsidR="00083BC7" w:rsidRPr="005F5812" w:rsidRDefault="00083BC7" w:rsidP="00D63DAA">
            <w:pPr>
              <w:jc w:val="center"/>
              <w:rPr>
                <w:rFonts w:ascii="Arial" w:eastAsia="Calibri" w:hAnsi="Arial" w:cs="Arial"/>
                <w:szCs w:val="24"/>
              </w:rPr>
            </w:pPr>
            <w:r w:rsidRPr="005F5812">
              <w:rPr>
                <w:rFonts w:ascii="Arial" w:eastAsia="Calibri" w:hAnsi="Arial" w:cs="Arial"/>
                <w:szCs w:val="24"/>
              </w:rPr>
              <w:t>1008</w:t>
            </w:r>
          </w:p>
        </w:tc>
        <w:tc>
          <w:tcPr>
            <w:tcW w:w="2410" w:type="dxa"/>
          </w:tcPr>
          <w:p w14:paraId="7AD44A19"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70</w:t>
            </w:r>
          </w:p>
        </w:tc>
        <w:tc>
          <w:tcPr>
            <w:tcW w:w="2977" w:type="dxa"/>
          </w:tcPr>
          <w:p w14:paraId="3D2BA85E" w14:textId="77777777" w:rsidR="00083BC7" w:rsidRPr="005F5812" w:rsidRDefault="00083BC7" w:rsidP="00D63DAA">
            <w:pPr>
              <w:jc w:val="center"/>
              <w:rPr>
                <w:rFonts w:ascii="Arial" w:eastAsia="Calibri" w:hAnsi="Arial" w:cs="Arial"/>
                <w:b/>
                <w:bCs/>
                <w:szCs w:val="24"/>
              </w:rPr>
            </w:pPr>
            <w:r w:rsidRPr="005F5812">
              <w:rPr>
                <w:rFonts w:ascii="Arial" w:eastAsia="Calibri" w:hAnsi="Arial" w:cs="Arial"/>
                <w:b/>
                <w:bCs/>
                <w:szCs w:val="24"/>
              </w:rPr>
              <w:t>8.0</w:t>
            </w:r>
          </w:p>
        </w:tc>
      </w:tr>
    </w:tbl>
    <w:p w14:paraId="6EA2874C" w14:textId="77777777" w:rsidR="00700003" w:rsidRDefault="00700003" w:rsidP="00BC4E0F">
      <w:pPr>
        <w:jc w:val="center"/>
        <w:rPr>
          <w:b/>
          <w:bCs/>
        </w:rPr>
      </w:pPr>
    </w:p>
    <w:p w14:paraId="21C3D418" w14:textId="77777777" w:rsidR="00700003" w:rsidRDefault="00700003">
      <w:pPr>
        <w:spacing w:before="0" w:after="0" w:line="240" w:lineRule="auto"/>
        <w:rPr>
          <w:b/>
          <w:bCs/>
        </w:rPr>
      </w:pPr>
      <w:r>
        <w:rPr>
          <w:b/>
          <w:bCs/>
        </w:rPr>
        <w:br w:type="page"/>
      </w:r>
    </w:p>
    <w:p w14:paraId="28D45FF5" w14:textId="6C2D5286" w:rsidR="00BC4E0F" w:rsidRDefault="00BC4E0F" w:rsidP="00BC4E0F">
      <w:pPr>
        <w:jc w:val="center"/>
        <w:rPr>
          <w:b/>
          <w:bCs/>
        </w:rPr>
      </w:pPr>
      <w:r w:rsidRPr="005F5812">
        <w:rPr>
          <w:b/>
          <w:bCs/>
        </w:rPr>
        <w:lastRenderedPageBreak/>
        <w:t xml:space="preserve">Brief Pulse (1 </w:t>
      </w:r>
      <w:proofErr w:type="spellStart"/>
      <w:r w:rsidRPr="005F5812">
        <w:rPr>
          <w:b/>
          <w:bCs/>
        </w:rPr>
        <w:t>ms</w:t>
      </w:r>
      <w:proofErr w:type="spellEnd"/>
      <w:r w:rsidRPr="005F5812">
        <w:rPr>
          <w:b/>
          <w:bCs/>
        </w:rPr>
        <w:t>, DGX program) DOSE CHART (12 levels)</w:t>
      </w:r>
    </w:p>
    <w:p w14:paraId="7EB60481" w14:textId="77777777" w:rsidR="00BC4E0F" w:rsidRPr="005F5812" w:rsidRDefault="00BC4E0F" w:rsidP="00D63DAA">
      <w:pPr>
        <w:pStyle w:val="BodyCopy"/>
      </w:pPr>
      <w:r w:rsidRPr="005F5812">
        <w:t>Increase by one level if restimulation is necessary.</w:t>
      </w:r>
    </w:p>
    <w:p w14:paraId="27D7CC37" w14:textId="77777777" w:rsidR="00BC4E0F" w:rsidRPr="005F5812" w:rsidRDefault="00BC4E0F" w:rsidP="00D63DAA">
      <w:pPr>
        <w:pStyle w:val="BodyCopy"/>
      </w:pPr>
      <w:r w:rsidRPr="005F5812">
        <w:t>If there is no generalised seizure after 3 stimulations increase two levels for the fourth stimuli, and if successful drop one level for the first stimulus at the next treatment session to continue titration, before proceeding to treatment dose.</w:t>
      </w:r>
    </w:p>
    <w:p w14:paraId="1CC21D7E" w14:textId="77777777" w:rsidR="00BC4E0F" w:rsidRPr="005F5812" w:rsidRDefault="00BC4E0F" w:rsidP="00D63DAA">
      <w:pPr>
        <w:pStyle w:val="BodyCopy"/>
      </w:pPr>
      <w:r w:rsidRPr="005F5812">
        <w:t>If no seizure after four stimuli, abort session and increase by one level for first stimulus at next session to continue titration.</w:t>
      </w:r>
    </w:p>
    <w:p w14:paraId="5DF23780" w14:textId="77777777" w:rsidR="00BC4E0F" w:rsidRPr="005F5812" w:rsidRDefault="00BC4E0F" w:rsidP="00D63DAA">
      <w:pPr>
        <w:pStyle w:val="BodyCopy"/>
      </w:pPr>
      <w:r w:rsidRPr="005F5812">
        <w:t>Presence of a motor seizure is useful in determining if seizure has generalised. Cuffed limb technique should be used in titration sessions.</w:t>
      </w:r>
    </w:p>
    <w:p w14:paraId="4C639BBA" w14:textId="2E3B6BB6" w:rsidR="00D63DAA" w:rsidRPr="00D63DAA" w:rsidRDefault="00D63DAA" w:rsidP="00133100">
      <w:pPr>
        <w:pStyle w:val="Heading5"/>
      </w:pPr>
      <w:r w:rsidRPr="00D63DAA">
        <w:t>Successive Treatments</w:t>
      </w:r>
    </w:p>
    <w:p w14:paraId="14B15D58" w14:textId="3271A214" w:rsidR="00BC4E0F" w:rsidRPr="005F5812" w:rsidRDefault="00BC4E0F" w:rsidP="00D63DAA">
      <w:pPr>
        <w:pStyle w:val="BodyCopy"/>
      </w:pPr>
      <w:r w:rsidRPr="005F5812">
        <w:t>After establishing lowest level needed to produce a generalised seizure (ST- Seizure Threshold) increase by:</w:t>
      </w:r>
    </w:p>
    <w:p w14:paraId="7356BF2C" w14:textId="77777777" w:rsidR="00BC4E0F" w:rsidRPr="00D63DAA" w:rsidRDefault="00BC4E0F" w:rsidP="00D63DAA">
      <w:pPr>
        <w:pStyle w:val="Bullet"/>
        <w:rPr>
          <w:b/>
          <w:bCs/>
        </w:rPr>
      </w:pPr>
      <w:r w:rsidRPr="00D63DAA">
        <w:rPr>
          <w:b/>
          <w:bCs/>
        </w:rPr>
        <w:t>For High dose UL (approx. 5 x ST) increase 5 levels (exception: L1 ‒› L5)</w:t>
      </w:r>
    </w:p>
    <w:p w14:paraId="61F102C1" w14:textId="77777777" w:rsidR="00BC4E0F" w:rsidRPr="00D63DAA" w:rsidRDefault="00BC4E0F" w:rsidP="00D63DAA">
      <w:pPr>
        <w:pStyle w:val="Bullet"/>
        <w:rPr>
          <w:b/>
          <w:bCs/>
        </w:rPr>
      </w:pPr>
      <w:r w:rsidRPr="00D63DAA">
        <w:rPr>
          <w:b/>
          <w:bCs/>
        </w:rPr>
        <w:t>Moderate dose UL (approx. 3.5 x ST) increase 4 levels (exception: L1 ‒› L4)</w:t>
      </w:r>
    </w:p>
    <w:p w14:paraId="7603850B" w14:textId="77777777" w:rsidR="00BC4E0F" w:rsidRPr="00D63DAA" w:rsidRDefault="00BC4E0F" w:rsidP="00D63DAA">
      <w:pPr>
        <w:pStyle w:val="Bullet"/>
        <w:rPr>
          <w:b/>
          <w:bCs/>
        </w:rPr>
      </w:pPr>
      <w:r w:rsidRPr="00D63DAA">
        <w:rPr>
          <w:b/>
          <w:bCs/>
        </w:rPr>
        <w:t>Low dose BL (approx. 1.5 x ST) increase by 1 level</w:t>
      </w:r>
    </w:p>
    <w:p w14:paraId="0013FC86" w14:textId="77777777" w:rsidR="00BC4E0F" w:rsidRPr="00D63DAA" w:rsidRDefault="00BC4E0F" w:rsidP="00D63DAA">
      <w:pPr>
        <w:pStyle w:val="BodyCopy"/>
        <w:rPr>
          <w:b/>
          <w:bCs w:val="0"/>
          <w:i/>
          <w:iCs w:val="0"/>
        </w:rPr>
      </w:pPr>
      <w:r w:rsidRPr="00D63DAA">
        <w:rPr>
          <w:b/>
          <w:bCs w:val="0"/>
          <w:i/>
          <w:iCs w:val="0"/>
        </w:rPr>
        <w:t>Whenever there is inadequate seizure, increase the stimulus by 50% of previous dose for either UL or BL electrode placement.</w:t>
      </w:r>
    </w:p>
    <w:p w14:paraId="269C68E6" w14:textId="77777777" w:rsidR="00BC4E0F" w:rsidRPr="005F5812" w:rsidRDefault="00BC4E0F" w:rsidP="00D63DAA">
      <w:pPr>
        <w:pStyle w:val="BodyCopy"/>
      </w:pPr>
      <w:r w:rsidRPr="005F5812">
        <w:t>ST- Seizure Threshold</w:t>
      </w:r>
    </w:p>
    <w:p w14:paraId="5971076E" w14:textId="77777777" w:rsidR="00BC4E0F" w:rsidRPr="005F5812" w:rsidRDefault="00BC4E0F" w:rsidP="00D63DAA">
      <w:pPr>
        <w:pStyle w:val="BodyCopy"/>
      </w:pPr>
      <w:r w:rsidRPr="005F5812">
        <w:t>UL- Unilateral Electrode placement</w:t>
      </w:r>
    </w:p>
    <w:p w14:paraId="6036E059" w14:textId="77777777" w:rsidR="00BC4E0F" w:rsidRDefault="00BC4E0F" w:rsidP="00D63DAA">
      <w:pPr>
        <w:pStyle w:val="BodyCopy"/>
      </w:pPr>
      <w:r w:rsidRPr="005F5812">
        <w:t>BL- Bilateral Electrode placement</w:t>
      </w:r>
    </w:p>
    <w:p w14:paraId="2D2F9F82" w14:textId="77777777" w:rsidR="00D63DAA" w:rsidRDefault="00D63DAA" w:rsidP="00D63DAA">
      <w:pPr>
        <w:pStyle w:val="Bullet"/>
        <w:numPr>
          <w:ilvl w:val="0"/>
          <w:numId w:val="0"/>
        </w:numPr>
      </w:pPr>
      <w:hyperlink w:anchor="_top" w:history="1">
        <w:r w:rsidRPr="00481A6C">
          <w:rPr>
            <w:rStyle w:val="Hyperlink"/>
          </w:rPr>
          <w:t>Back to Contents</w:t>
        </w:r>
      </w:hyperlink>
    </w:p>
    <w:p w14:paraId="3E24CCC6" w14:textId="77777777" w:rsidR="00D63DAA" w:rsidRDefault="00D63DAA" w:rsidP="00BC4E0F">
      <w:pPr>
        <w:spacing w:before="0" w:after="0"/>
        <w:rPr>
          <w:sz w:val="28"/>
          <w:szCs w:val="28"/>
        </w:rPr>
      </w:pPr>
    </w:p>
    <w:p w14:paraId="3449AAEC" w14:textId="77777777" w:rsidR="00BC4E0F" w:rsidRDefault="00BC4E0F" w:rsidP="00BC4E0F">
      <w:pPr>
        <w:spacing w:after="200"/>
        <w:rPr>
          <w:sz w:val="28"/>
          <w:szCs w:val="28"/>
        </w:rPr>
      </w:pPr>
      <w:r>
        <w:rPr>
          <w:sz w:val="28"/>
          <w:szCs w:val="28"/>
        </w:rPr>
        <w:br w:type="page"/>
      </w:r>
    </w:p>
    <w:p w14:paraId="47309D7D" w14:textId="2242B9E6" w:rsidR="00BC4E0F" w:rsidRPr="00BC4E0F" w:rsidRDefault="00BC4E0F" w:rsidP="00BC4E0F">
      <w:pPr>
        <w:pStyle w:val="Heading4"/>
      </w:pPr>
      <w:bookmarkStart w:id="52" w:name="_Toc204358014"/>
      <w:r>
        <w:lastRenderedPageBreak/>
        <w:t xml:space="preserve">Attachment 5: </w:t>
      </w:r>
      <w:r w:rsidRPr="005F5812">
        <w:rPr>
          <w:rFonts w:eastAsia="Calibri"/>
        </w:rPr>
        <w:t xml:space="preserve">Method of ECT Dose Titration and Treatment Schedule for Brief Pulse </w:t>
      </w:r>
      <w:proofErr w:type="spellStart"/>
      <w:r w:rsidRPr="005F5812">
        <w:rPr>
          <w:rFonts w:eastAsia="Calibri"/>
        </w:rPr>
        <w:t>Thymatron</w:t>
      </w:r>
      <w:proofErr w:type="spellEnd"/>
      <w:r w:rsidRPr="005F5812">
        <w:rPr>
          <w:rFonts w:eastAsia="Calibri"/>
        </w:rPr>
        <w:t xml:space="preserve"> Series IV ultra-brief pulse (0.3 </w:t>
      </w:r>
      <w:proofErr w:type="spellStart"/>
      <w:r w:rsidRPr="005F5812">
        <w:rPr>
          <w:rFonts w:eastAsia="Calibri"/>
        </w:rPr>
        <w:t>ms</w:t>
      </w:r>
      <w:proofErr w:type="spellEnd"/>
      <w:r w:rsidRPr="005F5812">
        <w:rPr>
          <w:rFonts w:eastAsia="Calibri"/>
        </w:rPr>
        <w:t xml:space="preserve"> and 0.5 </w:t>
      </w:r>
      <w:proofErr w:type="spellStart"/>
      <w:r w:rsidRPr="005F5812">
        <w:rPr>
          <w:rFonts w:eastAsia="Calibri"/>
        </w:rPr>
        <w:t>ms</w:t>
      </w:r>
      <w:proofErr w:type="spellEnd"/>
      <w:r w:rsidRPr="005F5812">
        <w:rPr>
          <w:rFonts w:eastAsia="Calibri"/>
        </w:rPr>
        <w:t>)</w:t>
      </w:r>
      <w:bookmarkEnd w:id="52"/>
    </w:p>
    <w:tbl>
      <w:tblPr>
        <w:tblStyle w:val="TableGrid2"/>
        <w:tblpPr w:leftFromText="180" w:rightFromText="180" w:vertAnchor="page" w:horzAnchor="margin" w:tblpY="2236"/>
        <w:tblW w:w="10092" w:type="dxa"/>
        <w:tblLook w:val="04A0" w:firstRow="1" w:lastRow="0" w:firstColumn="1" w:lastColumn="0" w:noHBand="0" w:noVBand="1"/>
      </w:tblPr>
      <w:tblGrid>
        <w:gridCol w:w="2170"/>
        <w:gridCol w:w="2836"/>
        <w:gridCol w:w="2503"/>
        <w:gridCol w:w="2583"/>
      </w:tblGrid>
      <w:tr w:rsidR="00BC4E0F" w:rsidRPr="005F5812" w14:paraId="587AD76A" w14:textId="77777777" w:rsidTr="00BC4E0F">
        <w:trPr>
          <w:trHeight w:val="313"/>
        </w:trPr>
        <w:tc>
          <w:tcPr>
            <w:tcW w:w="2170" w:type="dxa"/>
            <w:tcBorders>
              <w:top w:val="single" w:sz="4" w:space="0" w:color="auto"/>
            </w:tcBorders>
          </w:tcPr>
          <w:p w14:paraId="0887E956" w14:textId="77777777" w:rsidR="00D049DE" w:rsidRDefault="00D049DE" w:rsidP="006035E4">
            <w:pPr>
              <w:jc w:val="center"/>
              <w:rPr>
                <w:rFonts w:ascii="Arial" w:eastAsia="Calibri" w:hAnsi="Arial" w:cs="Arial"/>
                <w:b/>
                <w:bCs/>
                <w:szCs w:val="24"/>
              </w:rPr>
            </w:pPr>
            <w:r w:rsidRPr="005F5812">
              <w:rPr>
                <w:rFonts w:ascii="Arial" w:eastAsia="Calibri" w:hAnsi="Arial" w:cs="Arial"/>
                <w:b/>
                <w:bCs/>
                <w:szCs w:val="24"/>
              </w:rPr>
              <w:t>Titration levels</w:t>
            </w:r>
          </w:p>
          <w:p w14:paraId="44CF502F" w14:textId="79713EEC" w:rsidR="00BC4E0F" w:rsidRPr="005F5812" w:rsidRDefault="00BC4E0F" w:rsidP="006035E4">
            <w:pPr>
              <w:jc w:val="center"/>
              <w:rPr>
                <w:rFonts w:ascii="Arial" w:eastAsia="Calibri" w:hAnsi="Arial" w:cs="Arial"/>
                <w:b/>
                <w:bCs/>
                <w:szCs w:val="24"/>
              </w:rPr>
            </w:pPr>
            <w:r w:rsidRPr="005F5812">
              <w:rPr>
                <w:rFonts w:ascii="Arial" w:eastAsia="Calibri" w:hAnsi="Arial" w:cs="Arial"/>
                <w:b/>
                <w:bCs/>
                <w:szCs w:val="24"/>
              </w:rPr>
              <w:t>LEVEL</w:t>
            </w:r>
          </w:p>
        </w:tc>
        <w:tc>
          <w:tcPr>
            <w:tcW w:w="2836" w:type="dxa"/>
            <w:tcBorders>
              <w:top w:val="single" w:sz="4" w:space="0" w:color="auto"/>
            </w:tcBorders>
          </w:tcPr>
          <w:p w14:paraId="655068D6" w14:textId="545B7FC6" w:rsidR="00D049DE" w:rsidRDefault="00D049DE" w:rsidP="006035E4">
            <w:pPr>
              <w:jc w:val="center"/>
              <w:rPr>
                <w:rFonts w:ascii="Arial" w:eastAsia="Calibri" w:hAnsi="Arial" w:cs="Arial"/>
                <w:b/>
                <w:bCs/>
                <w:szCs w:val="24"/>
              </w:rPr>
            </w:pPr>
            <w:r w:rsidRPr="005F5812">
              <w:rPr>
                <w:rFonts w:ascii="Arial" w:eastAsia="Calibri" w:hAnsi="Arial" w:cs="Arial"/>
                <w:b/>
                <w:bCs/>
                <w:szCs w:val="24"/>
              </w:rPr>
              <w:t>Titration levels</w:t>
            </w:r>
          </w:p>
          <w:p w14:paraId="6043F61C" w14:textId="6773ECCD" w:rsidR="00BC4E0F" w:rsidRPr="005F5812" w:rsidRDefault="00BC4E0F" w:rsidP="006035E4">
            <w:pPr>
              <w:jc w:val="center"/>
              <w:rPr>
                <w:rFonts w:ascii="Arial" w:eastAsia="Calibri" w:hAnsi="Arial" w:cs="Arial"/>
                <w:b/>
                <w:bCs/>
                <w:szCs w:val="24"/>
              </w:rPr>
            </w:pPr>
            <w:r w:rsidRPr="005F5812">
              <w:rPr>
                <w:rFonts w:ascii="Arial" w:eastAsia="Calibri" w:hAnsi="Arial" w:cs="Arial"/>
                <w:b/>
                <w:bCs/>
                <w:szCs w:val="24"/>
              </w:rPr>
              <w:t>STIMULUS SETTINGS</w:t>
            </w:r>
          </w:p>
        </w:tc>
        <w:tc>
          <w:tcPr>
            <w:tcW w:w="2503" w:type="dxa"/>
            <w:tcBorders>
              <w:top w:val="single" w:sz="4" w:space="0" w:color="auto"/>
            </w:tcBorders>
          </w:tcPr>
          <w:p w14:paraId="69ECEBFD" w14:textId="7BD5926A" w:rsidR="00D049DE" w:rsidRDefault="00D049DE" w:rsidP="00D049DE">
            <w:pPr>
              <w:jc w:val="center"/>
              <w:rPr>
                <w:rFonts w:ascii="Arial" w:eastAsia="Calibri" w:hAnsi="Arial" w:cs="Arial"/>
                <w:b/>
                <w:bCs/>
                <w:szCs w:val="24"/>
              </w:rPr>
            </w:pPr>
            <w:r w:rsidRPr="005F5812">
              <w:rPr>
                <w:rFonts w:ascii="Arial" w:eastAsia="Calibri" w:hAnsi="Arial" w:cs="Arial"/>
                <w:b/>
                <w:bCs/>
                <w:szCs w:val="24"/>
              </w:rPr>
              <w:t>Treatment levels (6x Threshold)</w:t>
            </w:r>
          </w:p>
          <w:p w14:paraId="2A45849D" w14:textId="6C1482DB" w:rsidR="00BC4E0F" w:rsidRPr="005F5812" w:rsidRDefault="00BC4E0F" w:rsidP="00D049DE">
            <w:pPr>
              <w:jc w:val="center"/>
              <w:rPr>
                <w:rFonts w:ascii="Arial" w:eastAsia="Calibri" w:hAnsi="Arial" w:cs="Arial"/>
                <w:b/>
                <w:bCs/>
                <w:szCs w:val="24"/>
              </w:rPr>
            </w:pPr>
            <w:r w:rsidRPr="005F5812">
              <w:rPr>
                <w:rFonts w:ascii="Arial" w:eastAsia="Calibri" w:hAnsi="Arial" w:cs="Arial"/>
                <w:b/>
                <w:bCs/>
                <w:szCs w:val="24"/>
              </w:rPr>
              <w:t>LEVEL</w:t>
            </w:r>
          </w:p>
        </w:tc>
        <w:tc>
          <w:tcPr>
            <w:tcW w:w="2583" w:type="dxa"/>
            <w:tcBorders>
              <w:top w:val="single" w:sz="4" w:space="0" w:color="auto"/>
            </w:tcBorders>
          </w:tcPr>
          <w:p w14:paraId="752500B1" w14:textId="4B5EEB5C" w:rsidR="00D049DE" w:rsidRDefault="00D049DE" w:rsidP="00D049DE">
            <w:pPr>
              <w:jc w:val="center"/>
              <w:rPr>
                <w:rFonts w:ascii="Arial" w:eastAsia="Calibri" w:hAnsi="Arial" w:cs="Arial"/>
                <w:b/>
                <w:bCs/>
                <w:szCs w:val="24"/>
              </w:rPr>
            </w:pPr>
            <w:r w:rsidRPr="005F5812">
              <w:rPr>
                <w:rFonts w:ascii="Arial" w:eastAsia="Calibri" w:hAnsi="Arial" w:cs="Arial"/>
                <w:b/>
                <w:bCs/>
                <w:szCs w:val="24"/>
              </w:rPr>
              <w:t>Treatment levels (6x Threshold)</w:t>
            </w:r>
          </w:p>
          <w:p w14:paraId="47FD38DA" w14:textId="77777777" w:rsidR="00BC4E0F" w:rsidRPr="005F5812" w:rsidRDefault="00BC4E0F" w:rsidP="00D049DE">
            <w:pPr>
              <w:jc w:val="center"/>
              <w:rPr>
                <w:rFonts w:ascii="Arial" w:eastAsia="Calibri" w:hAnsi="Arial" w:cs="Arial"/>
                <w:b/>
                <w:bCs/>
                <w:szCs w:val="24"/>
              </w:rPr>
            </w:pPr>
            <w:r w:rsidRPr="005F5812">
              <w:rPr>
                <w:rFonts w:ascii="Arial" w:eastAsia="Calibri" w:hAnsi="Arial" w:cs="Arial"/>
                <w:b/>
                <w:bCs/>
                <w:szCs w:val="24"/>
              </w:rPr>
              <w:t>STIMULUS SETTINGS</w:t>
            </w:r>
          </w:p>
        </w:tc>
      </w:tr>
      <w:tr w:rsidR="00BC4E0F" w:rsidRPr="005F5812" w14:paraId="2D226C23" w14:textId="77777777" w:rsidTr="00BC4E0F">
        <w:trPr>
          <w:trHeight w:val="332"/>
        </w:trPr>
        <w:tc>
          <w:tcPr>
            <w:tcW w:w="2170" w:type="dxa"/>
            <w:shd w:val="clear" w:color="auto" w:fill="D9D9D9" w:themeFill="background1" w:themeFillShade="D9"/>
          </w:tcPr>
          <w:p w14:paraId="7BA6DDA3"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RU 1 Titration &lt; 50 years</w:t>
            </w:r>
          </w:p>
        </w:tc>
        <w:tc>
          <w:tcPr>
            <w:tcW w:w="2836" w:type="dxa"/>
            <w:shd w:val="clear" w:color="auto" w:fill="D9D9D9" w:themeFill="background1" w:themeFillShade="D9"/>
          </w:tcPr>
          <w:p w14:paraId="4B91B824"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2% ‒›</w:t>
            </w:r>
          </w:p>
        </w:tc>
        <w:tc>
          <w:tcPr>
            <w:tcW w:w="2503" w:type="dxa"/>
            <w:shd w:val="clear" w:color="auto" w:fill="D9D9D9" w:themeFill="background1" w:themeFillShade="D9"/>
          </w:tcPr>
          <w:p w14:paraId="305215B8"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RU 9</w:t>
            </w:r>
          </w:p>
        </w:tc>
        <w:tc>
          <w:tcPr>
            <w:tcW w:w="2583" w:type="dxa"/>
            <w:shd w:val="clear" w:color="auto" w:fill="D9D9D9" w:themeFill="background1" w:themeFillShade="D9"/>
          </w:tcPr>
          <w:p w14:paraId="5818091C"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10%</w:t>
            </w:r>
          </w:p>
        </w:tc>
      </w:tr>
      <w:tr w:rsidR="00BC4E0F" w:rsidRPr="005F5812" w14:paraId="0D43C4EB" w14:textId="77777777" w:rsidTr="00BC4E0F">
        <w:trPr>
          <w:trHeight w:val="313"/>
        </w:trPr>
        <w:tc>
          <w:tcPr>
            <w:tcW w:w="2170" w:type="dxa"/>
          </w:tcPr>
          <w:p w14:paraId="1C9B42F3" w14:textId="77777777" w:rsidR="00BC4E0F" w:rsidRPr="005F5812" w:rsidRDefault="00BC4E0F" w:rsidP="00BC4E0F">
            <w:pPr>
              <w:jc w:val="center"/>
              <w:rPr>
                <w:rFonts w:ascii="Arial" w:eastAsia="Calibri" w:hAnsi="Arial" w:cs="Arial"/>
                <w:szCs w:val="24"/>
              </w:rPr>
            </w:pPr>
          </w:p>
        </w:tc>
        <w:tc>
          <w:tcPr>
            <w:tcW w:w="2836" w:type="dxa"/>
          </w:tcPr>
          <w:p w14:paraId="0B641BA7" w14:textId="77777777" w:rsidR="00BC4E0F" w:rsidRPr="005F5812" w:rsidRDefault="00BC4E0F" w:rsidP="00BC4E0F">
            <w:pPr>
              <w:jc w:val="center"/>
              <w:rPr>
                <w:rFonts w:ascii="Arial" w:eastAsia="Calibri" w:hAnsi="Arial" w:cs="Arial"/>
                <w:szCs w:val="24"/>
              </w:rPr>
            </w:pPr>
          </w:p>
        </w:tc>
        <w:tc>
          <w:tcPr>
            <w:tcW w:w="2503" w:type="dxa"/>
          </w:tcPr>
          <w:p w14:paraId="1A859210"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RU 9.5</w:t>
            </w:r>
          </w:p>
        </w:tc>
        <w:tc>
          <w:tcPr>
            <w:tcW w:w="2583" w:type="dxa"/>
          </w:tcPr>
          <w:p w14:paraId="114132BA"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15%</w:t>
            </w:r>
          </w:p>
        </w:tc>
      </w:tr>
      <w:tr w:rsidR="00BC4E0F" w:rsidRPr="005F5812" w14:paraId="7C8D0E11" w14:textId="77777777" w:rsidTr="00BC4E0F">
        <w:trPr>
          <w:trHeight w:val="332"/>
        </w:trPr>
        <w:tc>
          <w:tcPr>
            <w:tcW w:w="2170" w:type="dxa"/>
            <w:shd w:val="clear" w:color="auto" w:fill="D9D9D9" w:themeFill="background1" w:themeFillShade="D9"/>
          </w:tcPr>
          <w:p w14:paraId="7BE61973"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RU 2 Titration ≥ 50 years</w:t>
            </w:r>
          </w:p>
        </w:tc>
        <w:tc>
          <w:tcPr>
            <w:tcW w:w="2836" w:type="dxa"/>
            <w:shd w:val="clear" w:color="auto" w:fill="D9D9D9" w:themeFill="background1" w:themeFillShade="D9"/>
          </w:tcPr>
          <w:p w14:paraId="456B45D1"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4% ‒›</w:t>
            </w:r>
          </w:p>
        </w:tc>
        <w:tc>
          <w:tcPr>
            <w:tcW w:w="2503" w:type="dxa"/>
            <w:shd w:val="clear" w:color="auto" w:fill="D9D9D9" w:themeFill="background1" w:themeFillShade="D9"/>
          </w:tcPr>
          <w:p w14:paraId="3F623246"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RU 10</w:t>
            </w:r>
          </w:p>
        </w:tc>
        <w:tc>
          <w:tcPr>
            <w:tcW w:w="2583" w:type="dxa"/>
            <w:shd w:val="clear" w:color="auto" w:fill="D9D9D9" w:themeFill="background1" w:themeFillShade="D9"/>
          </w:tcPr>
          <w:p w14:paraId="352F8EFB"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25%</w:t>
            </w:r>
          </w:p>
        </w:tc>
      </w:tr>
      <w:tr w:rsidR="00BC4E0F" w:rsidRPr="005F5812" w14:paraId="172D1441" w14:textId="77777777" w:rsidTr="00BC4E0F">
        <w:trPr>
          <w:trHeight w:val="313"/>
        </w:trPr>
        <w:tc>
          <w:tcPr>
            <w:tcW w:w="2170" w:type="dxa"/>
          </w:tcPr>
          <w:p w14:paraId="4A61AF0A" w14:textId="77777777" w:rsidR="00BC4E0F" w:rsidRPr="005F5812" w:rsidRDefault="00BC4E0F" w:rsidP="00BC4E0F">
            <w:pPr>
              <w:jc w:val="center"/>
              <w:rPr>
                <w:rFonts w:ascii="Arial" w:eastAsia="Calibri" w:hAnsi="Arial" w:cs="Arial"/>
                <w:szCs w:val="24"/>
              </w:rPr>
            </w:pPr>
          </w:p>
        </w:tc>
        <w:tc>
          <w:tcPr>
            <w:tcW w:w="2836" w:type="dxa"/>
          </w:tcPr>
          <w:p w14:paraId="2084FF0E" w14:textId="77777777" w:rsidR="00BC4E0F" w:rsidRPr="005F5812" w:rsidRDefault="00BC4E0F" w:rsidP="00BC4E0F">
            <w:pPr>
              <w:jc w:val="center"/>
              <w:rPr>
                <w:rFonts w:ascii="Arial" w:eastAsia="Calibri" w:hAnsi="Arial" w:cs="Arial"/>
                <w:szCs w:val="24"/>
              </w:rPr>
            </w:pPr>
          </w:p>
        </w:tc>
        <w:tc>
          <w:tcPr>
            <w:tcW w:w="2503" w:type="dxa"/>
          </w:tcPr>
          <w:p w14:paraId="29398F8F"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RU 10.5</w:t>
            </w:r>
          </w:p>
        </w:tc>
        <w:tc>
          <w:tcPr>
            <w:tcW w:w="2583" w:type="dxa"/>
          </w:tcPr>
          <w:p w14:paraId="204521C4"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35%</w:t>
            </w:r>
          </w:p>
        </w:tc>
      </w:tr>
      <w:tr w:rsidR="00BC4E0F" w:rsidRPr="005F5812" w14:paraId="00393263" w14:textId="77777777" w:rsidTr="00BC4E0F">
        <w:trPr>
          <w:trHeight w:val="332"/>
        </w:trPr>
        <w:tc>
          <w:tcPr>
            <w:tcW w:w="2170" w:type="dxa"/>
            <w:shd w:val="clear" w:color="auto" w:fill="D9D9D9" w:themeFill="background1" w:themeFillShade="D9"/>
          </w:tcPr>
          <w:p w14:paraId="376EAFFF"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RU 3</w:t>
            </w:r>
          </w:p>
        </w:tc>
        <w:tc>
          <w:tcPr>
            <w:tcW w:w="2836" w:type="dxa"/>
            <w:shd w:val="clear" w:color="auto" w:fill="D9D9D9" w:themeFill="background1" w:themeFillShade="D9"/>
          </w:tcPr>
          <w:p w14:paraId="2C628DD3"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8% ‒›</w:t>
            </w:r>
          </w:p>
        </w:tc>
        <w:tc>
          <w:tcPr>
            <w:tcW w:w="2503" w:type="dxa"/>
            <w:shd w:val="clear" w:color="auto" w:fill="D9D9D9" w:themeFill="background1" w:themeFillShade="D9"/>
          </w:tcPr>
          <w:p w14:paraId="5BE7965E"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RU 11</w:t>
            </w:r>
          </w:p>
        </w:tc>
        <w:tc>
          <w:tcPr>
            <w:tcW w:w="2583" w:type="dxa"/>
            <w:shd w:val="clear" w:color="auto" w:fill="D9D9D9" w:themeFill="background1" w:themeFillShade="D9"/>
          </w:tcPr>
          <w:p w14:paraId="5E806F42"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50%</w:t>
            </w:r>
          </w:p>
        </w:tc>
      </w:tr>
      <w:tr w:rsidR="00BC4E0F" w:rsidRPr="005F5812" w14:paraId="615C8396" w14:textId="77777777" w:rsidTr="00BC4E0F">
        <w:trPr>
          <w:trHeight w:val="332"/>
        </w:trPr>
        <w:tc>
          <w:tcPr>
            <w:tcW w:w="2170" w:type="dxa"/>
          </w:tcPr>
          <w:p w14:paraId="2D4EB9A9" w14:textId="77777777" w:rsidR="00BC4E0F" w:rsidRPr="005F5812" w:rsidRDefault="00BC4E0F" w:rsidP="00BC4E0F">
            <w:pPr>
              <w:jc w:val="center"/>
              <w:rPr>
                <w:rFonts w:ascii="Arial" w:eastAsia="Calibri" w:hAnsi="Arial" w:cs="Arial"/>
                <w:szCs w:val="24"/>
              </w:rPr>
            </w:pPr>
          </w:p>
        </w:tc>
        <w:tc>
          <w:tcPr>
            <w:tcW w:w="2836" w:type="dxa"/>
          </w:tcPr>
          <w:p w14:paraId="40355CFE" w14:textId="77777777" w:rsidR="00BC4E0F" w:rsidRPr="005F5812" w:rsidRDefault="00BC4E0F" w:rsidP="00BC4E0F">
            <w:pPr>
              <w:jc w:val="center"/>
              <w:rPr>
                <w:rFonts w:ascii="Arial" w:eastAsia="Calibri" w:hAnsi="Arial" w:cs="Arial"/>
                <w:szCs w:val="24"/>
              </w:rPr>
            </w:pPr>
          </w:p>
        </w:tc>
        <w:tc>
          <w:tcPr>
            <w:tcW w:w="2503" w:type="dxa"/>
          </w:tcPr>
          <w:p w14:paraId="5A3D40E8"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RU 11.5</w:t>
            </w:r>
          </w:p>
        </w:tc>
        <w:tc>
          <w:tcPr>
            <w:tcW w:w="2583" w:type="dxa"/>
          </w:tcPr>
          <w:p w14:paraId="7AEFECCE"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70%</w:t>
            </w:r>
          </w:p>
        </w:tc>
      </w:tr>
      <w:tr w:rsidR="00BC4E0F" w:rsidRPr="005F5812" w14:paraId="74F8B648" w14:textId="77777777" w:rsidTr="00BC4E0F">
        <w:trPr>
          <w:trHeight w:val="313"/>
        </w:trPr>
        <w:tc>
          <w:tcPr>
            <w:tcW w:w="2170" w:type="dxa"/>
            <w:shd w:val="clear" w:color="auto" w:fill="D9D9D9" w:themeFill="background1" w:themeFillShade="D9"/>
          </w:tcPr>
          <w:p w14:paraId="3530E8EF"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RU 4</w:t>
            </w:r>
          </w:p>
        </w:tc>
        <w:tc>
          <w:tcPr>
            <w:tcW w:w="2836" w:type="dxa"/>
            <w:shd w:val="clear" w:color="auto" w:fill="D9D9D9" w:themeFill="background1" w:themeFillShade="D9"/>
          </w:tcPr>
          <w:p w14:paraId="3064F1B1"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15% ‒›</w:t>
            </w:r>
          </w:p>
        </w:tc>
        <w:tc>
          <w:tcPr>
            <w:tcW w:w="2503" w:type="dxa"/>
            <w:shd w:val="clear" w:color="auto" w:fill="D9D9D9" w:themeFill="background1" w:themeFillShade="D9"/>
          </w:tcPr>
          <w:p w14:paraId="2B98D71D"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RU 12</w:t>
            </w:r>
          </w:p>
        </w:tc>
        <w:tc>
          <w:tcPr>
            <w:tcW w:w="2583" w:type="dxa"/>
            <w:shd w:val="clear" w:color="auto" w:fill="D9D9D9" w:themeFill="background1" w:themeFillShade="D9"/>
          </w:tcPr>
          <w:p w14:paraId="218135C6"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100%</w:t>
            </w:r>
          </w:p>
        </w:tc>
      </w:tr>
      <w:tr w:rsidR="00BC4E0F" w:rsidRPr="005F5812" w14:paraId="4741C65F" w14:textId="77777777" w:rsidTr="00BC4E0F">
        <w:trPr>
          <w:trHeight w:val="332"/>
        </w:trPr>
        <w:tc>
          <w:tcPr>
            <w:tcW w:w="2170" w:type="dxa"/>
          </w:tcPr>
          <w:p w14:paraId="0475E1B2"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RU 5</w:t>
            </w:r>
          </w:p>
        </w:tc>
        <w:tc>
          <w:tcPr>
            <w:tcW w:w="2836" w:type="dxa"/>
          </w:tcPr>
          <w:p w14:paraId="39600EC1"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25% ‒›</w:t>
            </w:r>
          </w:p>
        </w:tc>
        <w:tc>
          <w:tcPr>
            <w:tcW w:w="2503" w:type="dxa"/>
          </w:tcPr>
          <w:p w14:paraId="3522D895"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RU 13</w:t>
            </w:r>
          </w:p>
        </w:tc>
        <w:tc>
          <w:tcPr>
            <w:tcW w:w="2583" w:type="dxa"/>
          </w:tcPr>
          <w:p w14:paraId="14DB9723"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140%</w:t>
            </w:r>
          </w:p>
        </w:tc>
      </w:tr>
      <w:tr w:rsidR="00BC4E0F" w:rsidRPr="005F5812" w14:paraId="53EB1EE2" w14:textId="77777777" w:rsidTr="00BC4E0F">
        <w:trPr>
          <w:trHeight w:val="313"/>
        </w:trPr>
        <w:tc>
          <w:tcPr>
            <w:tcW w:w="2170" w:type="dxa"/>
            <w:shd w:val="clear" w:color="auto" w:fill="D9D9D9" w:themeFill="background1" w:themeFillShade="D9"/>
          </w:tcPr>
          <w:p w14:paraId="41640E3E"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RU 6</w:t>
            </w:r>
          </w:p>
        </w:tc>
        <w:tc>
          <w:tcPr>
            <w:tcW w:w="2836" w:type="dxa"/>
            <w:shd w:val="clear" w:color="auto" w:fill="D9D9D9" w:themeFill="background1" w:themeFillShade="D9"/>
          </w:tcPr>
          <w:p w14:paraId="3683314C"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35% ‒›</w:t>
            </w:r>
          </w:p>
        </w:tc>
        <w:tc>
          <w:tcPr>
            <w:tcW w:w="2503" w:type="dxa"/>
            <w:shd w:val="clear" w:color="auto" w:fill="D9D9D9" w:themeFill="background1" w:themeFillShade="D9"/>
          </w:tcPr>
          <w:p w14:paraId="6207031B"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RU 14</w:t>
            </w:r>
          </w:p>
        </w:tc>
        <w:tc>
          <w:tcPr>
            <w:tcW w:w="2583" w:type="dxa"/>
            <w:shd w:val="clear" w:color="auto" w:fill="D9D9D9" w:themeFill="background1" w:themeFillShade="D9"/>
          </w:tcPr>
          <w:p w14:paraId="420EFC20" w14:textId="77777777" w:rsidR="00BC4E0F" w:rsidRPr="005F5812" w:rsidRDefault="00BC4E0F" w:rsidP="00BC4E0F">
            <w:pPr>
              <w:jc w:val="center"/>
              <w:rPr>
                <w:rFonts w:ascii="Arial" w:eastAsia="Calibri" w:hAnsi="Arial" w:cs="Arial"/>
                <w:szCs w:val="24"/>
              </w:rPr>
            </w:pPr>
            <w:r w:rsidRPr="005F5812">
              <w:rPr>
                <w:rFonts w:ascii="Arial" w:eastAsia="Calibri" w:hAnsi="Arial" w:cs="Arial"/>
                <w:szCs w:val="24"/>
              </w:rPr>
              <w:t>200%</w:t>
            </w:r>
          </w:p>
        </w:tc>
      </w:tr>
    </w:tbl>
    <w:p w14:paraId="0921084D" w14:textId="092EEB7E" w:rsidR="00BC4E0F" w:rsidRDefault="00BC4E0F" w:rsidP="00BC4E0F">
      <w:pPr>
        <w:tabs>
          <w:tab w:val="left" w:pos="4215"/>
        </w:tabs>
        <w:rPr>
          <w:lang w:eastAsia="en-US"/>
        </w:rPr>
      </w:pPr>
    </w:p>
    <w:p w14:paraId="5F9178B6" w14:textId="77777777" w:rsidR="00BC4E0F" w:rsidRDefault="00BC4E0F" w:rsidP="00BC4E0F">
      <w:pPr>
        <w:tabs>
          <w:tab w:val="left" w:pos="4215"/>
        </w:tabs>
        <w:rPr>
          <w:lang w:eastAsia="en-US"/>
        </w:rPr>
      </w:pPr>
    </w:p>
    <w:p w14:paraId="6783BD44" w14:textId="77777777" w:rsidR="00BC4E0F" w:rsidRDefault="00BC4E0F" w:rsidP="00BC4E0F">
      <w:pPr>
        <w:tabs>
          <w:tab w:val="left" w:pos="4215"/>
        </w:tabs>
        <w:rPr>
          <w:lang w:eastAsia="en-US"/>
        </w:rPr>
      </w:pPr>
    </w:p>
    <w:p w14:paraId="6A73277A" w14:textId="77777777" w:rsidR="00BC4E0F" w:rsidRDefault="00BC4E0F" w:rsidP="00BC4E0F">
      <w:pPr>
        <w:tabs>
          <w:tab w:val="left" w:pos="4215"/>
        </w:tabs>
        <w:rPr>
          <w:lang w:eastAsia="en-US"/>
        </w:rPr>
      </w:pPr>
    </w:p>
    <w:p w14:paraId="47241E3D" w14:textId="77777777" w:rsidR="00BC4E0F" w:rsidRDefault="00BC4E0F" w:rsidP="00BC4E0F">
      <w:pPr>
        <w:tabs>
          <w:tab w:val="left" w:pos="4215"/>
        </w:tabs>
        <w:rPr>
          <w:lang w:eastAsia="en-US"/>
        </w:rPr>
      </w:pPr>
    </w:p>
    <w:p w14:paraId="1AE9C093" w14:textId="77777777" w:rsidR="00BC4E0F" w:rsidRDefault="00BC4E0F" w:rsidP="00BC4E0F">
      <w:pPr>
        <w:tabs>
          <w:tab w:val="left" w:pos="4215"/>
        </w:tabs>
        <w:rPr>
          <w:lang w:eastAsia="en-US"/>
        </w:rPr>
      </w:pPr>
    </w:p>
    <w:p w14:paraId="1498856D" w14:textId="77777777" w:rsidR="00BC4E0F" w:rsidRDefault="00BC4E0F" w:rsidP="00BC4E0F">
      <w:pPr>
        <w:tabs>
          <w:tab w:val="left" w:pos="4215"/>
        </w:tabs>
        <w:rPr>
          <w:lang w:eastAsia="en-US"/>
        </w:rPr>
      </w:pPr>
    </w:p>
    <w:p w14:paraId="4910AC77" w14:textId="77777777" w:rsidR="00BC4E0F" w:rsidRDefault="00BC4E0F" w:rsidP="00BC4E0F">
      <w:pPr>
        <w:tabs>
          <w:tab w:val="left" w:pos="4215"/>
        </w:tabs>
        <w:rPr>
          <w:lang w:eastAsia="en-US"/>
        </w:rPr>
      </w:pPr>
    </w:p>
    <w:p w14:paraId="06FCEEFF" w14:textId="77777777" w:rsidR="00D63DAA" w:rsidRDefault="00D63DAA" w:rsidP="00D63DAA">
      <w:pPr>
        <w:pStyle w:val="Bullet"/>
        <w:numPr>
          <w:ilvl w:val="0"/>
          <w:numId w:val="0"/>
        </w:numPr>
      </w:pPr>
      <w:hyperlink w:anchor="_top" w:history="1">
        <w:r w:rsidRPr="00481A6C">
          <w:rPr>
            <w:rStyle w:val="Hyperlink"/>
          </w:rPr>
          <w:t>Back to Contents</w:t>
        </w:r>
      </w:hyperlink>
    </w:p>
    <w:p w14:paraId="50A37422" w14:textId="486BA822" w:rsidR="00BC4E0F" w:rsidRPr="00BC4E0F" w:rsidRDefault="00BC4E0F" w:rsidP="00BC4E0F">
      <w:pPr>
        <w:pStyle w:val="Heading4"/>
      </w:pPr>
      <w:bookmarkStart w:id="53" w:name="_Toc204358015"/>
      <w:r>
        <w:lastRenderedPageBreak/>
        <w:t xml:space="preserve">Attachment 6: </w:t>
      </w:r>
      <w:r w:rsidRPr="005F5812">
        <w:t>RANZCP guidelines considerations for ECT electrode placements, pulse width and seizure threshold.</w:t>
      </w:r>
      <w:bookmarkEnd w:id="53"/>
    </w:p>
    <w:tbl>
      <w:tblPr>
        <w:tblStyle w:val="TableGrid"/>
        <w:tblW w:w="9918" w:type="dxa"/>
        <w:tblLook w:val="04A0" w:firstRow="1" w:lastRow="0" w:firstColumn="1" w:lastColumn="0" w:noHBand="0" w:noVBand="1"/>
      </w:tblPr>
      <w:tblGrid>
        <w:gridCol w:w="3539"/>
        <w:gridCol w:w="6379"/>
      </w:tblGrid>
      <w:tr w:rsidR="00EA0F16" w14:paraId="7C26E9BB" w14:textId="77777777" w:rsidTr="00083BC7">
        <w:tc>
          <w:tcPr>
            <w:tcW w:w="3539" w:type="dxa"/>
          </w:tcPr>
          <w:p w14:paraId="35B54BFD" w14:textId="195E417E" w:rsidR="00EA0F16" w:rsidRDefault="00EA0F16" w:rsidP="00EA0F16">
            <w:pPr>
              <w:pStyle w:val="Tableheader-black"/>
            </w:pPr>
            <w:r>
              <w:t>Electrode Placement</w:t>
            </w:r>
          </w:p>
        </w:tc>
        <w:tc>
          <w:tcPr>
            <w:tcW w:w="6379" w:type="dxa"/>
          </w:tcPr>
          <w:p w14:paraId="0730F4AB" w14:textId="3C1A460D" w:rsidR="00EA0F16" w:rsidRDefault="00EA0F16" w:rsidP="00EA0F16">
            <w:pPr>
              <w:pStyle w:val="Tableheader-black"/>
            </w:pPr>
            <w:r>
              <w:t>Recommended parameters for pulse width and threshold</w:t>
            </w:r>
          </w:p>
        </w:tc>
      </w:tr>
      <w:tr w:rsidR="00EA0F16" w14:paraId="35AD83D6" w14:textId="77777777" w:rsidTr="00083BC7">
        <w:tc>
          <w:tcPr>
            <w:tcW w:w="3539" w:type="dxa"/>
          </w:tcPr>
          <w:p w14:paraId="5788A9FC" w14:textId="2A5A6433" w:rsidR="00EA0F16" w:rsidRDefault="00EA0F16" w:rsidP="00D63DAA">
            <w:pPr>
              <w:pStyle w:val="Bullet"/>
              <w:numPr>
                <w:ilvl w:val="0"/>
                <w:numId w:val="0"/>
              </w:numPr>
            </w:pPr>
            <w:r w:rsidRPr="00EA0F16">
              <w:t>For right unilateral (RUL) ECT</w:t>
            </w:r>
          </w:p>
        </w:tc>
        <w:tc>
          <w:tcPr>
            <w:tcW w:w="6379" w:type="dxa"/>
          </w:tcPr>
          <w:p w14:paraId="42F1AEC9" w14:textId="77777777" w:rsidR="00EA0F16" w:rsidRDefault="00EA0F16" w:rsidP="00D63DAA">
            <w:pPr>
              <w:pStyle w:val="Bullet"/>
              <w:numPr>
                <w:ilvl w:val="0"/>
                <w:numId w:val="0"/>
              </w:numPr>
            </w:pPr>
            <w:r w:rsidRPr="00EA0F16">
              <w:t xml:space="preserve">Ultra brief pulse width (0.3 </w:t>
            </w:r>
            <w:proofErr w:type="spellStart"/>
            <w:r w:rsidRPr="00EA0F16">
              <w:t>ms</w:t>
            </w:r>
            <w:proofErr w:type="spellEnd"/>
            <w:r w:rsidRPr="00EA0F16">
              <w:t>) at 6 X ST 1.0-ms pulse width at 5-6X ST</w:t>
            </w:r>
          </w:p>
          <w:p w14:paraId="30EE011D" w14:textId="3CCE8988" w:rsidR="00EA0F16" w:rsidRDefault="00EA0F16" w:rsidP="00D63DAA">
            <w:pPr>
              <w:pStyle w:val="Bullet"/>
              <w:numPr>
                <w:ilvl w:val="0"/>
                <w:numId w:val="0"/>
              </w:numPr>
            </w:pPr>
            <w:r w:rsidRPr="00EA0F16">
              <w:t>0.5-ms pulse width at 5-6 X ST is recommended, noting lower level of evidence</w:t>
            </w:r>
          </w:p>
        </w:tc>
      </w:tr>
      <w:tr w:rsidR="00EA0F16" w14:paraId="11578407" w14:textId="77777777" w:rsidTr="00083BC7">
        <w:tc>
          <w:tcPr>
            <w:tcW w:w="3539" w:type="dxa"/>
          </w:tcPr>
          <w:p w14:paraId="7BE1B22D" w14:textId="60950782" w:rsidR="00EA0F16" w:rsidRDefault="00EA0F16" w:rsidP="00D63DAA">
            <w:pPr>
              <w:pStyle w:val="Bullet"/>
              <w:numPr>
                <w:ilvl w:val="0"/>
                <w:numId w:val="0"/>
              </w:numPr>
            </w:pPr>
            <w:r w:rsidRPr="00EA0F16">
              <w:t xml:space="preserve">For bifrontal (BF) ECT </w:t>
            </w:r>
          </w:p>
        </w:tc>
        <w:tc>
          <w:tcPr>
            <w:tcW w:w="6379" w:type="dxa"/>
          </w:tcPr>
          <w:p w14:paraId="226F7ACA" w14:textId="77777777" w:rsidR="00EA0F16" w:rsidRDefault="00EA0F16" w:rsidP="00D63DAA">
            <w:pPr>
              <w:pStyle w:val="Bullet"/>
              <w:numPr>
                <w:ilvl w:val="0"/>
                <w:numId w:val="0"/>
              </w:numPr>
            </w:pPr>
            <w:r w:rsidRPr="00EA0F16">
              <w:t>1.0-ms pulse width at 1.5 X ST</w:t>
            </w:r>
          </w:p>
          <w:p w14:paraId="1C7D634F" w14:textId="19DC6B9C" w:rsidR="00EA0F16" w:rsidRDefault="00EA0F16" w:rsidP="00D63DAA">
            <w:pPr>
              <w:pStyle w:val="Bullet"/>
              <w:numPr>
                <w:ilvl w:val="0"/>
                <w:numId w:val="0"/>
              </w:numPr>
            </w:pPr>
            <w:r w:rsidRPr="00EA0F16">
              <w:t>0.5-ms pulse width at 1.5-2.5 X ST</w:t>
            </w:r>
          </w:p>
        </w:tc>
      </w:tr>
      <w:tr w:rsidR="00EA0F16" w14:paraId="1B38D130" w14:textId="77777777" w:rsidTr="00083BC7">
        <w:tc>
          <w:tcPr>
            <w:tcW w:w="3539" w:type="dxa"/>
          </w:tcPr>
          <w:p w14:paraId="6570A81A" w14:textId="32EB6C23" w:rsidR="00EA0F16" w:rsidRDefault="00EA0F16" w:rsidP="00D63DAA">
            <w:pPr>
              <w:pStyle w:val="Bullet"/>
              <w:numPr>
                <w:ilvl w:val="0"/>
                <w:numId w:val="0"/>
              </w:numPr>
            </w:pPr>
            <w:r w:rsidRPr="00EA0F16">
              <w:t xml:space="preserve">For bitemporal (BT) ECT </w:t>
            </w:r>
          </w:p>
        </w:tc>
        <w:tc>
          <w:tcPr>
            <w:tcW w:w="6379" w:type="dxa"/>
          </w:tcPr>
          <w:p w14:paraId="3951088D" w14:textId="77777777" w:rsidR="00EA0F16" w:rsidRDefault="00EA0F16" w:rsidP="00D63DAA">
            <w:pPr>
              <w:pStyle w:val="Bullet"/>
              <w:numPr>
                <w:ilvl w:val="0"/>
                <w:numId w:val="0"/>
              </w:numPr>
            </w:pPr>
            <w:r w:rsidRPr="00EA0F16">
              <w:t>1.0-ms pulse width at 1.5 X ST</w:t>
            </w:r>
          </w:p>
          <w:p w14:paraId="2DEDEA0D" w14:textId="5C9CC245" w:rsidR="00EA0F16" w:rsidRDefault="00EA0F16" w:rsidP="00D63DAA">
            <w:pPr>
              <w:pStyle w:val="Bullet"/>
              <w:numPr>
                <w:ilvl w:val="0"/>
                <w:numId w:val="0"/>
              </w:numPr>
            </w:pPr>
            <w:r w:rsidRPr="00EA0F16">
              <w:t>0.5-ms pulse width at 1.5-2.5 X ST</w:t>
            </w:r>
          </w:p>
        </w:tc>
      </w:tr>
    </w:tbl>
    <w:p w14:paraId="13ADBF18" w14:textId="77777777" w:rsidR="00EA0F16" w:rsidRDefault="00EA0F16" w:rsidP="00D63DAA">
      <w:pPr>
        <w:pStyle w:val="Bullet"/>
        <w:numPr>
          <w:ilvl w:val="0"/>
          <w:numId w:val="0"/>
        </w:numPr>
      </w:pPr>
    </w:p>
    <w:p w14:paraId="35E4D355" w14:textId="36DB8F4D" w:rsidR="00D63DAA" w:rsidRDefault="00D63DAA" w:rsidP="00D63DAA">
      <w:pPr>
        <w:pStyle w:val="Bullet"/>
        <w:numPr>
          <w:ilvl w:val="0"/>
          <w:numId w:val="0"/>
        </w:numPr>
      </w:pPr>
      <w:hyperlink w:anchor="_top" w:history="1">
        <w:r w:rsidRPr="00481A6C">
          <w:rPr>
            <w:rStyle w:val="Hyperlink"/>
          </w:rPr>
          <w:t>Back to Contents</w:t>
        </w:r>
      </w:hyperlink>
    </w:p>
    <w:p w14:paraId="1584CBE3" w14:textId="31365467" w:rsidR="00BC4E0F" w:rsidRPr="00BC4E0F" w:rsidRDefault="00BC4E0F" w:rsidP="00BC4E0F">
      <w:pPr>
        <w:tabs>
          <w:tab w:val="left" w:pos="3330"/>
        </w:tabs>
        <w:rPr>
          <w:lang w:eastAsia="en-US"/>
        </w:rPr>
      </w:pPr>
    </w:p>
    <w:sectPr w:rsidR="00BC4E0F" w:rsidRPr="00BC4E0F" w:rsidSect="00BC4E0F">
      <w:footerReference w:type="default" r:id="rId41"/>
      <w:headerReference w:type="first" r:id="rId42"/>
      <w:footerReference w:type="first" r:id="rId43"/>
      <w:pgSz w:w="11906" w:h="16838" w:code="9"/>
      <w:pgMar w:top="970" w:right="1134" w:bottom="1134" w:left="851" w:header="284" w:footer="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4A2B7" w14:textId="77777777" w:rsidR="00E3530E" w:rsidRDefault="00E3530E" w:rsidP="00225769">
      <w:pPr>
        <w:spacing w:after="0" w:line="240" w:lineRule="auto"/>
      </w:pPr>
      <w:r>
        <w:separator/>
      </w:r>
    </w:p>
    <w:p w14:paraId="08C31B87" w14:textId="77777777" w:rsidR="00E3530E" w:rsidRDefault="00E3530E"/>
    <w:p w14:paraId="4003C3BD" w14:textId="77777777" w:rsidR="00E3530E" w:rsidRDefault="00E3530E"/>
    <w:p w14:paraId="6B78FE40" w14:textId="77777777" w:rsidR="00E3530E" w:rsidRDefault="00E3530E"/>
    <w:p w14:paraId="1BBEE03A" w14:textId="77777777" w:rsidR="00E3530E" w:rsidRDefault="00E3530E"/>
    <w:p w14:paraId="04ACD808" w14:textId="77777777" w:rsidR="00E3530E" w:rsidRDefault="00E3530E"/>
    <w:p w14:paraId="75E85EE7" w14:textId="77777777" w:rsidR="00E3530E" w:rsidRDefault="00E3530E"/>
  </w:endnote>
  <w:endnote w:type="continuationSeparator" w:id="0">
    <w:p w14:paraId="4FFFE721" w14:textId="77777777" w:rsidR="00E3530E" w:rsidRDefault="00E3530E" w:rsidP="00225769">
      <w:pPr>
        <w:spacing w:after="0" w:line="240" w:lineRule="auto"/>
      </w:pPr>
      <w:r>
        <w:continuationSeparator/>
      </w:r>
    </w:p>
    <w:p w14:paraId="2752B4E2" w14:textId="77777777" w:rsidR="00E3530E" w:rsidRDefault="00E3530E"/>
    <w:p w14:paraId="2AF1F80D" w14:textId="77777777" w:rsidR="00E3530E" w:rsidRDefault="00E3530E"/>
    <w:p w14:paraId="1FC5DC2C" w14:textId="77777777" w:rsidR="00E3530E" w:rsidRDefault="00E3530E"/>
    <w:p w14:paraId="049C4879" w14:textId="77777777" w:rsidR="00E3530E" w:rsidRDefault="00E3530E"/>
    <w:p w14:paraId="7A94FE2E" w14:textId="77777777" w:rsidR="00E3530E" w:rsidRDefault="00E3530E"/>
    <w:p w14:paraId="40E81BB4" w14:textId="77777777" w:rsidR="00E3530E" w:rsidRDefault="00E353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481A6C" w:rsidRPr="006B62B4" w14:paraId="0EFF41EA" w14:textId="77777777" w:rsidTr="003B0E72">
      <w:trPr>
        <w:jc w:val="center"/>
      </w:trPr>
      <w:tc>
        <w:tcPr>
          <w:tcW w:w="1515" w:type="dxa"/>
        </w:tcPr>
        <w:p w14:paraId="6D82C249"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4C6458E3"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40B2EBBC"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2B0A5B06"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1746" w:type="dxa"/>
        </w:tcPr>
        <w:p w14:paraId="4752B2D8"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1836" w:type="dxa"/>
        </w:tcPr>
        <w:p w14:paraId="4AA3F51D"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481A6C" w:rsidRPr="006B62B4" w14:paraId="4E3BE6BB" w14:textId="77777777" w:rsidTr="003B0E72">
      <w:trPr>
        <w:jc w:val="center"/>
      </w:trPr>
      <w:tc>
        <w:tcPr>
          <w:tcW w:w="1515" w:type="dxa"/>
        </w:tcPr>
        <w:p w14:paraId="71906274" w14:textId="6DC9A493" w:rsidR="00481A6C" w:rsidRPr="00954F7B" w:rsidRDefault="002731A9" w:rsidP="00481A6C">
          <w:pPr>
            <w:pStyle w:val="Footer"/>
            <w:jc w:val="center"/>
            <w:rPr>
              <w:bCs/>
              <w:iCs/>
              <w:sz w:val="20"/>
              <w:szCs w:val="20"/>
            </w:rPr>
          </w:pPr>
          <w:r>
            <w:rPr>
              <w:bCs/>
              <w:iCs/>
              <w:sz w:val="20"/>
              <w:szCs w:val="20"/>
            </w:rPr>
            <w:t>CHS25/261</w:t>
          </w:r>
        </w:p>
      </w:tc>
      <w:tc>
        <w:tcPr>
          <w:tcW w:w="965" w:type="dxa"/>
        </w:tcPr>
        <w:p w14:paraId="4B1E020A" w14:textId="15C38CDA" w:rsidR="00481A6C" w:rsidRPr="00954F7B" w:rsidRDefault="002731A9" w:rsidP="00481A6C">
          <w:pPr>
            <w:pStyle w:val="Footer"/>
            <w:jc w:val="center"/>
            <w:rPr>
              <w:bCs/>
              <w:iCs/>
              <w:sz w:val="20"/>
              <w:szCs w:val="20"/>
            </w:rPr>
          </w:pPr>
          <w:r>
            <w:rPr>
              <w:bCs/>
              <w:iCs/>
              <w:sz w:val="20"/>
              <w:szCs w:val="20"/>
            </w:rPr>
            <w:t>1</w:t>
          </w:r>
        </w:p>
      </w:tc>
      <w:tc>
        <w:tcPr>
          <w:tcW w:w="1552" w:type="dxa"/>
        </w:tcPr>
        <w:p w14:paraId="594103E3" w14:textId="77E0DBC6" w:rsidR="00481A6C" w:rsidRPr="00954F7B" w:rsidRDefault="002731A9" w:rsidP="00481A6C">
          <w:pPr>
            <w:pStyle w:val="Footer"/>
            <w:jc w:val="center"/>
            <w:rPr>
              <w:bCs/>
              <w:iCs/>
              <w:sz w:val="20"/>
              <w:szCs w:val="20"/>
            </w:rPr>
          </w:pPr>
          <w:r>
            <w:rPr>
              <w:bCs/>
              <w:iCs/>
              <w:sz w:val="20"/>
              <w:szCs w:val="20"/>
            </w:rPr>
            <w:t>29/7/2025</w:t>
          </w:r>
        </w:p>
      </w:tc>
      <w:tc>
        <w:tcPr>
          <w:tcW w:w="1456" w:type="dxa"/>
        </w:tcPr>
        <w:p w14:paraId="2E3EF588" w14:textId="17E07537" w:rsidR="00481A6C" w:rsidRPr="00954F7B" w:rsidRDefault="002731A9" w:rsidP="00481A6C">
          <w:pPr>
            <w:pStyle w:val="Footer"/>
            <w:jc w:val="center"/>
            <w:rPr>
              <w:bCs/>
              <w:iCs/>
              <w:sz w:val="20"/>
              <w:szCs w:val="20"/>
            </w:rPr>
          </w:pPr>
          <w:r>
            <w:rPr>
              <w:bCs/>
              <w:iCs/>
              <w:sz w:val="20"/>
              <w:szCs w:val="20"/>
            </w:rPr>
            <w:t>1/8/2028</w:t>
          </w:r>
        </w:p>
      </w:tc>
      <w:tc>
        <w:tcPr>
          <w:tcW w:w="1746" w:type="dxa"/>
        </w:tcPr>
        <w:p w14:paraId="405E229F" w14:textId="0F65A722" w:rsidR="00481A6C" w:rsidRPr="00954F7B" w:rsidRDefault="002731A9" w:rsidP="00481A6C">
          <w:pPr>
            <w:pStyle w:val="Footer"/>
            <w:jc w:val="center"/>
            <w:rPr>
              <w:bCs/>
              <w:iCs/>
              <w:sz w:val="20"/>
              <w:szCs w:val="20"/>
            </w:rPr>
          </w:pPr>
          <w:r>
            <w:rPr>
              <w:bCs/>
              <w:iCs/>
              <w:sz w:val="20"/>
              <w:szCs w:val="20"/>
            </w:rPr>
            <w:t>MHJHADS</w:t>
          </w:r>
        </w:p>
      </w:tc>
      <w:tc>
        <w:tcPr>
          <w:tcW w:w="1836" w:type="dxa"/>
        </w:tcPr>
        <w:p w14:paraId="7662FAC9" w14:textId="77777777" w:rsidR="00481A6C" w:rsidRPr="00954F7B" w:rsidRDefault="00481A6C" w:rsidP="00481A6C">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6B0F7B8F"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8A3DD8" w:rsidRPr="006B62B4" w14:paraId="5CE8F28E" w14:textId="77777777" w:rsidTr="00BC4E0F">
      <w:trPr>
        <w:jc w:val="center"/>
      </w:trPr>
      <w:tc>
        <w:tcPr>
          <w:tcW w:w="1515" w:type="dxa"/>
        </w:tcPr>
        <w:p w14:paraId="08FF3707"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41EEB480"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7D8F6BBC"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02251851"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1746" w:type="dxa"/>
        </w:tcPr>
        <w:p w14:paraId="64228935"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1836" w:type="dxa"/>
        </w:tcPr>
        <w:p w14:paraId="1BF68F6C"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8A3DD8" w:rsidRPr="006B62B4" w14:paraId="43D19D78" w14:textId="77777777" w:rsidTr="00BC4E0F">
      <w:trPr>
        <w:jc w:val="center"/>
      </w:trPr>
      <w:tc>
        <w:tcPr>
          <w:tcW w:w="1515" w:type="dxa"/>
        </w:tcPr>
        <w:p w14:paraId="6FAE26FF" w14:textId="5BAB56A6" w:rsidR="008A3DD8" w:rsidRPr="00954F7B" w:rsidRDefault="00C66980" w:rsidP="008A3DD8">
          <w:pPr>
            <w:pStyle w:val="Footer"/>
            <w:jc w:val="center"/>
            <w:rPr>
              <w:bCs/>
              <w:iCs/>
              <w:sz w:val="20"/>
              <w:szCs w:val="20"/>
            </w:rPr>
          </w:pPr>
          <w:r>
            <w:rPr>
              <w:bCs/>
              <w:iCs/>
              <w:sz w:val="20"/>
              <w:szCs w:val="20"/>
            </w:rPr>
            <w:t>CHS25/261</w:t>
          </w:r>
        </w:p>
      </w:tc>
      <w:tc>
        <w:tcPr>
          <w:tcW w:w="965" w:type="dxa"/>
        </w:tcPr>
        <w:p w14:paraId="071AF6AE" w14:textId="341F6CD6" w:rsidR="008A3DD8" w:rsidRPr="00954F7B" w:rsidRDefault="00C66980" w:rsidP="008A3DD8">
          <w:pPr>
            <w:pStyle w:val="Footer"/>
            <w:jc w:val="center"/>
            <w:rPr>
              <w:bCs/>
              <w:iCs/>
              <w:sz w:val="20"/>
              <w:szCs w:val="20"/>
            </w:rPr>
          </w:pPr>
          <w:r>
            <w:rPr>
              <w:bCs/>
              <w:iCs/>
              <w:sz w:val="20"/>
              <w:szCs w:val="20"/>
            </w:rPr>
            <w:t>1</w:t>
          </w:r>
        </w:p>
      </w:tc>
      <w:tc>
        <w:tcPr>
          <w:tcW w:w="1552" w:type="dxa"/>
        </w:tcPr>
        <w:p w14:paraId="3076365F" w14:textId="0F487415" w:rsidR="008A3DD8" w:rsidRPr="00954F7B" w:rsidRDefault="00C66980" w:rsidP="008A3DD8">
          <w:pPr>
            <w:pStyle w:val="Footer"/>
            <w:jc w:val="center"/>
            <w:rPr>
              <w:bCs/>
              <w:iCs/>
              <w:sz w:val="20"/>
              <w:szCs w:val="20"/>
            </w:rPr>
          </w:pPr>
          <w:r>
            <w:rPr>
              <w:bCs/>
              <w:iCs/>
              <w:sz w:val="20"/>
              <w:szCs w:val="20"/>
            </w:rPr>
            <w:t>29/7/2025</w:t>
          </w:r>
        </w:p>
      </w:tc>
      <w:tc>
        <w:tcPr>
          <w:tcW w:w="1456" w:type="dxa"/>
        </w:tcPr>
        <w:p w14:paraId="4210A717" w14:textId="76565F7B" w:rsidR="008A3DD8" w:rsidRPr="00954F7B" w:rsidRDefault="00C66980" w:rsidP="008A3DD8">
          <w:pPr>
            <w:pStyle w:val="Footer"/>
            <w:jc w:val="center"/>
            <w:rPr>
              <w:bCs/>
              <w:iCs/>
              <w:sz w:val="20"/>
              <w:szCs w:val="20"/>
            </w:rPr>
          </w:pPr>
          <w:r>
            <w:rPr>
              <w:bCs/>
              <w:iCs/>
              <w:sz w:val="20"/>
              <w:szCs w:val="20"/>
            </w:rPr>
            <w:t>1/8/2028</w:t>
          </w:r>
        </w:p>
      </w:tc>
      <w:tc>
        <w:tcPr>
          <w:tcW w:w="1746" w:type="dxa"/>
        </w:tcPr>
        <w:p w14:paraId="13E6E943" w14:textId="13399E70" w:rsidR="008A3DD8" w:rsidRPr="00954F7B" w:rsidRDefault="002731A9" w:rsidP="008A3DD8">
          <w:pPr>
            <w:pStyle w:val="Footer"/>
            <w:jc w:val="center"/>
            <w:rPr>
              <w:bCs/>
              <w:iCs/>
              <w:sz w:val="20"/>
              <w:szCs w:val="20"/>
            </w:rPr>
          </w:pPr>
          <w:r>
            <w:rPr>
              <w:bCs/>
              <w:iCs/>
              <w:sz w:val="20"/>
              <w:szCs w:val="20"/>
            </w:rPr>
            <w:t>MHJHADS</w:t>
          </w:r>
        </w:p>
      </w:tc>
      <w:tc>
        <w:tcPr>
          <w:tcW w:w="1836" w:type="dxa"/>
        </w:tcPr>
        <w:p w14:paraId="1C8F62E5" w14:textId="77777777" w:rsidR="008A3DD8" w:rsidRPr="00954F7B" w:rsidRDefault="008A3DD8" w:rsidP="008A3DD8">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5B92D9DC" w14:textId="77777777" w:rsidR="005C71BC" w:rsidRDefault="008A3DD8" w:rsidP="00BC4E0F">
    <w:pPr>
      <w:pStyle w:val="Footer"/>
      <w:ind w:left="1060"/>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9D897" w14:textId="77777777" w:rsidR="00E3530E" w:rsidRDefault="00E3530E" w:rsidP="009D493B">
      <w:pPr>
        <w:spacing w:after="0" w:line="240" w:lineRule="auto"/>
      </w:pPr>
      <w:r>
        <w:separator/>
      </w:r>
    </w:p>
  </w:footnote>
  <w:footnote w:type="continuationSeparator" w:id="0">
    <w:p w14:paraId="1A7D9E23" w14:textId="77777777" w:rsidR="00E3530E" w:rsidRDefault="00E3530E" w:rsidP="00A9080B">
      <w:pPr>
        <w:spacing w:after="0" w:line="240" w:lineRule="auto"/>
      </w:pPr>
      <w:r>
        <w:continuationSeparator/>
      </w:r>
    </w:p>
    <w:p w14:paraId="6028721D" w14:textId="77777777" w:rsidR="00E3530E" w:rsidRDefault="00E3530E"/>
    <w:p w14:paraId="0AAEB4BB" w14:textId="77777777" w:rsidR="00E3530E" w:rsidRDefault="00E353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3075E" w14:textId="77777777" w:rsidR="008A3DD8" w:rsidRDefault="008A3DD8">
    <w:pPr>
      <w:pStyle w:val="Header"/>
    </w:pPr>
    <w:r w:rsidRPr="00324CF9">
      <w:rPr>
        <w:noProof/>
      </w:rPr>
      <w:drawing>
        <wp:inline distT="0" distB="0" distL="0" distR="0" wp14:anchorId="1E202F67" wp14:editId="53C73ECF">
          <wp:extent cx="3360385" cy="972000"/>
          <wp:effectExtent l="0" t="0" r="0" b="0"/>
          <wp:docPr id="724859450" name="Picture 72485945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F08B4"/>
    <w:multiLevelType w:val="hybridMultilevel"/>
    <w:tmpl w:val="4274AC5A"/>
    <w:lvl w:ilvl="0" w:tplc="4E102C1E">
      <w:start w:val="1"/>
      <w:numFmt w:val="bullet"/>
      <w:lvlText w:val=""/>
      <w:lvlJc w:val="left"/>
      <w:pPr>
        <w:ind w:left="1080" w:hanging="360"/>
      </w:pPr>
      <w:rPr>
        <w:rFonts w:ascii="Symbol" w:hAnsi="Symbol" w:hint="default"/>
      </w:rPr>
    </w:lvl>
    <w:lvl w:ilvl="1" w:tplc="ED2C748E" w:tentative="1">
      <w:start w:val="1"/>
      <w:numFmt w:val="bullet"/>
      <w:lvlText w:val="o"/>
      <w:lvlJc w:val="left"/>
      <w:pPr>
        <w:ind w:left="1800" w:hanging="360"/>
      </w:pPr>
      <w:rPr>
        <w:rFonts w:ascii="Courier New" w:hAnsi="Courier New" w:hint="default"/>
      </w:rPr>
    </w:lvl>
    <w:lvl w:ilvl="2" w:tplc="D6947642" w:tentative="1">
      <w:start w:val="1"/>
      <w:numFmt w:val="bullet"/>
      <w:lvlText w:val=""/>
      <w:lvlJc w:val="left"/>
      <w:pPr>
        <w:ind w:left="2520" w:hanging="360"/>
      </w:pPr>
      <w:rPr>
        <w:rFonts w:ascii="Wingdings" w:hAnsi="Wingdings" w:hint="default"/>
      </w:rPr>
    </w:lvl>
    <w:lvl w:ilvl="3" w:tplc="5624F978" w:tentative="1">
      <w:start w:val="1"/>
      <w:numFmt w:val="bullet"/>
      <w:lvlText w:val=""/>
      <w:lvlJc w:val="left"/>
      <w:pPr>
        <w:ind w:left="3240" w:hanging="360"/>
      </w:pPr>
      <w:rPr>
        <w:rFonts w:ascii="Symbol" w:hAnsi="Symbol" w:hint="default"/>
      </w:rPr>
    </w:lvl>
    <w:lvl w:ilvl="4" w:tplc="38AC7472" w:tentative="1">
      <w:start w:val="1"/>
      <w:numFmt w:val="bullet"/>
      <w:lvlText w:val="o"/>
      <w:lvlJc w:val="left"/>
      <w:pPr>
        <w:ind w:left="3960" w:hanging="360"/>
      </w:pPr>
      <w:rPr>
        <w:rFonts w:ascii="Courier New" w:hAnsi="Courier New" w:hint="default"/>
      </w:rPr>
    </w:lvl>
    <w:lvl w:ilvl="5" w:tplc="DCBE24F8" w:tentative="1">
      <w:start w:val="1"/>
      <w:numFmt w:val="bullet"/>
      <w:lvlText w:val=""/>
      <w:lvlJc w:val="left"/>
      <w:pPr>
        <w:ind w:left="4680" w:hanging="360"/>
      </w:pPr>
      <w:rPr>
        <w:rFonts w:ascii="Wingdings" w:hAnsi="Wingdings" w:hint="default"/>
      </w:rPr>
    </w:lvl>
    <w:lvl w:ilvl="6" w:tplc="871A5E46" w:tentative="1">
      <w:start w:val="1"/>
      <w:numFmt w:val="bullet"/>
      <w:lvlText w:val=""/>
      <w:lvlJc w:val="left"/>
      <w:pPr>
        <w:ind w:left="5400" w:hanging="360"/>
      </w:pPr>
      <w:rPr>
        <w:rFonts w:ascii="Symbol" w:hAnsi="Symbol" w:hint="default"/>
      </w:rPr>
    </w:lvl>
    <w:lvl w:ilvl="7" w:tplc="22741E30" w:tentative="1">
      <w:start w:val="1"/>
      <w:numFmt w:val="bullet"/>
      <w:lvlText w:val="o"/>
      <w:lvlJc w:val="left"/>
      <w:pPr>
        <w:ind w:left="6120" w:hanging="360"/>
      </w:pPr>
      <w:rPr>
        <w:rFonts w:ascii="Courier New" w:hAnsi="Courier New" w:hint="default"/>
      </w:rPr>
    </w:lvl>
    <w:lvl w:ilvl="8" w:tplc="6ED43F02" w:tentative="1">
      <w:start w:val="1"/>
      <w:numFmt w:val="bullet"/>
      <w:lvlText w:val=""/>
      <w:lvlJc w:val="left"/>
      <w:pPr>
        <w:ind w:left="6840" w:hanging="360"/>
      </w:pPr>
      <w:rPr>
        <w:rFonts w:ascii="Wingdings" w:hAnsi="Wingdings" w:hint="default"/>
      </w:rPr>
    </w:lvl>
  </w:abstractNum>
  <w:abstractNum w:abstractNumId="1" w15:restartNumberingAfterBreak="0">
    <w:nsid w:val="0197245C"/>
    <w:multiLevelType w:val="hybridMultilevel"/>
    <w:tmpl w:val="D9A8BF02"/>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 w15:restartNumberingAfterBreak="0">
    <w:nsid w:val="09B50C5C"/>
    <w:multiLevelType w:val="hybridMultilevel"/>
    <w:tmpl w:val="AD787EB4"/>
    <w:lvl w:ilvl="0" w:tplc="0C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0A6B5E9E"/>
    <w:multiLevelType w:val="hybridMultilevel"/>
    <w:tmpl w:val="5CF23B8C"/>
    <w:lvl w:ilvl="0" w:tplc="0C090001">
      <w:start w:val="1"/>
      <w:numFmt w:val="bullet"/>
      <w:lvlText w:val=""/>
      <w:lvlJc w:val="left"/>
      <w:pPr>
        <w:ind w:left="773" w:hanging="360"/>
      </w:pPr>
      <w:rPr>
        <w:rFonts w:ascii="Symbol" w:hAnsi="Symbol" w:hint="default"/>
      </w:rPr>
    </w:lvl>
    <w:lvl w:ilvl="1" w:tplc="0C090003" w:tentative="1">
      <w:start w:val="1"/>
      <w:numFmt w:val="bullet"/>
      <w:lvlText w:val="o"/>
      <w:lvlJc w:val="left"/>
      <w:pPr>
        <w:ind w:left="1493" w:hanging="360"/>
      </w:pPr>
      <w:rPr>
        <w:rFonts w:ascii="Courier New" w:hAnsi="Courier New" w:cs="Courier New" w:hint="default"/>
      </w:rPr>
    </w:lvl>
    <w:lvl w:ilvl="2" w:tplc="0C090005" w:tentative="1">
      <w:start w:val="1"/>
      <w:numFmt w:val="bullet"/>
      <w:lvlText w:val=""/>
      <w:lvlJc w:val="left"/>
      <w:pPr>
        <w:ind w:left="2213" w:hanging="360"/>
      </w:pPr>
      <w:rPr>
        <w:rFonts w:ascii="Wingdings" w:hAnsi="Wingdings" w:hint="default"/>
      </w:rPr>
    </w:lvl>
    <w:lvl w:ilvl="3" w:tplc="0C090001" w:tentative="1">
      <w:start w:val="1"/>
      <w:numFmt w:val="bullet"/>
      <w:lvlText w:val=""/>
      <w:lvlJc w:val="left"/>
      <w:pPr>
        <w:ind w:left="2933" w:hanging="360"/>
      </w:pPr>
      <w:rPr>
        <w:rFonts w:ascii="Symbol" w:hAnsi="Symbol" w:hint="default"/>
      </w:rPr>
    </w:lvl>
    <w:lvl w:ilvl="4" w:tplc="0C090003" w:tentative="1">
      <w:start w:val="1"/>
      <w:numFmt w:val="bullet"/>
      <w:lvlText w:val="o"/>
      <w:lvlJc w:val="left"/>
      <w:pPr>
        <w:ind w:left="3653" w:hanging="360"/>
      </w:pPr>
      <w:rPr>
        <w:rFonts w:ascii="Courier New" w:hAnsi="Courier New" w:cs="Courier New" w:hint="default"/>
      </w:rPr>
    </w:lvl>
    <w:lvl w:ilvl="5" w:tplc="0C090005" w:tentative="1">
      <w:start w:val="1"/>
      <w:numFmt w:val="bullet"/>
      <w:lvlText w:val=""/>
      <w:lvlJc w:val="left"/>
      <w:pPr>
        <w:ind w:left="4373" w:hanging="360"/>
      </w:pPr>
      <w:rPr>
        <w:rFonts w:ascii="Wingdings" w:hAnsi="Wingdings" w:hint="default"/>
      </w:rPr>
    </w:lvl>
    <w:lvl w:ilvl="6" w:tplc="0C090001" w:tentative="1">
      <w:start w:val="1"/>
      <w:numFmt w:val="bullet"/>
      <w:lvlText w:val=""/>
      <w:lvlJc w:val="left"/>
      <w:pPr>
        <w:ind w:left="5093" w:hanging="360"/>
      </w:pPr>
      <w:rPr>
        <w:rFonts w:ascii="Symbol" w:hAnsi="Symbol" w:hint="default"/>
      </w:rPr>
    </w:lvl>
    <w:lvl w:ilvl="7" w:tplc="0C090003" w:tentative="1">
      <w:start w:val="1"/>
      <w:numFmt w:val="bullet"/>
      <w:lvlText w:val="o"/>
      <w:lvlJc w:val="left"/>
      <w:pPr>
        <w:ind w:left="5813" w:hanging="360"/>
      </w:pPr>
      <w:rPr>
        <w:rFonts w:ascii="Courier New" w:hAnsi="Courier New" w:cs="Courier New" w:hint="default"/>
      </w:rPr>
    </w:lvl>
    <w:lvl w:ilvl="8" w:tplc="0C090005" w:tentative="1">
      <w:start w:val="1"/>
      <w:numFmt w:val="bullet"/>
      <w:lvlText w:val=""/>
      <w:lvlJc w:val="left"/>
      <w:pPr>
        <w:ind w:left="6533" w:hanging="360"/>
      </w:pPr>
      <w:rPr>
        <w:rFonts w:ascii="Wingdings" w:hAnsi="Wingdings" w:hint="default"/>
      </w:rPr>
    </w:lvl>
  </w:abstractNum>
  <w:abstractNum w:abstractNumId="5" w15:restartNumberingAfterBreak="0">
    <w:nsid w:val="0CD1718A"/>
    <w:multiLevelType w:val="hybridMultilevel"/>
    <w:tmpl w:val="01C8B8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EC667BF"/>
    <w:multiLevelType w:val="hybridMultilevel"/>
    <w:tmpl w:val="CFFEDB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F3B090F"/>
    <w:multiLevelType w:val="hybridMultilevel"/>
    <w:tmpl w:val="04B2600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5516622"/>
    <w:multiLevelType w:val="hybridMultilevel"/>
    <w:tmpl w:val="D89EC57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0"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11" w15:restartNumberingAfterBreak="0">
    <w:nsid w:val="220F418A"/>
    <w:multiLevelType w:val="multilevel"/>
    <w:tmpl w:val="13F4FC1E"/>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2" w15:restartNumberingAfterBreak="0">
    <w:nsid w:val="22E60DD4"/>
    <w:multiLevelType w:val="hybridMultilevel"/>
    <w:tmpl w:val="7DC0D3D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3AA6AEC"/>
    <w:multiLevelType w:val="hybridMultilevel"/>
    <w:tmpl w:val="7AD824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4272D9E"/>
    <w:multiLevelType w:val="multilevel"/>
    <w:tmpl w:val="A2CA929A"/>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80344A1"/>
    <w:multiLevelType w:val="hybridMultilevel"/>
    <w:tmpl w:val="4F88796E"/>
    <w:lvl w:ilvl="0" w:tplc="0C09000F">
      <w:start w:val="1"/>
      <w:numFmt w:val="decimal"/>
      <w:lvlText w:val="%1."/>
      <w:lvlJc w:val="left"/>
      <w:pPr>
        <w:ind w:left="606" w:hanging="428"/>
      </w:pPr>
      <w:rPr>
        <w:rFonts w:hint="default"/>
        <w:w w:val="100"/>
        <w:lang w:val="en-AU" w:eastAsia="en-US" w:bidi="ar-SA"/>
      </w:rPr>
    </w:lvl>
    <w:lvl w:ilvl="1" w:tplc="BADE5A36">
      <w:numFmt w:val="bullet"/>
      <w:lvlText w:val="•"/>
      <w:lvlJc w:val="left"/>
      <w:pPr>
        <w:ind w:left="1562" w:hanging="428"/>
      </w:pPr>
      <w:rPr>
        <w:rFonts w:hint="default"/>
        <w:lang w:val="en-AU" w:eastAsia="en-US" w:bidi="ar-SA"/>
      </w:rPr>
    </w:lvl>
    <w:lvl w:ilvl="2" w:tplc="40B6DB74">
      <w:numFmt w:val="bullet"/>
      <w:lvlText w:val="•"/>
      <w:lvlJc w:val="left"/>
      <w:pPr>
        <w:ind w:left="2525" w:hanging="428"/>
      </w:pPr>
      <w:rPr>
        <w:rFonts w:hint="default"/>
        <w:lang w:val="en-AU" w:eastAsia="en-US" w:bidi="ar-SA"/>
      </w:rPr>
    </w:lvl>
    <w:lvl w:ilvl="3" w:tplc="98CAEF42">
      <w:numFmt w:val="bullet"/>
      <w:lvlText w:val="•"/>
      <w:lvlJc w:val="left"/>
      <w:pPr>
        <w:ind w:left="3487" w:hanging="428"/>
      </w:pPr>
      <w:rPr>
        <w:rFonts w:hint="default"/>
        <w:lang w:val="en-AU" w:eastAsia="en-US" w:bidi="ar-SA"/>
      </w:rPr>
    </w:lvl>
    <w:lvl w:ilvl="4" w:tplc="623E3850">
      <w:numFmt w:val="bullet"/>
      <w:lvlText w:val="•"/>
      <w:lvlJc w:val="left"/>
      <w:pPr>
        <w:ind w:left="4450" w:hanging="428"/>
      </w:pPr>
      <w:rPr>
        <w:rFonts w:hint="default"/>
        <w:lang w:val="en-AU" w:eastAsia="en-US" w:bidi="ar-SA"/>
      </w:rPr>
    </w:lvl>
    <w:lvl w:ilvl="5" w:tplc="C9FAF850">
      <w:numFmt w:val="bullet"/>
      <w:lvlText w:val="•"/>
      <w:lvlJc w:val="left"/>
      <w:pPr>
        <w:ind w:left="5413" w:hanging="428"/>
      </w:pPr>
      <w:rPr>
        <w:rFonts w:hint="default"/>
        <w:lang w:val="en-AU" w:eastAsia="en-US" w:bidi="ar-SA"/>
      </w:rPr>
    </w:lvl>
    <w:lvl w:ilvl="6" w:tplc="A38A4DA2">
      <w:numFmt w:val="bullet"/>
      <w:lvlText w:val="•"/>
      <w:lvlJc w:val="left"/>
      <w:pPr>
        <w:ind w:left="6375" w:hanging="428"/>
      </w:pPr>
      <w:rPr>
        <w:rFonts w:hint="default"/>
        <w:lang w:val="en-AU" w:eastAsia="en-US" w:bidi="ar-SA"/>
      </w:rPr>
    </w:lvl>
    <w:lvl w:ilvl="7" w:tplc="BA9CA914">
      <w:numFmt w:val="bullet"/>
      <w:lvlText w:val="•"/>
      <w:lvlJc w:val="left"/>
      <w:pPr>
        <w:ind w:left="7338" w:hanging="428"/>
      </w:pPr>
      <w:rPr>
        <w:rFonts w:hint="default"/>
        <w:lang w:val="en-AU" w:eastAsia="en-US" w:bidi="ar-SA"/>
      </w:rPr>
    </w:lvl>
    <w:lvl w:ilvl="8" w:tplc="FE7431E2">
      <w:numFmt w:val="bullet"/>
      <w:lvlText w:val="•"/>
      <w:lvlJc w:val="left"/>
      <w:pPr>
        <w:ind w:left="8301" w:hanging="428"/>
      </w:pPr>
      <w:rPr>
        <w:rFonts w:hint="default"/>
        <w:lang w:val="en-AU" w:eastAsia="en-US" w:bidi="ar-SA"/>
      </w:rPr>
    </w:lvl>
  </w:abstractNum>
  <w:abstractNum w:abstractNumId="16" w15:restartNumberingAfterBreak="0">
    <w:nsid w:val="2C7B3902"/>
    <w:multiLevelType w:val="hybridMultilevel"/>
    <w:tmpl w:val="A02AEF3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7" w15:restartNumberingAfterBreak="0">
    <w:nsid w:val="31C06300"/>
    <w:multiLevelType w:val="hybridMultilevel"/>
    <w:tmpl w:val="4126E502"/>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18" w15:restartNumberingAfterBreak="0">
    <w:nsid w:val="33916DAD"/>
    <w:multiLevelType w:val="hybridMultilevel"/>
    <w:tmpl w:val="A02C293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9" w15:restartNumberingAfterBreak="0">
    <w:nsid w:val="33E811F9"/>
    <w:multiLevelType w:val="hybridMultilevel"/>
    <w:tmpl w:val="514A1F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7253314"/>
    <w:multiLevelType w:val="hybridMultilevel"/>
    <w:tmpl w:val="9C003B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A7D0D9A"/>
    <w:multiLevelType w:val="hybridMultilevel"/>
    <w:tmpl w:val="455E805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3" w15:restartNumberingAfterBreak="0">
    <w:nsid w:val="3BDF0820"/>
    <w:multiLevelType w:val="hybridMultilevel"/>
    <w:tmpl w:val="BEC2A532"/>
    <w:lvl w:ilvl="0" w:tplc="0C090001">
      <w:start w:val="1"/>
      <w:numFmt w:val="bullet"/>
      <w:lvlText w:val=""/>
      <w:lvlJc w:val="left"/>
      <w:pPr>
        <w:ind w:left="1621" w:hanging="360"/>
      </w:pPr>
      <w:rPr>
        <w:rFonts w:ascii="Symbol" w:hAnsi="Symbol" w:hint="default"/>
      </w:rPr>
    </w:lvl>
    <w:lvl w:ilvl="1" w:tplc="FFFFFFFF" w:tentative="1">
      <w:start w:val="1"/>
      <w:numFmt w:val="bullet"/>
      <w:lvlText w:val="o"/>
      <w:lvlJc w:val="left"/>
      <w:pPr>
        <w:ind w:left="2341" w:hanging="360"/>
      </w:pPr>
      <w:rPr>
        <w:rFonts w:ascii="Courier New" w:hAnsi="Courier New" w:cs="Courier New" w:hint="default"/>
      </w:rPr>
    </w:lvl>
    <w:lvl w:ilvl="2" w:tplc="FFFFFFFF" w:tentative="1">
      <w:start w:val="1"/>
      <w:numFmt w:val="bullet"/>
      <w:lvlText w:val=""/>
      <w:lvlJc w:val="left"/>
      <w:pPr>
        <w:ind w:left="3061" w:hanging="360"/>
      </w:pPr>
      <w:rPr>
        <w:rFonts w:ascii="Wingdings" w:hAnsi="Wingdings" w:hint="default"/>
      </w:rPr>
    </w:lvl>
    <w:lvl w:ilvl="3" w:tplc="FFFFFFFF" w:tentative="1">
      <w:start w:val="1"/>
      <w:numFmt w:val="bullet"/>
      <w:lvlText w:val=""/>
      <w:lvlJc w:val="left"/>
      <w:pPr>
        <w:ind w:left="3781" w:hanging="360"/>
      </w:pPr>
      <w:rPr>
        <w:rFonts w:ascii="Symbol" w:hAnsi="Symbol" w:hint="default"/>
      </w:rPr>
    </w:lvl>
    <w:lvl w:ilvl="4" w:tplc="FFFFFFFF" w:tentative="1">
      <w:start w:val="1"/>
      <w:numFmt w:val="bullet"/>
      <w:lvlText w:val="o"/>
      <w:lvlJc w:val="left"/>
      <w:pPr>
        <w:ind w:left="4501" w:hanging="360"/>
      </w:pPr>
      <w:rPr>
        <w:rFonts w:ascii="Courier New" w:hAnsi="Courier New" w:cs="Courier New" w:hint="default"/>
      </w:rPr>
    </w:lvl>
    <w:lvl w:ilvl="5" w:tplc="FFFFFFFF" w:tentative="1">
      <w:start w:val="1"/>
      <w:numFmt w:val="bullet"/>
      <w:lvlText w:val=""/>
      <w:lvlJc w:val="left"/>
      <w:pPr>
        <w:ind w:left="5221" w:hanging="360"/>
      </w:pPr>
      <w:rPr>
        <w:rFonts w:ascii="Wingdings" w:hAnsi="Wingdings" w:hint="default"/>
      </w:rPr>
    </w:lvl>
    <w:lvl w:ilvl="6" w:tplc="FFFFFFFF" w:tentative="1">
      <w:start w:val="1"/>
      <w:numFmt w:val="bullet"/>
      <w:lvlText w:val=""/>
      <w:lvlJc w:val="left"/>
      <w:pPr>
        <w:ind w:left="5941" w:hanging="360"/>
      </w:pPr>
      <w:rPr>
        <w:rFonts w:ascii="Symbol" w:hAnsi="Symbol" w:hint="default"/>
      </w:rPr>
    </w:lvl>
    <w:lvl w:ilvl="7" w:tplc="FFFFFFFF" w:tentative="1">
      <w:start w:val="1"/>
      <w:numFmt w:val="bullet"/>
      <w:lvlText w:val="o"/>
      <w:lvlJc w:val="left"/>
      <w:pPr>
        <w:ind w:left="6661" w:hanging="360"/>
      </w:pPr>
      <w:rPr>
        <w:rFonts w:ascii="Courier New" w:hAnsi="Courier New" w:cs="Courier New" w:hint="default"/>
      </w:rPr>
    </w:lvl>
    <w:lvl w:ilvl="8" w:tplc="FFFFFFFF" w:tentative="1">
      <w:start w:val="1"/>
      <w:numFmt w:val="bullet"/>
      <w:lvlText w:val=""/>
      <w:lvlJc w:val="left"/>
      <w:pPr>
        <w:ind w:left="7381" w:hanging="360"/>
      </w:pPr>
      <w:rPr>
        <w:rFonts w:ascii="Wingdings" w:hAnsi="Wingdings" w:hint="default"/>
      </w:rPr>
    </w:lvl>
  </w:abstractNum>
  <w:abstractNum w:abstractNumId="24" w15:restartNumberingAfterBreak="0">
    <w:nsid w:val="3C973852"/>
    <w:multiLevelType w:val="hybridMultilevel"/>
    <w:tmpl w:val="AC04BE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F7D50EA"/>
    <w:multiLevelType w:val="hybridMultilevel"/>
    <w:tmpl w:val="7C8EDA9C"/>
    <w:lvl w:ilvl="0" w:tplc="0C090001">
      <w:start w:val="1"/>
      <w:numFmt w:val="bullet"/>
      <w:lvlText w:val=""/>
      <w:lvlJc w:val="left"/>
      <w:pPr>
        <w:ind w:left="1145" w:hanging="360"/>
      </w:pPr>
      <w:rPr>
        <w:rFonts w:ascii="Symbol" w:hAnsi="Symbol" w:hint="default"/>
      </w:rPr>
    </w:lvl>
    <w:lvl w:ilvl="1" w:tplc="0C090003">
      <w:start w:val="1"/>
      <w:numFmt w:val="bullet"/>
      <w:lvlText w:val="o"/>
      <w:lvlJc w:val="left"/>
      <w:pPr>
        <w:ind w:left="1865" w:hanging="360"/>
      </w:pPr>
      <w:rPr>
        <w:rFonts w:ascii="Courier New" w:hAnsi="Courier New" w:cs="Courier New" w:hint="default"/>
      </w:rPr>
    </w:lvl>
    <w:lvl w:ilvl="2" w:tplc="0C090005" w:tentative="1">
      <w:start w:val="1"/>
      <w:numFmt w:val="bullet"/>
      <w:lvlText w:val=""/>
      <w:lvlJc w:val="left"/>
      <w:pPr>
        <w:ind w:left="2585" w:hanging="360"/>
      </w:pPr>
      <w:rPr>
        <w:rFonts w:ascii="Wingdings" w:hAnsi="Wingdings" w:hint="default"/>
      </w:rPr>
    </w:lvl>
    <w:lvl w:ilvl="3" w:tplc="0C090001" w:tentative="1">
      <w:start w:val="1"/>
      <w:numFmt w:val="bullet"/>
      <w:lvlText w:val=""/>
      <w:lvlJc w:val="left"/>
      <w:pPr>
        <w:ind w:left="3305" w:hanging="360"/>
      </w:pPr>
      <w:rPr>
        <w:rFonts w:ascii="Symbol" w:hAnsi="Symbol" w:hint="default"/>
      </w:rPr>
    </w:lvl>
    <w:lvl w:ilvl="4" w:tplc="0C090003" w:tentative="1">
      <w:start w:val="1"/>
      <w:numFmt w:val="bullet"/>
      <w:lvlText w:val="o"/>
      <w:lvlJc w:val="left"/>
      <w:pPr>
        <w:ind w:left="4025" w:hanging="360"/>
      </w:pPr>
      <w:rPr>
        <w:rFonts w:ascii="Courier New" w:hAnsi="Courier New" w:cs="Courier New" w:hint="default"/>
      </w:rPr>
    </w:lvl>
    <w:lvl w:ilvl="5" w:tplc="0C090005" w:tentative="1">
      <w:start w:val="1"/>
      <w:numFmt w:val="bullet"/>
      <w:lvlText w:val=""/>
      <w:lvlJc w:val="left"/>
      <w:pPr>
        <w:ind w:left="4745" w:hanging="360"/>
      </w:pPr>
      <w:rPr>
        <w:rFonts w:ascii="Wingdings" w:hAnsi="Wingdings" w:hint="default"/>
      </w:rPr>
    </w:lvl>
    <w:lvl w:ilvl="6" w:tplc="0C090001" w:tentative="1">
      <w:start w:val="1"/>
      <w:numFmt w:val="bullet"/>
      <w:lvlText w:val=""/>
      <w:lvlJc w:val="left"/>
      <w:pPr>
        <w:ind w:left="5465" w:hanging="360"/>
      </w:pPr>
      <w:rPr>
        <w:rFonts w:ascii="Symbol" w:hAnsi="Symbol" w:hint="default"/>
      </w:rPr>
    </w:lvl>
    <w:lvl w:ilvl="7" w:tplc="0C090003" w:tentative="1">
      <w:start w:val="1"/>
      <w:numFmt w:val="bullet"/>
      <w:lvlText w:val="o"/>
      <w:lvlJc w:val="left"/>
      <w:pPr>
        <w:ind w:left="6185" w:hanging="360"/>
      </w:pPr>
      <w:rPr>
        <w:rFonts w:ascii="Courier New" w:hAnsi="Courier New" w:cs="Courier New" w:hint="default"/>
      </w:rPr>
    </w:lvl>
    <w:lvl w:ilvl="8" w:tplc="0C090005" w:tentative="1">
      <w:start w:val="1"/>
      <w:numFmt w:val="bullet"/>
      <w:lvlText w:val=""/>
      <w:lvlJc w:val="left"/>
      <w:pPr>
        <w:ind w:left="6905" w:hanging="360"/>
      </w:pPr>
      <w:rPr>
        <w:rFonts w:ascii="Wingdings" w:hAnsi="Wingdings" w:hint="default"/>
      </w:rPr>
    </w:lvl>
  </w:abstractNum>
  <w:abstractNum w:abstractNumId="26"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3FB3691D"/>
    <w:multiLevelType w:val="hybridMultilevel"/>
    <w:tmpl w:val="3ED4D976"/>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2614241"/>
    <w:multiLevelType w:val="hybridMultilevel"/>
    <w:tmpl w:val="C01A4E9C"/>
    <w:lvl w:ilvl="0" w:tplc="0C090001">
      <w:start w:val="1"/>
      <w:numFmt w:val="bullet"/>
      <w:lvlText w:val=""/>
      <w:lvlJc w:val="left"/>
      <w:pPr>
        <w:ind w:left="428" w:hanging="428"/>
      </w:pPr>
      <w:rPr>
        <w:rFonts w:ascii="Symbol" w:hAnsi="Symbol" w:hint="default"/>
        <w:w w:val="100"/>
        <w:lang w:val="en-AU" w:eastAsia="en-US" w:bidi="ar-SA"/>
      </w:rPr>
    </w:lvl>
    <w:lvl w:ilvl="1" w:tplc="0C090001">
      <w:start w:val="1"/>
      <w:numFmt w:val="bullet"/>
      <w:lvlText w:val=""/>
      <w:lvlJc w:val="left"/>
      <w:pPr>
        <w:ind w:left="786" w:hanging="360"/>
      </w:pPr>
      <w:rPr>
        <w:rFonts w:ascii="Symbol" w:hAnsi="Symbol" w:hint="default"/>
        <w:w w:val="100"/>
        <w:lang w:val="en-AU" w:eastAsia="en-US" w:bidi="ar-SA"/>
      </w:rPr>
    </w:lvl>
    <w:lvl w:ilvl="2" w:tplc="0C090001">
      <w:start w:val="1"/>
      <w:numFmt w:val="bullet"/>
      <w:lvlText w:val=""/>
      <w:lvlJc w:val="left"/>
      <w:pPr>
        <w:ind w:left="1031" w:hanging="360"/>
      </w:pPr>
      <w:rPr>
        <w:rFonts w:ascii="Symbol" w:hAnsi="Symbol" w:hint="default"/>
        <w:w w:val="100"/>
        <w:lang w:val="en-AU" w:eastAsia="en-US" w:bidi="ar-SA"/>
      </w:rPr>
    </w:lvl>
    <w:lvl w:ilvl="3" w:tplc="0C090001">
      <w:start w:val="1"/>
      <w:numFmt w:val="bullet"/>
      <w:lvlText w:val=""/>
      <w:lvlJc w:val="left"/>
      <w:pPr>
        <w:ind w:left="899" w:hanging="360"/>
      </w:pPr>
      <w:rPr>
        <w:rFonts w:ascii="Symbol" w:hAnsi="Symbol" w:hint="default"/>
        <w:lang w:val="en-AU" w:eastAsia="en-US" w:bidi="ar-SA"/>
      </w:rPr>
    </w:lvl>
    <w:lvl w:ilvl="4" w:tplc="DD102C22">
      <w:numFmt w:val="bullet"/>
      <w:lvlText w:val="•"/>
      <w:lvlJc w:val="left"/>
      <w:pPr>
        <w:ind w:left="1039" w:hanging="360"/>
      </w:pPr>
      <w:rPr>
        <w:rFonts w:hint="default"/>
        <w:lang w:val="en-AU" w:eastAsia="en-US" w:bidi="ar-SA"/>
      </w:rPr>
    </w:lvl>
    <w:lvl w:ilvl="5" w:tplc="83643584">
      <w:numFmt w:val="bullet"/>
      <w:lvlText w:val="•"/>
      <w:lvlJc w:val="left"/>
      <w:pPr>
        <w:ind w:left="1119" w:hanging="360"/>
      </w:pPr>
      <w:rPr>
        <w:rFonts w:hint="default"/>
        <w:lang w:val="en-AU" w:eastAsia="en-US" w:bidi="ar-SA"/>
      </w:rPr>
    </w:lvl>
    <w:lvl w:ilvl="6" w:tplc="825EEC26">
      <w:numFmt w:val="bullet"/>
      <w:lvlText w:val="•"/>
      <w:lvlJc w:val="left"/>
      <w:pPr>
        <w:ind w:left="1179" w:hanging="360"/>
      </w:pPr>
      <w:rPr>
        <w:rFonts w:hint="default"/>
        <w:lang w:val="en-AU" w:eastAsia="en-US" w:bidi="ar-SA"/>
      </w:rPr>
    </w:lvl>
    <w:lvl w:ilvl="7" w:tplc="221861C2">
      <w:numFmt w:val="bullet"/>
      <w:lvlText w:val="•"/>
      <w:lvlJc w:val="left"/>
      <w:pPr>
        <w:ind w:left="3405" w:hanging="360"/>
      </w:pPr>
      <w:rPr>
        <w:rFonts w:hint="default"/>
        <w:lang w:val="en-AU" w:eastAsia="en-US" w:bidi="ar-SA"/>
      </w:rPr>
    </w:lvl>
    <w:lvl w:ilvl="8" w:tplc="E9C23E8A">
      <w:numFmt w:val="bullet"/>
      <w:lvlText w:val="•"/>
      <w:lvlJc w:val="left"/>
      <w:pPr>
        <w:ind w:left="5632" w:hanging="360"/>
      </w:pPr>
      <w:rPr>
        <w:rFonts w:hint="default"/>
        <w:lang w:val="en-AU" w:eastAsia="en-US" w:bidi="ar-SA"/>
      </w:rPr>
    </w:lvl>
  </w:abstractNum>
  <w:abstractNum w:abstractNumId="29"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30"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47C63291"/>
    <w:multiLevelType w:val="multilevel"/>
    <w:tmpl w:val="1DFEE884"/>
    <w:lvl w:ilvl="0">
      <w:start w:val="1"/>
      <w:numFmt w:val="lowerLetter"/>
      <w:lvlText w:val="%1)"/>
      <w:lvlJc w:val="left"/>
      <w:pPr>
        <w:ind w:left="425" w:hanging="425"/>
      </w:pPr>
      <w:rPr>
        <w:rFonts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32" w15:restartNumberingAfterBreak="0">
    <w:nsid w:val="481E593B"/>
    <w:multiLevelType w:val="hybridMultilevel"/>
    <w:tmpl w:val="D2B4D240"/>
    <w:lvl w:ilvl="0" w:tplc="E236BC00">
      <w:start w:val="11"/>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49271267"/>
    <w:multiLevelType w:val="hybridMultilevel"/>
    <w:tmpl w:val="35F8D8A8"/>
    <w:lvl w:ilvl="0" w:tplc="0C090001">
      <w:start w:val="1"/>
      <w:numFmt w:val="bullet"/>
      <w:lvlText w:val=""/>
      <w:lvlJc w:val="left"/>
      <w:pPr>
        <w:ind w:left="1080" w:hanging="360"/>
      </w:pPr>
      <w:rPr>
        <w:rFonts w:ascii="Symbol" w:hAnsi="Symbol" w:hint="default"/>
        <w:sz w:val="24"/>
        <w:szCs w:val="2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4C5E68B8"/>
    <w:multiLevelType w:val="hybridMultilevel"/>
    <w:tmpl w:val="4770E98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5" w15:restartNumberingAfterBreak="0">
    <w:nsid w:val="4C9D779B"/>
    <w:multiLevelType w:val="multilevel"/>
    <w:tmpl w:val="F13887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4E891223"/>
    <w:multiLevelType w:val="hybridMultilevel"/>
    <w:tmpl w:val="276819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1EF7187"/>
    <w:multiLevelType w:val="hybridMultilevel"/>
    <w:tmpl w:val="4D869ED6"/>
    <w:lvl w:ilvl="0" w:tplc="0C090001">
      <w:start w:val="1"/>
      <w:numFmt w:val="bullet"/>
      <w:lvlText w:val=""/>
      <w:lvlJc w:val="left"/>
      <w:pPr>
        <w:ind w:left="773" w:hanging="360"/>
      </w:pPr>
      <w:rPr>
        <w:rFonts w:ascii="Symbol" w:hAnsi="Symbol" w:hint="default"/>
      </w:rPr>
    </w:lvl>
    <w:lvl w:ilvl="1" w:tplc="0C090003" w:tentative="1">
      <w:start w:val="1"/>
      <w:numFmt w:val="bullet"/>
      <w:lvlText w:val="o"/>
      <w:lvlJc w:val="left"/>
      <w:pPr>
        <w:ind w:left="1493" w:hanging="360"/>
      </w:pPr>
      <w:rPr>
        <w:rFonts w:ascii="Courier New" w:hAnsi="Courier New" w:cs="Courier New" w:hint="default"/>
      </w:rPr>
    </w:lvl>
    <w:lvl w:ilvl="2" w:tplc="0C090005" w:tentative="1">
      <w:start w:val="1"/>
      <w:numFmt w:val="bullet"/>
      <w:lvlText w:val=""/>
      <w:lvlJc w:val="left"/>
      <w:pPr>
        <w:ind w:left="2213" w:hanging="360"/>
      </w:pPr>
      <w:rPr>
        <w:rFonts w:ascii="Wingdings" w:hAnsi="Wingdings" w:hint="default"/>
      </w:rPr>
    </w:lvl>
    <w:lvl w:ilvl="3" w:tplc="0C090001" w:tentative="1">
      <w:start w:val="1"/>
      <w:numFmt w:val="bullet"/>
      <w:lvlText w:val=""/>
      <w:lvlJc w:val="left"/>
      <w:pPr>
        <w:ind w:left="2933" w:hanging="360"/>
      </w:pPr>
      <w:rPr>
        <w:rFonts w:ascii="Symbol" w:hAnsi="Symbol" w:hint="default"/>
      </w:rPr>
    </w:lvl>
    <w:lvl w:ilvl="4" w:tplc="0C090003" w:tentative="1">
      <w:start w:val="1"/>
      <w:numFmt w:val="bullet"/>
      <w:lvlText w:val="o"/>
      <w:lvlJc w:val="left"/>
      <w:pPr>
        <w:ind w:left="3653" w:hanging="360"/>
      </w:pPr>
      <w:rPr>
        <w:rFonts w:ascii="Courier New" w:hAnsi="Courier New" w:cs="Courier New" w:hint="default"/>
      </w:rPr>
    </w:lvl>
    <w:lvl w:ilvl="5" w:tplc="0C090005" w:tentative="1">
      <w:start w:val="1"/>
      <w:numFmt w:val="bullet"/>
      <w:lvlText w:val=""/>
      <w:lvlJc w:val="left"/>
      <w:pPr>
        <w:ind w:left="4373" w:hanging="360"/>
      </w:pPr>
      <w:rPr>
        <w:rFonts w:ascii="Wingdings" w:hAnsi="Wingdings" w:hint="default"/>
      </w:rPr>
    </w:lvl>
    <w:lvl w:ilvl="6" w:tplc="0C090001" w:tentative="1">
      <w:start w:val="1"/>
      <w:numFmt w:val="bullet"/>
      <w:lvlText w:val=""/>
      <w:lvlJc w:val="left"/>
      <w:pPr>
        <w:ind w:left="5093" w:hanging="360"/>
      </w:pPr>
      <w:rPr>
        <w:rFonts w:ascii="Symbol" w:hAnsi="Symbol" w:hint="default"/>
      </w:rPr>
    </w:lvl>
    <w:lvl w:ilvl="7" w:tplc="0C090003" w:tentative="1">
      <w:start w:val="1"/>
      <w:numFmt w:val="bullet"/>
      <w:lvlText w:val="o"/>
      <w:lvlJc w:val="left"/>
      <w:pPr>
        <w:ind w:left="5813" w:hanging="360"/>
      </w:pPr>
      <w:rPr>
        <w:rFonts w:ascii="Courier New" w:hAnsi="Courier New" w:cs="Courier New" w:hint="default"/>
      </w:rPr>
    </w:lvl>
    <w:lvl w:ilvl="8" w:tplc="0C090005" w:tentative="1">
      <w:start w:val="1"/>
      <w:numFmt w:val="bullet"/>
      <w:lvlText w:val=""/>
      <w:lvlJc w:val="left"/>
      <w:pPr>
        <w:ind w:left="6533" w:hanging="360"/>
      </w:pPr>
      <w:rPr>
        <w:rFonts w:ascii="Wingdings" w:hAnsi="Wingdings" w:hint="default"/>
      </w:rPr>
    </w:lvl>
  </w:abstractNum>
  <w:abstractNum w:abstractNumId="38" w15:restartNumberingAfterBreak="0">
    <w:nsid w:val="52AF5C16"/>
    <w:multiLevelType w:val="hybridMultilevel"/>
    <w:tmpl w:val="1AE649D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563C7175"/>
    <w:multiLevelType w:val="hybridMultilevel"/>
    <w:tmpl w:val="34842AE8"/>
    <w:lvl w:ilvl="0" w:tplc="0C090001">
      <w:start w:val="1"/>
      <w:numFmt w:val="bullet"/>
      <w:lvlText w:val=""/>
      <w:lvlJc w:val="left"/>
      <w:pPr>
        <w:ind w:left="720" w:hanging="360"/>
      </w:pPr>
      <w:rPr>
        <w:rFonts w:ascii="Symbol" w:hAnsi="Symbol" w:hint="default"/>
      </w:rPr>
    </w:lvl>
    <w:lvl w:ilvl="1" w:tplc="2B84D37A">
      <w:numFmt w:val="bullet"/>
      <w:lvlText w:val="-"/>
      <w:lvlJc w:val="left"/>
      <w:pPr>
        <w:ind w:left="1440" w:hanging="360"/>
      </w:pPr>
      <w:rPr>
        <w:rFonts w:ascii="Calibri" w:eastAsia="Calibri" w:hAnsi="Calibri" w:cs="Calibri"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573A0394"/>
    <w:multiLevelType w:val="hybridMultilevel"/>
    <w:tmpl w:val="0C149C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5C0C0B8A"/>
    <w:multiLevelType w:val="hybridMultilevel"/>
    <w:tmpl w:val="D764D88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59841C4"/>
    <w:multiLevelType w:val="hybridMultilevel"/>
    <w:tmpl w:val="5E487D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668E2FA2"/>
    <w:multiLevelType w:val="multilevel"/>
    <w:tmpl w:val="820C78A6"/>
    <w:lvl w:ilvl="0">
      <w:start w:val="1"/>
      <w:numFmt w:val="decimal"/>
      <w:pStyle w:val="Numberedlist"/>
      <w:lvlText w:val="%1."/>
      <w:lvlJc w:val="left"/>
      <w:pPr>
        <w:ind w:left="425" w:hanging="425"/>
      </w:pPr>
      <w:rPr>
        <w:rFonts w:hint="default"/>
        <w:b w:val="0"/>
        <w:bCs w:val="0"/>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44" w15:restartNumberingAfterBreak="0">
    <w:nsid w:val="67DA6FB2"/>
    <w:multiLevelType w:val="hybridMultilevel"/>
    <w:tmpl w:val="8BE69A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6932019D"/>
    <w:multiLevelType w:val="multilevel"/>
    <w:tmpl w:val="D16821DC"/>
    <w:lvl w:ilvl="0">
      <w:start w:val="1"/>
      <w:numFmt w:val="decimal"/>
      <w:lvlText w:val="%1."/>
      <w:lvlJc w:val="left"/>
      <w:pPr>
        <w:ind w:left="720" w:hanging="360"/>
      </w:pPr>
      <w:rPr>
        <w:rFonts w:asciiTheme="minorHAnsi" w:hAnsiTheme="minorHAnsi" w:cstheme="minorHAnsi"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6D104471"/>
    <w:multiLevelType w:val="multilevel"/>
    <w:tmpl w:val="0F0480BC"/>
    <w:lvl w:ilvl="0">
      <w:start w:val="1"/>
      <w:numFmt w:val="decimal"/>
      <w:lvlText w:val="%1."/>
      <w:lvlJc w:val="left"/>
      <w:pPr>
        <w:ind w:left="1211" w:hanging="360"/>
      </w:pPr>
      <w:rPr>
        <w:rFonts w:asciiTheme="minorHAnsi" w:hAnsiTheme="minorHAnsi" w:cstheme="minorHAnsi" w:hint="default"/>
        <w:b w:val="0"/>
        <w:bCs w:val="0"/>
        <w:color w:val="auto"/>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47" w15:restartNumberingAfterBreak="0">
    <w:nsid w:val="759A6435"/>
    <w:multiLevelType w:val="hybridMultilevel"/>
    <w:tmpl w:val="1F8480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78917B0"/>
    <w:multiLevelType w:val="multilevel"/>
    <w:tmpl w:val="F13887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78D01E35"/>
    <w:multiLevelType w:val="hybridMultilevel"/>
    <w:tmpl w:val="E0C0C134"/>
    <w:lvl w:ilvl="0" w:tplc="E236BC00">
      <w:start w:val="11"/>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79837006"/>
    <w:multiLevelType w:val="hybridMultilevel"/>
    <w:tmpl w:val="5D8C4E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7BF5448E"/>
    <w:multiLevelType w:val="multilevel"/>
    <w:tmpl w:val="A1E4129C"/>
    <w:lvl w:ilvl="0">
      <w:start w:val="1"/>
      <w:numFmt w:val="decimal"/>
      <w:lvlText w:val="%1."/>
      <w:lvlJc w:val="left"/>
      <w:pPr>
        <w:ind w:left="720" w:hanging="360"/>
      </w:pPr>
      <w:rPr>
        <w:rFonts w:hint="default"/>
      </w:rPr>
    </w:lvl>
    <w:lvl w:ilvl="1">
      <w:start w:val="2"/>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648431774">
    <w:abstractNumId w:val="11"/>
  </w:num>
  <w:num w:numId="2" w16cid:durableId="842209657">
    <w:abstractNumId w:val="10"/>
  </w:num>
  <w:num w:numId="3" w16cid:durableId="660542573">
    <w:abstractNumId w:val="43"/>
  </w:num>
  <w:num w:numId="4" w16cid:durableId="1971085616">
    <w:abstractNumId w:val="26"/>
  </w:num>
  <w:num w:numId="5" w16cid:durableId="252517802">
    <w:abstractNumId w:val="27"/>
  </w:num>
  <w:num w:numId="6" w16cid:durableId="420297118">
    <w:abstractNumId w:val="31"/>
  </w:num>
  <w:num w:numId="7" w16cid:durableId="35338807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6466022">
    <w:abstractNumId w:val="26"/>
    <w:lvlOverride w:ilvl="0">
      <w:startOverride w:val="1"/>
    </w:lvlOverride>
  </w:num>
  <w:num w:numId="9" w16cid:durableId="1747920389">
    <w:abstractNumId w:val="27"/>
    <w:lvlOverride w:ilvl="0">
      <w:startOverride w:val="1"/>
    </w:lvlOverride>
  </w:num>
  <w:num w:numId="10" w16cid:durableId="1001813381">
    <w:abstractNumId w:val="26"/>
    <w:lvlOverride w:ilvl="0">
      <w:startOverride w:val="1"/>
    </w:lvlOverride>
  </w:num>
  <w:num w:numId="11" w16cid:durableId="1103450744">
    <w:abstractNumId w:val="27"/>
    <w:lvlOverride w:ilvl="0">
      <w:startOverride w:val="1"/>
    </w:lvlOverride>
  </w:num>
  <w:num w:numId="12" w16cid:durableId="1549294228">
    <w:abstractNumId w:val="26"/>
    <w:lvlOverride w:ilvl="0">
      <w:startOverride w:val="1"/>
    </w:lvlOverride>
  </w:num>
  <w:num w:numId="13" w16cid:durableId="87585497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5462943">
    <w:abstractNumId w:val="27"/>
    <w:lvlOverride w:ilvl="0">
      <w:startOverride w:val="1"/>
    </w:lvlOverride>
  </w:num>
  <w:num w:numId="15" w16cid:durableId="124645395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8952063">
    <w:abstractNumId w:val="43"/>
  </w:num>
  <w:num w:numId="17" w16cid:durableId="4341297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1904122">
    <w:abstractNumId w:val="20"/>
  </w:num>
  <w:num w:numId="19" w16cid:durableId="836698820">
    <w:abstractNumId w:val="29"/>
  </w:num>
  <w:num w:numId="20" w16cid:durableId="4028038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1174775">
    <w:abstractNumId w:val="30"/>
  </w:num>
  <w:num w:numId="22" w16cid:durableId="200242115">
    <w:abstractNumId w:val="2"/>
  </w:num>
  <w:num w:numId="23" w16cid:durableId="585068731">
    <w:abstractNumId w:val="9"/>
  </w:num>
  <w:num w:numId="24" w16cid:durableId="1431437445">
    <w:abstractNumId w:val="8"/>
  </w:num>
  <w:num w:numId="25" w16cid:durableId="507214046">
    <w:abstractNumId w:val="24"/>
  </w:num>
  <w:num w:numId="26" w16cid:durableId="913591473">
    <w:abstractNumId w:val="11"/>
  </w:num>
  <w:num w:numId="27" w16cid:durableId="122846302">
    <w:abstractNumId w:val="19"/>
  </w:num>
  <w:num w:numId="28" w16cid:durableId="1587573056">
    <w:abstractNumId w:val="14"/>
  </w:num>
  <w:num w:numId="29" w16cid:durableId="499081846">
    <w:abstractNumId w:val="17"/>
  </w:num>
  <w:num w:numId="30" w16cid:durableId="2060393158">
    <w:abstractNumId w:val="47"/>
  </w:num>
  <w:num w:numId="31" w16cid:durableId="217522941">
    <w:abstractNumId w:val="21"/>
  </w:num>
  <w:num w:numId="32" w16cid:durableId="1105923665">
    <w:abstractNumId w:val="41"/>
  </w:num>
  <w:num w:numId="33" w16cid:durableId="2004042244">
    <w:abstractNumId w:val="34"/>
  </w:num>
  <w:num w:numId="34" w16cid:durableId="1136528838">
    <w:abstractNumId w:val="22"/>
  </w:num>
  <w:num w:numId="35" w16cid:durableId="524250672">
    <w:abstractNumId w:val="7"/>
  </w:num>
  <w:num w:numId="36" w16cid:durableId="1817139614">
    <w:abstractNumId w:val="18"/>
  </w:num>
  <w:num w:numId="37" w16cid:durableId="631718380">
    <w:abstractNumId w:val="16"/>
  </w:num>
  <w:num w:numId="38" w16cid:durableId="1514998709">
    <w:abstractNumId w:val="13"/>
  </w:num>
  <w:num w:numId="39" w16cid:durableId="366563522">
    <w:abstractNumId w:val="0"/>
  </w:num>
  <w:num w:numId="40" w16cid:durableId="1454012479">
    <w:abstractNumId w:val="45"/>
  </w:num>
  <w:num w:numId="41" w16cid:durableId="1974631714">
    <w:abstractNumId w:val="33"/>
  </w:num>
  <w:num w:numId="42" w16cid:durableId="964382932">
    <w:abstractNumId w:val="51"/>
  </w:num>
  <w:num w:numId="43" w16cid:durableId="185170371">
    <w:abstractNumId w:val="6"/>
  </w:num>
  <w:num w:numId="44" w16cid:durableId="903099233">
    <w:abstractNumId w:val="46"/>
  </w:num>
  <w:num w:numId="45" w16cid:durableId="152835353">
    <w:abstractNumId w:val="12"/>
  </w:num>
  <w:num w:numId="46" w16cid:durableId="1688285571">
    <w:abstractNumId w:val="48"/>
  </w:num>
  <w:num w:numId="47" w16cid:durableId="868761659">
    <w:abstractNumId w:val="28"/>
  </w:num>
  <w:num w:numId="48" w16cid:durableId="918711743">
    <w:abstractNumId w:val="36"/>
  </w:num>
  <w:num w:numId="49" w16cid:durableId="863902523">
    <w:abstractNumId w:val="25"/>
  </w:num>
  <w:num w:numId="50" w16cid:durableId="311259695">
    <w:abstractNumId w:val="39"/>
  </w:num>
  <w:num w:numId="51" w16cid:durableId="630014125">
    <w:abstractNumId w:val="37"/>
  </w:num>
  <w:num w:numId="52" w16cid:durableId="1720009604">
    <w:abstractNumId w:val="23"/>
  </w:num>
  <w:num w:numId="53" w16cid:durableId="2103799908">
    <w:abstractNumId w:val="4"/>
  </w:num>
  <w:num w:numId="54" w16cid:durableId="1402825846">
    <w:abstractNumId w:val="3"/>
  </w:num>
  <w:num w:numId="55" w16cid:durableId="1352098970">
    <w:abstractNumId w:val="1"/>
  </w:num>
  <w:num w:numId="56" w16cid:durableId="468127833">
    <w:abstractNumId w:val="5"/>
  </w:num>
  <w:num w:numId="57" w16cid:durableId="593125830">
    <w:abstractNumId w:val="44"/>
  </w:num>
  <w:num w:numId="58" w16cid:durableId="597643606">
    <w:abstractNumId w:val="50"/>
  </w:num>
  <w:num w:numId="59" w16cid:durableId="62412885">
    <w:abstractNumId w:val="38"/>
  </w:num>
  <w:num w:numId="60" w16cid:durableId="1362054030">
    <w:abstractNumId w:val="15"/>
  </w:num>
  <w:num w:numId="61" w16cid:durableId="1281034003">
    <w:abstractNumId w:val="42"/>
  </w:num>
  <w:num w:numId="62" w16cid:durableId="1251499922">
    <w:abstractNumId w:val="35"/>
  </w:num>
  <w:num w:numId="63" w16cid:durableId="383723037">
    <w:abstractNumId w:val="49"/>
  </w:num>
  <w:num w:numId="64" w16cid:durableId="1201745937">
    <w:abstractNumId w:val="32"/>
  </w:num>
  <w:num w:numId="65" w16cid:durableId="1911839695">
    <w:abstractNumId w:val="40"/>
  </w:num>
  <w:num w:numId="66" w16cid:durableId="89662732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4999284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40098000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9398447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6509348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2E9"/>
    <w:rsid w:val="00000822"/>
    <w:rsid w:val="00003728"/>
    <w:rsid w:val="00004B91"/>
    <w:rsid w:val="00006344"/>
    <w:rsid w:val="000068B9"/>
    <w:rsid w:val="000115AB"/>
    <w:rsid w:val="00012DA7"/>
    <w:rsid w:val="00014646"/>
    <w:rsid w:val="0001473F"/>
    <w:rsid w:val="00014D0A"/>
    <w:rsid w:val="00015018"/>
    <w:rsid w:val="000246D6"/>
    <w:rsid w:val="00025C12"/>
    <w:rsid w:val="000347FB"/>
    <w:rsid w:val="00035A11"/>
    <w:rsid w:val="00036249"/>
    <w:rsid w:val="00041D05"/>
    <w:rsid w:val="00042268"/>
    <w:rsid w:val="00043534"/>
    <w:rsid w:val="00046D4C"/>
    <w:rsid w:val="00047707"/>
    <w:rsid w:val="00050A6B"/>
    <w:rsid w:val="000513FD"/>
    <w:rsid w:val="00052D11"/>
    <w:rsid w:val="00053BD7"/>
    <w:rsid w:val="00053CC3"/>
    <w:rsid w:val="00053D2F"/>
    <w:rsid w:val="0005461D"/>
    <w:rsid w:val="0005626F"/>
    <w:rsid w:val="0005685E"/>
    <w:rsid w:val="000570A6"/>
    <w:rsid w:val="00061582"/>
    <w:rsid w:val="000707E9"/>
    <w:rsid w:val="00070945"/>
    <w:rsid w:val="000717BA"/>
    <w:rsid w:val="0007270D"/>
    <w:rsid w:val="00075506"/>
    <w:rsid w:val="00080F06"/>
    <w:rsid w:val="00080FC2"/>
    <w:rsid w:val="000825CF"/>
    <w:rsid w:val="00082C60"/>
    <w:rsid w:val="00082EB1"/>
    <w:rsid w:val="00083BC7"/>
    <w:rsid w:val="00083D66"/>
    <w:rsid w:val="000848B6"/>
    <w:rsid w:val="000858DB"/>
    <w:rsid w:val="000905E4"/>
    <w:rsid w:val="0009157D"/>
    <w:rsid w:val="00096D01"/>
    <w:rsid w:val="00097F70"/>
    <w:rsid w:val="000A0C18"/>
    <w:rsid w:val="000A3AA0"/>
    <w:rsid w:val="000A3F9B"/>
    <w:rsid w:val="000A4C7E"/>
    <w:rsid w:val="000A6268"/>
    <w:rsid w:val="000B04DE"/>
    <w:rsid w:val="000B4346"/>
    <w:rsid w:val="000B4DF9"/>
    <w:rsid w:val="000B6A88"/>
    <w:rsid w:val="000C17DB"/>
    <w:rsid w:val="000C36A3"/>
    <w:rsid w:val="000C3973"/>
    <w:rsid w:val="000C48B1"/>
    <w:rsid w:val="000C57C6"/>
    <w:rsid w:val="000C76AA"/>
    <w:rsid w:val="000D0A42"/>
    <w:rsid w:val="000D1F50"/>
    <w:rsid w:val="000D713F"/>
    <w:rsid w:val="000D742A"/>
    <w:rsid w:val="000E058F"/>
    <w:rsid w:val="000E07C3"/>
    <w:rsid w:val="000E1D08"/>
    <w:rsid w:val="000E5739"/>
    <w:rsid w:val="000E7683"/>
    <w:rsid w:val="000E77F0"/>
    <w:rsid w:val="000F019A"/>
    <w:rsid w:val="000F1EB3"/>
    <w:rsid w:val="000F288B"/>
    <w:rsid w:val="000F300A"/>
    <w:rsid w:val="000F3A4B"/>
    <w:rsid w:val="000F5C20"/>
    <w:rsid w:val="000F779C"/>
    <w:rsid w:val="000F79EA"/>
    <w:rsid w:val="0010164B"/>
    <w:rsid w:val="00101D60"/>
    <w:rsid w:val="00107118"/>
    <w:rsid w:val="00110D97"/>
    <w:rsid w:val="001122C0"/>
    <w:rsid w:val="00112DAD"/>
    <w:rsid w:val="001171E4"/>
    <w:rsid w:val="0012007C"/>
    <w:rsid w:val="00120E2E"/>
    <w:rsid w:val="00121181"/>
    <w:rsid w:val="00122329"/>
    <w:rsid w:val="001230C1"/>
    <w:rsid w:val="001232C3"/>
    <w:rsid w:val="00124B00"/>
    <w:rsid w:val="00126471"/>
    <w:rsid w:val="00126ADF"/>
    <w:rsid w:val="00126BEE"/>
    <w:rsid w:val="00127D91"/>
    <w:rsid w:val="001324A3"/>
    <w:rsid w:val="00133100"/>
    <w:rsid w:val="00135EF0"/>
    <w:rsid w:val="0013675B"/>
    <w:rsid w:val="00136C50"/>
    <w:rsid w:val="00137347"/>
    <w:rsid w:val="00143C66"/>
    <w:rsid w:val="00144386"/>
    <w:rsid w:val="00144A90"/>
    <w:rsid w:val="00147109"/>
    <w:rsid w:val="00154D8C"/>
    <w:rsid w:val="001575C5"/>
    <w:rsid w:val="001600FA"/>
    <w:rsid w:val="001616DD"/>
    <w:rsid w:val="00161AE4"/>
    <w:rsid w:val="00161FDC"/>
    <w:rsid w:val="00164AA5"/>
    <w:rsid w:val="00166052"/>
    <w:rsid w:val="001660FE"/>
    <w:rsid w:val="00167C17"/>
    <w:rsid w:val="0017051B"/>
    <w:rsid w:val="00173EDD"/>
    <w:rsid w:val="00174ECE"/>
    <w:rsid w:val="00175212"/>
    <w:rsid w:val="00175FF8"/>
    <w:rsid w:val="001767CA"/>
    <w:rsid w:val="00180C1A"/>
    <w:rsid w:val="00181504"/>
    <w:rsid w:val="00181729"/>
    <w:rsid w:val="001817EB"/>
    <w:rsid w:val="001819E4"/>
    <w:rsid w:val="00183E97"/>
    <w:rsid w:val="00184284"/>
    <w:rsid w:val="00184480"/>
    <w:rsid w:val="00184D6D"/>
    <w:rsid w:val="00184F59"/>
    <w:rsid w:val="00185C37"/>
    <w:rsid w:val="00186FB7"/>
    <w:rsid w:val="00187537"/>
    <w:rsid w:val="00191413"/>
    <w:rsid w:val="0019193E"/>
    <w:rsid w:val="00192C70"/>
    <w:rsid w:val="001935B4"/>
    <w:rsid w:val="00193907"/>
    <w:rsid w:val="00195EFB"/>
    <w:rsid w:val="00197F2E"/>
    <w:rsid w:val="001A0124"/>
    <w:rsid w:val="001A1DD6"/>
    <w:rsid w:val="001A2273"/>
    <w:rsid w:val="001B0DC3"/>
    <w:rsid w:val="001B175B"/>
    <w:rsid w:val="001B1A6A"/>
    <w:rsid w:val="001B2E35"/>
    <w:rsid w:val="001B3430"/>
    <w:rsid w:val="001B7955"/>
    <w:rsid w:val="001C0F5C"/>
    <w:rsid w:val="001C108E"/>
    <w:rsid w:val="001C223C"/>
    <w:rsid w:val="001C24A7"/>
    <w:rsid w:val="001C263F"/>
    <w:rsid w:val="001C5958"/>
    <w:rsid w:val="001C784C"/>
    <w:rsid w:val="001D12A9"/>
    <w:rsid w:val="001D140D"/>
    <w:rsid w:val="001D150B"/>
    <w:rsid w:val="001D195F"/>
    <w:rsid w:val="001D25F2"/>
    <w:rsid w:val="001D432A"/>
    <w:rsid w:val="001D6C92"/>
    <w:rsid w:val="001D780B"/>
    <w:rsid w:val="001D7907"/>
    <w:rsid w:val="001E0BEA"/>
    <w:rsid w:val="001E0BED"/>
    <w:rsid w:val="001E2C6F"/>
    <w:rsid w:val="001E30A5"/>
    <w:rsid w:val="001E3D5B"/>
    <w:rsid w:val="001E400F"/>
    <w:rsid w:val="001E4A13"/>
    <w:rsid w:val="001E4EF9"/>
    <w:rsid w:val="001E579B"/>
    <w:rsid w:val="001E5FF2"/>
    <w:rsid w:val="001E626E"/>
    <w:rsid w:val="001E7077"/>
    <w:rsid w:val="001E7A17"/>
    <w:rsid w:val="001F0765"/>
    <w:rsid w:val="001F26B1"/>
    <w:rsid w:val="001F29F4"/>
    <w:rsid w:val="001F2F3D"/>
    <w:rsid w:val="001F3ED6"/>
    <w:rsid w:val="001F4369"/>
    <w:rsid w:val="001F49DF"/>
    <w:rsid w:val="001F5AE3"/>
    <w:rsid w:val="001F656A"/>
    <w:rsid w:val="001F68D1"/>
    <w:rsid w:val="001F6D1A"/>
    <w:rsid w:val="001F6E03"/>
    <w:rsid w:val="00200124"/>
    <w:rsid w:val="002012D2"/>
    <w:rsid w:val="00201AF6"/>
    <w:rsid w:val="00202C2B"/>
    <w:rsid w:val="0020360D"/>
    <w:rsid w:val="0020612C"/>
    <w:rsid w:val="002062E9"/>
    <w:rsid w:val="00211BFA"/>
    <w:rsid w:val="00212F1D"/>
    <w:rsid w:val="002140AE"/>
    <w:rsid w:val="00214A3E"/>
    <w:rsid w:val="00216C3B"/>
    <w:rsid w:val="0022138F"/>
    <w:rsid w:val="00223B32"/>
    <w:rsid w:val="00225769"/>
    <w:rsid w:val="00225E3B"/>
    <w:rsid w:val="00227104"/>
    <w:rsid w:val="00230054"/>
    <w:rsid w:val="0023668B"/>
    <w:rsid w:val="00237B27"/>
    <w:rsid w:val="00240029"/>
    <w:rsid w:val="00240DC9"/>
    <w:rsid w:val="00241A68"/>
    <w:rsid w:val="00242601"/>
    <w:rsid w:val="002427B0"/>
    <w:rsid w:val="00244149"/>
    <w:rsid w:val="00245BF4"/>
    <w:rsid w:val="00246EDC"/>
    <w:rsid w:val="00247BAF"/>
    <w:rsid w:val="00251791"/>
    <w:rsid w:val="00251D96"/>
    <w:rsid w:val="00253A48"/>
    <w:rsid w:val="00253EC8"/>
    <w:rsid w:val="0025483C"/>
    <w:rsid w:val="00255069"/>
    <w:rsid w:val="00256701"/>
    <w:rsid w:val="00257A6C"/>
    <w:rsid w:val="0026085A"/>
    <w:rsid w:val="002700D3"/>
    <w:rsid w:val="0027262B"/>
    <w:rsid w:val="002731A9"/>
    <w:rsid w:val="00274308"/>
    <w:rsid w:val="00280051"/>
    <w:rsid w:val="00280C5D"/>
    <w:rsid w:val="00281798"/>
    <w:rsid w:val="00281830"/>
    <w:rsid w:val="002827C4"/>
    <w:rsid w:val="00283890"/>
    <w:rsid w:val="00284D13"/>
    <w:rsid w:val="00292A6B"/>
    <w:rsid w:val="00293B6B"/>
    <w:rsid w:val="00294B76"/>
    <w:rsid w:val="00294F1A"/>
    <w:rsid w:val="00295D79"/>
    <w:rsid w:val="0029655B"/>
    <w:rsid w:val="002A0163"/>
    <w:rsid w:val="002A295E"/>
    <w:rsid w:val="002A5430"/>
    <w:rsid w:val="002B2713"/>
    <w:rsid w:val="002B3511"/>
    <w:rsid w:val="002B3D19"/>
    <w:rsid w:val="002B3F13"/>
    <w:rsid w:val="002B434C"/>
    <w:rsid w:val="002B5D29"/>
    <w:rsid w:val="002C39F9"/>
    <w:rsid w:val="002C4308"/>
    <w:rsid w:val="002C444F"/>
    <w:rsid w:val="002C58B8"/>
    <w:rsid w:val="002C6E6B"/>
    <w:rsid w:val="002C7500"/>
    <w:rsid w:val="002C75BC"/>
    <w:rsid w:val="002D1CA0"/>
    <w:rsid w:val="002D22CF"/>
    <w:rsid w:val="002D43AF"/>
    <w:rsid w:val="002D4BB3"/>
    <w:rsid w:val="002D56A1"/>
    <w:rsid w:val="002D59A9"/>
    <w:rsid w:val="002D5A00"/>
    <w:rsid w:val="002D5CCB"/>
    <w:rsid w:val="002D7682"/>
    <w:rsid w:val="002E1E63"/>
    <w:rsid w:val="002E1FA1"/>
    <w:rsid w:val="002E63E1"/>
    <w:rsid w:val="002E6515"/>
    <w:rsid w:val="002E6517"/>
    <w:rsid w:val="002E6687"/>
    <w:rsid w:val="002F2A26"/>
    <w:rsid w:val="002F6957"/>
    <w:rsid w:val="002F6CB3"/>
    <w:rsid w:val="002F7DE5"/>
    <w:rsid w:val="002F7DF1"/>
    <w:rsid w:val="003007EA"/>
    <w:rsid w:val="003027B6"/>
    <w:rsid w:val="00306981"/>
    <w:rsid w:val="00307CDA"/>
    <w:rsid w:val="00307FDA"/>
    <w:rsid w:val="0031196F"/>
    <w:rsid w:val="00312B51"/>
    <w:rsid w:val="00312C39"/>
    <w:rsid w:val="00314160"/>
    <w:rsid w:val="00314716"/>
    <w:rsid w:val="00315B35"/>
    <w:rsid w:val="00316881"/>
    <w:rsid w:val="00317020"/>
    <w:rsid w:val="00317101"/>
    <w:rsid w:val="003172CB"/>
    <w:rsid w:val="00317F10"/>
    <w:rsid w:val="003217E1"/>
    <w:rsid w:val="003218C1"/>
    <w:rsid w:val="0032423A"/>
    <w:rsid w:val="003247E9"/>
    <w:rsid w:val="003254E1"/>
    <w:rsid w:val="00325F1C"/>
    <w:rsid w:val="00330349"/>
    <w:rsid w:val="003303F9"/>
    <w:rsid w:val="00330A1E"/>
    <w:rsid w:val="00331E2B"/>
    <w:rsid w:val="003321DE"/>
    <w:rsid w:val="00333A73"/>
    <w:rsid w:val="00334700"/>
    <w:rsid w:val="003352BA"/>
    <w:rsid w:val="003366C8"/>
    <w:rsid w:val="0033770B"/>
    <w:rsid w:val="0034072B"/>
    <w:rsid w:val="003412E9"/>
    <w:rsid w:val="00342839"/>
    <w:rsid w:val="00343A44"/>
    <w:rsid w:val="003444DC"/>
    <w:rsid w:val="003465C6"/>
    <w:rsid w:val="00350211"/>
    <w:rsid w:val="0035053A"/>
    <w:rsid w:val="003518BF"/>
    <w:rsid w:val="00352DA1"/>
    <w:rsid w:val="0035392C"/>
    <w:rsid w:val="00354558"/>
    <w:rsid w:val="00361EB4"/>
    <w:rsid w:val="00362E3A"/>
    <w:rsid w:val="00363564"/>
    <w:rsid w:val="0036465D"/>
    <w:rsid w:val="00372477"/>
    <w:rsid w:val="00372544"/>
    <w:rsid w:val="0037341B"/>
    <w:rsid w:val="00376B5F"/>
    <w:rsid w:val="00377AD9"/>
    <w:rsid w:val="00380288"/>
    <w:rsid w:val="003817A2"/>
    <w:rsid w:val="00385359"/>
    <w:rsid w:val="00385468"/>
    <w:rsid w:val="00390CE7"/>
    <w:rsid w:val="00390DAE"/>
    <w:rsid w:val="00393C61"/>
    <w:rsid w:val="00393FF3"/>
    <w:rsid w:val="0039618C"/>
    <w:rsid w:val="0039633A"/>
    <w:rsid w:val="00396B90"/>
    <w:rsid w:val="003A0BC9"/>
    <w:rsid w:val="003A0D26"/>
    <w:rsid w:val="003A21CD"/>
    <w:rsid w:val="003A2A9E"/>
    <w:rsid w:val="003A2E05"/>
    <w:rsid w:val="003A40A7"/>
    <w:rsid w:val="003A55FF"/>
    <w:rsid w:val="003A5ADA"/>
    <w:rsid w:val="003A6000"/>
    <w:rsid w:val="003A6511"/>
    <w:rsid w:val="003B28A5"/>
    <w:rsid w:val="003B3F9A"/>
    <w:rsid w:val="003B57A1"/>
    <w:rsid w:val="003B661D"/>
    <w:rsid w:val="003B720D"/>
    <w:rsid w:val="003B760C"/>
    <w:rsid w:val="003C218A"/>
    <w:rsid w:val="003C4430"/>
    <w:rsid w:val="003C5F3E"/>
    <w:rsid w:val="003C7810"/>
    <w:rsid w:val="003D10DD"/>
    <w:rsid w:val="003D1C0C"/>
    <w:rsid w:val="003D3B16"/>
    <w:rsid w:val="003D60E0"/>
    <w:rsid w:val="003D709B"/>
    <w:rsid w:val="003D7463"/>
    <w:rsid w:val="003E0103"/>
    <w:rsid w:val="003E0A22"/>
    <w:rsid w:val="003E727F"/>
    <w:rsid w:val="003E7D3D"/>
    <w:rsid w:val="003F01DF"/>
    <w:rsid w:val="003F2C18"/>
    <w:rsid w:val="003F6C0E"/>
    <w:rsid w:val="00407C75"/>
    <w:rsid w:val="00407E6D"/>
    <w:rsid w:val="00411B14"/>
    <w:rsid w:val="00412C91"/>
    <w:rsid w:val="004132C5"/>
    <w:rsid w:val="00414064"/>
    <w:rsid w:val="00415DFF"/>
    <w:rsid w:val="00417745"/>
    <w:rsid w:val="00423CA6"/>
    <w:rsid w:val="00430454"/>
    <w:rsid w:val="004326A8"/>
    <w:rsid w:val="004328A4"/>
    <w:rsid w:val="00436B86"/>
    <w:rsid w:val="0043706A"/>
    <w:rsid w:val="004401B0"/>
    <w:rsid w:val="00441154"/>
    <w:rsid w:val="00441D90"/>
    <w:rsid w:val="00442224"/>
    <w:rsid w:val="004444EE"/>
    <w:rsid w:val="004458BD"/>
    <w:rsid w:val="0044611A"/>
    <w:rsid w:val="0044616C"/>
    <w:rsid w:val="004524CF"/>
    <w:rsid w:val="00452582"/>
    <w:rsid w:val="00454812"/>
    <w:rsid w:val="004549FE"/>
    <w:rsid w:val="00454D38"/>
    <w:rsid w:val="00455C81"/>
    <w:rsid w:val="00457272"/>
    <w:rsid w:val="00457D10"/>
    <w:rsid w:val="00457DCC"/>
    <w:rsid w:val="00460BDF"/>
    <w:rsid w:val="00461A18"/>
    <w:rsid w:val="00462060"/>
    <w:rsid w:val="0046398B"/>
    <w:rsid w:val="00463C1A"/>
    <w:rsid w:val="00463EEC"/>
    <w:rsid w:val="004640FF"/>
    <w:rsid w:val="00465490"/>
    <w:rsid w:val="00473FD3"/>
    <w:rsid w:val="00474746"/>
    <w:rsid w:val="00474A6A"/>
    <w:rsid w:val="00475AAB"/>
    <w:rsid w:val="00477432"/>
    <w:rsid w:val="0047745B"/>
    <w:rsid w:val="00480537"/>
    <w:rsid w:val="00480DA2"/>
    <w:rsid w:val="00481A6C"/>
    <w:rsid w:val="0048389D"/>
    <w:rsid w:val="004839C8"/>
    <w:rsid w:val="00486165"/>
    <w:rsid w:val="0049014C"/>
    <w:rsid w:val="00492356"/>
    <w:rsid w:val="004957A2"/>
    <w:rsid w:val="004A0201"/>
    <w:rsid w:val="004A178D"/>
    <w:rsid w:val="004A1C33"/>
    <w:rsid w:val="004A42B0"/>
    <w:rsid w:val="004A7A7F"/>
    <w:rsid w:val="004B031B"/>
    <w:rsid w:val="004B474F"/>
    <w:rsid w:val="004C221A"/>
    <w:rsid w:val="004C39F8"/>
    <w:rsid w:val="004C416A"/>
    <w:rsid w:val="004C55B7"/>
    <w:rsid w:val="004C5D35"/>
    <w:rsid w:val="004C609C"/>
    <w:rsid w:val="004D0A68"/>
    <w:rsid w:val="004D20BF"/>
    <w:rsid w:val="004D2C70"/>
    <w:rsid w:val="004D31D0"/>
    <w:rsid w:val="004D31F1"/>
    <w:rsid w:val="004D4286"/>
    <w:rsid w:val="004D4733"/>
    <w:rsid w:val="004D4B45"/>
    <w:rsid w:val="004D6C3E"/>
    <w:rsid w:val="004D7B29"/>
    <w:rsid w:val="004E14DE"/>
    <w:rsid w:val="004E2562"/>
    <w:rsid w:val="004E2E2F"/>
    <w:rsid w:val="004E7CE8"/>
    <w:rsid w:val="004F1BEF"/>
    <w:rsid w:val="004F2430"/>
    <w:rsid w:val="004F2B91"/>
    <w:rsid w:val="004F3034"/>
    <w:rsid w:val="004F435E"/>
    <w:rsid w:val="005004B2"/>
    <w:rsid w:val="00506D24"/>
    <w:rsid w:val="00507506"/>
    <w:rsid w:val="005077D2"/>
    <w:rsid w:val="005118F6"/>
    <w:rsid w:val="0051350A"/>
    <w:rsid w:val="00513D5A"/>
    <w:rsid w:val="00517604"/>
    <w:rsid w:val="00517751"/>
    <w:rsid w:val="00517DA5"/>
    <w:rsid w:val="00517FA4"/>
    <w:rsid w:val="005216E4"/>
    <w:rsid w:val="00525801"/>
    <w:rsid w:val="00530642"/>
    <w:rsid w:val="00530F88"/>
    <w:rsid w:val="00532B1C"/>
    <w:rsid w:val="00532CEC"/>
    <w:rsid w:val="00532EB9"/>
    <w:rsid w:val="00533388"/>
    <w:rsid w:val="00534E1F"/>
    <w:rsid w:val="00537269"/>
    <w:rsid w:val="005412CE"/>
    <w:rsid w:val="005443C8"/>
    <w:rsid w:val="0054683B"/>
    <w:rsid w:val="00552527"/>
    <w:rsid w:val="005558E1"/>
    <w:rsid w:val="00555AA8"/>
    <w:rsid w:val="005564A4"/>
    <w:rsid w:val="0055674C"/>
    <w:rsid w:val="005606CB"/>
    <w:rsid w:val="00563265"/>
    <w:rsid w:val="00563FD8"/>
    <w:rsid w:val="00564817"/>
    <w:rsid w:val="0056512E"/>
    <w:rsid w:val="0056561D"/>
    <w:rsid w:val="0056665D"/>
    <w:rsid w:val="005706E9"/>
    <w:rsid w:val="00570849"/>
    <w:rsid w:val="0057158C"/>
    <w:rsid w:val="00576416"/>
    <w:rsid w:val="005778BD"/>
    <w:rsid w:val="00577C65"/>
    <w:rsid w:val="00581121"/>
    <w:rsid w:val="005840B8"/>
    <w:rsid w:val="005850E1"/>
    <w:rsid w:val="005867DF"/>
    <w:rsid w:val="005900D8"/>
    <w:rsid w:val="0059116A"/>
    <w:rsid w:val="005916F1"/>
    <w:rsid w:val="00591899"/>
    <w:rsid w:val="00592081"/>
    <w:rsid w:val="00595D04"/>
    <w:rsid w:val="005A0348"/>
    <w:rsid w:val="005A1FA3"/>
    <w:rsid w:val="005A27C0"/>
    <w:rsid w:val="005A4691"/>
    <w:rsid w:val="005A74FF"/>
    <w:rsid w:val="005A7C67"/>
    <w:rsid w:val="005B194A"/>
    <w:rsid w:val="005B234E"/>
    <w:rsid w:val="005B3D8A"/>
    <w:rsid w:val="005B3EC2"/>
    <w:rsid w:val="005C08C2"/>
    <w:rsid w:val="005C1D68"/>
    <w:rsid w:val="005C58FA"/>
    <w:rsid w:val="005C5F49"/>
    <w:rsid w:val="005C71BC"/>
    <w:rsid w:val="005D2629"/>
    <w:rsid w:val="005D4A78"/>
    <w:rsid w:val="005D54F1"/>
    <w:rsid w:val="005D5820"/>
    <w:rsid w:val="005E03EB"/>
    <w:rsid w:val="005E3D07"/>
    <w:rsid w:val="005E6B49"/>
    <w:rsid w:val="005E7252"/>
    <w:rsid w:val="005E7AA8"/>
    <w:rsid w:val="005F02C2"/>
    <w:rsid w:val="005F70F7"/>
    <w:rsid w:val="005F797F"/>
    <w:rsid w:val="006035E4"/>
    <w:rsid w:val="006046D3"/>
    <w:rsid w:val="00605E3B"/>
    <w:rsid w:val="006065E8"/>
    <w:rsid w:val="00607B4C"/>
    <w:rsid w:val="00610940"/>
    <w:rsid w:val="006155F0"/>
    <w:rsid w:val="00616766"/>
    <w:rsid w:val="00620386"/>
    <w:rsid w:val="006253B6"/>
    <w:rsid w:val="00625A15"/>
    <w:rsid w:val="00627BD8"/>
    <w:rsid w:val="0063178C"/>
    <w:rsid w:val="006349C4"/>
    <w:rsid w:val="00635114"/>
    <w:rsid w:val="00636177"/>
    <w:rsid w:val="006361D0"/>
    <w:rsid w:val="00637BE8"/>
    <w:rsid w:val="00637C90"/>
    <w:rsid w:val="00637D76"/>
    <w:rsid w:val="006408BF"/>
    <w:rsid w:val="00640A07"/>
    <w:rsid w:val="0064271E"/>
    <w:rsid w:val="006431FF"/>
    <w:rsid w:val="0064333A"/>
    <w:rsid w:val="00644F89"/>
    <w:rsid w:val="006531B3"/>
    <w:rsid w:val="006553EC"/>
    <w:rsid w:val="00655674"/>
    <w:rsid w:val="00656027"/>
    <w:rsid w:val="00656746"/>
    <w:rsid w:val="006623D2"/>
    <w:rsid w:val="0067005A"/>
    <w:rsid w:val="00675386"/>
    <w:rsid w:val="00676E33"/>
    <w:rsid w:val="00676E7B"/>
    <w:rsid w:val="00680130"/>
    <w:rsid w:val="0068182A"/>
    <w:rsid w:val="006824E0"/>
    <w:rsid w:val="00684A68"/>
    <w:rsid w:val="00685883"/>
    <w:rsid w:val="00691C90"/>
    <w:rsid w:val="00692458"/>
    <w:rsid w:val="00692A04"/>
    <w:rsid w:val="0069388D"/>
    <w:rsid w:val="006A0160"/>
    <w:rsid w:val="006A31AB"/>
    <w:rsid w:val="006A5215"/>
    <w:rsid w:val="006B18B2"/>
    <w:rsid w:val="006B317C"/>
    <w:rsid w:val="006B3640"/>
    <w:rsid w:val="006B61AC"/>
    <w:rsid w:val="006B6C90"/>
    <w:rsid w:val="006B7CA7"/>
    <w:rsid w:val="006C0039"/>
    <w:rsid w:val="006C1521"/>
    <w:rsid w:val="006C39B7"/>
    <w:rsid w:val="006C3C89"/>
    <w:rsid w:val="006C4E7E"/>
    <w:rsid w:val="006C7001"/>
    <w:rsid w:val="006C7362"/>
    <w:rsid w:val="006D11DF"/>
    <w:rsid w:val="006D2547"/>
    <w:rsid w:val="006D3743"/>
    <w:rsid w:val="006D3EF5"/>
    <w:rsid w:val="006D47A7"/>
    <w:rsid w:val="006E0951"/>
    <w:rsid w:val="006E10A6"/>
    <w:rsid w:val="006E3932"/>
    <w:rsid w:val="006E4456"/>
    <w:rsid w:val="006E462E"/>
    <w:rsid w:val="006E5856"/>
    <w:rsid w:val="006E71A5"/>
    <w:rsid w:val="006E73F9"/>
    <w:rsid w:val="006F0585"/>
    <w:rsid w:val="006F47AA"/>
    <w:rsid w:val="006F73C8"/>
    <w:rsid w:val="00700003"/>
    <w:rsid w:val="00700549"/>
    <w:rsid w:val="00700B1E"/>
    <w:rsid w:val="00700B46"/>
    <w:rsid w:val="00702088"/>
    <w:rsid w:val="00702564"/>
    <w:rsid w:val="007027BF"/>
    <w:rsid w:val="007033DE"/>
    <w:rsid w:val="00703CCF"/>
    <w:rsid w:val="00705460"/>
    <w:rsid w:val="00712F00"/>
    <w:rsid w:val="00721B04"/>
    <w:rsid w:val="00721E2A"/>
    <w:rsid w:val="007230FA"/>
    <w:rsid w:val="00724D61"/>
    <w:rsid w:val="007277AF"/>
    <w:rsid w:val="00735CAA"/>
    <w:rsid w:val="0073719C"/>
    <w:rsid w:val="00742E09"/>
    <w:rsid w:val="007448DB"/>
    <w:rsid w:val="00745452"/>
    <w:rsid w:val="00745956"/>
    <w:rsid w:val="00746818"/>
    <w:rsid w:val="00747FC4"/>
    <w:rsid w:val="00752457"/>
    <w:rsid w:val="0075311C"/>
    <w:rsid w:val="007532A0"/>
    <w:rsid w:val="0075415F"/>
    <w:rsid w:val="00754898"/>
    <w:rsid w:val="00754A51"/>
    <w:rsid w:val="00760169"/>
    <w:rsid w:val="007606B4"/>
    <w:rsid w:val="00760845"/>
    <w:rsid w:val="00761E05"/>
    <w:rsid w:val="007640E0"/>
    <w:rsid w:val="00766E67"/>
    <w:rsid w:val="00767379"/>
    <w:rsid w:val="007678AC"/>
    <w:rsid w:val="00770769"/>
    <w:rsid w:val="00770A8B"/>
    <w:rsid w:val="0077225F"/>
    <w:rsid w:val="00774042"/>
    <w:rsid w:val="007741B9"/>
    <w:rsid w:val="00774FDE"/>
    <w:rsid w:val="00775C81"/>
    <w:rsid w:val="00775D89"/>
    <w:rsid w:val="00777EE3"/>
    <w:rsid w:val="00781234"/>
    <w:rsid w:val="007812CF"/>
    <w:rsid w:val="0078367D"/>
    <w:rsid w:val="00784CA8"/>
    <w:rsid w:val="00784D38"/>
    <w:rsid w:val="00785234"/>
    <w:rsid w:val="00794435"/>
    <w:rsid w:val="00794ACF"/>
    <w:rsid w:val="007A1603"/>
    <w:rsid w:val="007A682A"/>
    <w:rsid w:val="007A7F29"/>
    <w:rsid w:val="007B03DA"/>
    <w:rsid w:val="007B1A7B"/>
    <w:rsid w:val="007B3138"/>
    <w:rsid w:val="007B40DC"/>
    <w:rsid w:val="007B6F78"/>
    <w:rsid w:val="007B75F4"/>
    <w:rsid w:val="007C10BA"/>
    <w:rsid w:val="007C2324"/>
    <w:rsid w:val="007C2806"/>
    <w:rsid w:val="007C5C1B"/>
    <w:rsid w:val="007D3448"/>
    <w:rsid w:val="007E04CD"/>
    <w:rsid w:val="007E4E9A"/>
    <w:rsid w:val="007E6EE6"/>
    <w:rsid w:val="007F29F8"/>
    <w:rsid w:val="007F2D82"/>
    <w:rsid w:val="007F43F2"/>
    <w:rsid w:val="007F48B2"/>
    <w:rsid w:val="007F4EF0"/>
    <w:rsid w:val="007F5CFF"/>
    <w:rsid w:val="0081013E"/>
    <w:rsid w:val="00810C0D"/>
    <w:rsid w:val="008113B4"/>
    <w:rsid w:val="008114F0"/>
    <w:rsid w:val="00814D74"/>
    <w:rsid w:val="00814DE5"/>
    <w:rsid w:val="00820942"/>
    <w:rsid w:val="008248D1"/>
    <w:rsid w:val="0082586A"/>
    <w:rsid w:val="008261B4"/>
    <w:rsid w:val="00827EDE"/>
    <w:rsid w:val="00832EAB"/>
    <w:rsid w:val="008358B4"/>
    <w:rsid w:val="00842EF4"/>
    <w:rsid w:val="00843D15"/>
    <w:rsid w:val="00845AA0"/>
    <w:rsid w:val="008465AC"/>
    <w:rsid w:val="008510FF"/>
    <w:rsid w:val="008530BE"/>
    <w:rsid w:val="008540FA"/>
    <w:rsid w:val="008569FC"/>
    <w:rsid w:val="008606A0"/>
    <w:rsid w:val="00861E1B"/>
    <w:rsid w:val="00863446"/>
    <w:rsid w:val="00863E4E"/>
    <w:rsid w:val="00867895"/>
    <w:rsid w:val="00875FE9"/>
    <w:rsid w:val="00876416"/>
    <w:rsid w:val="0087684F"/>
    <w:rsid w:val="00876CAC"/>
    <w:rsid w:val="00885A76"/>
    <w:rsid w:val="00886079"/>
    <w:rsid w:val="00886F0A"/>
    <w:rsid w:val="00891F34"/>
    <w:rsid w:val="00895C04"/>
    <w:rsid w:val="008970B7"/>
    <w:rsid w:val="008A0530"/>
    <w:rsid w:val="008A1B21"/>
    <w:rsid w:val="008A2D0F"/>
    <w:rsid w:val="008A3DD8"/>
    <w:rsid w:val="008A3F85"/>
    <w:rsid w:val="008A47BD"/>
    <w:rsid w:val="008A51E8"/>
    <w:rsid w:val="008B0AC9"/>
    <w:rsid w:val="008B0F37"/>
    <w:rsid w:val="008B55D2"/>
    <w:rsid w:val="008B5C21"/>
    <w:rsid w:val="008B791D"/>
    <w:rsid w:val="008C1C7C"/>
    <w:rsid w:val="008C208A"/>
    <w:rsid w:val="008D0538"/>
    <w:rsid w:val="008D0D9A"/>
    <w:rsid w:val="008D22FD"/>
    <w:rsid w:val="008D2CA8"/>
    <w:rsid w:val="008D4AA6"/>
    <w:rsid w:val="008E0CD4"/>
    <w:rsid w:val="008E2267"/>
    <w:rsid w:val="008E6827"/>
    <w:rsid w:val="008F0F03"/>
    <w:rsid w:val="008F1341"/>
    <w:rsid w:val="008F2CF5"/>
    <w:rsid w:val="008F3034"/>
    <w:rsid w:val="008F3194"/>
    <w:rsid w:val="008F5E84"/>
    <w:rsid w:val="008F65FF"/>
    <w:rsid w:val="00901E01"/>
    <w:rsid w:val="00904BC8"/>
    <w:rsid w:val="00906D5B"/>
    <w:rsid w:val="00907133"/>
    <w:rsid w:val="009071E8"/>
    <w:rsid w:val="009108B5"/>
    <w:rsid w:val="009118F6"/>
    <w:rsid w:val="00911EB8"/>
    <w:rsid w:val="00912168"/>
    <w:rsid w:val="009139C7"/>
    <w:rsid w:val="00913CAC"/>
    <w:rsid w:val="0091437D"/>
    <w:rsid w:val="0091462B"/>
    <w:rsid w:val="009149B8"/>
    <w:rsid w:val="0091550B"/>
    <w:rsid w:val="0091658D"/>
    <w:rsid w:val="00917142"/>
    <w:rsid w:val="00920EF6"/>
    <w:rsid w:val="00921C0B"/>
    <w:rsid w:val="00921FF8"/>
    <w:rsid w:val="00922108"/>
    <w:rsid w:val="00922A50"/>
    <w:rsid w:val="00923EC8"/>
    <w:rsid w:val="00925F13"/>
    <w:rsid w:val="00926417"/>
    <w:rsid w:val="009277AD"/>
    <w:rsid w:val="009306ED"/>
    <w:rsid w:val="00932D30"/>
    <w:rsid w:val="00933BFA"/>
    <w:rsid w:val="009369C2"/>
    <w:rsid w:val="00936C28"/>
    <w:rsid w:val="00936DC9"/>
    <w:rsid w:val="00936E45"/>
    <w:rsid w:val="00936F4C"/>
    <w:rsid w:val="0093796A"/>
    <w:rsid w:val="00940816"/>
    <w:rsid w:val="00942584"/>
    <w:rsid w:val="00942585"/>
    <w:rsid w:val="0094333E"/>
    <w:rsid w:val="009448F7"/>
    <w:rsid w:val="00944A27"/>
    <w:rsid w:val="00945A1D"/>
    <w:rsid w:val="00945CC4"/>
    <w:rsid w:val="00946533"/>
    <w:rsid w:val="00947511"/>
    <w:rsid w:val="00947A11"/>
    <w:rsid w:val="0095050A"/>
    <w:rsid w:val="0095266F"/>
    <w:rsid w:val="0095304E"/>
    <w:rsid w:val="00953E59"/>
    <w:rsid w:val="0095533A"/>
    <w:rsid w:val="00955EB4"/>
    <w:rsid w:val="0095646B"/>
    <w:rsid w:val="00957565"/>
    <w:rsid w:val="00957A99"/>
    <w:rsid w:val="00964D8D"/>
    <w:rsid w:val="00964EDA"/>
    <w:rsid w:val="00965A01"/>
    <w:rsid w:val="00965EA8"/>
    <w:rsid w:val="0096731B"/>
    <w:rsid w:val="0096785D"/>
    <w:rsid w:val="00970842"/>
    <w:rsid w:val="00971125"/>
    <w:rsid w:val="00971F4F"/>
    <w:rsid w:val="00972D70"/>
    <w:rsid w:val="0097363B"/>
    <w:rsid w:val="009746B1"/>
    <w:rsid w:val="00975A13"/>
    <w:rsid w:val="00977BFB"/>
    <w:rsid w:val="00982385"/>
    <w:rsid w:val="00982810"/>
    <w:rsid w:val="009903CC"/>
    <w:rsid w:val="00995B1B"/>
    <w:rsid w:val="009A1396"/>
    <w:rsid w:val="009A2981"/>
    <w:rsid w:val="009A336D"/>
    <w:rsid w:val="009A5010"/>
    <w:rsid w:val="009A63B5"/>
    <w:rsid w:val="009A7037"/>
    <w:rsid w:val="009C11CF"/>
    <w:rsid w:val="009C13FA"/>
    <w:rsid w:val="009C2AED"/>
    <w:rsid w:val="009C3490"/>
    <w:rsid w:val="009C3BB0"/>
    <w:rsid w:val="009C575D"/>
    <w:rsid w:val="009C72D3"/>
    <w:rsid w:val="009D1FC0"/>
    <w:rsid w:val="009D2863"/>
    <w:rsid w:val="009D4238"/>
    <w:rsid w:val="009D493B"/>
    <w:rsid w:val="009D5E09"/>
    <w:rsid w:val="009D5EE5"/>
    <w:rsid w:val="009D5F1E"/>
    <w:rsid w:val="009D7580"/>
    <w:rsid w:val="009E00C4"/>
    <w:rsid w:val="009E0C7A"/>
    <w:rsid w:val="009E0E38"/>
    <w:rsid w:val="009E31CD"/>
    <w:rsid w:val="009E53F4"/>
    <w:rsid w:val="009E59FA"/>
    <w:rsid w:val="009F72C8"/>
    <w:rsid w:val="00A006D5"/>
    <w:rsid w:val="00A01509"/>
    <w:rsid w:val="00A02651"/>
    <w:rsid w:val="00A0337B"/>
    <w:rsid w:val="00A035E4"/>
    <w:rsid w:val="00A03809"/>
    <w:rsid w:val="00A0459A"/>
    <w:rsid w:val="00A055F1"/>
    <w:rsid w:val="00A07C43"/>
    <w:rsid w:val="00A116EA"/>
    <w:rsid w:val="00A11739"/>
    <w:rsid w:val="00A14311"/>
    <w:rsid w:val="00A1579B"/>
    <w:rsid w:val="00A20CEA"/>
    <w:rsid w:val="00A24C42"/>
    <w:rsid w:val="00A2629A"/>
    <w:rsid w:val="00A26F1E"/>
    <w:rsid w:val="00A272D4"/>
    <w:rsid w:val="00A2737A"/>
    <w:rsid w:val="00A303C6"/>
    <w:rsid w:val="00A31E06"/>
    <w:rsid w:val="00A32873"/>
    <w:rsid w:val="00A32B6F"/>
    <w:rsid w:val="00A333F2"/>
    <w:rsid w:val="00A34EAB"/>
    <w:rsid w:val="00A3776B"/>
    <w:rsid w:val="00A41E01"/>
    <w:rsid w:val="00A435C8"/>
    <w:rsid w:val="00A45D6C"/>
    <w:rsid w:val="00A470E3"/>
    <w:rsid w:val="00A513AA"/>
    <w:rsid w:val="00A6051F"/>
    <w:rsid w:val="00A60EED"/>
    <w:rsid w:val="00A621FE"/>
    <w:rsid w:val="00A6232E"/>
    <w:rsid w:val="00A64430"/>
    <w:rsid w:val="00A65C0A"/>
    <w:rsid w:val="00A65F41"/>
    <w:rsid w:val="00A66966"/>
    <w:rsid w:val="00A67F7A"/>
    <w:rsid w:val="00A70B4B"/>
    <w:rsid w:val="00A721C0"/>
    <w:rsid w:val="00A7294C"/>
    <w:rsid w:val="00A731B8"/>
    <w:rsid w:val="00A7517C"/>
    <w:rsid w:val="00A774B1"/>
    <w:rsid w:val="00A80F96"/>
    <w:rsid w:val="00A84013"/>
    <w:rsid w:val="00A84E3E"/>
    <w:rsid w:val="00A856B1"/>
    <w:rsid w:val="00A8578D"/>
    <w:rsid w:val="00A86197"/>
    <w:rsid w:val="00A875F3"/>
    <w:rsid w:val="00A9080B"/>
    <w:rsid w:val="00A90E16"/>
    <w:rsid w:val="00A94E61"/>
    <w:rsid w:val="00A957B0"/>
    <w:rsid w:val="00A96564"/>
    <w:rsid w:val="00A96CD8"/>
    <w:rsid w:val="00A979FD"/>
    <w:rsid w:val="00AA15EB"/>
    <w:rsid w:val="00AA2D7A"/>
    <w:rsid w:val="00AA2E86"/>
    <w:rsid w:val="00AA3549"/>
    <w:rsid w:val="00AA5307"/>
    <w:rsid w:val="00AB3BAC"/>
    <w:rsid w:val="00AB4AD3"/>
    <w:rsid w:val="00AC0797"/>
    <w:rsid w:val="00AC08FE"/>
    <w:rsid w:val="00AC1ADB"/>
    <w:rsid w:val="00AC2EDE"/>
    <w:rsid w:val="00AC53AF"/>
    <w:rsid w:val="00AC75BB"/>
    <w:rsid w:val="00AD4F9D"/>
    <w:rsid w:val="00AD628A"/>
    <w:rsid w:val="00AE05E1"/>
    <w:rsid w:val="00AE0AC0"/>
    <w:rsid w:val="00AE2123"/>
    <w:rsid w:val="00AE2BB3"/>
    <w:rsid w:val="00AE395D"/>
    <w:rsid w:val="00AE486F"/>
    <w:rsid w:val="00AE59E5"/>
    <w:rsid w:val="00AE629D"/>
    <w:rsid w:val="00AE6938"/>
    <w:rsid w:val="00AE6DBC"/>
    <w:rsid w:val="00AF0A65"/>
    <w:rsid w:val="00AF223D"/>
    <w:rsid w:val="00AF22E7"/>
    <w:rsid w:val="00AF3F61"/>
    <w:rsid w:val="00AF532B"/>
    <w:rsid w:val="00AF5C4F"/>
    <w:rsid w:val="00AF62FB"/>
    <w:rsid w:val="00AF67A9"/>
    <w:rsid w:val="00B024D9"/>
    <w:rsid w:val="00B03FFF"/>
    <w:rsid w:val="00B0502D"/>
    <w:rsid w:val="00B058EF"/>
    <w:rsid w:val="00B07F75"/>
    <w:rsid w:val="00B10AB7"/>
    <w:rsid w:val="00B1151B"/>
    <w:rsid w:val="00B1182E"/>
    <w:rsid w:val="00B137A4"/>
    <w:rsid w:val="00B170A2"/>
    <w:rsid w:val="00B17F72"/>
    <w:rsid w:val="00B203FF"/>
    <w:rsid w:val="00B22277"/>
    <w:rsid w:val="00B22944"/>
    <w:rsid w:val="00B2758D"/>
    <w:rsid w:val="00B30482"/>
    <w:rsid w:val="00B31526"/>
    <w:rsid w:val="00B3226B"/>
    <w:rsid w:val="00B326A7"/>
    <w:rsid w:val="00B33322"/>
    <w:rsid w:val="00B33F30"/>
    <w:rsid w:val="00B33FA0"/>
    <w:rsid w:val="00B34124"/>
    <w:rsid w:val="00B3418C"/>
    <w:rsid w:val="00B34980"/>
    <w:rsid w:val="00B36C89"/>
    <w:rsid w:val="00B41CEE"/>
    <w:rsid w:val="00B420B6"/>
    <w:rsid w:val="00B450AD"/>
    <w:rsid w:val="00B466AC"/>
    <w:rsid w:val="00B47F44"/>
    <w:rsid w:val="00B500E8"/>
    <w:rsid w:val="00B506B5"/>
    <w:rsid w:val="00B52163"/>
    <w:rsid w:val="00B53F0F"/>
    <w:rsid w:val="00B55EF6"/>
    <w:rsid w:val="00B61039"/>
    <w:rsid w:val="00B61582"/>
    <w:rsid w:val="00B6217E"/>
    <w:rsid w:val="00B625F2"/>
    <w:rsid w:val="00B627C5"/>
    <w:rsid w:val="00B64367"/>
    <w:rsid w:val="00B64C8C"/>
    <w:rsid w:val="00B65F91"/>
    <w:rsid w:val="00B6769D"/>
    <w:rsid w:val="00B6772A"/>
    <w:rsid w:val="00B77A42"/>
    <w:rsid w:val="00B83559"/>
    <w:rsid w:val="00B853F1"/>
    <w:rsid w:val="00B86A43"/>
    <w:rsid w:val="00B91976"/>
    <w:rsid w:val="00B92CED"/>
    <w:rsid w:val="00B94117"/>
    <w:rsid w:val="00B968C2"/>
    <w:rsid w:val="00BA028D"/>
    <w:rsid w:val="00BA1722"/>
    <w:rsid w:val="00BA2A8A"/>
    <w:rsid w:val="00BA3E7C"/>
    <w:rsid w:val="00BA460B"/>
    <w:rsid w:val="00BA57E7"/>
    <w:rsid w:val="00BA62AA"/>
    <w:rsid w:val="00BA6C5D"/>
    <w:rsid w:val="00BA6DD4"/>
    <w:rsid w:val="00BB1636"/>
    <w:rsid w:val="00BB1B98"/>
    <w:rsid w:val="00BB1F16"/>
    <w:rsid w:val="00BB5BAF"/>
    <w:rsid w:val="00BB6801"/>
    <w:rsid w:val="00BB7B1F"/>
    <w:rsid w:val="00BC12C5"/>
    <w:rsid w:val="00BC3A08"/>
    <w:rsid w:val="00BC4D26"/>
    <w:rsid w:val="00BC4E0F"/>
    <w:rsid w:val="00BC5518"/>
    <w:rsid w:val="00BC6036"/>
    <w:rsid w:val="00BD054F"/>
    <w:rsid w:val="00BD078D"/>
    <w:rsid w:val="00BD429D"/>
    <w:rsid w:val="00BD44A9"/>
    <w:rsid w:val="00BD6D69"/>
    <w:rsid w:val="00BE1539"/>
    <w:rsid w:val="00BE4EDA"/>
    <w:rsid w:val="00BF27FA"/>
    <w:rsid w:val="00BF35EB"/>
    <w:rsid w:val="00BF36A0"/>
    <w:rsid w:val="00BF3884"/>
    <w:rsid w:val="00BF52DE"/>
    <w:rsid w:val="00BF59A6"/>
    <w:rsid w:val="00BF6116"/>
    <w:rsid w:val="00C00318"/>
    <w:rsid w:val="00C01BE9"/>
    <w:rsid w:val="00C034D3"/>
    <w:rsid w:val="00C049CA"/>
    <w:rsid w:val="00C055ED"/>
    <w:rsid w:val="00C07276"/>
    <w:rsid w:val="00C11030"/>
    <w:rsid w:val="00C111B1"/>
    <w:rsid w:val="00C11E48"/>
    <w:rsid w:val="00C12554"/>
    <w:rsid w:val="00C15F4D"/>
    <w:rsid w:val="00C202F8"/>
    <w:rsid w:val="00C20D92"/>
    <w:rsid w:val="00C221C1"/>
    <w:rsid w:val="00C24670"/>
    <w:rsid w:val="00C247EA"/>
    <w:rsid w:val="00C25557"/>
    <w:rsid w:val="00C32FD3"/>
    <w:rsid w:val="00C3347F"/>
    <w:rsid w:val="00C338D7"/>
    <w:rsid w:val="00C33B14"/>
    <w:rsid w:val="00C34A10"/>
    <w:rsid w:val="00C34F92"/>
    <w:rsid w:val="00C35537"/>
    <w:rsid w:val="00C36B93"/>
    <w:rsid w:val="00C36F3E"/>
    <w:rsid w:val="00C37A4C"/>
    <w:rsid w:val="00C40538"/>
    <w:rsid w:val="00C4325E"/>
    <w:rsid w:val="00C43EF4"/>
    <w:rsid w:val="00C44F6D"/>
    <w:rsid w:val="00C4612C"/>
    <w:rsid w:val="00C47732"/>
    <w:rsid w:val="00C50963"/>
    <w:rsid w:val="00C50BD6"/>
    <w:rsid w:val="00C50FA2"/>
    <w:rsid w:val="00C51E26"/>
    <w:rsid w:val="00C54D16"/>
    <w:rsid w:val="00C55135"/>
    <w:rsid w:val="00C57A55"/>
    <w:rsid w:val="00C62A0C"/>
    <w:rsid w:val="00C635E2"/>
    <w:rsid w:val="00C66980"/>
    <w:rsid w:val="00C704CF"/>
    <w:rsid w:val="00C724D0"/>
    <w:rsid w:val="00C72507"/>
    <w:rsid w:val="00C74397"/>
    <w:rsid w:val="00C74A04"/>
    <w:rsid w:val="00C76E2D"/>
    <w:rsid w:val="00C76FFF"/>
    <w:rsid w:val="00C77386"/>
    <w:rsid w:val="00C80421"/>
    <w:rsid w:val="00C818BB"/>
    <w:rsid w:val="00C81DFC"/>
    <w:rsid w:val="00C82214"/>
    <w:rsid w:val="00C84E28"/>
    <w:rsid w:val="00C84F08"/>
    <w:rsid w:val="00C90647"/>
    <w:rsid w:val="00C90FE3"/>
    <w:rsid w:val="00C91310"/>
    <w:rsid w:val="00CA0192"/>
    <w:rsid w:val="00CA1E02"/>
    <w:rsid w:val="00CA43F1"/>
    <w:rsid w:val="00CA4FDE"/>
    <w:rsid w:val="00CA70E7"/>
    <w:rsid w:val="00CB076B"/>
    <w:rsid w:val="00CB228A"/>
    <w:rsid w:val="00CB2E17"/>
    <w:rsid w:val="00CB3056"/>
    <w:rsid w:val="00CB3987"/>
    <w:rsid w:val="00CB7E08"/>
    <w:rsid w:val="00CC4F4F"/>
    <w:rsid w:val="00CC5AD8"/>
    <w:rsid w:val="00CD434F"/>
    <w:rsid w:val="00CE1D90"/>
    <w:rsid w:val="00CE2446"/>
    <w:rsid w:val="00CE5F47"/>
    <w:rsid w:val="00CE6986"/>
    <w:rsid w:val="00CE78F5"/>
    <w:rsid w:val="00CF24D4"/>
    <w:rsid w:val="00CF3925"/>
    <w:rsid w:val="00D01536"/>
    <w:rsid w:val="00D027B9"/>
    <w:rsid w:val="00D0489B"/>
    <w:rsid w:val="00D049DE"/>
    <w:rsid w:val="00D052B4"/>
    <w:rsid w:val="00D07A8B"/>
    <w:rsid w:val="00D07DCD"/>
    <w:rsid w:val="00D10F72"/>
    <w:rsid w:val="00D136CD"/>
    <w:rsid w:val="00D17891"/>
    <w:rsid w:val="00D206E0"/>
    <w:rsid w:val="00D223CA"/>
    <w:rsid w:val="00D228B8"/>
    <w:rsid w:val="00D25E0F"/>
    <w:rsid w:val="00D27637"/>
    <w:rsid w:val="00D30023"/>
    <w:rsid w:val="00D30343"/>
    <w:rsid w:val="00D3635A"/>
    <w:rsid w:val="00D36920"/>
    <w:rsid w:val="00D36B09"/>
    <w:rsid w:val="00D434D3"/>
    <w:rsid w:val="00D434F1"/>
    <w:rsid w:val="00D4358F"/>
    <w:rsid w:val="00D438C4"/>
    <w:rsid w:val="00D443D7"/>
    <w:rsid w:val="00D44819"/>
    <w:rsid w:val="00D5188B"/>
    <w:rsid w:val="00D519B4"/>
    <w:rsid w:val="00D520E7"/>
    <w:rsid w:val="00D53C66"/>
    <w:rsid w:val="00D56DA0"/>
    <w:rsid w:val="00D609A1"/>
    <w:rsid w:val="00D62793"/>
    <w:rsid w:val="00D627BE"/>
    <w:rsid w:val="00D63DAA"/>
    <w:rsid w:val="00D64107"/>
    <w:rsid w:val="00D6578B"/>
    <w:rsid w:val="00D65905"/>
    <w:rsid w:val="00D67E6B"/>
    <w:rsid w:val="00D71B35"/>
    <w:rsid w:val="00D74DFD"/>
    <w:rsid w:val="00D770C8"/>
    <w:rsid w:val="00D80302"/>
    <w:rsid w:val="00D81A2D"/>
    <w:rsid w:val="00D81CB0"/>
    <w:rsid w:val="00D82211"/>
    <w:rsid w:val="00D8365B"/>
    <w:rsid w:val="00D8559E"/>
    <w:rsid w:val="00D863DB"/>
    <w:rsid w:val="00D87671"/>
    <w:rsid w:val="00D90346"/>
    <w:rsid w:val="00D92132"/>
    <w:rsid w:val="00D92CE7"/>
    <w:rsid w:val="00D931B6"/>
    <w:rsid w:val="00D95849"/>
    <w:rsid w:val="00D9595A"/>
    <w:rsid w:val="00D967DA"/>
    <w:rsid w:val="00D96A05"/>
    <w:rsid w:val="00D96ACC"/>
    <w:rsid w:val="00D974FB"/>
    <w:rsid w:val="00DA031B"/>
    <w:rsid w:val="00DA1D9D"/>
    <w:rsid w:val="00DA48F8"/>
    <w:rsid w:val="00DA5524"/>
    <w:rsid w:val="00DA60A4"/>
    <w:rsid w:val="00DB0295"/>
    <w:rsid w:val="00DB207B"/>
    <w:rsid w:val="00DB3285"/>
    <w:rsid w:val="00DB5138"/>
    <w:rsid w:val="00DB6108"/>
    <w:rsid w:val="00DC008F"/>
    <w:rsid w:val="00DD4464"/>
    <w:rsid w:val="00DD6074"/>
    <w:rsid w:val="00DD693A"/>
    <w:rsid w:val="00DE125D"/>
    <w:rsid w:val="00DE5620"/>
    <w:rsid w:val="00DE5C6B"/>
    <w:rsid w:val="00DE6056"/>
    <w:rsid w:val="00DE6090"/>
    <w:rsid w:val="00DF1CBC"/>
    <w:rsid w:val="00DF3EFE"/>
    <w:rsid w:val="00E02685"/>
    <w:rsid w:val="00E0642F"/>
    <w:rsid w:val="00E104DF"/>
    <w:rsid w:val="00E17DC5"/>
    <w:rsid w:val="00E215A3"/>
    <w:rsid w:val="00E21634"/>
    <w:rsid w:val="00E24A3B"/>
    <w:rsid w:val="00E25BA6"/>
    <w:rsid w:val="00E27141"/>
    <w:rsid w:val="00E272E4"/>
    <w:rsid w:val="00E31382"/>
    <w:rsid w:val="00E31596"/>
    <w:rsid w:val="00E3510F"/>
    <w:rsid w:val="00E3530E"/>
    <w:rsid w:val="00E3663A"/>
    <w:rsid w:val="00E367AD"/>
    <w:rsid w:val="00E3733D"/>
    <w:rsid w:val="00E40792"/>
    <w:rsid w:val="00E41BFA"/>
    <w:rsid w:val="00E43DCB"/>
    <w:rsid w:val="00E45226"/>
    <w:rsid w:val="00E45436"/>
    <w:rsid w:val="00E47EAF"/>
    <w:rsid w:val="00E55664"/>
    <w:rsid w:val="00E563D9"/>
    <w:rsid w:val="00E56F2D"/>
    <w:rsid w:val="00E5710E"/>
    <w:rsid w:val="00E57934"/>
    <w:rsid w:val="00E63F4F"/>
    <w:rsid w:val="00E64DA3"/>
    <w:rsid w:val="00E679F9"/>
    <w:rsid w:val="00E7101C"/>
    <w:rsid w:val="00E710F2"/>
    <w:rsid w:val="00E72731"/>
    <w:rsid w:val="00E73A87"/>
    <w:rsid w:val="00E76C52"/>
    <w:rsid w:val="00E80B1C"/>
    <w:rsid w:val="00E812D1"/>
    <w:rsid w:val="00E82241"/>
    <w:rsid w:val="00E83108"/>
    <w:rsid w:val="00E870E4"/>
    <w:rsid w:val="00E8796B"/>
    <w:rsid w:val="00E90C07"/>
    <w:rsid w:val="00E93F27"/>
    <w:rsid w:val="00E94350"/>
    <w:rsid w:val="00E97B77"/>
    <w:rsid w:val="00EA060C"/>
    <w:rsid w:val="00EA0F16"/>
    <w:rsid w:val="00EA4041"/>
    <w:rsid w:val="00EA4C6B"/>
    <w:rsid w:val="00EA7109"/>
    <w:rsid w:val="00EB103A"/>
    <w:rsid w:val="00EB256E"/>
    <w:rsid w:val="00EB26B6"/>
    <w:rsid w:val="00EB44CD"/>
    <w:rsid w:val="00EB70EE"/>
    <w:rsid w:val="00EC0190"/>
    <w:rsid w:val="00EC3146"/>
    <w:rsid w:val="00EC4BB0"/>
    <w:rsid w:val="00EC4C64"/>
    <w:rsid w:val="00EC7202"/>
    <w:rsid w:val="00ED0924"/>
    <w:rsid w:val="00ED2843"/>
    <w:rsid w:val="00ED2DE6"/>
    <w:rsid w:val="00ED4AAB"/>
    <w:rsid w:val="00EE0C5F"/>
    <w:rsid w:val="00EE1EC1"/>
    <w:rsid w:val="00EE285A"/>
    <w:rsid w:val="00EE3372"/>
    <w:rsid w:val="00EE5549"/>
    <w:rsid w:val="00EE5A45"/>
    <w:rsid w:val="00EE6F7A"/>
    <w:rsid w:val="00EF14D8"/>
    <w:rsid w:val="00EF1F94"/>
    <w:rsid w:val="00EF273A"/>
    <w:rsid w:val="00EF46D9"/>
    <w:rsid w:val="00EF6148"/>
    <w:rsid w:val="00EF7E3E"/>
    <w:rsid w:val="00F0066B"/>
    <w:rsid w:val="00F00AEC"/>
    <w:rsid w:val="00F03A6B"/>
    <w:rsid w:val="00F04F4D"/>
    <w:rsid w:val="00F071B9"/>
    <w:rsid w:val="00F07520"/>
    <w:rsid w:val="00F07604"/>
    <w:rsid w:val="00F109DA"/>
    <w:rsid w:val="00F122F6"/>
    <w:rsid w:val="00F14625"/>
    <w:rsid w:val="00F15189"/>
    <w:rsid w:val="00F1598A"/>
    <w:rsid w:val="00F171FB"/>
    <w:rsid w:val="00F17783"/>
    <w:rsid w:val="00F20F66"/>
    <w:rsid w:val="00F21E51"/>
    <w:rsid w:val="00F25056"/>
    <w:rsid w:val="00F26716"/>
    <w:rsid w:val="00F26C97"/>
    <w:rsid w:val="00F30FA6"/>
    <w:rsid w:val="00F3287A"/>
    <w:rsid w:val="00F34BCF"/>
    <w:rsid w:val="00F351DC"/>
    <w:rsid w:val="00F3576A"/>
    <w:rsid w:val="00F35EB0"/>
    <w:rsid w:val="00F373D8"/>
    <w:rsid w:val="00F41308"/>
    <w:rsid w:val="00F41387"/>
    <w:rsid w:val="00F427C0"/>
    <w:rsid w:val="00F4308C"/>
    <w:rsid w:val="00F43818"/>
    <w:rsid w:val="00F43B50"/>
    <w:rsid w:val="00F44AAE"/>
    <w:rsid w:val="00F4545C"/>
    <w:rsid w:val="00F53EE8"/>
    <w:rsid w:val="00F545A8"/>
    <w:rsid w:val="00F5475F"/>
    <w:rsid w:val="00F54857"/>
    <w:rsid w:val="00F5663E"/>
    <w:rsid w:val="00F5666F"/>
    <w:rsid w:val="00F56E41"/>
    <w:rsid w:val="00F571EC"/>
    <w:rsid w:val="00F57ABE"/>
    <w:rsid w:val="00F622D7"/>
    <w:rsid w:val="00F658A9"/>
    <w:rsid w:val="00F65B86"/>
    <w:rsid w:val="00F71652"/>
    <w:rsid w:val="00F74407"/>
    <w:rsid w:val="00F764BE"/>
    <w:rsid w:val="00F77117"/>
    <w:rsid w:val="00F826D8"/>
    <w:rsid w:val="00F84AF1"/>
    <w:rsid w:val="00F86E9A"/>
    <w:rsid w:val="00F879C4"/>
    <w:rsid w:val="00F87D53"/>
    <w:rsid w:val="00F91505"/>
    <w:rsid w:val="00F9196B"/>
    <w:rsid w:val="00F942C6"/>
    <w:rsid w:val="00F94451"/>
    <w:rsid w:val="00F9448A"/>
    <w:rsid w:val="00F947D6"/>
    <w:rsid w:val="00F94CDC"/>
    <w:rsid w:val="00F94D88"/>
    <w:rsid w:val="00F9579E"/>
    <w:rsid w:val="00F961BE"/>
    <w:rsid w:val="00FA028C"/>
    <w:rsid w:val="00FA029F"/>
    <w:rsid w:val="00FA16AF"/>
    <w:rsid w:val="00FA4E6F"/>
    <w:rsid w:val="00FA5C1A"/>
    <w:rsid w:val="00FA6EFF"/>
    <w:rsid w:val="00FB0D75"/>
    <w:rsid w:val="00FB0F2E"/>
    <w:rsid w:val="00FB3E04"/>
    <w:rsid w:val="00FB4F23"/>
    <w:rsid w:val="00FB7092"/>
    <w:rsid w:val="00FC1860"/>
    <w:rsid w:val="00FC1B7F"/>
    <w:rsid w:val="00FC1F3B"/>
    <w:rsid w:val="00FC39DC"/>
    <w:rsid w:val="00FC4A8E"/>
    <w:rsid w:val="00FC5688"/>
    <w:rsid w:val="00FD13BC"/>
    <w:rsid w:val="00FD3169"/>
    <w:rsid w:val="00FD4961"/>
    <w:rsid w:val="00FD5821"/>
    <w:rsid w:val="00FD7299"/>
    <w:rsid w:val="00FD7976"/>
    <w:rsid w:val="00FE0686"/>
    <w:rsid w:val="00FE46F1"/>
    <w:rsid w:val="00FE5081"/>
    <w:rsid w:val="00FE70A6"/>
    <w:rsid w:val="00FE7FF1"/>
    <w:rsid w:val="00FF0FE9"/>
    <w:rsid w:val="00FF248A"/>
    <w:rsid w:val="00FF3F96"/>
    <w:rsid w:val="00FF55B2"/>
    <w:rsid w:val="00FF603C"/>
    <w:rsid w:val="00FF674A"/>
    <w:rsid w:val="00FF680D"/>
    <w:rsid w:val="00FF7CE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219E27AA"/>
  <w15:docId w15:val="{429CFC56-5302-4CBA-B6DD-FBE7DC506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qFormat="1"/>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241A68"/>
    <w:pPr>
      <w:spacing w:before="120" w:after="240" w:line="276" w:lineRule="auto"/>
    </w:pPr>
  </w:style>
  <w:style w:type="paragraph" w:styleId="Heading1">
    <w:name w:val="heading 1"/>
    <w:basedOn w:val="Header"/>
    <w:next w:val="Normal"/>
    <w:link w:val="Heading1Char"/>
    <w:qFormat/>
    <w:rsid w:val="00036249"/>
    <w:pPr>
      <w:outlineLvl w:val="0"/>
    </w:pPr>
    <w:rPr>
      <w:b/>
      <w:bCs/>
      <w:sz w:val="40"/>
      <w:szCs w:val="40"/>
    </w:rPr>
  </w:style>
  <w:style w:type="paragraph" w:styleId="Heading2">
    <w:name w:val="heading 2"/>
    <w:basedOn w:val="Header"/>
    <w:next w:val="BodyCopy"/>
    <w:link w:val="Heading2Char"/>
    <w:unhideWhenUsed/>
    <w:qFormat/>
    <w:rsid w:val="00197F2E"/>
    <w:pPr>
      <w:outlineLvl w:val="1"/>
    </w:pPr>
    <w:rPr>
      <w:sz w:val="32"/>
    </w:rPr>
  </w:style>
  <w:style w:type="paragraph" w:styleId="Heading3">
    <w:name w:val="heading 3"/>
    <w:basedOn w:val="Heading2"/>
    <w:next w:val="BodyCopy"/>
    <w:link w:val="Heading3Char"/>
    <w:autoRedefine/>
    <w:unhideWhenUsed/>
    <w:qFormat/>
    <w:rsid w:val="007B1A7B"/>
    <w:pPr>
      <w:tabs>
        <w:tab w:val="center" w:leader="hyphen" w:pos="4513"/>
      </w:tabs>
      <w:spacing w:after="120" w:line="360" w:lineRule="exact"/>
      <w:outlineLvl w:val="2"/>
    </w:pPr>
    <w:rPr>
      <w:b/>
      <w:bCs/>
      <w:iCs/>
      <w:sz w:val="28"/>
      <w:szCs w:val="36"/>
    </w:rPr>
  </w:style>
  <w:style w:type="paragraph" w:styleId="Heading4">
    <w:name w:val="heading 4"/>
    <w:basedOn w:val="BodyCopy"/>
    <w:next w:val="BodyCopy"/>
    <w:link w:val="Heading4Char"/>
    <w:autoRedefine/>
    <w:unhideWhenUsed/>
    <w:qFormat/>
    <w:locked/>
    <w:rsid w:val="00C34A10"/>
    <w:pPr>
      <w:shd w:val="clear" w:color="auto" w:fill="3D2262" w:themeFill="accent1"/>
      <w:spacing w:before="0" w:after="120" w:line="460" w:lineRule="exact"/>
      <w:outlineLvl w:val="3"/>
    </w:pPr>
    <w:rPr>
      <w:b/>
      <w:color w:val="FFFFFF" w:themeColor="background1"/>
      <w:lang w:eastAsia="en-US"/>
    </w:rPr>
  </w:style>
  <w:style w:type="paragraph" w:styleId="Heading5">
    <w:name w:val="heading 5"/>
    <w:basedOn w:val="Heading6"/>
    <w:next w:val="BodyCopy"/>
    <w:link w:val="Heading5Char"/>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nhideWhenUsed/>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rsid w:val="00241A68"/>
    <w:rPr>
      <w:b/>
      <w:bCs/>
      <w:sz w:val="40"/>
      <w:szCs w:val="40"/>
    </w:rPr>
  </w:style>
  <w:style w:type="character" w:customStyle="1" w:styleId="Heading2Char">
    <w:name w:val="Heading 2 Char"/>
    <w:basedOn w:val="DefaultParagraphFont"/>
    <w:link w:val="Heading2"/>
    <w:rsid w:val="00197F2E"/>
    <w:rPr>
      <w:sz w:val="32"/>
    </w:rPr>
  </w:style>
  <w:style w:type="character" w:customStyle="1" w:styleId="Heading3Char">
    <w:name w:val="Heading 3 Char"/>
    <w:basedOn w:val="DefaultParagraphFont"/>
    <w:link w:val="Heading3"/>
    <w:rsid w:val="007B1A7B"/>
    <w:rPr>
      <w:b/>
      <w:bCs/>
      <w:iCs/>
      <w:sz w:val="28"/>
      <w:szCs w:val="36"/>
    </w:rPr>
  </w:style>
  <w:style w:type="paragraph" w:customStyle="1" w:styleId="Bullet">
    <w:name w:val="Bullet"/>
    <w:basedOn w:val="BodyCopy"/>
    <w:uiPriority w:val="1"/>
    <w:qFormat/>
    <w:rsid w:val="0095646B"/>
    <w:pPr>
      <w:numPr>
        <w:numId w:val="1"/>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3"/>
    <w:qFormat/>
    <w:rsid w:val="00FE46F1"/>
    <w:pPr>
      <w:spacing w:after="0" w:line="280" w:lineRule="exact"/>
      <w:ind w:left="357" w:hanging="357"/>
    </w:pPr>
    <w:rPr>
      <w:lang w:val="en-US"/>
    </w:rPr>
  </w:style>
  <w:style w:type="paragraph" w:customStyle="1" w:styleId="Tablebullet2">
    <w:name w:val="Table bullet 2"/>
    <w:basedOn w:val="Normal"/>
    <w:uiPriority w:val="3"/>
    <w:qFormat/>
    <w:rsid w:val="00E3663A"/>
    <w:pPr>
      <w:numPr>
        <w:numId w:val="2"/>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C34A10"/>
    <w:rPr>
      <w:rFonts w:eastAsia="Times New Roman"/>
      <w:b/>
      <w:bCs/>
      <w:i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E7101C"/>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DA5524"/>
    <w:rPr>
      <w:rFonts w:eastAsiaTheme="majorEastAsia" w:cstheme="majorBidi"/>
      <w:b/>
      <w:bCs/>
      <w:iCs/>
      <w:color w:val="3D2262" w:themeColor="accent1"/>
      <w:szCs w:val="36"/>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18"/>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16"/>
      </w:numPr>
    </w:pPr>
  </w:style>
  <w:style w:type="character" w:styleId="CommentReference">
    <w:name w:val="annotation reference"/>
    <w:basedOn w:val="DefaultParagraphFont"/>
    <w:uiPriority w:val="99"/>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19"/>
      </w:numPr>
      <w:ind w:left="1134" w:hanging="1134"/>
    </w:pPr>
  </w:style>
  <w:style w:type="character" w:customStyle="1" w:styleId="Heading7Char">
    <w:name w:val="Heading 7 Char"/>
    <w:basedOn w:val="DefaultParagraphFont"/>
    <w:link w:val="Heading7"/>
    <w:rsid w:val="002140AE"/>
    <w:rPr>
      <w:rFonts w:asciiTheme="majorHAnsi" w:eastAsiaTheme="majorEastAsia" w:hAnsiTheme="majorHAnsi" w:cstheme="majorBidi"/>
      <w:b/>
      <w:iCs/>
    </w:rPr>
  </w:style>
  <w:style w:type="character" w:customStyle="1" w:styleId="Heading8Char">
    <w:name w:val="Heading 8 Char"/>
    <w:basedOn w:val="DefaultParagraphFont"/>
    <w:link w:val="Heading8"/>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4"/>
      </w:numPr>
    </w:pPr>
    <w:rPr>
      <w:color w:val="000000"/>
    </w:rPr>
  </w:style>
  <w:style w:type="paragraph" w:customStyle="1" w:styleId="Romanlist">
    <w:name w:val="Roman list"/>
    <w:basedOn w:val="AlphaList"/>
    <w:uiPriority w:val="3"/>
    <w:qFormat/>
    <w:rsid w:val="00BA6DD4"/>
    <w:pPr>
      <w:numPr>
        <w:numId w:val="5"/>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uiPriority w:val="99"/>
    <w:semiHidden/>
    <w:unhideWhenUsed/>
    <w:rsid w:val="008F3194"/>
    <w:pPr>
      <w:spacing w:after="120"/>
    </w:pPr>
  </w:style>
  <w:style w:type="character" w:customStyle="1" w:styleId="BodyTextChar">
    <w:name w:val="Body Text Char"/>
    <w:basedOn w:val="DefaultParagraphFont"/>
    <w:link w:val="BodyText"/>
    <w:uiPriority w:val="99"/>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iPriority w:val="99"/>
    <w:unhideWhenUsed/>
    <w:rsid w:val="00CA4FDE"/>
    <w:pPr>
      <w:spacing w:line="240" w:lineRule="auto"/>
    </w:pPr>
    <w:rPr>
      <w:sz w:val="20"/>
      <w:szCs w:val="20"/>
    </w:rPr>
  </w:style>
  <w:style w:type="character" w:customStyle="1" w:styleId="CommentTextChar">
    <w:name w:val="Comment Text Char"/>
    <w:basedOn w:val="DefaultParagraphFont"/>
    <w:link w:val="CommentText"/>
    <w:uiPriority w:val="99"/>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9C575D"/>
    <w:pPr>
      <w:spacing w:after="100"/>
      <w:ind w:left="72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 w:type="paragraph" w:styleId="ListBullet">
    <w:name w:val="List Bullet"/>
    <w:basedOn w:val="Normal"/>
    <w:uiPriority w:val="99"/>
    <w:qFormat/>
    <w:rsid w:val="002D5CCB"/>
    <w:pPr>
      <w:spacing w:before="0" w:after="0" w:line="240" w:lineRule="auto"/>
    </w:pPr>
    <w:rPr>
      <w:rFonts w:ascii="Calibri" w:eastAsia="Times New Roman" w:hAnsi="Calibri" w:cs="Times New Roman"/>
      <w:color w:val="auto"/>
      <w:szCs w:val="20"/>
      <w:lang w:eastAsia="en-US"/>
    </w:rPr>
  </w:style>
  <w:style w:type="paragraph" w:styleId="ListParagraph">
    <w:name w:val="List Paragraph"/>
    <w:basedOn w:val="Normal"/>
    <w:uiPriority w:val="34"/>
    <w:qFormat/>
    <w:locked/>
    <w:rsid w:val="00AC75BB"/>
    <w:pPr>
      <w:ind w:left="720"/>
      <w:contextualSpacing/>
    </w:pPr>
  </w:style>
  <w:style w:type="paragraph" w:customStyle="1" w:styleId="Default">
    <w:name w:val="Default"/>
    <w:rsid w:val="00BC4E0F"/>
    <w:pPr>
      <w:autoSpaceDE w:val="0"/>
      <w:autoSpaceDN w:val="0"/>
      <w:adjustRightInd w:val="0"/>
    </w:pPr>
    <w:rPr>
      <w:rFonts w:ascii="Times New Roman" w:eastAsia="Times New Roman" w:hAnsi="Times New Roman" w:cs="Times New Roman"/>
      <w:color w:val="000000"/>
    </w:rPr>
  </w:style>
  <w:style w:type="table" w:customStyle="1" w:styleId="TableGrid2">
    <w:name w:val="Table Grid2"/>
    <w:basedOn w:val="TableNormal"/>
    <w:next w:val="TableGrid"/>
    <w:uiPriority w:val="39"/>
    <w:rsid w:val="00BC4E0F"/>
    <w:pPr>
      <w:widowControl w:val="0"/>
      <w:autoSpaceDE w:val="0"/>
      <w:autoSpaceDN w:val="0"/>
    </w:pPr>
    <w:rPr>
      <w:rFonts w:asciiTheme="minorHAnsi" w:eastAsiaTheme="minorHAnsi" w:hAnsiTheme="minorHAnsi" w:cstheme="minorBidi"/>
      <w:color w:val="auto"/>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1433547196">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oogle.com/url?sa=t&amp;rct=j&amp;q&amp;esrc=s&amp;source=web&amp;cd=1&amp;cad=rja&amp;uact=8&amp;ved=2ahUKEwj0vIfGtNDfAhUCOrwKHSf3A8gQFjAAegQIChAC&amp;url=http%3A%2F%2Fwww.anzca.edu.au%2Fdocuments%2Fps55-2012-recommendations-on-minimum-facilities-fo.pdf&amp;usg=AOvVaw1d3kaonXT0vtoW9Bgob9X5" TargetMode="External"/><Relationship Id="rId18" Type="http://schemas.openxmlformats.org/officeDocument/2006/relationships/hyperlink" Target="https://www.ncbi.nlm.nih.gov/pubmed/?term=Petrides%20G%5BAuthor%5D&amp;cauthor=true&amp;cauthor_uid=18708943" TargetMode="External"/><Relationship Id="rId26" Type="http://schemas.openxmlformats.org/officeDocument/2006/relationships/hyperlink" Target="http://www.anzca.edu.au/documents/ps08-2015-statement-on-the-assistant-for-the-anaes" TargetMode="External"/><Relationship Id="rId39" Type="http://schemas.openxmlformats.org/officeDocument/2006/relationships/image" Target="media/image11.jpeg"/><Relationship Id="rId21" Type="http://schemas.openxmlformats.org/officeDocument/2006/relationships/hyperlink" Target="https://www.ncbi.nlm.nih.gov/pubmed/?term=Young%20RC%5BAuthor%5D&amp;cauthor=true&amp;cauthor_uid=18708943" TargetMode="External"/><Relationship Id="rId34" Type="http://schemas.openxmlformats.org/officeDocument/2006/relationships/image" Target="media/image6.png"/><Relationship Id="rId42"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anzca.edu.au/documents/ps04-2006-recommendations-for-the-post-anaesthesia.pdf"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ogle.com/url?sa=t&amp;rct=j&amp;q&amp;esrc=s&amp;source=web&amp;cd=1&amp;cad=rja&amp;uact=8&amp;ved=2ahUKEwj0vIfGtNDfAhUCOrwKHSf3A8gQFjAAegQIChAC&amp;url=http%3A%2F%2Fwww.anzca.edu.au%2Fdocuments%2Fps55-2012-recommendations-on-minimum-facilities-fo.pdf&amp;usg=AOvVaw1d3kaonXT0vtoW9Bgob9X5" TargetMode="External"/><Relationship Id="rId24" Type="http://schemas.openxmlformats.org/officeDocument/2006/relationships/hyperlink" Target="https://www.ncbi.nlm.nih.gov/pubmed/?term=Kellner%20CH%5BAuthor%5D&amp;cauthor=true&amp;cauthor_uid=18708943" TargetMode="External"/><Relationship Id="rId32" Type="http://schemas.openxmlformats.org/officeDocument/2006/relationships/hyperlink" Target="https://www.canberrahealthservices.act.gov.au/accessibility" TargetMode="External"/><Relationship Id="rId37" Type="http://schemas.openxmlformats.org/officeDocument/2006/relationships/image" Target="media/image9.png"/><Relationship Id="rId40" Type="http://schemas.openxmlformats.org/officeDocument/2006/relationships/image" Target="media/image12.png"/><Relationship Id="rId45"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hyperlink" Target="http://www.google.com/url?sa=t&amp;rct=j&amp;q&amp;esrc=s&amp;source=web&amp;cd=1&amp;cad=rja&amp;uact=8&amp;ved=2ahUKEwj0vIfGtNDfAhUCOrwKHSf3A8gQFjAAegQIChAC&amp;url=http%3A%2F%2Fwww.anzca.edu.au%2Fdocuments%2Fps55-2012-recommendations-on-minimum-facilities-fo.pdf&amp;usg=AOvVaw1d3kaonXT0vtoW9Bgob9X5" TargetMode="External"/><Relationship Id="rId23" Type="http://schemas.openxmlformats.org/officeDocument/2006/relationships/hyperlink" Target="https://www.ncbi.nlm.nih.gov/pubmed/?term=Prudic%20J%5BAuthor%5D&amp;cauthor=true&amp;cauthor_uid=18708943" TargetMode="External"/><Relationship Id="rId28" Type="http://schemas.openxmlformats.org/officeDocument/2006/relationships/image" Target="media/image1.png"/><Relationship Id="rId36" Type="http://schemas.openxmlformats.org/officeDocument/2006/relationships/image" Target="media/image8.jpeg"/><Relationship Id="rId10" Type="http://schemas.openxmlformats.org/officeDocument/2006/relationships/hyperlink" Target="mailto:CHSECT@act.gov.au" TargetMode="External"/><Relationship Id="rId19" Type="http://schemas.openxmlformats.org/officeDocument/2006/relationships/hyperlink" Target="https://www.ncbi.nlm.nih.gov/pubmed/?term=Knapp%20RG%5BAuthor%5D&amp;cauthor=true&amp;cauthor_uid=18708943" TargetMode="External"/><Relationship Id="rId31" Type="http://schemas.openxmlformats.org/officeDocument/2006/relationships/image" Target="media/image4.png"/><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google.com/url?sa=t&amp;rct=j&amp;q&amp;esrc=s&amp;source=web&amp;cd=1&amp;cad=rja&amp;uact=8&amp;ved=2ahUKEwj0vIfGtNDfAhUCOrwKHSf3A8gQFjAAegQIChAC&amp;url=http%3A%2F%2Fwww.anzca.edu.au%2Fdocuments%2Fps55-2012-recommendations-on-minimum-facilities-fo.pdf&amp;usg=AOvVaw1d3kaonXT0vtoW9Bgob9X5" TargetMode="External"/><Relationship Id="rId22" Type="http://schemas.openxmlformats.org/officeDocument/2006/relationships/hyperlink" Target="https://www.ncbi.nlm.nih.gov/pubmed/?term=Prudic%20J%5BAuthor%5D&amp;cauthor=true&amp;cauthor_uid=18708943" TargetMode="External"/><Relationship Id="rId27" Type="http://schemas.openxmlformats.org/officeDocument/2006/relationships/hyperlink" Target="http://www.anzca.edu.au/documents/ps08-2015-statement-on-the-assistant-for-the-anaes" TargetMode="External"/><Relationship Id="rId30" Type="http://schemas.openxmlformats.org/officeDocument/2006/relationships/image" Target="media/image3.png"/><Relationship Id="rId35" Type="http://schemas.openxmlformats.org/officeDocument/2006/relationships/image" Target="media/image7.png"/><Relationship Id="rId43" Type="http://schemas.openxmlformats.org/officeDocument/2006/relationships/footer" Target="footer2.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www.google.com/url?sa=t&amp;rct=j&amp;q&amp;esrc=s&amp;source=web&amp;cd=1&amp;cad=rja&amp;uact=8&amp;ved=2ahUKEwj0vIfGtNDfAhUCOrwKHSf3A8gQFjAAegQIChAC&amp;url=http%3A%2F%2Fwww.anzca.edu.au%2Fdocuments%2Fps55-2012-recommendations-on-minimum-facilities-fo.pdf&amp;usg=AOvVaw1d3kaonXT0vtoW9Bgob9X5" TargetMode="External"/><Relationship Id="rId17" Type="http://schemas.openxmlformats.org/officeDocument/2006/relationships/hyperlink" Target="http://www.anzca.edu.au/documents/ps04-2006-recommendations-for-the-post-anaesthesia.pdf" TargetMode="External"/><Relationship Id="rId25" Type="http://schemas.openxmlformats.org/officeDocument/2006/relationships/hyperlink" Target="https://doi.org/10.1097/YCT.0000000000000484" TargetMode="External"/><Relationship Id="rId33" Type="http://schemas.openxmlformats.org/officeDocument/2006/relationships/image" Target="media/image5.png"/><Relationship Id="rId38" Type="http://schemas.openxmlformats.org/officeDocument/2006/relationships/image" Target="media/image10.png"/><Relationship Id="rId46" Type="http://schemas.openxmlformats.org/officeDocument/2006/relationships/theme" Target="theme/theme1.xml"/><Relationship Id="rId20" Type="http://schemas.openxmlformats.org/officeDocument/2006/relationships/hyperlink" Target="https://www.ncbi.nlm.nih.gov/pubmed/?term=McCall%20WV%5BAuthor%5D&amp;cauthor=true&amp;cauthor_uid=18708943" TargetMode="External"/><Relationship Id="rId41"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ee%20duke\Downloads\CHS%20Procedure%20Template.dotx" TargetMode="External"/></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6.png"/><Relationship Id="rId5" Type="http://schemas.openxmlformats.org/officeDocument/2006/relationships/image" Target="../media/image15.png"/><Relationship Id="rId10" Type="http://schemas.openxmlformats.org/officeDocument/2006/relationships/fontTable" Target="fontTable.xml"/><Relationship Id="rId4" Type="http://schemas.openxmlformats.org/officeDocument/2006/relationships/image" Target="../media/image14.png"/><Relationship Id="rId9" Type="http://schemas.openxmlformats.org/officeDocument/2006/relationships/image" Target="../media/image18.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7090E07C01543F1B5E1BF15593A6FF8"/>
        <w:category>
          <w:name w:val="General"/>
          <w:gallery w:val="placeholder"/>
        </w:category>
        <w:types>
          <w:type w:val="bbPlcHdr"/>
        </w:types>
        <w:behaviors>
          <w:behavior w:val="content"/>
        </w:behaviors>
        <w:guid w:val="{BBCCA795-4AB6-4837-8FEF-9DA6AEBA32DA}"/>
      </w:docPartPr>
      <w:docPartBody>
        <w:p w:rsidR="002133B9" w:rsidRDefault="002133B9">
          <w:pPr>
            <w:pStyle w:val="77090E07C01543F1B5E1BF15593A6FF8"/>
          </w:pPr>
          <w:r>
            <w:rPr>
              <w:noProof/>
              <w:sz w:val="20"/>
              <w:szCs w:val="20"/>
            </w:rPr>
            <w:drawing>
              <wp:inline distT="0" distB="0" distL="0" distR="0" wp14:anchorId="6C2F13F1" wp14:editId="6C2F13F2">
                <wp:extent cx="282575" cy="285750"/>
                <wp:effectExtent l="0" t="0" r="3175" b="0"/>
                <wp:docPr id="7"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BB5C6F91F81C42A8A170C779D66DCF80"/>
        <w:category>
          <w:name w:val="General"/>
          <w:gallery w:val="placeholder"/>
        </w:category>
        <w:types>
          <w:type w:val="bbPlcHdr"/>
        </w:types>
        <w:behaviors>
          <w:behavior w:val="content"/>
        </w:behaviors>
        <w:guid w:val="{134272C3-4CB7-40F9-A417-FC7FE9640845}"/>
      </w:docPartPr>
      <w:docPartBody>
        <w:p w:rsidR="002133B9" w:rsidRDefault="002133B9">
          <w:pPr>
            <w:pStyle w:val="BB5C6F91F81C42A8A170C779D66DCF80"/>
          </w:pPr>
          <w:r w:rsidRPr="00EE29F8">
            <w:rPr>
              <w:rStyle w:val="PlaceholderText"/>
            </w:rPr>
            <w:t>Choose an item.</w:t>
          </w:r>
        </w:p>
      </w:docPartBody>
    </w:docPart>
    <w:docPart>
      <w:docPartPr>
        <w:name w:val="928AE4F2770A4569B3E75A010AADEE9F"/>
        <w:category>
          <w:name w:val="General"/>
          <w:gallery w:val="placeholder"/>
        </w:category>
        <w:types>
          <w:type w:val="bbPlcHdr"/>
        </w:types>
        <w:behaviors>
          <w:behavior w:val="content"/>
        </w:behaviors>
        <w:guid w:val="{05DCF2A0-35ED-420A-98C6-6BCAC781808E}"/>
      </w:docPartPr>
      <w:docPartBody>
        <w:p w:rsidR="002133B9" w:rsidRPr="00F26C97" w:rsidRDefault="002133B9" w:rsidP="003B0E72">
          <w:pPr>
            <w:pStyle w:val="Bottomblocktext"/>
            <w:rPr>
              <w:b/>
              <w:bCs w:val="0"/>
              <w:sz w:val="20"/>
              <w:szCs w:val="20"/>
            </w:rPr>
          </w:pPr>
          <w:r>
            <w:rPr>
              <w:b/>
              <w:bCs w:val="0"/>
              <w:noProof/>
              <w:sz w:val="20"/>
              <w:szCs w:val="20"/>
            </w:rPr>
            <w:drawing>
              <wp:inline distT="0" distB="0" distL="0" distR="0" wp14:anchorId="6C2F13F3" wp14:editId="6C2F13F4">
                <wp:extent cx="338275" cy="331065"/>
                <wp:effectExtent l="0" t="0" r="5080" b="0"/>
                <wp:docPr id="17"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6C2F13F5" wp14:editId="6C2F13F6">
                <wp:extent cx="143919" cy="139700"/>
                <wp:effectExtent l="0" t="0" r="8890" b="0"/>
                <wp:docPr id="18"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2133B9" w:rsidRPr="00F26C97" w:rsidRDefault="002133B9" w:rsidP="003B0E72">
          <w:pPr>
            <w:pStyle w:val="Bottomblocktext"/>
            <w:rPr>
              <w:b/>
              <w:bCs w:val="0"/>
              <w:sz w:val="20"/>
              <w:szCs w:val="20"/>
            </w:rPr>
          </w:pPr>
          <w:r>
            <w:rPr>
              <w:b/>
              <w:bCs w:val="0"/>
              <w:noProof/>
              <w:sz w:val="20"/>
              <w:szCs w:val="20"/>
            </w:rPr>
            <w:drawing>
              <wp:inline distT="0" distB="0" distL="0" distR="0" wp14:anchorId="6C2F13F7" wp14:editId="6C2F13F8">
                <wp:extent cx="326104" cy="323850"/>
                <wp:effectExtent l="0" t="0" r="0" b="0"/>
                <wp:docPr id="19"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6C2F13F9" wp14:editId="6C2F13FA">
                <wp:extent cx="143919" cy="139700"/>
                <wp:effectExtent l="0" t="0" r="8890" b="0"/>
                <wp:docPr id="20"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2133B9" w:rsidRDefault="002133B9" w:rsidP="003B0E72">
          <w:pPr>
            <w:pStyle w:val="Bottomblocktext"/>
            <w:rPr>
              <w:sz w:val="20"/>
              <w:szCs w:val="20"/>
            </w:rPr>
          </w:pPr>
          <w:hyperlink r:id="rId8" w:history="1">
            <w:r w:rsidRPr="00350211">
              <w:rPr>
                <w:rStyle w:val="Hyperlink"/>
                <w:sz w:val="20"/>
                <w:szCs w:val="20"/>
              </w:rPr>
              <w:t>canberrahealthservices.act.gov.au/accessibility</w:t>
            </w:r>
          </w:hyperlink>
        </w:p>
        <w:p w:rsidR="002133B9" w:rsidRDefault="002133B9">
          <w:pPr>
            <w:pStyle w:val="928AE4F2770A4569B3E75A010AADEE9F"/>
          </w:pPr>
          <w:r>
            <w:rPr>
              <w:b/>
              <w:bCs/>
              <w:noProof/>
            </w:rPr>
            <w:drawing>
              <wp:inline distT="0" distB="0" distL="0" distR="0" wp14:anchorId="6C2F13FB" wp14:editId="6C2F13FC">
                <wp:extent cx="1323833" cy="309418"/>
                <wp:effectExtent l="0" t="0" r="0" b="0"/>
                <wp:docPr id="21"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3B9"/>
    <w:rsid w:val="00035AD9"/>
    <w:rsid w:val="000C17DB"/>
    <w:rsid w:val="000F019A"/>
    <w:rsid w:val="00101D60"/>
    <w:rsid w:val="001D6C92"/>
    <w:rsid w:val="002133B9"/>
    <w:rsid w:val="00240029"/>
    <w:rsid w:val="00251791"/>
    <w:rsid w:val="00257A6C"/>
    <w:rsid w:val="002C444F"/>
    <w:rsid w:val="00362E3A"/>
    <w:rsid w:val="004152D1"/>
    <w:rsid w:val="004A42B0"/>
    <w:rsid w:val="005933EC"/>
    <w:rsid w:val="005F275F"/>
    <w:rsid w:val="00767379"/>
    <w:rsid w:val="00922108"/>
    <w:rsid w:val="009607D8"/>
    <w:rsid w:val="009D548B"/>
    <w:rsid w:val="00B0598C"/>
    <w:rsid w:val="00BC11FB"/>
    <w:rsid w:val="00D136CD"/>
    <w:rsid w:val="00D434F1"/>
    <w:rsid w:val="00DC4CB0"/>
    <w:rsid w:val="00E24A3B"/>
    <w:rsid w:val="00E83108"/>
    <w:rsid w:val="00E97FE9"/>
    <w:rsid w:val="00EC2EE9"/>
    <w:rsid w:val="00F9276A"/>
    <w:rsid w:val="00F94D8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7090E07C01543F1B5E1BF15593A6FF8">
    <w:name w:val="77090E07C01543F1B5E1BF15593A6FF8"/>
  </w:style>
  <w:style w:type="character" w:styleId="PlaceholderText">
    <w:name w:val="Placeholder Text"/>
    <w:basedOn w:val="DefaultParagraphFont"/>
    <w:uiPriority w:val="99"/>
    <w:semiHidden/>
    <w:rPr>
      <w:color w:val="808080"/>
    </w:rPr>
  </w:style>
  <w:style w:type="paragraph" w:customStyle="1" w:styleId="BB5C6F91F81C42A8A170C779D66DCF80">
    <w:name w:val="BB5C6F91F81C42A8A170C779D66DCF80"/>
  </w:style>
  <w:style w:type="character" w:styleId="Hyperlink">
    <w:name w:val="Hyperlink"/>
    <w:uiPriority w:val="99"/>
    <w:rPr>
      <w:color w:val="auto"/>
      <w:u w:val="single"/>
    </w:rPr>
  </w:style>
  <w:style w:type="paragraph" w:customStyle="1" w:styleId="Bottomblocktext">
    <w:name w:val="Bottom block text"/>
    <w:basedOn w:val="Normal"/>
    <w:uiPriority w:val="99"/>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928AE4F2770A4569B3E75A010AADEE9F">
    <w:name w:val="928AE4F2770A4569B3E75A010AADEE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8E4E67227A39440A0156BC63E383DB0" ma:contentTypeVersion="6" ma:contentTypeDescription="Create a new document." ma:contentTypeScope="" ma:versionID="6c1f6630e9d5200b423bf7951539b890">
  <xsd:schema xmlns:xsd="http://www.w3.org/2001/XMLSchema" xmlns:xs="http://www.w3.org/2001/XMLSchema" xmlns:p="http://schemas.microsoft.com/office/2006/metadata/properties" xmlns:ns2="4504225e-b2d9-4497-b505-38d38bf039d6" targetNamespace="http://schemas.microsoft.com/office/2006/metadata/properties" ma:root="true" ma:fieldsID="e61aec217de10b78daa7cc8e55cca587" ns2:_="">
    <xsd:import namespace="4504225e-b2d9-4497-b505-38d38bf039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04225e-b2d9-4497-b505-38d38bf039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customXml/itemProps2.xml><?xml version="1.0" encoding="utf-8"?>
<ds:datastoreItem xmlns:ds="http://schemas.openxmlformats.org/officeDocument/2006/customXml" ds:itemID="{B2AA44A3-6D18-4ED3-A200-2EEC34EF0E28}">
  <ds:schemaRefs>
    <ds:schemaRef ds:uri="http://schemas.microsoft.com/sharepoint/v3/contenttype/forms"/>
  </ds:schemaRefs>
</ds:datastoreItem>
</file>

<file path=customXml/itemProps3.xml><?xml version="1.0" encoding="utf-8"?>
<ds:datastoreItem xmlns:ds="http://schemas.openxmlformats.org/officeDocument/2006/customXml" ds:itemID="{3BD61DBC-2304-46B7-BF21-5D9FF9ABAF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04225e-b2d9-4497-b505-38d38bf039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CHS Procedure Template</Template>
  <TotalTime>32</TotalTime>
  <Pages>40</Pages>
  <Words>10698</Words>
  <Characters>60982</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71537</CharactersWithSpaces>
  <SharedDoc>false</SharedDoc>
  <HLinks>
    <vt:vector size="144" baseType="variant">
      <vt:variant>
        <vt:i4>6291572</vt:i4>
      </vt:variant>
      <vt:variant>
        <vt:i4>132</vt:i4>
      </vt:variant>
      <vt:variant>
        <vt:i4>0</vt:i4>
      </vt:variant>
      <vt:variant>
        <vt:i4>5</vt:i4>
      </vt:variant>
      <vt:variant>
        <vt:lpwstr>http://www.health.act.gov.au/accessibility</vt:lpwstr>
      </vt:variant>
      <vt:variant>
        <vt:lpwstr/>
      </vt:variant>
      <vt:variant>
        <vt:i4>5898256</vt:i4>
      </vt:variant>
      <vt:variant>
        <vt:i4>129</vt:i4>
      </vt:variant>
      <vt:variant>
        <vt:i4>0</vt:i4>
      </vt:variant>
      <vt:variant>
        <vt:i4>5</vt:i4>
      </vt:variant>
      <vt:variant>
        <vt:lpwstr>mailto:Belle.thompson.act.gov.au</vt:lpwstr>
      </vt:variant>
      <vt:variant>
        <vt:lpwstr/>
      </vt:variant>
      <vt:variant>
        <vt:i4>327718</vt:i4>
      </vt:variant>
      <vt:variant>
        <vt:i4>126</vt:i4>
      </vt:variant>
      <vt:variant>
        <vt:i4>0</vt:i4>
      </vt:variant>
      <vt:variant>
        <vt:i4>5</vt:i4>
      </vt:variant>
      <vt:variant>
        <vt:lpwstr>mailto:Rachel.hawes@act.gov.au</vt:lpwstr>
      </vt:variant>
      <vt:variant>
        <vt:lpwstr/>
      </vt:variant>
      <vt:variant>
        <vt:i4>5046397</vt:i4>
      </vt:variant>
      <vt:variant>
        <vt:i4>123</vt:i4>
      </vt:variant>
      <vt:variant>
        <vt:i4>0</vt:i4>
      </vt:variant>
      <vt:variant>
        <vt:i4>5</vt:i4>
      </vt:variant>
      <vt:variant>
        <vt:lpwstr>mailto:CSF@health.act.gov.au</vt:lpwstr>
      </vt:variant>
      <vt:variant>
        <vt:lpwstr/>
      </vt:variant>
      <vt:variant>
        <vt:i4>1900602</vt:i4>
      </vt:variant>
      <vt:variant>
        <vt:i4>116</vt:i4>
      </vt:variant>
      <vt:variant>
        <vt:i4>0</vt:i4>
      </vt:variant>
      <vt:variant>
        <vt:i4>5</vt:i4>
      </vt:variant>
      <vt:variant>
        <vt:lpwstr/>
      </vt:variant>
      <vt:variant>
        <vt:lpwstr>_Toc474498311</vt:lpwstr>
      </vt:variant>
      <vt:variant>
        <vt:i4>1835066</vt:i4>
      </vt:variant>
      <vt:variant>
        <vt:i4>110</vt:i4>
      </vt:variant>
      <vt:variant>
        <vt:i4>0</vt:i4>
      </vt:variant>
      <vt:variant>
        <vt:i4>5</vt:i4>
      </vt:variant>
      <vt:variant>
        <vt:lpwstr/>
      </vt:variant>
      <vt:variant>
        <vt:lpwstr>_Toc474498305</vt:lpwstr>
      </vt:variant>
      <vt:variant>
        <vt:i4>1835066</vt:i4>
      </vt:variant>
      <vt:variant>
        <vt:i4>104</vt:i4>
      </vt:variant>
      <vt:variant>
        <vt:i4>0</vt:i4>
      </vt:variant>
      <vt:variant>
        <vt:i4>5</vt:i4>
      </vt:variant>
      <vt:variant>
        <vt:lpwstr/>
      </vt:variant>
      <vt:variant>
        <vt:lpwstr>_Toc474498304</vt:lpwstr>
      </vt:variant>
      <vt:variant>
        <vt:i4>1835066</vt:i4>
      </vt:variant>
      <vt:variant>
        <vt:i4>98</vt:i4>
      </vt:variant>
      <vt:variant>
        <vt:i4>0</vt:i4>
      </vt:variant>
      <vt:variant>
        <vt:i4>5</vt:i4>
      </vt:variant>
      <vt:variant>
        <vt:lpwstr/>
      </vt:variant>
      <vt:variant>
        <vt:lpwstr>_Toc474498303</vt:lpwstr>
      </vt:variant>
      <vt:variant>
        <vt:i4>1835066</vt:i4>
      </vt:variant>
      <vt:variant>
        <vt:i4>92</vt:i4>
      </vt:variant>
      <vt:variant>
        <vt:i4>0</vt:i4>
      </vt:variant>
      <vt:variant>
        <vt:i4>5</vt:i4>
      </vt:variant>
      <vt:variant>
        <vt:lpwstr/>
      </vt:variant>
      <vt:variant>
        <vt:lpwstr>_Toc474498302</vt:lpwstr>
      </vt:variant>
      <vt:variant>
        <vt:i4>1835066</vt:i4>
      </vt:variant>
      <vt:variant>
        <vt:i4>86</vt:i4>
      </vt:variant>
      <vt:variant>
        <vt:i4>0</vt:i4>
      </vt:variant>
      <vt:variant>
        <vt:i4>5</vt:i4>
      </vt:variant>
      <vt:variant>
        <vt:lpwstr/>
      </vt:variant>
      <vt:variant>
        <vt:lpwstr>_Toc474498301</vt:lpwstr>
      </vt:variant>
      <vt:variant>
        <vt:i4>1835066</vt:i4>
      </vt:variant>
      <vt:variant>
        <vt:i4>80</vt:i4>
      </vt:variant>
      <vt:variant>
        <vt:i4>0</vt:i4>
      </vt:variant>
      <vt:variant>
        <vt:i4>5</vt:i4>
      </vt:variant>
      <vt:variant>
        <vt:lpwstr/>
      </vt:variant>
      <vt:variant>
        <vt:lpwstr>_Toc474498300</vt:lpwstr>
      </vt:variant>
      <vt:variant>
        <vt:i4>1376315</vt:i4>
      </vt:variant>
      <vt:variant>
        <vt:i4>74</vt:i4>
      </vt:variant>
      <vt:variant>
        <vt:i4>0</vt:i4>
      </vt:variant>
      <vt:variant>
        <vt:i4>5</vt:i4>
      </vt:variant>
      <vt:variant>
        <vt:lpwstr/>
      </vt:variant>
      <vt:variant>
        <vt:lpwstr>_Toc474498299</vt:lpwstr>
      </vt:variant>
      <vt:variant>
        <vt:i4>1376315</vt:i4>
      </vt:variant>
      <vt:variant>
        <vt:i4>68</vt:i4>
      </vt:variant>
      <vt:variant>
        <vt:i4>0</vt:i4>
      </vt:variant>
      <vt:variant>
        <vt:i4>5</vt:i4>
      </vt:variant>
      <vt:variant>
        <vt:lpwstr/>
      </vt:variant>
      <vt:variant>
        <vt:lpwstr>_Toc474498298</vt:lpwstr>
      </vt:variant>
      <vt:variant>
        <vt:i4>1376315</vt:i4>
      </vt:variant>
      <vt:variant>
        <vt:i4>62</vt:i4>
      </vt:variant>
      <vt:variant>
        <vt:i4>0</vt:i4>
      </vt:variant>
      <vt:variant>
        <vt:i4>5</vt:i4>
      </vt:variant>
      <vt:variant>
        <vt:lpwstr/>
      </vt:variant>
      <vt:variant>
        <vt:lpwstr>_Toc474498297</vt:lpwstr>
      </vt:variant>
      <vt:variant>
        <vt:i4>1376315</vt:i4>
      </vt:variant>
      <vt:variant>
        <vt:i4>56</vt:i4>
      </vt:variant>
      <vt:variant>
        <vt:i4>0</vt:i4>
      </vt:variant>
      <vt:variant>
        <vt:i4>5</vt:i4>
      </vt:variant>
      <vt:variant>
        <vt:lpwstr/>
      </vt:variant>
      <vt:variant>
        <vt:lpwstr>_Toc474498296</vt:lpwstr>
      </vt:variant>
      <vt:variant>
        <vt:i4>1376315</vt:i4>
      </vt:variant>
      <vt:variant>
        <vt:i4>50</vt:i4>
      </vt:variant>
      <vt:variant>
        <vt:i4>0</vt:i4>
      </vt:variant>
      <vt:variant>
        <vt:i4>5</vt:i4>
      </vt:variant>
      <vt:variant>
        <vt:lpwstr/>
      </vt:variant>
      <vt:variant>
        <vt:lpwstr>_Toc474498295</vt:lpwstr>
      </vt:variant>
      <vt:variant>
        <vt:i4>1376315</vt:i4>
      </vt:variant>
      <vt:variant>
        <vt:i4>44</vt:i4>
      </vt:variant>
      <vt:variant>
        <vt:i4>0</vt:i4>
      </vt:variant>
      <vt:variant>
        <vt:i4>5</vt:i4>
      </vt:variant>
      <vt:variant>
        <vt:lpwstr/>
      </vt:variant>
      <vt:variant>
        <vt:lpwstr>_Toc474498294</vt:lpwstr>
      </vt:variant>
      <vt:variant>
        <vt:i4>1376315</vt:i4>
      </vt:variant>
      <vt:variant>
        <vt:i4>38</vt:i4>
      </vt:variant>
      <vt:variant>
        <vt:i4>0</vt:i4>
      </vt:variant>
      <vt:variant>
        <vt:i4>5</vt:i4>
      </vt:variant>
      <vt:variant>
        <vt:lpwstr/>
      </vt:variant>
      <vt:variant>
        <vt:lpwstr>_Toc474498293</vt:lpwstr>
      </vt:variant>
      <vt:variant>
        <vt:i4>1376315</vt:i4>
      </vt:variant>
      <vt:variant>
        <vt:i4>32</vt:i4>
      </vt:variant>
      <vt:variant>
        <vt:i4>0</vt:i4>
      </vt:variant>
      <vt:variant>
        <vt:i4>5</vt:i4>
      </vt:variant>
      <vt:variant>
        <vt:lpwstr/>
      </vt:variant>
      <vt:variant>
        <vt:lpwstr>_Toc474498292</vt:lpwstr>
      </vt:variant>
      <vt:variant>
        <vt:i4>1376315</vt:i4>
      </vt:variant>
      <vt:variant>
        <vt:i4>26</vt:i4>
      </vt:variant>
      <vt:variant>
        <vt:i4>0</vt:i4>
      </vt:variant>
      <vt:variant>
        <vt:i4>5</vt:i4>
      </vt:variant>
      <vt:variant>
        <vt:lpwstr/>
      </vt:variant>
      <vt:variant>
        <vt:lpwstr>_Toc474498291</vt:lpwstr>
      </vt:variant>
      <vt:variant>
        <vt:i4>1376315</vt:i4>
      </vt:variant>
      <vt:variant>
        <vt:i4>20</vt:i4>
      </vt:variant>
      <vt:variant>
        <vt:i4>0</vt:i4>
      </vt:variant>
      <vt:variant>
        <vt:i4>5</vt:i4>
      </vt:variant>
      <vt:variant>
        <vt:lpwstr/>
      </vt:variant>
      <vt:variant>
        <vt:lpwstr>_Toc474498290</vt:lpwstr>
      </vt:variant>
      <vt:variant>
        <vt:i4>1310779</vt:i4>
      </vt:variant>
      <vt:variant>
        <vt:i4>14</vt:i4>
      </vt:variant>
      <vt:variant>
        <vt:i4>0</vt:i4>
      </vt:variant>
      <vt:variant>
        <vt:i4>5</vt:i4>
      </vt:variant>
      <vt:variant>
        <vt:lpwstr/>
      </vt:variant>
      <vt:variant>
        <vt:lpwstr>_Toc474498289</vt:lpwstr>
      </vt:variant>
      <vt:variant>
        <vt:i4>1310779</vt:i4>
      </vt:variant>
      <vt:variant>
        <vt:i4>8</vt:i4>
      </vt:variant>
      <vt:variant>
        <vt:i4>0</vt:i4>
      </vt:variant>
      <vt:variant>
        <vt:i4>5</vt:i4>
      </vt:variant>
      <vt:variant>
        <vt:lpwstr/>
      </vt:variant>
      <vt:variant>
        <vt:lpwstr>_Toc474498288</vt:lpwstr>
      </vt:variant>
      <vt:variant>
        <vt:i4>1310779</vt:i4>
      </vt:variant>
      <vt:variant>
        <vt:i4>2</vt:i4>
      </vt:variant>
      <vt:variant>
        <vt:i4>0</vt:i4>
      </vt:variant>
      <vt:variant>
        <vt:i4>5</vt:i4>
      </vt:variant>
      <vt:variant>
        <vt:lpwstr/>
      </vt:variant>
      <vt:variant>
        <vt:lpwstr>_Toc474498285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Electroconvulsive Therapy (ECT)/Neurostimulation (NS)</dc:title>
  <dc:creator>Duke, Renee</dc:creator>
  <cp:lastModifiedBy>Rusanov, Zoia</cp:lastModifiedBy>
  <cp:revision>10</cp:revision>
  <cp:lastPrinted>2025-06-05T23:25:00Z</cp:lastPrinted>
  <dcterms:created xsi:type="dcterms:W3CDTF">2025-07-25T03:40:00Z</dcterms:created>
  <dcterms:modified xsi:type="dcterms:W3CDTF">2025-09-03T00:10:00Z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0x010100E8E4E67227A39440A0156BC63E383DB0</vt:lpwstr>
  </property>
</Properties>
</file>