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69A6BB36" w:rsidR="00EF02B0" w:rsidRPr="00931B93" w:rsidRDefault="00EF02B0" w:rsidP="00EF02B0">
      <w:pPr>
        <w:rPr>
          <w:rFonts w:cs="Arial"/>
          <w:b/>
          <w:i/>
          <w:sz w:val="28"/>
          <w:szCs w:val="44"/>
        </w:rPr>
      </w:pPr>
      <w:r w:rsidRPr="00EF02B0">
        <w:rPr>
          <w:rFonts w:cs="Arial"/>
          <w:b/>
          <w:sz w:val="44"/>
          <w:szCs w:val="44"/>
        </w:rPr>
        <w:t>Clinical</w:t>
      </w:r>
      <w:r w:rsidRPr="00EF02B0">
        <w:rPr>
          <w:rFonts w:cs="Arial"/>
          <w:b/>
          <w:i/>
          <w:sz w:val="44"/>
          <w:szCs w:val="44"/>
        </w:rPr>
        <w:t xml:space="preserve"> </w:t>
      </w:r>
      <w:r w:rsidRPr="00EF02B0">
        <w:rPr>
          <w:rFonts w:cs="Arial"/>
          <w:b/>
          <w:sz w:val="44"/>
          <w:szCs w:val="44"/>
        </w:rPr>
        <w:t>Procedure</w:t>
      </w:r>
      <w:r w:rsidR="00931B93">
        <w:rPr>
          <w:rFonts w:cs="Arial"/>
          <w:b/>
          <w:sz w:val="44"/>
          <w:szCs w:val="44"/>
        </w:rPr>
        <w:t xml:space="preserve"> </w:t>
      </w:r>
    </w:p>
    <w:p w14:paraId="2F51A850" w14:textId="6D5F4BFD" w:rsidR="007B6904" w:rsidRPr="006A3770" w:rsidRDefault="00961F93" w:rsidP="006A3770">
      <w:pPr>
        <w:rPr>
          <w:rFonts w:cs="Arial"/>
          <w:b/>
          <w:i/>
          <w:sz w:val="36"/>
          <w:szCs w:val="36"/>
        </w:rPr>
      </w:pPr>
      <w:r w:rsidRPr="009F7265">
        <w:rPr>
          <w:rFonts w:cs="Arial"/>
          <w:b/>
          <w:sz w:val="36"/>
          <w:szCs w:val="36"/>
        </w:rPr>
        <w:t xml:space="preserve">Early </w:t>
      </w:r>
      <w:r>
        <w:rPr>
          <w:rFonts w:cs="Arial"/>
          <w:b/>
          <w:sz w:val="36"/>
          <w:szCs w:val="36"/>
        </w:rPr>
        <w:t>O</w:t>
      </w:r>
      <w:r w:rsidRPr="009F7265">
        <w:rPr>
          <w:rFonts w:cs="Arial"/>
          <w:b/>
          <w:sz w:val="36"/>
          <w:szCs w:val="36"/>
        </w:rPr>
        <w:t xml:space="preserve">nset Group B </w:t>
      </w:r>
      <w:r>
        <w:rPr>
          <w:rFonts w:cs="Arial"/>
          <w:b/>
          <w:sz w:val="36"/>
          <w:szCs w:val="36"/>
        </w:rPr>
        <w:t>S</w:t>
      </w:r>
      <w:r w:rsidRPr="009F7265">
        <w:rPr>
          <w:rFonts w:cs="Arial"/>
          <w:b/>
          <w:sz w:val="36"/>
          <w:szCs w:val="36"/>
        </w:rPr>
        <w:t xml:space="preserve">treptococcus </w:t>
      </w:r>
      <w:r>
        <w:rPr>
          <w:rFonts w:cs="Arial"/>
          <w:b/>
          <w:sz w:val="36"/>
          <w:szCs w:val="36"/>
        </w:rPr>
        <w:t>D</w:t>
      </w:r>
      <w:r w:rsidRPr="009F7265">
        <w:rPr>
          <w:rFonts w:cs="Arial"/>
          <w:b/>
          <w:sz w:val="36"/>
          <w:szCs w:val="36"/>
        </w:rPr>
        <w:t>isease (EOGBSD)</w:t>
      </w:r>
      <w:r w:rsidRPr="00D804B7">
        <w:rPr>
          <w:rFonts w:cs="Arial"/>
          <w:b/>
          <w:sz w:val="36"/>
          <w:szCs w:val="36"/>
        </w:rPr>
        <w:t xml:space="preserve"> </w:t>
      </w:r>
      <w:r>
        <w:rPr>
          <w:rFonts w:cs="Arial"/>
          <w:b/>
          <w:sz w:val="36"/>
          <w:szCs w:val="36"/>
        </w:rPr>
        <w:t>(Maternity)</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89781779"/>
            <w:r w:rsidRPr="00CD1C0E">
              <w:t>Contents</w:t>
            </w:r>
            <w:bookmarkEnd w:id="5"/>
            <w:bookmarkEnd w:id="6"/>
            <w:bookmarkEnd w:id="7"/>
          </w:p>
        </w:tc>
      </w:tr>
    </w:tbl>
    <w:p w14:paraId="2F51A853" w14:textId="77777777" w:rsidR="007B6904" w:rsidRDefault="007B6904" w:rsidP="007B6904"/>
    <w:p w14:paraId="25C40BDA" w14:textId="3268765E" w:rsidR="006F04A8" w:rsidRDefault="007B7628">
      <w:pPr>
        <w:pStyle w:val="TOC1"/>
        <w:tabs>
          <w:tab w:val="right" w:leader="dot" w:pos="9060"/>
        </w:tabs>
        <w:rPr>
          <w:rFonts w:eastAsiaTheme="minorEastAsia" w:cstheme="minorBidi"/>
          <w:noProof/>
          <w:sz w:val="22"/>
          <w:szCs w:val="22"/>
          <w:lang w:eastAsia="en-AU"/>
        </w:rPr>
      </w:pPr>
      <w:r>
        <w:fldChar w:fldCharType="begin"/>
      </w:r>
      <w:r w:rsidR="007052B1">
        <w:instrText xml:space="preserve"> TOC \h \z \t "Heading 1,1" </w:instrText>
      </w:r>
      <w:r>
        <w:fldChar w:fldCharType="separate"/>
      </w:r>
      <w:hyperlink w:anchor="_Toc89781779" w:history="1">
        <w:r w:rsidR="006F04A8" w:rsidRPr="00340085">
          <w:rPr>
            <w:rStyle w:val="Hyperlink"/>
            <w:noProof/>
          </w:rPr>
          <w:t>Contents</w:t>
        </w:r>
        <w:r w:rsidR="006F04A8">
          <w:rPr>
            <w:noProof/>
            <w:webHidden/>
          </w:rPr>
          <w:tab/>
        </w:r>
        <w:r w:rsidR="006F04A8">
          <w:rPr>
            <w:noProof/>
            <w:webHidden/>
          </w:rPr>
          <w:fldChar w:fldCharType="begin"/>
        </w:r>
        <w:r w:rsidR="006F04A8">
          <w:rPr>
            <w:noProof/>
            <w:webHidden/>
          </w:rPr>
          <w:instrText xml:space="preserve"> PAGEREF _Toc89781779 \h </w:instrText>
        </w:r>
        <w:r w:rsidR="006F04A8">
          <w:rPr>
            <w:noProof/>
            <w:webHidden/>
          </w:rPr>
        </w:r>
        <w:r w:rsidR="006F04A8">
          <w:rPr>
            <w:noProof/>
            <w:webHidden/>
          </w:rPr>
          <w:fldChar w:fldCharType="separate"/>
        </w:r>
        <w:r w:rsidR="006F04A8">
          <w:rPr>
            <w:noProof/>
            <w:webHidden/>
          </w:rPr>
          <w:t>1</w:t>
        </w:r>
        <w:r w:rsidR="006F04A8">
          <w:rPr>
            <w:noProof/>
            <w:webHidden/>
          </w:rPr>
          <w:fldChar w:fldCharType="end"/>
        </w:r>
      </w:hyperlink>
    </w:p>
    <w:p w14:paraId="6D077FD6" w14:textId="74103D2D" w:rsidR="006F04A8" w:rsidRDefault="00DB20BE">
      <w:pPr>
        <w:pStyle w:val="TOC1"/>
        <w:tabs>
          <w:tab w:val="right" w:leader="dot" w:pos="9060"/>
        </w:tabs>
        <w:rPr>
          <w:rFonts w:eastAsiaTheme="minorEastAsia" w:cstheme="minorBidi"/>
          <w:noProof/>
          <w:sz w:val="22"/>
          <w:szCs w:val="22"/>
          <w:lang w:eastAsia="en-AU"/>
        </w:rPr>
      </w:pPr>
      <w:hyperlink w:anchor="_Toc89781780" w:history="1">
        <w:r w:rsidR="006F04A8" w:rsidRPr="00340085">
          <w:rPr>
            <w:rStyle w:val="Hyperlink"/>
            <w:noProof/>
          </w:rPr>
          <w:t>Purpose</w:t>
        </w:r>
        <w:r w:rsidR="006F04A8">
          <w:rPr>
            <w:noProof/>
            <w:webHidden/>
          </w:rPr>
          <w:tab/>
        </w:r>
        <w:r w:rsidR="006F04A8">
          <w:rPr>
            <w:noProof/>
            <w:webHidden/>
          </w:rPr>
          <w:fldChar w:fldCharType="begin"/>
        </w:r>
        <w:r w:rsidR="006F04A8">
          <w:rPr>
            <w:noProof/>
            <w:webHidden/>
          </w:rPr>
          <w:instrText xml:space="preserve"> PAGEREF _Toc89781780 \h </w:instrText>
        </w:r>
        <w:r w:rsidR="006F04A8">
          <w:rPr>
            <w:noProof/>
            <w:webHidden/>
          </w:rPr>
        </w:r>
        <w:r w:rsidR="006F04A8">
          <w:rPr>
            <w:noProof/>
            <w:webHidden/>
          </w:rPr>
          <w:fldChar w:fldCharType="separate"/>
        </w:r>
        <w:r w:rsidR="006F04A8">
          <w:rPr>
            <w:noProof/>
            <w:webHidden/>
          </w:rPr>
          <w:t>2</w:t>
        </w:r>
        <w:r w:rsidR="006F04A8">
          <w:rPr>
            <w:noProof/>
            <w:webHidden/>
          </w:rPr>
          <w:fldChar w:fldCharType="end"/>
        </w:r>
      </w:hyperlink>
    </w:p>
    <w:p w14:paraId="53C0262F" w14:textId="65A7F774" w:rsidR="006F04A8" w:rsidRDefault="00DB20BE">
      <w:pPr>
        <w:pStyle w:val="TOC1"/>
        <w:tabs>
          <w:tab w:val="right" w:leader="dot" w:pos="9060"/>
        </w:tabs>
        <w:rPr>
          <w:rFonts w:eastAsiaTheme="minorEastAsia" w:cstheme="minorBidi"/>
          <w:noProof/>
          <w:sz w:val="22"/>
          <w:szCs w:val="22"/>
          <w:lang w:eastAsia="en-AU"/>
        </w:rPr>
      </w:pPr>
      <w:hyperlink w:anchor="_Toc89781781" w:history="1">
        <w:r w:rsidR="006F04A8" w:rsidRPr="00340085">
          <w:rPr>
            <w:rStyle w:val="Hyperlink"/>
            <w:noProof/>
          </w:rPr>
          <w:t>Alerts</w:t>
        </w:r>
        <w:r w:rsidR="006F04A8">
          <w:rPr>
            <w:noProof/>
            <w:webHidden/>
          </w:rPr>
          <w:tab/>
        </w:r>
        <w:r w:rsidR="006F04A8">
          <w:rPr>
            <w:noProof/>
            <w:webHidden/>
          </w:rPr>
          <w:fldChar w:fldCharType="begin"/>
        </w:r>
        <w:r w:rsidR="006F04A8">
          <w:rPr>
            <w:noProof/>
            <w:webHidden/>
          </w:rPr>
          <w:instrText xml:space="preserve"> PAGEREF _Toc89781781 \h </w:instrText>
        </w:r>
        <w:r w:rsidR="006F04A8">
          <w:rPr>
            <w:noProof/>
            <w:webHidden/>
          </w:rPr>
        </w:r>
        <w:r w:rsidR="006F04A8">
          <w:rPr>
            <w:noProof/>
            <w:webHidden/>
          </w:rPr>
          <w:fldChar w:fldCharType="separate"/>
        </w:r>
        <w:r w:rsidR="006F04A8">
          <w:rPr>
            <w:noProof/>
            <w:webHidden/>
          </w:rPr>
          <w:t>2</w:t>
        </w:r>
        <w:r w:rsidR="006F04A8">
          <w:rPr>
            <w:noProof/>
            <w:webHidden/>
          </w:rPr>
          <w:fldChar w:fldCharType="end"/>
        </w:r>
      </w:hyperlink>
    </w:p>
    <w:p w14:paraId="0D85B337" w14:textId="5D9D0789" w:rsidR="006F04A8" w:rsidRDefault="00DB20BE">
      <w:pPr>
        <w:pStyle w:val="TOC1"/>
        <w:tabs>
          <w:tab w:val="right" w:leader="dot" w:pos="9060"/>
        </w:tabs>
        <w:rPr>
          <w:rFonts w:eastAsiaTheme="minorEastAsia" w:cstheme="minorBidi"/>
          <w:noProof/>
          <w:sz w:val="22"/>
          <w:szCs w:val="22"/>
          <w:lang w:eastAsia="en-AU"/>
        </w:rPr>
      </w:pPr>
      <w:hyperlink w:anchor="_Toc89781782" w:history="1">
        <w:r w:rsidR="006F04A8" w:rsidRPr="00340085">
          <w:rPr>
            <w:rStyle w:val="Hyperlink"/>
            <w:noProof/>
          </w:rPr>
          <w:t>Scope</w:t>
        </w:r>
        <w:r w:rsidR="006F04A8">
          <w:rPr>
            <w:noProof/>
            <w:webHidden/>
          </w:rPr>
          <w:tab/>
        </w:r>
        <w:r w:rsidR="006F04A8">
          <w:rPr>
            <w:noProof/>
            <w:webHidden/>
          </w:rPr>
          <w:fldChar w:fldCharType="begin"/>
        </w:r>
        <w:r w:rsidR="006F04A8">
          <w:rPr>
            <w:noProof/>
            <w:webHidden/>
          </w:rPr>
          <w:instrText xml:space="preserve"> PAGEREF _Toc89781782 \h </w:instrText>
        </w:r>
        <w:r w:rsidR="006F04A8">
          <w:rPr>
            <w:noProof/>
            <w:webHidden/>
          </w:rPr>
        </w:r>
        <w:r w:rsidR="006F04A8">
          <w:rPr>
            <w:noProof/>
            <w:webHidden/>
          </w:rPr>
          <w:fldChar w:fldCharType="separate"/>
        </w:r>
        <w:r w:rsidR="006F04A8">
          <w:rPr>
            <w:noProof/>
            <w:webHidden/>
          </w:rPr>
          <w:t>2</w:t>
        </w:r>
        <w:r w:rsidR="006F04A8">
          <w:rPr>
            <w:noProof/>
            <w:webHidden/>
          </w:rPr>
          <w:fldChar w:fldCharType="end"/>
        </w:r>
      </w:hyperlink>
    </w:p>
    <w:p w14:paraId="5D390C29" w14:textId="5EA398BB" w:rsidR="006F04A8" w:rsidRDefault="00DB20BE">
      <w:pPr>
        <w:pStyle w:val="TOC1"/>
        <w:tabs>
          <w:tab w:val="right" w:leader="dot" w:pos="9060"/>
        </w:tabs>
        <w:rPr>
          <w:rFonts w:eastAsiaTheme="minorEastAsia" w:cstheme="minorBidi"/>
          <w:noProof/>
          <w:sz w:val="22"/>
          <w:szCs w:val="22"/>
          <w:lang w:eastAsia="en-AU"/>
        </w:rPr>
      </w:pPr>
      <w:hyperlink w:anchor="_Toc89781783" w:history="1">
        <w:r w:rsidR="006F04A8" w:rsidRPr="00340085">
          <w:rPr>
            <w:rStyle w:val="Hyperlink"/>
            <w:noProof/>
          </w:rPr>
          <w:t>Section 1 –  Background</w:t>
        </w:r>
        <w:r w:rsidR="006F04A8">
          <w:rPr>
            <w:noProof/>
            <w:webHidden/>
          </w:rPr>
          <w:tab/>
        </w:r>
        <w:r w:rsidR="006F04A8">
          <w:rPr>
            <w:noProof/>
            <w:webHidden/>
          </w:rPr>
          <w:fldChar w:fldCharType="begin"/>
        </w:r>
        <w:r w:rsidR="006F04A8">
          <w:rPr>
            <w:noProof/>
            <w:webHidden/>
          </w:rPr>
          <w:instrText xml:space="preserve"> PAGEREF _Toc89781783 \h </w:instrText>
        </w:r>
        <w:r w:rsidR="006F04A8">
          <w:rPr>
            <w:noProof/>
            <w:webHidden/>
          </w:rPr>
        </w:r>
        <w:r w:rsidR="006F04A8">
          <w:rPr>
            <w:noProof/>
            <w:webHidden/>
          </w:rPr>
          <w:fldChar w:fldCharType="separate"/>
        </w:r>
        <w:r w:rsidR="006F04A8">
          <w:rPr>
            <w:noProof/>
            <w:webHidden/>
          </w:rPr>
          <w:t>2</w:t>
        </w:r>
        <w:r w:rsidR="006F04A8">
          <w:rPr>
            <w:noProof/>
            <w:webHidden/>
          </w:rPr>
          <w:fldChar w:fldCharType="end"/>
        </w:r>
      </w:hyperlink>
    </w:p>
    <w:p w14:paraId="70947029" w14:textId="66B6D3D4" w:rsidR="006F04A8" w:rsidRDefault="00DB20BE">
      <w:pPr>
        <w:pStyle w:val="TOC1"/>
        <w:tabs>
          <w:tab w:val="right" w:leader="dot" w:pos="9060"/>
        </w:tabs>
        <w:rPr>
          <w:rFonts w:eastAsiaTheme="minorEastAsia" w:cstheme="minorBidi"/>
          <w:noProof/>
          <w:sz w:val="22"/>
          <w:szCs w:val="22"/>
          <w:lang w:eastAsia="en-AU"/>
        </w:rPr>
      </w:pPr>
      <w:hyperlink w:anchor="_Toc89781784" w:history="1">
        <w:r w:rsidR="006F04A8" w:rsidRPr="00340085">
          <w:rPr>
            <w:rStyle w:val="Hyperlink"/>
            <w:noProof/>
          </w:rPr>
          <w:t>Section 2 – Routine Antepartum Screening</w:t>
        </w:r>
        <w:r w:rsidR="006F04A8">
          <w:rPr>
            <w:noProof/>
            <w:webHidden/>
          </w:rPr>
          <w:tab/>
        </w:r>
        <w:r w:rsidR="006F04A8">
          <w:rPr>
            <w:noProof/>
            <w:webHidden/>
          </w:rPr>
          <w:fldChar w:fldCharType="begin"/>
        </w:r>
        <w:r w:rsidR="006F04A8">
          <w:rPr>
            <w:noProof/>
            <w:webHidden/>
          </w:rPr>
          <w:instrText xml:space="preserve"> PAGEREF _Toc89781784 \h </w:instrText>
        </w:r>
        <w:r w:rsidR="006F04A8">
          <w:rPr>
            <w:noProof/>
            <w:webHidden/>
          </w:rPr>
        </w:r>
        <w:r w:rsidR="006F04A8">
          <w:rPr>
            <w:noProof/>
            <w:webHidden/>
          </w:rPr>
          <w:fldChar w:fldCharType="separate"/>
        </w:r>
        <w:r w:rsidR="006F04A8">
          <w:rPr>
            <w:noProof/>
            <w:webHidden/>
          </w:rPr>
          <w:t>3</w:t>
        </w:r>
        <w:r w:rsidR="006F04A8">
          <w:rPr>
            <w:noProof/>
            <w:webHidden/>
          </w:rPr>
          <w:fldChar w:fldCharType="end"/>
        </w:r>
      </w:hyperlink>
    </w:p>
    <w:p w14:paraId="099FCAFC" w14:textId="6DF65BCD" w:rsidR="006F04A8" w:rsidRDefault="00DB20BE">
      <w:pPr>
        <w:pStyle w:val="TOC1"/>
        <w:tabs>
          <w:tab w:val="right" w:leader="dot" w:pos="9060"/>
        </w:tabs>
        <w:rPr>
          <w:rFonts w:eastAsiaTheme="minorEastAsia" w:cstheme="minorBidi"/>
          <w:noProof/>
          <w:sz w:val="22"/>
          <w:szCs w:val="22"/>
          <w:lang w:eastAsia="en-AU"/>
        </w:rPr>
      </w:pPr>
      <w:hyperlink w:anchor="_Toc89781785" w:history="1">
        <w:r w:rsidR="006F04A8" w:rsidRPr="00340085">
          <w:rPr>
            <w:rStyle w:val="Hyperlink"/>
            <w:noProof/>
          </w:rPr>
          <w:t>Section 3 – Intrapartum Management Recommendations</w:t>
        </w:r>
        <w:r w:rsidR="006F04A8">
          <w:rPr>
            <w:noProof/>
            <w:webHidden/>
          </w:rPr>
          <w:tab/>
        </w:r>
        <w:r w:rsidR="006F04A8">
          <w:rPr>
            <w:noProof/>
            <w:webHidden/>
          </w:rPr>
          <w:fldChar w:fldCharType="begin"/>
        </w:r>
        <w:r w:rsidR="006F04A8">
          <w:rPr>
            <w:noProof/>
            <w:webHidden/>
          </w:rPr>
          <w:instrText xml:space="preserve"> PAGEREF _Toc89781785 \h </w:instrText>
        </w:r>
        <w:r w:rsidR="006F04A8">
          <w:rPr>
            <w:noProof/>
            <w:webHidden/>
          </w:rPr>
        </w:r>
        <w:r w:rsidR="006F04A8">
          <w:rPr>
            <w:noProof/>
            <w:webHidden/>
          </w:rPr>
          <w:fldChar w:fldCharType="separate"/>
        </w:r>
        <w:r w:rsidR="006F04A8">
          <w:rPr>
            <w:noProof/>
            <w:webHidden/>
          </w:rPr>
          <w:t>4</w:t>
        </w:r>
        <w:r w:rsidR="006F04A8">
          <w:rPr>
            <w:noProof/>
            <w:webHidden/>
          </w:rPr>
          <w:fldChar w:fldCharType="end"/>
        </w:r>
      </w:hyperlink>
    </w:p>
    <w:p w14:paraId="523AE336" w14:textId="6D6D2908" w:rsidR="006F04A8" w:rsidRDefault="00DB20BE">
      <w:pPr>
        <w:pStyle w:val="TOC1"/>
        <w:tabs>
          <w:tab w:val="right" w:leader="dot" w:pos="9060"/>
        </w:tabs>
        <w:rPr>
          <w:rFonts w:eastAsiaTheme="minorEastAsia" w:cstheme="minorBidi"/>
          <w:noProof/>
          <w:sz w:val="22"/>
          <w:szCs w:val="22"/>
          <w:lang w:eastAsia="en-AU"/>
        </w:rPr>
      </w:pPr>
      <w:hyperlink w:anchor="_Toc89781786" w:history="1">
        <w:r w:rsidR="006F04A8" w:rsidRPr="00340085">
          <w:rPr>
            <w:rStyle w:val="Hyperlink"/>
            <w:noProof/>
          </w:rPr>
          <w:t>Section 4 – Postpartum</w:t>
        </w:r>
        <w:r w:rsidR="006F04A8">
          <w:rPr>
            <w:noProof/>
            <w:webHidden/>
          </w:rPr>
          <w:tab/>
        </w:r>
        <w:r w:rsidR="006F04A8">
          <w:rPr>
            <w:noProof/>
            <w:webHidden/>
          </w:rPr>
          <w:fldChar w:fldCharType="begin"/>
        </w:r>
        <w:r w:rsidR="006F04A8">
          <w:rPr>
            <w:noProof/>
            <w:webHidden/>
          </w:rPr>
          <w:instrText xml:space="preserve"> PAGEREF _Toc89781786 \h </w:instrText>
        </w:r>
        <w:r w:rsidR="006F04A8">
          <w:rPr>
            <w:noProof/>
            <w:webHidden/>
          </w:rPr>
        </w:r>
        <w:r w:rsidR="006F04A8">
          <w:rPr>
            <w:noProof/>
            <w:webHidden/>
          </w:rPr>
          <w:fldChar w:fldCharType="separate"/>
        </w:r>
        <w:r w:rsidR="006F04A8">
          <w:rPr>
            <w:noProof/>
            <w:webHidden/>
          </w:rPr>
          <w:t>6</w:t>
        </w:r>
        <w:r w:rsidR="006F04A8">
          <w:rPr>
            <w:noProof/>
            <w:webHidden/>
          </w:rPr>
          <w:fldChar w:fldCharType="end"/>
        </w:r>
      </w:hyperlink>
    </w:p>
    <w:p w14:paraId="382B7B44" w14:textId="6898FC43" w:rsidR="006F04A8" w:rsidRDefault="00DB20BE">
      <w:pPr>
        <w:pStyle w:val="TOC1"/>
        <w:tabs>
          <w:tab w:val="right" w:leader="dot" w:pos="9060"/>
        </w:tabs>
        <w:rPr>
          <w:rFonts w:eastAsiaTheme="minorEastAsia" w:cstheme="minorBidi"/>
          <w:noProof/>
          <w:sz w:val="22"/>
          <w:szCs w:val="22"/>
          <w:lang w:eastAsia="en-AU"/>
        </w:rPr>
      </w:pPr>
      <w:hyperlink w:anchor="_Toc89781787" w:history="1">
        <w:r w:rsidR="006F04A8" w:rsidRPr="00340085">
          <w:rPr>
            <w:rStyle w:val="Hyperlink"/>
            <w:noProof/>
          </w:rPr>
          <w:t>Evaluation</w:t>
        </w:r>
        <w:r w:rsidR="006F04A8">
          <w:rPr>
            <w:noProof/>
            <w:webHidden/>
          </w:rPr>
          <w:tab/>
        </w:r>
        <w:r w:rsidR="006F04A8">
          <w:rPr>
            <w:noProof/>
            <w:webHidden/>
          </w:rPr>
          <w:fldChar w:fldCharType="begin"/>
        </w:r>
        <w:r w:rsidR="006F04A8">
          <w:rPr>
            <w:noProof/>
            <w:webHidden/>
          </w:rPr>
          <w:instrText xml:space="preserve"> PAGEREF _Toc89781787 \h </w:instrText>
        </w:r>
        <w:r w:rsidR="006F04A8">
          <w:rPr>
            <w:noProof/>
            <w:webHidden/>
          </w:rPr>
        </w:r>
        <w:r w:rsidR="006F04A8">
          <w:rPr>
            <w:noProof/>
            <w:webHidden/>
          </w:rPr>
          <w:fldChar w:fldCharType="separate"/>
        </w:r>
        <w:r w:rsidR="006F04A8">
          <w:rPr>
            <w:noProof/>
            <w:webHidden/>
          </w:rPr>
          <w:t>8</w:t>
        </w:r>
        <w:r w:rsidR="006F04A8">
          <w:rPr>
            <w:noProof/>
            <w:webHidden/>
          </w:rPr>
          <w:fldChar w:fldCharType="end"/>
        </w:r>
      </w:hyperlink>
    </w:p>
    <w:p w14:paraId="7724A1B6" w14:textId="3914AC12" w:rsidR="006F04A8" w:rsidRDefault="00DB20BE">
      <w:pPr>
        <w:pStyle w:val="TOC1"/>
        <w:tabs>
          <w:tab w:val="right" w:leader="dot" w:pos="9060"/>
        </w:tabs>
        <w:rPr>
          <w:rFonts w:eastAsiaTheme="minorEastAsia" w:cstheme="minorBidi"/>
          <w:noProof/>
          <w:sz w:val="22"/>
          <w:szCs w:val="22"/>
          <w:lang w:eastAsia="en-AU"/>
        </w:rPr>
      </w:pPr>
      <w:hyperlink w:anchor="_Toc89781788" w:history="1">
        <w:r w:rsidR="006F04A8" w:rsidRPr="00340085">
          <w:rPr>
            <w:rStyle w:val="Hyperlink"/>
            <w:noProof/>
          </w:rPr>
          <w:t>Related Policies, Procedures, Guidelines and Legislation</w:t>
        </w:r>
        <w:r w:rsidR="006F04A8">
          <w:rPr>
            <w:noProof/>
            <w:webHidden/>
          </w:rPr>
          <w:tab/>
        </w:r>
        <w:r w:rsidR="006F04A8">
          <w:rPr>
            <w:noProof/>
            <w:webHidden/>
          </w:rPr>
          <w:fldChar w:fldCharType="begin"/>
        </w:r>
        <w:r w:rsidR="006F04A8">
          <w:rPr>
            <w:noProof/>
            <w:webHidden/>
          </w:rPr>
          <w:instrText xml:space="preserve"> PAGEREF _Toc89781788 \h </w:instrText>
        </w:r>
        <w:r w:rsidR="006F04A8">
          <w:rPr>
            <w:noProof/>
            <w:webHidden/>
          </w:rPr>
        </w:r>
        <w:r w:rsidR="006F04A8">
          <w:rPr>
            <w:noProof/>
            <w:webHidden/>
          </w:rPr>
          <w:fldChar w:fldCharType="separate"/>
        </w:r>
        <w:r w:rsidR="006F04A8">
          <w:rPr>
            <w:noProof/>
            <w:webHidden/>
          </w:rPr>
          <w:t>8</w:t>
        </w:r>
        <w:r w:rsidR="006F04A8">
          <w:rPr>
            <w:noProof/>
            <w:webHidden/>
          </w:rPr>
          <w:fldChar w:fldCharType="end"/>
        </w:r>
      </w:hyperlink>
    </w:p>
    <w:p w14:paraId="535CC44B" w14:textId="4A46A707" w:rsidR="006F04A8" w:rsidRDefault="00DB20BE">
      <w:pPr>
        <w:pStyle w:val="TOC1"/>
        <w:tabs>
          <w:tab w:val="right" w:leader="dot" w:pos="9060"/>
        </w:tabs>
        <w:rPr>
          <w:rFonts w:eastAsiaTheme="minorEastAsia" w:cstheme="minorBidi"/>
          <w:noProof/>
          <w:sz w:val="22"/>
          <w:szCs w:val="22"/>
          <w:lang w:eastAsia="en-AU"/>
        </w:rPr>
      </w:pPr>
      <w:hyperlink w:anchor="_Toc89781789" w:history="1">
        <w:r w:rsidR="006F04A8" w:rsidRPr="00340085">
          <w:rPr>
            <w:rStyle w:val="Hyperlink"/>
            <w:noProof/>
          </w:rPr>
          <w:t>References</w:t>
        </w:r>
        <w:r w:rsidR="006F04A8">
          <w:rPr>
            <w:noProof/>
            <w:webHidden/>
          </w:rPr>
          <w:tab/>
        </w:r>
        <w:r w:rsidR="006F04A8">
          <w:rPr>
            <w:noProof/>
            <w:webHidden/>
          </w:rPr>
          <w:fldChar w:fldCharType="begin"/>
        </w:r>
        <w:r w:rsidR="006F04A8">
          <w:rPr>
            <w:noProof/>
            <w:webHidden/>
          </w:rPr>
          <w:instrText xml:space="preserve"> PAGEREF _Toc89781789 \h </w:instrText>
        </w:r>
        <w:r w:rsidR="006F04A8">
          <w:rPr>
            <w:noProof/>
            <w:webHidden/>
          </w:rPr>
        </w:r>
        <w:r w:rsidR="006F04A8">
          <w:rPr>
            <w:noProof/>
            <w:webHidden/>
          </w:rPr>
          <w:fldChar w:fldCharType="separate"/>
        </w:r>
        <w:r w:rsidR="006F04A8">
          <w:rPr>
            <w:noProof/>
            <w:webHidden/>
          </w:rPr>
          <w:t>9</w:t>
        </w:r>
        <w:r w:rsidR="006F04A8">
          <w:rPr>
            <w:noProof/>
            <w:webHidden/>
          </w:rPr>
          <w:fldChar w:fldCharType="end"/>
        </w:r>
      </w:hyperlink>
    </w:p>
    <w:p w14:paraId="28E350C8" w14:textId="20DDC7EF" w:rsidR="006F04A8" w:rsidRDefault="00DB20BE">
      <w:pPr>
        <w:pStyle w:val="TOC1"/>
        <w:tabs>
          <w:tab w:val="right" w:leader="dot" w:pos="9060"/>
        </w:tabs>
        <w:rPr>
          <w:rFonts w:eastAsiaTheme="minorEastAsia" w:cstheme="minorBidi"/>
          <w:noProof/>
          <w:sz w:val="22"/>
          <w:szCs w:val="22"/>
          <w:lang w:eastAsia="en-AU"/>
        </w:rPr>
      </w:pPr>
      <w:hyperlink w:anchor="_Toc89781790" w:history="1">
        <w:r w:rsidR="006F04A8" w:rsidRPr="00340085">
          <w:rPr>
            <w:rStyle w:val="Hyperlink"/>
            <w:noProof/>
          </w:rPr>
          <w:t>Search Terms</w:t>
        </w:r>
        <w:r w:rsidR="006F04A8">
          <w:rPr>
            <w:noProof/>
            <w:webHidden/>
          </w:rPr>
          <w:tab/>
        </w:r>
        <w:r w:rsidR="006F04A8">
          <w:rPr>
            <w:noProof/>
            <w:webHidden/>
          </w:rPr>
          <w:fldChar w:fldCharType="begin"/>
        </w:r>
        <w:r w:rsidR="006F04A8">
          <w:rPr>
            <w:noProof/>
            <w:webHidden/>
          </w:rPr>
          <w:instrText xml:space="preserve"> PAGEREF _Toc89781790 \h </w:instrText>
        </w:r>
        <w:r w:rsidR="006F04A8">
          <w:rPr>
            <w:noProof/>
            <w:webHidden/>
          </w:rPr>
        </w:r>
        <w:r w:rsidR="006F04A8">
          <w:rPr>
            <w:noProof/>
            <w:webHidden/>
          </w:rPr>
          <w:fldChar w:fldCharType="separate"/>
        </w:r>
        <w:r w:rsidR="006F04A8">
          <w:rPr>
            <w:noProof/>
            <w:webHidden/>
          </w:rPr>
          <w:t>10</w:t>
        </w:r>
        <w:r w:rsidR="006F04A8">
          <w:rPr>
            <w:noProof/>
            <w:webHidden/>
          </w:rPr>
          <w:fldChar w:fldCharType="end"/>
        </w:r>
      </w:hyperlink>
    </w:p>
    <w:p w14:paraId="339ED2D6" w14:textId="76334034" w:rsidR="006F04A8" w:rsidRDefault="00DB20BE">
      <w:pPr>
        <w:pStyle w:val="TOC1"/>
        <w:tabs>
          <w:tab w:val="right" w:leader="dot" w:pos="9060"/>
        </w:tabs>
        <w:rPr>
          <w:rFonts w:eastAsiaTheme="minorEastAsia" w:cstheme="minorBidi"/>
          <w:noProof/>
          <w:sz w:val="22"/>
          <w:szCs w:val="22"/>
          <w:lang w:eastAsia="en-AU"/>
        </w:rPr>
      </w:pPr>
      <w:hyperlink w:anchor="_Toc89781791" w:history="1">
        <w:r w:rsidR="006F04A8" w:rsidRPr="00340085">
          <w:rPr>
            <w:rStyle w:val="Hyperlink"/>
            <w:noProof/>
          </w:rPr>
          <w:t>Attachments</w:t>
        </w:r>
        <w:r w:rsidR="006F04A8">
          <w:rPr>
            <w:noProof/>
            <w:webHidden/>
          </w:rPr>
          <w:tab/>
        </w:r>
        <w:r w:rsidR="006F04A8">
          <w:rPr>
            <w:noProof/>
            <w:webHidden/>
          </w:rPr>
          <w:fldChar w:fldCharType="begin"/>
        </w:r>
        <w:r w:rsidR="006F04A8">
          <w:rPr>
            <w:noProof/>
            <w:webHidden/>
          </w:rPr>
          <w:instrText xml:space="preserve"> PAGEREF _Toc89781791 \h </w:instrText>
        </w:r>
        <w:r w:rsidR="006F04A8">
          <w:rPr>
            <w:noProof/>
            <w:webHidden/>
          </w:rPr>
        </w:r>
        <w:r w:rsidR="006F04A8">
          <w:rPr>
            <w:noProof/>
            <w:webHidden/>
          </w:rPr>
          <w:fldChar w:fldCharType="separate"/>
        </w:r>
        <w:r w:rsidR="006F04A8">
          <w:rPr>
            <w:noProof/>
            <w:webHidden/>
          </w:rPr>
          <w:t>10</w:t>
        </w:r>
        <w:r w:rsidR="006F04A8">
          <w:rPr>
            <w:noProof/>
            <w:webHidden/>
          </w:rPr>
          <w:fldChar w:fldCharType="end"/>
        </w:r>
      </w:hyperlink>
    </w:p>
    <w:p w14:paraId="631AAFB4" w14:textId="6F0B2ED6" w:rsidR="00B12624" w:rsidRDefault="007B7628" w:rsidP="007B6904">
      <w:pPr>
        <w:rPr>
          <w:rFonts w:asciiTheme="minorHAnsi" w:hAnsiTheme="minorHAnsi"/>
        </w:rPr>
      </w:pPr>
      <w:r>
        <w:rPr>
          <w:rFonts w:asciiTheme="minorHAnsi" w:hAnsiTheme="minorHAnsi"/>
        </w:rPr>
        <w:fldChar w:fldCharType="end"/>
      </w:r>
    </w:p>
    <w:p w14:paraId="2F51A863" w14:textId="219484EF" w:rsidR="007B6904" w:rsidRPr="007B6D7C" w:rsidRDefault="007052B1" w:rsidP="007B6D7C">
      <w:pPr>
        <w:spacing w:after="200" w:line="276" w:lineRule="auto"/>
        <w:rPr>
          <w:rFonts w:asciiTheme="minorHAnsi" w:hAnsiTheme="minorHAnsi"/>
        </w:rPr>
      </w:pPr>
      <w:r>
        <w:rPr>
          <w:rFonts w:asciiTheme="minorHAnsi" w:hAnsi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89781780"/>
            <w:r w:rsidRPr="00CD1C0E">
              <w:lastRenderedPageBreak/>
              <w:t>Purpose</w:t>
            </w:r>
            <w:bookmarkEnd w:id="8"/>
            <w:bookmarkEnd w:id="9"/>
          </w:p>
        </w:tc>
      </w:tr>
    </w:tbl>
    <w:p w14:paraId="2F51A866" w14:textId="77777777" w:rsidR="00931B93" w:rsidRDefault="00931B93" w:rsidP="00931B93">
      <w:pPr>
        <w:rPr>
          <w:rFonts w:cs="Arial"/>
          <w:i/>
          <w:szCs w:val="24"/>
        </w:rPr>
      </w:pPr>
    </w:p>
    <w:p w14:paraId="24CC8A4C" w14:textId="77777777" w:rsidR="00DB20BE" w:rsidRDefault="00DB20BE" w:rsidP="00DB20BE">
      <w:r w:rsidRPr="00D54D9A">
        <w:t>The purpose of this</w:t>
      </w:r>
      <w:r>
        <w:t xml:space="preserve"> procedure </w:t>
      </w:r>
      <w:r w:rsidRPr="00D54D9A">
        <w:t xml:space="preserve">is to </w:t>
      </w:r>
      <w:r>
        <w:t>facilitate a consistent approach to the prevention and early detection of Early Onset Group B Streptococcal Disease (EOGBSD) in babies.</w:t>
      </w:r>
    </w:p>
    <w:p w14:paraId="55E25721" w14:textId="77777777" w:rsidR="00DB20BE" w:rsidRDefault="00DB20BE" w:rsidP="00DB20BE">
      <w:pPr>
        <w:rPr>
          <w:rFonts w:cs="Arial"/>
          <w:szCs w:val="24"/>
        </w:rPr>
      </w:pPr>
      <w:r w:rsidRPr="00BF078E">
        <w:rPr>
          <w:rFonts w:cs="Arial"/>
          <w:i/>
          <w:szCs w:val="24"/>
        </w:rPr>
        <w:t xml:space="preserve">  </w:t>
      </w:r>
    </w:p>
    <w:p w14:paraId="67357ECD" w14:textId="77777777" w:rsidR="00DB20BE" w:rsidRPr="00CD1C0E" w:rsidRDefault="00DB20BE" w:rsidP="00DB20BE">
      <w:pPr>
        <w:jc w:val="right"/>
        <w:rPr>
          <w:rFonts w:cs="Arial"/>
          <w:szCs w:val="24"/>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DB20BE" w:rsidRPr="00CD1C0E" w14:paraId="7FDD2A56" w14:textId="77777777" w:rsidTr="001E0431">
        <w:trPr>
          <w:cantSplit/>
          <w:trHeight w:val="285"/>
        </w:trPr>
        <w:tc>
          <w:tcPr>
            <w:tcW w:w="9158" w:type="dxa"/>
            <w:shd w:val="clear" w:color="auto" w:fill="A6A6A6" w:themeFill="background1" w:themeFillShade="A6"/>
          </w:tcPr>
          <w:p w14:paraId="0A4E7B4F" w14:textId="77777777" w:rsidR="00DB20BE" w:rsidRPr="00CD1C0E" w:rsidRDefault="00DB20BE" w:rsidP="001E0431">
            <w:pPr>
              <w:pStyle w:val="Heading1"/>
            </w:pPr>
            <w:bookmarkStart w:id="10" w:name="_Toc389473276"/>
            <w:bookmarkStart w:id="11" w:name="_Toc164668233"/>
            <w:r>
              <w:t>Alerts</w:t>
            </w:r>
            <w:bookmarkEnd w:id="10"/>
            <w:bookmarkEnd w:id="11"/>
            <w:r>
              <w:t xml:space="preserve"> </w:t>
            </w:r>
          </w:p>
        </w:tc>
      </w:tr>
    </w:tbl>
    <w:p w14:paraId="62AE1EA0" w14:textId="77777777" w:rsidR="00DB20BE" w:rsidRDefault="00DB20BE" w:rsidP="00DB20BE">
      <w:pPr>
        <w:rPr>
          <w:rFonts w:cs="Arial"/>
          <w:b/>
          <w:szCs w:val="24"/>
        </w:rPr>
      </w:pPr>
    </w:p>
    <w:p w14:paraId="4CD9C3DB" w14:textId="77777777" w:rsidR="00DB20BE" w:rsidRDefault="00DB20BE" w:rsidP="00DB20BE">
      <w:pPr>
        <w:pStyle w:val="ListBullet"/>
        <w:tabs>
          <w:tab w:val="clear" w:pos="643"/>
        </w:tabs>
        <w:ind w:left="426" w:hanging="426"/>
      </w:pPr>
      <w:r>
        <w:t xml:space="preserve">Women with risk factors for EOGBSD or with Group B </w:t>
      </w:r>
      <w:proofErr w:type="spellStart"/>
      <w:r>
        <w:t>Strepococcal</w:t>
      </w:r>
      <w:proofErr w:type="spellEnd"/>
      <w:r>
        <w:t xml:space="preserve"> (GBS) positive screening should be offered induction of labour and intrapartum antibiotic prophylaxis without delay after a diagnosis of ruptured membranes.</w:t>
      </w:r>
    </w:p>
    <w:p w14:paraId="593B7955" w14:textId="77777777" w:rsidR="00DB20BE" w:rsidRPr="00971306" w:rsidRDefault="00DB20BE" w:rsidP="00DB20BE">
      <w:pPr>
        <w:pStyle w:val="ListBullet"/>
        <w:tabs>
          <w:tab w:val="clear" w:pos="643"/>
        </w:tabs>
        <w:ind w:left="426" w:hanging="426"/>
      </w:pPr>
      <w:r w:rsidRPr="00971306">
        <w:t>For women with known penicillin allergy, the clinician must request clindamycin sensitivity testing on pathology form at time of screening culture.</w:t>
      </w:r>
    </w:p>
    <w:p w14:paraId="59AA8460" w14:textId="77777777" w:rsidR="00DB20BE" w:rsidRDefault="00DB20BE" w:rsidP="00DB20BE">
      <w:pPr>
        <w:pStyle w:val="ListBullet"/>
        <w:tabs>
          <w:tab w:val="clear" w:pos="643"/>
        </w:tabs>
        <w:ind w:left="426" w:hanging="426"/>
      </w:pPr>
      <w:r w:rsidRPr="00971306">
        <w:t>Babies with a sibling affected by EOGBSD should be commenced on GBS specific intravenous (IV) antibiotics regardless of intrapartum antibiotic administration or clinical status.</w:t>
      </w:r>
    </w:p>
    <w:p w14:paraId="7DA53030" w14:textId="77777777" w:rsidR="00DB20BE" w:rsidRDefault="00DB20BE" w:rsidP="00DB20BE">
      <w:pPr>
        <w:rPr>
          <w:rFonts w:cs="Arial"/>
          <w:b/>
          <w:szCs w:val="24"/>
        </w:rPr>
      </w:pPr>
    </w:p>
    <w:p w14:paraId="45368F0F" w14:textId="77777777" w:rsidR="00DB20BE" w:rsidRPr="009121F9" w:rsidRDefault="00DB20BE" w:rsidP="00DB20BE">
      <w:pPr>
        <w:jc w:val="right"/>
        <w:rPr>
          <w:rFonts w:cs="Arial"/>
          <w:b/>
          <w:szCs w:val="24"/>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DB20BE" w:rsidRPr="00CD1C0E" w14:paraId="7C37D59F" w14:textId="77777777" w:rsidTr="001E0431">
        <w:trPr>
          <w:cantSplit/>
          <w:trHeight w:val="285"/>
        </w:trPr>
        <w:tc>
          <w:tcPr>
            <w:tcW w:w="9158" w:type="dxa"/>
            <w:shd w:val="clear" w:color="auto" w:fill="A6A6A6" w:themeFill="background1" w:themeFillShade="A6"/>
          </w:tcPr>
          <w:p w14:paraId="591B0266" w14:textId="77777777" w:rsidR="00DB20BE" w:rsidRPr="003D2D06" w:rsidRDefault="00DB20BE" w:rsidP="001E0431">
            <w:pPr>
              <w:pStyle w:val="Heading1"/>
            </w:pPr>
            <w:bookmarkStart w:id="12" w:name="_Toc389473277"/>
            <w:bookmarkStart w:id="13" w:name="_Toc164668234"/>
            <w:r w:rsidRPr="003D2D06">
              <w:t>Scope</w:t>
            </w:r>
            <w:bookmarkEnd w:id="12"/>
            <w:bookmarkEnd w:id="13"/>
          </w:p>
        </w:tc>
      </w:tr>
    </w:tbl>
    <w:p w14:paraId="050B3B69" w14:textId="77777777" w:rsidR="00DB20BE" w:rsidRPr="00CD1C0E" w:rsidRDefault="00DB20BE" w:rsidP="00DB20BE">
      <w:pPr>
        <w:rPr>
          <w:szCs w:val="24"/>
        </w:rPr>
      </w:pPr>
    </w:p>
    <w:p w14:paraId="1AF2EE5C" w14:textId="77777777" w:rsidR="00DB20BE" w:rsidRPr="00D54D9A" w:rsidRDefault="00DB20BE" w:rsidP="00DB20BE">
      <w:r>
        <w:t>This document pertains</w:t>
      </w:r>
      <w:r w:rsidRPr="00D54D9A">
        <w:t xml:space="preserve"> to women</w:t>
      </w:r>
      <w:r>
        <w:t xml:space="preserve"> and babies</w:t>
      </w:r>
      <w:r w:rsidRPr="00D54D9A">
        <w:t xml:space="preserve"> in the antepartum, </w:t>
      </w:r>
      <w:proofErr w:type="gramStart"/>
      <w:r w:rsidRPr="00D54D9A">
        <w:t>intrapartum</w:t>
      </w:r>
      <w:proofErr w:type="gramEnd"/>
      <w:r w:rsidRPr="00D54D9A">
        <w:t xml:space="preserve"> and postpartum periods who have </w:t>
      </w:r>
      <w:r>
        <w:t xml:space="preserve">risk factors for developing EOGBSD or who have </w:t>
      </w:r>
      <w:r w:rsidRPr="00D54D9A">
        <w:t xml:space="preserve">been </w:t>
      </w:r>
      <w:r>
        <w:t xml:space="preserve">found to be positive for GBS after culture-based screening </w:t>
      </w:r>
      <w:r w:rsidRPr="00D54D9A">
        <w:t xml:space="preserve">and </w:t>
      </w:r>
      <w:r>
        <w:t xml:space="preserve">for whom intrapartum chemoprophylaxis is recommended.  </w:t>
      </w:r>
      <w:r w:rsidRPr="00D54D9A">
        <w:t xml:space="preserve">This document </w:t>
      </w:r>
      <w:r>
        <w:t xml:space="preserve">also </w:t>
      </w:r>
      <w:r w:rsidRPr="00D54D9A">
        <w:t xml:space="preserve">pertains to </w:t>
      </w:r>
      <w:r>
        <w:t>babies</w:t>
      </w:r>
      <w:r w:rsidRPr="00D54D9A">
        <w:t xml:space="preserve"> </w:t>
      </w:r>
      <w:r>
        <w:t xml:space="preserve">of </w:t>
      </w:r>
      <w:r w:rsidRPr="00D54D9A">
        <w:t xml:space="preserve">mothers who have </w:t>
      </w:r>
      <w:r>
        <w:t>risk factors for EOGBSD.</w:t>
      </w:r>
    </w:p>
    <w:p w14:paraId="74AEF046" w14:textId="77777777" w:rsidR="00DB20BE" w:rsidRDefault="00DB20BE" w:rsidP="00DB20BE"/>
    <w:p w14:paraId="764497C0" w14:textId="77777777" w:rsidR="00DB20BE" w:rsidRPr="00D54D9A" w:rsidRDefault="00DB20BE" w:rsidP="00DB20BE">
      <w:pPr>
        <w:pStyle w:val="ListBullet"/>
        <w:numPr>
          <w:ilvl w:val="0"/>
          <w:numId w:val="0"/>
        </w:numPr>
      </w:pPr>
      <w:r w:rsidRPr="00D54D9A">
        <w:t>This document applies to</w:t>
      </w:r>
      <w:r>
        <w:t xml:space="preserve"> the following Canberra Health Services (CHS) Network staff working within their scope of practice (CHS Network includes the inpatient facilities at Canberra Hospital, Clare Holland House, North Canberra Hospital, and University of Canberra Hospital and community </w:t>
      </w:r>
      <w:proofErr w:type="gramStart"/>
      <w:r>
        <w:t>based-services</w:t>
      </w:r>
      <w:proofErr w:type="gramEnd"/>
      <w:r>
        <w:t>.)</w:t>
      </w:r>
      <w:r w:rsidRPr="00D54D9A">
        <w:t>:</w:t>
      </w:r>
    </w:p>
    <w:p w14:paraId="407E975D" w14:textId="77777777" w:rsidR="00DB20BE" w:rsidRPr="00D54D9A" w:rsidRDefault="00DB20BE" w:rsidP="00DB20BE">
      <w:pPr>
        <w:pStyle w:val="ListBullet"/>
        <w:tabs>
          <w:tab w:val="clear" w:pos="643"/>
        </w:tabs>
        <w:ind w:left="426" w:hanging="426"/>
      </w:pPr>
      <w:r w:rsidRPr="00D54D9A">
        <w:t xml:space="preserve">Midwives and Nurses </w:t>
      </w:r>
    </w:p>
    <w:p w14:paraId="538192F1" w14:textId="77777777" w:rsidR="00DB20BE" w:rsidRPr="00D54D9A" w:rsidRDefault="00DB20BE" w:rsidP="00DB20BE">
      <w:pPr>
        <w:pStyle w:val="ListBullet"/>
        <w:tabs>
          <w:tab w:val="clear" w:pos="643"/>
        </w:tabs>
        <w:ind w:left="426" w:hanging="426"/>
      </w:pPr>
      <w:r w:rsidRPr="00D54D9A">
        <w:t>Medical Officers</w:t>
      </w:r>
    </w:p>
    <w:p w14:paraId="2CEEFE52" w14:textId="77777777" w:rsidR="00DB20BE" w:rsidRDefault="00DB20BE" w:rsidP="00DB20BE">
      <w:pPr>
        <w:pStyle w:val="ListBullet"/>
        <w:tabs>
          <w:tab w:val="clear" w:pos="643"/>
        </w:tabs>
        <w:ind w:left="426" w:hanging="426"/>
      </w:pPr>
      <w:r w:rsidRPr="00D54D9A">
        <w:t>Student</w:t>
      </w:r>
      <w:r>
        <w:t>s</w:t>
      </w:r>
      <w:r w:rsidRPr="00D54D9A">
        <w:t xml:space="preserve"> under direct supervision.</w:t>
      </w:r>
    </w:p>
    <w:p w14:paraId="679F504D" w14:textId="77777777" w:rsidR="00DB20BE" w:rsidRDefault="00DB20BE" w:rsidP="00DB20BE"/>
    <w:p w14:paraId="65D882DF" w14:textId="77777777" w:rsidR="00DB20BE" w:rsidRPr="00CD1C0E" w:rsidRDefault="00DB20BE" w:rsidP="00DB20BE">
      <w:pPr>
        <w:jc w:val="right"/>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DB20BE" w:rsidRPr="00CD1C0E" w14:paraId="27C12F36" w14:textId="77777777" w:rsidTr="001E0431">
        <w:trPr>
          <w:cantSplit/>
          <w:trHeight w:val="285"/>
        </w:trPr>
        <w:tc>
          <w:tcPr>
            <w:tcW w:w="9158" w:type="dxa"/>
            <w:shd w:val="clear" w:color="auto" w:fill="A6A6A6" w:themeFill="background1" w:themeFillShade="A6"/>
          </w:tcPr>
          <w:p w14:paraId="3E218A3E" w14:textId="77777777" w:rsidR="00DB20BE" w:rsidRPr="00C76688" w:rsidRDefault="00DB20BE" w:rsidP="001E0431">
            <w:pPr>
              <w:pStyle w:val="Heading1"/>
            </w:pPr>
            <w:bookmarkStart w:id="14" w:name="_Toc389473278"/>
            <w:bookmarkStart w:id="15" w:name="_Toc164668235"/>
            <w:r w:rsidRPr="00C76688">
              <w:t xml:space="preserve">Section 1 </w:t>
            </w:r>
            <w:proofErr w:type="gramStart"/>
            <w:r w:rsidRPr="00C76688">
              <w:t>–</w:t>
            </w:r>
            <w:r>
              <w:t xml:space="preserve"> </w:t>
            </w:r>
            <w:bookmarkEnd w:id="14"/>
            <w:r>
              <w:t xml:space="preserve"> Background</w:t>
            </w:r>
            <w:bookmarkEnd w:id="15"/>
            <w:proofErr w:type="gramEnd"/>
          </w:p>
        </w:tc>
      </w:tr>
    </w:tbl>
    <w:p w14:paraId="393CF76B" w14:textId="77777777" w:rsidR="00DB20BE" w:rsidRDefault="00DB20BE" w:rsidP="00DB20BE">
      <w:pPr>
        <w:outlineLvl w:val="0"/>
        <w:rPr>
          <w:szCs w:val="24"/>
        </w:rPr>
      </w:pPr>
    </w:p>
    <w:p w14:paraId="72ECA4AD" w14:textId="77777777" w:rsidR="00DB20BE" w:rsidRDefault="00DB20BE" w:rsidP="00DB20BE">
      <w:pPr>
        <w:pStyle w:val="ListParagraph"/>
        <w:ind w:left="0"/>
      </w:pPr>
      <w:r>
        <w:t xml:space="preserve">GBS is a common bacterium found in the gastrointestinal tract, </w:t>
      </w:r>
      <w:proofErr w:type="gramStart"/>
      <w:r>
        <w:t>vagina</w:t>
      </w:r>
      <w:proofErr w:type="gramEnd"/>
      <w:r>
        <w:t xml:space="preserve"> and urethra.</w:t>
      </w:r>
      <w:r w:rsidRPr="00F679A9">
        <w:t xml:space="preserve"> </w:t>
      </w:r>
      <w:r>
        <w:t>A</w:t>
      </w:r>
      <w:r w:rsidRPr="00F679A9">
        <w:t xml:space="preserve">pproximately 20-24% of </w:t>
      </w:r>
      <w:r>
        <w:t xml:space="preserve">Australian </w:t>
      </w:r>
      <w:r w:rsidRPr="00F679A9">
        <w:t xml:space="preserve">women will be asymptomatic carriers of </w:t>
      </w:r>
      <w:r>
        <w:t xml:space="preserve">GBS.  Colonisation rates vary and may be transient, </w:t>
      </w:r>
      <w:proofErr w:type="gramStart"/>
      <w:r>
        <w:t>intermittent</w:t>
      </w:r>
      <w:proofErr w:type="gramEnd"/>
      <w:r>
        <w:t xml:space="preserve"> or persistent.  Administration of </w:t>
      </w:r>
      <w:r>
        <w:lastRenderedPageBreak/>
        <w:t>Intrapartum antibiotic prophylaxis to women at risk of transmitting GBS to their baby does not prevent late onset GBS disease but substantially reduces the rate of early onset GBS disease (EOGBSD). Prophylactic intrapartum antibiotic administration</w:t>
      </w:r>
      <w:r w:rsidRPr="00673AB4">
        <w:rPr>
          <w:rFonts w:cs="Arial"/>
          <w:szCs w:val="24"/>
        </w:rPr>
        <w:t xml:space="preserve"> is recommended </w:t>
      </w:r>
      <w:r>
        <w:rPr>
          <w:rFonts w:cs="Arial"/>
          <w:szCs w:val="24"/>
        </w:rPr>
        <w:t>for</w:t>
      </w:r>
      <w:r w:rsidRPr="00673AB4">
        <w:rPr>
          <w:rFonts w:cs="Arial"/>
          <w:szCs w:val="24"/>
        </w:rPr>
        <w:t xml:space="preserve"> women with identified risk factors and to those who </w:t>
      </w:r>
      <w:r>
        <w:rPr>
          <w:rFonts w:cs="Arial"/>
          <w:szCs w:val="24"/>
        </w:rPr>
        <w:t xml:space="preserve">test </w:t>
      </w:r>
      <w:r w:rsidRPr="00673AB4">
        <w:rPr>
          <w:rFonts w:cs="Arial"/>
          <w:szCs w:val="24"/>
        </w:rPr>
        <w:t>culture positive for GBS (in the routine antenatal culture-based screening</w:t>
      </w:r>
      <w:r>
        <w:rPr>
          <w:rFonts w:cs="Arial"/>
          <w:szCs w:val="24"/>
        </w:rPr>
        <w:t xml:space="preserve">). </w:t>
      </w:r>
      <w:r>
        <w:t>Prophylactic intrapartum antibiotic is associated with infant gut microbiota dysbiosis, breastfeeding modifies some of these effects, however long-term outcomes require further research.</w:t>
      </w:r>
    </w:p>
    <w:p w14:paraId="7B7674C2" w14:textId="77777777" w:rsidR="00DB20BE" w:rsidRDefault="00DB20BE" w:rsidP="00DB20BE"/>
    <w:p w14:paraId="0A6A36AF" w14:textId="77777777" w:rsidR="00DB20BE" w:rsidRPr="00D61F63" w:rsidRDefault="00DB20BE" w:rsidP="00DB20BE">
      <w:pPr>
        <w:pStyle w:val="ListParagraph"/>
        <w:numPr>
          <w:ilvl w:val="0"/>
          <w:numId w:val="11"/>
        </w:numPr>
        <w:ind w:left="426" w:hanging="426"/>
        <w:rPr>
          <w:rFonts w:cs="Arial"/>
          <w:szCs w:val="24"/>
        </w:rPr>
      </w:pPr>
      <w:r>
        <w:rPr>
          <w:color w:val="000000"/>
          <w:szCs w:val="24"/>
          <w:lang w:eastAsia="en-AU"/>
        </w:rPr>
        <w:t>In the absence of antibiotic prophylaxis approximately 40-50%</w:t>
      </w:r>
      <w:r w:rsidRPr="00673AB4">
        <w:rPr>
          <w:color w:val="000000"/>
          <w:szCs w:val="24"/>
          <w:lang w:eastAsia="en-AU"/>
        </w:rPr>
        <w:t xml:space="preserve"> of </w:t>
      </w:r>
      <w:r>
        <w:rPr>
          <w:color w:val="000000"/>
          <w:szCs w:val="24"/>
          <w:lang w:eastAsia="en-AU"/>
        </w:rPr>
        <w:t xml:space="preserve">colonised women will transmit </w:t>
      </w:r>
      <w:r w:rsidRPr="00673AB4">
        <w:rPr>
          <w:color w:val="000000"/>
          <w:szCs w:val="24"/>
          <w:lang w:eastAsia="en-AU"/>
        </w:rPr>
        <w:t xml:space="preserve">GBS </w:t>
      </w:r>
      <w:r>
        <w:rPr>
          <w:color w:val="000000"/>
          <w:szCs w:val="24"/>
          <w:lang w:eastAsia="en-AU"/>
        </w:rPr>
        <w:t>to their babies. A</w:t>
      </w:r>
      <w:r w:rsidRPr="00673AB4">
        <w:rPr>
          <w:color w:val="000000"/>
          <w:szCs w:val="24"/>
          <w:lang w:eastAsia="en-AU"/>
        </w:rPr>
        <w:t>pproximately 1</w:t>
      </w:r>
      <w:r>
        <w:rPr>
          <w:color w:val="000000"/>
          <w:szCs w:val="24"/>
          <w:lang w:eastAsia="en-AU"/>
        </w:rPr>
        <w:t>-2</w:t>
      </w:r>
      <w:r w:rsidRPr="00673AB4">
        <w:rPr>
          <w:color w:val="000000"/>
          <w:szCs w:val="24"/>
          <w:lang w:eastAsia="en-AU"/>
        </w:rPr>
        <w:t xml:space="preserve">% of these babies will go on to develop </w:t>
      </w:r>
      <w:r>
        <w:rPr>
          <w:color w:val="000000"/>
          <w:szCs w:val="24"/>
          <w:lang w:eastAsia="en-AU"/>
        </w:rPr>
        <w:t xml:space="preserve">early onset sepsis, neonatal pneumonia and </w:t>
      </w:r>
      <w:proofErr w:type="gramStart"/>
      <w:r>
        <w:rPr>
          <w:color w:val="000000"/>
          <w:szCs w:val="24"/>
          <w:lang w:eastAsia="en-AU"/>
        </w:rPr>
        <w:t>meningitis</w:t>
      </w:r>
      <w:proofErr w:type="gramEnd"/>
      <w:r>
        <w:rPr>
          <w:color w:val="000000"/>
          <w:szCs w:val="24"/>
          <w:lang w:eastAsia="en-AU"/>
        </w:rPr>
        <w:t xml:space="preserve"> </w:t>
      </w:r>
    </w:p>
    <w:p w14:paraId="27C082F6" w14:textId="77777777" w:rsidR="00DB20BE" w:rsidRPr="00D61F63" w:rsidRDefault="00DB20BE" w:rsidP="00DB20BE">
      <w:pPr>
        <w:pStyle w:val="ListParagraph"/>
        <w:numPr>
          <w:ilvl w:val="0"/>
          <w:numId w:val="11"/>
        </w:numPr>
        <w:ind w:left="426" w:hanging="426"/>
        <w:rPr>
          <w:rFonts w:cs="Arial"/>
          <w:szCs w:val="24"/>
        </w:rPr>
      </w:pPr>
      <w:r>
        <w:t xml:space="preserve">Approximately 90- 95% of neonates with EOGBS sepsis, irrespective of whether the mother received intrapartum chemoprophylaxis or not, manifest within the first 24 hours of </w:t>
      </w:r>
      <w:proofErr w:type="gramStart"/>
      <w:r>
        <w:t>life</w:t>
      </w:r>
      <w:proofErr w:type="gramEnd"/>
    </w:p>
    <w:p w14:paraId="1F6CD15D" w14:textId="77777777" w:rsidR="00DB20BE" w:rsidRPr="00F679A9" w:rsidRDefault="00DB20BE" w:rsidP="00DB20BE">
      <w:pPr>
        <w:pStyle w:val="ListParagraph"/>
        <w:numPr>
          <w:ilvl w:val="0"/>
          <w:numId w:val="11"/>
        </w:numPr>
        <w:ind w:left="426" w:hanging="426"/>
        <w:rPr>
          <w:rFonts w:cs="Arial"/>
          <w:szCs w:val="24"/>
        </w:rPr>
      </w:pPr>
      <w:r>
        <w:t xml:space="preserve">About 5% of cases may manifest within the following 24 hours and rarely, up to 6 days of </w:t>
      </w:r>
      <w:proofErr w:type="gramStart"/>
      <w:r>
        <w:t>life</w:t>
      </w:r>
      <w:proofErr w:type="gramEnd"/>
    </w:p>
    <w:p w14:paraId="2CA8A6E4" w14:textId="77777777" w:rsidR="00DB20BE" w:rsidRPr="00673AB4" w:rsidRDefault="00DB20BE" w:rsidP="00DB20BE">
      <w:pPr>
        <w:pStyle w:val="ListParagraph"/>
        <w:numPr>
          <w:ilvl w:val="0"/>
          <w:numId w:val="11"/>
        </w:numPr>
        <w:ind w:left="426" w:hanging="426"/>
        <w:rPr>
          <w:rFonts w:cs="Arial"/>
          <w:szCs w:val="24"/>
        </w:rPr>
      </w:pPr>
      <w:r>
        <w:rPr>
          <w:color w:val="000000"/>
          <w:szCs w:val="24"/>
          <w:lang w:eastAsia="en-AU"/>
        </w:rPr>
        <w:t xml:space="preserve">Preterm babies are four times more likely to </w:t>
      </w:r>
      <w:r w:rsidRPr="00673AB4">
        <w:rPr>
          <w:color w:val="000000"/>
          <w:szCs w:val="24"/>
          <w:lang w:eastAsia="en-AU"/>
        </w:rPr>
        <w:t>develop EOGBSD than full-term ba</w:t>
      </w:r>
      <w:r>
        <w:rPr>
          <w:color w:val="000000"/>
          <w:szCs w:val="24"/>
          <w:lang w:eastAsia="en-AU"/>
        </w:rPr>
        <w:t>bies</w:t>
      </w:r>
      <w:r w:rsidRPr="00673AB4">
        <w:rPr>
          <w:color w:val="000000"/>
          <w:szCs w:val="24"/>
          <w:lang w:eastAsia="en-AU"/>
        </w:rPr>
        <w:t xml:space="preserve"> as </w:t>
      </w:r>
      <w:r>
        <w:rPr>
          <w:color w:val="000000"/>
          <w:szCs w:val="24"/>
          <w:lang w:eastAsia="en-AU"/>
        </w:rPr>
        <w:t xml:space="preserve">they </w:t>
      </w:r>
      <w:r w:rsidRPr="00673AB4">
        <w:rPr>
          <w:color w:val="000000"/>
          <w:szCs w:val="24"/>
          <w:lang w:eastAsia="en-AU"/>
        </w:rPr>
        <w:t>are immunologically more prone to sepsis</w:t>
      </w:r>
      <w:r>
        <w:rPr>
          <w:color w:val="000000"/>
          <w:szCs w:val="24"/>
          <w:lang w:eastAsia="en-AU"/>
        </w:rPr>
        <w:t xml:space="preserve">.  The mortality rate for EOGBS in preterm babies is about 20% which is ten times more compared to term </w:t>
      </w:r>
      <w:proofErr w:type="gramStart"/>
      <w:r>
        <w:rPr>
          <w:color w:val="000000"/>
          <w:szCs w:val="24"/>
          <w:lang w:eastAsia="en-AU"/>
        </w:rPr>
        <w:t>infants</w:t>
      </w:r>
      <w:proofErr w:type="gramEnd"/>
      <w:r>
        <w:rPr>
          <w:color w:val="000000"/>
          <w:szCs w:val="24"/>
          <w:lang w:eastAsia="en-AU"/>
        </w:rPr>
        <w:t xml:space="preserve"> </w:t>
      </w:r>
    </w:p>
    <w:p w14:paraId="5D1744F4" w14:textId="77777777" w:rsidR="00DB20BE" w:rsidRDefault="00DB20BE" w:rsidP="00DB20BE">
      <w:pPr>
        <w:pStyle w:val="ListParagraph"/>
        <w:numPr>
          <w:ilvl w:val="0"/>
          <w:numId w:val="11"/>
        </w:numPr>
        <w:ind w:left="426" w:hanging="426"/>
        <w:rPr>
          <w:rFonts w:cs="Arial"/>
          <w:szCs w:val="24"/>
        </w:rPr>
      </w:pPr>
      <w:r w:rsidRPr="007E3BAC">
        <w:rPr>
          <w:rFonts w:cs="Arial"/>
          <w:szCs w:val="24"/>
        </w:rPr>
        <w:t xml:space="preserve">Women who </w:t>
      </w:r>
      <w:r>
        <w:rPr>
          <w:rFonts w:cs="Arial"/>
          <w:szCs w:val="24"/>
        </w:rPr>
        <w:t xml:space="preserve">decline </w:t>
      </w:r>
      <w:r w:rsidRPr="007E3BAC">
        <w:rPr>
          <w:rFonts w:cs="Arial"/>
          <w:szCs w:val="24"/>
        </w:rPr>
        <w:t xml:space="preserve">screening or are known to be GBS negative </w:t>
      </w:r>
      <w:r>
        <w:rPr>
          <w:rFonts w:cs="Arial"/>
          <w:szCs w:val="24"/>
        </w:rPr>
        <w:t xml:space="preserve">are </w:t>
      </w:r>
      <w:r w:rsidRPr="007E3BAC">
        <w:rPr>
          <w:rFonts w:cs="Arial"/>
          <w:szCs w:val="24"/>
        </w:rPr>
        <w:t>manage</w:t>
      </w:r>
      <w:r>
        <w:rPr>
          <w:rFonts w:cs="Arial"/>
          <w:szCs w:val="24"/>
        </w:rPr>
        <w:t>d</w:t>
      </w:r>
      <w:r w:rsidRPr="007E3BAC">
        <w:rPr>
          <w:rFonts w:cs="Arial"/>
          <w:szCs w:val="24"/>
        </w:rPr>
        <w:t xml:space="preserve"> in a risk-based approach. </w:t>
      </w:r>
    </w:p>
    <w:p w14:paraId="60BD3375" w14:textId="77777777" w:rsidR="00DB20BE" w:rsidRPr="001A0053" w:rsidRDefault="00DB20BE" w:rsidP="00DB20BE">
      <w:pPr>
        <w:rPr>
          <w:i/>
        </w:rPr>
      </w:pPr>
    </w:p>
    <w:tbl>
      <w:tblPr>
        <w:tblStyle w:val="TableGrid"/>
        <w:tblW w:w="0" w:type="auto"/>
        <w:tblLook w:val="04A0" w:firstRow="1" w:lastRow="0" w:firstColumn="1" w:lastColumn="0" w:noHBand="0" w:noVBand="1"/>
      </w:tblPr>
      <w:tblGrid>
        <w:gridCol w:w="9016"/>
      </w:tblGrid>
      <w:tr w:rsidR="00DB20BE" w14:paraId="4CA266A3" w14:textId="77777777" w:rsidTr="001E0431">
        <w:trPr>
          <w:trHeight w:val="3251"/>
        </w:trPr>
        <w:tc>
          <w:tcPr>
            <w:tcW w:w="9016" w:type="dxa"/>
          </w:tcPr>
          <w:p w14:paraId="556C0225" w14:textId="77777777" w:rsidR="00DB20BE" w:rsidRDefault="00DB20BE" w:rsidP="001E0431">
            <w:pPr>
              <w:pStyle w:val="ListParagraph"/>
              <w:ind w:left="0"/>
              <w:rPr>
                <w:rFonts w:cs="Arial"/>
                <w:b/>
                <w:bCs/>
                <w:szCs w:val="24"/>
              </w:rPr>
            </w:pPr>
            <w:r>
              <w:rPr>
                <w:rFonts w:cs="Arial"/>
                <w:b/>
                <w:bCs/>
                <w:szCs w:val="24"/>
              </w:rPr>
              <w:t xml:space="preserve">        </w:t>
            </w:r>
            <w:bookmarkStart w:id="16" w:name="_Hlk89683685"/>
          </w:p>
          <w:p w14:paraId="2B9B1BD6" w14:textId="77777777" w:rsidR="00DB20BE" w:rsidRDefault="00DB20BE" w:rsidP="001E0431">
            <w:pPr>
              <w:pStyle w:val="ListParagraph"/>
              <w:ind w:left="0"/>
              <w:rPr>
                <w:rFonts w:cs="Arial"/>
                <w:b/>
                <w:bCs/>
                <w:sz w:val="28"/>
                <w:szCs w:val="28"/>
              </w:rPr>
            </w:pPr>
            <w:r w:rsidRPr="00104D13">
              <w:rPr>
                <w:rFonts w:cs="Arial"/>
                <w:b/>
                <w:bCs/>
                <w:sz w:val="28"/>
                <w:szCs w:val="28"/>
              </w:rPr>
              <w:t xml:space="preserve">Clinical risk indicators for </w:t>
            </w:r>
            <w:r>
              <w:rPr>
                <w:rFonts w:cs="Arial"/>
                <w:b/>
                <w:bCs/>
                <w:sz w:val="28"/>
                <w:szCs w:val="28"/>
              </w:rPr>
              <w:t xml:space="preserve">development of </w:t>
            </w:r>
            <w:r w:rsidRPr="00104D13">
              <w:rPr>
                <w:rFonts w:cs="Arial"/>
                <w:b/>
                <w:bCs/>
                <w:sz w:val="28"/>
                <w:szCs w:val="28"/>
              </w:rPr>
              <w:t>neonatal EOGBS</w:t>
            </w:r>
          </w:p>
          <w:p w14:paraId="7887A4C6" w14:textId="77777777" w:rsidR="00DB20BE" w:rsidRPr="00104D13" w:rsidRDefault="00DB20BE" w:rsidP="001E0431">
            <w:pPr>
              <w:pStyle w:val="ListParagraph"/>
              <w:ind w:left="0"/>
              <w:rPr>
                <w:rFonts w:cs="Arial"/>
                <w:b/>
                <w:bCs/>
                <w:sz w:val="28"/>
                <w:szCs w:val="28"/>
              </w:rPr>
            </w:pPr>
          </w:p>
          <w:p w14:paraId="06C93D70" w14:textId="77777777" w:rsidR="00DB20BE" w:rsidRPr="007E3BAC" w:rsidRDefault="00DB20BE" w:rsidP="001E0431">
            <w:pPr>
              <w:pStyle w:val="ListParagraph"/>
              <w:ind w:left="284"/>
              <w:rPr>
                <w:rFonts w:cs="Arial"/>
                <w:szCs w:val="24"/>
              </w:rPr>
            </w:pPr>
            <w:r w:rsidRPr="00104D13">
              <w:rPr>
                <w:rFonts w:cs="Arial"/>
                <w:b/>
                <w:bCs/>
                <w:szCs w:val="24"/>
              </w:rPr>
              <w:t>Wom</w:t>
            </w:r>
            <w:r>
              <w:rPr>
                <w:rFonts w:cs="Arial"/>
                <w:b/>
                <w:bCs/>
                <w:szCs w:val="24"/>
              </w:rPr>
              <w:t>e</w:t>
            </w:r>
            <w:r w:rsidRPr="00104D13">
              <w:rPr>
                <w:rFonts w:cs="Arial"/>
                <w:b/>
                <w:bCs/>
                <w:szCs w:val="24"/>
              </w:rPr>
              <w:t xml:space="preserve">n with the following risk factors should receive </w:t>
            </w:r>
            <w:r>
              <w:rPr>
                <w:rFonts w:cs="Arial"/>
                <w:b/>
                <w:bCs/>
                <w:szCs w:val="24"/>
              </w:rPr>
              <w:t>Intravenous Antibiotic Prophylaxis</w:t>
            </w:r>
            <w:r w:rsidRPr="007E3BAC">
              <w:rPr>
                <w:rFonts w:cs="Arial"/>
                <w:szCs w:val="24"/>
              </w:rPr>
              <w:t xml:space="preserve">: </w:t>
            </w:r>
          </w:p>
          <w:p w14:paraId="7146AEC0" w14:textId="77777777" w:rsidR="00DB20BE" w:rsidRDefault="00DB20BE" w:rsidP="001E0431">
            <w:pPr>
              <w:pStyle w:val="ListBullet"/>
              <w:tabs>
                <w:tab w:val="clear" w:pos="643"/>
              </w:tabs>
              <w:ind w:left="731" w:hanging="447"/>
            </w:pPr>
            <w:r>
              <w:t>A positive maternal swab culture for GBS in current pregnancy</w:t>
            </w:r>
          </w:p>
          <w:p w14:paraId="3FAAFD60" w14:textId="77777777" w:rsidR="00DB20BE" w:rsidRDefault="00DB20BE" w:rsidP="001E0431">
            <w:pPr>
              <w:pStyle w:val="ListBullet"/>
              <w:tabs>
                <w:tab w:val="clear" w:pos="643"/>
              </w:tabs>
              <w:ind w:left="731" w:hanging="447"/>
            </w:pPr>
            <w:r>
              <w:t>GBS bacteriuria during the current pregnancy</w:t>
            </w:r>
          </w:p>
          <w:p w14:paraId="1DC72F02" w14:textId="77777777" w:rsidR="00DB20BE" w:rsidRPr="00176B52" w:rsidRDefault="00DB20BE" w:rsidP="001E0431">
            <w:pPr>
              <w:pStyle w:val="ListBullet"/>
              <w:tabs>
                <w:tab w:val="clear" w:pos="643"/>
              </w:tabs>
              <w:ind w:left="731" w:hanging="447"/>
              <w:rPr>
                <w:rFonts w:cs="Arial"/>
                <w:szCs w:val="24"/>
              </w:rPr>
            </w:pPr>
            <w:r>
              <w:t>A previous neonate with early or late onset GBS disease</w:t>
            </w:r>
          </w:p>
          <w:p w14:paraId="7D631F1D" w14:textId="77777777" w:rsidR="00DB20BE" w:rsidRDefault="00DB20BE" w:rsidP="001E0431">
            <w:pPr>
              <w:pStyle w:val="ListBullet"/>
              <w:tabs>
                <w:tab w:val="clear" w:pos="643"/>
              </w:tabs>
              <w:ind w:left="731" w:hanging="447"/>
            </w:pPr>
            <w:r>
              <w:t>Clinical diagnosis of chorioamnionitis</w:t>
            </w:r>
          </w:p>
          <w:p w14:paraId="5EAD8F00" w14:textId="77777777" w:rsidR="00DB20BE" w:rsidRDefault="00DB20BE" w:rsidP="001E0431">
            <w:pPr>
              <w:pStyle w:val="ListBullet"/>
              <w:tabs>
                <w:tab w:val="clear" w:pos="643"/>
              </w:tabs>
              <w:ind w:left="731" w:hanging="447"/>
            </w:pPr>
            <w:r>
              <w:t xml:space="preserve">If any of the following are present irrespective of GBS status – </w:t>
            </w:r>
          </w:p>
          <w:p w14:paraId="4353C964" w14:textId="77777777" w:rsidR="00DB20BE" w:rsidRPr="001815F1" w:rsidRDefault="00DB20BE" w:rsidP="001E0431">
            <w:pPr>
              <w:pStyle w:val="ListParagraph"/>
              <w:numPr>
                <w:ilvl w:val="0"/>
                <w:numId w:val="12"/>
              </w:numPr>
              <w:ind w:left="1156" w:hanging="436"/>
              <w:rPr>
                <w:rFonts w:cs="Arial"/>
                <w:szCs w:val="24"/>
              </w:rPr>
            </w:pPr>
            <w:r>
              <w:t>the onset of premature labour &lt; 37 weeks gestation</w:t>
            </w:r>
          </w:p>
          <w:p w14:paraId="0061EBBB" w14:textId="77777777" w:rsidR="00DB20BE" w:rsidRPr="00176B52" w:rsidRDefault="00DB20BE" w:rsidP="001E0431">
            <w:pPr>
              <w:pStyle w:val="ListParagraph"/>
              <w:numPr>
                <w:ilvl w:val="0"/>
                <w:numId w:val="12"/>
              </w:numPr>
              <w:ind w:left="1156" w:hanging="436"/>
              <w:rPr>
                <w:rFonts w:cs="Arial"/>
                <w:szCs w:val="24"/>
              </w:rPr>
            </w:pPr>
            <w:r>
              <w:t xml:space="preserve">rupture membranes for ≥ 18 </w:t>
            </w:r>
            <w:proofErr w:type="gramStart"/>
            <w:r>
              <w:t>hours</w:t>
            </w:r>
            <w:proofErr w:type="gramEnd"/>
          </w:p>
          <w:p w14:paraId="479D15B6" w14:textId="77777777" w:rsidR="00DB20BE" w:rsidRDefault="00DB20BE" w:rsidP="001E0431">
            <w:pPr>
              <w:pStyle w:val="ListParagraph"/>
              <w:numPr>
                <w:ilvl w:val="0"/>
                <w:numId w:val="12"/>
              </w:numPr>
              <w:ind w:left="1156" w:hanging="436"/>
              <w:rPr>
                <w:rFonts w:cs="Arial"/>
                <w:szCs w:val="24"/>
              </w:rPr>
            </w:pPr>
            <w:r>
              <w:t>intrapartum fever of ≥ 38</w:t>
            </w:r>
            <w:r>
              <w:sym w:font="Symbol" w:char="F0B0"/>
            </w:r>
            <w:r>
              <w:t xml:space="preserve"> C.</w:t>
            </w:r>
          </w:p>
          <w:bookmarkEnd w:id="16"/>
          <w:p w14:paraId="7056CA79" w14:textId="77777777" w:rsidR="00DB20BE" w:rsidRDefault="00DB20BE" w:rsidP="001E0431"/>
        </w:tc>
      </w:tr>
    </w:tbl>
    <w:p w14:paraId="0D485D99" w14:textId="77777777" w:rsidR="00DB20BE" w:rsidRDefault="00DB20BE" w:rsidP="00DB20BE">
      <w:pPr>
        <w:rPr>
          <w:rFonts w:cs="Arial"/>
          <w:i/>
          <w:szCs w:val="24"/>
        </w:rPr>
      </w:pPr>
    </w:p>
    <w:p w14:paraId="2C3B7D04" w14:textId="77777777" w:rsidR="00DB20BE" w:rsidRDefault="00DB20BE" w:rsidP="00DB20BE">
      <w:pPr>
        <w:jc w:val="right"/>
        <w:rPr>
          <w:rFonts w:cs="Arial"/>
          <w:i/>
          <w:szCs w:val="24"/>
        </w:rPr>
      </w:pPr>
      <w:r>
        <w:rPr>
          <w:rFonts w:cs="Arial"/>
          <w:i/>
          <w:szCs w:val="24"/>
        </w:rPr>
        <w:t xml:space="preserve"> </w:t>
      </w:r>
      <w:hyperlink w:anchor="Contents" w:history="1">
        <w:r w:rsidRPr="00590902">
          <w:rPr>
            <w:rStyle w:val="Hyperlink"/>
            <w:rFonts w:cs="Arial"/>
            <w:i/>
            <w:szCs w:val="24"/>
          </w:rPr>
          <w:t>Back to Table of Contents</w:t>
        </w:r>
      </w:hyperlink>
      <w:r>
        <w:rPr>
          <w:rFonts w:cs="Arial"/>
          <w:i/>
          <w:szCs w:val="24"/>
        </w:rPr>
        <w:t xml:space="preserve"> </w:t>
      </w:r>
    </w:p>
    <w:p w14:paraId="0137D268" w14:textId="77777777" w:rsidR="00DB20BE" w:rsidRDefault="00DB20BE" w:rsidP="00DB20BE">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DB20BE" w:rsidRPr="00CD1C0E" w14:paraId="7EFA4931" w14:textId="77777777" w:rsidTr="001E0431">
        <w:trPr>
          <w:cantSplit/>
          <w:trHeight w:val="285"/>
        </w:trPr>
        <w:tc>
          <w:tcPr>
            <w:tcW w:w="9158" w:type="dxa"/>
            <w:shd w:val="clear" w:color="auto" w:fill="A6A6A6" w:themeFill="background1" w:themeFillShade="A6"/>
          </w:tcPr>
          <w:p w14:paraId="558F8BFD" w14:textId="77777777" w:rsidR="00DB20BE" w:rsidRPr="00C76688" w:rsidRDefault="00DB20BE" w:rsidP="001E0431">
            <w:pPr>
              <w:pStyle w:val="Heading1"/>
            </w:pPr>
            <w:bookmarkStart w:id="17" w:name="_Toc389473281"/>
            <w:bookmarkStart w:id="18" w:name="_Toc164668236"/>
            <w:r w:rsidRPr="00C76688">
              <w:t>Section 2 –</w:t>
            </w:r>
            <w:bookmarkEnd w:id="17"/>
            <w:r>
              <w:t xml:space="preserve"> Routine Antepartum Screening</w:t>
            </w:r>
            <w:bookmarkEnd w:id="18"/>
          </w:p>
        </w:tc>
      </w:tr>
    </w:tbl>
    <w:p w14:paraId="62D6D1C3" w14:textId="77777777" w:rsidR="00DB20BE" w:rsidRDefault="00DB20BE" w:rsidP="00DB20BE"/>
    <w:p w14:paraId="663A1482" w14:textId="77777777" w:rsidR="00DB20BE" w:rsidRDefault="00DB20BE" w:rsidP="00DB20BE">
      <w:r>
        <w:t xml:space="preserve">Routine antepartum screening recommends all pregnant women between </w:t>
      </w:r>
      <w:proofErr w:type="gramStart"/>
      <w:r>
        <w:t>35+0 and 37+0 weeks’</w:t>
      </w:r>
      <w:proofErr w:type="gramEnd"/>
      <w:r>
        <w:t xml:space="preserve"> gestation are offered a routine antenatal culture for GBS colonisation.</w:t>
      </w:r>
    </w:p>
    <w:p w14:paraId="5D31A3EE" w14:textId="77777777" w:rsidR="00DB20BE" w:rsidRPr="00104D13" w:rsidRDefault="00DB20BE" w:rsidP="00DB20BE"/>
    <w:p w14:paraId="546AC018" w14:textId="77777777" w:rsidR="00DB20BE" w:rsidRPr="00B6628D" w:rsidRDefault="00DB20BE" w:rsidP="00DB20BE">
      <w:pPr>
        <w:numPr>
          <w:ilvl w:val="0"/>
          <w:numId w:val="13"/>
        </w:numPr>
        <w:ind w:left="426" w:hanging="426"/>
      </w:pPr>
      <w:r w:rsidRPr="00176B52">
        <w:rPr>
          <w:b/>
          <w:bCs/>
        </w:rPr>
        <w:lastRenderedPageBreak/>
        <w:t xml:space="preserve">Discuss </w:t>
      </w:r>
      <w:r>
        <w:rPr>
          <w:b/>
          <w:bCs/>
        </w:rPr>
        <w:t>risk factors with the pregnant woman:</w:t>
      </w:r>
    </w:p>
    <w:p w14:paraId="1E58425F" w14:textId="77777777" w:rsidR="00DB20BE" w:rsidRDefault="00DB20BE" w:rsidP="00DB20BE">
      <w:pPr>
        <w:pStyle w:val="ListParagraph"/>
        <w:numPr>
          <w:ilvl w:val="0"/>
          <w:numId w:val="27"/>
        </w:numPr>
        <w:ind w:left="851" w:hanging="425"/>
      </w:pPr>
      <w:r>
        <w:t xml:space="preserve">Discuss rationale behind </w:t>
      </w:r>
      <w:proofErr w:type="gramStart"/>
      <w:r>
        <w:t>screening</w:t>
      </w:r>
      <w:proofErr w:type="gramEnd"/>
    </w:p>
    <w:p w14:paraId="3AF6EE55" w14:textId="77777777" w:rsidR="00DB20BE" w:rsidRDefault="00DB20BE" w:rsidP="00DB20BE">
      <w:pPr>
        <w:pStyle w:val="ListParagraph"/>
        <w:numPr>
          <w:ilvl w:val="0"/>
          <w:numId w:val="27"/>
        </w:numPr>
        <w:ind w:left="851" w:hanging="425"/>
      </w:pPr>
      <w:r>
        <w:t>Explain the treatment offered during labour for women with known colonised GBS or who have risk factors for transmission of GBS during labour.</w:t>
      </w:r>
    </w:p>
    <w:p w14:paraId="2E221915" w14:textId="77777777" w:rsidR="00DB20BE" w:rsidRDefault="00DB20BE" w:rsidP="00DB20BE">
      <w:pPr>
        <w:numPr>
          <w:ilvl w:val="0"/>
          <w:numId w:val="13"/>
        </w:numPr>
        <w:ind w:left="426" w:hanging="426"/>
      </w:pPr>
      <w:r w:rsidRPr="00176B52">
        <w:rPr>
          <w:b/>
          <w:bCs/>
        </w:rPr>
        <w:t xml:space="preserve">Offer testing </w:t>
      </w:r>
      <w:r>
        <w:t>and give information about the test:</w:t>
      </w:r>
    </w:p>
    <w:p w14:paraId="6D290B2D" w14:textId="77777777" w:rsidR="00DB20BE" w:rsidRDefault="00DB20BE" w:rsidP="00DB20BE">
      <w:pPr>
        <w:pStyle w:val="ListParagraph"/>
        <w:numPr>
          <w:ilvl w:val="0"/>
          <w:numId w:val="27"/>
        </w:numPr>
        <w:ind w:left="851" w:hanging="425"/>
      </w:pPr>
      <w:r w:rsidRPr="00A93C6B">
        <w:t>If the woman decline</w:t>
      </w:r>
      <w:r>
        <w:t>s GBS swab</w:t>
      </w:r>
      <w:r w:rsidRPr="00A93C6B">
        <w:t xml:space="preserve">, recommend </w:t>
      </w:r>
      <w:r>
        <w:t>treatment</w:t>
      </w:r>
      <w:r w:rsidRPr="00A93C6B">
        <w:t xml:space="preserve"> with intrapartum intravenous antibiotic prophylaxis if </w:t>
      </w:r>
      <w:r>
        <w:t xml:space="preserve">any risk factors </w:t>
      </w:r>
      <w:r w:rsidRPr="00A93C6B">
        <w:t>develop</w:t>
      </w:r>
      <w:r>
        <w:t xml:space="preserve">, as per Pre-labour Rupture of Membranes (PROM) guideline. Offer of GBS screening to be documented in DHR regardless of whether the woman chooses to </w:t>
      </w:r>
      <w:proofErr w:type="gramStart"/>
      <w:r>
        <w:t>accept</w:t>
      </w:r>
      <w:proofErr w:type="gramEnd"/>
      <w:r>
        <w:t xml:space="preserve"> </w:t>
      </w:r>
    </w:p>
    <w:p w14:paraId="5A9EA14D" w14:textId="77777777" w:rsidR="00DB20BE" w:rsidRDefault="00DB20BE" w:rsidP="00DB20BE">
      <w:pPr>
        <w:ind w:left="928"/>
      </w:pPr>
    </w:p>
    <w:tbl>
      <w:tblPr>
        <w:tblStyle w:val="TableGrid"/>
        <w:tblW w:w="0" w:type="auto"/>
        <w:tblLook w:val="04A0" w:firstRow="1" w:lastRow="0" w:firstColumn="1" w:lastColumn="0" w:noHBand="0" w:noVBand="1"/>
      </w:tblPr>
      <w:tblGrid>
        <w:gridCol w:w="9016"/>
      </w:tblGrid>
      <w:tr w:rsidR="00DB20BE" w14:paraId="6707037E" w14:textId="77777777" w:rsidTr="001E0431">
        <w:trPr>
          <w:trHeight w:val="1766"/>
        </w:trPr>
        <w:tc>
          <w:tcPr>
            <w:tcW w:w="9016" w:type="dxa"/>
          </w:tcPr>
          <w:p w14:paraId="129EECCE" w14:textId="77777777" w:rsidR="00DB20BE" w:rsidRDefault="00DB20BE" w:rsidP="001E0431">
            <w:pPr>
              <w:pStyle w:val="ListParagraph"/>
              <w:ind w:left="928"/>
              <w:rPr>
                <w:rFonts w:cs="Arial"/>
                <w:b/>
                <w:bCs/>
                <w:szCs w:val="24"/>
              </w:rPr>
            </w:pPr>
            <w:r>
              <w:rPr>
                <w:rFonts w:cs="Arial"/>
                <w:b/>
                <w:bCs/>
                <w:szCs w:val="24"/>
              </w:rPr>
              <w:t xml:space="preserve">        </w:t>
            </w:r>
          </w:p>
          <w:p w14:paraId="75EF488A" w14:textId="77777777" w:rsidR="00DB20BE" w:rsidRPr="00971306" w:rsidRDefault="00DB20BE" w:rsidP="001E0431">
            <w:pPr>
              <w:tabs>
                <w:tab w:val="num" w:pos="1080"/>
              </w:tabs>
              <w:rPr>
                <w:b/>
                <w:bCs/>
              </w:rPr>
            </w:pPr>
            <w:r w:rsidRPr="00971306">
              <w:rPr>
                <w:b/>
                <w:bCs/>
              </w:rPr>
              <w:t xml:space="preserve">Practice Note </w:t>
            </w:r>
          </w:p>
          <w:p w14:paraId="77BECEB0" w14:textId="77777777" w:rsidR="00DB20BE" w:rsidRPr="00A93C6B" w:rsidRDefault="00DB20BE" w:rsidP="001E0431">
            <w:pPr>
              <w:tabs>
                <w:tab w:val="num" w:pos="1080"/>
              </w:tabs>
            </w:pPr>
            <w:r w:rsidRPr="00A93C6B">
              <w:t>Recommend intrapartum intravenous antibiotic prophylaxis</w:t>
            </w:r>
            <w:r>
              <w:t xml:space="preserve"> f</w:t>
            </w:r>
            <w:r w:rsidRPr="00A93C6B">
              <w:t xml:space="preserve">or women with GBS Urinary Tract Infection (UTI) during current pregnancy or to women with a previous GBS affected baby. </w:t>
            </w:r>
          </w:p>
          <w:p w14:paraId="6E0C402D" w14:textId="77777777" w:rsidR="00DB20BE" w:rsidRDefault="00DB20BE" w:rsidP="001E0431"/>
        </w:tc>
      </w:tr>
    </w:tbl>
    <w:p w14:paraId="131DF070" w14:textId="77777777" w:rsidR="00DB20BE" w:rsidRDefault="00DB20BE" w:rsidP="00DB20BE"/>
    <w:p w14:paraId="7E9DAF3B" w14:textId="77777777" w:rsidR="00DB20BE" w:rsidRDefault="00DB20BE" w:rsidP="00DB20BE">
      <w:pPr>
        <w:pStyle w:val="ListParagraph"/>
        <w:numPr>
          <w:ilvl w:val="0"/>
          <w:numId w:val="13"/>
        </w:numPr>
        <w:ind w:left="426" w:hanging="426"/>
        <w:rPr>
          <w:b/>
          <w:bCs/>
        </w:rPr>
      </w:pPr>
      <w:r w:rsidRPr="001F1225">
        <w:rPr>
          <w:b/>
          <w:bCs/>
        </w:rPr>
        <w:t>Collecting swabs for GBS screening</w:t>
      </w:r>
      <w:r>
        <w:rPr>
          <w:b/>
          <w:bCs/>
        </w:rPr>
        <w:t>:</w:t>
      </w:r>
    </w:p>
    <w:p w14:paraId="025873A2" w14:textId="77777777" w:rsidR="00DB20BE" w:rsidRPr="00343D13" w:rsidRDefault="00DB20BE" w:rsidP="00DB20BE">
      <w:pPr>
        <w:rPr>
          <w:sz w:val="22"/>
          <w:szCs w:val="22"/>
        </w:rPr>
      </w:pPr>
    </w:p>
    <w:p w14:paraId="1658B172" w14:textId="77777777" w:rsidR="00DB20BE" w:rsidRDefault="00DB20BE" w:rsidP="00DB20BE">
      <w:r w:rsidRPr="00FF0A58">
        <w:t xml:space="preserve">Discuss </w:t>
      </w:r>
      <w:r>
        <w:t>procedure to collect vaginal/rectal culture</w:t>
      </w:r>
      <w:r w:rsidRPr="00FF0A58">
        <w:t xml:space="preserve"> to screen for GBS</w:t>
      </w:r>
      <w:r>
        <w:t>:</w:t>
      </w:r>
    </w:p>
    <w:p w14:paraId="639C209B" w14:textId="77777777" w:rsidR="00DB20BE" w:rsidRPr="00FF0A58" w:rsidRDefault="00DB20BE" w:rsidP="00DB20BE">
      <w:r>
        <w:t xml:space="preserve">(Offer information handout </w:t>
      </w:r>
      <w:r w:rsidRPr="00CA5DC7">
        <w:t>GROUP B STREPTOCOCCUS</w:t>
      </w:r>
      <w:r>
        <w:t xml:space="preserve"> </w:t>
      </w:r>
      <w:r w:rsidRPr="00CA5DC7">
        <w:t>SCREENING TEST</w:t>
      </w:r>
      <w:r w:rsidRPr="00FF0A58">
        <w:t>)</w:t>
      </w:r>
    </w:p>
    <w:p w14:paraId="779BC202" w14:textId="77777777" w:rsidR="00DB20BE" w:rsidRPr="00FF0A58" w:rsidRDefault="00DB20BE" w:rsidP="00DB20BE">
      <w:pPr>
        <w:pStyle w:val="ListParagraph"/>
        <w:numPr>
          <w:ilvl w:val="0"/>
          <w:numId w:val="27"/>
        </w:numPr>
        <w:ind w:left="851" w:hanging="425"/>
      </w:pPr>
      <w:r w:rsidRPr="00FF0A58">
        <w:t xml:space="preserve">Between </w:t>
      </w:r>
      <w:proofErr w:type="gramStart"/>
      <w:r w:rsidRPr="00FF0A58">
        <w:t>35 and 37 weeks’</w:t>
      </w:r>
      <w:proofErr w:type="gramEnd"/>
      <w:r w:rsidRPr="00FF0A58">
        <w:t xml:space="preserve"> gestation </w:t>
      </w:r>
    </w:p>
    <w:p w14:paraId="2D6EAF8D" w14:textId="77777777" w:rsidR="00DB20BE" w:rsidRPr="007B6D7C" w:rsidRDefault="00DB20BE" w:rsidP="00DB20BE">
      <w:pPr>
        <w:pStyle w:val="ListParagraph"/>
        <w:numPr>
          <w:ilvl w:val="0"/>
          <w:numId w:val="27"/>
        </w:numPr>
        <w:ind w:left="851" w:hanging="425"/>
      </w:pPr>
      <w:r w:rsidRPr="00FF0A58">
        <w:t xml:space="preserve">With preterm pre-labour ruptured membranes </w:t>
      </w:r>
    </w:p>
    <w:p w14:paraId="0A519290" w14:textId="77777777" w:rsidR="00DB20BE" w:rsidRDefault="00DB20BE" w:rsidP="00DB20BE">
      <w:pPr>
        <w:pStyle w:val="ListParagraph"/>
        <w:numPr>
          <w:ilvl w:val="0"/>
          <w:numId w:val="27"/>
        </w:numPr>
        <w:ind w:left="851" w:hanging="425"/>
      </w:pPr>
      <w:r w:rsidRPr="007B6D7C">
        <w:t>If known penicillin allergy, request clindamycin sensitivity testing on pathology form at time of screening culture.</w:t>
      </w:r>
    </w:p>
    <w:p w14:paraId="767045B9" w14:textId="77777777" w:rsidR="00DB20BE" w:rsidRDefault="00DB20BE" w:rsidP="00DB20BE"/>
    <w:p w14:paraId="4C2FB8E0" w14:textId="77777777" w:rsidR="00DB20BE" w:rsidRDefault="00DB20BE" w:rsidP="00DB20BE">
      <w:pPr>
        <w:autoSpaceDE w:val="0"/>
        <w:autoSpaceDN w:val="0"/>
        <w:adjustRightInd w:val="0"/>
        <w:spacing w:before="120" w:line="276" w:lineRule="auto"/>
        <w:rPr>
          <w:rFonts w:cs="Arial"/>
          <w:lang w:eastAsia="en-AU"/>
        </w:rPr>
      </w:pPr>
      <w:r w:rsidRPr="007E4788">
        <w:rPr>
          <w:rFonts w:cs="Arial"/>
          <w:lang w:eastAsia="en-AU"/>
        </w:rPr>
        <w:t xml:space="preserve">Women may collect their own GBS swabs following verbal and/or written </w:t>
      </w:r>
      <w:proofErr w:type="gramStart"/>
      <w:r w:rsidRPr="007E4788">
        <w:rPr>
          <w:rFonts w:cs="Arial"/>
          <w:lang w:eastAsia="en-AU"/>
        </w:rPr>
        <w:t>instruction</w:t>
      </w:r>
      <w:proofErr w:type="gramEnd"/>
    </w:p>
    <w:p w14:paraId="5DD44E27" w14:textId="77777777" w:rsidR="00DB20BE" w:rsidRPr="001815F1" w:rsidRDefault="00DB20BE" w:rsidP="00DB20BE">
      <w:pPr>
        <w:pStyle w:val="Default"/>
        <w:spacing w:line="276" w:lineRule="auto"/>
        <w:rPr>
          <w:rFonts w:asciiTheme="minorHAnsi" w:hAnsiTheme="minorHAnsi"/>
        </w:rPr>
      </w:pPr>
      <w:r w:rsidRPr="001815F1">
        <w:rPr>
          <w:rFonts w:asciiTheme="minorHAnsi" w:hAnsiTheme="minorHAnsi"/>
        </w:rPr>
        <w:t xml:space="preserve">Culture results have been shown to be less predictive of carrier status if more than 5 weeks have elapsed since sample </w:t>
      </w:r>
      <w:proofErr w:type="gramStart"/>
      <w:r w:rsidRPr="001815F1">
        <w:rPr>
          <w:rFonts w:asciiTheme="minorHAnsi" w:hAnsiTheme="minorHAnsi"/>
        </w:rPr>
        <w:t>collection</w:t>
      </w:r>
      <w:proofErr w:type="gramEnd"/>
    </w:p>
    <w:p w14:paraId="34C713C6" w14:textId="77777777" w:rsidR="00DB20BE" w:rsidRDefault="00DB20BE" w:rsidP="00DB20BE"/>
    <w:p w14:paraId="544E5218" w14:textId="77777777" w:rsidR="00DB20BE" w:rsidRDefault="00DB20BE" w:rsidP="00DB20BE">
      <w:pPr>
        <w:numPr>
          <w:ilvl w:val="0"/>
          <w:numId w:val="13"/>
        </w:numPr>
        <w:ind w:left="426" w:hanging="426"/>
        <w:rPr>
          <w:b/>
          <w:bCs/>
        </w:rPr>
      </w:pPr>
      <w:r w:rsidRPr="001F1225">
        <w:rPr>
          <w:b/>
          <w:bCs/>
        </w:rPr>
        <w:t xml:space="preserve">Document and </w:t>
      </w:r>
      <w:proofErr w:type="gramStart"/>
      <w:r w:rsidRPr="001F1225">
        <w:rPr>
          <w:b/>
          <w:bCs/>
        </w:rPr>
        <w:t>follow-up</w:t>
      </w:r>
      <w:proofErr w:type="gramEnd"/>
    </w:p>
    <w:p w14:paraId="5BB04147" w14:textId="77777777" w:rsidR="00DB20BE" w:rsidRDefault="00DB20BE" w:rsidP="00DB20BE">
      <w:pPr>
        <w:ind w:left="720"/>
        <w:rPr>
          <w:b/>
          <w:bCs/>
        </w:rPr>
      </w:pPr>
    </w:p>
    <w:p w14:paraId="13C5237A" w14:textId="77777777" w:rsidR="00DB20BE" w:rsidRDefault="00DB20BE" w:rsidP="00DB20BE">
      <w:r w:rsidRPr="00D54D9A">
        <w:t xml:space="preserve">Confirm </w:t>
      </w:r>
      <w:r>
        <w:t xml:space="preserve">results of screening with the woman </w:t>
      </w:r>
      <w:r w:rsidRPr="00D54D9A">
        <w:t xml:space="preserve">and document the GBS status </w:t>
      </w:r>
      <w:r>
        <w:t xml:space="preserve">in the antenatal handheld record and on </w:t>
      </w:r>
      <w:proofErr w:type="gramStart"/>
      <w:r>
        <w:t>DHR</w:t>
      </w:r>
      <w:proofErr w:type="gramEnd"/>
    </w:p>
    <w:p w14:paraId="0CEEBB44" w14:textId="77777777" w:rsidR="00DB20BE" w:rsidRDefault="00DB20BE" w:rsidP="00DB20BE"/>
    <w:p w14:paraId="3D92DF2B" w14:textId="77777777" w:rsidR="00DB20BE" w:rsidRDefault="00DB20BE" w:rsidP="00DB20BE">
      <w:pPr>
        <w:rPr>
          <w:color w:val="0000FF"/>
          <w:u w:val="single"/>
        </w:rPr>
      </w:pPr>
      <w:r>
        <w:t>D</w:t>
      </w:r>
      <w:r w:rsidRPr="00D54D9A">
        <w:t xml:space="preserve">iscuss </w:t>
      </w:r>
      <w:r>
        <w:t xml:space="preserve">intravenous </w:t>
      </w:r>
      <w:r w:rsidRPr="00D54D9A">
        <w:t xml:space="preserve">antibiotic prophylaxis where necessary and offer </w:t>
      </w:r>
      <w:r>
        <w:t xml:space="preserve">the </w:t>
      </w:r>
      <w:r w:rsidRPr="00D54D9A">
        <w:t>GBS Information sheet</w:t>
      </w:r>
      <w:r>
        <w:t xml:space="preserve"> from Royal Australian and New Zealand College of </w:t>
      </w:r>
      <w:proofErr w:type="spellStart"/>
      <w:r>
        <w:t>Obstericians</w:t>
      </w:r>
      <w:proofErr w:type="spellEnd"/>
      <w:r>
        <w:t xml:space="preserve"> and Gynaecologists (RANZCOG). This can be found on the Policy Register or </w:t>
      </w:r>
      <w:hyperlink r:id="rId11" w:history="1">
        <w:r w:rsidRPr="00A8541D">
          <w:rPr>
            <w:color w:val="0000FF"/>
            <w:u w:val="single"/>
          </w:rPr>
          <w:t>RANZCOG - Group B Streptococcus</w:t>
        </w:r>
      </w:hyperlink>
      <w:r>
        <w:rPr>
          <w:color w:val="0000FF"/>
          <w:u w:val="single"/>
        </w:rPr>
        <w:t>.</w:t>
      </w:r>
    </w:p>
    <w:p w14:paraId="468848B1" w14:textId="77777777" w:rsidR="00DB20BE" w:rsidRDefault="00DB20BE" w:rsidP="00DB20BE">
      <w:pPr>
        <w:rPr>
          <w:color w:val="0000FF"/>
          <w:u w:val="single"/>
        </w:rPr>
      </w:pPr>
    </w:p>
    <w:p w14:paraId="7559807F" w14:textId="77777777" w:rsidR="00DB20BE" w:rsidRDefault="00DB20BE" w:rsidP="00DB20BE">
      <w:pPr>
        <w:rPr>
          <w:color w:val="0000FF"/>
          <w:u w:val="single"/>
        </w:rPr>
      </w:pPr>
      <w:r w:rsidRPr="007E4788">
        <w:rPr>
          <w:rFonts w:cs="Tahoma"/>
          <w:color w:val="000000"/>
          <w:lang w:eastAsia="en-AU"/>
        </w:rPr>
        <w:t>Women who have returned a positive GBS culture in pregnancy will be advised to contact Birth Suite or Con</w:t>
      </w:r>
      <w:r>
        <w:rPr>
          <w:rFonts w:cs="Tahoma"/>
          <w:color w:val="000000"/>
          <w:lang w:eastAsia="en-AU"/>
        </w:rPr>
        <w:t>tinuity Midwife</w:t>
      </w:r>
      <w:r w:rsidRPr="007E4788">
        <w:rPr>
          <w:rFonts w:cs="Tahoma"/>
          <w:color w:val="000000"/>
          <w:lang w:eastAsia="en-AU"/>
        </w:rPr>
        <w:t xml:space="preserve"> when they commence regular/established labour contractions</w:t>
      </w:r>
      <w:r>
        <w:rPr>
          <w:rFonts w:cs="Tahoma"/>
          <w:color w:val="000000"/>
          <w:lang w:eastAsia="en-AU"/>
        </w:rPr>
        <w:t xml:space="preserve"> if membranes remain intact OR if membranes rupture </w:t>
      </w:r>
      <w:proofErr w:type="gramStart"/>
      <w:r>
        <w:rPr>
          <w:rFonts w:cs="Tahoma"/>
          <w:color w:val="000000"/>
          <w:lang w:eastAsia="en-AU"/>
        </w:rPr>
        <w:t>spontaneously</w:t>
      </w:r>
      <w:proofErr w:type="gramEnd"/>
    </w:p>
    <w:p w14:paraId="05A36BF2" w14:textId="77777777" w:rsidR="00DB20BE" w:rsidRDefault="00DB20BE" w:rsidP="00DB20BE">
      <w:pPr>
        <w:rPr>
          <w:color w:val="0000FF"/>
          <w:u w:val="single"/>
        </w:rPr>
      </w:pPr>
    </w:p>
    <w:p w14:paraId="6970D44A" w14:textId="77777777" w:rsidR="00DB20BE" w:rsidRDefault="00DB20BE" w:rsidP="00DB20BE">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p w14:paraId="288D0F9F" w14:textId="77777777" w:rsidR="00DB20BE" w:rsidRDefault="00DB20BE" w:rsidP="00DB20BE">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DB20BE" w:rsidRPr="00CD1C0E" w14:paraId="14F2C5E1" w14:textId="77777777" w:rsidTr="001E0431">
        <w:trPr>
          <w:cantSplit/>
          <w:trHeight w:val="285"/>
        </w:trPr>
        <w:tc>
          <w:tcPr>
            <w:tcW w:w="9158" w:type="dxa"/>
            <w:shd w:val="clear" w:color="auto" w:fill="A6A6A6" w:themeFill="background1" w:themeFillShade="A6"/>
          </w:tcPr>
          <w:p w14:paraId="469D2073" w14:textId="77777777" w:rsidR="00DB20BE" w:rsidRPr="003D2D06" w:rsidRDefault="00DB20BE" w:rsidP="001E0431">
            <w:pPr>
              <w:pStyle w:val="Heading1"/>
            </w:pPr>
            <w:bookmarkStart w:id="19" w:name="_Toc78207672"/>
            <w:bookmarkStart w:id="20" w:name="_Toc164668237"/>
            <w:r w:rsidRPr="00C76688">
              <w:t xml:space="preserve">Section </w:t>
            </w:r>
            <w:r>
              <w:t>3</w:t>
            </w:r>
            <w:r w:rsidRPr="00C76688">
              <w:t xml:space="preserve"> – </w:t>
            </w:r>
            <w:r>
              <w:t>Intrapartum Management</w:t>
            </w:r>
            <w:bookmarkEnd w:id="19"/>
            <w:r>
              <w:t xml:space="preserve"> Recommendations</w:t>
            </w:r>
            <w:bookmarkEnd w:id="20"/>
          </w:p>
        </w:tc>
      </w:tr>
    </w:tbl>
    <w:p w14:paraId="409E0402" w14:textId="77777777" w:rsidR="00DB20BE" w:rsidRDefault="00DB20BE" w:rsidP="00DB20BE">
      <w:pPr>
        <w:pStyle w:val="Heading2"/>
      </w:pPr>
      <w:bookmarkStart w:id="21" w:name="_Toc78207673"/>
    </w:p>
    <w:p w14:paraId="090C8E35" w14:textId="77777777" w:rsidR="00DB20BE" w:rsidRDefault="00DB20BE" w:rsidP="00DB20BE">
      <w:pPr>
        <w:pStyle w:val="Heading2"/>
      </w:pPr>
      <w:r>
        <w:t>Premature pre-labour rupture of membranes, GBS positive or clinical risk factors:</w:t>
      </w:r>
    </w:p>
    <w:p w14:paraId="41B833B0" w14:textId="77777777" w:rsidR="00DB20BE" w:rsidRPr="005C2579" w:rsidRDefault="00DB20BE" w:rsidP="00DB20BE">
      <w:pPr>
        <w:pStyle w:val="ListParagraph"/>
        <w:widowControl w:val="0"/>
        <w:numPr>
          <w:ilvl w:val="0"/>
          <w:numId w:val="29"/>
        </w:numPr>
        <w:ind w:left="426" w:hanging="426"/>
        <w:rPr>
          <w:rFonts w:cs="Calibri"/>
          <w:color w:val="000000"/>
          <w:kern w:val="28"/>
          <w:szCs w:val="24"/>
          <w:lang w:eastAsia="en-AU"/>
        </w:rPr>
      </w:pPr>
      <w:r w:rsidRPr="005C2579">
        <w:rPr>
          <w:rFonts w:cs="Calibri"/>
          <w:color w:val="000000"/>
          <w:kern w:val="28"/>
          <w:szCs w:val="24"/>
          <w:lang w:eastAsia="en-AU"/>
        </w:rPr>
        <w:t xml:space="preserve">If GBS+ and </w:t>
      </w:r>
      <w:r>
        <w:rPr>
          <w:rFonts w:cs="Calibri"/>
          <w:color w:val="000000"/>
          <w:kern w:val="28"/>
          <w:szCs w:val="24"/>
          <w:lang w:eastAsia="en-AU"/>
        </w:rPr>
        <w:t>≥</w:t>
      </w:r>
      <w:r w:rsidRPr="005C2579">
        <w:rPr>
          <w:rFonts w:cs="Calibri"/>
          <w:color w:val="000000"/>
          <w:kern w:val="28"/>
          <w:szCs w:val="24"/>
          <w:lang w:eastAsia="en-AU"/>
        </w:rPr>
        <w:t>34 weeks offer immediate I</w:t>
      </w:r>
      <w:r>
        <w:rPr>
          <w:rFonts w:cs="Calibri"/>
          <w:color w:val="000000"/>
          <w:kern w:val="28"/>
          <w:szCs w:val="24"/>
          <w:lang w:eastAsia="en-AU"/>
        </w:rPr>
        <w:t>nduction of labour (IOL) with Intrapartum antibiotics</w:t>
      </w:r>
    </w:p>
    <w:p w14:paraId="52A3B5C3" w14:textId="77777777" w:rsidR="00DB20BE" w:rsidRPr="00B6628D" w:rsidRDefault="00DB20BE" w:rsidP="00DB20BE">
      <w:pPr>
        <w:pStyle w:val="ListParagraph"/>
        <w:widowControl w:val="0"/>
        <w:numPr>
          <w:ilvl w:val="0"/>
          <w:numId w:val="29"/>
        </w:numPr>
        <w:spacing w:line="276" w:lineRule="auto"/>
        <w:ind w:left="426" w:hanging="426"/>
        <w:rPr>
          <w:rFonts w:cs="Calibri"/>
          <w:color w:val="000000"/>
          <w:kern w:val="28"/>
          <w:szCs w:val="24"/>
          <w:lang w:eastAsia="en-AU"/>
        </w:rPr>
      </w:pPr>
      <w:r w:rsidRPr="005C2579">
        <w:rPr>
          <w:rFonts w:cs="Calibri"/>
          <w:color w:val="000000"/>
          <w:kern w:val="28"/>
          <w:sz w:val="20"/>
          <w:lang w:eastAsia="en-AU"/>
        </w:rPr>
        <w:t> </w:t>
      </w:r>
      <w:r w:rsidRPr="005C2579">
        <w:rPr>
          <w:rFonts w:cs="Calibri"/>
          <w:color w:val="000000"/>
          <w:kern w:val="28"/>
          <w:szCs w:val="24"/>
          <w:lang w:eastAsia="en-AU"/>
        </w:rPr>
        <w:t xml:space="preserve">If GBS+ </w:t>
      </w:r>
      <w:r w:rsidRPr="00546EDE">
        <w:rPr>
          <w:rFonts w:cs="Calibri"/>
          <w:color w:val="000000"/>
          <w:kern w:val="28"/>
          <w:szCs w:val="24"/>
          <w:lang w:eastAsia="en-AU"/>
        </w:rPr>
        <w:t>and</w:t>
      </w:r>
      <w:r w:rsidRPr="00B6628D">
        <w:rPr>
          <w:rFonts w:cs="Calibri"/>
          <w:color w:val="000000"/>
          <w:kern w:val="28"/>
          <w:szCs w:val="24"/>
          <w:lang w:eastAsia="en-AU"/>
        </w:rPr>
        <w:t xml:space="preserve"> &lt; 34 weeks manage as per </w:t>
      </w:r>
      <w:r>
        <w:rPr>
          <w:rFonts w:cs="Calibri"/>
          <w:color w:val="000000"/>
          <w:kern w:val="28"/>
          <w:szCs w:val="24"/>
          <w:lang w:eastAsia="en-AU"/>
        </w:rPr>
        <w:t>Preterm Pre-labour Rupture of Membranes (</w:t>
      </w:r>
      <w:r w:rsidRPr="00B6628D">
        <w:rPr>
          <w:rFonts w:cs="Calibri"/>
          <w:color w:val="000000"/>
          <w:kern w:val="28"/>
          <w:szCs w:val="24"/>
          <w:lang w:eastAsia="en-AU"/>
        </w:rPr>
        <w:t>PPROM</w:t>
      </w:r>
      <w:r>
        <w:rPr>
          <w:rFonts w:cs="Calibri"/>
          <w:color w:val="000000"/>
          <w:kern w:val="28"/>
          <w:szCs w:val="24"/>
          <w:lang w:eastAsia="en-AU"/>
        </w:rPr>
        <w:t>)</w:t>
      </w:r>
      <w:r w:rsidRPr="00546EDE">
        <w:rPr>
          <w:rFonts w:cs="Calibri"/>
          <w:color w:val="000000"/>
          <w:kern w:val="28"/>
          <w:szCs w:val="24"/>
          <w:lang w:eastAsia="en-AU"/>
        </w:rPr>
        <w:t>.</w:t>
      </w:r>
    </w:p>
    <w:p w14:paraId="6D80D6F9" w14:textId="77777777" w:rsidR="00DB20BE" w:rsidRDefault="00DB20BE" w:rsidP="00DB20BE">
      <w:pPr>
        <w:widowControl w:val="0"/>
        <w:spacing w:line="276" w:lineRule="auto"/>
        <w:ind w:left="567" w:hanging="567"/>
        <w:rPr>
          <w:rFonts w:cs="Calibri"/>
          <w:color w:val="000000"/>
          <w:kern w:val="28"/>
          <w:sz w:val="20"/>
          <w:lang w:eastAsia="en-AU"/>
        </w:rPr>
      </w:pPr>
    </w:p>
    <w:p w14:paraId="02C40632" w14:textId="77777777" w:rsidR="00DB20BE" w:rsidRDefault="00DB20BE" w:rsidP="00DB20BE">
      <w:pPr>
        <w:widowControl w:val="0"/>
        <w:rPr>
          <w:b/>
          <w:bCs/>
        </w:rPr>
      </w:pPr>
      <w:r w:rsidRPr="00ED6CD2">
        <w:rPr>
          <w:b/>
          <w:bCs/>
        </w:rPr>
        <w:t>Pre-labour rupture of membranes at term</w:t>
      </w:r>
      <w:bookmarkEnd w:id="21"/>
      <w:r w:rsidRPr="00ED6CD2">
        <w:rPr>
          <w:b/>
          <w:bCs/>
        </w:rPr>
        <w:t xml:space="preserve"> </w:t>
      </w:r>
    </w:p>
    <w:p w14:paraId="352E69D5" w14:textId="77777777" w:rsidR="00DB20BE" w:rsidRDefault="00DB20BE" w:rsidP="00DB20BE">
      <w:pPr>
        <w:widowControl w:val="0"/>
      </w:pPr>
      <w:r>
        <w:t xml:space="preserve">All women with risk factors for GBS or with GBS positive screening should be offered an induction of labour and prophylactic intravenous antibiotics without delay after a diagnosis of ruptured </w:t>
      </w:r>
      <w:proofErr w:type="gramStart"/>
      <w:r>
        <w:t>membranes</w:t>
      </w:r>
      <w:proofErr w:type="gramEnd"/>
    </w:p>
    <w:p w14:paraId="509ED6AA" w14:textId="77777777" w:rsidR="00DB20BE" w:rsidRDefault="00DB20BE" w:rsidP="00DB20BE">
      <w:pPr>
        <w:widowControl w:val="0"/>
      </w:pPr>
    </w:p>
    <w:p w14:paraId="789E10C5" w14:textId="77777777" w:rsidR="00DB20BE" w:rsidRDefault="00DB20BE" w:rsidP="00DB20BE">
      <w:pPr>
        <w:widowControl w:val="0"/>
      </w:pPr>
      <w:r>
        <w:t xml:space="preserve">For planned inductions, if a woman has a GBS positive culture, commence antibiotic treatment with regular painful contractions or upon rupture of membranes. </w:t>
      </w:r>
    </w:p>
    <w:p w14:paraId="62F64DAD" w14:textId="77777777" w:rsidR="00DB20BE" w:rsidRDefault="00DB20BE" w:rsidP="00DB20BE">
      <w:pPr>
        <w:widowControl w:val="0"/>
      </w:pPr>
    </w:p>
    <w:tbl>
      <w:tblPr>
        <w:tblStyle w:val="TableGrid"/>
        <w:tblW w:w="0" w:type="auto"/>
        <w:tblLook w:val="04A0" w:firstRow="1" w:lastRow="0" w:firstColumn="1" w:lastColumn="0" w:noHBand="0" w:noVBand="1"/>
      </w:tblPr>
      <w:tblGrid>
        <w:gridCol w:w="9016"/>
      </w:tblGrid>
      <w:tr w:rsidR="00DB20BE" w14:paraId="3C94CE07" w14:textId="77777777" w:rsidTr="001E0431">
        <w:trPr>
          <w:trHeight w:val="1464"/>
        </w:trPr>
        <w:tc>
          <w:tcPr>
            <w:tcW w:w="9016" w:type="dxa"/>
          </w:tcPr>
          <w:p w14:paraId="1E0EC648" w14:textId="77777777" w:rsidR="00DB20BE" w:rsidRPr="007B6D7C" w:rsidRDefault="00DB20BE" w:rsidP="001E0431">
            <w:pPr>
              <w:pStyle w:val="ListParagraph"/>
              <w:spacing w:before="120"/>
              <w:ind w:left="0"/>
              <w:contextualSpacing w:val="0"/>
              <w:rPr>
                <w:rFonts w:cs="Arial"/>
                <w:b/>
                <w:bCs/>
                <w:szCs w:val="24"/>
              </w:rPr>
            </w:pPr>
            <w:r w:rsidRPr="007E7012">
              <w:rPr>
                <w:b/>
                <w:bCs/>
              </w:rPr>
              <w:t>Practice Note</w:t>
            </w:r>
          </w:p>
          <w:p w14:paraId="37D9893B" w14:textId="77777777" w:rsidR="00DB20BE" w:rsidRDefault="00DB20BE" w:rsidP="001E0431">
            <w:pPr>
              <w:pStyle w:val="ListBullet"/>
              <w:numPr>
                <w:ilvl w:val="0"/>
                <w:numId w:val="0"/>
              </w:numPr>
            </w:pPr>
            <w:r>
              <w:t xml:space="preserve">Antibiotic administration </w:t>
            </w:r>
            <w:r w:rsidRPr="001B292C">
              <w:t xml:space="preserve">is unnecessary prior to </w:t>
            </w:r>
            <w:r>
              <w:t xml:space="preserve">active </w:t>
            </w:r>
            <w:r w:rsidRPr="001B292C">
              <w:t>labour</w:t>
            </w:r>
            <w:r>
              <w:t xml:space="preserve"> irrespective of GBS </w:t>
            </w:r>
            <w:proofErr w:type="gramStart"/>
            <w:r>
              <w:t>status,</w:t>
            </w:r>
            <w:proofErr w:type="gramEnd"/>
            <w:r>
              <w:t xml:space="preserve"> however antibiotics should be initiated immediately prior to commencement oxytocin IOL.  </w:t>
            </w:r>
          </w:p>
          <w:p w14:paraId="2F726471" w14:textId="77777777" w:rsidR="00DB20BE" w:rsidRDefault="00DB20BE" w:rsidP="001E0431">
            <w:pPr>
              <w:pStyle w:val="ListBullet"/>
              <w:numPr>
                <w:ilvl w:val="0"/>
                <w:numId w:val="0"/>
              </w:numPr>
            </w:pPr>
          </w:p>
          <w:p w14:paraId="52840BE1" w14:textId="77777777" w:rsidR="00DB20BE" w:rsidRDefault="00DB20BE" w:rsidP="001E0431">
            <w:pPr>
              <w:pStyle w:val="ListBullet"/>
              <w:numPr>
                <w:ilvl w:val="0"/>
                <w:numId w:val="0"/>
              </w:numPr>
            </w:pPr>
            <w:r>
              <w:t xml:space="preserve">If a woman’s GBS status is unknown at onset of labour, treatment according to clinical risk factors is appropriate. </w:t>
            </w:r>
          </w:p>
          <w:p w14:paraId="2EC8A5DC" w14:textId="77777777" w:rsidR="00DB20BE" w:rsidRDefault="00DB20BE" w:rsidP="001E0431">
            <w:pPr>
              <w:pStyle w:val="ListBullet"/>
              <w:numPr>
                <w:ilvl w:val="0"/>
                <w:numId w:val="0"/>
              </w:numPr>
            </w:pPr>
          </w:p>
          <w:p w14:paraId="628FAAB5" w14:textId="77777777" w:rsidR="00DB20BE" w:rsidRDefault="00DB20BE" w:rsidP="001E0431">
            <w:pPr>
              <w:pStyle w:val="ListBullet"/>
              <w:numPr>
                <w:ilvl w:val="0"/>
                <w:numId w:val="0"/>
              </w:numPr>
            </w:pPr>
            <w:r>
              <w:t xml:space="preserve">Recommend GBS antibiotic prophylaxis once rupture of membranes &gt; 18 hours, regardless of GBS status. </w:t>
            </w:r>
          </w:p>
        </w:tc>
      </w:tr>
    </w:tbl>
    <w:p w14:paraId="33B0A814" w14:textId="77777777" w:rsidR="00DB20BE" w:rsidRDefault="00DB20BE" w:rsidP="00DB20BE"/>
    <w:p w14:paraId="1B2CD053" w14:textId="77777777" w:rsidR="00DB20BE" w:rsidRDefault="00DB20BE" w:rsidP="00DB20BE">
      <w:pPr>
        <w:rPr>
          <w:b/>
          <w:bCs/>
        </w:rPr>
      </w:pPr>
      <w:r w:rsidRPr="00ED6CD2">
        <w:rPr>
          <w:b/>
          <w:bCs/>
        </w:rPr>
        <w:t>Water birth and water</w:t>
      </w:r>
      <w:r>
        <w:t xml:space="preserve"> </w:t>
      </w:r>
      <w:r w:rsidRPr="00ED6CD2">
        <w:rPr>
          <w:b/>
          <w:bCs/>
        </w:rPr>
        <w:t>immersion</w:t>
      </w:r>
    </w:p>
    <w:p w14:paraId="2140B774" w14:textId="77777777" w:rsidR="00DB20BE" w:rsidRPr="00ED6CD2" w:rsidRDefault="00DB20BE" w:rsidP="00DB20BE">
      <w:r>
        <w:t>Waterbirth and water immersion are not contraindicated in women known to have GBS if they receive intravenous antibiotic prophylaxis and follow water immersion guidelines for risk factors for birth in water.</w:t>
      </w:r>
    </w:p>
    <w:p w14:paraId="4ACA9290" w14:textId="77777777" w:rsidR="00DB20BE" w:rsidRDefault="00DB20BE" w:rsidP="00DB20BE">
      <w:pPr>
        <w:pStyle w:val="ListBullet"/>
        <w:numPr>
          <w:ilvl w:val="0"/>
          <w:numId w:val="0"/>
        </w:numPr>
      </w:pPr>
    </w:p>
    <w:p w14:paraId="58658BB5" w14:textId="77777777" w:rsidR="00DB20BE" w:rsidRDefault="00DB20BE" w:rsidP="00DB20BE">
      <w:pPr>
        <w:pStyle w:val="ListBullet"/>
        <w:numPr>
          <w:ilvl w:val="0"/>
          <w:numId w:val="0"/>
        </w:numPr>
      </w:pPr>
      <w:r>
        <w:t xml:space="preserve">If a woman is known to be GBS </w:t>
      </w:r>
      <w:proofErr w:type="gramStart"/>
      <w:r>
        <w:t>positive, or</w:t>
      </w:r>
      <w:proofErr w:type="gramEnd"/>
      <w:r>
        <w:t xml:space="preserve"> has clinical risk factors and declines immediate induction the</w:t>
      </w:r>
      <w:r w:rsidRPr="00E4121F">
        <w:t xml:space="preserve"> decision for</w:t>
      </w:r>
      <w:r>
        <w:t xml:space="preserve"> recommended timing of</w:t>
      </w:r>
      <w:r w:rsidRPr="00E4121F">
        <w:t xml:space="preserve"> </w:t>
      </w:r>
      <w:r>
        <w:t xml:space="preserve">an </w:t>
      </w:r>
      <w:r w:rsidRPr="00E4121F">
        <w:t>induction is based on risk factors and the individual clinical situation.</w:t>
      </w:r>
    </w:p>
    <w:p w14:paraId="4AAD8016" w14:textId="77777777" w:rsidR="00DB20BE" w:rsidRDefault="00DB20BE" w:rsidP="00DB20BE">
      <w:pPr>
        <w:pStyle w:val="ListBullet"/>
        <w:numPr>
          <w:ilvl w:val="0"/>
          <w:numId w:val="30"/>
        </w:numPr>
        <w:ind w:left="426" w:hanging="426"/>
      </w:pPr>
      <w:r>
        <w:t xml:space="preserve">Discuss the evidence behind the recommendations for intrapartum antibiotics (as per Section 1) to allow a woman to make an informed </w:t>
      </w:r>
      <w:proofErr w:type="gramStart"/>
      <w:r>
        <w:t>decision</w:t>
      </w:r>
      <w:proofErr w:type="gramEnd"/>
    </w:p>
    <w:p w14:paraId="7D17A3F4" w14:textId="77777777" w:rsidR="00DB20BE" w:rsidRDefault="00DB20BE" w:rsidP="00DB20BE">
      <w:pPr>
        <w:pStyle w:val="ListParagraph"/>
        <w:numPr>
          <w:ilvl w:val="0"/>
          <w:numId w:val="30"/>
        </w:numPr>
        <w:ind w:left="426" w:hanging="426"/>
      </w:pPr>
      <w:r w:rsidRPr="00AB662D">
        <w:t xml:space="preserve">Explain </w:t>
      </w:r>
      <w:r>
        <w:t xml:space="preserve">to the woman that </w:t>
      </w:r>
      <w:r w:rsidRPr="00AB662D">
        <w:t xml:space="preserve">the risk of their baby developing EOGBS is significantly higher than if they had </w:t>
      </w:r>
      <w:r>
        <w:t xml:space="preserve">received intrapartum </w:t>
      </w:r>
      <w:proofErr w:type="gramStart"/>
      <w:r>
        <w:t>antibiotics</w:t>
      </w:r>
      <w:proofErr w:type="gramEnd"/>
    </w:p>
    <w:p w14:paraId="0EF9D14A" w14:textId="77777777" w:rsidR="00DB20BE" w:rsidRPr="00AB662D" w:rsidRDefault="00DB20BE" w:rsidP="00DB20BE">
      <w:pPr>
        <w:pStyle w:val="ListParagraph"/>
        <w:numPr>
          <w:ilvl w:val="0"/>
          <w:numId w:val="30"/>
        </w:numPr>
        <w:ind w:left="426" w:hanging="426"/>
      </w:pPr>
      <w:r w:rsidRPr="00AB662D">
        <w:t xml:space="preserve">Explain that development of infection or other complications is an indication for delivery by the most appropriate method for the clinical </w:t>
      </w:r>
      <w:proofErr w:type="gramStart"/>
      <w:r w:rsidRPr="00AB662D">
        <w:t>situation</w:t>
      </w:r>
      <w:proofErr w:type="gramEnd"/>
    </w:p>
    <w:p w14:paraId="20DEAAEC" w14:textId="77777777" w:rsidR="00DB20BE" w:rsidRDefault="00DB20BE" w:rsidP="00DB20BE">
      <w:pPr>
        <w:pStyle w:val="ListBullet"/>
        <w:numPr>
          <w:ilvl w:val="0"/>
          <w:numId w:val="30"/>
        </w:numPr>
        <w:ind w:left="426" w:hanging="426"/>
      </w:pPr>
      <w:r>
        <w:t xml:space="preserve">Discuss and set a time limit for expectant </w:t>
      </w:r>
      <w:proofErr w:type="gramStart"/>
      <w:r>
        <w:t>management</w:t>
      </w:r>
      <w:proofErr w:type="gramEnd"/>
    </w:p>
    <w:p w14:paraId="194FEB91" w14:textId="77777777" w:rsidR="00DB20BE" w:rsidRDefault="00DB20BE" w:rsidP="00DB20BE">
      <w:pPr>
        <w:pStyle w:val="ListBullet"/>
        <w:numPr>
          <w:ilvl w:val="0"/>
          <w:numId w:val="30"/>
        </w:numPr>
        <w:spacing w:after="120"/>
        <w:ind w:left="425" w:hanging="425"/>
      </w:pPr>
      <w:r>
        <w:t>Document all discussion in the woman’s clinical record.</w:t>
      </w:r>
    </w:p>
    <w:p w14:paraId="2A0CC643" w14:textId="77777777" w:rsidR="00DB20BE" w:rsidRDefault="00DB20BE" w:rsidP="00DB20BE">
      <w:pPr>
        <w:pBdr>
          <w:top w:val="single" w:sz="4" w:space="1" w:color="auto"/>
          <w:left w:val="single" w:sz="4" w:space="4" w:color="auto"/>
          <w:bottom w:val="single" w:sz="4" w:space="1" w:color="auto"/>
          <w:right w:val="single" w:sz="4" w:space="4" w:color="auto"/>
        </w:pBdr>
        <w:spacing w:before="120"/>
        <w:rPr>
          <w:b/>
        </w:rPr>
      </w:pPr>
      <w:r w:rsidRPr="00FF7CFE">
        <w:rPr>
          <w:b/>
        </w:rPr>
        <w:lastRenderedPageBreak/>
        <w:t xml:space="preserve">Practice Note: </w:t>
      </w:r>
    </w:p>
    <w:p w14:paraId="471EAEBD" w14:textId="77777777" w:rsidR="00DB20BE" w:rsidRDefault="00DB20BE" w:rsidP="00DB20BE">
      <w:pPr>
        <w:pStyle w:val="ListBullet"/>
        <w:pBdr>
          <w:top w:val="single" w:sz="4" w:space="1" w:color="auto"/>
          <w:left w:val="single" w:sz="4" w:space="4" w:color="auto"/>
          <w:bottom w:val="single" w:sz="4" w:space="1" w:color="auto"/>
          <w:right w:val="single" w:sz="4" w:space="4" w:color="auto"/>
        </w:pBdr>
        <w:tabs>
          <w:tab w:val="clear" w:pos="643"/>
          <w:tab w:val="num" w:pos="567"/>
        </w:tabs>
        <w:ind w:left="426" w:hanging="426"/>
        <w:rPr>
          <w:b/>
        </w:rPr>
      </w:pPr>
      <w:r>
        <w:t xml:space="preserve">Women awaiting elective </w:t>
      </w:r>
      <w:proofErr w:type="spellStart"/>
      <w:r>
        <w:t>cesarean</w:t>
      </w:r>
      <w:proofErr w:type="spellEnd"/>
      <w:r>
        <w:t xml:space="preserve"> (</w:t>
      </w:r>
      <w:proofErr w:type="spellStart"/>
      <w:r>
        <w:t>GBS+ve</w:t>
      </w:r>
      <w:proofErr w:type="spellEnd"/>
      <w:r>
        <w:t xml:space="preserve"> or risk factors for EOGBSD) with ruptured membranes or in active labour should be administered prophylactic intravenous antibiotics. </w:t>
      </w:r>
    </w:p>
    <w:p w14:paraId="7F225D8D" w14:textId="77777777" w:rsidR="00DB20BE" w:rsidRDefault="00DB20BE" w:rsidP="00DB20BE">
      <w:pPr>
        <w:pStyle w:val="ListBullet"/>
        <w:pBdr>
          <w:top w:val="single" w:sz="4" w:space="1" w:color="auto"/>
          <w:left w:val="single" w:sz="4" w:space="4" w:color="auto"/>
          <w:bottom w:val="single" w:sz="4" w:space="1" w:color="auto"/>
          <w:right w:val="single" w:sz="4" w:space="4" w:color="auto"/>
        </w:pBdr>
        <w:tabs>
          <w:tab w:val="clear" w:pos="643"/>
          <w:tab w:val="num" w:pos="567"/>
        </w:tabs>
        <w:ind w:left="426" w:hanging="426"/>
      </w:pPr>
      <w:r>
        <w:t>E</w:t>
      </w:r>
      <w:r w:rsidRPr="00AE3618">
        <w:t xml:space="preserve">lective </w:t>
      </w:r>
      <w:proofErr w:type="spellStart"/>
      <w:r w:rsidRPr="00AE3618">
        <w:t>cesarean</w:t>
      </w:r>
      <w:proofErr w:type="spellEnd"/>
      <w:r w:rsidRPr="00AE3618">
        <w:t xml:space="preserve"> (not in labour, no rupture of membranes) no additional prophylaxis is recommended, irrespective of risk factors.</w:t>
      </w:r>
    </w:p>
    <w:p w14:paraId="646BE2B5" w14:textId="77777777" w:rsidR="00DB20BE" w:rsidRDefault="00DB20BE" w:rsidP="00DB20BE">
      <w:pPr>
        <w:pStyle w:val="Heading2"/>
      </w:pPr>
    </w:p>
    <w:p w14:paraId="19E51698" w14:textId="77777777" w:rsidR="00DB20BE" w:rsidRPr="00340FBF" w:rsidRDefault="00DB20BE" w:rsidP="00DB20BE">
      <w:pPr>
        <w:pStyle w:val="Heading2"/>
      </w:pPr>
      <w:r>
        <w:t>I</w:t>
      </w:r>
      <w:r w:rsidRPr="00926796">
        <w:t>ntrapartum Intravenous Antibiotic Prophylaxis</w:t>
      </w:r>
      <w:r>
        <w:t xml:space="preserve"> - </w:t>
      </w:r>
      <w:r w:rsidRPr="004B3009">
        <w:t>See Attachment 1</w:t>
      </w:r>
    </w:p>
    <w:p w14:paraId="04A07AB9" w14:textId="77777777" w:rsidR="00DB20BE" w:rsidRPr="00340FBF" w:rsidRDefault="00DB20BE" w:rsidP="00DB20BE">
      <w:pPr>
        <w:pStyle w:val="Heading2"/>
        <w:rPr>
          <w:b w:val="0"/>
        </w:rPr>
      </w:pPr>
      <w:r w:rsidRPr="00340FBF">
        <w:rPr>
          <w:b w:val="0"/>
        </w:rPr>
        <w:t xml:space="preserve">GBS prophylaxis is aimed at achieving adequate levels in the </w:t>
      </w:r>
      <w:proofErr w:type="spellStart"/>
      <w:r w:rsidRPr="00340FBF">
        <w:rPr>
          <w:b w:val="0"/>
        </w:rPr>
        <w:t>fetal</w:t>
      </w:r>
      <w:proofErr w:type="spellEnd"/>
      <w:r w:rsidRPr="00340FBF">
        <w:rPr>
          <w:b w:val="0"/>
        </w:rPr>
        <w:t xml:space="preserve"> circulation and amniotic fluid rapidly, while avoiding potentially neurotoxic serum levels in the mother or </w:t>
      </w:r>
      <w:proofErr w:type="spellStart"/>
      <w:r w:rsidRPr="00340FBF">
        <w:rPr>
          <w:b w:val="0"/>
        </w:rPr>
        <w:t>fetus</w:t>
      </w:r>
      <w:proofErr w:type="spellEnd"/>
    </w:p>
    <w:p w14:paraId="1B90B2D9" w14:textId="77777777" w:rsidR="00DB20BE" w:rsidRDefault="00DB20BE" w:rsidP="00DB20BE"/>
    <w:tbl>
      <w:tblPr>
        <w:tblW w:w="0" w:type="auto"/>
        <w:tblBorders>
          <w:top w:val="single" w:sz="8" w:space="0" w:color="4F81BD"/>
          <w:bottom w:val="single" w:sz="8" w:space="0" w:color="4F81BD"/>
        </w:tblBorders>
        <w:tblLook w:val="04A0" w:firstRow="1" w:lastRow="0" w:firstColumn="1" w:lastColumn="0" w:noHBand="0" w:noVBand="1"/>
      </w:tblPr>
      <w:tblGrid>
        <w:gridCol w:w="2522"/>
        <w:gridCol w:w="1905"/>
        <w:gridCol w:w="1375"/>
        <w:gridCol w:w="1825"/>
        <w:gridCol w:w="1433"/>
      </w:tblGrid>
      <w:tr w:rsidR="00DB20BE" w14:paraId="628D12B6" w14:textId="77777777" w:rsidTr="001E0431">
        <w:tc>
          <w:tcPr>
            <w:tcW w:w="2525" w:type="dxa"/>
            <w:tcBorders>
              <w:top w:val="single" w:sz="4" w:space="0" w:color="auto"/>
              <w:left w:val="single" w:sz="4" w:space="0" w:color="auto"/>
              <w:bottom w:val="single" w:sz="8" w:space="0" w:color="4F81BD"/>
              <w:right w:val="nil"/>
            </w:tcBorders>
          </w:tcPr>
          <w:p w14:paraId="1929E5AF" w14:textId="77777777" w:rsidR="00DB20BE" w:rsidRPr="00235D4B" w:rsidRDefault="00DB20BE" w:rsidP="001E0431">
            <w:pPr>
              <w:pStyle w:val="BodyText"/>
              <w:spacing w:after="0"/>
              <w:rPr>
                <w:rFonts w:ascii="Calibri" w:hAnsi="Calibri"/>
                <w:b/>
                <w:bCs/>
                <w:color w:val="365F91"/>
                <w:sz w:val="22"/>
                <w:szCs w:val="22"/>
                <w:lang w:eastAsia="en-AU"/>
              </w:rPr>
            </w:pPr>
            <w:r w:rsidRPr="00235D4B">
              <w:rPr>
                <w:rFonts w:ascii="Calibri" w:hAnsi="Calibri"/>
                <w:b/>
                <w:bCs/>
                <w:color w:val="365F91"/>
                <w:sz w:val="22"/>
                <w:szCs w:val="22"/>
                <w:lang w:eastAsia="en-AU"/>
              </w:rPr>
              <w:t>MEDICATION</w:t>
            </w:r>
          </w:p>
        </w:tc>
        <w:tc>
          <w:tcPr>
            <w:tcW w:w="1909" w:type="dxa"/>
            <w:tcBorders>
              <w:top w:val="single" w:sz="4" w:space="0" w:color="auto"/>
              <w:left w:val="nil"/>
              <w:bottom w:val="single" w:sz="8" w:space="0" w:color="4F81BD"/>
              <w:right w:val="nil"/>
            </w:tcBorders>
          </w:tcPr>
          <w:p w14:paraId="775D1C8C" w14:textId="77777777" w:rsidR="00DB20BE" w:rsidRPr="00235D4B" w:rsidRDefault="00DB20BE" w:rsidP="001E0431">
            <w:pPr>
              <w:pStyle w:val="BodyText"/>
              <w:spacing w:after="0"/>
              <w:rPr>
                <w:rFonts w:ascii="Calibri" w:hAnsi="Calibri"/>
                <w:b/>
                <w:bCs/>
                <w:color w:val="365F91"/>
                <w:sz w:val="22"/>
                <w:szCs w:val="22"/>
                <w:lang w:eastAsia="en-AU"/>
              </w:rPr>
            </w:pPr>
            <w:r w:rsidRPr="00235D4B">
              <w:rPr>
                <w:rFonts w:ascii="Calibri" w:hAnsi="Calibri"/>
                <w:b/>
                <w:bCs/>
                <w:color w:val="365F91"/>
                <w:sz w:val="22"/>
                <w:szCs w:val="22"/>
                <w:lang w:eastAsia="en-AU"/>
              </w:rPr>
              <w:t>DOSE</w:t>
            </w:r>
          </w:p>
        </w:tc>
        <w:tc>
          <w:tcPr>
            <w:tcW w:w="1375" w:type="dxa"/>
            <w:tcBorders>
              <w:top w:val="single" w:sz="4" w:space="0" w:color="auto"/>
              <w:left w:val="nil"/>
              <w:bottom w:val="single" w:sz="8" w:space="0" w:color="4F81BD"/>
              <w:right w:val="nil"/>
            </w:tcBorders>
          </w:tcPr>
          <w:p w14:paraId="4A1D2CFB" w14:textId="77777777" w:rsidR="00DB20BE" w:rsidRPr="00235D4B" w:rsidRDefault="00DB20BE" w:rsidP="001E0431">
            <w:pPr>
              <w:pStyle w:val="BodyText"/>
              <w:spacing w:after="0"/>
              <w:rPr>
                <w:rFonts w:ascii="Calibri" w:hAnsi="Calibri"/>
                <w:b/>
                <w:bCs/>
                <w:color w:val="365F91"/>
                <w:sz w:val="22"/>
                <w:szCs w:val="22"/>
                <w:lang w:eastAsia="en-AU"/>
              </w:rPr>
            </w:pPr>
            <w:r w:rsidRPr="00235D4B">
              <w:rPr>
                <w:rFonts w:ascii="Calibri" w:hAnsi="Calibri"/>
                <w:b/>
                <w:bCs/>
                <w:color w:val="365F91"/>
                <w:sz w:val="22"/>
                <w:szCs w:val="22"/>
                <w:lang w:eastAsia="en-AU"/>
              </w:rPr>
              <w:t>ROUTE</w:t>
            </w:r>
          </w:p>
        </w:tc>
        <w:tc>
          <w:tcPr>
            <w:tcW w:w="1827" w:type="dxa"/>
            <w:tcBorders>
              <w:top w:val="single" w:sz="4" w:space="0" w:color="auto"/>
              <w:left w:val="nil"/>
              <w:bottom w:val="single" w:sz="8" w:space="0" w:color="4F81BD"/>
              <w:right w:val="nil"/>
            </w:tcBorders>
          </w:tcPr>
          <w:p w14:paraId="5C53786B" w14:textId="77777777" w:rsidR="00DB20BE" w:rsidRPr="00235D4B" w:rsidRDefault="00DB20BE" w:rsidP="001E0431">
            <w:pPr>
              <w:pStyle w:val="BodyText"/>
              <w:spacing w:after="0"/>
              <w:rPr>
                <w:rFonts w:ascii="Calibri" w:hAnsi="Calibri"/>
                <w:b/>
                <w:bCs/>
                <w:color w:val="365F91"/>
                <w:sz w:val="22"/>
                <w:szCs w:val="22"/>
                <w:lang w:eastAsia="en-AU"/>
              </w:rPr>
            </w:pPr>
            <w:r w:rsidRPr="00235D4B">
              <w:rPr>
                <w:rFonts w:ascii="Calibri" w:hAnsi="Calibri"/>
                <w:b/>
                <w:bCs/>
                <w:color w:val="365F91"/>
                <w:sz w:val="22"/>
                <w:szCs w:val="22"/>
                <w:lang w:eastAsia="en-AU"/>
              </w:rPr>
              <w:t>FREQUENCY</w:t>
            </w:r>
          </w:p>
        </w:tc>
        <w:tc>
          <w:tcPr>
            <w:tcW w:w="1434" w:type="dxa"/>
            <w:tcBorders>
              <w:top w:val="single" w:sz="4" w:space="0" w:color="auto"/>
              <w:left w:val="nil"/>
              <w:bottom w:val="single" w:sz="8" w:space="0" w:color="4F81BD"/>
              <w:right w:val="single" w:sz="4" w:space="0" w:color="auto"/>
            </w:tcBorders>
          </w:tcPr>
          <w:p w14:paraId="093F758B" w14:textId="77777777" w:rsidR="00DB20BE" w:rsidRPr="00235D4B" w:rsidRDefault="00DB20BE" w:rsidP="001E0431">
            <w:pPr>
              <w:pStyle w:val="BodyText"/>
              <w:spacing w:after="0"/>
              <w:rPr>
                <w:rFonts w:ascii="Calibri" w:hAnsi="Calibri"/>
                <w:b/>
                <w:bCs/>
                <w:color w:val="365F91"/>
                <w:sz w:val="22"/>
                <w:szCs w:val="22"/>
                <w:lang w:eastAsia="en-AU"/>
              </w:rPr>
            </w:pPr>
            <w:r w:rsidRPr="00235D4B">
              <w:rPr>
                <w:rFonts w:ascii="Calibri" w:hAnsi="Calibri"/>
                <w:b/>
                <w:bCs/>
                <w:color w:val="365F91"/>
                <w:sz w:val="22"/>
                <w:szCs w:val="22"/>
                <w:lang w:eastAsia="en-AU"/>
              </w:rPr>
              <w:t>DURATION</w:t>
            </w:r>
          </w:p>
        </w:tc>
      </w:tr>
      <w:tr w:rsidR="00DB20BE" w14:paraId="78C9CCA3" w14:textId="77777777" w:rsidTr="001E0431">
        <w:tc>
          <w:tcPr>
            <w:tcW w:w="2525" w:type="dxa"/>
            <w:tcBorders>
              <w:left w:val="single" w:sz="4" w:space="0" w:color="auto"/>
              <w:right w:val="nil"/>
            </w:tcBorders>
            <w:shd w:val="clear" w:color="auto" w:fill="D3DFEE"/>
          </w:tcPr>
          <w:p w14:paraId="5913B951" w14:textId="77777777" w:rsidR="00DB20BE" w:rsidRPr="00235D4B" w:rsidRDefault="00DB20BE" w:rsidP="001E0431">
            <w:pPr>
              <w:pStyle w:val="BodyText"/>
              <w:spacing w:after="0"/>
              <w:rPr>
                <w:rFonts w:ascii="Calibri" w:hAnsi="Calibri"/>
                <w:b/>
                <w:bCs/>
                <w:color w:val="365F91"/>
                <w:sz w:val="22"/>
                <w:szCs w:val="22"/>
                <w:lang w:eastAsia="en-AU"/>
              </w:rPr>
            </w:pPr>
          </w:p>
        </w:tc>
        <w:tc>
          <w:tcPr>
            <w:tcW w:w="1909" w:type="dxa"/>
            <w:tcBorders>
              <w:left w:val="nil"/>
              <w:right w:val="nil"/>
            </w:tcBorders>
            <w:shd w:val="clear" w:color="auto" w:fill="D3DFEE"/>
          </w:tcPr>
          <w:p w14:paraId="64B93329" w14:textId="77777777" w:rsidR="00DB20BE" w:rsidRPr="00235D4B" w:rsidRDefault="00DB20BE" w:rsidP="001E0431">
            <w:pPr>
              <w:pStyle w:val="BodyText"/>
              <w:spacing w:after="0"/>
              <w:rPr>
                <w:rFonts w:ascii="Calibri" w:hAnsi="Calibri"/>
                <w:color w:val="365F91"/>
                <w:sz w:val="22"/>
                <w:szCs w:val="22"/>
                <w:lang w:eastAsia="en-AU"/>
              </w:rPr>
            </w:pPr>
          </w:p>
        </w:tc>
        <w:tc>
          <w:tcPr>
            <w:tcW w:w="1375" w:type="dxa"/>
            <w:tcBorders>
              <w:left w:val="nil"/>
              <w:right w:val="nil"/>
            </w:tcBorders>
            <w:shd w:val="clear" w:color="auto" w:fill="D3DFEE"/>
          </w:tcPr>
          <w:p w14:paraId="2FECAAD3" w14:textId="77777777" w:rsidR="00DB20BE" w:rsidRPr="00235D4B" w:rsidRDefault="00DB20BE" w:rsidP="001E0431">
            <w:pPr>
              <w:pStyle w:val="BodyText"/>
              <w:spacing w:after="0"/>
              <w:rPr>
                <w:rFonts w:ascii="Calibri" w:hAnsi="Calibri"/>
                <w:color w:val="365F91"/>
                <w:sz w:val="22"/>
                <w:szCs w:val="22"/>
                <w:lang w:eastAsia="en-AU"/>
              </w:rPr>
            </w:pPr>
          </w:p>
        </w:tc>
        <w:tc>
          <w:tcPr>
            <w:tcW w:w="1827" w:type="dxa"/>
            <w:tcBorders>
              <w:left w:val="nil"/>
              <w:right w:val="nil"/>
            </w:tcBorders>
            <w:shd w:val="clear" w:color="auto" w:fill="D3DFEE"/>
          </w:tcPr>
          <w:p w14:paraId="25622EF4" w14:textId="77777777" w:rsidR="00DB20BE" w:rsidRPr="00235D4B" w:rsidRDefault="00DB20BE" w:rsidP="001E0431">
            <w:pPr>
              <w:pStyle w:val="BodyText"/>
              <w:spacing w:after="0"/>
              <w:rPr>
                <w:rFonts w:ascii="Calibri" w:hAnsi="Calibri"/>
                <w:color w:val="365F91"/>
                <w:sz w:val="22"/>
                <w:szCs w:val="22"/>
                <w:lang w:eastAsia="en-AU"/>
              </w:rPr>
            </w:pPr>
          </w:p>
        </w:tc>
        <w:tc>
          <w:tcPr>
            <w:tcW w:w="1434" w:type="dxa"/>
            <w:tcBorders>
              <w:left w:val="nil"/>
              <w:right w:val="single" w:sz="4" w:space="0" w:color="auto"/>
            </w:tcBorders>
            <w:shd w:val="clear" w:color="auto" w:fill="D3DFEE"/>
          </w:tcPr>
          <w:p w14:paraId="42B0195D" w14:textId="77777777" w:rsidR="00DB20BE" w:rsidRPr="00235D4B" w:rsidRDefault="00DB20BE" w:rsidP="001E0431">
            <w:pPr>
              <w:pStyle w:val="BodyText"/>
              <w:spacing w:after="0"/>
              <w:rPr>
                <w:rFonts w:ascii="Calibri" w:hAnsi="Calibri"/>
                <w:color w:val="365F91"/>
                <w:sz w:val="22"/>
                <w:szCs w:val="22"/>
                <w:lang w:eastAsia="en-AU"/>
              </w:rPr>
            </w:pPr>
          </w:p>
        </w:tc>
      </w:tr>
      <w:tr w:rsidR="00DB20BE" w14:paraId="36EE102B" w14:textId="77777777" w:rsidTr="001E0431">
        <w:tc>
          <w:tcPr>
            <w:tcW w:w="2525" w:type="dxa"/>
            <w:tcBorders>
              <w:left w:val="single" w:sz="4" w:space="0" w:color="auto"/>
              <w:right w:val="nil"/>
            </w:tcBorders>
            <w:shd w:val="clear" w:color="auto" w:fill="D3DFEE"/>
          </w:tcPr>
          <w:p w14:paraId="70BC90D5" w14:textId="77777777" w:rsidR="00DB20BE" w:rsidRPr="00235D4B" w:rsidRDefault="00DB20BE" w:rsidP="001E0431">
            <w:pPr>
              <w:pStyle w:val="BodyText"/>
              <w:spacing w:after="0"/>
              <w:rPr>
                <w:rFonts w:ascii="Calibri" w:hAnsi="Calibri"/>
                <w:b/>
                <w:bCs/>
                <w:color w:val="365F91"/>
                <w:sz w:val="22"/>
                <w:szCs w:val="22"/>
                <w:lang w:eastAsia="en-AU"/>
              </w:rPr>
            </w:pPr>
            <w:r w:rsidRPr="00235D4B">
              <w:rPr>
                <w:rFonts w:ascii="Calibri" w:hAnsi="Calibri"/>
                <w:b/>
                <w:bCs/>
                <w:color w:val="365F91"/>
                <w:sz w:val="22"/>
                <w:szCs w:val="22"/>
                <w:lang w:eastAsia="en-AU"/>
              </w:rPr>
              <w:t>Benzylpenicillin</w:t>
            </w:r>
            <w:r w:rsidRPr="00235D4B">
              <w:rPr>
                <w:rFonts w:ascii="Calibri" w:hAnsi="Calibri"/>
                <w:b/>
                <w:bCs/>
                <w:color w:val="365F91"/>
                <w:sz w:val="22"/>
                <w:szCs w:val="22"/>
                <w:vertAlign w:val="superscript"/>
                <w:lang w:eastAsia="en-AU"/>
              </w:rPr>
              <w:t xml:space="preserve"> 3</w:t>
            </w:r>
          </w:p>
        </w:tc>
        <w:tc>
          <w:tcPr>
            <w:tcW w:w="1909" w:type="dxa"/>
            <w:tcBorders>
              <w:left w:val="nil"/>
              <w:right w:val="nil"/>
            </w:tcBorders>
            <w:shd w:val="clear" w:color="auto" w:fill="D3DFEE"/>
          </w:tcPr>
          <w:p w14:paraId="0D0D32E5" w14:textId="77777777" w:rsidR="00DB20BE" w:rsidRPr="00235D4B" w:rsidRDefault="00DB20BE" w:rsidP="001E0431">
            <w:pPr>
              <w:pStyle w:val="BodyText"/>
              <w:spacing w:after="0"/>
              <w:rPr>
                <w:rFonts w:ascii="Calibri" w:hAnsi="Calibri"/>
                <w:color w:val="365F91"/>
                <w:sz w:val="22"/>
                <w:szCs w:val="22"/>
                <w:lang w:eastAsia="en-AU"/>
              </w:rPr>
            </w:pPr>
            <w:r w:rsidRPr="00235D4B">
              <w:rPr>
                <w:rFonts w:ascii="Calibri" w:hAnsi="Calibri"/>
                <w:color w:val="365F91"/>
                <w:sz w:val="22"/>
                <w:szCs w:val="22"/>
                <w:lang w:eastAsia="en-AU"/>
              </w:rPr>
              <w:t>3.</w:t>
            </w:r>
            <w:r>
              <w:rPr>
                <w:rFonts w:ascii="Calibri" w:hAnsi="Calibri"/>
                <w:color w:val="365F91"/>
                <w:sz w:val="22"/>
                <w:szCs w:val="22"/>
                <w:lang w:eastAsia="en-AU"/>
              </w:rPr>
              <w:t>0gram</w:t>
            </w:r>
            <w:r w:rsidRPr="00235D4B">
              <w:rPr>
                <w:rFonts w:ascii="Calibri" w:hAnsi="Calibri"/>
                <w:color w:val="365F91"/>
                <w:sz w:val="22"/>
                <w:szCs w:val="22"/>
                <w:lang w:eastAsia="en-AU"/>
              </w:rPr>
              <w:t xml:space="preserve"> stat </w:t>
            </w:r>
          </w:p>
          <w:p w14:paraId="4E6623E0" w14:textId="77777777" w:rsidR="00DB20BE" w:rsidRPr="00235D4B" w:rsidRDefault="00DB20BE" w:rsidP="001E0431">
            <w:pPr>
              <w:pStyle w:val="BodyText"/>
              <w:spacing w:after="0"/>
              <w:rPr>
                <w:rFonts w:ascii="Calibri" w:hAnsi="Calibri"/>
                <w:color w:val="365F91"/>
                <w:sz w:val="22"/>
                <w:szCs w:val="22"/>
                <w:lang w:eastAsia="en-AU"/>
              </w:rPr>
            </w:pPr>
            <w:r w:rsidRPr="00235D4B">
              <w:rPr>
                <w:rFonts w:ascii="Calibri" w:hAnsi="Calibri"/>
                <w:color w:val="365F91"/>
                <w:sz w:val="22"/>
                <w:szCs w:val="22"/>
                <w:lang w:eastAsia="en-AU"/>
              </w:rPr>
              <w:t>then 1.8gram</w:t>
            </w:r>
          </w:p>
        </w:tc>
        <w:tc>
          <w:tcPr>
            <w:tcW w:w="1375" w:type="dxa"/>
            <w:tcBorders>
              <w:left w:val="nil"/>
              <w:right w:val="nil"/>
            </w:tcBorders>
            <w:shd w:val="clear" w:color="auto" w:fill="D3DFEE"/>
          </w:tcPr>
          <w:p w14:paraId="3F7B3A6B" w14:textId="77777777" w:rsidR="00DB20BE" w:rsidRPr="00235D4B" w:rsidRDefault="00DB20BE" w:rsidP="001E0431">
            <w:pPr>
              <w:pStyle w:val="BodyText"/>
              <w:spacing w:after="0"/>
              <w:rPr>
                <w:rFonts w:ascii="Calibri" w:hAnsi="Calibri"/>
                <w:color w:val="365F91"/>
                <w:sz w:val="22"/>
                <w:szCs w:val="22"/>
                <w:lang w:eastAsia="en-AU"/>
              </w:rPr>
            </w:pPr>
            <w:r w:rsidRPr="00235D4B">
              <w:rPr>
                <w:rFonts w:ascii="Calibri" w:hAnsi="Calibri"/>
                <w:color w:val="365F91"/>
                <w:sz w:val="22"/>
                <w:szCs w:val="22"/>
                <w:lang w:eastAsia="en-AU"/>
              </w:rPr>
              <w:t>Intravenous</w:t>
            </w:r>
          </w:p>
        </w:tc>
        <w:tc>
          <w:tcPr>
            <w:tcW w:w="1827" w:type="dxa"/>
            <w:tcBorders>
              <w:left w:val="nil"/>
              <w:right w:val="nil"/>
            </w:tcBorders>
            <w:shd w:val="clear" w:color="auto" w:fill="D3DFEE"/>
          </w:tcPr>
          <w:p w14:paraId="757CDFE1" w14:textId="77777777" w:rsidR="00DB20BE" w:rsidRPr="00235D4B" w:rsidRDefault="00DB20BE" w:rsidP="001E0431">
            <w:pPr>
              <w:pStyle w:val="BodyText"/>
              <w:spacing w:after="0"/>
              <w:rPr>
                <w:rFonts w:ascii="Calibri" w:hAnsi="Calibri"/>
                <w:color w:val="365F91"/>
                <w:sz w:val="22"/>
                <w:szCs w:val="22"/>
                <w:lang w:eastAsia="en-AU"/>
              </w:rPr>
            </w:pPr>
            <w:r w:rsidRPr="00235D4B">
              <w:rPr>
                <w:rFonts w:ascii="Calibri" w:hAnsi="Calibri"/>
                <w:color w:val="365F91"/>
                <w:sz w:val="22"/>
                <w:szCs w:val="22"/>
                <w:lang w:eastAsia="en-AU"/>
              </w:rPr>
              <w:t xml:space="preserve">4 </w:t>
            </w:r>
            <w:proofErr w:type="gramStart"/>
            <w:r w:rsidRPr="00235D4B">
              <w:rPr>
                <w:rFonts w:ascii="Calibri" w:hAnsi="Calibri"/>
                <w:color w:val="365F91"/>
                <w:sz w:val="22"/>
                <w:szCs w:val="22"/>
                <w:lang w:eastAsia="en-AU"/>
              </w:rPr>
              <w:t>hourly</w:t>
            </w:r>
            <w:proofErr w:type="gramEnd"/>
          </w:p>
        </w:tc>
        <w:tc>
          <w:tcPr>
            <w:tcW w:w="1434" w:type="dxa"/>
            <w:tcBorders>
              <w:left w:val="nil"/>
              <w:right w:val="single" w:sz="4" w:space="0" w:color="auto"/>
            </w:tcBorders>
            <w:shd w:val="clear" w:color="auto" w:fill="D3DFEE"/>
          </w:tcPr>
          <w:p w14:paraId="52A59FBE" w14:textId="77777777" w:rsidR="00DB20BE" w:rsidRPr="00235D4B" w:rsidRDefault="00DB20BE" w:rsidP="001E0431">
            <w:pPr>
              <w:pStyle w:val="BodyText"/>
              <w:spacing w:after="0"/>
              <w:rPr>
                <w:rFonts w:ascii="Calibri" w:hAnsi="Calibri"/>
                <w:color w:val="365F91"/>
                <w:sz w:val="22"/>
                <w:szCs w:val="22"/>
                <w:lang w:eastAsia="en-AU"/>
              </w:rPr>
            </w:pPr>
            <w:r w:rsidRPr="00235D4B">
              <w:rPr>
                <w:rFonts w:ascii="Calibri" w:hAnsi="Calibri"/>
                <w:color w:val="365F91"/>
                <w:sz w:val="22"/>
                <w:szCs w:val="22"/>
                <w:lang w:eastAsia="en-AU"/>
              </w:rPr>
              <w:t>Intrapartum</w:t>
            </w:r>
          </w:p>
        </w:tc>
      </w:tr>
      <w:tr w:rsidR="00DB20BE" w14:paraId="687EAF16" w14:textId="77777777" w:rsidTr="001E0431">
        <w:tc>
          <w:tcPr>
            <w:tcW w:w="2525" w:type="dxa"/>
            <w:tcBorders>
              <w:left w:val="single" w:sz="4" w:space="0" w:color="auto"/>
            </w:tcBorders>
          </w:tcPr>
          <w:p w14:paraId="65EF1AC9" w14:textId="77777777" w:rsidR="00DB20BE" w:rsidRPr="00235D4B" w:rsidRDefault="00DB20BE" w:rsidP="001E0431">
            <w:pPr>
              <w:pStyle w:val="BodyText"/>
              <w:spacing w:after="0"/>
              <w:rPr>
                <w:rFonts w:ascii="Calibri" w:hAnsi="Calibri"/>
                <w:b/>
                <w:bCs/>
                <w:color w:val="365F91"/>
                <w:sz w:val="22"/>
                <w:szCs w:val="22"/>
                <w:lang w:eastAsia="en-AU"/>
              </w:rPr>
            </w:pPr>
            <w:r w:rsidRPr="00235D4B">
              <w:rPr>
                <w:rFonts w:ascii="Calibri" w:hAnsi="Calibri"/>
                <w:b/>
                <w:bCs/>
                <w:color w:val="365F91"/>
                <w:sz w:val="22"/>
                <w:szCs w:val="22"/>
                <w:lang w:eastAsia="en-AU"/>
              </w:rPr>
              <w:t xml:space="preserve">Clindamycin </w:t>
            </w:r>
            <w:r>
              <w:rPr>
                <w:rFonts w:ascii="Calibri" w:hAnsi="Calibri"/>
                <w:bCs/>
                <w:color w:val="365F91"/>
                <w:sz w:val="22"/>
                <w:szCs w:val="22"/>
                <w:lang w:eastAsia="en-AU"/>
              </w:rPr>
              <w:t>(if anaphylaxis to penicillin)</w:t>
            </w:r>
            <w:r w:rsidRPr="00235D4B">
              <w:rPr>
                <w:rFonts w:ascii="Calibri" w:hAnsi="Calibri"/>
                <w:bCs/>
                <w:color w:val="365F91"/>
                <w:sz w:val="22"/>
                <w:szCs w:val="22"/>
                <w:lang w:eastAsia="en-AU"/>
              </w:rPr>
              <w:t xml:space="preserve"> </w:t>
            </w:r>
            <w:r w:rsidRPr="00235D4B">
              <w:rPr>
                <w:rFonts w:ascii="Calibri" w:hAnsi="Calibri"/>
                <w:b/>
                <w:bCs/>
                <w:color w:val="365F91"/>
                <w:sz w:val="22"/>
                <w:szCs w:val="22"/>
                <w:lang w:eastAsia="en-AU"/>
              </w:rPr>
              <w:t xml:space="preserve"> </w:t>
            </w:r>
          </w:p>
        </w:tc>
        <w:tc>
          <w:tcPr>
            <w:tcW w:w="1909" w:type="dxa"/>
          </w:tcPr>
          <w:p w14:paraId="20E370B5" w14:textId="77777777" w:rsidR="00DB20BE" w:rsidRPr="00235D4B" w:rsidRDefault="00DB20BE" w:rsidP="001E0431">
            <w:pPr>
              <w:pStyle w:val="BodyText"/>
              <w:spacing w:after="0"/>
              <w:rPr>
                <w:rFonts w:ascii="Calibri" w:hAnsi="Calibri"/>
                <w:color w:val="365F91"/>
                <w:sz w:val="22"/>
                <w:szCs w:val="22"/>
                <w:lang w:eastAsia="en-AU"/>
              </w:rPr>
            </w:pPr>
            <w:r>
              <w:rPr>
                <w:rFonts w:ascii="Calibri" w:hAnsi="Calibri"/>
                <w:color w:val="365F91"/>
                <w:sz w:val="22"/>
                <w:szCs w:val="22"/>
                <w:lang w:eastAsia="en-AU"/>
              </w:rPr>
              <w:t>6</w:t>
            </w:r>
            <w:r w:rsidRPr="00235D4B">
              <w:rPr>
                <w:rFonts w:ascii="Calibri" w:hAnsi="Calibri"/>
                <w:color w:val="365F91"/>
                <w:sz w:val="22"/>
                <w:szCs w:val="22"/>
                <w:lang w:eastAsia="en-AU"/>
              </w:rPr>
              <w:t>00mg in 100mls</w:t>
            </w:r>
          </w:p>
        </w:tc>
        <w:tc>
          <w:tcPr>
            <w:tcW w:w="1375" w:type="dxa"/>
          </w:tcPr>
          <w:p w14:paraId="50678181" w14:textId="77777777" w:rsidR="00DB20BE" w:rsidRPr="00235D4B" w:rsidRDefault="00DB20BE" w:rsidP="001E0431">
            <w:pPr>
              <w:pStyle w:val="BodyText"/>
              <w:spacing w:after="0"/>
              <w:rPr>
                <w:rFonts w:ascii="Calibri" w:hAnsi="Calibri"/>
                <w:color w:val="365F91"/>
                <w:sz w:val="22"/>
                <w:szCs w:val="22"/>
                <w:lang w:eastAsia="en-AU"/>
              </w:rPr>
            </w:pPr>
            <w:r w:rsidRPr="00235D4B">
              <w:rPr>
                <w:rFonts w:ascii="Calibri" w:hAnsi="Calibri"/>
                <w:color w:val="365F91"/>
                <w:sz w:val="22"/>
                <w:szCs w:val="22"/>
                <w:lang w:eastAsia="en-AU"/>
              </w:rPr>
              <w:t>Intravenous</w:t>
            </w:r>
          </w:p>
        </w:tc>
        <w:tc>
          <w:tcPr>
            <w:tcW w:w="1827" w:type="dxa"/>
          </w:tcPr>
          <w:p w14:paraId="2DE02315" w14:textId="77777777" w:rsidR="00DB20BE" w:rsidRPr="00235D4B" w:rsidRDefault="00DB20BE" w:rsidP="001E0431">
            <w:pPr>
              <w:pStyle w:val="BodyText"/>
              <w:spacing w:after="0"/>
              <w:rPr>
                <w:rFonts w:ascii="Calibri" w:hAnsi="Calibri"/>
                <w:color w:val="365F91"/>
                <w:sz w:val="22"/>
                <w:szCs w:val="22"/>
                <w:lang w:eastAsia="en-AU"/>
              </w:rPr>
            </w:pPr>
            <w:r w:rsidRPr="00235D4B">
              <w:rPr>
                <w:rFonts w:ascii="Calibri" w:hAnsi="Calibri"/>
                <w:color w:val="365F91"/>
                <w:sz w:val="22"/>
                <w:szCs w:val="22"/>
                <w:lang w:eastAsia="en-AU"/>
              </w:rPr>
              <w:t xml:space="preserve">8 </w:t>
            </w:r>
            <w:proofErr w:type="gramStart"/>
            <w:r w:rsidRPr="00235D4B">
              <w:rPr>
                <w:rFonts w:ascii="Calibri" w:hAnsi="Calibri"/>
                <w:color w:val="365F91"/>
                <w:sz w:val="22"/>
                <w:szCs w:val="22"/>
                <w:lang w:eastAsia="en-AU"/>
              </w:rPr>
              <w:t>hourly</w:t>
            </w:r>
            <w:proofErr w:type="gramEnd"/>
          </w:p>
        </w:tc>
        <w:tc>
          <w:tcPr>
            <w:tcW w:w="1434" w:type="dxa"/>
            <w:tcBorders>
              <w:right w:val="single" w:sz="4" w:space="0" w:color="auto"/>
            </w:tcBorders>
          </w:tcPr>
          <w:p w14:paraId="0AAEA1B7" w14:textId="77777777" w:rsidR="00DB20BE" w:rsidRPr="00235D4B" w:rsidRDefault="00DB20BE" w:rsidP="001E0431">
            <w:pPr>
              <w:pStyle w:val="BodyText"/>
              <w:spacing w:after="0"/>
              <w:rPr>
                <w:rFonts w:ascii="Calibri" w:hAnsi="Calibri"/>
                <w:color w:val="365F91"/>
                <w:sz w:val="22"/>
                <w:szCs w:val="22"/>
                <w:lang w:eastAsia="en-AU"/>
              </w:rPr>
            </w:pPr>
            <w:r w:rsidRPr="00235D4B">
              <w:rPr>
                <w:rFonts w:ascii="Calibri" w:hAnsi="Calibri"/>
                <w:color w:val="365F91"/>
                <w:sz w:val="22"/>
                <w:szCs w:val="22"/>
                <w:lang w:eastAsia="en-AU"/>
              </w:rPr>
              <w:t>Intrapartum</w:t>
            </w:r>
          </w:p>
        </w:tc>
      </w:tr>
      <w:tr w:rsidR="00DB20BE" w14:paraId="4B5A1C52" w14:textId="77777777" w:rsidTr="001E0431">
        <w:tc>
          <w:tcPr>
            <w:tcW w:w="2525" w:type="dxa"/>
            <w:tcBorders>
              <w:left w:val="single" w:sz="4" w:space="0" w:color="auto"/>
              <w:bottom w:val="single" w:sz="4" w:space="0" w:color="auto"/>
              <w:right w:val="nil"/>
            </w:tcBorders>
            <w:shd w:val="clear" w:color="auto" w:fill="D3DFEE"/>
          </w:tcPr>
          <w:p w14:paraId="5F0FD561" w14:textId="77777777" w:rsidR="00DB20BE" w:rsidRPr="00235D4B" w:rsidRDefault="00DB20BE" w:rsidP="001E0431">
            <w:pPr>
              <w:pStyle w:val="BodyText"/>
              <w:spacing w:after="0"/>
              <w:rPr>
                <w:rFonts w:ascii="Calibri" w:hAnsi="Calibri"/>
                <w:b/>
                <w:bCs/>
                <w:color w:val="365F91"/>
                <w:sz w:val="22"/>
                <w:szCs w:val="22"/>
                <w:lang w:eastAsia="en-AU"/>
              </w:rPr>
            </w:pPr>
            <w:r w:rsidRPr="00235D4B">
              <w:rPr>
                <w:rFonts w:ascii="Calibri" w:hAnsi="Calibri"/>
                <w:b/>
                <w:bCs/>
                <w:color w:val="365F91"/>
                <w:sz w:val="22"/>
                <w:szCs w:val="22"/>
                <w:lang w:eastAsia="en-AU"/>
              </w:rPr>
              <w:t>Cephazolin (</w:t>
            </w:r>
            <w:r w:rsidRPr="00235D4B">
              <w:rPr>
                <w:rFonts w:ascii="Calibri" w:hAnsi="Calibri"/>
                <w:bCs/>
                <w:color w:val="365F91"/>
                <w:sz w:val="22"/>
                <w:szCs w:val="22"/>
                <w:lang w:eastAsia="en-AU"/>
              </w:rPr>
              <w:t>if non-anaphylaxis to penicillin)</w:t>
            </w:r>
          </w:p>
        </w:tc>
        <w:tc>
          <w:tcPr>
            <w:tcW w:w="1909" w:type="dxa"/>
            <w:tcBorders>
              <w:left w:val="nil"/>
              <w:bottom w:val="single" w:sz="4" w:space="0" w:color="auto"/>
              <w:right w:val="nil"/>
            </w:tcBorders>
            <w:shd w:val="clear" w:color="auto" w:fill="D3DFEE"/>
          </w:tcPr>
          <w:p w14:paraId="7D79C3C6" w14:textId="77777777" w:rsidR="00DB20BE" w:rsidRPr="00235D4B" w:rsidRDefault="00DB20BE" w:rsidP="001E0431">
            <w:pPr>
              <w:pStyle w:val="BodyText"/>
              <w:spacing w:after="0"/>
              <w:rPr>
                <w:rFonts w:ascii="Calibri" w:hAnsi="Calibri"/>
                <w:color w:val="365F91"/>
                <w:sz w:val="22"/>
                <w:szCs w:val="22"/>
                <w:lang w:eastAsia="en-AU"/>
              </w:rPr>
            </w:pPr>
            <w:r w:rsidRPr="00235D4B">
              <w:rPr>
                <w:rFonts w:ascii="Calibri" w:hAnsi="Calibri"/>
                <w:color w:val="365F91"/>
                <w:sz w:val="22"/>
                <w:szCs w:val="22"/>
                <w:lang w:eastAsia="en-AU"/>
              </w:rPr>
              <w:t>2gram stat</w:t>
            </w:r>
          </w:p>
          <w:p w14:paraId="43588574" w14:textId="77777777" w:rsidR="00DB20BE" w:rsidRPr="00235D4B" w:rsidRDefault="00DB20BE" w:rsidP="001E0431">
            <w:pPr>
              <w:pStyle w:val="BodyText"/>
              <w:spacing w:after="0"/>
              <w:rPr>
                <w:rFonts w:ascii="Calibri" w:hAnsi="Calibri"/>
                <w:color w:val="365F91"/>
                <w:sz w:val="22"/>
                <w:szCs w:val="22"/>
                <w:lang w:eastAsia="en-AU"/>
              </w:rPr>
            </w:pPr>
            <w:r>
              <w:rPr>
                <w:rFonts w:ascii="Calibri" w:hAnsi="Calibri"/>
                <w:color w:val="365F91"/>
                <w:sz w:val="22"/>
                <w:szCs w:val="22"/>
                <w:lang w:eastAsia="en-AU"/>
              </w:rPr>
              <w:t>t</w:t>
            </w:r>
            <w:r w:rsidRPr="00235D4B">
              <w:rPr>
                <w:rFonts w:ascii="Calibri" w:hAnsi="Calibri"/>
                <w:color w:val="365F91"/>
                <w:sz w:val="22"/>
                <w:szCs w:val="22"/>
                <w:lang w:eastAsia="en-AU"/>
              </w:rPr>
              <w:t>hen 1 gram</w:t>
            </w:r>
          </w:p>
        </w:tc>
        <w:tc>
          <w:tcPr>
            <w:tcW w:w="1375" w:type="dxa"/>
            <w:tcBorders>
              <w:left w:val="nil"/>
              <w:bottom w:val="single" w:sz="4" w:space="0" w:color="auto"/>
              <w:right w:val="nil"/>
            </w:tcBorders>
            <w:shd w:val="clear" w:color="auto" w:fill="D3DFEE"/>
          </w:tcPr>
          <w:p w14:paraId="36049D2A" w14:textId="77777777" w:rsidR="00DB20BE" w:rsidRPr="00235D4B" w:rsidRDefault="00DB20BE" w:rsidP="001E0431">
            <w:pPr>
              <w:pStyle w:val="BodyText"/>
              <w:spacing w:after="0"/>
              <w:rPr>
                <w:rFonts w:ascii="Calibri" w:hAnsi="Calibri"/>
                <w:color w:val="365F91"/>
                <w:sz w:val="22"/>
                <w:szCs w:val="22"/>
                <w:lang w:eastAsia="en-AU"/>
              </w:rPr>
            </w:pPr>
            <w:r w:rsidRPr="00235D4B">
              <w:rPr>
                <w:rFonts w:ascii="Calibri" w:hAnsi="Calibri"/>
                <w:color w:val="365F91"/>
                <w:sz w:val="22"/>
                <w:szCs w:val="22"/>
                <w:lang w:eastAsia="en-AU"/>
              </w:rPr>
              <w:t>Intravenous</w:t>
            </w:r>
          </w:p>
        </w:tc>
        <w:tc>
          <w:tcPr>
            <w:tcW w:w="1827" w:type="dxa"/>
            <w:tcBorders>
              <w:left w:val="nil"/>
              <w:bottom w:val="single" w:sz="4" w:space="0" w:color="auto"/>
              <w:right w:val="nil"/>
            </w:tcBorders>
            <w:shd w:val="clear" w:color="auto" w:fill="D3DFEE"/>
          </w:tcPr>
          <w:p w14:paraId="6A0E2EEB" w14:textId="77777777" w:rsidR="00DB20BE" w:rsidRDefault="00DB20BE" w:rsidP="001E0431">
            <w:pPr>
              <w:pStyle w:val="BodyText"/>
              <w:spacing w:after="0"/>
              <w:rPr>
                <w:rFonts w:ascii="Calibri" w:hAnsi="Calibri"/>
                <w:color w:val="365F91"/>
                <w:sz w:val="22"/>
                <w:szCs w:val="22"/>
                <w:lang w:eastAsia="en-AU"/>
              </w:rPr>
            </w:pPr>
            <w:r w:rsidRPr="00235D4B">
              <w:rPr>
                <w:rFonts w:ascii="Calibri" w:hAnsi="Calibri"/>
                <w:color w:val="365F91"/>
                <w:sz w:val="22"/>
                <w:szCs w:val="22"/>
                <w:lang w:eastAsia="en-AU"/>
              </w:rPr>
              <w:t xml:space="preserve">8 </w:t>
            </w:r>
            <w:proofErr w:type="gramStart"/>
            <w:r w:rsidRPr="00235D4B">
              <w:rPr>
                <w:rFonts w:ascii="Calibri" w:hAnsi="Calibri"/>
                <w:color w:val="365F91"/>
                <w:sz w:val="22"/>
                <w:szCs w:val="22"/>
                <w:lang w:eastAsia="en-AU"/>
              </w:rPr>
              <w:t>hourl</w:t>
            </w:r>
            <w:r>
              <w:rPr>
                <w:rFonts w:ascii="Calibri" w:hAnsi="Calibri"/>
                <w:color w:val="365F91"/>
                <w:sz w:val="22"/>
                <w:szCs w:val="22"/>
                <w:lang w:eastAsia="en-AU"/>
              </w:rPr>
              <w:t>y</w:t>
            </w:r>
            <w:proofErr w:type="gramEnd"/>
          </w:p>
          <w:p w14:paraId="3D2AE555" w14:textId="77777777" w:rsidR="00DB20BE" w:rsidRPr="00235D4B" w:rsidRDefault="00DB20BE" w:rsidP="001E0431">
            <w:pPr>
              <w:pStyle w:val="BodyText"/>
              <w:spacing w:after="0"/>
              <w:rPr>
                <w:rFonts w:ascii="Calibri" w:hAnsi="Calibri"/>
                <w:color w:val="365F91"/>
                <w:sz w:val="22"/>
                <w:szCs w:val="22"/>
                <w:lang w:eastAsia="en-AU"/>
              </w:rPr>
            </w:pPr>
          </w:p>
        </w:tc>
        <w:tc>
          <w:tcPr>
            <w:tcW w:w="1434" w:type="dxa"/>
            <w:tcBorders>
              <w:left w:val="nil"/>
              <w:bottom w:val="single" w:sz="4" w:space="0" w:color="auto"/>
              <w:right w:val="single" w:sz="4" w:space="0" w:color="auto"/>
            </w:tcBorders>
            <w:shd w:val="clear" w:color="auto" w:fill="D3DFEE"/>
          </w:tcPr>
          <w:p w14:paraId="31ACC04D" w14:textId="77777777" w:rsidR="00DB20BE" w:rsidRPr="00235D4B" w:rsidRDefault="00DB20BE" w:rsidP="001E0431">
            <w:pPr>
              <w:pStyle w:val="BodyText"/>
              <w:spacing w:after="0"/>
              <w:rPr>
                <w:rFonts w:ascii="Calibri" w:hAnsi="Calibri"/>
                <w:color w:val="365F91"/>
                <w:sz w:val="22"/>
                <w:szCs w:val="22"/>
                <w:lang w:eastAsia="en-AU"/>
              </w:rPr>
            </w:pPr>
            <w:r w:rsidRPr="00235D4B">
              <w:rPr>
                <w:rFonts w:ascii="Calibri" w:hAnsi="Calibri"/>
                <w:color w:val="365F91"/>
                <w:sz w:val="22"/>
                <w:szCs w:val="22"/>
                <w:lang w:eastAsia="en-AU"/>
              </w:rPr>
              <w:t>Intrapartum</w:t>
            </w:r>
          </w:p>
        </w:tc>
      </w:tr>
    </w:tbl>
    <w:p w14:paraId="5AFD412A" w14:textId="77777777" w:rsidR="00DB20BE" w:rsidRDefault="00DB20BE" w:rsidP="00DB20BE">
      <w:pPr>
        <w:pStyle w:val="Default"/>
        <w:rPr>
          <w:rFonts w:ascii="Calibri" w:hAnsi="Calibri"/>
          <w:sz w:val="22"/>
          <w:szCs w:val="22"/>
        </w:rPr>
      </w:pPr>
    </w:p>
    <w:p w14:paraId="40B9DE1F" w14:textId="77777777" w:rsidR="00DB20BE" w:rsidRDefault="00DB20BE" w:rsidP="00DB20BE">
      <w:pPr>
        <w:pStyle w:val="Default"/>
        <w:rPr>
          <w:rFonts w:ascii="Calibri" w:hAnsi="Calibri"/>
          <w:sz w:val="22"/>
          <w:szCs w:val="22"/>
        </w:rPr>
      </w:pPr>
      <w:r w:rsidRPr="00813766">
        <w:rPr>
          <w:rFonts w:ascii="Calibri" w:hAnsi="Calibri" w:cs="Calibri"/>
          <w:b/>
          <w:bCs/>
        </w:rPr>
        <w:t>If evidence of chorioamnionitis ADD:</w:t>
      </w:r>
    </w:p>
    <w:p w14:paraId="358B1A63" w14:textId="77777777" w:rsidR="00DB20BE" w:rsidRDefault="00DB20BE" w:rsidP="00DB20BE">
      <w:pPr>
        <w:pStyle w:val="Default"/>
        <w:ind w:left="360"/>
        <w:rPr>
          <w:rFonts w:ascii="Calibri" w:hAnsi="Calibri"/>
          <w:sz w:val="22"/>
          <w:szCs w:val="22"/>
        </w:rPr>
      </w:pPr>
    </w:p>
    <w:tbl>
      <w:tblPr>
        <w:tblW w:w="0" w:type="auto"/>
        <w:tblBorders>
          <w:top w:val="single" w:sz="8" w:space="0" w:color="4F81BD"/>
          <w:bottom w:val="single" w:sz="8" w:space="0" w:color="4F81BD"/>
        </w:tblBorders>
        <w:tblLook w:val="04A0" w:firstRow="1" w:lastRow="0" w:firstColumn="1" w:lastColumn="0" w:noHBand="0" w:noVBand="1"/>
      </w:tblPr>
      <w:tblGrid>
        <w:gridCol w:w="2599"/>
        <w:gridCol w:w="1990"/>
        <w:gridCol w:w="1383"/>
        <w:gridCol w:w="1869"/>
        <w:gridCol w:w="243"/>
      </w:tblGrid>
      <w:tr w:rsidR="00DB20BE" w:rsidRPr="00235D4B" w14:paraId="327971B3" w14:textId="77777777" w:rsidTr="001E0431">
        <w:tc>
          <w:tcPr>
            <w:tcW w:w="2599" w:type="dxa"/>
            <w:tcBorders>
              <w:top w:val="single" w:sz="4" w:space="0" w:color="auto"/>
              <w:left w:val="single" w:sz="4" w:space="0" w:color="auto"/>
              <w:bottom w:val="single" w:sz="8" w:space="0" w:color="4F81BD"/>
              <w:right w:val="nil"/>
            </w:tcBorders>
          </w:tcPr>
          <w:p w14:paraId="34801A9D" w14:textId="77777777" w:rsidR="00DB20BE" w:rsidRPr="00235D4B" w:rsidRDefault="00DB20BE" w:rsidP="001E0431">
            <w:pPr>
              <w:pStyle w:val="BodyText"/>
              <w:spacing w:after="0"/>
              <w:rPr>
                <w:rFonts w:ascii="Calibri" w:hAnsi="Calibri"/>
                <w:b/>
                <w:bCs/>
                <w:color w:val="365F91"/>
                <w:sz w:val="22"/>
                <w:szCs w:val="22"/>
                <w:lang w:eastAsia="en-AU"/>
              </w:rPr>
            </w:pPr>
            <w:r w:rsidRPr="00235D4B">
              <w:rPr>
                <w:rFonts w:ascii="Calibri" w:hAnsi="Calibri"/>
                <w:b/>
                <w:bCs/>
                <w:color w:val="365F91"/>
                <w:sz w:val="22"/>
                <w:szCs w:val="22"/>
                <w:lang w:eastAsia="en-AU"/>
              </w:rPr>
              <w:t>MEDICATION</w:t>
            </w:r>
          </w:p>
        </w:tc>
        <w:tc>
          <w:tcPr>
            <w:tcW w:w="1990" w:type="dxa"/>
            <w:tcBorders>
              <w:top w:val="single" w:sz="4" w:space="0" w:color="auto"/>
              <w:left w:val="nil"/>
              <w:bottom w:val="single" w:sz="8" w:space="0" w:color="4F81BD"/>
              <w:right w:val="nil"/>
            </w:tcBorders>
          </w:tcPr>
          <w:p w14:paraId="3189B9ED" w14:textId="77777777" w:rsidR="00DB20BE" w:rsidRPr="00235D4B" w:rsidRDefault="00DB20BE" w:rsidP="001E0431">
            <w:pPr>
              <w:pStyle w:val="BodyText"/>
              <w:spacing w:after="0"/>
              <w:rPr>
                <w:rFonts w:ascii="Calibri" w:hAnsi="Calibri"/>
                <w:b/>
                <w:bCs/>
                <w:color w:val="365F91"/>
                <w:sz w:val="22"/>
                <w:szCs w:val="22"/>
                <w:lang w:eastAsia="en-AU"/>
              </w:rPr>
            </w:pPr>
            <w:r w:rsidRPr="00235D4B">
              <w:rPr>
                <w:rFonts w:ascii="Calibri" w:hAnsi="Calibri"/>
                <w:b/>
                <w:bCs/>
                <w:color w:val="365F91"/>
                <w:sz w:val="22"/>
                <w:szCs w:val="22"/>
                <w:lang w:eastAsia="en-AU"/>
              </w:rPr>
              <w:t>DOSE</w:t>
            </w:r>
          </w:p>
        </w:tc>
        <w:tc>
          <w:tcPr>
            <w:tcW w:w="1383" w:type="dxa"/>
            <w:tcBorders>
              <w:top w:val="single" w:sz="4" w:space="0" w:color="auto"/>
              <w:left w:val="nil"/>
              <w:bottom w:val="single" w:sz="8" w:space="0" w:color="4F81BD"/>
              <w:right w:val="nil"/>
            </w:tcBorders>
          </w:tcPr>
          <w:p w14:paraId="0BAE781E" w14:textId="77777777" w:rsidR="00DB20BE" w:rsidRPr="00235D4B" w:rsidRDefault="00DB20BE" w:rsidP="001E0431">
            <w:pPr>
              <w:pStyle w:val="BodyText"/>
              <w:spacing w:after="0"/>
              <w:rPr>
                <w:rFonts w:ascii="Calibri" w:hAnsi="Calibri"/>
                <w:b/>
                <w:bCs/>
                <w:color w:val="365F91"/>
                <w:sz w:val="22"/>
                <w:szCs w:val="22"/>
                <w:lang w:eastAsia="en-AU"/>
              </w:rPr>
            </w:pPr>
            <w:r w:rsidRPr="00235D4B">
              <w:rPr>
                <w:rFonts w:ascii="Calibri" w:hAnsi="Calibri"/>
                <w:b/>
                <w:bCs/>
                <w:color w:val="365F91"/>
                <w:sz w:val="22"/>
                <w:szCs w:val="22"/>
                <w:lang w:eastAsia="en-AU"/>
              </w:rPr>
              <w:t>ROUTE</w:t>
            </w:r>
          </w:p>
        </w:tc>
        <w:tc>
          <w:tcPr>
            <w:tcW w:w="1869" w:type="dxa"/>
            <w:tcBorders>
              <w:top w:val="single" w:sz="4" w:space="0" w:color="auto"/>
              <w:left w:val="nil"/>
              <w:bottom w:val="single" w:sz="8" w:space="0" w:color="4F81BD"/>
              <w:right w:val="nil"/>
            </w:tcBorders>
          </w:tcPr>
          <w:p w14:paraId="3F42C129" w14:textId="77777777" w:rsidR="00DB20BE" w:rsidRPr="00235D4B" w:rsidRDefault="00DB20BE" w:rsidP="001E0431">
            <w:pPr>
              <w:pStyle w:val="BodyText"/>
              <w:spacing w:after="0"/>
              <w:rPr>
                <w:rFonts w:ascii="Calibri" w:hAnsi="Calibri"/>
                <w:b/>
                <w:bCs/>
                <w:color w:val="365F91"/>
                <w:sz w:val="22"/>
                <w:szCs w:val="22"/>
                <w:lang w:eastAsia="en-AU"/>
              </w:rPr>
            </w:pPr>
            <w:r w:rsidRPr="00235D4B">
              <w:rPr>
                <w:rFonts w:ascii="Calibri" w:hAnsi="Calibri"/>
                <w:b/>
                <w:bCs/>
                <w:color w:val="365F91"/>
                <w:sz w:val="22"/>
                <w:szCs w:val="22"/>
                <w:lang w:eastAsia="en-AU"/>
              </w:rPr>
              <w:t>FREQUENCY</w:t>
            </w:r>
          </w:p>
        </w:tc>
        <w:tc>
          <w:tcPr>
            <w:tcW w:w="243" w:type="dxa"/>
            <w:tcBorders>
              <w:top w:val="single" w:sz="4" w:space="0" w:color="auto"/>
              <w:left w:val="nil"/>
              <w:bottom w:val="single" w:sz="8" w:space="0" w:color="4F81BD"/>
              <w:right w:val="single" w:sz="4" w:space="0" w:color="auto"/>
            </w:tcBorders>
          </w:tcPr>
          <w:p w14:paraId="7EF90673" w14:textId="77777777" w:rsidR="00DB20BE" w:rsidRPr="00235D4B" w:rsidRDefault="00DB20BE" w:rsidP="001E0431">
            <w:pPr>
              <w:pStyle w:val="BodyText"/>
              <w:spacing w:after="0"/>
              <w:rPr>
                <w:rFonts w:ascii="Calibri" w:hAnsi="Calibri"/>
                <w:b/>
                <w:bCs/>
                <w:color w:val="365F91"/>
                <w:sz w:val="22"/>
                <w:szCs w:val="22"/>
                <w:lang w:eastAsia="en-AU"/>
              </w:rPr>
            </w:pPr>
          </w:p>
        </w:tc>
      </w:tr>
      <w:tr w:rsidR="00DB20BE" w:rsidRPr="00235D4B" w14:paraId="5E3911A5" w14:textId="77777777" w:rsidTr="001E0431">
        <w:tc>
          <w:tcPr>
            <w:tcW w:w="2599" w:type="dxa"/>
            <w:tcBorders>
              <w:left w:val="single" w:sz="4" w:space="0" w:color="auto"/>
              <w:right w:val="nil"/>
            </w:tcBorders>
            <w:shd w:val="clear" w:color="auto" w:fill="D3DFEE"/>
          </w:tcPr>
          <w:p w14:paraId="780BA6AE" w14:textId="77777777" w:rsidR="00DB20BE" w:rsidRPr="00235D4B" w:rsidRDefault="00DB20BE" w:rsidP="001E0431">
            <w:pPr>
              <w:pStyle w:val="BodyText"/>
              <w:spacing w:after="0"/>
              <w:rPr>
                <w:rFonts w:ascii="Calibri" w:hAnsi="Calibri"/>
                <w:b/>
                <w:bCs/>
                <w:color w:val="365F91"/>
                <w:sz w:val="22"/>
                <w:szCs w:val="22"/>
                <w:lang w:eastAsia="en-AU"/>
              </w:rPr>
            </w:pPr>
            <w:r>
              <w:rPr>
                <w:rFonts w:ascii="Calibri" w:hAnsi="Calibri"/>
                <w:b/>
                <w:bCs/>
                <w:color w:val="365F91"/>
                <w:sz w:val="22"/>
                <w:szCs w:val="22"/>
                <w:lang w:eastAsia="en-AU"/>
              </w:rPr>
              <w:t>Gentamicin</w:t>
            </w:r>
          </w:p>
        </w:tc>
        <w:tc>
          <w:tcPr>
            <w:tcW w:w="1990" w:type="dxa"/>
            <w:tcBorders>
              <w:left w:val="nil"/>
              <w:right w:val="nil"/>
            </w:tcBorders>
            <w:shd w:val="clear" w:color="auto" w:fill="D3DFEE"/>
          </w:tcPr>
          <w:p w14:paraId="72066C6D" w14:textId="77777777" w:rsidR="00DB20BE" w:rsidRPr="00235D4B" w:rsidRDefault="00DB20BE" w:rsidP="001E0431">
            <w:pPr>
              <w:pStyle w:val="BodyText"/>
              <w:spacing w:after="0"/>
              <w:rPr>
                <w:rFonts w:ascii="Calibri" w:hAnsi="Calibri"/>
                <w:color w:val="365F91"/>
                <w:sz w:val="22"/>
                <w:szCs w:val="22"/>
                <w:lang w:eastAsia="en-AU"/>
              </w:rPr>
            </w:pPr>
            <w:r>
              <w:rPr>
                <w:rFonts w:ascii="Calibri" w:hAnsi="Calibri"/>
                <w:color w:val="365F91"/>
                <w:sz w:val="22"/>
                <w:szCs w:val="22"/>
                <w:lang w:eastAsia="en-AU"/>
              </w:rPr>
              <w:t xml:space="preserve">4-6mg/kg </w:t>
            </w:r>
          </w:p>
        </w:tc>
        <w:tc>
          <w:tcPr>
            <w:tcW w:w="1383" w:type="dxa"/>
            <w:tcBorders>
              <w:left w:val="nil"/>
              <w:right w:val="nil"/>
            </w:tcBorders>
            <w:shd w:val="clear" w:color="auto" w:fill="D3DFEE"/>
          </w:tcPr>
          <w:p w14:paraId="7B7A7E51" w14:textId="77777777" w:rsidR="00DB20BE" w:rsidRPr="00235D4B" w:rsidRDefault="00DB20BE" w:rsidP="001E0431">
            <w:pPr>
              <w:pStyle w:val="BodyText"/>
              <w:spacing w:after="0"/>
              <w:rPr>
                <w:rFonts w:ascii="Calibri" w:hAnsi="Calibri"/>
                <w:color w:val="365F91"/>
                <w:sz w:val="22"/>
                <w:szCs w:val="22"/>
                <w:lang w:eastAsia="en-AU"/>
              </w:rPr>
            </w:pPr>
            <w:r w:rsidRPr="00235D4B">
              <w:rPr>
                <w:rFonts w:ascii="Calibri" w:hAnsi="Calibri"/>
                <w:color w:val="365F91"/>
                <w:sz w:val="22"/>
                <w:szCs w:val="22"/>
                <w:lang w:eastAsia="en-AU"/>
              </w:rPr>
              <w:t>Intravenous</w:t>
            </w:r>
          </w:p>
        </w:tc>
        <w:tc>
          <w:tcPr>
            <w:tcW w:w="1869" w:type="dxa"/>
            <w:tcBorders>
              <w:left w:val="nil"/>
              <w:right w:val="nil"/>
            </w:tcBorders>
            <w:shd w:val="clear" w:color="auto" w:fill="D3DFEE"/>
          </w:tcPr>
          <w:p w14:paraId="254CD8D9" w14:textId="77777777" w:rsidR="00DB20BE" w:rsidRPr="00235D4B" w:rsidRDefault="00DB20BE" w:rsidP="001E0431">
            <w:pPr>
              <w:pStyle w:val="BodyText"/>
              <w:spacing w:after="0"/>
              <w:rPr>
                <w:rFonts w:ascii="Calibri" w:hAnsi="Calibri"/>
                <w:color w:val="365F91"/>
                <w:sz w:val="22"/>
                <w:szCs w:val="22"/>
                <w:lang w:eastAsia="en-AU"/>
              </w:rPr>
            </w:pPr>
            <w:r>
              <w:rPr>
                <w:rFonts w:ascii="Calibri" w:hAnsi="Calibri"/>
                <w:color w:val="365F91"/>
                <w:sz w:val="22"/>
                <w:szCs w:val="22"/>
                <w:lang w:eastAsia="en-AU"/>
              </w:rPr>
              <w:t>Daily</w:t>
            </w:r>
          </w:p>
        </w:tc>
        <w:tc>
          <w:tcPr>
            <w:tcW w:w="243" w:type="dxa"/>
            <w:tcBorders>
              <w:left w:val="nil"/>
              <w:right w:val="single" w:sz="4" w:space="0" w:color="auto"/>
            </w:tcBorders>
            <w:shd w:val="clear" w:color="auto" w:fill="D3DFEE"/>
          </w:tcPr>
          <w:p w14:paraId="1027B435" w14:textId="77777777" w:rsidR="00DB20BE" w:rsidRPr="00235D4B" w:rsidRDefault="00DB20BE" w:rsidP="001E0431">
            <w:pPr>
              <w:pStyle w:val="BodyText"/>
              <w:spacing w:after="0"/>
              <w:rPr>
                <w:rFonts w:ascii="Calibri" w:hAnsi="Calibri"/>
                <w:color w:val="365F91"/>
                <w:sz w:val="22"/>
                <w:szCs w:val="22"/>
                <w:lang w:eastAsia="en-AU"/>
              </w:rPr>
            </w:pPr>
          </w:p>
        </w:tc>
      </w:tr>
      <w:tr w:rsidR="00DB20BE" w:rsidRPr="00235D4B" w14:paraId="7A4924E2" w14:textId="77777777" w:rsidTr="001E0431">
        <w:tc>
          <w:tcPr>
            <w:tcW w:w="2599" w:type="dxa"/>
            <w:tcBorders>
              <w:left w:val="single" w:sz="4" w:space="0" w:color="auto"/>
              <w:bottom w:val="single" w:sz="4" w:space="0" w:color="auto"/>
            </w:tcBorders>
          </w:tcPr>
          <w:p w14:paraId="4E66D037" w14:textId="77777777" w:rsidR="00DB20BE" w:rsidRPr="00235D4B" w:rsidRDefault="00DB20BE" w:rsidP="001E0431">
            <w:pPr>
              <w:pStyle w:val="BodyText"/>
              <w:spacing w:after="0"/>
              <w:rPr>
                <w:rFonts w:ascii="Calibri" w:hAnsi="Calibri"/>
                <w:b/>
                <w:bCs/>
                <w:color w:val="365F91"/>
                <w:sz w:val="22"/>
                <w:szCs w:val="22"/>
                <w:lang w:eastAsia="en-AU"/>
              </w:rPr>
            </w:pPr>
            <w:r>
              <w:rPr>
                <w:rFonts w:ascii="Calibri" w:hAnsi="Calibri"/>
                <w:b/>
                <w:bCs/>
                <w:color w:val="365F91"/>
                <w:sz w:val="22"/>
                <w:szCs w:val="22"/>
                <w:lang w:eastAsia="en-AU"/>
              </w:rPr>
              <w:t>Metronidazole</w:t>
            </w:r>
          </w:p>
        </w:tc>
        <w:tc>
          <w:tcPr>
            <w:tcW w:w="1990" w:type="dxa"/>
            <w:tcBorders>
              <w:bottom w:val="single" w:sz="4" w:space="0" w:color="auto"/>
            </w:tcBorders>
          </w:tcPr>
          <w:p w14:paraId="594EAFB0" w14:textId="77777777" w:rsidR="00DB20BE" w:rsidRPr="00235D4B" w:rsidRDefault="00DB20BE" w:rsidP="001E0431">
            <w:pPr>
              <w:pStyle w:val="BodyText"/>
              <w:spacing w:after="0"/>
              <w:rPr>
                <w:rFonts w:ascii="Calibri" w:hAnsi="Calibri"/>
                <w:color w:val="365F91"/>
                <w:sz w:val="22"/>
                <w:szCs w:val="22"/>
                <w:lang w:eastAsia="en-AU"/>
              </w:rPr>
            </w:pPr>
            <w:r>
              <w:rPr>
                <w:rFonts w:ascii="Calibri" w:hAnsi="Calibri"/>
                <w:color w:val="365F91"/>
                <w:sz w:val="22"/>
                <w:szCs w:val="22"/>
                <w:lang w:eastAsia="en-AU"/>
              </w:rPr>
              <w:t>500mg</w:t>
            </w:r>
          </w:p>
        </w:tc>
        <w:tc>
          <w:tcPr>
            <w:tcW w:w="1383" w:type="dxa"/>
            <w:tcBorders>
              <w:bottom w:val="single" w:sz="4" w:space="0" w:color="auto"/>
            </w:tcBorders>
          </w:tcPr>
          <w:p w14:paraId="3AB6C762" w14:textId="77777777" w:rsidR="00DB20BE" w:rsidRPr="00235D4B" w:rsidRDefault="00DB20BE" w:rsidP="001E0431">
            <w:pPr>
              <w:pStyle w:val="BodyText"/>
              <w:spacing w:after="0"/>
              <w:rPr>
                <w:rFonts w:ascii="Calibri" w:hAnsi="Calibri"/>
                <w:color w:val="365F91"/>
                <w:sz w:val="22"/>
                <w:szCs w:val="22"/>
                <w:lang w:eastAsia="en-AU"/>
              </w:rPr>
            </w:pPr>
            <w:r>
              <w:rPr>
                <w:rFonts w:ascii="Calibri" w:hAnsi="Calibri"/>
                <w:color w:val="365F91"/>
                <w:sz w:val="22"/>
                <w:szCs w:val="22"/>
                <w:lang w:eastAsia="en-AU"/>
              </w:rPr>
              <w:t>Intravenous</w:t>
            </w:r>
          </w:p>
        </w:tc>
        <w:tc>
          <w:tcPr>
            <w:tcW w:w="1869" w:type="dxa"/>
            <w:tcBorders>
              <w:bottom w:val="single" w:sz="4" w:space="0" w:color="auto"/>
            </w:tcBorders>
          </w:tcPr>
          <w:p w14:paraId="110BC948" w14:textId="77777777" w:rsidR="00DB20BE" w:rsidRPr="00235D4B" w:rsidRDefault="00DB20BE" w:rsidP="001E0431">
            <w:pPr>
              <w:pStyle w:val="BodyText"/>
              <w:spacing w:after="0"/>
              <w:rPr>
                <w:rFonts w:ascii="Calibri" w:hAnsi="Calibri"/>
                <w:color w:val="365F91"/>
                <w:sz w:val="22"/>
                <w:szCs w:val="22"/>
                <w:lang w:eastAsia="en-AU"/>
              </w:rPr>
            </w:pPr>
            <w:r>
              <w:rPr>
                <w:rFonts w:ascii="Calibri" w:hAnsi="Calibri"/>
                <w:color w:val="365F91"/>
                <w:sz w:val="22"/>
                <w:szCs w:val="22"/>
                <w:lang w:eastAsia="en-AU"/>
              </w:rPr>
              <w:t xml:space="preserve">12 </w:t>
            </w:r>
            <w:proofErr w:type="gramStart"/>
            <w:r>
              <w:rPr>
                <w:rFonts w:ascii="Calibri" w:hAnsi="Calibri"/>
                <w:color w:val="365F91"/>
                <w:sz w:val="22"/>
                <w:szCs w:val="22"/>
                <w:lang w:eastAsia="en-AU"/>
              </w:rPr>
              <w:t>hourly</w:t>
            </w:r>
            <w:proofErr w:type="gramEnd"/>
          </w:p>
        </w:tc>
        <w:tc>
          <w:tcPr>
            <w:tcW w:w="243" w:type="dxa"/>
            <w:tcBorders>
              <w:bottom w:val="single" w:sz="4" w:space="0" w:color="auto"/>
              <w:right w:val="single" w:sz="4" w:space="0" w:color="auto"/>
            </w:tcBorders>
          </w:tcPr>
          <w:p w14:paraId="0C3577FF" w14:textId="77777777" w:rsidR="00DB20BE" w:rsidRPr="00235D4B" w:rsidRDefault="00DB20BE" w:rsidP="001E0431">
            <w:pPr>
              <w:pStyle w:val="BodyText"/>
              <w:spacing w:after="0"/>
              <w:rPr>
                <w:rFonts w:ascii="Calibri" w:hAnsi="Calibri"/>
                <w:color w:val="365F91"/>
                <w:sz w:val="22"/>
                <w:szCs w:val="22"/>
                <w:lang w:eastAsia="en-AU"/>
              </w:rPr>
            </w:pPr>
          </w:p>
        </w:tc>
      </w:tr>
    </w:tbl>
    <w:p w14:paraId="6318FB98" w14:textId="77777777" w:rsidR="00DB20BE" w:rsidRDefault="00DB20BE" w:rsidP="00DB20BE"/>
    <w:p w14:paraId="5078DC0C" w14:textId="77777777" w:rsidR="00DB20BE" w:rsidRPr="00B12624" w:rsidRDefault="00DB20BE" w:rsidP="00DB20BE">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tbl>
      <w:tblPr>
        <w:tblpPr w:leftFromText="180" w:rightFromText="180" w:vertAnchor="text" w:horzAnchor="margin" w:tblpX="-34" w:tblpY="181"/>
        <w:tblW w:w="9300" w:type="dxa"/>
        <w:tblLook w:val="0000" w:firstRow="0" w:lastRow="0" w:firstColumn="0" w:lastColumn="0" w:noHBand="0" w:noVBand="0"/>
      </w:tblPr>
      <w:tblGrid>
        <w:gridCol w:w="9300"/>
      </w:tblGrid>
      <w:tr w:rsidR="00DB20BE" w:rsidRPr="00CD1C0E" w14:paraId="287E2A29" w14:textId="77777777" w:rsidTr="001E0431">
        <w:trPr>
          <w:cantSplit/>
          <w:trHeight w:val="285"/>
        </w:trPr>
        <w:tc>
          <w:tcPr>
            <w:tcW w:w="9300" w:type="dxa"/>
            <w:shd w:val="clear" w:color="auto" w:fill="A6A6A6"/>
          </w:tcPr>
          <w:p w14:paraId="479E8C6E" w14:textId="77777777" w:rsidR="00DB20BE" w:rsidRPr="00C76688" w:rsidRDefault="00DB20BE" w:rsidP="001E0431">
            <w:pPr>
              <w:pStyle w:val="Heading1"/>
            </w:pPr>
            <w:bookmarkStart w:id="22" w:name="_Toc78207675"/>
            <w:bookmarkStart w:id="23" w:name="_Toc164668238"/>
            <w:bookmarkStart w:id="24" w:name="_Hlk78199667"/>
            <w:r w:rsidRPr="00C76688">
              <w:t xml:space="preserve">Section </w:t>
            </w:r>
            <w:r>
              <w:t>4</w:t>
            </w:r>
            <w:r w:rsidRPr="00C76688">
              <w:t xml:space="preserve"> – </w:t>
            </w:r>
            <w:r>
              <w:t>Postpartum</w:t>
            </w:r>
            <w:bookmarkEnd w:id="22"/>
            <w:bookmarkEnd w:id="23"/>
          </w:p>
        </w:tc>
      </w:tr>
    </w:tbl>
    <w:p w14:paraId="0B242457" w14:textId="77777777" w:rsidR="00DB20BE" w:rsidRDefault="00DB20BE" w:rsidP="00DB20BE">
      <w:pPr>
        <w:pStyle w:val="Heading2"/>
      </w:pPr>
      <w:bookmarkStart w:id="25" w:name="_Toc78207676"/>
      <w:bookmarkEnd w:id="24"/>
    </w:p>
    <w:p w14:paraId="0492CEFD" w14:textId="77777777" w:rsidR="00DB20BE" w:rsidRDefault="00DB20BE" w:rsidP="00DB20BE">
      <w:pPr>
        <w:pStyle w:val="Heading2"/>
      </w:pPr>
      <w:r w:rsidRPr="00673AB4">
        <w:t>Management of Term babies</w:t>
      </w:r>
      <w:r>
        <w:t xml:space="preserve"> – See Attachment 2</w:t>
      </w:r>
      <w:bookmarkEnd w:id="25"/>
    </w:p>
    <w:p w14:paraId="0F1B67ED" w14:textId="77777777" w:rsidR="00DB20BE" w:rsidRDefault="00DB20BE" w:rsidP="00DB20BE">
      <w:pPr>
        <w:rPr>
          <w:b/>
          <w:bCs/>
          <w:lang w:eastAsia="en-AU"/>
        </w:rPr>
      </w:pPr>
    </w:p>
    <w:p w14:paraId="296EA26D" w14:textId="77777777" w:rsidR="00DB20BE" w:rsidRDefault="00DB20BE" w:rsidP="00DB20BE">
      <w:r>
        <w:t xml:space="preserve">Signs of EOGBSD are non-specific and can include respiratory distress, temperature instability, tachycardia, </w:t>
      </w:r>
      <w:proofErr w:type="gramStart"/>
      <w:r>
        <w:t>lethargy</w:t>
      </w:r>
      <w:proofErr w:type="gramEnd"/>
      <w:r>
        <w:t xml:space="preserve"> and poor feeding. They are most likely to arise within 24 hours of birth.</w:t>
      </w:r>
    </w:p>
    <w:p w14:paraId="1459F356" w14:textId="77777777" w:rsidR="00DB20BE" w:rsidRDefault="00DB20BE" w:rsidP="00DB20BE"/>
    <w:p w14:paraId="59D8E582" w14:textId="77777777" w:rsidR="00DB20BE" w:rsidRDefault="00DB20BE" w:rsidP="00DB20BE">
      <w:pPr>
        <w:pBdr>
          <w:top w:val="single" w:sz="4" w:space="1" w:color="auto"/>
          <w:left w:val="single" w:sz="4" w:space="4" w:color="auto"/>
          <w:bottom w:val="single" w:sz="4" w:space="1" w:color="auto"/>
          <w:right w:val="single" w:sz="4" w:space="4" w:color="auto"/>
        </w:pBdr>
        <w:rPr>
          <w:b/>
        </w:rPr>
      </w:pPr>
      <w:r w:rsidRPr="00FF7CFE">
        <w:rPr>
          <w:b/>
        </w:rPr>
        <w:t xml:space="preserve">Practice Note: </w:t>
      </w:r>
    </w:p>
    <w:p w14:paraId="70E9A010" w14:textId="77777777" w:rsidR="00DB20BE" w:rsidRDefault="00DB20BE" w:rsidP="00DB20BE">
      <w:pPr>
        <w:pBdr>
          <w:top w:val="single" w:sz="4" w:space="1" w:color="auto"/>
          <w:left w:val="single" w:sz="4" w:space="4" w:color="auto"/>
          <w:bottom w:val="single" w:sz="4" w:space="1" w:color="auto"/>
          <w:right w:val="single" w:sz="4" w:space="4" w:color="auto"/>
        </w:pBdr>
      </w:pPr>
      <w:r w:rsidRPr="00235D4B">
        <w:rPr>
          <w:szCs w:val="24"/>
        </w:rPr>
        <w:t xml:space="preserve">Babies whose mothers </w:t>
      </w:r>
      <w:r w:rsidRPr="00235D4B">
        <w:rPr>
          <w:b/>
          <w:bCs/>
          <w:szCs w:val="24"/>
        </w:rPr>
        <w:t>were not screened for GBS</w:t>
      </w:r>
      <w:r w:rsidRPr="00235D4B">
        <w:rPr>
          <w:szCs w:val="24"/>
        </w:rPr>
        <w:t xml:space="preserve"> will follow the Neonatal Early Warning pathway </w:t>
      </w:r>
      <w:r>
        <w:rPr>
          <w:szCs w:val="24"/>
        </w:rPr>
        <w:t>(NEWS)</w:t>
      </w:r>
      <w:r w:rsidRPr="00235D4B">
        <w:rPr>
          <w:szCs w:val="24"/>
        </w:rPr>
        <w:t xml:space="preserve"> normal care if there are no risk factors and no signs of </w:t>
      </w:r>
      <w:proofErr w:type="gramStart"/>
      <w:r w:rsidRPr="00235D4B">
        <w:rPr>
          <w:szCs w:val="24"/>
        </w:rPr>
        <w:t>infection</w:t>
      </w:r>
      <w:proofErr w:type="gramEnd"/>
    </w:p>
    <w:p w14:paraId="4DAE7EF9" w14:textId="77777777" w:rsidR="00DB20BE" w:rsidRDefault="00DB20BE" w:rsidP="00DB20BE">
      <w:pPr>
        <w:rPr>
          <w:b/>
          <w:bCs/>
          <w:lang w:eastAsia="en-AU"/>
        </w:rPr>
      </w:pPr>
    </w:p>
    <w:p w14:paraId="3A49E55B" w14:textId="77777777" w:rsidR="00DB20BE" w:rsidRPr="006C0922" w:rsidRDefault="00DB20BE" w:rsidP="00DB20BE">
      <w:r w:rsidRPr="006C0922">
        <w:rPr>
          <w:lang w:eastAsia="en-AU"/>
        </w:rPr>
        <w:t xml:space="preserve">All babies will have a risk assessment done within 1 hour of birth. Observations to be commenced per Neonatal Vital signs and Early Warning scores. </w:t>
      </w:r>
      <w:r w:rsidRPr="006C0922">
        <w:t>Treat all babies with signs and symptoms of sepsis with IV antibiotics, irrespective of maternal GBS status or adequate administration of intravenous antibiotics.</w:t>
      </w:r>
    </w:p>
    <w:p w14:paraId="3FF0B82A" w14:textId="77777777" w:rsidR="00DB20BE" w:rsidRDefault="00DB20BE" w:rsidP="00DB20BE"/>
    <w:p w14:paraId="10D5F083" w14:textId="77777777" w:rsidR="00DB20BE" w:rsidRDefault="00DB20BE" w:rsidP="00DB20BE">
      <w:r w:rsidRPr="006C0922">
        <w:rPr>
          <w:b/>
          <w:bCs/>
        </w:rPr>
        <w:lastRenderedPageBreak/>
        <w:t>RISK FACTOR 1</w:t>
      </w:r>
      <w:r>
        <w:t>:</w:t>
      </w:r>
    </w:p>
    <w:p w14:paraId="7A788F7A" w14:textId="77777777" w:rsidR="00DB20BE" w:rsidRDefault="00DB20BE" w:rsidP="00DB20BE">
      <w:pPr>
        <w:rPr>
          <w:u w:val="single"/>
        </w:rPr>
      </w:pPr>
      <w:r w:rsidRPr="00924D78">
        <w:rPr>
          <w:u w:val="single"/>
        </w:rPr>
        <w:t>Adequate intrapartum antibiotic prophylaxis</w:t>
      </w:r>
    </w:p>
    <w:p w14:paraId="7E253CDE" w14:textId="77777777" w:rsidR="00DB20BE" w:rsidRDefault="00DB20BE" w:rsidP="00DB20BE">
      <w:r>
        <w:rPr>
          <w:bCs/>
        </w:rPr>
        <w:t xml:space="preserve">Babies of women testing positive for GBS in the antenatal period who are well </w:t>
      </w:r>
      <w:r>
        <w:rPr>
          <w:szCs w:val="24"/>
        </w:rPr>
        <w:t>and for</w:t>
      </w:r>
      <w:r w:rsidRPr="001A236E">
        <w:rPr>
          <w:szCs w:val="24"/>
        </w:rPr>
        <w:t xml:space="preserve"> whom there was </w:t>
      </w:r>
      <w:r w:rsidRPr="001A236E">
        <w:rPr>
          <w:bCs/>
          <w:szCs w:val="24"/>
        </w:rPr>
        <w:t>adequate intrapartum antibiotic prophylaxis</w:t>
      </w:r>
      <w:r>
        <w:rPr>
          <w:szCs w:val="24"/>
        </w:rPr>
        <w:t xml:space="preserve"> (&gt;4</w:t>
      </w:r>
      <w:r w:rsidRPr="001A236E">
        <w:rPr>
          <w:szCs w:val="24"/>
        </w:rPr>
        <w:t xml:space="preserve"> hours before</w:t>
      </w:r>
      <w:r>
        <w:rPr>
          <w:szCs w:val="24"/>
        </w:rPr>
        <w:t xml:space="preserve"> birth) </w:t>
      </w:r>
      <w:r>
        <w:rPr>
          <w:bCs/>
        </w:rPr>
        <w:t>are o</w:t>
      </w:r>
      <w:r w:rsidRPr="00D54D9A">
        <w:rPr>
          <w:bCs/>
        </w:rPr>
        <w:t>bserve</w:t>
      </w:r>
      <w:r>
        <w:rPr>
          <w:bCs/>
        </w:rPr>
        <w:t xml:space="preserve">d for 24 hours with 4 hourly observations as per NEWS. If the mother remains an inpatient, 8 hourly observations until discharge is recommended. </w:t>
      </w:r>
      <w:r w:rsidRPr="00227F83">
        <w:t xml:space="preserve"> </w:t>
      </w:r>
    </w:p>
    <w:p w14:paraId="759D1318" w14:textId="77777777" w:rsidR="00DB20BE" w:rsidRDefault="00DB20BE" w:rsidP="00DB20BE">
      <w:pPr>
        <w:rPr>
          <w:szCs w:val="24"/>
        </w:rPr>
      </w:pPr>
    </w:p>
    <w:p w14:paraId="25F28910" w14:textId="77777777" w:rsidR="00DB20BE" w:rsidRDefault="00DB20BE" w:rsidP="00DB20BE">
      <w:r w:rsidRPr="006C0922">
        <w:rPr>
          <w:b/>
          <w:bCs/>
        </w:rPr>
        <w:t>RISK FACTOR 2</w:t>
      </w:r>
      <w:r>
        <w:t>:</w:t>
      </w:r>
    </w:p>
    <w:p w14:paraId="648102B4" w14:textId="77777777" w:rsidR="00DB20BE" w:rsidRPr="009C7B92" w:rsidRDefault="00DB20BE" w:rsidP="00DB20BE">
      <w:pPr>
        <w:rPr>
          <w:szCs w:val="24"/>
          <w:u w:val="single"/>
        </w:rPr>
      </w:pPr>
      <w:r w:rsidRPr="00924D78">
        <w:rPr>
          <w:bCs/>
          <w:szCs w:val="24"/>
          <w:u w:val="single"/>
        </w:rPr>
        <w:t>Inadequate intrapartum antibiotic prophylaxis</w:t>
      </w:r>
    </w:p>
    <w:p w14:paraId="44518FB4" w14:textId="77777777" w:rsidR="00DB20BE" w:rsidRPr="00AD51C6" w:rsidRDefault="00DB20BE" w:rsidP="00DB20BE">
      <w:pPr>
        <w:numPr>
          <w:ilvl w:val="0"/>
          <w:numId w:val="18"/>
        </w:numPr>
        <w:ind w:left="426" w:hanging="426"/>
        <w:rPr>
          <w:szCs w:val="24"/>
        </w:rPr>
      </w:pPr>
      <w:r>
        <w:rPr>
          <w:szCs w:val="24"/>
        </w:rPr>
        <w:t>Well b</w:t>
      </w:r>
      <w:r w:rsidRPr="001A236E">
        <w:rPr>
          <w:szCs w:val="24"/>
        </w:rPr>
        <w:t xml:space="preserve">abies for whom there was </w:t>
      </w:r>
      <w:r w:rsidRPr="001A236E">
        <w:rPr>
          <w:bCs/>
          <w:szCs w:val="24"/>
        </w:rPr>
        <w:t>inadequate intrapartum antibiotic prophylaxis</w:t>
      </w:r>
      <w:r>
        <w:rPr>
          <w:szCs w:val="24"/>
        </w:rPr>
        <w:t xml:space="preserve"> </w:t>
      </w:r>
      <w:r w:rsidRPr="001A236E">
        <w:rPr>
          <w:szCs w:val="24"/>
        </w:rPr>
        <w:t>(&lt;</w:t>
      </w:r>
      <w:r>
        <w:rPr>
          <w:szCs w:val="24"/>
        </w:rPr>
        <w:t>4</w:t>
      </w:r>
      <w:r w:rsidRPr="001A236E">
        <w:rPr>
          <w:szCs w:val="24"/>
        </w:rPr>
        <w:t xml:space="preserve"> hours before </w:t>
      </w:r>
      <w:r>
        <w:rPr>
          <w:szCs w:val="24"/>
        </w:rPr>
        <w:t>birth</w:t>
      </w:r>
      <w:r w:rsidRPr="001A236E">
        <w:rPr>
          <w:szCs w:val="24"/>
        </w:rPr>
        <w:t xml:space="preserve">) </w:t>
      </w:r>
      <w:r w:rsidRPr="001A236E">
        <w:rPr>
          <w:bCs/>
          <w:szCs w:val="24"/>
        </w:rPr>
        <w:t xml:space="preserve">are observed in hospital for at least </w:t>
      </w:r>
      <w:r>
        <w:rPr>
          <w:bCs/>
          <w:szCs w:val="24"/>
        </w:rPr>
        <w:t>36-48</w:t>
      </w:r>
      <w:r w:rsidRPr="001A236E">
        <w:rPr>
          <w:bCs/>
          <w:szCs w:val="24"/>
        </w:rPr>
        <w:t xml:space="preserve"> hours</w:t>
      </w:r>
      <w:r w:rsidRPr="001A236E">
        <w:rPr>
          <w:szCs w:val="24"/>
        </w:rPr>
        <w:t xml:space="preserve"> with </w:t>
      </w:r>
      <w:r>
        <w:rPr>
          <w:szCs w:val="24"/>
        </w:rPr>
        <w:t>4</w:t>
      </w:r>
      <w:r w:rsidRPr="001A236E">
        <w:rPr>
          <w:szCs w:val="24"/>
        </w:rPr>
        <w:t xml:space="preserve"> hourly observations </w:t>
      </w:r>
      <w:r>
        <w:rPr>
          <w:szCs w:val="24"/>
        </w:rPr>
        <w:t xml:space="preserve">as per NEWS. If the </w:t>
      </w:r>
      <w:r>
        <w:rPr>
          <w:bCs/>
        </w:rPr>
        <w:t>mother remains an inpatient 8 hourly observations until discharge is recommended.</w:t>
      </w:r>
    </w:p>
    <w:p w14:paraId="0802BDD7" w14:textId="77777777" w:rsidR="00DB20BE" w:rsidRPr="00AD51C6" w:rsidRDefault="00DB20BE" w:rsidP="00DB20BE">
      <w:pPr>
        <w:numPr>
          <w:ilvl w:val="0"/>
          <w:numId w:val="18"/>
        </w:numPr>
        <w:ind w:left="426" w:hanging="426"/>
        <w:rPr>
          <w:szCs w:val="24"/>
        </w:rPr>
      </w:pPr>
      <w:r w:rsidRPr="00750891">
        <w:rPr>
          <w:szCs w:val="24"/>
        </w:rPr>
        <w:t>Well babies born to a mother with suspected chorioamnionitis</w:t>
      </w:r>
      <w:r w:rsidRPr="00E85C0E">
        <w:rPr>
          <w:szCs w:val="24"/>
        </w:rPr>
        <w:t xml:space="preserve"> </w:t>
      </w:r>
      <w:r>
        <w:t xml:space="preserve">should be observed </w:t>
      </w:r>
      <w:r w:rsidRPr="00750891">
        <w:rPr>
          <w:bCs/>
          <w:szCs w:val="24"/>
        </w:rPr>
        <w:t>in hospital for at least 36-48 hours</w:t>
      </w:r>
      <w:r w:rsidRPr="00750891">
        <w:rPr>
          <w:szCs w:val="24"/>
        </w:rPr>
        <w:t xml:space="preserve"> with 4 hourly obser</w:t>
      </w:r>
      <w:r w:rsidRPr="00E85C0E">
        <w:rPr>
          <w:szCs w:val="24"/>
        </w:rPr>
        <w:t xml:space="preserve">vations as per NEWS </w:t>
      </w:r>
      <w:r w:rsidRPr="00BD085C">
        <w:t>regardless of intrapartum antibiotic prophylaxis</w:t>
      </w:r>
      <w:r>
        <w:t>.</w:t>
      </w:r>
    </w:p>
    <w:p w14:paraId="6C39A596" w14:textId="77777777" w:rsidR="00DB20BE" w:rsidRDefault="00DB20BE" w:rsidP="00DB20BE"/>
    <w:p w14:paraId="7A926C71" w14:textId="77777777" w:rsidR="00DB20BE" w:rsidRDefault="00DB20BE" w:rsidP="00DB20BE">
      <w:r w:rsidRPr="006C0922">
        <w:rPr>
          <w:b/>
          <w:bCs/>
        </w:rPr>
        <w:t>RISK FACTOR 3</w:t>
      </w:r>
      <w:r>
        <w:t>:</w:t>
      </w:r>
    </w:p>
    <w:p w14:paraId="5E571C1E" w14:textId="77777777" w:rsidR="00DB20BE" w:rsidRPr="003F6FE6" w:rsidRDefault="00DB20BE" w:rsidP="00DB20BE">
      <w:pPr>
        <w:rPr>
          <w:szCs w:val="24"/>
          <w:u w:val="single"/>
        </w:rPr>
      </w:pPr>
      <w:r w:rsidRPr="003F6FE6">
        <w:rPr>
          <w:szCs w:val="24"/>
          <w:u w:val="single"/>
        </w:rPr>
        <w:t xml:space="preserve">Additional </w:t>
      </w:r>
      <w:r>
        <w:rPr>
          <w:szCs w:val="24"/>
          <w:u w:val="single"/>
        </w:rPr>
        <w:t>r</w:t>
      </w:r>
      <w:r w:rsidRPr="003F6FE6">
        <w:rPr>
          <w:szCs w:val="24"/>
          <w:u w:val="single"/>
        </w:rPr>
        <w:t>isk factors</w:t>
      </w:r>
    </w:p>
    <w:p w14:paraId="4EDE887C" w14:textId="77777777" w:rsidR="00DB20BE" w:rsidRDefault="00DB20BE" w:rsidP="00DB20BE">
      <w:pPr>
        <w:numPr>
          <w:ilvl w:val="0"/>
          <w:numId w:val="17"/>
        </w:numPr>
        <w:ind w:left="426" w:hanging="426"/>
        <w:rPr>
          <w:szCs w:val="24"/>
        </w:rPr>
      </w:pPr>
      <w:r>
        <w:rPr>
          <w:szCs w:val="24"/>
        </w:rPr>
        <w:t xml:space="preserve">Babies born to GBS positive mothers with other risk factors (i.e. ROM &gt;18 hours, intrapartum fever &gt;=38 </w:t>
      </w:r>
      <w:r>
        <w:rPr>
          <w:szCs w:val="24"/>
        </w:rPr>
        <w:sym w:font="Symbol" w:char="F0B0"/>
      </w:r>
      <w:r>
        <w:rPr>
          <w:szCs w:val="24"/>
        </w:rPr>
        <w:t xml:space="preserve">C  or  &lt;37 weeks’ gestation) are managed as per </w:t>
      </w:r>
      <w:r w:rsidRPr="00CC09DB">
        <w:rPr>
          <w:szCs w:val="24"/>
        </w:rPr>
        <w:t>Sepsis Calculator (</w:t>
      </w:r>
      <w:hyperlink r:id="rId12" w:history="1">
        <w:r w:rsidRPr="00A43EB8">
          <w:rPr>
            <w:rStyle w:val="Hyperlink"/>
            <w:szCs w:val="24"/>
          </w:rPr>
          <w:t>https://neonatalsepsiscalculator.kaiserpermanente.org</w:t>
        </w:r>
      </w:hyperlink>
      <w:r>
        <w:rPr>
          <w:szCs w:val="24"/>
        </w:rPr>
        <w:t xml:space="preserve">) (refer to Neonatal bacterial sepsis Guideline). </w:t>
      </w:r>
    </w:p>
    <w:p w14:paraId="4A26D1DE" w14:textId="77777777" w:rsidR="00DB20BE" w:rsidRPr="00026647" w:rsidRDefault="00DB20BE" w:rsidP="00DB20BE">
      <w:pPr>
        <w:numPr>
          <w:ilvl w:val="0"/>
          <w:numId w:val="17"/>
        </w:numPr>
        <w:ind w:left="426" w:hanging="426"/>
        <w:rPr>
          <w:szCs w:val="24"/>
        </w:rPr>
      </w:pPr>
      <w:r w:rsidRPr="00026647">
        <w:rPr>
          <w:szCs w:val="24"/>
        </w:rPr>
        <w:t xml:space="preserve">Babies born &lt;34 weeks with risk factors or who are symptomatic, should be investigated and treated as per </w:t>
      </w:r>
      <w:r>
        <w:rPr>
          <w:szCs w:val="24"/>
        </w:rPr>
        <w:t>Neonatal bacterial sepsis Guideline.</w:t>
      </w:r>
    </w:p>
    <w:p w14:paraId="4E4DFCCD" w14:textId="77777777" w:rsidR="00DB20BE" w:rsidRDefault="00DB20BE" w:rsidP="00DB20BE">
      <w:pPr>
        <w:numPr>
          <w:ilvl w:val="0"/>
          <w:numId w:val="17"/>
        </w:numPr>
        <w:ind w:left="426" w:hanging="426"/>
        <w:rPr>
          <w:szCs w:val="24"/>
        </w:rPr>
      </w:pPr>
      <w:r>
        <w:rPr>
          <w:szCs w:val="24"/>
        </w:rPr>
        <w:t>Well babies born to GBS positive mothers and with additional risk factors for EOGBSD</w:t>
      </w:r>
      <w:r>
        <w:t xml:space="preserve">, should be observed </w:t>
      </w:r>
      <w:r w:rsidRPr="0034325A">
        <w:rPr>
          <w:bCs/>
          <w:szCs w:val="24"/>
        </w:rPr>
        <w:t xml:space="preserve">in hospital for at least </w:t>
      </w:r>
      <w:r>
        <w:rPr>
          <w:bCs/>
          <w:szCs w:val="24"/>
        </w:rPr>
        <w:t>36-</w:t>
      </w:r>
      <w:r w:rsidRPr="0034325A">
        <w:rPr>
          <w:bCs/>
          <w:szCs w:val="24"/>
        </w:rPr>
        <w:t>48 hours</w:t>
      </w:r>
      <w:r w:rsidRPr="0034325A">
        <w:rPr>
          <w:szCs w:val="24"/>
        </w:rPr>
        <w:t xml:space="preserve"> with 4 hourly observations as per </w:t>
      </w:r>
      <w:r>
        <w:rPr>
          <w:szCs w:val="24"/>
        </w:rPr>
        <w:t xml:space="preserve">NEWS </w:t>
      </w:r>
      <w:r w:rsidRPr="00BD085C">
        <w:t>regardless of intrapartum antibiotic prophylaxis</w:t>
      </w:r>
      <w:r w:rsidRPr="0034325A">
        <w:rPr>
          <w:szCs w:val="24"/>
        </w:rPr>
        <w:t xml:space="preserve">. </w:t>
      </w:r>
    </w:p>
    <w:p w14:paraId="20E8256F" w14:textId="77777777" w:rsidR="00DB20BE" w:rsidRDefault="00DB20BE" w:rsidP="00DB20BE">
      <w:pPr>
        <w:rPr>
          <w:b/>
          <w:sz w:val="22"/>
          <w:szCs w:val="22"/>
        </w:rPr>
      </w:pPr>
    </w:p>
    <w:p w14:paraId="04F0C874" w14:textId="77777777" w:rsidR="00DB20BE" w:rsidRPr="006C0922" w:rsidRDefault="00DB20BE" w:rsidP="00DB20BE">
      <w:pPr>
        <w:pBdr>
          <w:top w:val="single" w:sz="4" w:space="1" w:color="auto"/>
          <w:left w:val="single" w:sz="4" w:space="4" w:color="auto"/>
          <w:bottom w:val="single" w:sz="4" w:space="1" w:color="auto"/>
          <w:right w:val="single" w:sz="4" w:space="4" w:color="auto"/>
        </w:pBdr>
        <w:rPr>
          <w:szCs w:val="24"/>
        </w:rPr>
      </w:pPr>
      <w:r w:rsidRPr="006C0922">
        <w:rPr>
          <w:b/>
          <w:szCs w:val="24"/>
        </w:rPr>
        <w:t>Practice Note:</w:t>
      </w:r>
    </w:p>
    <w:p w14:paraId="2446B54D" w14:textId="77777777" w:rsidR="00DB20BE" w:rsidRDefault="00DB20BE" w:rsidP="00DB20BE">
      <w:pPr>
        <w:pBdr>
          <w:top w:val="single" w:sz="4" w:space="1" w:color="auto"/>
          <w:left w:val="single" w:sz="4" w:space="4" w:color="auto"/>
          <w:bottom w:val="single" w:sz="4" w:space="1" w:color="auto"/>
          <w:right w:val="single" w:sz="4" w:space="4" w:color="auto"/>
        </w:pBdr>
      </w:pPr>
      <w:r w:rsidRPr="006C0922">
        <w:rPr>
          <w:szCs w:val="24"/>
        </w:rPr>
        <w:t xml:space="preserve">Babies with a sibling affected by EOGBSD should be commenced on GBS specific IV antibiotics regardless of intrapartum antibiotic administration or clinical status. Antibiotics could be ceased at 36 hours if cultures are </w:t>
      </w:r>
      <w:proofErr w:type="gramStart"/>
      <w:r w:rsidRPr="006C0922">
        <w:rPr>
          <w:szCs w:val="24"/>
        </w:rPr>
        <w:t>negative</w:t>
      </w:r>
      <w:proofErr w:type="gramEnd"/>
      <w:r w:rsidRPr="006C0922">
        <w:rPr>
          <w:szCs w:val="24"/>
        </w:rPr>
        <w:t xml:space="preserve"> and baby remains clinically well.</w:t>
      </w:r>
    </w:p>
    <w:p w14:paraId="47A6166D" w14:textId="77777777" w:rsidR="00DB20BE" w:rsidRDefault="00DB20BE" w:rsidP="00DB20BE"/>
    <w:p w14:paraId="49B72A11" w14:textId="77777777" w:rsidR="00DB20BE" w:rsidRDefault="00DB20BE" w:rsidP="00DB20BE">
      <w:r w:rsidRPr="008B2AC0">
        <w:rPr>
          <w:szCs w:val="24"/>
        </w:rPr>
        <w:t>If proven GBS blood culture: treat with 5-7 days of IV benzyl penicillin</w:t>
      </w:r>
      <w:r>
        <w:rPr>
          <w:szCs w:val="24"/>
        </w:rPr>
        <w:t xml:space="preserve">. </w:t>
      </w:r>
      <w:r w:rsidRPr="008B2AC0">
        <w:t xml:space="preserve">If proven GBS meningitis on </w:t>
      </w:r>
      <w:r>
        <w:t>lumbar puncture</w:t>
      </w:r>
      <w:r w:rsidRPr="008B2AC0">
        <w:t xml:space="preserve"> treat with 14-21 days of IV antibiotics</w:t>
      </w:r>
      <w:r>
        <w:t>.</w:t>
      </w:r>
    </w:p>
    <w:p w14:paraId="12D5992F" w14:textId="77777777" w:rsidR="00DB20BE" w:rsidRDefault="00DB20BE" w:rsidP="00DB20BE"/>
    <w:p w14:paraId="27624CBC" w14:textId="77777777" w:rsidR="00DB20BE" w:rsidRPr="006C0922" w:rsidRDefault="00DB20BE" w:rsidP="00DB20BE">
      <w:pPr>
        <w:pBdr>
          <w:top w:val="single" w:sz="4" w:space="1" w:color="auto"/>
          <w:left w:val="single" w:sz="4" w:space="4" w:color="auto"/>
          <w:bottom w:val="single" w:sz="4" w:space="1" w:color="auto"/>
          <w:right w:val="single" w:sz="4" w:space="4" w:color="auto"/>
        </w:pBdr>
        <w:rPr>
          <w:szCs w:val="24"/>
        </w:rPr>
      </w:pPr>
      <w:r w:rsidRPr="006C0922">
        <w:rPr>
          <w:b/>
          <w:szCs w:val="24"/>
        </w:rPr>
        <w:t>Practice Note:</w:t>
      </w:r>
    </w:p>
    <w:p w14:paraId="012685AB" w14:textId="77777777" w:rsidR="00DB20BE" w:rsidRDefault="00DB20BE" w:rsidP="00DB20BE">
      <w:pPr>
        <w:pBdr>
          <w:top w:val="single" w:sz="4" w:space="1" w:color="auto"/>
          <w:left w:val="single" w:sz="4" w:space="4" w:color="auto"/>
          <w:bottom w:val="single" w:sz="4" w:space="1" w:color="auto"/>
          <w:right w:val="single" w:sz="4" w:space="4" w:color="auto"/>
        </w:pBdr>
      </w:pPr>
      <w:r w:rsidRPr="006343E4">
        <w:t xml:space="preserve">If there are any changes in </w:t>
      </w:r>
      <w:r>
        <w:t xml:space="preserve">neonatal </w:t>
      </w:r>
      <w:r w:rsidRPr="006343E4">
        <w:t>clinical signs, inform the neonatal registrar</w:t>
      </w:r>
      <w:r>
        <w:t>.</w:t>
      </w:r>
    </w:p>
    <w:p w14:paraId="3DE29B88" w14:textId="77777777" w:rsidR="00DB20BE" w:rsidRDefault="00DB20BE" w:rsidP="00DB20BE"/>
    <w:p w14:paraId="397582E7" w14:textId="77777777" w:rsidR="00DB20BE" w:rsidRDefault="00DB20BE" w:rsidP="00DB20BE">
      <w:pPr>
        <w:rPr>
          <w:b/>
          <w:szCs w:val="24"/>
        </w:rPr>
      </w:pPr>
      <w:r w:rsidRPr="00235D4B">
        <w:rPr>
          <w:szCs w:val="24"/>
        </w:rPr>
        <w:t>If the family wish</w:t>
      </w:r>
      <w:r>
        <w:rPr>
          <w:szCs w:val="24"/>
        </w:rPr>
        <w:t>es</w:t>
      </w:r>
      <w:r w:rsidRPr="00235D4B">
        <w:rPr>
          <w:szCs w:val="24"/>
        </w:rPr>
        <w:t xml:space="preserve"> to go home before the recommended observation period has passed the midwife </w:t>
      </w:r>
      <w:r>
        <w:rPr>
          <w:szCs w:val="24"/>
        </w:rPr>
        <w:t xml:space="preserve">needs to clearly explain the risks as below and arrange for a neonatal review prior to discharge.  </w:t>
      </w:r>
    </w:p>
    <w:p w14:paraId="6C2BBCB2" w14:textId="77777777" w:rsidR="00DB20BE" w:rsidRPr="00235D4B" w:rsidRDefault="00DB20BE" w:rsidP="00DB20BE">
      <w:pPr>
        <w:rPr>
          <w:szCs w:val="24"/>
        </w:rPr>
      </w:pPr>
    </w:p>
    <w:p w14:paraId="64F2DE44" w14:textId="77777777" w:rsidR="00DB20BE" w:rsidRPr="00235D4B" w:rsidRDefault="00DB20BE" w:rsidP="00DB20BE">
      <w:pPr>
        <w:rPr>
          <w:szCs w:val="24"/>
        </w:rPr>
      </w:pPr>
      <w:r>
        <w:rPr>
          <w:szCs w:val="24"/>
        </w:rPr>
        <w:lastRenderedPageBreak/>
        <w:t>For a</w:t>
      </w:r>
      <w:r w:rsidRPr="00235D4B">
        <w:rPr>
          <w:szCs w:val="24"/>
        </w:rPr>
        <w:t xml:space="preserve">ll parents of babies with risk factors for infection </w:t>
      </w:r>
      <w:r>
        <w:rPr>
          <w:szCs w:val="24"/>
        </w:rPr>
        <w:t>before the observation period has passed the treating midwife should</w:t>
      </w:r>
      <w:r w:rsidRPr="00235D4B">
        <w:rPr>
          <w:szCs w:val="24"/>
        </w:rPr>
        <w:t>:</w:t>
      </w:r>
    </w:p>
    <w:p w14:paraId="5445BC3B" w14:textId="77777777" w:rsidR="00DB20BE" w:rsidRPr="00673AB4" w:rsidRDefault="00DB20BE" w:rsidP="00DB20BE">
      <w:pPr>
        <w:pStyle w:val="ListBullet"/>
        <w:tabs>
          <w:tab w:val="clear" w:pos="643"/>
          <w:tab w:val="num" w:pos="426"/>
        </w:tabs>
        <w:ind w:left="426" w:hanging="426"/>
      </w:pPr>
      <w:r>
        <w:t>i</w:t>
      </w:r>
      <w:r w:rsidRPr="00673AB4">
        <w:t xml:space="preserve">nform </w:t>
      </w:r>
      <w:r>
        <w:t>the parents</w:t>
      </w:r>
      <w:r w:rsidRPr="00673AB4">
        <w:t xml:space="preserve"> about the potential risk</w:t>
      </w:r>
      <w:r>
        <w:t>s and complications</w:t>
      </w:r>
      <w:r w:rsidRPr="00673AB4">
        <w:t xml:space="preserve"> of </w:t>
      </w:r>
      <w:r>
        <w:t>GBS</w:t>
      </w:r>
      <w:r w:rsidRPr="00673AB4">
        <w:t xml:space="preserve"> </w:t>
      </w:r>
      <w:proofErr w:type="gramStart"/>
      <w:r w:rsidRPr="00673AB4">
        <w:t>infection</w:t>
      </w:r>
      <w:proofErr w:type="gramEnd"/>
      <w:r w:rsidRPr="00673AB4">
        <w:t xml:space="preserve"> </w:t>
      </w:r>
    </w:p>
    <w:p w14:paraId="125301FF" w14:textId="77777777" w:rsidR="00DB20BE" w:rsidRPr="00673AB4" w:rsidRDefault="00DB20BE" w:rsidP="00DB20BE">
      <w:pPr>
        <w:pStyle w:val="ListBullet"/>
        <w:tabs>
          <w:tab w:val="clear" w:pos="643"/>
          <w:tab w:val="num" w:pos="426"/>
        </w:tabs>
        <w:ind w:left="426" w:hanging="426"/>
      </w:pPr>
      <w:r>
        <w:t>provide</w:t>
      </w:r>
      <w:r w:rsidRPr="00673AB4">
        <w:t xml:space="preserve"> the </w:t>
      </w:r>
      <w:r>
        <w:t xml:space="preserve">EOGBSD </w:t>
      </w:r>
      <w:r w:rsidRPr="00673AB4">
        <w:t xml:space="preserve">parent information sheet </w:t>
      </w:r>
      <w:r>
        <w:t xml:space="preserve">and discuss the </w:t>
      </w:r>
      <w:proofErr w:type="gramStart"/>
      <w:r w:rsidRPr="00673AB4">
        <w:t>instructions</w:t>
      </w:r>
      <w:proofErr w:type="gramEnd"/>
    </w:p>
    <w:p w14:paraId="15804FF5" w14:textId="77777777" w:rsidR="00DB20BE" w:rsidRDefault="00DB20BE" w:rsidP="00DB20BE">
      <w:pPr>
        <w:pStyle w:val="ListBullet"/>
        <w:tabs>
          <w:tab w:val="clear" w:pos="643"/>
          <w:tab w:val="num" w:pos="426"/>
        </w:tabs>
        <w:ind w:left="426" w:hanging="426"/>
      </w:pPr>
      <w:r>
        <w:t xml:space="preserve">discuss with the parents the signs of illness to look out for, and advise the parents </w:t>
      </w:r>
      <w:r w:rsidRPr="00673AB4">
        <w:t>to re</w:t>
      </w:r>
      <w:r>
        <w:t>-</w:t>
      </w:r>
      <w:r w:rsidRPr="00673AB4">
        <w:t xml:space="preserve">present immediately if </w:t>
      </w:r>
      <w:r>
        <w:t>the</w:t>
      </w:r>
      <w:r w:rsidRPr="00673AB4">
        <w:t xml:space="preserve"> baby shows signs of </w:t>
      </w:r>
      <w:proofErr w:type="gramStart"/>
      <w:r w:rsidRPr="00673AB4">
        <w:t>infection</w:t>
      </w:r>
      <w:proofErr w:type="gramEnd"/>
    </w:p>
    <w:p w14:paraId="768825F2" w14:textId="77777777" w:rsidR="00DB20BE" w:rsidRDefault="00DB20BE" w:rsidP="00DB20BE">
      <w:pPr>
        <w:pStyle w:val="ListBullet"/>
        <w:tabs>
          <w:tab w:val="clear" w:pos="643"/>
          <w:tab w:val="num" w:pos="426"/>
        </w:tabs>
        <w:ind w:left="426" w:hanging="426"/>
      </w:pPr>
      <w:r>
        <w:t xml:space="preserve">ensure access to a thermometer, discuss ongoing monitoring of baby at home as per the attached observation </w:t>
      </w:r>
      <w:proofErr w:type="gramStart"/>
      <w:r>
        <w:t>chart</w:t>
      </w:r>
      <w:proofErr w:type="gramEnd"/>
      <w:r>
        <w:t xml:space="preserve"> </w:t>
      </w:r>
    </w:p>
    <w:p w14:paraId="60249ABD" w14:textId="77777777" w:rsidR="00DB20BE" w:rsidRPr="00673AB4" w:rsidRDefault="00DB20BE" w:rsidP="00DB20BE">
      <w:pPr>
        <w:pStyle w:val="ListBullet"/>
        <w:tabs>
          <w:tab w:val="clear" w:pos="643"/>
          <w:tab w:val="num" w:pos="426"/>
        </w:tabs>
        <w:ind w:left="426" w:hanging="426"/>
      </w:pPr>
      <w:r>
        <w:t xml:space="preserve">give clear education on number to contact if any </w:t>
      </w:r>
      <w:proofErr w:type="gramStart"/>
      <w:r>
        <w:t>concerns</w:t>
      </w:r>
      <w:proofErr w:type="gramEnd"/>
    </w:p>
    <w:p w14:paraId="77513F2A" w14:textId="77777777" w:rsidR="00DB20BE" w:rsidRPr="00673AB4" w:rsidRDefault="00DB20BE" w:rsidP="00DB20BE">
      <w:pPr>
        <w:pStyle w:val="ListBullet"/>
        <w:tabs>
          <w:tab w:val="clear" w:pos="643"/>
          <w:tab w:val="num" w:pos="426"/>
        </w:tabs>
        <w:ind w:left="426" w:hanging="426"/>
      </w:pPr>
      <w:r>
        <w:t>ensure f</w:t>
      </w:r>
      <w:r w:rsidRPr="00673AB4">
        <w:t xml:space="preserve">ollow up </w:t>
      </w:r>
      <w:r>
        <w:t>by</w:t>
      </w:r>
      <w:r w:rsidRPr="00673AB4">
        <w:t xml:space="preserve"> the midwife who is visiting the family at home</w:t>
      </w:r>
      <w:r>
        <w:t>.</w:t>
      </w:r>
    </w:p>
    <w:p w14:paraId="02F12DCA" w14:textId="77777777" w:rsidR="00DB20BE" w:rsidRPr="00235D4B" w:rsidRDefault="00DB20BE" w:rsidP="00DB20BE">
      <w:pPr>
        <w:pStyle w:val="ListParagraph"/>
        <w:ind w:left="644"/>
        <w:rPr>
          <w:szCs w:val="24"/>
        </w:rPr>
      </w:pPr>
    </w:p>
    <w:p w14:paraId="797657DA" w14:textId="77777777" w:rsidR="00DB20BE" w:rsidRPr="006C0922" w:rsidRDefault="00DB20BE" w:rsidP="00DB20BE">
      <w:pPr>
        <w:rPr>
          <w:color w:val="000000"/>
          <w:szCs w:val="24"/>
        </w:rPr>
      </w:pPr>
      <w:r w:rsidRPr="006C0922">
        <w:rPr>
          <w:color w:val="000000"/>
          <w:szCs w:val="24"/>
        </w:rPr>
        <w:t>The treating team should clearly document their consultation in the patient record and ensure that the family understands the instructions on the factsheet.</w:t>
      </w:r>
    </w:p>
    <w:p w14:paraId="4C152C40" w14:textId="77777777" w:rsidR="00DB20BE" w:rsidRPr="006C0922" w:rsidRDefault="00DB20BE" w:rsidP="00DB20BE">
      <w:pPr>
        <w:rPr>
          <w:szCs w:val="24"/>
        </w:rPr>
      </w:pPr>
    </w:p>
    <w:p w14:paraId="634F6CF0" w14:textId="77777777" w:rsidR="00DB20BE" w:rsidRPr="006C0922" w:rsidRDefault="00DB20BE" w:rsidP="00DB20BE">
      <w:pPr>
        <w:rPr>
          <w:szCs w:val="24"/>
        </w:rPr>
      </w:pPr>
      <w:r w:rsidRPr="006C0922">
        <w:rPr>
          <w:szCs w:val="24"/>
        </w:rPr>
        <w:t>Bloods in the asymptomatic infant in the absence of maternal chorioamnionitis do not offer benefit over observation and should not be recommended as an alternative to 36-48 hours of inpatient observation.</w:t>
      </w:r>
    </w:p>
    <w:p w14:paraId="79131D48" w14:textId="77777777" w:rsidR="00DB20BE" w:rsidRDefault="00DB20BE" w:rsidP="00DB20BE"/>
    <w:p w14:paraId="6D575B26" w14:textId="77777777" w:rsidR="00DB20BE" w:rsidRPr="006C0922" w:rsidRDefault="00DB20BE" w:rsidP="00DB20BE">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p w14:paraId="4B50B4B8" w14:textId="77777777" w:rsidR="00DB20BE" w:rsidRDefault="00DB20BE" w:rsidP="00DB20BE">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DB20BE" w:rsidRPr="00CD1C0E" w14:paraId="7C1F9B3E" w14:textId="77777777" w:rsidTr="001E0431">
        <w:trPr>
          <w:cantSplit/>
          <w:trHeight w:val="285"/>
        </w:trPr>
        <w:tc>
          <w:tcPr>
            <w:tcW w:w="9158" w:type="dxa"/>
            <w:shd w:val="clear" w:color="auto" w:fill="A6A6A6" w:themeFill="background1" w:themeFillShade="A6"/>
          </w:tcPr>
          <w:p w14:paraId="7231D0AE" w14:textId="77777777" w:rsidR="00DB20BE" w:rsidRPr="00CD1C0E" w:rsidRDefault="00DB20BE" w:rsidP="001E0431">
            <w:pPr>
              <w:pStyle w:val="Heading1"/>
              <w:tabs>
                <w:tab w:val="left" w:pos="1953"/>
              </w:tabs>
            </w:pPr>
            <w:bookmarkStart w:id="26" w:name="_Toc164668239"/>
            <w:r>
              <w:t>Evaluation</w:t>
            </w:r>
            <w:bookmarkEnd w:id="26"/>
            <w:r>
              <w:t xml:space="preserve"> </w:t>
            </w:r>
            <w:r>
              <w:tab/>
            </w:r>
          </w:p>
        </w:tc>
      </w:tr>
    </w:tbl>
    <w:p w14:paraId="6393996D" w14:textId="77777777" w:rsidR="00DB20BE" w:rsidRDefault="00DB20BE" w:rsidP="00DB20BE">
      <w:pPr>
        <w:pStyle w:val="Default"/>
        <w:rPr>
          <w:rFonts w:ascii="Calibri" w:hAnsi="Calibri"/>
        </w:rPr>
      </w:pPr>
    </w:p>
    <w:p w14:paraId="3071C6D6" w14:textId="77777777" w:rsidR="00DB20BE" w:rsidRPr="00966151" w:rsidRDefault="00DB20BE" w:rsidP="00DB20BE">
      <w:pPr>
        <w:rPr>
          <w:b/>
          <w:bCs/>
          <w:szCs w:val="24"/>
        </w:rPr>
      </w:pPr>
      <w:r w:rsidRPr="00966151">
        <w:rPr>
          <w:b/>
          <w:bCs/>
          <w:szCs w:val="24"/>
        </w:rPr>
        <w:t>Outcome</w:t>
      </w:r>
    </w:p>
    <w:p w14:paraId="17E5CA39" w14:textId="77777777" w:rsidR="00DB20BE" w:rsidRPr="00966151" w:rsidRDefault="00DB20BE" w:rsidP="00DB20BE">
      <w:pPr>
        <w:numPr>
          <w:ilvl w:val="0"/>
          <w:numId w:val="1"/>
        </w:numPr>
        <w:tabs>
          <w:tab w:val="clear" w:pos="643"/>
          <w:tab w:val="num" w:pos="1080"/>
        </w:tabs>
        <w:ind w:left="426" w:hanging="426"/>
        <w:rPr>
          <w:rFonts w:asciiTheme="minorHAnsi" w:hAnsiTheme="minorHAnsi" w:cstheme="minorHAnsi"/>
          <w:b/>
        </w:rPr>
      </w:pPr>
      <w:r w:rsidRPr="00966151">
        <w:t xml:space="preserve">Women </w:t>
      </w:r>
      <w:r>
        <w:t xml:space="preserve">at risk of developing EOGBSD </w:t>
      </w:r>
      <w:r w:rsidRPr="00966151">
        <w:t xml:space="preserve">are provided with safe, effective care as per this </w:t>
      </w:r>
      <w:r>
        <w:t>procedure</w:t>
      </w:r>
      <w:r w:rsidRPr="00966151">
        <w:t xml:space="preserve">. This </w:t>
      </w:r>
      <w:r>
        <w:t>procedure</w:t>
      </w:r>
      <w:r w:rsidRPr="00966151">
        <w:t xml:space="preserve"> will aim to reduce the incidence of maternal and neonatal morbidity and mortality.</w:t>
      </w:r>
    </w:p>
    <w:p w14:paraId="658BB550" w14:textId="77777777" w:rsidR="00DB20BE" w:rsidRPr="00966151" w:rsidRDefault="00DB20BE" w:rsidP="00DB20BE">
      <w:pPr>
        <w:rPr>
          <w:b/>
          <w:bCs/>
          <w:szCs w:val="24"/>
        </w:rPr>
      </w:pPr>
    </w:p>
    <w:p w14:paraId="3BB79847" w14:textId="77777777" w:rsidR="00DB20BE" w:rsidRPr="00966151" w:rsidRDefault="00DB20BE" w:rsidP="00DB20BE">
      <w:pPr>
        <w:rPr>
          <w:b/>
          <w:bCs/>
          <w:szCs w:val="24"/>
        </w:rPr>
      </w:pPr>
      <w:r w:rsidRPr="00966151">
        <w:rPr>
          <w:b/>
          <w:bCs/>
          <w:szCs w:val="24"/>
        </w:rPr>
        <w:t>Measures</w:t>
      </w:r>
    </w:p>
    <w:p w14:paraId="0D59A9F2" w14:textId="77777777" w:rsidR="00DB20BE" w:rsidRPr="00966151" w:rsidRDefault="00DB20BE" w:rsidP="00DB20BE">
      <w:pPr>
        <w:numPr>
          <w:ilvl w:val="0"/>
          <w:numId w:val="1"/>
        </w:numPr>
        <w:tabs>
          <w:tab w:val="clear" w:pos="643"/>
          <w:tab w:val="num" w:pos="1080"/>
        </w:tabs>
        <w:ind w:left="426" w:hanging="426"/>
      </w:pPr>
      <w:r>
        <w:t>Incidence of early onset neonatal sepsis (Including EOGBSD) to be presented at three-monthly Neonatal Morbidity and Mortality meetings.</w:t>
      </w:r>
    </w:p>
    <w:p w14:paraId="43D96DB3" w14:textId="77777777" w:rsidR="00DB20BE" w:rsidRDefault="00DB20BE" w:rsidP="00DB20BE">
      <w:pPr>
        <w:numPr>
          <w:ilvl w:val="0"/>
          <w:numId w:val="1"/>
        </w:numPr>
        <w:tabs>
          <w:tab w:val="clear" w:pos="643"/>
          <w:tab w:val="num" w:pos="1080"/>
        </w:tabs>
        <w:ind w:left="426" w:hanging="426"/>
      </w:pPr>
      <w:r>
        <w:t xml:space="preserve">Incidence of suspected maternal sepsis will be </w:t>
      </w:r>
      <w:r w:rsidRPr="00966151">
        <w:t xml:space="preserve">discussed at </w:t>
      </w:r>
      <w:r>
        <w:t>the</w:t>
      </w:r>
      <w:r w:rsidRPr="00966151">
        <w:t xml:space="preserve"> Maternity Morbidity and Mortality meetings </w:t>
      </w:r>
      <w:r>
        <w:t>to ensure appropriate intrapartum management has occurred.</w:t>
      </w:r>
    </w:p>
    <w:p w14:paraId="07523C21" w14:textId="77777777" w:rsidR="00DB20BE" w:rsidRDefault="00DB20BE" w:rsidP="00DB20BE">
      <w:pPr>
        <w:pStyle w:val="Default"/>
        <w:rPr>
          <w:rFonts w:ascii="Calibri" w:hAnsi="Calibri" w:cs="Arial"/>
          <w:i/>
          <w:color w:val="auto"/>
          <w:lang w:eastAsia="en-US"/>
        </w:rPr>
      </w:pPr>
    </w:p>
    <w:p w14:paraId="78D97821" w14:textId="77777777" w:rsidR="00DB20BE" w:rsidRPr="00253F5A" w:rsidRDefault="00DB20BE" w:rsidP="00DB20BE">
      <w:pPr>
        <w:jc w:val="right"/>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DB20BE" w:rsidRPr="00CD1C0E" w14:paraId="12974EA8" w14:textId="77777777" w:rsidTr="001E0431">
        <w:trPr>
          <w:cantSplit/>
          <w:trHeight w:val="285"/>
        </w:trPr>
        <w:tc>
          <w:tcPr>
            <w:tcW w:w="9158" w:type="dxa"/>
            <w:shd w:val="clear" w:color="auto" w:fill="A6A6A6" w:themeFill="background1" w:themeFillShade="A6"/>
          </w:tcPr>
          <w:p w14:paraId="49E28864" w14:textId="77777777" w:rsidR="00DB20BE" w:rsidRPr="00CD1C0E" w:rsidRDefault="00DB20BE" w:rsidP="001E0431">
            <w:pPr>
              <w:pStyle w:val="Heading1"/>
            </w:pPr>
            <w:bookmarkStart w:id="27" w:name="_Toc389473287"/>
            <w:bookmarkStart w:id="28" w:name="_Toc164668240"/>
            <w:r>
              <w:t>Related Policies, Procedures</w:t>
            </w:r>
            <w:bookmarkEnd w:id="27"/>
            <w:r>
              <w:t>, Guidelines and Legislation</w:t>
            </w:r>
            <w:bookmarkEnd w:id="28"/>
          </w:p>
        </w:tc>
      </w:tr>
    </w:tbl>
    <w:p w14:paraId="51B12CD7" w14:textId="77777777" w:rsidR="00DB20BE" w:rsidRDefault="00DB20BE" w:rsidP="00DB20BE">
      <w:pPr>
        <w:rPr>
          <w:szCs w:val="24"/>
        </w:rPr>
      </w:pPr>
    </w:p>
    <w:p w14:paraId="15121B96" w14:textId="77777777" w:rsidR="00DB20BE" w:rsidRPr="00D804B7" w:rsidRDefault="00DB20BE" w:rsidP="00DB20BE">
      <w:pPr>
        <w:rPr>
          <w:b/>
        </w:rPr>
      </w:pPr>
      <w:r w:rsidRPr="00D804B7">
        <w:rPr>
          <w:b/>
        </w:rPr>
        <w:t>Policies</w:t>
      </w:r>
    </w:p>
    <w:p w14:paraId="72B8F70C" w14:textId="77777777" w:rsidR="00DB20BE" w:rsidRDefault="00DB20BE" w:rsidP="00DB20BE">
      <w:pPr>
        <w:pStyle w:val="ListBullet"/>
        <w:tabs>
          <w:tab w:val="clear" w:pos="643"/>
        </w:tabs>
        <w:ind w:left="426" w:hanging="426"/>
      </w:pPr>
      <w:r w:rsidRPr="00DD5597">
        <w:t>Informed Consent (Clinical</w:t>
      </w:r>
      <w:r>
        <w:t>)</w:t>
      </w:r>
    </w:p>
    <w:p w14:paraId="3CEA71FC" w14:textId="77777777" w:rsidR="00DB20BE" w:rsidRDefault="00DB20BE" w:rsidP="00DB20BE">
      <w:pPr>
        <w:rPr>
          <w:b/>
        </w:rPr>
      </w:pPr>
    </w:p>
    <w:p w14:paraId="0923964F" w14:textId="77777777" w:rsidR="00DB20BE" w:rsidRPr="00D804B7" w:rsidRDefault="00DB20BE" w:rsidP="00DB20BE">
      <w:pPr>
        <w:rPr>
          <w:b/>
        </w:rPr>
      </w:pPr>
      <w:r w:rsidRPr="00D804B7">
        <w:rPr>
          <w:b/>
        </w:rPr>
        <w:t>Procedures</w:t>
      </w:r>
    </w:p>
    <w:p w14:paraId="354A0C4C" w14:textId="77777777" w:rsidR="00DB20BE" w:rsidRDefault="00DB20BE" w:rsidP="00DB20BE">
      <w:pPr>
        <w:pStyle w:val="ListBullet"/>
        <w:tabs>
          <w:tab w:val="clear" w:pos="643"/>
        </w:tabs>
        <w:ind w:left="426" w:hanging="426"/>
      </w:pPr>
      <w:r w:rsidRPr="00643F22">
        <w:t xml:space="preserve">Infection Prevention and Control </w:t>
      </w:r>
      <w:r>
        <w:t>(</w:t>
      </w:r>
      <w:r>
        <w:rPr>
          <w:i/>
          <w:iCs/>
        </w:rPr>
        <w:t>for your facility</w:t>
      </w:r>
      <w:r>
        <w:t>)</w:t>
      </w:r>
    </w:p>
    <w:p w14:paraId="74C690E7" w14:textId="77777777" w:rsidR="00DB20BE" w:rsidRDefault="00DB20BE" w:rsidP="00DB20BE">
      <w:pPr>
        <w:pStyle w:val="ListBullet"/>
        <w:tabs>
          <w:tab w:val="clear" w:pos="643"/>
        </w:tabs>
        <w:ind w:left="426" w:hanging="426"/>
      </w:pPr>
      <w:r w:rsidRPr="00DD5597">
        <w:t>Labour and Birth: Care during First, Second, Third and Fourth Stage</w:t>
      </w:r>
    </w:p>
    <w:p w14:paraId="00B1F132" w14:textId="77777777" w:rsidR="00DB20BE" w:rsidRDefault="00DB20BE" w:rsidP="00DB20BE">
      <w:pPr>
        <w:pStyle w:val="ListBullet"/>
        <w:tabs>
          <w:tab w:val="clear" w:pos="643"/>
        </w:tabs>
        <w:ind w:left="426" w:hanging="426"/>
      </w:pPr>
      <w:r>
        <w:t>Medication Administration for Infants and Paediatric Patients</w:t>
      </w:r>
    </w:p>
    <w:p w14:paraId="457EC7A2" w14:textId="77777777" w:rsidR="00DB20BE" w:rsidRDefault="00DB20BE" w:rsidP="00DB20BE">
      <w:pPr>
        <w:pStyle w:val="ListBullet"/>
        <w:tabs>
          <w:tab w:val="clear" w:pos="643"/>
        </w:tabs>
        <w:ind w:left="426" w:hanging="426"/>
      </w:pPr>
      <w:r>
        <w:lastRenderedPageBreak/>
        <w:t>Monitoring Infants in the Special Care Nursery (SCN)</w:t>
      </w:r>
    </w:p>
    <w:p w14:paraId="2BBD5BBC" w14:textId="77777777" w:rsidR="00DB20BE" w:rsidRDefault="00DB20BE" w:rsidP="00DB20BE">
      <w:pPr>
        <w:pStyle w:val="ListBullet"/>
        <w:tabs>
          <w:tab w:val="clear" w:pos="643"/>
        </w:tabs>
        <w:ind w:left="426" w:hanging="426"/>
      </w:pPr>
      <w:r>
        <w:t>Neonatal Lumbar Puncture Procedure</w:t>
      </w:r>
    </w:p>
    <w:p w14:paraId="1A74FDFC" w14:textId="77777777" w:rsidR="00DB20BE" w:rsidRDefault="00DB20BE" w:rsidP="00DB20BE">
      <w:pPr>
        <w:pStyle w:val="ListBullet"/>
        <w:tabs>
          <w:tab w:val="clear" w:pos="643"/>
        </w:tabs>
        <w:ind w:left="426" w:hanging="426"/>
      </w:pPr>
      <w:r w:rsidRPr="00643F22">
        <w:t>Patient Identification and Procedure Matching</w:t>
      </w:r>
    </w:p>
    <w:p w14:paraId="1540795A" w14:textId="77777777" w:rsidR="00DB20BE" w:rsidRDefault="00DB20BE" w:rsidP="00DB20BE">
      <w:pPr>
        <w:pStyle w:val="ListBullet"/>
        <w:tabs>
          <w:tab w:val="clear" w:pos="643"/>
        </w:tabs>
        <w:ind w:left="426" w:hanging="426"/>
      </w:pPr>
      <w:r w:rsidRPr="00966151">
        <w:t>Pre-labour Rupture of Membranes (PROM) Management at Term</w:t>
      </w:r>
    </w:p>
    <w:p w14:paraId="657C2C23" w14:textId="77777777" w:rsidR="00DB20BE" w:rsidRDefault="00DB20BE" w:rsidP="00DB20BE">
      <w:pPr>
        <w:pStyle w:val="ListBullet"/>
        <w:tabs>
          <w:tab w:val="clear" w:pos="643"/>
        </w:tabs>
        <w:ind w:left="426" w:hanging="426"/>
      </w:pPr>
      <w:r w:rsidRPr="00966151">
        <w:t>Preterm Pre-labour Ruptured Membranes (PPROM)</w:t>
      </w:r>
    </w:p>
    <w:p w14:paraId="67B62EA0" w14:textId="77777777" w:rsidR="00DB20BE" w:rsidRDefault="00DB20BE" w:rsidP="00DB20BE">
      <w:pPr>
        <w:pStyle w:val="ListBullet"/>
        <w:tabs>
          <w:tab w:val="clear" w:pos="643"/>
        </w:tabs>
        <w:ind w:left="426" w:hanging="426"/>
      </w:pPr>
      <w:r>
        <w:t>Stabilisation of an Infant Retrieval by NETS</w:t>
      </w:r>
    </w:p>
    <w:p w14:paraId="5327B040" w14:textId="77777777" w:rsidR="00DB20BE" w:rsidRDefault="00DB20BE" w:rsidP="00DB20BE">
      <w:pPr>
        <w:pStyle w:val="ListBullet"/>
        <w:tabs>
          <w:tab w:val="clear" w:pos="643"/>
        </w:tabs>
        <w:ind w:left="426" w:hanging="426"/>
      </w:pPr>
      <w:r w:rsidRPr="00DD5597">
        <w:t>Vital Signs &amp; Early Warning Scores</w:t>
      </w:r>
      <w:r>
        <w:t xml:space="preserve"> – Canberra Hospital</w:t>
      </w:r>
    </w:p>
    <w:p w14:paraId="34A17851" w14:textId="77777777" w:rsidR="00DB20BE" w:rsidRDefault="00DB20BE" w:rsidP="00DB20BE">
      <w:pPr>
        <w:pStyle w:val="ListBullet"/>
        <w:tabs>
          <w:tab w:val="clear" w:pos="643"/>
        </w:tabs>
        <w:ind w:left="426" w:hanging="426"/>
      </w:pPr>
      <w:r>
        <w:t xml:space="preserve">Vital Signs &amp; Early </w:t>
      </w:r>
      <w:proofErr w:type="spellStart"/>
      <w:r>
        <w:t>Warnign</w:t>
      </w:r>
      <w:proofErr w:type="spellEnd"/>
      <w:r>
        <w:t xml:space="preserve"> Scores – North Canberra Hospital</w:t>
      </w:r>
    </w:p>
    <w:p w14:paraId="319198F0" w14:textId="77777777" w:rsidR="00DB20BE" w:rsidRDefault="00DB20BE" w:rsidP="00DB20BE">
      <w:pPr>
        <w:pStyle w:val="ListBullet"/>
        <w:tabs>
          <w:tab w:val="clear" w:pos="643"/>
        </w:tabs>
        <w:ind w:left="426" w:hanging="426"/>
      </w:pPr>
      <w:r w:rsidRPr="00425B2A">
        <w:t>Water immersion in Labour &amp; Birth</w:t>
      </w:r>
    </w:p>
    <w:p w14:paraId="39A4FD0A" w14:textId="77777777" w:rsidR="00DB20BE" w:rsidRDefault="00DB20BE" w:rsidP="00DB20BE">
      <w:pPr>
        <w:pStyle w:val="ListBullet"/>
        <w:numPr>
          <w:ilvl w:val="0"/>
          <w:numId w:val="0"/>
        </w:numPr>
        <w:ind w:left="644"/>
      </w:pPr>
    </w:p>
    <w:p w14:paraId="098C37E9" w14:textId="77777777" w:rsidR="00DB20BE" w:rsidRPr="00D804B7" w:rsidRDefault="00DB20BE" w:rsidP="00DB20BE">
      <w:pPr>
        <w:rPr>
          <w:b/>
        </w:rPr>
      </w:pPr>
      <w:r w:rsidRPr="00D804B7">
        <w:rPr>
          <w:b/>
        </w:rPr>
        <w:t>Guidelines</w:t>
      </w:r>
    </w:p>
    <w:p w14:paraId="63499FDD" w14:textId="77777777" w:rsidR="00DB20BE" w:rsidRPr="00DD5597" w:rsidRDefault="00DB20BE" w:rsidP="00DB20BE">
      <w:pPr>
        <w:pStyle w:val="ListBullet"/>
        <w:tabs>
          <w:tab w:val="clear" w:pos="643"/>
        </w:tabs>
        <w:ind w:left="426" w:hanging="426"/>
        <w:rPr>
          <w:szCs w:val="24"/>
        </w:rPr>
      </w:pPr>
      <w:proofErr w:type="spellStart"/>
      <w:r w:rsidRPr="00D804B7">
        <w:t>Fetal</w:t>
      </w:r>
      <w:proofErr w:type="spellEnd"/>
      <w:r w:rsidRPr="00D804B7">
        <w:t xml:space="preserve"> Surveillance Practice Guideline</w:t>
      </w:r>
    </w:p>
    <w:p w14:paraId="1A86C04C" w14:textId="77777777" w:rsidR="00DB20BE" w:rsidRDefault="00DB20BE" w:rsidP="00DB20BE">
      <w:pPr>
        <w:pStyle w:val="ListBullet"/>
        <w:tabs>
          <w:tab w:val="clear" w:pos="643"/>
        </w:tabs>
        <w:ind w:left="426" w:hanging="426"/>
      </w:pPr>
      <w:r>
        <w:t>Neonatal bacterial sepsis Guideline</w:t>
      </w:r>
    </w:p>
    <w:p w14:paraId="3E8BE360" w14:textId="77777777" w:rsidR="00DB20BE" w:rsidRDefault="00DB20BE" w:rsidP="00DB20BE">
      <w:pPr>
        <w:rPr>
          <w:b/>
        </w:rPr>
      </w:pPr>
    </w:p>
    <w:p w14:paraId="179EA375" w14:textId="77777777" w:rsidR="00DB20BE" w:rsidRPr="00201FB6" w:rsidRDefault="00DB20BE" w:rsidP="00DB20BE">
      <w:pPr>
        <w:rPr>
          <w:b/>
        </w:rPr>
      </w:pPr>
      <w:r w:rsidRPr="00201FB6">
        <w:rPr>
          <w:b/>
        </w:rPr>
        <w:t>Legislation</w:t>
      </w:r>
    </w:p>
    <w:p w14:paraId="3BF18137" w14:textId="77777777" w:rsidR="00DB20BE" w:rsidRPr="00643F22" w:rsidRDefault="00DB20BE" w:rsidP="00DB20BE">
      <w:pPr>
        <w:numPr>
          <w:ilvl w:val="0"/>
          <w:numId w:val="3"/>
        </w:numPr>
        <w:ind w:left="426" w:hanging="426"/>
        <w:rPr>
          <w:rFonts w:cs="Arial"/>
          <w:i/>
          <w:szCs w:val="24"/>
        </w:rPr>
      </w:pPr>
      <w:r w:rsidRPr="00643F22">
        <w:rPr>
          <w:rFonts w:cs="Arial"/>
          <w:i/>
          <w:szCs w:val="24"/>
        </w:rPr>
        <w:t>Health Records (Privacy and Access) Act 1997</w:t>
      </w:r>
    </w:p>
    <w:p w14:paraId="3AF70049" w14:textId="77777777" w:rsidR="00DB20BE" w:rsidRPr="00643F22" w:rsidRDefault="00DB20BE" w:rsidP="00DB20BE">
      <w:pPr>
        <w:numPr>
          <w:ilvl w:val="0"/>
          <w:numId w:val="3"/>
        </w:numPr>
        <w:ind w:left="426" w:hanging="426"/>
        <w:rPr>
          <w:rFonts w:cs="Arial"/>
          <w:i/>
          <w:szCs w:val="24"/>
        </w:rPr>
      </w:pPr>
      <w:r w:rsidRPr="00643F22">
        <w:rPr>
          <w:rFonts w:cs="Arial"/>
          <w:i/>
          <w:szCs w:val="24"/>
        </w:rPr>
        <w:t>Human Rights Act 2004</w:t>
      </w:r>
    </w:p>
    <w:p w14:paraId="30D2BA2D" w14:textId="77777777" w:rsidR="00DB20BE" w:rsidRPr="00643F22" w:rsidRDefault="00DB20BE" w:rsidP="00DB20BE">
      <w:pPr>
        <w:numPr>
          <w:ilvl w:val="0"/>
          <w:numId w:val="3"/>
        </w:numPr>
        <w:ind w:left="426" w:hanging="426"/>
        <w:rPr>
          <w:rFonts w:cs="Arial"/>
          <w:i/>
          <w:szCs w:val="24"/>
        </w:rPr>
      </w:pPr>
      <w:r w:rsidRPr="00643F22">
        <w:rPr>
          <w:rFonts w:cs="Arial"/>
          <w:i/>
          <w:szCs w:val="24"/>
        </w:rPr>
        <w:t>Work Health and Safety Act 2011</w:t>
      </w:r>
    </w:p>
    <w:p w14:paraId="1F3D1908" w14:textId="77777777" w:rsidR="00DB20BE" w:rsidRDefault="00DB20BE" w:rsidP="00DB20BE">
      <w:pPr>
        <w:ind w:left="426" w:hanging="426"/>
        <w:rPr>
          <w:rFonts w:cs="Arial"/>
          <w:i/>
          <w:szCs w:val="24"/>
        </w:rPr>
      </w:pPr>
    </w:p>
    <w:p w14:paraId="05F602BB" w14:textId="77777777" w:rsidR="00DB20BE" w:rsidRDefault="00DB20BE" w:rsidP="00DB20BE">
      <w:pPr>
        <w:rPr>
          <w:rFonts w:cs="Arial"/>
          <w:b/>
          <w:bCs/>
          <w:iCs/>
          <w:szCs w:val="24"/>
        </w:rPr>
      </w:pPr>
      <w:r>
        <w:rPr>
          <w:rFonts w:cs="Arial"/>
          <w:b/>
          <w:bCs/>
          <w:iCs/>
          <w:szCs w:val="24"/>
        </w:rPr>
        <w:t>Other</w:t>
      </w:r>
    </w:p>
    <w:p w14:paraId="49D36399" w14:textId="77777777" w:rsidR="00DB20BE" w:rsidRDefault="00DB20BE" w:rsidP="00DB20BE">
      <w:pPr>
        <w:pStyle w:val="ListBullet"/>
        <w:tabs>
          <w:tab w:val="clear" w:pos="643"/>
        </w:tabs>
        <w:ind w:left="426" w:hanging="426"/>
      </w:pPr>
      <w:r>
        <w:t>Australian Charter of Health Care Rights</w:t>
      </w:r>
    </w:p>
    <w:p w14:paraId="4DA0D01B" w14:textId="77777777" w:rsidR="00DB20BE" w:rsidRPr="00FF56DD" w:rsidRDefault="00DB20BE" w:rsidP="00DB20BE">
      <w:pPr>
        <w:rPr>
          <w:rFonts w:cs="Arial"/>
          <w:i/>
          <w:szCs w:val="24"/>
        </w:rPr>
      </w:pPr>
    </w:p>
    <w:p w14:paraId="2D5C6863" w14:textId="77777777" w:rsidR="00DB20BE" w:rsidRDefault="00DB20BE" w:rsidP="00DB20BE">
      <w:pPr>
        <w:pStyle w:val="ListParagraph"/>
        <w:jc w:val="right"/>
        <w:rPr>
          <w:szCs w:val="24"/>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DB20BE" w:rsidRPr="00CD1C0E" w14:paraId="7C73438F" w14:textId="77777777" w:rsidTr="001E0431">
        <w:trPr>
          <w:cantSplit/>
          <w:trHeight w:val="285"/>
        </w:trPr>
        <w:tc>
          <w:tcPr>
            <w:tcW w:w="9158" w:type="dxa"/>
            <w:shd w:val="clear" w:color="auto" w:fill="A6A6A6" w:themeFill="background1" w:themeFillShade="A6"/>
          </w:tcPr>
          <w:p w14:paraId="4D1D69DE" w14:textId="77777777" w:rsidR="00DB20BE" w:rsidRPr="00CD1C0E" w:rsidRDefault="00DB20BE" w:rsidP="001E0431">
            <w:pPr>
              <w:pStyle w:val="Heading1"/>
            </w:pPr>
            <w:bookmarkStart w:id="29" w:name="_Toc389473288"/>
            <w:bookmarkStart w:id="30" w:name="_Toc164668241"/>
            <w:r>
              <w:t>References</w:t>
            </w:r>
            <w:bookmarkEnd w:id="29"/>
            <w:bookmarkEnd w:id="30"/>
          </w:p>
        </w:tc>
      </w:tr>
    </w:tbl>
    <w:p w14:paraId="6CF3C3F3" w14:textId="77777777" w:rsidR="00DB20BE" w:rsidRDefault="00DB20BE" w:rsidP="00DB20BE">
      <w:pPr>
        <w:rPr>
          <w:rFonts w:asciiTheme="majorHAnsi" w:hAnsiTheme="majorHAnsi" w:cstheme="majorHAnsi"/>
          <w:szCs w:val="24"/>
        </w:rPr>
      </w:pPr>
      <w:bookmarkStart w:id="31" w:name="_Toc389131245"/>
    </w:p>
    <w:p w14:paraId="5EB13CFB" w14:textId="77777777" w:rsidR="00DB20BE" w:rsidRPr="001738C6" w:rsidRDefault="00DB20BE" w:rsidP="00DB20BE">
      <w:pPr>
        <w:pStyle w:val="ListParagraph"/>
        <w:numPr>
          <w:ilvl w:val="0"/>
          <w:numId w:val="20"/>
        </w:numPr>
        <w:ind w:left="426" w:hanging="426"/>
        <w:rPr>
          <w:szCs w:val="24"/>
        </w:rPr>
      </w:pPr>
      <w:r>
        <w:t xml:space="preserve">streptococcus. 2019. In: Clinical Practice Guidelines: Pregnancy Care [Internet]. Canberra: Australian Government Department of Health. Available from: </w:t>
      </w:r>
      <w:hyperlink r:id="rId13" w:history="1">
        <w:r w:rsidRPr="00BB4993">
          <w:rPr>
            <w:rStyle w:val="Hyperlink"/>
          </w:rPr>
          <w:t>https://www.health.gov.au/resources/pregnancy-care-guidelines/part-f-routine-maternal-health-tests/group-b-streptococcus</w:t>
        </w:r>
      </w:hyperlink>
      <w:r>
        <w:t xml:space="preserve">  </w:t>
      </w:r>
    </w:p>
    <w:p w14:paraId="507D6530" w14:textId="77777777" w:rsidR="00DB20BE" w:rsidRDefault="00DB20BE" w:rsidP="00DB20BE">
      <w:pPr>
        <w:pStyle w:val="ListParagraph"/>
        <w:numPr>
          <w:ilvl w:val="0"/>
          <w:numId w:val="20"/>
        </w:numPr>
        <w:ind w:left="426" w:hanging="426"/>
        <w:rPr>
          <w:szCs w:val="24"/>
        </w:rPr>
      </w:pPr>
      <w:r>
        <w:t>The Royal Australian and New Zealand College of Obstetricians and Gynaecologists (RANZCOG). Maternal Group B Streptococcus in pregnancy: Screening and management: C-</w:t>
      </w:r>
      <w:proofErr w:type="spellStart"/>
      <w:r>
        <w:t>Obs</w:t>
      </w:r>
      <w:proofErr w:type="spellEnd"/>
      <w:r>
        <w:t xml:space="preserve"> 19. RANZCOG. 2019. Available from: </w:t>
      </w:r>
      <w:hyperlink r:id="rId14" w:history="1">
        <w:r w:rsidRPr="00BB4993">
          <w:rPr>
            <w:rStyle w:val="Hyperlink"/>
          </w:rPr>
          <w:t>https://ranzcog.edu.au</w:t>
        </w:r>
      </w:hyperlink>
      <w:r>
        <w:t xml:space="preserve"> </w:t>
      </w:r>
    </w:p>
    <w:p w14:paraId="759FD3E0" w14:textId="77777777" w:rsidR="00DB20BE" w:rsidRPr="006671DC" w:rsidRDefault="00DB20BE" w:rsidP="00DB20BE">
      <w:pPr>
        <w:pStyle w:val="ListParagraph"/>
        <w:numPr>
          <w:ilvl w:val="0"/>
          <w:numId w:val="20"/>
        </w:numPr>
        <w:ind w:left="426" w:hanging="426"/>
        <w:rPr>
          <w:szCs w:val="24"/>
        </w:rPr>
      </w:pPr>
      <w:r>
        <w:t xml:space="preserve">American College of Obstetricians and Gynaecologists. Prevention of group B streptococcal early-onset disease in newborns: ACOG committee opinion. </w:t>
      </w:r>
      <w:proofErr w:type="spellStart"/>
      <w:r>
        <w:t>Obstet</w:t>
      </w:r>
      <w:proofErr w:type="spellEnd"/>
      <w:r>
        <w:t xml:space="preserve"> Gynecol. 2020;135(2</w:t>
      </w:r>
      <w:proofErr w:type="gramStart"/>
      <w:r>
        <w:t>):e</w:t>
      </w:r>
      <w:proofErr w:type="gramEnd"/>
      <w:r>
        <w:t>51-72.</w:t>
      </w:r>
      <w:r w:rsidRPr="00AF4918">
        <w:t xml:space="preserve"> </w:t>
      </w:r>
      <w:hyperlink r:id="rId15" w:history="1">
        <w:r w:rsidRPr="00AF4918">
          <w:rPr>
            <w:color w:val="0000FF"/>
            <w:u w:val="single"/>
          </w:rPr>
          <w:t>Prevention of Group B Streptococcal Early-Onset Disease in Newborns | ACOG</w:t>
        </w:r>
      </w:hyperlink>
    </w:p>
    <w:p w14:paraId="0F9038BB" w14:textId="77777777" w:rsidR="00DB20BE" w:rsidRPr="004F7E33" w:rsidRDefault="00DB20BE" w:rsidP="00DB20BE">
      <w:pPr>
        <w:pStyle w:val="ListParagraph"/>
        <w:numPr>
          <w:ilvl w:val="0"/>
          <w:numId w:val="20"/>
        </w:numPr>
        <w:ind w:left="426" w:hanging="426"/>
        <w:rPr>
          <w:szCs w:val="24"/>
        </w:rPr>
      </w:pPr>
      <w:proofErr w:type="spellStart"/>
      <w:r>
        <w:t>Filkins</w:t>
      </w:r>
      <w:proofErr w:type="spellEnd"/>
      <w:r>
        <w:t xml:space="preserve"> Laura, Hauser Jocelyn, Robinson-Dunn Barbara, Tibbetts Robert, </w:t>
      </w:r>
      <w:proofErr w:type="spellStart"/>
      <w:r>
        <w:t>Boyanton</w:t>
      </w:r>
      <w:proofErr w:type="spellEnd"/>
      <w:r>
        <w:t xml:space="preserve"> Bobby, Revell Paula. </w:t>
      </w:r>
      <w:r w:rsidRPr="00966213">
        <w:t>Guidelines for the Detection and Identification of Group B Streptococcus</w:t>
      </w:r>
      <w:r>
        <w:t xml:space="preserve">. American Society for Microbiology. March 10. 2020. </w:t>
      </w:r>
      <w:hyperlink r:id="rId16" w:history="1">
        <w:r w:rsidRPr="00966213">
          <w:rPr>
            <w:color w:val="0000FF"/>
            <w:u w:val="single"/>
          </w:rPr>
          <w:t>Guidelines for the Detection and Identification of Group B Streptococcus | ASM.org</w:t>
        </w:r>
      </w:hyperlink>
    </w:p>
    <w:p w14:paraId="2ADD1741" w14:textId="77777777" w:rsidR="00DB20BE" w:rsidRPr="00DE3E0B" w:rsidRDefault="00DB20BE" w:rsidP="00DB20BE">
      <w:pPr>
        <w:pStyle w:val="ListParagraph"/>
        <w:numPr>
          <w:ilvl w:val="0"/>
          <w:numId w:val="20"/>
        </w:numPr>
        <w:ind w:left="426" w:hanging="426"/>
        <w:rPr>
          <w:rFonts w:cs="Calibri"/>
          <w:szCs w:val="24"/>
        </w:rPr>
      </w:pPr>
      <w:r w:rsidRPr="00D01CCF">
        <w:rPr>
          <w:rFonts w:cs="Calibri"/>
          <w:color w:val="000000"/>
          <w:szCs w:val="24"/>
          <w:shd w:val="clear" w:color="auto" w:fill="FFFFFF"/>
        </w:rPr>
        <w:t xml:space="preserve">Puopolo, Karen M, </w:t>
      </w:r>
      <w:proofErr w:type="spellStart"/>
      <w:r w:rsidRPr="00D01CCF">
        <w:rPr>
          <w:rFonts w:cs="Calibri"/>
          <w:color w:val="000000"/>
          <w:szCs w:val="24"/>
          <w:shd w:val="clear" w:color="auto" w:fill="FFFFFF"/>
        </w:rPr>
        <w:t>Lynfield</w:t>
      </w:r>
      <w:proofErr w:type="spellEnd"/>
      <w:r w:rsidRPr="00D01CCF">
        <w:rPr>
          <w:rFonts w:cs="Calibri"/>
          <w:color w:val="000000"/>
          <w:szCs w:val="24"/>
          <w:shd w:val="clear" w:color="auto" w:fill="FFFFFF"/>
        </w:rPr>
        <w:t>, Ruth, Cummings, James J. Management of Infants at Risk for Group B Streptococcal Disease.</w:t>
      </w:r>
      <w:r w:rsidRPr="00D01CCF">
        <w:rPr>
          <w:rFonts w:cs="Calibri"/>
          <w:szCs w:val="24"/>
        </w:rPr>
        <w:t xml:space="preserve"> </w:t>
      </w:r>
      <w:proofErr w:type="spellStart"/>
      <w:r w:rsidRPr="00D01CCF">
        <w:rPr>
          <w:rFonts w:cs="Calibri"/>
          <w:color w:val="000000"/>
          <w:szCs w:val="24"/>
          <w:shd w:val="clear" w:color="auto" w:fill="FFFFFF"/>
        </w:rPr>
        <w:t>Pediatrics</w:t>
      </w:r>
      <w:proofErr w:type="spellEnd"/>
      <w:r w:rsidRPr="00D01CCF">
        <w:rPr>
          <w:rFonts w:cs="Calibri"/>
          <w:color w:val="000000"/>
          <w:szCs w:val="24"/>
          <w:shd w:val="clear" w:color="auto" w:fill="FFFFFF"/>
        </w:rPr>
        <w:t xml:space="preserve">. August 2019, 144 (2) e20191881; DOI: </w:t>
      </w:r>
      <w:hyperlink r:id="rId17" w:history="1">
        <w:r w:rsidRPr="00D01CCF">
          <w:rPr>
            <w:rStyle w:val="Hyperlink"/>
            <w:rFonts w:cs="Calibri"/>
            <w:szCs w:val="24"/>
            <w:shd w:val="clear" w:color="auto" w:fill="FFFFFF"/>
          </w:rPr>
          <w:t>https://doi.org/10.1542/peds.2019-1881</w:t>
        </w:r>
      </w:hyperlink>
      <w:r w:rsidRPr="00D01CCF">
        <w:rPr>
          <w:rFonts w:cs="Calibri"/>
          <w:color w:val="000000"/>
          <w:szCs w:val="24"/>
          <w:shd w:val="clear" w:color="auto" w:fill="FFFFFF"/>
        </w:rPr>
        <w:t xml:space="preserve">. </w:t>
      </w:r>
    </w:p>
    <w:p w14:paraId="7ED1F0BA" w14:textId="77777777" w:rsidR="00DB20BE" w:rsidRPr="00D01CCF" w:rsidRDefault="00DB20BE" w:rsidP="00DB20BE">
      <w:pPr>
        <w:pStyle w:val="ListParagraph"/>
        <w:numPr>
          <w:ilvl w:val="0"/>
          <w:numId w:val="20"/>
        </w:numPr>
        <w:ind w:left="426" w:hanging="426"/>
        <w:rPr>
          <w:rFonts w:cs="Calibri"/>
          <w:szCs w:val="24"/>
        </w:rPr>
      </w:pPr>
      <w:r w:rsidRPr="00FB00C0">
        <w:rPr>
          <w:rFonts w:cs="Arial"/>
        </w:rPr>
        <w:lastRenderedPageBreak/>
        <w:t xml:space="preserve">Puopolo, K.M, Edwards, M.S &amp; Wilkie, L (2022). Management of Neonates at risk for early-onset group B streptococcal infection. Up-to-date </w:t>
      </w:r>
      <w:hyperlink r:id="rId18" w:history="1">
        <w:r w:rsidRPr="00FB00C0">
          <w:rPr>
            <w:color w:val="0000FF"/>
            <w:u w:val="single"/>
          </w:rPr>
          <w:t>https://www.uptodate.com/contents/management-of-neonates-at-risk-for-early-onset-group-b-streptococcal-infection?topicRef=438&amp;source=see_link</w:t>
        </w:r>
      </w:hyperlink>
    </w:p>
    <w:p w14:paraId="570D00C9" w14:textId="77777777" w:rsidR="00DB20BE" w:rsidRPr="0011189A" w:rsidRDefault="00DB20BE" w:rsidP="00DB20BE">
      <w:pPr>
        <w:pStyle w:val="ListParagraph"/>
        <w:numPr>
          <w:ilvl w:val="0"/>
          <w:numId w:val="20"/>
        </w:numPr>
        <w:ind w:left="426" w:hanging="426"/>
        <w:rPr>
          <w:szCs w:val="24"/>
        </w:rPr>
      </w:pPr>
      <w:r w:rsidRPr="0011189A">
        <w:rPr>
          <w:szCs w:val="24"/>
        </w:rPr>
        <w:t>Group B streptococcus (GBS) – screening and management</w:t>
      </w:r>
      <w:r>
        <w:rPr>
          <w:szCs w:val="24"/>
        </w:rPr>
        <w:t xml:space="preserve">. Safer Care Victoria. 2019. </w:t>
      </w:r>
      <w:hyperlink r:id="rId19" w:history="1">
        <w:r w:rsidRPr="0011189A">
          <w:rPr>
            <w:color w:val="0000FF"/>
            <w:u w:val="single"/>
          </w:rPr>
          <w:t>Group B streptococcus (GBS) – screening and management | Better Safer Care</w:t>
        </w:r>
      </w:hyperlink>
    </w:p>
    <w:p w14:paraId="28E40A8B" w14:textId="77777777" w:rsidR="00DB20BE" w:rsidRDefault="00DB20BE" w:rsidP="00DB20BE">
      <w:pPr>
        <w:pStyle w:val="ListParagraph"/>
        <w:numPr>
          <w:ilvl w:val="0"/>
          <w:numId w:val="20"/>
        </w:numPr>
        <w:ind w:left="426" w:hanging="426"/>
        <w:rPr>
          <w:szCs w:val="24"/>
        </w:rPr>
      </w:pPr>
      <w:r w:rsidRPr="00D25191">
        <w:rPr>
          <w:szCs w:val="24"/>
        </w:rPr>
        <w:t>Early onset Group B Streptococcal disease</w:t>
      </w:r>
      <w:r>
        <w:rPr>
          <w:szCs w:val="24"/>
        </w:rPr>
        <w:t>-Queensland Clinical Guidelines. April 2020</w:t>
      </w:r>
    </w:p>
    <w:p w14:paraId="4F754312" w14:textId="77777777" w:rsidR="00DB20BE" w:rsidRDefault="00DB20BE" w:rsidP="00DB20BE">
      <w:pPr>
        <w:pStyle w:val="ListParagraph"/>
        <w:ind w:left="426" w:hanging="426"/>
      </w:pPr>
      <w:hyperlink r:id="rId20" w:history="1">
        <w:r w:rsidRPr="00D25191">
          <w:rPr>
            <w:color w:val="0000FF"/>
            <w:u w:val="single"/>
          </w:rPr>
          <w:t>Maternity and Neonatal Clinical Guidelines | Queensland Clinical Guidelines | Queensland Health</w:t>
        </w:r>
      </w:hyperlink>
      <w:r>
        <w:t xml:space="preserve"> </w:t>
      </w:r>
    </w:p>
    <w:p w14:paraId="609AFBCE" w14:textId="77777777" w:rsidR="00DB20BE" w:rsidRPr="006A3ED6" w:rsidRDefault="00DB20BE" w:rsidP="00DB20BE">
      <w:pPr>
        <w:pStyle w:val="ListParagraph"/>
        <w:numPr>
          <w:ilvl w:val="0"/>
          <w:numId w:val="20"/>
        </w:numPr>
        <w:ind w:left="426" w:hanging="426"/>
        <w:rPr>
          <w:szCs w:val="24"/>
        </w:rPr>
      </w:pPr>
      <w:r w:rsidRPr="00D25191">
        <w:rPr>
          <w:szCs w:val="24"/>
        </w:rPr>
        <w:t>Group B Streptococcal disease</w:t>
      </w:r>
      <w:r>
        <w:rPr>
          <w:szCs w:val="24"/>
        </w:rPr>
        <w:t xml:space="preserve">. </w:t>
      </w:r>
      <w:r>
        <w:t>North Metropolitan Health Service 2021</w:t>
      </w:r>
    </w:p>
    <w:p w14:paraId="34BAE7C0" w14:textId="77777777" w:rsidR="00DB20BE" w:rsidRPr="00D25191" w:rsidRDefault="00DB20BE" w:rsidP="00DB20BE">
      <w:pPr>
        <w:pStyle w:val="ListParagraph"/>
        <w:ind w:left="426" w:hanging="426"/>
        <w:rPr>
          <w:szCs w:val="24"/>
        </w:rPr>
      </w:pPr>
      <w:hyperlink r:id="rId21" w:history="1">
        <w:r w:rsidRPr="00D05597">
          <w:rPr>
            <w:rStyle w:val="Hyperlink"/>
            <w:szCs w:val="24"/>
          </w:rPr>
          <w:t>https://www.kemh.health.wa.gov.au/~/media/Files/Hospitals/WNHS/For%20health%20professionals/Clinical%20guidelines/OG/WNHS.OG.GroupBStreptococcalDisease.pdf</w:t>
        </w:r>
      </w:hyperlink>
      <w:r>
        <w:rPr>
          <w:szCs w:val="24"/>
        </w:rPr>
        <w:t xml:space="preserve"> </w:t>
      </w:r>
    </w:p>
    <w:p w14:paraId="01598965" w14:textId="77777777" w:rsidR="00DB20BE" w:rsidRDefault="00DB20BE" w:rsidP="00DB20BE">
      <w:pPr>
        <w:pStyle w:val="ListParagraph"/>
        <w:numPr>
          <w:ilvl w:val="0"/>
          <w:numId w:val="20"/>
        </w:numPr>
        <w:ind w:left="426" w:hanging="426"/>
        <w:rPr>
          <w:szCs w:val="24"/>
        </w:rPr>
      </w:pPr>
      <w:proofErr w:type="spellStart"/>
      <w:r>
        <w:t>Hasperhoven</w:t>
      </w:r>
      <w:proofErr w:type="spellEnd"/>
      <w:r>
        <w:t xml:space="preserve"> GF, Al-</w:t>
      </w:r>
      <w:proofErr w:type="spellStart"/>
      <w:r>
        <w:t>Nasiry</w:t>
      </w:r>
      <w:proofErr w:type="spellEnd"/>
      <w:r>
        <w:t xml:space="preserve"> S, </w:t>
      </w:r>
      <w:proofErr w:type="spellStart"/>
      <w:r>
        <w:t>Bekker</w:t>
      </w:r>
      <w:proofErr w:type="spellEnd"/>
      <w:r>
        <w:t xml:space="preserve"> V, Villamor E, Kramer BWW. Universal screening versus risk-based protocols for antibiotic prophylaxis during early-onset group B streptococcal disease: A systematic review and meta-analysis. BJOG. </w:t>
      </w:r>
      <w:proofErr w:type="gramStart"/>
      <w:r>
        <w:t>2020;127:680</w:t>
      </w:r>
      <w:proofErr w:type="gramEnd"/>
      <w:r>
        <w:t>-91.</w:t>
      </w:r>
    </w:p>
    <w:p w14:paraId="62F89698" w14:textId="77777777" w:rsidR="00DB20BE" w:rsidRPr="00673AB4" w:rsidRDefault="00DB20BE" w:rsidP="00DB20BE">
      <w:pPr>
        <w:pStyle w:val="ListParagraph"/>
        <w:numPr>
          <w:ilvl w:val="0"/>
          <w:numId w:val="20"/>
        </w:numPr>
        <w:ind w:left="426" w:hanging="426"/>
        <w:rPr>
          <w:color w:val="000000"/>
          <w:szCs w:val="24"/>
          <w:lang w:eastAsia="en-AU"/>
        </w:rPr>
      </w:pPr>
      <w:r w:rsidRPr="00673AB4">
        <w:rPr>
          <w:color w:val="000000"/>
          <w:szCs w:val="24"/>
          <w:lang w:eastAsia="en-AU"/>
        </w:rPr>
        <w:t>Feng-Ying C. Assessment of Intrapartum Antibiotic Prophylaxis for the Prevention of Early-onset Group B Streptococcal Disease. Paediatr</w:t>
      </w:r>
      <w:r>
        <w:rPr>
          <w:color w:val="000000"/>
          <w:szCs w:val="24"/>
          <w:lang w:eastAsia="en-AU"/>
        </w:rPr>
        <w:t>ic Infect Dis J. 2011 September</w:t>
      </w:r>
      <w:r w:rsidRPr="00673AB4">
        <w:rPr>
          <w:color w:val="000000"/>
          <w:szCs w:val="24"/>
          <w:lang w:eastAsia="en-AU"/>
        </w:rPr>
        <w:t>; 30(9): 759-763.</w:t>
      </w:r>
    </w:p>
    <w:p w14:paraId="75B63A2E" w14:textId="77777777" w:rsidR="00DB20BE" w:rsidRPr="00673AB4" w:rsidRDefault="00DB20BE" w:rsidP="00DB20BE">
      <w:pPr>
        <w:pStyle w:val="ListParagraph"/>
        <w:numPr>
          <w:ilvl w:val="0"/>
          <w:numId w:val="20"/>
        </w:numPr>
        <w:ind w:left="426" w:hanging="426"/>
        <w:rPr>
          <w:color w:val="000000"/>
          <w:szCs w:val="24"/>
          <w:lang w:eastAsia="en-AU"/>
        </w:rPr>
      </w:pPr>
      <w:r w:rsidRPr="00673AB4">
        <w:rPr>
          <w:color w:val="000000"/>
          <w:szCs w:val="24"/>
          <w:lang w:eastAsia="en-AU"/>
        </w:rPr>
        <w:t>The Prevention of Early-onset Neonatal Group B Streptococcal Disease. RCOG Green-top Guideline No. 36</w:t>
      </w:r>
    </w:p>
    <w:p w14:paraId="6AE2F0C4" w14:textId="77777777" w:rsidR="00DB20BE" w:rsidRPr="00966213" w:rsidRDefault="00DB20BE" w:rsidP="00DB20BE">
      <w:pPr>
        <w:numPr>
          <w:ilvl w:val="0"/>
          <w:numId w:val="20"/>
        </w:numPr>
        <w:ind w:left="426" w:hanging="426"/>
        <w:rPr>
          <w:szCs w:val="24"/>
        </w:rPr>
      </w:pPr>
      <w:r w:rsidRPr="00966213">
        <w:rPr>
          <w:szCs w:val="24"/>
        </w:rPr>
        <w:t>Kurz, E and Davis, D 201</w:t>
      </w:r>
      <w:r>
        <w:rPr>
          <w:szCs w:val="24"/>
        </w:rPr>
        <w:t>5</w:t>
      </w:r>
      <w:r w:rsidRPr="00966213">
        <w:rPr>
          <w:szCs w:val="24"/>
        </w:rPr>
        <w:t xml:space="preserve">, ‘Routine </w:t>
      </w:r>
      <w:proofErr w:type="gramStart"/>
      <w:r w:rsidRPr="00966213">
        <w:rPr>
          <w:szCs w:val="24"/>
        </w:rPr>
        <w:t>culture based</w:t>
      </w:r>
      <w:proofErr w:type="gramEnd"/>
      <w:r w:rsidRPr="00966213">
        <w:rPr>
          <w:szCs w:val="24"/>
        </w:rPr>
        <w:t xml:space="preserve"> screening versus risk based management for the prevention of early onset group B streptococcus disease in the neonate: a systematic review’</w:t>
      </w:r>
      <w:r>
        <w:rPr>
          <w:szCs w:val="24"/>
        </w:rPr>
        <w:t xml:space="preserve">. </w:t>
      </w:r>
      <w:r w:rsidRPr="00966213">
        <w:rPr>
          <w:szCs w:val="24"/>
        </w:rPr>
        <w:t>DOI: 10.11124/jbisrir-2015-1876.</w:t>
      </w:r>
      <w:r w:rsidRPr="00966213">
        <w:t xml:space="preserve"> </w:t>
      </w:r>
      <w:hyperlink r:id="rId22" w:history="1">
        <w:r w:rsidRPr="00966213">
          <w:rPr>
            <w:color w:val="0000FF"/>
            <w:u w:val="single"/>
          </w:rPr>
          <w:t>Routine culture-based screening versus risk-based management for the prevention of early-onset group B streptococcus disease in the neonate: a systematic review - PubMed (nih.gov)</w:t>
        </w:r>
      </w:hyperlink>
    </w:p>
    <w:p w14:paraId="1F3B8B5D" w14:textId="77777777" w:rsidR="00DB20BE" w:rsidRPr="00DE3E0B" w:rsidRDefault="00DB20BE" w:rsidP="00DB20BE">
      <w:pPr>
        <w:pStyle w:val="ListParagraph"/>
        <w:numPr>
          <w:ilvl w:val="0"/>
          <w:numId w:val="20"/>
        </w:numPr>
        <w:ind w:left="426" w:hanging="426"/>
        <w:rPr>
          <w:rFonts w:asciiTheme="majorHAnsi" w:hAnsiTheme="majorHAnsi" w:cstheme="majorHAnsi"/>
          <w:szCs w:val="24"/>
        </w:rPr>
      </w:pPr>
      <w:hyperlink r:id="rId23" w:history="1">
        <w:r w:rsidRPr="00B91790">
          <w:rPr>
            <w:color w:val="000000"/>
            <w:szCs w:val="24"/>
            <w:lang w:eastAsia="en-AU"/>
          </w:rPr>
          <w:t>Dare MR, Middleton P, Crowther CA, et al. Planned early birth versus expectant management (waiting) for prelabour rupture of membranes at term (37 weeks or more). Cochrane Database Syst Rev 2006; CD005302</w:t>
        </w:r>
      </w:hyperlink>
    </w:p>
    <w:p w14:paraId="4A5E2183" w14:textId="77777777" w:rsidR="00DB20BE" w:rsidRDefault="00DB20BE" w:rsidP="00DB20BE">
      <w:pPr>
        <w:pStyle w:val="ListParagraph"/>
        <w:numPr>
          <w:ilvl w:val="0"/>
          <w:numId w:val="20"/>
        </w:numPr>
        <w:spacing w:after="160" w:line="259" w:lineRule="auto"/>
        <w:rPr>
          <w:rFonts w:cs="Arial"/>
        </w:rPr>
      </w:pPr>
      <w:proofErr w:type="spellStart"/>
      <w:proofErr w:type="gramStart"/>
      <w:r w:rsidRPr="00D9322A">
        <w:rPr>
          <w:rFonts w:cs="Arial"/>
        </w:rPr>
        <w:t>Azad,</w:t>
      </w:r>
      <w:r>
        <w:rPr>
          <w:rFonts w:cs="Arial"/>
        </w:rPr>
        <w:t>M</w:t>
      </w:r>
      <w:proofErr w:type="gramEnd"/>
      <w:r>
        <w:rPr>
          <w:rFonts w:cs="Arial"/>
        </w:rPr>
        <w:t>.B</w:t>
      </w:r>
      <w:proofErr w:type="spellEnd"/>
      <w:r>
        <w:rPr>
          <w:rFonts w:cs="Arial"/>
        </w:rPr>
        <w:t xml:space="preserve">, </w:t>
      </w:r>
      <w:proofErr w:type="spellStart"/>
      <w:r>
        <w:rPr>
          <w:rFonts w:cs="Arial"/>
        </w:rPr>
        <w:t>Konya,</w:t>
      </w:r>
      <w:r w:rsidRPr="00D9322A">
        <w:rPr>
          <w:rFonts w:cs="Arial"/>
        </w:rPr>
        <w:t>T</w:t>
      </w:r>
      <w:proofErr w:type="spellEnd"/>
      <w:r w:rsidRPr="00D9322A">
        <w:rPr>
          <w:rFonts w:cs="Arial"/>
        </w:rPr>
        <w:t xml:space="preserve"> </w:t>
      </w:r>
      <w:r>
        <w:rPr>
          <w:rFonts w:cs="Arial"/>
        </w:rPr>
        <w:t xml:space="preserve">, </w:t>
      </w:r>
      <w:proofErr w:type="spellStart"/>
      <w:r w:rsidRPr="00D9322A">
        <w:rPr>
          <w:rFonts w:cs="Arial"/>
        </w:rPr>
        <w:t>Persaud,</w:t>
      </w:r>
      <w:r>
        <w:rPr>
          <w:rFonts w:cs="Arial"/>
        </w:rPr>
        <w:t>R.R</w:t>
      </w:r>
      <w:proofErr w:type="spellEnd"/>
      <w:r>
        <w:rPr>
          <w:rFonts w:cs="Arial"/>
        </w:rPr>
        <w:t xml:space="preserve">, </w:t>
      </w:r>
      <w:proofErr w:type="spellStart"/>
      <w:r w:rsidRPr="00D9322A">
        <w:rPr>
          <w:rFonts w:cs="Arial"/>
        </w:rPr>
        <w:t>Guttman,</w:t>
      </w:r>
      <w:r>
        <w:rPr>
          <w:rFonts w:cs="Arial"/>
        </w:rPr>
        <w:t>D.S</w:t>
      </w:r>
      <w:proofErr w:type="spellEnd"/>
      <w:r>
        <w:rPr>
          <w:rFonts w:cs="Arial"/>
        </w:rPr>
        <w:t xml:space="preserve">, Charli, R.S, Field, C.J, Sears, </w:t>
      </w:r>
      <w:proofErr w:type="spellStart"/>
      <w:r>
        <w:rPr>
          <w:rFonts w:cs="Arial"/>
        </w:rPr>
        <w:t>M.R</w:t>
      </w:r>
      <w:r w:rsidRPr="00D9322A">
        <w:rPr>
          <w:rFonts w:cs="Arial"/>
        </w:rPr>
        <w:t>,</w:t>
      </w:r>
      <w:r>
        <w:rPr>
          <w:rFonts w:cs="Arial"/>
        </w:rPr>
        <w:t>Mndane</w:t>
      </w:r>
      <w:proofErr w:type="spellEnd"/>
      <w:r>
        <w:rPr>
          <w:rFonts w:cs="Arial"/>
        </w:rPr>
        <w:t xml:space="preserve">, S.E, Turvey, S.E, Subbarao, P, Becker, A.B, Scott, J.A &amp; </w:t>
      </w:r>
      <w:proofErr w:type="spellStart"/>
      <w:r>
        <w:rPr>
          <w:rFonts w:cs="Arial"/>
        </w:rPr>
        <w:t>Kozyrskyj</w:t>
      </w:r>
      <w:proofErr w:type="spellEnd"/>
      <w:r>
        <w:rPr>
          <w:rFonts w:cs="Arial"/>
        </w:rPr>
        <w:t xml:space="preserve"> A.L (2016). </w:t>
      </w:r>
      <w:r w:rsidRPr="00D9322A">
        <w:rPr>
          <w:rFonts w:cs="Arial"/>
        </w:rPr>
        <w:t>Impact of maternal intrapartum antibiotics, method of birth and breastfeeding on gut microbiota during the first year of life: a prospective cohort study</w:t>
      </w:r>
      <w:r w:rsidRPr="00FB00C0">
        <w:rPr>
          <w:rFonts w:cs="Arial"/>
          <w:i/>
        </w:rPr>
        <w:t xml:space="preserve">. BJOG </w:t>
      </w:r>
      <w:proofErr w:type="gramStart"/>
      <w:r w:rsidRPr="00FB00C0">
        <w:rPr>
          <w:rFonts w:cs="Arial"/>
          <w:i/>
        </w:rPr>
        <w:t>2016;123:983</w:t>
      </w:r>
      <w:proofErr w:type="gramEnd"/>
      <w:r w:rsidRPr="00FB00C0">
        <w:rPr>
          <w:rFonts w:cs="Arial"/>
          <w:i/>
        </w:rPr>
        <w:t>–93</w:t>
      </w:r>
      <w:r w:rsidRPr="00D9322A">
        <w:rPr>
          <w:rFonts w:cs="Arial"/>
        </w:rPr>
        <w:t xml:space="preserve"> </w:t>
      </w:r>
    </w:p>
    <w:p w14:paraId="1838774F" w14:textId="77777777" w:rsidR="00DB20BE" w:rsidRPr="00B97C12" w:rsidRDefault="00DB20BE" w:rsidP="00DB20BE">
      <w:pPr>
        <w:numPr>
          <w:ilvl w:val="0"/>
          <w:numId w:val="20"/>
        </w:numPr>
        <w:autoSpaceDE w:val="0"/>
        <w:autoSpaceDN w:val="0"/>
        <w:adjustRightInd w:val="0"/>
        <w:spacing w:before="120" w:after="120" w:line="276" w:lineRule="auto"/>
        <w:rPr>
          <w:rFonts w:cs="Arial"/>
        </w:rPr>
      </w:pPr>
      <w:r w:rsidRPr="007E4788">
        <w:rPr>
          <w:color w:val="000000" w:themeColor="text1"/>
        </w:rPr>
        <w:t>Homer C</w:t>
      </w:r>
      <w:r>
        <w:rPr>
          <w:color w:val="000000" w:themeColor="text1"/>
        </w:rPr>
        <w:t>.</w:t>
      </w:r>
      <w:r w:rsidRPr="007E4788">
        <w:rPr>
          <w:color w:val="000000" w:themeColor="text1"/>
        </w:rPr>
        <w:t>S</w:t>
      </w:r>
      <w:r>
        <w:rPr>
          <w:color w:val="000000" w:themeColor="text1"/>
        </w:rPr>
        <w:t>.</w:t>
      </w:r>
      <w:r w:rsidRPr="007E4788">
        <w:rPr>
          <w:color w:val="000000" w:themeColor="text1"/>
        </w:rPr>
        <w:t>E, Scarf V, Catling C, </w:t>
      </w:r>
      <w:r>
        <w:rPr>
          <w:color w:val="000000" w:themeColor="text1"/>
        </w:rPr>
        <w:t xml:space="preserve">&amp; </w:t>
      </w:r>
      <w:r w:rsidRPr="007E4788">
        <w:rPr>
          <w:color w:val="000000" w:themeColor="text1"/>
        </w:rPr>
        <w:t>Davis D. Culture‐based versus risk‐based screening for the prevention of group B streptococcal disease in newborns: a review of national guidelines. </w:t>
      </w:r>
      <w:r w:rsidRPr="007E4788">
        <w:rPr>
          <w:i/>
          <w:iCs/>
          <w:color w:val="000000" w:themeColor="text1"/>
        </w:rPr>
        <w:t xml:space="preserve">Women </w:t>
      </w:r>
      <w:r>
        <w:rPr>
          <w:i/>
          <w:iCs/>
          <w:color w:val="000000" w:themeColor="text1"/>
        </w:rPr>
        <w:t xml:space="preserve">and </w:t>
      </w:r>
      <w:r w:rsidRPr="007E4788">
        <w:rPr>
          <w:i/>
          <w:iCs/>
          <w:color w:val="000000" w:themeColor="text1"/>
        </w:rPr>
        <w:t>Birth</w:t>
      </w:r>
      <w:r w:rsidRPr="007E4788">
        <w:rPr>
          <w:color w:val="000000" w:themeColor="text1"/>
        </w:rPr>
        <w:t> </w:t>
      </w:r>
      <w:r w:rsidRPr="00FB00C0">
        <w:rPr>
          <w:i/>
          <w:color w:val="000000" w:themeColor="text1"/>
        </w:rPr>
        <w:t>2014; </w:t>
      </w:r>
      <w:r w:rsidRPr="00FB00C0">
        <w:rPr>
          <w:b/>
          <w:bCs/>
          <w:i/>
          <w:color w:val="000000" w:themeColor="text1"/>
        </w:rPr>
        <w:t>27</w:t>
      </w:r>
      <w:r w:rsidRPr="00FB00C0">
        <w:rPr>
          <w:i/>
          <w:color w:val="000000" w:themeColor="text1"/>
        </w:rPr>
        <w:t>: 46– 51.</w:t>
      </w:r>
    </w:p>
    <w:p w14:paraId="4945C793" w14:textId="77777777" w:rsidR="00DB20BE" w:rsidRPr="006F7F13" w:rsidRDefault="00DB20BE" w:rsidP="00DB20BE">
      <w:pPr>
        <w:numPr>
          <w:ilvl w:val="0"/>
          <w:numId w:val="20"/>
        </w:numPr>
        <w:autoSpaceDE w:val="0"/>
        <w:autoSpaceDN w:val="0"/>
        <w:adjustRightInd w:val="0"/>
        <w:spacing w:before="120" w:after="120" w:line="276" w:lineRule="auto"/>
        <w:rPr>
          <w:rStyle w:val="pagefirst"/>
          <w:rFonts w:cstheme="minorHAnsi"/>
        </w:rPr>
      </w:pPr>
      <w:r w:rsidRPr="00FB00C0">
        <w:rPr>
          <w:rStyle w:val="author"/>
          <w:rFonts w:cstheme="minorHAnsi"/>
          <w:color w:val="1C1D1E"/>
          <w:lang w:val="en"/>
        </w:rPr>
        <w:t>Ohlsson A</w:t>
      </w:r>
      <w:r w:rsidRPr="00FB00C0">
        <w:rPr>
          <w:rFonts w:cstheme="minorHAnsi"/>
          <w:color w:val="1C1D1E"/>
          <w:lang w:val="en"/>
        </w:rPr>
        <w:t xml:space="preserve">, </w:t>
      </w:r>
      <w:r w:rsidRPr="00FB00C0">
        <w:rPr>
          <w:rStyle w:val="author"/>
          <w:rFonts w:cstheme="minorHAnsi"/>
          <w:color w:val="1C1D1E"/>
          <w:lang w:val="en"/>
        </w:rPr>
        <w:t>Shah VS</w:t>
      </w:r>
      <w:r w:rsidRPr="00FB00C0">
        <w:rPr>
          <w:rFonts w:cstheme="minorHAnsi"/>
          <w:color w:val="1C1D1E"/>
          <w:lang w:val="en"/>
        </w:rPr>
        <w:t xml:space="preserve">. </w:t>
      </w:r>
      <w:r w:rsidRPr="00FB00C0">
        <w:rPr>
          <w:rStyle w:val="articletitle"/>
          <w:rFonts w:cstheme="minorHAnsi"/>
          <w:color w:val="1C1D1E"/>
          <w:lang w:val="en"/>
        </w:rPr>
        <w:t>Intrapartum antibiotics for known maternal Group B streptococcal colonization</w:t>
      </w:r>
      <w:r w:rsidRPr="00FB00C0">
        <w:rPr>
          <w:rFonts w:cstheme="minorHAnsi"/>
          <w:color w:val="1C1D1E"/>
          <w:lang w:val="en"/>
        </w:rPr>
        <w:t xml:space="preserve">. </w:t>
      </w:r>
      <w:r w:rsidRPr="00FB00C0">
        <w:rPr>
          <w:rFonts w:cstheme="minorHAnsi"/>
          <w:i/>
          <w:iCs/>
          <w:color w:val="1C1D1E"/>
          <w:lang w:val="en"/>
        </w:rPr>
        <w:t>Cochrane Database Syst Rev</w:t>
      </w:r>
      <w:r w:rsidRPr="00FB00C0">
        <w:rPr>
          <w:rFonts w:cstheme="minorHAnsi"/>
          <w:color w:val="1C1D1E"/>
          <w:lang w:val="en"/>
        </w:rPr>
        <w:t xml:space="preserve"> </w:t>
      </w:r>
      <w:r w:rsidRPr="00FB00C0">
        <w:rPr>
          <w:rStyle w:val="pubyear"/>
          <w:rFonts w:cstheme="minorHAnsi"/>
          <w:color w:val="1C1D1E"/>
          <w:lang w:val="en"/>
        </w:rPr>
        <w:t>2014</w:t>
      </w:r>
      <w:r w:rsidRPr="00FB00C0">
        <w:rPr>
          <w:rFonts w:cstheme="minorHAnsi"/>
          <w:color w:val="1C1D1E"/>
          <w:lang w:val="en"/>
        </w:rPr>
        <w:t xml:space="preserve">;( </w:t>
      </w:r>
      <w:r w:rsidRPr="00FB00C0">
        <w:rPr>
          <w:rStyle w:val="vol3"/>
          <w:rFonts w:cstheme="minorHAnsi"/>
          <w:color w:val="1C1D1E"/>
          <w:lang w:val="en"/>
        </w:rPr>
        <w:t>6</w:t>
      </w:r>
      <w:r w:rsidRPr="00FB00C0">
        <w:rPr>
          <w:rFonts w:cstheme="minorHAnsi"/>
          <w:color w:val="1C1D1E"/>
          <w:lang w:val="en"/>
        </w:rPr>
        <w:t xml:space="preserve">): </w:t>
      </w:r>
      <w:r w:rsidRPr="00FB00C0">
        <w:rPr>
          <w:rStyle w:val="pagefirst"/>
          <w:rFonts w:cstheme="minorHAnsi"/>
          <w:color w:val="1C1D1E"/>
          <w:lang w:val="en"/>
        </w:rPr>
        <w:t>CD007467</w:t>
      </w:r>
    </w:p>
    <w:p w14:paraId="15061CE2" w14:textId="77777777" w:rsidR="00DB20BE" w:rsidRPr="00B76B53" w:rsidRDefault="00DB20BE" w:rsidP="00DB20BE">
      <w:pPr>
        <w:pStyle w:val="ListParagraph"/>
        <w:numPr>
          <w:ilvl w:val="0"/>
          <w:numId w:val="20"/>
        </w:numPr>
        <w:spacing w:after="160" w:line="259" w:lineRule="auto"/>
        <w:rPr>
          <w:rFonts w:cs="Arial"/>
        </w:rPr>
      </w:pPr>
      <w:r w:rsidRPr="00FB00C0">
        <w:rPr>
          <w:rFonts w:cs="Arial"/>
        </w:rPr>
        <w:t xml:space="preserve">Therapeutic Guidelines, May 2022: </w:t>
      </w:r>
      <w:hyperlink r:id="rId24" w:history="1">
        <w:r w:rsidRPr="00FB00C0">
          <w:rPr>
            <w:color w:val="0000FF"/>
            <w:u w:val="single"/>
          </w:rPr>
          <w:t>https://tgldcdp.tg.org.au</w:t>
        </w:r>
      </w:hyperlink>
      <w:r>
        <w:t xml:space="preserve"> Australian Therapeutic Guidelines. Antibiotic guidelines. Version 17 2020 viewed via </w:t>
      </w:r>
      <w:proofErr w:type="spellStart"/>
      <w:r>
        <w:t>eTG</w:t>
      </w:r>
      <w:proofErr w:type="spellEnd"/>
      <w:r>
        <w:t xml:space="preserve"> </w:t>
      </w:r>
      <w:proofErr w:type="gramStart"/>
      <w:r>
        <w:t>complete</w:t>
      </w:r>
      <w:proofErr w:type="gramEnd"/>
    </w:p>
    <w:bookmarkEnd w:id="31"/>
    <w:p w14:paraId="268ED2B5" w14:textId="77777777" w:rsidR="00DB20BE" w:rsidRPr="00DE4E25" w:rsidRDefault="00DB20BE" w:rsidP="00DB20BE">
      <w:pPr>
        <w:jc w:val="right"/>
        <w:rPr>
          <w:szCs w:val="24"/>
        </w:rPr>
      </w:pPr>
    </w:p>
    <w:p w14:paraId="503643F8" w14:textId="77777777" w:rsidR="00DB20BE" w:rsidRPr="00B12624" w:rsidRDefault="00DB20BE" w:rsidP="00DB20BE">
      <w:pPr>
        <w:jc w:val="right"/>
        <w:rPr>
          <w:rFonts w:cs="Arial"/>
          <w:szCs w:val="24"/>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DB20BE" w:rsidRPr="00CD1C0E" w14:paraId="6E1EE8AB" w14:textId="77777777" w:rsidTr="001E0431">
        <w:trPr>
          <w:cantSplit/>
          <w:trHeight w:val="285"/>
        </w:trPr>
        <w:tc>
          <w:tcPr>
            <w:tcW w:w="9158" w:type="dxa"/>
            <w:shd w:val="clear" w:color="auto" w:fill="A6A6A6" w:themeFill="background1" w:themeFillShade="A6"/>
          </w:tcPr>
          <w:p w14:paraId="4CDA4F3E" w14:textId="77777777" w:rsidR="00DB20BE" w:rsidRPr="00CD1C0E" w:rsidRDefault="00DB20BE" w:rsidP="001E0431">
            <w:pPr>
              <w:pStyle w:val="Heading1"/>
            </w:pPr>
            <w:bookmarkStart w:id="32" w:name="_Toc389473290"/>
            <w:bookmarkStart w:id="33" w:name="_Toc164668242"/>
            <w:r>
              <w:lastRenderedPageBreak/>
              <w:t>Search Terms</w:t>
            </w:r>
            <w:bookmarkEnd w:id="32"/>
            <w:bookmarkEnd w:id="33"/>
            <w:r>
              <w:t xml:space="preserve"> </w:t>
            </w:r>
          </w:p>
        </w:tc>
      </w:tr>
    </w:tbl>
    <w:p w14:paraId="32D0DE95" w14:textId="77777777" w:rsidR="00DB20BE" w:rsidRDefault="00DB20BE" w:rsidP="00DB20BE">
      <w:pPr>
        <w:rPr>
          <w:rFonts w:cs="Calibri,Bold"/>
          <w:bCs/>
          <w:i/>
          <w:szCs w:val="24"/>
          <w:lang w:eastAsia="en-AU"/>
        </w:rPr>
      </w:pPr>
    </w:p>
    <w:p w14:paraId="11F7DAB7" w14:textId="77777777" w:rsidR="00DB20BE" w:rsidRPr="009F7265" w:rsidRDefault="00DB20BE" w:rsidP="00DB20BE">
      <w:r>
        <w:t xml:space="preserve">Group B Streptococcus, Group B Strep, GBS, early onset group B strep disease, </w:t>
      </w:r>
      <w:proofErr w:type="gramStart"/>
      <w:r>
        <w:t>EOGBSD</w:t>
      </w:r>
      <w:proofErr w:type="gramEnd"/>
    </w:p>
    <w:p w14:paraId="6C8E5720" w14:textId="77777777" w:rsidR="00DB20BE" w:rsidRPr="00901883" w:rsidRDefault="00DB20BE" w:rsidP="00DB20BE">
      <w:pPr>
        <w:jc w:val="both"/>
        <w:rPr>
          <w:rFonts w:asciiTheme="minorHAnsi" w:hAnsiTheme="minorHAnsi" w:cs="Arial"/>
          <w:b/>
          <w:i/>
          <w:sz w:val="22"/>
          <w:szCs w:val="22"/>
        </w:rPr>
      </w:pPr>
    </w:p>
    <w:p w14:paraId="2BB14CC1" w14:textId="77777777" w:rsidR="00DB20BE" w:rsidRPr="00AC7025" w:rsidRDefault="00DB20BE" w:rsidP="00DB20BE">
      <w:pPr>
        <w:jc w:val="right"/>
        <w:rPr>
          <w:rFonts w:cs="Calibri,Bold"/>
          <w:bCs/>
          <w:i/>
          <w:szCs w:val="24"/>
          <w:lang w:eastAsia="en-AU"/>
        </w:rPr>
      </w:pPr>
      <w:hyperlink w:anchor="Contents" w:history="1">
        <w:r w:rsidRPr="00590902">
          <w:rPr>
            <w:rStyle w:val="Hyperlink"/>
            <w:rFonts w:cs="Arial"/>
            <w:i/>
            <w:szCs w:val="24"/>
          </w:rPr>
          <w:t>Back to Table of Contents</w:t>
        </w:r>
      </w:hyperlink>
      <w:bookmarkStart w:id="34"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DB20BE" w:rsidRPr="000F1F60" w14:paraId="117FBB40" w14:textId="77777777" w:rsidTr="001E0431">
        <w:trPr>
          <w:cantSplit/>
          <w:trHeight w:val="285"/>
        </w:trPr>
        <w:tc>
          <w:tcPr>
            <w:tcW w:w="9158" w:type="dxa"/>
            <w:shd w:val="clear" w:color="auto" w:fill="A6A6A6" w:themeFill="background1" w:themeFillShade="A6"/>
          </w:tcPr>
          <w:p w14:paraId="4BDA51C4" w14:textId="77777777" w:rsidR="00DB20BE" w:rsidRPr="000F1F60" w:rsidRDefault="00DB20BE" w:rsidP="001E0431">
            <w:pPr>
              <w:pStyle w:val="Heading1"/>
            </w:pPr>
            <w:bookmarkStart w:id="35" w:name="_Toc164668243"/>
            <w:r>
              <w:t>Attachments</w:t>
            </w:r>
            <w:bookmarkEnd w:id="35"/>
          </w:p>
        </w:tc>
      </w:tr>
    </w:tbl>
    <w:p w14:paraId="6C3F4111" w14:textId="77777777" w:rsidR="00DB20BE" w:rsidRDefault="00DB20BE" w:rsidP="00DB20BE">
      <w:pPr>
        <w:pStyle w:val="Heading2"/>
        <w:rPr>
          <w:szCs w:val="20"/>
        </w:rPr>
      </w:pPr>
      <w:bookmarkStart w:id="36" w:name="_Toc78207682"/>
      <w:bookmarkEnd w:id="34"/>
    </w:p>
    <w:p w14:paraId="51B01991" w14:textId="77777777" w:rsidR="00DB20BE" w:rsidRDefault="00DB20BE" w:rsidP="00DB20BE">
      <w:pPr>
        <w:pStyle w:val="Heading2"/>
        <w:rPr>
          <w:szCs w:val="20"/>
        </w:rPr>
      </w:pPr>
      <w:r w:rsidRPr="001F1D79">
        <w:rPr>
          <w:szCs w:val="20"/>
        </w:rPr>
        <w:t>Attachment 1</w:t>
      </w:r>
      <w:r>
        <w:rPr>
          <w:szCs w:val="20"/>
        </w:rPr>
        <w:t xml:space="preserve"> </w:t>
      </w:r>
      <w:r w:rsidRPr="00643F22">
        <w:t xml:space="preserve">– </w:t>
      </w:r>
      <w:r w:rsidRPr="009F2449">
        <w:rPr>
          <w:szCs w:val="20"/>
        </w:rPr>
        <w:t xml:space="preserve">Maternal management </w:t>
      </w:r>
      <w:r>
        <w:rPr>
          <w:szCs w:val="20"/>
        </w:rPr>
        <w:t>for reduction of EOGBSD</w:t>
      </w:r>
      <w:bookmarkEnd w:id="36"/>
    </w:p>
    <w:p w14:paraId="6BD1BB32" w14:textId="77777777" w:rsidR="00DB20BE" w:rsidRPr="00643F22" w:rsidRDefault="00DB20BE" w:rsidP="00DB20BE">
      <w:pPr>
        <w:rPr>
          <w:b/>
          <w:bCs/>
          <w:noProof/>
        </w:rPr>
      </w:pPr>
      <w:r w:rsidRPr="00643F22">
        <w:rPr>
          <w:b/>
          <w:bCs/>
        </w:rPr>
        <w:t>Attachment 2 – Group B Streptococcal Management of the Neonate</w:t>
      </w:r>
    </w:p>
    <w:p w14:paraId="6807601A" w14:textId="77777777" w:rsidR="00DB20BE" w:rsidRDefault="00DB20BE" w:rsidP="00DB20BE"/>
    <w:p w14:paraId="7DFEB7DB" w14:textId="77777777" w:rsidR="00DB20BE" w:rsidRDefault="00DB20BE" w:rsidP="00DB20BE">
      <w:pPr>
        <w:jc w:val="right"/>
        <w:rPr>
          <w:rStyle w:val="Hyperlink"/>
          <w:rFonts w:cs="Arial"/>
          <w:i/>
          <w:szCs w:val="24"/>
        </w:rPr>
      </w:pPr>
      <w:hyperlink w:anchor="Contents" w:history="1">
        <w:r w:rsidRPr="00590902">
          <w:rPr>
            <w:rStyle w:val="Hyperlink"/>
            <w:rFonts w:cs="Arial"/>
            <w:i/>
            <w:szCs w:val="24"/>
          </w:rPr>
          <w:t>Back to Table of Contents</w:t>
        </w:r>
      </w:hyperlink>
    </w:p>
    <w:p w14:paraId="2FE05AC6" w14:textId="77777777" w:rsidR="00DB20BE" w:rsidRDefault="00DB20BE" w:rsidP="00DB20BE">
      <w:pPr>
        <w:jc w:val="right"/>
        <w:rPr>
          <w:rStyle w:val="Hyperlink"/>
          <w:rFonts w:cs="Arial"/>
          <w:i/>
          <w:szCs w:val="24"/>
        </w:rPr>
      </w:pPr>
    </w:p>
    <w:p w14:paraId="4D072E7A" w14:textId="77777777" w:rsidR="00DB20BE" w:rsidRPr="008202D3" w:rsidRDefault="00DB20BE" w:rsidP="00DB20BE">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278EE247" w14:textId="77777777" w:rsidR="00DB20BE" w:rsidRPr="008202D3" w:rsidRDefault="00DB20BE" w:rsidP="00DB20BE">
      <w:pPr>
        <w:rPr>
          <w:rFonts w:cs="Arial"/>
          <w:i/>
          <w:iCs/>
          <w:sz w:val="20"/>
        </w:rPr>
      </w:pPr>
    </w:p>
    <w:p w14:paraId="2F8B7D1C" w14:textId="77777777" w:rsidR="00DB20BE" w:rsidRPr="008202D3" w:rsidRDefault="00DB20BE" w:rsidP="00DB20BE">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122"/>
        <w:gridCol w:w="2126"/>
        <w:gridCol w:w="2547"/>
        <w:gridCol w:w="2265"/>
      </w:tblGrid>
      <w:tr w:rsidR="00DB20BE" w:rsidRPr="008202D3" w14:paraId="79A5C919" w14:textId="77777777" w:rsidTr="001E0431">
        <w:tc>
          <w:tcPr>
            <w:tcW w:w="2122" w:type="dxa"/>
          </w:tcPr>
          <w:p w14:paraId="154B614F" w14:textId="77777777" w:rsidR="00DB20BE" w:rsidRPr="008202D3" w:rsidRDefault="00DB20BE" w:rsidP="001E0431">
            <w:pPr>
              <w:rPr>
                <w:i/>
                <w:sz w:val="20"/>
              </w:rPr>
            </w:pPr>
            <w:r w:rsidRPr="008202D3">
              <w:rPr>
                <w:i/>
                <w:sz w:val="20"/>
              </w:rPr>
              <w:t>Date Amended</w:t>
            </w:r>
          </w:p>
        </w:tc>
        <w:tc>
          <w:tcPr>
            <w:tcW w:w="2126" w:type="dxa"/>
          </w:tcPr>
          <w:p w14:paraId="07E0C7C7" w14:textId="77777777" w:rsidR="00DB20BE" w:rsidRPr="008202D3" w:rsidRDefault="00DB20BE" w:rsidP="001E0431">
            <w:pPr>
              <w:rPr>
                <w:i/>
                <w:sz w:val="20"/>
              </w:rPr>
            </w:pPr>
            <w:r w:rsidRPr="008202D3">
              <w:rPr>
                <w:i/>
                <w:sz w:val="20"/>
              </w:rPr>
              <w:t>Section Amended</w:t>
            </w:r>
          </w:p>
        </w:tc>
        <w:tc>
          <w:tcPr>
            <w:tcW w:w="2547" w:type="dxa"/>
          </w:tcPr>
          <w:p w14:paraId="555CD9FC" w14:textId="77777777" w:rsidR="00DB20BE" w:rsidRPr="008202D3" w:rsidRDefault="00DB20BE" w:rsidP="001E0431">
            <w:pPr>
              <w:rPr>
                <w:i/>
                <w:sz w:val="20"/>
              </w:rPr>
            </w:pPr>
            <w:r w:rsidRPr="008202D3">
              <w:rPr>
                <w:i/>
                <w:sz w:val="20"/>
              </w:rPr>
              <w:t>Divisional Approval</w:t>
            </w:r>
          </w:p>
        </w:tc>
        <w:tc>
          <w:tcPr>
            <w:tcW w:w="2265" w:type="dxa"/>
          </w:tcPr>
          <w:p w14:paraId="66237754" w14:textId="77777777" w:rsidR="00DB20BE" w:rsidRPr="008202D3" w:rsidRDefault="00DB20BE" w:rsidP="001E0431">
            <w:pPr>
              <w:rPr>
                <w:i/>
                <w:sz w:val="20"/>
              </w:rPr>
            </w:pPr>
            <w:r w:rsidRPr="008202D3">
              <w:rPr>
                <w:i/>
                <w:sz w:val="20"/>
              </w:rPr>
              <w:t xml:space="preserve">Final Approval </w:t>
            </w:r>
          </w:p>
        </w:tc>
      </w:tr>
      <w:tr w:rsidR="00DB20BE" w:rsidRPr="008202D3" w14:paraId="024E7E51" w14:textId="77777777" w:rsidTr="001E0431">
        <w:tc>
          <w:tcPr>
            <w:tcW w:w="2122" w:type="dxa"/>
          </w:tcPr>
          <w:p w14:paraId="6820C063" w14:textId="77777777" w:rsidR="00DB20BE" w:rsidRPr="008202D3" w:rsidRDefault="00DB20BE" w:rsidP="001E0431">
            <w:pPr>
              <w:rPr>
                <w:i/>
                <w:sz w:val="20"/>
              </w:rPr>
            </w:pPr>
            <w:r>
              <w:rPr>
                <w:i/>
                <w:sz w:val="20"/>
              </w:rPr>
              <w:t>07 December 2021</w:t>
            </w:r>
          </w:p>
        </w:tc>
        <w:tc>
          <w:tcPr>
            <w:tcW w:w="2126" w:type="dxa"/>
          </w:tcPr>
          <w:p w14:paraId="4B817CFE" w14:textId="77777777" w:rsidR="00DB20BE" w:rsidRPr="008202D3" w:rsidRDefault="00DB20BE" w:rsidP="001E0431">
            <w:pPr>
              <w:rPr>
                <w:i/>
                <w:sz w:val="20"/>
              </w:rPr>
            </w:pPr>
            <w:r>
              <w:rPr>
                <w:i/>
                <w:sz w:val="20"/>
              </w:rPr>
              <w:t>Complete Review</w:t>
            </w:r>
          </w:p>
        </w:tc>
        <w:tc>
          <w:tcPr>
            <w:tcW w:w="2547" w:type="dxa"/>
          </w:tcPr>
          <w:p w14:paraId="41A4ECBF" w14:textId="77777777" w:rsidR="00DB20BE" w:rsidRPr="008202D3" w:rsidRDefault="00DB20BE" w:rsidP="001E0431">
            <w:pPr>
              <w:rPr>
                <w:i/>
                <w:sz w:val="20"/>
              </w:rPr>
            </w:pPr>
            <w:r>
              <w:rPr>
                <w:i/>
                <w:sz w:val="20"/>
              </w:rPr>
              <w:t>Boon Lim, ED-WY&amp;C</w:t>
            </w:r>
          </w:p>
        </w:tc>
        <w:tc>
          <w:tcPr>
            <w:tcW w:w="2265" w:type="dxa"/>
          </w:tcPr>
          <w:p w14:paraId="6F1B385F" w14:textId="77777777" w:rsidR="00DB20BE" w:rsidRPr="008202D3" w:rsidRDefault="00DB20BE" w:rsidP="001E0431">
            <w:pPr>
              <w:rPr>
                <w:i/>
                <w:sz w:val="20"/>
              </w:rPr>
            </w:pPr>
            <w:r>
              <w:rPr>
                <w:i/>
                <w:sz w:val="20"/>
              </w:rPr>
              <w:t>CHS Policy Committee</w:t>
            </w:r>
          </w:p>
        </w:tc>
      </w:tr>
      <w:tr w:rsidR="00DB20BE" w:rsidRPr="008202D3" w14:paraId="6FB4DDD4" w14:textId="77777777" w:rsidTr="001E0431">
        <w:tc>
          <w:tcPr>
            <w:tcW w:w="2122" w:type="dxa"/>
          </w:tcPr>
          <w:p w14:paraId="185088D3" w14:textId="77777777" w:rsidR="00DB20BE" w:rsidRPr="008202D3" w:rsidRDefault="00DB20BE" w:rsidP="001E0431">
            <w:pPr>
              <w:rPr>
                <w:i/>
                <w:sz w:val="20"/>
              </w:rPr>
            </w:pPr>
          </w:p>
        </w:tc>
        <w:tc>
          <w:tcPr>
            <w:tcW w:w="2126" w:type="dxa"/>
          </w:tcPr>
          <w:p w14:paraId="649DBE40" w14:textId="77777777" w:rsidR="00DB20BE" w:rsidRPr="008202D3" w:rsidRDefault="00DB20BE" w:rsidP="001E0431">
            <w:pPr>
              <w:rPr>
                <w:i/>
                <w:sz w:val="20"/>
              </w:rPr>
            </w:pPr>
          </w:p>
        </w:tc>
        <w:tc>
          <w:tcPr>
            <w:tcW w:w="2547" w:type="dxa"/>
          </w:tcPr>
          <w:p w14:paraId="1298858E" w14:textId="77777777" w:rsidR="00DB20BE" w:rsidRPr="008202D3" w:rsidRDefault="00DB20BE" w:rsidP="001E0431">
            <w:pPr>
              <w:rPr>
                <w:i/>
                <w:sz w:val="20"/>
              </w:rPr>
            </w:pPr>
          </w:p>
        </w:tc>
        <w:tc>
          <w:tcPr>
            <w:tcW w:w="2265" w:type="dxa"/>
          </w:tcPr>
          <w:p w14:paraId="00484612" w14:textId="77777777" w:rsidR="00DB20BE" w:rsidRPr="008202D3" w:rsidRDefault="00DB20BE" w:rsidP="001E0431">
            <w:pPr>
              <w:rPr>
                <w:i/>
                <w:sz w:val="20"/>
              </w:rPr>
            </w:pPr>
          </w:p>
        </w:tc>
      </w:tr>
    </w:tbl>
    <w:p w14:paraId="08AEFE30" w14:textId="77777777" w:rsidR="00DB20BE" w:rsidRPr="008202D3" w:rsidRDefault="00DB20BE" w:rsidP="00DB20BE">
      <w:pPr>
        <w:rPr>
          <w:rFonts w:cs="Arial"/>
          <w:sz w:val="20"/>
        </w:rPr>
      </w:pPr>
    </w:p>
    <w:p w14:paraId="3C5A3627" w14:textId="77777777" w:rsidR="00DB20BE" w:rsidRPr="008202D3" w:rsidRDefault="00DB20BE" w:rsidP="00DB20BE">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DB20BE" w:rsidRPr="008202D3" w14:paraId="3B0BE0A9" w14:textId="77777777" w:rsidTr="001E0431">
        <w:tc>
          <w:tcPr>
            <w:tcW w:w="2122" w:type="dxa"/>
          </w:tcPr>
          <w:p w14:paraId="6BDC5147" w14:textId="77777777" w:rsidR="00DB20BE" w:rsidRPr="008202D3" w:rsidRDefault="00DB20BE" w:rsidP="001E0431">
            <w:pPr>
              <w:rPr>
                <w:i/>
                <w:sz w:val="20"/>
              </w:rPr>
            </w:pPr>
            <w:r w:rsidRPr="008202D3">
              <w:rPr>
                <w:i/>
                <w:sz w:val="20"/>
              </w:rPr>
              <w:t>Document Number</w:t>
            </w:r>
          </w:p>
        </w:tc>
        <w:tc>
          <w:tcPr>
            <w:tcW w:w="6938" w:type="dxa"/>
          </w:tcPr>
          <w:p w14:paraId="7E270C32" w14:textId="77777777" w:rsidR="00DB20BE" w:rsidRPr="008202D3" w:rsidRDefault="00DB20BE" w:rsidP="001E0431">
            <w:pPr>
              <w:rPr>
                <w:i/>
                <w:sz w:val="20"/>
              </w:rPr>
            </w:pPr>
            <w:r w:rsidRPr="008202D3">
              <w:rPr>
                <w:i/>
                <w:sz w:val="20"/>
              </w:rPr>
              <w:t>Document Name</w:t>
            </w:r>
          </w:p>
        </w:tc>
      </w:tr>
      <w:tr w:rsidR="00DB20BE" w:rsidRPr="008202D3" w14:paraId="26CCAA5C" w14:textId="77777777" w:rsidTr="001E0431">
        <w:tc>
          <w:tcPr>
            <w:tcW w:w="2122" w:type="dxa"/>
          </w:tcPr>
          <w:p w14:paraId="51B68F08" w14:textId="77777777" w:rsidR="00DB20BE" w:rsidRPr="008202D3" w:rsidRDefault="00DB20BE" w:rsidP="001E0431">
            <w:pPr>
              <w:rPr>
                <w:i/>
                <w:sz w:val="20"/>
              </w:rPr>
            </w:pPr>
            <w:r w:rsidRPr="006B6A1C">
              <w:rPr>
                <w:i/>
                <w:sz w:val="20"/>
              </w:rPr>
              <w:t>CHHS17/196</w:t>
            </w:r>
          </w:p>
        </w:tc>
        <w:tc>
          <w:tcPr>
            <w:tcW w:w="6938" w:type="dxa"/>
          </w:tcPr>
          <w:p w14:paraId="639A055D" w14:textId="77777777" w:rsidR="00DB20BE" w:rsidRPr="008202D3" w:rsidRDefault="00DB20BE" w:rsidP="001E0431">
            <w:pPr>
              <w:rPr>
                <w:i/>
                <w:sz w:val="20"/>
              </w:rPr>
            </w:pPr>
            <w:r w:rsidRPr="006B6A1C">
              <w:rPr>
                <w:i/>
                <w:sz w:val="20"/>
              </w:rPr>
              <w:t>Early Onset Group B Streptococcus Disease (EOGSBD)</w:t>
            </w:r>
          </w:p>
        </w:tc>
      </w:tr>
      <w:tr w:rsidR="00DB20BE" w:rsidRPr="008202D3" w14:paraId="17730B4F" w14:textId="77777777" w:rsidTr="001E0431">
        <w:tc>
          <w:tcPr>
            <w:tcW w:w="2122" w:type="dxa"/>
          </w:tcPr>
          <w:p w14:paraId="14B062A4" w14:textId="77777777" w:rsidR="00DB20BE" w:rsidRPr="008202D3" w:rsidRDefault="00DB20BE" w:rsidP="001E0431">
            <w:pPr>
              <w:rPr>
                <w:i/>
                <w:sz w:val="20"/>
              </w:rPr>
            </w:pPr>
          </w:p>
        </w:tc>
        <w:tc>
          <w:tcPr>
            <w:tcW w:w="6938" w:type="dxa"/>
          </w:tcPr>
          <w:p w14:paraId="4DC4F18A" w14:textId="77777777" w:rsidR="00DB20BE" w:rsidRPr="008202D3" w:rsidRDefault="00DB20BE" w:rsidP="001E0431">
            <w:pPr>
              <w:rPr>
                <w:i/>
                <w:sz w:val="20"/>
              </w:rPr>
            </w:pPr>
          </w:p>
        </w:tc>
      </w:tr>
    </w:tbl>
    <w:p w14:paraId="338596D0" w14:textId="77777777" w:rsidR="00DB20BE" w:rsidRDefault="00DB20BE" w:rsidP="00DB20BE">
      <w:pPr>
        <w:jc w:val="right"/>
      </w:pPr>
    </w:p>
    <w:p w14:paraId="26F77D7C" w14:textId="77777777" w:rsidR="00DB20BE" w:rsidRDefault="00DB20BE" w:rsidP="00DB20BE">
      <w:pPr>
        <w:rPr>
          <w:noProof/>
        </w:rPr>
      </w:pPr>
    </w:p>
    <w:p w14:paraId="7F95C24E" w14:textId="77777777" w:rsidR="00DB20BE" w:rsidRDefault="00DB20BE" w:rsidP="00DB20BE">
      <w:pPr>
        <w:rPr>
          <w:noProof/>
        </w:rPr>
      </w:pPr>
    </w:p>
    <w:p w14:paraId="2F4C1662" w14:textId="77777777" w:rsidR="00DB20BE" w:rsidRDefault="00DB20BE" w:rsidP="00DB20BE">
      <w:pPr>
        <w:rPr>
          <w:noProof/>
        </w:rPr>
      </w:pPr>
    </w:p>
    <w:p w14:paraId="150384BF" w14:textId="77777777" w:rsidR="00DB20BE" w:rsidRDefault="00DB20BE" w:rsidP="00DB20BE">
      <w:pPr>
        <w:rPr>
          <w:noProof/>
        </w:rPr>
      </w:pPr>
    </w:p>
    <w:p w14:paraId="43085061" w14:textId="77777777" w:rsidR="00DB20BE" w:rsidRDefault="00DB20BE" w:rsidP="00DB20BE">
      <w:pPr>
        <w:rPr>
          <w:noProof/>
        </w:rPr>
      </w:pPr>
    </w:p>
    <w:p w14:paraId="31006D89" w14:textId="77777777" w:rsidR="00DB20BE" w:rsidRDefault="00DB20BE" w:rsidP="00DB20BE">
      <w:pPr>
        <w:rPr>
          <w:noProof/>
        </w:rPr>
      </w:pPr>
    </w:p>
    <w:p w14:paraId="7876E181" w14:textId="77777777" w:rsidR="00DB20BE" w:rsidRDefault="00DB20BE" w:rsidP="00DB20BE">
      <w:pPr>
        <w:rPr>
          <w:noProof/>
        </w:rPr>
      </w:pPr>
    </w:p>
    <w:p w14:paraId="03B60FAC" w14:textId="77777777" w:rsidR="00DB20BE" w:rsidRPr="00B12624" w:rsidRDefault="00DB20BE" w:rsidP="00DB20BE">
      <w:pPr>
        <w:pStyle w:val="Heading2"/>
      </w:pPr>
      <w:r w:rsidRPr="00B12624">
        <w:lastRenderedPageBreak/>
        <w:t>Attachment 1 – Maternal management for reduction of EOGBSD</w:t>
      </w:r>
    </w:p>
    <w:p w14:paraId="7A83EC0F" w14:textId="77777777" w:rsidR="00DB20BE" w:rsidRDefault="00DB20BE" w:rsidP="00DB20BE">
      <w:pPr>
        <w:rPr>
          <w:noProof/>
        </w:rPr>
      </w:pPr>
      <w:r w:rsidRPr="00643F22">
        <w:rPr>
          <w:noProof/>
          <w:lang w:eastAsia="en-AU"/>
        </w:rPr>
        <w:drawing>
          <wp:anchor distT="0" distB="0" distL="114300" distR="114300" simplePos="0" relativeHeight="251659264" behindDoc="1" locked="0" layoutInCell="1" allowOverlap="1" wp14:anchorId="63626060" wp14:editId="50183417">
            <wp:simplePos x="0" y="0"/>
            <wp:positionH relativeFrom="margin">
              <wp:posOffset>99695</wp:posOffset>
            </wp:positionH>
            <wp:positionV relativeFrom="paragraph">
              <wp:posOffset>93980</wp:posOffset>
            </wp:positionV>
            <wp:extent cx="5219700" cy="8134350"/>
            <wp:effectExtent l="0" t="0" r="0" b="0"/>
            <wp:wrapTight wrapText="bothSides">
              <wp:wrapPolygon edited="0">
                <wp:start x="0" y="0"/>
                <wp:lineTo x="0" y="21549"/>
                <wp:lineTo x="21521" y="21549"/>
                <wp:lineTo x="2152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5219700" cy="8134350"/>
                    </a:xfrm>
                    <a:prstGeom prst="rect">
                      <a:avLst/>
                    </a:prstGeom>
                  </pic:spPr>
                </pic:pic>
              </a:graphicData>
            </a:graphic>
            <wp14:sizeRelH relativeFrom="margin">
              <wp14:pctWidth>0</wp14:pctWidth>
            </wp14:sizeRelH>
            <wp14:sizeRelV relativeFrom="margin">
              <wp14:pctHeight>0</wp14:pctHeight>
            </wp14:sizeRelV>
          </wp:anchor>
        </w:drawing>
      </w:r>
    </w:p>
    <w:p w14:paraId="3203EC98" w14:textId="77777777" w:rsidR="00DB20BE" w:rsidRDefault="00DB20BE" w:rsidP="00DB20BE">
      <w:pPr>
        <w:rPr>
          <w:noProof/>
        </w:rPr>
      </w:pPr>
    </w:p>
    <w:p w14:paraId="5B98417C" w14:textId="77777777" w:rsidR="00DB20BE" w:rsidRDefault="00DB20BE" w:rsidP="00DB20BE">
      <w:pPr>
        <w:rPr>
          <w:noProof/>
        </w:rPr>
      </w:pPr>
    </w:p>
    <w:p w14:paraId="7B1509B6" w14:textId="77777777" w:rsidR="00DB20BE" w:rsidRDefault="00DB20BE" w:rsidP="00DB20BE">
      <w:pPr>
        <w:rPr>
          <w:noProof/>
        </w:rPr>
      </w:pPr>
    </w:p>
    <w:p w14:paraId="712278E2" w14:textId="77777777" w:rsidR="00DB20BE" w:rsidRDefault="00DB20BE" w:rsidP="00DB20BE">
      <w:pPr>
        <w:rPr>
          <w:noProof/>
        </w:rPr>
      </w:pPr>
    </w:p>
    <w:p w14:paraId="52847A59" w14:textId="77777777" w:rsidR="00DB20BE" w:rsidRDefault="00DB20BE" w:rsidP="00DB20BE">
      <w:pPr>
        <w:rPr>
          <w:noProof/>
        </w:rPr>
      </w:pPr>
    </w:p>
    <w:p w14:paraId="3F569919" w14:textId="77777777" w:rsidR="00DB20BE" w:rsidRDefault="00DB20BE" w:rsidP="00DB20BE">
      <w:pPr>
        <w:rPr>
          <w:noProof/>
        </w:rPr>
      </w:pPr>
    </w:p>
    <w:p w14:paraId="783C3C14" w14:textId="77777777" w:rsidR="00DB20BE" w:rsidRDefault="00DB20BE" w:rsidP="00DB20BE">
      <w:pPr>
        <w:rPr>
          <w:noProof/>
        </w:rPr>
      </w:pPr>
    </w:p>
    <w:p w14:paraId="39D9CFF7" w14:textId="77777777" w:rsidR="00DB20BE" w:rsidRDefault="00DB20BE" w:rsidP="00DB20BE">
      <w:pPr>
        <w:rPr>
          <w:noProof/>
        </w:rPr>
      </w:pPr>
    </w:p>
    <w:p w14:paraId="740C0494" w14:textId="77777777" w:rsidR="00DB20BE" w:rsidRDefault="00DB20BE" w:rsidP="00DB20BE">
      <w:pPr>
        <w:rPr>
          <w:noProof/>
        </w:rPr>
      </w:pPr>
    </w:p>
    <w:p w14:paraId="0C189768" w14:textId="77777777" w:rsidR="00DB20BE" w:rsidRDefault="00DB20BE" w:rsidP="00DB20BE">
      <w:pPr>
        <w:rPr>
          <w:noProof/>
        </w:rPr>
      </w:pPr>
    </w:p>
    <w:p w14:paraId="26752B27" w14:textId="77777777" w:rsidR="00DB20BE" w:rsidRDefault="00DB20BE" w:rsidP="00DB20BE">
      <w:pPr>
        <w:rPr>
          <w:noProof/>
        </w:rPr>
      </w:pPr>
    </w:p>
    <w:p w14:paraId="78053DBF" w14:textId="77777777" w:rsidR="00DB20BE" w:rsidRDefault="00DB20BE" w:rsidP="00DB20BE">
      <w:pPr>
        <w:rPr>
          <w:noProof/>
        </w:rPr>
      </w:pPr>
    </w:p>
    <w:p w14:paraId="7C1ECCA2" w14:textId="77777777" w:rsidR="00DB20BE" w:rsidRDefault="00DB20BE" w:rsidP="00DB20BE">
      <w:pPr>
        <w:rPr>
          <w:noProof/>
        </w:rPr>
      </w:pPr>
    </w:p>
    <w:p w14:paraId="449D539E" w14:textId="77777777" w:rsidR="00DB20BE" w:rsidRDefault="00DB20BE" w:rsidP="00DB20BE">
      <w:pPr>
        <w:rPr>
          <w:noProof/>
        </w:rPr>
      </w:pPr>
    </w:p>
    <w:p w14:paraId="629DBC79" w14:textId="77777777" w:rsidR="00DB20BE" w:rsidRDefault="00DB20BE" w:rsidP="00DB20BE">
      <w:pPr>
        <w:rPr>
          <w:noProof/>
        </w:rPr>
      </w:pPr>
    </w:p>
    <w:p w14:paraId="58545342" w14:textId="77777777" w:rsidR="00DB20BE" w:rsidRDefault="00DB20BE" w:rsidP="00DB20BE">
      <w:pPr>
        <w:rPr>
          <w:noProof/>
        </w:rPr>
      </w:pPr>
    </w:p>
    <w:p w14:paraId="360AFAFF" w14:textId="77777777" w:rsidR="00DB20BE" w:rsidRDefault="00DB20BE" w:rsidP="00DB20BE">
      <w:pPr>
        <w:rPr>
          <w:noProof/>
        </w:rPr>
      </w:pPr>
    </w:p>
    <w:p w14:paraId="5E4BD151" w14:textId="77777777" w:rsidR="00DB20BE" w:rsidRDefault="00DB20BE" w:rsidP="00DB20BE">
      <w:pPr>
        <w:rPr>
          <w:noProof/>
        </w:rPr>
      </w:pPr>
    </w:p>
    <w:p w14:paraId="1DA9F19C" w14:textId="77777777" w:rsidR="00DB20BE" w:rsidRDefault="00DB20BE" w:rsidP="00DB20BE">
      <w:pPr>
        <w:rPr>
          <w:noProof/>
        </w:rPr>
      </w:pPr>
    </w:p>
    <w:p w14:paraId="1BA6B7B4" w14:textId="77777777" w:rsidR="00DB20BE" w:rsidRDefault="00DB20BE" w:rsidP="00DB20BE">
      <w:pPr>
        <w:rPr>
          <w:noProof/>
        </w:rPr>
      </w:pPr>
    </w:p>
    <w:p w14:paraId="65E2398C" w14:textId="77777777" w:rsidR="00DB20BE" w:rsidRDefault="00DB20BE" w:rsidP="00DB20BE">
      <w:pPr>
        <w:rPr>
          <w:noProof/>
        </w:rPr>
      </w:pPr>
    </w:p>
    <w:p w14:paraId="32C6A2CD" w14:textId="77777777" w:rsidR="00DB20BE" w:rsidRDefault="00DB20BE" w:rsidP="00DB20BE">
      <w:pPr>
        <w:rPr>
          <w:noProof/>
        </w:rPr>
      </w:pPr>
    </w:p>
    <w:p w14:paraId="09605E61" w14:textId="77777777" w:rsidR="00DB20BE" w:rsidRDefault="00DB20BE" w:rsidP="00DB20BE">
      <w:pPr>
        <w:rPr>
          <w:noProof/>
        </w:rPr>
      </w:pPr>
    </w:p>
    <w:p w14:paraId="511162CA" w14:textId="77777777" w:rsidR="00DB20BE" w:rsidRDefault="00DB20BE" w:rsidP="00DB20BE">
      <w:pPr>
        <w:rPr>
          <w:noProof/>
        </w:rPr>
      </w:pPr>
    </w:p>
    <w:p w14:paraId="2307B806" w14:textId="77777777" w:rsidR="00DB20BE" w:rsidRDefault="00DB20BE" w:rsidP="00DB20BE">
      <w:pPr>
        <w:rPr>
          <w:noProof/>
        </w:rPr>
      </w:pPr>
    </w:p>
    <w:p w14:paraId="7A2B9372" w14:textId="77777777" w:rsidR="00DB20BE" w:rsidRDefault="00DB20BE" w:rsidP="00DB20BE">
      <w:pPr>
        <w:rPr>
          <w:noProof/>
        </w:rPr>
      </w:pPr>
    </w:p>
    <w:p w14:paraId="74C47160" w14:textId="77777777" w:rsidR="00DB20BE" w:rsidRDefault="00DB20BE" w:rsidP="00DB20BE">
      <w:pPr>
        <w:rPr>
          <w:noProof/>
        </w:rPr>
      </w:pPr>
    </w:p>
    <w:p w14:paraId="2F3E5E8C" w14:textId="77777777" w:rsidR="00DB20BE" w:rsidRDefault="00DB20BE" w:rsidP="00DB20BE">
      <w:pPr>
        <w:rPr>
          <w:noProof/>
        </w:rPr>
      </w:pPr>
    </w:p>
    <w:p w14:paraId="06BDDF47" w14:textId="77777777" w:rsidR="00DB20BE" w:rsidRDefault="00DB20BE" w:rsidP="00DB20BE">
      <w:pPr>
        <w:rPr>
          <w:noProof/>
        </w:rPr>
      </w:pPr>
    </w:p>
    <w:p w14:paraId="3D2B6608" w14:textId="77777777" w:rsidR="00DB20BE" w:rsidRDefault="00DB20BE" w:rsidP="00DB20BE">
      <w:pPr>
        <w:rPr>
          <w:noProof/>
        </w:rPr>
      </w:pPr>
    </w:p>
    <w:p w14:paraId="44F6266F" w14:textId="77777777" w:rsidR="00DB20BE" w:rsidRDefault="00DB20BE" w:rsidP="00DB20BE">
      <w:pPr>
        <w:rPr>
          <w:noProof/>
        </w:rPr>
      </w:pPr>
    </w:p>
    <w:p w14:paraId="322D4EE3" w14:textId="77777777" w:rsidR="00DB20BE" w:rsidRDefault="00DB20BE" w:rsidP="00DB20BE">
      <w:pPr>
        <w:rPr>
          <w:noProof/>
        </w:rPr>
      </w:pPr>
    </w:p>
    <w:p w14:paraId="0F3816C9" w14:textId="77777777" w:rsidR="00DB20BE" w:rsidRDefault="00DB20BE" w:rsidP="00DB20BE">
      <w:pPr>
        <w:rPr>
          <w:noProof/>
        </w:rPr>
      </w:pPr>
    </w:p>
    <w:p w14:paraId="75CED8F6" w14:textId="77777777" w:rsidR="00DB20BE" w:rsidRDefault="00DB20BE" w:rsidP="00DB20BE">
      <w:pPr>
        <w:rPr>
          <w:noProof/>
        </w:rPr>
      </w:pPr>
    </w:p>
    <w:p w14:paraId="1B663B33" w14:textId="77777777" w:rsidR="00DB20BE" w:rsidRDefault="00DB20BE" w:rsidP="00DB20BE">
      <w:pPr>
        <w:rPr>
          <w:noProof/>
        </w:rPr>
      </w:pPr>
    </w:p>
    <w:p w14:paraId="3BF9C14F" w14:textId="77777777" w:rsidR="00DB20BE" w:rsidRDefault="00DB20BE" w:rsidP="00DB20BE">
      <w:pPr>
        <w:rPr>
          <w:noProof/>
        </w:rPr>
      </w:pPr>
    </w:p>
    <w:p w14:paraId="7779CCDC" w14:textId="77777777" w:rsidR="00DB20BE" w:rsidRDefault="00DB20BE" w:rsidP="00DB20BE">
      <w:pPr>
        <w:rPr>
          <w:noProof/>
        </w:rPr>
      </w:pPr>
    </w:p>
    <w:p w14:paraId="16B519F9" w14:textId="77777777" w:rsidR="00DB20BE" w:rsidRDefault="00DB20BE" w:rsidP="00DB20BE">
      <w:pPr>
        <w:rPr>
          <w:noProof/>
        </w:rPr>
      </w:pPr>
    </w:p>
    <w:p w14:paraId="3CB21749" w14:textId="77777777" w:rsidR="00DB20BE" w:rsidRDefault="00DB20BE" w:rsidP="00DB20BE">
      <w:pPr>
        <w:rPr>
          <w:b/>
          <w:bCs/>
        </w:rPr>
      </w:pPr>
      <w:bookmarkStart w:id="37" w:name="_Toc78207683"/>
    </w:p>
    <w:p w14:paraId="17341D58" w14:textId="77777777" w:rsidR="00DB20BE" w:rsidRPr="00643F22" w:rsidRDefault="00DB20BE" w:rsidP="00DB20BE">
      <w:pPr>
        <w:pStyle w:val="Heading2"/>
        <w:rPr>
          <w:noProof/>
        </w:rPr>
      </w:pPr>
      <w:r w:rsidRPr="00643F22">
        <w:lastRenderedPageBreak/>
        <w:t>Attachment 2 – Group B Streptococcal Management of the Neonate</w:t>
      </w:r>
      <w:bookmarkEnd w:id="37"/>
    </w:p>
    <w:p w14:paraId="455679EE" w14:textId="77777777" w:rsidR="00DB20BE" w:rsidRDefault="00DB20BE" w:rsidP="00DB20BE">
      <w:pPr>
        <w:rPr>
          <w:noProof/>
        </w:rPr>
      </w:pPr>
      <w:r>
        <w:rPr>
          <w:noProof/>
          <w:lang w:eastAsia="en-AU"/>
        </w:rPr>
        <w:drawing>
          <wp:anchor distT="0" distB="0" distL="114300" distR="114300" simplePos="0" relativeHeight="251660288" behindDoc="1" locked="0" layoutInCell="1" allowOverlap="1" wp14:anchorId="4B9341CD" wp14:editId="6B504171">
            <wp:simplePos x="0" y="0"/>
            <wp:positionH relativeFrom="margin">
              <wp:align>left</wp:align>
            </wp:positionH>
            <wp:positionV relativeFrom="paragraph">
              <wp:posOffset>27931</wp:posOffset>
            </wp:positionV>
            <wp:extent cx="5343525" cy="7505700"/>
            <wp:effectExtent l="0" t="0" r="9525" b="0"/>
            <wp:wrapTight wrapText="bothSides">
              <wp:wrapPolygon edited="0">
                <wp:start x="0" y="0"/>
                <wp:lineTo x="0" y="21545"/>
                <wp:lineTo x="21561" y="21545"/>
                <wp:lineTo x="21561" y="0"/>
                <wp:lineTo x="0" y="0"/>
              </wp:wrapPolygon>
            </wp:wrapTight>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43525" cy="7505700"/>
                    </a:xfrm>
                    <a:prstGeom prst="rect">
                      <a:avLst/>
                    </a:prstGeom>
                    <a:noFill/>
                  </pic:spPr>
                </pic:pic>
              </a:graphicData>
            </a:graphic>
            <wp14:sizeRelH relativeFrom="margin">
              <wp14:pctWidth>0</wp14:pctWidth>
            </wp14:sizeRelH>
            <wp14:sizeRelV relativeFrom="margin">
              <wp14:pctHeight>0</wp14:pctHeight>
            </wp14:sizeRelV>
          </wp:anchor>
        </w:drawing>
      </w:r>
    </w:p>
    <w:p w14:paraId="21908BCF" w14:textId="77777777" w:rsidR="00DB20BE" w:rsidRDefault="00DB20BE" w:rsidP="00DB20BE">
      <w:pPr>
        <w:rPr>
          <w:noProof/>
        </w:rPr>
      </w:pPr>
    </w:p>
    <w:p w14:paraId="415050B4" w14:textId="77777777" w:rsidR="00DB20BE" w:rsidRDefault="00DB20BE" w:rsidP="00DB20BE">
      <w:pPr>
        <w:rPr>
          <w:noProof/>
        </w:rPr>
      </w:pPr>
    </w:p>
    <w:p w14:paraId="4134CE53" w14:textId="77777777" w:rsidR="00DB20BE" w:rsidRDefault="00DB20BE" w:rsidP="00DB20BE">
      <w:pPr>
        <w:rPr>
          <w:noProof/>
        </w:rPr>
      </w:pPr>
    </w:p>
    <w:p w14:paraId="21DC2431" w14:textId="77777777" w:rsidR="00DB20BE" w:rsidRDefault="00DB20BE" w:rsidP="00DB20BE">
      <w:pPr>
        <w:rPr>
          <w:noProof/>
        </w:rPr>
      </w:pPr>
    </w:p>
    <w:p w14:paraId="15651DB5" w14:textId="77777777" w:rsidR="00DB20BE" w:rsidRDefault="00DB20BE" w:rsidP="00DB20BE">
      <w:pPr>
        <w:rPr>
          <w:noProof/>
        </w:rPr>
      </w:pPr>
    </w:p>
    <w:p w14:paraId="63315B2E" w14:textId="77777777" w:rsidR="00DB20BE" w:rsidRDefault="00DB20BE" w:rsidP="00DB20BE">
      <w:pPr>
        <w:rPr>
          <w:noProof/>
        </w:rPr>
      </w:pPr>
    </w:p>
    <w:p w14:paraId="7783D6EA" w14:textId="77777777" w:rsidR="00DB20BE" w:rsidRDefault="00DB20BE" w:rsidP="00DB20BE">
      <w:pPr>
        <w:rPr>
          <w:noProof/>
        </w:rPr>
      </w:pPr>
    </w:p>
    <w:p w14:paraId="17D8BBBB" w14:textId="77777777" w:rsidR="00DB20BE" w:rsidRDefault="00DB20BE" w:rsidP="00DB20BE">
      <w:pPr>
        <w:rPr>
          <w:noProof/>
        </w:rPr>
      </w:pPr>
    </w:p>
    <w:p w14:paraId="70A6BDFC" w14:textId="77777777" w:rsidR="00DB20BE" w:rsidRDefault="00DB20BE" w:rsidP="00DB20BE">
      <w:pPr>
        <w:rPr>
          <w:noProof/>
        </w:rPr>
      </w:pPr>
    </w:p>
    <w:p w14:paraId="47D37092" w14:textId="77777777" w:rsidR="00DB20BE" w:rsidRDefault="00DB20BE" w:rsidP="00DB20BE">
      <w:pPr>
        <w:rPr>
          <w:noProof/>
        </w:rPr>
      </w:pPr>
    </w:p>
    <w:p w14:paraId="15926CFB" w14:textId="77777777" w:rsidR="00DB20BE" w:rsidRDefault="00DB20BE" w:rsidP="00DB20BE">
      <w:pPr>
        <w:rPr>
          <w:noProof/>
        </w:rPr>
      </w:pPr>
    </w:p>
    <w:p w14:paraId="2D6B87CA" w14:textId="77777777" w:rsidR="00DB20BE" w:rsidRDefault="00DB20BE" w:rsidP="00DB20BE">
      <w:pPr>
        <w:rPr>
          <w:noProof/>
        </w:rPr>
      </w:pPr>
    </w:p>
    <w:p w14:paraId="1145297A" w14:textId="77777777" w:rsidR="00DB20BE" w:rsidRDefault="00DB20BE" w:rsidP="00DB20BE">
      <w:pPr>
        <w:rPr>
          <w:noProof/>
        </w:rPr>
      </w:pPr>
    </w:p>
    <w:p w14:paraId="2554DFAD" w14:textId="77777777" w:rsidR="00DB20BE" w:rsidRDefault="00DB20BE" w:rsidP="00DB20BE">
      <w:pPr>
        <w:rPr>
          <w:noProof/>
        </w:rPr>
      </w:pPr>
    </w:p>
    <w:p w14:paraId="4415A5B9" w14:textId="77777777" w:rsidR="00DB20BE" w:rsidRDefault="00DB20BE" w:rsidP="00DB20BE">
      <w:pPr>
        <w:rPr>
          <w:noProof/>
        </w:rPr>
      </w:pPr>
    </w:p>
    <w:p w14:paraId="0D8374B0" w14:textId="77777777" w:rsidR="00DB20BE" w:rsidRDefault="00DB20BE" w:rsidP="00DB20BE">
      <w:pPr>
        <w:rPr>
          <w:noProof/>
        </w:rPr>
      </w:pPr>
    </w:p>
    <w:p w14:paraId="07204C8C" w14:textId="77777777" w:rsidR="00DB20BE" w:rsidRDefault="00DB20BE" w:rsidP="00DB20BE">
      <w:pPr>
        <w:rPr>
          <w:noProof/>
        </w:rPr>
      </w:pPr>
    </w:p>
    <w:p w14:paraId="7D254AB5" w14:textId="77777777" w:rsidR="00DB20BE" w:rsidRDefault="00DB20BE" w:rsidP="00DB20BE">
      <w:pPr>
        <w:rPr>
          <w:noProof/>
        </w:rPr>
      </w:pPr>
    </w:p>
    <w:p w14:paraId="1AAFF645" w14:textId="77777777" w:rsidR="00DB20BE" w:rsidRDefault="00DB20BE" w:rsidP="00DB20BE">
      <w:pPr>
        <w:rPr>
          <w:noProof/>
        </w:rPr>
      </w:pPr>
    </w:p>
    <w:p w14:paraId="6B8779EC" w14:textId="77777777" w:rsidR="00DB20BE" w:rsidRDefault="00DB20BE" w:rsidP="00DB20BE">
      <w:pPr>
        <w:rPr>
          <w:noProof/>
        </w:rPr>
      </w:pPr>
    </w:p>
    <w:p w14:paraId="475D502A" w14:textId="77777777" w:rsidR="00DB20BE" w:rsidRDefault="00DB20BE" w:rsidP="00DB20BE">
      <w:pPr>
        <w:rPr>
          <w:noProof/>
        </w:rPr>
      </w:pPr>
    </w:p>
    <w:p w14:paraId="61D937CB" w14:textId="77777777" w:rsidR="00DB20BE" w:rsidRDefault="00DB20BE" w:rsidP="00DB20BE">
      <w:pPr>
        <w:rPr>
          <w:noProof/>
        </w:rPr>
      </w:pPr>
    </w:p>
    <w:p w14:paraId="653E4D19" w14:textId="77777777" w:rsidR="00DB20BE" w:rsidRDefault="00DB20BE" w:rsidP="00DB20BE">
      <w:pPr>
        <w:rPr>
          <w:noProof/>
        </w:rPr>
      </w:pPr>
    </w:p>
    <w:p w14:paraId="22209692" w14:textId="77777777" w:rsidR="00DB20BE" w:rsidRDefault="00DB20BE" w:rsidP="00DB20BE">
      <w:pPr>
        <w:rPr>
          <w:noProof/>
        </w:rPr>
      </w:pPr>
    </w:p>
    <w:p w14:paraId="573D1463" w14:textId="77777777" w:rsidR="00DB20BE" w:rsidRDefault="00DB20BE" w:rsidP="00DB20BE">
      <w:pPr>
        <w:rPr>
          <w:noProof/>
        </w:rPr>
      </w:pPr>
    </w:p>
    <w:p w14:paraId="5D440064" w14:textId="77777777" w:rsidR="00DB20BE" w:rsidRDefault="00DB20BE" w:rsidP="00DB20BE">
      <w:pPr>
        <w:rPr>
          <w:noProof/>
        </w:rPr>
      </w:pPr>
    </w:p>
    <w:p w14:paraId="14CFE1C9" w14:textId="77777777" w:rsidR="00DB20BE" w:rsidRDefault="00DB20BE" w:rsidP="00DB20BE">
      <w:pPr>
        <w:rPr>
          <w:noProof/>
        </w:rPr>
      </w:pPr>
    </w:p>
    <w:p w14:paraId="06158D40" w14:textId="77777777" w:rsidR="00DB20BE" w:rsidRDefault="00DB20BE" w:rsidP="00DB20BE">
      <w:pPr>
        <w:rPr>
          <w:noProof/>
        </w:rPr>
      </w:pPr>
    </w:p>
    <w:p w14:paraId="03D890B1" w14:textId="77777777" w:rsidR="00DB20BE" w:rsidRDefault="00DB20BE" w:rsidP="00DB20BE">
      <w:pPr>
        <w:rPr>
          <w:noProof/>
        </w:rPr>
      </w:pPr>
    </w:p>
    <w:p w14:paraId="263391DF" w14:textId="77777777" w:rsidR="00DB20BE" w:rsidRDefault="00DB20BE" w:rsidP="00DB20BE">
      <w:pPr>
        <w:rPr>
          <w:noProof/>
        </w:rPr>
      </w:pPr>
    </w:p>
    <w:p w14:paraId="236FDB00" w14:textId="77777777" w:rsidR="00DB20BE" w:rsidRDefault="00DB20BE" w:rsidP="00DB20BE">
      <w:pPr>
        <w:rPr>
          <w:noProof/>
        </w:rPr>
      </w:pPr>
    </w:p>
    <w:p w14:paraId="15315151" w14:textId="77777777" w:rsidR="00DB20BE" w:rsidRDefault="00DB20BE" w:rsidP="00DB20BE">
      <w:pPr>
        <w:rPr>
          <w:noProof/>
        </w:rPr>
      </w:pPr>
    </w:p>
    <w:p w14:paraId="20093A63" w14:textId="77777777" w:rsidR="00DB20BE" w:rsidRDefault="00DB20BE" w:rsidP="00DB20BE">
      <w:pPr>
        <w:rPr>
          <w:noProof/>
        </w:rPr>
      </w:pPr>
    </w:p>
    <w:p w14:paraId="1D11B704" w14:textId="77777777" w:rsidR="00DB20BE" w:rsidRDefault="00DB20BE" w:rsidP="00DB20BE">
      <w:pPr>
        <w:rPr>
          <w:noProof/>
        </w:rPr>
      </w:pPr>
    </w:p>
    <w:p w14:paraId="4BA6E021" w14:textId="77777777" w:rsidR="00DB20BE" w:rsidRDefault="00DB20BE" w:rsidP="00DB20BE">
      <w:pPr>
        <w:rPr>
          <w:noProof/>
        </w:rPr>
      </w:pPr>
    </w:p>
    <w:p w14:paraId="5BF13D5C" w14:textId="77777777" w:rsidR="00DB20BE" w:rsidRDefault="00DB20BE" w:rsidP="00DB20BE">
      <w:pPr>
        <w:rPr>
          <w:noProof/>
        </w:rPr>
      </w:pPr>
    </w:p>
    <w:p w14:paraId="50CBD76D" w14:textId="77777777" w:rsidR="00DB20BE" w:rsidRDefault="00DB20BE" w:rsidP="00DB20BE">
      <w:pPr>
        <w:rPr>
          <w:noProof/>
        </w:rPr>
      </w:pPr>
    </w:p>
    <w:p w14:paraId="371444BE" w14:textId="77777777" w:rsidR="00DB20BE" w:rsidRDefault="00DB20BE" w:rsidP="00DB20BE">
      <w:pPr>
        <w:rPr>
          <w:noProof/>
        </w:rPr>
      </w:pPr>
    </w:p>
    <w:p w14:paraId="1F9E0631" w14:textId="77777777" w:rsidR="00DB20BE" w:rsidRDefault="00DB20BE" w:rsidP="00DB20BE">
      <w:pPr>
        <w:rPr>
          <w:rFonts w:cs="Arial"/>
          <w:i/>
          <w:szCs w:val="24"/>
        </w:rPr>
      </w:pPr>
    </w:p>
    <w:p w14:paraId="0C603F20" w14:textId="77777777" w:rsidR="00DB20BE" w:rsidRPr="00B12624" w:rsidRDefault="00DB20BE" w:rsidP="00DB20BE">
      <w:pPr>
        <w:rPr>
          <w:rFonts w:cs="Arial"/>
          <w:szCs w:val="24"/>
        </w:rPr>
      </w:pPr>
      <w:r w:rsidRPr="009902FB">
        <w:rPr>
          <w:rFonts w:cs="Arial"/>
          <w:i/>
          <w:szCs w:val="24"/>
        </w:rPr>
        <w:t xml:space="preserve">These could include any supporting information that would be useful to staff such as information sheets or flow </w:t>
      </w:r>
      <w:proofErr w:type="gramStart"/>
      <w:r w:rsidRPr="009902FB">
        <w:rPr>
          <w:rFonts w:cs="Arial"/>
          <w:i/>
          <w:szCs w:val="24"/>
        </w:rPr>
        <w:t>charts</w:t>
      </w:r>
      <w:proofErr w:type="gramEnd"/>
    </w:p>
    <w:p w14:paraId="2F51A904" w14:textId="0F49FF1C" w:rsidR="00B12123" w:rsidRPr="00B12624" w:rsidRDefault="00B12123" w:rsidP="00DB20BE">
      <w:pPr>
        <w:rPr>
          <w:rFonts w:cs="Arial"/>
          <w:szCs w:val="24"/>
        </w:rPr>
      </w:pPr>
    </w:p>
    <w:sectPr w:rsidR="00B12123" w:rsidRPr="00B12624" w:rsidSect="00971306">
      <w:headerReference w:type="default" r:id="rId27"/>
      <w:footerReference w:type="default" r:id="rId28"/>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7637F" w14:textId="77777777" w:rsidR="00D762FC" w:rsidRDefault="00D762FC" w:rsidP="00F66CB0">
      <w:r>
        <w:separator/>
      </w:r>
    </w:p>
  </w:endnote>
  <w:endnote w:type="continuationSeparator" w:id="0">
    <w:p w14:paraId="23EC03EA" w14:textId="77777777" w:rsidR="00D762FC" w:rsidRDefault="00D762FC" w:rsidP="00F66CB0">
      <w:r>
        <w:continuationSeparator/>
      </w:r>
    </w:p>
  </w:endnote>
  <w:endnote w:type="continuationNotice" w:id="1">
    <w:p w14:paraId="4384054B" w14:textId="77777777" w:rsidR="00D762FC" w:rsidRDefault="00D762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94794F" w:rsidRPr="00AE7C5C" w14:paraId="2F51A914" w14:textId="77777777" w:rsidTr="005E1140">
      <w:tc>
        <w:tcPr>
          <w:tcW w:w="1515" w:type="dxa"/>
        </w:tcPr>
        <w:p w14:paraId="2F51A90E" w14:textId="77777777" w:rsidR="0094794F" w:rsidRPr="00B3752F" w:rsidRDefault="0094794F" w:rsidP="004213C3">
          <w:pPr>
            <w:pStyle w:val="Footer"/>
            <w:rPr>
              <w:rFonts w:cs="Arial"/>
              <w:b/>
              <w:bCs/>
              <w:i/>
              <w:sz w:val="20"/>
            </w:rPr>
          </w:pPr>
          <w:r w:rsidRPr="00B3752F">
            <w:rPr>
              <w:rFonts w:cs="Arial"/>
              <w:b/>
              <w:bCs/>
              <w:i/>
              <w:sz w:val="20"/>
            </w:rPr>
            <w:t>Doc Number</w:t>
          </w:r>
        </w:p>
      </w:tc>
      <w:tc>
        <w:tcPr>
          <w:tcW w:w="965" w:type="dxa"/>
        </w:tcPr>
        <w:p w14:paraId="2F51A90F" w14:textId="77777777" w:rsidR="0094794F" w:rsidRPr="00B3752F" w:rsidRDefault="0094794F" w:rsidP="004213C3">
          <w:pPr>
            <w:pStyle w:val="Footer"/>
            <w:rPr>
              <w:rFonts w:cs="Arial"/>
              <w:b/>
              <w:bCs/>
              <w:i/>
              <w:sz w:val="20"/>
            </w:rPr>
          </w:pPr>
          <w:r w:rsidRPr="00B3752F">
            <w:rPr>
              <w:rFonts w:cs="Arial"/>
              <w:b/>
              <w:bCs/>
              <w:i/>
              <w:sz w:val="20"/>
            </w:rPr>
            <w:t>Version</w:t>
          </w:r>
        </w:p>
      </w:tc>
      <w:tc>
        <w:tcPr>
          <w:tcW w:w="1552" w:type="dxa"/>
        </w:tcPr>
        <w:p w14:paraId="2F51A910" w14:textId="77777777" w:rsidR="0094794F" w:rsidRPr="00B3752F" w:rsidRDefault="0094794F" w:rsidP="004213C3">
          <w:pPr>
            <w:pStyle w:val="Footer"/>
            <w:rPr>
              <w:rFonts w:cs="Arial"/>
              <w:b/>
              <w:bCs/>
              <w:i/>
              <w:sz w:val="20"/>
            </w:rPr>
          </w:pPr>
          <w:r w:rsidRPr="00B3752F">
            <w:rPr>
              <w:rFonts w:cs="Arial"/>
              <w:b/>
              <w:bCs/>
              <w:i/>
              <w:sz w:val="20"/>
            </w:rPr>
            <w:t>Issued</w:t>
          </w:r>
        </w:p>
      </w:tc>
      <w:tc>
        <w:tcPr>
          <w:tcW w:w="1456" w:type="dxa"/>
        </w:tcPr>
        <w:p w14:paraId="2F51A911" w14:textId="77777777" w:rsidR="0094794F" w:rsidRPr="00B3752F" w:rsidRDefault="0094794F" w:rsidP="004213C3">
          <w:pPr>
            <w:pStyle w:val="Footer"/>
            <w:rPr>
              <w:rFonts w:cs="Arial"/>
              <w:b/>
              <w:bCs/>
              <w:i/>
              <w:sz w:val="20"/>
            </w:rPr>
          </w:pPr>
          <w:r w:rsidRPr="00B3752F">
            <w:rPr>
              <w:rFonts w:cs="Arial"/>
              <w:b/>
              <w:bCs/>
              <w:i/>
              <w:sz w:val="20"/>
            </w:rPr>
            <w:t>Review Date</w:t>
          </w:r>
        </w:p>
      </w:tc>
      <w:tc>
        <w:tcPr>
          <w:tcW w:w="1746" w:type="dxa"/>
        </w:tcPr>
        <w:p w14:paraId="2F51A912" w14:textId="77777777" w:rsidR="0094794F" w:rsidRPr="00B3752F" w:rsidRDefault="0094794F" w:rsidP="004213C3">
          <w:pPr>
            <w:pStyle w:val="Footer"/>
            <w:rPr>
              <w:rFonts w:cs="Arial"/>
              <w:b/>
              <w:bCs/>
              <w:i/>
              <w:sz w:val="20"/>
            </w:rPr>
          </w:pPr>
          <w:r w:rsidRPr="00B3752F">
            <w:rPr>
              <w:rFonts w:cs="Arial"/>
              <w:b/>
              <w:bCs/>
              <w:i/>
              <w:sz w:val="20"/>
            </w:rPr>
            <w:t>Area Responsible</w:t>
          </w:r>
        </w:p>
      </w:tc>
      <w:tc>
        <w:tcPr>
          <w:tcW w:w="1836" w:type="dxa"/>
        </w:tcPr>
        <w:p w14:paraId="2F51A913" w14:textId="77777777" w:rsidR="0094794F" w:rsidRPr="00B3752F" w:rsidRDefault="0094794F" w:rsidP="004213C3">
          <w:pPr>
            <w:pStyle w:val="Footer"/>
            <w:rPr>
              <w:rFonts w:cs="Arial"/>
              <w:b/>
              <w:bCs/>
              <w:i/>
              <w:sz w:val="20"/>
            </w:rPr>
          </w:pPr>
          <w:r w:rsidRPr="00B3752F">
            <w:rPr>
              <w:rFonts w:cs="Arial"/>
              <w:b/>
              <w:bCs/>
              <w:i/>
              <w:sz w:val="20"/>
            </w:rPr>
            <w:t>Page</w:t>
          </w:r>
        </w:p>
      </w:tc>
    </w:tr>
    <w:tr w:rsidR="0094794F" w14:paraId="2F51A91B" w14:textId="77777777" w:rsidTr="005E1140">
      <w:tc>
        <w:tcPr>
          <w:tcW w:w="1515" w:type="dxa"/>
        </w:tcPr>
        <w:p w14:paraId="2F51A915" w14:textId="5114833C" w:rsidR="0094794F" w:rsidRPr="00542EE6" w:rsidRDefault="00FF57E5" w:rsidP="004213C3">
          <w:pPr>
            <w:pStyle w:val="Footer"/>
            <w:rPr>
              <w:rFonts w:cs="Arial"/>
              <w:b/>
              <w:bCs/>
              <w:sz w:val="20"/>
            </w:rPr>
          </w:pPr>
          <w:r>
            <w:rPr>
              <w:b/>
              <w:sz w:val="20"/>
            </w:rPr>
            <w:t>CHS21/677</w:t>
          </w:r>
        </w:p>
      </w:tc>
      <w:tc>
        <w:tcPr>
          <w:tcW w:w="965" w:type="dxa"/>
        </w:tcPr>
        <w:p w14:paraId="2F51A916" w14:textId="3BC769C4" w:rsidR="0094794F" w:rsidRPr="00B3752F" w:rsidRDefault="00FF57E5" w:rsidP="004213C3">
          <w:pPr>
            <w:pStyle w:val="Footer"/>
            <w:rPr>
              <w:rFonts w:cs="Arial"/>
              <w:b/>
              <w:bCs/>
              <w:sz w:val="20"/>
            </w:rPr>
          </w:pPr>
          <w:r>
            <w:rPr>
              <w:rFonts w:cs="Arial"/>
              <w:b/>
              <w:bCs/>
              <w:sz w:val="20"/>
            </w:rPr>
            <w:t>1</w:t>
          </w:r>
        </w:p>
      </w:tc>
      <w:tc>
        <w:tcPr>
          <w:tcW w:w="1552" w:type="dxa"/>
        </w:tcPr>
        <w:p w14:paraId="2F51A917" w14:textId="59E6199E" w:rsidR="0094794F" w:rsidRPr="00B3752F" w:rsidRDefault="00FF57E5" w:rsidP="004213C3">
          <w:pPr>
            <w:pStyle w:val="Footer"/>
            <w:rPr>
              <w:rFonts w:cs="Arial"/>
              <w:b/>
              <w:bCs/>
              <w:sz w:val="20"/>
            </w:rPr>
          </w:pPr>
          <w:r>
            <w:rPr>
              <w:rFonts w:cs="Arial"/>
              <w:b/>
              <w:bCs/>
              <w:sz w:val="20"/>
            </w:rPr>
            <w:t>07/12/2021</w:t>
          </w:r>
        </w:p>
      </w:tc>
      <w:tc>
        <w:tcPr>
          <w:tcW w:w="1456" w:type="dxa"/>
        </w:tcPr>
        <w:p w14:paraId="2F51A918" w14:textId="726B95D0" w:rsidR="0094794F" w:rsidRPr="00B3752F" w:rsidRDefault="00FF57E5" w:rsidP="004213C3">
          <w:pPr>
            <w:pStyle w:val="Footer"/>
            <w:rPr>
              <w:rFonts w:cs="Arial"/>
              <w:b/>
              <w:bCs/>
              <w:sz w:val="20"/>
            </w:rPr>
          </w:pPr>
          <w:r>
            <w:rPr>
              <w:rFonts w:cs="Arial"/>
              <w:b/>
              <w:bCs/>
              <w:sz w:val="20"/>
            </w:rPr>
            <w:t>01/12/2025</w:t>
          </w:r>
        </w:p>
      </w:tc>
      <w:tc>
        <w:tcPr>
          <w:tcW w:w="1746" w:type="dxa"/>
        </w:tcPr>
        <w:p w14:paraId="2F51A919" w14:textId="119E82C4" w:rsidR="0094794F" w:rsidRPr="00B3752F" w:rsidRDefault="00FF57E5" w:rsidP="004213C3">
          <w:pPr>
            <w:pStyle w:val="Footer"/>
            <w:rPr>
              <w:rFonts w:cs="Arial"/>
              <w:b/>
              <w:bCs/>
              <w:sz w:val="20"/>
            </w:rPr>
          </w:pPr>
          <w:r>
            <w:rPr>
              <w:rFonts w:cs="Arial"/>
              <w:b/>
              <w:bCs/>
              <w:sz w:val="20"/>
            </w:rPr>
            <w:t>WY&amp;C - Maternity</w:t>
          </w:r>
        </w:p>
      </w:tc>
      <w:tc>
        <w:tcPr>
          <w:tcW w:w="1836" w:type="dxa"/>
        </w:tcPr>
        <w:p w14:paraId="2F51A91A" w14:textId="77777777" w:rsidR="0094794F" w:rsidRPr="00B3752F" w:rsidRDefault="0094794F" w:rsidP="004213C3">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6</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6</w:t>
          </w:r>
          <w:r w:rsidRPr="00B3752F">
            <w:rPr>
              <w:rStyle w:val="PageNumber"/>
              <w:sz w:val="20"/>
            </w:rPr>
            <w:fldChar w:fldCharType="end"/>
          </w:r>
        </w:p>
      </w:tc>
    </w:tr>
    <w:tr w:rsidR="0094794F" w14:paraId="668DA41F" w14:textId="77777777" w:rsidTr="0094794F">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94794F" w:rsidRPr="002C1428" w:rsidRDefault="0094794F"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2F51A91D" w14:textId="77777777" w:rsidR="0094794F" w:rsidRPr="00AE7C5C" w:rsidRDefault="0094794F"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0F52F" w14:textId="77777777" w:rsidR="00D762FC" w:rsidRDefault="00D762FC" w:rsidP="00F66CB0">
      <w:r>
        <w:separator/>
      </w:r>
    </w:p>
  </w:footnote>
  <w:footnote w:type="continuationSeparator" w:id="0">
    <w:p w14:paraId="296D286E" w14:textId="77777777" w:rsidR="00D762FC" w:rsidRDefault="00D762FC" w:rsidP="00F66CB0">
      <w:r>
        <w:continuationSeparator/>
      </w:r>
    </w:p>
  </w:footnote>
  <w:footnote w:type="continuationNotice" w:id="1">
    <w:p w14:paraId="429FCAD0" w14:textId="77777777" w:rsidR="00D762FC" w:rsidRDefault="00D762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94794F" w14:paraId="2F51A90C" w14:textId="77777777" w:rsidTr="0074223E">
      <w:trPr>
        <w:trHeight w:val="1418"/>
      </w:trPr>
      <w:tc>
        <w:tcPr>
          <w:tcW w:w="5556" w:type="dxa"/>
          <w:vAlign w:val="center"/>
          <w:hideMark/>
        </w:tcPr>
        <w:p w14:paraId="2F51A90A" w14:textId="5F72D3B6" w:rsidR="0094794F" w:rsidRDefault="0094794F" w:rsidP="0074223E">
          <w:pPr>
            <w:pStyle w:val="Header"/>
            <w:rPr>
              <w:sz w:val="20"/>
            </w:rPr>
          </w:pPr>
          <w:r>
            <w:rPr>
              <w:noProof/>
              <w:sz w:val="20"/>
            </w:rPr>
            <w:drawing>
              <wp:inline distT="0" distB="0" distL="0" distR="0" wp14:anchorId="5330CC0D" wp14:editId="1210EDE2">
                <wp:extent cx="3295650" cy="723900"/>
                <wp:effectExtent l="0" t="0" r="0" b="0"/>
                <wp:docPr id="13" name="Picture 13"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257F870E" w:rsidR="0094794F" w:rsidRDefault="00FF57E5">
          <w:pPr>
            <w:pStyle w:val="Header"/>
            <w:tabs>
              <w:tab w:val="left" w:pos="720"/>
            </w:tabs>
            <w:jc w:val="right"/>
            <w:rPr>
              <w:sz w:val="20"/>
            </w:rPr>
          </w:pPr>
          <w:bookmarkStart w:id="38" w:name="_top"/>
          <w:bookmarkEnd w:id="38"/>
          <w:r>
            <w:rPr>
              <w:sz w:val="20"/>
            </w:rPr>
            <w:t>CHS21/677</w:t>
          </w:r>
        </w:p>
      </w:tc>
    </w:tr>
  </w:tbl>
  <w:p w14:paraId="2F51A90D" w14:textId="77777777" w:rsidR="0094794F" w:rsidRPr="00FC3538" w:rsidRDefault="0094794F">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EEACFFC"/>
    <w:lvl w:ilvl="0">
      <w:start w:val="1"/>
      <w:numFmt w:val="bullet"/>
      <w:pStyle w:val="ListBullet"/>
      <w:lvlText w:val=""/>
      <w:lvlJc w:val="left"/>
      <w:pPr>
        <w:tabs>
          <w:tab w:val="num" w:pos="643"/>
        </w:tabs>
        <w:ind w:left="643" w:hanging="360"/>
      </w:pPr>
      <w:rPr>
        <w:rFonts w:ascii="Symbol" w:hAnsi="Symbol" w:hint="default"/>
        <w:color w:val="auto"/>
      </w:rPr>
    </w:lvl>
  </w:abstractNum>
  <w:abstractNum w:abstractNumId="1" w15:restartNumberingAfterBreak="0">
    <w:nsid w:val="01FC3E02"/>
    <w:multiLevelType w:val="hybridMultilevel"/>
    <w:tmpl w:val="393AC13C"/>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0B4D33D4"/>
    <w:multiLevelType w:val="hybridMultilevel"/>
    <w:tmpl w:val="21588B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AD2FF1"/>
    <w:multiLevelType w:val="hybridMultilevel"/>
    <w:tmpl w:val="BBC062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5F62A6"/>
    <w:multiLevelType w:val="hybridMultilevel"/>
    <w:tmpl w:val="6748B452"/>
    <w:lvl w:ilvl="0" w:tplc="A0AA2072">
      <w:start w:val="1"/>
      <w:numFmt w:val="decimal"/>
      <w:lvlText w:val="%1."/>
      <w:lvlJc w:val="left"/>
      <w:pPr>
        <w:ind w:left="360" w:hanging="360"/>
      </w:pPr>
      <w:rPr>
        <w:rFonts w:ascii="Calibri" w:hAnsi="Calibri" w:hint="default"/>
        <w:b w:val="0"/>
        <w:i w:val="0"/>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2F95780"/>
    <w:multiLevelType w:val="hybridMultilevel"/>
    <w:tmpl w:val="22823E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A7217C7"/>
    <w:multiLevelType w:val="hybridMultilevel"/>
    <w:tmpl w:val="D696F1A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2937383"/>
    <w:multiLevelType w:val="hybridMultilevel"/>
    <w:tmpl w:val="0F1264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46A7BAE"/>
    <w:multiLevelType w:val="hybridMultilevel"/>
    <w:tmpl w:val="2EC23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EE5008"/>
    <w:multiLevelType w:val="hybridMultilevel"/>
    <w:tmpl w:val="076CF9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F30E63"/>
    <w:multiLevelType w:val="hybridMultilevel"/>
    <w:tmpl w:val="2F4853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374D9B"/>
    <w:multiLevelType w:val="hybridMultilevel"/>
    <w:tmpl w:val="CF742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1005C1"/>
    <w:multiLevelType w:val="hybridMultilevel"/>
    <w:tmpl w:val="F26CBC26"/>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8" w15:restartNumberingAfterBreak="0">
    <w:nsid w:val="5564286E"/>
    <w:multiLevelType w:val="hybridMultilevel"/>
    <w:tmpl w:val="715408D2"/>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8DE1867"/>
    <w:multiLevelType w:val="hybridMultilevel"/>
    <w:tmpl w:val="DFEE6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952" w:hanging="360"/>
      </w:pPr>
      <w:rPr>
        <w:rFonts w:ascii="Courier New" w:hAnsi="Courier New" w:cs="Courier New" w:hint="default"/>
      </w:rPr>
    </w:lvl>
    <w:lvl w:ilvl="2" w:tplc="0C090005" w:tentative="1">
      <w:start w:val="1"/>
      <w:numFmt w:val="bullet"/>
      <w:lvlText w:val=""/>
      <w:lvlJc w:val="left"/>
      <w:pPr>
        <w:ind w:left="2672" w:hanging="360"/>
      </w:pPr>
      <w:rPr>
        <w:rFonts w:ascii="Wingdings" w:hAnsi="Wingdings" w:hint="default"/>
      </w:rPr>
    </w:lvl>
    <w:lvl w:ilvl="3" w:tplc="0C090001" w:tentative="1">
      <w:start w:val="1"/>
      <w:numFmt w:val="bullet"/>
      <w:lvlText w:val=""/>
      <w:lvlJc w:val="left"/>
      <w:pPr>
        <w:ind w:left="3392" w:hanging="360"/>
      </w:pPr>
      <w:rPr>
        <w:rFonts w:ascii="Symbol" w:hAnsi="Symbol" w:hint="default"/>
      </w:rPr>
    </w:lvl>
    <w:lvl w:ilvl="4" w:tplc="0C090003" w:tentative="1">
      <w:start w:val="1"/>
      <w:numFmt w:val="bullet"/>
      <w:lvlText w:val="o"/>
      <w:lvlJc w:val="left"/>
      <w:pPr>
        <w:ind w:left="4112" w:hanging="360"/>
      </w:pPr>
      <w:rPr>
        <w:rFonts w:ascii="Courier New" w:hAnsi="Courier New" w:cs="Courier New" w:hint="default"/>
      </w:rPr>
    </w:lvl>
    <w:lvl w:ilvl="5" w:tplc="0C090005" w:tentative="1">
      <w:start w:val="1"/>
      <w:numFmt w:val="bullet"/>
      <w:lvlText w:val=""/>
      <w:lvlJc w:val="left"/>
      <w:pPr>
        <w:ind w:left="4832" w:hanging="360"/>
      </w:pPr>
      <w:rPr>
        <w:rFonts w:ascii="Wingdings" w:hAnsi="Wingdings" w:hint="default"/>
      </w:rPr>
    </w:lvl>
    <w:lvl w:ilvl="6" w:tplc="0C090001" w:tentative="1">
      <w:start w:val="1"/>
      <w:numFmt w:val="bullet"/>
      <w:lvlText w:val=""/>
      <w:lvlJc w:val="left"/>
      <w:pPr>
        <w:ind w:left="5552" w:hanging="360"/>
      </w:pPr>
      <w:rPr>
        <w:rFonts w:ascii="Symbol" w:hAnsi="Symbol" w:hint="default"/>
      </w:rPr>
    </w:lvl>
    <w:lvl w:ilvl="7" w:tplc="0C090003" w:tentative="1">
      <w:start w:val="1"/>
      <w:numFmt w:val="bullet"/>
      <w:lvlText w:val="o"/>
      <w:lvlJc w:val="left"/>
      <w:pPr>
        <w:ind w:left="6272" w:hanging="360"/>
      </w:pPr>
      <w:rPr>
        <w:rFonts w:ascii="Courier New" w:hAnsi="Courier New" w:cs="Courier New" w:hint="default"/>
      </w:rPr>
    </w:lvl>
    <w:lvl w:ilvl="8" w:tplc="0C090005" w:tentative="1">
      <w:start w:val="1"/>
      <w:numFmt w:val="bullet"/>
      <w:lvlText w:val=""/>
      <w:lvlJc w:val="left"/>
      <w:pPr>
        <w:ind w:left="6992" w:hanging="360"/>
      </w:pPr>
      <w:rPr>
        <w:rFonts w:ascii="Wingdings" w:hAnsi="Wingdings" w:hint="default"/>
      </w:rPr>
    </w:lvl>
  </w:abstractNum>
  <w:abstractNum w:abstractNumId="20" w15:restartNumberingAfterBreak="0">
    <w:nsid w:val="59804D71"/>
    <w:multiLevelType w:val="hybridMultilevel"/>
    <w:tmpl w:val="3F38AC0A"/>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0AF6900"/>
    <w:multiLevelType w:val="hybridMultilevel"/>
    <w:tmpl w:val="D5D2712C"/>
    <w:lvl w:ilvl="0" w:tplc="D7E62B8C">
      <w:start w:val="1"/>
      <w:numFmt w:val="decimal"/>
      <w:lvlText w:val="%1."/>
      <w:lvlJc w:val="left"/>
      <w:pPr>
        <w:ind w:left="360" w:hanging="360"/>
      </w:pPr>
      <w:rPr>
        <w:rFonts w:hint="default"/>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34C2BA0"/>
    <w:multiLevelType w:val="hybridMultilevel"/>
    <w:tmpl w:val="C98EE67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928"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462B5C"/>
    <w:multiLevelType w:val="hybridMultilevel"/>
    <w:tmpl w:val="3D4E6D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7EC6D7B"/>
    <w:multiLevelType w:val="hybridMultilevel"/>
    <w:tmpl w:val="A928068C"/>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9837006"/>
    <w:multiLevelType w:val="hybridMultilevel"/>
    <w:tmpl w:val="E690A608"/>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26"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DB00E44"/>
    <w:multiLevelType w:val="hybridMultilevel"/>
    <w:tmpl w:val="EADEDE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DDE7037"/>
    <w:multiLevelType w:val="hybridMultilevel"/>
    <w:tmpl w:val="5E1003E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6761543">
    <w:abstractNumId w:val="0"/>
  </w:num>
  <w:num w:numId="2" w16cid:durableId="409929605">
    <w:abstractNumId w:val="2"/>
  </w:num>
  <w:num w:numId="3" w16cid:durableId="2132018100">
    <w:abstractNumId w:val="25"/>
  </w:num>
  <w:num w:numId="4" w16cid:durableId="618024310">
    <w:abstractNumId w:val="4"/>
  </w:num>
  <w:num w:numId="5" w16cid:durableId="1198809150">
    <w:abstractNumId w:val="6"/>
  </w:num>
  <w:num w:numId="6" w16cid:durableId="2014603445">
    <w:abstractNumId w:val="26"/>
  </w:num>
  <w:num w:numId="7" w16cid:durableId="1672491868">
    <w:abstractNumId w:val="17"/>
  </w:num>
  <w:num w:numId="8" w16cid:durableId="1209144605">
    <w:abstractNumId w:val="0"/>
  </w:num>
  <w:num w:numId="9" w16cid:durableId="214129067">
    <w:abstractNumId w:val="0"/>
  </w:num>
  <w:num w:numId="10" w16cid:durableId="1589732727">
    <w:abstractNumId w:val="16"/>
  </w:num>
  <w:num w:numId="11" w16cid:durableId="165486083">
    <w:abstractNumId w:val="9"/>
  </w:num>
  <w:num w:numId="12" w16cid:durableId="1937324618">
    <w:abstractNumId w:val="20"/>
  </w:num>
  <w:num w:numId="13" w16cid:durableId="1193766932">
    <w:abstractNumId w:val="21"/>
  </w:num>
  <w:num w:numId="14" w16cid:durableId="188640227">
    <w:abstractNumId w:val="15"/>
  </w:num>
  <w:num w:numId="15" w16cid:durableId="1356998103">
    <w:abstractNumId w:val="1"/>
  </w:num>
  <w:num w:numId="16" w16cid:durableId="114178421">
    <w:abstractNumId w:val="18"/>
  </w:num>
  <w:num w:numId="17" w16cid:durableId="780806487">
    <w:abstractNumId w:val="3"/>
  </w:num>
  <w:num w:numId="18" w16cid:durableId="750195554">
    <w:abstractNumId w:val="8"/>
  </w:num>
  <w:num w:numId="19" w16cid:durableId="347220534">
    <w:abstractNumId w:val="14"/>
  </w:num>
  <w:num w:numId="20" w16cid:durableId="1278100456">
    <w:abstractNumId w:val="7"/>
  </w:num>
  <w:num w:numId="21" w16cid:durableId="1649551116">
    <w:abstractNumId w:val="24"/>
  </w:num>
  <w:num w:numId="22" w16cid:durableId="1662077792">
    <w:abstractNumId w:val="28"/>
  </w:num>
  <w:num w:numId="23" w16cid:durableId="1019814960">
    <w:abstractNumId w:val="11"/>
  </w:num>
  <w:num w:numId="24" w16cid:durableId="2026905204">
    <w:abstractNumId w:val="12"/>
  </w:num>
  <w:num w:numId="25" w16cid:durableId="1884948842">
    <w:abstractNumId w:val="27"/>
  </w:num>
  <w:num w:numId="26" w16cid:durableId="338001138">
    <w:abstractNumId w:val="13"/>
  </w:num>
  <w:num w:numId="27" w16cid:durableId="1426460958">
    <w:abstractNumId w:val="22"/>
  </w:num>
  <w:num w:numId="28" w16cid:durableId="829833623">
    <w:abstractNumId w:val="19"/>
  </w:num>
  <w:num w:numId="29" w16cid:durableId="1849365103">
    <w:abstractNumId w:val="23"/>
  </w:num>
  <w:num w:numId="30" w16cid:durableId="608857308">
    <w:abstractNumId w:val="5"/>
  </w:num>
  <w:num w:numId="31" w16cid:durableId="1212495185">
    <w:abstractNumId w:val="10"/>
  </w:num>
  <w:num w:numId="32" w16cid:durableId="1009968">
    <w:abstractNumId w:val="0"/>
  </w:num>
  <w:num w:numId="33" w16cid:durableId="95831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5AD0"/>
    <w:rsid w:val="000121C3"/>
    <w:rsid w:val="00015B90"/>
    <w:rsid w:val="0001607A"/>
    <w:rsid w:val="00061A8D"/>
    <w:rsid w:val="000727CC"/>
    <w:rsid w:val="000754EE"/>
    <w:rsid w:val="00091AC9"/>
    <w:rsid w:val="00095ECD"/>
    <w:rsid w:val="000A0BFC"/>
    <w:rsid w:val="000A7335"/>
    <w:rsid w:val="000B105E"/>
    <w:rsid w:val="000B1620"/>
    <w:rsid w:val="000B5C8C"/>
    <w:rsid w:val="000B71ED"/>
    <w:rsid w:val="000C59E2"/>
    <w:rsid w:val="000C7B2D"/>
    <w:rsid w:val="000D2BE9"/>
    <w:rsid w:val="000D4FBA"/>
    <w:rsid w:val="000D6DBA"/>
    <w:rsid w:val="000E67B9"/>
    <w:rsid w:val="000F275F"/>
    <w:rsid w:val="000F2DBD"/>
    <w:rsid w:val="000F7B7E"/>
    <w:rsid w:val="0010118B"/>
    <w:rsid w:val="00103EEA"/>
    <w:rsid w:val="00104B6A"/>
    <w:rsid w:val="00107EC4"/>
    <w:rsid w:val="001105D7"/>
    <w:rsid w:val="001115D7"/>
    <w:rsid w:val="00125388"/>
    <w:rsid w:val="00133828"/>
    <w:rsid w:val="00143D5E"/>
    <w:rsid w:val="00153A1E"/>
    <w:rsid w:val="00184CD5"/>
    <w:rsid w:val="00191109"/>
    <w:rsid w:val="00191235"/>
    <w:rsid w:val="001926F4"/>
    <w:rsid w:val="00196A30"/>
    <w:rsid w:val="001A0053"/>
    <w:rsid w:val="001B2465"/>
    <w:rsid w:val="001B3435"/>
    <w:rsid w:val="001B739F"/>
    <w:rsid w:val="001C62CA"/>
    <w:rsid w:val="001F2A9B"/>
    <w:rsid w:val="001F4653"/>
    <w:rsid w:val="001F5C97"/>
    <w:rsid w:val="001F6BE8"/>
    <w:rsid w:val="001F6D2D"/>
    <w:rsid w:val="00200D04"/>
    <w:rsid w:val="00201FB6"/>
    <w:rsid w:val="00214DC1"/>
    <w:rsid w:val="00231F81"/>
    <w:rsid w:val="002405CF"/>
    <w:rsid w:val="00240B97"/>
    <w:rsid w:val="00241B1F"/>
    <w:rsid w:val="0025225C"/>
    <w:rsid w:val="0025382D"/>
    <w:rsid w:val="00263BA6"/>
    <w:rsid w:val="0027264D"/>
    <w:rsid w:val="00275B48"/>
    <w:rsid w:val="0028210D"/>
    <w:rsid w:val="00285D38"/>
    <w:rsid w:val="002878F4"/>
    <w:rsid w:val="00293E43"/>
    <w:rsid w:val="002A2E58"/>
    <w:rsid w:val="002A531B"/>
    <w:rsid w:val="002A60FF"/>
    <w:rsid w:val="002B55D3"/>
    <w:rsid w:val="002B5F43"/>
    <w:rsid w:val="002E0CCF"/>
    <w:rsid w:val="002E7942"/>
    <w:rsid w:val="002F2E8F"/>
    <w:rsid w:val="002F7D41"/>
    <w:rsid w:val="00310249"/>
    <w:rsid w:val="003116C8"/>
    <w:rsid w:val="00311B59"/>
    <w:rsid w:val="00313707"/>
    <w:rsid w:val="0032270B"/>
    <w:rsid w:val="00326881"/>
    <w:rsid w:val="00331985"/>
    <w:rsid w:val="00331DF1"/>
    <w:rsid w:val="003353E3"/>
    <w:rsid w:val="00337E7C"/>
    <w:rsid w:val="00351CD9"/>
    <w:rsid w:val="00353966"/>
    <w:rsid w:val="00353CBB"/>
    <w:rsid w:val="003542AE"/>
    <w:rsid w:val="00366924"/>
    <w:rsid w:val="00373142"/>
    <w:rsid w:val="00376A6D"/>
    <w:rsid w:val="00380B98"/>
    <w:rsid w:val="00387032"/>
    <w:rsid w:val="00395E36"/>
    <w:rsid w:val="00396023"/>
    <w:rsid w:val="003B2218"/>
    <w:rsid w:val="003C204E"/>
    <w:rsid w:val="003C4BB5"/>
    <w:rsid w:val="003D746E"/>
    <w:rsid w:val="003E4CC0"/>
    <w:rsid w:val="003F0E49"/>
    <w:rsid w:val="003F212F"/>
    <w:rsid w:val="003F3D8F"/>
    <w:rsid w:val="003F5F25"/>
    <w:rsid w:val="004066A1"/>
    <w:rsid w:val="00410409"/>
    <w:rsid w:val="00411869"/>
    <w:rsid w:val="00412CED"/>
    <w:rsid w:val="00416751"/>
    <w:rsid w:val="0041798E"/>
    <w:rsid w:val="00420F9E"/>
    <w:rsid w:val="004213C3"/>
    <w:rsid w:val="00423FDE"/>
    <w:rsid w:val="0042413C"/>
    <w:rsid w:val="00425495"/>
    <w:rsid w:val="00427139"/>
    <w:rsid w:val="00431A1C"/>
    <w:rsid w:val="004358E9"/>
    <w:rsid w:val="0043635B"/>
    <w:rsid w:val="0044076E"/>
    <w:rsid w:val="00447F1A"/>
    <w:rsid w:val="004500A9"/>
    <w:rsid w:val="00452F44"/>
    <w:rsid w:val="004537B3"/>
    <w:rsid w:val="00454002"/>
    <w:rsid w:val="00470384"/>
    <w:rsid w:val="0048050C"/>
    <w:rsid w:val="00487DD5"/>
    <w:rsid w:val="00490CE9"/>
    <w:rsid w:val="004947A7"/>
    <w:rsid w:val="004A2E02"/>
    <w:rsid w:val="004A61D6"/>
    <w:rsid w:val="004B7C43"/>
    <w:rsid w:val="004C1CDB"/>
    <w:rsid w:val="004C2B20"/>
    <w:rsid w:val="004C5EEC"/>
    <w:rsid w:val="004C7BF2"/>
    <w:rsid w:val="004D6932"/>
    <w:rsid w:val="004E01FD"/>
    <w:rsid w:val="004E28AD"/>
    <w:rsid w:val="004E514B"/>
    <w:rsid w:val="004F0F49"/>
    <w:rsid w:val="004F1934"/>
    <w:rsid w:val="004F1D05"/>
    <w:rsid w:val="004F2008"/>
    <w:rsid w:val="004F6761"/>
    <w:rsid w:val="00505B5D"/>
    <w:rsid w:val="005067CA"/>
    <w:rsid w:val="00510C14"/>
    <w:rsid w:val="00512C8B"/>
    <w:rsid w:val="0052443C"/>
    <w:rsid w:val="0052775E"/>
    <w:rsid w:val="005416F0"/>
    <w:rsid w:val="00542514"/>
    <w:rsid w:val="00546AED"/>
    <w:rsid w:val="00546C4F"/>
    <w:rsid w:val="00546EDE"/>
    <w:rsid w:val="005512EF"/>
    <w:rsid w:val="005621E4"/>
    <w:rsid w:val="0056397F"/>
    <w:rsid w:val="00567B67"/>
    <w:rsid w:val="005723AB"/>
    <w:rsid w:val="005862B0"/>
    <w:rsid w:val="00586A58"/>
    <w:rsid w:val="00590902"/>
    <w:rsid w:val="00592A14"/>
    <w:rsid w:val="00596FD7"/>
    <w:rsid w:val="005A0741"/>
    <w:rsid w:val="005A13C9"/>
    <w:rsid w:val="005A2AAB"/>
    <w:rsid w:val="005A3625"/>
    <w:rsid w:val="005B4738"/>
    <w:rsid w:val="005B59D9"/>
    <w:rsid w:val="005C212D"/>
    <w:rsid w:val="005C3CB0"/>
    <w:rsid w:val="005D595A"/>
    <w:rsid w:val="005E0292"/>
    <w:rsid w:val="005E1140"/>
    <w:rsid w:val="005E571D"/>
    <w:rsid w:val="005F3214"/>
    <w:rsid w:val="005F35FF"/>
    <w:rsid w:val="006062EA"/>
    <w:rsid w:val="00612231"/>
    <w:rsid w:val="00615C17"/>
    <w:rsid w:val="00625489"/>
    <w:rsid w:val="006311B1"/>
    <w:rsid w:val="00631477"/>
    <w:rsid w:val="00635EB1"/>
    <w:rsid w:val="0064252C"/>
    <w:rsid w:val="00643F22"/>
    <w:rsid w:val="00644EAF"/>
    <w:rsid w:val="00646F12"/>
    <w:rsid w:val="006473BB"/>
    <w:rsid w:val="0066495D"/>
    <w:rsid w:val="00695EB6"/>
    <w:rsid w:val="006A3770"/>
    <w:rsid w:val="006A40F0"/>
    <w:rsid w:val="006A4D46"/>
    <w:rsid w:val="006A5CF2"/>
    <w:rsid w:val="006A6024"/>
    <w:rsid w:val="006B4D71"/>
    <w:rsid w:val="006B6A1C"/>
    <w:rsid w:val="006C1EC5"/>
    <w:rsid w:val="006C31FF"/>
    <w:rsid w:val="006C6256"/>
    <w:rsid w:val="006C6B6C"/>
    <w:rsid w:val="006C704D"/>
    <w:rsid w:val="006D31A2"/>
    <w:rsid w:val="006D39F3"/>
    <w:rsid w:val="006D5D9A"/>
    <w:rsid w:val="006F04A8"/>
    <w:rsid w:val="006F1342"/>
    <w:rsid w:val="006F233E"/>
    <w:rsid w:val="006F3E25"/>
    <w:rsid w:val="00701D94"/>
    <w:rsid w:val="00701E5A"/>
    <w:rsid w:val="0070308F"/>
    <w:rsid w:val="0070331D"/>
    <w:rsid w:val="00703A81"/>
    <w:rsid w:val="007052B1"/>
    <w:rsid w:val="00711BF4"/>
    <w:rsid w:val="00724D9D"/>
    <w:rsid w:val="00724F4C"/>
    <w:rsid w:val="00733195"/>
    <w:rsid w:val="00733F7A"/>
    <w:rsid w:val="00741B43"/>
    <w:rsid w:val="0074223E"/>
    <w:rsid w:val="00751A2D"/>
    <w:rsid w:val="007543AC"/>
    <w:rsid w:val="00756537"/>
    <w:rsid w:val="00756A2B"/>
    <w:rsid w:val="00763956"/>
    <w:rsid w:val="007A0EBC"/>
    <w:rsid w:val="007B27F1"/>
    <w:rsid w:val="007B3424"/>
    <w:rsid w:val="007B4ABB"/>
    <w:rsid w:val="007B6904"/>
    <w:rsid w:val="007B6D7C"/>
    <w:rsid w:val="007B7628"/>
    <w:rsid w:val="007C36E4"/>
    <w:rsid w:val="007E1EA0"/>
    <w:rsid w:val="007E2C37"/>
    <w:rsid w:val="007E31E2"/>
    <w:rsid w:val="0080111F"/>
    <w:rsid w:val="008053DF"/>
    <w:rsid w:val="00806FC0"/>
    <w:rsid w:val="008134F2"/>
    <w:rsid w:val="00816782"/>
    <w:rsid w:val="0082141D"/>
    <w:rsid w:val="00827571"/>
    <w:rsid w:val="00827F24"/>
    <w:rsid w:val="00845445"/>
    <w:rsid w:val="00855DA8"/>
    <w:rsid w:val="008606D9"/>
    <w:rsid w:val="00865535"/>
    <w:rsid w:val="00876563"/>
    <w:rsid w:val="008844B5"/>
    <w:rsid w:val="00886399"/>
    <w:rsid w:val="00890A31"/>
    <w:rsid w:val="008974CA"/>
    <w:rsid w:val="008B02B3"/>
    <w:rsid w:val="008B31BD"/>
    <w:rsid w:val="008C2FD7"/>
    <w:rsid w:val="008C45DA"/>
    <w:rsid w:val="008C589A"/>
    <w:rsid w:val="008E1F7F"/>
    <w:rsid w:val="008F00E8"/>
    <w:rsid w:val="008F7E8B"/>
    <w:rsid w:val="00905D2A"/>
    <w:rsid w:val="00906142"/>
    <w:rsid w:val="00926F6B"/>
    <w:rsid w:val="00927716"/>
    <w:rsid w:val="00931B93"/>
    <w:rsid w:val="00932FE4"/>
    <w:rsid w:val="00933EED"/>
    <w:rsid w:val="00934A0C"/>
    <w:rsid w:val="00940337"/>
    <w:rsid w:val="00940CDE"/>
    <w:rsid w:val="0094794F"/>
    <w:rsid w:val="00961D21"/>
    <w:rsid w:val="00961F93"/>
    <w:rsid w:val="00962C46"/>
    <w:rsid w:val="00966151"/>
    <w:rsid w:val="00966EE3"/>
    <w:rsid w:val="00971306"/>
    <w:rsid w:val="00972CC1"/>
    <w:rsid w:val="00974CFF"/>
    <w:rsid w:val="0097722E"/>
    <w:rsid w:val="0097742A"/>
    <w:rsid w:val="0097744F"/>
    <w:rsid w:val="00980EED"/>
    <w:rsid w:val="00991670"/>
    <w:rsid w:val="009A3752"/>
    <w:rsid w:val="009A6908"/>
    <w:rsid w:val="009B2C5A"/>
    <w:rsid w:val="009B6C8C"/>
    <w:rsid w:val="009B7FE2"/>
    <w:rsid w:val="009C0FCA"/>
    <w:rsid w:val="009C3963"/>
    <w:rsid w:val="009D166E"/>
    <w:rsid w:val="009D323C"/>
    <w:rsid w:val="009D3B09"/>
    <w:rsid w:val="009D3DC4"/>
    <w:rsid w:val="009D4939"/>
    <w:rsid w:val="009E27E8"/>
    <w:rsid w:val="009E70F4"/>
    <w:rsid w:val="009F2C5E"/>
    <w:rsid w:val="009F4DEC"/>
    <w:rsid w:val="00A1354F"/>
    <w:rsid w:val="00A153F6"/>
    <w:rsid w:val="00A16E0F"/>
    <w:rsid w:val="00A17694"/>
    <w:rsid w:val="00A279A1"/>
    <w:rsid w:val="00A352BE"/>
    <w:rsid w:val="00A35E2D"/>
    <w:rsid w:val="00A44178"/>
    <w:rsid w:val="00A517D2"/>
    <w:rsid w:val="00A54CB3"/>
    <w:rsid w:val="00A6659D"/>
    <w:rsid w:val="00A72984"/>
    <w:rsid w:val="00A74B8A"/>
    <w:rsid w:val="00A80169"/>
    <w:rsid w:val="00A847A5"/>
    <w:rsid w:val="00A85F61"/>
    <w:rsid w:val="00A86DB3"/>
    <w:rsid w:val="00A92E4F"/>
    <w:rsid w:val="00A93EC5"/>
    <w:rsid w:val="00AA107C"/>
    <w:rsid w:val="00AA25DC"/>
    <w:rsid w:val="00AA34F2"/>
    <w:rsid w:val="00AA495A"/>
    <w:rsid w:val="00AA5C8E"/>
    <w:rsid w:val="00AA61FF"/>
    <w:rsid w:val="00AB50DD"/>
    <w:rsid w:val="00AB662D"/>
    <w:rsid w:val="00AC7025"/>
    <w:rsid w:val="00AD196F"/>
    <w:rsid w:val="00AD3CCE"/>
    <w:rsid w:val="00AE060E"/>
    <w:rsid w:val="00AE3618"/>
    <w:rsid w:val="00AE3C02"/>
    <w:rsid w:val="00AF2546"/>
    <w:rsid w:val="00AF3102"/>
    <w:rsid w:val="00B07A46"/>
    <w:rsid w:val="00B07DCE"/>
    <w:rsid w:val="00B12123"/>
    <w:rsid w:val="00B12624"/>
    <w:rsid w:val="00B21043"/>
    <w:rsid w:val="00B311D2"/>
    <w:rsid w:val="00B41065"/>
    <w:rsid w:val="00B42EA0"/>
    <w:rsid w:val="00B44CAC"/>
    <w:rsid w:val="00B460FB"/>
    <w:rsid w:val="00B5453F"/>
    <w:rsid w:val="00B56D56"/>
    <w:rsid w:val="00B573D6"/>
    <w:rsid w:val="00B6461C"/>
    <w:rsid w:val="00B64E8E"/>
    <w:rsid w:val="00B6628D"/>
    <w:rsid w:val="00B72B73"/>
    <w:rsid w:val="00B73E65"/>
    <w:rsid w:val="00B75583"/>
    <w:rsid w:val="00B81455"/>
    <w:rsid w:val="00B83948"/>
    <w:rsid w:val="00B91790"/>
    <w:rsid w:val="00B9627F"/>
    <w:rsid w:val="00BA2415"/>
    <w:rsid w:val="00BA32C0"/>
    <w:rsid w:val="00BA3DF1"/>
    <w:rsid w:val="00BA4DB2"/>
    <w:rsid w:val="00BA4F95"/>
    <w:rsid w:val="00BA69E2"/>
    <w:rsid w:val="00BB0E84"/>
    <w:rsid w:val="00BB18F7"/>
    <w:rsid w:val="00BB33F9"/>
    <w:rsid w:val="00BC3CE6"/>
    <w:rsid w:val="00BD4124"/>
    <w:rsid w:val="00BE5E41"/>
    <w:rsid w:val="00BF078E"/>
    <w:rsid w:val="00BF47A7"/>
    <w:rsid w:val="00C24EDC"/>
    <w:rsid w:val="00C25A76"/>
    <w:rsid w:val="00C31EB3"/>
    <w:rsid w:val="00C32206"/>
    <w:rsid w:val="00C41DC1"/>
    <w:rsid w:val="00C422C8"/>
    <w:rsid w:val="00C44D65"/>
    <w:rsid w:val="00C45C67"/>
    <w:rsid w:val="00C47091"/>
    <w:rsid w:val="00C523FF"/>
    <w:rsid w:val="00C54DF6"/>
    <w:rsid w:val="00C71C3C"/>
    <w:rsid w:val="00C747DA"/>
    <w:rsid w:val="00C76998"/>
    <w:rsid w:val="00C93E83"/>
    <w:rsid w:val="00C95ED6"/>
    <w:rsid w:val="00C976E3"/>
    <w:rsid w:val="00CA1589"/>
    <w:rsid w:val="00CA593D"/>
    <w:rsid w:val="00CA5DC7"/>
    <w:rsid w:val="00CB5629"/>
    <w:rsid w:val="00CB76DB"/>
    <w:rsid w:val="00CC5D11"/>
    <w:rsid w:val="00CD1505"/>
    <w:rsid w:val="00CE3086"/>
    <w:rsid w:val="00CF097D"/>
    <w:rsid w:val="00CF0FF9"/>
    <w:rsid w:val="00CF2D82"/>
    <w:rsid w:val="00D20C62"/>
    <w:rsid w:val="00D21780"/>
    <w:rsid w:val="00D22244"/>
    <w:rsid w:val="00D23333"/>
    <w:rsid w:val="00D23346"/>
    <w:rsid w:val="00D243B8"/>
    <w:rsid w:val="00D34794"/>
    <w:rsid w:val="00D4502D"/>
    <w:rsid w:val="00D52217"/>
    <w:rsid w:val="00D530CE"/>
    <w:rsid w:val="00D53E3C"/>
    <w:rsid w:val="00D671CB"/>
    <w:rsid w:val="00D762FC"/>
    <w:rsid w:val="00D77950"/>
    <w:rsid w:val="00D870BB"/>
    <w:rsid w:val="00DA404E"/>
    <w:rsid w:val="00DA6DAB"/>
    <w:rsid w:val="00DB20BE"/>
    <w:rsid w:val="00DB22B7"/>
    <w:rsid w:val="00DB2BFC"/>
    <w:rsid w:val="00DC3762"/>
    <w:rsid w:val="00DC3C1F"/>
    <w:rsid w:val="00DC3FB1"/>
    <w:rsid w:val="00DC5C47"/>
    <w:rsid w:val="00DD398E"/>
    <w:rsid w:val="00DD616A"/>
    <w:rsid w:val="00DE0465"/>
    <w:rsid w:val="00DE1E73"/>
    <w:rsid w:val="00DE4E25"/>
    <w:rsid w:val="00E049ED"/>
    <w:rsid w:val="00E11E99"/>
    <w:rsid w:val="00E12C55"/>
    <w:rsid w:val="00E30EAC"/>
    <w:rsid w:val="00E34E6D"/>
    <w:rsid w:val="00E362FD"/>
    <w:rsid w:val="00E37CD4"/>
    <w:rsid w:val="00E51512"/>
    <w:rsid w:val="00E5631E"/>
    <w:rsid w:val="00E57848"/>
    <w:rsid w:val="00E73459"/>
    <w:rsid w:val="00E750BF"/>
    <w:rsid w:val="00E82B09"/>
    <w:rsid w:val="00E90708"/>
    <w:rsid w:val="00E942B6"/>
    <w:rsid w:val="00E95ED2"/>
    <w:rsid w:val="00EA4C7E"/>
    <w:rsid w:val="00EB0B78"/>
    <w:rsid w:val="00ED21C3"/>
    <w:rsid w:val="00ED388C"/>
    <w:rsid w:val="00ED46C3"/>
    <w:rsid w:val="00ED5DC5"/>
    <w:rsid w:val="00ED6FAC"/>
    <w:rsid w:val="00EF02B0"/>
    <w:rsid w:val="00EF13A4"/>
    <w:rsid w:val="00F01B61"/>
    <w:rsid w:val="00F11338"/>
    <w:rsid w:val="00F11962"/>
    <w:rsid w:val="00F13AE5"/>
    <w:rsid w:val="00F1479A"/>
    <w:rsid w:val="00F149FD"/>
    <w:rsid w:val="00F14EC1"/>
    <w:rsid w:val="00F222D3"/>
    <w:rsid w:val="00F249D4"/>
    <w:rsid w:val="00F32C55"/>
    <w:rsid w:val="00F33421"/>
    <w:rsid w:val="00F350EF"/>
    <w:rsid w:val="00F40EB1"/>
    <w:rsid w:val="00F4262F"/>
    <w:rsid w:val="00F47D3D"/>
    <w:rsid w:val="00F53719"/>
    <w:rsid w:val="00F57291"/>
    <w:rsid w:val="00F63C5C"/>
    <w:rsid w:val="00F66CB0"/>
    <w:rsid w:val="00F71766"/>
    <w:rsid w:val="00F76C89"/>
    <w:rsid w:val="00F829C8"/>
    <w:rsid w:val="00F84CCA"/>
    <w:rsid w:val="00F9158A"/>
    <w:rsid w:val="00FA29B8"/>
    <w:rsid w:val="00FA7E95"/>
    <w:rsid w:val="00FB5FEF"/>
    <w:rsid w:val="00FC7CBC"/>
    <w:rsid w:val="00FD0C19"/>
    <w:rsid w:val="00FD37BF"/>
    <w:rsid w:val="00FD3D92"/>
    <w:rsid w:val="00FF56DD"/>
    <w:rsid w:val="00FF57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3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paragraph" w:styleId="BodyText">
    <w:name w:val="Body Text"/>
    <w:basedOn w:val="Normal"/>
    <w:link w:val="BodyTextChar"/>
    <w:uiPriority w:val="99"/>
    <w:unhideWhenUsed/>
    <w:rsid w:val="00275B48"/>
    <w:pPr>
      <w:spacing w:after="120"/>
    </w:pPr>
    <w:rPr>
      <w:rFonts w:ascii="Times New Roman" w:hAnsi="Times New Roman"/>
    </w:rPr>
  </w:style>
  <w:style w:type="character" w:customStyle="1" w:styleId="BodyTextChar">
    <w:name w:val="Body Text Char"/>
    <w:basedOn w:val="DefaultParagraphFont"/>
    <w:link w:val="BodyText"/>
    <w:uiPriority w:val="99"/>
    <w:rsid w:val="00275B48"/>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locked/>
    <w:rsid w:val="00DB20BE"/>
    <w:rPr>
      <w:rFonts w:ascii="Calibri" w:eastAsia="Times New Roman" w:hAnsi="Calibri" w:cs="Times New Roman"/>
      <w:sz w:val="24"/>
      <w:szCs w:val="20"/>
    </w:rPr>
  </w:style>
  <w:style w:type="character" w:customStyle="1" w:styleId="author">
    <w:name w:val="author"/>
    <w:basedOn w:val="DefaultParagraphFont"/>
    <w:rsid w:val="00DB20BE"/>
  </w:style>
  <w:style w:type="character" w:customStyle="1" w:styleId="articletitle">
    <w:name w:val="articletitle"/>
    <w:basedOn w:val="DefaultParagraphFont"/>
    <w:rsid w:val="00DB20BE"/>
  </w:style>
  <w:style w:type="character" w:customStyle="1" w:styleId="pubyear">
    <w:name w:val="pubyear"/>
    <w:basedOn w:val="DefaultParagraphFont"/>
    <w:rsid w:val="00DB20BE"/>
  </w:style>
  <w:style w:type="character" w:customStyle="1" w:styleId="vol3">
    <w:name w:val="vol3"/>
    <w:basedOn w:val="DefaultParagraphFont"/>
    <w:rsid w:val="00DB20BE"/>
  </w:style>
  <w:style w:type="character" w:customStyle="1" w:styleId="pagefirst">
    <w:name w:val="pagefirst"/>
    <w:basedOn w:val="DefaultParagraphFont"/>
    <w:rsid w:val="00DB2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 w:id="20780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regnancy-care-guidelines/part-f-routine-maternal-health-tests/group-b-streptococcus" TargetMode="External"/><Relationship Id="rId18" Type="http://schemas.openxmlformats.org/officeDocument/2006/relationships/hyperlink" Target="https://www.uptodate.com/contents/management-of-neonates-at-risk-for-early-onset-group-b-streptococcal-infection?topicRef=438&amp;source=see_link"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kemh.health.wa.gov.au/~/media/Files/Hospitals/WNHS/For%20health%20professionals/Clinical%20guidelines/OG/WNHS.OG.GroupBStreptococcalDisease.pdf" TargetMode="External"/><Relationship Id="rId7" Type="http://schemas.openxmlformats.org/officeDocument/2006/relationships/settings" Target="settings.xml"/><Relationship Id="rId12" Type="http://schemas.openxmlformats.org/officeDocument/2006/relationships/hyperlink" Target="https://neonatalsepsiscalculator.kaiserpermanente.org" TargetMode="External"/><Relationship Id="rId17" Type="http://schemas.openxmlformats.org/officeDocument/2006/relationships/hyperlink" Target="https://doi.org/10.1542/peds.2019-1881"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asm.org/Guideline/Guidelines-for-the-Detection-and-Identification-of" TargetMode="External"/><Relationship Id="rId20" Type="http://schemas.openxmlformats.org/officeDocument/2006/relationships/hyperlink" Target="https://www.health.qld.gov.au/qcg/publicatio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anzcog.edu.au/womens-health/patient-information-resources/group-b-streptococcus" TargetMode="External"/><Relationship Id="rId24" Type="http://schemas.openxmlformats.org/officeDocument/2006/relationships/hyperlink" Target="https://tgldcdp.tg.org.au/" TargetMode="External"/><Relationship Id="rId5" Type="http://schemas.openxmlformats.org/officeDocument/2006/relationships/numbering" Target="numbering.xml"/><Relationship Id="rId15" Type="http://schemas.openxmlformats.org/officeDocument/2006/relationships/hyperlink" Target="https://www.acog.org/clinical/clinical-guidance/committee-opinion/articles/2020/02/prevention-of-group-b-streptococcal-early-onset-disease-in-newborns?utm_source=vanity&amp;utm_medium=web&amp;utm_campaign=clinical" TargetMode="External"/><Relationship Id="rId23" Type="http://schemas.openxmlformats.org/officeDocument/2006/relationships/hyperlink" Target="http://www.uptodate.com/contents/management-of-premature-rupture-of-the-fetal-membranes-at-term/abstract/1"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bettersafercare.vic.gov.au/clinical-guidance/maternity/group-b-streptococcus-gbs-screening-and-manag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anzcog.edu.au" TargetMode="External"/><Relationship Id="rId22" Type="http://schemas.openxmlformats.org/officeDocument/2006/relationships/hyperlink" Target="https://pubmed.ncbi.nlm.nih.gov/26447057/"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d2e64bdc2bd6377a6833d64f74ebc14f">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91d7cb21ccc58bf03ce266bfff8f634e"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2021-11-29T13:00:00+00:00</Approval_x0020_Date>
    <Review_x0020_Date xmlns="690b2128-8961-48af-a473-22c34a9accba">2025-11-30T13:00:00+00:00</Review_x0020_Date>
    <TaxCatchAll xmlns="c0239a80-7f07-4ed7-82c3-24ad7d76ada5" xsi:nil="true"/>
    <Version_x0020_Number xmlns="690b2128-8961-48af-a473-22c34a9accba">1</Version_x0020_Number>
    <Notes0 xmlns="690b2128-8961-48af-a473-22c34a9accba">07 Dec 2021 - uploaded to the register; author and case manager informed.</Notes0>
    <Key_x0020_Words xmlns="690b2128-8961-48af-a473-22c34a9accba">Group B Streptococcus, Group B Strep, GBS, early onset group B strep disease, EOGBSD</Key_x0020_Words>
    <Type_x0020_of_x0020_Document xmlns="690b2128-8961-48af-a473-22c34a9accba">Procedure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CHHS17/196 Early Onset Group B Streptococcus Disease (EOGBSD)</Replaces_x003a_>
    <Risk_x0020_Rating xmlns="690b2128-8961-48af-a473-22c34a9accba">Medium</Risk_x0020_Rating>
    <Description0 xmlns="690b2128-8961-48af-a473-22c34a9accba">This document pertains to women and babies in the antepartum, intrapartum and postpartum periods who have risk factors for developing EOGBSD or who have been found to be positive for GBS.</Description0>
    <Display_x0020_on_x0020_Internet xmlns="690b2128-8961-48af-a473-22c34a9accba">true</Display_x0020_on_x0020_Internet>
    <Related_x0020_Documents xmlns="690b2128-8961-48af-a473-22c34a9accba" xsi:nil="true"/>
    <Decision_x0020_Number xmlns="690b2128-8961-48af-a473-22c34a9accba">CHS21/677</Decision_x0020_Number>
    <New_x0020_Owner xmlns="690b2128-8961-48af-a473-22c34a9accba">Women, Youth and Children (WY&amp;C)</New_x0020_Owner>
    <ISD_x0020_Submitted xmlns="690b2128-8961-48af-a473-22c34a9accba">Not Required</ISD_x0020_Submitted>
    <RelatedPolicies_x002c_ProceduresGuidelines xmlns="690b2128-8961-48af-a473-22c34a9accba" xsi:nil="true"/>
    <k0794e393e1f41c2810d090eedba34a0 xmlns="690b2128-8961-48af-a473-22c34a9accba">
      <Terms xmlns="http://schemas.microsoft.com/office/infopath/2007/PartnerControls"/>
    </k0794e393e1f41c2810d090eedba34a0>
  </documentManagement>
</p:properties>
</file>

<file path=customXml/itemProps1.xml><?xml version="1.0" encoding="utf-8"?>
<ds:datastoreItem xmlns:ds="http://schemas.openxmlformats.org/officeDocument/2006/customXml" ds:itemID="{FC384310-5165-4CD1-972A-44FACC480274}">
  <ds:schemaRefs>
    <ds:schemaRef ds:uri="http://schemas.openxmlformats.org/officeDocument/2006/bibliography"/>
  </ds:schemaRefs>
</ds:datastoreItem>
</file>

<file path=customXml/itemProps2.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3.xml><?xml version="1.0" encoding="utf-8"?>
<ds:datastoreItem xmlns:ds="http://schemas.openxmlformats.org/officeDocument/2006/customXml" ds:itemID="{C1BE9D6A-2491-4C9A-AB2F-3EE842913A76}"/>
</file>

<file path=customXml/itemProps4.xml><?xml version="1.0" encoding="utf-8"?>
<ds:datastoreItem xmlns:ds="http://schemas.openxmlformats.org/officeDocument/2006/customXml" ds:itemID="{297F58B0-E6BF-4237-9984-6DF2E01C04FA}">
  <ds:schemaRefs>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purl.org/dc/dcmitype/"/>
    <ds:schemaRef ds:uri="c0239a80-7f07-4ed7-82c3-24ad7d76ada5"/>
    <ds:schemaRef ds:uri="http://schemas.openxmlformats.org/package/2006/metadata/core-properties"/>
    <ds:schemaRef ds:uri="690b2128-8961-48af-a473-22c34a9accb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3506</Words>
  <Characters>19989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Onset Group B Streptococcus Disease (EOGBSD) - Maternity</dc:title>
  <dc:subject>23;#Clinical Governance;#24;#Partnering with Consumers;#18;#Patient Care Procedures &amp; Processes</dc:subject>
  <dc:creator>Kerryn Hunter</dc:creator>
  <cp:lastModifiedBy>Hoffmann, Cameron (Health)</cp:lastModifiedBy>
  <cp:revision>13</cp:revision>
  <cp:lastPrinted>2015-01-20T22:40:00Z</cp:lastPrinted>
  <dcterms:created xsi:type="dcterms:W3CDTF">2021-12-03T05:59:00Z</dcterms:created>
  <dcterms:modified xsi:type="dcterms:W3CDTF">2024-04-22T00:23:00Z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4100</vt:r8>
  </property>
  <property fmtid="{D5CDD505-2E9C-101B-9397-08002B2CF9AE}" pid="4" name="_ExtendedDescription">
    <vt:lpwstr/>
  </property>
  <property fmtid="{D5CDD505-2E9C-101B-9397-08002B2CF9AE}" pid="5" name="MSIP_Label_69af8531-eb46-4968-8cb3-105d2f5ea87e_Enabled">
    <vt:lpwstr>true</vt:lpwstr>
  </property>
  <property fmtid="{D5CDD505-2E9C-101B-9397-08002B2CF9AE}" pid="6" name="MSIP_Label_69af8531-eb46-4968-8cb3-105d2f5ea87e_SetDate">
    <vt:lpwstr>2024-04-22T00:23:15Z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ed319735-7c2a-480e-aa88-9e1b33a5cf52</vt:lpwstr>
  </property>
  <property fmtid="{D5CDD505-2E9C-101B-9397-08002B2CF9AE}" pid="11" name="MSIP_Label_69af8531-eb46-4968-8cb3-105d2f5ea87e_ContentBits">
    <vt:lpwstr>0</vt:lpwstr>
  </property>
  <property fmtid="{D5CDD505-2E9C-101B-9397-08002B2CF9AE}" pid="12" name="Related Legislation &amp; Guidelines">
    <vt:lpwstr/>
  </property>
</Properties>
</file>