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68638" w14:textId="77777777" w:rsidR="00481A6C" w:rsidRPr="00481A6C" w:rsidRDefault="008606A0" w:rsidP="00481A6C">
      <w:pPr>
        <w:pStyle w:val="Header"/>
        <w:rPr>
          <w:sz w:val="40"/>
          <w:szCs w:val="40"/>
        </w:rPr>
      </w:pPr>
      <w:bookmarkStart w:id="0" w:name="_top"/>
      <w:bookmarkEnd w:id="0"/>
      <w:r w:rsidRPr="008606A0">
        <w:rPr>
          <w:b/>
          <w:bCs/>
          <w:sz w:val="40"/>
          <w:szCs w:val="40"/>
        </w:rPr>
        <w:t>Guideline</w:t>
      </w:r>
      <w:r w:rsidRPr="008606A0">
        <w:rPr>
          <w:sz w:val="40"/>
          <w:szCs w:val="40"/>
        </w:rPr>
        <w:t xml:space="preserve"> | </w:t>
      </w:r>
      <w:r w:rsidR="00481A6C" w:rsidRPr="008606A0">
        <w:rPr>
          <w:sz w:val="40"/>
          <w:szCs w:val="40"/>
        </w:rPr>
        <w:t>Canberra Health Services</w:t>
      </w:r>
    </w:p>
    <w:p w14:paraId="5A5C14BC" w14:textId="49AEB34E" w:rsidR="005A79CA" w:rsidRPr="007036BD" w:rsidRDefault="005A79CA" w:rsidP="00E15854">
      <w:pPr>
        <w:rPr>
          <w:b/>
          <w:iCs/>
          <w:sz w:val="36"/>
          <w:szCs w:val="36"/>
        </w:rPr>
      </w:pPr>
      <w:r w:rsidRPr="007036BD">
        <w:rPr>
          <w:b/>
          <w:iCs/>
          <w:sz w:val="36"/>
          <w:szCs w:val="36"/>
        </w:rPr>
        <w:t>Care pathway for adults (18 years and over) referred to C</w:t>
      </w:r>
      <w:r w:rsidR="007036BD" w:rsidRPr="007036BD">
        <w:rPr>
          <w:b/>
          <w:iCs/>
          <w:sz w:val="36"/>
          <w:szCs w:val="36"/>
        </w:rPr>
        <w:t>anberra Health Services (C</w:t>
      </w:r>
      <w:r w:rsidRPr="007036BD">
        <w:rPr>
          <w:b/>
          <w:iCs/>
          <w:sz w:val="36"/>
          <w:szCs w:val="36"/>
        </w:rPr>
        <w:t>HS</w:t>
      </w:r>
      <w:r w:rsidR="007036BD" w:rsidRPr="007036BD">
        <w:rPr>
          <w:b/>
          <w:iCs/>
          <w:sz w:val="36"/>
          <w:szCs w:val="36"/>
        </w:rPr>
        <w:t>)</w:t>
      </w:r>
      <w:r w:rsidRPr="007036BD">
        <w:rPr>
          <w:b/>
          <w:iCs/>
          <w:sz w:val="36"/>
          <w:szCs w:val="36"/>
        </w:rPr>
        <w:t xml:space="preserve"> for management of knee osteoarthritis.</w:t>
      </w:r>
    </w:p>
    <w:p w14:paraId="3AC7B3FD" w14:textId="03E1D47F" w:rsidR="00E31596" w:rsidRPr="00E31596" w:rsidRDefault="00E31596" w:rsidP="00E15854">
      <w:pPr>
        <w:rPr>
          <w:color w:val="575757" w:themeColor="text2"/>
          <w:sz w:val="20"/>
          <w:szCs w:val="20"/>
        </w:rPr>
      </w:pPr>
      <w:r w:rsidRPr="00E31596">
        <w:t>CHS</w:t>
      </w:r>
      <w:r w:rsidR="007910F5">
        <w:t>25/203</w:t>
      </w:r>
    </w:p>
    <w:p w14:paraId="1A50B9BE" w14:textId="77777777" w:rsidR="00CA4FDE" w:rsidRDefault="00CA4FDE">
      <w:pPr>
        <w:spacing w:before="0" w:after="0" w:line="240" w:lineRule="auto"/>
      </w:pPr>
      <w:bookmarkStart w:id="1" w:name="_Hlk157074578"/>
    </w:p>
    <w:sdt>
      <w:sdtPr>
        <w:rPr>
          <w:sz w:val="32"/>
          <w:szCs w:val="32"/>
        </w:rPr>
        <w:id w:val="-1206019646"/>
        <w:docPartObj>
          <w:docPartGallery w:val="Table of Contents"/>
          <w:docPartUnique/>
        </w:docPartObj>
      </w:sdtPr>
      <w:sdtEndPr>
        <w:rPr>
          <w:noProof/>
        </w:rPr>
      </w:sdtEndPr>
      <w:sdtContent>
        <w:p w14:paraId="25F276C8" w14:textId="77777777" w:rsidR="00A731B8" w:rsidRPr="000E7683" w:rsidRDefault="00A731B8">
          <w:pPr>
            <w:pStyle w:val="TOCHeading"/>
            <w:rPr>
              <w:rStyle w:val="Heading3Char"/>
              <w:b/>
              <w:bCs w:val="0"/>
            </w:rPr>
          </w:pPr>
          <w:r w:rsidRPr="000E7683">
            <w:rPr>
              <w:rStyle w:val="Heading3Char"/>
              <w:b/>
              <w:bCs w:val="0"/>
            </w:rPr>
            <w:t>Contents</w:t>
          </w:r>
        </w:p>
        <w:p w14:paraId="6DF0B567" w14:textId="2B619095" w:rsidR="00522915" w:rsidRDefault="00A731B8">
          <w:pPr>
            <w:pStyle w:val="TOC1"/>
            <w:rPr>
              <w:rFonts w:asciiTheme="minorHAnsi" w:eastAsiaTheme="minorEastAsia" w:hAnsiTheme="minorHAnsi" w:cstheme="minorBidi"/>
              <w:color w:val="auto"/>
              <w:kern w:val="2"/>
              <w14:ligatures w14:val="standardContextual"/>
            </w:rPr>
          </w:pPr>
          <w:r>
            <w:rPr>
              <w:rFonts w:cs="Times New Roman"/>
              <w:lang w:eastAsia="en-US"/>
            </w:rPr>
            <w:fldChar w:fldCharType="begin"/>
          </w:r>
          <w:r>
            <w:instrText xml:space="preserve"> TOC \h \z \u \t "Heading 2,1,Heading 3,2" </w:instrText>
          </w:r>
          <w:r>
            <w:rPr>
              <w:rFonts w:cs="Times New Roman"/>
              <w:lang w:eastAsia="en-US"/>
            </w:rPr>
            <w:fldChar w:fldCharType="separate"/>
          </w:r>
          <w:hyperlink w:anchor="_Toc192163820" w:history="1">
            <w:r w:rsidR="00522915" w:rsidRPr="008B25A2">
              <w:rPr>
                <w:rStyle w:val="Hyperlink"/>
              </w:rPr>
              <w:t>Guideline statement</w:t>
            </w:r>
            <w:r w:rsidR="00522915">
              <w:rPr>
                <w:webHidden/>
              </w:rPr>
              <w:tab/>
            </w:r>
            <w:r w:rsidR="00522915">
              <w:rPr>
                <w:webHidden/>
              </w:rPr>
              <w:fldChar w:fldCharType="begin"/>
            </w:r>
            <w:r w:rsidR="00522915">
              <w:rPr>
                <w:webHidden/>
              </w:rPr>
              <w:instrText xml:space="preserve"> PAGEREF _Toc192163820 \h </w:instrText>
            </w:r>
            <w:r w:rsidR="00522915">
              <w:rPr>
                <w:webHidden/>
              </w:rPr>
            </w:r>
            <w:r w:rsidR="00522915">
              <w:rPr>
                <w:webHidden/>
              </w:rPr>
              <w:fldChar w:fldCharType="separate"/>
            </w:r>
            <w:r w:rsidR="00522915">
              <w:rPr>
                <w:webHidden/>
              </w:rPr>
              <w:t>2</w:t>
            </w:r>
            <w:r w:rsidR="00522915">
              <w:rPr>
                <w:webHidden/>
              </w:rPr>
              <w:fldChar w:fldCharType="end"/>
            </w:r>
          </w:hyperlink>
        </w:p>
        <w:p w14:paraId="466C24EE" w14:textId="284CB9FC" w:rsidR="00522915" w:rsidRDefault="00522915">
          <w:pPr>
            <w:pStyle w:val="TOC1"/>
            <w:rPr>
              <w:rFonts w:asciiTheme="minorHAnsi" w:eastAsiaTheme="minorEastAsia" w:hAnsiTheme="minorHAnsi" w:cstheme="minorBidi"/>
              <w:color w:val="auto"/>
              <w:kern w:val="2"/>
              <w14:ligatures w14:val="standardContextual"/>
            </w:rPr>
          </w:pPr>
          <w:hyperlink w:anchor="_Toc192163821" w:history="1">
            <w:r w:rsidRPr="008B25A2">
              <w:rPr>
                <w:rStyle w:val="Hyperlink"/>
              </w:rPr>
              <w:t>Scope</w:t>
            </w:r>
            <w:r>
              <w:rPr>
                <w:webHidden/>
              </w:rPr>
              <w:tab/>
            </w:r>
            <w:r>
              <w:rPr>
                <w:webHidden/>
              </w:rPr>
              <w:fldChar w:fldCharType="begin"/>
            </w:r>
            <w:r>
              <w:rPr>
                <w:webHidden/>
              </w:rPr>
              <w:instrText xml:space="preserve"> PAGEREF _Toc192163821 \h </w:instrText>
            </w:r>
            <w:r>
              <w:rPr>
                <w:webHidden/>
              </w:rPr>
            </w:r>
            <w:r>
              <w:rPr>
                <w:webHidden/>
              </w:rPr>
              <w:fldChar w:fldCharType="separate"/>
            </w:r>
            <w:r>
              <w:rPr>
                <w:webHidden/>
              </w:rPr>
              <w:t>3</w:t>
            </w:r>
            <w:r>
              <w:rPr>
                <w:webHidden/>
              </w:rPr>
              <w:fldChar w:fldCharType="end"/>
            </w:r>
          </w:hyperlink>
        </w:p>
        <w:p w14:paraId="3DD1A9AF" w14:textId="16649980" w:rsidR="00522915" w:rsidRDefault="00522915">
          <w:pPr>
            <w:pStyle w:val="TOC1"/>
            <w:rPr>
              <w:rFonts w:asciiTheme="minorHAnsi" w:eastAsiaTheme="minorEastAsia" w:hAnsiTheme="minorHAnsi" w:cstheme="minorBidi"/>
              <w:color w:val="auto"/>
              <w:kern w:val="2"/>
              <w14:ligatures w14:val="standardContextual"/>
            </w:rPr>
          </w:pPr>
          <w:hyperlink w:anchor="_Toc192163822" w:history="1">
            <w:r w:rsidRPr="008B25A2">
              <w:rPr>
                <w:rStyle w:val="Hyperlink"/>
              </w:rPr>
              <w:t>Section 1 – Comprehensive assessment and diagnosis</w:t>
            </w:r>
            <w:r>
              <w:rPr>
                <w:webHidden/>
              </w:rPr>
              <w:tab/>
            </w:r>
            <w:r>
              <w:rPr>
                <w:webHidden/>
              </w:rPr>
              <w:fldChar w:fldCharType="begin"/>
            </w:r>
            <w:r>
              <w:rPr>
                <w:webHidden/>
              </w:rPr>
              <w:instrText xml:space="preserve"> PAGEREF _Toc192163822 \h </w:instrText>
            </w:r>
            <w:r>
              <w:rPr>
                <w:webHidden/>
              </w:rPr>
            </w:r>
            <w:r>
              <w:rPr>
                <w:webHidden/>
              </w:rPr>
              <w:fldChar w:fldCharType="separate"/>
            </w:r>
            <w:r>
              <w:rPr>
                <w:webHidden/>
              </w:rPr>
              <w:t>4</w:t>
            </w:r>
            <w:r>
              <w:rPr>
                <w:webHidden/>
              </w:rPr>
              <w:fldChar w:fldCharType="end"/>
            </w:r>
          </w:hyperlink>
        </w:p>
        <w:p w14:paraId="2F6775A4" w14:textId="0A0F69AA" w:rsidR="00522915" w:rsidRDefault="00522915">
          <w:pPr>
            <w:pStyle w:val="TOC1"/>
            <w:rPr>
              <w:rFonts w:asciiTheme="minorHAnsi" w:eastAsiaTheme="minorEastAsia" w:hAnsiTheme="minorHAnsi" w:cstheme="minorBidi"/>
              <w:color w:val="auto"/>
              <w:kern w:val="2"/>
              <w14:ligatures w14:val="standardContextual"/>
            </w:rPr>
          </w:pPr>
          <w:hyperlink w:anchor="_Toc192163823" w:history="1">
            <w:r w:rsidRPr="008B25A2">
              <w:rPr>
                <w:rStyle w:val="Hyperlink"/>
              </w:rPr>
              <w:t>Section 2 - Appropriate use of imaging</w:t>
            </w:r>
            <w:r>
              <w:rPr>
                <w:webHidden/>
              </w:rPr>
              <w:tab/>
            </w:r>
            <w:r>
              <w:rPr>
                <w:webHidden/>
              </w:rPr>
              <w:fldChar w:fldCharType="begin"/>
            </w:r>
            <w:r>
              <w:rPr>
                <w:webHidden/>
              </w:rPr>
              <w:instrText xml:space="preserve"> PAGEREF _Toc192163823 \h </w:instrText>
            </w:r>
            <w:r>
              <w:rPr>
                <w:webHidden/>
              </w:rPr>
            </w:r>
            <w:r>
              <w:rPr>
                <w:webHidden/>
              </w:rPr>
              <w:fldChar w:fldCharType="separate"/>
            </w:r>
            <w:r>
              <w:rPr>
                <w:webHidden/>
              </w:rPr>
              <w:t>7</w:t>
            </w:r>
            <w:r>
              <w:rPr>
                <w:webHidden/>
              </w:rPr>
              <w:fldChar w:fldCharType="end"/>
            </w:r>
          </w:hyperlink>
        </w:p>
        <w:p w14:paraId="2F18F0F7" w14:textId="5FE6575C" w:rsidR="00522915" w:rsidRDefault="00522915">
          <w:pPr>
            <w:pStyle w:val="TOC1"/>
            <w:rPr>
              <w:rFonts w:asciiTheme="minorHAnsi" w:eastAsiaTheme="minorEastAsia" w:hAnsiTheme="minorHAnsi" w:cstheme="minorBidi"/>
              <w:color w:val="auto"/>
              <w:kern w:val="2"/>
              <w14:ligatures w14:val="standardContextual"/>
            </w:rPr>
          </w:pPr>
          <w:hyperlink w:anchor="_Toc192163824" w:history="1">
            <w:r w:rsidRPr="008B25A2">
              <w:rPr>
                <w:rStyle w:val="Hyperlink"/>
              </w:rPr>
              <w:t>Section 3 - Education and self-management</w:t>
            </w:r>
            <w:r>
              <w:rPr>
                <w:webHidden/>
              </w:rPr>
              <w:tab/>
            </w:r>
            <w:r>
              <w:rPr>
                <w:webHidden/>
              </w:rPr>
              <w:fldChar w:fldCharType="begin"/>
            </w:r>
            <w:r>
              <w:rPr>
                <w:webHidden/>
              </w:rPr>
              <w:instrText xml:space="preserve"> PAGEREF _Toc192163824 \h </w:instrText>
            </w:r>
            <w:r>
              <w:rPr>
                <w:webHidden/>
              </w:rPr>
            </w:r>
            <w:r>
              <w:rPr>
                <w:webHidden/>
              </w:rPr>
              <w:fldChar w:fldCharType="separate"/>
            </w:r>
            <w:r>
              <w:rPr>
                <w:webHidden/>
              </w:rPr>
              <w:t>8</w:t>
            </w:r>
            <w:r>
              <w:rPr>
                <w:webHidden/>
              </w:rPr>
              <w:fldChar w:fldCharType="end"/>
            </w:r>
          </w:hyperlink>
        </w:p>
        <w:p w14:paraId="6AE10C25" w14:textId="5B1B6C4E" w:rsidR="00522915" w:rsidRDefault="00522915">
          <w:pPr>
            <w:pStyle w:val="TOC1"/>
            <w:rPr>
              <w:rFonts w:asciiTheme="minorHAnsi" w:eastAsiaTheme="minorEastAsia" w:hAnsiTheme="minorHAnsi" w:cstheme="minorBidi"/>
              <w:color w:val="auto"/>
              <w:kern w:val="2"/>
              <w14:ligatures w14:val="standardContextual"/>
            </w:rPr>
          </w:pPr>
          <w:hyperlink w:anchor="_Toc192163825" w:history="1">
            <w:r w:rsidRPr="008B25A2">
              <w:rPr>
                <w:rStyle w:val="Hyperlink"/>
              </w:rPr>
              <w:t>Section 4 – Physical activity and exercise</w:t>
            </w:r>
            <w:r>
              <w:rPr>
                <w:webHidden/>
              </w:rPr>
              <w:tab/>
            </w:r>
            <w:r>
              <w:rPr>
                <w:webHidden/>
              </w:rPr>
              <w:fldChar w:fldCharType="begin"/>
            </w:r>
            <w:r>
              <w:rPr>
                <w:webHidden/>
              </w:rPr>
              <w:instrText xml:space="preserve"> PAGEREF _Toc192163825 \h </w:instrText>
            </w:r>
            <w:r>
              <w:rPr>
                <w:webHidden/>
              </w:rPr>
            </w:r>
            <w:r>
              <w:rPr>
                <w:webHidden/>
              </w:rPr>
              <w:fldChar w:fldCharType="separate"/>
            </w:r>
            <w:r>
              <w:rPr>
                <w:webHidden/>
              </w:rPr>
              <w:t>10</w:t>
            </w:r>
            <w:r>
              <w:rPr>
                <w:webHidden/>
              </w:rPr>
              <w:fldChar w:fldCharType="end"/>
            </w:r>
          </w:hyperlink>
        </w:p>
        <w:p w14:paraId="569BCE2B" w14:textId="50A7A74E" w:rsidR="00522915" w:rsidRDefault="00522915">
          <w:pPr>
            <w:pStyle w:val="TOC1"/>
            <w:rPr>
              <w:rFonts w:asciiTheme="minorHAnsi" w:eastAsiaTheme="minorEastAsia" w:hAnsiTheme="minorHAnsi" w:cstheme="minorBidi"/>
              <w:color w:val="auto"/>
              <w:kern w:val="2"/>
              <w14:ligatures w14:val="standardContextual"/>
            </w:rPr>
          </w:pPr>
          <w:hyperlink w:anchor="_Toc192163826" w:history="1">
            <w:r w:rsidRPr="008B25A2">
              <w:rPr>
                <w:rStyle w:val="Hyperlink"/>
              </w:rPr>
              <w:t>Section 5 – Weight management and nutrition</w:t>
            </w:r>
            <w:r>
              <w:rPr>
                <w:webHidden/>
              </w:rPr>
              <w:tab/>
            </w:r>
            <w:r>
              <w:rPr>
                <w:webHidden/>
              </w:rPr>
              <w:fldChar w:fldCharType="begin"/>
            </w:r>
            <w:r>
              <w:rPr>
                <w:webHidden/>
              </w:rPr>
              <w:instrText xml:space="preserve"> PAGEREF _Toc192163826 \h </w:instrText>
            </w:r>
            <w:r>
              <w:rPr>
                <w:webHidden/>
              </w:rPr>
            </w:r>
            <w:r>
              <w:rPr>
                <w:webHidden/>
              </w:rPr>
              <w:fldChar w:fldCharType="separate"/>
            </w:r>
            <w:r>
              <w:rPr>
                <w:webHidden/>
              </w:rPr>
              <w:t>11</w:t>
            </w:r>
            <w:r>
              <w:rPr>
                <w:webHidden/>
              </w:rPr>
              <w:fldChar w:fldCharType="end"/>
            </w:r>
          </w:hyperlink>
        </w:p>
        <w:p w14:paraId="324122A9" w14:textId="008A7388" w:rsidR="00522915" w:rsidRDefault="00522915">
          <w:pPr>
            <w:pStyle w:val="TOC1"/>
            <w:rPr>
              <w:rFonts w:asciiTheme="minorHAnsi" w:eastAsiaTheme="minorEastAsia" w:hAnsiTheme="minorHAnsi" w:cstheme="minorBidi"/>
              <w:color w:val="auto"/>
              <w:kern w:val="2"/>
              <w14:ligatures w14:val="standardContextual"/>
            </w:rPr>
          </w:pPr>
          <w:hyperlink w:anchor="_Toc192163827" w:history="1">
            <w:r w:rsidRPr="008B25A2">
              <w:rPr>
                <w:rStyle w:val="Hyperlink"/>
              </w:rPr>
              <w:t>Section 6 – Medicines used to manage pain and mobility.</w:t>
            </w:r>
            <w:r>
              <w:rPr>
                <w:webHidden/>
              </w:rPr>
              <w:tab/>
            </w:r>
            <w:r>
              <w:rPr>
                <w:webHidden/>
              </w:rPr>
              <w:fldChar w:fldCharType="begin"/>
            </w:r>
            <w:r>
              <w:rPr>
                <w:webHidden/>
              </w:rPr>
              <w:instrText xml:space="preserve"> PAGEREF _Toc192163827 \h </w:instrText>
            </w:r>
            <w:r>
              <w:rPr>
                <w:webHidden/>
              </w:rPr>
            </w:r>
            <w:r>
              <w:rPr>
                <w:webHidden/>
              </w:rPr>
              <w:fldChar w:fldCharType="separate"/>
            </w:r>
            <w:r>
              <w:rPr>
                <w:webHidden/>
              </w:rPr>
              <w:t>12</w:t>
            </w:r>
            <w:r>
              <w:rPr>
                <w:webHidden/>
              </w:rPr>
              <w:fldChar w:fldCharType="end"/>
            </w:r>
          </w:hyperlink>
        </w:p>
        <w:p w14:paraId="07DB7B79" w14:textId="2CAA0C4D" w:rsidR="00522915" w:rsidRDefault="00522915">
          <w:pPr>
            <w:pStyle w:val="TOC1"/>
            <w:rPr>
              <w:rFonts w:asciiTheme="minorHAnsi" w:eastAsiaTheme="minorEastAsia" w:hAnsiTheme="minorHAnsi" w:cstheme="minorBidi"/>
              <w:color w:val="auto"/>
              <w:kern w:val="2"/>
              <w14:ligatures w14:val="standardContextual"/>
            </w:rPr>
          </w:pPr>
          <w:hyperlink w:anchor="_Toc192163828" w:history="1">
            <w:r w:rsidRPr="008B25A2">
              <w:rPr>
                <w:rStyle w:val="Hyperlink"/>
              </w:rPr>
              <w:t>Section 7 – Patient Review</w:t>
            </w:r>
            <w:r>
              <w:rPr>
                <w:webHidden/>
              </w:rPr>
              <w:tab/>
            </w:r>
            <w:r>
              <w:rPr>
                <w:webHidden/>
              </w:rPr>
              <w:fldChar w:fldCharType="begin"/>
            </w:r>
            <w:r>
              <w:rPr>
                <w:webHidden/>
              </w:rPr>
              <w:instrText xml:space="preserve"> PAGEREF _Toc192163828 \h </w:instrText>
            </w:r>
            <w:r>
              <w:rPr>
                <w:webHidden/>
              </w:rPr>
            </w:r>
            <w:r>
              <w:rPr>
                <w:webHidden/>
              </w:rPr>
              <w:fldChar w:fldCharType="separate"/>
            </w:r>
            <w:r>
              <w:rPr>
                <w:webHidden/>
              </w:rPr>
              <w:t>13</w:t>
            </w:r>
            <w:r>
              <w:rPr>
                <w:webHidden/>
              </w:rPr>
              <w:fldChar w:fldCharType="end"/>
            </w:r>
          </w:hyperlink>
        </w:p>
        <w:p w14:paraId="0A1C8EC7" w14:textId="34E0236B" w:rsidR="00522915" w:rsidRDefault="00522915">
          <w:pPr>
            <w:pStyle w:val="TOC1"/>
            <w:rPr>
              <w:rFonts w:asciiTheme="minorHAnsi" w:eastAsiaTheme="minorEastAsia" w:hAnsiTheme="minorHAnsi" w:cstheme="minorBidi"/>
              <w:color w:val="auto"/>
              <w:kern w:val="2"/>
              <w14:ligatures w14:val="standardContextual"/>
            </w:rPr>
          </w:pPr>
          <w:hyperlink w:anchor="_Toc192163829" w:history="1">
            <w:r w:rsidRPr="008B25A2">
              <w:rPr>
                <w:rStyle w:val="Hyperlink"/>
              </w:rPr>
              <w:t>Section 8 – Surgery</w:t>
            </w:r>
            <w:r>
              <w:rPr>
                <w:webHidden/>
              </w:rPr>
              <w:tab/>
            </w:r>
            <w:r>
              <w:rPr>
                <w:webHidden/>
              </w:rPr>
              <w:fldChar w:fldCharType="begin"/>
            </w:r>
            <w:r>
              <w:rPr>
                <w:webHidden/>
              </w:rPr>
              <w:instrText xml:space="preserve"> PAGEREF _Toc192163829 \h </w:instrText>
            </w:r>
            <w:r>
              <w:rPr>
                <w:webHidden/>
              </w:rPr>
            </w:r>
            <w:r>
              <w:rPr>
                <w:webHidden/>
              </w:rPr>
              <w:fldChar w:fldCharType="separate"/>
            </w:r>
            <w:r>
              <w:rPr>
                <w:webHidden/>
              </w:rPr>
              <w:t>14</w:t>
            </w:r>
            <w:r>
              <w:rPr>
                <w:webHidden/>
              </w:rPr>
              <w:fldChar w:fldCharType="end"/>
            </w:r>
          </w:hyperlink>
        </w:p>
        <w:p w14:paraId="049E1627" w14:textId="273362E7" w:rsidR="00522915" w:rsidRDefault="00522915">
          <w:pPr>
            <w:pStyle w:val="TOC1"/>
            <w:rPr>
              <w:rFonts w:asciiTheme="minorHAnsi" w:eastAsiaTheme="minorEastAsia" w:hAnsiTheme="minorHAnsi" w:cstheme="minorBidi"/>
              <w:color w:val="auto"/>
              <w:kern w:val="2"/>
              <w14:ligatures w14:val="standardContextual"/>
            </w:rPr>
          </w:pPr>
          <w:hyperlink w:anchor="_Toc192163830" w:history="1">
            <w:r w:rsidRPr="008B25A2">
              <w:rPr>
                <w:rStyle w:val="Hyperlink"/>
              </w:rPr>
              <w:t>Evaluation</w:t>
            </w:r>
            <w:r>
              <w:rPr>
                <w:webHidden/>
              </w:rPr>
              <w:tab/>
            </w:r>
            <w:r>
              <w:rPr>
                <w:webHidden/>
              </w:rPr>
              <w:fldChar w:fldCharType="begin"/>
            </w:r>
            <w:r>
              <w:rPr>
                <w:webHidden/>
              </w:rPr>
              <w:instrText xml:space="preserve"> PAGEREF _Toc192163830 \h </w:instrText>
            </w:r>
            <w:r>
              <w:rPr>
                <w:webHidden/>
              </w:rPr>
            </w:r>
            <w:r>
              <w:rPr>
                <w:webHidden/>
              </w:rPr>
              <w:fldChar w:fldCharType="separate"/>
            </w:r>
            <w:r>
              <w:rPr>
                <w:webHidden/>
              </w:rPr>
              <w:t>15</w:t>
            </w:r>
            <w:r>
              <w:rPr>
                <w:webHidden/>
              </w:rPr>
              <w:fldChar w:fldCharType="end"/>
            </w:r>
          </w:hyperlink>
        </w:p>
        <w:p w14:paraId="3FC48FF0" w14:textId="4D61BBD6" w:rsidR="00522915" w:rsidRDefault="00522915">
          <w:pPr>
            <w:pStyle w:val="TOC1"/>
            <w:rPr>
              <w:rFonts w:asciiTheme="minorHAnsi" w:eastAsiaTheme="minorEastAsia" w:hAnsiTheme="minorHAnsi" w:cstheme="minorBidi"/>
              <w:color w:val="auto"/>
              <w:kern w:val="2"/>
              <w14:ligatures w14:val="standardContextual"/>
            </w:rPr>
          </w:pPr>
          <w:hyperlink w:anchor="_Toc192163831" w:history="1">
            <w:r w:rsidRPr="008B25A2">
              <w:rPr>
                <w:rStyle w:val="Hyperlink"/>
              </w:rPr>
              <w:t>Related policies, procedures, guidelines and legislation</w:t>
            </w:r>
            <w:r>
              <w:rPr>
                <w:webHidden/>
              </w:rPr>
              <w:tab/>
            </w:r>
            <w:r>
              <w:rPr>
                <w:webHidden/>
              </w:rPr>
              <w:fldChar w:fldCharType="begin"/>
            </w:r>
            <w:r>
              <w:rPr>
                <w:webHidden/>
              </w:rPr>
              <w:instrText xml:space="preserve"> PAGEREF _Toc192163831 \h </w:instrText>
            </w:r>
            <w:r>
              <w:rPr>
                <w:webHidden/>
              </w:rPr>
            </w:r>
            <w:r>
              <w:rPr>
                <w:webHidden/>
              </w:rPr>
              <w:fldChar w:fldCharType="separate"/>
            </w:r>
            <w:r>
              <w:rPr>
                <w:webHidden/>
              </w:rPr>
              <w:t>16</w:t>
            </w:r>
            <w:r>
              <w:rPr>
                <w:webHidden/>
              </w:rPr>
              <w:fldChar w:fldCharType="end"/>
            </w:r>
          </w:hyperlink>
        </w:p>
        <w:p w14:paraId="72D2C5BF" w14:textId="3A6AF188" w:rsidR="00522915" w:rsidRDefault="00522915">
          <w:pPr>
            <w:pStyle w:val="TOC1"/>
            <w:rPr>
              <w:rFonts w:asciiTheme="minorHAnsi" w:eastAsiaTheme="minorEastAsia" w:hAnsiTheme="minorHAnsi" w:cstheme="minorBidi"/>
              <w:color w:val="auto"/>
              <w:kern w:val="2"/>
              <w14:ligatures w14:val="standardContextual"/>
            </w:rPr>
          </w:pPr>
          <w:hyperlink w:anchor="_Toc192163832" w:history="1">
            <w:r w:rsidRPr="008B25A2">
              <w:rPr>
                <w:rStyle w:val="Hyperlink"/>
              </w:rPr>
              <w:t>References</w:t>
            </w:r>
            <w:r>
              <w:rPr>
                <w:webHidden/>
              </w:rPr>
              <w:tab/>
            </w:r>
            <w:r>
              <w:rPr>
                <w:webHidden/>
              </w:rPr>
              <w:fldChar w:fldCharType="begin"/>
            </w:r>
            <w:r>
              <w:rPr>
                <w:webHidden/>
              </w:rPr>
              <w:instrText xml:space="preserve"> PAGEREF _Toc192163832 \h </w:instrText>
            </w:r>
            <w:r>
              <w:rPr>
                <w:webHidden/>
              </w:rPr>
            </w:r>
            <w:r>
              <w:rPr>
                <w:webHidden/>
              </w:rPr>
              <w:fldChar w:fldCharType="separate"/>
            </w:r>
            <w:r>
              <w:rPr>
                <w:webHidden/>
              </w:rPr>
              <w:t>17</w:t>
            </w:r>
            <w:r>
              <w:rPr>
                <w:webHidden/>
              </w:rPr>
              <w:fldChar w:fldCharType="end"/>
            </w:r>
          </w:hyperlink>
        </w:p>
        <w:p w14:paraId="1AF92F3E" w14:textId="5456CBA7" w:rsidR="00522915" w:rsidRDefault="00522915">
          <w:pPr>
            <w:pStyle w:val="TOC1"/>
            <w:rPr>
              <w:rFonts w:asciiTheme="minorHAnsi" w:eastAsiaTheme="minorEastAsia" w:hAnsiTheme="minorHAnsi" w:cstheme="minorBidi"/>
              <w:color w:val="auto"/>
              <w:kern w:val="2"/>
              <w14:ligatures w14:val="standardContextual"/>
            </w:rPr>
          </w:pPr>
          <w:hyperlink w:anchor="_Toc192163833" w:history="1">
            <w:r w:rsidRPr="008B25A2">
              <w:rPr>
                <w:rStyle w:val="Hyperlink"/>
              </w:rPr>
              <w:t>Definition of terms</w:t>
            </w:r>
            <w:r>
              <w:rPr>
                <w:webHidden/>
              </w:rPr>
              <w:tab/>
            </w:r>
            <w:r>
              <w:rPr>
                <w:webHidden/>
              </w:rPr>
              <w:fldChar w:fldCharType="begin"/>
            </w:r>
            <w:r>
              <w:rPr>
                <w:webHidden/>
              </w:rPr>
              <w:instrText xml:space="preserve"> PAGEREF _Toc192163833 \h </w:instrText>
            </w:r>
            <w:r>
              <w:rPr>
                <w:webHidden/>
              </w:rPr>
            </w:r>
            <w:r>
              <w:rPr>
                <w:webHidden/>
              </w:rPr>
              <w:fldChar w:fldCharType="separate"/>
            </w:r>
            <w:r>
              <w:rPr>
                <w:webHidden/>
              </w:rPr>
              <w:t>18</w:t>
            </w:r>
            <w:r>
              <w:rPr>
                <w:webHidden/>
              </w:rPr>
              <w:fldChar w:fldCharType="end"/>
            </w:r>
          </w:hyperlink>
        </w:p>
        <w:p w14:paraId="649624EE" w14:textId="287B3277" w:rsidR="00522915" w:rsidRDefault="00522915">
          <w:pPr>
            <w:pStyle w:val="TOC1"/>
            <w:rPr>
              <w:rFonts w:asciiTheme="minorHAnsi" w:eastAsiaTheme="minorEastAsia" w:hAnsiTheme="minorHAnsi" w:cstheme="minorBidi"/>
              <w:color w:val="auto"/>
              <w:kern w:val="2"/>
              <w14:ligatures w14:val="standardContextual"/>
            </w:rPr>
          </w:pPr>
          <w:hyperlink w:anchor="_Toc192163834" w:history="1">
            <w:r w:rsidRPr="008B25A2">
              <w:rPr>
                <w:rStyle w:val="Hyperlink"/>
              </w:rPr>
              <w:t>Search terms</w:t>
            </w:r>
            <w:r>
              <w:rPr>
                <w:webHidden/>
              </w:rPr>
              <w:tab/>
            </w:r>
            <w:r>
              <w:rPr>
                <w:webHidden/>
              </w:rPr>
              <w:fldChar w:fldCharType="begin"/>
            </w:r>
            <w:r>
              <w:rPr>
                <w:webHidden/>
              </w:rPr>
              <w:instrText xml:space="preserve"> PAGEREF _Toc192163834 \h </w:instrText>
            </w:r>
            <w:r>
              <w:rPr>
                <w:webHidden/>
              </w:rPr>
            </w:r>
            <w:r>
              <w:rPr>
                <w:webHidden/>
              </w:rPr>
              <w:fldChar w:fldCharType="separate"/>
            </w:r>
            <w:r>
              <w:rPr>
                <w:webHidden/>
              </w:rPr>
              <w:t>19</w:t>
            </w:r>
            <w:r>
              <w:rPr>
                <w:webHidden/>
              </w:rPr>
              <w:fldChar w:fldCharType="end"/>
            </w:r>
          </w:hyperlink>
        </w:p>
        <w:p w14:paraId="6F139C45" w14:textId="55038988" w:rsidR="00522915" w:rsidRDefault="00522915">
          <w:pPr>
            <w:pStyle w:val="TOC1"/>
            <w:rPr>
              <w:rFonts w:asciiTheme="minorHAnsi" w:eastAsiaTheme="minorEastAsia" w:hAnsiTheme="minorHAnsi" w:cstheme="minorBidi"/>
              <w:color w:val="auto"/>
              <w:kern w:val="2"/>
              <w14:ligatures w14:val="standardContextual"/>
            </w:rPr>
          </w:pPr>
          <w:hyperlink w:anchor="_Toc192163835" w:history="1">
            <w:r w:rsidRPr="008B25A2">
              <w:rPr>
                <w:rStyle w:val="Hyperlink"/>
              </w:rPr>
              <w:t>Attachments</w:t>
            </w:r>
            <w:r>
              <w:rPr>
                <w:webHidden/>
              </w:rPr>
              <w:tab/>
            </w:r>
            <w:r>
              <w:rPr>
                <w:webHidden/>
              </w:rPr>
              <w:fldChar w:fldCharType="begin"/>
            </w:r>
            <w:r>
              <w:rPr>
                <w:webHidden/>
              </w:rPr>
              <w:instrText xml:space="preserve"> PAGEREF _Toc192163835 \h </w:instrText>
            </w:r>
            <w:r>
              <w:rPr>
                <w:webHidden/>
              </w:rPr>
            </w:r>
            <w:r>
              <w:rPr>
                <w:webHidden/>
              </w:rPr>
              <w:fldChar w:fldCharType="separate"/>
            </w:r>
            <w:r>
              <w:rPr>
                <w:webHidden/>
              </w:rPr>
              <w:t>19</w:t>
            </w:r>
            <w:r>
              <w:rPr>
                <w:webHidden/>
              </w:rPr>
              <w:fldChar w:fldCharType="end"/>
            </w:r>
          </w:hyperlink>
        </w:p>
        <w:p w14:paraId="5E5EECCA" w14:textId="6F8005F4" w:rsidR="00522915" w:rsidRDefault="00522915">
          <w:pPr>
            <w:pStyle w:val="TOC1"/>
            <w:rPr>
              <w:rFonts w:asciiTheme="minorHAnsi" w:eastAsiaTheme="minorEastAsia" w:hAnsiTheme="minorHAnsi" w:cstheme="minorBidi"/>
              <w:color w:val="auto"/>
              <w:kern w:val="2"/>
              <w14:ligatures w14:val="standardContextual"/>
            </w:rPr>
          </w:pPr>
          <w:hyperlink w:anchor="_Toc192163836" w:history="1">
            <w:r w:rsidRPr="008B25A2">
              <w:rPr>
                <w:rStyle w:val="Hyperlink"/>
              </w:rPr>
              <w:t>Attachments 1 – Oxford Knee Score (Harris et al 2016)</w:t>
            </w:r>
            <w:r>
              <w:rPr>
                <w:webHidden/>
              </w:rPr>
              <w:tab/>
            </w:r>
            <w:r>
              <w:rPr>
                <w:webHidden/>
              </w:rPr>
              <w:fldChar w:fldCharType="begin"/>
            </w:r>
            <w:r>
              <w:rPr>
                <w:webHidden/>
              </w:rPr>
              <w:instrText xml:space="preserve"> PAGEREF _Toc192163836 \h </w:instrText>
            </w:r>
            <w:r>
              <w:rPr>
                <w:webHidden/>
              </w:rPr>
            </w:r>
            <w:r>
              <w:rPr>
                <w:webHidden/>
              </w:rPr>
              <w:fldChar w:fldCharType="separate"/>
            </w:r>
            <w:r>
              <w:rPr>
                <w:webHidden/>
              </w:rPr>
              <w:t>21</w:t>
            </w:r>
            <w:r>
              <w:rPr>
                <w:webHidden/>
              </w:rPr>
              <w:fldChar w:fldCharType="end"/>
            </w:r>
          </w:hyperlink>
        </w:p>
        <w:p w14:paraId="74D9F117" w14:textId="7AAEE69C" w:rsidR="00481A6C" w:rsidRDefault="00A731B8" w:rsidP="00481A6C">
          <w:pPr>
            <w:pStyle w:val="TOCHeading2"/>
          </w:pPr>
          <w:r>
            <w:rPr>
              <w:noProof/>
            </w:rPr>
            <w:fldChar w:fldCharType="end"/>
          </w:r>
        </w:p>
      </w:sdtContent>
    </w:sdt>
    <w:p w14:paraId="7E53088A" w14:textId="77777777" w:rsidR="006F2E60" w:rsidRDefault="006F2E60">
      <w:pPr>
        <w:spacing w:before="0" w:after="0" w:line="240" w:lineRule="auto"/>
        <w:rPr>
          <w:rFonts w:eastAsia="Times New Roman"/>
          <w:b/>
          <w:color w:val="FFFFFF" w:themeColor="background1"/>
          <w:szCs w:val="80"/>
          <w:lang w:eastAsia="en-US"/>
        </w:rPr>
      </w:pPr>
      <w:r>
        <w:br w:type="page"/>
      </w:r>
    </w:p>
    <w:p w14:paraId="68030852" w14:textId="53ABBBDE" w:rsidR="0078367D" w:rsidRDefault="0078367D" w:rsidP="0078367D">
      <w:pPr>
        <w:pStyle w:val="Heading2"/>
      </w:pPr>
      <w:bookmarkStart w:id="2" w:name="_Toc192163820"/>
      <w:r>
        <w:lastRenderedPageBreak/>
        <w:t>Guideline statement</w:t>
      </w:r>
      <w:bookmarkEnd w:id="2"/>
    </w:p>
    <w:p w14:paraId="24427DE7" w14:textId="09F0DE1E" w:rsidR="00DA579D" w:rsidRPr="00DA579D" w:rsidRDefault="00C03265" w:rsidP="00DA579D">
      <w:pPr>
        <w:rPr>
          <w:rFonts w:asciiTheme="minorHAnsi" w:hAnsiTheme="minorHAnsi"/>
          <w:bCs/>
          <w:szCs w:val="32"/>
        </w:rPr>
      </w:pPr>
      <w:bookmarkStart w:id="3" w:name="_Hlk182381045"/>
      <w:r w:rsidRPr="007627EA">
        <w:rPr>
          <w:rFonts w:asciiTheme="minorHAnsi" w:hAnsiTheme="minorHAnsi"/>
          <w:bCs/>
          <w:szCs w:val="32"/>
        </w:rPr>
        <w:t xml:space="preserve">This guideline is designed to provide current evidence-based </w:t>
      </w:r>
      <w:r>
        <w:rPr>
          <w:rFonts w:asciiTheme="minorHAnsi" w:hAnsiTheme="minorHAnsi"/>
          <w:bCs/>
          <w:szCs w:val="32"/>
        </w:rPr>
        <w:t>direction</w:t>
      </w:r>
      <w:r w:rsidRPr="007627EA">
        <w:rPr>
          <w:rFonts w:asciiTheme="minorHAnsi" w:hAnsiTheme="minorHAnsi"/>
          <w:bCs/>
          <w:szCs w:val="32"/>
        </w:rPr>
        <w:t xml:space="preserve"> </w:t>
      </w:r>
      <w:r w:rsidR="007D02EF">
        <w:rPr>
          <w:rFonts w:asciiTheme="minorHAnsi" w:hAnsiTheme="minorHAnsi"/>
          <w:bCs/>
          <w:szCs w:val="32"/>
        </w:rPr>
        <w:t>for</w:t>
      </w:r>
      <w:r w:rsidRPr="007627EA">
        <w:rPr>
          <w:rFonts w:asciiTheme="minorHAnsi" w:hAnsiTheme="minorHAnsi"/>
          <w:bCs/>
          <w:szCs w:val="32"/>
        </w:rPr>
        <w:t xml:space="preserve"> the</w:t>
      </w:r>
      <w:r>
        <w:rPr>
          <w:rFonts w:asciiTheme="minorHAnsi" w:hAnsiTheme="minorHAnsi"/>
          <w:bCs/>
          <w:szCs w:val="32"/>
        </w:rPr>
        <w:t xml:space="preserve"> management of </w:t>
      </w:r>
      <w:r w:rsidR="007D02EF">
        <w:rPr>
          <w:rFonts w:asciiTheme="minorHAnsi" w:hAnsiTheme="minorHAnsi"/>
          <w:bCs/>
          <w:szCs w:val="32"/>
        </w:rPr>
        <w:t xml:space="preserve">knee osteoarthritis (OA) in </w:t>
      </w:r>
      <w:r>
        <w:rPr>
          <w:rFonts w:asciiTheme="minorHAnsi" w:hAnsiTheme="minorHAnsi"/>
          <w:bCs/>
          <w:szCs w:val="32"/>
        </w:rPr>
        <w:t>adults referred to Canberra Health Services (CHS)</w:t>
      </w:r>
      <w:r w:rsidR="006F2E60">
        <w:rPr>
          <w:rFonts w:asciiTheme="minorHAnsi" w:hAnsiTheme="minorHAnsi"/>
          <w:bCs/>
          <w:szCs w:val="32"/>
        </w:rPr>
        <w:t xml:space="preserve"> Network</w:t>
      </w:r>
      <w:r w:rsidR="007D02EF">
        <w:rPr>
          <w:rFonts w:asciiTheme="minorHAnsi" w:hAnsiTheme="minorHAnsi"/>
          <w:bCs/>
          <w:szCs w:val="32"/>
        </w:rPr>
        <w:t>. It also</w:t>
      </w:r>
      <w:r>
        <w:rPr>
          <w:rFonts w:asciiTheme="minorHAnsi" w:hAnsiTheme="minorHAnsi"/>
          <w:bCs/>
          <w:szCs w:val="32"/>
        </w:rPr>
        <w:t xml:space="preserve"> incorporates the </w:t>
      </w:r>
      <w:r w:rsidR="00092EC2">
        <w:rPr>
          <w:rFonts w:asciiTheme="minorHAnsi" w:hAnsiTheme="minorHAnsi"/>
          <w:bCs/>
          <w:szCs w:val="32"/>
        </w:rPr>
        <w:t>Australian Commission on Safety and Quality in Health Care (ACSQHC)</w:t>
      </w:r>
      <w:r>
        <w:rPr>
          <w:rFonts w:asciiTheme="minorHAnsi" w:hAnsiTheme="minorHAnsi"/>
          <w:bCs/>
          <w:szCs w:val="32"/>
        </w:rPr>
        <w:t xml:space="preserve"> </w:t>
      </w:r>
      <w:r w:rsidR="00092EC2">
        <w:rPr>
          <w:rFonts w:asciiTheme="minorHAnsi" w:hAnsiTheme="minorHAnsi"/>
          <w:bCs/>
          <w:szCs w:val="32"/>
        </w:rPr>
        <w:t xml:space="preserve">Osteoarthritis of the Knee, </w:t>
      </w:r>
      <w:r>
        <w:rPr>
          <w:rFonts w:asciiTheme="minorHAnsi" w:hAnsiTheme="minorHAnsi"/>
          <w:bCs/>
          <w:szCs w:val="32"/>
        </w:rPr>
        <w:t xml:space="preserve">Clinical </w:t>
      </w:r>
      <w:r w:rsidR="00092EC2">
        <w:rPr>
          <w:rFonts w:asciiTheme="minorHAnsi" w:hAnsiTheme="minorHAnsi"/>
          <w:bCs/>
          <w:szCs w:val="32"/>
        </w:rPr>
        <w:t xml:space="preserve">Care </w:t>
      </w:r>
      <w:r>
        <w:rPr>
          <w:rFonts w:asciiTheme="minorHAnsi" w:hAnsiTheme="minorHAnsi"/>
          <w:bCs/>
          <w:szCs w:val="32"/>
        </w:rPr>
        <w:t>Standard 2024.</w:t>
      </w:r>
      <w:r w:rsidR="00DA579D" w:rsidRPr="00DA579D">
        <w:rPr>
          <w:rFonts w:asciiTheme="minorHAnsi" w:hAnsiTheme="minorHAnsi" w:cstheme="minorHAnsi"/>
        </w:rPr>
        <w:t xml:space="preserve"> </w:t>
      </w:r>
    </w:p>
    <w:bookmarkEnd w:id="3"/>
    <w:p w14:paraId="38843A0B" w14:textId="333DD05F" w:rsidR="0026498E" w:rsidRPr="0026498E" w:rsidRDefault="0026498E" w:rsidP="006F2E60">
      <w:pPr>
        <w:pStyle w:val="Heading4"/>
      </w:pPr>
      <w:r w:rsidRPr="0026498E">
        <w:t>Background</w:t>
      </w:r>
    </w:p>
    <w:p w14:paraId="0EA1991F" w14:textId="55C3C9A8" w:rsidR="00C03265" w:rsidRDefault="00C03265" w:rsidP="00C03265">
      <w:pPr>
        <w:rPr>
          <w:bCs/>
        </w:rPr>
      </w:pPr>
      <w:r w:rsidRPr="00F04E13">
        <w:rPr>
          <w:bCs/>
        </w:rPr>
        <w:t xml:space="preserve">Best practice </w:t>
      </w:r>
      <w:r>
        <w:rPr>
          <w:bCs/>
        </w:rPr>
        <w:t>recommends</w:t>
      </w:r>
      <w:r w:rsidRPr="00F04E13">
        <w:rPr>
          <w:bCs/>
        </w:rPr>
        <w:t xml:space="preserve"> manag</w:t>
      </w:r>
      <w:r>
        <w:rPr>
          <w:bCs/>
        </w:rPr>
        <w:t>ing</w:t>
      </w:r>
      <w:r w:rsidRPr="00F04E13">
        <w:rPr>
          <w:bCs/>
        </w:rPr>
        <w:t xml:space="preserve"> knee </w:t>
      </w:r>
      <w:r w:rsidR="00493546">
        <w:rPr>
          <w:bCs/>
        </w:rPr>
        <w:t>OA</w:t>
      </w:r>
      <w:r w:rsidRPr="00F04E13">
        <w:rPr>
          <w:bCs/>
        </w:rPr>
        <w:t xml:space="preserve"> as a chronic condition, using surgery as a last resort. </w:t>
      </w:r>
      <w:r w:rsidR="006F2E60">
        <w:rPr>
          <w:bCs/>
        </w:rPr>
        <w:t xml:space="preserve">Figure 1 </w:t>
      </w:r>
      <w:r>
        <w:rPr>
          <w:bCs/>
        </w:rPr>
        <w:t>outlines the main principles used in this guideline.</w:t>
      </w:r>
    </w:p>
    <w:p w14:paraId="3D88FF48" w14:textId="67590547" w:rsidR="00C03265" w:rsidRDefault="00D70FFA" w:rsidP="00507095">
      <w:pPr>
        <w:jc w:val="center"/>
        <w:rPr>
          <w:bCs/>
        </w:rPr>
      </w:pPr>
      <w:r w:rsidRPr="00D70FFA">
        <w:rPr>
          <w:noProof/>
        </w:rPr>
        <w:t xml:space="preserve"> </w:t>
      </w:r>
      <w:r w:rsidRPr="00D70FFA">
        <w:rPr>
          <w:bCs/>
          <w:noProof/>
        </w:rPr>
        <w:drawing>
          <wp:inline distT="0" distB="0" distL="0" distR="0" wp14:anchorId="521D0AD3" wp14:editId="2CC20338">
            <wp:extent cx="4995333" cy="5298916"/>
            <wp:effectExtent l="0" t="0" r="0" b="0"/>
            <wp:docPr id="2056676790" name="Picture 1" descr="This figure shows the 3 lines of treatment which should be followed for OA knee: first line is education, exercise and weight control, second line is pharmacological pain control, aids and other passive treatment, the third and final is joint replacement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76790" name="Picture 1" descr="This figure shows the 3 lines of treatment which should be followed for OA knee: first line is education, exercise and weight control, second line is pharmacological pain control, aids and other passive treatment, the third and final is joint replacement surgery."/>
                    <pic:cNvPicPr/>
                  </pic:nvPicPr>
                  <pic:blipFill>
                    <a:blip r:embed="rId10"/>
                    <a:stretch>
                      <a:fillRect/>
                    </a:stretch>
                  </pic:blipFill>
                  <pic:spPr>
                    <a:xfrm>
                      <a:off x="0" y="0"/>
                      <a:ext cx="5000601" cy="5304505"/>
                    </a:xfrm>
                    <a:prstGeom prst="rect">
                      <a:avLst/>
                    </a:prstGeom>
                  </pic:spPr>
                </pic:pic>
              </a:graphicData>
            </a:graphic>
          </wp:inline>
        </w:drawing>
      </w:r>
      <w:r w:rsidR="00507095">
        <w:rPr>
          <w:bCs/>
        </w:rPr>
        <w:t xml:space="preserve"> </w:t>
      </w:r>
    </w:p>
    <w:p w14:paraId="4BB64D4A" w14:textId="7BFC1DA6" w:rsidR="00C03265" w:rsidRDefault="00C03265" w:rsidP="00C03265">
      <w:r>
        <w:t>Figure 1</w:t>
      </w:r>
      <w:r w:rsidR="00507095">
        <w:t>: 3 lines of treatment for OA knee with surgery as the last resort if both first and second lines fail.</w:t>
      </w:r>
    </w:p>
    <w:p w14:paraId="349B8970" w14:textId="6C0AA3C9" w:rsidR="003071E4" w:rsidRPr="003071E4" w:rsidRDefault="00C03265" w:rsidP="003071E4">
      <w:r>
        <w:t xml:space="preserve">Increasing numbers of referrals for joint replacement overload the capacity for the public </w:t>
      </w:r>
      <w:r w:rsidR="00F44B4E">
        <w:t xml:space="preserve">health </w:t>
      </w:r>
      <w:r>
        <w:t xml:space="preserve">system, particularly if joint replacements and imaging are viewed as initial solutions for </w:t>
      </w:r>
      <w:r>
        <w:lastRenderedPageBreak/>
        <w:t>hip and knee osteoarthritis</w:t>
      </w:r>
      <w:r w:rsidR="003071E4">
        <w:t xml:space="preserve">. Joint replacement surgery should </w:t>
      </w:r>
      <w:r w:rsidR="003071E4" w:rsidRPr="003071E4">
        <w:t xml:space="preserve">only </w:t>
      </w:r>
      <w:r w:rsidR="003071E4">
        <w:t xml:space="preserve">be </w:t>
      </w:r>
      <w:r w:rsidR="003071E4" w:rsidRPr="003071E4">
        <w:t>undertaken when clinically indicated and in an informed</w:t>
      </w:r>
      <w:r w:rsidR="003071E4">
        <w:t>,</w:t>
      </w:r>
      <w:r w:rsidR="003071E4" w:rsidRPr="003071E4">
        <w:t xml:space="preserve"> shared decision-making process</w:t>
      </w:r>
      <w:r w:rsidR="003071E4">
        <w:t>.</w:t>
      </w:r>
    </w:p>
    <w:p w14:paraId="2BBFEB72" w14:textId="4DF44AAE" w:rsidR="00C03265" w:rsidRDefault="00C03265" w:rsidP="42C720B3"/>
    <w:p w14:paraId="7CB84CE7" w14:textId="54D3BD70" w:rsidR="00C03265" w:rsidRDefault="00C03265" w:rsidP="00C03265">
      <w:pPr>
        <w:rPr>
          <w:color w:val="FF0000"/>
        </w:rPr>
      </w:pPr>
      <w:r>
        <w:t>Establishment of</w:t>
      </w:r>
      <w:r w:rsidR="0001257C">
        <w:t xml:space="preserve"> a</w:t>
      </w:r>
      <w:r>
        <w:t xml:space="preserve"> care pathway using education, exercise and weight management </w:t>
      </w:r>
      <w:r w:rsidR="001D6322">
        <w:t xml:space="preserve">as a first line treatment </w:t>
      </w:r>
      <w:r>
        <w:t>has been demonstrated to ensure surgical referrals are appropriately made</w:t>
      </w:r>
      <w:r w:rsidR="02DBEE83">
        <w:t xml:space="preserve"> </w:t>
      </w:r>
      <w:r w:rsidR="003071E4">
        <w:t>(Dowsey et al 2014)</w:t>
      </w:r>
      <w:r w:rsidR="006F2E60">
        <w:t>. That is,</w:t>
      </w:r>
      <w:r>
        <w:t xml:space="preserve"> for those with end-stage </w:t>
      </w:r>
      <w:r w:rsidR="0001257C">
        <w:t xml:space="preserve">knee </w:t>
      </w:r>
      <w:r>
        <w:t>OA who have exhausted all nonsurgical interventions. This pathway can break through waiting lists, improve the responsiveness of health systems, and educate patients and referrers for better use of nonsurgical programs such as Good Living with osteoArthritis: Denmark (GLA:D</w:t>
      </w:r>
      <w:r w:rsidRPr="42C720B3">
        <w:rPr>
          <w:rFonts w:cs="Calibri"/>
        </w:rPr>
        <w:t>®</w:t>
      </w:r>
      <w:r>
        <w:t>). This pathway will reduce the use of unnecessary knee imaging and invasive procedures such as arthroscopy</w:t>
      </w:r>
      <w:r w:rsidR="0012038B">
        <w:t xml:space="preserve"> (Sakellariou et al 2017)</w:t>
      </w:r>
      <w:r>
        <w:t>.</w:t>
      </w:r>
    </w:p>
    <w:p w14:paraId="456B279D" w14:textId="1995928E" w:rsidR="00C03265" w:rsidRDefault="00C03265" w:rsidP="00C03265">
      <w:r>
        <w:t xml:space="preserve">Outcomes of evidence-based care guidelines in other Australian jurisdictions have demonstrated improved knee surgery waiting </w:t>
      </w:r>
      <w:r w:rsidR="0012038B">
        <w:t>times,</w:t>
      </w:r>
      <w:r>
        <w:t xml:space="preserve"> improved shared care management of knee OA in the community, better patient satisfaction and better support for general practitioners</w:t>
      </w:r>
      <w:r w:rsidR="006F2E60">
        <w:t xml:space="preserve"> (GPs)</w:t>
      </w:r>
      <w:r w:rsidR="0012038B">
        <w:t xml:space="preserve"> (Fransen et al 2015)</w:t>
      </w:r>
      <w:r>
        <w:t xml:space="preserve">. </w:t>
      </w:r>
    </w:p>
    <w:p w14:paraId="1E6791A7" w14:textId="707C5176" w:rsidR="006F2E60" w:rsidRDefault="00C03265" w:rsidP="00C03265">
      <w:pPr>
        <w:rPr>
          <w:lang w:val="en-GB"/>
        </w:rPr>
      </w:pPr>
      <w:r w:rsidRPr="42C720B3">
        <w:rPr>
          <w:lang w:val="en-GB"/>
        </w:rPr>
        <w:t>Evidence based care pathways established internationally have provided excellent outcomes</w:t>
      </w:r>
      <w:r w:rsidR="00336151">
        <w:rPr>
          <w:lang w:val="en-GB"/>
        </w:rPr>
        <w:t xml:space="preserve"> (NICE 2022)</w:t>
      </w:r>
      <w:r w:rsidR="0012038B">
        <w:rPr>
          <w:lang w:val="en-GB"/>
        </w:rPr>
        <w:t>.</w:t>
      </w:r>
      <w:r w:rsidRPr="42C720B3">
        <w:rPr>
          <w:lang w:val="en-GB"/>
        </w:rPr>
        <w:t xml:space="preserve"> </w:t>
      </w:r>
      <w:r w:rsidR="5EC479A5" w:rsidRPr="42C720B3">
        <w:rPr>
          <w:lang w:val="en-GB"/>
        </w:rPr>
        <w:t>These pathways</w:t>
      </w:r>
      <w:r w:rsidRPr="42C720B3">
        <w:rPr>
          <w:lang w:val="en-GB"/>
        </w:rPr>
        <w:t xml:space="preserve"> have</w:t>
      </w:r>
      <w:r w:rsidR="006F2E60" w:rsidRPr="42C720B3">
        <w:rPr>
          <w:lang w:val="en-GB"/>
        </w:rPr>
        <w:t xml:space="preserve"> shown:</w:t>
      </w:r>
    </w:p>
    <w:p w14:paraId="662FCE10" w14:textId="63BB5B82" w:rsidR="006F2E60" w:rsidRDefault="006F2E60" w:rsidP="006F2E60">
      <w:pPr>
        <w:pStyle w:val="Bullet"/>
        <w:rPr>
          <w:lang w:val="en-GB"/>
        </w:rPr>
      </w:pPr>
      <w:r>
        <w:rPr>
          <w:lang w:val="en-GB"/>
        </w:rPr>
        <w:t xml:space="preserve">an increase in </w:t>
      </w:r>
      <w:r w:rsidR="00C03265">
        <w:rPr>
          <w:lang w:val="en-GB"/>
        </w:rPr>
        <w:t xml:space="preserve">the proportion of people </w:t>
      </w:r>
      <w:r w:rsidR="00F056BA">
        <w:rPr>
          <w:lang w:val="en-GB"/>
        </w:rPr>
        <w:t>who go on to have</w:t>
      </w:r>
      <w:r w:rsidR="00C03265">
        <w:rPr>
          <w:lang w:val="en-GB"/>
        </w:rPr>
        <w:t xml:space="preserve"> a total knee replacement (TKR) </w:t>
      </w:r>
      <w:r w:rsidR="00F056BA" w:rsidRPr="008449CA">
        <w:rPr>
          <w:b/>
          <w:bCs/>
          <w:lang w:val="en-GB"/>
        </w:rPr>
        <w:t>only when</w:t>
      </w:r>
      <w:r w:rsidR="00F056BA">
        <w:rPr>
          <w:lang w:val="en-GB"/>
        </w:rPr>
        <w:t xml:space="preserve"> they </w:t>
      </w:r>
      <w:r w:rsidR="00C03265">
        <w:rPr>
          <w:lang w:val="en-GB"/>
        </w:rPr>
        <w:t xml:space="preserve">have exhausted </w:t>
      </w:r>
      <w:r w:rsidR="00F056BA">
        <w:rPr>
          <w:lang w:val="en-GB"/>
        </w:rPr>
        <w:t xml:space="preserve">all </w:t>
      </w:r>
      <w:r w:rsidR="00C03265">
        <w:rPr>
          <w:lang w:val="en-GB"/>
        </w:rPr>
        <w:t>non-surgical options</w:t>
      </w:r>
      <w:r w:rsidR="00AD213C">
        <w:rPr>
          <w:lang w:val="en-GB"/>
        </w:rPr>
        <w:t xml:space="preserve"> </w:t>
      </w:r>
    </w:p>
    <w:p w14:paraId="09019928" w14:textId="6D6DACF0" w:rsidR="00820B8A" w:rsidRDefault="006F2E60" w:rsidP="006F2E60">
      <w:pPr>
        <w:pStyle w:val="Bullet"/>
        <w:rPr>
          <w:lang w:val="en-GB"/>
        </w:rPr>
      </w:pPr>
      <w:r>
        <w:rPr>
          <w:lang w:val="en-GB"/>
        </w:rPr>
        <w:t xml:space="preserve">improved </w:t>
      </w:r>
      <w:r w:rsidR="00AD213C">
        <w:rPr>
          <w:lang w:val="en-GB"/>
        </w:rPr>
        <w:t>o</w:t>
      </w:r>
      <w:r w:rsidR="00C03265">
        <w:rPr>
          <w:lang w:val="en-GB"/>
        </w:rPr>
        <w:t>utcomes from</w:t>
      </w:r>
      <w:r w:rsidR="00AD213C">
        <w:rPr>
          <w:lang w:val="en-GB"/>
        </w:rPr>
        <w:t xml:space="preserve"> having a</w:t>
      </w:r>
      <w:r w:rsidR="00C03265">
        <w:rPr>
          <w:lang w:val="en-GB"/>
        </w:rPr>
        <w:t xml:space="preserve"> TKR</w:t>
      </w:r>
      <w:r>
        <w:rPr>
          <w:lang w:val="en-GB"/>
        </w:rPr>
        <w:t xml:space="preserve">, </w:t>
      </w:r>
      <w:r w:rsidR="00C03265">
        <w:rPr>
          <w:lang w:val="en-GB"/>
        </w:rPr>
        <w:t xml:space="preserve">since people are well-versed in pain management, self-care skills, and </w:t>
      </w:r>
      <w:r>
        <w:rPr>
          <w:lang w:val="en-GB"/>
        </w:rPr>
        <w:t xml:space="preserve">are </w:t>
      </w:r>
      <w:r w:rsidR="00C03265">
        <w:rPr>
          <w:lang w:val="en-GB"/>
        </w:rPr>
        <w:t>fitter and stronger due to exercise and education prior to surgery</w:t>
      </w:r>
    </w:p>
    <w:p w14:paraId="3ADB88E1" w14:textId="3B211135" w:rsidR="00C03265" w:rsidRDefault="00820B8A" w:rsidP="0078359D">
      <w:pPr>
        <w:pStyle w:val="Bullet"/>
        <w:rPr>
          <w:lang w:val="en-GB"/>
        </w:rPr>
      </w:pPr>
      <w:r>
        <w:rPr>
          <w:lang w:val="en-GB"/>
        </w:rPr>
        <w:t>efficiencies from s</w:t>
      </w:r>
      <w:r w:rsidR="00C03265">
        <w:rPr>
          <w:lang w:val="en-GB"/>
        </w:rPr>
        <w:t xml:space="preserve">urgeons seeing people </w:t>
      </w:r>
      <w:r w:rsidR="00C03265" w:rsidRPr="008449CA">
        <w:rPr>
          <w:b/>
          <w:bCs/>
          <w:lang w:val="en-GB"/>
        </w:rPr>
        <w:t>only when</w:t>
      </w:r>
      <w:r w:rsidR="00C03265">
        <w:rPr>
          <w:lang w:val="en-GB"/>
        </w:rPr>
        <w:t xml:space="preserve"> they </w:t>
      </w:r>
      <w:r>
        <w:rPr>
          <w:lang w:val="en-GB"/>
        </w:rPr>
        <w:t xml:space="preserve">require </w:t>
      </w:r>
      <w:r w:rsidR="00C03265">
        <w:rPr>
          <w:lang w:val="en-GB"/>
        </w:rPr>
        <w:t>surgery.</w:t>
      </w:r>
    </w:p>
    <w:p w14:paraId="3AE314E5" w14:textId="5D8D1382" w:rsidR="0026498E" w:rsidRDefault="0026498E" w:rsidP="0026498E">
      <w:pPr>
        <w:pStyle w:val="Heading4"/>
      </w:pPr>
      <w:r>
        <w:t xml:space="preserve">Key Objective: </w:t>
      </w:r>
    </w:p>
    <w:p w14:paraId="56FF26E2" w14:textId="2DB2F806" w:rsidR="0026498E" w:rsidRPr="00E37229" w:rsidRDefault="0026498E" w:rsidP="00E37229">
      <w:pPr>
        <w:pStyle w:val="BodyCopy"/>
        <w:rPr>
          <w:lang w:eastAsia="en-US"/>
        </w:rPr>
      </w:pPr>
      <w:r w:rsidRPr="42C720B3">
        <w:rPr>
          <w:lang w:eastAsia="en-US"/>
        </w:rPr>
        <w:t xml:space="preserve">The key objective of this guideline is to improve the coordination of care, ensure equity and quality of care, and </w:t>
      </w:r>
      <w:r w:rsidR="00336151">
        <w:rPr>
          <w:lang w:eastAsia="en-US"/>
        </w:rPr>
        <w:t>facilitate</w:t>
      </w:r>
      <w:r w:rsidRPr="42C720B3">
        <w:rPr>
          <w:lang w:eastAsia="en-US"/>
        </w:rPr>
        <w:t xml:space="preserve"> inter-disciplinary, conservative management for individuals with OA, prior to any surgical or imaging options being offered. </w:t>
      </w:r>
    </w:p>
    <w:p w14:paraId="131EE739"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23993420" w14:textId="77777777" w:rsidR="0078367D" w:rsidRPr="0078367D" w:rsidRDefault="0078367D" w:rsidP="0078367D">
      <w:pPr>
        <w:pStyle w:val="Heading2"/>
        <w:rPr>
          <w:iCs/>
        </w:rPr>
      </w:pPr>
      <w:bookmarkStart w:id="4" w:name="_Toc192163821"/>
      <w:r w:rsidRPr="0078367D">
        <w:rPr>
          <w:rStyle w:val="Hyperlink"/>
          <w:u w:val="none"/>
        </w:rPr>
        <w:t>Scope</w:t>
      </w:r>
      <w:bookmarkEnd w:id="4"/>
    </w:p>
    <w:p w14:paraId="47716EDD" w14:textId="77777777" w:rsidR="00E635F3" w:rsidRDefault="00E635F3" w:rsidP="00E635F3">
      <w:pPr>
        <w:pStyle w:val="Default"/>
        <w:rPr>
          <w:rFonts w:asciiTheme="minorHAnsi" w:hAnsiTheme="minorHAnsi"/>
          <w:bCs/>
          <w:szCs w:val="32"/>
        </w:rPr>
      </w:pPr>
    </w:p>
    <w:p w14:paraId="03A9C1DC" w14:textId="0C556021" w:rsidR="00E635F3" w:rsidRDefault="00E635F3" w:rsidP="006F2E60">
      <w:pPr>
        <w:pStyle w:val="BodyCopy"/>
      </w:pPr>
      <w:r>
        <w:t xml:space="preserve">This guideline applies to the management of adult </w:t>
      </w:r>
      <w:r w:rsidR="00336151">
        <w:t>patients with</w:t>
      </w:r>
      <w:r>
        <w:t xml:space="preserve"> knee OA referred for management within CHS.</w:t>
      </w:r>
      <w:r w:rsidR="00DA579D">
        <w:t xml:space="preserve"> The CHS Network includes the inpatient facilities and outpatient services at the Canberra Hospital (CH), Clare Holland House (CHH), North Canberra Hospital (NCH), University of Canberra Hospital (UCH) and community-based services.</w:t>
      </w:r>
    </w:p>
    <w:p w14:paraId="12FAF61D" w14:textId="2DF10080" w:rsidR="00E635F3" w:rsidRPr="006F2E60" w:rsidRDefault="00E635F3" w:rsidP="006F2E60">
      <w:pPr>
        <w:pStyle w:val="BodyCopy"/>
      </w:pPr>
      <w:r>
        <w:lastRenderedPageBreak/>
        <w:t xml:space="preserve">This guideline applies to </w:t>
      </w:r>
      <w:r w:rsidR="00820B8A">
        <w:t xml:space="preserve">referrals from GPs, and </w:t>
      </w:r>
      <w:r>
        <w:t xml:space="preserve">the following </w:t>
      </w:r>
      <w:r w:rsidR="00820B8A">
        <w:t xml:space="preserve">CHS Network </w:t>
      </w:r>
      <w:r>
        <w:t>staff working within their scope of practice:</w:t>
      </w:r>
    </w:p>
    <w:p w14:paraId="316D7E3A" w14:textId="249962C8" w:rsidR="00E635F3" w:rsidRDefault="00E635F3" w:rsidP="006F2E60">
      <w:pPr>
        <w:pStyle w:val="Bullet"/>
      </w:pPr>
      <w:r>
        <w:t>Allied Health</w:t>
      </w:r>
      <w:r w:rsidR="00DF5500">
        <w:t xml:space="preserve"> </w:t>
      </w:r>
      <w:r w:rsidR="0026498E">
        <w:t>Professionals</w:t>
      </w:r>
    </w:p>
    <w:p w14:paraId="50904D03" w14:textId="2B6F6348" w:rsidR="00E635F3" w:rsidRDefault="00E635F3" w:rsidP="006F2E60">
      <w:pPr>
        <w:pStyle w:val="Bullet"/>
      </w:pPr>
      <w:r>
        <w:t>Registered and Enrolled Nurses</w:t>
      </w:r>
    </w:p>
    <w:p w14:paraId="4AE7530A" w14:textId="0720094B" w:rsidR="00E635F3" w:rsidRDefault="00E635F3" w:rsidP="006F2E60">
      <w:pPr>
        <w:pStyle w:val="Bullet"/>
      </w:pPr>
      <w:r>
        <w:t xml:space="preserve">Medical </w:t>
      </w:r>
      <w:r w:rsidR="007A0FFA">
        <w:t>Officers</w:t>
      </w:r>
      <w:r w:rsidR="00820B8A">
        <w:t xml:space="preserve"> </w:t>
      </w:r>
    </w:p>
    <w:p w14:paraId="27699681" w14:textId="77ED58DD" w:rsidR="00E635F3" w:rsidRDefault="00E635F3" w:rsidP="006F2E60">
      <w:pPr>
        <w:pStyle w:val="Bullet"/>
      </w:pPr>
      <w:r>
        <w:t xml:space="preserve">Students </w:t>
      </w:r>
      <w:r w:rsidR="00820B8A">
        <w:t>under direct supervision.</w:t>
      </w:r>
    </w:p>
    <w:p w14:paraId="18BF8D9C" w14:textId="77777777" w:rsidR="00481A6C" w:rsidRDefault="00481A6C" w:rsidP="00481A6C">
      <w:pPr>
        <w:pStyle w:val="BodyCopy"/>
        <w:rPr>
          <w:iCs w:val="0"/>
        </w:rPr>
      </w:pPr>
      <w:r w:rsidRPr="006F2E60">
        <w:br/>
      </w:r>
      <w:hyperlink w:anchor="_top" w:history="1">
        <w:r w:rsidRPr="00481A6C">
          <w:rPr>
            <w:rStyle w:val="Hyperlink"/>
            <w:iCs w:val="0"/>
          </w:rPr>
          <w:t>Back to Contents</w:t>
        </w:r>
      </w:hyperlink>
    </w:p>
    <w:p w14:paraId="07A85CBD" w14:textId="77777777" w:rsidR="0078367D" w:rsidRDefault="0078367D" w:rsidP="0078367D">
      <w:pPr>
        <w:pStyle w:val="Heading2"/>
      </w:pPr>
      <w:bookmarkStart w:id="5" w:name="_Toc192163822"/>
      <w:r>
        <w:t xml:space="preserve">Section 1 </w:t>
      </w:r>
      <w:r w:rsidR="00E635F3">
        <w:t>–</w:t>
      </w:r>
      <w:r>
        <w:t xml:space="preserve"> </w:t>
      </w:r>
      <w:r w:rsidR="00E635F3">
        <w:t>Comprehensive assessment and diagnosis</w:t>
      </w:r>
      <w:bookmarkEnd w:id="5"/>
    </w:p>
    <w:p w14:paraId="5737136B" w14:textId="06BC4FDD" w:rsidR="00820B8A" w:rsidRDefault="00820B8A" w:rsidP="0078359D">
      <w:pPr>
        <w:pStyle w:val="BodyCopy"/>
        <w:pBdr>
          <w:top w:val="single" w:sz="4" w:space="1" w:color="auto"/>
          <w:left w:val="single" w:sz="4" w:space="4" w:color="auto"/>
          <w:bottom w:val="single" w:sz="4" w:space="1" w:color="auto"/>
          <w:right w:val="single" w:sz="4" w:space="4" w:color="auto"/>
        </w:pBdr>
        <w:rPr>
          <w:rFonts w:cs="Open Sans"/>
          <w:color w:val="000000"/>
        </w:rPr>
      </w:pPr>
      <w:r w:rsidRPr="0078359D">
        <w:rPr>
          <w:rFonts w:cs="Open Sans"/>
          <w:b/>
          <w:bCs w:val="0"/>
          <w:color w:val="000000"/>
        </w:rPr>
        <w:t>Note</w:t>
      </w:r>
      <w:r w:rsidRPr="0078359D">
        <w:rPr>
          <w:rFonts w:cs="Open Sans"/>
          <w:color w:val="000000"/>
        </w:rPr>
        <w:t xml:space="preserve"> </w:t>
      </w:r>
    </w:p>
    <w:p w14:paraId="007E36F9" w14:textId="11910A3A" w:rsidR="00E635F3"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color w:val="000000"/>
        </w:rPr>
      </w:pPr>
      <w:r>
        <w:rPr>
          <w:rFonts w:cs="Open Sans"/>
          <w:color w:val="000000"/>
        </w:rPr>
        <w:t>“</w:t>
      </w:r>
      <w:r w:rsidR="00E635F3" w:rsidRPr="0078359D">
        <w:rPr>
          <w:rFonts w:cs="Open Sans"/>
          <w:color w:val="000000"/>
        </w:rPr>
        <w:t>A patient with suspected knee osteoarthritis receives a comprehensive, person-centred assessment which includes a detailed history of the presenting symptoms, comorbidities, a physical examination, and a psychosocial evaluation of factors affecting quality of life and participation in activities. A diagnosis of knee osteoarthritis can be confidently made based on this assessment</w:t>
      </w:r>
      <w:r>
        <w:rPr>
          <w:rFonts w:cs="Open Sans"/>
          <w:color w:val="000000"/>
        </w:rPr>
        <w:t>.”</w:t>
      </w:r>
      <w:r w:rsidR="00E635F3" w:rsidRPr="0078359D">
        <w:rPr>
          <w:rFonts w:cs="Open Sans"/>
          <w:color w:val="000000"/>
        </w:rPr>
        <w:t xml:space="preserve"> (Australian Commission on Safety and Quality in Health Care 2024)</w:t>
      </w:r>
      <w:r w:rsidR="00550C62" w:rsidRPr="0078359D">
        <w:rPr>
          <w:rFonts w:cs="Open Sans"/>
          <w:color w:val="000000"/>
        </w:rPr>
        <w:t>.</w:t>
      </w:r>
    </w:p>
    <w:p w14:paraId="050F9786" w14:textId="12960942" w:rsidR="00E635F3" w:rsidRDefault="00550C62" w:rsidP="00E635F3">
      <w:r>
        <w:t xml:space="preserve">Knee </w:t>
      </w:r>
      <w:r w:rsidR="00E635F3">
        <w:t>OA is considered a spectrum condition that may fluctuate over time and is characterised by symptoms of pain, mobility impairment, function</w:t>
      </w:r>
      <w:r w:rsidR="00520C67">
        <w:t xml:space="preserve"> </w:t>
      </w:r>
      <w:r w:rsidR="00E635F3">
        <w:t>/</w:t>
      </w:r>
      <w:r w:rsidR="00520C67">
        <w:t xml:space="preserve"> </w:t>
      </w:r>
      <w:r w:rsidR="00E635F3">
        <w:t>participation impairment and reduced quality of life. Management is directed towards these domains and principally consists of three streams of care, which may span the continuum of the condition.</w:t>
      </w:r>
      <w:r w:rsidR="00E635F3" w:rsidRPr="006921D4">
        <w:t xml:space="preserve"> </w:t>
      </w:r>
      <w:r w:rsidR="00E635F3" w:rsidRPr="00E96DE8">
        <w:t xml:space="preserve"> </w:t>
      </w:r>
    </w:p>
    <w:p w14:paraId="6C324258" w14:textId="20EDE359" w:rsidR="00E635F3" w:rsidRDefault="00E410F0" w:rsidP="00520C67">
      <w:r>
        <w:t xml:space="preserve">Assessment in people with </w:t>
      </w:r>
      <w:r w:rsidR="00550C62">
        <w:t xml:space="preserve">knee </w:t>
      </w:r>
      <w:r>
        <w:t xml:space="preserve">OA should be holistic, considering social factors and social supports; beliefs, concerns and knowledge about pain and OA; the occupational impact of OA; mood; sleep; pain features; attitudes to exercise; and comorbidities (for example, hypertension, obesity, depression, cardiovascular disease, renal disease, or gastrointestinal disease). </w:t>
      </w:r>
    </w:p>
    <w:p w14:paraId="38836914" w14:textId="57B395AB" w:rsidR="00FF124A" w:rsidRDefault="00E635F3" w:rsidP="00943576">
      <w:r>
        <w:t>A comprehensive assessment</w:t>
      </w:r>
      <w:r w:rsidR="00FF124A">
        <w:t xml:space="preserve"> should</w:t>
      </w:r>
      <w:r>
        <w:t xml:space="preserve"> include</w:t>
      </w:r>
      <w:r w:rsidR="00FF124A">
        <w:t>:</w:t>
      </w:r>
    </w:p>
    <w:p w14:paraId="232E1DC8" w14:textId="490EAD74" w:rsidR="00FF124A" w:rsidRPr="00FF124A" w:rsidRDefault="00FF124A" w:rsidP="00FF124A">
      <w:pPr>
        <w:pStyle w:val="Bullet"/>
      </w:pPr>
      <w:r w:rsidRPr="00FF124A">
        <w:t>a</w:t>
      </w:r>
      <w:r w:rsidR="00943576" w:rsidRPr="00FF124A">
        <w:t xml:space="preserve"> detailed history</w:t>
      </w:r>
    </w:p>
    <w:p w14:paraId="3B5A5CD8" w14:textId="53212085" w:rsidR="00FF124A" w:rsidRPr="00FF124A" w:rsidRDefault="00943576" w:rsidP="00FF124A">
      <w:pPr>
        <w:pStyle w:val="Bullet"/>
      </w:pPr>
      <w:r w:rsidRPr="00FF124A">
        <w:t>a physical examination and functional assessment</w:t>
      </w:r>
    </w:p>
    <w:p w14:paraId="6D2A85F7" w14:textId="38E95EF1" w:rsidR="00FF124A" w:rsidRPr="00FF124A" w:rsidRDefault="00943576" w:rsidP="00FF124A">
      <w:pPr>
        <w:pStyle w:val="Bullet"/>
      </w:pPr>
      <w:r w:rsidRPr="00FF124A">
        <w:t>identification of any atypical features (red flags)</w:t>
      </w:r>
      <w:r w:rsidR="00FF124A" w:rsidRPr="00FF124A">
        <w:t xml:space="preserve"> and</w:t>
      </w:r>
    </w:p>
    <w:p w14:paraId="3EF23463" w14:textId="6BEC081C" w:rsidR="00FF124A" w:rsidRPr="00FF124A" w:rsidRDefault="00943576" w:rsidP="00FF124A">
      <w:pPr>
        <w:pStyle w:val="Bullet"/>
      </w:pPr>
      <w:r w:rsidRPr="00FF124A">
        <w:t xml:space="preserve">a psychosocial evaluation. </w:t>
      </w:r>
    </w:p>
    <w:p w14:paraId="1E57A03D" w14:textId="34DE2726" w:rsidR="00E635F3" w:rsidRDefault="00943576" w:rsidP="00E37229">
      <w:pPr>
        <w:pStyle w:val="BodyCopy"/>
      </w:pPr>
      <w:r>
        <w:t>T</w:t>
      </w:r>
      <w:r w:rsidR="00E635F3">
        <w:t>h</w:t>
      </w:r>
      <w:r>
        <w:t>is assessment should</w:t>
      </w:r>
      <w:r w:rsidR="00E635F3">
        <w:t xml:space="preserve"> use validated tools to monitor the condition as well as record outcomes from interventions. The Oxford </w:t>
      </w:r>
      <w:r w:rsidR="00FF124A">
        <w:t>K</w:t>
      </w:r>
      <w:r w:rsidR="00E635F3">
        <w:t xml:space="preserve">nee </w:t>
      </w:r>
      <w:r w:rsidR="00FF124A">
        <w:t>S</w:t>
      </w:r>
      <w:r w:rsidR="00E635F3">
        <w:t>core</w:t>
      </w:r>
      <w:r w:rsidR="00D32ABE">
        <w:t xml:space="preserve"> (OKS)</w:t>
      </w:r>
      <w:r w:rsidR="00E635F3">
        <w:t xml:space="preserve"> </w:t>
      </w:r>
      <w:r w:rsidR="00336151">
        <w:t>(</w:t>
      </w:r>
      <w:r w:rsidR="00336151" w:rsidRPr="00D41612">
        <w:t xml:space="preserve">Kellgren &amp; Lawrence </w:t>
      </w:r>
      <w:r w:rsidR="00336151">
        <w:t xml:space="preserve">1957) </w:t>
      </w:r>
      <w:r w:rsidR="00E635F3">
        <w:t xml:space="preserve">is to be used by all </w:t>
      </w:r>
      <w:r w:rsidR="00DF5500">
        <w:t xml:space="preserve">health </w:t>
      </w:r>
      <w:r w:rsidR="00E635F3">
        <w:t xml:space="preserve">practitioners for initial assessment / baseline score in </w:t>
      </w:r>
      <w:r w:rsidR="00520C67">
        <w:t>CHS</w:t>
      </w:r>
      <w:r w:rsidR="00DF5500">
        <w:t>.</w:t>
      </w:r>
      <w:r w:rsidR="00FF124A">
        <w:t xml:space="preserve"> </w:t>
      </w:r>
      <w:r w:rsidR="008449CA">
        <w:t xml:space="preserve">Refer to </w:t>
      </w:r>
      <w:r w:rsidR="00520C67">
        <w:t xml:space="preserve">Attachment </w:t>
      </w:r>
      <w:r w:rsidR="008449CA">
        <w:t>1</w:t>
      </w:r>
      <w:r w:rsidR="00820B8A">
        <w:t>.</w:t>
      </w:r>
      <w:r w:rsidR="00D32ABE">
        <w:t xml:space="preserve"> Although this tool was developed initially to measure outcomes post joint replacement it has been found to be an effective patient recorded outcome measure (PROM) for all patients with knee symptoms before and after surgery. In CHS it is used to help build a clinical picture of the severity of the patient’s symptoms. It can be used to assess if a patient </w:t>
      </w:r>
      <w:r w:rsidR="00D32ABE">
        <w:lastRenderedPageBreak/>
        <w:t>needs to be escalated to a more urgent category or referred for a</w:t>
      </w:r>
      <w:r w:rsidR="009E167D">
        <w:t>n Orthopaedic Screening Clinic</w:t>
      </w:r>
      <w:r w:rsidR="00D32ABE">
        <w:t xml:space="preserve"> </w:t>
      </w:r>
      <w:r w:rsidR="009E167D">
        <w:t>(</w:t>
      </w:r>
      <w:r w:rsidR="00D32ABE">
        <w:t>OSC</w:t>
      </w:r>
      <w:r w:rsidR="009E167D">
        <w:t>)</w:t>
      </w:r>
      <w:r w:rsidR="00D32ABE">
        <w:t xml:space="preserve"> </w:t>
      </w:r>
      <w:r w:rsidR="009E167D">
        <w:t>or</w:t>
      </w:r>
      <w:r w:rsidR="00D32ABE">
        <w:t xml:space="preserve"> consultant consultation.</w:t>
      </w:r>
    </w:p>
    <w:p w14:paraId="1F76FF97" w14:textId="77777777" w:rsidR="00EB7896" w:rsidRDefault="00EB7896" w:rsidP="00E37229">
      <w:pPr>
        <w:pStyle w:val="BodyCopy"/>
      </w:pPr>
    </w:p>
    <w:p w14:paraId="26FEE3F1" w14:textId="16FEDF90" w:rsidR="00E635F3" w:rsidRPr="006F2E60" w:rsidRDefault="00E635F3" w:rsidP="006F2E60">
      <w:r>
        <w:t>A detailed history of stiffness and/or swelling and a physical examination is needed to exclude centrally referred pain and/or other inflammatory arthritic conditions. Atypical features may indicate alternative or additional diagnoses: a history of trauma, malignancy, prolonged morning joint-related stiffness, rapidly worsening symptoms, or the presence of a hot</w:t>
      </w:r>
      <w:r w:rsidR="00185D1A">
        <w:t>,</w:t>
      </w:r>
      <w:r>
        <w:t xml:space="preserve"> swollen joint</w:t>
      </w:r>
      <w:r w:rsidR="00185D1A">
        <w:t xml:space="preserve"> (inflammation)</w:t>
      </w:r>
      <w:r>
        <w:t>.</w:t>
      </w:r>
    </w:p>
    <w:p w14:paraId="071B91FA" w14:textId="49408DB2" w:rsidR="009E167D" w:rsidRPr="009E167D" w:rsidRDefault="006F2E60" w:rsidP="006F2E60">
      <w:pPr>
        <w:pStyle w:val="Heading4"/>
      </w:pPr>
      <w:r>
        <w:t>Referrals</w:t>
      </w:r>
    </w:p>
    <w:p w14:paraId="54FCDFE9" w14:textId="0DA3C318" w:rsidR="009E167D" w:rsidRDefault="009E167D" w:rsidP="009E167D">
      <w:pPr>
        <w:rPr>
          <w:iCs/>
        </w:rPr>
      </w:pPr>
      <w:r>
        <w:t>If the first contact practitioner is a GP, they must refer on to a physiotherapist (either in the community, private setting or an orthopaedic screening clinic) who has the capacity to carry out a comprehensive, evidence-based assessment</w:t>
      </w:r>
      <w:r w:rsidR="00336151">
        <w:t xml:space="preserve"> (acknowledging the time limitations set on GP appointments)</w:t>
      </w:r>
      <w:r>
        <w:t>.</w:t>
      </w:r>
    </w:p>
    <w:p w14:paraId="0426CC22" w14:textId="77777777" w:rsidR="009E167D" w:rsidRPr="00FE497F" w:rsidRDefault="009E167D" w:rsidP="009E167D">
      <w:pPr>
        <w:rPr>
          <w:rFonts w:asciiTheme="majorHAnsi" w:hAnsiTheme="majorHAnsi" w:cstheme="majorHAnsi"/>
          <w:color w:val="auto"/>
        </w:rPr>
      </w:pPr>
      <w:r w:rsidRPr="00FE497F">
        <w:rPr>
          <w:iCs/>
          <w:color w:val="auto"/>
        </w:rPr>
        <w:t>Referral sources may include (but are not limited to):</w:t>
      </w:r>
      <w:r w:rsidRPr="00FE497F">
        <w:rPr>
          <w:color w:val="auto"/>
        </w:rPr>
        <w:t xml:space="preserve"> </w:t>
      </w:r>
    </w:p>
    <w:p w14:paraId="301F5E75" w14:textId="4AD15808" w:rsidR="009E167D" w:rsidRPr="00FE497F" w:rsidRDefault="009E167D" w:rsidP="0078359D">
      <w:pPr>
        <w:pStyle w:val="Bullet"/>
      </w:pPr>
      <w:r w:rsidRPr="00FE497F">
        <w:t>GP</w:t>
      </w:r>
      <w:r w:rsidR="007A0FFA">
        <w:t>s</w:t>
      </w:r>
    </w:p>
    <w:p w14:paraId="33A100C6" w14:textId="77777777" w:rsidR="007A0FFA" w:rsidRDefault="007A0FFA" w:rsidP="007A0FFA">
      <w:pPr>
        <w:pStyle w:val="Bullet"/>
        <w:numPr>
          <w:ilvl w:val="1"/>
          <w:numId w:val="1"/>
        </w:numPr>
      </w:pPr>
      <w:r w:rsidRPr="00FE497F">
        <w:t>The referral process is published on Health Pathways</w:t>
      </w:r>
      <w:r>
        <w:t xml:space="preserve"> </w:t>
      </w:r>
      <w:hyperlink r:id="rId11" w:history="1">
        <w:r w:rsidRPr="007A0FFA">
          <w:rPr>
            <w:rStyle w:val="Hyperlink"/>
            <w:rFonts w:asciiTheme="majorHAnsi" w:hAnsiTheme="majorHAnsi" w:cstheme="majorHAnsi"/>
          </w:rPr>
          <w:t>https://www.chnact.org.au/for-health-professionals/healthpathways/</w:t>
        </w:r>
      </w:hyperlink>
      <w:r>
        <w:rPr>
          <w:rFonts w:asciiTheme="majorHAnsi" w:hAnsiTheme="majorHAnsi" w:cstheme="majorHAnsi"/>
        </w:rPr>
        <w:t xml:space="preserve">. </w:t>
      </w:r>
      <w:r w:rsidR="002D1462" w:rsidRPr="00FE497F">
        <w:t xml:space="preserve">This sends the referral to </w:t>
      </w:r>
      <w:r w:rsidR="009312D2">
        <w:t>Central Health Intake (</w:t>
      </w:r>
      <w:r w:rsidR="002D1462" w:rsidRPr="00FE497F">
        <w:t>CHI</w:t>
      </w:r>
      <w:r w:rsidR="009312D2">
        <w:t>)</w:t>
      </w:r>
      <w:r w:rsidR="002D1462" w:rsidRPr="00FE497F">
        <w:t xml:space="preserve"> for triage and urgency categorisation.</w:t>
      </w:r>
      <w:r w:rsidR="008A570F">
        <w:t xml:space="preserve"> </w:t>
      </w:r>
    </w:p>
    <w:p w14:paraId="333599F7" w14:textId="77777777" w:rsidR="007A0FFA" w:rsidRDefault="008A570F" w:rsidP="007A0FFA">
      <w:pPr>
        <w:pStyle w:val="Bullet"/>
        <w:numPr>
          <w:ilvl w:val="1"/>
          <w:numId w:val="1"/>
        </w:numPr>
      </w:pPr>
      <w:r>
        <w:t xml:space="preserve">On seeing a patient suspected of having Knee OA, GPs can refer to private or community physiotherapy services, dependent upon the patient’s preferences. </w:t>
      </w:r>
    </w:p>
    <w:p w14:paraId="0B9BCEB3" w14:textId="4DFE3C06" w:rsidR="007A0FFA" w:rsidRDefault="008A570F" w:rsidP="007A0FFA">
      <w:pPr>
        <w:pStyle w:val="Bullet"/>
        <w:numPr>
          <w:ilvl w:val="1"/>
          <w:numId w:val="1"/>
        </w:numPr>
      </w:pPr>
      <w:r>
        <w:t xml:space="preserve">Referrals can be made straight into the CHS Community Physiotherapy </w:t>
      </w:r>
      <w:r w:rsidR="003421EA">
        <w:t>GLA:D</w:t>
      </w:r>
      <w:r w:rsidR="003421EA" w:rsidRPr="42C720B3">
        <w:rPr>
          <w:rFonts w:cs="Calibri"/>
        </w:rPr>
        <w:t>®</w:t>
      </w:r>
      <w:r w:rsidR="003421EA">
        <w:rPr>
          <w:rFonts w:cs="Calibri"/>
        </w:rPr>
        <w:t xml:space="preserve"> </w:t>
      </w:r>
      <w:r>
        <w:t xml:space="preserve">Australia program, or a privately run </w:t>
      </w:r>
      <w:r w:rsidR="003421EA">
        <w:t>GLA:D</w:t>
      </w:r>
      <w:r w:rsidR="003421EA" w:rsidRPr="42C720B3">
        <w:rPr>
          <w:rFonts w:cs="Calibri"/>
        </w:rPr>
        <w:t>®</w:t>
      </w:r>
      <w:r w:rsidRPr="004D4A55">
        <w:t xml:space="preserve"> </w:t>
      </w:r>
      <w:r>
        <w:t xml:space="preserve">Australia program, if the patient is willing and able to participate in a group exercise and education program. No imaging is necessary at this stage. The CHS Community Physiotherapy </w:t>
      </w:r>
      <w:r w:rsidR="003421EA">
        <w:t>GLA:D</w:t>
      </w:r>
      <w:r w:rsidR="003421EA" w:rsidRPr="42C720B3">
        <w:rPr>
          <w:rFonts w:cs="Calibri"/>
        </w:rPr>
        <w:t>®</w:t>
      </w:r>
      <w:r w:rsidR="003421EA">
        <w:rPr>
          <w:rFonts w:cs="Calibri"/>
        </w:rPr>
        <w:t xml:space="preserve"> </w:t>
      </w:r>
      <w:r>
        <w:t xml:space="preserve">program is available at Belconnen, Phillip and Tuggeranong Community Health Centres. </w:t>
      </w:r>
    </w:p>
    <w:p w14:paraId="2DDD439C" w14:textId="77777777" w:rsidR="007A0FFA" w:rsidRDefault="008A570F" w:rsidP="007A0FFA">
      <w:pPr>
        <w:pStyle w:val="Bullet"/>
        <w:numPr>
          <w:ilvl w:val="1"/>
          <w:numId w:val="1"/>
        </w:numPr>
      </w:pPr>
      <w:r>
        <w:t xml:space="preserve">If a group setting is unsuitable, patients can be seen individually as needed </w:t>
      </w:r>
      <w:r w:rsidR="00DF5BB2">
        <w:t>by</w:t>
      </w:r>
      <w:r>
        <w:t xml:space="preserve"> the Community Physiotherapy program.</w:t>
      </w:r>
      <w:r w:rsidR="00DF5BB2">
        <w:t xml:space="preserve"> </w:t>
      </w:r>
    </w:p>
    <w:p w14:paraId="3CBDCABF" w14:textId="5C2B1275" w:rsidR="002D1462" w:rsidRPr="00FE497F" w:rsidRDefault="00DF5BB2" w:rsidP="0078359D">
      <w:pPr>
        <w:pStyle w:val="Bullet"/>
        <w:numPr>
          <w:ilvl w:val="1"/>
          <w:numId w:val="1"/>
        </w:numPr>
      </w:pPr>
      <w:r>
        <w:t xml:space="preserve">If a patient has already exhausted all </w:t>
      </w:r>
      <w:r w:rsidR="00534082">
        <w:t>first- and second-line</w:t>
      </w:r>
      <w:r>
        <w:t xml:space="preserve"> treatments (see Fig 1), please refer to O</w:t>
      </w:r>
      <w:r w:rsidR="007A0FFA">
        <w:t>rthopaedic Screening Clinic (O</w:t>
      </w:r>
      <w:r>
        <w:t>SC</w:t>
      </w:r>
      <w:r w:rsidR="007A0FFA">
        <w:t>)</w:t>
      </w:r>
      <w:r>
        <w:t xml:space="preserve"> at Canberra Hospital.</w:t>
      </w:r>
    </w:p>
    <w:p w14:paraId="3E776D98" w14:textId="3A335C20" w:rsidR="009E167D" w:rsidRPr="00FE497F" w:rsidRDefault="00FE497F" w:rsidP="007A0FFA">
      <w:pPr>
        <w:pStyle w:val="Bullet"/>
      </w:pPr>
      <w:r w:rsidRPr="00FE497F">
        <w:t xml:space="preserve">Physiotherapists </w:t>
      </w:r>
      <w:r w:rsidR="00C62E3F">
        <w:t>can</w:t>
      </w:r>
      <w:r w:rsidR="002D1462" w:rsidRPr="00FE497F">
        <w:t xml:space="preserve"> refer internally via </w:t>
      </w:r>
      <w:r w:rsidR="009312D2">
        <w:t>Digital Health Record (</w:t>
      </w:r>
      <w:r w:rsidR="002D1462" w:rsidRPr="00FE497F">
        <w:t>DHR</w:t>
      </w:r>
      <w:r w:rsidR="009312D2">
        <w:t>) by ‘placing an order’</w:t>
      </w:r>
      <w:r w:rsidR="00C62E3F">
        <w:t xml:space="preserve"> for “community physiotherapy, </w:t>
      </w:r>
      <w:r w:rsidR="003421EA">
        <w:t>GLA:D</w:t>
      </w:r>
      <w:r w:rsidR="003421EA" w:rsidRPr="42C720B3">
        <w:rPr>
          <w:rFonts w:cs="Calibri"/>
        </w:rPr>
        <w:t>®</w:t>
      </w:r>
      <w:r w:rsidR="00C62E3F">
        <w:t xml:space="preserve"> assessment”</w:t>
      </w:r>
      <w:r w:rsidR="002D1462" w:rsidRPr="00FE497F">
        <w:t>, or externally via CHI</w:t>
      </w:r>
      <w:r w:rsidR="009312D2">
        <w:t xml:space="preserve"> (phone </w:t>
      </w:r>
      <w:r w:rsidR="009312D2" w:rsidRPr="00FE497F">
        <w:t>5124 9977</w:t>
      </w:r>
      <w:r w:rsidR="009312D2">
        <w:t xml:space="preserve"> or Email </w:t>
      </w:r>
      <w:hyperlink r:id="rId12" w:history="1">
        <w:r w:rsidR="009312D2" w:rsidRPr="00AD52F8">
          <w:rPr>
            <w:rStyle w:val="Hyperlink"/>
          </w:rPr>
          <w:t>ChiIntake@act.gov.au</w:t>
        </w:r>
      </w:hyperlink>
      <w:r w:rsidR="009312D2">
        <w:t>)</w:t>
      </w:r>
    </w:p>
    <w:p w14:paraId="5F005233" w14:textId="42169A3E" w:rsidR="009E167D" w:rsidRPr="00E410F0" w:rsidRDefault="009E167D" w:rsidP="006F185B">
      <w:pPr>
        <w:pStyle w:val="Bullet"/>
      </w:pPr>
      <w:r w:rsidRPr="00E410F0">
        <w:t>Nurses</w:t>
      </w:r>
      <w:r w:rsidR="00C62E3F">
        <w:t xml:space="preserve">, </w:t>
      </w:r>
      <w:r w:rsidRPr="00E410F0">
        <w:t>Occupational Therapists</w:t>
      </w:r>
      <w:r w:rsidR="00C62E3F">
        <w:t xml:space="preserve">, </w:t>
      </w:r>
      <w:r w:rsidRPr="00E410F0">
        <w:t>Dietitians</w:t>
      </w:r>
      <w:r w:rsidR="00C62E3F">
        <w:t xml:space="preserve">, </w:t>
      </w:r>
      <w:r w:rsidRPr="00E410F0">
        <w:t>Psychologists</w:t>
      </w:r>
      <w:r w:rsidR="00C62E3F">
        <w:t xml:space="preserve">, </w:t>
      </w:r>
      <w:r w:rsidRPr="00E410F0">
        <w:t>Social Workers</w:t>
      </w:r>
      <w:r w:rsidR="00C62E3F">
        <w:t xml:space="preserve">, </w:t>
      </w:r>
      <w:r w:rsidRPr="00E410F0">
        <w:t>Pharmacists</w:t>
      </w:r>
      <w:r w:rsidR="00C62E3F">
        <w:t xml:space="preserve">, </w:t>
      </w:r>
      <w:r w:rsidRPr="00E410F0">
        <w:t>Exercise Physiologists</w:t>
      </w:r>
      <w:r w:rsidR="00C62E3F">
        <w:t xml:space="preserve">, </w:t>
      </w:r>
      <w:r w:rsidRPr="00E410F0">
        <w:t>Podiatrists</w:t>
      </w:r>
      <w:r w:rsidR="00C62E3F">
        <w:t xml:space="preserve">, and </w:t>
      </w:r>
      <w:r w:rsidRPr="00E410F0">
        <w:t xml:space="preserve">Medical </w:t>
      </w:r>
      <w:r w:rsidR="007A0FFA">
        <w:t>Officers (</w:t>
      </w:r>
      <w:r>
        <w:t>including orthopaedic surgeons, consultants and specialists</w:t>
      </w:r>
      <w:r w:rsidR="007A0FFA">
        <w:t>)</w:t>
      </w:r>
      <w:r w:rsidR="00FE497F">
        <w:t xml:space="preserve"> </w:t>
      </w:r>
      <w:r w:rsidR="00C62E3F">
        <w:t>can all</w:t>
      </w:r>
      <w:r w:rsidR="00FE497F">
        <w:t xml:space="preserve"> refer internally via DHR, or externally via CHI</w:t>
      </w:r>
    </w:p>
    <w:p w14:paraId="2A5E56FB" w14:textId="77B3E06F" w:rsidR="009E167D" w:rsidRPr="00E410F0" w:rsidRDefault="009E167D" w:rsidP="007A0FFA">
      <w:pPr>
        <w:pStyle w:val="Bullet"/>
        <w:rPr>
          <w:b/>
          <w:bCs/>
          <w:iCs/>
        </w:rPr>
      </w:pPr>
      <w:r w:rsidRPr="00E410F0">
        <w:t xml:space="preserve">Self-referrals </w:t>
      </w:r>
      <w:r w:rsidR="00FE497F">
        <w:t>-</w:t>
      </w:r>
      <w:r w:rsidRPr="00E410F0">
        <w:t xml:space="preserve"> </w:t>
      </w:r>
      <w:r w:rsidR="007A0FFA">
        <w:t>p</w:t>
      </w:r>
      <w:r w:rsidRPr="00E410F0">
        <w:t>hone CHI</w:t>
      </w:r>
      <w:r w:rsidR="00FE497F" w:rsidRPr="00FE497F">
        <w:t xml:space="preserve"> (02) 5124 9977</w:t>
      </w:r>
      <w:r w:rsidR="007A0FFA">
        <w:t>.</w:t>
      </w:r>
      <w:r w:rsidR="009312D2">
        <w:t xml:space="preserve"> </w:t>
      </w:r>
    </w:p>
    <w:p w14:paraId="57D4F287" w14:textId="33C6E7AD" w:rsidR="009E167D" w:rsidRDefault="009312D2" w:rsidP="00E635F3">
      <w:r>
        <w:lastRenderedPageBreak/>
        <w:t>All referr</w:t>
      </w:r>
      <w:r w:rsidRPr="007A0FFA">
        <w:t xml:space="preserve">als must include sufficient information to enable efficient triaging as detailed in the </w:t>
      </w:r>
      <w:r w:rsidR="007A0FFA" w:rsidRPr="007A0FFA">
        <w:t>P</w:t>
      </w:r>
      <w:r w:rsidRPr="007A0FFA">
        <w:t xml:space="preserve">atient </w:t>
      </w:r>
      <w:r w:rsidR="007A0FFA" w:rsidRPr="007A0FFA">
        <w:t>I</w:t>
      </w:r>
      <w:r w:rsidRPr="007A0FFA">
        <w:t xml:space="preserve">nformation and </w:t>
      </w:r>
      <w:r w:rsidR="007A0FFA" w:rsidRPr="0078359D">
        <w:t>R</w:t>
      </w:r>
      <w:r w:rsidRPr="007A0FFA">
        <w:t xml:space="preserve">eferral </w:t>
      </w:r>
      <w:r w:rsidR="007A0FFA" w:rsidRPr="0078359D">
        <w:t>f</w:t>
      </w:r>
      <w:r w:rsidRPr="007A0FFA">
        <w:t>orm</w:t>
      </w:r>
      <w:r w:rsidR="0084145A" w:rsidRPr="007A0FFA">
        <w:t xml:space="preserve">: </w:t>
      </w:r>
      <w:hyperlink r:id="rId13" w:history="1">
        <w:r w:rsidR="0084145A" w:rsidRPr="007A0FFA">
          <w:rPr>
            <w:rStyle w:val="Hyperlink"/>
          </w:rPr>
          <w:t>CHI referral form</w:t>
        </w:r>
      </w:hyperlink>
      <w:r w:rsidR="007A0FFA" w:rsidRPr="0078359D">
        <w:rPr>
          <w:rStyle w:val="Hyperlink"/>
          <w:u w:val="none"/>
        </w:rPr>
        <w:t xml:space="preserve"> (located on the Clinical Forms Register, form 251145)</w:t>
      </w:r>
      <w:r w:rsidR="0084145A" w:rsidRPr="007A0FFA">
        <w:t xml:space="preserve">. Please use ISBAR format in DHR when placing an order (see </w:t>
      </w:r>
      <w:r w:rsidR="0084145A" w:rsidRPr="0078359D">
        <w:rPr>
          <w:i/>
          <w:iCs/>
        </w:rPr>
        <w:t xml:space="preserve">Clinical Handover </w:t>
      </w:r>
      <w:r w:rsidR="007A0FFA" w:rsidRPr="0078359D">
        <w:rPr>
          <w:i/>
          <w:iCs/>
        </w:rPr>
        <w:t>P</w:t>
      </w:r>
      <w:r w:rsidR="0084145A" w:rsidRPr="0078359D">
        <w:rPr>
          <w:i/>
          <w:iCs/>
        </w:rPr>
        <w:t>rocedure</w:t>
      </w:r>
      <w:r w:rsidR="0084145A" w:rsidRPr="007A0FFA">
        <w:t xml:space="preserve"> </w:t>
      </w:r>
      <w:r w:rsidR="007A0FFA" w:rsidRPr="0078359D">
        <w:t>located on the Policy and Guidance Documents Register</w:t>
      </w:r>
      <w:r w:rsidR="0084145A" w:rsidRPr="007A0FFA">
        <w:t>).</w:t>
      </w:r>
    </w:p>
    <w:p w14:paraId="5230142A" w14:textId="77777777" w:rsidR="00EB7896" w:rsidRDefault="00EB7896" w:rsidP="00E635F3"/>
    <w:p w14:paraId="3AC11727" w14:textId="77777777" w:rsidR="00820B8A" w:rsidRPr="00221C17" w:rsidRDefault="00820B8A" w:rsidP="00820B8A">
      <w:pPr>
        <w:pStyle w:val="Heading4"/>
      </w:pPr>
      <w:r w:rsidRPr="00221C17">
        <w:t>Ortho</w:t>
      </w:r>
      <w:r>
        <w:t>paedic</w:t>
      </w:r>
      <w:r w:rsidRPr="00221C17">
        <w:t xml:space="preserve"> </w:t>
      </w:r>
      <w:r>
        <w:t>S</w:t>
      </w:r>
      <w:r w:rsidRPr="00221C17">
        <w:t xml:space="preserve">creening </w:t>
      </w:r>
      <w:r>
        <w:t>C</w:t>
      </w:r>
      <w:r w:rsidRPr="00221C17">
        <w:t>linic</w:t>
      </w:r>
      <w:r>
        <w:t xml:space="preserve"> (OSC)</w:t>
      </w:r>
      <w:r w:rsidRPr="00221C17">
        <w:t xml:space="preserve"> </w:t>
      </w:r>
    </w:p>
    <w:p w14:paraId="7E76672E" w14:textId="7E4351B5" w:rsidR="007A0FFA" w:rsidRDefault="00820B8A" w:rsidP="007A0FFA">
      <w:pPr>
        <w:pStyle w:val="BodyCopy"/>
      </w:pPr>
      <w:r>
        <w:t>CHS has established an outpatient physiotherapy-led orthopaedic screening clinic (OSC) at Canberra Hospital</w:t>
      </w:r>
      <w:r w:rsidR="007A0FFA">
        <w:t>. It is</w:t>
      </w:r>
      <w:r>
        <w:t xml:space="preserve"> staffed by advanced and extended scope practitioner physiotherapists</w:t>
      </w:r>
      <w:r w:rsidR="007F010B">
        <w:t xml:space="preserve"> (AMPs and ESPs)</w:t>
      </w:r>
      <w:r>
        <w:t xml:space="preserve">. </w:t>
      </w:r>
      <w:r w:rsidRPr="008B578F">
        <w:t xml:space="preserve">Patients referred to Orthopaedic Outpatients for </w:t>
      </w:r>
      <w:r>
        <w:t xml:space="preserve">any </w:t>
      </w:r>
      <w:r w:rsidRPr="008B578F">
        <w:t>elective procedure are triaged by a team of suitably trained physiotherapists. These physiotherapists make decisions about the urgency of the referral and the most suitable clinic at which the consultation should take place</w:t>
      </w:r>
      <w:r>
        <w:t xml:space="preserve"> (see</w:t>
      </w:r>
      <w:r w:rsidR="007A0FFA">
        <w:t xml:space="preserve"> </w:t>
      </w:r>
      <w:r w:rsidR="007A0FFA" w:rsidRPr="0078359D">
        <w:rPr>
          <w:i/>
        </w:rPr>
        <w:t>Triaging of Outpatient Referrals for Consultation with Orthopaedic Specialists Guideline</w:t>
      </w:r>
      <w:r w:rsidR="007A0FFA">
        <w:t xml:space="preserve"> </w:t>
      </w:r>
      <w:r w:rsidR="00336151">
        <w:t>Located</w:t>
      </w:r>
      <w:r w:rsidR="007A0FFA">
        <w:t xml:space="preserve"> on the Policy and Guidance Documents Register</w:t>
      </w:r>
      <w:r>
        <w:t>). OA knee patients are included in this process, being triaged and assessed from referrals made by GPs, health professionals and consultants. If they meet the necessary criteria, these patients are referred on to the OSC</w:t>
      </w:r>
      <w:r w:rsidR="007A0FFA">
        <w:t xml:space="preserve">. </w:t>
      </w:r>
    </w:p>
    <w:p w14:paraId="0CE5D96A" w14:textId="464A6A3D" w:rsidR="00820B8A" w:rsidRPr="0013037E" w:rsidRDefault="007A0FFA" w:rsidP="0078359D">
      <w:pPr>
        <w:pStyle w:val="BodyCopy"/>
      </w:pPr>
      <w:r>
        <w:t xml:space="preserve">Here </w:t>
      </w:r>
      <w:r w:rsidR="00820B8A">
        <w:t>they receive the above comprehensive assessment, including</w:t>
      </w:r>
      <w:r>
        <w:t xml:space="preserve"> a</w:t>
      </w:r>
      <w:r w:rsidR="00820B8A">
        <w:t xml:space="preserve"> detailed case history to identify any prevalent co-morbidities (e.g. hypertension, obesity, depression, cardiovascular disease, renal disease, and gastrointestinal disease). Co-morbidities should be identified by a health professional to ascertain any relevant contraindications or precautions to treatments, especially surgery. In the context of complex comorbidities, inflammatory arthropathy, large joint effusions, or other red flag conditions, specialist medical assessment may be indicated (e.g. by rheumatology, rehabilitation medicine, sport</w:t>
      </w:r>
      <w:r w:rsidR="00336151">
        <w:t xml:space="preserve"> a</w:t>
      </w:r>
      <w:r w:rsidR="00820B8A">
        <w:t xml:space="preserve">nd exercise medicine). </w:t>
      </w:r>
    </w:p>
    <w:p w14:paraId="68D27433" w14:textId="24C7C0BB" w:rsidR="00820B8A" w:rsidRPr="00AE2FF1" w:rsidRDefault="004D370C" w:rsidP="0078359D">
      <w:pPr>
        <w:pStyle w:val="BodyCopy"/>
      </w:pPr>
      <w:r>
        <w:t>All referring health professionals must be careful with their language when talking to patients with OA (</w:t>
      </w:r>
      <w:proofErr w:type="spellStart"/>
      <w:r>
        <w:t>Bunzli</w:t>
      </w:r>
      <w:proofErr w:type="spellEnd"/>
      <w:r>
        <w:t xml:space="preserve"> 2023). Language should be used which encourages patient empowerment and decreases the distress experienced. </w:t>
      </w:r>
      <w:r w:rsidR="00820B8A">
        <w:t xml:space="preserve">Psychological therapies may be indicated in patients presenting with psychological impairments such as distress, anxiety, depression, or other mood disorders. </w:t>
      </w:r>
      <w:r>
        <w:t>Health professionals</w:t>
      </w:r>
      <w:r w:rsidR="00820B8A">
        <w:t xml:space="preserve"> may refer patients on to services such as the Pain Management Service, the adult mental health service or clinical psychology services, in consultation with each patient. </w:t>
      </w:r>
    </w:p>
    <w:p w14:paraId="0890123D"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1A187485" w14:textId="77777777" w:rsidR="0078367D" w:rsidRDefault="0078367D" w:rsidP="0078367D">
      <w:pPr>
        <w:pStyle w:val="Heading2"/>
      </w:pPr>
      <w:bookmarkStart w:id="6" w:name="_Toc192163823"/>
      <w:r>
        <w:t xml:space="preserve">Section 2 - </w:t>
      </w:r>
      <w:r w:rsidR="00E410F0" w:rsidRPr="00E410F0">
        <w:t>Appropriate use of imaging</w:t>
      </w:r>
      <w:bookmarkEnd w:id="6"/>
    </w:p>
    <w:p w14:paraId="33F2B693" w14:textId="7B0D556D" w:rsidR="00820B8A" w:rsidRPr="0078359D" w:rsidRDefault="00820B8A" w:rsidP="0078359D">
      <w:pPr>
        <w:pBdr>
          <w:top w:val="single" w:sz="4" w:space="1" w:color="auto"/>
          <w:left w:val="single" w:sz="4" w:space="4" w:color="auto"/>
          <w:bottom w:val="single" w:sz="4" w:space="1" w:color="auto"/>
          <w:right w:val="single" w:sz="4" w:space="4" w:color="auto"/>
        </w:pBdr>
        <w:rPr>
          <w:rFonts w:cs="Open Sans"/>
          <w:b/>
          <w:bCs/>
          <w:color w:val="000000"/>
        </w:rPr>
      </w:pPr>
      <w:r w:rsidRPr="0078359D">
        <w:rPr>
          <w:rFonts w:cs="Open Sans"/>
          <w:b/>
          <w:bCs/>
          <w:color w:val="000000"/>
        </w:rPr>
        <w:t xml:space="preserve">Note </w:t>
      </w:r>
    </w:p>
    <w:p w14:paraId="373ADB4C" w14:textId="4CDE360C" w:rsidR="00B62D7D" w:rsidRPr="0078359D" w:rsidRDefault="00820B8A" w:rsidP="0078359D">
      <w:pPr>
        <w:pBdr>
          <w:top w:val="single" w:sz="4" w:space="1" w:color="auto"/>
          <w:left w:val="single" w:sz="4" w:space="4" w:color="auto"/>
          <w:bottom w:val="single" w:sz="4" w:space="1" w:color="auto"/>
          <w:right w:val="single" w:sz="4" w:space="4" w:color="auto"/>
        </w:pBdr>
        <w:rPr>
          <w:rFonts w:cs="Open Sans"/>
          <w:color w:val="000000"/>
        </w:rPr>
      </w:pPr>
      <w:r w:rsidRPr="0078359D">
        <w:rPr>
          <w:rFonts w:cs="Open Sans"/>
          <w:color w:val="000000"/>
        </w:rPr>
        <w:t>“</w:t>
      </w:r>
      <w:r w:rsidR="00B62D7D" w:rsidRPr="0078359D">
        <w:rPr>
          <w:rFonts w:cs="Open Sans"/>
          <w:color w:val="000000"/>
        </w:rPr>
        <w:t xml:space="preserve">Imaging is not routinely used to diagnose knee osteoarthritis and is not offered to a patient with suspected knee osteoarthritis. When clinically warranted, X-ray is the first-line imaging. Magnetic resonance imaging (MRI), computerised tomography (CT) and ultrasound are not appropriate investigations to diagnose knee osteoarthritis. The limited value of imaging is </w:t>
      </w:r>
      <w:r w:rsidR="00B62D7D" w:rsidRPr="0078359D">
        <w:rPr>
          <w:rFonts w:cs="Open Sans"/>
          <w:color w:val="000000"/>
        </w:rPr>
        <w:lastRenderedPageBreak/>
        <w:t>discussed with the patient, including that imaging results are not required for effective non</w:t>
      </w:r>
      <w:r w:rsidR="00B62D7D" w:rsidRPr="0078359D">
        <w:rPr>
          <w:rFonts w:cs="Open Sans"/>
          <w:color w:val="000000"/>
        </w:rPr>
        <w:noBreakHyphen/>
        <w:t>surgical management.</w:t>
      </w:r>
      <w:r w:rsidRPr="0078359D">
        <w:rPr>
          <w:rFonts w:cs="Open Sans"/>
          <w:color w:val="000000"/>
        </w:rPr>
        <w:t>”</w:t>
      </w:r>
      <w:r w:rsidR="00B62D7D" w:rsidRPr="0078359D">
        <w:t xml:space="preserve"> </w:t>
      </w:r>
      <w:r w:rsidR="00B62D7D" w:rsidRPr="0078359D">
        <w:rPr>
          <w:rFonts w:cs="Open Sans"/>
          <w:color w:val="000000"/>
        </w:rPr>
        <w:t>(Australian Commission on Safety and Quality in Health Care 2024)</w:t>
      </w:r>
    </w:p>
    <w:p w14:paraId="67FBC94D" w14:textId="596191DF" w:rsidR="00B62D7D" w:rsidRDefault="005F50A3" w:rsidP="00B62D7D">
      <w:r>
        <w:t xml:space="preserve">Knee </w:t>
      </w:r>
      <w:r w:rsidR="00B62D7D">
        <w:t xml:space="preserve">OA can be diagnosed clinically by a </w:t>
      </w:r>
      <w:r w:rsidR="008A570F">
        <w:t>medical doctor or physiotherapist</w:t>
      </w:r>
      <w:r w:rsidR="00B62D7D">
        <w:t xml:space="preserve"> </w:t>
      </w:r>
      <w:r w:rsidR="00B62D7D" w:rsidRPr="00792F6A">
        <w:rPr>
          <w:b/>
          <w:bCs/>
        </w:rPr>
        <w:t>without the need for imaging</w:t>
      </w:r>
      <w:r w:rsidR="00B62D7D">
        <w:t>. Magnetic resonance imaging (MRI) is not required unless a specific differential diagnosis is needed for an atypical presentation.</w:t>
      </w:r>
    </w:p>
    <w:p w14:paraId="339429D3" w14:textId="35DA506F" w:rsidR="003711D1" w:rsidRDefault="00E410F0" w:rsidP="00E410F0">
      <w:r w:rsidRPr="002C4826">
        <w:t xml:space="preserve">Plain </w:t>
      </w:r>
      <w:r>
        <w:t>x</w:t>
      </w:r>
      <w:r w:rsidRPr="002C4826">
        <w:t>-</w:t>
      </w:r>
      <w:r>
        <w:t>r</w:t>
      </w:r>
      <w:r w:rsidRPr="002C4826">
        <w:t xml:space="preserve">ay services can be requested </w:t>
      </w:r>
      <w:r>
        <w:t xml:space="preserve">during </w:t>
      </w:r>
      <w:r w:rsidR="00DF5BB2">
        <w:t xml:space="preserve">an </w:t>
      </w:r>
      <w:r>
        <w:t>OSC appointment</w:t>
      </w:r>
      <w:r w:rsidR="00DF5BB2">
        <w:t xml:space="preserve"> </w:t>
      </w:r>
      <w:r w:rsidR="00B62D7D">
        <w:t>if necessary</w:t>
      </w:r>
      <w:r w:rsidR="00DF5BB2">
        <w:t xml:space="preserve"> </w:t>
      </w:r>
      <w:r w:rsidR="00DF5BB2">
        <w:rPr>
          <w:iCs/>
        </w:rPr>
        <w:t xml:space="preserve">(see </w:t>
      </w:r>
      <w:r w:rsidR="007A0FFA" w:rsidRPr="00C27843">
        <w:rPr>
          <w:i/>
        </w:rPr>
        <w:t>Triaging of Outpatient Referrals for Consultation with Orthopaedic Specialists Guideline</w:t>
      </w:r>
      <w:r w:rsidR="007A0FFA">
        <w:rPr>
          <w:iCs/>
        </w:rPr>
        <w:t xml:space="preserve"> located on the Policy and Guidance Documents Register </w:t>
      </w:r>
      <w:r w:rsidR="00DF5BB2">
        <w:rPr>
          <w:iCs/>
        </w:rPr>
        <w:t>for details)</w:t>
      </w:r>
      <w:r>
        <w:t xml:space="preserve">. </w:t>
      </w:r>
      <w:r w:rsidR="003711D1">
        <w:t xml:space="preserve">Circumstances for necessary </w:t>
      </w:r>
      <w:r w:rsidR="00DF5BB2">
        <w:t>x-ray</w:t>
      </w:r>
      <w:r w:rsidR="003711D1">
        <w:t xml:space="preserve"> include:</w:t>
      </w:r>
    </w:p>
    <w:p w14:paraId="242E6F99" w14:textId="134C7FA7" w:rsidR="003711D1" w:rsidRPr="00943576" w:rsidRDefault="007A0FFA" w:rsidP="0078359D">
      <w:pPr>
        <w:pStyle w:val="Bullet"/>
      </w:pPr>
      <w:r>
        <w:t>a</w:t>
      </w:r>
      <w:r w:rsidR="003711D1" w:rsidRPr="00943576">
        <w:t>lternative diagnoses</w:t>
      </w:r>
      <w:r w:rsidR="00DF5BB2">
        <w:t xml:space="preserve"> to OA</w:t>
      </w:r>
      <w:r w:rsidR="003711D1" w:rsidRPr="00943576">
        <w:t xml:space="preserve"> are suspected</w:t>
      </w:r>
      <w:r w:rsidR="00943576">
        <w:t>.</w:t>
      </w:r>
      <w:r w:rsidR="003711D1" w:rsidRPr="00943576">
        <w:t xml:space="preserve"> </w:t>
      </w:r>
    </w:p>
    <w:p w14:paraId="247C0212" w14:textId="78C9EE86" w:rsidR="003711D1" w:rsidRPr="00943576" w:rsidRDefault="007A0FFA" w:rsidP="0078359D">
      <w:pPr>
        <w:pStyle w:val="Bullet"/>
      </w:pPr>
      <w:r>
        <w:t>a</w:t>
      </w:r>
      <w:r w:rsidR="003711D1" w:rsidRPr="00943576">
        <w:t>typical features are apparent</w:t>
      </w:r>
      <w:r w:rsidR="00943576">
        <w:t>.</w:t>
      </w:r>
      <w:r w:rsidR="003711D1" w:rsidRPr="00943576">
        <w:t xml:space="preserve"> </w:t>
      </w:r>
    </w:p>
    <w:p w14:paraId="44683CF0" w14:textId="75D0881B" w:rsidR="003711D1" w:rsidRPr="00943576" w:rsidRDefault="007A0FFA" w:rsidP="0078359D">
      <w:pPr>
        <w:pStyle w:val="Bullet"/>
      </w:pPr>
      <w:r>
        <w:t>s</w:t>
      </w:r>
      <w:r w:rsidR="003711D1" w:rsidRPr="00943576">
        <w:t>ymptoms have rapidly worsened</w:t>
      </w:r>
      <w:r w:rsidR="00943576">
        <w:t>.</w:t>
      </w:r>
      <w:r w:rsidR="003711D1" w:rsidRPr="00943576">
        <w:t xml:space="preserve"> </w:t>
      </w:r>
    </w:p>
    <w:p w14:paraId="509E081D" w14:textId="5C0276B5" w:rsidR="00943576" w:rsidRDefault="007A0FFA" w:rsidP="0078359D">
      <w:pPr>
        <w:pStyle w:val="Bullet"/>
      </w:pPr>
      <w:r>
        <w:rPr>
          <w:rStyle w:val="A13"/>
          <w:rFonts w:ascii="Arial" w:eastAsia="Calibri" w:cs="Arial"/>
          <w:sz w:val="24"/>
          <w:szCs w:val="24"/>
        </w:rPr>
        <w:t>i</w:t>
      </w:r>
      <w:r w:rsidR="00943576" w:rsidRPr="00943576">
        <w:rPr>
          <w:rStyle w:val="A13"/>
          <w:rFonts w:ascii="Arial" w:eastAsia="Calibri" w:cs="Arial"/>
          <w:sz w:val="24"/>
          <w:szCs w:val="24"/>
        </w:rPr>
        <w:t>mmediate s</w:t>
      </w:r>
      <w:r w:rsidR="003711D1" w:rsidRPr="00943576">
        <w:t>urgery is being considered.</w:t>
      </w:r>
    </w:p>
    <w:p w14:paraId="3FE2485D" w14:textId="77777777" w:rsidR="00943576" w:rsidRPr="00943576" w:rsidRDefault="00943576" w:rsidP="00943576">
      <w:pPr>
        <w:pStyle w:val="ListParagraph"/>
        <w:rPr>
          <w:rFonts w:ascii="Arial" w:hAnsi="Arial" w:cs="Arial"/>
          <w:color w:val="000000"/>
        </w:rPr>
      </w:pPr>
    </w:p>
    <w:p w14:paraId="144D111D" w14:textId="6C306C36" w:rsidR="00B03D87" w:rsidRDefault="00E410F0" w:rsidP="0078359D">
      <w:pPr>
        <w:pStyle w:val="BodyCopy"/>
      </w:pPr>
      <w:r>
        <w:t xml:space="preserve">The AMPs and ESPs will determine the need for </w:t>
      </w:r>
      <w:r w:rsidR="00DF5BB2">
        <w:t>x-ray</w:t>
      </w:r>
      <w:r>
        <w:t xml:space="preserve"> and refer the</w:t>
      </w:r>
      <w:r w:rsidR="00B03D87">
        <w:t xml:space="preserve"> patient</w:t>
      </w:r>
      <w:r>
        <w:t xml:space="preserve"> to the CHS Medical Imaging department. Should further imaging such as </w:t>
      </w:r>
      <w:r w:rsidR="00D638FB">
        <w:t>magnetic resonance imaging (</w:t>
      </w:r>
      <w:r>
        <w:t>MRI</w:t>
      </w:r>
      <w:r w:rsidR="00D638FB">
        <w:t>)</w:t>
      </w:r>
      <w:r>
        <w:t xml:space="preserve">, </w:t>
      </w:r>
      <w:r w:rsidR="00D638FB">
        <w:t>computed tomography (</w:t>
      </w:r>
      <w:r w:rsidR="00DF5500">
        <w:t>CT</w:t>
      </w:r>
      <w:r w:rsidR="00D638FB">
        <w:t xml:space="preserve">) </w:t>
      </w:r>
      <w:r>
        <w:t>or ultrasound</w:t>
      </w:r>
      <w:r w:rsidR="00D638FB">
        <w:t xml:space="preserve"> (US)</w:t>
      </w:r>
      <w:r>
        <w:t xml:space="preserve"> scan</w:t>
      </w:r>
      <w:r>
        <w:fldChar w:fldCharType="begin"/>
      </w:r>
      <w:r>
        <w:instrText xml:space="preserve"> XE "</w:instrText>
      </w:r>
      <w:r w:rsidRPr="007A5920">
        <w:instrText>ultrasound scan:USS</w:instrText>
      </w:r>
      <w:r>
        <w:instrText xml:space="preserve">" </w:instrText>
      </w:r>
      <w:r>
        <w:fldChar w:fldCharType="end"/>
      </w:r>
      <w:r>
        <w:t xml:space="preserve"> be clinically indicated, the AMPs and ESPs will discuss the case with the</w:t>
      </w:r>
      <w:r w:rsidR="00D638FB">
        <w:t xml:space="preserve"> duty o</w:t>
      </w:r>
      <w:r>
        <w:t>rthopaedic consultant, who, if in agreement, will place the imaging request</w:t>
      </w:r>
      <w:r w:rsidR="00D638FB">
        <w:t xml:space="preserve"> using DHR</w:t>
      </w:r>
      <w:r>
        <w:t>. In this case, private or CHS imaging services can be utilised depending on the patient’s preference. In the case of a private referral, the imaging referral will be provided to the patient</w:t>
      </w:r>
      <w:r w:rsidR="0016671D">
        <w:t xml:space="preserve"> who will then be responsible for organising the appointment</w:t>
      </w:r>
      <w:r>
        <w:t>. For CHS imaging, the Medical Imaging Department</w:t>
      </w:r>
      <w:r w:rsidR="0016671D">
        <w:t>s</w:t>
      </w:r>
      <w:r>
        <w:t xml:space="preserve"> will schedule the appointment and contact the patient according to their business rules. It is incumbent upon the AMP/ESP to follow up on any imaging requests</w:t>
      </w:r>
      <w:r w:rsidR="001B447A">
        <w:t xml:space="preserve"> </w:t>
      </w:r>
      <w:r w:rsidR="00D638FB">
        <w:t>results and</w:t>
      </w:r>
      <w:r w:rsidR="001B447A">
        <w:t xml:space="preserve"> liaise with</w:t>
      </w:r>
      <w:r>
        <w:t xml:space="preserve"> the requesting consultant (where appropriate) to finalise the diagnosis and management plan</w:t>
      </w:r>
      <w:r w:rsidR="00DF5BB2">
        <w:t xml:space="preserve"> (see</w:t>
      </w:r>
      <w:r w:rsidR="007A0FFA">
        <w:t xml:space="preserve"> </w:t>
      </w:r>
      <w:r w:rsidR="007A0FFA" w:rsidRPr="00C27843">
        <w:rPr>
          <w:i/>
        </w:rPr>
        <w:t>Triaging of Outpatient Referrals for Consultation with Orthopaedic Specialists Guideline</w:t>
      </w:r>
      <w:r w:rsidR="007A0FFA">
        <w:t xml:space="preserve"> located on the Policy and Guidance Documents Register </w:t>
      </w:r>
      <w:r w:rsidR="00DF5BB2">
        <w:t>for details)</w:t>
      </w:r>
      <w:r>
        <w:t>.</w:t>
      </w:r>
    </w:p>
    <w:p w14:paraId="6B963EA1" w14:textId="77777777" w:rsidR="00481A6C" w:rsidRDefault="00E410F0" w:rsidP="00E410F0">
      <w:pPr>
        <w:pStyle w:val="BodyCopy"/>
      </w:pPr>
      <w:r>
        <w:t xml:space="preserve"> </w:t>
      </w:r>
      <w:hyperlink w:anchor="_top" w:history="1">
        <w:r w:rsidR="00481A6C" w:rsidRPr="00481A6C">
          <w:rPr>
            <w:rStyle w:val="Hyperlink"/>
            <w:iCs w:val="0"/>
          </w:rPr>
          <w:t>Back to Contents</w:t>
        </w:r>
      </w:hyperlink>
    </w:p>
    <w:p w14:paraId="7DED900F" w14:textId="77777777" w:rsidR="0078367D" w:rsidRDefault="0078367D" w:rsidP="0078367D">
      <w:pPr>
        <w:pStyle w:val="Heading2"/>
      </w:pPr>
      <w:bookmarkStart w:id="7" w:name="_Toc192163824"/>
      <w:r w:rsidRPr="0078367D">
        <w:t xml:space="preserve">Section </w:t>
      </w:r>
      <w:r w:rsidR="00B03D87">
        <w:t>3</w:t>
      </w:r>
      <w:r w:rsidRPr="0078367D">
        <w:t xml:space="preserve"> - </w:t>
      </w:r>
      <w:r w:rsidR="00B03D87" w:rsidRPr="00B03D87">
        <w:t>Education and self-management</w:t>
      </w:r>
      <w:bookmarkEnd w:id="7"/>
    </w:p>
    <w:p w14:paraId="0429D094" w14:textId="6E6D36F3"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 xml:space="preserve">Note </w:t>
      </w:r>
    </w:p>
    <w:p w14:paraId="1DBC8D1B" w14:textId="22119D98" w:rsidR="00B62D7D" w:rsidRPr="0078359D" w:rsidRDefault="00820B8A" w:rsidP="2C1FC818">
      <w:pPr>
        <w:pStyle w:val="BodyCopy"/>
        <w:pBdr>
          <w:top w:val="single" w:sz="4" w:space="1" w:color="auto"/>
          <w:left w:val="single" w:sz="4" w:space="4" w:color="auto"/>
          <w:bottom w:val="single" w:sz="4" w:space="1" w:color="auto"/>
          <w:right w:val="single" w:sz="4" w:space="4" w:color="auto"/>
        </w:pBdr>
        <w:rPr>
          <w:rFonts w:cs="Open Sans"/>
          <w:color w:val="000000"/>
        </w:rPr>
      </w:pPr>
      <w:r w:rsidRPr="2C1FC818">
        <w:rPr>
          <w:rFonts w:cs="Open Sans"/>
        </w:rPr>
        <w:t>“</w:t>
      </w:r>
      <w:r w:rsidR="00B62D7D" w:rsidRPr="2C1FC818">
        <w:rPr>
          <w:rFonts w:cs="Open Sans"/>
        </w:rPr>
        <w:t xml:space="preserve">Information about knee osteoarthritis and treatment options is discussed with the patient. The patient participates in developing an individualised </w:t>
      </w:r>
      <w:r w:rsidR="00EB5F30" w:rsidRPr="2C1FC818">
        <w:rPr>
          <w:rFonts w:cs="Open Sans"/>
        </w:rPr>
        <w:t>self-management</w:t>
      </w:r>
      <w:r w:rsidR="00B62D7D" w:rsidRPr="2C1FC818">
        <w:rPr>
          <w:rFonts w:cs="Open Sans"/>
        </w:rPr>
        <w:t xml:space="preserve"> plan that addresses their physical, functional, and psychosocial health needs.</w:t>
      </w:r>
      <w:r w:rsidRPr="2C1FC818">
        <w:rPr>
          <w:rFonts w:cs="Open Sans"/>
        </w:rPr>
        <w:t>”</w:t>
      </w:r>
      <w:r w:rsidR="00B62D7D" w:rsidRPr="2C1FC818">
        <w:rPr>
          <w:rFonts w:cs="Open Sans"/>
        </w:rPr>
        <w:t xml:space="preserve"> (Australian Commission on Safety and Quality in Health Care 2024)</w:t>
      </w:r>
    </w:p>
    <w:p w14:paraId="348EB1B1" w14:textId="7E98C855" w:rsidR="00A816AF" w:rsidRDefault="00A816AF" w:rsidP="00481A6C">
      <w:pPr>
        <w:pStyle w:val="BodyCopy"/>
        <w:rPr>
          <w:rFonts w:cs="Open Sans"/>
          <w:color w:val="000000"/>
        </w:rPr>
      </w:pPr>
      <w:r w:rsidRPr="00A816AF">
        <w:rPr>
          <w:rFonts w:cs="Open Sans"/>
          <w:color w:val="000000"/>
        </w:rPr>
        <w:lastRenderedPageBreak/>
        <w:t xml:space="preserve">Education and support </w:t>
      </w:r>
      <w:r>
        <w:rPr>
          <w:rFonts w:cs="Open Sans"/>
          <w:color w:val="000000"/>
        </w:rPr>
        <w:t>must</w:t>
      </w:r>
      <w:r w:rsidRPr="00A816AF">
        <w:rPr>
          <w:rFonts w:cs="Open Sans"/>
          <w:color w:val="000000"/>
        </w:rPr>
        <w:t xml:space="preserve"> be tailored to an individual’s needs</w:t>
      </w:r>
      <w:r w:rsidR="007A0FFA">
        <w:rPr>
          <w:rFonts w:cs="Open Sans"/>
          <w:color w:val="000000"/>
        </w:rPr>
        <w:t>. These</w:t>
      </w:r>
      <w:r w:rsidRPr="00A816AF">
        <w:rPr>
          <w:rFonts w:cs="Open Sans"/>
          <w:color w:val="000000"/>
        </w:rPr>
        <w:t xml:space="preserve"> will vary depending on the</w:t>
      </w:r>
      <w:r w:rsidR="007A0FFA">
        <w:rPr>
          <w:rFonts w:cs="Open Sans"/>
          <w:color w:val="000000"/>
        </w:rPr>
        <w:t>ir</w:t>
      </w:r>
      <w:r w:rsidRPr="00A816AF">
        <w:rPr>
          <w:rFonts w:cs="Open Sans"/>
          <w:color w:val="000000"/>
        </w:rPr>
        <w:t xml:space="preserve"> type of </w:t>
      </w:r>
      <w:r w:rsidR="004D4A55">
        <w:rPr>
          <w:rFonts w:cs="Open Sans"/>
          <w:color w:val="000000"/>
        </w:rPr>
        <w:t>knee OA</w:t>
      </w:r>
      <w:r w:rsidRPr="00A816AF">
        <w:rPr>
          <w:rFonts w:cs="Open Sans"/>
          <w:color w:val="000000"/>
        </w:rPr>
        <w:t>, age at diagnosis, comorbidities, and the severity and duration of their condition.</w:t>
      </w:r>
    </w:p>
    <w:p w14:paraId="29DBE9FF" w14:textId="77777777" w:rsidR="00EB7896" w:rsidRDefault="00EB7896" w:rsidP="00481A6C">
      <w:pPr>
        <w:pStyle w:val="BodyCopy"/>
        <w:rPr>
          <w:rFonts w:cs="Open Sans"/>
          <w:color w:val="000000"/>
        </w:rPr>
      </w:pPr>
    </w:p>
    <w:p w14:paraId="0C4B4743" w14:textId="77777777" w:rsidR="00EB7896" w:rsidRDefault="00EB7896" w:rsidP="00481A6C">
      <w:pPr>
        <w:pStyle w:val="BodyCopy"/>
        <w:rPr>
          <w:rFonts w:cs="Open Sans"/>
          <w:color w:val="000000"/>
        </w:rPr>
      </w:pPr>
    </w:p>
    <w:p w14:paraId="67FC0EC7" w14:textId="77777777" w:rsidR="00EB7896" w:rsidRDefault="00EB7896" w:rsidP="00481A6C">
      <w:pPr>
        <w:pStyle w:val="BodyCopy"/>
        <w:rPr>
          <w:rFonts w:cs="Open Sans"/>
          <w:color w:val="000000"/>
        </w:rPr>
      </w:pPr>
    </w:p>
    <w:p w14:paraId="5805F6BB" w14:textId="77777777" w:rsidR="00EB7896" w:rsidRDefault="00EB7896" w:rsidP="00481A6C">
      <w:pPr>
        <w:pStyle w:val="BodyCopy"/>
        <w:rPr>
          <w:rFonts w:cs="Open Sans"/>
          <w:color w:val="000000"/>
        </w:rPr>
      </w:pPr>
    </w:p>
    <w:p w14:paraId="13993661" w14:textId="77777777" w:rsidR="00B66BF5" w:rsidRDefault="00B66BF5" w:rsidP="00B66BF5">
      <w:pPr>
        <w:pStyle w:val="Heading4"/>
      </w:pPr>
      <w:r>
        <w:t>Fundamental messages for education</w:t>
      </w:r>
    </w:p>
    <w:p w14:paraId="57F7C4A6" w14:textId="28171B7C" w:rsidR="00B66BF5" w:rsidRDefault="00B66BF5" w:rsidP="00B66BF5">
      <w:pPr>
        <w:pStyle w:val="BodyCopy"/>
        <w:rPr>
          <w:rFonts w:cs="Open Sans"/>
          <w:color w:val="000000"/>
        </w:rPr>
      </w:pPr>
      <w:r>
        <w:rPr>
          <w:rFonts w:cs="Open Sans"/>
          <w:color w:val="000000"/>
        </w:rPr>
        <w:t>Any education program which provides the following fundamental messages is of value:</w:t>
      </w:r>
    </w:p>
    <w:p w14:paraId="573FF57C" w14:textId="77777777" w:rsidR="00B66BF5" w:rsidRDefault="00B66BF5" w:rsidP="00B66BF5">
      <w:pPr>
        <w:pStyle w:val="Bullet"/>
      </w:pPr>
      <w:r>
        <w:t>Knee OA changes found on imaging do not predict symptoms experienced and disability levels.</w:t>
      </w:r>
    </w:p>
    <w:p w14:paraId="4BB98670" w14:textId="77777777" w:rsidR="00B66BF5" w:rsidRDefault="00B66BF5" w:rsidP="00B66BF5">
      <w:pPr>
        <w:pStyle w:val="Bullet"/>
      </w:pPr>
      <w:r>
        <w:t>Passive treatments such as acupuncture, dry needling, supplements, massage, laser, and other modalities are not evidence-based treatment for knee OA.</w:t>
      </w:r>
    </w:p>
    <w:p w14:paraId="27676236" w14:textId="46FD297D" w:rsidR="00B66BF5" w:rsidRDefault="00B66BF5" w:rsidP="00B66BF5">
      <w:pPr>
        <w:pStyle w:val="Bullet"/>
      </w:pPr>
      <w:r>
        <w:t>Invasive procedures such as arthroscop</w:t>
      </w:r>
      <w:r w:rsidR="00656482">
        <w:t>ic debridement</w:t>
      </w:r>
      <w:r>
        <w:t xml:space="preserve"> and </w:t>
      </w:r>
      <w:r w:rsidR="00656482">
        <w:t xml:space="preserve">ongoing </w:t>
      </w:r>
      <w:r>
        <w:t>injections are not evidence-based treatment for knee OA.</w:t>
      </w:r>
    </w:p>
    <w:p w14:paraId="442F7E32" w14:textId="77777777" w:rsidR="00B66BF5" w:rsidRDefault="00B66BF5" w:rsidP="00B66BF5">
      <w:pPr>
        <w:pStyle w:val="Bullet"/>
      </w:pPr>
      <w:r>
        <w:t>The language used by health professionals when speaking to a patient about knee OA may influence a patient’s ability to self-manage. Avoid language such as “bone on bone”, “wear and tear”, “irreversible damage” and other potentially unhelpful phrases.</w:t>
      </w:r>
    </w:p>
    <w:p w14:paraId="6D091010" w14:textId="77777777" w:rsidR="00B66BF5" w:rsidRDefault="00B66BF5" w:rsidP="00B66BF5">
      <w:pPr>
        <w:pStyle w:val="Bullet"/>
      </w:pPr>
      <w:r>
        <w:t xml:space="preserve">Exercise is key to managing knee OA but </w:t>
      </w:r>
      <w:r w:rsidRPr="00E37229">
        <w:rPr>
          <w:b/>
        </w:rPr>
        <w:t>must</w:t>
      </w:r>
      <w:r>
        <w:t xml:space="preserve"> be individually tailored to each patient’s needs, and abilities. Exercise must also be carefully graded which means patients start with light weights and fewer repetitions and build slowly to heavier weights, more sets and more repetitions. The starting point of the program will vary depending on the fitness level of each patient.</w:t>
      </w:r>
    </w:p>
    <w:p w14:paraId="0FBA3618" w14:textId="77777777" w:rsidR="00B66BF5" w:rsidRDefault="00B66BF5" w:rsidP="00B66BF5">
      <w:pPr>
        <w:pStyle w:val="Bullet"/>
      </w:pPr>
      <w:r>
        <w:t>Weight and nutrition can have a positive effect on self-management of knee OA.</w:t>
      </w:r>
    </w:p>
    <w:p w14:paraId="75B9E8FE" w14:textId="77777777" w:rsidR="00B66BF5" w:rsidRDefault="00B66BF5" w:rsidP="00B66BF5">
      <w:pPr>
        <w:pStyle w:val="Bullet"/>
      </w:pPr>
      <w:r>
        <w:t>Surgery is only needed by approximately 10% of patients as most patients can manage their knee OA without surgery,</w:t>
      </w:r>
    </w:p>
    <w:p w14:paraId="05230C49" w14:textId="68B4EF1B" w:rsidR="00B66BF5" w:rsidRDefault="00B66BF5" w:rsidP="0078359D">
      <w:pPr>
        <w:pStyle w:val="Bullet"/>
      </w:pPr>
      <w:r>
        <w:t>Patients will not make their knee OA worse by exercise. Too much rest/inactivity has been shown to cause knee OA cartilage breakdown.</w:t>
      </w:r>
    </w:p>
    <w:p w14:paraId="6F4A1695" w14:textId="77777777" w:rsidR="00B66BF5" w:rsidRDefault="00B66BF5" w:rsidP="00B66BF5">
      <w:pPr>
        <w:pStyle w:val="Heading4"/>
      </w:pPr>
      <w:r>
        <w:t>Management at CHS</w:t>
      </w:r>
    </w:p>
    <w:p w14:paraId="6BA48F3C" w14:textId="4B6A5B51" w:rsidR="00B66BF5" w:rsidRDefault="003421EA" w:rsidP="0078359D">
      <w:pPr>
        <w:pStyle w:val="Heading6"/>
      </w:pPr>
      <w:r>
        <w:t>GLA:D</w:t>
      </w:r>
      <w:r w:rsidRPr="42C720B3">
        <w:rPr>
          <w:rFonts w:cs="Calibri"/>
        </w:rPr>
        <w:t>®</w:t>
      </w:r>
      <w:r>
        <w:rPr>
          <w:rFonts w:cs="Calibri"/>
        </w:rPr>
        <w:t xml:space="preserve"> </w:t>
      </w:r>
      <w:r w:rsidR="00B66BF5">
        <w:t>Australia</w:t>
      </w:r>
    </w:p>
    <w:p w14:paraId="657E0FCF" w14:textId="09AD0209" w:rsidR="00DF5500" w:rsidRDefault="003421EA" w:rsidP="00481A6C">
      <w:pPr>
        <w:pStyle w:val="BodyCopy"/>
        <w:rPr>
          <w:rFonts w:cs="Open Sans"/>
          <w:color w:val="000000"/>
        </w:rPr>
      </w:pPr>
      <w:r>
        <w:t>GLA:D</w:t>
      </w:r>
      <w:r w:rsidRPr="42C720B3">
        <w:rPr>
          <w:rFonts w:cs="Calibri"/>
        </w:rPr>
        <w:t>®</w:t>
      </w:r>
      <w:r>
        <w:rPr>
          <w:rFonts w:cs="Calibri"/>
        </w:rPr>
        <w:t xml:space="preserve"> </w:t>
      </w:r>
      <w:r w:rsidR="00DF5500">
        <w:rPr>
          <w:rFonts w:cs="Open Sans"/>
          <w:color w:val="000000"/>
        </w:rPr>
        <w:t>Australia</w:t>
      </w:r>
      <w:r w:rsidR="0001257C" w:rsidRPr="0001257C">
        <w:rPr>
          <w:rFonts w:eastAsia="Calibri"/>
          <w:bCs w:val="0"/>
          <w:iCs w:val="0"/>
        </w:rPr>
        <w:t xml:space="preserve"> </w:t>
      </w:r>
      <w:r w:rsidR="0001257C">
        <w:rPr>
          <w:rFonts w:cs="Open Sans"/>
          <w:color w:val="000000"/>
        </w:rPr>
        <w:t xml:space="preserve">is a </w:t>
      </w:r>
      <w:r w:rsidR="0001257C" w:rsidRPr="0001257C">
        <w:rPr>
          <w:rFonts w:cs="Open Sans"/>
          <w:color w:val="000000"/>
        </w:rPr>
        <w:t>nonsurgical program</w:t>
      </w:r>
      <w:r w:rsidR="0001257C">
        <w:rPr>
          <w:rFonts w:cs="Open Sans"/>
          <w:color w:val="000000"/>
        </w:rPr>
        <w:t>, endorsed for use</w:t>
      </w:r>
      <w:r w:rsidR="00D638FB">
        <w:rPr>
          <w:rFonts w:cs="Open Sans"/>
          <w:color w:val="000000"/>
        </w:rPr>
        <w:t xml:space="preserve"> by</w:t>
      </w:r>
      <w:r w:rsidR="0001257C">
        <w:rPr>
          <w:rFonts w:cs="Open Sans"/>
          <w:color w:val="000000"/>
        </w:rPr>
        <w:t xml:space="preserve"> CHS</w:t>
      </w:r>
      <w:r w:rsidR="0001257C" w:rsidRPr="0001257C">
        <w:rPr>
          <w:rFonts w:cs="Open Sans"/>
          <w:color w:val="000000"/>
        </w:rPr>
        <w:t xml:space="preserve"> </w:t>
      </w:r>
      <w:r w:rsidR="00D638FB">
        <w:rPr>
          <w:rFonts w:cs="Open Sans"/>
          <w:color w:val="000000"/>
        </w:rPr>
        <w:t xml:space="preserve">community physiotherapy, </w:t>
      </w:r>
      <w:r w:rsidR="0001257C">
        <w:rPr>
          <w:rFonts w:cs="Open Sans"/>
          <w:color w:val="000000"/>
        </w:rPr>
        <w:t>which provides</w:t>
      </w:r>
      <w:r w:rsidR="00DF5500">
        <w:rPr>
          <w:rFonts w:cs="Open Sans"/>
          <w:color w:val="000000"/>
        </w:rPr>
        <w:t xml:space="preserve"> a range of resources for patients wishing to find out about their condition: </w:t>
      </w:r>
      <w:hyperlink r:id="rId14" w:history="1">
        <w:r w:rsidR="002812BF" w:rsidRPr="00157CF5">
          <w:rPr>
            <w:rStyle w:val="Hyperlink"/>
            <w:rFonts w:cs="Open Sans"/>
          </w:rPr>
          <w:t>https://gladaustralia.com.au/</w:t>
        </w:r>
      </w:hyperlink>
      <w:r w:rsidR="004D4A55">
        <w:rPr>
          <w:rFonts w:cs="Open Sans"/>
          <w:color w:val="000000"/>
        </w:rPr>
        <w:t>. As part of the management of knee OA, CHS physiotherapists should guide patients through these resources, and/or provide them with select information</w:t>
      </w:r>
      <w:r w:rsidR="0001257C">
        <w:rPr>
          <w:rFonts w:cs="Open Sans"/>
          <w:color w:val="000000"/>
        </w:rPr>
        <w:t>,</w:t>
      </w:r>
      <w:r w:rsidR="004D4A55">
        <w:rPr>
          <w:rFonts w:cs="Open Sans"/>
          <w:color w:val="000000"/>
        </w:rPr>
        <w:t xml:space="preserve"> based on patients’ individual needs. </w:t>
      </w:r>
      <w:r w:rsidR="00A97790">
        <w:rPr>
          <w:rFonts w:cs="Open Sans"/>
          <w:color w:val="000000"/>
        </w:rPr>
        <w:t xml:space="preserve">CHS community physiotherapists </w:t>
      </w:r>
      <w:r w:rsidR="00A97790">
        <w:rPr>
          <w:rFonts w:cs="Open Sans"/>
          <w:color w:val="000000"/>
        </w:rPr>
        <w:lastRenderedPageBreak/>
        <w:t xml:space="preserve">have been accredited to provide the </w:t>
      </w:r>
      <w:r>
        <w:t>GLA:D</w:t>
      </w:r>
      <w:r w:rsidRPr="42C720B3">
        <w:rPr>
          <w:rFonts w:cs="Calibri"/>
        </w:rPr>
        <w:t>®</w:t>
      </w:r>
      <w:r>
        <w:rPr>
          <w:rFonts w:cs="Calibri"/>
        </w:rPr>
        <w:t xml:space="preserve"> </w:t>
      </w:r>
      <w:r w:rsidR="00A97790">
        <w:rPr>
          <w:color w:val="000000"/>
        </w:rPr>
        <w:t xml:space="preserve">program and go through a regular credentialling process administered by </w:t>
      </w:r>
      <w:r>
        <w:t>GLA:D</w:t>
      </w:r>
      <w:r w:rsidRPr="42C720B3">
        <w:rPr>
          <w:rFonts w:cs="Calibri"/>
        </w:rPr>
        <w:t>®</w:t>
      </w:r>
      <w:r w:rsidR="00A97790">
        <w:rPr>
          <w:rFonts w:cs="Open Sans"/>
          <w:color w:val="000000"/>
        </w:rPr>
        <w:t xml:space="preserve"> Australia.</w:t>
      </w:r>
    </w:p>
    <w:p w14:paraId="259D8540" w14:textId="429608E7" w:rsidR="00787B56" w:rsidRDefault="002812BF" w:rsidP="0078359D">
      <w:pPr>
        <w:pStyle w:val="BodyCopy"/>
        <w:rPr>
          <w:rFonts w:cs="Open Sans"/>
          <w:color w:val="000000"/>
        </w:rPr>
      </w:pPr>
      <w:r>
        <w:rPr>
          <w:rFonts w:cs="Open Sans"/>
          <w:color w:val="000000"/>
        </w:rPr>
        <w:t xml:space="preserve">The advantage of the </w:t>
      </w:r>
      <w:r w:rsidR="003421EA">
        <w:t>GLA:D</w:t>
      </w:r>
      <w:r w:rsidR="003421EA" w:rsidRPr="42C720B3">
        <w:rPr>
          <w:rFonts w:cs="Calibri"/>
        </w:rPr>
        <w:t>®</w:t>
      </w:r>
      <w:r w:rsidR="003421EA">
        <w:rPr>
          <w:rFonts w:cs="Calibri"/>
        </w:rPr>
        <w:t xml:space="preserve"> </w:t>
      </w:r>
      <w:r w:rsidR="0001257C">
        <w:rPr>
          <w:rFonts w:cs="Open Sans"/>
          <w:color w:val="000000"/>
        </w:rPr>
        <w:t xml:space="preserve">Australia </w:t>
      </w:r>
      <w:r>
        <w:rPr>
          <w:rFonts w:cs="Open Sans"/>
          <w:color w:val="000000"/>
        </w:rPr>
        <w:t>program is that it provides an education component as part of the program, to enable patients to become well informed</w:t>
      </w:r>
      <w:r w:rsidR="0001257C">
        <w:rPr>
          <w:rFonts w:cs="Open Sans"/>
          <w:color w:val="000000"/>
        </w:rPr>
        <w:t xml:space="preserve"> about their condition</w:t>
      </w:r>
      <w:r w:rsidR="00647065">
        <w:rPr>
          <w:rFonts w:cs="Open Sans"/>
          <w:color w:val="000000"/>
        </w:rPr>
        <w:t xml:space="preserve"> and debunk any myths surrounding knee OA and the management of same</w:t>
      </w:r>
      <w:r>
        <w:rPr>
          <w:rFonts w:cs="Open Sans"/>
          <w:color w:val="000000"/>
        </w:rPr>
        <w:t>. Having a clear</w:t>
      </w:r>
      <w:r w:rsidR="00647065">
        <w:rPr>
          <w:rFonts w:cs="Open Sans"/>
          <w:color w:val="000000"/>
        </w:rPr>
        <w:t>,</w:t>
      </w:r>
      <w:r>
        <w:rPr>
          <w:rFonts w:cs="Open Sans"/>
          <w:color w:val="000000"/>
        </w:rPr>
        <w:t xml:space="preserve"> consistent message </w:t>
      </w:r>
      <w:r w:rsidR="00647065">
        <w:rPr>
          <w:rFonts w:cs="Open Sans"/>
          <w:color w:val="000000"/>
        </w:rPr>
        <w:t xml:space="preserve">and management plan </w:t>
      </w:r>
      <w:r>
        <w:rPr>
          <w:rFonts w:cs="Open Sans"/>
          <w:color w:val="000000"/>
        </w:rPr>
        <w:t xml:space="preserve">is </w:t>
      </w:r>
      <w:r w:rsidR="00647065">
        <w:rPr>
          <w:rFonts w:cs="Open Sans"/>
          <w:color w:val="000000"/>
        </w:rPr>
        <w:t xml:space="preserve">also </w:t>
      </w:r>
      <w:r>
        <w:rPr>
          <w:rFonts w:cs="Open Sans"/>
          <w:color w:val="000000"/>
        </w:rPr>
        <w:t xml:space="preserve">important in </w:t>
      </w:r>
      <w:r w:rsidR="00647065">
        <w:rPr>
          <w:rFonts w:cs="Open Sans"/>
          <w:color w:val="000000"/>
        </w:rPr>
        <w:t xml:space="preserve">ensuring </w:t>
      </w:r>
      <w:r>
        <w:rPr>
          <w:rFonts w:cs="Open Sans"/>
          <w:color w:val="000000"/>
        </w:rPr>
        <w:t>patients</w:t>
      </w:r>
      <w:r w:rsidR="00647065">
        <w:rPr>
          <w:rFonts w:cs="Open Sans"/>
          <w:color w:val="000000"/>
        </w:rPr>
        <w:t xml:space="preserve"> </w:t>
      </w:r>
      <w:r>
        <w:rPr>
          <w:rFonts w:cs="Open Sans"/>
          <w:color w:val="000000"/>
        </w:rPr>
        <w:t>make the most of the exercise</w:t>
      </w:r>
      <w:r w:rsidR="00647065">
        <w:rPr>
          <w:rFonts w:cs="Open Sans"/>
          <w:color w:val="000000"/>
        </w:rPr>
        <w:t xml:space="preserve"> component of the</w:t>
      </w:r>
      <w:r>
        <w:rPr>
          <w:rFonts w:cs="Open Sans"/>
          <w:color w:val="000000"/>
        </w:rPr>
        <w:t xml:space="preserve"> program. </w:t>
      </w:r>
    </w:p>
    <w:p w14:paraId="6A3B4FC8" w14:textId="77777777" w:rsidR="00EB7896" w:rsidRDefault="00EB7896" w:rsidP="0078359D">
      <w:pPr>
        <w:pStyle w:val="BodyCopy"/>
        <w:rPr>
          <w:rFonts w:cs="Open Sans"/>
          <w:color w:val="000000"/>
        </w:rPr>
      </w:pPr>
    </w:p>
    <w:p w14:paraId="5EA4FD17" w14:textId="77777777" w:rsidR="00EB7896" w:rsidRDefault="00EB7896" w:rsidP="0078359D">
      <w:pPr>
        <w:pStyle w:val="BodyCopy"/>
      </w:pPr>
    </w:p>
    <w:p w14:paraId="533B4666" w14:textId="3119E3C6" w:rsidR="00B66BF5" w:rsidRDefault="00B66BF5" w:rsidP="0078359D">
      <w:pPr>
        <w:pStyle w:val="Heading6"/>
      </w:pPr>
      <w:r>
        <w:t>Other</w:t>
      </w:r>
    </w:p>
    <w:p w14:paraId="47690F31" w14:textId="393B300F" w:rsidR="00B21F33" w:rsidRDefault="00B21F33" w:rsidP="0078359D">
      <w:pPr>
        <w:pStyle w:val="BodyCopy"/>
      </w:pPr>
      <w:r>
        <w:t xml:space="preserve">Other services within CHS offering education on self-management </w:t>
      </w:r>
      <w:r w:rsidR="007529F7">
        <w:t xml:space="preserve">for OA (as well as other conditions) </w:t>
      </w:r>
      <w:r>
        <w:t>include:</w:t>
      </w:r>
    </w:p>
    <w:p w14:paraId="0D7F166C" w14:textId="24792BEC" w:rsidR="00B21F33" w:rsidRPr="00B21F33" w:rsidRDefault="00B21F33" w:rsidP="0078359D">
      <w:pPr>
        <w:pStyle w:val="Bullet"/>
      </w:pPr>
      <w:r w:rsidRPr="00B21F33">
        <w:t xml:space="preserve">Pain </w:t>
      </w:r>
      <w:r w:rsidR="00C62E3F">
        <w:t>M</w:t>
      </w:r>
      <w:r w:rsidRPr="00B21F33">
        <w:t xml:space="preserve">anagement </w:t>
      </w:r>
      <w:r w:rsidR="00C62E3F">
        <w:t>U</w:t>
      </w:r>
      <w:r w:rsidRPr="00B21F33">
        <w:t>nit</w:t>
      </w:r>
    </w:p>
    <w:p w14:paraId="5F8BF145" w14:textId="57DC091D" w:rsidR="00B21F33" w:rsidRPr="00B21F33" w:rsidRDefault="00C62E3F" w:rsidP="0078359D">
      <w:pPr>
        <w:pStyle w:val="Bullet"/>
      </w:pPr>
      <w:r>
        <w:t>Bariatric</w:t>
      </w:r>
      <w:r w:rsidR="00B21F33" w:rsidRPr="00B21F33">
        <w:t xml:space="preserve"> M</w:t>
      </w:r>
      <w:r w:rsidR="00EB5F30">
        <w:t>edicine</w:t>
      </w:r>
      <w:r w:rsidR="00B21F33" w:rsidRPr="00B21F33">
        <w:t xml:space="preserve"> Service</w:t>
      </w:r>
    </w:p>
    <w:p w14:paraId="0821C39D" w14:textId="497548B4" w:rsidR="00B21F33" w:rsidRPr="007529F7" w:rsidRDefault="00B21F33" w:rsidP="0078359D">
      <w:pPr>
        <w:pStyle w:val="Bullet"/>
        <w:rPr>
          <w:iCs/>
        </w:rPr>
      </w:pPr>
      <w:r w:rsidRPr="007529F7">
        <w:t xml:space="preserve">Take Control Live Well </w:t>
      </w:r>
    </w:p>
    <w:p w14:paraId="270DB1FB" w14:textId="1CC5A65E" w:rsidR="00787B56" w:rsidRPr="00DF5500" w:rsidRDefault="00B21F33" w:rsidP="0078359D">
      <w:pPr>
        <w:pStyle w:val="BodyCopy"/>
      </w:pPr>
      <w:r>
        <w:t xml:space="preserve">Links with these </w:t>
      </w:r>
      <w:r w:rsidR="003845F8">
        <w:t>public health programs a</w:t>
      </w:r>
      <w:r>
        <w:t xml:space="preserve">nd </w:t>
      </w:r>
      <w:r w:rsidR="003845F8">
        <w:t>Non-government Organisations (</w:t>
      </w:r>
      <w:r>
        <w:t>NGOs</w:t>
      </w:r>
      <w:r w:rsidR="003845F8">
        <w:t>)</w:t>
      </w:r>
      <w:r>
        <w:t xml:space="preserve"> such as Arthritis Australia may provide synergies for all services to the benefit of </w:t>
      </w:r>
      <w:r w:rsidR="00EB5F30">
        <w:t xml:space="preserve">some </w:t>
      </w:r>
      <w:r>
        <w:t>participants.</w:t>
      </w:r>
    </w:p>
    <w:p w14:paraId="5371B9D5" w14:textId="77777777" w:rsidR="00DF5500" w:rsidRDefault="00481A6C" w:rsidP="0091462B">
      <w:pPr>
        <w:pStyle w:val="BodyCopy"/>
        <w:rPr>
          <w:rStyle w:val="Hyperlink"/>
          <w:iCs w:val="0"/>
        </w:rPr>
      </w:pPr>
      <w:hyperlink w:anchor="_top" w:history="1">
        <w:r w:rsidRPr="00481A6C">
          <w:rPr>
            <w:rStyle w:val="Hyperlink"/>
            <w:iCs w:val="0"/>
          </w:rPr>
          <w:t>Back to Contents</w:t>
        </w:r>
      </w:hyperlink>
    </w:p>
    <w:p w14:paraId="4CF2FD70" w14:textId="77777777" w:rsidR="00E410F0" w:rsidRDefault="00E410F0" w:rsidP="00E410F0">
      <w:pPr>
        <w:pStyle w:val="Heading2"/>
      </w:pPr>
      <w:bookmarkStart w:id="8" w:name="_Toc192163825"/>
      <w:r w:rsidRPr="0078367D">
        <w:t xml:space="preserve">Section </w:t>
      </w:r>
      <w:r w:rsidR="00E04494">
        <w:t>4</w:t>
      </w:r>
      <w:r w:rsidRPr="0078367D">
        <w:t xml:space="preserve"> </w:t>
      </w:r>
      <w:r w:rsidR="00E04494">
        <w:t>–</w:t>
      </w:r>
      <w:r w:rsidRPr="0078367D">
        <w:t xml:space="preserve"> </w:t>
      </w:r>
      <w:r w:rsidR="00E04494">
        <w:t>Physical activity and exercise</w:t>
      </w:r>
      <w:bookmarkEnd w:id="8"/>
    </w:p>
    <w:p w14:paraId="4E89A2F2" w14:textId="77777777"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Note</w:t>
      </w:r>
    </w:p>
    <w:p w14:paraId="20F1A275" w14:textId="14864DCB" w:rsidR="00E410F0" w:rsidRPr="0078359D" w:rsidRDefault="00820B8A" w:rsidP="0078359D">
      <w:pPr>
        <w:pStyle w:val="BodyCopy"/>
        <w:pBdr>
          <w:top w:val="single" w:sz="4" w:space="1" w:color="auto"/>
          <w:left w:val="single" w:sz="4" w:space="4" w:color="auto"/>
          <w:bottom w:val="single" w:sz="4" w:space="1" w:color="auto"/>
          <w:right w:val="single" w:sz="4" w:space="4" w:color="auto"/>
        </w:pBdr>
      </w:pPr>
      <w:r>
        <w:rPr>
          <w:rFonts w:cs="Open Sans"/>
          <w:color w:val="000000"/>
        </w:rPr>
        <w:t>“</w:t>
      </w:r>
      <w:r w:rsidR="00E04494" w:rsidRPr="0078359D">
        <w:rPr>
          <w:rFonts w:cs="Open Sans"/>
          <w:color w:val="000000"/>
        </w:rPr>
        <w:t>A patient with knee osteoarthritis is advised that being active can help manage knee pain and improve function. The patient is offered advice on physical activity and exercise that is tailored to their priorities and preferences. The patient is encouraged to set exercise and physical activity goals and is recommended services or programs to help them achieve their goals.</w:t>
      </w:r>
      <w:r>
        <w:rPr>
          <w:rFonts w:cs="Open Sans"/>
          <w:color w:val="000000"/>
        </w:rPr>
        <w:t>”</w:t>
      </w:r>
      <w:r w:rsidR="00E04494" w:rsidRPr="0078359D">
        <w:rPr>
          <w:rFonts w:cs="Open Sans"/>
          <w:color w:val="000000"/>
        </w:rPr>
        <w:t xml:space="preserve"> (Australian Commission on Safety and Quality in Health Care 2024)</w:t>
      </w:r>
    </w:p>
    <w:p w14:paraId="70F22423" w14:textId="5E495A4B" w:rsidR="00B365E4" w:rsidRDefault="00B365E4" w:rsidP="00B365E4">
      <w:r>
        <w:t xml:space="preserve">All people with </w:t>
      </w:r>
      <w:r w:rsidR="00317643">
        <w:t>k</w:t>
      </w:r>
      <w:r>
        <w:t xml:space="preserve">nee OA should be provided with appropriate non-pharmacological and non-surgical care. This includes education about pain, their condition, and effective strategies for self-care; support for physical activity and exercise; weight loss (where indicated); and strategies for effective management of persistent pain that are underpinned by a contemporary understanding of pain science. </w:t>
      </w:r>
    </w:p>
    <w:p w14:paraId="48F295B8" w14:textId="7CAA2CE6" w:rsidR="0087159B" w:rsidRDefault="00CE30BE" w:rsidP="00B365E4">
      <w:pPr>
        <w:rPr>
          <w:rFonts w:cs="Open Sans"/>
          <w:color w:val="000000"/>
        </w:rPr>
      </w:pPr>
      <w:r>
        <w:rPr>
          <w:rFonts w:cs="Open Sans"/>
          <w:color w:val="000000"/>
        </w:rPr>
        <w:t xml:space="preserve">The advantage of the </w:t>
      </w:r>
      <w:r w:rsidR="003421EA">
        <w:t>GLA:D</w:t>
      </w:r>
      <w:r w:rsidR="003421EA" w:rsidRPr="42C720B3">
        <w:rPr>
          <w:rFonts w:cs="Calibri"/>
        </w:rPr>
        <w:t>®</w:t>
      </w:r>
      <w:r>
        <w:rPr>
          <w:rFonts w:cs="Open Sans"/>
          <w:color w:val="000000"/>
        </w:rPr>
        <w:t xml:space="preserve"> program is that it provides a basic exercise program which can be tailored to an individual patient’s needs. The </w:t>
      </w:r>
      <w:r w:rsidR="00232505">
        <w:rPr>
          <w:rFonts w:cs="Open Sans"/>
          <w:color w:val="000000"/>
        </w:rPr>
        <w:t>ten</w:t>
      </w:r>
      <w:r>
        <w:rPr>
          <w:rFonts w:cs="Open Sans"/>
          <w:color w:val="000000"/>
        </w:rPr>
        <w:t xml:space="preserve"> exercises used in the program each have </w:t>
      </w:r>
      <w:r w:rsidR="00232505">
        <w:rPr>
          <w:rFonts w:cs="Open Sans"/>
          <w:color w:val="000000"/>
        </w:rPr>
        <w:t xml:space="preserve">four </w:t>
      </w:r>
      <w:r>
        <w:rPr>
          <w:rFonts w:cs="Open Sans"/>
          <w:color w:val="000000"/>
        </w:rPr>
        <w:t>levels from easy to more challenging</w:t>
      </w:r>
      <w:r w:rsidR="00317643">
        <w:rPr>
          <w:rFonts w:cs="Open Sans"/>
          <w:color w:val="000000"/>
        </w:rPr>
        <w:t>.</w:t>
      </w:r>
      <w:r w:rsidR="0087159B">
        <w:rPr>
          <w:rFonts w:cs="Open Sans"/>
          <w:color w:val="000000"/>
        </w:rPr>
        <w:t xml:space="preserve"> </w:t>
      </w:r>
      <w:r w:rsidR="00317643">
        <w:rPr>
          <w:rFonts w:cs="Open Sans"/>
          <w:color w:val="000000"/>
        </w:rPr>
        <w:t>P</w:t>
      </w:r>
      <w:r w:rsidR="0087159B">
        <w:rPr>
          <w:rFonts w:cs="Open Sans"/>
          <w:color w:val="000000"/>
        </w:rPr>
        <w:t xml:space="preserve">hysiotherapists delivering the program can help each patient find a way of achieving their desired outcomes using slight modifications, </w:t>
      </w:r>
      <w:r w:rsidR="0087159B">
        <w:rPr>
          <w:rFonts w:cs="Open Sans"/>
          <w:color w:val="000000"/>
        </w:rPr>
        <w:lastRenderedPageBreak/>
        <w:t xml:space="preserve">varying speed, duration, and effort. The basic model is for 15 repetitions and </w:t>
      </w:r>
      <w:r w:rsidR="00232505">
        <w:rPr>
          <w:rFonts w:cs="Open Sans"/>
          <w:color w:val="000000"/>
        </w:rPr>
        <w:t>three</w:t>
      </w:r>
      <w:r w:rsidR="0087159B">
        <w:rPr>
          <w:rFonts w:cs="Open Sans"/>
          <w:color w:val="000000"/>
        </w:rPr>
        <w:t xml:space="preserve"> sets </w:t>
      </w:r>
      <w:r w:rsidR="003845F8">
        <w:rPr>
          <w:rFonts w:cs="Open Sans"/>
          <w:color w:val="000000"/>
        </w:rPr>
        <w:t>of</w:t>
      </w:r>
      <w:r w:rsidR="0087159B">
        <w:rPr>
          <w:rFonts w:cs="Open Sans"/>
          <w:color w:val="000000"/>
        </w:rPr>
        <w:t xml:space="preserve"> each exercise</w:t>
      </w:r>
      <w:r w:rsidR="00317643">
        <w:rPr>
          <w:rFonts w:cs="Open Sans"/>
          <w:color w:val="000000"/>
        </w:rPr>
        <w:t>. T</w:t>
      </w:r>
      <w:r w:rsidR="0087159B">
        <w:rPr>
          <w:rFonts w:cs="Open Sans"/>
          <w:color w:val="000000"/>
        </w:rPr>
        <w:t xml:space="preserve">his presents a range of ways in which the exercises can be personalised dependent upon the patient’s stamina and endurance. The </w:t>
      </w:r>
      <w:r w:rsidR="003421EA">
        <w:t>GLA:D</w:t>
      </w:r>
      <w:r w:rsidR="003421EA" w:rsidRPr="42C720B3">
        <w:rPr>
          <w:rFonts w:cs="Calibri"/>
        </w:rPr>
        <w:t>®</w:t>
      </w:r>
      <w:r w:rsidR="003421EA">
        <w:rPr>
          <w:rFonts w:cs="Calibri"/>
        </w:rPr>
        <w:t xml:space="preserve"> </w:t>
      </w:r>
      <w:r w:rsidR="0087159B">
        <w:rPr>
          <w:rFonts w:cs="Open Sans"/>
          <w:color w:val="000000"/>
        </w:rPr>
        <w:t xml:space="preserve">program runs for </w:t>
      </w:r>
      <w:r w:rsidR="00232505">
        <w:rPr>
          <w:rFonts w:cs="Open Sans"/>
          <w:color w:val="000000"/>
        </w:rPr>
        <w:t>six</w:t>
      </w:r>
      <w:r w:rsidR="0087159B">
        <w:rPr>
          <w:rFonts w:cs="Open Sans"/>
          <w:color w:val="000000"/>
        </w:rPr>
        <w:t xml:space="preserve"> weeks with patients attending twice per week. This allows time for patients to learn their exercises, make some initial progress, then continue the program</w:t>
      </w:r>
      <w:r w:rsidR="003845F8">
        <w:rPr>
          <w:rFonts w:cs="Open Sans"/>
          <w:color w:val="000000"/>
        </w:rPr>
        <w:t xml:space="preserve"> independently</w:t>
      </w:r>
      <w:r w:rsidR="0087159B">
        <w:rPr>
          <w:rFonts w:cs="Open Sans"/>
          <w:color w:val="000000"/>
        </w:rPr>
        <w:t xml:space="preserve"> at home. The </w:t>
      </w:r>
      <w:r w:rsidR="00C62E3F">
        <w:rPr>
          <w:rFonts w:cs="Open Sans"/>
          <w:color w:val="000000"/>
        </w:rPr>
        <w:t>three-month</w:t>
      </w:r>
      <w:r w:rsidR="0087159B">
        <w:rPr>
          <w:rFonts w:cs="Open Sans"/>
          <w:color w:val="000000"/>
        </w:rPr>
        <w:t xml:space="preserve"> </w:t>
      </w:r>
      <w:r w:rsidR="00EC31A3">
        <w:rPr>
          <w:rFonts w:cs="Open Sans"/>
          <w:color w:val="000000"/>
        </w:rPr>
        <w:t xml:space="preserve">review on completion of the </w:t>
      </w:r>
      <w:r w:rsidR="0087159B">
        <w:rPr>
          <w:rFonts w:cs="Open Sans"/>
          <w:color w:val="000000"/>
        </w:rPr>
        <w:t>program with physical outcome measures</w:t>
      </w:r>
      <w:r w:rsidR="003845F8">
        <w:rPr>
          <w:rFonts w:cs="Open Sans"/>
          <w:color w:val="000000"/>
        </w:rPr>
        <w:t xml:space="preserve"> determines the short-term success of the program, while the </w:t>
      </w:r>
      <w:r w:rsidR="00EB5F30">
        <w:rPr>
          <w:rFonts w:cs="Open Sans"/>
          <w:color w:val="000000"/>
        </w:rPr>
        <w:t>12-month</w:t>
      </w:r>
      <w:r w:rsidR="003845F8">
        <w:rPr>
          <w:rFonts w:cs="Open Sans"/>
          <w:color w:val="000000"/>
        </w:rPr>
        <w:t xml:space="preserve"> survey exam</w:t>
      </w:r>
      <w:r w:rsidR="007F010B">
        <w:rPr>
          <w:rFonts w:cs="Open Sans"/>
          <w:color w:val="000000"/>
        </w:rPr>
        <w:t>ines</w:t>
      </w:r>
      <w:r w:rsidR="003845F8">
        <w:rPr>
          <w:rFonts w:cs="Open Sans"/>
          <w:color w:val="000000"/>
        </w:rPr>
        <w:t xml:space="preserve"> the more long-term outcomes</w:t>
      </w:r>
      <w:r w:rsidR="0087159B">
        <w:rPr>
          <w:rFonts w:cs="Open Sans"/>
          <w:color w:val="000000"/>
        </w:rPr>
        <w:t>.</w:t>
      </w:r>
    </w:p>
    <w:p w14:paraId="0E14BEAA" w14:textId="77777777" w:rsidR="00EB7896" w:rsidRDefault="00EB7896" w:rsidP="00B365E4">
      <w:pPr>
        <w:rPr>
          <w:rFonts w:cs="Open Sans"/>
          <w:color w:val="000000"/>
        </w:rPr>
      </w:pPr>
    </w:p>
    <w:p w14:paraId="2D46597A" w14:textId="77777777" w:rsidR="00EB7896" w:rsidRDefault="00EB7896" w:rsidP="00B365E4">
      <w:pPr>
        <w:rPr>
          <w:rFonts w:cs="Open Sans"/>
          <w:color w:val="000000"/>
        </w:rPr>
      </w:pPr>
    </w:p>
    <w:p w14:paraId="4EFB71F6" w14:textId="3151913E" w:rsidR="00CE30BE" w:rsidRDefault="0087159B" w:rsidP="00B365E4">
      <w:pPr>
        <w:rPr>
          <w:rFonts w:cs="Open Sans"/>
          <w:color w:val="000000"/>
        </w:rPr>
      </w:pPr>
      <w:r>
        <w:rPr>
          <w:rFonts w:cs="Open Sans"/>
          <w:color w:val="000000"/>
        </w:rPr>
        <w:t xml:space="preserve">The establishment of the </w:t>
      </w:r>
      <w:r w:rsidR="003421EA">
        <w:t>GLA:D</w:t>
      </w:r>
      <w:r w:rsidR="003421EA" w:rsidRPr="42C720B3">
        <w:rPr>
          <w:rFonts w:cs="Calibri"/>
        </w:rPr>
        <w:t>®</w:t>
      </w:r>
      <w:r w:rsidR="003421EA">
        <w:rPr>
          <w:rFonts w:cs="Calibri"/>
        </w:rPr>
        <w:t xml:space="preserve"> </w:t>
      </w:r>
      <w:r>
        <w:rPr>
          <w:rFonts w:cs="Open Sans"/>
          <w:color w:val="000000"/>
        </w:rPr>
        <w:t xml:space="preserve">program as part of </w:t>
      </w:r>
      <w:r w:rsidR="003845F8">
        <w:rPr>
          <w:rFonts w:cs="Open Sans"/>
          <w:color w:val="000000"/>
        </w:rPr>
        <w:t>a community based public health system</w:t>
      </w:r>
      <w:r>
        <w:rPr>
          <w:rFonts w:cs="Open Sans"/>
          <w:color w:val="000000"/>
        </w:rPr>
        <w:t xml:space="preserve"> ensures equity of access for those who can’t afford to access this program privately. Arthritis Australia and other NGOs offer a collection of </w:t>
      </w:r>
      <w:r w:rsidR="00BD4365">
        <w:rPr>
          <w:rFonts w:cs="Open Sans"/>
          <w:color w:val="000000"/>
        </w:rPr>
        <w:t xml:space="preserve">other </w:t>
      </w:r>
      <w:r>
        <w:rPr>
          <w:rFonts w:cs="Open Sans"/>
          <w:color w:val="000000"/>
        </w:rPr>
        <w:t xml:space="preserve">exercise opportunities tailored for patients with </w:t>
      </w:r>
      <w:r w:rsidR="00BD4365">
        <w:rPr>
          <w:rFonts w:cs="Open Sans"/>
          <w:color w:val="000000"/>
        </w:rPr>
        <w:t xml:space="preserve">knee </w:t>
      </w:r>
      <w:r>
        <w:rPr>
          <w:rFonts w:cs="Open Sans"/>
          <w:color w:val="000000"/>
        </w:rPr>
        <w:t xml:space="preserve">OA. The important message is that physical activity will help reduce </w:t>
      </w:r>
      <w:r w:rsidR="00BD4365">
        <w:rPr>
          <w:rFonts w:cs="Open Sans"/>
          <w:color w:val="000000"/>
        </w:rPr>
        <w:t xml:space="preserve">knee </w:t>
      </w:r>
      <w:r>
        <w:rPr>
          <w:rFonts w:cs="Open Sans"/>
          <w:color w:val="000000"/>
        </w:rPr>
        <w:t>OA symptoms.</w:t>
      </w:r>
    </w:p>
    <w:p w14:paraId="75634B5B" w14:textId="77777777" w:rsidR="00E410F0" w:rsidRDefault="00E410F0" w:rsidP="00E410F0">
      <w:pPr>
        <w:pStyle w:val="BodyCopy"/>
      </w:pPr>
      <w:hyperlink w:anchor="_top" w:history="1">
        <w:r w:rsidRPr="00481A6C">
          <w:rPr>
            <w:rStyle w:val="Hyperlink"/>
            <w:iCs w:val="0"/>
          </w:rPr>
          <w:t>Back to Contents</w:t>
        </w:r>
      </w:hyperlink>
    </w:p>
    <w:p w14:paraId="7D4ED7B1" w14:textId="77777777" w:rsidR="00E410F0" w:rsidRDefault="00E410F0" w:rsidP="00E410F0">
      <w:pPr>
        <w:pStyle w:val="Heading2"/>
      </w:pPr>
      <w:bookmarkStart w:id="9" w:name="_Toc192163826"/>
      <w:r w:rsidRPr="0078367D">
        <w:t xml:space="preserve">Section </w:t>
      </w:r>
      <w:r w:rsidR="00E04494">
        <w:t>5</w:t>
      </w:r>
      <w:r w:rsidRPr="0078367D">
        <w:t xml:space="preserve"> </w:t>
      </w:r>
      <w:r w:rsidR="00E04494">
        <w:t>–</w:t>
      </w:r>
      <w:r w:rsidRPr="0078367D">
        <w:t xml:space="preserve"> </w:t>
      </w:r>
      <w:r w:rsidR="00E04494">
        <w:t>Weight management and nutrition</w:t>
      </w:r>
      <w:bookmarkEnd w:id="9"/>
    </w:p>
    <w:p w14:paraId="6D5E5034" w14:textId="77777777"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 xml:space="preserve">Note </w:t>
      </w:r>
    </w:p>
    <w:p w14:paraId="54B5A865" w14:textId="64EABC88" w:rsidR="00E410F0" w:rsidRPr="0078359D" w:rsidRDefault="00820B8A" w:rsidP="0078359D">
      <w:pPr>
        <w:pStyle w:val="BodyCopy"/>
        <w:pBdr>
          <w:top w:val="single" w:sz="4" w:space="1" w:color="auto"/>
          <w:left w:val="single" w:sz="4" w:space="4" w:color="auto"/>
          <w:bottom w:val="single" w:sz="4" w:space="1" w:color="auto"/>
          <w:right w:val="single" w:sz="4" w:space="4" w:color="auto"/>
        </w:pBdr>
      </w:pPr>
      <w:r>
        <w:rPr>
          <w:rFonts w:cs="Open Sans"/>
          <w:color w:val="000000"/>
        </w:rPr>
        <w:t>“</w:t>
      </w:r>
      <w:r w:rsidR="00E04494" w:rsidRPr="0078359D">
        <w:rPr>
          <w:rFonts w:cs="Open Sans"/>
          <w:color w:val="000000"/>
        </w:rPr>
        <w:t>A patient with knee osteoarthritis is advised of the impact of body weight on symptoms. The patient is offered support to manage their weight and optimise nutrition that is tailored to their priorities and preferences. The patient is encouraged to set weight management goals and is referred for any services required to help them achieve these goals.</w:t>
      </w:r>
      <w:r>
        <w:rPr>
          <w:rFonts w:cs="Open Sans"/>
          <w:color w:val="000000"/>
        </w:rPr>
        <w:t>”</w:t>
      </w:r>
      <w:r w:rsidR="00E04494" w:rsidRPr="0078359D">
        <w:rPr>
          <w:rFonts w:cs="Open Sans"/>
          <w:color w:val="000000"/>
        </w:rPr>
        <w:t xml:space="preserve"> (Australian Commission on Safety and Quality in Health Care 2024)</w:t>
      </w:r>
    </w:p>
    <w:p w14:paraId="53AB8069" w14:textId="7448B526" w:rsidR="00F05B0A" w:rsidRPr="00F05B0A" w:rsidRDefault="00F05B0A" w:rsidP="00F05B0A">
      <w:pPr>
        <w:rPr>
          <w:rFonts w:cs="Open Sans"/>
          <w:b/>
          <w:bCs/>
          <w:color w:val="000000"/>
        </w:rPr>
      </w:pPr>
      <w:r>
        <w:rPr>
          <w:rFonts w:cs="Open Sans"/>
          <w:color w:val="000000"/>
        </w:rPr>
        <w:t xml:space="preserve">Although the use of Body Mass Index (BMI) is not an ideal measure of weight, as this will vary with muscle mass, and body type, it is commonly used </w:t>
      </w:r>
      <w:r w:rsidR="00232505">
        <w:rPr>
          <w:rFonts w:cs="Open Sans"/>
          <w:color w:val="000000"/>
        </w:rPr>
        <w:t xml:space="preserve">for classification. </w:t>
      </w:r>
      <w:r>
        <w:rPr>
          <w:rFonts w:cs="Open Sans"/>
          <w:color w:val="000000"/>
        </w:rPr>
        <w:t>BMI is calculated by dividing a person’s</w:t>
      </w:r>
      <w:r w:rsidRPr="00F05B0A">
        <w:rPr>
          <w:rFonts w:cs="Open Sans"/>
          <w:color w:val="000000"/>
        </w:rPr>
        <w:t xml:space="preserve"> weight in kilograms by the square of </w:t>
      </w:r>
      <w:r>
        <w:rPr>
          <w:rFonts w:cs="Open Sans"/>
          <w:color w:val="000000"/>
        </w:rPr>
        <w:t>their</w:t>
      </w:r>
      <w:r w:rsidRPr="00F05B0A">
        <w:rPr>
          <w:rFonts w:cs="Open Sans"/>
          <w:color w:val="000000"/>
        </w:rPr>
        <w:t xml:space="preserve"> height in metres.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5"/>
        <w:gridCol w:w="2970"/>
      </w:tblGrid>
      <w:tr w:rsidR="00F05B0A" w:rsidRPr="00F05B0A" w14:paraId="0B5C2066" w14:textId="77777777" w:rsidTr="0078359D">
        <w:tc>
          <w:tcPr>
            <w:tcW w:w="1705" w:type="dxa"/>
            <w:hideMark/>
          </w:tcPr>
          <w:p w14:paraId="756A2A23" w14:textId="77777777" w:rsidR="00F05B0A" w:rsidRPr="00F05B0A" w:rsidRDefault="00F05B0A" w:rsidP="00F05B0A">
            <w:pPr>
              <w:rPr>
                <w:rFonts w:cs="Open Sans"/>
                <w:color w:val="000000"/>
              </w:rPr>
            </w:pPr>
            <w:bookmarkStart w:id="10" w:name=""/>
            <w:bookmarkEnd w:id="10"/>
            <w:r w:rsidRPr="00F05B0A">
              <w:rPr>
                <w:rFonts w:cs="Open Sans"/>
                <w:b/>
                <w:bCs/>
                <w:color w:val="000000"/>
              </w:rPr>
              <w:t>BMI (adults)</w:t>
            </w:r>
          </w:p>
        </w:tc>
        <w:tc>
          <w:tcPr>
            <w:tcW w:w="2970" w:type="dxa"/>
            <w:hideMark/>
          </w:tcPr>
          <w:p w14:paraId="04DF736F" w14:textId="77777777" w:rsidR="00F05B0A" w:rsidRPr="00F05B0A" w:rsidRDefault="00F05B0A" w:rsidP="00F05B0A">
            <w:pPr>
              <w:rPr>
                <w:rFonts w:cs="Open Sans"/>
                <w:color w:val="000000"/>
              </w:rPr>
            </w:pPr>
            <w:r w:rsidRPr="00F05B0A">
              <w:rPr>
                <w:rFonts w:cs="Open Sans"/>
                <w:b/>
                <w:bCs/>
                <w:color w:val="000000"/>
              </w:rPr>
              <w:t>Classification</w:t>
            </w:r>
          </w:p>
        </w:tc>
      </w:tr>
      <w:tr w:rsidR="00F05B0A" w:rsidRPr="00F05B0A" w14:paraId="7CBFFD55" w14:textId="77777777" w:rsidTr="0078359D">
        <w:tc>
          <w:tcPr>
            <w:tcW w:w="1705" w:type="dxa"/>
            <w:shd w:val="clear" w:color="auto" w:fill="FFFFFF"/>
            <w:hideMark/>
          </w:tcPr>
          <w:p w14:paraId="6853AFEF" w14:textId="77777777" w:rsidR="00F05B0A" w:rsidRPr="00F05B0A" w:rsidRDefault="00F05B0A" w:rsidP="00F05B0A">
            <w:pPr>
              <w:rPr>
                <w:rFonts w:cs="Open Sans"/>
                <w:color w:val="000000"/>
              </w:rPr>
            </w:pPr>
            <w:r w:rsidRPr="00F05B0A">
              <w:rPr>
                <w:rFonts w:cs="Open Sans"/>
                <w:color w:val="000000"/>
              </w:rPr>
              <w:t>Less than 18.5</w:t>
            </w:r>
          </w:p>
        </w:tc>
        <w:tc>
          <w:tcPr>
            <w:tcW w:w="2970" w:type="dxa"/>
            <w:shd w:val="clear" w:color="auto" w:fill="FFFFFF"/>
            <w:hideMark/>
          </w:tcPr>
          <w:p w14:paraId="6D915D95" w14:textId="77777777" w:rsidR="00F05B0A" w:rsidRPr="00F05B0A" w:rsidRDefault="00F05B0A" w:rsidP="00F05B0A">
            <w:pPr>
              <w:rPr>
                <w:rFonts w:cs="Open Sans"/>
                <w:color w:val="000000"/>
              </w:rPr>
            </w:pPr>
            <w:r w:rsidRPr="00F05B0A">
              <w:rPr>
                <w:rFonts w:cs="Open Sans"/>
                <w:color w:val="000000"/>
              </w:rPr>
              <w:t>Underweight</w:t>
            </w:r>
          </w:p>
        </w:tc>
      </w:tr>
      <w:tr w:rsidR="00F05B0A" w:rsidRPr="00F05B0A" w14:paraId="05A04FA1" w14:textId="77777777" w:rsidTr="0078359D">
        <w:tc>
          <w:tcPr>
            <w:tcW w:w="1705" w:type="dxa"/>
            <w:hideMark/>
          </w:tcPr>
          <w:p w14:paraId="6C66AEC5" w14:textId="77777777" w:rsidR="00F05B0A" w:rsidRPr="00F05B0A" w:rsidRDefault="00F05B0A" w:rsidP="00F05B0A">
            <w:pPr>
              <w:rPr>
                <w:rFonts w:cs="Open Sans"/>
                <w:color w:val="000000"/>
              </w:rPr>
            </w:pPr>
            <w:r w:rsidRPr="00F05B0A">
              <w:rPr>
                <w:rFonts w:cs="Open Sans"/>
                <w:color w:val="000000"/>
              </w:rPr>
              <w:t>18.5 to 24.9</w:t>
            </w:r>
          </w:p>
        </w:tc>
        <w:tc>
          <w:tcPr>
            <w:tcW w:w="2970" w:type="dxa"/>
            <w:hideMark/>
          </w:tcPr>
          <w:p w14:paraId="3A4BB660" w14:textId="77777777" w:rsidR="00F05B0A" w:rsidRPr="00F05B0A" w:rsidRDefault="00F05B0A" w:rsidP="0078359D">
            <w:pPr>
              <w:pStyle w:val="BodyCopy"/>
            </w:pPr>
            <w:r w:rsidRPr="00F05B0A">
              <w:t>Healthy weight</w:t>
            </w:r>
          </w:p>
        </w:tc>
      </w:tr>
      <w:tr w:rsidR="00F05B0A" w:rsidRPr="00F05B0A" w14:paraId="29E49B3E" w14:textId="77777777" w:rsidTr="0078359D">
        <w:tc>
          <w:tcPr>
            <w:tcW w:w="1705" w:type="dxa"/>
            <w:shd w:val="clear" w:color="auto" w:fill="FFFFFF"/>
            <w:hideMark/>
          </w:tcPr>
          <w:p w14:paraId="721B834A" w14:textId="77777777" w:rsidR="00F05B0A" w:rsidRPr="00F05B0A" w:rsidRDefault="00F05B0A" w:rsidP="00F05B0A">
            <w:pPr>
              <w:rPr>
                <w:rFonts w:cs="Open Sans"/>
                <w:color w:val="000000"/>
              </w:rPr>
            </w:pPr>
            <w:r w:rsidRPr="00F05B0A">
              <w:rPr>
                <w:rFonts w:cs="Open Sans"/>
                <w:color w:val="000000"/>
              </w:rPr>
              <w:t>25 to 29.9</w:t>
            </w:r>
          </w:p>
        </w:tc>
        <w:tc>
          <w:tcPr>
            <w:tcW w:w="2970" w:type="dxa"/>
            <w:shd w:val="clear" w:color="auto" w:fill="FFFFFF"/>
            <w:hideMark/>
          </w:tcPr>
          <w:p w14:paraId="2488A9BE" w14:textId="77777777" w:rsidR="00F05B0A" w:rsidRPr="00F05B0A" w:rsidRDefault="00F05B0A" w:rsidP="0078359D">
            <w:pPr>
              <w:pStyle w:val="BodyCopy"/>
            </w:pPr>
            <w:r w:rsidRPr="00F05B0A">
              <w:t>Overweight but not obese</w:t>
            </w:r>
          </w:p>
        </w:tc>
      </w:tr>
      <w:tr w:rsidR="00F05B0A" w:rsidRPr="00F05B0A" w14:paraId="5290CD75" w14:textId="77777777" w:rsidTr="0078359D">
        <w:tc>
          <w:tcPr>
            <w:tcW w:w="1705" w:type="dxa"/>
            <w:hideMark/>
          </w:tcPr>
          <w:p w14:paraId="42245C5C" w14:textId="77777777" w:rsidR="00F05B0A" w:rsidRPr="00F05B0A" w:rsidRDefault="00F05B0A" w:rsidP="00F05B0A">
            <w:pPr>
              <w:rPr>
                <w:rFonts w:cs="Open Sans"/>
                <w:color w:val="000000"/>
              </w:rPr>
            </w:pPr>
            <w:r w:rsidRPr="00F05B0A">
              <w:rPr>
                <w:rFonts w:cs="Open Sans"/>
                <w:color w:val="000000"/>
              </w:rPr>
              <w:lastRenderedPageBreak/>
              <w:t>30 to 34.9</w:t>
            </w:r>
          </w:p>
        </w:tc>
        <w:tc>
          <w:tcPr>
            <w:tcW w:w="2970" w:type="dxa"/>
            <w:hideMark/>
          </w:tcPr>
          <w:p w14:paraId="07F8102A" w14:textId="77777777" w:rsidR="00F05B0A" w:rsidRPr="00F05B0A" w:rsidRDefault="00F05B0A" w:rsidP="0078359D">
            <w:pPr>
              <w:pStyle w:val="BodyCopy"/>
            </w:pPr>
            <w:r w:rsidRPr="00F05B0A">
              <w:t>Obese class I</w:t>
            </w:r>
          </w:p>
        </w:tc>
      </w:tr>
      <w:tr w:rsidR="00F05B0A" w:rsidRPr="00F05B0A" w14:paraId="1166D1D4" w14:textId="77777777" w:rsidTr="0078359D">
        <w:tc>
          <w:tcPr>
            <w:tcW w:w="1705" w:type="dxa"/>
            <w:shd w:val="clear" w:color="auto" w:fill="FFFFFF"/>
            <w:hideMark/>
          </w:tcPr>
          <w:p w14:paraId="1826F62C" w14:textId="77777777" w:rsidR="00F05B0A" w:rsidRPr="00F05B0A" w:rsidRDefault="00F05B0A" w:rsidP="00F05B0A">
            <w:pPr>
              <w:rPr>
                <w:rFonts w:cs="Open Sans"/>
                <w:color w:val="000000"/>
              </w:rPr>
            </w:pPr>
            <w:r w:rsidRPr="00F05B0A">
              <w:rPr>
                <w:rFonts w:cs="Open Sans"/>
                <w:color w:val="000000"/>
              </w:rPr>
              <w:t>35 to 39.9</w:t>
            </w:r>
          </w:p>
        </w:tc>
        <w:tc>
          <w:tcPr>
            <w:tcW w:w="2970" w:type="dxa"/>
            <w:shd w:val="clear" w:color="auto" w:fill="FFFFFF"/>
            <w:hideMark/>
          </w:tcPr>
          <w:p w14:paraId="29BEA258" w14:textId="77777777" w:rsidR="00F05B0A" w:rsidRPr="00F05B0A" w:rsidRDefault="00F05B0A" w:rsidP="00F05B0A">
            <w:pPr>
              <w:rPr>
                <w:rFonts w:cs="Open Sans"/>
                <w:color w:val="000000"/>
              </w:rPr>
            </w:pPr>
            <w:r w:rsidRPr="00F05B0A">
              <w:rPr>
                <w:rFonts w:cs="Open Sans"/>
                <w:color w:val="000000"/>
              </w:rPr>
              <w:t>Obese class II</w:t>
            </w:r>
          </w:p>
        </w:tc>
      </w:tr>
      <w:tr w:rsidR="00F05B0A" w:rsidRPr="00F05B0A" w14:paraId="6F3B35FA" w14:textId="77777777" w:rsidTr="0078359D">
        <w:tc>
          <w:tcPr>
            <w:tcW w:w="1705" w:type="dxa"/>
            <w:hideMark/>
          </w:tcPr>
          <w:p w14:paraId="308C6CE9" w14:textId="77777777" w:rsidR="00F05B0A" w:rsidRPr="00F05B0A" w:rsidRDefault="00F05B0A" w:rsidP="00F05B0A">
            <w:pPr>
              <w:rPr>
                <w:rFonts w:cs="Open Sans"/>
                <w:color w:val="000000"/>
              </w:rPr>
            </w:pPr>
            <w:r w:rsidRPr="00F05B0A">
              <w:rPr>
                <w:rFonts w:cs="Open Sans"/>
                <w:color w:val="000000"/>
              </w:rPr>
              <w:t>40 or more</w:t>
            </w:r>
          </w:p>
        </w:tc>
        <w:tc>
          <w:tcPr>
            <w:tcW w:w="2970" w:type="dxa"/>
            <w:hideMark/>
          </w:tcPr>
          <w:p w14:paraId="163AF7A5" w14:textId="77777777" w:rsidR="00F05B0A" w:rsidRPr="00F05B0A" w:rsidRDefault="00F05B0A" w:rsidP="00F05B0A">
            <w:pPr>
              <w:rPr>
                <w:rFonts w:cs="Open Sans"/>
                <w:color w:val="000000"/>
              </w:rPr>
            </w:pPr>
            <w:r w:rsidRPr="00F05B0A">
              <w:rPr>
                <w:rFonts w:cs="Open Sans"/>
                <w:color w:val="000000"/>
              </w:rPr>
              <w:t>Obese class III</w:t>
            </w:r>
          </w:p>
        </w:tc>
      </w:tr>
    </w:tbl>
    <w:p w14:paraId="0A61CC88" w14:textId="245A71BC" w:rsidR="00F05B0A" w:rsidRDefault="00F05B0A" w:rsidP="008C1F3D">
      <w:pPr>
        <w:rPr>
          <w:rFonts w:cs="Open Sans"/>
          <w:color w:val="000000"/>
        </w:rPr>
      </w:pPr>
      <w:r>
        <w:rPr>
          <w:rFonts w:cs="Open Sans"/>
          <w:color w:val="000000"/>
        </w:rPr>
        <w:t xml:space="preserve">Figure 2: </w:t>
      </w:r>
      <w:r w:rsidR="00232505">
        <w:rPr>
          <w:rFonts w:cs="Open Sans"/>
          <w:color w:val="000000"/>
        </w:rPr>
        <w:t xml:space="preserve">Meaning of BMI ranges - </w:t>
      </w:r>
      <w:r>
        <w:rPr>
          <w:rFonts w:cs="Open Sans"/>
          <w:color w:val="000000"/>
        </w:rPr>
        <w:t>Australian Government, Dept of Health and Aged Care use this classification system when assessing patient’s BMI.</w:t>
      </w:r>
    </w:p>
    <w:p w14:paraId="621F2C90" w14:textId="77777777" w:rsidR="00232505" w:rsidRDefault="003711D1" w:rsidP="008C1F3D">
      <w:pPr>
        <w:rPr>
          <w:rFonts w:cs="Open Sans"/>
          <w:color w:val="000000"/>
        </w:rPr>
      </w:pPr>
      <w:r w:rsidRPr="003711D1">
        <w:rPr>
          <w:rFonts w:cs="Open Sans"/>
          <w:color w:val="000000"/>
        </w:rPr>
        <w:t>People who are overweight have double the risk of developing knee osteoarthritis and for people with obesity the risk is fourfold</w:t>
      </w:r>
      <w:r>
        <w:rPr>
          <w:rFonts w:cs="Open Sans"/>
          <w:color w:val="000000"/>
        </w:rPr>
        <w:t>.</w:t>
      </w:r>
      <w:r w:rsidR="00E72859">
        <w:rPr>
          <w:rFonts w:cs="Open Sans"/>
          <w:color w:val="000000"/>
        </w:rPr>
        <w:t xml:space="preserve"> </w:t>
      </w:r>
    </w:p>
    <w:p w14:paraId="7760DFA2" w14:textId="77777777" w:rsidR="00232505" w:rsidRDefault="00E72859" w:rsidP="00232505">
      <w:pPr>
        <w:pStyle w:val="Bullet"/>
      </w:pPr>
      <w:r>
        <w:rPr>
          <w:rFonts w:cs="Open Sans"/>
          <w:color w:val="000000"/>
        </w:rPr>
        <w:t xml:space="preserve">In </w:t>
      </w:r>
      <w:r w:rsidR="00DA710A">
        <w:rPr>
          <w:rFonts w:cs="Open Sans"/>
          <w:color w:val="000000"/>
        </w:rPr>
        <w:t>one study</w:t>
      </w:r>
      <w:r>
        <w:rPr>
          <w:rFonts w:cs="Open Sans"/>
          <w:color w:val="000000"/>
        </w:rPr>
        <w:t>,</w:t>
      </w:r>
      <w:r w:rsidR="003711D1" w:rsidRPr="00E04494">
        <w:rPr>
          <w:rFonts w:cs="Open Sans"/>
          <w:color w:val="000000"/>
        </w:rPr>
        <w:t xml:space="preserve"> </w:t>
      </w:r>
      <w:r>
        <w:t>a</w:t>
      </w:r>
      <w:r w:rsidR="008C1F3D">
        <w:t xml:space="preserve"> 10% weight loss before knee replacement</w:t>
      </w:r>
      <w:r>
        <w:t xml:space="preserve"> surgery </w:t>
      </w:r>
      <w:r w:rsidR="00DA710A">
        <w:t>demonstrated</w:t>
      </w:r>
      <w:r>
        <w:t xml:space="preserve"> </w:t>
      </w:r>
      <w:r w:rsidR="008C1F3D">
        <w:t>improve</w:t>
      </w:r>
      <w:r w:rsidR="00DA710A">
        <w:t>ments in</w:t>
      </w:r>
      <w:r w:rsidR="008C1F3D">
        <w:t xml:space="preserve"> all general health-related outcomes compared with</w:t>
      </w:r>
      <w:r>
        <w:t xml:space="preserve"> that of</w:t>
      </w:r>
      <w:r w:rsidR="008C1F3D">
        <w:t xml:space="preserve"> the </w:t>
      </w:r>
      <w:r>
        <w:t>controls and</w:t>
      </w:r>
      <w:r w:rsidR="008C1F3D">
        <w:t xml:space="preserve"> allow</w:t>
      </w:r>
      <w:r w:rsidR="00DA710A">
        <w:t>ed</w:t>
      </w:r>
      <w:r w:rsidR="008C1F3D">
        <w:t xml:space="preserve"> more than 33% of the patients to be out of bed and mobili</w:t>
      </w:r>
      <w:r w:rsidR="00DA710A">
        <w:t>sing</w:t>
      </w:r>
      <w:r w:rsidR="008C1F3D">
        <w:t xml:space="preserve"> the day of surgery (Liljensøe, 2014).</w:t>
      </w:r>
      <w:r w:rsidR="00DA710A">
        <w:t xml:space="preserve"> </w:t>
      </w:r>
    </w:p>
    <w:p w14:paraId="19963640" w14:textId="54F2A35B" w:rsidR="00232505" w:rsidRDefault="00DA710A" w:rsidP="00232505">
      <w:pPr>
        <w:pStyle w:val="Bullet"/>
      </w:pPr>
      <w:r>
        <w:t xml:space="preserve">A study by Chu </w:t>
      </w:r>
      <w:r w:rsidR="00EB5F30">
        <w:t xml:space="preserve">et al </w:t>
      </w:r>
      <w:r>
        <w:t>(2018) revealed that</w:t>
      </w:r>
      <w:r w:rsidR="008C1F3D">
        <w:t xml:space="preserve"> </w:t>
      </w:r>
      <w:r>
        <w:t>w</w:t>
      </w:r>
      <w:r w:rsidR="008C1F3D">
        <w:t>ith a weight loss of 14.3%, bariatric surgery (BSURG) reduced the risk of invasive intervention for</w:t>
      </w:r>
      <w:r w:rsidR="00F1540A">
        <w:t xml:space="preserve"> knee</w:t>
      </w:r>
      <w:r w:rsidR="008C1F3D">
        <w:t xml:space="preserve"> OA by 69.9% at 12 months</w:t>
      </w:r>
      <w:r>
        <w:t>,</w:t>
      </w:r>
      <w:r w:rsidR="008C1F3D">
        <w:t xml:space="preserve"> and by 80% at 24 months; similarly, </w:t>
      </w:r>
      <w:r>
        <w:t>the use of medication for pain relief</w:t>
      </w:r>
      <w:r w:rsidR="008C1F3D">
        <w:t xml:space="preserve"> was decreased by 96.9% at 12 months (Chu</w:t>
      </w:r>
      <w:r w:rsidR="00EB5F30">
        <w:t xml:space="preserve"> et al</w:t>
      </w:r>
      <w:r w:rsidR="008C1F3D">
        <w:t xml:space="preserve"> 2018)</w:t>
      </w:r>
      <w:r>
        <w:t>.</w:t>
      </w:r>
      <w:r w:rsidR="008C1F3D">
        <w:t xml:space="preserve"> </w:t>
      </w:r>
    </w:p>
    <w:p w14:paraId="580A17B6" w14:textId="445642B8" w:rsidR="008C1F3D" w:rsidRDefault="008C1F3D" w:rsidP="0078359D">
      <w:pPr>
        <w:pStyle w:val="Bullet"/>
      </w:pPr>
      <w:r>
        <w:t>A meta-analysis found that a 5–10% weight loss induces only small positive effects on pain, self-reported disability, and physical, but not mental, quality of life in adults with a BMI ranging from 33.6 to 36.4 kg/m2 and with mild to moderate knee OA (</w:t>
      </w:r>
      <w:r w:rsidR="00ED6218" w:rsidRPr="00ED6218">
        <w:t>Panunzi</w:t>
      </w:r>
      <w:r w:rsidR="00ED6218">
        <w:t xml:space="preserve"> et al 2021</w:t>
      </w:r>
      <w:r>
        <w:t>).</w:t>
      </w:r>
    </w:p>
    <w:p w14:paraId="163C85F9" w14:textId="2D980B0C" w:rsidR="00E04494" w:rsidRPr="00481A6C" w:rsidRDefault="00A66A96" w:rsidP="00E410F0">
      <w:pPr>
        <w:pStyle w:val="BodyCopy"/>
      </w:pPr>
      <w:r>
        <w:t xml:space="preserve">Patients referred to CHS for help with managing their knee OA </w:t>
      </w:r>
      <w:r w:rsidR="00232505">
        <w:t xml:space="preserve">should </w:t>
      </w:r>
      <w:r>
        <w:t>be offered nutritional advice with the goal of either gaining or losing weight, dependent on their needs. Healthy eating habits are an essential part of successfully managing the symptoms of OA knee.</w:t>
      </w:r>
    </w:p>
    <w:p w14:paraId="2AEC67AB" w14:textId="77777777" w:rsidR="00E410F0" w:rsidRDefault="00E410F0" w:rsidP="00E410F0">
      <w:pPr>
        <w:pStyle w:val="BodyCopy"/>
        <w:rPr>
          <w:rStyle w:val="Hyperlink"/>
          <w:iCs w:val="0"/>
        </w:rPr>
      </w:pPr>
      <w:hyperlink w:anchor="_top" w:history="1">
        <w:r w:rsidRPr="00481A6C">
          <w:rPr>
            <w:rStyle w:val="Hyperlink"/>
            <w:iCs w:val="0"/>
          </w:rPr>
          <w:t>Back to Contents</w:t>
        </w:r>
      </w:hyperlink>
    </w:p>
    <w:p w14:paraId="4A51C62A" w14:textId="77777777" w:rsidR="00E410F0" w:rsidRDefault="00E410F0" w:rsidP="00E410F0">
      <w:pPr>
        <w:pStyle w:val="Heading2"/>
      </w:pPr>
      <w:bookmarkStart w:id="11" w:name="_Toc192163827"/>
      <w:r w:rsidRPr="0078367D">
        <w:t xml:space="preserve">Section </w:t>
      </w:r>
      <w:r w:rsidR="00E04494">
        <w:t>6</w:t>
      </w:r>
      <w:r w:rsidRPr="0078367D">
        <w:t xml:space="preserve"> </w:t>
      </w:r>
      <w:r w:rsidR="00E04494">
        <w:t>–</w:t>
      </w:r>
      <w:r w:rsidRPr="0078367D">
        <w:t xml:space="preserve"> </w:t>
      </w:r>
      <w:r w:rsidR="00E04494">
        <w:t>Medicines used to manage pain and mobility.</w:t>
      </w:r>
      <w:bookmarkEnd w:id="11"/>
    </w:p>
    <w:p w14:paraId="3603123A" w14:textId="77777777"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 xml:space="preserve">Note </w:t>
      </w:r>
    </w:p>
    <w:p w14:paraId="3E2C1831" w14:textId="6B3361A5" w:rsidR="00E410F0" w:rsidRPr="0078359D" w:rsidRDefault="00820B8A" w:rsidP="0078359D">
      <w:pPr>
        <w:pStyle w:val="BodyCopy"/>
        <w:pBdr>
          <w:top w:val="single" w:sz="4" w:space="1" w:color="auto"/>
          <w:left w:val="single" w:sz="4" w:space="4" w:color="auto"/>
          <w:bottom w:val="single" w:sz="4" w:space="1" w:color="auto"/>
          <w:right w:val="single" w:sz="4" w:space="4" w:color="auto"/>
        </w:pBdr>
      </w:pPr>
      <w:r>
        <w:rPr>
          <w:rFonts w:cs="Open Sans"/>
          <w:color w:val="000000"/>
        </w:rPr>
        <w:t>“</w:t>
      </w:r>
      <w:r w:rsidR="00E04494" w:rsidRPr="0078359D">
        <w:rPr>
          <w:rFonts w:cs="Open Sans"/>
          <w:color w:val="000000"/>
        </w:rPr>
        <w:t>A patient with knee osteoarthritis is offered medicines to manage their pain and mobility in accordance with the current version of the Therapeutic Guidelines or locally endorsed, evidence-based guidelines. A patient is not offered opioid analgesics for knee osteoarthritis because the risk of harm outweighs the benefits.</w:t>
      </w:r>
      <w:r>
        <w:rPr>
          <w:rFonts w:cs="Open Sans"/>
          <w:color w:val="000000"/>
        </w:rPr>
        <w:t>”</w:t>
      </w:r>
      <w:r w:rsidR="00E04494" w:rsidRPr="0078359D">
        <w:rPr>
          <w:rFonts w:cs="Open Sans"/>
          <w:color w:val="000000"/>
        </w:rPr>
        <w:t xml:space="preserve"> (Australian Commission on Safety and Quality in Health Care 2024)</w:t>
      </w:r>
    </w:p>
    <w:p w14:paraId="3CA8EEF6" w14:textId="5D61232F" w:rsidR="008C1F3D" w:rsidRDefault="008C1F3D" w:rsidP="008C1F3D">
      <w:r>
        <w:t>Pharmacological care is an important adjunct for some people with OA</w:t>
      </w:r>
      <w:r w:rsidR="00232505">
        <w:t xml:space="preserve">. This </w:t>
      </w:r>
      <w:r>
        <w:t xml:space="preserve">may include simple analgesics, non-steroidal anti-inflammatory agents, </w:t>
      </w:r>
      <w:r w:rsidR="00232505">
        <w:t xml:space="preserve">and </w:t>
      </w:r>
      <w:r>
        <w:t>intra-articular agents</w:t>
      </w:r>
      <w:r w:rsidR="00232505">
        <w:t xml:space="preserve">. For </w:t>
      </w:r>
      <w:r>
        <w:t xml:space="preserve">a </w:t>
      </w:r>
      <w:r>
        <w:lastRenderedPageBreak/>
        <w:t>minority</w:t>
      </w:r>
      <w:r w:rsidR="00232505">
        <w:t xml:space="preserve"> it may include</w:t>
      </w:r>
      <w:r>
        <w:t xml:space="preserve"> a short-term trial of opioids with a discontinuation plan in place. It is imperative that pharmacological therapy is integrated with non-pharmacological management options to ensure that pain and function are addressed holistically, based on contemporary pain science.</w:t>
      </w:r>
    </w:p>
    <w:p w14:paraId="37E42112" w14:textId="0EB9586F" w:rsidR="008C1F3D" w:rsidRDefault="008C1F3D" w:rsidP="008C1F3D">
      <w:r>
        <w:t xml:space="preserve">Medicines may help to manage knee pain and other symptoms. </w:t>
      </w:r>
      <w:r w:rsidR="00EE6064">
        <w:t xml:space="preserve">GPs, consultants, medical officers, health professionals with prescribing capabilities and pharmacists need to engage with consumers to advise and monitor (particularly for unwanted side effects) the use of these pharmaceuticals in the treatment of OA: </w:t>
      </w:r>
      <w:r>
        <w:t xml:space="preserve"> </w:t>
      </w:r>
    </w:p>
    <w:p w14:paraId="66A67380" w14:textId="77777777" w:rsidR="00232505" w:rsidRDefault="008C1F3D" w:rsidP="00E37229">
      <w:pPr>
        <w:pStyle w:val="Bullet"/>
      </w:pPr>
      <w:r>
        <w:t xml:space="preserve">Topical analgesics rubbed into the skin to relieve pain. </w:t>
      </w:r>
    </w:p>
    <w:p w14:paraId="45D570E0" w14:textId="7D2DF1E9" w:rsidR="008C1F3D" w:rsidRDefault="008C1F3D" w:rsidP="0078359D">
      <w:pPr>
        <w:pStyle w:val="Bullet"/>
        <w:numPr>
          <w:ilvl w:val="1"/>
          <w:numId w:val="1"/>
        </w:numPr>
      </w:pPr>
      <w:r>
        <w:t>They include non-steroidal anti-inflammatory (NSAID) ointments. These ointments can be used for short-term pain relief, or in addition to other treatments</w:t>
      </w:r>
      <w:r w:rsidR="00534082">
        <w:t xml:space="preserve"> and can be bought over the counter in pharmacies.</w:t>
      </w:r>
      <w:r>
        <w:t xml:space="preserve"> </w:t>
      </w:r>
    </w:p>
    <w:p w14:paraId="34C4725A" w14:textId="77777777" w:rsidR="00232505" w:rsidRDefault="008C1F3D" w:rsidP="00E37229">
      <w:pPr>
        <w:pStyle w:val="Bullet"/>
      </w:pPr>
      <w:r>
        <w:t xml:space="preserve">Oral analgesics include paracetamol and NSAID tablets. </w:t>
      </w:r>
    </w:p>
    <w:p w14:paraId="4209B9F0" w14:textId="77777777" w:rsidR="00232505" w:rsidRDefault="008C1F3D" w:rsidP="00232505">
      <w:pPr>
        <w:pStyle w:val="Bullet"/>
        <w:numPr>
          <w:ilvl w:val="1"/>
          <w:numId w:val="1"/>
        </w:numPr>
      </w:pPr>
      <w:r>
        <w:t xml:space="preserve">Paracetamol may provide a small benefit in pain relief however patients should stop using it if it is not helping their pain. </w:t>
      </w:r>
    </w:p>
    <w:p w14:paraId="48DC608D" w14:textId="77777777" w:rsidR="00232505" w:rsidRDefault="008C1F3D" w:rsidP="00232505">
      <w:pPr>
        <w:pStyle w:val="Bullet"/>
        <w:numPr>
          <w:ilvl w:val="1"/>
          <w:numId w:val="1"/>
        </w:numPr>
      </w:pPr>
      <w:r>
        <w:t>Prescription-only pain relievers such as codeine, oxycodone and tramadol have a very limited role in managing pain for OA. They are not recommended. Taking them provides a modest temporary benefit (if any), and there is a significant risk of harm.</w:t>
      </w:r>
      <w:r w:rsidRPr="00BE0852">
        <w:t xml:space="preserve"> </w:t>
      </w:r>
    </w:p>
    <w:p w14:paraId="28582A34" w14:textId="62574419" w:rsidR="008C1F3D" w:rsidRDefault="008C1F3D" w:rsidP="0078359D">
      <w:pPr>
        <w:pStyle w:val="Bullet"/>
        <w:numPr>
          <w:ilvl w:val="1"/>
          <w:numId w:val="1"/>
        </w:numPr>
      </w:pPr>
      <w:r>
        <w:t xml:space="preserve">Oral NSAIDs are more effective than paracetamol for reducing pain and can improve symptoms for most people. However, NSAIDs also have a greater potential for harm, particularly for older people. They can cause serious problems with heart, kidneys and gastrointestinal systems which may include an increase in blood pressure, reduced kidney function and stomach ulcers that can bleed. </w:t>
      </w:r>
    </w:p>
    <w:p w14:paraId="1F51F910" w14:textId="6EFBA2BC" w:rsidR="00232505" w:rsidRDefault="008C1F3D" w:rsidP="00E37229">
      <w:pPr>
        <w:pStyle w:val="Bullet"/>
      </w:pPr>
      <w:r>
        <w:t>Intra-articular injections can give some short-term pain relief</w:t>
      </w:r>
      <w:r w:rsidR="00656482">
        <w:t xml:space="preserve"> but are not recommended for long term use</w:t>
      </w:r>
      <w:r>
        <w:t xml:space="preserve">. </w:t>
      </w:r>
    </w:p>
    <w:p w14:paraId="6C749F7C" w14:textId="77777777" w:rsidR="004436FC" w:rsidRDefault="008C1F3D" w:rsidP="00232505">
      <w:pPr>
        <w:pStyle w:val="Bullet"/>
        <w:numPr>
          <w:ilvl w:val="1"/>
          <w:numId w:val="1"/>
        </w:numPr>
      </w:pPr>
      <w:r>
        <w:t xml:space="preserve">There are two types of injections, corticosteroid and hyaluronan injections. </w:t>
      </w:r>
    </w:p>
    <w:p w14:paraId="4119BEFE" w14:textId="728FA6A0" w:rsidR="004436FC" w:rsidRDefault="008C1F3D" w:rsidP="00232505">
      <w:pPr>
        <w:pStyle w:val="Bullet"/>
        <w:numPr>
          <w:ilvl w:val="1"/>
          <w:numId w:val="1"/>
        </w:numPr>
      </w:pPr>
      <w:r>
        <w:t>Current clinical guidelines do not recommend hyalur</w:t>
      </w:r>
      <w:r w:rsidR="002B2383">
        <w:t>o</w:t>
      </w:r>
      <w:r>
        <w:t>n</w:t>
      </w:r>
      <w:r w:rsidR="002B2383">
        <w:t>a</w:t>
      </w:r>
      <w:r>
        <w:t>n injections</w:t>
      </w:r>
      <w:r w:rsidR="004436FC">
        <w:t>.</w:t>
      </w:r>
    </w:p>
    <w:p w14:paraId="3A91D3E6" w14:textId="0BF83F31" w:rsidR="004436FC" w:rsidRDefault="004436FC" w:rsidP="00232505">
      <w:pPr>
        <w:pStyle w:val="Bullet"/>
        <w:numPr>
          <w:ilvl w:val="1"/>
          <w:numId w:val="1"/>
        </w:numPr>
      </w:pPr>
      <w:r>
        <w:t>C</w:t>
      </w:r>
      <w:r w:rsidR="008C1F3D">
        <w:t xml:space="preserve">orticosteroid injections should only be used if they are providing pain relief and increased function. </w:t>
      </w:r>
    </w:p>
    <w:p w14:paraId="5957C4C9" w14:textId="0AF38068" w:rsidR="008C1F3D" w:rsidRDefault="008C1F3D" w:rsidP="0078359D">
      <w:pPr>
        <w:pStyle w:val="Bullet"/>
        <w:numPr>
          <w:ilvl w:val="1"/>
          <w:numId w:val="1"/>
        </w:numPr>
      </w:pPr>
      <w:r>
        <w:t>Infection in the joint is a rare but serious complication associated with intra-articular injections.</w:t>
      </w:r>
      <w:r w:rsidR="00534082">
        <w:t xml:space="preserve"> </w:t>
      </w:r>
    </w:p>
    <w:p w14:paraId="5B3DE966" w14:textId="77777777" w:rsidR="00E410F0" w:rsidRDefault="00E410F0" w:rsidP="00E410F0">
      <w:pPr>
        <w:pStyle w:val="BodyCopy"/>
      </w:pPr>
      <w:hyperlink w:anchor="_top" w:history="1">
        <w:r w:rsidRPr="00481A6C">
          <w:rPr>
            <w:rStyle w:val="Hyperlink"/>
            <w:iCs w:val="0"/>
          </w:rPr>
          <w:t>Back to Contents</w:t>
        </w:r>
      </w:hyperlink>
    </w:p>
    <w:p w14:paraId="712FD035" w14:textId="77777777" w:rsidR="00E410F0" w:rsidRDefault="00E410F0" w:rsidP="00E410F0">
      <w:pPr>
        <w:pStyle w:val="Heading2"/>
      </w:pPr>
      <w:bookmarkStart w:id="12" w:name="_Toc192163828"/>
      <w:r w:rsidRPr="0078367D">
        <w:t xml:space="preserve">Section </w:t>
      </w:r>
      <w:r w:rsidR="00B62D7D">
        <w:t>7</w:t>
      </w:r>
      <w:r w:rsidRPr="0078367D">
        <w:t xml:space="preserve"> </w:t>
      </w:r>
      <w:r w:rsidR="00B62D7D">
        <w:t>–</w:t>
      </w:r>
      <w:r w:rsidRPr="0078367D">
        <w:t xml:space="preserve"> </w:t>
      </w:r>
      <w:r w:rsidR="00B62D7D">
        <w:t>Patient Review</w:t>
      </w:r>
      <w:bookmarkEnd w:id="12"/>
    </w:p>
    <w:p w14:paraId="272D6991" w14:textId="77777777"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 xml:space="preserve">Note </w:t>
      </w:r>
    </w:p>
    <w:p w14:paraId="52537F82" w14:textId="765C26B8" w:rsidR="00E04494" w:rsidRPr="0078359D" w:rsidRDefault="00820B8A" w:rsidP="2C1FC818">
      <w:pPr>
        <w:pStyle w:val="BodyCopy"/>
        <w:pBdr>
          <w:top w:val="single" w:sz="4" w:space="1" w:color="auto"/>
          <w:left w:val="single" w:sz="4" w:space="4" w:color="auto"/>
          <w:bottom w:val="single" w:sz="4" w:space="1" w:color="auto"/>
          <w:right w:val="single" w:sz="4" w:space="4" w:color="auto"/>
        </w:pBdr>
        <w:rPr>
          <w:rFonts w:cs="Open Sans"/>
          <w:color w:val="000000"/>
        </w:rPr>
      </w:pPr>
      <w:r w:rsidRPr="2C1FC818">
        <w:rPr>
          <w:rFonts w:cs="Open Sans"/>
        </w:rPr>
        <w:t>“</w:t>
      </w:r>
      <w:r w:rsidR="00E04494" w:rsidRPr="2C1FC818">
        <w:rPr>
          <w:rFonts w:cs="Open Sans"/>
        </w:rPr>
        <w:t xml:space="preserve">A patient with knee osteoarthritis receives planned clinical review at agreed intervals, and management is adjusted for any changing needs. A patient who has worsening symptoms and severe functional impairment that persists despite optimal nonsurgical management is </w:t>
      </w:r>
      <w:r w:rsidR="00E04494" w:rsidRPr="2C1FC818">
        <w:rPr>
          <w:rFonts w:cs="Open Sans"/>
        </w:rPr>
        <w:lastRenderedPageBreak/>
        <w:t xml:space="preserve">referred for assessment to a </w:t>
      </w:r>
      <w:r w:rsidR="009362AE" w:rsidRPr="2C1FC818">
        <w:rPr>
          <w:rFonts w:cs="Open Sans"/>
        </w:rPr>
        <w:t>non-general</w:t>
      </w:r>
      <w:r w:rsidR="00E04494" w:rsidRPr="2C1FC818">
        <w:rPr>
          <w:rFonts w:cs="Open Sans"/>
        </w:rPr>
        <w:t xml:space="preserve"> practitioner (GP) specialist or multidisciplinary service.</w:t>
      </w:r>
      <w:r w:rsidRPr="2C1FC818">
        <w:rPr>
          <w:rFonts w:cs="Open Sans"/>
        </w:rPr>
        <w:t>”</w:t>
      </w:r>
      <w:r w:rsidR="00E04494" w:rsidRPr="2C1FC818">
        <w:rPr>
          <w:rFonts w:cs="Open Sans"/>
        </w:rPr>
        <w:t xml:space="preserve"> (Australian Commission on Safety and Quality in Health Care 2024)</w:t>
      </w:r>
    </w:p>
    <w:p w14:paraId="5B02DE71" w14:textId="2EA66FF1" w:rsidR="00EF32EB" w:rsidRDefault="00E04494" w:rsidP="00E410F0">
      <w:pPr>
        <w:pStyle w:val="BodyCopy"/>
      </w:pPr>
      <w:r>
        <w:t xml:space="preserve">There is no evidence that age or </w:t>
      </w:r>
      <w:r w:rsidR="002B2383">
        <w:t xml:space="preserve">knee </w:t>
      </w:r>
      <w:r>
        <w:t xml:space="preserve">OA severity reduce </w:t>
      </w:r>
      <w:r w:rsidR="002B2383">
        <w:t xml:space="preserve">the success of, and response </w:t>
      </w:r>
      <w:r>
        <w:t>to</w:t>
      </w:r>
      <w:r w:rsidR="002B2383">
        <w:t>,</w:t>
      </w:r>
      <w:r>
        <w:t xml:space="preserve"> </w:t>
      </w:r>
      <w:r w:rsidR="003421EA">
        <w:t>GLA:D</w:t>
      </w:r>
      <w:r w:rsidR="003421EA" w:rsidRPr="42C720B3">
        <w:rPr>
          <w:rFonts w:cs="Calibri"/>
        </w:rPr>
        <w:t>®</w:t>
      </w:r>
      <w:r w:rsidR="003421EA" w:rsidDel="003421EA">
        <w:t xml:space="preserve"> </w:t>
      </w:r>
      <w:r>
        <w:t xml:space="preserve">(or other exercise and education) interventions. So, severity doesn’t preclude the chance of a positive response to </w:t>
      </w:r>
      <w:r w:rsidR="003421EA">
        <w:t>GLA:D</w:t>
      </w:r>
      <w:r w:rsidR="003421EA" w:rsidRPr="42C720B3">
        <w:rPr>
          <w:rFonts w:cs="Calibri"/>
        </w:rPr>
        <w:t>®</w:t>
      </w:r>
      <w:r w:rsidR="003421EA">
        <w:rPr>
          <w:rFonts w:cs="Calibri"/>
        </w:rPr>
        <w:t xml:space="preserve">. </w:t>
      </w:r>
      <w:r>
        <w:t xml:space="preserve">This puts an increased importance on monitoring </w:t>
      </w:r>
      <w:r w:rsidR="002B2383">
        <w:t xml:space="preserve">knee </w:t>
      </w:r>
      <w:r>
        <w:t>OA progression.</w:t>
      </w:r>
      <w:r w:rsidR="00EE6064">
        <w:t xml:space="preserve"> </w:t>
      </w:r>
    </w:p>
    <w:p w14:paraId="1B3E7847" w14:textId="73AC7664" w:rsidR="00D41612" w:rsidRDefault="00EE6064" w:rsidP="00E410F0">
      <w:pPr>
        <w:pStyle w:val="BodyCopy"/>
      </w:pPr>
      <w:r>
        <w:t>The</w:t>
      </w:r>
      <w:r w:rsidRPr="00EE6064">
        <w:t xml:space="preserve"> progression rate of knee OA varies depending on the individual, but generally, it is considered a slow, gradual process</w:t>
      </w:r>
      <w:r w:rsidR="00EF32EB">
        <w:t>. S</w:t>
      </w:r>
      <w:r w:rsidRPr="00EE6064">
        <w:t>tudies report radiographic progression rates of around 2.5% to 3.6% per year, often measured by joint space narrowing on X-rays</w:t>
      </w:r>
      <w:r w:rsidR="00EF32EB">
        <w:t xml:space="preserve">. However, </w:t>
      </w:r>
      <w:r w:rsidRPr="00EE6064">
        <w:t>a significant portion of individuals may experience faster progression, particularly those with risk factors like obesity, previous knee injury, or significant malalignment.</w:t>
      </w:r>
      <w:r w:rsidR="00D550DA">
        <w:t xml:space="preserve"> Faster </w:t>
      </w:r>
      <w:r w:rsidR="00E04494">
        <w:t>progression rate</w:t>
      </w:r>
      <w:r w:rsidR="00D550DA">
        <w:t>s</w:t>
      </w:r>
      <w:r w:rsidR="00E04494">
        <w:t xml:space="preserve"> </w:t>
      </w:r>
      <w:r w:rsidR="00D550DA">
        <w:t>are an</w:t>
      </w:r>
      <w:r w:rsidR="00E04494">
        <w:t xml:space="preserve"> important indicator for </w:t>
      </w:r>
      <w:r w:rsidR="00D550DA">
        <w:t xml:space="preserve">the need for </w:t>
      </w:r>
      <w:r w:rsidR="00E04494">
        <w:t>TKA</w:t>
      </w:r>
      <w:r w:rsidR="00D550DA">
        <w:t>, increasing the need for frequent reviews for these patients</w:t>
      </w:r>
      <w:r w:rsidR="00E04494">
        <w:t xml:space="preserve">. </w:t>
      </w:r>
    </w:p>
    <w:p w14:paraId="4C1FB173" w14:textId="3A46D476" w:rsidR="00B365E4" w:rsidRDefault="00E04494" w:rsidP="00D41612">
      <w:pPr>
        <w:pStyle w:val="BodyCopy"/>
      </w:pPr>
      <w:r w:rsidRPr="001A6D0A">
        <w:t>Many people have osteoarthritis that does not progress</w:t>
      </w:r>
      <w:r>
        <w:rPr>
          <w:b/>
        </w:rPr>
        <w:t xml:space="preserve"> </w:t>
      </w:r>
      <w:r>
        <w:t xml:space="preserve">and is well managed as a chronic condition. </w:t>
      </w:r>
      <w:r w:rsidR="00B365E4">
        <w:t xml:space="preserve">For most people with knee OA, non-surgical care is appropriately delivered in community-based settings, with care co-ordinated between primary care providers. A regular GP review every </w:t>
      </w:r>
      <w:r w:rsidR="00EF32EB">
        <w:t xml:space="preserve">three to six </w:t>
      </w:r>
      <w:r w:rsidR="00B365E4">
        <w:t>months can help address exacerbations early or any side effects from medication.</w:t>
      </w:r>
    </w:p>
    <w:p w14:paraId="76E76F80" w14:textId="07B79E2E" w:rsidR="00B365E4" w:rsidRDefault="00B365E4" w:rsidP="00B365E4">
      <w:r>
        <w:t>GLA:D</w:t>
      </w:r>
      <w:r>
        <w:rPr>
          <w:rFonts w:cs="Calibri"/>
        </w:rPr>
        <w:t>®</w:t>
      </w:r>
      <w:r>
        <w:t xml:space="preserve"> offers a </w:t>
      </w:r>
      <w:r w:rsidR="00C62E3F">
        <w:t>three-month</w:t>
      </w:r>
      <w:r>
        <w:t xml:space="preserve"> post program follow up, as well as a 12 month follow up.</w:t>
      </w:r>
    </w:p>
    <w:p w14:paraId="4680C646" w14:textId="7B712036" w:rsidR="00B365E4" w:rsidRPr="00481A6C" w:rsidRDefault="00B365E4" w:rsidP="00E37229">
      <w:r>
        <w:t>Patients can re</w:t>
      </w:r>
      <w:r w:rsidR="032DD1D7">
        <w:t>-</w:t>
      </w:r>
      <w:r>
        <w:t>present to their GP and/or community health professional when they need further help with management of their symptoms. Patients can repeat the GLA:D</w:t>
      </w:r>
      <w:r w:rsidRPr="2C1FC818">
        <w:rPr>
          <w:rFonts w:cs="Calibri"/>
        </w:rPr>
        <w:t>®</w:t>
      </w:r>
      <w:r>
        <w:t xml:space="preserve"> program annually if this helps them with their self-management and keeps them out of the acute hospital system.</w:t>
      </w:r>
    </w:p>
    <w:p w14:paraId="55433B4D" w14:textId="77777777" w:rsidR="00E410F0" w:rsidRDefault="00E410F0" w:rsidP="00E410F0">
      <w:pPr>
        <w:pStyle w:val="BodyCopy"/>
      </w:pPr>
      <w:hyperlink w:anchor="_top" w:history="1">
        <w:r w:rsidRPr="00481A6C">
          <w:rPr>
            <w:rStyle w:val="Hyperlink"/>
            <w:iCs w:val="0"/>
          </w:rPr>
          <w:t>Back to Contents</w:t>
        </w:r>
      </w:hyperlink>
    </w:p>
    <w:p w14:paraId="0F46EAF1" w14:textId="77777777" w:rsidR="00E410F0" w:rsidRDefault="00E410F0" w:rsidP="00E410F0">
      <w:pPr>
        <w:pStyle w:val="Heading2"/>
      </w:pPr>
      <w:bookmarkStart w:id="13" w:name="_Toc192163829"/>
      <w:r w:rsidRPr="0078367D">
        <w:t xml:space="preserve">Section </w:t>
      </w:r>
      <w:r w:rsidR="00E04494">
        <w:t xml:space="preserve">8 </w:t>
      </w:r>
      <w:r w:rsidR="00B62D7D">
        <w:t>–</w:t>
      </w:r>
      <w:r w:rsidRPr="0078367D">
        <w:t xml:space="preserve"> </w:t>
      </w:r>
      <w:r w:rsidR="00E04494">
        <w:t>Surgery</w:t>
      </w:r>
      <w:bookmarkEnd w:id="13"/>
    </w:p>
    <w:p w14:paraId="57AD1136" w14:textId="77777777" w:rsidR="00820B8A"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b/>
          <w:bCs w:val="0"/>
          <w:color w:val="000000"/>
        </w:rPr>
      </w:pPr>
      <w:r w:rsidRPr="0078359D">
        <w:rPr>
          <w:rFonts w:cs="Open Sans"/>
          <w:b/>
          <w:bCs w:val="0"/>
          <w:color w:val="000000"/>
        </w:rPr>
        <w:t xml:space="preserve">Note </w:t>
      </w:r>
    </w:p>
    <w:p w14:paraId="2EAFDD98" w14:textId="49B373BC" w:rsidR="00E410F0" w:rsidRPr="0078359D" w:rsidRDefault="00820B8A" w:rsidP="0078359D">
      <w:pPr>
        <w:pStyle w:val="BodyCopy"/>
        <w:pBdr>
          <w:top w:val="single" w:sz="4" w:space="1" w:color="auto"/>
          <w:left w:val="single" w:sz="4" w:space="4" w:color="auto"/>
          <w:bottom w:val="single" w:sz="4" w:space="1" w:color="auto"/>
          <w:right w:val="single" w:sz="4" w:space="4" w:color="auto"/>
        </w:pBdr>
        <w:rPr>
          <w:rFonts w:cs="Open Sans"/>
          <w:color w:val="000000"/>
        </w:rPr>
      </w:pPr>
      <w:r>
        <w:rPr>
          <w:rFonts w:cs="Open Sans"/>
          <w:color w:val="000000"/>
        </w:rPr>
        <w:t>“</w:t>
      </w:r>
      <w:r w:rsidR="00E04494" w:rsidRPr="0078359D">
        <w:rPr>
          <w:rFonts w:cs="Open Sans"/>
          <w:color w:val="000000"/>
        </w:rPr>
        <w:t>A patient with knee osteoarthritis who has severe functional impairment despite optimal non</w:t>
      </w:r>
      <w:r w:rsidR="00E04494" w:rsidRPr="0078359D">
        <w:rPr>
          <w:rFonts w:cs="Open Sans"/>
          <w:color w:val="000000"/>
        </w:rPr>
        <w:noBreakHyphen/>
        <w:t>surgical management is considered for timely joint replacement surgery or joint-conserving surgery. The patient receives comprehensive information about the procedure and potential outcomes to inform their decision. Arthroscopic procedures are not offered to treat uncomplicated knee osteoarthritis.</w:t>
      </w:r>
      <w:r>
        <w:rPr>
          <w:rFonts w:cs="Open Sans"/>
          <w:color w:val="000000"/>
        </w:rPr>
        <w:t>”</w:t>
      </w:r>
      <w:r w:rsidR="00E04494" w:rsidRPr="0078359D">
        <w:rPr>
          <w:rFonts w:cs="Open Sans"/>
          <w:color w:val="000000"/>
          <w:sz w:val="20"/>
          <w:szCs w:val="20"/>
        </w:rPr>
        <w:t xml:space="preserve"> </w:t>
      </w:r>
      <w:r w:rsidR="00E04494" w:rsidRPr="0078359D">
        <w:rPr>
          <w:rFonts w:cs="Open Sans"/>
          <w:color w:val="000000"/>
        </w:rPr>
        <w:t>(Australian Commission on Safety and Quality in Health Care 2024)</w:t>
      </w:r>
    </w:p>
    <w:p w14:paraId="2BD4D2FB" w14:textId="77777777" w:rsidR="00B365E4" w:rsidRDefault="00B365E4" w:rsidP="00B365E4">
      <w:r>
        <w:t xml:space="preserve">For a sub-group of people with advanced disease, total joint replacement (TJR) may be indicated. Importantly, TJR surgery should be reserved for people who have exhausted all other non-surgical care options and where there is </w:t>
      </w:r>
      <w:r w:rsidRPr="00C569D7">
        <w:t xml:space="preserve">good probability </w:t>
      </w:r>
      <w:r w:rsidR="00C569D7" w:rsidRPr="00C569D7">
        <w:t>of successful surgical and patient satisfaction outcomes</w:t>
      </w:r>
      <w:r w:rsidR="00C569D7">
        <w:t>.</w:t>
      </w:r>
    </w:p>
    <w:p w14:paraId="314A4F66" w14:textId="4BBB59D4" w:rsidR="00D41612" w:rsidRDefault="00D41612" w:rsidP="00B365E4">
      <w:r>
        <w:lastRenderedPageBreak/>
        <w:t>Patients who have exhausted all non-surgical interventions can be referred (via their GP or community physiotherapist) to the OSC</w:t>
      </w:r>
      <w:r w:rsidR="005038F2">
        <w:t xml:space="preserve"> where they will be reviewed and, if found appropriate, placed on the surgical waiting list. Conversely, patients on the surgical waiting list who find that non-surgical intervention is successfully restoring their function, can be removed from the waiting list. These decisions are made in consultation with the patient </w:t>
      </w:r>
      <w:r w:rsidR="009362AE">
        <w:t>via an orthopaedic clinic appointment</w:t>
      </w:r>
      <w:r w:rsidR="005038F2">
        <w:t>.</w:t>
      </w:r>
    </w:p>
    <w:p w14:paraId="1EAEBAF5" w14:textId="77777777" w:rsidR="00C569D7" w:rsidRPr="00221C17" w:rsidRDefault="00C569D7" w:rsidP="00E37229">
      <w:pPr>
        <w:pStyle w:val="Heading4"/>
      </w:pPr>
      <w:r w:rsidRPr="00221C17">
        <w:t>Criteria for consideration of surgical intervention</w:t>
      </w:r>
      <w:r>
        <w:t>:</w:t>
      </w:r>
    </w:p>
    <w:p w14:paraId="2EBE0771" w14:textId="1AA46D01" w:rsidR="00C569D7" w:rsidRPr="00673308" w:rsidRDefault="00C569D7" w:rsidP="00673308">
      <w:pPr>
        <w:pStyle w:val="Bullet"/>
      </w:pPr>
      <w:r>
        <w:t>Tri</w:t>
      </w:r>
      <w:r w:rsidRPr="00673308">
        <w:t>al/failure of 12 weeks nonsurgical strategies, including GLA:D®</w:t>
      </w:r>
      <w:r w:rsidR="00C62E3F">
        <w:t xml:space="preserve"> or similar exercise and education program.</w:t>
      </w:r>
    </w:p>
    <w:p w14:paraId="4B30504B" w14:textId="48027A5E" w:rsidR="00C569D7" w:rsidRPr="00673308" w:rsidRDefault="00C569D7" w:rsidP="00673308">
      <w:pPr>
        <w:pStyle w:val="Bullet"/>
      </w:pPr>
      <w:r w:rsidRPr="00673308">
        <w:t>Participants who have either knee dysfunction and a Knee Osteoarthritis Outcome Score (KOOS), or hip dysfunction and Hip Osteoarthritis Outcome Score (HOOS), of less than or equal to</w:t>
      </w:r>
      <w:r w:rsidR="00673308">
        <w:t xml:space="preserve"> </w:t>
      </w:r>
      <w:r w:rsidRPr="00673308">
        <w:t>30 out of 100 should be considered for surgery.</w:t>
      </w:r>
      <w:r w:rsidR="005038F2" w:rsidRPr="00673308">
        <w:t xml:space="preserve"> These PROMs are taken at </w:t>
      </w:r>
      <w:r w:rsidR="009362AE">
        <w:t>three</w:t>
      </w:r>
      <w:r w:rsidR="009362AE" w:rsidRPr="00673308">
        <w:t>- and 12-months</w:t>
      </w:r>
      <w:r w:rsidR="005038F2" w:rsidRPr="00673308">
        <w:t xml:space="preserve"> post GLA:D®</w:t>
      </w:r>
      <w:r w:rsidR="00B35142" w:rsidRPr="00673308">
        <w:t>.</w:t>
      </w:r>
      <w:r w:rsidR="005038F2" w:rsidRPr="00673308">
        <w:t xml:space="preserve"> They can also be used by OSC and physiotherapists throughout CHS as part of the </w:t>
      </w:r>
      <w:r w:rsidR="00B35142" w:rsidRPr="00673308">
        <w:t xml:space="preserve">patient </w:t>
      </w:r>
      <w:r w:rsidR="005038F2" w:rsidRPr="00673308">
        <w:t>review process.</w:t>
      </w:r>
    </w:p>
    <w:p w14:paraId="178529B6" w14:textId="6B3FF584" w:rsidR="00C569D7" w:rsidRPr="00673308" w:rsidRDefault="005038F2" w:rsidP="00673308">
      <w:pPr>
        <w:pStyle w:val="Bullet"/>
      </w:pPr>
      <w:r>
        <w:t>An o</w:t>
      </w:r>
      <w:r w:rsidR="00C569D7">
        <w:t>xford knee score</w:t>
      </w:r>
      <w:r>
        <w:t xml:space="preserve"> (OKS)</w:t>
      </w:r>
      <w:r w:rsidR="00C569D7">
        <w:t xml:space="preserve"> of </w:t>
      </w:r>
      <w:r w:rsidR="00B35142">
        <w:t>15 -</w:t>
      </w:r>
      <w:r w:rsidR="00C569D7">
        <w:t xml:space="preserve"> 20</w:t>
      </w:r>
      <w:r>
        <w:t xml:space="preserve"> should trigger consideration for</w:t>
      </w:r>
      <w:r w:rsidR="00C569D7">
        <w:t xml:space="preserve"> surgery. </w:t>
      </w:r>
    </w:p>
    <w:p w14:paraId="6A9DE423" w14:textId="1D1FCC65" w:rsidR="00C569D7" w:rsidRDefault="00C569D7" w:rsidP="00C569D7">
      <w:r>
        <w:t xml:space="preserve">Consideration </w:t>
      </w:r>
      <w:r w:rsidR="00B35142">
        <w:t xml:space="preserve">is </w:t>
      </w:r>
      <w:r>
        <w:t>given to other influencing factors / comorbidities / risk factors for general anaesthetic.</w:t>
      </w:r>
      <w:r w:rsidR="00B35142">
        <w:t xml:space="preserve"> Consultation with patients around joint replacements must include informed consent and detailed discussion of the risks, rehabilitation commitment and expectations involved in joint replacement surgery. Patients and their families must be aware of the commitment and dedication to rehabilitation needed for successful surgical outcomes.</w:t>
      </w:r>
    </w:p>
    <w:p w14:paraId="51D9FECD" w14:textId="4F50AD63" w:rsidR="00E410F0" w:rsidRDefault="00E410F0" w:rsidP="0091462B">
      <w:pPr>
        <w:pStyle w:val="BodyCopy"/>
      </w:pPr>
      <w:hyperlink w:anchor="_top" w:history="1">
        <w:r w:rsidRPr="00481A6C">
          <w:rPr>
            <w:rStyle w:val="Hyperlink"/>
            <w:iCs w:val="0"/>
          </w:rPr>
          <w:t>Back to Contents</w:t>
        </w:r>
      </w:hyperlink>
    </w:p>
    <w:p w14:paraId="271C5430" w14:textId="6518A02E" w:rsidR="008B541D" w:rsidRDefault="0078367D" w:rsidP="006F2E60">
      <w:pPr>
        <w:pStyle w:val="Heading2"/>
      </w:pPr>
      <w:bookmarkStart w:id="14" w:name="_Toc192163830"/>
      <w:bookmarkStart w:id="15" w:name="_Hlk43366294"/>
      <w:r>
        <w:t>Evaluation</w:t>
      </w:r>
      <w:bookmarkEnd w:id="14"/>
    </w:p>
    <w:p w14:paraId="2E52B9A4" w14:textId="0EC6A83B" w:rsidR="00336FE3" w:rsidRPr="003F500D" w:rsidRDefault="00336FE3" w:rsidP="00336FE3">
      <w:pPr>
        <w:pStyle w:val="Heading4"/>
      </w:pPr>
      <w:r w:rsidRPr="003F500D">
        <w:t>Outcome</w:t>
      </w:r>
      <w:r w:rsidR="002E24F4" w:rsidRPr="003F500D">
        <w:t>s</w:t>
      </w:r>
      <w:r w:rsidRPr="003F500D">
        <w:t xml:space="preserve"> </w:t>
      </w:r>
    </w:p>
    <w:p w14:paraId="63FD3E51" w14:textId="422A49D9" w:rsidR="00336FE3" w:rsidRPr="003F500D" w:rsidRDefault="002E24F4" w:rsidP="0078359D">
      <w:pPr>
        <w:pStyle w:val="Bullet"/>
        <w:rPr>
          <w:lang w:eastAsia="en-US"/>
        </w:rPr>
      </w:pPr>
      <w:r w:rsidRPr="003F500D">
        <w:rPr>
          <w:lang w:eastAsia="en-US"/>
        </w:rPr>
        <w:t xml:space="preserve">GLA:D® and/or other </w:t>
      </w:r>
      <w:r w:rsidR="0076286A" w:rsidRPr="003F500D">
        <w:rPr>
          <w:lang w:eastAsia="en-US"/>
        </w:rPr>
        <w:t>evidence-based</w:t>
      </w:r>
      <w:r w:rsidRPr="003F500D">
        <w:rPr>
          <w:lang w:eastAsia="en-US"/>
        </w:rPr>
        <w:t xml:space="preserve"> education / self-management programs are considered by CHS health professionals, GPs and medical officers as a first line treatment </w:t>
      </w:r>
      <w:r w:rsidR="0076286A" w:rsidRPr="003F500D">
        <w:rPr>
          <w:lang w:eastAsia="en-US"/>
        </w:rPr>
        <w:t xml:space="preserve">for OA </w:t>
      </w:r>
      <w:r w:rsidRPr="003F500D">
        <w:rPr>
          <w:lang w:eastAsia="en-US"/>
        </w:rPr>
        <w:t>as per this guideline.</w:t>
      </w:r>
    </w:p>
    <w:p w14:paraId="6534C32C" w14:textId="763098E7" w:rsidR="002E24F4" w:rsidRPr="003F500D" w:rsidRDefault="002E24F4" w:rsidP="0078359D">
      <w:pPr>
        <w:pStyle w:val="Bullet"/>
        <w:rPr>
          <w:lang w:eastAsia="en-US"/>
        </w:rPr>
      </w:pPr>
      <w:r w:rsidRPr="003F500D">
        <w:rPr>
          <w:lang w:eastAsia="en-US"/>
        </w:rPr>
        <w:t>X-rays are no longer used to diagnose OA</w:t>
      </w:r>
      <w:r w:rsidR="0076286A" w:rsidRPr="003F500D">
        <w:rPr>
          <w:lang w:eastAsia="en-US"/>
        </w:rPr>
        <w:t xml:space="preserve"> and are only used if clinically indicated as per </w:t>
      </w:r>
      <w:r w:rsidR="00673308" w:rsidRPr="003F500D">
        <w:rPr>
          <w:lang w:eastAsia="en-US"/>
        </w:rPr>
        <w:t>S</w:t>
      </w:r>
      <w:r w:rsidR="0076286A" w:rsidRPr="003F500D">
        <w:rPr>
          <w:lang w:eastAsia="en-US"/>
        </w:rPr>
        <w:t>ection 2.</w:t>
      </w:r>
    </w:p>
    <w:p w14:paraId="5691A778" w14:textId="7871480A" w:rsidR="0076286A" w:rsidRPr="003F500D" w:rsidRDefault="0076286A" w:rsidP="0078359D">
      <w:pPr>
        <w:pStyle w:val="Bullet"/>
        <w:rPr>
          <w:lang w:eastAsia="en-US"/>
        </w:rPr>
      </w:pPr>
      <w:r w:rsidRPr="003F500D">
        <w:rPr>
          <w:lang w:eastAsia="en-US"/>
        </w:rPr>
        <w:t>Arthroscopies are no longer used as treatment for OA.</w:t>
      </w:r>
    </w:p>
    <w:p w14:paraId="7E8A6F56" w14:textId="1096B593" w:rsidR="0076286A" w:rsidRPr="003F500D" w:rsidRDefault="0076286A" w:rsidP="0078359D">
      <w:pPr>
        <w:pStyle w:val="Bullet"/>
        <w:rPr>
          <w:lang w:eastAsia="en-US"/>
        </w:rPr>
      </w:pPr>
      <w:r w:rsidRPr="003F500D">
        <w:rPr>
          <w:lang w:eastAsia="en-US"/>
        </w:rPr>
        <w:t>TKR only occurs for patients who have exhausted all non-surgical treatment and have OKS of be</w:t>
      </w:r>
      <w:r w:rsidR="003F500D">
        <w:rPr>
          <w:lang w:eastAsia="en-US"/>
        </w:rPr>
        <w:t>low</w:t>
      </w:r>
      <w:r w:rsidRPr="003F500D">
        <w:rPr>
          <w:lang w:eastAsia="en-US"/>
        </w:rPr>
        <w:t xml:space="preserve"> 20.</w:t>
      </w:r>
    </w:p>
    <w:p w14:paraId="60D96F4F" w14:textId="473571DD" w:rsidR="0076286A" w:rsidRPr="003F500D" w:rsidRDefault="0076286A" w:rsidP="0078359D">
      <w:pPr>
        <w:pStyle w:val="Bullet"/>
        <w:rPr>
          <w:lang w:eastAsia="en-US"/>
        </w:rPr>
      </w:pPr>
      <w:r w:rsidRPr="003F500D">
        <w:rPr>
          <w:lang w:eastAsia="en-US"/>
        </w:rPr>
        <w:t xml:space="preserve">Patients’ expectations of TKR are well managed and full consultation regarding surgery rehabilitation is </w:t>
      </w:r>
      <w:r w:rsidR="00595B65">
        <w:rPr>
          <w:lang w:eastAsia="en-US"/>
        </w:rPr>
        <w:t>undertaken</w:t>
      </w:r>
      <w:r w:rsidR="00595B65" w:rsidRPr="003F500D">
        <w:rPr>
          <w:lang w:eastAsia="en-US"/>
        </w:rPr>
        <w:t xml:space="preserve"> </w:t>
      </w:r>
      <w:r w:rsidRPr="003F500D">
        <w:rPr>
          <w:lang w:eastAsia="en-US"/>
        </w:rPr>
        <w:t xml:space="preserve">with patients and their </w:t>
      </w:r>
      <w:proofErr w:type="spellStart"/>
      <w:r w:rsidRPr="003F500D">
        <w:rPr>
          <w:lang w:eastAsia="en-US"/>
        </w:rPr>
        <w:t>carers</w:t>
      </w:r>
      <w:proofErr w:type="spellEnd"/>
      <w:r w:rsidRPr="003F500D">
        <w:rPr>
          <w:lang w:eastAsia="en-US"/>
        </w:rPr>
        <w:t>.</w:t>
      </w:r>
    </w:p>
    <w:p w14:paraId="573E6107" w14:textId="4166BBF8" w:rsidR="008A73CA" w:rsidRPr="003F500D" w:rsidRDefault="008A73CA" w:rsidP="008A73CA">
      <w:pPr>
        <w:pStyle w:val="Heading4"/>
      </w:pPr>
      <w:r w:rsidRPr="003F500D">
        <w:t>Measures</w:t>
      </w:r>
    </w:p>
    <w:p w14:paraId="1B91820F" w14:textId="21CFF21E" w:rsidR="0076286A" w:rsidRPr="003F500D" w:rsidRDefault="0076286A" w:rsidP="0078359D">
      <w:pPr>
        <w:pStyle w:val="Bullet"/>
      </w:pPr>
      <w:r w:rsidRPr="003F500D">
        <w:lastRenderedPageBreak/>
        <w:t>Annual GLA:D® Australia reports for consenting patients</w:t>
      </w:r>
      <w:r w:rsidR="00673308" w:rsidRPr="003F500D">
        <w:t xml:space="preserve">. These are </w:t>
      </w:r>
      <w:r w:rsidRPr="003F500D">
        <w:t xml:space="preserve">specific to CHS </w:t>
      </w:r>
      <w:r w:rsidR="00673308" w:rsidRPr="003F500D">
        <w:t xml:space="preserve">and </w:t>
      </w:r>
      <w:r w:rsidRPr="003F500D">
        <w:t>compiled by La Trobe University</w:t>
      </w:r>
      <w:r w:rsidR="00673308" w:rsidRPr="003F500D">
        <w:t>,</w:t>
      </w:r>
      <w:r w:rsidRPr="003F500D">
        <w:t xml:space="preserve"> showing:</w:t>
      </w:r>
    </w:p>
    <w:p w14:paraId="38372BBA" w14:textId="1E229BA3" w:rsidR="0076286A" w:rsidRPr="003F500D" w:rsidRDefault="00673308" w:rsidP="0078359D">
      <w:pPr>
        <w:pStyle w:val="Bullet"/>
        <w:numPr>
          <w:ilvl w:val="1"/>
          <w:numId w:val="1"/>
        </w:numPr>
      </w:pPr>
      <w:r w:rsidRPr="003F500D">
        <w:t>n</w:t>
      </w:r>
      <w:r w:rsidR="0076286A" w:rsidRPr="003F500D">
        <w:t>umbers of patients participating in and completing the GLA:D® program</w:t>
      </w:r>
      <w:r w:rsidR="00F509D3" w:rsidRPr="003F500D">
        <w:t xml:space="preserve"> within CHS</w:t>
      </w:r>
    </w:p>
    <w:p w14:paraId="379553D7" w14:textId="5474B12E" w:rsidR="0076286A" w:rsidRPr="003F500D" w:rsidRDefault="00673308" w:rsidP="0078359D">
      <w:pPr>
        <w:pStyle w:val="Bullet"/>
        <w:numPr>
          <w:ilvl w:val="1"/>
          <w:numId w:val="1"/>
        </w:numPr>
      </w:pPr>
      <w:r w:rsidRPr="003F500D">
        <w:t>e</w:t>
      </w:r>
      <w:r w:rsidR="0076286A" w:rsidRPr="003F500D">
        <w:t>stimate of numbers of participants who delayed or cancelled elective joint surgery following completion of the program</w:t>
      </w:r>
    </w:p>
    <w:p w14:paraId="76BE2DB4" w14:textId="65A2A853" w:rsidR="0076286A" w:rsidRPr="003F500D" w:rsidRDefault="00673308" w:rsidP="0078359D">
      <w:pPr>
        <w:pStyle w:val="Bullet"/>
        <w:numPr>
          <w:ilvl w:val="1"/>
          <w:numId w:val="1"/>
        </w:numPr>
      </w:pPr>
      <w:r w:rsidRPr="003F500D">
        <w:t>m</w:t>
      </w:r>
      <w:r w:rsidR="0076286A" w:rsidRPr="003F500D">
        <w:t>easures against pain and function post GLA:D® benchmarking CHS with the rest of Australia</w:t>
      </w:r>
    </w:p>
    <w:p w14:paraId="4AC41BD8" w14:textId="201617F0" w:rsidR="00F509D3" w:rsidRPr="003F500D" w:rsidRDefault="00673308" w:rsidP="0078359D">
      <w:pPr>
        <w:pStyle w:val="Bullet"/>
        <w:numPr>
          <w:ilvl w:val="1"/>
          <w:numId w:val="1"/>
        </w:numPr>
      </w:pPr>
      <w:r w:rsidRPr="003F500D">
        <w:t>m</w:t>
      </w:r>
      <w:r w:rsidR="00F3496A" w:rsidRPr="003F500D">
        <w:t xml:space="preserve">easures of weight management at the start, </w:t>
      </w:r>
      <w:r w:rsidRPr="003F500D">
        <w:t>three</w:t>
      </w:r>
      <w:r w:rsidR="00F3496A" w:rsidRPr="003F500D">
        <w:t xml:space="preserve"> </w:t>
      </w:r>
      <w:r w:rsidR="00D2313A" w:rsidRPr="003F500D">
        <w:t>months</w:t>
      </w:r>
      <w:r w:rsidR="00F3496A" w:rsidRPr="003F500D">
        <w:t xml:space="preserve"> check and 12 month</w:t>
      </w:r>
      <w:r w:rsidR="00D2313A" w:rsidRPr="003F500D">
        <w:t>s</w:t>
      </w:r>
      <w:r w:rsidR="00F3496A" w:rsidRPr="003F500D">
        <w:t xml:space="preserve"> check.</w:t>
      </w:r>
    </w:p>
    <w:p w14:paraId="253050C8" w14:textId="2E6A6D44" w:rsidR="00F509D3" w:rsidRPr="00C96B02" w:rsidRDefault="00673308" w:rsidP="003F500D">
      <w:pPr>
        <w:pStyle w:val="Bullet"/>
      </w:pPr>
      <w:r w:rsidRPr="00C96B02">
        <w:t xml:space="preserve">More than </w:t>
      </w:r>
      <w:r w:rsidR="003F500D" w:rsidRPr="00C96B02">
        <w:t>8</w:t>
      </w:r>
      <w:r w:rsidR="00F509D3" w:rsidRPr="00C96B02">
        <w:t>0% patients newly diagnosed with OA receive a full individualised assessment</w:t>
      </w:r>
      <w:r w:rsidR="00B67DC5" w:rsidRPr="00C96B02">
        <w:t xml:space="preserve"> either with Community Care Physiotherapy or by a OSC physiotherapist</w:t>
      </w:r>
      <w:r w:rsidR="00F509D3" w:rsidRPr="00C96B02">
        <w:t>.</w:t>
      </w:r>
    </w:p>
    <w:p w14:paraId="24FC5ADB" w14:textId="1F885ADF" w:rsidR="00673308" w:rsidRPr="00C96B02" w:rsidRDefault="00673308" w:rsidP="00673308">
      <w:pPr>
        <w:pStyle w:val="Bullet"/>
      </w:pPr>
      <w:r w:rsidRPr="00C96B02">
        <w:t xml:space="preserve">More than </w:t>
      </w:r>
      <w:r w:rsidR="00C96B02" w:rsidRPr="00C96B02">
        <w:t>8</w:t>
      </w:r>
      <w:r w:rsidR="00F509D3" w:rsidRPr="00C96B02">
        <w:t>0% patients diagnosed with OA are offered a</w:t>
      </w:r>
      <w:r w:rsidR="00F3496A" w:rsidRPr="00C96B02">
        <w:t>n individualised</w:t>
      </w:r>
      <w:r w:rsidR="00F509D3" w:rsidRPr="00C96B02">
        <w:t xml:space="preserve"> self-management program, a program of physical activity and nutrition advice if appropriate.</w:t>
      </w:r>
      <w:r w:rsidR="00B67DC5" w:rsidRPr="00C96B02">
        <w:t xml:space="preserve"> </w:t>
      </w:r>
    </w:p>
    <w:p w14:paraId="66A2C3ED" w14:textId="77777777" w:rsidR="00673308" w:rsidRPr="00C96B02" w:rsidRDefault="00B67DC5" w:rsidP="00673308">
      <w:pPr>
        <w:pStyle w:val="Bullet"/>
        <w:numPr>
          <w:ilvl w:val="1"/>
          <w:numId w:val="1"/>
        </w:numPr>
      </w:pPr>
      <w:r w:rsidRPr="00C96B02">
        <w:t xml:space="preserve">Patients can either access GLA:D® through CHS or privately. Patients can also access other exercise and </w:t>
      </w:r>
      <w:r w:rsidR="00F3496A" w:rsidRPr="00C96B02">
        <w:t>education-based</w:t>
      </w:r>
      <w:r w:rsidRPr="00C96B02">
        <w:t xml:space="preserve"> programs</w:t>
      </w:r>
      <w:r w:rsidR="00F3496A" w:rsidRPr="00C96B02">
        <w:t xml:space="preserve"> privately. </w:t>
      </w:r>
    </w:p>
    <w:p w14:paraId="4997DF20" w14:textId="1C759A07" w:rsidR="00F509D3" w:rsidRPr="00C96B02" w:rsidRDefault="00F3496A" w:rsidP="0078359D">
      <w:pPr>
        <w:pStyle w:val="Bullet"/>
        <w:numPr>
          <w:ilvl w:val="1"/>
          <w:numId w:val="1"/>
        </w:numPr>
      </w:pPr>
      <w:r w:rsidRPr="00C96B02">
        <w:t>Patients are discharged from GLA:D® with their home exercise program and are supported to continue with this program.</w:t>
      </w:r>
    </w:p>
    <w:p w14:paraId="55AD8882" w14:textId="6AE58E41" w:rsidR="00F509D3" w:rsidRPr="00C96B02" w:rsidRDefault="00673308" w:rsidP="00673308">
      <w:pPr>
        <w:pStyle w:val="Bullet"/>
      </w:pPr>
      <w:r w:rsidRPr="00C96B02">
        <w:t xml:space="preserve">More than </w:t>
      </w:r>
      <w:r w:rsidR="00C96B02" w:rsidRPr="00C96B02">
        <w:t>8</w:t>
      </w:r>
      <w:r w:rsidR="00F509D3" w:rsidRPr="00C96B02">
        <w:t xml:space="preserve">0% patients with OA have a documented timeframe for regular reviews </w:t>
      </w:r>
      <w:r w:rsidR="00F3496A" w:rsidRPr="00C96B02">
        <w:t xml:space="preserve">(at least every 12 months) </w:t>
      </w:r>
      <w:r w:rsidR="00F509D3" w:rsidRPr="00C96B02">
        <w:t>to monitor their self-management program</w:t>
      </w:r>
      <w:r w:rsidR="00F3496A" w:rsidRPr="00C96B02">
        <w:t xml:space="preserve"> either with their GP, a community health professional or OSC</w:t>
      </w:r>
      <w:r w:rsidR="00F509D3" w:rsidRPr="00C96B02">
        <w:t>.</w:t>
      </w:r>
    </w:p>
    <w:bookmarkEnd w:id="15"/>
    <w:p w14:paraId="2C1F2FA5" w14:textId="77777777" w:rsidR="00C96B02" w:rsidRDefault="00C96B02" w:rsidP="0091462B">
      <w:pPr>
        <w:pStyle w:val="BodyCopy"/>
      </w:pPr>
    </w:p>
    <w:p w14:paraId="3D6E76C7" w14:textId="038F50E6" w:rsidR="00481A6C" w:rsidRDefault="00481A6C" w:rsidP="0091462B">
      <w:pPr>
        <w:pStyle w:val="BodyCopy"/>
      </w:pPr>
      <w:hyperlink w:anchor="_top" w:history="1">
        <w:r w:rsidRPr="00481A6C">
          <w:rPr>
            <w:rStyle w:val="Hyperlink"/>
            <w:iCs w:val="0"/>
          </w:rPr>
          <w:t>Back to Contents</w:t>
        </w:r>
      </w:hyperlink>
    </w:p>
    <w:tbl>
      <w:tblPr>
        <w:tblStyle w:val="TableGrid"/>
        <w:tblW w:w="0" w:type="auto"/>
        <w:tblLook w:val="04A0" w:firstRow="1" w:lastRow="0" w:firstColumn="1" w:lastColumn="0" w:noHBand="0" w:noVBand="1"/>
      </w:tblPr>
      <w:tblGrid>
        <w:gridCol w:w="9911"/>
      </w:tblGrid>
      <w:tr w:rsidR="00481A6C" w14:paraId="1E723460" w14:textId="77777777" w:rsidTr="00C569D7">
        <w:tc>
          <w:tcPr>
            <w:tcW w:w="9911" w:type="dxa"/>
            <w:shd w:val="clear" w:color="auto" w:fill="3D2262" w:themeFill="accent1"/>
          </w:tcPr>
          <w:p w14:paraId="51CF72C1" w14:textId="77777777" w:rsidR="00481A6C" w:rsidRDefault="00481A6C" w:rsidP="003B0E72">
            <w:pPr>
              <w:pStyle w:val="Heading2"/>
            </w:pPr>
            <w:bookmarkStart w:id="16" w:name="_Toc192163831"/>
            <w:r>
              <w:t>Related policies, procedures, guidelines and legislation</w:t>
            </w:r>
            <w:bookmarkEnd w:id="16"/>
            <w:r>
              <w:t xml:space="preserve"> </w:t>
            </w:r>
          </w:p>
        </w:tc>
      </w:tr>
    </w:tbl>
    <w:p w14:paraId="1E500DAF" w14:textId="77777777" w:rsidR="008B541D" w:rsidRDefault="008B541D" w:rsidP="008B541D">
      <w:pPr>
        <w:pStyle w:val="EndNoteBibliography"/>
        <w:spacing w:after="0"/>
        <w:ind w:left="360"/>
        <w:rPr>
          <w:rFonts w:ascii="Arial" w:hAnsi="Arial" w:cs="Arial"/>
          <w:b/>
          <w:bCs/>
          <w:sz w:val="24"/>
          <w:szCs w:val="24"/>
        </w:rPr>
      </w:pPr>
    </w:p>
    <w:p w14:paraId="39253F2F" w14:textId="77777777" w:rsidR="00B96104" w:rsidRDefault="00C569D7" w:rsidP="00B96104">
      <w:pPr>
        <w:spacing w:before="0" w:after="0"/>
        <w:rPr>
          <w:b/>
        </w:rPr>
      </w:pPr>
      <w:r w:rsidRPr="008B541D">
        <w:rPr>
          <w:b/>
        </w:rPr>
        <w:t>Policies</w:t>
      </w:r>
    </w:p>
    <w:p w14:paraId="2F880221" w14:textId="29F181A6" w:rsidR="00B96104" w:rsidRDefault="00C569D7" w:rsidP="00E37229">
      <w:pPr>
        <w:pStyle w:val="Bullet"/>
      </w:pPr>
      <w:r w:rsidRPr="008B541D">
        <w:t>Nursing and Midwifery Requirements for Practice</w:t>
      </w:r>
    </w:p>
    <w:p w14:paraId="2586ADE5" w14:textId="09E82782" w:rsidR="00C569D7" w:rsidRDefault="00C569D7" w:rsidP="00E37229">
      <w:pPr>
        <w:pStyle w:val="Bullet"/>
      </w:pPr>
      <w:r w:rsidRPr="008B541D">
        <w:t>Clinical Care Standard Osteoarthritis of the Knee Clinical Care Standard Reporting</w:t>
      </w:r>
    </w:p>
    <w:p w14:paraId="6648D10E" w14:textId="77777777" w:rsidR="00FE497F" w:rsidRDefault="00FE497F" w:rsidP="00FE497F">
      <w:pPr>
        <w:pStyle w:val="Bullet"/>
      </w:pPr>
      <w:r>
        <w:t>Canberra Health Services</w:t>
      </w:r>
    </w:p>
    <w:p w14:paraId="1288E998" w14:textId="77777777" w:rsidR="00FE497F" w:rsidRDefault="00FE497F" w:rsidP="00FE497F">
      <w:pPr>
        <w:pStyle w:val="Bullet"/>
      </w:pPr>
      <w:r>
        <w:t>Operational Manual: Adult Community Mental Health Services (ACMHS) Access Mental Health Team (AMHT)</w:t>
      </w:r>
    </w:p>
    <w:p w14:paraId="3AC9E9E2" w14:textId="77777777" w:rsidR="00C569D7" w:rsidRPr="008B541D" w:rsidRDefault="00C569D7" w:rsidP="00B96104">
      <w:pPr>
        <w:pStyle w:val="ListBullet"/>
        <w:numPr>
          <w:ilvl w:val="0"/>
          <w:numId w:val="0"/>
        </w:numPr>
        <w:rPr>
          <w:rFonts w:ascii="Arial" w:hAnsi="Arial" w:cs="Arial"/>
          <w:b/>
        </w:rPr>
      </w:pPr>
    </w:p>
    <w:p w14:paraId="6F1E45B6" w14:textId="77777777" w:rsidR="00C569D7" w:rsidRPr="008B541D" w:rsidRDefault="00C569D7" w:rsidP="00B96104">
      <w:pPr>
        <w:spacing w:before="0" w:after="0"/>
        <w:rPr>
          <w:b/>
        </w:rPr>
      </w:pPr>
      <w:r w:rsidRPr="008B541D">
        <w:rPr>
          <w:b/>
        </w:rPr>
        <w:t>Procedures</w:t>
      </w:r>
    </w:p>
    <w:p w14:paraId="77654350" w14:textId="006DCF33" w:rsidR="00C569D7" w:rsidRPr="008B541D" w:rsidRDefault="00C569D7" w:rsidP="00E37229">
      <w:pPr>
        <w:pStyle w:val="Bullet"/>
      </w:pPr>
      <w:r w:rsidRPr="008B541D">
        <w:t xml:space="preserve">Infection Prevention and Control </w:t>
      </w:r>
    </w:p>
    <w:p w14:paraId="02D438FF" w14:textId="0FB279FF" w:rsidR="00C569D7" w:rsidRPr="008B541D" w:rsidRDefault="00C569D7" w:rsidP="00E37229">
      <w:pPr>
        <w:pStyle w:val="Bullet"/>
      </w:pPr>
      <w:r w:rsidRPr="008B541D">
        <w:t>Patient Identification and Procedure Matching</w:t>
      </w:r>
    </w:p>
    <w:p w14:paraId="0B7626F0" w14:textId="0E4F0E23" w:rsidR="0084145A" w:rsidRDefault="00C569D7" w:rsidP="0084145A">
      <w:pPr>
        <w:pStyle w:val="Bullet"/>
      </w:pPr>
      <w:r w:rsidRPr="008B541D">
        <w:t>Orthopaedic Surgery – Pre and Post Operative Management in Adul</w:t>
      </w:r>
      <w:r w:rsidR="0084145A">
        <w:t>t</w:t>
      </w:r>
    </w:p>
    <w:p w14:paraId="4EC08BEB" w14:textId="77777777" w:rsidR="0084145A" w:rsidRDefault="0084145A" w:rsidP="0084145A">
      <w:pPr>
        <w:pStyle w:val="Bullet"/>
      </w:pPr>
      <w:r>
        <w:t>Clinical Handover</w:t>
      </w:r>
    </w:p>
    <w:p w14:paraId="376139F0" w14:textId="77777777" w:rsidR="00C569D7" w:rsidRPr="008B541D" w:rsidRDefault="00C569D7" w:rsidP="00B96104">
      <w:pPr>
        <w:spacing w:before="0" w:after="0"/>
      </w:pPr>
    </w:p>
    <w:p w14:paraId="27F87804" w14:textId="77777777" w:rsidR="00C569D7" w:rsidRPr="008B541D" w:rsidRDefault="00C569D7" w:rsidP="00B96104">
      <w:pPr>
        <w:spacing w:before="0" w:after="0"/>
        <w:rPr>
          <w:b/>
        </w:rPr>
      </w:pPr>
      <w:r w:rsidRPr="008B541D">
        <w:rPr>
          <w:b/>
        </w:rPr>
        <w:lastRenderedPageBreak/>
        <w:t xml:space="preserve">Guidelines </w:t>
      </w:r>
    </w:p>
    <w:p w14:paraId="02210467" w14:textId="6BF293FA" w:rsidR="00C569D7" w:rsidRPr="008B541D" w:rsidRDefault="00C569D7" w:rsidP="00E37229">
      <w:pPr>
        <w:pStyle w:val="Bullet"/>
      </w:pPr>
      <w:r w:rsidRPr="008B541D">
        <w:t>Fasting Guidelines – Elective and Emergency Surgery</w:t>
      </w:r>
    </w:p>
    <w:p w14:paraId="47B299D1" w14:textId="65779CB8" w:rsidR="00C569D7" w:rsidRPr="00820B8A" w:rsidRDefault="00C569D7" w:rsidP="00E37229">
      <w:pPr>
        <w:pStyle w:val="Bullet"/>
      </w:pPr>
      <w:r w:rsidRPr="008B541D">
        <w:t xml:space="preserve">Triaging of Outpatient Referrals for Consultation with Orthopaedic Specialists </w:t>
      </w:r>
    </w:p>
    <w:p w14:paraId="52AE7CF8" w14:textId="6189C4E5" w:rsidR="00820B8A" w:rsidRPr="008B541D" w:rsidRDefault="00820B8A" w:rsidP="00E37229">
      <w:pPr>
        <w:pStyle w:val="Bullet"/>
      </w:pPr>
      <w:r>
        <w:rPr>
          <w:iCs/>
        </w:rPr>
        <w:t xml:space="preserve">Consent for Healthcare Treatment </w:t>
      </w:r>
    </w:p>
    <w:p w14:paraId="29C3BBD3" w14:textId="77777777" w:rsidR="00C569D7" w:rsidRPr="008B541D" w:rsidRDefault="00C569D7" w:rsidP="00B96104">
      <w:pPr>
        <w:spacing w:before="0" w:after="0"/>
      </w:pPr>
    </w:p>
    <w:p w14:paraId="5509506A" w14:textId="77777777" w:rsidR="00C569D7" w:rsidRPr="008B541D" w:rsidRDefault="00C569D7" w:rsidP="00B96104">
      <w:pPr>
        <w:spacing w:before="0" w:after="0"/>
        <w:rPr>
          <w:b/>
        </w:rPr>
      </w:pPr>
      <w:r w:rsidRPr="008B541D">
        <w:rPr>
          <w:b/>
        </w:rPr>
        <w:t>Legislation</w:t>
      </w:r>
    </w:p>
    <w:p w14:paraId="615EC647" w14:textId="77777777" w:rsidR="00C569D7" w:rsidRPr="008B541D" w:rsidRDefault="00C569D7" w:rsidP="00E37229">
      <w:pPr>
        <w:pStyle w:val="Bullet"/>
      </w:pPr>
      <w:r w:rsidRPr="0078359D">
        <w:rPr>
          <w:i/>
          <w:iCs/>
        </w:rPr>
        <w:t>Health Records (Privacy and Access) Act</w:t>
      </w:r>
      <w:r w:rsidRPr="008B541D">
        <w:t xml:space="preserve"> 1997</w:t>
      </w:r>
    </w:p>
    <w:p w14:paraId="0BE96E7C" w14:textId="77777777" w:rsidR="00C569D7" w:rsidRPr="008B541D" w:rsidRDefault="00C569D7" w:rsidP="00E37229">
      <w:pPr>
        <w:pStyle w:val="Bullet"/>
      </w:pPr>
      <w:r w:rsidRPr="0078359D">
        <w:rPr>
          <w:i/>
          <w:iCs/>
        </w:rPr>
        <w:t xml:space="preserve">Human Rights Act </w:t>
      </w:r>
      <w:r w:rsidRPr="008B541D">
        <w:t>2004</w:t>
      </w:r>
    </w:p>
    <w:p w14:paraId="1540329D" w14:textId="77777777" w:rsidR="00C569D7" w:rsidRPr="008B541D" w:rsidRDefault="00C569D7" w:rsidP="00E37229">
      <w:pPr>
        <w:pStyle w:val="Bullet"/>
      </w:pPr>
      <w:r w:rsidRPr="0078359D">
        <w:rPr>
          <w:i/>
          <w:iCs/>
        </w:rPr>
        <w:t xml:space="preserve">Work Health and Safety Act </w:t>
      </w:r>
      <w:r w:rsidRPr="008B541D">
        <w:t>2011</w:t>
      </w:r>
    </w:p>
    <w:p w14:paraId="5AE260EA" w14:textId="77777777" w:rsidR="00C569D7" w:rsidRPr="008B541D" w:rsidRDefault="00C569D7" w:rsidP="00E37229">
      <w:pPr>
        <w:pStyle w:val="Bullet"/>
      </w:pPr>
      <w:r w:rsidRPr="0078359D">
        <w:rPr>
          <w:i/>
          <w:iCs/>
        </w:rPr>
        <w:t xml:space="preserve">Carers Recognition Act </w:t>
      </w:r>
      <w:r w:rsidRPr="008B541D">
        <w:t>2021</w:t>
      </w:r>
    </w:p>
    <w:p w14:paraId="39ACCD78" w14:textId="77777777" w:rsidR="00C569D7" w:rsidRPr="008B541D" w:rsidRDefault="00C569D7" w:rsidP="00B96104">
      <w:pPr>
        <w:spacing w:before="0" w:after="0"/>
        <w:rPr>
          <w:i/>
        </w:rPr>
      </w:pPr>
    </w:p>
    <w:p w14:paraId="355353FA" w14:textId="77777777" w:rsidR="00C569D7" w:rsidRPr="008B541D" w:rsidRDefault="00C569D7" w:rsidP="00B96104">
      <w:pPr>
        <w:spacing w:before="0" w:after="0"/>
        <w:rPr>
          <w:b/>
        </w:rPr>
      </w:pPr>
      <w:r w:rsidRPr="008B541D">
        <w:rPr>
          <w:b/>
        </w:rPr>
        <w:t>Other</w:t>
      </w:r>
    </w:p>
    <w:p w14:paraId="2AE5E80C" w14:textId="77777777" w:rsidR="00A47387" w:rsidRPr="00E37229" w:rsidRDefault="00A47387" w:rsidP="00A47387">
      <w:pPr>
        <w:pStyle w:val="Bullet"/>
      </w:pPr>
      <w:r w:rsidRPr="00E37229">
        <w:rPr>
          <w:rFonts w:asciiTheme="minorHAnsi" w:hAnsiTheme="minorHAnsi" w:cstheme="minorHAnsi"/>
          <w:color w:val="000000"/>
        </w:rPr>
        <w:t>Australian Commission on Safety and Quality in Health Care</w:t>
      </w:r>
      <w:r w:rsidRPr="00E37229">
        <w:rPr>
          <w:rFonts w:asciiTheme="minorHAnsi" w:hAnsiTheme="minorHAnsi" w:cstheme="minorHAnsi"/>
        </w:rPr>
        <w:t>:</w:t>
      </w:r>
      <w:r w:rsidRPr="00E37229">
        <w:t xml:space="preserve"> Osteoarthritis of the Knee Clinical Care Standard (2024). </w:t>
      </w:r>
      <w:hyperlink r:id="rId15" w:history="1">
        <w:r w:rsidRPr="00E37229">
          <w:rPr>
            <w:rStyle w:val="Hyperlink"/>
          </w:rPr>
          <w:t>OA knee Clinical Care Standard 2024</w:t>
        </w:r>
      </w:hyperlink>
      <w:r w:rsidRPr="00E37229">
        <w:t xml:space="preserve"> </w:t>
      </w:r>
    </w:p>
    <w:p w14:paraId="58C9806D" w14:textId="77777777" w:rsidR="00C569D7" w:rsidRPr="008B541D" w:rsidRDefault="00C569D7" w:rsidP="00E37229">
      <w:pPr>
        <w:pStyle w:val="Bullet"/>
      </w:pPr>
      <w:r w:rsidRPr="008B541D">
        <w:t>Australian Charter of Healthcare Rights</w:t>
      </w:r>
    </w:p>
    <w:p w14:paraId="491A3FF5" w14:textId="6A4E657E" w:rsidR="0064588D" w:rsidRDefault="00C569D7" w:rsidP="00E37229">
      <w:pPr>
        <w:pStyle w:val="Bullet"/>
      </w:pPr>
      <w:r w:rsidRPr="008B541D">
        <w:t>Arthritis Australia</w:t>
      </w:r>
      <w:r w:rsidR="0064588D">
        <w:t xml:space="preserve"> </w:t>
      </w:r>
      <w:hyperlink r:id="rId16" w:history="1">
        <w:r w:rsidR="0064588D" w:rsidRPr="00B81BCB">
          <w:rPr>
            <w:rStyle w:val="Hyperlink"/>
          </w:rPr>
          <w:t>https://arthritisaustralia.com.au/</w:t>
        </w:r>
      </w:hyperlink>
      <w:r w:rsidR="0064588D">
        <w:t xml:space="preserve"> </w:t>
      </w:r>
    </w:p>
    <w:p w14:paraId="43A0AAC6" w14:textId="38C43C46" w:rsidR="00C569D7" w:rsidRPr="008B541D" w:rsidRDefault="00F509D3" w:rsidP="0078359D">
      <w:pPr>
        <w:pStyle w:val="Bullet"/>
      </w:pPr>
      <w:r>
        <w:t xml:space="preserve">The </w:t>
      </w:r>
      <w:r w:rsidR="00C569D7" w:rsidRPr="008B541D">
        <w:t xml:space="preserve">National Strategic Action Plan for Arthritis. </w:t>
      </w:r>
      <w:r>
        <w:t xml:space="preserve">Australian Government, Department of Health, </w:t>
      </w:r>
      <w:r w:rsidR="00C569D7" w:rsidRPr="008B541D">
        <w:t>Canberra; 2019</w:t>
      </w:r>
      <w:r>
        <w:t xml:space="preserve"> </w:t>
      </w:r>
      <w:hyperlink r:id="rId17" w:history="1">
        <w:r w:rsidR="0064588D">
          <w:rPr>
            <w:rStyle w:val="Hyperlink"/>
          </w:rPr>
          <w:t>2019-National-Strategic-Action-Plan-for-Arthritis.pdf</w:t>
        </w:r>
      </w:hyperlink>
      <w:r w:rsidR="0064588D">
        <w:t xml:space="preserve"> </w:t>
      </w:r>
      <w:r w:rsidR="00B96104">
        <w:t xml:space="preserve"> </w:t>
      </w:r>
    </w:p>
    <w:p w14:paraId="05C441A1" w14:textId="77777777" w:rsidR="000E7683" w:rsidRPr="000E7683" w:rsidRDefault="000E7683" w:rsidP="008606A0">
      <w:pPr>
        <w:pStyle w:val="BodyCopy"/>
      </w:pPr>
      <w:hyperlink w:anchor="_top" w:history="1">
        <w:r w:rsidRPr="004A7A7F">
          <w:rPr>
            <w:rStyle w:val="Hyperlink"/>
          </w:rPr>
          <w:t>Back to Contents</w:t>
        </w:r>
      </w:hyperlink>
    </w:p>
    <w:p w14:paraId="55166CD8" w14:textId="77777777" w:rsidR="0078367D" w:rsidRPr="0078367D" w:rsidRDefault="0078367D" w:rsidP="0078367D">
      <w:pPr>
        <w:pStyle w:val="Heading2"/>
      </w:pPr>
      <w:bookmarkStart w:id="17" w:name="_Toc192163832"/>
      <w:r w:rsidRPr="0078367D">
        <w:t>References</w:t>
      </w:r>
      <w:bookmarkEnd w:id="17"/>
    </w:p>
    <w:p w14:paraId="585A6C84" w14:textId="77777777" w:rsidR="00416254" w:rsidRDefault="00416254" w:rsidP="007B1672">
      <w:pPr>
        <w:spacing w:before="0" w:after="0"/>
        <w:rPr>
          <w:b/>
          <w:bCs/>
          <w:u w:val="single"/>
        </w:rPr>
      </w:pPr>
    </w:p>
    <w:p w14:paraId="2001D9D3" w14:textId="77777777" w:rsidR="00416254" w:rsidRDefault="00416254" w:rsidP="007B1672">
      <w:pPr>
        <w:spacing w:before="0" w:after="0"/>
      </w:pPr>
      <w:hyperlink r:id="rId18" w:history="1">
        <w:r w:rsidRPr="00C01692">
          <w:rPr>
            <w:rStyle w:val="Hyperlink"/>
          </w:rPr>
          <w:t>https://www.health.vic.gov.au/patient-care/osteoarthritis-hip-and-knee-service</w:t>
        </w:r>
      </w:hyperlink>
      <w:r>
        <w:t xml:space="preserve"> </w:t>
      </w:r>
    </w:p>
    <w:p w14:paraId="020E2D47" w14:textId="77777777" w:rsidR="00416254" w:rsidRDefault="00416254" w:rsidP="007B1672">
      <w:pPr>
        <w:spacing w:before="0" w:after="0"/>
      </w:pPr>
      <w:r>
        <w:t xml:space="preserve">Dowsey MM, Gunn J, Choong PF. Selecting those to refer for joint replacement: Who will likely benefit and who will not? Best Practice Res Clin Rheum 2014;28:157-71. </w:t>
      </w:r>
    </w:p>
    <w:p w14:paraId="5215179B" w14:textId="77777777" w:rsidR="0012038B" w:rsidRDefault="0012038B" w:rsidP="007B1672">
      <w:pPr>
        <w:spacing w:before="0" w:after="0"/>
      </w:pPr>
    </w:p>
    <w:p w14:paraId="024AB87A" w14:textId="0793D659" w:rsidR="0012038B" w:rsidRDefault="0012038B" w:rsidP="007B1672">
      <w:pPr>
        <w:spacing w:before="0" w:after="0"/>
      </w:pPr>
      <w:r>
        <w:t>Sakellariou G, Conaghan PG, Zhang W, Bijlsma JWJ, Boyesen P, D’Agostino MA, et al. EULAR recommendations for the use of imaging in the clinical management of peripheral joint osteoarthritis. Ann Rheum Dis. 2017 Sep;76(9):1484–94.</w:t>
      </w:r>
    </w:p>
    <w:p w14:paraId="16D949A6" w14:textId="77777777" w:rsidR="0012038B" w:rsidRDefault="0012038B" w:rsidP="007B1672">
      <w:pPr>
        <w:spacing w:before="0" w:after="0"/>
      </w:pPr>
    </w:p>
    <w:p w14:paraId="4DAFFCBC" w14:textId="58090588" w:rsidR="00336151" w:rsidRDefault="0012038B" w:rsidP="007B1672">
      <w:pPr>
        <w:spacing w:before="0" w:after="0"/>
      </w:pPr>
      <w:r>
        <w:t xml:space="preserve">Fransen M, McConnell S, Harmer AR, Esch </w:t>
      </w:r>
      <w:proofErr w:type="spellStart"/>
      <w:r>
        <w:t>MVd</w:t>
      </w:r>
      <w:proofErr w:type="spellEnd"/>
      <w:r>
        <w:t>, Simic M, Bennell KL. Exercise for osteoarthritis of the knee: a Cochrane systematic review. Br J Sports Med. 2015;49(24):1554–7.</w:t>
      </w:r>
    </w:p>
    <w:p w14:paraId="3223B402" w14:textId="3F750F5D" w:rsidR="00336151" w:rsidRDefault="00336151" w:rsidP="00737CD3">
      <w:r>
        <w:t xml:space="preserve">National Institute for Health and Care Excellence. Overview | Osteoarthritis in over 16s: </w:t>
      </w:r>
      <w:r w:rsidR="00737CD3">
        <w:t>d</w:t>
      </w:r>
      <w:r>
        <w:t xml:space="preserve">iagnosis and management | Guideline [NG226] [Internet]. NICE; 2022. Available from: </w:t>
      </w:r>
      <w:hyperlink r:id="rId19" w:history="1">
        <w:r>
          <w:rPr>
            <w:rStyle w:val="Hyperlink"/>
          </w:rPr>
          <w:t>www.nice.org.uk/guidance/ng226</w:t>
        </w:r>
      </w:hyperlink>
      <w:r>
        <w:t>.</w:t>
      </w:r>
    </w:p>
    <w:p w14:paraId="65A8FB01" w14:textId="77777777" w:rsidR="00336151" w:rsidRDefault="00336151" w:rsidP="00336151">
      <w:pPr>
        <w:spacing w:before="0" w:after="0"/>
      </w:pPr>
      <w:r w:rsidRPr="00D41612">
        <w:t>Kellgren J &amp; Lawrence J. Radiological Assessment of Osteo-Arthrosis. Ann Rheum Dis. 1957;16(4):494-502. </w:t>
      </w:r>
      <w:r>
        <w:t xml:space="preserve"> </w:t>
      </w:r>
    </w:p>
    <w:p w14:paraId="3712EE0C" w14:textId="77777777" w:rsidR="004D370C" w:rsidRDefault="004D370C" w:rsidP="00336151">
      <w:pPr>
        <w:spacing w:before="0" w:after="0"/>
      </w:pPr>
    </w:p>
    <w:p w14:paraId="7E94EBB6" w14:textId="728DD21A" w:rsidR="00336151" w:rsidRDefault="004D370C" w:rsidP="007B1672">
      <w:pPr>
        <w:spacing w:before="0" w:after="0"/>
      </w:pPr>
      <w:proofErr w:type="spellStart"/>
      <w:r>
        <w:t>Bunzli</w:t>
      </w:r>
      <w:proofErr w:type="spellEnd"/>
      <w:r>
        <w:t xml:space="preserve"> S, Taylor NF, O’Brien P, Wallis JA, </w:t>
      </w:r>
      <w:proofErr w:type="spellStart"/>
      <w:r>
        <w:t>Caneiro</w:t>
      </w:r>
      <w:proofErr w:type="spellEnd"/>
      <w:r>
        <w:t xml:space="preserve"> JP, Woodward-Kron R, et al. Broken machines or active bodies? Part 2. How people talk about osteoarthritis and why clinicians need to change the conversation. J </w:t>
      </w:r>
      <w:proofErr w:type="spellStart"/>
      <w:r>
        <w:t>Orthop</w:t>
      </w:r>
      <w:proofErr w:type="spellEnd"/>
      <w:r>
        <w:t xml:space="preserve"> Sports Phys Ther. 2023 Jun 1;53(6):325–30.</w:t>
      </w:r>
    </w:p>
    <w:p w14:paraId="5269BC8B" w14:textId="77777777" w:rsidR="00ED6218" w:rsidRDefault="00ED6218" w:rsidP="007B1672">
      <w:pPr>
        <w:spacing w:before="0" w:after="0"/>
      </w:pPr>
    </w:p>
    <w:p w14:paraId="00CC3D6E" w14:textId="4755975C" w:rsidR="00ED6218" w:rsidRDefault="00ED6218" w:rsidP="007B1672">
      <w:pPr>
        <w:spacing w:before="0" w:after="0"/>
      </w:pPr>
      <w:r w:rsidRPr="00ED6218">
        <w:t>Liljensøe</w:t>
      </w:r>
      <w:r>
        <w:t xml:space="preserve"> A, </w:t>
      </w:r>
      <w:r w:rsidRPr="00ED6218">
        <w:t>Association between Obesity and Outcome after Total Knee and Hip Replacement</w:t>
      </w:r>
      <w:r>
        <w:t xml:space="preserve">. </w:t>
      </w:r>
      <w:r w:rsidRPr="00ED6218">
        <w:t>PhD Thesis</w:t>
      </w:r>
      <w:r>
        <w:t>.</w:t>
      </w:r>
      <w:r w:rsidRPr="00ED6218">
        <w:t xml:space="preserve"> Health Aarhus University</w:t>
      </w:r>
      <w:r>
        <w:t>,</w:t>
      </w:r>
      <w:r w:rsidRPr="00ED6218">
        <w:t xml:space="preserve"> 2014</w:t>
      </w:r>
      <w:r>
        <w:t>.</w:t>
      </w:r>
    </w:p>
    <w:p w14:paraId="11AE993C" w14:textId="77777777" w:rsidR="00EB5F30" w:rsidRDefault="00EB5F30" w:rsidP="007B1672">
      <w:pPr>
        <w:spacing w:before="0" w:after="0"/>
      </w:pPr>
    </w:p>
    <w:p w14:paraId="1A411D7E" w14:textId="4F152A3D" w:rsidR="00EB5F30" w:rsidRDefault="00EB5F30" w:rsidP="007B1672">
      <w:pPr>
        <w:spacing w:before="0" w:after="0"/>
      </w:pPr>
      <w:r>
        <w:t xml:space="preserve">Chu IJH, Lim AYT, Ng CLW. Effects of meaningful weight loss beyond symptomatic relief in adults with knee osteoarthritis and obesity: a systematic review and meta-analysis. </w:t>
      </w:r>
      <w:proofErr w:type="spellStart"/>
      <w:r>
        <w:t>Obes</w:t>
      </w:r>
      <w:proofErr w:type="spellEnd"/>
      <w:r>
        <w:t xml:space="preserve"> Rev. 2018 Nov;19(11):1597–607.</w:t>
      </w:r>
    </w:p>
    <w:p w14:paraId="4481F80E" w14:textId="77777777" w:rsidR="00ED6218" w:rsidRDefault="00ED6218" w:rsidP="007B1672">
      <w:pPr>
        <w:spacing w:before="0" w:after="0"/>
      </w:pPr>
    </w:p>
    <w:p w14:paraId="1343E288" w14:textId="6381E175" w:rsidR="00EB5F30" w:rsidRDefault="00ED6218" w:rsidP="007B1672">
      <w:pPr>
        <w:spacing w:before="0" w:after="0"/>
      </w:pPr>
      <w:r w:rsidRPr="00ED6218">
        <w:t xml:space="preserve">Panunzi S, Maltese S, De Gaetano A, Capristo E, Bornstein SR, Mingrone G. Comparative efficacy of different weight loss treatments on knee osteoarthritis: A network meta-analysis. </w:t>
      </w:r>
      <w:proofErr w:type="spellStart"/>
      <w:r w:rsidRPr="00ED6218">
        <w:t>Obes</w:t>
      </w:r>
      <w:proofErr w:type="spellEnd"/>
      <w:r w:rsidRPr="00ED6218">
        <w:t xml:space="preserve"> Rev. 2021 Aug;22(8):e13230. </w:t>
      </w:r>
      <w:proofErr w:type="spellStart"/>
      <w:r w:rsidRPr="00ED6218">
        <w:t>doi</w:t>
      </w:r>
      <w:proofErr w:type="spellEnd"/>
      <w:r w:rsidRPr="00ED6218">
        <w:t xml:space="preserve">: 10.1111/obr.13230. </w:t>
      </w:r>
      <w:proofErr w:type="spellStart"/>
      <w:r w:rsidRPr="00ED6218">
        <w:t>Epub</w:t>
      </w:r>
      <w:proofErr w:type="spellEnd"/>
      <w:r w:rsidRPr="00ED6218">
        <w:t xml:space="preserve"> 2021 Apr 15. PMID: 33855769.</w:t>
      </w:r>
    </w:p>
    <w:p w14:paraId="74EBA40D" w14:textId="77777777" w:rsidR="00416254" w:rsidRDefault="00416254" w:rsidP="007B1672">
      <w:pPr>
        <w:spacing w:before="0" w:after="0"/>
      </w:pPr>
    </w:p>
    <w:p w14:paraId="0D2A9673" w14:textId="08B31F7F" w:rsidR="00D41612" w:rsidRDefault="00416254" w:rsidP="007B1672">
      <w:pPr>
        <w:spacing w:before="0" w:after="0"/>
      </w:pPr>
      <w:proofErr w:type="spellStart"/>
      <w:r>
        <w:t>Gloy</w:t>
      </w:r>
      <w:proofErr w:type="spellEnd"/>
      <w:r>
        <w:t xml:space="preserve"> VL, Briel M, Bhatt DL, et al. Bariatric surgery versus non-surgical treatment for obesity: a systematic review and meta-analysis of randomised controlled trials. BMJ 2013;347:f5934. </w:t>
      </w:r>
    </w:p>
    <w:p w14:paraId="49AA8EE0" w14:textId="77777777" w:rsidR="00416254" w:rsidRDefault="00416254" w:rsidP="007B1672">
      <w:pPr>
        <w:spacing w:before="0" w:after="0"/>
      </w:pPr>
    </w:p>
    <w:p w14:paraId="2F37FC32" w14:textId="1D4EA6D1" w:rsidR="00416254" w:rsidRDefault="00416254" w:rsidP="007B1672">
      <w:pPr>
        <w:spacing w:before="0" w:after="0"/>
      </w:pPr>
      <w:r>
        <w:t xml:space="preserve">Parvizi J, Trousdale RT, Sarr MG. Total joint arthroplasty in patients surgically treated for morbid obesity. J Arthroplasty 2000;15:1003-8. </w:t>
      </w:r>
    </w:p>
    <w:p w14:paraId="11D2D552" w14:textId="6D625E0A" w:rsidR="00416254" w:rsidRDefault="00416254" w:rsidP="007B1672">
      <w:pPr>
        <w:spacing w:before="0" w:after="0"/>
      </w:pPr>
    </w:p>
    <w:p w14:paraId="604E6562" w14:textId="3782D038" w:rsidR="00416254" w:rsidRDefault="00416254" w:rsidP="007B1672">
      <w:pPr>
        <w:spacing w:before="0" w:after="0"/>
      </w:pPr>
      <w:r>
        <w:t xml:space="preserve">Livingston EH, Langert J. The impact of age and Medicare status on bariatric surgical outcomes. Arch Surgery 2006;141:1115-20. </w:t>
      </w:r>
    </w:p>
    <w:p w14:paraId="3A943C17" w14:textId="77777777" w:rsidR="00416254" w:rsidRDefault="00416254" w:rsidP="007B1672">
      <w:pPr>
        <w:spacing w:before="0" w:after="0"/>
      </w:pPr>
    </w:p>
    <w:p w14:paraId="63D20FE0" w14:textId="5FA4AE91" w:rsidR="00416254" w:rsidRDefault="00416254" w:rsidP="007B1672">
      <w:pPr>
        <w:spacing w:before="0" w:after="0"/>
      </w:pPr>
      <w:r>
        <w:t xml:space="preserve">Brown WA, Smith BR, </w:t>
      </w:r>
      <w:proofErr w:type="spellStart"/>
      <w:r>
        <w:t>Boglis</w:t>
      </w:r>
      <w:proofErr w:type="spellEnd"/>
      <w:r>
        <w:t xml:space="preserve"> M, et al. Streamlining ethics review for multisite quality and safety initiatives: national bariatric surgery registry experience. Med J Aust 2016;205:200-1. </w:t>
      </w:r>
    </w:p>
    <w:p w14:paraId="0CB7F632" w14:textId="77777777" w:rsidR="00416254" w:rsidRDefault="00416254" w:rsidP="007B1672">
      <w:pPr>
        <w:spacing w:before="0" w:after="0"/>
      </w:pPr>
    </w:p>
    <w:p w14:paraId="086C8C46" w14:textId="77777777" w:rsidR="00416254" w:rsidRDefault="00416254" w:rsidP="007B1672">
      <w:pPr>
        <w:spacing w:before="0" w:after="0"/>
      </w:pPr>
      <w:r>
        <w:t xml:space="preserve">Pinto PR, McIntyre T, Ferrero R, Almeida A, Araújo-Soares V. Risk factors for moderate and severe persistent pain in patients undergoing total knee and hip arthroplasty: a prospective predictive study. </w:t>
      </w:r>
      <w:proofErr w:type="spellStart"/>
      <w:r>
        <w:t>PloS</w:t>
      </w:r>
      <w:proofErr w:type="spellEnd"/>
      <w:r>
        <w:t xml:space="preserve"> One 2013;8:e73917. </w:t>
      </w:r>
    </w:p>
    <w:p w14:paraId="474DFE12" w14:textId="77777777" w:rsidR="00416254" w:rsidRDefault="00416254" w:rsidP="007B1672">
      <w:pPr>
        <w:spacing w:before="0" w:after="0"/>
      </w:pPr>
    </w:p>
    <w:p w14:paraId="504610AE" w14:textId="695496F6" w:rsidR="00416254" w:rsidRDefault="00416254" w:rsidP="006F2E60">
      <w:pPr>
        <w:spacing w:before="0" w:after="0"/>
      </w:pPr>
      <w:r>
        <w:t xml:space="preserve">Judge A, Arden NK, Cooper C, et al. Predictors of outcomes of total knee replacement surgery. Rheumatology 2012;51:1804-13. </w:t>
      </w:r>
    </w:p>
    <w:p w14:paraId="49D2BACC" w14:textId="2FB523FC" w:rsidR="000A1777" w:rsidRDefault="000A1777" w:rsidP="0078359D">
      <w:pPr>
        <w:pStyle w:val="BodyCopy"/>
      </w:pPr>
      <w:r w:rsidRPr="0078359D">
        <w:t>Harris K, Dawson J, Gibbons E, Lim CR, Beard DJ, Fitzpatrick R, Price AJ. Systematic review of measurement properties of patient-reported outcome measures used in patients undergoing hip and knee arthroplasty. Patient Relat</w:t>
      </w:r>
      <w:r w:rsidR="003B340F">
        <w:t>ed</w:t>
      </w:r>
      <w:r w:rsidRPr="0078359D">
        <w:t xml:space="preserve"> Outcome Meas. 2016 Jul 25;7:101-8. </w:t>
      </w:r>
    </w:p>
    <w:p w14:paraId="06B7CE36" w14:textId="2A9E027E" w:rsidR="0098104B" w:rsidRDefault="0098104B" w:rsidP="0078359D">
      <w:pPr>
        <w:pStyle w:val="BodyCopy"/>
      </w:pPr>
      <w:r w:rsidRPr="0098104B">
        <w:t>Docking</w:t>
      </w:r>
      <w:r w:rsidR="00D2313A">
        <w:t xml:space="preserve"> S</w:t>
      </w:r>
      <w:r w:rsidRPr="0098104B">
        <w:t>, Ademi</w:t>
      </w:r>
      <w:r w:rsidR="00D2313A">
        <w:t xml:space="preserve"> Z</w:t>
      </w:r>
      <w:r w:rsidRPr="0098104B">
        <w:t>, Barton</w:t>
      </w:r>
      <w:r w:rsidR="00D2313A">
        <w:t xml:space="preserve"> C</w:t>
      </w:r>
      <w:r w:rsidRPr="0098104B">
        <w:t>, Wallis</w:t>
      </w:r>
      <w:r w:rsidR="00D2313A">
        <w:t xml:space="preserve"> J</w:t>
      </w:r>
      <w:r w:rsidRPr="0098104B">
        <w:t>,</w:t>
      </w:r>
      <w:r w:rsidR="00D2313A">
        <w:t xml:space="preserve"> </w:t>
      </w:r>
      <w:r w:rsidRPr="0098104B">
        <w:t>Harris</w:t>
      </w:r>
      <w:r w:rsidR="00D2313A">
        <w:t xml:space="preserve"> I</w:t>
      </w:r>
      <w:r w:rsidRPr="0098104B">
        <w:t>, de Steiger</w:t>
      </w:r>
      <w:r w:rsidR="00D2313A">
        <w:t xml:space="preserve"> R</w:t>
      </w:r>
      <w:r w:rsidRPr="0098104B">
        <w:t>, Buchbinder</w:t>
      </w:r>
      <w:r w:rsidR="00D2313A">
        <w:t xml:space="preserve"> R</w:t>
      </w:r>
      <w:r w:rsidRPr="0098104B">
        <w:t>, Brusco</w:t>
      </w:r>
      <w:r w:rsidR="00D2313A">
        <w:t xml:space="preserve"> N</w:t>
      </w:r>
      <w:r w:rsidRPr="0098104B">
        <w:t>, Young</w:t>
      </w:r>
      <w:r w:rsidR="00D2313A">
        <w:t xml:space="preserve"> K</w:t>
      </w:r>
      <w:r w:rsidRPr="0098104B">
        <w:t xml:space="preserve">, Ferraz </w:t>
      </w:r>
      <w:proofErr w:type="spellStart"/>
      <w:r w:rsidRPr="0098104B">
        <w:t>Pazzinatto</w:t>
      </w:r>
      <w:proofErr w:type="spellEnd"/>
      <w:r w:rsidR="00D2313A">
        <w:t xml:space="preserve"> M</w:t>
      </w:r>
      <w:r w:rsidRPr="0098104B">
        <w:t>,</w:t>
      </w:r>
      <w:r w:rsidR="00D2313A">
        <w:t xml:space="preserve"> </w:t>
      </w:r>
      <w:r w:rsidRPr="0098104B">
        <w:t>Harries</w:t>
      </w:r>
      <w:r w:rsidR="00D2313A">
        <w:t xml:space="preserve"> D</w:t>
      </w:r>
      <w:r w:rsidRPr="0098104B">
        <w:t>, Vertullo</w:t>
      </w:r>
      <w:r w:rsidR="00D2313A">
        <w:t xml:space="preserve"> C</w:t>
      </w:r>
      <w:r w:rsidRPr="0098104B">
        <w:t>, Ackerman</w:t>
      </w:r>
      <w:r w:rsidR="00D2313A">
        <w:t xml:space="preserve"> I. </w:t>
      </w:r>
      <w:r w:rsidRPr="0098104B">
        <w:t>Lifetime Cost-Effectiveness of Structured Education and Exercise Therapy for Knee Osteoarthritis in Australia, October 1, 2024: JAMA Network Open. 2024;7(10):e2436715. doi:10.1001/jamanetworkopen.2024.36715</w:t>
      </w:r>
      <w:r w:rsidR="00C96B02">
        <w:t xml:space="preserve"> </w:t>
      </w:r>
    </w:p>
    <w:p w14:paraId="2AA3F854" w14:textId="6DD69F84" w:rsidR="0098104B" w:rsidRDefault="0098104B" w:rsidP="0098104B">
      <w:pPr>
        <w:pStyle w:val="BodyCopy"/>
      </w:pPr>
      <w:r w:rsidRPr="0098104B">
        <w:rPr>
          <w:iCs w:val="0"/>
        </w:rPr>
        <w:lastRenderedPageBreak/>
        <w:t>Paskins</w:t>
      </w:r>
      <w:r w:rsidR="00D2313A">
        <w:rPr>
          <w:iCs w:val="0"/>
        </w:rPr>
        <w:t xml:space="preserve"> Z</w:t>
      </w:r>
      <w:r w:rsidRPr="0098104B">
        <w:rPr>
          <w:iCs w:val="0"/>
        </w:rPr>
        <w:t>, Sanders</w:t>
      </w:r>
      <w:r w:rsidR="00D2313A">
        <w:rPr>
          <w:iCs w:val="0"/>
        </w:rPr>
        <w:t xml:space="preserve"> T</w:t>
      </w:r>
      <w:r w:rsidRPr="0098104B">
        <w:rPr>
          <w:iCs w:val="0"/>
        </w:rPr>
        <w:t>, Croft</w:t>
      </w:r>
      <w:r w:rsidR="00D2313A">
        <w:rPr>
          <w:iCs w:val="0"/>
        </w:rPr>
        <w:t xml:space="preserve"> P</w:t>
      </w:r>
      <w:r w:rsidRPr="0098104B">
        <w:rPr>
          <w:iCs w:val="0"/>
        </w:rPr>
        <w:t>, Hassell</w:t>
      </w:r>
      <w:r w:rsidR="00D2313A">
        <w:rPr>
          <w:iCs w:val="0"/>
        </w:rPr>
        <w:t xml:space="preserve"> A.</w:t>
      </w:r>
      <w:r w:rsidRPr="0098104B">
        <w:rPr>
          <w:iCs w:val="0"/>
        </w:rPr>
        <w:t xml:space="preserve"> </w:t>
      </w:r>
      <w:r w:rsidRPr="00D2313A">
        <w:rPr>
          <w:iCs w:val="0"/>
        </w:rPr>
        <w:t>The Identity Crisis of Osteoarthritis in General Practice: A Qualitative Study Using Video-Stimulated Recall;</w:t>
      </w:r>
      <w:r>
        <w:rPr>
          <w:i/>
        </w:rPr>
        <w:t xml:space="preserve"> </w:t>
      </w:r>
      <w:r w:rsidRPr="0098104B">
        <w:t>A</w:t>
      </w:r>
      <w:r w:rsidR="00D2313A">
        <w:t xml:space="preserve">nnal of Family Medicine, </w:t>
      </w:r>
      <w:hyperlink r:id="rId20" w:history="1">
        <w:r w:rsidR="00D2313A" w:rsidRPr="00C51502">
          <w:rPr>
            <w:rStyle w:val="Hyperlink"/>
          </w:rPr>
          <w:t>www.annfammed.org</w:t>
        </w:r>
      </w:hyperlink>
      <w:r w:rsidR="00D2313A">
        <w:t xml:space="preserve"> Vol 13, No. 6, Nov/Dec 2015.</w:t>
      </w:r>
    </w:p>
    <w:p w14:paraId="48E1D62B" w14:textId="7F779BB9" w:rsidR="0098104B" w:rsidRDefault="0098104B" w:rsidP="0098104B">
      <w:pPr>
        <w:pStyle w:val="BodyCopy"/>
      </w:pPr>
      <w:r w:rsidRPr="0098104B">
        <w:t>Gibbs</w:t>
      </w:r>
      <w:r w:rsidR="00737CD3">
        <w:t xml:space="preserve"> A</w:t>
      </w:r>
      <w:r w:rsidRPr="0098104B">
        <w:t>, Barton</w:t>
      </w:r>
      <w:r w:rsidR="00737CD3">
        <w:t xml:space="preserve"> C</w:t>
      </w:r>
      <w:r w:rsidRPr="0098104B">
        <w:t>, Taylor</w:t>
      </w:r>
      <w:r w:rsidR="00737CD3">
        <w:t xml:space="preserve"> N</w:t>
      </w:r>
      <w:r w:rsidRPr="0098104B">
        <w:t>, Kemp</w:t>
      </w:r>
      <w:r w:rsidR="00737CD3">
        <w:t xml:space="preserve"> J</w:t>
      </w:r>
      <w:r w:rsidRPr="0098104B">
        <w:t>, Wallis</w:t>
      </w:r>
      <w:r w:rsidR="00737CD3">
        <w:t xml:space="preserve"> J</w:t>
      </w:r>
      <w:r w:rsidRPr="0098104B">
        <w:t>, Manski-Nankervis</w:t>
      </w:r>
      <w:r w:rsidR="00737CD3">
        <w:t xml:space="preserve"> J-A</w:t>
      </w:r>
      <w:r w:rsidRPr="0098104B">
        <w:t xml:space="preserve"> and Ezzat</w:t>
      </w:r>
      <w:r w:rsidR="00737CD3">
        <w:t xml:space="preserve"> A.</w:t>
      </w:r>
      <w:r w:rsidRPr="0098104B">
        <w:t xml:space="preserve"> General practitioners experience multi-level barriers to implementing recommended care for hip and knee osteoarthritis: a qualitative study</w:t>
      </w:r>
      <w:r w:rsidR="003B340F">
        <w:t>;</w:t>
      </w:r>
      <w:r w:rsidRPr="0098104B">
        <w:t xml:space="preserve"> </w:t>
      </w:r>
      <w:r w:rsidRPr="0098104B">
        <w:rPr>
          <w:iCs w:val="0"/>
        </w:rPr>
        <w:t>BMC Primary Care</w:t>
      </w:r>
      <w:r w:rsidRPr="0098104B">
        <w:rPr>
          <w:i/>
        </w:rPr>
        <w:t xml:space="preserve"> </w:t>
      </w:r>
      <w:r w:rsidRPr="0098104B">
        <w:t xml:space="preserve">(2024) 25:423 </w:t>
      </w:r>
      <w:hyperlink r:id="rId21" w:history="1">
        <w:r w:rsidR="00C96B02" w:rsidRPr="00AA333F">
          <w:rPr>
            <w:rStyle w:val="Hyperlink"/>
          </w:rPr>
          <w:t>https://doi.org/10.1186/s12875-024-02658-0</w:t>
        </w:r>
      </w:hyperlink>
    </w:p>
    <w:p w14:paraId="5057C1A2" w14:textId="77777777" w:rsidR="00C96B02" w:rsidRPr="0098104B" w:rsidRDefault="00C96B02" w:rsidP="0098104B">
      <w:pPr>
        <w:pStyle w:val="BodyCopy"/>
      </w:pPr>
    </w:p>
    <w:p w14:paraId="2AFAB3FC" w14:textId="77777777" w:rsidR="00280C5D" w:rsidRDefault="00280C5D" w:rsidP="00280C5D">
      <w:pPr>
        <w:pStyle w:val="Bullet"/>
        <w:numPr>
          <w:ilvl w:val="0"/>
          <w:numId w:val="0"/>
        </w:numPr>
        <w:tabs>
          <w:tab w:val="clear" w:pos="425"/>
        </w:tabs>
        <w:ind w:left="360" w:hanging="360"/>
        <w:rPr>
          <w:lang w:eastAsia="en-US"/>
        </w:rPr>
      </w:pPr>
      <w:hyperlink w:anchor="_top" w:history="1">
        <w:r w:rsidRPr="004A7A7F">
          <w:rPr>
            <w:rStyle w:val="Hyperlink"/>
          </w:rPr>
          <w:t>Back to Contents</w:t>
        </w:r>
      </w:hyperlink>
    </w:p>
    <w:p w14:paraId="6ED79D0A" w14:textId="509B1A81" w:rsidR="0078367D" w:rsidRDefault="0078367D" w:rsidP="0078367D">
      <w:pPr>
        <w:pStyle w:val="Heading2"/>
      </w:pPr>
      <w:bookmarkStart w:id="18" w:name="_Toc192163833"/>
      <w:r>
        <w:t>Definition of terms</w:t>
      </w:r>
      <w:bookmarkEnd w:id="18"/>
      <w:r>
        <w:t xml:space="preserve"> </w:t>
      </w:r>
    </w:p>
    <w:p w14:paraId="33612E8B" w14:textId="27FFDEDF" w:rsidR="00F04EE6" w:rsidRPr="00A47387" w:rsidRDefault="00F04EE6" w:rsidP="0078359D">
      <w:pPr>
        <w:pStyle w:val="Bullet"/>
      </w:pPr>
      <w:r w:rsidRPr="0078359D">
        <w:t>Self-management of a chronic condition</w:t>
      </w:r>
      <w:r w:rsidRPr="00A47387">
        <w:t>: a daily, interactive process that involves actively participating in evidence-based health care. It can improve quality of life and reduce the progression of a condition.</w:t>
      </w:r>
      <w:r w:rsidR="007529F7" w:rsidRPr="00A47387">
        <w:t xml:space="preserve"> It involves education so that a patient can</w:t>
      </w:r>
      <w:r w:rsidRPr="00A47387">
        <w:t xml:space="preserve"> share in decisions about </w:t>
      </w:r>
      <w:r w:rsidR="007529F7" w:rsidRPr="00A47387">
        <w:t>their</w:t>
      </w:r>
      <w:r w:rsidRPr="00A47387">
        <w:t xml:space="preserve"> care. </w:t>
      </w:r>
      <w:r w:rsidR="007529F7" w:rsidRPr="00A47387">
        <w:t>It involves having a plan, tracking signs and symptoms, taking prescribed medications, following prescribed exercise programs, eating well, sleeping well and taking into consideration how a chronic health condition affects physical, emotional and social aspects of life. Self-management should include regular access to community support services to prevent unplanned admissions to hospital.</w:t>
      </w:r>
    </w:p>
    <w:p w14:paraId="08B39389" w14:textId="41556BD8" w:rsidR="00D550DA" w:rsidRPr="00A47387" w:rsidRDefault="00D550DA" w:rsidP="0078359D">
      <w:pPr>
        <w:pStyle w:val="Bullet"/>
      </w:pPr>
      <w:r w:rsidRPr="0078359D">
        <w:t>OA severity</w:t>
      </w:r>
      <w:r w:rsidRPr="00A47387">
        <w:t>:</w:t>
      </w:r>
      <w:r w:rsidRPr="00A47387">
        <w:rPr>
          <w:rFonts w:eastAsia="Calibri"/>
          <w:color w:val="001D35"/>
          <w:sz w:val="27"/>
          <w:szCs w:val="27"/>
          <w:shd w:val="clear" w:color="auto" w:fill="FFFFFF"/>
        </w:rPr>
        <w:t xml:space="preserve"> </w:t>
      </w:r>
      <w:r w:rsidRPr="00A47387">
        <w:t>The Kellgren-Lawrence (K-L) grading system is a method used to assess the severity of osteoarthritis (OA) on a radiograph, typically of the knee, by assigning a grade from 0 (no OA) to 4 (severe OA), based on the presence and extent of joint space narrowing and osteophytes observed on the image; essentially, it's a semi-quantitative way to measure the progression of OA on an X-ray. Due to the lack of correlation between X-ray severity and functional severity this system is not a reliable way to clinically assess severity and must therefore be used in conjunction with PROMs (patient reported outcome measures) including pain experienced.</w:t>
      </w:r>
    </w:p>
    <w:p w14:paraId="599F01FF" w14:textId="1DED379B" w:rsidR="00D550DA" w:rsidRDefault="00D550DA" w:rsidP="0078359D">
      <w:pPr>
        <w:pStyle w:val="Bullet"/>
      </w:pPr>
      <w:r w:rsidRPr="0078359D">
        <w:t>OA disease progression</w:t>
      </w:r>
      <w:r w:rsidRPr="00A47387">
        <w:t xml:space="preserve">: the </w:t>
      </w:r>
      <w:r w:rsidRPr="00D550DA">
        <w:t>progression rate of knee osteoarthritis (OA) varies depending on the individual, but generally, it is considered a slow, gradual process, with studies reporting radiographic progression rates of around 2.5% to 3.6% per year, often measured by joint space narrowing on X-rays; however, a significant portion of individuals may experience faster progression, particularly those with risk factors like obesity, previous knee injury, or significant malalignment</w:t>
      </w:r>
      <w:r>
        <w:t xml:space="preserve"> / joint deformity</w:t>
      </w:r>
      <w:r w:rsidRPr="00D550DA">
        <w:t>. </w:t>
      </w:r>
      <w:r w:rsidR="00B67DC5">
        <w:t>In rapid progression cases more frequent reviews are recommended.</w:t>
      </w:r>
    </w:p>
    <w:p w14:paraId="6F6A2C51" w14:textId="77777777" w:rsidR="00280C5D" w:rsidRDefault="00280C5D" w:rsidP="00280C5D">
      <w:pPr>
        <w:pStyle w:val="BodyCopy"/>
      </w:pPr>
      <w:hyperlink w:anchor="_top" w:history="1">
        <w:r w:rsidRPr="00481A6C">
          <w:rPr>
            <w:rStyle w:val="Hyperlink"/>
            <w:iCs w:val="0"/>
          </w:rPr>
          <w:t>Back to Contents</w:t>
        </w:r>
      </w:hyperlink>
    </w:p>
    <w:p w14:paraId="573315A9" w14:textId="77777777" w:rsidR="0078367D" w:rsidRDefault="0078367D" w:rsidP="0078367D">
      <w:pPr>
        <w:pStyle w:val="Heading2"/>
      </w:pPr>
      <w:bookmarkStart w:id="19" w:name="_Toc192163834"/>
      <w:r>
        <w:t>Search terms</w:t>
      </w:r>
      <w:bookmarkEnd w:id="19"/>
    </w:p>
    <w:p w14:paraId="79CAEDBC" w14:textId="685DF337" w:rsidR="007B1672" w:rsidRDefault="007B1672" w:rsidP="0078367D">
      <w:pPr>
        <w:pStyle w:val="BodyCopy"/>
        <w:rPr>
          <w:lang w:eastAsia="en-US"/>
        </w:rPr>
      </w:pPr>
      <w:r>
        <w:rPr>
          <w:lang w:eastAsia="en-US"/>
        </w:rPr>
        <w:lastRenderedPageBreak/>
        <w:t>OA</w:t>
      </w:r>
      <w:r w:rsidR="000A1777">
        <w:rPr>
          <w:lang w:eastAsia="en-US"/>
        </w:rPr>
        <w:t xml:space="preserve">, </w:t>
      </w:r>
      <w:r>
        <w:rPr>
          <w:lang w:eastAsia="en-US"/>
        </w:rPr>
        <w:t>Osteoarthritis</w:t>
      </w:r>
      <w:r w:rsidR="000A1777">
        <w:rPr>
          <w:lang w:eastAsia="en-US"/>
        </w:rPr>
        <w:t xml:space="preserve">, </w:t>
      </w:r>
      <w:r>
        <w:rPr>
          <w:lang w:eastAsia="en-US"/>
        </w:rPr>
        <w:t>GLA:D</w:t>
      </w:r>
      <w:r w:rsidR="003421EA">
        <w:rPr>
          <w:lang w:eastAsia="en-US"/>
        </w:rPr>
        <w:t>®</w:t>
      </w:r>
      <w:r w:rsidR="000A1777">
        <w:rPr>
          <w:lang w:eastAsia="en-US"/>
        </w:rPr>
        <w:t xml:space="preserve">, GLAD, </w:t>
      </w:r>
      <w:r>
        <w:rPr>
          <w:lang w:eastAsia="en-US"/>
        </w:rPr>
        <w:t>Good Living</w:t>
      </w:r>
      <w:r w:rsidR="000A1777">
        <w:rPr>
          <w:lang w:eastAsia="en-US"/>
        </w:rPr>
        <w:t>,</w:t>
      </w:r>
      <w:r>
        <w:rPr>
          <w:lang w:eastAsia="en-US"/>
        </w:rPr>
        <w:t xml:space="preserve"> TJR</w:t>
      </w:r>
      <w:r w:rsidR="000A1777">
        <w:rPr>
          <w:lang w:eastAsia="en-US"/>
        </w:rPr>
        <w:t>, joint, replacement,</w:t>
      </w:r>
      <w:r>
        <w:rPr>
          <w:lang w:eastAsia="en-US"/>
        </w:rPr>
        <w:t xml:space="preserve"> </w:t>
      </w:r>
      <w:r w:rsidR="000A1777">
        <w:rPr>
          <w:lang w:eastAsia="en-US"/>
        </w:rPr>
        <w:t xml:space="preserve">total joint replacement, </w:t>
      </w:r>
      <w:r w:rsidR="00C62E3F">
        <w:rPr>
          <w:lang w:eastAsia="en-US"/>
        </w:rPr>
        <w:t xml:space="preserve">TKR, total knee replacement, </w:t>
      </w:r>
      <w:r w:rsidR="00530F51">
        <w:rPr>
          <w:lang w:eastAsia="en-US"/>
        </w:rPr>
        <w:t xml:space="preserve">THR, total hip replacement, </w:t>
      </w:r>
      <w:r w:rsidR="00737CD3">
        <w:rPr>
          <w:lang w:eastAsia="en-US"/>
        </w:rPr>
        <w:t xml:space="preserve">TKA, total knee arthroplasty, </w:t>
      </w:r>
      <w:r>
        <w:rPr>
          <w:lang w:eastAsia="en-US"/>
        </w:rPr>
        <w:t>A</w:t>
      </w:r>
      <w:r w:rsidR="00943576">
        <w:rPr>
          <w:lang w:eastAsia="en-US"/>
        </w:rPr>
        <w:t>M</w:t>
      </w:r>
      <w:r>
        <w:rPr>
          <w:lang w:eastAsia="en-US"/>
        </w:rPr>
        <w:t>P</w:t>
      </w:r>
      <w:r w:rsidR="000A1777">
        <w:rPr>
          <w:lang w:eastAsia="en-US"/>
        </w:rPr>
        <w:t xml:space="preserve">, </w:t>
      </w:r>
      <w:r>
        <w:rPr>
          <w:lang w:eastAsia="en-US"/>
        </w:rPr>
        <w:t xml:space="preserve">Advanced </w:t>
      </w:r>
      <w:r w:rsidR="00943576">
        <w:rPr>
          <w:lang w:eastAsia="en-US"/>
        </w:rPr>
        <w:t>Musculoskeletal Practitioner</w:t>
      </w:r>
      <w:r w:rsidR="000A1777">
        <w:rPr>
          <w:lang w:eastAsia="en-US"/>
        </w:rPr>
        <w:t xml:space="preserve">, </w:t>
      </w:r>
      <w:r>
        <w:rPr>
          <w:lang w:eastAsia="en-US"/>
        </w:rPr>
        <w:t>ESP</w:t>
      </w:r>
      <w:r w:rsidR="000A1777">
        <w:rPr>
          <w:lang w:eastAsia="en-US"/>
        </w:rPr>
        <w:t xml:space="preserve">, </w:t>
      </w:r>
      <w:r>
        <w:rPr>
          <w:lang w:eastAsia="en-US"/>
        </w:rPr>
        <w:t>Extended Scope Practitioner</w:t>
      </w:r>
      <w:r w:rsidR="000A1777">
        <w:rPr>
          <w:lang w:eastAsia="en-US"/>
        </w:rPr>
        <w:t xml:space="preserve">, </w:t>
      </w:r>
      <w:r>
        <w:rPr>
          <w:lang w:eastAsia="en-US"/>
        </w:rPr>
        <w:t>OSC</w:t>
      </w:r>
      <w:r w:rsidR="000A1777">
        <w:rPr>
          <w:lang w:eastAsia="en-US"/>
        </w:rPr>
        <w:t xml:space="preserve">, </w:t>
      </w:r>
      <w:r>
        <w:rPr>
          <w:lang w:eastAsia="en-US"/>
        </w:rPr>
        <w:t>Orthopaedic Screening Clinic</w:t>
      </w:r>
      <w:r w:rsidR="000A1777">
        <w:rPr>
          <w:lang w:eastAsia="en-US"/>
        </w:rPr>
        <w:t xml:space="preserve">, orthopaedic, </w:t>
      </w:r>
      <w:r w:rsidR="00943576">
        <w:rPr>
          <w:lang w:eastAsia="en-US"/>
        </w:rPr>
        <w:t>AH</w:t>
      </w:r>
      <w:r w:rsidR="000A1777">
        <w:rPr>
          <w:lang w:eastAsia="en-US"/>
        </w:rPr>
        <w:t xml:space="preserve">, </w:t>
      </w:r>
      <w:r w:rsidR="00943576">
        <w:rPr>
          <w:lang w:eastAsia="en-US"/>
        </w:rPr>
        <w:t>Allied Health</w:t>
      </w:r>
    </w:p>
    <w:p w14:paraId="7EE1FB90" w14:textId="77777777" w:rsidR="00280C5D" w:rsidRDefault="00280C5D" w:rsidP="00280C5D">
      <w:pPr>
        <w:pStyle w:val="Bullet"/>
        <w:numPr>
          <w:ilvl w:val="0"/>
          <w:numId w:val="0"/>
        </w:numPr>
        <w:rPr>
          <w:lang w:eastAsia="en-US"/>
        </w:rPr>
      </w:pPr>
      <w:hyperlink w:anchor="_top" w:history="1">
        <w:r w:rsidRPr="00481A6C">
          <w:rPr>
            <w:rStyle w:val="Hyperlink"/>
          </w:rPr>
          <w:t>Back to Contents</w:t>
        </w:r>
      </w:hyperlink>
    </w:p>
    <w:p w14:paraId="3E7CCA8F" w14:textId="77777777" w:rsidR="0078367D" w:rsidRPr="009A5010" w:rsidRDefault="0078367D" w:rsidP="009369C2">
      <w:pPr>
        <w:pStyle w:val="Heading2"/>
      </w:pPr>
      <w:bookmarkStart w:id="20" w:name="_Toc192163835"/>
      <w:r>
        <w:t>Attachments</w:t>
      </w:r>
      <w:bookmarkEnd w:id="20"/>
    </w:p>
    <w:p w14:paraId="463AFC99" w14:textId="0250F7BB" w:rsidR="00252ECE" w:rsidRPr="0078359D" w:rsidRDefault="00252ECE" w:rsidP="00280C5D">
      <w:pPr>
        <w:rPr>
          <w:rStyle w:val="Bold"/>
        </w:rPr>
      </w:pPr>
      <w:r w:rsidRPr="0078359D">
        <w:rPr>
          <w:rStyle w:val="Bold"/>
        </w:rPr>
        <w:t xml:space="preserve">Attachment </w:t>
      </w:r>
      <w:r w:rsidR="000A1777" w:rsidRPr="0078359D">
        <w:rPr>
          <w:rStyle w:val="Bold"/>
        </w:rPr>
        <w:t>1 – Oxford Knee Score (Harris et al 2016)</w:t>
      </w:r>
    </w:p>
    <w:p w14:paraId="737C451B" w14:textId="77777777" w:rsidR="009A5010" w:rsidRDefault="00684A68" w:rsidP="0078359D">
      <w:pPr>
        <w:rPr>
          <w:lang w:eastAsia="en-US"/>
        </w:rPr>
      </w:pPr>
      <w:hyperlink w:anchor="_top" w:history="1">
        <w:r w:rsidRPr="00481A6C">
          <w:rPr>
            <w:rStyle w:val="Hyperlink"/>
          </w:rPr>
          <w:t>Back to Contents</w:t>
        </w:r>
      </w:hyperlink>
      <w:r w:rsidR="009A5010">
        <w:rPr>
          <w:lang w:eastAsia="en-US"/>
        </w:rPr>
        <w:br w:type="page"/>
      </w:r>
    </w:p>
    <w:p w14:paraId="01740A22" w14:textId="77777777" w:rsidR="009A5010" w:rsidRPr="009A5010" w:rsidRDefault="00280C5D" w:rsidP="009A5010">
      <w:pPr>
        <w:pStyle w:val="Heading5"/>
      </w:pPr>
      <w: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203F4900"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5BB56E6D" w14:textId="77777777" w:rsidR="00280C5D" w:rsidRDefault="00280C5D" w:rsidP="003B0E72">
            <w:pPr>
              <w:pStyle w:val="Tableheader"/>
            </w:pPr>
            <w:r>
              <w:t>Date amended</w:t>
            </w:r>
          </w:p>
        </w:tc>
        <w:tc>
          <w:tcPr>
            <w:tcW w:w="2477" w:type="dxa"/>
          </w:tcPr>
          <w:p w14:paraId="5A5A2EA7" w14:textId="77777777" w:rsidR="00280C5D" w:rsidRDefault="00280C5D" w:rsidP="003B0E72">
            <w:pPr>
              <w:pStyle w:val="Tableheader"/>
            </w:pPr>
            <w:r>
              <w:t>Section amended</w:t>
            </w:r>
          </w:p>
        </w:tc>
        <w:tc>
          <w:tcPr>
            <w:tcW w:w="2555" w:type="dxa"/>
          </w:tcPr>
          <w:p w14:paraId="50BCA6EA" w14:textId="77777777" w:rsidR="00280C5D" w:rsidRDefault="00280C5D" w:rsidP="003B0E72">
            <w:pPr>
              <w:pStyle w:val="Tableheader"/>
            </w:pPr>
            <w:r>
              <w:t>Divisional approval</w:t>
            </w:r>
          </w:p>
        </w:tc>
        <w:tc>
          <w:tcPr>
            <w:tcW w:w="2403" w:type="dxa"/>
          </w:tcPr>
          <w:p w14:paraId="705C4E93" w14:textId="77777777" w:rsidR="00280C5D" w:rsidRDefault="00280C5D" w:rsidP="003B0E72">
            <w:pPr>
              <w:pStyle w:val="Tableheader"/>
            </w:pPr>
            <w:r>
              <w:t>Final approval</w:t>
            </w:r>
          </w:p>
        </w:tc>
      </w:tr>
      <w:tr w:rsidR="00280C5D" w14:paraId="7543923A" w14:textId="77777777" w:rsidTr="003B0E72">
        <w:tc>
          <w:tcPr>
            <w:tcW w:w="2476" w:type="dxa"/>
          </w:tcPr>
          <w:p w14:paraId="36E0588C" w14:textId="549AB2FD" w:rsidR="00280C5D" w:rsidRDefault="007910F5" w:rsidP="003B0E72">
            <w:pPr>
              <w:pStyle w:val="Tablebody"/>
              <w:rPr>
                <w:lang w:eastAsia="en-US"/>
              </w:rPr>
            </w:pPr>
            <w:r>
              <w:rPr>
                <w:lang w:eastAsia="en-US"/>
              </w:rPr>
              <w:t>03/06/2025</w:t>
            </w:r>
          </w:p>
        </w:tc>
        <w:tc>
          <w:tcPr>
            <w:tcW w:w="2477" w:type="dxa"/>
          </w:tcPr>
          <w:p w14:paraId="57B1BAA4" w14:textId="6D300A3F" w:rsidR="00280C5D" w:rsidRDefault="007910F5" w:rsidP="003B0E72">
            <w:pPr>
              <w:pStyle w:val="Tablebody"/>
              <w:rPr>
                <w:lang w:eastAsia="en-US"/>
              </w:rPr>
            </w:pPr>
            <w:r>
              <w:rPr>
                <w:lang w:eastAsia="en-US"/>
              </w:rPr>
              <w:t>New document</w:t>
            </w:r>
          </w:p>
        </w:tc>
        <w:tc>
          <w:tcPr>
            <w:tcW w:w="2555" w:type="dxa"/>
          </w:tcPr>
          <w:p w14:paraId="5851FFDE" w14:textId="2CB0F3E0" w:rsidR="00280C5D" w:rsidRDefault="007910F5" w:rsidP="003B0E72">
            <w:pPr>
              <w:pStyle w:val="Tablebody"/>
              <w:rPr>
                <w:lang w:eastAsia="en-US"/>
              </w:rPr>
            </w:pPr>
            <w:r>
              <w:rPr>
                <w:lang w:eastAsia="en-US"/>
              </w:rPr>
              <w:t>Jo Morris, ED RACS</w:t>
            </w:r>
          </w:p>
        </w:tc>
        <w:tc>
          <w:tcPr>
            <w:tcW w:w="2403" w:type="dxa"/>
          </w:tcPr>
          <w:p w14:paraId="5CD1BCC4" w14:textId="053CAABD" w:rsidR="00280C5D" w:rsidRDefault="007910F5" w:rsidP="003B0E72">
            <w:pPr>
              <w:pStyle w:val="Tablebody"/>
              <w:rPr>
                <w:lang w:eastAsia="en-US"/>
              </w:rPr>
            </w:pPr>
            <w:r>
              <w:rPr>
                <w:lang w:eastAsia="en-US"/>
              </w:rPr>
              <w:t>CHS Policy Document Review Panel</w:t>
            </w:r>
          </w:p>
        </w:tc>
      </w:tr>
      <w:tr w:rsidR="00280C5D" w14:paraId="07F2D422" w14:textId="77777777" w:rsidTr="003B0E72">
        <w:tc>
          <w:tcPr>
            <w:tcW w:w="2476" w:type="dxa"/>
          </w:tcPr>
          <w:p w14:paraId="3C4DB1E8" w14:textId="77777777" w:rsidR="00280C5D" w:rsidRDefault="00280C5D" w:rsidP="003B0E72">
            <w:pPr>
              <w:pStyle w:val="Tablebody"/>
              <w:rPr>
                <w:lang w:eastAsia="en-US"/>
              </w:rPr>
            </w:pPr>
          </w:p>
        </w:tc>
        <w:tc>
          <w:tcPr>
            <w:tcW w:w="2477" w:type="dxa"/>
          </w:tcPr>
          <w:p w14:paraId="0BAEEE6C" w14:textId="77777777" w:rsidR="00280C5D" w:rsidRDefault="00280C5D" w:rsidP="003B0E72">
            <w:pPr>
              <w:pStyle w:val="Tablebody"/>
              <w:rPr>
                <w:lang w:eastAsia="en-US"/>
              </w:rPr>
            </w:pPr>
          </w:p>
        </w:tc>
        <w:tc>
          <w:tcPr>
            <w:tcW w:w="2555" w:type="dxa"/>
          </w:tcPr>
          <w:p w14:paraId="50FD503E" w14:textId="77777777" w:rsidR="00280C5D" w:rsidRDefault="00280C5D" w:rsidP="003B0E72">
            <w:pPr>
              <w:pStyle w:val="Tablebody"/>
              <w:rPr>
                <w:lang w:eastAsia="en-US"/>
              </w:rPr>
            </w:pPr>
          </w:p>
        </w:tc>
        <w:tc>
          <w:tcPr>
            <w:tcW w:w="2403" w:type="dxa"/>
          </w:tcPr>
          <w:p w14:paraId="20FC3E68" w14:textId="77777777" w:rsidR="00280C5D" w:rsidRDefault="00280C5D" w:rsidP="003B0E72">
            <w:pPr>
              <w:pStyle w:val="Tablebody"/>
              <w:rPr>
                <w:lang w:eastAsia="en-US"/>
              </w:rPr>
            </w:pPr>
          </w:p>
        </w:tc>
      </w:tr>
    </w:tbl>
    <w:p w14:paraId="09C0C03F" w14:textId="77777777" w:rsidR="00280C5D" w:rsidRDefault="00280C5D" w:rsidP="00280C5D">
      <w:pPr>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3709C091"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429BE496" w14:textId="77777777" w:rsidR="00280C5D" w:rsidRDefault="00280C5D" w:rsidP="003B0E72">
            <w:pPr>
              <w:pStyle w:val="Tableheader"/>
            </w:pPr>
            <w:r>
              <w:t>Document number</w:t>
            </w:r>
          </w:p>
        </w:tc>
        <w:tc>
          <w:tcPr>
            <w:tcW w:w="7653" w:type="dxa"/>
          </w:tcPr>
          <w:p w14:paraId="719D3511" w14:textId="77777777" w:rsidR="00280C5D" w:rsidRDefault="00280C5D" w:rsidP="003B0E72">
            <w:pPr>
              <w:pStyle w:val="Tableheader"/>
            </w:pPr>
            <w:r>
              <w:t>Document name</w:t>
            </w:r>
          </w:p>
        </w:tc>
      </w:tr>
      <w:tr w:rsidR="00280C5D" w14:paraId="30CB73D3" w14:textId="77777777" w:rsidTr="003B0E72">
        <w:tc>
          <w:tcPr>
            <w:tcW w:w="2548" w:type="dxa"/>
          </w:tcPr>
          <w:p w14:paraId="0C2D4A07" w14:textId="77777777" w:rsidR="00280C5D" w:rsidRDefault="00280C5D" w:rsidP="003B0E72">
            <w:pPr>
              <w:pStyle w:val="Tablebody"/>
              <w:rPr>
                <w:lang w:eastAsia="en-US"/>
              </w:rPr>
            </w:pPr>
          </w:p>
        </w:tc>
        <w:tc>
          <w:tcPr>
            <w:tcW w:w="7653" w:type="dxa"/>
          </w:tcPr>
          <w:p w14:paraId="407DAFBB" w14:textId="77777777" w:rsidR="00280C5D" w:rsidRDefault="00280C5D" w:rsidP="003B0E72">
            <w:pPr>
              <w:pStyle w:val="Tablebody"/>
              <w:rPr>
                <w:lang w:eastAsia="en-US"/>
              </w:rPr>
            </w:pPr>
          </w:p>
        </w:tc>
      </w:tr>
      <w:tr w:rsidR="00280C5D" w14:paraId="4B2F8C4E" w14:textId="77777777" w:rsidTr="003B0E72">
        <w:tc>
          <w:tcPr>
            <w:tcW w:w="2548" w:type="dxa"/>
          </w:tcPr>
          <w:p w14:paraId="082725CB" w14:textId="77777777" w:rsidR="00280C5D" w:rsidRDefault="00280C5D" w:rsidP="003B0E72">
            <w:pPr>
              <w:pStyle w:val="Tablebody"/>
              <w:rPr>
                <w:lang w:eastAsia="en-US"/>
              </w:rPr>
            </w:pPr>
          </w:p>
        </w:tc>
        <w:tc>
          <w:tcPr>
            <w:tcW w:w="7653" w:type="dxa"/>
          </w:tcPr>
          <w:p w14:paraId="60E1A2CD" w14:textId="77777777" w:rsidR="00280C5D" w:rsidRDefault="00280C5D" w:rsidP="003B0E72">
            <w:pPr>
              <w:pStyle w:val="Tablebody"/>
              <w:rPr>
                <w:lang w:eastAsia="en-US"/>
              </w:rPr>
            </w:pPr>
          </w:p>
        </w:tc>
      </w:tr>
    </w:tbl>
    <w:p w14:paraId="7A267382" w14:textId="77777777" w:rsidR="00280C5D" w:rsidRPr="0078367D" w:rsidRDefault="00280C5D" w:rsidP="009A5010">
      <w:pPr>
        <w:pStyle w:val="Heading5"/>
      </w:pPr>
      <w:r w:rsidRPr="0078367D">
        <w:t>Disclaimer</w:t>
      </w:r>
    </w:p>
    <w:p w14:paraId="302A4700"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0F29FBE"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56E72692"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25932955" w14:textId="77777777" w:rsidTr="003B0E72">
        <w:tc>
          <w:tcPr>
            <w:tcW w:w="5529" w:type="dxa"/>
            <w:shd w:val="clear" w:color="auto" w:fill="F4F3EE"/>
            <w:tcMar>
              <w:top w:w="142" w:type="dxa"/>
              <w:left w:w="170" w:type="dxa"/>
              <w:bottom w:w="142" w:type="dxa"/>
              <w:right w:w="170" w:type="dxa"/>
            </w:tcMar>
          </w:tcPr>
          <w:bookmarkStart w:id="21" w:name="_Hlk160027189" w:displacedByCustomXml="next"/>
          <w:sdt>
            <w:sdtPr>
              <w:rPr>
                <w:color w:val="auto"/>
                <w:u w:val="single"/>
              </w:rPr>
              <w:id w:val="643171884"/>
              <w:placeholder>
                <w:docPart w:val="6C11DC9BFBD2409C8FEA21DDB59C8B7D"/>
              </w:placeholder>
            </w:sdtPr>
            <w:sdtEndPr>
              <w:rPr>
                <w:color w:val="000000" w:themeColor="text1"/>
                <w:u w:val="none"/>
              </w:rPr>
            </w:sdtEndPr>
            <w:sdtContent>
              <w:p w14:paraId="7CBF941D" w14:textId="77777777" w:rsidR="00280C5D" w:rsidRPr="00350211" w:rsidRDefault="00280C5D" w:rsidP="003B0E72">
                <w:pPr>
                  <w:pStyle w:val="Bottomblocktext"/>
                  <w:rPr>
                    <w:b/>
                    <w:bCs w:val="0"/>
                    <w:sz w:val="20"/>
                    <w:szCs w:val="20"/>
                  </w:rPr>
                </w:pPr>
                <w:r>
                  <w:rPr>
                    <w:noProof/>
                    <w:sz w:val="20"/>
                    <w:szCs w:val="20"/>
                  </w:rPr>
                  <w:drawing>
                    <wp:inline distT="0" distB="0" distL="0" distR="0" wp14:anchorId="605C5187" wp14:editId="50B09404">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2"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CA21E03"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2662E22"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AB98EBC6B84B43588917E603C6095DFA"/>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C95154662DF14C09B7AB8014CE471BDC"/>
            </w:placeholder>
            <w:showingPlcHdr/>
          </w:sdtPr>
          <w:sdtEndPr/>
          <w:sdtContent>
            <w:tc>
              <w:tcPr>
                <w:tcW w:w="4665" w:type="dxa"/>
                <w:shd w:val="clear" w:color="auto" w:fill="F4F3EE"/>
                <w:tcMar>
                  <w:top w:w="142" w:type="dxa"/>
                  <w:left w:w="170" w:type="dxa"/>
                  <w:bottom w:w="142" w:type="dxa"/>
                  <w:right w:w="170" w:type="dxa"/>
                </w:tcMar>
              </w:tcPr>
              <w:p w14:paraId="3504AE6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12B2D7B" wp14:editId="107C7ADD">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3"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2822616" wp14:editId="25FBDD81">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0FA3C6BE"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A6D6A97" wp14:editId="629EFCB1">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5"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8510A57" wp14:editId="28065EA2">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190C1D46" w14:textId="77777777" w:rsidR="00280C5D" w:rsidRDefault="00280C5D" w:rsidP="003B0E72">
                <w:pPr>
                  <w:pStyle w:val="Bottomblocktext"/>
                  <w:rPr>
                    <w:sz w:val="20"/>
                    <w:szCs w:val="20"/>
                  </w:rPr>
                </w:pPr>
                <w:hyperlink r:id="rId26" w:history="1">
                  <w:r w:rsidRPr="00350211">
                    <w:rPr>
                      <w:rStyle w:val="Hyperlink"/>
                      <w:sz w:val="20"/>
                      <w:szCs w:val="20"/>
                    </w:rPr>
                    <w:t>canberrahealthservices.act.gov.au/accessibility</w:t>
                  </w:r>
                </w:hyperlink>
              </w:p>
              <w:p w14:paraId="00CBCD64" w14:textId="77777777" w:rsidR="00280C5D" w:rsidRDefault="00280C5D" w:rsidP="003B0E72">
                <w:pPr>
                  <w:pStyle w:val="Bottomblocktext"/>
                </w:pPr>
                <w:r>
                  <w:rPr>
                    <w:b/>
                    <w:bCs w:val="0"/>
                    <w:noProof/>
                  </w:rPr>
                  <w:drawing>
                    <wp:inline distT="0" distB="0" distL="0" distR="0" wp14:anchorId="17693B14" wp14:editId="3B0C3A05">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7"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1"/>
      <w:bookmarkEnd w:id="21"/>
    </w:tbl>
    <w:p w14:paraId="19A5579B" w14:textId="6C2BE7E7" w:rsidR="000A1777" w:rsidRDefault="000A1777" w:rsidP="000E7683">
      <w:pPr>
        <w:rPr>
          <w:lang w:eastAsia="en-US"/>
        </w:rPr>
      </w:pPr>
    </w:p>
    <w:p w14:paraId="6B6C80E0" w14:textId="77777777" w:rsidR="000A1777" w:rsidRDefault="000A1777">
      <w:pPr>
        <w:spacing w:before="0" w:after="0" w:line="240" w:lineRule="auto"/>
        <w:rPr>
          <w:lang w:eastAsia="en-US"/>
        </w:rPr>
      </w:pPr>
      <w:r>
        <w:rPr>
          <w:lang w:eastAsia="en-US"/>
        </w:rPr>
        <w:br w:type="page"/>
      </w:r>
    </w:p>
    <w:p w14:paraId="0C955560" w14:textId="3BCA7A47" w:rsidR="000A1777" w:rsidRPr="009A5010" w:rsidRDefault="000A1777" w:rsidP="000A1777">
      <w:pPr>
        <w:pStyle w:val="Heading2"/>
      </w:pPr>
      <w:bookmarkStart w:id="22" w:name="_Toc192163836"/>
      <w:r>
        <w:lastRenderedPageBreak/>
        <w:t>Attachments 1 – Oxford Knee Score (Harris et al 2016)</w:t>
      </w:r>
      <w:bookmarkEnd w:id="22"/>
    </w:p>
    <w:p w14:paraId="2EA43256" w14:textId="3450A468" w:rsidR="004A7A7F" w:rsidRDefault="000A1777" w:rsidP="000E7683">
      <w:pPr>
        <w:rPr>
          <w:lang w:eastAsia="en-US"/>
        </w:rPr>
      </w:pPr>
      <w:r w:rsidRPr="000A1777">
        <w:rPr>
          <w:noProof/>
          <w:lang w:eastAsia="en-US"/>
        </w:rPr>
        <w:drawing>
          <wp:inline distT="0" distB="0" distL="0" distR="0" wp14:anchorId="5DCE8117" wp14:editId="4C3E8FC1">
            <wp:extent cx="5884524" cy="8456371"/>
            <wp:effectExtent l="0" t="0" r="2540" b="1905"/>
            <wp:docPr id="179714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6464" cy="8459159"/>
                    </a:xfrm>
                    <a:prstGeom prst="rect">
                      <a:avLst/>
                    </a:prstGeom>
                    <a:noFill/>
                    <a:ln>
                      <a:noFill/>
                    </a:ln>
                  </pic:spPr>
                </pic:pic>
              </a:graphicData>
            </a:graphic>
          </wp:inline>
        </w:drawing>
      </w:r>
    </w:p>
    <w:p w14:paraId="0B51B86E" w14:textId="36EF7226" w:rsidR="000A1777" w:rsidRPr="00481A6C" w:rsidRDefault="000A1777" w:rsidP="000E7683">
      <w:pPr>
        <w:rPr>
          <w:lang w:eastAsia="en-US"/>
        </w:rPr>
      </w:pPr>
      <w:r w:rsidRPr="000A1777">
        <w:rPr>
          <w:noProof/>
          <w:lang w:eastAsia="en-US"/>
        </w:rPr>
        <w:lastRenderedPageBreak/>
        <w:drawing>
          <wp:inline distT="0" distB="0" distL="0" distR="0" wp14:anchorId="4190F3AD" wp14:editId="51A16012">
            <wp:extent cx="6041390" cy="9356090"/>
            <wp:effectExtent l="0" t="0" r="0" b="0"/>
            <wp:docPr id="6338316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41390" cy="9356090"/>
                    </a:xfrm>
                    <a:prstGeom prst="rect">
                      <a:avLst/>
                    </a:prstGeom>
                    <a:noFill/>
                    <a:ln>
                      <a:noFill/>
                    </a:ln>
                  </pic:spPr>
                </pic:pic>
              </a:graphicData>
            </a:graphic>
          </wp:inline>
        </w:drawing>
      </w:r>
    </w:p>
    <w:sectPr w:rsidR="000A1777" w:rsidRPr="00481A6C" w:rsidSect="00E3733D">
      <w:footerReference w:type="default" r:id="rId30"/>
      <w:headerReference w:type="first" r:id="rId31"/>
      <w:footerReference w:type="first" r:id="rId32"/>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5D7EE" w14:textId="77777777" w:rsidR="00EB5CBE" w:rsidRDefault="00EB5CBE" w:rsidP="00225769">
      <w:pPr>
        <w:spacing w:after="0" w:line="240" w:lineRule="auto"/>
      </w:pPr>
      <w:r>
        <w:separator/>
      </w:r>
    </w:p>
    <w:p w14:paraId="4DC9B9C0" w14:textId="77777777" w:rsidR="00EB5CBE" w:rsidRDefault="00EB5CBE"/>
    <w:p w14:paraId="4EE7D0FE" w14:textId="77777777" w:rsidR="00EB5CBE" w:rsidRDefault="00EB5CBE"/>
    <w:p w14:paraId="2E497CBD" w14:textId="77777777" w:rsidR="00EB5CBE" w:rsidRDefault="00EB5CBE"/>
    <w:p w14:paraId="544317AE" w14:textId="77777777" w:rsidR="00EB5CBE" w:rsidRDefault="00EB5CBE"/>
    <w:p w14:paraId="2CF050D1" w14:textId="77777777" w:rsidR="00EB5CBE" w:rsidRDefault="00EB5CBE"/>
    <w:p w14:paraId="1A593D44" w14:textId="77777777" w:rsidR="00EB5CBE" w:rsidRDefault="00EB5CBE"/>
  </w:endnote>
  <w:endnote w:type="continuationSeparator" w:id="0">
    <w:p w14:paraId="6FC07393" w14:textId="77777777" w:rsidR="00EB5CBE" w:rsidRDefault="00EB5CBE" w:rsidP="00225769">
      <w:pPr>
        <w:spacing w:after="0" w:line="240" w:lineRule="auto"/>
      </w:pPr>
      <w:r>
        <w:continuationSeparator/>
      </w:r>
    </w:p>
    <w:p w14:paraId="451ECA8F" w14:textId="77777777" w:rsidR="00EB5CBE" w:rsidRDefault="00EB5CBE"/>
    <w:p w14:paraId="494DA90A" w14:textId="77777777" w:rsidR="00EB5CBE" w:rsidRDefault="00EB5CBE"/>
    <w:p w14:paraId="435ABD59" w14:textId="77777777" w:rsidR="00EB5CBE" w:rsidRDefault="00EB5CBE"/>
    <w:p w14:paraId="0B1EDB93" w14:textId="77777777" w:rsidR="00EB5CBE" w:rsidRDefault="00EB5CBE"/>
    <w:p w14:paraId="39DA3A85" w14:textId="77777777" w:rsidR="00EB5CBE" w:rsidRDefault="00EB5CBE"/>
    <w:p w14:paraId="0403C8ED" w14:textId="77777777" w:rsidR="00EB5CBE" w:rsidRDefault="00EB5C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IJTBWM+ZapfDingbatsITC">
    <w:altName w:val="Yu Gothic"/>
    <w:panose1 w:val="00000000000000000000"/>
    <w:charset w:val="80"/>
    <w:family w:val="auto"/>
    <w:notTrueType/>
    <w:pitch w:val="default"/>
    <w:sig w:usb0="00000001" w:usb1="08070000" w:usb2="00000010" w:usb3="00000000" w:csb0="00020000" w:csb1="00000000"/>
  </w:font>
  <w:font w:name="Open Sans Semi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3CB9F9ED" w14:textId="77777777" w:rsidTr="003B0E72">
      <w:trPr>
        <w:jc w:val="center"/>
      </w:trPr>
      <w:tc>
        <w:tcPr>
          <w:tcW w:w="1515" w:type="dxa"/>
        </w:tcPr>
        <w:p w14:paraId="4881E082"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398EC0D4"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4886A8B"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706C350E"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023C3CC5"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5BF40D95"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FD6FCB7" w14:textId="77777777" w:rsidTr="003B0E72">
      <w:trPr>
        <w:jc w:val="center"/>
      </w:trPr>
      <w:tc>
        <w:tcPr>
          <w:tcW w:w="1515" w:type="dxa"/>
        </w:tcPr>
        <w:p w14:paraId="45B5E00D" w14:textId="698CEF17" w:rsidR="00481A6C" w:rsidRPr="00954F7B" w:rsidRDefault="007910F5" w:rsidP="00481A6C">
          <w:pPr>
            <w:pStyle w:val="Footer"/>
            <w:jc w:val="center"/>
            <w:rPr>
              <w:bCs/>
              <w:iCs/>
              <w:sz w:val="20"/>
              <w:szCs w:val="20"/>
            </w:rPr>
          </w:pPr>
          <w:r>
            <w:rPr>
              <w:bCs/>
              <w:iCs/>
              <w:sz w:val="20"/>
              <w:szCs w:val="20"/>
            </w:rPr>
            <w:t>CHS25/203</w:t>
          </w:r>
        </w:p>
      </w:tc>
      <w:tc>
        <w:tcPr>
          <w:tcW w:w="965" w:type="dxa"/>
        </w:tcPr>
        <w:p w14:paraId="6D611C3A" w14:textId="1BBE0C2C" w:rsidR="00481A6C" w:rsidRPr="00954F7B" w:rsidRDefault="007910F5" w:rsidP="00481A6C">
          <w:pPr>
            <w:pStyle w:val="Footer"/>
            <w:jc w:val="center"/>
            <w:rPr>
              <w:bCs/>
              <w:iCs/>
              <w:sz w:val="20"/>
              <w:szCs w:val="20"/>
            </w:rPr>
          </w:pPr>
          <w:r>
            <w:rPr>
              <w:bCs/>
              <w:iCs/>
              <w:sz w:val="20"/>
              <w:szCs w:val="20"/>
            </w:rPr>
            <w:t>1</w:t>
          </w:r>
        </w:p>
      </w:tc>
      <w:tc>
        <w:tcPr>
          <w:tcW w:w="1552" w:type="dxa"/>
        </w:tcPr>
        <w:p w14:paraId="4184BE2D" w14:textId="2AC5AD90" w:rsidR="00481A6C" w:rsidRPr="00954F7B" w:rsidRDefault="007910F5" w:rsidP="00481A6C">
          <w:pPr>
            <w:pStyle w:val="Footer"/>
            <w:jc w:val="center"/>
            <w:rPr>
              <w:bCs/>
              <w:iCs/>
              <w:sz w:val="20"/>
              <w:szCs w:val="20"/>
            </w:rPr>
          </w:pPr>
          <w:r>
            <w:rPr>
              <w:bCs/>
              <w:iCs/>
              <w:sz w:val="20"/>
              <w:szCs w:val="20"/>
            </w:rPr>
            <w:t>03/06/2025</w:t>
          </w:r>
        </w:p>
      </w:tc>
      <w:tc>
        <w:tcPr>
          <w:tcW w:w="1456" w:type="dxa"/>
        </w:tcPr>
        <w:p w14:paraId="1C80ADC6" w14:textId="7BCB6911" w:rsidR="00481A6C" w:rsidRPr="00954F7B" w:rsidRDefault="007910F5" w:rsidP="00481A6C">
          <w:pPr>
            <w:pStyle w:val="Footer"/>
            <w:jc w:val="center"/>
            <w:rPr>
              <w:bCs/>
              <w:iCs/>
              <w:sz w:val="20"/>
              <w:szCs w:val="20"/>
            </w:rPr>
          </w:pPr>
          <w:r>
            <w:rPr>
              <w:bCs/>
              <w:iCs/>
              <w:sz w:val="20"/>
              <w:szCs w:val="20"/>
            </w:rPr>
            <w:t>01/06/2026</w:t>
          </w:r>
        </w:p>
      </w:tc>
      <w:tc>
        <w:tcPr>
          <w:tcW w:w="1746" w:type="dxa"/>
        </w:tcPr>
        <w:p w14:paraId="0F974E36" w14:textId="2743B7F6" w:rsidR="00481A6C" w:rsidRPr="00954F7B" w:rsidRDefault="007910F5" w:rsidP="00481A6C">
          <w:pPr>
            <w:pStyle w:val="Footer"/>
            <w:jc w:val="center"/>
            <w:rPr>
              <w:bCs/>
              <w:iCs/>
              <w:sz w:val="20"/>
              <w:szCs w:val="20"/>
            </w:rPr>
          </w:pPr>
          <w:r>
            <w:rPr>
              <w:bCs/>
              <w:iCs/>
              <w:sz w:val="20"/>
              <w:szCs w:val="20"/>
            </w:rPr>
            <w:t>RACS – Community Care</w:t>
          </w:r>
        </w:p>
      </w:tc>
      <w:tc>
        <w:tcPr>
          <w:tcW w:w="1836" w:type="dxa"/>
        </w:tcPr>
        <w:p w14:paraId="3AA039D2"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65A9C0A2"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2A8A05C2" w14:textId="77777777" w:rsidTr="008E1ED9">
      <w:trPr>
        <w:jc w:val="center"/>
      </w:trPr>
      <w:tc>
        <w:tcPr>
          <w:tcW w:w="1515" w:type="dxa"/>
        </w:tcPr>
        <w:p w14:paraId="7A91768F"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97E3500"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9C40DF4"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31581206"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1AB8357E"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27E8D6ED"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7910F5" w:rsidRPr="006B62B4" w14:paraId="13C396DC" w14:textId="77777777" w:rsidTr="008E1ED9">
      <w:trPr>
        <w:jc w:val="center"/>
      </w:trPr>
      <w:tc>
        <w:tcPr>
          <w:tcW w:w="1515" w:type="dxa"/>
        </w:tcPr>
        <w:p w14:paraId="0C0BBE25" w14:textId="6A0E6005" w:rsidR="007910F5" w:rsidRPr="00954F7B" w:rsidRDefault="007910F5" w:rsidP="007910F5">
          <w:pPr>
            <w:pStyle w:val="Footer"/>
            <w:jc w:val="center"/>
            <w:rPr>
              <w:bCs/>
              <w:iCs/>
              <w:sz w:val="20"/>
              <w:szCs w:val="20"/>
            </w:rPr>
          </w:pPr>
          <w:r>
            <w:rPr>
              <w:bCs/>
              <w:iCs/>
              <w:sz w:val="20"/>
              <w:szCs w:val="20"/>
            </w:rPr>
            <w:t>CHS25/203</w:t>
          </w:r>
        </w:p>
      </w:tc>
      <w:tc>
        <w:tcPr>
          <w:tcW w:w="965" w:type="dxa"/>
        </w:tcPr>
        <w:p w14:paraId="398A3CAD" w14:textId="7A9BFE29" w:rsidR="007910F5" w:rsidRPr="00954F7B" w:rsidRDefault="007910F5" w:rsidP="007910F5">
          <w:pPr>
            <w:pStyle w:val="Footer"/>
            <w:jc w:val="center"/>
            <w:rPr>
              <w:bCs/>
              <w:iCs/>
              <w:sz w:val="20"/>
              <w:szCs w:val="20"/>
            </w:rPr>
          </w:pPr>
          <w:r>
            <w:rPr>
              <w:bCs/>
              <w:iCs/>
              <w:sz w:val="20"/>
              <w:szCs w:val="20"/>
            </w:rPr>
            <w:t>1</w:t>
          </w:r>
        </w:p>
      </w:tc>
      <w:tc>
        <w:tcPr>
          <w:tcW w:w="1552" w:type="dxa"/>
        </w:tcPr>
        <w:p w14:paraId="07468B46" w14:textId="36BA8FE7" w:rsidR="007910F5" w:rsidRPr="00954F7B" w:rsidRDefault="007910F5" w:rsidP="007910F5">
          <w:pPr>
            <w:pStyle w:val="Footer"/>
            <w:jc w:val="center"/>
            <w:rPr>
              <w:bCs/>
              <w:iCs/>
              <w:sz w:val="20"/>
              <w:szCs w:val="20"/>
            </w:rPr>
          </w:pPr>
          <w:r>
            <w:rPr>
              <w:bCs/>
              <w:iCs/>
              <w:sz w:val="20"/>
              <w:szCs w:val="20"/>
            </w:rPr>
            <w:t>03/06/2025</w:t>
          </w:r>
        </w:p>
      </w:tc>
      <w:tc>
        <w:tcPr>
          <w:tcW w:w="1456" w:type="dxa"/>
        </w:tcPr>
        <w:p w14:paraId="3859A86A" w14:textId="6B0892B1" w:rsidR="007910F5" w:rsidRPr="00954F7B" w:rsidRDefault="007910F5" w:rsidP="007910F5">
          <w:pPr>
            <w:pStyle w:val="Footer"/>
            <w:jc w:val="center"/>
            <w:rPr>
              <w:bCs/>
              <w:iCs/>
              <w:sz w:val="20"/>
              <w:szCs w:val="20"/>
            </w:rPr>
          </w:pPr>
          <w:r>
            <w:rPr>
              <w:bCs/>
              <w:iCs/>
              <w:sz w:val="20"/>
              <w:szCs w:val="20"/>
            </w:rPr>
            <w:t>01/06/2026</w:t>
          </w:r>
        </w:p>
      </w:tc>
      <w:tc>
        <w:tcPr>
          <w:tcW w:w="1746" w:type="dxa"/>
        </w:tcPr>
        <w:p w14:paraId="629EB5E2" w14:textId="1E7D7DB9" w:rsidR="007910F5" w:rsidRPr="00954F7B" w:rsidRDefault="007910F5" w:rsidP="007910F5">
          <w:pPr>
            <w:pStyle w:val="Footer"/>
            <w:jc w:val="center"/>
            <w:rPr>
              <w:bCs/>
              <w:iCs/>
              <w:sz w:val="20"/>
              <w:szCs w:val="20"/>
            </w:rPr>
          </w:pPr>
          <w:r>
            <w:rPr>
              <w:bCs/>
              <w:iCs/>
              <w:sz w:val="20"/>
              <w:szCs w:val="20"/>
            </w:rPr>
            <w:t>RACS – Community Care</w:t>
          </w:r>
        </w:p>
      </w:tc>
      <w:tc>
        <w:tcPr>
          <w:tcW w:w="1836" w:type="dxa"/>
        </w:tcPr>
        <w:p w14:paraId="7DB494F6" w14:textId="77777777" w:rsidR="007910F5" w:rsidRPr="00954F7B" w:rsidRDefault="007910F5" w:rsidP="007910F5">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517F2234"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23B19" w14:textId="77777777" w:rsidR="00EB5CBE" w:rsidRDefault="00EB5CBE" w:rsidP="009D493B">
      <w:pPr>
        <w:spacing w:after="0" w:line="240" w:lineRule="auto"/>
      </w:pPr>
      <w:r>
        <w:separator/>
      </w:r>
    </w:p>
  </w:footnote>
  <w:footnote w:type="continuationSeparator" w:id="0">
    <w:p w14:paraId="34F86B9C" w14:textId="77777777" w:rsidR="00EB5CBE" w:rsidRDefault="00EB5CBE" w:rsidP="00A9080B">
      <w:pPr>
        <w:spacing w:after="0" w:line="240" w:lineRule="auto"/>
      </w:pPr>
      <w:r>
        <w:continuationSeparator/>
      </w:r>
    </w:p>
    <w:p w14:paraId="3944FDB7" w14:textId="77777777" w:rsidR="00EB5CBE" w:rsidRDefault="00EB5CBE"/>
    <w:p w14:paraId="26C6183E" w14:textId="77777777" w:rsidR="00EB5CBE" w:rsidRDefault="00EB5C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59B0F" w14:textId="77777777" w:rsidR="008A3DD8" w:rsidRDefault="008A3DD8">
    <w:pPr>
      <w:pStyle w:val="Header"/>
    </w:pPr>
    <w:r w:rsidRPr="00324CF9">
      <w:rPr>
        <w:noProof/>
      </w:rPr>
      <w:drawing>
        <wp:inline distT="0" distB="0" distL="0" distR="0" wp14:anchorId="7074A720" wp14:editId="463C618C">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FA27EB6"/>
    <w:multiLevelType w:val="hybridMultilevel"/>
    <w:tmpl w:val="D8921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BB1BF0"/>
    <w:multiLevelType w:val="hybridMultilevel"/>
    <w:tmpl w:val="AE1C014E"/>
    <w:lvl w:ilvl="0" w:tplc="F5A20D8A">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A130CF"/>
    <w:multiLevelType w:val="hybridMultilevel"/>
    <w:tmpl w:val="218C6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8" w15:restartNumberingAfterBreak="0">
    <w:nsid w:val="1D340342"/>
    <w:multiLevelType w:val="hybridMultilevel"/>
    <w:tmpl w:val="C19869A4"/>
    <w:lvl w:ilvl="0" w:tplc="F5A20D8A">
      <w:numFmt w:val="bullet"/>
      <w:lvlText w:val="•"/>
      <w:lvlJc w:val="left"/>
      <w:pPr>
        <w:ind w:left="720" w:hanging="360"/>
      </w:pPr>
      <w:rPr>
        <w:rFonts w:ascii="Calibri" w:eastAsia="Times New Roman" w:hAnsi="Calibri" w:cs="Calibri"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0" w15:restartNumberingAfterBreak="0">
    <w:nsid w:val="22170E18"/>
    <w:multiLevelType w:val="hybridMultilevel"/>
    <w:tmpl w:val="BCDE34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A7D0915"/>
    <w:multiLevelType w:val="hybridMultilevel"/>
    <w:tmpl w:val="3D30B6C6"/>
    <w:lvl w:ilvl="0" w:tplc="0C09000B">
      <w:numFmt w:val="bullet"/>
      <w:lvlText w:val=""/>
      <w:lvlJc w:val="left"/>
      <w:pPr>
        <w:ind w:left="720" w:hanging="360"/>
      </w:pPr>
      <w:rPr>
        <w:rFonts w:ascii="Wingdings" w:eastAsia="Times New Roman" w:hAnsi="Wingdings"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7"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9" w15:restartNumberingAfterBreak="0">
    <w:nsid w:val="49337E92"/>
    <w:multiLevelType w:val="hybridMultilevel"/>
    <w:tmpl w:val="1BAAD19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20" w15:restartNumberingAfterBreak="0">
    <w:nsid w:val="52CA63F1"/>
    <w:multiLevelType w:val="hybridMultilevel"/>
    <w:tmpl w:val="9EF81172"/>
    <w:lvl w:ilvl="0" w:tplc="851AB6C8">
      <w:numFmt w:val="bullet"/>
      <w:lvlText w:val="-"/>
      <w:lvlJc w:val="left"/>
      <w:pPr>
        <w:ind w:left="720" w:hanging="360"/>
      </w:pPr>
      <w:rPr>
        <w:rFonts w:ascii="Calibri" w:eastAsia="Times New Roman"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705FD9"/>
    <w:multiLevelType w:val="hybridMultilevel"/>
    <w:tmpl w:val="97E83A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3" w15:restartNumberingAfterBreak="0">
    <w:nsid w:val="69581B1F"/>
    <w:multiLevelType w:val="multilevel"/>
    <w:tmpl w:val="32C0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6B3FFE"/>
    <w:multiLevelType w:val="hybridMultilevel"/>
    <w:tmpl w:val="4B80C07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7AB66AFE"/>
    <w:multiLevelType w:val="hybridMultilevel"/>
    <w:tmpl w:val="B0E60D56"/>
    <w:lvl w:ilvl="0" w:tplc="E5161028">
      <w:start w:val="1"/>
      <w:numFmt w:val="bullet"/>
      <w:pStyle w:val="Bulletlevel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431774">
    <w:abstractNumId w:val="9"/>
  </w:num>
  <w:num w:numId="2" w16cid:durableId="842209657">
    <w:abstractNumId w:val="7"/>
  </w:num>
  <w:num w:numId="3" w16cid:durableId="660542573">
    <w:abstractNumId w:val="22"/>
  </w:num>
  <w:num w:numId="4" w16cid:durableId="1971085616">
    <w:abstractNumId w:val="14"/>
  </w:num>
  <w:num w:numId="5" w16cid:durableId="252517802">
    <w:abstractNumId w:val="15"/>
  </w:num>
  <w:num w:numId="6" w16cid:durableId="420297118">
    <w:abstractNumId w:val="18"/>
  </w:num>
  <w:num w:numId="7" w16cid:durableId="3533880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4"/>
    <w:lvlOverride w:ilvl="0">
      <w:startOverride w:val="1"/>
    </w:lvlOverride>
  </w:num>
  <w:num w:numId="9" w16cid:durableId="1747920389">
    <w:abstractNumId w:val="15"/>
    <w:lvlOverride w:ilvl="0">
      <w:startOverride w:val="1"/>
    </w:lvlOverride>
  </w:num>
  <w:num w:numId="10" w16cid:durableId="1001813381">
    <w:abstractNumId w:val="14"/>
    <w:lvlOverride w:ilvl="0">
      <w:startOverride w:val="1"/>
    </w:lvlOverride>
  </w:num>
  <w:num w:numId="11" w16cid:durableId="1103450744">
    <w:abstractNumId w:val="15"/>
    <w:lvlOverride w:ilvl="0">
      <w:startOverride w:val="1"/>
    </w:lvlOverride>
  </w:num>
  <w:num w:numId="12" w16cid:durableId="1549294228">
    <w:abstractNumId w:val="14"/>
    <w:lvlOverride w:ilvl="0">
      <w:startOverride w:val="1"/>
    </w:lvlOverride>
  </w:num>
  <w:num w:numId="13" w16cid:durableId="875854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5"/>
    <w:lvlOverride w:ilvl="0">
      <w:startOverride w:val="1"/>
    </w:lvlOverride>
  </w:num>
  <w:num w:numId="15" w16cid:durableId="1246453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2"/>
  </w:num>
  <w:num w:numId="17" w16cid:durableId="434129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1"/>
  </w:num>
  <w:num w:numId="19" w16cid:durableId="836698820">
    <w:abstractNumId w:val="16"/>
  </w:num>
  <w:num w:numId="20" w16cid:durableId="4028038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7"/>
  </w:num>
  <w:num w:numId="22" w16cid:durableId="200242115">
    <w:abstractNumId w:val="1"/>
  </w:num>
  <w:num w:numId="23" w16cid:durableId="585068731">
    <w:abstractNumId w:val="6"/>
  </w:num>
  <w:num w:numId="24" w16cid:durableId="1431437445">
    <w:abstractNumId w:val="5"/>
  </w:num>
  <w:num w:numId="25" w16cid:durableId="507214046">
    <w:abstractNumId w:val="13"/>
  </w:num>
  <w:num w:numId="26" w16cid:durableId="1168134399">
    <w:abstractNumId w:val="2"/>
  </w:num>
  <w:num w:numId="27" w16cid:durableId="658848822">
    <w:abstractNumId w:val="4"/>
  </w:num>
  <w:num w:numId="28" w16cid:durableId="2045447214">
    <w:abstractNumId w:val="3"/>
  </w:num>
  <w:num w:numId="29" w16cid:durableId="1037000679">
    <w:abstractNumId w:val="8"/>
  </w:num>
  <w:num w:numId="30" w16cid:durableId="211776286">
    <w:abstractNumId w:val="0"/>
  </w:num>
  <w:num w:numId="31" w16cid:durableId="1374647622">
    <w:abstractNumId w:val="25"/>
  </w:num>
  <w:num w:numId="32" w16cid:durableId="830754375">
    <w:abstractNumId w:val="20"/>
  </w:num>
  <w:num w:numId="33" w16cid:durableId="1004208915">
    <w:abstractNumId w:val="12"/>
  </w:num>
  <w:num w:numId="34" w16cid:durableId="1944607468">
    <w:abstractNumId w:val="21"/>
  </w:num>
  <w:num w:numId="35" w16cid:durableId="429082240">
    <w:abstractNumId w:val="24"/>
  </w:num>
  <w:num w:numId="36" w16cid:durableId="1075476786">
    <w:abstractNumId w:val="19"/>
  </w:num>
  <w:num w:numId="37" w16cid:durableId="1127092227">
    <w:abstractNumId w:val="23"/>
  </w:num>
  <w:num w:numId="38" w16cid:durableId="64489877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625"/>
    <w:rsid w:val="00000822"/>
    <w:rsid w:val="00002E7F"/>
    <w:rsid w:val="00003728"/>
    <w:rsid w:val="00004B91"/>
    <w:rsid w:val="00006344"/>
    <w:rsid w:val="000068B9"/>
    <w:rsid w:val="000115AB"/>
    <w:rsid w:val="0001257C"/>
    <w:rsid w:val="00012DA7"/>
    <w:rsid w:val="00014646"/>
    <w:rsid w:val="0001473F"/>
    <w:rsid w:val="00014D0A"/>
    <w:rsid w:val="00015018"/>
    <w:rsid w:val="000246D6"/>
    <w:rsid w:val="00025C12"/>
    <w:rsid w:val="000347FB"/>
    <w:rsid w:val="00035A11"/>
    <w:rsid w:val="00041D05"/>
    <w:rsid w:val="00042268"/>
    <w:rsid w:val="00043534"/>
    <w:rsid w:val="00046D4C"/>
    <w:rsid w:val="00047707"/>
    <w:rsid w:val="00050696"/>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5506"/>
    <w:rsid w:val="00080F06"/>
    <w:rsid w:val="00080F87"/>
    <w:rsid w:val="00080FC2"/>
    <w:rsid w:val="000825CF"/>
    <w:rsid w:val="00082C60"/>
    <w:rsid w:val="00082EB1"/>
    <w:rsid w:val="00083D66"/>
    <w:rsid w:val="000848B6"/>
    <w:rsid w:val="000858DB"/>
    <w:rsid w:val="000905E4"/>
    <w:rsid w:val="0009157D"/>
    <w:rsid w:val="00092EC2"/>
    <w:rsid w:val="00096D01"/>
    <w:rsid w:val="00097F70"/>
    <w:rsid w:val="000A1777"/>
    <w:rsid w:val="000A3AA0"/>
    <w:rsid w:val="000A3F9B"/>
    <w:rsid w:val="000A4C7E"/>
    <w:rsid w:val="000A6268"/>
    <w:rsid w:val="000B4346"/>
    <w:rsid w:val="000B4DF9"/>
    <w:rsid w:val="000B6A88"/>
    <w:rsid w:val="000C36A3"/>
    <w:rsid w:val="000C3973"/>
    <w:rsid w:val="000C48B1"/>
    <w:rsid w:val="000C57C6"/>
    <w:rsid w:val="000C76AA"/>
    <w:rsid w:val="000D0A42"/>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38B"/>
    <w:rsid w:val="00120E2E"/>
    <w:rsid w:val="00121181"/>
    <w:rsid w:val="00122329"/>
    <w:rsid w:val="001232C3"/>
    <w:rsid w:val="00124B00"/>
    <w:rsid w:val="00126471"/>
    <w:rsid w:val="00126ADF"/>
    <w:rsid w:val="00126BEE"/>
    <w:rsid w:val="00127D91"/>
    <w:rsid w:val="0013037E"/>
    <w:rsid w:val="001324A3"/>
    <w:rsid w:val="00135EF0"/>
    <w:rsid w:val="0013675B"/>
    <w:rsid w:val="00136C50"/>
    <w:rsid w:val="00137347"/>
    <w:rsid w:val="00143C66"/>
    <w:rsid w:val="00144A90"/>
    <w:rsid w:val="00154D8C"/>
    <w:rsid w:val="001575C5"/>
    <w:rsid w:val="001600FA"/>
    <w:rsid w:val="001616DD"/>
    <w:rsid w:val="00161AE4"/>
    <w:rsid w:val="00161FDC"/>
    <w:rsid w:val="001649B3"/>
    <w:rsid w:val="00164AA5"/>
    <w:rsid w:val="00166052"/>
    <w:rsid w:val="001660FE"/>
    <w:rsid w:val="0016671D"/>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5D1A"/>
    <w:rsid w:val="00186FB7"/>
    <w:rsid w:val="00187537"/>
    <w:rsid w:val="00191413"/>
    <w:rsid w:val="0019193E"/>
    <w:rsid w:val="00192C70"/>
    <w:rsid w:val="001935B4"/>
    <w:rsid w:val="00193907"/>
    <w:rsid w:val="00195EFB"/>
    <w:rsid w:val="001A0124"/>
    <w:rsid w:val="001A1DD6"/>
    <w:rsid w:val="001A2273"/>
    <w:rsid w:val="001B0DC3"/>
    <w:rsid w:val="001B1A6A"/>
    <w:rsid w:val="001B3430"/>
    <w:rsid w:val="001B447A"/>
    <w:rsid w:val="001C0F5C"/>
    <w:rsid w:val="001C108E"/>
    <w:rsid w:val="001C223C"/>
    <w:rsid w:val="001C263F"/>
    <w:rsid w:val="001C5958"/>
    <w:rsid w:val="001D12A9"/>
    <w:rsid w:val="001D140D"/>
    <w:rsid w:val="001D150B"/>
    <w:rsid w:val="001D195F"/>
    <w:rsid w:val="001D6322"/>
    <w:rsid w:val="001D780B"/>
    <w:rsid w:val="001D7907"/>
    <w:rsid w:val="001E0BEA"/>
    <w:rsid w:val="001E0BED"/>
    <w:rsid w:val="001E2C6F"/>
    <w:rsid w:val="001E30A5"/>
    <w:rsid w:val="001E3D5B"/>
    <w:rsid w:val="001E4A13"/>
    <w:rsid w:val="001E4C69"/>
    <w:rsid w:val="001E4EF9"/>
    <w:rsid w:val="001E579B"/>
    <w:rsid w:val="001E5FF2"/>
    <w:rsid w:val="001E626E"/>
    <w:rsid w:val="001E7077"/>
    <w:rsid w:val="001E7A17"/>
    <w:rsid w:val="001F0765"/>
    <w:rsid w:val="001F26B1"/>
    <w:rsid w:val="001F29F4"/>
    <w:rsid w:val="001F4369"/>
    <w:rsid w:val="001F49DF"/>
    <w:rsid w:val="001F5AE3"/>
    <w:rsid w:val="001F6310"/>
    <w:rsid w:val="001F656A"/>
    <w:rsid w:val="001F68D1"/>
    <w:rsid w:val="001F6D1A"/>
    <w:rsid w:val="001F6E03"/>
    <w:rsid w:val="002012D2"/>
    <w:rsid w:val="0020360D"/>
    <w:rsid w:val="0020612C"/>
    <w:rsid w:val="00211BFA"/>
    <w:rsid w:val="00212F1D"/>
    <w:rsid w:val="0022138F"/>
    <w:rsid w:val="00225769"/>
    <w:rsid w:val="00225E3B"/>
    <w:rsid w:val="00227104"/>
    <w:rsid w:val="00230054"/>
    <w:rsid w:val="00232505"/>
    <w:rsid w:val="0023668B"/>
    <w:rsid w:val="00240DC9"/>
    <w:rsid w:val="00242601"/>
    <w:rsid w:val="002427B0"/>
    <w:rsid w:val="00244149"/>
    <w:rsid w:val="00245BF4"/>
    <w:rsid w:val="00246EDC"/>
    <w:rsid w:val="00247BAF"/>
    <w:rsid w:val="00251D96"/>
    <w:rsid w:val="00252ECE"/>
    <w:rsid w:val="00253A48"/>
    <w:rsid w:val="00253EC8"/>
    <w:rsid w:val="0025483C"/>
    <w:rsid w:val="00256701"/>
    <w:rsid w:val="0026085A"/>
    <w:rsid w:val="00261D0C"/>
    <w:rsid w:val="0026498E"/>
    <w:rsid w:val="002700D3"/>
    <w:rsid w:val="0027262B"/>
    <w:rsid w:val="00274308"/>
    <w:rsid w:val="00280051"/>
    <w:rsid w:val="00280C5D"/>
    <w:rsid w:val="002812BF"/>
    <w:rsid w:val="00281798"/>
    <w:rsid w:val="00281830"/>
    <w:rsid w:val="002827C4"/>
    <w:rsid w:val="00284D13"/>
    <w:rsid w:val="00292A6B"/>
    <w:rsid w:val="00293B6B"/>
    <w:rsid w:val="00294B76"/>
    <w:rsid w:val="00294F1A"/>
    <w:rsid w:val="00295D79"/>
    <w:rsid w:val="0029655B"/>
    <w:rsid w:val="002A0163"/>
    <w:rsid w:val="002A295E"/>
    <w:rsid w:val="002B075B"/>
    <w:rsid w:val="002B2383"/>
    <w:rsid w:val="002B2713"/>
    <w:rsid w:val="002B3511"/>
    <w:rsid w:val="002B3D19"/>
    <w:rsid w:val="002B3F13"/>
    <w:rsid w:val="002B434C"/>
    <w:rsid w:val="002B5D29"/>
    <w:rsid w:val="002C39F9"/>
    <w:rsid w:val="002C4BAF"/>
    <w:rsid w:val="002C58B8"/>
    <w:rsid w:val="002C7500"/>
    <w:rsid w:val="002C75BC"/>
    <w:rsid w:val="002D1462"/>
    <w:rsid w:val="002D1CA0"/>
    <w:rsid w:val="002D22CF"/>
    <w:rsid w:val="002D49CB"/>
    <w:rsid w:val="002D56A1"/>
    <w:rsid w:val="002D59A9"/>
    <w:rsid w:val="002D5A00"/>
    <w:rsid w:val="002D6E1E"/>
    <w:rsid w:val="002E1058"/>
    <w:rsid w:val="002E1E63"/>
    <w:rsid w:val="002E1FA1"/>
    <w:rsid w:val="002E24F4"/>
    <w:rsid w:val="002E63E1"/>
    <w:rsid w:val="002E6515"/>
    <w:rsid w:val="002E6517"/>
    <w:rsid w:val="002E6687"/>
    <w:rsid w:val="002F2A26"/>
    <w:rsid w:val="002F6957"/>
    <w:rsid w:val="002F6CB3"/>
    <w:rsid w:val="002F7DE5"/>
    <w:rsid w:val="002F7DF1"/>
    <w:rsid w:val="003007EA"/>
    <w:rsid w:val="003027B6"/>
    <w:rsid w:val="00306981"/>
    <w:rsid w:val="003071E4"/>
    <w:rsid w:val="00307FDA"/>
    <w:rsid w:val="0031196F"/>
    <w:rsid w:val="00312B51"/>
    <w:rsid w:val="00312C39"/>
    <w:rsid w:val="00313A85"/>
    <w:rsid w:val="00314716"/>
    <w:rsid w:val="00316881"/>
    <w:rsid w:val="00317020"/>
    <w:rsid w:val="00317101"/>
    <w:rsid w:val="003172CB"/>
    <w:rsid w:val="00317643"/>
    <w:rsid w:val="00317F10"/>
    <w:rsid w:val="003217E1"/>
    <w:rsid w:val="003218C1"/>
    <w:rsid w:val="0032423A"/>
    <w:rsid w:val="003247E9"/>
    <w:rsid w:val="00330349"/>
    <w:rsid w:val="003303F9"/>
    <w:rsid w:val="00330A1E"/>
    <w:rsid w:val="00331E2B"/>
    <w:rsid w:val="003321DE"/>
    <w:rsid w:val="00333A73"/>
    <w:rsid w:val="00334700"/>
    <w:rsid w:val="0033497C"/>
    <w:rsid w:val="003352BA"/>
    <w:rsid w:val="00336151"/>
    <w:rsid w:val="003366C8"/>
    <w:rsid w:val="00336FE3"/>
    <w:rsid w:val="0033770B"/>
    <w:rsid w:val="0034072B"/>
    <w:rsid w:val="003412E9"/>
    <w:rsid w:val="003421EA"/>
    <w:rsid w:val="00342839"/>
    <w:rsid w:val="00343A44"/>
    <w:rsid w:val="003444DC"/>
    <w:rsid w:val="00350211"/>
    <w:rsid w:val="003518BF"/>
    <w:rsid w:val="00352DA1"/>
    <w:rsid w:val="0035392C"/>
    <w:rsid w:val="00354558"/>
    <w:rsid w:val="00363564"/>
    <w:rsid w:val="0036465D"/>
    <w:rsid w:val="003711D1"/>
    <w:rsid w:val="00372477"/>
    <w:rsid w:val="00372544"/>
    <w:rsid w:val="0037341B"/>
    <w:rsid w:val="00376B5F"/>
    <w:rsid w:val="00377AD9"/>
    <w:rsid w:val="00380288"/>
    <w:rsid w:val="003817A2"/>
    <w:rsid w:val="003845F8"/>
    <w:rsid w:val="00385359"/>
    <w:rsid w:val="00385468"/>
    <w:rsid w:val="00390CE7"/>
    <w:rsid w:val="00390DAE"/>
    <w:rsid w:val="00393C61"/>
    <w:rsid w:val="00393FF3"/>
    <w:rsid w:val="0039618C"/>
    <w:rsid w:val="0039633A"/>
    <w:rsid w:val="00396B90"/>
    <w:rsid w:val="003A0BC9"/>
    <w:rsid w:val="003A0D26"/>
    <w:rsid w:val="003A15B8"/>
    <w:rsid w:val="003A21CD"/>
    <w:rsid w:val="003A2A9E"/>
    <w:rsid w:val="003A40A7"/>
    <w:rsid w:val="003A55FF"/>
    <w:rsid w:val="003A5ADA"/>
    <w:rsid w:val="003A6511"/>
    <w:rsid w:val="003B28A5"/>
    <w:rsid w:val="003B340F"/>
    <w:rsid w:val="003B3F9A"/>
    <w:rsid w:val="003B57A1"/>
    <w:rsid w:val="003B661D"/>
    <w:rsid w:val="003B720D"/>
    <w:rsid w:val="003B74DD"/>
    <w:rsid w:val="003B760C"/>
    <w:rsid w:val="003C218A"/>
    <w:rsid w:val="003C4430"/>
    <w:rsid w:val="003C5F3E"/>
    <w:rsid w:val="003C7810"/>
    <w:rsid w:val="003D10DD"/>
    <w:rsid w:val="003D1C0C"/>
    <w:rsid w:val="003D3B16"/>
    <w:rsid w:val="003D60E0"/>
    <w:rsid w:val="003D709B"/>
    <w:rsid w:val="003D7463"/>
    <w:rsid w:val="003E0103"/>
    <w:rsid w:val="003E0A22"/>
    <w:rsid w:val="003E70BE"/>
    <w:rsid w:val="003E727F"/>
    <w:rsid w:val="003E7D3D"/>
    <w:rsid w:val="003F01DF"/>
    <w:rsid w:val="003F2C18"/>
    <w:rsid w:val="003F500D"/>
    <w:rsid w:val="003F6C0E"/>
    <w:rsid w:val="003F7E5A"/>
    <w:rsid w:val="00407C75"/>
    <w:rsid w:val="00411B14"/>
    <w:rsid w:val="00412C91"/>
    <w:rsid w:val="004132C5"/>
    <w:rsid w:val="00414064"/>
    <w:rsid w:val="00415DFF"/>
    <w:rsid w:val="00416254"/>
    <w:rsid w:val="00417745"/>
    <w:rsid w:val="00423CA6"/>
    <w:rsid w:val="00430454"/>
    <w:rsid w:val="004326A8"/>
    <w:rsid w:val="004328A4"/>
    <w:rsid w:val="00436B86"/>
    <w:rsid w:val="0043706A"/>
    <w:rsid w:val="004401B0"/>
    <w:rsid w:val="00441154"/>
    <w:rsid w:val="00441D90"/>
    <w:rsid w:val="00442224"/>
    <w:rsid w:val="004436FC"/>
    <w:rsid w:val="004444EE"/>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3546"/>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370C"/>
    <w:rsid w:val="004D4286"/>
    <w:rsid w:val="004D4733"/>
    <w:rsid w:val="004D4A55"/>
    <w:rsid w:val="004D4B45"/>
    <w:rsid w:val="004D6C3E"/>
    <w:rsid w:val="004D7B29"/>
    <w:rsid w:val="004E14DE"/>
    <w:rsid w:val="004E2562"/>
    <w:rsid w:val="004E2E2F"/>
    <w:rsid w:val="004E7CE8"/>
    <w:rsid w:val="004F1BEF"/>
    <w:rsid w:val="004F2430"/>
    <w:rsid w:val="004F2B91"/>
    <w:rsid w:val="004F3034"/>
    <w:rsid w:val="004F435E"/>
    <w:rsid w:val="004F6035"/>
    <w:rsid w:val="005038F2"/>
    <w:rsid w:val="00506D24"/>
    <w:rsid w:val="00507095"/>
    <w:rsid w:val="005077D2"/>
    <w:rsid w:val="005118F6"/>
    <w:rsid w:val="0051350A"/>
    <w:rsid w:val="00517604"/>
    <w:rsid w:val="00517DA5"/>
    <w:rsid w:val="00517FA4"/>
    <w:rsid w:val="00520C67"/>
    <w:rsid w:val="00522915"/>
    <w:rsid w:val="00525801"/>
    <w:rsid w:val="00530642"/>
    <w:rsid w:val="00530F51"/>
    <w:rsid w:val="00530F88"/>
    <w:rsid w:val="00532B1C"/>
    <w:rsid w:val="00532EB9"/>
    <w:rsid w:val="00533388"/>
    <w:rsid w:val="00534082"/>
    <w:rsid w:val="00534E1F"/>
    <w:rsid w:val="00537269"/>
    <w:rsid w:val="005412CE"/>
    <w:rsid w:val="005443C8"/>
    <w:rsid w:val="0054660D"/>
    <w:rsid w:val="0054683B"/>
    <w:rsid w:val="00550C62"/>
    <w:rsid w:val="00552527"/>
    <w:rsid w:val="005558E1"/>
    <w:rsid w:val="005564A4"/>
    <w:rsid w:val="0055674C"/>
    <w:rsid w:val="005606CB"/>
    <w:rsid w:val="00563FD8"/>
    <w:rsid w:val="00564817"/>
    <w:rsid w:val="0056512E"/>
    <w:rsid w:val="0056561D"/>
    <w:rsid w:val="00570628"/>
    <w:rsid w:val="005706E9"/>
    <w:rsid w:val="00570849"/>
    <w:rsid w:val="0057158C"/>
    <w:rsid w:val="00576416"/>
    <w:rsid w:val="005778BD"/>
    <w:rsid w:val="00577C65"/>
    <w:rsid w:val="0058009D"/>
    <w:rsid w:val="00581121"/>
    <w:rsid w:val="00581603"/>
    <w:rsid w:val="005840B8"/>
    <w:rsid w:val="005867DF"/>
    <w:rsid w:val="005900D8"/>
    <w:rsid w:val="005916F1"/>
    <w:rsid w:val="00592081"/>
    <w:rsid w:val="00595B65"/>
    <w:rsid w:val="005A0348"/>
    <w:rsid w:val="005A1FA3"/>
    <w:rsid w:val="005A2625"/>
    <w:rsid w:val="005A27C0"/>
    <w:rsid w:val="005A2CAC"/>
    <w:rsid w:val="005A4691"/>
    <w:rsid w:val="005A74FF"/>
    <w:rsid w:val="005A79CA"/>
    <w:rsid w:val="005A7C67"/>
    <w:rsid w:val="005B194A"/>
    <w:rsid w:val="005B234E"/>
    <w:rsid w:val="005B3D8A"/>
    <w:rsid w:val="005B3EC2"/>
    <w:rsid w:val="005C1D68"/>
    <w:rsid w:val="005C472B"/>
    <w:rsid w:val="005C58FA"/>
    <w:rsid w:val="005C5F49"/>
    <w:rsid w:val="005C71BC"/>
    <w:rsid w:val="005D2629"/>
    <w:rsid w:val="005D367B"/>
    <w:rsid w:val="005D4A78"/>
    <w:rsid w:val="005D4D94"/>
    <w:rsid w:val="005D54F1"/>
    <w:rsid w:val="005D5820"/>
    <w:rsid w:val="005E03EB"/>
    <w:rsid w:val="005E3D07"/>
    <w:rsid w:val="005E6B49"/>
    <w:rsid w:val="005E7252"/>
    <w:rsid w:val="005E7AA8"/>
    <w:rsid w:val="005F02C2"/>
    <w:rsid w:val="005F50A3"/>
    <w:rsid w:val="005F70F7"/>
    <w:rsid w:val="005F797F"/>
    <w:rsid w:val="006046D3"/>
    <w:rsid w:val="00604B0B"/>
    <w:rsid w:val="00605E3B"/>
    <w:rsid w:val="006065E8"/>
    <w:rsid w:val="00607B4C"/>
    <w:rsid w:val="00610940"/>
    <w:rsid w:val="006155F0"/>
    <w:rsid w:val="00616766"/>
    <w:rsid w:val="00620386"/>
    <w:rsid w:val="006253B6"/>
    <w:rsid w:val="00625A15"/>
    <w:rsid w:val="00627BD8"/>
    <w:rsid w:val="0063178C"/>
    <w:rsid w:val="006349C4"/>
    <w:rsid w:val="00636177"/>
    <w:rsid w:val="006361D0"/>
    <w:rsid w:val="00636A8F"/>
    <w:rsid w:val="00637BE8"/>
    <w:rsid w:val="00637C90"/>
    <w:rsid w:val="00637D76"/>
    <w:rsid w:val="00640A07"/>
    <w:rsid w:val="0064271E"/>
    <w:rsid w:val="006431FF"/>
    <w:rsid w:val="0064333A"/>
    <w:rsid w:val="00644F89"/>
    <w:rsid w:val="0064588D"/>
    <w:rsid w:val="00647065"/>
    <w:rsid w:val="006553EC"/>
    <w:rsid w:val="00655674"/>
    <w:rsid w:val="00656027"/>
    <w:rsid w:val="00656482"/>
    <w:rsid w:val="00656746"/>
    <w:rsid w:val="006623D2"/>
    <w:rsid w:val="0066771E"/>
    <w:rsid w:val="0067005A"/>
    <w:rsid w:val="006706C6"/>
    <w:rsid w:val="00671CCF"/>
    <w:rsid w:val="00673308"/>
    <w:rsid w:val="00680130"/>
    <w:rsid w:val="006824E0"/>
    <w:rsid w:val="00682711"/>
    <w:rsid w:val="00684A68"/>
    <w:rsid w:val="00685883"/>
    <w:rsid w:val="00691C90"/>
    <w:rsid w:val="00692458"/>
    <w:rsid w:val="0069388D"/>
    <w:rsid w:val="006A0160"/>
    <w:rsid w:val="006A31AB"/>
    <w:rsid w:val="006A5215"/>
    <w:rsid w:val="006B18B2"/>
    <w:rsid w:val="006B3640"/>
    <w:rsid w:val="006B61AC"/>
    <w:rsid w:val="006B6C90"/>
    <w:rsid w:val="006B7CA7"/>
    <w:rsid w:val="006C1521"/>
    <w:rsid w:val="006C39B7"/>
    <w:rsid w:val="006C3C89"/>
    <w:rsid w:val="006C4E7E"/>
    <w:rsid w:val="006C7001"/>
    <w:rsid w:val="006C7362"/>
    <w:rsid w:val="006D11DF"/>
    <w:rsid w:val="006D2547"/>
    <w:rsid w:val="006D3EF5"/>
    <w:rsid w:val="006D47A7"/>
    <w:rsid w:val="006E0951"/>
    <w:rsid w:val="006E10A6"/>
    <w:rsid w:val="006E2FBF"/>
    <w:rsid w:val="006E4456"/>
    <w:rsid w:val="006E462E"/>
    <w:rsid w:val="006E5856"/>
    <w:rsid w:val="006E71A5"/>
    <w:rsid w:val="006E73F9"/>
    <w:rsid w:val="006F0585"/>
    <w:rsid w:val="006F2E60"/>
    <w:rsid w:val="006F47AA"/>
    <w:rsid w:val="006F73C8"/>
    <w:rsid w:val="006F7649"/>
    <w:rsid w:val="00700549"/>
    <w:rsid w:val="00700B1E"/>
    <w:rsid w:val="00700B46"/>
    <w:rsid w:val="00702088"/>
    <w:rsid w:val="00702564"/>
    <w:rsid w:val="00702AF7"/>
    <w:rsid w:val="007033DE"/>
    <w:rsid w:val="007036BD"/>
    <w:rsid w:val="00703CCF"/>
    <w:rsid w:val="00705460"/>
    <w:rsid w:val="00712F00"/>
    <w:rsid w:val="00721B04"/>
    <w:rsid w:val="00721E2A"/>
    <w:rsid w:val="00724D61"/>
    <w:rsid w:val="007277AF"/>
    <w:rsid w:val="00735CAA"/>
    <w:rsid w:val="0073719C"/>
    <w:rsid w:val="00737CD3"/>
    <w:rsid w:val="00742E09"/>
    <w:rsid w:val="00745452"/>
    <w:rsid w:val="00745956"/>
    <w:rsid w:val="00746818"/>
    <w:rsid w:val="00747FC4"/>
    <w:rsid w:val="00752457"/>
    <w:rsid w:val="007529F7"/>
    <w:rsid w:val="0075311C"/>
    <w:rsid w:val="0075415F"/>
    <w:rsid w:val="00754898"/>
    <w:rsid w:val="00754A51"/>
    <w:rsid w:val="00760169"/>
    <w:rsid w:val="007606B4"/>
    <w:rsid w:val="00760845"/>
    <w:rsid w:val="0076286A"/>
    <w:rsid w:val="007640E0"/>
    <w:rsid w:val="00766E67"/>
    <w:rsid w:val="007678AC"/>
    <w:rsid w:val="00770769"/>
    <w:rsid w:val="0077225F"/>
    <w:rsid w:val="007730A1"/>
    <w:rsid w:val="00774042"/>
    <w:rsid w:val="007741B9"/>
    <w:rsid w:val="00774FDE"/>
    <w:rsid w:val="00775D89"/>
    <w:rsid w:val="00777EE3"/>
    <w:rsid w:val="007812CF"/>
    <w:rsid w:val="00781D75"/>
    <w:rsid w:val="0078359D"/>
    <w:rsid w:val="0078367D"/>
    <w:rsid w:val="00784D38"/>
    <w:rsid w:val="00785234"/>
    <w:rsid w:val="00787B56"/>
    <w:rsid w:val="007910F5"/>
    <w:rsid w:val="00794435"/>
    <w:rsid w:val="00794ACF"/>
    <w:rsid w:val="00797BC3"/>
    <w:rsid w:val="007A0FFA"/>
    <w:rsid w:val="007A1603"/>
    <w:rsid w:val="007A682A"/>
    <w:rsid w:val="007A7F29"/>
    <w:rsid w:val="007B03DA"/>
    <w:rsid w:val="007B1672"/>
    <w:rsid w:val="007B3138"/>
    <w:rsid w:val="007B39AB"/>
    <w:rsid w:val="007B40DC"/>
    <w:rsid w:val="007B6F78"/>
    <w:rsid w:val="007B75F4"/>
    <w:rsid w:val="007C10BA"/>
    <w:rsid w:val="007C2324"/>
    <w:rsid w:val="007C2806"/>
    <w:rsid w:val="007C5C1B"/>
    <w:rsid w:val="007D02EF"/>
    <w:rsid w:val="007D3448"/>
    <w:rsid w:val="007D49D5"/>
    <w:rsid w:val="007E04CD"/>
    <w:rsid w:val="007E3395"/>
    <w:rsid w:val="007E4E9A"/>
    <w:rsid w:val="007F010B"/>
    <w:rsid w:val="007F08E8"/>
    <w:rsid w:val="007F29F8"/>
    <w:rsid w:val="007F2D82"/>
    <w:rsid w:val="007F43F2"/>
    <w:rsid w:val="007F48B2"/>
    <w:rsid w:val="007F4EF0"/>
    <w:rsid w:val="007F5CFF"/>
    <w:rsid w:val="0081013E"/>
    <w:rsid w:val="008113B4"/>
    <w:rsid w:val="008114F0"/>
    <w:rsid w:val="00814D74"/>
    <w:rsid w:val="00814DE5"/>
    <w:rsid w:val="00820942"/>
    <w:rsid w:val="00820B8A"/>
    <w:rsid w:val="00823A18"/>
    <w:rsid w:val="008248D1"/>
    <w:rsid w:val="0082586A"/>
    <w:rsid w:val="008261B4"/>
    <w:rsid w:val="00827EDE"/>
    <w:rsid w:val="008358B4"/>
    <w:rsid w:val="0084145A"/>
    <w:rsid w:val="00842EF4"/>
    <w:rsid w:val="008449CA"/>
    <w:rsid w:val="00845AA0"/>
    <w:rsid w:val="008510FF"/>
    <w:rsid w:val="008530BE"/>
    <w:rsid w:val="008540FA"/>
    <w:rsid w:val="008606A0"/>
    <w:rsid w:val="00861E1B"/>
    <w:rsid w:val="00863446"/>
    <w:rsid w:val="00863E4E"/>
    <w:rsid w:val="00867895"/>
    <w:rsid w:val="0087159B"/>
    <w:rsid w:val="00872C46"/>
    <w:rsid w:val="00875FE9"/>
    <w:rsid w:val="0087684F"/>
    <w:rsid w:val="00876CAC"/>
    <w:rsid w:val="0088222D"/>
    <w:rsid w:val="00885A76"/>
    <w:rsid w:val="00886079"/>
    <w:rsid w:val="00891F34"/>
    <w:rsid w:val="00895C04"/>
    <w:rsid w:val="008970B7"/>
    <w:rsid w:val="008A0530"/>
    <w:rsid w:val="008A1B21"/>
    <w:rsid w:val="008A3DD8"/>
    <w:rsid w:val="008A3F85"/>
    <w:rsid w:val="008A4204"/>
    <w:rsid w:val="008A47BD"/>
    <w:rsid w:val="008A49C2"/>
    <w:rsid w:val="008A51E8"/>
    <w:rsid w:val="008A570F"/>
    <w:rsid w:val="008A73CA"/>
    <w:rsid w:val="008B0AC9"/>
    <w:rsid w:val="008B0F37"/>
    <w:rsid w:val="008B541D"/>
    <w:rsid w:val="008B55D2"/>
    <w:rsid w:val="008B578F"/>
    <w:rsid w:val="008B5C21"/>
    <w:rsid w:val="008B791D"/>
    <w:rsid w:val="008C1C7C"/>
    <w:rsid w:val="008C1F3D"/>
    <w:rsid w:val="008C208A"/>
    <w:rsid w:val="008C2AFE"/>
    <w:rsid w:val="008D0538"/>
    <w:rsid w:val="008D0D9A"/>
    <w:rsid w:val="008D2CA8"/>
    <w:rsid w:val="008D4AA6"/>
    <w:rsid w:val="008E0CD4"/>
    <w:rsid w:val="008E2267"/>
    <w:rsid w:val="008E5E62"/>
    <w:rsid w:val="008F0F03"/>
    <w:rsid w:val="008F1341"/>
    <w:rsid w:val="008F2CF5"/>
    <w:rsid w:val="008F3034"/>
    <w:rsid w:val="008F3194"/>
    <w:rsid w:val="008F473E"/>
    <w:rsid w:val="008F5E84"/>
    <w:rsid w:val="008F65FF"/>
    <w:rsid w:val="00901E01"/>
    <w:rsid w:val="00904BC8"/>
    <w:rsid w:val="00906D5B"/>
    <w:rsid w:val="00907133"/>
    <w:rsid w:val="009071E8"/>
    <w:rsid w:val="009118F6"/>
    <w:rsid w:val="00911EB8"/>
    <w:rsid w:val="00912168"/>
    <w:rsid w:val="009139C7"/>
    <w:rsid w:val="00913CAC"/>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12D2"/>
    <w:rsid w:val="00932D30"/>
    <w:rsid w:val="00933BFA"/>
    <w:rsid w:val="009362AE"/>
    <w:rsid w:val="009369C2"/>
    <w:rsid w:val="00936C28"/>
    <w:rsid w:val="00936DC9"/>
    <w:rsid w:val="00936E45"/>
    <w:rsid w:val="00936F4C"/>
    <w:rsid w:val="0093796A"/>
    <w:rsid w:val="00940816"/>
    <w:rsid w:val="00942585"/>
    <w:rsid w:val="0094333E"/>
    <w:rsid w:val="00943576"/>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F8D"/>
    <w:rsid w:val="00975A13"/>
    <w:rsid w:val="00977BFB"/>
    <w:rsid w:val="0098104B"/>
    <w:rsid w:val="00982385"/>
    <w:rsid w:val="00982810"/>
    <w:rsid w:val="009903CC"/>
    <w:rsid w:val="00995B1B"/>
    <w:rsid w:val="009A1396"/>
    <w:rsid w:val="009A2981"/>
    <w:rsid w:val="009A336D"/>
    <w:rsid w:val="009A5010"/>
    <w:rsid w:val="009A63B5"/>
    <w:rsid w:val="009A7037"/>
    <w:rsid w:val="009C11CF"/>
    <w:rsid w:val="009C13FA"/>
    <w:rsid w:val="009C2AED"/>
    <w:rsid w:val="009C3490"/>
    <w:rsid w:val="009C3BB0"/>
    <w:rsid w:val="009C72D3"/>
    <w:rsid w:val="009D1FC0"/>
    <w:rsid w:val="009D2863"/>
    <w:rsid w:val="009D4238"/>
    <w:rsid w:val="009D493B"/>
    <w:rsid w:val="009D5E09"/>
    <w:rsid w:val="009D5EE5"/>
    <w:rsid w:val="009D5F1E"/>
    <w:rsid w:val="009D7580"/>
    <w:rsid w:val="009E00C4"/>
    <w:rsid w:val="009E0C7A"/>
    <w:rsid w:val="009E0E38"/>
    <w:rsid w:val="009E167D"/>
    <w:rsid w:val="009E31CD"/>
    <w:rsid w:val="009E53F4"/>
    <w:rsid w:val="009E59FA"/>
    <w:rsid w:val="009F72C8"/>
    <w:rsid w:val="00A006D5"/>
    <w:rsid w:val="00A01509"/>
    <w:rsid w:val="00A02651"/>
    <w:rsid w:val="00A0337B"/>
    <w:rsid w:val="00A035E4"/>
    <w:rsid w:val="00A03809"/>
    <w:rsid w:val="00A0459A"/>
    <w:rsid w:val="00A07460"/>
    <w:rsid w:val="00A07C43"/>
    <w:rsid w:val="00A116EA"/>
    <w:rsid w:val="00A11739"/>
    <w:rsid w:val="00A14311"/>
    <w:rsid w:val="00A1579B"/>
    <w:rsid w:val="00A20CEA"/>
    <w:rsid w:val="00A22C29"/>
    <w:rsid w:val="00A24C42"/>
    <w:rsid w:val="00A2629A"/>
    <w:rsid w:val="00A26F1E"/>
    <w:rsid w:val="00A272D4"/>
    <w:rsid w:val="00A2737A"/>
    <w:rsid w:val="00A27B32"/>
    <w:rsid w:val="00A303C6"/>
    <w:rsid w:val="00A32873"/>
    <w:rsid w:val="00A32B6F"/>
    <w:rsid w:val="00A333F2"/>
    <w:rsid w:val="00A33F5C"/>
    <w:rsid w:val="00A34EAB"/>
    <w:rsid w:val="00A37AC8"/>
    <w:rsid w:val="00A41E01"/>
    <w:rsid w:val="00A435C8"/>
    <w:rsid w:val="00A45D6C"/>
    <w:rsid w:val="00A470E3"/>
    <w:rsid w:val="00A47387"/>
    <w:rsid w:val="00A5627B"/>
    <w:rsid w:val="00A60D5D"/>
    <w:rsid w:val="00A60EED"/>
    <w:rsid w:val="00A6232E"/>
    <w:rsid w:val="00A64430"/>
    <w:rsid w:val="00A65C0A"/>
    <w:rsid w:val="00A66A96"/>
    <w:rsid w:val="00A7010E"/>
    <w:rsid w:val="00A721C0"/>
    <w:rsid w:val="00A7294C"/>
    <w:rsid w:val="00A731B8"/>
    <w:rsid w:val="00A7517C"/>
    <w:rsid w:val="00A774B1"/>
    <w:rsid w:val="00A816AF"/>
    <w:rsid w:val="00A84013"/>
    <w:rsid w:val="00A84E3E"/>
    <w:rsid w:val="00A856B1"/>
    <w:rsid w:val="00A875F3"/>
    <w:rsid w:val="00A9080B"/>
    <w:rsid w:val="00A90E16"/>
    <w:rsid w:val="00A94E61"/>
    <w:rsid w:val="00A957B0"/>
    <w:rsid w:val="00A96564"/>
    <w:rsid w:val="00A96CD8"/>
    <w:rsid w:val="00A97790"/>
    <w:rsid w:val="00A979FD"/>
    <w:rsid w:val="00AA15EB"/>
    <w:rsid w:val="00AA2D7A"/>
    <w:rsid w:val="00AA2E86"/>
    <w:rsid w:val="00AA3549"/>
    <w:rsid w:val="00AA5307"/>
    <w:rsid w:val="00AA7109"/>
    <w:rsid w:val="00AB3BAC"/>
    <w:rsid w:val="00AB4AD3"/>
    <w:rsid w:val="00AC0797"/>
    <w:rsid w:val="00AC53AF"/>
    <w:rsid w:val="00AD213C"/>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D87"/>
    <w:rsid w:val="00B03FFF"/>
    <w:rsid w:val="00B0502D"/>
    <w:rsid w:val="00B058EF"/>
    <w:rsid w:val="00B07F75"/>
    <w:rsid w:val="00B10AB7"/>
    <w:rsid w:val="00B1151B"/>
    <w:rsid w:val="00B170A2"/>
    <w:rsid w:val="00B1739D"/>
    <w:rsid w:val="00B17F72"/>
    <w:rsid w:val="00B203FF"/>
    <w:rsid w:val="00B21F33"/>
    <w:rsid w:val="00B22277"/>
    <w:rsid w:val="00B22944"/>
    <w:rsid w:val="00B2758D"/>
    <w:rsid w:val="00B30482"/>
    <w:rsid w:val="00B31526"/>
    <w:rsid w:val="00B3226B"/>
    <w:rsid w:val="00B326A7"/>
    <w:rsid w:val="00B33322"/>
    <w:rsid w:val="00B33F30"/>
    <w:rsid w:val="00B33FA0"/>
    <w:rsid w:val="00B34124"/>
    <w:rsid w:val="00B3418C"/>
    <w:rsid w:val="00B34980"/>
    <w:rsid w:val="00B35142"/>
    <w:rsid w:val="00B365E4"/>
    <w:rsid w:val="00B36C89"/>
    <w:rsid w:val="00B41CEE"/>
    <w:rsid w:val="00B420B6"/>
    <w:rsid w:val="00B450AD"/>
    <w:rsid w:val="00B47F44"/>
    <w:rsid w:val="00B500E8"/>
    <w:rsid w:val="00B52163"/>
    <w:rsid w:val="00B55EF6"/>
    <w:rsid w:val="00B61582"/>
    <w:rsid w:val="00B6217E"/>
    <w:rsid w:val="00B625F2"/>
    <w:rsid w:val="00B627C5"/>
    <w:rsid w:val="00B62D7D"/>
    <w:rsid w:val="00B64367"/>
    <w:rsid w:val="00B64C8C"/>
    <w:rsid w:val="00B65F91"/>
    <w:rsid w:val="00B66BF5"/>
    <w:rsid w:val="00B6769D"/>
    <w:rsid w:val="00B6772A"/>
    <w:rsid w:val="00B67DC5"/>
    <w:rsid w:val="00B73E68"/>
    <w:rsid w:val="00B83559"/>
    <w:rsid w:val="00B853F1"/>
    <w:rsid w:val="00B86A43"/>
    <w:rsid w:val="00B91976"/>
    <w:rsid w:val="00B92CED"/>
    <w:rsid w:val="00B94117"/>
    <w:rsid w:val="00B96104"/>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365"/>
    <w:rsid w:val="00BD44A9"/>
    <w:rsid w:val="00BD6D69"/>
    <w:rsid w:val="00BE1539"/>
    <w:rsid w:val="00BE4EDA"/>
    <w:rsid w:val="00BF27FA"/>
    <w:rsid w:val="00BF35EB"/>
    <w:rsid w:val="00BF36A0"/>
    <w:rsid w:val="00BF3884"/>
    <w:rsid w:val="00BF52DE"/>
    <w:rsid w:val="00BF6116"/>
    <w:rsid w:val="00C00318"/>
    <w:rsid w:val="00C01BE9"/>
    <w:rsid w:val="00C03265"/>
    <w:rsid w:val="00C034D3"/>
    <w:rsid w:val="00C049CA"/>
    <w:rsid w:val="00C055ED"/>
    <w:rsid w:val="00C07276"/>
    <w:rsid w:val="00C11030"/>
    <w:rsid w:val="00C111B1"/>
    <w:rsid w:val="00C11E48"/>
    <w:rsid w:val="00C12554"/>
    <w:rsid w:val="00C15F4D"/>
    <w:rsid w:val="00C164B6"/>
    <w:rsid w:val="00C202F8"/>
    <w:rsid w:val="00C20D92"/>
    <w:rsid w:val="00C221C1"/>
    <w:rsid w:val="00C24670"/>
    <w:rsid w:val="00C247EA"/>
    <w:rsid w:val="00C25557"/>
    <w:rsid w:val="00C32FD3"/>
    <w:rsid w:val="00C3347F"/>
    <w:rsid w:val="00C338D7"/>
    <w:rsid w:val="00C33B14"/>
    <w:rsid w:val="00C34F92"/>
    <w:rsid w:val="00C36B93"/>
    <w:rsid w:val="00C36F3E"/>
    <w:rsid w:val="00C37A4C"/>
    <w:rsid w:val="00C40538"/>
    <w:rsid w:val="00C43EF4"/>
    <w:rsid w:val="00C45AA0"/>
    <w:rsid w:val="00C4612C"/>
    <w:rsid w:val="00C47732"/>
    <w:rsid w:val="00C50963"/>
    <w:rsid w:val="00C50BD6"/>
    <w:rsid w:val="00C50FA2"/>
    <w:rsid w:val="00C51E26"/>
    <w:rsid w:val="00C54D16"/>
    <w:rsid w:val="00C55135"/>
    <w:rsid w:val="00C569D7"/>
    <w:rsid w:val="00C57A55"/>
    <w:rsid w:val="00C6292F"/>
    <w:rsid w:val="00C62A0C"/>
    <w:rsid w:val="00C62E3F"/>
    <w:rsid w:val="00C635E2"/>
    <w:rsid w:val="00C704CF"/>
    <w:rsid w:val="00C708BB"/>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96B02"/>
    <w:rsid w:val="00CA0192"/>
    <w:rsid w:val="00CA43F1"/>
    <w:rsid w:val="00CA4FDE"/>
    <w:rsid w:val="00CA70E7"/>
    <w:rsid w:val="00CB228A"/>
    <w:rsid w:val="00CB2E17"/>
    <w:rsid w:val="00CB3056"/>
    <w:rsid w:val="00CB3987"/>
    <w:rsid w:val="00CB7E08"/>
    <w:rsid w:val="00CC4F4F"/>
    <w:rsid w:val="00CC5AD8"/>
    <w:rsid w:val="00CD434F"/>
    <w:rsid w:val="00CE1D90"/>
    <w:rsid w:val="00CE2446"/>
    <w:rsid w:val="00CE30BE"/>
    <w:rsid w:val="00CE5F47"/>
    <w:rsid w:val="00CE6986"/>
    <w:rsid w:val="00CE78F5"/>
    <w:rsid w:val="00CF24D4"/>
    <w:rsid w:val="00CF3925"/>
    <w:rsid w:val="00CF6C1F"/>
    <w:rsid w:val="00D01536"/>
    <w:rsid w:val="00D027B9"/>
    <w:rsid w:val="00D0489B"/>
    <w:rsid w:val="00D052B4"/>
    <w:rsid w:val="00D07A8B"/>
    <w:rsid w:val="00D10F72"/>
    <w:rsid w:val="00D17891"/>
    <w:rsid w:val="00D206E0"/>
    <w:rsid w:val="00D223CA"/>
    <w:rsid w:val="00D228B8"/>
    <w:rsid w:val="00D2313A"/>
    <w:rsid w:val="00D25E0F"/>
    <w:rsid w:val="00D26228"/>
    <w:rsid w:val="00D27637"/>
    <w:rsid w:val="00D30343"/>
    <w:rsid w:val="00D307D8"/>
    <w:rsid w:val="00D32ABE"/>
    <w:rsid w:val="00D3635A"/>
    <w:rsid w:val="00D36920"/>
    <w:rsid w:val="00D36B09"/>
    <w:rsid w:val="00D36F03"/>
    <w:rsid w:val="00D41612"/>
    <w:rsid w:val="00D434D3"/>
    <w:rsid w:val="00D4358F"/>
    <w:rsid w:val="00D443D7"/>
    <w:rsid w:val="00D5188B"/>
    <w:rsid w:val="00D520E7"/>
    <w:rsid w:val="00D53C66"/>
    <w:rsid w:val="00D550DA"/>
    <w:rsid w:val="00D56DA0"/>
    <w:rsid w:val="00D62793"/>
    <w:rsid w:val="00D627BE"/>
    <w:rsid w:val="00D638FB"/>
    <w:rsid w:val="00D6578B"/>
    <w:rsid w:val="00D65905"/>
    <w:rsid w:val="00D67E6B"/>
    <w:rsid w:val="00D70FFA"/>
    <w:rsid w:val="00D71B35"/>
    <w:rsid w:val="00D74AF8"/>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79D"/>
    <w:rsid w:val="00DA60A4"/>
    <w:rsid w:val="00DA710A"/>
    <w:rsid w:val="00DB0295"/>
    <w:rsid w:val="00DB207B"/>
    <w:rsid w:val="00DB3285"/>
    <w:rsid w:val="00DB5138"/>
    <w:rsid w:val="00DB6108"/>
    <w:rsid w:val="00DB6A51"/>
    <w:rsid w:val="00DC008F"/>
    <w:rsid w:val="00DC6AD4"/>
    <w:rsid w:val="00DD4464"/>
    <w:rsid w:val="00DD6074"/>
    <w:rsid w:val="00DD693A"/>
    <w:rsid w:val="00DE125D"/>
    <w:rsid w:val="00DE18BD"/>
    <w:rsid w:val="00DE5620"/>
    <w:rsid w:val="00DE5C6B"/>
    <w:rsid w:val="00DE6056"/>
    <w:rsid w:val="00DE6090"/>
    <w:rsid w:val="00DF1CBC"/>
    <w:rsid w:val="00DF3EFE"/>
    <w:rsid w:val="00DF5500"/>
    <w:rsid w:val="00DF5BB2"/>
    <w:rsid w:val="00E02685"/>
    <w:rsid w:val="00E04494"/>
    <w:rsid w:val="00E0642F"/>
    <w:rsid w:val="00E15854"/>
    <w:rsid w:val="00E17DC5"/>
    <w:rsid w:val="00E21634"/>
    <w:rsid w:val="00E25BA6"/>
    <w:rsid w:val="00E27141"/>
    <w:rsid w:val="00E272E4"/>
    <w:rsid w:val="00E31382"/>
    <w:rsid w:val="00E31596"/>
    <w:rsid w:val="00E3510F"/>
    <w:rsid w:val="00E3663A"/>
    <w:rsid w:val="00E367AD"/>
    <w:rsid w:val="00E37229"/>
    <w:rsid w:val="00E3733D"/>
    <w:rsid w:val="00E40792"/>
    <w:rsid w:val="00E410F0"/>
    <w:rsid w:val="00E41BFA"/>
    <w:rsid w:val="00E43DCB"/>
    <w:rsid w:val="00E45226"/>
    <w:rsid w:val="00E45436"/>
    <w:rsid w:val="00E47EAF"/>
    <w:rsid w:val="00E55664"/>
    <w:rsid w:val="00E563D9"/>
    <w:rsid w:val="00E56F2D"/>
    <w:rsid w:val="00E5710E"/>
    <w:rsid w:val="00E57EE3"/>
    <w:rsid w:val="00E62F08"/>
    <w:rsid w:val="00E635F3"/>
    <w:rsid w:val="00E63F4F"/>
    <w:rsid w:val="00E644F1"/>
    <w:rsid w:val="00E64DA3"/>
    <w:rsid w:val="00E679F9"/>
    <w:rsid w:val="00E710F2"/>
    <w:rsid w:val="00E72731"/>
    <w:rsid w:val="00E72859"/>
    <w:rsid w:val="00E73A87"/>
    <w:rsid w:val="00E76C52"/>
    <w:rsid w:val="00E80B1C"/>
    <w:rsid w:val="00E870E4"/>
    <w:rsid w:val="00E8796B"/>
    <w:rsid w:val="00E90C07"/>
    <w:rsid w:val="00E92728"/>
    <w:rsid w:val="00E93F27"/>
    <w:rsid w:val="00E94350"/>
    <w:rsid w:val="00E97B77"/>
    <w:rsid w:val="00EA060C"/>
    <w:rsid w:val="00EA4041"/>
    <w:rsid w:val="00EA4C6B"/>
    <w:rsid w:val="00EA6C38"/>
    <w:rsid w:val="00EA7109"/>
    <w:rsid w:val="00EB103A"/>
    <w:rsid w:val="00EB256E"/>
    <w:rsid w:val="00EB26B6"/>
    <w:rsid w:val="00EB44CD"/>
    <w:rsid w:val="00EB5CBE"/>
    <w:rsid w:val="00EB5F30"/>
    <w:rsid w:val="00EB70EE"/>
    <w:rsid w:val="00EB7896"/>
    <w:rsid w:val="00EC0190"/>
    <w:rsid w:val="00EC3146"/>
    <w:rsid w:val="00EC31A3"/>
    <w:rsid w:val="00EC4BB0"/>
    <w:rsid w:val="00EC4C64"/>
    <w:rsid w:val="00EC7202"/>
    <w:rsid w:val="00ED2843"/>
    <w:rsid w:val="00ED2DE6"/>
    <w:rsid w:val="00ED4AAB"/>
    <w:rsid w:val="00ED6218"/>
    <w:rsid w:val="00EE285A"/>
    <w:rsid w:val="00EE3372"/>
    <w:rsid w:val="00EE5549"/>
    <w:rsid w:val="00EE5A45"/>
    <w:rsid w:val="00EE6064"/>
    <w:rsid w:val="00EE6F7A"/>
    <w:rsid w:val="00EF1F94"/>
    <w:rsid w:val="00EF273A"/>
    <w:rsid w:val="00EF31FD"/>
    <w:rsid w:val="00EF32EB"/>
    <w:rsid w:val="00EF46D9"/>
    <w:rsid w:val="00EF6148"/>
    <w:rsid w:val="00EF7E3E"/>
    <w:rsid w:val="00F03A6B"/>
    <w:rsid w:val="00F04EE6"/>
    <w:rsid w:val="00F04F4D"/>
    <w:rsid w:val="00F056BA"/>
    <w:rsid w:val="00F05B0A"/>
    <w:rsid w:val="00F071B9"/>
    <w:rsid w:val="00F07604"/>
    <w:rsid w:val="00F109DA"/>
    <w:rsid w:val="00F122F6"/>
    <w:rsid w:val="00F14625"/>
    <w:rsid w:val="00F14C32"/>
    <w:rsid w:val="00F15189"/>
    <w:rsid w:val="00F1540A"/>
    <w:rsid w:val="00F1598A"/>
    <w:rsid w:val="00F20F66"/>
    <w:rsid w:val="00F21E51"/>
    <w:rsid w:val="00F25056"/>
    <w:rsid w:val="00F26716"/>
    <w:rsid w:val="00F26C97"/>
    <w:rsid w:val="00F30FA6"/>
    <w:rsid w:val="00F3287A"/>
    <w:rsid w:val="00F3496A"/>
    <w:rsid w:val="00F34BCF"/>
    <w:rsid w:val="00F351DC"/>
    <w:rsid w:val="00F3576A"/>
    <w:rsid w:val="00F35EB0"/>
    <w:rsid w:val="00F373D8"/>
    <w:rsid w:val="00F41308"/>
    <w:rsid w:val="00F41387"/>
    <w:rsid w:val="00F4308C"/>
    <w:rsid w:val="00F43818"/>
    <w:rsid w:val="00F43B50"/>
    <w:rsid w:val="00F44AAE"/>
    <w:rsid w:val="00F44B4E"/>
    <w:rsid w:val="00F4545C"/>
    <w:rsid w:val="00F46153"/>
    <w:rsid w:val="00F47B0E"/>
    <w:rsid w:val="00F509D3"/>
    <w:rsid w:val="00F53EE8"/>
    <w:rsid w:val="00F545A8"/>
    <w:rsid w:val="00F5475F"/>
    <w:rsid w:val="00F54857"/>
    <w:rsid w:val="00F5666F"/>
    <w:rsid w:val="00F56E41"/>
    <w:rsid w:val="00F571EC"/>
    <w:rsid w:val="00F57ABE"/>
    <w:rsid w:val="00F622D7"/>
    <w:rsid w:val="00F658A9"/>
    <w:rsid w:val="00F67A08"/>
    <w:rsid w:val="00F71652"/>
    <w:rsid w:val="00F74407"/>
    <w:rsid w:val="00F764BE"/>
    <w:rsid w:val="00F77117"/>
    <w:rsid w:val="00F826D8"/>
    <w:rsid w:val="00F84AF1"/>
    <w:rsid w:val="00F86E9A"/>
    <w:rsid w:val="00F879C4"/>
    <w:rsid w:val="00F87D53"/>
    <w:rsid w:val="00F87F9B"/>
    <w:rsid w:val="00F9196B"/>
    <w:rsid w:val="00F94052"/>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5502"/>
    <w:rsid w:val="00FB7092"/>
    <w:rsid w:val="00FC1860"/>
    <w:rsid w:val="00FC1B7F"/>
    <w:rsid w:val="00FC1F3B"/>
    <w:rsid w:val="00FC4A8E"/>
    <w:rsid w:val="00FC5688"/>
    <w:rsid w:val="00FD13BC"/>
    <w:rsid w:val="00FD3169"/>
    <w:rsid w:val="00FD32FC"/>
    <w:rsid w:val="00FD4961"/>
    <w:rsid w:val="00FD7976"/>
    <w:rsid w:val="00FE0686"/>
    <w:rsid w:val="00FE497F"/>
    <w:rsid w:val="00FE70A6"/>
    <w:rsid w:val="00FE7FF1"/>
    <w:rsid w:val="00FF0FE9"/>
    <w:rsid w:val="00FF124A"/>
    <w:rsid w:val="00FF248A"/>
    <w:rsid w:val="00FF3F96"/>
    <w:rsid w:val="00FF55B2"/>
    <w:rsid w:val="00FF674A"/>
    <w:rsid w:val="00FF680D"/>
    <w:rsid w:val="02DBEE83"/>
    <w:rsid w:val="032DD1D7"/>
    <w:rsid w:val="0D1E55E1"/>
    <w:rsid w:val="12A6B607"/>
    <w:rsid w:val="1604664F"/>
    <w:rsid w:val="2049BD3E"/>
    <w:rsid w:val="2898ABFC"/>
    <w:rsid w:val="2C1FC818"/>
    <w:rsid w:val="33AD8BB2"/>
    <w:rsid w:val="3601FE04"/>
    <w:rsid w:val="38793FE1"/>
    <w:rsid w:val="3C8B68FE"/>
    <w:rsid w:val="3DCC7BEE"/>
    <w:rsid w:val="3E3CB766"/>
    <w:rsid w:val="42C720B3"/>
    <w:rsid w:val="42D7DA22"/>
    <w:rsid w:val="506881FD"/>
    <w:rsid w:val="5398EA42"/>
    <w:rsid w:val="53D9ED10"/>
    <w:rsid w:val="569D1100"/>
    <w:rsid w:val="56A080F5"/>
    <w:rsid w:val="5EC479A5"/>
    <w:rsid w:val="5EC5E4D7"/>
    <w:rsid w:val="60FE4C0E"/>
    <w:rsid w:val="7094723B"/>
    <w:rsid w:val="76131259"/>
    <w:rsid w:val="7DA4DC8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1519C441"/>
  <w15:docId w15:val="{2301C2EA-02F1-4111-BFF7-7BDC9EB8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C36B93"/>
    <w:pPr>
      <w:spacing w:before="120" w:after="240" w:line="276" w:lineRule="auto"/>
    </w:pPr>
  </w:style>
  <w:style w:type="paragraph" w:styleId="Heading1">
    <w:name w:val="heading 1"/>
    <w:aliases w:val="Heading 1 (Title)"/>
    <w:next w:val="Normal"/>
    <w:link w:val="Heading1Char"/>
    <w:uiPriority w:val="9"/>
    <w:rsid w:val="00A435C8"/>
    <w:pPr>
      <w:widowControl w:val="0"/>
      <w:spacing w:before="840" w:after="320" w:line="640" w:lineRule="atLeast"/>
      <w:ind w:right="2835"/>
      <w:outlineLvl w:val="0"/>
    </w:pPr>
    <w:rPr>
      <w:rFonts w:eastAsia="Times New Roman"/>
      <w:b/>
      <w:sz w:val="60"/>
      <w:szCs w:val="60"/>
      <w:lang w:eastAsia="en-US"/>
    </w:rPr>
  </w:style>
  <w:style w:type="paragraph" w:styleId="Heading2">
    <w:name w:val="heading 2"/>
    <w:aliases w:val="Section Heading"/>
    <w:next w:val="BodyCopy"/>
    <w:link w:val="Heading2Char"/>
    <w:unhideWhenUsed/>
    <w:qFormat/>
    <w:rsid w:val="0078367D"/>
    <w:pPr>
      <w:widowControl w:val="0"/>
      <w:shd w:val="clear" w:color="auto" w:fill="3D2262" w:themeFill="accent1"/>
      <w:spacing w:before="100" w:beforeAutospacing="1" w:line="460" w:lineRule="exact"/>
      <w:outlineLvl w:val="1"/>
    </w:pPr>
    <w:rPr>
      <w:rFonts w:eastAsia="Times New Roman"/>
      <w:b/>
      <w:color w:val="FFFFFF" w:themeColor="background1"/>
      <w:szCs w:val="80"/>
      <w:lang w:eastAsia="en-US"/>
    </w:rPr>
  </w:style>
  <w:style w:type="paragraph" w:styleId="Heading3">
    <w:name w:val="heading 3"/>
    <w:basedOn w:val="Heading2"/>
    <w:next w:val="BodyCopy"/>
    <w:link w:val="Heading3Char"/>
    <w:unhideWhenUsed/>
    <w:qFormat/>
    <w:rsid w:val="0078367D"/>
    <w:pPr>
      <w:shd w:val="clear" w:color="auto" w:fill="auto"/>
      <w:spacing w:after="160" w:line="360" w:lineRule="exact"/>
      <w:outlineLvl w:val="2"/>
    </w:pPr>
    <w:rPr>
      <w:bCs/>
      <w:iCs/>
      <w:color w:val="000000" w:themeColor="text1"/>
      <w:sz w:val="28"/>
      <w:szCs w:val="36"/>
    </w:rPr>
  </w:style>
  <w:style w:type="paragraph" w:styleId="Heading4">
    <w:name w:val="heading 4"/>
    <w:basedOn w:val="Heading3"/>
    <w:next w:val="BodyCopy"/>
    <w:link w:val="Heading4Char"/>
    <w:unhideWhenUsed/>
    <w:qFormat/>
    <w:locked/>
    <w:rsid w:val="0078367D"/>
    <w:pPr>
      <w:spacing w:line="300" w:lineRule="exact"/>
      <w:outlineLvl w:val="3"/>
    </w:pPr>
    <w:rPr>
      <w:bCs w:val="0"/>
      <w:iCs w:val="0"/>
      <w:color w:val="3D2262" w:themeColor="accent1"/>
      <w:sz w:val="24"/>
      <w:szCs w:val="32"/>
    </w:rPr>
  </w:style>
  <w:style w:type="paragraph" w:styleId="Heading5">
    <w:name w:val="heading 5"/>
    <w:basedOn w:val="Heading2"/>
    <w:next w:val="BodyCopy"/>
    <w:link w:val="Heading5Char"/>
    <w:unhideWhenUsed/>
    <w:qFormat/>
    <w:locked/>
    <w:rsid w:val="009A5010"/>
    <w:pPr>
      <w:spacing w:before="120" w:beforeAutospacing="0" w:after="240"/>
      <w:outlineLvl w:val="4"/>
    </w:p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Normal"/>
    <w:next w:val="Normal"/>
    <w:link w:val="Heading7Char"/>
    <w:semiHidden/>
    <w:unhideWhenUsed/>
    <w:locked/>
    <w:rsid w:val="00E0642F"/>
    <w:pPr>
      <w:keepNext/>
      <w:keepLines/>
      <w:spacing w:before="40" w:after="0"/>
      <w:outlineLvl w:val="6"/>
    </w:pPr>
    <w:rPr>
      <w:rFonts w:asciiTheme="majorHAnsi" w:eastAsiaTheme="majorEastAsia" w:hAnsiTheme="majorHAnsi" w:cstheme="majorBidi"/>
      <w:i/>
      <w:iCs/>
      <w:color w:val="1E1130" w:themeColor="accent1" w:themeShade="7F"/>
    </w:rPr>
  </w:style>
  <w:style w:type="paragraph" w:styleId="Heading8">
    <w:name w:val="heading 8"/>
    <w:basedOn w:val="Normal"/>
    <w:next w:val="Normal"/>
    <w:link w:val="Heading8Char"/>
    <w:semiHidden/>
    <w:unhideWhenUsed/>
    <w:qFormat/>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aliases w:val="Heading 1 (Title) Char"/>
    <w:basedOn w:val="DefaultParagraphFont"/>
    <w:link w:val="Heading1"/>
    <w:uiPriority w:val="9"/>
    <w:rsid w:val="00A435C8"/>
    <w:rPr>
      <w:rFonts w:eastAsia="Times New Roman"/>
      <w:b/>
      <w:sz w:val="60"/>
      <w:szCs w:val="60"/>
      <w:lang w:eastAsia="en-US"/>
    </w:rPr>
  </w:style>
  <w:style w:type="character" w:customStyle="1" w:styleId="Heading2Char">
    <w:name w:val="Heading 2 Char"/>
    <w:aliases w:val="Section Heading Char"/>
    <w:basedOn w:val="DefaultParagraphFont"/>
    <w:link w:val="Heading2"/>
    <w:rsid w:val="0078367D"/>
    <w:rPr>
      <w:rFonts w:eastAsia="Times New Roman"/>
      <w:b/>
      <w:color w:val="FFFFFF" w:themeColor="background1"/>
      <w:szCs w:val="80"/>
      <w:shd w:val="clear" w:color="auto" w:fill="3D2262" w:themeFill="accent1"/>
      <w:lang w:eastAsia="en-US"/>
    </w:rPr>
  </w:style>
  <w:style w:type="character" w:customStyle="1" w:styleId="Heading3Char">
    <w:name w:val="Heading 3 Char"/>
    <w:basedOn w:val="DefaultParagraphFont"/>
    <w:link w:val="Heading3"/>
    <w:rsid w:val="0078367D"/>
    <w:rPr>
      <w:rFonts w:eastAsia="Times New Roman"/>
      <w:b/>
      <w:bCs/>
      <w:iCs/>
      <w:sz w:val="28"/>
      <w:szCs w:val="36"/>
      <w:lang w:eastAsia="en-US"/>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E3663A"/>
    <w:pPr>
      <w:spacing w:before="0" w:after="0" w:line="280" w:lineRule="exact"/>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qFormat/>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78367D"/>
    <w:rPr>
      <w:rFonts w:eastAsia="Times New Roman"/>
      <w:b/>
      <w:color w:val="3D2262" w:themeColor="accent1"/>
      <w:szCs w:val="32"/>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91462B"/>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9A5010"/>
    <w:rPr>
      <w:rFonts w:eastAsia="Times New Roman"/>
      <w:b/>
      <w:color w:val="FFFFFF" w:themeColor="background1"/>
      <w:szCs w:val="80"/>
      <w:shd w:val="clear" w:color="auto" w:fill="3D2262" w:themeFill="accent1"/>
      <w:lang w:eastAsia="en-US"/>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qFormat/>
    <w:rsid w:val="009C72D3"/>
    <w:pPr>
      <w:numPr>
        <w:numId w:val="19"/>
      </w:numPr>
      <w:ind w:left="1134" w:hanging="1134"/>
    </w:pPr>
  </w:style>
  <w:style w:type="character" w:customStyle="1" w:styleId="Heading7Char">
    <w:name w:val="Heading 7 Char"/>
    <w:basedOn w:val="DefaultParagraphFont"/>
    <w:link w:val="Heading7"/>
    <w:semiHidden/>
    <w:rsid w:val="00C36B93"/>
    <w:rPr>
      <w:rFonts w:asciiTheme="majorHAnsi" w:eastAsiaTheme="majorEastAsia" w:hAnsiTheme="majorHAnsi" w:cstheme="majorBidi"/>
      <w:i/>
      <w:iCs/>
      <w:color w:val="1E1130" w:themeColor="accent1" w:themeShade="7F"/>
    </w:rPr>
  </w:style>
  <w:style w:type="character" w:customStyle="1" w:styleId="Heading8Char">
    <w:name w:val="Heading 8 Char"/>
    <w:basedOn w:val="DefaultParagraphFont"/>
    <w:link w:val="Heading8"/>
    <w:semiHidden/>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BA3E7C"/>
    <w:pPr>
      <w:spacing w:after="100"/>
      <w:ind w:left="240"/>
    </w:pPr>
  </w:style>
  <w:style w:type="paragraph" w:styleId="TOC3">
    <w:name w:val="toc 3"/>
    <w:aliases w:val="TOC 3 - Tables and Figures"/>
    <w:basedOn w:val="Normal"/>
    <w:next w:val="Normal"/>
    <w:autoRedefine/>
    <w:uiPriority w:val="39"/>
    <w:unhideWhenUsed/>
    <w:rsid w:val="00B94117"/>
    <w:pPr>
      <w:tabs>
        <w:tab w:val="left" w:pos="1134"/>
        <w:tab w:val="right" w:leader="dot" w:pos="10206"/>
      </w:tabs>
      <w:spacing w:after="100"/>
      <w:ind w:left="1134" w:hanging="1134"/>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customStyle="1" w:styleId="Default">
    <w:name w:val="Default"/>
    <w:rsid w:val="00E635F3"/>
    <w:pPr>
      <w:autoSpaceDE w:val="0"/>
      <w:autoSpaceDN w:val="0"/>
      <w:adjustRightInd w:val="0"/>
    </w:pPr>
    <w:rPr>
      <w:rFonts w:ascii="Times New Roman" w:eastAsia="Times New Roman" w:hAnsi="Times New Roman" w:cs="Times New Roman"/>
      <w:color w:val="000000"/>
    </w:rPr>
  </w:style>
  <w:style w:type="paragraph" w:styleId="ListParagraph">
    <w:name w:val="List Paragraph"/>
    <w:aliases w:val="Recommendation,List Paragraph1,List Paragraph11,L,Normal + Dash"/>
    <w:basedOn w:val="Normal"/>
    <w:link w:val="ListParagraphChar"/>
    <w:uiPriority w:val="34"/>
    <w:qFormat/>
    <w:locked/>
    <w:rsid w:val="00E635F3"/>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ListParagraphChar">
    <w:name w:val="List Paragraph Char"/>
    <w:aliases w:val="Recommendation Char,List Paragraph1 Char,List Paragraph11 Char,L Char,Normal + Dash Char"/>
    <w:link w:val="ListParagraph"/>
    <w:uiPriority w:val="34"/>
    <w:locked/>
    <w:rsid w:val="00E635F3"/>
    <w:rPr>
      <w:rFonts w:ascii="Calibri" w:eastAsia="Times New Roman" w:hAnsi="Calibri" w:cs="Times New Roman"/>
      <w:color w:val="auto"/>
      <w:szCs w:val="20"/>
      <w:lang w:eastAsia="en-US"/>
    </w:rPr>
  </w:style>
  <w:style w:type="paragraph" w:styleId="ListBullet">
    <w:name w:val="List Bullet"/>
    <w:basedOn w:val="Normal"/>
    <w:uiPriority w:val="99"/>
    <w:qFormat/>
    <w:rsid w:val="00B03D87"/>
    <w:pPr>
      <w:numPr>
        <w:numId w:val="30"/>
      </w:numPr>
      <w:spacing w:before="0" w:after="0" w:line="240" w:lineRule="auto"/>
      <w:ind w:left="426" w:hanging="426"/>
    </w:pPr>
    <w:rPr>
      <w:rFonts w:ascii="Calibri" w:eastAsia="Times New Roman" w:hAnsi="Calibri" w:cs="Times New Roman"/>
      <w:color w:val="auto"/>
      <w:szCs w:val="20"/>
      <w:lang w:eastAsia="en-US"/>
    </w:rPr>
  </w:style>
  <w:style w:type="paragraph" w:customStyle="1" w:styleId="EndNoteBibliography">
    <w:name w:val="EndNote Bibliography"/>
    <w:basedOn w:val="Normal"/>
    <w:link w:val="EndNoteBibliographyChar"/>
    <w:rsid w:val="00C569D7"/>
    <w:pPr>
      <w:spacing w:before="0" w:after="120" w:line="240" w:lineRule="auto"/>
      <w:jc w:val="both"/>
    </w:pPr>
    <w:rPr>
      <w:rFonts w:ascii="Calibri" w:eastAsia="Times New Roman" w:hAnsi="Calibri" w:cs="Calibri"/>
      <w:color w:val="auto"/>
      <w:sz w:val="22"/>
      <w:szCs w:val="20"/>
      <w:lang w:val="en-GB" w:eastAsia="en-GB"/>
    </w:rPr>
  </w:style>
  <w:style w:type="character" w:customStyle="1" w:styleId="EndNoteBibliographyChar">
    <w:name w:val="EndNote Bibliography Char"/>
    <w:basedOn w:val="DefaultParagraphFont"/>
    <w:link w:val="EndNoteBibliography"/>
    <w:rsid w:val="00C569D7"/>
    <w:rPr>
      <w:rFonts w:ascii="Calibri" w:eastAsia="Times New Roman" w:hAnsi="Calibri" w:cs="Calibri"/>
      <w:color w:val="auto"/>
      <w:sz w:val="22"/>
      <w:szCs w:val="20"/>
      <w:lang w:val="en-GB" w:eastAsia="en-GB"/>
    </w:rPr>
  </w:style>
  <w:style w:type="paragraph" w:customStyle="1" w:styleId="Bulletlevel1">
    <w:name w:val="Bullet level 1"/>
    <w:basedOn w:val="ListParagraph"/>
    <w:qFormat/>
    <w:rsid w:val="008B541D"/>
    <w:pPr>
      <w:numPr>
        <w:numId w:val="31"/>
      </w:numPr>
      <w:spacing w:after="120"/>
      <w:jc w:val="both"/>
    </w:pPr>
    <w:rPr>
      <w:rFonts w:asciiTheme="minorHAnsi" w:hAnsiTheme="minorHAnsi" w:cstheme="minorHAnsi"/>
      <w:sz w:val="22"/>
      <w:lang w:eastAsia="en-GB"/>
    </w:rPr>
  </w:style>
  <w:style w:type="paragraph" w:customStyle="1" w:styleId="Pa18">
    <w:name w:val="Pa18"/>
    <w:basedOn w:val="Default"/>
    <w:next w:val="Default"/>
    <w:uiPriority w:val="99"/>
    <w:rsid w:val="003711D1"/>
    <w:pPr>
      <w:spacing w:line="191" w:lineRule="atLeast"/>
    </w:pPr>
    <w:rPr>
      <w:rFonts w:ascii="Open Sans" w:eastAsia="Calibri" w:hAnsi="Open Sans"/>
      <w:color w:val="000000" w:themeColor="text1"/>
    </w:rPr>
  </w:style>
  <w:style w:type="character" w:customStyle="1" w:styleId="A13">
    <w:name w:val="A13"/>
    <w:uiPriority w:val="99"/>
    <w:rsid w:val="003711D1"/>
    <w:rPr>
      <w:rFonts w:ascii="IJTBWM+ZapfDingbatsITC" w:eastAsia="IJTBWM+ZapfDingbatsITC" w:cs="IJTBWM+ZapfDingbatsITC"/>
      <w:color w:val="000000"/>
      <w:sz w:val="10"/>
      <w:szCs w:val="10"/>
    </w:rPr>
  </w:style>
  <w:style w:type="character" w:customStyle="1" w:styleId="A14">
    <w:name w:val="A14"/>
    <w:uiPriority w:val="99"/>
    <w:rsid w:val="00943576"/>
    <w:rPr>
      <w:rFonts w:ascii="Open Sans" w:hAnsi="Open Sans" w:cs="Open Sans"/>
      <w:color w:val="000000"/>
      <w:sz w:val="11"/>
      <w:szCs w:val="11"/>
    </w:rPr>
  </w:style>
  <w:style w:type="paragraph" w:customStyle="1" w:styleId="Pa19">
    <w:name w:val="Pa19"/>
    <w:basedOn w:val="Default"/>
    <w:next w:val="Default"/>
    <w:uiPriority w:val="99"/>
    <w:rsid w:val="00943576"/>
    <w:pPr>
      <w:spacing w:line="191" w:lineRule="atLeast"/>
    </w:pPr>
    <w:rPr>
      <w:rFonts w:ascii="Open Sans SemiBold" w:eastAsia="Calibri" w:hAnsi="Open Sans SemiBold"/>
      <w:color w:val="000000" w:themeColor="text1"/>
    </w:rPr>
  </w:style>
  <w:style w:type="paragraph" w:customStyle="1" w:styleId="Pa20">
    <w:name w:val="Pa20"/>
    <w:basedOn w:val="Default"/>
    <w:next w:val="Default"/>
    <w:uiPriority w:val="99"/>
    <w:rsid w:val="00943576"/>
    <w:pPr>
      <w:spacing w:line="191" w:lineRule="atLeast"/>
    </w:pPr>
    <w:rPr>
      <w:rFonts w:ascii="Open Sans SemiBold" w:eastAsia="Calibri" w:hAnsi="Open Sans SemiBold"/>
      <w:color w:val="000000" w:themeColor="text1"/>
    </w:rPr>
  </w:style>
  <w:style w:type="paragraph" w:customStyle="1" w:styleId="Pa21">
    <w:name w:val="Pa21"/>
    <w:basedOn w:val="Default"/>
    <w:next w:val="Default"/>
    <w:uiPriority w:val="99"/>
    <w:rsid w:val="00943576"/>
    <w:pPr>
      <w:spacing w:line="191" w:lineRule="atLeast"/>
    </w:pPr>
    <w:rPr>
      <w:rFonts w:ascii="Open Sans SemiBold" w:eastAsia="Calibri" w:hAnsi="Open Sans SemiBold"/>
      <w:color w:val="000000" w:themeColor="text1"/>
    </w:rPr>
  </w:style>
  <w:style w:type="paragraph" w:styleId="NormalWeb">
    <w:name w:val="Normal (Web)"/>
    <w:basedOn w:val="Normal"/>
    <w:uiPriority w:val="99"/>
    <w:semiHidden/>
    <w:unhideWhenUsed/>
    <w:rsid w:val="00FE497F"/>
    <w:pPr>
      <w:spacing w:before="100" w:beforeAutospacing="1" w:after="100" w:afterAutospacing="1" w:line="240" w:lineRule="auto"/>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5905">
      <w:bodyDiv w:val="1"/>
      <w:marLeft w:val="0"/>
      <w:marRight w:val="0"/>
      <w:marTop w:val="0"/>
      <w:marBottom w:val="0"/>
      <w:divBdr>
        <w:top w:val="none" w:sz="0" w:space="0" w:color="auto"/>
        <w:left w:val="none" w:sz="0" w:space="0" w:color="auto"/>
        <w:bottom w:val="none" w:sz="0" w:space="0" w:color="auto"/>
        <w:right w:val="none" w:sz="0" w:space="0" w:color="auto"/>
      </w:divBdr>
    </w:div>
    <w:div w:id="565074347">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045369681">
      <w:bodyDiv w:val="1"/>
      <w:marLeft w:val="0"/>
      <w:marRight w:val="0"/>
      <w:marTop w:val="0"/>
      <w:marBottom w:val="0"/>
      <w:divBdr>
        <w:top w:val="none" w:sz="0" w:space="0" w:color="auto"/>
        <w:left w:val="none" w:sz="0" w:space="0" w:color="auto"/>
        <w:bottom w:val="none" w:sz="0" w:space="0" w:color="auto"/>
        <w:right w:val="none" w:sz="0" w:space="0" w:color="auto"/>
      </w:divBdr>
    </w:div>
    <w:div w:id="1167019460">
      <w:bodyDiv w:val="1"/>
      <w:marLeft w:val="0"/>
      <w:marRight w:val="0"/>
      <w:marTop w:val="0"/>
      <w:marBottom w:val="0"/>
      <w:divBdr>
        <w:top w:val="none" w:sz="0" w:space="0" w:color="auto"/>
        <w:left w:val="none" w:sz="0" w:space="0" w:color="auto"/>
        <w:bottom w:val="none" w:sz="0" w:space="0" w:color="auto"/>
        <w:right w:val="none" w:sz="0" w:space="0" w:color="auto"/>
      </w:divBdr>
    </w:div>
    <w:div w:id="1406805418">
      <w:bodyDiv w:val="1"/>
      <w:marLeft w:val="0"/>
      <w:marRight w:val="0"/>
      <w:marTop w:val="0"/>
      <w:marBottom w:val="0"/>
      <w:divBdr>
        <w:top w:val="none" w:sz="0" w:space="0" w:color="auto"/>
        <w:left w:val="none" w:sz="0" w:space="0" w:color="auto"/>
        <w:bottom w:val="none" w:sz="0" w:space="0" w:color="auto"/>
        <w:right w:val="none" w:sz="0" w:space="0" w:color="auto"/>
      </w:divBdr>
    </w:div>
    <w:div w:id="1426221585">
      <w:bodyDiv w:val="1"/>
      <w:marLeft w:val="0"/>
      <w:marRight w:val="0"/>
      <w:marTop w:val="0"/>
      <w:marBottom w:val="0"/>
      <w:divBdr>
        <w:top w:val="none" w:sz="0" w:space="0" w:color="auto"/>
        <w:left w:val="none" w:sz="0" w:space="0" w:color="auto"/>
        <w:bottom w:val="none" w:sz="0" w:space="0" w:color="auto"/>
        <w:right w:val="none" w:sz="0" w:space="0" w:color="auto"/>
      </w:divBdr>
    </w:div>
    <w:div w:id="1434396949">
      <w:bodyDiv w:val="1"/>
      <w:marLeft w:val="0"/>
      <w:marRight w:val="0"/>
      <w:marTop w:val="0"/>
      <w:marBottom w:val="0"/>
      <w:divBdr>
        <w:top w:val="none" w:sz="0" w:space="0" w:color="auto"/>
        <w:left w:val="none" w:sz="0" w:space="0" w:color="auto"/>
        <w:bottom w:val="none" w:sz="0" w:space="0" w:color="auto"/>
        <w:right w:val="none" w:sz="0" w:space="0" w:color="auto"/>
      </w:divBdr>
    </w:div>
    <w:div w:id="1473712270">
      <w:bodyDiv w:val="1"/>
      <w:marLeft w:val="0"/>
      <w:marRight w:val="0"/>
      <w:marTop w:val="0"/>
      <w:marBottom w:val="0"/>
      <w:divBdr>
        <w:top w:val="none" w:sz="0" w:space="0" w:color="auto"/>
        <w:left w:val="none" w:sz="0" w:space="0" w:color="auto"/>
        <w:bottom w:val="none" w:sz="0" w:space="0" w:color="auto"/>
        <w:right w:val="none" w:sz="0" w:space="0" w:color="auto"/>
      </w:divBdr>
      <w:divsChild>
        <w:div w:id="1013335164">
          <w:marLeft w:val="0"/>
          <w:marRight w:val="0"/>
          <w:marTop w:val="0"/>
          <w:marBottom w:val="0"/>
          <w:divBdr>
            <w:top w:val="none" w:sz="0" w:space="0" w:color="auto"/>
            <w:left w:val="none" w:sz="0" w:space="0" w:color="auto"/>
            <w:bottom w:val="none" w:sz="0" w:space="0" w:color="auto"/>
            <w:right w:val="none" w:sz="0" w:space="0" w:color="auto"/>
          </w:divBdr>
        </w:div>
      </w:divsChild>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19358679">
      <w:bodyDiv w:val="1"/>
      <w:marLeft w:val="0"/>
      <w:marRight w:val="0"/>
      <w:marTop w:val="0"/>
      <w:marBottom w:val="0"/>
      <w:divBdr>
        <w:top w:val="none" w:sz="0" w:space="0" w:color="auto"/>
        <w:left w:val="none" w:sz="0" w:space="0" w:color="auto"/>
        <w:bottom w:val="none" w:sz="0" w:space="0" w:color="auto"/>
        <w:right w:val="none" w:sz="0" w:space="0" w:color="auto"/>
      </w:divBdr>
    </w:div>
    <w:div w:id="1942452437">
      <w:bodyDiv w:val="1"/>
      <w:marLeft w:val="0"/>
      <w:marRight w:val="0"/>
      <w:marTop w:val="0"/>
      <w:marBottom w:val="0"/>
      <w:divBdr>
        <w:top w:val="none" w:sz="0" w:space="0" w:color="auto"/>
        <w:left w:val="none" w:sz="0" w:space="0" w:color="auto"/>
        <w:bottom w:val="none" w:sz="0" w:space="0" w:color="auto"/>
        <w:right w:val="none" w:sz="0" w:space="0" w:color="auto"/>
      </w:divBdr>
      <w:divsChild>
        <w:div w:id="423767363">
          <w:marLeft w:val="0"/>
          <w:marRight w:val="0"/>
          <w:marTop w:val="0"/>
          <w:marBottom w:val="0"/>
          <w:divBdr>
            <w:top w:val="none" w:sz="0" w:space="0" w:color="auto"/>
            <w:left w:val="none" w:sz="0" w:space="0" w:color="auto"/>
            <w:bottom w:val="none" w:sz="0" w:space="0" w:color="auto"/>
            <w:right w:val="none" w:sz="0" w:space="0" w:color="auto"/>
          </w:divBdr>
        </w:div>
      </w:divsChild>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089812139">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tgovernment.sharepoint.com/:w:/r/sites/Intranet-CHS/_layouts/15/Doc.aspx?sourcedoc=%7BC1B03D22-3A4D-4BC8-9D92-4D6581379A7F%7D&amp;file=Patient%20information%20and%20referral%20form%20%E2%80%93%20eNote.docx&amp;action=default&amp;mobileredirect=true&amp;DefaultItemOpen=1" TargetMode="External"/><Relationship Id="rId18" Type="http://schemas.openxmlformats.org/officeDocument/2006/relationships/hyperlink" Target="https://www.health.vic.gov.au/patient-care/osteoarthritis-hip-and-knee-service" TargetMode="External"/><Relationship Id="rId26" Type="http://schemas.openxmlformats.org/officeDocument/2006/relationships/hyperlink" Target="https://www.canberrahealthservices.act.gov.au/accessibility" TargetMode="External"/><Relationship Id="rId3" Type="http://schemas.openxmlformats.org/officeDocument/2006/relationships/customXml" Target="../customXml/item3.xml"/><Relationship Id="rId21" Type="http://schemas.openxmlformats.org/officeDocument/2006/relationships/hyperlink" Target="https://doi.org/10.1186/s12875-024-02658-0" TargetMode="External"/><Relationship Id="rId34"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ChiIntake@act.gov.au" TargetMode="External"/><Relationship Id="rId17" Type="http://schemas.openxmlformats.org/officeDocument/2006/relationships/hyperlink" Target="https://arthritisaustralia.com.au/wordpress/wp-content/uploads/2019/03/2019-National-Strategic-Action-Plan-for-Arthritis.pdf" TargetMode="External"/><Relationship Id="rId25" Type="http://schemas.openxmlformats.org/officeDocument/2006/relationships/image" Target="media/image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rthritisaustralia.com.au/" TargetMode="External"/><Relationship Id="rId20" Type="http://schemas.openxmlformats.org/officeDocument/2006/relationships/hyperlink" Target="http://www.annfammed.org" TargetMode="Externa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nact.org.au/for-health-professionals/healthpathways/" TargetMode="External"/><Relationship Id="rId24" Type="http://schemas.openxmlformats.org/officeDocument/2006/relationships/image" Target="media/image4.png"/><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safetyandquality.gov.au/standards/clinical-care-standards/osteoarthritis-knee-clinical-care-standard" TargetMode="External"/><Relationship Id="rId23" Type="http://schemas.openxmlformats.org/officeDocument/2006/relationships/image" Target="media/image3.png"/><Relationship Id="rId28" Type="http://schemas.openxmlformats.org/officeDocument/2006/relationships/image" Target="media/image7.emf"/><Relationship Id="rId10" Type="http://schemas.openxmlformats.org/officeDocument/2006/relationships/image" Target="media/image1.png"/><Relationship Id="rId19" Type="http://schemas.openxmlformats.org/officeDocument/2006/relationships/hyperlink" Target="https://www.nice.org.uk/guidance/ng226"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ladaustralia.com.au/" TargetMode="External"/><Relationship Id="rId22" Type="http://schemas.openxmlformats.org/officeDocument/2006/relationships/image" Target="media/image2.png"/><Relationship Id="rId27" Type="http://schemas.openxmlformats.org/officeDocument/2006/relationships/image" Target="media/image6.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2.png"/><Relationship Id="rId5" Type="http://schemas.openxmlformats.org/officeDocument/2006/relationships/image" Target="../media/image11.png"/><Relationship Id="rId10" Type="http://schemas.openxmlformats.org/officeDocument/2006/relationships/fontTable" Target="fontTable.xml"/><Relationship Id="rId4" Type="http://schemas.openxmlformats.org/officeDocument/2006/relationships/image" Target="../media/image10.png"/><Relationship Id="rId9" Type="http://schemas.openxmlformats.org/officeDocument/2006/relationships/image" Target="../media/image14.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11DC9BFBD2409C8FEA21DDB59C8B7D"/>
        <w:category>
          <w:name w:val="General"/>
          <w:gallery w:val="placeholder"/>
        </w:category>
        <w:types>
          <w:type w:val="bbPlcHdr"/>
        </w:types>
        <w:behaviors>
          <w:behavior w:val="content"/>
        </w:behaviors>
        <w:guid w:val="{6B1283D5-B608-425F-8E9C-13BAD3E719E7}"/>
      </w:docPartPr>
      <w:docPartBody>
        <w:p w:rsidR="00CB1C38" w:rsidRDefault="00CB1C38">
          <w:pPr>
            <w:pStyle w:val="6C11DC9BFBD2409C8FEA21DDB59C8B7D"/>
          </w:pPr>
          <w:r>
            <w:rPr>
              <w:noProof/>
              <w:sz w:val="20"/>
              <w:szCs w:val="20"/>
            </w:rPr>
            <w:drawing>
              <wp:inline distT="0" distB="0" distL="0" distR="0" wp14:anchorId="09778EE6" wp14:editId="4AB1CA3F">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AB98EBC6B84B43588917E603C6095DFA"/>
        <w:category>
          <w:name w:val="General"/>
          <w:gallery w:val="placeholder"/>
        </w:category>
        <w:types>
          <w:type w:val="bbPlcHdr"/>
        </w:types>
        <w:behaviors>
          <w:behavior w:val="content"/>
        </w:behaviors>
        <w:guid w:val="{EF3418AE-B9F7-415A-A938-2B7CF473F340}"/>
      </w:docPartPr>
      <w:docPartBody>
        <w:p w:rsidR="00CB1C38" w:rsidRDefault="00CB1C38">
          <w:pPr>
            <w:pStyle w:val="AB98EBC6B84B43588917E603C6095DFA"/>
          </w:pPr>
          <w:r w:rsidRPr="00EE29F8">
            <w:rPr>
              <w:rStyle w:val="PlaceholderText"/>
            </w:rPr>
            <w:t>Choose an item.</w:t>
          </w:r>
        </w:p>
      </w:docPartBody>
    </w:docPart>
    <w:docPart>
      <w:docPartPr>
        <w:name w:val="C95154662DF14C09B7AB8014CE471BDC"/>
        <w:category>
          <w:name w:val="General"/>
          <w:gallery w:val="placeholder"/>
        </w:category>
        <w:types>
          <w:type w:val="bbPlcHdr"/>
        </w:types>
        <w:behaviors>
          <w:behavior w:val="content"/>
        </w:behaviors>
        <w:guid w:val="{3EFBD129-46D6-4F3C-8EB3-45BFDF169F01}"/>
      </w:docPartPr>
      <w:docPartBody>
        <w:p w:rsidR="00CB1C38" w:rsidRPr="00F26C97" w:rsidRDefault="00CB1C38" w:rsidP="00185FE8">
          <w:pPr>
            <w:pStyle w:val="Bottomblocktext"/>
            <w:rPr>
              <w:b/>
              <w:bCs w:val="0"/>
              <w:sz w:val="20"/>
              <w:szCs w:val="20"/>
            </w:rPr>
          </w:pPr>
          <w:r>
            <w:rPr>
              <w:b/>
              <w:bCs w:val="0"/>
              <w:noProof/>
              <w:sz w:val="20"/>
              <w:szCs w:val="20"/>
            </w:rPr>
            <w:drawing>
              <wp:inline distT="0" distB="0" distL="0" distR="0" wp14:anchorId="6431D2DF" wp14:editId="6673A387">
                <wp:extent cx="338275" cy="331065"/>
                <wp:effectExtent l="0" t="0" r="5080" b="0"/>
                <wp:docPr id="8" name="Picture 2"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D556F2B" wp14:editId="5196D1DC">
                <wp:extent cx="143919" cy="139700"/>
                <wp:effectExtent l="0" t="0" r="8890" b="0"/>
                <wp:docPr id="9" name="Picture 3"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CB1C38" w:rsidRPr="00F26C97" w:rsidRDefault="00CB1C38" w:rsidP="00185FE8">
          <w:pPr>
            <w:pStyle w:val="Bottomblocktext"/>
            <w:rPr>
              <w:b/>
              <w:bCs w:val="0"/>
              <w:sz w:val="20"/>
              <w:szCs w:val="20"/>
            </w:rPr>
          </w:pPr>
          <w:r>
            <w:rPr>
              <w:b/>
              <w:bCs w:val="0"/>
              <w:noProof/>
              <w:sz w:val="20"/>
              <w:szCs w:val="20"/>
            </w:rPr>
            <w:drawing>
              <wp:inline distT="0" distB="0" distL="0" distR="0" wp14:anchorId="21FDCDE6" wp14:editId="20D0B664">
                <wp:extent cx="326104" cy="323850"/>
                <wp:effectExtent l="0" t="0" r="0" b="0"/>
                <wp:docPr id="10" name="Picture 4"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1F1D8E6" wp14:editId="361A965E">
                <wp:extent cx="143919" cy="139700"/>
                <wp:effectExtent l="0" t="0" r="8890" b="0"/>
                <wp:docPr id="11" name="Picture 5"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CB1C38" w:rsidRDefault="00CB1C38" w:rsidP="00185FE8">
          <w:pPr>
            <w:pStyle w:val="Bottomblocktext"/>
            <w:rPr>
              <w:sz w:val="20"/>
              <w:szCs w:val="20"/>
            </w:rPr>
          </w:pPr>
          <w:hyperlink r:id="rId8" w:history="1">
            <w:r w:rsidRPr="00350211">
              <w:rPr>
                <w:rStyle w:val="Hyperlink"/>
                <w:sz w:val="20"/>
                <w:szCs w:val="20"/>
              </w:rPr>
              <w:t>canberrahealthservices.act.gov.au/accessibility</w:t>
            </w:r>
          </w:hyperlink>
        </w:p>
        <w:p w:rsidR="00CB1C38" w:rsidRDefault="00CB1C38">
          <w:pPr>
            <w:pStyle w:val="C95154662DF14C09B7AB8014CE471BDC"/>
          </w:pPr>
          <w:r>
            <w:rPr>
              <w:b/>
              <w:bCs/>
              <w:noProof/>
            </w:rPr>
            <w:drawing>
              <wp:inline distT="0" distB="0" distL="0" distR="0" wp14:anchorId="35077170" wp14:editId="7997A5A2">
                <wp:extent cx="1323833" cy="309418"/>
                <wp:effectExtent l="0" t="0" r="0" b="0"/>
                <wp:docPr id="12" name="Picture 6"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IJTBWM+ZapfDingbatsITC">
    <w:altName w:val="Yu Gothic"/>
    <w:panose1 w:val="00000000000000000000"/>
    <w:charset w:val="80"/>
    <w:family w:val="auto"/>
    <w:notTrueType/>
    <w:pitch w:val="default"/>
    <w:sig w:usb0="00000001" w:usb1="08070000" w:usb2="00000010" w:usb3="00000000" w:csb0="00020000" w:csb1="00000000"/>
  </w:font>
  <w:font w:name="Open Sans SemiBold">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C38"/>
    <w:rsid w:val="00015998"/>
    <w:rsid w:val="00046602"/>
    <w:rsid w:val="00050696"/>
    <w:rsid w:val="001E4C69"/>
    <w:rsid w:val="00287C5E"/>
    <w:rsid w:val="002B075B"/>
    <w:rsid w:val="002C4BAF"/>
    <w:rsid w:val="003A15B8"/>
    <w:rsid w:val="003F7E5A"/>
    <w:rsid w:val="00425BFE"/>
    <w:rsid w:val="006706C6"/>
    <w:rsid w:val="006A3F8A"/>
    <w:rsid w:val="006F7649"/>
    <w:rsid w:val="007709C6"/>
    <w:rsid w:val="00781D75"/>
    <w:rsid w:val="007B39AB"/>
    <w:rsid w:val="007E2517"/>
    <w:rsid w:val="00835D3F"/>
    <w:rsid w:val="00875A01"/>
    <w:rsid w:val="008E5E62"/>
    <w:rsid w:val="00A22C29"/>
    <w:rsid w:val="00A5627B"/>
    <w:rsid w:val="00AA7109"/>
    <w:rsid w:val="00AE1ABF"/>
    <w:rsid w:val="00B73E68"/>
    <w:rsid w:val="00C164B6"/>
    <w:rsid w:val="00C425BE"/>
    <w:rsid w:val="00CB1C38"/>
    <w:rsid w:val="00D74AF8"/>
    <w:rsid w:val="00DC6AD4"/>
    <w:rsid w:val="00E04AB7"/>
    <w:rsid w:val="00E644F1"/>
    <w:rsid w:val="00F125AE"/>
    <w:rsid w:val="00F36088"/>
    <w:rsid w:val="00FB5502"/>
    <w:rsid w:val="00FD32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11DC9BFBD2409C8FEA21DDB59C8B7D">
    <w:name w:val="6C11DC9BFBD2409C8FEA21DDB59C8B7D"/>
  </w:style>
  <w:style w:type="character" w:styleId="PlaceholderText">
    <w:name w:val="Placeholder Text"/>
    <w:basedOn w:val="DefaultParagraphFont"/>
    <w:uiPriority w:val="99"/>
    <w:semiHidden/>
    <w:rPr>
      <w:color w:val="808080"/>
    </w:rPr>
  </w:style>
  <w:style w:type="paragraph" w:customStyle="1" w:styleId="AB98EBC6B84B43588917E603C6095DFA">
    <w:name w:val="AB98EBC6B84B43588917E603C6095DFA"/>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C95154662DF14C09B7AB8014CE471BDC">
    <w:name w:val="C95154662DF14C09B7AB8014CE471B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4" ma:contentTypeDescription="Create a new document." ma:contentTypeScope="" ma:versionID="141fcd3ec0c45025631a14632739bc06">
  <xsd:schema xmlns:xsd="http://www.w3.org/2001/XMLSchema" xmlns:xs="http://www.w3.org/2001/XMLSchema" xmlns:p="http://schemas.microsoft.com/office/2006/metadata/properties" xmlns:ns2="9452bbcf-1ed2-48a4-a338-c9ad680dbbbb" targetNamespace="http://schemas.microsoft.com/office/2006/metadata/properties" ma:root="true" ma:fieldsID="22e1a80881c6d6ff369ab8621cca57f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2F4E09AC-24B5-4B9D-BBE4-CBABEE3B9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6292</Words>
  <Characters>35869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42077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Stone, Judy (Health)</dc:creator>
  <cp:lastModifiedBy>Rusanov, Zoia</cp:lastModifiedBy>
  <cp:revision>4</cp:revision>
  <cp:lastPrinted>2017-05-22T07:29:00Z</cp:lastPrinted>
  <dcterms:created xsi:type="dcterms:W3CDTF">2025-04-23T23:26:00Z</dcterms:created>
  <dcterms:modified xsi:type="dcterms:W3CDTF">2025-06-02T23:11:00Z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ies>
</file>