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3DEB0136" w:rsidR="009A534C" w:rsidRPr="00DA3910" w:rsidRDefault="009A534C" w:rsidP="009A534C">
      <w:pPr>
        <w:rPr>
          <w:rFonts w:cs="Arial"/>
          <w:b/>
          <w:sz w:val="40"/>
          <w:szCs w:val="40"/>
        </w:rPr>
      </w:pPr>
      <w:r>
        <w:rPr>
          <w:rFonts w:cs="Arial"/>
          <w:b/>
          <w:sz w:val="40"/>
          <w:szCs w:val="40"/>
        </w:rPr>
        <w:t>Guideline</w:t>
      </w:r>
    </w:p>
    <w:p w14:paraId="086829D2" w14:textId="58942EA9" w:rsidR="009A534C" w:rsidRPr="004D400F" w:rsidRDefault="004D400F" w:rsidP="009A534C">
      <w:pPr>
        <w:rPr>
          <w:rFonts w:cs="Arial"/>
          <w:b/>
          <w:iCs/>
          <w:sz w:val="36"/>
          <w:szCs w:val="36"/>
        </w:rPr>
      </w:pPr>
      <w:r>
        <w:rPr>
          <w:rFonts w:cs="Arial"/>
          <w:b/>
          <w:iCs/>
          <w:sz w:val="36"/>
          <w:szCs w:val="36"/>
        </w:rPr>
        <w:t>Billing f</w:t>
      </w:r>
      <w:r w:rsidR="000133B9" w:rsidRPr="004D400F">
        <w:rPr>
          <w:rFonts w:cs="Arial"/>
          <w:b/>
          <w:iCs/>
          <w:sz w:val="36"/>
          <w:szCs w:val="36"/>
        </w:rPr>
        <w:t>or outpatient or non-admitted patient activity</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167113097"/>
            <w:r w:rsidRPr="00CD1C0E">
              <w:t>Contents</w:t>
            </w:r>
            <w:bookmarkEnd w:id="0"/>
            <w:bookmarkEnd w:id="1"/>
            <w:bookmarkEnd w:id="2"/>
            <w:bookmarkEnd w:id="3"/>
          </w:p>
        </w:tc>
      </w:tr>
    </w:tbl>
    <w:p w14:paraId="3E077162" w14:textId="5F29048F" w:rsidR="00B6702A" w:rsidRDefault="00B6702A">
      <w:pPr>
        <w:pStyle w:val="TOC1"/>
        <w:tabs>
          <w:tab w:val="right" w:leader="dot" w:pos="9060"/>
        </w:tabs>
        <w:rPr>
          <w:rFonts w:eastAsiaTheme="minorEastAsia" w:cstheme="minorBidi"/>
          <w:noProof/>
          <w:kern w:val="2"/>
          <w:sz w:val="22"/>
          <w:szCs w:val="22"/>
          <w:lang w:eastAsia="en-AU"/>
          <w14:ligatures w14:val="standardContextual"/>
        </w:rPr>
      </w:pPr>
      <w:r>
        <w:rPr>
          <w:rFonts w:cs="Arial"/>
          <w:b/>
          <w:sz w:val="36"/>
          <w:szCs w:val="36"/>
        </w:rPr>
        <w:fldChar w:fldCharType="begin"/>
      </w:r>
      <w:r>
        <w:rPr>
          <w:rFonts w:cs="Arial"/>
          <w:b/>
          <w:sz w:val="36"/>
          <w:szCs w:val="36"/>
        </w:rPr>
        <w:instrText xml:space="preserve"> TOC \o "1-2" \h \z \u </w:instrText>
      </w:r>
      <w:r>
        <w:rPr>
          <w:rFonts w:cs="Arial"/>
          <w:b/>
          <w:sz w:val="36"/>
          <w:szCs w:val="36"/>
        </w:rPr>
        <w:fldChar w:fldCharType="separate"/>
      </w:r>
      <w:hyperlink w:anchor="_Toc167113097" w:history="1">
        <w:r w:rsidRPr="001658EA">
          <w:rPr>
            <w:rStyle w:val="Hyperlink"/>
            <w:noProof/>
          </w:rPr>
          <w:t>Contents</w:t>
        </w:r>
        <w:r>
          <w:rPr>
            <w:noProof/>
            <w:webHidden/>
          </w:rPr>
          <w:tab/>
        </w:r>
        <w:r>
          <w:rPr>
            <w:noProof/>
            <w:webHidden/>
          </w:rPr>
          <w:fldChar w:fldCharType="begin"/>
        </w:r>
        <w:r>
          <w:rPr>
            <w:noProof/>
            <w:webHidden/>
          </w:rPr>
          <w:instrText xml:space="preserve"> PAGEREF _Toc167113097 \h </w:instrText>
        </w:r>
        <w:r>
          <w:rPr>
            <w:noProof/>
            <w:webHidden/>
          </w:rPr>
        </w:r>
        <w:r>
          <w:rPr>
            <w:noProof/>
            <w:webHidden/>
          </w:rPr>
          <w:fldChar w:fldCharType="separate"/>
        </w:r>
        <w:r>
          <w:rPr>
            <w:noProof/>
            <w:webHidden/>
          </w:rPr>
          <w:t>1</w:t>
        </w:r>
        <w:r>
          <w:rPr>
            <w:noProof/>
            <w:webHidden/>
          </w:rPr>
          <w:fldChar w:fldCharType="end"/>
        </w:r>
      </w:hyperlink>
    </w:p>
    <w:p w14:paraId="3E958775" w14:textId="7199CC9C" w:rsidR="00B6702A" w:rsidRDefault="00CD4A22">
      <w:pPr>
        <w:pStyle w:val="TOC1"/>
        <w:tabs>
          <w:tab w:val="right" w:leader="dot" w:pos="9060"/>
        </w:tabs>
        <w:rPr>
          <w:rFonts w:eastAsiaTheme="minorEastAsia" w:cstheme="minorBidi"/>
          <w:noProof/>
          <w:kern w:val="2"/>
          <w:sz w:val="22"/>
          <w:szCs w:val="22"/>
          <w:lang w:eastAsia="en-AU"/>
          <w14:ligatures w14:val="standardContextual"/>
        </w:rPr>
      </w:pPr>
      <w:hyperlink w:anchor="_Toc167113098" w:history="1">
        <w:r w:rsidR="00B6702A" w:rsidRPr="001658EA">
          <w:rPr>
            <w:rStyle w:val="Hyperlink"/>
            <w:noProof/>
          </w:rPr>
          <w:t>Guideline Statement</w:t>
        </w:r>
        <w:r w:rsidR="00B6702A">
          <w:rPr>
            <w:noProof/>
            <w:webHidden/>
          </w:rPr>
          <w:tab/>
        </w:r>
        <w:r w:rsidR="00B6702A">
          <w:rPr>
            <w:noProof/>
            <w:webHidden/>
          </w:rPr>
          <w:fldChar w:fldCharType="begin"/>
        </w:r>
        <w:r w:rsidR="00B6702A">
          <w:rPr>
            <w:noProof/>
            <w:webHidden/>
          </w:rPr>
          <w:instrText xml:space="preserve"> PAGEREF _Toc167113098 \h </w:instrText>
        </w:r>
        <w:r w:rsidR="00B6702A">
          <w:rPr>
            <w:noProof/>
            <w:webHidden/>
          </w:rPr>
        </w:r>
        <w:r w:rsidR="00B6702A">
          <w:rPr>
            <w:noProof/>
            <w:webHidden/>
          </w:rPr>
          <w:fldChar w:fldCharType="separate"/>
        </w:r>
        <w:r w:rsidR="00B6702A">
          <w:rPr>
            <w:noProof/>
            <w:webHidden/>
          </w:rPr>
          <w:t>3</w:t>
        </w:r>
        <w:r w:rsidR="00B6702A">
          <w:rPr>
            <w:noProof/>
            <w:webHidden/>
          </w:rPr>
          <w:fldChar w:fldCharType="end"/>
        </w:r>
      </w:hyperlink>
    </w:p>
    <w:p w14:paraId="097A5897" w14:textId="3363E053" w:rsidR="00B6702A" w:rsidRDefault="00CD4A22">
      <w:pPr>
        <w:pStyle w:val="TOC1"/>
        <w:tabs>
          <w:tab w:val="right" w:leader="dot" w:pos="9060"/>
        </w:tabs>
        <w:rPr>
          <w:rFonts w:eastAsiaTheme="minorEastAsia" w:cstheme="minorBidi"/>
          <w:noProof/>
          <w:kern w:val="2"/>
          <w:sz w:val="22"/>
          <w:szCs w:val="22"/>
          <w:lang w:eastAsia="en-AU"/>
          <w14:ligatures w14:val="standardContextual"/>
        </w:rPr>
      </w:pPr>
      <w:hyperlink w:anchor="_Toc167113099" w:history="1">
        <w:r w:rsidR="00B6702A" w:rsidRPr="001658EA">
          <w:rPr>
            <w:rStyle w:val="Hyperlink"/>
            <w:noProof/>
          </w:rPr>
          <w:t>Scope</w:t>
        </w:r>
        <w:r w:rsidR="00B6702A">
          <w:rPr>
            <w:noProof/>
            <w:webHidden/>
          </w:rPr>
          <w:tab/>
        </w:r>
        <w:r w:rsidR="00B6702A">
          <w:rPr>
            <w:noProof/>
            <w:webHidden/>
          </w:rPr>
          <w:fldChar w:fldCharType="begin"/>
        </w:r>
        <w:r w:rsidR="00B6702A">
          <w:rPr>
            <w:noProof/>
            <w:webHidden/>
          </w:rPr>
          <w:instrText xml:space="preserve"> PAGEREF _Toc167113099 \h </w:instrText>
        </w:r>
        <w:r w:rsidR="00B6702A">
          <w:rPr>
            <w:noProof/>
            <w:webHidden/>
          </w:rPr>
        </w:r>
        <w:r w:rsidR="00B6702A">
          <w:rPr>
            <w:noProof/>
            <w:webHidden/>
          </w:rPr>
          <w:fldChar w:fldCharType="separate"/>
        </w:r>
        <w:r w:rsidR="00B6702A">
          <w:rPr>
            <w:noProof/>
            <w:webHidden/>
          </w:rPr>
          <w:t>3</w:t>
        </w:r>
        <w:r w:rsidR="00B6702A">
          <w:rPr>
            <w:noProof/>
            <w:webHidden/>
          </w:rPr>
          <w:fldChar w:fldCharType="end"/>
        </w:r>
      </w:hyperlink>
    </w:p>
    <w:p w14:paraId="35A55E77" w14:textId="0AD3BC28" w:rsidR="00B6702A" w:rsidRDefault="00CD4A22">
      <w:pPr>
        <w:pStyle w:val="TOC1"/>
        <w:tabs>
          <w:tab w:val="right" w:leader="dot" w:pos="9060"/>
        </w:tabs>
        <w:rPr>
          <w:rFonts w:eastAsiaTheme="minorEastAsia" w:cstheme="minorBidi"/>
          <w:noProof/>
          <w:kern w:val="2"/>
          <w:sz w:val="22"/>
          <w:szCs w:val="22"/>
          <w:lang w:eastAsia="en-AU"/>
          <w14:ligatures w14:val="standardContextual"/>
        </w:rPr>
      </w:pPr>
      <w:hyperlink w:anchor="_Toc167113100" w:history="1">
        <w:r w:rsidR="00B6702A" w:rsidRPr="001658EA">
          <w:rPr>
            <w:rStyle w:val="Hyperlink"/>
            <w:noProof/>
          </w:rPr>
          <w:t>Section 1 – Non-Admitted (Outpatient Billing in a Public Health Facility)</w:t>
        </w:r>
        <w:r w:rsidR="00B6702A">
          <w:rPr>
            <w:noProof/>
            <w:webHidden/>
          </w:rPr>
          <w:tab/>
        </w:r>
        <w:r w:rsidR="00B6702A">
          <w:rPr>
            <w:noProof/>
            <w:webHidden/>
          </w:rPr>
          <w:fldChar w:fldCharType="begin"/>
        </w:r>
        <w:r w:rsidR="00B6702A">
          <w:rPr>
            <w:noProof/>
            <w:webHidden/>
          </w:rPr>
          <w:instrText xml:space="preserve"> PAGEREF _Toc167113100 \h </w:instrText>
        </w:r>
        <w:r w:rsidR="00B6702A">
          <w:rPr>
            <w:noProof/>
            <w:webHidden/>
          </w:rPr>
        </w:r>
        <w:r w:rsidR="00B6702A">
          <w:rPr>
            <w:noProof/>
            <w:webHidden/>
          </w:rPr>
          <w:fldChar w:fldCharType="separate"/>
        </w:r>
        <w:r w:rsidR="00B6702A">
          <w:rPr>
            <w:noProof/>
            <w:webHidden/>
          </w:rPr>
          <w:t>3</w:t>
        </w:r>
        <w:r w:rsidR="00B6702A">
          <w:rPr>
            <w:noProof/>
            <w:webHidden/>
          </w:rPr>
          <w:fldChar w:fldCharType="end"/>
        </w:r>
      </w:hyperlink>
    </w:p>
    <w:p w14:paraId="2425CB42" w14:textId="2085EFA7"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01" w:history="1">
        <w:r w:rsidR="00B6702A" w:rsidRPr="001658EA">
          <w:rPr>
            <w:rStyle w:val="Hyperlink"/>
            <w:noProof/>
          </w:rPr>
          <w:t>Billable status</w:t>
        </w:r>
        <w:r w:rsidR="00B6702A">
          <w:rPr>
            <w:noProof/>
            <w:webHidden/>
          </w:rPr>
          <w:tab/>
        </w:r>
        <w:r w:rsidR="00B6702A">
          <w:rPr>
            <w:noProof/>
            <w:webHidden/>
          </w:rPr>
          <w:fldChar w:fldCharType="begin"/>
        </w:r>
        <w:r w:rsidR="00B6702A">
          <w:rPr>
            <w:noProof/>
            <w:webHidden/>
          </w:rPr>
          <w:instrText xml:space="preserve"> PAGEREF _Toc167113101 \h </w:instrText>
        </w:r>
        <w:r w:rsidR="00B6702A">
          <w:rPr>
            <w:noProof/>
            <w:webHidden/>
          </w:rPr>
        </w:r>
        <w:r w:rsidR="00B6702A">
          <w:rPr>
            <w:noProof/>
            <w:webHidden/>
          </w:rPr>
          <w:fldChar w:fldCharType="separate"/>
        </w:r>
        <w:r w:rsidR="00B6702A">
          <w:rPr>
            <w:noProof/>
            <w:webHidden/>
          </w:rPr>
          <w:t>4</w:t>
        </w:r>
        <w:r w:rsidR="00B6702A">
          <w:rPr>
            <w:noProof/>
            <w:webHidden/>
          </w:rPr>
          <w:fldChar w:fldCharType="end"/>
        </w:r>
      </w:hyperlink>
    </w:p>
    <w:p w14:paraId="58F35627" w14:textId="53756FDB"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02" w:history="1">
        <w:r w:rsidR="00B6702A" w:rsidRPr="001658EA">
          <w:rPr>
            <w:rStyle w:val="Hyperlink"/>
            <w:noProof/>
          </w:rPr>
          <w:t>Department of Veterans Affairs cards</w:t>
        </w:r>
        <w:r w:rsidR="00B6702A">
          <w:rPr>
            <w:noProof/>
            <w:webHidden/>
          </w:rPr>
          <w:tab/>
        </w:r>
        <w:r w:rsidR="00B6702A">
          <w:rPr>
            <w:noProof/>
            <w:webHidden/>
          </w:rPr>
          <w:fldChar w:fldCharType="begin"/>
        </w:r>
        <w:r w:rsidR="00B6702A">
          <w:rPr>
            <w:noProof/>
            <w:webHidden/>
          </w:rPr>
          <w:instrText xml:space="preserve"> PAGEREF _Toc167113102 \h </w:instrText>
        </w:r>
        <w:r w:rsidR="00B6702A">
          <w:rPr>
            <w:noProof/>
            <w:webHidden/>
          </w:rPr>
        </w:r>
        <w:r w:rsidR="00B6702A">
          <w:rPr>
            <w:noProof/>
            <w:webHidden/>
          </w:rPr>
          <w:fldChar w:fldCharType="separate"/>
        </w:r>
        <w:r w:rsidR="00B6702A">
          <w:rPr>
            <w:noProof/>
            <w:webHidden/>
          </w:rPr>
          <w:t>5</w:t>
        </w:r>
        <w:r w:rsidR="00B6702A">
          <w:rPr>
            <w:noProof/>
            <w:webHidden/>
          </w:rPr>
          <w:fldChar w:fldCharType="end"/>
        </w:r>
      </w:hyperlink>
    </w:p>
    <w:p w14:paraId="0A3CF255" w14:textId="0E40AB88" w:rsidR="00B6702A" w:rsidRDefault="00CD4A22">
      <w:pPr>
        <w:pStyle w:val="TOC1"/>
        <w:tabs>
          <w:tab w:val="right" w:leader="dot" w:pos="9060"/>
        </w:tabs>
        <w:rPr>
          <w:rFonts w:eastAsiaTheme="minorEastAsia" w:cstheme="minorBidi"/>
          <w:noProof/>
          <w:kern w:val="2"/>
          <w:sz w:val="22"/>
          <w:szCs w:val="22"/>
          <w:lang w:eastAsia="en-AU"/>
          <w14:ligatures w14:val="standardContextual"/>
        </w:rPr>
      </w:pPr>
      <w:hyperlink w:anchor="_Toc167113103" w:history="1">
        <w:r w:rsidR="00B6702A" w:rsidRPr="001658EA">
          <w:rPr>
            <w:rStyle w:val="Hyperlink"/>
            <w:noProof/>
          </w:rPr>
          <w:t>Section 2 – Outpatient Bulk Bill and DVA Billing</w:t>
        </w:r>
        <w:r w:rsidR="00B6702A">
          <w:rPr>
            <w:noProof/>
            <w:webHidden/>
          </w:rPr>
          <w:tab/>
        </w:r>
        <w:r w:rsidR="00B6702A">
          <w:rPr>
            <w:noProof/>
            <w:webHidden/>
          </w:rPr>
          <w:fldChar w:fldCharType="begin"/>
        </w:r>
        <w:r w:rsidR="00B6702A">
          <w:rPr>
            <w:noProof/>
            <w:webHidden/>
          </w:rPr>
          <w:instrText xml:space="preserve"> PAGEREF _Toc167113103 \h </w:instrText>
        </w:r>
        <w:r w:rsidR="00B6702A">
          <w:rPr>
            <w:noProof/>
            <w:webHidden/>
          </w:rPr>
        </w:r>
        <w:r w:rsidR="00B6702A">
          <w:rPr>
            <w:noProof/>
            <w:webHidden/>
          </w:rPr>
          <w:fldChar w:fldCharType="separate"/>
        </w:r>
        <w:r w:rsidR="00B6702A">
          <w:rPr>
            <w:noProof/>
            <w:webHidden/>
          </w:rPr>
          <w:t>6</w:t>
        </w:r>
        <w:r w:rsidR="00B6702A">
          <w:rPr>
            <w:noProof/>
            <w:webHidden/>
          </w:rPr>
          <w:fldChar w:fldCharType="end"/>
        </w:r>
      </w:hyperlink>
    </w:p>
    <w:p w14:paraId="5F296A63" w14:textId="1FC99B19" w:rsidR="00B6702A" w:rsidRDefault="00CD4A22">
      <w:pPr>
        <w:pStyle w:val="TOC1"/>
        <w:tabs>
          <w:tab w:val="right" w:leader="dot" w:pos="9060"/>
        </w:tabs>
        <w:rPr>
          <w:rFonts w:eastAsiaTheme="minorEastAsia" w:cstheme="minorBidi"/>
          <w:noProof/>
          <w:kern w:val="2"/>
          <w:sz w:val="22"/>
          <w:szCs w:val="22"/>
          <w:lang w:eastAsia="en-AU"/>
          <w14:ligatures w14:val="standardContextual"/>
        </w:rPr>
      </w:pPr>
      <w:hyperlink w:anchor="_Toc167113104" w:history="1">
        <w:r w:rsidR="00B6702A" w:rsidRPr="001658EA">
          <w:rPr>
            <w:rStyle w:val="Hyperlink"/>
            <w:noProof/>
          </w:rPr>
          <w:t>Section 3 – Referral Requirements for Medicare Bulk Billing/DVA Billing</w:t>
        </w:r>
        <w:r w:rsidR="00B6702A">
          <w:rPr>
            <w:noProof/>
            <w:webHidden/>
          </w:rPr>
          <w:tab/>
        </w:r>
        <w:r w:rsidR="00B6702A">
          <w:rPr>
            <w:noProof/>
            <w:webHidden/>
          </w:rPr>
          <w:fldChar w:fldCharType="begin"/>
        </w:r>
        <w:r w:rsidR="00B6702A">
          <w:rPr>
            <w:noProof/>
            <w:webHidden/>
          </w:rPr>
          <w:instrText xml:space="preserve"> PAGEREF _Toc167113104 \h </w:instrText>
        </w:r>
        <w:r w:rsidR="00B6702A">
          <w:rPr>
            <w:noProof/>
            <w:webHidden/>
          </w:rPr>
        </w:r>
        <w:r w:rsidR="00B6702A">
          <w:rPr>
            <w:noProof/>
            <w:webHidden/>
          </w:rPr>
          <w:fldChar w:fldCharType="separate"/>
        </w:r>
        <w:r w:rsidR="00B6702A">
          <w:rPr>
            <w:noProof/>
            <w:webHidden/>
          </w:rPr>
          <w:t>7</w:t>
        </w:r>
        <w:r w:rsidR="00B6702A">
          <w:rPr>
            <w:noProof/>
            <w:webHidden/>
          </w:rPr>
          <w:fldChar w:fldCharType="end"/>
        </w:r>
      </w:hyperlink>
    </w:p>
    <w:p w14:paraId="52E34B0E" w14:textId="2536C2F3"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05" w:history="1">
        <w:r w:rsidR="00B6702A" w:rsidRPr="001658EA">
          <w:rPr>
            <w:rStyle w:val="Hyperlink"/>
            <w:noProof/>
          </w:rPr>
          <w:t>What is a referral?</w:t>
        </w:r>
        <w:r w:rsidR="00B6702A">
          <w:rPr>
            <w:noProof/>
            <w:webHidden/>
          </w:rPr>
          <w:tab/>
        </w:r>
        <w:r w:rsidR="00B6702A">
          <w:rPr>
            <w:noProof/>
            <w:webHidden/>
          </w:rPr>
          <w:fldChar w:fldCharType="begin"/>
        </w:r>
        <w:r w:rsidR="00B6702A">
          <w:rPr>
            <w:noProof/>
            <w:webHidden/>
          </w:rPr>
          <w:instrText xml:space="preserve"> PAGEREF _Toc167113105 \h </w:instrText>
        </w:r>
        <w:r w:rsidR="00B6702A">
          <w:rPr>
            <w:noProof/>
            <w:webHidden/>
          </w:rPr>
        </w:r>
        <w:r w:rsidR="00B6702A">
          <w:rPr>
            <w:noProof/>
            <w:webHidden/>
          </w:rPr>
          <w:fldChar w:fldCharType="separate"/>
        </w:r>
        <w:r w:rsidR="00B6702A">
          <w:rPr>
            <w:noProof/>
            <w:webHidden/>
          </w:rPr>
          <w:t>7</w:t>
        </w:r>
        <w:r w:rsidR="00B6702A">
          <w:rPr>
            <w:noProof/>
            <w:webHidden/>
          </w:rPr>
          <w:fldChar w:fldCharType="end"/>
        </w:r>
      </w:hyperlink>
    </w:p>
    <w:p w14:paraId="74C331EC" w14:textId="45BA0C47"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06" w:history="1">
        <w:r w:rsidR="00B6702A" w:rsidRPr="001658EA">
          <w:rPr>
            <w:rStyle w:val="Hyperlink"/>
            <w:noProof/>
          </w:rPr>
          <w:t>Named referral requirements</w:t>
        </w:r>
        <w:r w:rsidR="00B6702A">
          <w:rPr>
            <w:noProof/>
            <w:webHidden/>
          </w:rPr>
          <w:tab/>
        </w:r>
        <w:r w:rsidR="00B6702A">
          <w:rPr>
            <w:noProof/>
            <w:webHidden/>
          </w:rPr>
          <w:fldChar w:fldCharType="begin"/>
        </w:r>
        <w:r w:rsidR="00B6702A">
          <w:rPr>
            <w:noProof/>
            <w:webHidden/>
          </w:rPr>
          <w:instrText xml:space="preserve"> PAGEREF _Toc167113106 \h </w:instrText>
        </w:r>
        <w:r w:rsidR="00B6702A">
          <w:rPr>
            <w:noProof/>
            <w:webHidden/>
          </w:rPr>
        </w:r>
        <w:r w:rsidR="00B6702A">
          <w:rPr>
            <w:noProof/>
            <w:webHidden/>
          </w:rPr>
          <w:fldChar w:fldCharType="separate"/>
        </w:r>
        <w:r w:rsidR="00B6702A">
          <w:rPr>
            <w:noProof/>
            <w:webHidden/>
          </w:rPr>
          <w:t>8</w:t>
        </w:r>
        <w:r w:rsidR="00B6702A">
          <w:rPr>
            <w:noProof/>
            <w:webHidden/>
          </w:rPr>
          <w:fldChar w:fldCharType="end"/>
        </w:r>
      </w:hyperlink>
    </w:p>
    <w:p w14:paraId="7F5F22C4" w14:textId="574DA552"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07" w:history="1">
        <w:r w:rsidR="00B6702A" w:rsidRPr="001658EA">
          <w:rPr>
            <w:rStyle w:val="Hyperlink"/>
            <w:noProof/>
          </w:rPr>
          <w:t>Referrals not to a named Specialist (NTANS)</w:t>
        </w:r>
        <w:r w:rsidR="00B6702A">
          <w:rPr>
            <w:noProof/>
            <w:webHidden/>
          </w:rPr>
          <w:tab/>
        </w:r>
        <w:r w:rsidR="00B6702A">
          <w:rPr>
            <w:noProof/>
            <w:webHidden/>
          </w:rPr>
          <w:fldChar w:fldCharType="begin"/>
        </w:r>
        <w:r w:rsidR="00B6702A">
          <w:rPr>
            <w:noProof/>
            <w:webHidden/>
          </w:rPr>
          <w:instrText xml:space="preserve"> PAGEREF _Toc167113107 \h </w:instrText>
        </w:r>
        <w:r w:rsidR="00B6702A">
          <w:rPr>
            <w:noProof/>
            <w:webHidden/>
          </w:rPr>
        </w:r>
        <w:r w:rsidR="00B6702A">
          <w:rPr>
            <w:noProof/>
            <w:webHidden/>
          </w:rPr>
          <w:fldChar w:fldCharType="separate"/>
        </w:r>
        <w:r w:rsidR="00B6702A">
          <w:rPr>
            <w:noProof/>
            <w:webHidden/>
          </w:rPr>
          <w:t>8</w:t>
        </w:r>
        <w:r w:rsidR="00B6702A">
          <w:rPr>
            <w:noProof/>
            <w:webHidden/>
          </w:rPr>
          <w:fldChar w:fldCharType="end"/>
        </w:r>
      </w:hyperlink>
    </w:p>
    <w:p w14:paraId="7FC5B91A" w14:textId="62100060"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08" w:history="1">
        <w:r w:rsidR="00B6702A" w:rsidRPr="001658EA">
          <w:rPr>
            <w:rStyle w:val="Hyperlink"/>
            <w:noProof/>
          </w:rPr>
          <w:t>Referral validity periods</w:t>
        </w:r>
        <w:r w:rsidR="00B6702A">
          <w:rPr>
            <w:noProof/>
            <w:webHidden/>
          </w:rPr>
          <w:tab/>
        </w:r>
        <w:r w:rsidR="00B6702A">
          <w:rPr>
            <w:noProof/>
            <w:webHidden/>
          </w:rPr>
          <w:fldChar w:fldCharType="begin"/>
        </w:r>
        <w:r w:rsidR="00B6702A">
          <w:rPr>
            <w:noProof/>
            <w:webHidden/>
          </w:rPr>
          <w:instrText xml:space="preserve"> PAGEREF _Toc167113108 \h </w:instrText>
        </w:r>
        <w:r w:rsidR="00B6702A">
          <w:rPr>
            <w:noProof/>
            <w:webHidden/>
          </w:rPr>
        </w:r>
        <w:r w:rsidR="00B6702A">
          <w:rPr>
            <w:noProof/>
            <w:webHidden/>
          </w:rPr>
          <w:fldChar w:fldCharType="separate"/>
        </w:r>
        <w:r w:rsidR="00B6702A">
          <w:rPr>
            <w:noProof/>
            <w:webHidden/>
          </w:rPr>
          <w:t>8</w:t>
        </w:r>
        <w:r w:rsidR="00B6702A">
          <w:rPr>
            <w:noProof/>
            <w:webHidden/>
          </w:rPr>
          <w:fldChar w:fldCharType="end"/>
        </w:r>
      </w:hyperlink>
    </w:p>
    <w:p w14:paraId="5F5B1D0B" w14:textId="6A4FF2FA"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09" w:history="1">
        <w:r w:rsidR="00B6702A" w:rsidRPr="001658EA">
          <w:rPr>
            <w:rStyle w:val="Hyperlink"/>
            <w:noProof/>
          </w:rPr>
          <w:t>Indefinite referrals</w:t>
        </w:r>
        <w:r w:rsidR="00B6702A">
          <w:rPr>
            <w:noProof/>
            <w:webHidden/>
          </w:rPr>
          <w:tab/>
        </w:r>
        <w:r w:rsidR="00B6702A">
          <w:rPr>
            <w:noProof/>
            <w:webHidden/>
          </w:rPr>
          <w:fldChar w:fldCharType="begin"/>
        </w:r>
        <w:r w:rsidR="00B6702A">
          <w:rPr>
            <w:noProof/>
            <w:webHidden/>
          </w:rPr>
          <w:instrText xml:space="preserve"> PAGEREF _Toc167113109 \h </w:instrText>
        </w:r>
        <w:r w:rsidR="00B6702A">
          <w:rPr>
            <w:noProof/>
            <w:webHidden/>
          </w:rPr>
        </w:r>
        <w:r w:rsidR="00B6702A">
          <w:rPr>
            <w:noProof/>
            <w:webHidden/>
          </w:rPr>
          <w:fldChar w:fldCharType="separate"/>
        </w:r>
        <w:r w:rsidR="00B6702A">
          <w:rPr>
            <w:noProof/>
            <w:webHidden/>
          </w:rPr>
          <w:t>8</w:t>
        </w:r>
        <w:r w:rsidR="00B6702A">
          <w:rPr>
            <w:noProof/>
            <w:webHidden/>
          </w:rPr>
          <w:fldChar w:fldCharType="end"/>
        </w:r>
      </w:hyperlink>
    </w:p>
    <w:p w14:paraId="45761FEA" w14:textId="17EA28A4"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10" w:history="1">
        <w:r w:rsidR="00B6702A" w:rsidRPr="001658EA">
          <w:rPr>
            <w:rStyle w:val="Hyperlink"/>
            <w:noProof/>
          </w:rPr>
          <w:t>Transferred referrals.</w:t>
        </w:r>
        <w:r w:rsidR="00B6702A">
          <w:rPr>
            <w:noProof/>
            <w:webHidden/>
          </w:rPr>
          <w:tab/>
        </w:r>
        <w:r w:rsidR="00B6702A">
          <w:rPr>
            <w:noProof/>
            <w:webHidden/>
          </w:rPr>
          <w:fldChar w:fldCharType="begin"/>
        </w:r>
        <w:r w:rsidR="00B6702A">
          <w:rPr>
            <w:noProof/>
            <w:webHidden/>
          </w:rPr>
          <w:instrText xml:space="preserve"> PAGEREF _Toc167113110 \h </w:instrText>
        </w:r>
        <w:r w:rsidR="00B6702A">
          <w:rPr>
            <w:noProof/>
            <w:webHidden/>
          </w:rPr>
        </w:r>
        <w:r w:rsidR="00B6702A">
          <w:rPr>
            <w:noProof/>
            <w:webHidden/>
          </w:rPr>
          <w:fldChar w:fldCharType="separate"/>
        </w:r>
        <w:r w:rsidR="00B6702A">
          <w:rPr>
            <w:noProof/>
            <w:webHidden/>
          </w:rPr>
          <w:t>9</w:t>
        </w:r>
        <w:r w:rsidR="00B6702A">
          <w:rPr>
            <w:noProof/>
            <w:webHidden/>
          </w:rPr>
          <w:fldChar w:fldCharType="end"/>
        </w:r>
      </w:hyperlink>
    </w:p>
    <w:p w14:paraId="5FB32394" w14:textId="5F1DB024"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11" w:history="1">
        <w:r w:rsidR="00B6702A" w:rsidRPr="001658EA">
          <w:rPr>
            <w:rStyle w:val="Hyperlink"/>
            <w:noProof/>
          </w:rPr>
          <w:t>Requesting new referrals</w:t>
        </w:r>
        <w:r w:rsidR="00B6702A">
          <w:rPr>
            <w:noProof/>
            <w:webHidden/>
          </w:rPr>
          <w:tab/>
        </w:r>
        <w:r w:rsidR="00B6702A">
          <w:rPr>
            <w:noProof/>
            <w:webHidden/>
          </w:rPr>
          <w:fldChar w:fldCharType="begin"/>
        </w:r>
        <w:r w:rsidR="00B6702A">
          <w:rPr>
            <w:noProof/>
            <w:webHidden/>
          </w:rPr>
          <w:instrText xml:space="preserve"> PAGEREF _Toc167113111 \h </w:instrText>
        </w:r>
        <w:r w:rsidR="00B6702A">
          <w:rPr>
            <w:noProof/>
            <w:webHidden/>
          </w:rPr>
        </w:r>
        <w:r w:rsidR="00B6702A">
          <w:rPr>
            <w:noProof/>
            <w:webHidden/>
          </w:rPr>
          <w:fldChar w:fldCharType="separate"/>
        </w:r>
        <w:r w:rsidR="00B6702A">
          <w:rPr>
            <w:noProof/>
            <w:webHidden/>
          </w:rPr>
          <w:t>10</w:t>
        </w:r>
        <w:r w:rsidR="00B6702A">
          <w:rPr>
            <w:noProof/>
            <w:webHidden/>
          </w:rPr>
          <w:fldChar w:fldCharType="end"/>
        </w:r>
      </w:hyperlink>
    </w:p>
    <w:p w14:paraId="7668E138" w14:textId="12A0D5FA"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12" w:history="1">
        <w:r w:rsidR="00B6702A" w:rsidRPr="001658EA">
          <w:rPr>
            <w:rStyle w:val="Hyperlink"/>
            <w:noProof/>
          </w:rPr>
          <w:t>Services that do not require referrals</w:t>
        </w:r>
        <w:r w:rsidR="00B6702A">
          <w:rPr>
            <w:noProof/>
            <w:webHidden/>
          </w:rPr>
          <w:tab/>
        </w:r>
        <w:r w:rsidR="00B6702A">
          <w:rPr>
            <w:noProof/>
            <w:webHidden/>
          </w:rPr>
          <w:fldChar w:fldCharType="begin"/>
        </w:r>
        <w:r w:rsidR="00B6702A">
          <w:rPr>
            <w:noProof/>
            <w:webHidden/>
          </w:rPr>
          <w:instrText xml:space="preserve"> PAGEREF _Toc167113112 \h </w:instrText>
        </w:r>
        <w:r w:rsidR="00B6702A">
          <w:rPr>
            <w:noProof/>
            <w:webHidden/>
          </w:rPr>
        </w:r>
        <w:r w:rsidR="00B6702A">
          <w:rPr>
            <w:noProof/>
            <w:webHidden/>
          </w:rPr>
          <w:fldChar w:fldCharType="separate"/>
        </w:r>
        <w:r w:rsidR="00B6702A">
          <w:rPr>
            <w:noProof/>
            <w:webHidden/>
          </w:rPr>
          <w:t>10</w:t>
        </w:r>
        <w:r w:rsidR="00B6702A">
          <w:rPr>
            <w:noProof/>
            <w:webHidden/>
          </w:rPr>
          <w:fldChar w:fldCharType="end"/>
        </w:r>
      </w:hyperlink>
    </w:p>
    <w:p w14:paraId="3095163C" w14:textId="783E4FB3"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13" w:history="1">
        <w:r w:rsidR="00B6702A" w:rsidRPr="001658EA">
          <w:rPr>
            <w:rStyle w:val="Hyperlink"/>
            <w:noProof/>
          </w:rPr>
          <w:t>Diagnostic Imaging – ‘Self-determined’ Services</w:t>
        </w:r>
        <w:r w:rsidR="00B6702A">
          <w:rPr>
            <w:noProof/>
            <w:webHidden/>
          </w:rPr>
          <w:tab/>
        </w:r>
        <w:r w:rsidR="00B6702A">
          <w:rPr>
            <w:noProof/>
            <w:webHidden/>
          </w:rPr>
          <w:fldChar w:fldCharType="begin"/>
        </w:r>
        <w:r w:rsidR="00B6702A">
          <w:rPr>
            <w:noProof/>
            <w:webHidden/>
          </w:rPr>
          <w:instrText xml:space="preserve"> PAGEREF _Toc167113113 \h </w:instrText>
        </w:r>
        <w:r w:rsidR="00B6702A">
          <w:rPr>
            <w:noProof/>
            <w:webHidden/>
          </w:rPr>
        </w:r>
        <w:r w:rsidR="00B6702A">
          <w:rPr>
            <w:noProof/>
            <w:webHidden/>
          </w:rPr>
          <w:fldChar w:fldCharType="separate"/>
        </w:r>
        <w:r w:rsidR="00B6702A">
          <w:rPr>
            <w:noProof/>
            <w:webHidden/>
          </w:rPr>
          <w:t>12</w:t>
        </w:r>
        <w:r w:rsidR="00B6702A">
          <w:rPr>
            <w:noProof/>
            <w:webHidden/>
          </w:rPr>
          <w:fldChar w:fldCharType="end"/>
        </w:r>
      </w:hyperlink>
    </w:p>
    <w:p w14:paraId="6282BD0F" w14:textId="56218BA9"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14" w:history="1">
        <w:r w:rsidR="00B6702A" w:rsidRPr="001658EA">
          <w:rPr>
            <w:rStyle w:val="Hyperlink"/>
            <w:noProof/>
          </w:rPr>
          <w:t>Bulk Billing for Locum Tenens and Staff Specialist Leave Cover</w:t>
        </w:r>
        <w:r w:rsidR="00B6702A">
          <w:rPr>
            <w:noProof/>
            <w:webHidden/>
          </w:rPr>
          <w:tab/>
        </w:r>
        <w:r w:rsidR="00B6702A">
          <w:rPr>
            <w:noProof/>
            <w:webHidden/>
          </w:rPr>
          <w:fldChar w:fldCharType="begin"/>
        </w:r>
        <w:r w:rsidR="00B6702A">
          <w:rPr>
            <w:noProof/>
            <w:webHidden/>
          </w:rPr>
          <w:instrText xml:space="preserve"> PAGEREF _Toc167113114 \h </w:instrText>
        </w:r>
        <w:r w:rsidR="00B6702A">
          <w:rPr>
            <w:noProof/>
            <w:webHidden/>
          </w:rPr>
        </w:r>
        <w:r w:rsidR="00B6702A">
          <w:rPr>
            <w:noProof/>
            <w:webHidden/>
          </w:rPr>
          <w:fldChar w:fldCharType="separate"/>
        </w:r>
        <w:r w:rsidR="00B6702A">
          <w:rPr>
            <w:noProof/>
            <w:webHidden/>
          </w:rPr>
          <w:t>12</w:t>
        </w:r>
        <w:r w:rsidR="00B6702A">
          <w:rPr>
            <w:noProof/>
            <w:webHidden/>
          </w:rPr>
          <w:fldChar w:fldCharType="end"/>
        </w:r>
      </w:hyperlink>
    </w:p>
    <w:p w14:paraId="4C9BCA4E" w14:textId="322B11A5" w:rsidR="00B6702A" w:rsidRDefault="00CD4A22">
      <w:pPr>
        <w:pStyle w:val="TOC1"/>
        <w:tabs>
          <w:tab w:val="right" w:leader="dot" w:pos="9060"/>
        </w:tabs>
        <w:rPr>
          <w:rFonts w:eastAsiaTheme="minorEastAsia" w:cstheme="minorBidi"/>
          <w:noProof/>
          <w:kern w:val="2"/>
          <w:sz w:val="22"/>
          <w:szCs w:val="22"/>
          <w:lang w:eastAsia="en-AU"/>
          <w14:ligatures w14:val="standardContextual"/>
        </w:rPr>
      </w:pPr>
      <w:hyperlink w:anchor="_Toc167113115" w:history="1">
        <w:r w:rsidR="00B6702A" w:rsidRPr="001658EA">
          <w:rPr>
            <w:rStyle w:val="Hyperlink"/>
            <w:noProof/>
          </w:rPr>
          <w:t>Section 4 – Consultations and Other Professional Attendances for Medicare/DVA Billing</w:t>
        </w:r>
        <w:r w:rsidR="00B6702A">
          <w:rPr>
            <w:noProof/>
            <w:webHidden/>
          </w:rPr>
          <w:tab/>
        </w:r>
        <w:r w:rsidR="00B6702A">
          <w:rPr>
            <w:noProof/>
            <w:webHidden/>
          </w:rPr>
          <w:fldChar w:fldCharType="begin"/>
        </w:r>
        <w:r w:rsidR="00B6702A">
          <w:rPr>
            <w:noProof/>
            <w:webHidden/>
          </w:rPr>
          <w:instrText xml:space="preserve"> PAGEREF _Toc167113115 \h </w:instrText>
        </w:r>
        <w:r w:rsidR="00B6702A">
          <w:rPr>
            <w:noProof/>
            <w:webHidden/>
          </w:rPr>
        </w:r>
        <w:r w:rsidR="00B6702A">
          <w:rPr>
            <w:noProof/>
            <w:webHidden/>
          </w:rPr>
          <w:fldChar w:fldCharType="separate"/>
        </w:r>
        <w:r w:rsidR="00B6702A">
          <w:rPr>
            <w:noProof/>
            <w:webHidden/>
          </w:rPr>
          <w:t>13</w:t>
        </w:r>
        <w:r w:rsidR="00B6702A">
          <w:rPr>
            <w:noProof/>
            <w:webHidden/>
          </w:rPr>
          <w:fldChar w:fldCharType="end"/>
        </w:r>
      </w:hyperlink>
    </w:p>
    <w:p w14:paraId="0FACF4B8" w14:textId="4C15A120"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16" w:history="1">
        <w:r w:rsidR="00B6702A" w:rsidRPr="001658EA">
          <w:rPr>
            <w:rStyle w:val="Hyperlink"/>
            <w:noProof/>
          </w:rPr>
          <w:t>When to bill an initial consultation verses a review/follow-up consultation</w:t>
        </w:r>
        <w:r w:rsidR="00B6702A">
          <w:rPr>
            <w:noProof/>
            <w:webHidden/>
          </w:rPr>
          <w:tab/>
        </w:r>
        <w:r w:rsidR="00B6702A">
          <w:rPr>
            <w:noProof/>
            <w:webHidden/>
          </w:rPr>
          <w:fldChar w:fldCharType="begin"/>
        </w:r>
        <w:r w:rsidR="00B6702A">
          <w:rPr>
            <w:noProof/>
            <w:webHidden/>
          </w:rPr>
          <w:instrText xml:space="preserve"> PAGEREF _Toc167113116 \h </w:instrText>
        </w:r>
        <w:r w:rsidR="00B6702A">
          <w:rPr>
            <w:noProof/>
            <w:webHidden/>
          </w:rPr>
        </w:r>
        <w:r w:rsidR="00B6702A">
          <w:rPr>
            <w:noProof/>
            <w:webHidden/>
          </w:rPr>
          <w:fldChar w:fldCharType="separate"/>
        </w:r>
        <w:r w:rsidR="00B6702A">
          <w:rPr>
            <w:noProof/>
            <w:webHidden/>
          </w:rPr>
          <w:t>13</w:t>
        </w:r>
        <w:r w:rsidR="00B6702A">
          <w:rPr>
            <w:noProof/>
            <w:webHidden/>
          </w:rPr>
          <w:fldChar w:fldCharType="end"/>
        </w:r>
      </w:hyperlink>
    </w:p>
    <w:p w14:paraId="7934FD46" w14:textId="6C08C695"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17" w:history="1">
        <w:r w:rsidR="00B6702A" w:rsidRPr="001658EA">
          <w:rPr>
            <w:rStyle w:val="Hyperlink"/>
            <w:noProof/>
          </w:rPr>
          <w:t>Billing for multiple services provided on the same day</w:t>
        </w:r>
        <w:r w:rsidR="00B6702A">
          <w:rPr>
            <w:noProof/>
            <w:webHidden/>
          </w:rPr>
          <w:tab/>
        </w:r>
        <w:r w:rsidR="00B6702A">
          <w:rPr>
            <w:noProof/>
            <w:webHidden/>
          </w:rPr>
          <w:fldChar w:fldCharType="begin"/>
        </w:r>
        <w:r w:rsidR="00B6702A">
          <w:rPr>
            <w:noProof/>
            <w:webHidden/>
          </w:rPr>
          <w:instrText xml:space="preserve"> PAGEREF _Toc167113117 \h </w:instrText>
        </w:r>
        <w:r w:rsidR="00B6702A">
          <w:rPr>
            <w:noProof/>
            <w:webHidden/>
          </w:rPr>
        </w:r>
        <w:r w:rsidR="00B6702A">
          <w:rPr>
            <w:noProof/>
            <w:webHidden/>
          </w:rPr>
          <w:fldChar w:fldCharType="separate"/>
        </w:r>
        <w:r w:rsidR="00B6702A">
          <w:rPr>
            <w:noProof/>
            <w:webHidden/>
          </w:rPr>
          <w:t>14</w:t>
        </w:r>
        <w:r w:rsidR="00B6702A">
          <w:rPr>
            <w:noProof/>
            <w:webHidden/>
          </w:rPr>
          <w:fldChar w:fldCharType="end"/>
        </w:r>
      </w:hyperlink>
    </w:p>
    <w:p w14:paraId="00E55CBF" w14:textId="7FD4B891"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18" w:history="1">
        <w:r w:rsidR="00B6702A" w:rsidRPr="001658EA">
          <w:rPr>
            <w:rStyle w:val="Hyperlink"/>
            <w:noProof/>
          </w:rPr>
          <w:t>Specialist Trainees</w:t>
        </w:r>
        <w:r w:rsidR="00B6702A">
          <w:rPr>
            <w:noProof/>
            <w:webHidden/>
          </w:rPr>
          <w:tab/>
        </w:r>
        <w:r w:rsidR="00B6702A">
          <w:rPr>
            <w:noProof/>
            <w:webHidden/>
          </w:rPr>
          <w:fldChar w:fldCharType="begin"/>
        </w:r>
        <w:r w:rsidR="00B6702A">
          <w:rPr>
            <w:noProof/>
            <w:webHidden/>
          </w:rPr>
          <w:instrText xml:space="preserve"> PAGEREF _Toc167113118 \h </w:instrText>
        </w:r>
        <w:r w:rsidR="00B6702A">
          <w:rPr>
            <w:noProof/>
            <w:webHidden/>
          </w:rPr>
        </w:r>
        <w:r w:rsidR="00B6702A">
          <w:rPr>
            <w:noProof/>
            <w:webHidden/>
          </w:rPr>
          <w:fldChar w:fldCharType="separate"/>
        </w:r>
        <w:r w:rsidR="00B6702A">
          <w:rPr>
            <w:noProof/>
            <w:webHidden/>
          </w:rPr>
          <w:t>15</w:t>
        </w:r>
        <w:r w:rsidR="00B6702A">
          <w:rPr>
            <w:noProof/>
            <w:webHidden/>
          </w:rPr>
          <w:fldChar w:fldCharType="end"/>
        </w:r>
      </w:hyperlink>
    </w:p>
    <w:p w14:paraId="7A23B7AB" w14:textId="369C1691"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19" w:history="1">
        <w:r w:rsidR="00B6702A" w:rsidRPr="001658EA">
          <w:rPr>
            <w:rStyle w:val="Hyperlink"/>
            <w:noProof/>
          </w:rPr>
          <w:t>Public health services for Medicare Non-Eligible Patients during the COVID-19 period.</w:t>
        </w:r>
        <w:r w:rsidR="00B6702A">
          <w:rPr>
            <w:noProof/>
            <w:webHidden/>
          </w:rPr>
          <w:tab/>
        </w:r>
        <w:r w:rsidR="00B6702A">
          <w:rPr>
            <w:noProof/>
            <w:webHidden/>
          </w:rPr>
          <w:fldChar w:fldCharType="begin"/>
        </w:r>
        <w:r w:rsidR="00B6702A">
          <w:rPr>
            <w:noProof/>
            <w:webHidden/>
          </w:rPr>
          <w:instrText xml:space="preserve"> PAGEREF _Toc167113119 \h </w:instrText>
        </w:r>
        <w:r w:rsidR="00B6702A">
          <w:rPr>
            <w:noProof/>
            <w:webHidden/>
          </w:rPr>
        </w:r>
        <w:r w:rsidR="00B6702A">
          <w:rPr>
            <w:noProof/>
            <w:webHidden/>
          </w:rPr>
          <w:fldChar w:fldCharType="separate"/>
        </w:r>
        <w:r w:rsidR="00B6702A">
          <w:rPr>
            <w:noProof/>
            <w:webHidden/>
          </w:rPr>
          <w:t>16</w:t>
        </w:r>
        <w:r w:rsidR="00B6702A">
          <w:rPr>
            <w:noProof/>
            <w:webHidden/>
          </w:rPr>
          <w:fldChar w:fldCharType="end"/>
        </w:r>
      </w:hyperlink>
    </w:p>
    <w:p w14:paraId="474A0260" w14:textId="07888842"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20" w:history="1">
        <w:r w:rsidR="00B6702A" w:rsidRPr="001658EA">
          <w:rPr>
            <w:rStyle w:val="Hyperlink"/>
            <w:noProof/>
          </w:rPr>
          <w:t>MBS Specialist Telehealth Services</w:t>
        </w:r>
        <w:r w:rsidR="00B6702A">
          <w:rPr>
            <w:noProof/>
            <w:webHidden/>
          </w:rPr>
          <w:tab/>
        </w:r>
        <w:r w:rsidR="00B6702A">
          <w:rPr>
            <w:noProof/>
            <w:webHidden/>
          </w:rPr>
          <w:fldChar w:fldCharType="begin"/>
        </w:r>
        <w:r w:rsidR="00B6702A">
          <w:rPr>
            <w:noProof/>
            <w:webHidden/>
          </w:rPr>
          <w:instrText xml:space="preserve"> PAGEREF _Toc167113120 \h </w:instrText>
        </w:r>
        <w:r w:rsidR="00B6702A">
          <w:rPr>
            <w:noProof/>
            <w:webHidden/>
          </w:rPr>
        </w:r>
        <w:r w:rsidR="00B6702A">
          <w:rPr>
            <w:noProof/>
            <w:webHidden/>
          </w:rPr>
          <w:fldChar w:fldCharType="separate"/>
        </w:r>
        <w:r w:rsidR="00B6702A">
          <w:rPr>
            <w:noProof/>
            <w:webHidden/>
          </w:rPr>
          <w:t>16</w:t>
        </w:r>
        <w:r w:rsidR="00B6702A">
          <w:rPr>
            <w:noProof/>
            <w:webHidden/>
          </w:rPr>
          <w:fldChar w:fldCharType="end"/>
        </w:r>
      </w:hyperlink>
    </w:p>
    <w:p w14:paraId="7D49E76D" w14:textId="7F9F72A7"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21" w:history="1">
        <w:r w:rsidR="00B6702A" w:rsidRPr="001658EA">
          <w:rPr>
            <w:rStyle w:val="Hyperlink"/>
            <w:noProof/>
          </w:rPr>
          <w:t>What is the ‘30/20 rule'?</w:t>
        </w:r>
        <w:r w:rsidR="00B6702A">
          <w:rPr>
            <w:noProof/>
            <w:webHidden/>
          </w:rPr>
          <w:tab/>
        </w:r>
        <w:r w:rsidR="00B6702A">
          <w:rPr>
            <w:noProof/>
            <w:webHidden/>
          </w:rPr>
          <w:fldChar w:fldCharType="begin"/>
        </w:r>
        <w:r w:rsidR="00B6702A">
          <w:rPr>
            <w:noProof/>
            <w:webHidden/>
          </w:rPr>
          <w:instrText xml:space="preserve"> PAGEREF _Toc167113121 \h </w:instrText>
        </w:r>
        <w:r w:rsidR="00B6702A">
          <w:rPr>
            <w:noProof/>
            <w:webHidden/>
          </w:rPr>
        </w:r>
        <w:r w:rsidR="00B6702A">
          <w:rPr>
            <w:noProof/>
            <w:webHidden/>
          </w:rPr>
          <w:fldChar w:fldCharType="separate"/>
        </w:r>
        <w:r w:rsidR="00B6702A">
          <w:rPr>
            <w:noProof/>
            <w:webHidden/>
          </w:rPr>
          <w:t>16</w:t>
        </w:r>
        <w:r w:rsidR="00B6702A">
          <w:rPr>
            <w:noProof/>
            <w:webHidden/>
          </w:rPr>
          <w:fldChar w:fldCharType="end"/>
        </w:r>
      </w:hyperlink>
    </w:p>
    <w:p w14:paraId="1740368A" w14:textId="0D1FD416" w:rsidR="00B6702A" w:rsidRDefault="00CD4A22">
      <w:pPr>
        <w:pStyle w:val="TOC1"/>
        <w:tabs>
          <w:tab w:val="right" w:leader="dot" w:pos="9060"/>
        </w:tabs>
        <w:rPr>
          <w:rFonts w:eastAsiaTheme="minorEastAsia" w:cstheme="minorBidi"/>
          <w:noProof/>
          <w:kern w:val="2"/>
          <w:sz w:val="22"/>
          <w:szCs w:val="22"/>
          <w:lang w:eastAsia="en-AU"/>
          <w14:ligatures w14:val="standardContextual"/>
        </w:rPr>
      </w:pPr>
      <w:hyperlink w:anchor="_Toc167113122" w:history="1">
        <w:r w:rsidR="00B6702A" w:rsidRPr="001658EA">
          <w:rPr>
            <w:rStyle w:val="Hyperlink"/>
            <w:noProof/>
          </w:rPr>
          <w:t>Section 5 – Other Billed Non-Admitted Categories</w:t>
        </w:r>
        <w:r w:rsidR="00B6702A">
          <w:rPr>
            <w:noProof/>
            <w:webHidden/>
          </w:rPr>
          <w:tab/>
        </w:r>
        <w:r w:rsidR="00B6702A">
          <w:rPr>
            <w:noProof/>
            <w:webHidden/>
          </w:rPr>
          <w:fldChar w:fldCharType="begin"/>
        </w:r>
        <w:r w:rsidR="00B6702A">
          <w:rPr>
            <w:noProof/>
            <w:webHidden/>
          </w:rPr>
          <w:instrText xml:space="preserve"> PAGEREF _Toc167113122 \h </w:instrText>
        </w:r>
        <w:r w:rsidR="00B6702A">
          <w:rPr>
            <w:noProof/>
            <w:webHidden/>
          </w:rPr>
        </w:r>
        <w:r w:rsidR="00B6702A">
          <w:rPr>
            <w:noProof/>
            <w:webHidden/>
          </w:rPr>
          <w:fldChar w:fldCharType="separate"/>
        </w:r>
        <w:r w:rsidR="00B6702A">
          <w:rPr>
            <w:noProof/>
            <w:webHidden/>
          </w:rPr>
          <w:t>16</w:t>
        </w:r>
        <w:r w:rsidR="00B6702A">
          <w:rPr>
            <w:noProof/>
            <w:webHidden/>
          </w:rPr>
          <w:fldChar w:fldCharType="end"/>
        </w:r>
      </w:hyperlink>
    </w:p>
    <w:p w14:paraId="1578FC04" w14:textId="67D48350"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23" w:history="1">
        <w:r w:rsidR="00B6702A" w:rsidRPr="001658EA">
          <w:rPr>
            <w:rStyle w:val="Hyperlink"/>
            <w:noProof/>
          </w:rPr>
          <w:t>Defence Personnel</w:t>
        </w:r>
        <w:r w:rsidR="00B6702A">
          <w:rPr>
            <w:noProof/>
            <w:webHidden/>
          </w:rPr>
          <w:tab/>
        </w:r>
        <w:r w:rsidR="00B6702A">
          <w:rPr>
            <w:noProof/>
            <w:webHidden/>
          </w:rPr>
          <w:fldChar w:fldCharType="begin"/>
        </w:r>
        <w:r w:rsidR="00B6702A">
          <w:rPr>
            <w:noProof/>
            <w:webHidden/>
          </w:rPr>
          <w:instrText xml:space="preserve"> PAGEREF _Toc167113123 \h </w:instrText>
        </w:r>
        <w:r w:rsidR="00B6702A">
          <w:rPr>
            <w:noProof/>
            <w:webHidden/>
          </w:rPr>
        </w:r>
        <w:r w:rsidR="00B6702A">
          <w:rPr>
            <w:noProof/>
            <w:webHidden/>
          </w:rPr>
          <w:fldChar w:fldCharType="separate"/>
        </w:r>
        <w:r w:rsidR="00B6702A">
          <w:rPr>
            <w:noProof/>
            <w:webHidden/>
          </w:rPr>
          <w:t>16</w:t>
        </w:r>
        <w:r w:rsidR="00B6702A">
          <w:rPr>
            <w:noProof/>
            <w:webHidden/>
          </w:rPr>
          <w:fldChar w:fldCharType="end"/>
        </w:r>
      </w:hyperlink>
    </w:p>
    <w:p w14:paraId="5D68DB8D" w14:textId="17777F4D"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24" w:history="1">
        <w:r w:rsidR="00B6702A" w:rsidRPr="001658EA">
          <w:rPr>
            <w:rStyle w:val="Hyperlink"/>
            <w:noProof/>
          </w:rPr>
          <w:t>Compensable Patient</w:t>
        </w:r>
        <w:r w:rsidR="00B6702A">
          <w:rPr>
            <w:noProof/>
            <w:webHidden/>
          </w:rPr>
          <w:tab/>
        </w:r>
        <w:r w:rsidR="00B6702A">
          <w:rPr>
            <w:noProof/>
            <w:webHidden/>
          </w:rPr>
          <w:fldChar w:fldCharType="begin"/>
        </w:r>
        <w:r w:rsidR="00B6702A">
          <w:rPr>
            <w:noProof/>
            <w:webHidden/>
          </w:rPr>
          <w:instrText xml:space="preserve"> PAGEREF _Toc167113124 \h </w:instrText>
        </w:r>
        <w:r w:rsidR="00B6702A">
          <w:rPr>
            <w:noProof/>
            <w:webHidden/>
          </w:rPr>
        </w:r>
        <w:r w:rsidR="00B6702A">
          <w:rPr>
            <w:noProof/>
            <w:webHidden/>
          </w:rPr>
          <w:fldChar w:fldCharType="separate"/>
        </w:r>
        <w:r w:rsidR="00B6702A">
          <w:rPr>
            <w:noProof/>
            <w:webHidden/>
          </w:rPr>
          <w:t>17</w:t>
        </w:r>
        <w:r w:rsidR="00B6702A">
          <w:rPr>
            <w:noProof/>
            <w:webHidden/>
          </w:rPr>
          <w:fldChar w:fldCharType="end"/>
        </w:r>
      </w:hyperlink>
    </w:p>
    <w:p w14:paraId="1ABB8F9C" w14:textId="1C49DA5C"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25" w:history="1">
        <w:r w:rsidR="00B6702A" w:rsidRPr="001658EA">
          <w:rPr>
            <w:rStyle w:val="Hyperlink"/>
            <w:noProof/>
          </w:rPr>
          <w:t>Workers Compensation/Third Party/Public Liability Patient</w:t>
        </w:r>
        <w:r w:rsidR="00B6702A">
          <w:rPr>
            <w:noProof/>
            <w:webHidden/>
          </w:rPr>
          <w:tab/>
        </w:r>
        <w:r w:rsidR="00B6702A">
          <w:rPr>
            <w:noProof/>
            <w:webHidden/>
          </w:rPr>
          <w:fldChar w:fldCharType="begin"/>
        </w:r>
        <w:r w:rsidR="00B6702A">
          <w:rPr>
            <w:noProof/>
            <w:webHidden/>
          </w:rPr>
          <w:instrText xml:space="preserve"> PAGEREF _Toc167113125 \h </w:instrText>
        </w:r>
        <w:r w:rsidR="00B6702A">
          <w:rPr>
            <w:noProof/>
            <w:webHidden/>
          </w:rPr>
        </w:r>
        <w:r w:rsidR="00B6702A">
          <w:rPr>
            <w:noProof/>
            <w:webHidden/>
          </w:rPr>
          <w:fldChar w:fldCharType="separate"/>
        </w:r>
        <w:r w:rsidR="00B6702A">
          <w:rPr>
            <w:noProof/>
            <w:webHidden/>
          </w:rPr>
          <w:t>17</w:t>
        </w:r>
        <w:r w:rsidR="00B6702A">
          <w:rPr>
            <w:noProof/>
            <w:webHidden/>
          </w:rPr>
          <w:fldChar w:fldCharType="end"/>
        </w:r>
      </w:hyperlink>
    </w:p>
    <w:p w14:paraId="28810FEA" w14:textId="0D5D5742"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26" w:history="1">
        <w:r w:rsidR="00B6702A" w:rsidRPr="001658EA">
          <w:rPr>
            <w:rStyle w:val="Hyperlink"/>
            <w:noProof/>
          </w:rPr>
          <w:t>Lifetime Care and Support Scheme (LCSS)</w:t>
        </w:r>
        <w:r w:rsidR="00B6702A">
          <w:rPr>
            <w:noProof/>
            <w:webHidden/>
          </w:rPr>
          <w:tab/>
        </w:r>
        <w:r w:rsidR="00B6702A">
          <w:rPr>
            <w:noProof/>
            <w:webHidden/>
          </w:rPr>
          <w:fldChar w:fldCharType="begin"/>
        </w:r>
        <w:r w:rsidR="00B6702A">
          <w:rPr>
            <w:noProof/>
            <w:webHidden/>
          </w:rPr>
          <w:instrText xml:space="preserve"> PAGEREF _Toc167113126 \h </w:instrText>
        </w:r>
        <w:r w:rsidR="00B6702A">
          <w:rPr>
            <w:noProof/>
            <w:webHidden/>
          </w:rPr>
        </w:r>
        <w:r w:rsidR="00B6702A">
          <w:rPr>
            <w:noProof/>
            <w:webHidden/>
          </w:rPr>
          <w:fldChar w:fldCharType="separate"/>
        </w:r>
        <w:r w:rsidR="00B6702A">
          <w:rPr>
            <w:noProof/>
            <w:webHidden/>
          </w:rPr>
          <w:t>18</w:t>
        </w:r>
        <w:r w:rsidR="00B6702A">
          <w:rPr>
            <w:noProof/>
            <w:webHidden/>
          </w:rPr>
          <w:fldChar w:fldCharType="end"/>
        </w:r>
      </w:hyperlink>
    </w:p>
    <w:p w14:paraId="7A4C5F58" w14:textId="6375A9D2"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27" w:history="1">
        <w:r w:rsidR="00B6702A" w:rsidRPr="001658EA">
          <w:rPr>
            <w:rStyle w:val="Hyperlink"/>
            <w:noProof/>
          </w:rPr>
          <w:t>Medicare Non-Eligible/Ineligible</w:t>
        </w:r>
        <w:r w:rsidR="00B6702A">
          <w:rPr>
            <w:noProof/>
            <w:webHidden/>
          </w:rPr>
          <w:tab/>
        </w:r>
        <w:r w:rsidR="00B6702A">
          <w:rPr>
            <w:noProof/>
            <w:webHidden/>
          </w:rPr>
          <w:fldChar w:fldCharType="begin"/>
        </w:r>
        <w:r w:rsidR="00B6702A">
          <w:rPr>
            <w:noProof/>
            <w:webHidden/>
          </w:rPr>
          <w:instrText xml:space="preserve"> PAGEREF _Toc167113127 \h </w:instrText>
        </w:r>
        <w:r w:rsidR="00B6702A">
          <w:rPr>
            <w:noProof/>
            <w:webHidden/>
          </w:rPr>
        </w:r>
        <w:r w:rsidR="00B6702A">
          <w:rPr>
            <w:noProof/>
            <w:webHidden/>
          </w:rPr>
          <w:fldChar w:fldCharType="separate"/>
        </w:r>
        <w:r w:rsidR="00B6702A">
          <w:rPr>
            <w:noProof/>
            <w:webHidden/>
          </w:rPr>
          <w:t>18</w:t>
        </w:r>
        <w:r w:rsidR="00B6702A">
          <w:rPr>
            <w:noProof/>
            <w:webHidden/>
          </w:rPr>
          <w:fldChar w:fldCharType="end"/>
        </w:r>
      </w:hyperlink>
    </w:p>
    <w:p w14:paraId="5EF29CEA" w14:textId="5C9D5108"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28" w:history="1">
        <w:r w:rsidR="00B6702A" w:rsidRPr="001658EA">
          <w:rPr>
            <w:rStyle w:val="Hyperlink"/>
            <w:noProof/>
          </w:rPr>
          <w:t>Non-MBS Billable Items</w:t>
        </w:r>
        <w:r w:rsidR="00B6702A">
          <w:rPr>
            <w:noProof/>
            <w:webHidden/>
          </w:rPr>
          <w:tab/>
        </w:r>
        <w:r w:rsidR="00B6702A">
          <w:rPr>
            <w:noProof/>
            <w:webHidden/>
          </w:rPr>
          <w:fldChar w:fldCharType="begin"/>
        </w:r>
        <w:r w:rsidR="00B6702A">
          <w:rPr>
            <w:noProof/>
            <w:webHidden/>
          </w:rPr>
          <w:instrText xml:space="preserve"> PAGEREF _Toc167113128 \h </w:instrText>
        </w:r>
        <w:r w:rsidR="00B6702A">
          <w:rPr>
            <w:noProof/>
            <w:webHidden/>
          </w:rPr>
        </w:r>
        <w:r w:rsidR="00B6702A">
          <w:rPr>
            <w:noProof/>
            <w:webHidden/>
          </w:rPr>
          <w:fldChar w:fldCharType="separate"/>
        </w:r>
        <w:r w:rsidR="00B6702A">
          <w:rPr>
            <w:noProof/>
            <w:webHidden/>
          </w:rPr>
          <w:t>19</w:t>
        </w:r>
        <w:r w:rsidR="00B6702A">
          <w:rPr>
            <w:noProof/>
            <w:webHidden/>
          </w:rPr>
          <w:fldChar w:fldCharType="end"/>
        </w:r>
      </w:hyperlink>
    </w:p>
    <w:p w14:paraId="1C7AB738" w14:textId="6853E90E"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29" w:history="1">
        <w:r w:rsidR="00B6702A" w:rsidRPr="001658EA">
          <w:rPr>
            <w:rStyle w:val="Hyperlink"/>
            <w:noProof/>
          </w:rPr>
          <w:t>National Disability Insurance Scheme (NDIS)</w:t>
        </w:r>
        <w:r w:rsidR="00B6702A">
          <w:rPr>
            <w:noProof/>
            <w:webHidden/>
          </w:rPr>
          <w:tab/>
        </w:r>
        <w:r w:rsidR="00B6702A">
          <w:rPr>
            <w:noProof/>
            <w:webHidden/>
          </w:rPr>
          <w:fldChar w:fldCharType="begin"/>
        </w:r>
        <w:r w:rsidR="00B6702A">
          <w:rPr>
            <w:noProof/>
            <w:webHidden/>
          </w:rPr>
          <w:instrText xml:space="preserve"> PAGEREF _Toc167113129 \h </w:instrText>
        </w:r>
        <w:r w:rsidR="00B6702A">
          <w:rPr>
            <w:noProof/>
            <w:webHidden/>
          </w:rPr>
        </w:r>
        <w:r w:rsidR="00B6702A">
          <w:rPr>
            <w:noProof/>
            <w:webHidden/>
          </w:rPr>
          <w:fldChar w:fldCharType="separate"/>
        </w:r>
        <w:r w:rsidR="00B6702A">
          <w:rPr>
            <w:noProof/>
            <w:webHidden/>
          </w:rPr>
          <w:t>19</w:t>
        </w:r>
        <w:r w:rsidR="00B6702A">
          <w:rPr>
            <w:noProof/>
            <w:webHidden/>
          </w:rPr>
          <w:fldChar w:fldCharType="end"/>
        </w:r>
      </w:hyperlink>
    </w:p>
    <w:p w14:paraId="2AD39CA3" w14:textId="6C4924F1"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30" w:history="1">
        <w:r w:rsidR="00B6702A" w:rsidRPr="001658EA">
          <w:rPr>
            <w:rStyle w:val="Hyperlink"/>
            <w:noProof/>
          </w:rPr>
          <w:t>Asylum Seeker in Community Detention</w:t>
        </w:r>
        <w:r w:rsidR="00B6702A">
          <w:rPr>
            <w:noProof/>
            <w:webHidden/>
          </w:rPr>
          <w:tab/>
        </w:r>
        <w:r w:rsidR="00B6702A">
          <w:rPr>
            <w:noProof/>
            <w:webHidden/>
          </w:rPr>
          <w:fldChar w:fldCharType="begin"/>
        </w:r>
        <w:r w:rsidR="00B6702A">
          <w:rPr>
            <w:noProof/>
            <w:webHidden/>
          </w:rPr>
          <w:instrText xml:space="preserve"> PAGEREF _Toc167113130 \h </w:instrText>
        </w:r>
        <w:r w:rsidR="00B6702A">
          <w:rPr>
            <w:noProof/>
            <w:webHidden/>
          </w:rPr>
        </w:r>
        <w:r w:rsidR="00B6702A">
          <w:rPr>
            <w:noProof/>
            <w:webHidden/>
          </w:rPr>
          <w:fldChar w:fldCharType="separate"/>
        </w:r>
        <w:r w:rsidR="00B6702A">
          <w:rPr>
            <w:noProof/>
            <w:webHidden/>
          </w:rPr>
          <w:t>20</w:t>
        </w:r>
        <w:r w:rsidR="00B6702A">
          <w:rPr>
            <w:noProof/>
            <w:webHidden/>
          </w:rPr>
          <w:fldChar w:fldCharType="end"/>
        </w:r>
      </w:hyperlink>
    </w:p>
    <w:p w14:paraId="132CE306" w14:textId="4E8B82F0" w:rsidR="00B6702A" w:rsidRDefault="00CD4A22">
      <w:pPr>
        <w:pStyle w:val="TOC1"/>
        <w:tabs>
          <w:tab w:val="right" w:leader="dot" w:pos="9060"/>
        </w:tabs>
        <w:rPr>
          <w:rFonts w:eastAsiaTheme="minorEastAsia" w:cstheme="minorBidi"/>
          <w:noProof/>
          <w:kern w:val="2"/>
          <w:sz w:val="22"/>
          <w:szCs w:val="22"/>
          <w:lang w:eastAsia="en-AU"/>
          <w14:ligatures w14:val="standardContextual"/>
        </w:rPr>
      </w:pPr>
      <w:hyperlink w:anchor="_Toc167113131" w:history="1">
        <w:r w:rsidR="00B6702A" w:rsidRPr="001658EA">
          <w:rPr>
            <w:rStyle w:val="Hyperlink"/>
            <w:noProof/>
          </w:rPr>
          <w:t>Section 6 – Other Non-Billed Non-Admitted Categories</w:t>
        </w:r>
        <w:r w:rsidR="00B6702A">
          <w:rPr>
            <w:noProof/>
            <w:webHidden/>
          </w:rPr>
          <w:tab/>
        </w:r>
        <w:r w:rsidR="00B6702A">
          <w:rPr>
            <w:noProof/>
            <w:webHidden/>
          </w:rPr>
          <w:fldChar w:fldCharType="begin"/>
        </w:r>
        <w:r w:rsidR="00B6702A">
          <w:rPr>
            <w:noProof/>
            <w:webHidden/>
          </w:rPr>
          <w:instrText xml:space="preserve"> PAGEREF _Toc167113131 \h </w:instrText>
        </w:r>
        <w:r w:rsidR="00B6702A">
          <w:rPr>
            <w:noProof/>
            <w:webHidden/>
          </w:rPr>
        </w:r>
        <w:r w:rsidR="00B6702A">
          <w:rPr>
            <w:noProof/>
            <w:webHidden/>
          </w:rPr>
          <w:fldChar w:fldCharType="separate"/>
        </w:r>
        <w:r w:rsidR="00B6702A">
          <w:rPr>
            <w:noProof/>
            <w:webHidden/>
          </w:rPr>
          <w:t>20</w:t>
        </w:r>
        <w:r w:rsidR="00B6702A">
          <w:rPr>
            <w:noProof/>
            <w:webHidden/>
          </w:rPr>
          <w:fldChar w:fldCharType="end"/>
        </w:r>
      </w:hyperlink>
    </w:p>
    <w:p w14:paraId="3C0E0D6F" w14:textId="4DA46757"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32" w:history="1">
        <w:r w:rsidR="00B6702A" w:rsidRPr="001658EA">
          <w:rPr>
            <w:rStyle w:val="Hyperlink"/>
            <w:noProof/>
          </w:rPr>
          <w:t>Public Non-Admitted Services</w:t>
        </w:r>
        <w:r w:rsidR="00B6702A">
          <w:rPr>
            <w:noProof/>
            <w:webHidden/>
          </w:rPr>
          <w:tab/>
        </w:r>
        <w:r w:rsidR="00B6702A">
          <w:rPr>
            <w:noProof/>
            <w:webHidden/>
          </w:rPr>
          <w:fldChar w:fldCharType="begin"/>
        </w:r>
        <w:r w:rsidR="00B6702A">
          <w:rPr>
            <w:noProof/>
            <w:webHidden/>
          </w:rPr>
          <w:instrText xml:space="preserve"> PAGEREF _Toc167113132 \h </w:instrText>
        </w:r>
        <w:r w:rsidR="00B6702A">
          <w:rPr>
            <w:noProof/>
            <w:webHidden/>
          </w:rPr>
        </w:r>
        <w:r w:rsidR="00B6702A">
          <w:rPr>
            <w:noProof/>
            <w:webHidden/>
          </w:rPr>
          <w:fldChar w:fldCharType="separate"/>
        </w:r>
        <w:r w:rsidR="00B6702A">
          <w:rPr>
            <w:noProof/>
            <w:webHidden/>
          </w:rPr>
          <w:t>20</w:t>
        </w:r>
        <w:r w:rsidR="00B6702A">
          <w:rPr>
            <w:noProof/>
            <w:webHidden/>
          </w:rPr>
          <w:fldChar w:fldCharType="end"/>
        </w:r>
      </w:hyperlink>
    </w:p>
    <w:p w14:paraId="02263445" w14:textId="4E70542E"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33" w:history="1">
        <w:r w:rsidR="00B6702A" w:rsidRPr="001658EA">
          <w:rPr>
            <w:rStyle w:val="Hyperlink"/>
            <w:noProof/>
          </w:rPr>
          <w:t>Reciprocal Health Care Agreement Patients</w:t>
        </w:r>
        <w:r w:rsidR="00B6702A">
          <w:rPr>
            <w:noProof/>
            <w:webHidden/>
          </w:rPr>
          <w:tab/>
        </w:r>
        <w:r w:rsidR="00B6702A">
          <w:rPr>
            <w:noProof/>
            <w:webHidden/>
          </w:rPr>
          <w:fldChar w:fldCharType="begin"/>
        </w:r>
        <w:r w:rsidR="00B6702A">
          <w:rPr>
            <w:noProof/>
            <w:webHidden/>
          </w:rPr>
          <w:instrText xml:space="preserve"> PAGEREF _Toc167113133 \h </w:instrText>
        </w:r>
        <w:r w:rsidR="00B6702A">
          <w:rPr>
            <w:noProof/>
            <w:webHidden/>
          </w:rPr>
        </w:r>
        <w:r w:rsidR="00B6702A">
          <w:rPr>
            <w:noProof/>
            <w:webHidden/>
          </w:rPr>
          <w:fldChar w:fldCharType="separate"/>
        </w:r>
        <w:r w:rsidR="00B6702A">
          <w:rPr>
            <w:noProof/>
            <w:webHidden/>
          </w:rPr>
          <w:t>20</w:t>
        </w:r>
        <w:r w:rsidR="00B6702A">
          <w:rPr>
            <w:noProof/>
            <w:webHidden/>
          </w:rPr>
          <w:fldChar w:fldCharType="end"/>
        </w:r>
      </w:hyperlink>
    </w:p>
    <w:p w14:paraId="0EAFDF7C" w14:textId="628AE686"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34" w:history="1">
        <w:r w:rsidR="00B6702A" w:rsidRPr="001658EA">
          <w:rPr>
            <w:rStyle w:val="Hyperlink"/>
            <w:noProof/>
          </w:rPr>
          <w:t>Countries with Reciprocal Health Care Agreements with Australia</w:t>
        </w:r>
        <w:r w:rsidR="00B6702A">
          <w:rPr>
            <w:noProof/>
            <w:webHidden/>
          </w:rPr>
          <w:tab/>
        </w:r>
        <w:r w:rsidR="00B6702A">
          <w:rPr>
            <w:noProof/>
            <w:webHidden/>
          </w:rPr>
          <w:fldChar w:fldCharType="begin"/>
        </w:r>
        <w:r w:rsidR="00B6702A">
          <w:rPr>
            <w:noProof/>
            <w:webHidden/>
          </w:rPr>
          <w:instrText xml:space="preserve"> PAGEREF _Toc167113134 \h </w:instrText>
        </w:r>
        <w:r w:rsidR="00B6702A">
          <w:rPr>
            <w:noProof/>
            <w:webHidden/>
          </w:rPr>
        </w:r>
        <w:r w:rsidR="00B6702A">
          <w:rPr>
            <w:noProof/>
            <w:webHidden/>
          </w:rPr>
          <w:fldChar w:fldCharType="separate"/>
        </w:r>
        <w:r w:rsidR="00B6702A">
          <w:rPr>
            <w:noProof/>
            <w:webHidden/>
          </w:rPr>
          <w:t>21</w:t>
        </w:r>
        <w:r w:rsidR="00B6702A">
          <w:rPr>
            <w:noProof/>
            <w:webHidden/>
          </w:rPr>
          <w:fldChar w:fldCharType="end"/>
        </w:r>
      </w:hyperlink>
    </w:p>
    <w:p w14:paraId="0C1D562B" w14:textId="08829CF6"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35" w:history="1">
        <w:r w:rsidR="00B6702A" w:rsidRPr="001658EA">
          <w:rPr>
            <w:rStyle w:val="Hyperlink"/>
            <w:noProof/>
          </w:rPr>
          <w:t>Asylum Seeker with ACT Access Card</w:t>
        </w:r>
        <w:r w:rsidR="00B6702A">
          <w:rPr>
            <w:noProof/>
            <w:webHidden/>
          </w:rPr>
          <w:tab/>
        </w:r>
        <w:r w:rsidR="00B6702A">
          <w:rPr>
            <w:noProof/>
            <w:webHidden/>
          </w:rPr>
          <w:fldChar w:fldCharType="begin"/>
        </w:r>
        <w:r w:rsidR="00B6702A">
          <w:rPr>
            <w:noProof/>
            <w:webHidden/>
          </w:rPr>
          <w:instrText xml:space="preserve"> PAGEREF _Toc167113135 \h </w:instrText>
        </w:r>
        <w:r w:rsidR="00B6702A">
          <w:rPr>
            <w:noProof/>
            <w:webHidden/>
          </w:rPr>
        </w:r>
        <w:r w:rsidR="00B6702A">
          <w:rPr>
            <w:noProof/>
            <w:webHidden/>
          </w:rPr>
          <w:fldChar w:fldCharType="separate"/>
        </w:r>
        <w:r w:rsidR="00B6702A">
          <w:rPr>
            <w:noProof/>
            <w:webHidden/>
          </w:rPr>
          <w:t>22</w:t>
        </w:r>
        <w:r w:rsidR="00B6702A">
          <w:rPr>
            <w:noProof/>
            <w:webHidden/>
          </w:rPr>
          <w:fldChar w:fldCharType="end"/>
        </w:r>
      </w:hyperlink>
    </w:p>
    <w:p w14:paraId="5C7F69FD" w14:textId="7AD0129E"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36" w:history="1">
        <w:r w:rsidR="00B6702A" w:rsidRPr="001658EA">
          <w:rPr>
            <w:rStyle w:val="Hyperlink"/>
            <w:noProof/>
          </w:rPr>
          <w:t>Correctional Facility/Incarcerated Patient</w:t>
        </w:r>
        <w:r w:rsidR="00B6702A">
          <w:rPr>
            <w:noProof/>
            <w:webHidden/>
          </w:rPr>
          <w:tab/>
        </w:r>
        <w:r w:rsidR="00B6702A">
          <w:rPr>
            <w:noProof/>
            <w:webHidden/>
          </w:rPr>
          <w:fldChar w:fldCharType="begin"/>
        </w:r>
        <w:r w:rsidR="00B6702A">
          <w:rPr>
            <w:noProof/>
            <w:webHidden/>
          </w:rPr>
          <w:instrText xml:space="preserve"> PAGEREF _Toc167113136 \h </w:instrText>
        </w:r>
        <w:r w:rsidR="00B6702A">
          <w:rPr>
            <w:noProof/>
            <w:webHidden/>
          </w:rPr>
        </w:r>
        <w:r w:rsidR="00B6702A">
          <w:rPr>
            <w:noProof/>
            <w:webHidden/>
          </w:rPr>
          <w:fldChar w:fldCharType="separate"/>
        </w:r>
        <w:r w:rsidR="00B6702A">
          <w:rPr>
            <w:noProof/>
            <w:webHidden/>
          </w:rPr>
          <w:t>22</w:t>
        </w:r>
        <w:r w:rsidR="00B6702A">
          <w:rPr>
            <w:noProof/>
            <w:webHidden/>
          </w:rPr>
          <w:fldChar w:fldCharType="end"/>
        </w:r>
      </w:hyperlink>
    </w:p>
    <w:p w14:paraId="1F11FBDC" w14:textId="7BC6BA44"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37" w:history="1">
        <w:r w:rsidR="00B6702A" w:rsidRPr="001658EA">
          <w:rPr>
            <w:rStyle w:val="Hyperlink"/>
            <w:noProof/>
          </w:rPr>
          <w:t>Non-Eligible Exemptions</w:t>
        </w:r>
        <w:r w:rsidR="00B6702A">
          <w:rPr>
            <w:noProof/>
            <w:webHidden/>
          </w:rPr>
          <w:tab/>
        </w:r>
        <w:r w:rsidR="00B6702A">
          <w:rPr>
            <w:noProof/>
            <w:webHidden/>
          </w:rPr>
          <w:fldChar w:fldCharType="begin"/>
        </w:r>
        <w:r w:rsidR="00B6702A">
          <w:rPr>
            <w:noProof/>
            <w:webHidden/>
          </w:rPr>
          <w:instrText xml:space="preserve"> PAGEREF _Toc167113137 \h </w:instrText>
        </w:r>
        <w:r w:rsidR="00B6702A">
          <w:rPr>
            <w:noProof/>
            <w:webHidden/>
          </w:rPr>
        </w:r>
        <w:r w:rsidR="00B6702A">
          <w:rPr>
            <w:noProof/>
            <w:webHidden/>
          </w:rPr>
          <w:fldChar w:fldCharType="separate"/>
        </w:r>
        <w:r w:rsidR="00B6702A">
          <w:rPr>
            <w:noProof/>
            <w:webHidden/>
          </w:rPr>
          <w:t>22</w:t>
        </w:r>
        <w:r w:rsidR="00B6702A">
          <w:rPr>
            <w:noProof/>
            <w:webHidden/>
          </w:rPr>
          <w:fldChar w:fldCharType="end"/>
        </w:r>
      </w:hyperlink>
    </w:p>
    <w:p w14:paraId="0FF7DE72" w14:textId="3565BA8F" w:rsidR="00B6702A" w:rsidRDefault="00CD4A22">
      <w:pPr>
        <w:pStyle w:val="TOC1"/>
        <w:tabs>
          <w:tab w:val="right" w:leader="dot" w:pos="9060"/>
        </w:tabs>
        <w:rPr>
          <w:rFonts w:eastAsiaTheme="minorEastAsia" w:cstheme="minorBidi"/>
          <w:noProof/>
          <w:kern w:val="2"/>
          <w:sz w:val="22"/>
          <w:szCs w:val="22"/>
          <w:lang w:eastAsia="en-AU"/>
          <w14:ligatures w14:val="standardContextual"/>
        </w:rPr>
      </w:pPr>
      <w:hyperlink w:anchor="_Toc167113138" w:history="1">
        <w:r w:rsidR="00B6702A" w:rsidRPr="001658EA">
          <w:rPr>
            <w:rStyle w:val="Hyperlink"/>
            <w:noProof/>
          </w:rPr>
          <w:t>Section 7 – Admission Category Workflow</w:t>
        </w:r>
        <w:r w:rsidR="00B6702A">
          <w:rPr>
            <w:noProof/>
            <w:webHidden/>
          </w:rPr>
          <w:tab/>
        </w:r>
        <w:r w:rsidR="00B6702A">
          <w:rPr>
            <w:noProof/>
            <w:webHidden/>
          </w:rPr>
          <w:fldChar w:fldCharType="begin"/>
        </w:r>
        <w:r w:rsidR="00B6702A">
          <w:rPr>
            <w:noProof/>
            <w:webHidden/>
          </w:rPr>
          <w:instrText xml:space="preserve"> PAGEREF _Toc167113138 \h </w:instrText>
        </w:r>
        <w:r w:rsidR="00B6702A">
          <w:rPr>
            <w:noProof/>
            <w:webHidden/>
          </w:rPr>
        </w:r>
        <w:r w:rsidR="00B6702A">
          <w:rPr>
            <w:noProof/>
            <w:webHidden/>
          </w:rPr>
          <w:fldChar w:fldCharType="separate"/>
        </w:r>
        <w:r w:rsidR="00B6702A">
          <w:rPr>
            <w:noProof/>
            <w:webHidden/>
          </w:rPr>
          <w:t>24</w:t>
        </w:r>
        <w:r w:rsidR="00B6702A">
          <w:rPr>
            <w:noProof/>
            <w:webHidden/>
          </w:rPr>
          <w:fldChar w:fldCharType="end"/>
        </w:r>
      </w:hyperlink>
    </w:p>
    <w:p w14:paraId="331D85BE" w14:textId="3CC2C5BB" w:rsidR="00B6702A" w:rsidRDefault="00CD4A22">
      <w:pPr>
        <w:pStyle w:val="TOC1"/>
        <w:tabs>
          <w:tab w:val="right" w:leader="dot" w:pos="9060"/>
        </w:tabs>
        <w:rPr>
          <w:rFonts w:eastAsiaTheme="minorEastAsia" w:cstheme="minorBidi"/>
          <w:noProof/>
          <w:kern w:val="2"/>
          <w:sz w:val="22"/>
          <w:szCs w:val="22"/>
          <w:lang w:eastAsia="en-AU"/>
          <w14:ligatures w14:val="standardContextual"/>
        </w:rPr>
      </w:pPr>
      <w:hyperlink w:anchor="_Toc167113139" w:history="1">
        <w:r w:rsidR="00B6702A" w:rsidRPr="001658EA">
          <w:rPr>
            <w:rStyle w:val="Hyperlink"/>
            <w:noProof/>
          </w:rPr>
          <w:t>Section 8 – Frequently Asked Questions</w:t>
        </w:r>
        <w:r w:rsidR="00B6702A">
          <w:rPr>
            <w:noProof/>
            <w:webHidden/>
          </w:rPr>
          <w:tab/>
        </w:r>
        <w:r w:rsidR="00B6702A">
          <w:rPr>
            <w:noProof/>
            <w:webHidden/>
          </w:rPr>
          <w:fldChar w:fldCharType="begin"/>
        </w:r>
        <w:r w:rsidR="00B6702A">
          <w:rPr>
            <w:noProof/>
            <w:webHidden/>
          </w:rPr>
          <w:instrText xml:space="preserve"> PAGEREF _Toc167113139 \h </w:instrText>
        </w:r>
        <w:r w:rsidR="00B6702A">
          <w:rPr>
            <w:noProof/>
            <w:webHidden/>
          </w:rPr>
        </w:r>
        <w:r w:rsidR="00B6702A">
          <w:rPr>
            <w:noProof/>
            <w:webHidden/>
          </w:rPr>
          <w:fldChar w:fldCharType="separate"/>
        </w:r>
        <w:r w:rsidR="00B6702A">
          <w:rPr>
            <w:noProof/>
            <w:webHidden/>
          </w:rPr>
          <w:t>25</w:t>
        </w:r>
        <w:r w:rsidR="00B6702A">
          <w:rPr>
            <w:noProof/>
            <w:webHidden/>
          </w:rPr>
          <w:fldChar w:fldCharType="end"/>
        </w:r>
      </w:hyperlink>
    </w:p>
    <w:p w14:paraId="0EA0AB0F" w14:textId="5E20D587" w:rsidR="00B6702A" w:rsidRDefault="00CD4A22">
      <w:pPr>
        <w:pStyle w:val="TOC1"/>
        <w:tabs>
          <w:tab w:val="right" w:leader="dot" w:pos="9060"/>
        </w:tabs>
        <w:rPr>
          <w:rFonts w:eastAsiaTheme="minorEastAsia" w:cstheme="minorBidi"/>
          <w:noProof/>
          <w:kern w:val="2"/>
          <w:sz w:val="22"/>
          <w:szCs w:val="22"/>
          <w:lang w:eastAsia="en-AU"/>
          <w14:ligatures w14:val="standardContextual"/>
        </w:rPr>
      </w:pPr>
      <w:hyperlink w:anchor="_Toc167113140" w:history="1">
        <w:r w:rsidR="00B6702A" w:rsidRPr="001658EA">
          <w:rPr>
            <w:rStyle w:val="Hyperlink"/>
            <w:noProof/>
          </w:rPr>
          <w:t>Section 9 – Billing for Services/Items via Shared Services</w:t>
        </w:r>
        <w:r w:rsidR="00B6702A">
          <w:rPr>
            <w:noProof/>
            <w:webHidden/>
          </w:rPr>
          <w:tab/>
        </w:r>
        <w:r w:rsidR="00B6702A">
          <w:rPr>
            <w:noProof/>
            <w:webHidden/>
          </w:rPr>
          <w:fldChar w:fldCharType="begin"/>
        </w:r>
        <w:r w:rsidR="00B6702A">
          <w:rPr>
            <w:noProof/>
            <w:webHidden/>
          </w:rPr>
          <w:instrText xml:space="preserve"> PAGEREF _Toc167113140 \h </w:instrText>
        </w:r>
        <w:r w:rsidR="00B6702A">
          <w:rPr>
            <w:noProof/>
            <w:webHidden/>
          </w:rPr>
        </w:r>
        <w:r w:rsidR="00B6702A">
          <w:rPr>
            <w:noProof/>
            <w:webHidden/>
          </w:rPr>
          <w:fldChar w:fldCharType="separate"/>
        </w:r>
        <w:r w:rsidR="00B6702A">
          <w:rPr>
            <w:noProof/>
            <w:webHidden/>
          </w:rPr>
          <w:t>28</w:t>
        </w:r>
        <w:r w:rsidR="00B6702A">
          <w:rPr>
            <w:noProof/>
            <w:webHidden/>
          </w:rPr>
          <w:fldChar w:fldCharType="end"/>
        </w:r>
      </w:hyperlink>
    </w:p>
    <w:p w14:paraId="44CF1A8B" w14:textId="6DFC7496" w:rsidR="00B6702A" w:rsidRDefault="00CD4A22">
      <w:pPr>
        <w:pStyle w:val="TOC1"/>
        <w:tabs>
          <w:tab w:val="right" w:leader="dot" w:pos="9060"/>
        </w:tabs>
        <w:rPr>
          <w:rFonts w:eastAsiaTheme="minorEastAsia" w:cstheme="minorBidi"/>
          <w:noProof/>
          <w:kern w:val="2"/>
          <w:sz w:val="22"/>
          <w:szCs w:val="22"/>
          <w:lang w:eastAsia="en-AU"/>
          <w14:ligatures w14:val="standardContextual"/>
        </w:rPr>
      </w:pPr>
      <w:hyperlink w:anchor="_Toc167113141" w:history="1">
        <w:r w:rsidR="00B6702A" w:rsidRPr="001658EA">
          <w:rPr>
            <w:rStyle w:val="Hyperlink"/>
            <w:noProof/>
          </w:rPr>
          <w:t>Section 10 – Patient Accounts, Revenue Data</w:t>
        </w:r>
        <w:r w:rsidR="00B6702A">
          <w:rPr>
            <w:noProof/>
            <w:webHidden/>
          </w:rPr>
          <w:tab/>
        </w:r>
        <w:r w:rsidR="00B6702A">
          <w:rPr>
            <w:noProof/>
            <w:webHidden/>
          </w:rPr>
          <w:fldChar w:fldCharType="begin"/>
        </w:r>
        <w:r w:rsidR="00B6702A">
          <w:rPr>
            <w:noProof/>
            <w:webHidden/>
          </w:rPr>
          <w:instrText xml:space="preserve"> PAGEREF _Toc167113141 \h </w:instrText>
        </w:r>
        <w:r w:rsidR="00B6702A">
          <w:rPr>
            <w:noProof/>
            <w:webHidden/>
          </w:rPr>
        </w:r>
        <w:r w:rsidR="00B6702A">
          <w:rPr>
            <w:noProof/>
            <w:webHidden/>
          </w:rPr>
          <w:fldChar w:fldCharType="separate"/>
        </w:r>
        <w:r w:rsidR="00B6702A">
          <w:rPr>
            <w:noProof/>
            <w:webHidden/>
          </w:rPr>
          <w:t>29</w:t>
        </w:r>
        <w:r w:rsidR="00B6702A">
          <w:rPr>
            <w:noProof/>
            <w:webHidden/>
          </w:rPr>
          <w:fldChar w:fldCharType="end"/>
        </w:r>
      </w:hyperlink>
    </w:p>
    <w:p w14:paraId="583A13E5" w14:textId="33050EDD" w:rsidR="00B6702A" w:rsidRDefault="00CD4A22">
      <w:pPr>
        <w:pStyle w:val="TOC1"/>
        <w:tabs>
          <w:tab w:val="right" w:leader="dot" w:pos="9060"/>
        </w:tabs>
        <w:rPr>
          <w:rFonts w:eastAsiaTheme="minorEastAsia" w:cstheme="minorBidi"/>
          <w:noProof/>
          <w:kern w:val="2"/>
          <w:sz w:val="22"/>
          <w:szCs w:val="22"/>
          <w:lang w:eastAsia="en-AU"/>
          <w14:ligatures w14:val="standardContextual"/>
        </w:rPr>
      </w:pPr>
      <w:hyperlink w:anchor="_Toc167113142" w:history="1">
        <w:r w:rsidR="00B6702A" w:rsidRPr="001658EA">
          <w:rPr>
            <w:rStyle w:val="Hyperlink"/>
            <w:noProof/>
          </w:rPr>
          <w:t>Section 11 – Support Using DHR</w:t>
        </w:r>
        <w:r w:rsidR="00B6702A">
          <w:rPr>
            <w:noProof/>
            <w:webHidden/>
          </w:rPr>
          <w:tab/>
        </w:r>
        <w:r w:rsidR="00B6702A">
          <w:rPr>
            <w:noProof/>
            <w:webHidden/>
          </w:rPr>
          <w:fldChar w:fldCharType="begin"/>
        </w:r>
        <w:r w:rsidR="00B6702A">
          <w:rPr>
            <w:noProof/>
            <w:webHidden/>
          </w:rPr>
          <w:instrText xml:space="preserve"> PAGEREF _Toc167113142 \h </w:instrText>
        </w:r>
        <w:r w:rsidR="00B6702A">
          <w:rPr>
            <w:noProof/>
            <w:webHidden/>
          </w:rPr>
        </w:r>
        <w:r w:rsidR="00B6702A">
          <w:rPr>
            <w:noProof/>
            <w:webHidden/>
          </w:rPr>
          <w:fldChar w:fldCharType="separate"/>
        </w:r>
        <w:r w:rsidR="00B6702A">
          <w:rPr>
            <w:noProof/>
            <w:webHidden/>
          </w:rPr>
          <w:t>29</w:t>
        </w:r>
        <w:r w:rsidR="00B6702A">
          <w:rPr>
            <w:noProof/>
            <w:webHidden/>
          </w:rPr>
          <w:fldChar w:fldCharType="end"/>
        </w:r>
      </w:hyperlink>
    </w:p>
    <w:p w14:paraId="471A2A62" w14:textId="3C01729D" w:rsidR="00B6702A" w:rsidRDefault="00CD4A22">
      <w:pPr>
        <w:pStyle w:val="TOC1"/>
        <w:tabs>
          <w:tab w:val="right" w:leader="dot" w:pos="9060"/>
        </w:tabs>
        <w:rPr>
          <w:rFonts w:eastAsiaTheme="minorEastAsia" w:cstheme="minorBidi"/>
          <w:noProof/>
          <w:kern w:val="2"/>
          <w:sz w:val="22"/>
          <w:szCs w:val="22"/>
          <w:lang w:eastAsia="en-AU"/>
          <w14:ligatures w14:val="standardContextual"/>
        </w:rPr>
      </w:pPr>
      <w:hyperlink w:anchor="_Toc167113143" w:history="1">
        <w:r w:rsidR="00B6702A" w:rsidRPr="001658EA">
          <w:rPr>
            <w:rStyle w:val="Hyperlink"/>
            <w:noProof/>
          </w:rPr>
          <w:t>Section 12 – For Further Information</w:t>
        </w:r>
        <w:r w:rsidR="00B6702A">
          <w:rPr>
            <w:noProof/>
            <w:webHidden/>
          </w:rPr>
          <w:tab/>
        </w:r>
        <w:r w:rsidR="00B6702A">
          <w:rPr>
            <w:noProof/>
            <w:webHidden/>
          </w:rPr>
          <w:fldChar w:fldCharType="begin"/>
        </w:r>
        <w:r w:rsidR="00B6702A">
          <w:rPr>
            <w:noProof/>
            <w:webHidden/>
          </w:rPr>
          <w:instrText xml:space="preserve"> PAGEREF _Toc167113143 \h </w:instrText>
        </w:r>
        <w:r w:rsidR="00B6702A">
          <w:rPr>
            <w:noProof/>
            <w:webHidden/>
          </w:rPr>
        </w:r>
        <w:r w:rsidR="00B6702A">
          <w:rPr>
            <w:noProof/>
            <w:webHidden/>
          </w:rPr>
          <w:fldChar w:fldCharType="separate"/>
        </w:r>
        <w:r w:rsidR="00B6702A">
          <w:rPr>
            <w:noProof/>
            <w:webHidden/>
          </w:rPr>
          <w:t>29</w:t>
        </w:r>
        <w:r w:rsidR="00B6702A">
          <w:rPr>
            <w:noProof/>
            <w:webHidden/>
          </w:rPr>
          <w:fldChar w:fldCharType="end"/>
        </w:r>
      </w:hyperlink>
    </w:p>
    <w:p w14:paraId="51D8C48C" w14:textId="3BE75AD4" w:rsidR="00B6702A" w:rsidRDefault="00CD4A22">
      <w:pPr>
        <w:pStyle w:val="TOC1"/>
        <w:tabs>
          <w:tab w:val="right" w:leader="dot" w:pos="9060"/>
        </w:tabs>
        <w:rPr>
          <w:rFonts w:eastAsiaTheme="minorEastAsia" w:cstheme="minorBidi"/>
          <w:noProof/>
          <w:kern w:val="2"/>
          <w:sz w:val="22"/>
          <w:szCs w:val="22"/>
          <w:lang w:eastAsia="en-AU"/>
          <w14:ligatures w14:val="standardContextual"/>
        </w:rPr>
      </w:pPr>
      <w:hyperlink w:anchor="_Toc167113144" w:history="1">
        <w:r w:rsidR="00B6702A" w:rsidRPr="001658EA">
          <w:rPr>
            <w:rStyle w:val="Hyperlink"/>
            <w:noProof/>
          </w:rPr>
          <w:t>Related Policies, Procedures, Guidelines and Legislation</w:t>
        </w:r>
        <w:r w:rsidR="00B6702A">
          <w:rPr>
            <w:noProof/>
            <w:webHidden/>
          </w:rPr>
          <w:tab/>
        </w:r>
        <w:r w:rsidR="00B6702A">
          <w:rPr>
            <w:noProof/>
            <w:webHidden/>
          </w:rPr>
          <w:fldChar w:fldCharType="begin"/>
        </w:r>
        <w:r w:rsidR="00B6702A">
          <w:rPr>
            <w:noProof/>
            <w:webHidden/>
          </w:rPr>
          <w:instrText xml:space="preserve"> PAGEREF _Toc167113144 \h </w:instrText>
        </w:r>
        <w:r w:rsidR="00B6702A">
          <w:rPr>
            <w:noProof/>
            <w:webHidden/>
          </w:rPr>
        </w:r>
        <w:r w:rsidR="00B6702A">
          <w:rPr>
            <w:noProof/>
            <w:webHidden/>
          </w:rPr>
          <w:fldChar w:fldCharType="separate"/>
        </w:r>
        <w:r w:rsidR="00B6702A">
          <w:rPr>
            <w:noProof/>
            <w:webHidden/>
          </w:rPr>
          <w:t>30</w:t>
        </w:r>
        <w:r w:rsidR="00B6702A">
          <w:rPr>
            <w:noProof/>
            <w:webHidden/>
          </w:rPr>
          <w:fldChar w:fldCharType="end"/>
        </w:r>
      </w:hyperlink>
    </w:p>
    <w:p w14:paraId="03F90BA0" w14:textId="509B4F28" w:rsidR="00B6702A" w:rsidRDefault="00CD4A22">
      <w:pPr>
        <w:pStyle w:val="TOC1"/>
        <w:tabs>
          <w:tab w:val="right" w:leader="dot" w:pos="9060"/>
        </w:tabs>
        <w:rPr>
          <w:rFonts w:eastAsiaTheme="minorEastAsia" w:cstheme="minorBidi"/>
          <w:noProof/>
          <w:kern w:val="2"/>
          <w:sz w:val="22"/>
          <w:szCs w:val="22"/>
          <w:lang w:eastAsia="en-AU"/>
          <w14:ligatures w14:val="standardContextual"/>
        </w:rPr>
      </w:pPr>
      <w:hyperlink w:anchor="_Toc167113145" w:history="1">
        <w:r w:rsidR="00B6702A" w:rsidRPr="001658EA">
          <w:rPr>
            <w:rStyle w:val="Hyperlink"/>
            <w:noProof/>
          </w:rPr>
          <w:t>Definition of Terms</w:t>
        </w:r>
        <w:r w:rsidR="00B6702A">
          <w:rPr>
            <w:noProof/>
            <w:webHidden/>
          </w:rPr>
          <w:tab/>
        </w:r>
        <w:r w:rsidR="00B6702A">
          <w:rPr>
            <w:noProof/>
            <w:webHidden/>
          </w:rPr>
          <w:fldChar w:fldCharType="begin"/>
        </w:r>
        <w:r w:rsidR="00B6702A">
          <w:rPr>
            <w:noProof/>
            <w:webHidden/>
          </w:rPr>
          <w:instrText xml:space="preserve"> PAGEREF _Toc167113145 \h </w:instrText>
        </w:r>
        <w:r w:rsidR="00B6702A">
          <w:rPr>
            <w:noProof/>
            <w:webHidden/>
          </w:rPr>
        </w:r>
        <w:r w:rsidR="00B6702A">
          <w:rPr>
            <w:noProof/>
            <w:webHidden/>
          </w:rPr>
          <w:fldChar w:fldCharType="separate"/>
        </w:r>
        <w:r w:rsidR="00B6702A">
          <w:rPr>
            <w:noProof/>
            <w:webHidden/>
          </w:rPr>
          <w:t>30</w:t>
        </w:r>
        <w:r w:rsidR="00B6702A">
          <w:rPr>
            <w:noProof/>
            <w:webHidden/>
          </w:rPr>
          <w:fldChar w:fldCharType="end"/>
        </w:r>
      </w:hyperlink>
    </w:p>
    <w:p w14:paraId="043FA7A9" w14:textId="3F084D37" w:rsidR="00B6702A" w:rsidRDefault="00CD4A22">
      <w:pPr>
        <w:pStyle w:val="TOC1"/>
        <w:tabs>
          <w:tab w:val="right" w:leader="dot" w:pos="9060"/>
        </w:tabs>
        <w:rPr>
          <w:rFonts w:eastAsiaTheme="minorEastAsia" w:cstheme="minorBidi"/>
          <w:noProof/>
          <w:kern w:val="2"/>
          <w:sz w:val="22"/>
          <w:szCs w:val="22"/>
          <w:lang w:eastAsia="en-AU"/>
          <w14:ligatures w14:val="standardContextual"/>
        </w:rPr>
      </w:pPr>
      <w:hyperlink w:anchor="_Toc167113146" w:history="1">
        <w:r w:rsidR="00B6702A" w:rsidRPr="001658EA">
          <w:rPr>
            <w:rStyle w:val="Hyperlink"/>
            <w:noProof/>
          </w:rPr>
          <w:t>Search Terms</w:t>
        </w:r>
        <w:r w:rsidR="00B6702A">
          <w:rPr>
            <w:noProof/>
            <w:webHidden/>
          </w:rPr>
          <w:tab/>
        </w:r>
        <w:r w:rsidR="00B6702A">
          <w:rPr>
            <w:noProof/>
            <w:webHidden/>
          </w:rPr>
          <w:fldChar w:fldCharType="begin"/>
        </w:r>
        <w:r w:rsidR="00B6702A">
          <w:rPr>
            <w:noProof/>
            <w:webHidden/>
          </w:rPr>
          <w:instrText xml:space="preserve"> PAGEREF _Toc167113146 \h </w:instrText>
        </w:r>
        <w:r w:rsidR="00B6702A">
          <w:rPr>
            <w:noProof/>
            <w:webHidden/>
          </w:rPr>
        </w:r>
        <w:r w:rsidR="00B6702A">
          <w:rPr>
            <w:noProof/>
            <w:webHidden/>
          </w:rPr>
          <w:fldChar w:fldCharType="separate"/>
        </w:r>
        <w:r w:rsidR="00B6702A">
          <w:rPr>
            <w:noProof/>
            <w:webHidden/>
          </w:rPr>
          <w:t>31</w:t>
        </w:r>
        <w:r w:rsidR="00B6702A">
          <w:rPr>
            <w:noProof/>
            <w:webHidden/>
          </w:rPr>
          <w:fldChar w:fldCharType="end"/>
        </w:r>
      </w:hyperlink>
    </w:p>
    <w:p w14:paraId="190FAA28" w14:textId="1E414CE7" w:rsidR="00B6702A" w:rsidRDefault="00CD4A22">
      <w:pPr>
        <w:pStyle w:val="TOC1"/>
        <w:tabs>
          <w:tab w:val="right" w:leader="dot" w:pos="9060"/>
        </w:tabs>
        <w:rPr>
          <w:rFonts w:eastAsiaTheme="minorEastAsia" w:cstheme="minorBidi"/>
          <w:noProof/>
          <w:kern w:val="2"/>
          <w:sz w:val="22"/>
          <w:szCs w:val="22"/>
          <w:lang w:eastAsia="en-AU"/>
          <w14:ligatures w14:val="standardContextual"/>
        </w:rPr>
      </w:pPr>
      <w:hyperlink w:anchor="_Toc167113147" w:history="1">
        <w:r w:rsidR="00B6702A" w:rsidRPr="001658EA">
          <w:rPr>
            <w:rStyle w:val="Hyperlink"/>
            <w:noProof/>
          </w:rPr>
          <w:t>Attachments</w:t>
        </w:r>
        <w:r w:rsidR="00B6702A">
          <w:rPr>
            <w:noProof/>
            <w:webHidden/>
          </w:rPr>
          <w:tab/>
        </w:r>
        <w:r w:rsidR="00B6702A">
          <w:rPr>
            <w:noProof/>
            <w:webHidden/>
          </w:rPr>
          <w:fldChar w:fldCharType="begin"/>
        </w:r>
        <w:r w:rsidR="00B6702A">
          <w:rPr>
            <w:noProof/>
            <w:webHidden/>
          </w:rPr>
          <w:instrText xml:space="preserve"> PAGEREF _Toc167113147 \h </w:instrText>
        </w:r>
        <w:r w:rsidR="00B6702A">
          <w:rPr>
            <w:noProof/>
            <w:webHidden/>
          </w:rPr>
        </w:r>
        <w:r w:rsidR="00B6702A">
          <w:rPr>
            <w:noProof/>
            <w:webHidden/>
          </w:rPr>
          <w:fldChar w:fldCharType="separate"/>
        </w:r>
        <w:r w:rsidR="00B6702A">
          <w:rPr>
            <w:noProof/>
            <w:webHidden/>
          </w:rPr>
          <w:t>31</w:t>
        </w:r>
        <w:r w:rsidR="00B6702A">
          <w:rPr>
            <w:noProof/>
            <w:webHidden/>
          </w:rPr>
          <w:fldChar w:fldCharType="end"/>
        </w:r>
      </w:hyperlink>
    </w:p>
    <w:p w14:paraId="08FF7702" w14:textId="3FD7EAD7"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48" w:history="1">
        <w:r w:rsidR="00B6702A" w:rsidRPr="001658EA">
          <w:rPr>
            <w:rStyle w:val="Hyperlink"/>
            <w:noProof/>
          </w:rPr>
          <w:t>Attachment 1 – Provider Digital Access (PRODA) and Health Professional Online Service (HPOS) Information Sheet</w:t>
        </w:r>
        <w:r w:rsidR="00B6702A">
          <w:rPr>
            <w:noProof/>
            <w:webHidden/>
          </w:rPr>
          <w:tab/>
        </w:r>
        <w:r w:rsidR="00B6702A">
          <w:rPr>
            <w:noProof/>
            <w:webHidden/>
          </w:rPr>
          <w:fldChar w:fldCharType="begin"/>
        </w:r>
        <w:r w:rsidR="00B6702A">
          <w:rPr>
            <w:noProof/>
            <w:webHidden/>
          </w:rPr>
          <w:instrText xml:space="preserve"> PAGEREF _Toc167113148 \h </w:instrText>
        </w:r>
        <w:r w:rsidR="00B6702A">
          <w:rPr>
            <w:noProof/>
            <w:webHidden/>
          </w:rPr>
        </w:r>
        <w:r w:rsidR="00B6702A">
          <w:rPr>
            <w:noProof/>
            <w:webHidden/>
          </w:rPr>
          <w:fldChar w:fldCharType="separate"/>
        </w:r>
        <w:r w:rsidR="00B6702A">
          <w:rPr>
            <w:noProof/>
            <w:webHidden/>
          </w:rPr>
          <w:t>32</w:t>
        </w:r>
        <w:r w:rsidR="00B6702A">
          <w:rPr>
            <w:noProof/>
            <w:webHidden/>
          </w:rPr>
          <w:fldChar w:fldCharType="end"/>
        </w:r>
      </w:hyperlink>
    </w:p>
    <w:p w14:paraId="4B853D3A" w14:textId="71943E1E"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49" w:history="1">
        <w:r w:rsidR="00B6702A" w:rsidRPr="001658EA">
          <w:rPr>
            <w:rStyle w:val="Hyperlink"/>
            <w:noProof/>
          </w:rPr>
          <w:t>Attachment 2 – Health Professional Online Service (HPOS) How To Access</w:t>
        </w:r>
        <w:r w:rsidR="00B6702A">
          <w:rPr>
            <w:noProof/>
            <w:webHidden/>
          </w:rPr>
          <w:tab/>
        </w:r>
        <w:r w:rsidR="00B6702A">
          <w:rPr>
            <w:noProof/>
            <w:webHidden/>
          </w:rPr>
          <w:fldChar w:fldCharType="begin"/>
        </w:r>
        <w:r w:rsidR="00B6702A">
          <w:rPr>
            <w:noProof/>
            <w:webHidden/>
          </w:rPr>
          <w:instrText xml:space="preserve"> PAGEREF _Toc167113149 \h </w:instrText>
        </w:r>
        <w:r w:rsidR="00B6702A">
          <w:rPr>
            <w:noProof/>
            <w:webHidden/>
          </w:rPr>
        </w:r>
        <w:r w:rsidR="00B6702A">
          <w:rPr>
            <w:noProof/>
            <w:webHidden/>
          </w:rPr>
          <w:fldChar w:fldCharType="separate"/>
        </w:r>
        <w:r w:rsidR="00B6702A">
          <w:rPr>
            <w:noProof/>
            <w:webHidden/>
          </w:rPr>
          <w:t>34</w:t>
        </w:r>
        <w:r w:rsidR="00B6702A">
          <w:rPr>
            <w:noProof/>
            <w:webHidden/>
          </w:rPr>
          <w:fldChar w:fldCharType="end"/>
        </w:r>
      </w:hyperlink>
    </w:p>
    <w:p w14:paraId="518AA812" w14:textId="14549246"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50" w:history="1">
        <w:r w:rsidR="00B6702A" w:rsidRPr="001658EA">
          <w:rPr>
            <w:rStyle w:val="Hyperlink"/>
            <w:noProof/>
          </w:rPr>
          <w:t>Attachment 3 – Case Conference Billing</w:t>
        </w:r>
        <w:r w:rsidR="00B6702A">
          <w:rPr>
            <w:noProof/>
            <w:webHidden/>
          </w:rPr>
          <w:tab/>
        </w:r>
        <w:r w:rsidR="00B6702A">
          <w:rPr>
            <w:noProof/>
            <w:webHidden/>
          </w:rPr>
          <w:fldChar w:fldCharType="begin"/>
        </w:r>
        <w:r w:rsidR="00B6702A">
          <w:rPr>
            <w:noProof/>
            <w:webHidden/>
          </w:rPr>
          <w:instrText xml:space="preserve"> PAGEREF _Toc167113150 \h </w:instrText>
        </w:r>
        <w:r w:rsidR="00B6702A">
          <w:rPr>
            <w:noProof/>
            <w:webHidden/>
          </w:rPr>
        </w:r>
        <w:r w:rsidR="00B6702A">
          <w:rPr>
            <w:noProof/>
            <w:webHidden/>
          </w:rPr>
          <w:fldChar w:fldCharType="separate"/>
        </w:r>
        <w:r w:rsidR="00B6702A">
          <w:rPr>
            <w:noProof/>
            <w:webHidden/>
          </w:rPr>
          <w:t>37</w:t>
        </w:r>
        <w:r w:rsidR="00B6702A">
          <w:rPr>
            <w:noProof/>
            <w:webHidden/>
          </w:rPr>
          <w:fldChar w:fldCharType="end"/>
        </w:r>
      </w:hyperlink>
    </w:p>
    <w:p w14:paraId="4F5E97C0" w14:textId="4D6B12A2"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51" w:history="1">
        <w:r w:rsidR="00B6702A" w:rsidRPr="001658EA">
          <w:rPr>
            <w:rStyle w:val="Hyperlink"/>
            <w:noProof/>
          </w:rPr>
          <w:t>Attachment 4 – Defence Personnel Billing Letter</w:t>
        </w:r>
        <w:r w:rsidR="00B6702A">
          <w:rPr>
            <w:noProof/>
            <w:webHidden/>
          </w:rPr>
          <w:tab/>
        </w:r>
        <w:r w:rsidR="00B6702A">
          <w:rPr>
            <w:noProof/>
            <w:webHidden/>
          </w:rPr>
          <w:fldChar w:fldCharType="begin"/>
        </w:r>
        <w:r w:rsidR="00B6702A">
          <w:rPr>
            <w:noProof/>
            <w:webHidden/>
          </w:rPr>
          <w:instrText xml:space="preserve"> PAGEREF _Toc167113151 \h </w:instrText>
        </w:r>
        <w:r w:rsidR="00B6702A">
          <w:rPr>
            <w:noProof/>
            <w:webHidden/>
          </w:rPr>
        </w:r>
        <w:r w:rsidR="00B6702A">
          <w:rPr>
            <w:noProof/>
            <w:webHidden/>
          </w:rPr>
          <w:fldChar w:fldCharType="separate"/>
        </w:r>
        <w:r w:rsidR="00B6702A">
          <w:rPr>
            <w:noProof/>
            <w:webHidden/>
          </w:rPr>
          <w:t>40</w:t>
        </w:r>
        <w:r w:rsidR="00B6702A">
          <w:rPr>
            <w:noProof/>
            <w:webHidden/>
          </w:rPr>
          <w:fldChar w:fldCharType="end"/>
        </w:r>
      </w:hyperlink>
    </w:p>
    <w:p w14:paraId="7AF07916" w14:textId="4B5D85C7"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52" w:history="1">
        <w:r w:rsidR="00B6702A" w:rsidRPr="001658EA">
          <w:rPr>
            <w:rStyle w:val="Hyperlink"/>
            <w:noProof/>
          </w:rPr>
          <w:t>Attachment 5 – Compensable Patient Billing Letter</w:t>
        </w:r>
        <w:r w:rsidR="00B6702A">
          <w:rPr>
            <w:noProof/>
            <w:webHidden/>
          </w:rPr>
          <w:tab/>
        </w:r>
        <w:r w:rsidR="00B6702A">
          <w:rPr>
            <w:noProof/>
            <w:webHidden/>
          </w:rPr>
          <w:fldChar w:fldCharType="begin"/>
        </w:r>
        <w:r w:rsidR="00B6702A">
          <w:rPr>
            <w:noProof/>
            <w:webHidden/>
          </w:rPr>
          <w:instrText xml:space="preserve"> PAGEREF _Toc167113152 \h </w:instrText>
        </w:r>
        <w:r w:rsidR="00B6702A">
          <w:rPr>
            <w:noProof/>
            <w:webHidden/>
          </w:rPr>
        </w:r>
        <w:r w:rsidR="00B6702A">
          <w:rPr>
            <w:noProof/>
            <w:webHidden/>
          </w:rPr>
          <w:fldChar w:fldCharType="separate"/>
        </w:r>
        <w:r w:rsidR="00B6702A">
          <w:rPr>
            <w:noProof/>
            <w:webHidden/>
          </w:rPr>
          <w:t>41</w:t>
        </w:r>
        <w:r w:rsidR="00B6702A">
          <w:rPr>
            <w:noProof/>
            <w:webHidden/>
          </w:rPr>
          <w:fldChar w:fldCharType="end"/>
        </w:r>
      </w:hyperlink>
    </w:p>
    <w:p w14:paraId="7662471C" w14:textId="00691C22"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53" w:history="1">
        <w:r w:rsidR="00B6702A" w:rsidRPr="001658EA">
          <w:rPr>
            <w:rStyle w:val="Hyperlink"/>
            <w:noProof/>
          </w:rPr>
          <w:t>Attachment 6 – Non-Eligible Billing Slip</w:t>
        </w:r>
        <w:r w:rsidR="00B6702A">
          <w:rPr>
            <w:noProof/>
            <w:webHidden/>
          </w:rPr>
          <w:tab/>
        </w:r>
        <w:r w:rsidR="00B6702A">
          <w:rPr>
            <w:noProof/>
            <w:webHidden/>
          </w:rPr>
          <w:fldChar w:fldCharType="begin"/>
        </w:r>
        <w:r w:rsidR="00B6702A">
          <w:rPr>
            <w:noProof/>
            <w:webHidden/>
          </w:rPr>
          <w:instrText xml:space="preserve"> PAGEREF _Toc167113153 \h </w:instrText>
        </w:r>
        <w:r w:rsidR="00B6702A">
          <w:rPr>
            <w:noProof/>
            <w:webHidden/>
          </w:rPr>
        </w:r>
        <w:r w:rsidR="00B6702A">
          <w:rPr>
            <w:noProof/>
            <w:webHidden/>
          </w:rPr>
          <w:fldChar w:fldCharType="separate"/>
        </w:r>
        <w:r w:rsidR="00B6702A">
          <w:rPr>
            <w:noProof/>
            <w:webHidden/>
          </w:rPr>
          <w:t>42</w:t>
        </w:r>
        <w:r w:rsidR="00B6702A">
          <w:rPr>
            <w:noProof/>
            <w:webHidden/>
          </w:rPr>
          <w:fldChar w:fldCharType="end"/>
        </w:r>
      </w:hyperlink>
    </w:p>
    <w:p w14:paraId="334F02C5" w14:textId="5B0BEB78" w:rsidR="00B6702A" w:rsidRDefault="00CD4A22">
      <w:pPr>
        <w:pStyle w:val="TOC2"/>
        <w:tabs>
          <w:tab w:val="right" w:leader="dot" w:pos="9060"/>
        </w:tabs>
        <w:rPr>
          <w:rFonts w:eastAsiaTheme="minorEastAsia" w:cstheme="minorBidi"/>
          <w:noProof/>
          <w:kern w:val="2"/>
          <w:sz w:val="22"/>
          <w:szCs w:val="22"/>
          <w:lang w:eastAsia="en-AU"/>
          <w14:ligatures w14:val="standardContextual"/>
        </w:rPr>
      </w:pPr>
      <w:hyperlink w:anchor="_Toc167113154" w:history="1">
        <w:r w:rsidR="00B6702A" w:rsidRPr="001658EA">
          <w:rPr>
            <w:rStyle w:val="Hyperlink"/>
            <w:noProof/>
          </w:rPr>
          <w:t>Attachment 7 – Asylum Seeker in Community Detention</w:t>
        </w:r>
        <w:r w:rsidR="00B6702A">
          <w:rPr>
            <w:noProof/>
            <w:webHidden/>
          </w:rPr>
          <w:tab/>
        </w:r>
        <w:r w:rsidR="00B6702A">
          <w:rPr>
            <w:noProof/>
            <w:webHidden/>
          </w:rPr>
          <w:fldChar w:fldCharType="begin"/>
        </w:r>
        <w:r w:rsidR="00B6702A">
          <w:rPr>
            <w:noProof/>
            <w:webHidden/>
          </w:rPr>
          <w:instrText xml:space="preserve"> PAGEREF _Toc167113154 \h </w:instrText>
        </w:r>
        <w:r w:rsidR="00B6702A">
          <w:rPr>
            <w:noProof/>
            <w:webHidden/>
          </w:rPr>
        </w:r>
        <w:r w:rsidR="00B6702A">
          <w:rPr>
            <w:noProof/>
            <w:webHidden/>
          </w:rPr>
          <w:fldChar w:fldCharType="separate"/>
        </w:r>
        <w:r w:rsidR="00B6702A">
          <w:rPr>
            <w:noProof/>
            <w:webHidden/>
          </w:rPr>
          <w:t>43</w:t>
        </w:r>
        <w:r w:rsidR="00B6702A">
          <w:rPr>
            <w:noProof/>
            <w:webHidden/>
          </w:rPr>
          <w:fldChar w:fldCharType="end"/>
        </w:r>
      </w:hyperlink>
    </w:p>
    <w:p w14:paraId="086829E3" w14:textId="792A144F" w:rsidR="009A534C" w:rsidRDefault="00B6702A" w:rsidP="006743DB">
      <w:r>
        <w:rPr>
          <w:rFonts w:asciiTheme="minorHAnsi" w:hAnsiTheme="minorHAnsi" w:cs="Arial"/>
          <w:b/>
          <w:sz w:val="36"/>
          <w:szCs w:val="36"/>
        </w:rPr>
        <w:fldChar w:fldCharType="end"/>
      </w:r>
      <w:r w:rsidR="009A534C">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4" w:name="_Toc167113098"/>
            <w:r>
              <w:lastRenderedPageBreak/>
              <w:t>Guideline Statement</w:t>
            </w:r>
            <w:bookmarkEnd w:id="4"/>
          </w:p>
        </w:tc>
      </w:tr>
    </w:tbl>
    <w:p w14:paraId="086829E6" w14:textId="77777777" w:rsidR="009A534C" w:rsidRDefault="009A534C" w:rsidP="00C13D33">
      <w:pPr>
        <w:rPr>
          <w:rFonts w:cs="Arial"/>
          <w:b/>
          <w:szCs w:val="24"/>
        </w:rPr>
      </w:pPr>
    </w:p>
    <w:p w14:paraId="05B142E3" w14:textId="77777777" w:rsidR="00061A07" w:rsidRPr="00B6702A" w:rsidRDefault="00061A07" w:rsidP="00B6702A">
      <w:pPr>
        <w:rPr>
          <w:b/>
          <w:bCs/>
        </w:rPr>
      </w:pPr>
      <w:r w:rsidRPr="00B6702A">
        <w:rPr>
          <w:b/>
          <w:bCs/>
        </w:rPr>
        <w:t>Background</w:t>
      </w:r>
    </w:p>
    <w:p w14:paraId="7C5FA1C1" w14:textId="77777777" w:rsidR="00061A07" w:rsidRPr="00E25C44" w:rsidRDefault="00061A07" w:rsidP="00061A07">
      <w:pPr>
        <w:rPr>
          <w:iCs/>
        </w:rPr>
      </w:pPr>
      <w:r w:rsidRPr="00E25C44">
        <w:rPr>
          <w:iCs/>
        </w:rPr>
        <w:t xml:space="preserve">This billing manual has been developed in line with the billing team and referencing applicable </w:t>
      </w:r>
      <w:r>
        <w:rPr>
          <w:iCs/>
        </w:rPr>
        <w:t>legislation</w:t>
      </w:r>
      <w:r w:rsidRPr="00E25C44">
        <w:rPr>
          <w:iCs/>
        </w:rPr>
        <w:t xml:space="preserve"> to provide a straightforward guide for staff engaging in billing activities.</w:t>
      </w:r>
    </w:p>
    <w:p w14:paraId="7BCD5827" w14:textId="77777777" w:rsidR="00061A07" w:rsidRPr="00010E74" w:rsidRDefault="00061A07" w:rsidP="00061A07">
      <w:pPr>
        <w:rPr>
          <w:i/>
        </w:rPr>
      </w:pPr>
    </w:p>
    <w:p w14:paraId="0FBBD7DE" w14:textId="77777777" w:rsidR="00061A07" w:rsidRPr="00B6702A" w:rsidRDefault="00061A07" w:rsidP="00B6702A">
      <w:pPr>
        <w:rPr>
          <w:b/>
          <w:bCs/>
        </w:rPr>
      </w:pPr>
      <w:r w:rsidRPr="00B6702A">
        <w:rPr>
          <w:b/>
          <w:bCs/>
        </w:rPr>
        <w:t>Key Objective</w:t>
      </w:r>
    </w:p>
    <w:p w14:paraId="34551154" w14:textId="77777777" w:rsidR="00061A07" w:rsidRPr="00E25C44" w:rsidRDefault="00061A07" w:rsidP="00061A07">
      <w:pPr>
        <w:rPr>
          <w:iCs/>
        </w:rPr>
      </w:pPr>
      <w:r w:rsidRPr="00E25C44">
        <w:rPr>
          <w:iCs/>
        </w:rPr>
        <w:t>The key objective of this document is to aid staff engaging in billing activities in entering correct data for billing purposes.</w:t>
      </w:r>
    </w:p>
    <w:p w14:paraId="3E868767" w14:textId="77777777" w:rsidR="00061A07" w:rsidRPr="00010E74" w:rsidRDefault="00061A07" w:rsidP="00061A07"/>
    <w:p w14:paraId="4A05439F" w14:textId="77777777" w:rsidR="00061A07" w:rsidRPr="00B6702A" w:rsidRDefault="00061A07" w:rsidP="00B6702A">
      <w:pPr>
        <w:rPr>
          <w:b/>
          <w:bCs/>
        </w:rPr>
      </w:pPr>
      <w:r w:rsidRPr="00B6702A">
        <w:rPr>
          <w:b/>
          <w:bCs/>
        </w:rPr>
        <w:t xml:space="preserve">Alerts </w:t>
      </w:r>
    </w:p>
    <w:p w14:paraId="4700165C" w14:textId="77777777" w:rsidR="00061A07" w:rsidRPr="00010E74" w:rsidRDefault="00061A07" w:rsidP="00061A07">
      <w:pPr>
        <w:rPr>
          <w:i/>
        </w:rPr>
      </w:pPr>
      <w:r w:rsidRPr="00E25C44">
        <w:rPr>
          <w:iCs/>
        </w:rPr>
        <w:t>Note: this billing manual is aimed at both clinical and administrative staff engaging in billing activitie</w:t>
      </w:r>
      <w:r w:rsidRPr="00803DE8">
        <w:rPr>
          <w:i/>
        </w:rPr>
        <w:t>s.</w:t>
      </w:r>
    </w:p>
    <w:p w14:paraId="086829F1" w14:textId="77777777" w:rsidR="00010E74" w:rsidRDefault="00010E74" w:rsidP="00C13D33"/>
    <w:p w14:paraId="086829F2" w14:textId="77777777" w:rsidR="0098579F" w:rsidRDefault="00CD4A22" w:rsidP="00C13D33">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5" w:name="_Toc167113099"/>
            <w:r>
              <w:t>Scope</w:t>
            </w:r>
            <w:bookmarkEnd w:id="5"/>
          </w:p>
        </w:tc>
      </w:tr>
    </w:tbl>
    <w:p w14:paraId="086829F5" w14:textId="77777777" w:rsidR="0098579F" w:rsidRDefault="0098579F" w:rsidP="0098579F"/>
    <w:p w14:paraId="5D65B577" w14:textId="73241BF0" w:rsidR="00061A07" w:rsidRPr="00E25C44" w:rsidRDefault="00061A07" w:rsidP="00061A07">
      <w:pPr>
        <w:rPr>
          <w:rFonts w:cs="Arial"/>
          <w:iCs/>
          <w:szCs w:val="24"/>
        </w:rPr>
      </w:pPr>
      <w:r w:rsidRPr="00E25C44">
        <w:rPr>
          <w:rFonts w:cs="Arial"/>
          <w:iCs/>
          <w:szCs w:val="24"/>
        </w:rPr>
        <w:t xml:space="preserve">The Billing </w:t>
      </w:r>
      <w:r>
        <w:rPr>
          <w:rFonts w:cs="Arial"/>
          <w:iCs/>
          <w:szCs w:val="24"/>
        </w:rPr>
        <w:t>Guideline</w:t>
      </w:r>
      <w:r w:rsidRPr="00E25C44">
        <w:rPr>
          <w:rFonts w:cs="Arial"/>
          <w:iCs/>
          <w:szCs w:val="24"/>
        </w:rPr>
        <w:t xml:space="preserve"> applies to clinical and non-clinical or administrative staff engaged in billable activities </w:t>
      </w:r>
      <w:r w:rsidR="000133B9">
        <w:rPr>
          <w:rFonts w:cs="Arial"/>
          <w:iCs/>
          <w:szCs w:val="24"/>
        </w:rPr>
        <w:t xml:space="preserve">for outpatients or non-admitted patients </w:t>
      </w:r>
      <w:r w:rsidRPr="00E25C44">
        <w:rPr>
          <w:rFonts w:cs="Arial"/>
          <w:iCs/>
          <w:szCs w:val="24"/>
        </w:rPr>
        <w:t>on behalf of Canberra Health Services (CHS).</w:t>
      </w:r>
      <w:r>
        <w:rPr>
          <w:rFonts w:cs="Arial"/>
          <w:iCs/>
          <w:szCs w:val="24"/>
        </w:rPr>
        <w:t xml:space="preserve"> </w:t>
      </w:r>
    </w:p>
    <w:p w14:paraId="21EF7252" w14:textId="77777777" w:rsidR="00061A07" w:rsidRPr="00E25C44" w:rsidRDefault="00061A07" w:rsidP="00061A07">
      <w:pPr>
        <w:rPr>
          <w:rFonts w:cs="Arial"/>
          <w:iCs/>
          <w:szCs w:val="24"/>
        </w:rPr>
      </w:pPr>
    </w:p>
    <w:p w14:paraId="7A017054" w14:textId="19FDB739" w:rsidR="00061A07" w:rsidRPr="00E25C44" w:rsidRDefault="00061A07" w:rsidP="00061A07">
      <w:pPr>
        <w:rPr>
          <w:rFonts w:cs="Arial"/>
        </w:rPr>
      </w:pPr>
      <w:r w:rsidRPr="00E25C44">
        <w:rPr>
          <w:rFonts w:cs="Arial"/>
        </w:rPr>
        <w:t xml:space="preserve">For the purposes of this document, billable activities </w:t>
      </w:r>
      <w:r w:rsidR="005471DF" w:rsidRPr="00E25C44">
        <w:rPr>
          <w:rFonts w:cs="Arial"/>
        </w:rPr>
        <w:t>refer</w:t>
      </w:r>
      <w:r w:rsidRPr="00E25C44">
        <w:rPr>
          <w:rFonts w:cs="Arial"/>
        </w:rPr>
        <w:t xml:space="preserve"> to any action undertaken that when recorded appropriately in the Digital Health Record (DHR) or other appropriate CHS system results in the production of a charge.  Billing activities refers to any action taken to record items that are considered for billing including but not limited to patient status and financial classes, health fund details, MBS item numbers and completed admission documents. This applies to data entered for all patients, regardless of age.</w:t>
      </w:r>
    </w:p>
    <w:p w14:paraId="086829FE" w14:textId="77777777" w:rsidR="00C13D33" w:rsidRDefault="00C13D33" w:rsidP="00C13D33">
      <w:pPr>
        <w:rPr>
          <w:rFonts w:cs="Arial"/>
          <w:szCs w:val="24"/>
        </w:rPr>
      </w:pPr>
    </w:p>
    <w:p w14:paraId="086829FF" w14:textId="77777777" w:rsidR="00C13D33" w:rsidRPr="00032890" w:rsidRDefault="00CD4A22" w:rsidP="009A534C">
      <w:pPr>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3F0E5046" w:rsidR="009A534C" w:rsidRPr="00C76688" w:rsidRDefault="009A534C" w:rsidP="00B10F87">
            <w:pPr>
              <w:pStyle w:val="Heading1"/>
            </w:pPr>
            <w:bookmarkStart w:id="6" w:name="_Toc389473278"/>
            <w:bookmarkStart w:id="7" w:name="_Toc393203334"/>
            <w:bookmarkStart w:id="8" w:name="_Toc167113100"/>
            <w:r w:rsidRPr="00C76688">
              <w:t>Section 1 –</w:t>
            </w:r>
            <w:r>
              <w:t xml:space="preserve"> </w:t>
            </w:r>
            <w:bookmarkEnd w:id="6"/>
            <w:bookmarkEnd w:id="7"/>
            <w:r w:rsidR="000133B9">
              <w:t>Non-Admitted (Outpatient Billing in a Public Health Facility)</w:t>
            </w:r>
            <w:bookmarkEnd w:id="8"/>
          </w:p>
        </w:tc>
      </w:tr>
    </w:tbl>
    <w:p w14:paraId="08682A02" w14:textId="77777777" w:rsidR="009A534C" w:rsidRDefault="009A534C" w:rsidP="009A534C">
      <w:pPr>
        <w:outlineLvl w:val="0"/>
        <w:rPr>
          <w:szCs w:val="24"/>
        </w:rPr>
      </w:pPr>
    </w:p>
    <w:p w14:paraId="08483394" w14:textId="199DFE0F" w:rsidR="000133B9" w:rsidRPr="00556CA9" w:rsidRDefault="000133B9" w:rsidP="000133B9">
      <w:pPr>
        <w:spacing w:before="120" w:line="280" w:lineRule="exact"/>
        <w:ind w:left="1440" w:hanging="1440"/>
        <w:rPr>
          <w:rFonts w:cs="Calibri"/>
          <w:bCs/>
          <w:iCs/>
          <w:color w:val="76923C" w:themeColor="accent3" w:themeShade="BF"/>
          <w:szCs w:val="24"/>
        </w:rPr>
      </w:pPr>
      <w:r w:rsidRPr="00E94F30">
        <w:rPr>
          <w:rFonts w:cs="Calibri"/>
          <w:bCs/>
          <w:iCs/>
          <w:szCs w:val="24"/>
        </w:rPr>
        <w:t xml:space="preserve">Standard:  </w:t>
      </w:r>
      <w:r w:rsidRPr="00556CA9">
        <w:rPr>
          <w:rFonts w:cs="Calibri"/>
          <w:bCs/>
          <w:iCs/>
          <w:color w:val="76923C" w:themeColor="accent3" w:themeShade="BF"/>
          <w:szCs w:val="24"/>
        </w:rPr>
        <w:tab/>
      </w:r>
      <w:r w:rsidRPr="00E94F30">
        <w:rPr>
          <w:rFonts w:cs="Calibri"/>
          <w:bCs/>
          <w:iCs/>
          <w:szCs w:val="24"/>
        </w:rPr>
        <w:t xml:space="preserve">For every non-admitted occasion of service the correct billing status will be determined and recorded in the appropriate source system.  </w:t>
      </w:r>
    </w:p>
    <w:p w14:paraId="54EF5728" w14:textId="77777777" w:rsidR="000133B9" w:rsidRPr="00E94F30" w:rsidRDefault="000133B9" w:rsidP="000133B9">
      <w:pPr>
        <w:pStyle w:val="BodyCopy"/>
        <w:rPr>
          <w:rFonts w:cs="Calibri"/>
          <w:color w:val="auto"/>
        </w:rPr>
      </w:pPr>
      <w:r w:rsidRPr="00E94F30">
        <w:rPr>
          <w:rFonts w:cs="Calibri"/>
          <w:color w:val="auto"/>
        </w:rPr>
        <w:t>Revenue to Canberra Health Services (CHS) can be generated by billing patients or third parties for eligible attendances. Processes must be efficient, accurate, legal, and timely to increase the revenue received. While it is the responsibility of the treating clinician to determine the relevant Medicare Benefits Schedule (MBS) code for the services provided, it is the administrative processes that facilitate billing.</w:t>
      </w:r>
    </w:p>
    <w:p w14:paraId="7CEF81AE" w14:textId="77777777" w:rsidR="000133B9" w:rsidRPr="00E94F30" w:rsidRDefault="000133B9" w:rsidP="000133B9">
      <w:pPr>
        <w:pStyle w:val="BodyCopy"/>
        <w:rPr>
          <w:rFonts w:cs="Calibri"/>
          <w:color w:val="auto"/>
        </w:rPr>
      </w:pPr>
      <w:r w:rsidRPr="00E94F30">
        <w:rPr>
          <w:rFonts w:cs="Calibri"/>
          <w:color w:val="auto"/>
        </w:rPr>
        <w:lastRenderedPageBreak/>
        <w:t>All administrative staff involved in any aspect of non-admitted services must understand their role and the correct processes to follow in billing. Substantial penalties apply for fraud – even if unintentional.</w:t>
      </w:r>
    </w:p>
    <w:p w14:paraId="0B4EDC7C" w14:textId="77777777" w:rsidR="000133B9" w:rsidRPr="00E94F30" w:rsidRDefault="000133B9" w:rsidP="000133B9">
      <w:pPr>
        <w:spacing w:before="120" w:line="280" w:lineRule="exact"/>
        <w:ind w:left="1440" w:hanging="1440"/>
        <w:rPr>
          <w:rFonts w:cs="Calibri"/>
          <w:bCs/>
          <w:iCs/>
          <w:szCs w:val="24"/>
        </w:rPr>
      </w:pPr>
      <w:r w:rsidRPr="00E94F30">
        <w:rPr>
          <w:rFonts w:cs="Calibri"/>
          <w:bCs/>
          <w:iCs/>
          <w:szCs w:val="24"/>
        </w:rPr>
        <w:t>Billing in a public health facility is governed by the following:</w:t>
      </w:r>
    </w:p>
    <w:p w14:paraId="6B6D46A7" w14:textId="77777777" w:rsidR="000133B9" w:rsidRPr="00032E35" w:rsidRDefault="000133B9" w:rsidP="000133B9">
      <w:pPr>
        <w:pStyle w:val="ListBullet"/>
      </w:pPr>
      <w:r w:rsidRPr="00613014">
        <w:t xml:space="preserve">The National Health Care Agreement 2012 (NHCA) </w:t>
      </w:r>
      <w:hyperlink r:id="rId11" w:history="1">
        <w:r>
          <w:rPr>
            <w:rStyle w:val="Hyperlink"/>
          </w:rPr>
          <w:t>2020–25 National Health Reform Agreement (NHRA) | Australian Government Department of Health and Aged Care</w:t>
        </w:r>
      </w:hyperlink>
    </w:p>
    <w:p w14:paraId="5A3C6B0E" w14:textId="77777777" w:rsidR="000133B9" w:rsidRDefault="000133B9" w:rsidP="000133B9">
      <w:pPr>
        <w:pStyle w:val="ListBullet"/>
      </w:pPr>
      <w:r w:rsidRPr="00613014">
        <w:t xml:space="preserve">The National Health Reform Agreement (NHRA) </w:t>
      </w:r>
      <w:hyperlink r:id="rId12" w:history="1">
        <w:r>
          <w:rPr>
            <w:rStyle w:val="Hyperlink"/>
          </w:rPr>
          <w:t>The National Health Reform Agreement | Federal Financial Relations</w:t>
        </w:r>
      </w:hyperlink>
    </w:p>
    <w:p w14:paraId="5AE3D1A0" w14:textId="77777777" w:rsidR="000133B9" w:rsidRPr="00032E35" w:rsidRDefault="000133B9" w:rsidP="000133B9">
      <w:pPr>
        <w:pStyle w:val="ListBullet"/>
        <w:rPr>
          <w:szCs w:val="24"/>
        </w:rPr>
      </w:pPr>
      <w:r w:rsidRPr="00613014">
        <w:rPr>
          <w:bCs/>
          <w:iCs/>
          <w:szCs w:val="24"/>
        </w:rPr>
        <w:t>The Medicare Benefits Schedule (MBS)</w:t>
      </w:r>
      <w:r>
        <w:t xml:space="preserve"> </w:t>
      </w:r>
      <w:hyperlink r:id="rId13" w:history="1">
        <w:r w:rsidRPr="00032E35">
          <w:rPr>
            <w:rStyle w:val="Hyperlink"/>
            <w:rFonts w:cs="Calibri"/>
            <w:szCs w:val="24"/>
          </w:rPr>
          <w:t>http://www.mbsonline.gov.au/internet/mbsonline/publishing.nsf/Content/Home</w:t>
        </w:r>
      </w:hyperlink>
    </w:p>
    <w:p w14:paraId="70EDC349" w14:textId="77777777" w:rsidR="000133B9" w:rsidRPr="00613014" w:rsidRDefault="000133B9" w:rsidP="000133B9">
      <w:pPr>
        <w:pStyle w:val="ListBullet"/>
        <w:ind w:left="1080" w:hanging="360"/>
        <w:rPr>
          <w:bCs/>
          <w:iCs/>
          <w:szCs w:val="24"/>
        </w:rPr>
      </w:pPr>
      <w:r w:rsidRPr="00613014">
        <w:rPr>
          <w:bCs/>
          <w:iCs/>
          <w:szCs w:val="24"/>
        </w:rPr>
        <w:t>The Health Insurance Act 1973 (HIA)</w:t>
      </w:r>
      <w:r w:rsidRPr="005A14F6">
        <w:t xml:space="preserve"> </w:t>
      </w:r>
      <w:hyperlink r:id="rId14" w:history="1">
        <w:r>
          <w:rPr>
            <w:rStyle w:val="Hyperlink"/>
          </w:rPr>
          <w:t>Health Insurance Act 1973 (legislation.gov.au)</w:t>
        </w:r>
      </w:hyperlink>
    </w:p>
    <w:p w14:paraId="6C69B164" w14:textId="77777777" w:rsidR="000133B9" w:rsidRDefault="000133B9" w:rsidP="000133B9">
      <w:pPr>
        <w:pStyle w:val="ListBullet"/>
        <w:ind w:left="1080" w:hanging="360"/>
      </w:pPr>
      <w:r w:rsidRPr="00613014">
        <w:rPr>
          <w:bCs/>
          <w:iCs/>
          <w:szCs w:val="24"/>
        </w:rPr>
        <w:t xml:space="preserve">Health (fees) Determination (DoF) </w:t>
      </w:r>
      <w:hyperlink r:id="rId15" w:history="1">
        <w:r>
          <w:rPr>
            <w:rStyle w:val="Hyperlink"/>
          </w:rPr>
          <w:t>Health (Fees) Determination 2022 (No 1) | Disallowable instruments (act.gov.au)</w:t>
        </w:r>
      </w:hyperlink>
    </w:p>
    <w:p w14:paraId="2DC73C7F" w14:textId="77777777" w:rsidR="000133B9" w:rsidRDefault="000133B9" w:rsidP="000133B9">
      <w:bookmarkStart w:id="9" w:name="_Toc135647178"/>
    </w:p>
    <w:p w14:paraId="4F688EA8" w14:textId="77777777" w:rsidR="000133B9" w:rsidRPr="00B54E1A" w:rsidRDefault="000133B9" w:rsidP="000133B9">
      <w:pPr>
        <w:pStyle w:val="Heading2"/>
      </w:pPr>
      <w:bookmarkStart w:id="10" w:name="_Toc167113101"/>
      <w:r w:rsidRPr="00491BEE">
        <w:t xml:space="preserve">Billable </w:t>
      </w:r>
      <w:r>
        <w:t>s</w:t>
      </w:r>
      <w:r w:rsidRPr="00491BEE">
        <w:t>tatus</w:t>
      </w:r>
      <w:bookmarkEnd w:id="9"/>
      <w:bookmarkEnd w:id="10"/>
    </w:p>
    <w:p w14:paraId="7935978C" w14:textId="77777777" w:rsidR="000133B9" w:rsidRPr="00E94F30" w:rsidRDefault="000133B9" w:rsidP="000133B9">
      <w:pPr>
        <w:pStyle w:val="NoSpacing"/>
      </w:pPr>
      <w:r w:rsidRPr="00E94F30">
        <w:t xml:space="preserve">The billable status is determined by the: </w:t>
      </w:r>
    </w:p>
    <w:p w14:paraId="1803D1DE" w14:textId="77777777" w:rsidR="000133B9" w:rsidRPr="00E94F30" w:rsidRDefault="000133B9" w:rsidP="000133B9">
      <w:pPr>
        <w:pStyle w:val="ListBullet"/>
        <w:ind w:left="1080" w:hanging="360"/>
      </w:pPr>
      <w:r w:rsidRPr="00E94F30">
        <w:t>Patient’s Medicare status</w:t>
      </w:r>
    </w:p>
    <w:p w14:paraId="6596FCCD" w14:textId="77777777" w:rsidR="000133B9" w:rsidRPr="00E94F30" w:rsidRDefault="000133B9" w:rsidP="000133B9">
      <w:pPr>
        <w:pStyle w:val="ListBullet"/>
        <w:ind w:left="1080" w:hanging="360"/>
      </w:pPr>
      <w:r w:rsidRPr="00E94F30">
        <w:t>Service being provided</w:t>
      </w:r>
    </w:p>
    <w:p w14:paraId="6C6D256D" w14:textId="77777777" w:rsidR="000133B9" w:rsidRPr="00E94F30" w:rsidRDefault="000133B9" w:rsidP="000133B9">
      <w:pPr>
        <w:pStyle w:val="ListBullet"/>
        <w:ind w:left="1080" w:hanging="360"/>
      </w:pPr>
      <w:r w:rsidRPr="00E94F30">
        <w:t>Referral status</w:t>
      </w:r>
    </w:p>
    <w:p w14:paraId="3241C873" w14:textId="77777777" w:rsidR="000133B9" w:rsidRPr="00E94F30" w:rsidRDefault="000133B9" w:rsidP="000133B9">
      <w:pPr>
        <w:pStyle w:val="ListBullet"/>
        <w:ind w:left="1080" w:hanging="360"/>
      </w:pPr>
      <w:r w:rsidRPr="00E94F30">
        <w:t>Status of the clinician providing the service</w:t>
      </w:r>
      <w:r>
        <w:t>.</w:t>
      </w:r>
    </w:p>
    <w:p w14:paraId="20B3B560" w14:textId="77777777" w:rsidR="000133B9" w:rsidRPr="00E94F30" w:rsidRDefault="000133B9" w:rsidP="000133B9">
      <w:pPr>
        <w:pStyle w:val="BodyCopy"/>
        <w:rPr>
          <w:rFonts w:cs="Calibri"/>
          <w:color w:val="auto"/>
        </w:rPr>
      </w:pPr>
      <w:r w:rsidRPr="6ECC2A20">
        <w:rPr>
          <w:rFonts w:cs="Calibri"/>
          <w:color w:val="auto"/>
        </w:rPr>
        <w:t>This is determined and set by the administration support staff. Once the billable status has been determined, administration staff will need to assign the appropriate administration category to the patient’s occasion of service in the Digital Health Record (DHR).</w:t>
      </w:r>
    </w:p>
    <w:p w14:paraId="2941F64C" w14:textId="77777777" w:rsidR="000133B9" w:rsidRPr="00D779A2" w:rsidRDefault="000133B9" w:rsidP="000133B9">
      <w:r w:rsidRPr="00E25C44">
        <w:rPr>
          <w:b/>
          <w:bCs/>
        </w:rPr>
        <w:t>Administrative Category (previously known as financial class)</w:t>
      </w:r>
    </w:p>
    <w:p w14:paraId="629293F4" w14:textId="77777777" w:rsidR="000133B9" w:rsidRPr="00E94F30" w:rsidRDefault="000133B9" w:rsidP="000133B9">
      <w:r w:rsidRPr="00E94F30">
        <w:t xml:space="preserve">For each non-admitted occasion of service, an administrative category or ad cat will need to be assigned to every occasion of service. It is important that staff ensure the ad cat is correct as this will determine the appropriate funding to be received and ensure revenue is captured. </w:t>
      </w:r>
    </w:p>
    <w:p w14:paraId="2C42E962" w14:textId="77777777" w:rsidR="000133B9" w:rsidRPr="00E94F30" w:rsidRDefault="000133B9" w:rsidP="000133B9">
      <w:pPr>
        <w:pStyle w:val="BodyCopy"/>
        <w:rPr>
          <w:color w:val="auto"/>
        </w:rPr>
      </w:pPr>
      <w:r w:rsidRPr="00E94F30">
        <w:rPr>
          <w:color w:val="auto"/>
        </w:rPr>
        <w:t xml:space="preserve">If it is unclear which ad cat to select for a particular patient and/or occasion of service, staff should confirm with their team leader or the treating clinician. </w:t>
      </w:r>
    </w:p>
    <w:p w14:paraId="1E00241A" w14:textId="77777777" w:rsidR="000133B9" w:rsidRPr="00E94F30" w:rsidRDefault="000133B9" w:rsidP="000133B9">
      <w:pPr>
        <w:pStyle w:val="BodyCopy"/>
        <w:rPr>
          <w:color w:val="auto"/>
        </w:rPr>
      </w:pPr>
      <w:r w:rsidRPr="00E94F30">
        <w:rPr>
          <w:color w:val="auto"/>
        </w:rPr>
        <w:t xml:space="preserve">You can also refer to the workflow, found </w:t>
      </w:r>
      <w:hyperlink w:anchor="adcat_workflow" w:history="1">
        <w:r w:rsidRPr="00E94F30">
          <w:rPr>
            <w:rStyle w:val="Hyperlink"/>
            <w:color w:val="auto"/>
          </w:rPr>
          <w:t>here</w:t>
        </w:r>
      </w:hyperlink>
      <w:r w:rsidRPr="00E94F30">
        <w:rPr>
          <w:color w:val="auto"/>
        </w:rPr>
        <w:t xml:space="preserve"> in this document to help determine the appropriate ad cat. </w:t>
      </w:r>
    </w:p>
    <w:p w14:paraId="0675C893" w14:textId="77777777" w:rsidR="000133B9" w:rsidRPr="00D779A2" w:rsidRDefault="000133B9" w:rsidP="000133B9">
      <w:bookmarkStart w:id="11" w:name="_Toc135647179"/>
      <w:r w:rsidRPr="00E25C44">
        <w:rPr>
          <w:b/>
          <w:bCs/>
        </w:rPr>
        <w:t>Medicare cards</w:t>
      </w:r>
      <w:bookmarkEnd w:id="11"/>
    </w:p>
    <w:p w14:paraId="6F9C5BAF" w14:textId="77777777" w:rsidR="000133B9" w:rsidRPr="00E94F30" w:rsidRDefault="000133B9" w:rsidP="000133B9">
      <w:pPr>
        <w:rPr>
          <w:rFonts w:cs="Calibri"/>
          <w:bCs/>
          <w:iCs/>
          <w:kern w:val="28"/>
          <w:szCs w:val="24"/>
          <w:lang w:eastAsia="en-AU"/>
          <w14:cntxtAlts/>
        </w:rPr>
      </w:pPr>
      <w:r w:rsidRPr="00E94F30">
        <w:rPr>
          <w:rFonts w:cs="Calibri"/>
          <w:bCs/>
          <w:iCs/>
          <w:kern w:val="28"/>
          <w:szCs w:val="24"/>
          <w:lang w:eastAsia="en-AU"/>
          <w14:cntxtAlts/>
        </w:rPr>
        <w:t>Below are examples of the different Medicare cards which indicate that the client is eligible to be charged under Medicare. There are three Medicare cards:</w:t>
      </w:r>
    </w:p>
    <w:p w14:paraId="5C762FD3" w14:textId="77777777" w:rsidR="000133B9" w:rsidRPr="00E94F30" w:rsidRDefault="000133B9" w:rsidP="000133B9">
      <w:pPr>
        <w:pStyle w:val="ListBullet"/>
        <w:ind w:left="1080" w:hanging="360"/>
      </w:pPr>
      <w:r w:rsidRPr="00E94F30">
        <w:rPr>
          <w:b/>
        </w:rPr>
        <w:t>Green Medicare card</w:t>
      </w:r>
      <w:r w:rsidRPr="00E94F30">
        <w:t xml:space="preserve"> - people permanently in Australia. Cards may be issued for individuals or families.</w:t>
      </w:r>
    </w:p>
    <w:p w14:paraId="3D15972E" w14:textId="77777777" w:rsidR="000133B9" w:rsidRPr="00E94F30" w:rsidRDefault="000133B9" w:rsidP="000133B9">
      <w:pPr>
        <w:pStyle w:val="ListBullet"/>
        <w:ind w:left="1080" w:hanging="360"/>
      </w:pPr>
      <w:r w:rsidRPr="00E94F30">
        <w:rPr>
          <w:b/>
        </w:rPr>
        <w:t>Blue Medicare card</w:t>
      </w:r>
      <w:r w:rsidRPr="00E94F30">
        <w:t xml:space="preserve"> - with the words "Interim Card" are for people who have applied for permanent residence.</w:t>
      </w:r>
    </w:p>
    <w:p w14:paraId="00559E46" w14:textId="77777777" w:rsidR="000133B9" w:rsidRPr="00E27878" w:rsidRDefault="000133B9" w:rsidP="000133B9">
      <w:pPr>
        <w:pStyle w:val="ListBullet"/>
        <w:ind w:left="1080" w:hanging="360"/>
        <w:rPr>
          <w:rFonts w:cs="Calibri"/>
          <w:kern w:val="28"/>
          <w:lang w:eastAsia="en-AU"/>
          <w14:cntxtAlts/>
        </w:rPr>
      </w:pPr>
      <w:bookmarkStart w:id="12" w:name="yellow_MC"/>
      <w:r w:rsidRPr="00E94F30">
        <w:rPr>
          <w:b/>
        </w:rPr>
        <w:lastRenderedPageBreak/>
        <w:t>Yellow Medicare card</w:t>
      </w:r>
      <w:r w:rsidRPr="00E94F30">
        <w:t xml:space="preserve"> </w:t>
      </w:r>
      <w:bookmarkEnd w:id="12"/>
      <w:r w:rsidRPr="00E94F30">
        <w:t xml:space="preserve">- with the words “Reciprocal Health Care” are for people from countries with </w:t>
      </w:r>
      <w:hyperlink w:anchor="reciprocal" w:history="1">
        <w:r w:rsidRPr="00A801F7">
          <w:rPr>
            <w:rStyle w:val="Hyperlink"/>
            <w:rFonts w:cs="Calibri"/>
          </w:rPr>
          <w:t>Reciprocal Health Care Agreements</w:t>
        </w:r>
      </w:hyperlink>
      <w:r w:rsidRPr="00E27878">
        <w:rPr>
          <w:rFonts w:cs="Calibri"/>
        </w:rPr>
        <w:t xml:space="preserve"> </w:t>
      </w:r>
      <w:r w:rsidRPr="00E94F30">
        <w:t>with Australia.</w:t>
      </w:r>
    </w:p>
    <w:p w14:paraId="6FA59FBF" w14:textId="77777777" w:rsidR="000133B9" w:rsidRPr="00FF183A" w:rsidRDefault="000133B9" w:rsidP="000133B9">
      <w:pPr>
        <w:widowControl w:val="0"/>
        <w:spacing w:line="300" w:lineRule="auto"/>
        <w:rPr>
          <w:rFonts w:ascii="Gill Sans MT" w:hAnsi="Gill Sans MT"/>
          <w:color w:val="000000"/>
          <w:kern w:val="28"/>
          <w:sz w:val="20"/>
          <w:lang w:eastAsia="en-AU"/>
          <w14:cntxtAlts/>
        </w:rPr>
      </w:pPr>
      <w:r w:rsidRPr="00E44FE7">
        <w:rPr>
          <w:noProof/>
          <w:lang w:eastAsia="en-AU"/>
        </w:rPr>
        <w:drawing>
          <wp:anchor distT="0" distB="0" distL="114300" distR="114300" simplePos="0" relativeHeight="251660288" behindDoc="1" locked="0" layoutInCell="1" allowOverlap="1" wp14:anchorId="2512DBBB" wp14:editId="5F845C90">
            <wp:simplePos x="0" y="0"/>
            <wp:positionH relativeFrom="column">
              <wp:posOffset>3869741</wp:posOffset>
            </wp:positionH>
            <wp:positionV relativeFrom="paragraph">
              <wp:posOffset>126568</wp:posOffset>
            </wp:positionV>
            <wp:extent cx="1819910" cy="1158240"/>
            <wp:effectExtent l="0" t="0" r="8890"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9803" cy="116453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44FE7">
        <w:rPr>
          <w:noProof/>
          <w:lang w:eastAsia="en-AU"/>
        </w:rPr>
        <w:drawing>
          <wp:anchor distT="0" distB="0" distL="114300" distR="114300" simplePos="0" relativeHeight="251661312" behindDoc="1" locked="0" layoutInCell="1" allowOverlap="1" wp14:anchorId="73DFF306" wp14:editId="717B30E7">
            <wp:simplePos x="0" y="0"/>
            <wp:positionH relativeFrom="column">
              <wp:posOffset>2004365</wp:posOffset>
            </wp:positionH>
            <wp:positionV relativeFrom="paragraph">
              <wp:posOffset>133883</wp:posOffset>
            </wp:positionV>
            <wp:extent cx="1793964" cy="1135685"/>
            <wp:effectExtent l="0" t="0" r="0" b="76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l="3896" t="4879" r="4424" b="7294"/>
                    <a:stretch>
                      <a:fillRect/>
                    </a:stretch>
                  </pic:blipFill>
                  <pic:spPr bwMode="auto">
                    <a:xfrm>
                      <a:off x="0" y="0"/>
                      <a:ext cx="1800362" cy="11397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44FE7">
        <w:rPr>
          <w:noProof/>
          <w:lang w:eastAsia="en-AU"/>
        </w:rPr>
        <w:drawing>
          <wp:anchor distT="0" distB="0" distL="114300" distR="114300" simplePos="0" relativeHeight="251662336" behindDoc="1" locked="0" layoutInCell="1" allowOverlap="1" wp14:anchorId="1E0FF459" wp14:editId="651DB97F">
            <wp:simplePos x="0" y="0"/>
            <wp:positionH relativeFrom="column">
              <wp:posOffset>131675</wp:posOffset>
            </wp:positionH>
            <wp:positionV relativeFrom="paragraph">
              <wp:posOffset>126568</wp:posOffset>
            </wp:positionV>
            <wp:extent cx="1800660" cy="1143432"/>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6292" cy="114700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F183A">
        <w:rPr>
          <w:rFonts w:ascii="Gill Sans MT" w:hAnsi="Gill Sans MT"/>
          <w:color w:val="000000"/>
          <w:kern w:val="28"/>
          <w:sz w:val="20"/>
          <w:lang w:eastAsia="en-AU"/>
          <w14:cntxtAlts/>
        </w:rPr>
        <w:t> </w:t>
      </w:r>
    </w:p>
    <w:p w14:paraId="3FEE44B2" w14:textId="77777777" w:rsidR="000133B9" w:rsidRDefault="000133B9" w:rsidP="000133B9">
      <w:pPr>
        <w:jc w:val="center"/>
      </w:pPr>
    </w:p>
    <w:p w14:paraId="32CE2E84" w14:textId="77777777" w:rsidR="000133B9" w:rsidRDefault="000133B9" w:rsidP="000133B9"/>
    <w:p w14:paraId="2ADB4D3B" w14:textId="77777777" w:rsidR="000133B9" w:rsidRDefault="000133B9" w:rsidP="000133B9"/>
    <w:p w14:paraId="3A2E8AA7" w14:textId="77777777" w:rsidR="000133B9" w:rsidRDefault="000133B9" w:rsidP="000133B9"/>
    <w:p w14:paraId="268A07AE" w14:textId="77777777" w:rsidR="000133B9" w:rsidRDefault="000133B9" w:rsidP="000133B9"/>
    <w:p w14:paraId="18555DFA" w14:textId="77777777" w:rsidR="000133B9" w:rsidRDefault="000133B9" w:rsidP="000133B9"/>
    <w:p w14:paraId="1E030967" w14:textId="77777777" w:rsidR="000133B9" w:rsidRDefault="000133B9" w:rsidP="000133B9">
      <w:pPr>
        <w:rPr>
          <w:rFonts w:cs="Calibri"/>
        </w:rPr>
      </w:pPr>
      <w:r>
        <w:rPr>
          <w:rFonts w:cs="Calibri"/>
        </w:rPr>
        <w:t xml:space="preserve">   Green                                                      Blue                                                   Yellow</w:t>
      </w:r>
    </w:p>
    <w:p w14:paraId="758C7621" w14:textId="77777777" w:rsidR="000133B9" w:rsidRDefault="000133B9" w:rsidP="000133B9">
      <w:pPr>
        <w:rPr>
          <w:rFonts w:cs="Calibri"/>
          <w:i/>
          <w:iCs/>
          <w:szCs w:val="24"/>
        </w:rPr>
      </w:pPr>
      <w:bookmarkStart w:id="13" w:name="_Hlk58932402"/>
    </w:p>
    <w:p w14:paraId="1EE3C7E7" w14:textId="02436F49" w:rsidR="000133B9" w:rsidRPr="00E94F30" w:rsidRDefault="000133B9" w:rsidP="000133B9">
      <w:pPr>
        <w:pBdr>
          <w:top w:val="single" w:sz="4" w:space="1" w:color="auto"/>
          <w:left w:val="single" w:sz="4" w:space="4" w:color="auto"/>
          <w:bottom w:val="single" w:sz="4" w:space="1" w:color="auto"/>
          <w:right w:val="single" w:sz="4" w:space="4" w:color="auto"/>
        </w:pBdr>
        <w:rPr>
          <w:rFonts w:cs="Calibri"/>
          <w:i/>
          <w:iCs/>
          <w:szCs w:val="24"/>
        </w:rPr>
      </w:pPr>
      <w:r w:rsidRPr="00DA3DBE">
        <w:rPr>
          <w:rFonts w:cs="Calibri"/>
          <w:b/>
          <w:bCs/>
          <w:szCs w:val="24"/>
        </w:rPr>
        <w:t>Note:</w:t>
      </w:r>
      <w:r w:rsidRPr="00E25C44">
        <w:rPr>
          <w:rFonts w:cs="Calibri"/>
          <w:szCs w:val="24"/>
        </w:rPr>
        <w:t xml:space="preserve"> Federal and State/Territory Governments fund health services to provide patient care services</w:t>
      </w:r>
      <w:r w:rsidRPr="00E94F30">
        <w:rPr>
          <w:rFonts w:cs="Calibri"/>
          <w:i/>
          <w:iCs/>
          <w:szCs w:val="24"/>
        </w:rPr>
        <w:t>.</w:t>
      </w:r>
    </w:p>
    <w:p w14:paraId="2378B19A" w14:textId="77777777" w:rsidR="000133B9" w:rsidRPr="00E25C44" w:rsidRDefault="000133B9" w:rsidP="000133B9">
      <w:pPr>
        <w:pStyle w:val="BodyCopy"/>
        <w:spacing w:before="100" w:after="100"/>
        <w:rPr>
          <w:rFonts w:cs="Calibri"/>
          <w:iCs w:val="0"/>
          <w:color w:val="auto"/>
        </w:rPr>
      </w:pPr>
      <w:r w:rsidRPr="00E25C44">
        <w:rPr>
          <w:rFonts w:cs="Calibri"/>
          <w:iCs w:val="0"/>
          <w:color w:val="auto"/>
        </w:rPr>
        <w:t xml:space="preserve">Accurate collection of Medicare numbers and funding source information by the Department of Health </w:t>
      </w:r>
      <w:r w:rsidRPr="00E25C44">
        <w:rPr>
          <w:rFonts w:cs="Calibri"/>
          <w:iCs w:val="0"/>
          <w:color w:val="auto"/>
          <w:lang w:val="x-none"/>
        </w:rPr>
        <w:t>will enable CHS to meet its obligations regarding:</w:t>
      </w:r>
    </w:p>
    <w:p w14:paraId="68421BC3" w14:textId="77777777" w:rsidR="000133B9" w:rsidRPr="00E25C44" w:rsidRDefault="000133B9" w:rsidP="000133B9">
      <w:pPr>
        <w:pStyle w:val="ListBullet"/>
        <w:ind w:left="1080" w:hanging="360"/>
      </w:pPr>
      <w:r w:rsidRPr="00E25C44">
        <w:t>National reporting requirements</w:t>
      </w:r>
    </w:p>
    <w:p w14:paraId="4B2FF83B" w14:textId="77777777" w:rsidR="000133B9" w:rsidRPr="00E25C44" w:rsidRDefault="000133B9" w:rsidP="000133B9">
      <w:pPr>
        <w:pStyle w:val="ListBullet"/>
        <w:ind w:left="1080" w:hanging="360"/>
      </w:pPr>
      <w:r w:rsidRPr="00E25C44">
        <w:t>Internal billing requirements</w:t>
      </w:r>
    </w:p>
    <w:p w14:paraId="0A52DAF6" w14:textId="77777777" w:rsidR="000133B9" w:rsidRPr="00E25C44" w:rsidRDefault="000133B9" w:rsidP="000133B9">
      <w:pPr>
        <w:pStyle w:val="ListBullet"/>
        <w:ind w:left="1080" w:hanging="360"/>
        <w:rPr>
          <w:rFonts w:cs="Calibri"/>
          <w:kern w:val="28"/>
          <w:lang w:eastAsia="en-AU"/>
          <w14:cntxtAlts/>
        </w:rPr>
      </w:pPr>
      <w:r w:rsidRPr="00E25C44">
        <w:t xml:space="preserve">Australian Digital Health Agency requirements to contribute to individuals My Health Record (more information can be found here: </w:t>
      </w:r>
      <w:hyperlink r:id="rId19" w:history="1">
        <w:r w:rsidRPr="00E25C44">
          <w:rPr>
            <w:rStyle w:val="Hyperlink"/>
            <w:rFonts w:cs="Calibri"/>
          </w:rPr>
          <w:t>https://www.digitalhealth.gov.au/</w:t>
        </w:r>
      </w:hyperlink>
      <w:r w:rsidRPr="00E25C44">
        <w:t>)</w:t>
      </w:r>
      <w:r>
        <w:t>.</w:t>
      </w:r>
    </w:p>
    <w:p w14:paraId="27A6B595" w14:textId="77777777" w:rsidR="000133B9" w:rsidRPr="00E25C44" w:rsidRDefault="000133B9" w:rsidP="000133B9">
      <w:pPr>
        <w:pStyle w:val="ListBullet"/>
        <w:numPr>
          <w:ilvl w:val="0"/>
          <w:numId w:val="0"/>
        </w:numPr>
        <w:ind w:left="426"/>
        <w:rPr>
          <w:bCs/>
          <w:kern w:val="28"/>
          <w:lang w:eastAsia="en-AU"/>
          <w14:cntxtAlts/>
        </w:rPr>
      </w:pPr>
    </w:p>
    <w:p w14:paraId="4190E108" w14:textId="77777777" w:rsidR="000133B9" w:rsidRPr="00491BEE" w:rsidRDefault="000133B9" w:rsidP="000133B9">
      <w:pPr>
        <w:pStyle w:val="Heading2"/>
      </w:pPr>
      <w:bookmarkStart w:id="14" w:name="_Toc135647180"/>
      <w:bookmarkStart w:id="15" w:name="_Toc167113102"/>
      <w:bookmarkEnd w:id="13"/>
      <w:r w:rsidRPr="00491BEE">
        <w:t>D</w:t>
      </w:r>
      <w:r>
        <w:t xml:space="preserve">epartment of </w:t>
      </w:r>
      <w:r w:rsidRPr="00491BEE">
        <w:t>V</w:t>
      </w:r>
      <w:r>
        <w:t xml:space="preserve">eterans </w:t>
      </w:r>
      <w:r w:rsidRPr="00491BEE">
        <w:t>A</w:t>
      </w:r>
      <w:r>
        <w:t>ffairs</w:t>
      </w:r>
      <w:r w:rsidRPr="00491BEE">
        <w:t xml:space="preserve"> </w:t>
      </w:r>
      <w:r>
        <w:t>c</w:t>
      </w:r>
      <w:r w:rsidRPr="00491BEE">
        <w:t>ards</w:t>
      </w:r>
      <w:bookmarkEnd w:id="14"/>
      <w:bookmarkEnd w:id="15"/>
    </w:p>
    <w:p w14:paraId="6E15C9D1" w14:textId="77777777" w:rsidR="000133B9" w:rsidRPr="00E94F30" w:rsidRDefault="000133B9" w:rsidP="000133B9">
      <w:pPr>
        <w:widowControl w:val="0"/>
        <w:rPr>
          <w:rFonts w:cs="Calibri"/>
        </w:rPr>
      </w:pPr>
      <w:r w:rsidRPr="5F00E2D9">
        <w:rPr>
          <w:rFonts w:cs="Calibri"/>
        </w:rPr>
        <w:t xml:space="preserve">Below are examples of the different Department of Veterans Affairs (DVA) health cards – each health card has a different level of cover and are issued to veterans, their widows/widowers and dependants ensuring they have access to health (and other) care services. </w:t>
      </w:r>
    </w:p>
    <w:p w14:paraId="54EC55EE" w14:textId="77777777" w:rsidR="000133B9" w:rsidRDefault="000133B9" w:rsidP="000133B9">
      <w:pPr>
        <w:pStyle w:val="NoSpacing"/>
      </w:pPr>
    </w:p>
    <w:p w14:paraId="09A960CF" w14:textId="77777777" w:rsidR="000133B9" w:rsidRPr="00E94F30" w:rsidRDefault="000133B9" w:rsidP="000133B9">
      <w:pPr>
        <w:pStyle w:val="NoSpacing"/>
      </w:pPr>
      <w:r w:rsidRPr="00E25C44">
        <w:rPr>
          <w:sz w:val="24"/>
          <w:szCs w:val="24"/>
        </w:rPr>
        <w:t>There are three DVA cards:</w:t>
      </w:r>
    </w:p>
    <w:p w14:paraId="41F39467" w14:textId="77777777" w:rsidR="000133B9" w:rsidRPr="00E94F30" w:rsidRDefault="000133B9" w:rsidP="000133B9">
      <w:pPr>
        <w:pStyle w:val="ListBullet"/>
        <w:ind w:left="1080" w:hanging="360"/>
      </w:pPr>
      <w:r w:rsidRPr="00E94F30">
        <w:rPr>
          <w:b/>
        </w:rPr>
        <w:t xml:space="preserve">Gold card </w:t>
      </w:r>
      <w:r w:rsidRPr="00E94F30">
        <w:t>– DVA accepts financial responsibility for all services.</w:t>
      </w:r>
    </w:p>
    <w:p w14:paraId="38911DE4" w14:textId="77777777" w:rsidR="000133B9" w:rsidRPr="00E94F30" w:rsidRDefault="000133B9" w:rsidP="000133B9">
      <w:pPr>
        <w:pStyle w:val="ListBullet"/>
        <w:ind w:left="1080" w:hanging="360"/>
      </w:pPr>
      <w:r w:rsidRPr="00E94F30">
        <w:rPr>
          <w:b/>
        </w:rPr>
        <w:t xml:space="preserve">White card </w:t>
      </w:r>
      <w:r w:rsidRPr="00E94F30">
        <w:t>– entitles the veteran to treatment for their accepted war-caused disabilities, and for a few general disabilities including:</w:t>
      </w:r>
    </w:p>
    <w:p w14:paraId="323491F0" w14:textId="77777777" w:rsidR="000133B9" w:rsidRPr="00E94F30" w:rsidRDefault="000133B9" w:rsidP="000133B9">
      <w:pPr>
        <w:pStyle w:val="ListBullet"/>
        <w:tabs>
          <w:tab w:val="clear" w:pos="1080"/>
          <w:tab w:val="num" w:pos="1506"/>
        </w:tabs>
        <w:ind w:left="1506" w:hanging="360"/>
      </w:pPr>
      <w:r w:rsidRPr="00E94F30">
        <w:t>cancer (malignant neoplasia)</w:t>
      </w:r>
    </w:p>
    <w:p w14:paraId="25CF836C" w14:textId="77777777" w:rsidR="000133B9" w:rsidRPr="00E94F30" w:rsidRDefault="000133B9" w:rsidP="000133B9">
      <w:pPr>
        <w:pStyle w:val="ListBullet"/>
        <w:tabs>
          <w:tab w:val="clear" w:pos="1080"/>
          <w:tab w:val="num" w:pos="1506"/>
        </w:tabs>
        <w:ind w:left="1506" w:hanging="360"/>
      </w:pPr>
      <w:r w:rsidRPr="00E94F30">
        <w:t>pulmonary tuberculosis</w:t>
      </w:r>
    </w:p>
    <w:p w14:paraId="24F19AE8" w14:textId="77777777" w:rsidR="000133B9" w:rsidRPr="00E94F30" w:rsidRDefault="000133B9" w:rsidP="000133B9">
      <w:pPr>
        <w:pStyle w:val="ListBullet"/>
        <w:tabs>
          <w:tab w:val="clear" w:pos="1080"/>
          <w:tab w:val="num" w:pos="1506"/>
        </w:tabs>
        <w:ind w:left="1506" w:hanging="360"/>
      </w:pPr>
      <w:r w:rsidRPr="00E94F30">
        <w:t xml:space="preserve">any mental health conditions. </w:t>
      </w:r>
    </w:p>
    <w:p w14:paraId="63D0737F" w14:textId="77777777" w:rsidR="000133B9" w:rsidRPr="00CA01CF" w:rsidRDefault="000133B9" w:rsidP="000133B9">
      <w:pPr>
        <w:pStyle w:val="ListBullet"/>
        <w:ind w:hanging="360"/>
        <w:rPr>
          <w:rFonts w:cs="Calibri"/>
          <w:kern w:val="28"/>
          <w:lang w:eastAsia="en-AU"/>
          <w14:cntxtAlts/>
        </w:rPr>
      </w:pPr>
      <w:r w:rsidRPr="00CA01CF">
        <w:rPr>
          <w:rFonts w:cs="Calibri"/>
          <w:b/>
        </w:rPr>
        <w:t xml:space="preserve">Orange card </w:t>
      </w:r>
      <w:r w:rsidRPr="00CA01CF">
        <w:rPr>
          <w:rFonts w:cs="Calibri"/>
        </w:rPr>
        <w:t>– entitles the veteran to pharmaceutical items only.</w:t>
      </w:r>
    </w:p>
    <w:p w14:paraId="4EEBB856" w14:textId="77777777" w:rsidR="000133B9" w:rsidRPr="00383148" w:rsidRDefault="000133B9" w:rsidP="000133B9">
      <w:pPr>
        <w:pStyle w:val="Bulletlevel1"/>
        <w:numPr>
          <w:ilvl w:val="0"/>
          <w:numId w:val="0"/>
        </w:numPr>
      </w:pPr>
      <w:r w:rsidRPr="00E44FE7">
        <w:rPr>
          <w:b/>
          <w:bCs w:val="0"/>
          <w:noProof/>
        </w:rPr>
        <w:drawing>
          <wp:anchor distT="0" distB="0" distL="114300" distR="114300" simplePos="0" relativeHeight="251659264" behindDoc="1" locked="0" layoutInCell="1" allowOverlap="1" wp14:anchorId="40621BB2" wp14:editId="0ECD5E59">
            <wp:simplePos x="0" y="0"/>
            <wp:positionH relativeFrom="column">
              <wp:posOffset>3919220</wp:posOffset>
            </wp:positionH>
            <wp:positionV relativeFrom="paragraph">
              <wp:posOffset>108047</wp:posOffset>
            </wp:positionV>
            <wp:extent cx="1767236" cy="1112520"/>
            <wp:effectExtent l="19050" t="19050" r="23495" b="1143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67236" cy="111252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Pr="00E44FE7">
        <w:rPr>
          <w:noProof/>
          <w:color w:val="0070C0"/>
        </w:rPr>
        <w:drawing>
          <wp:anchor distT="0" distB="0" distL="114300" distR="114300" simplePos="0" relativeHeight="251664384" behindDoc="1" locked="0" layoutInCell="1" allowOverlap="1" wp14:anchorId="77A93846" wp14:editId="31E0BB42">
            <wp:simplePos x="0" y="0"/>
            <wp:positionH relativeFrom="column">
              <wp:posOffset>2003425</wp:posOffset>
            </wp:positionH>
            <wp:positionV relativeFrom="paragraph">
              <wp:posOffset>108027</wp:posOffset>
            </wp:positionV>
            <wp:extent cx="1795316" cy="1112850"/>
            <wp:effectExtent l="19050" t="19050" r="14605" b="1143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95316" cy="111285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Pr="00E44FE7">
        <w:rPr>
          <w:b/>
          <w:bCs w:val="0"/>
          <w:noProof/>
          <w:color w:val="0070C0"/>
        </w:rPr>
        <w:drawing>
          <wp:anchor distT="0" distB="0" distL="114300" distR="114300" simplePos="0" relativeHeight="251663360" behindDoc="1" locked="0" layoutInCell="1" allowOverlap="1" wp14:anchorId="157CA720" wp14:editId="6A24296D">
            <wp:simplePos x="0" y="0"/>
            <wp:positionH relativeFrom="column">
              <wp:posOffset>128270</wp:posOffset>
            </wp:positionH>
            <wp:positionV relativeFrom="paragraph">
              <wp:posOffset>106579</wp:posOffset>
            </wp:positionV>
            <wp:extent cx="1757172" cy="1106025"/>
            <wp:effectExtent l="19050" t="19050" r="14605" b="1841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57172" cy="1106025"/>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14:paraId="440B95FB" w14:textId="77777777" w:rsidR="000133B9" w:rsidRPr="00E44FE7" w:rsidRDefault="000133B9" w:rsidP="000133B9">
      <w:pPr>
        <w:pStyle w:val="NormalWeb"/>
        <w:rPr>
          <w:rFonts w:ascii="Calibri" w:hAnsi="Calibri" w:cs="Arial"/>
        </w:rPr>
      </w:pPr>
      <w:r w:rsidRPr="00E44FE7">
        <w:rPr>
          <w:rFonts w:ascii="Calibri" w:hAnsi="Calibri" w:cs="Arial"/>
        </w:rPr>
        <w:t xml:space="preserve">        </w:t>
      </w:r>
    </w:p>
    <w:p w14:paraId="0B8596C1" w14:textId="77777777" w:rsidR="000133B9" w:rsidRDefault="000133B9" w:rsidP="000133B9">
      <w:pPr>
        <w:pStyle w:val="BodyCopy"/>
      </w:pPr>
    </w:p>
    <w:p w14:paraId="1EF5120D" w14:textId="77777777" w:rsidR="000133B9" w:rsidRDefault="000133B9" w:rsidP="000133B9">
      <w:pPr>
        <w:pStyle w:val="BodyCopy"/>
      </w:pPr>
    </w:p>
    <w:p w14:paraId="3AC24F72" w14:textId="77777777" w:rsidR="000133B9" w:rsidRPr="00E94F30" w:rsidRDefault="000133B9" w:rsidP="000133B9">
      <w:pPr>
        <w:pStyle w:val="BodyCopy"/>
        <w:rPr>
          <w:color w:val="auto"/>
        </w:rPr>
      </w:pPr>
      <w:r w:rsidRPr="00E94F30">
        <w:rPr>
          <w:color w:val="auto"/>
        </w:rPr>
        <w:t>Gold                                                    White                                            Orange</w:t>
      </w:r>
    </w:p>
    <w:p w14:paraId="6BA18852" w14:textId="77777777" w:rsidR="000133B9" w:rsidRPr="00B6702A" w:rsidRDefault="000133B9" w:rsidP="000133B9">
      <w:pPr>
        <w:pStyle w:val="NoSpacing"/>
        <w:rPr>
          <w:sz w:val="24"/>
          <w:szCs w:val="24"/>
        </w:rPr>
      </w:pPr>
      <w:bookmarkStart w:id="16" w:name="_Toc135647181"/>
      <w:r w:rsidRPr="00B6702A">
        <w:rPr>
          <w:b/>
          <w:bCs/>
          <w:sz w:val="24"/>
          <w:szCs w:val="24"/>
        </w:rPr>
        <w:lastRenderedPageBreak/>
        <w:t>Health Professional Online Service (HPOS)</w:t>
      </w:r>
      <w:bookmarkEnd w:id="16"/>
    </w:p>
    <w:p w14:paraId="2EF7A927" w14:textId="73072B47" w:rsidR="000133B9" w:rsidRPr="00B6702A" w:rsidRDefault="000133B9" w:rsidP="000133B9">
      <w:pPr>
        <w:pStyle w:val="NoSpacing"/>
        <w:rPr>
          <w:rFonts w:cs="Calibri"/>
          <w:bCs/>
          <w:iCs/>
          <w:kern w:val="28"/>
          <w:sz w:val="24"/>
          <w:szCs w:val="24"/>
          <w:lang w:eastAsia="en-AU"/>
          <w14:cntxtAlts/>
        </w:rPr>
      </w:pPr>
      <w:r w:rsidRPr="00B6702A">
        <w:rPr>
          <w:rFonts w:cs="Calibri"/>
          <w:bCs/>
          <w:iCs/>
          <w:kern w:val="28"/>
          <w:sz w:val="24"/>
          <w:szCs w:val="24"/>
          <w:lang w:eastAsia="en-AU"/>
          <w14:cntxtAlts/>
        </w:rPr>
        <w:t xml:space="preserve">CHS has access to check a patient’s Medicare eligibility (with the patient’s permission) online through the Health Professional Online System (HPOS). HPOS is accessed via staff’s individual PRODA (Provider Digital Access) account. Please see </w:t>
      </w:r>
      <w:r w:rsidR="00C15BCF" w:rsidRPr="00B6702A">
        <w:rPr>
          <w:rFonts w:cs="Calibri"/>
          <w:bCs/>
          <w:iCs/>
          <w:kern w:val="28"/>
          <w:sz w:val="24"/>
          <w:szCs w:val="24"/>
          <w:lang w:eastAsia="en-AU"/>
          <w14:cntxtAlts/>
        </w:rPr>
        <w:t>A</w:t>
      </w:r>
      <w:r w:rsidRPr="00B6702A">
        <w:rPr>
          <w:rFonts w:cs="Calibri"/>
          <w:bCs/>
          <w:iCs/>
          <w:kern w:val="28"/>
          <w:sz w:val="24"/>
          <w:szCs w:val="24"/>
          <w:lang w:eastAsia="en-AU"/>
          <w14:cntxtAlts/>
        </w:rPr>
        <w:t>ttach</w:t>
      </w:r>
      <w:r w:rsidR="00C15BCF" w:rsidRPr="00B6702A">
        <w:rPr>
          <w:rFonts w:cs="Calibri"/>
          <w:bCs/>
          <w:iCs/>
          <w:kern w:val="28"/>
          <w:sz w:val="24"/>
          <w:szCs w:val="24"/>
          <w:lang w:eastAsia="en-AU"/>
          <w14:cntxtAlts/>
        </w:rPr>
        <w:t xml:space="preserve">ment 1: </w:t>
      </w:r>
      <w:r w:rsidR="00DA3DBE" w:rsidRPr="00B6702A">
        <w:rPr>
          <w:rFonts w:cs="Calibri"/>
          <w:bCs/>
          <w:iCs/>
          <w:kern w:val="28"/>
          <w:sz w:val="24"/>
          <w:szCs w:val="24"/>
          <w:lang w:eastAsia="en-AU"/>
          <w14:cntxtAlts/>
        </w:rPr>
        <w:t>Health Professional Online Service (HPOS) patient verification access</w:t>
      </w:r>
      <w:r w:rsidRPr="00B6702A">
        <w:rPr>
          <w:rFonts w:cs="Calibri"/>
          <w:bCs/>
          <w:iCs/>
          <w:kern w:val="28"/>
          <w:sz w:val="24"/>
          <w:szCs w:val="24"/>
          <w:lang w:eastAsia="en-AU"/>
          <w14:cntxtAlts/>
        </w:rPr>
        <w:t>. Once your account has been created you can use</w:t>
      </w:r>
      <w:r w:rsidR="00DA3DBE" w:rsidRPr="00B6702A">
        <w:rPr>
          <w:rFonts w:cs="Calibri"/>
          <w:bCs/>
          <w:iCs/>
          <w:kern w:val="28"/>
          <w:sz w:val="24"/>
          <w:szCs w:val="24"/>
          <w:lang w:eastAsia="en-AU"/>
          <w14:cntxtAlts/>
        </w:rPr>
        <w:t xml:space="preserve"> Attachment 2: How to Access Health Professional Online Service (HPOS)</w:t>
      </w:r>
      <w:r w:rsidRPr="00B6702A">
        <w:rPr>
          <w:rFonts w:cs="Calibri"/>
          <w:bCs/>
          <w:iCs/>
          <w:kern w:val="28"/>
          <w:sz w:val="24"/>
          <w:szCs w:val="24"/>
          <w:lang w:eastAsia="en-AU"/>
          <w14:cntxtAlts/>
        </w:rPr>
        <w:t xml:space="preserve">. </w:t>
      </w:r>
    </w:p>
    <w:p w14:paraId="6E20FE47" w14:textId="75CDEA4A" w:rsidR="000133B9" w:rsidRPr="00556CA9" w:rsidRDefault="000133B9" w:rsidP="000133B9">
      <w:pPr>
        <w:widowControl w:val="0"/>
        <w:spacing w:line="300" w:lineRule="auto"/>
        <w:rPr>
          <w:rFonts w:cs="Calibri"/>
          <w:color w:val="76923C" w:themeColor="accent3" w:themeShade="BF"/>
        </w:rPr>
      </w:pPr>
      <w:r w:rsidRPr="5F00E2D9">
        <w:rPr>
          <w:rFonts w:cs="Calibri"/>
          <w:color w:val="76923C" w:themeColor="accent3" w:themeShade="BF"/>
          <w:kern w:val="28"/>
          <w:lang w:eastAsia="en-AU"/>
          <w14:cntxtAlts/>
        </w:rPr>
        <w:t> </w:t>
      </w:r>
    </w:p>
    <w:p w14:paraId="49859786" w14:textId="24D10898" w:rsidR="000133B9" w:rsidRPr="001158EB" w:rsidRDefault="000133B9" w:rsidP="00B6702A">
      <w:pPr>
        <w:pBdr>
          <w:top w:val="single" w:sz="4" w:space="1" w:color="auto"/>
          <w:left w:val="single" w:sz="4" w:space="4" w:color="auto"/>
          <w:bottom w:val="single" w:sz="4" w:space="1" w:color="auto"/>
          <w:right w:val="single" w:sz="4" w:space="4" w:color="auto"/>
        </w:pBdr>
        <w:rPr>
          <w:rFonts w:cs="Calibri"/>
          <w:bCs/>
          <w:iCs/>
          <w:szCs w:val="24"/>
        </w:rPr>
      </w:pPr>
      <w:r w:rsidRPr="00DA3DBE">
        <w:rPr>
          <w:rFonts w:cs="Calibri"/>
          <w:b/>
          <w:bCs/>
          <w:iCs/>
        </w:rPr>
        <w:t>Note:</w:t>
      </w:r>
      <w:r w:rsidR="00DA3DBE">
        <w:rPr>
          <w:rFonts w:cs="Calibri"/>
          <w:b/>
          <w:bCs/>
          <w:iCs/>
        </w:rPr>
        <w:t xml:space="preserve"> </w:t>
      </w:r>
      <w:r w:rsidRPr="001158EB">
        <w:rPr>
          <w:rFonts w:cs="Calibri"/>
          <w:bCs/>
          <w:iCs/>
          <w:szCs w:val="24"/>
        </w:rPr>
        <w:t xml:space="preserve">Ensure you are actively checking the patients Medicare card details upon every visit to CHS and correcting any discrepancies (such as correcting dates generated by the source systems, reference numbers, etc.). Do not assume the registered card number or accompanying details are correct – it is the last two digits that change. </w:t>
      </w:r>
    </w:p>
    <w:p w14:paraId="08682A06" w14:textId="77777777" w:rsidR="009A534C" w:rsidRDefault="009A534C" w:rsidP="009A534C">
      <w:pPr>
        <w:rPr>
          <w:rFonts w:cs="Arial"/>
          <w:i/>
          <w:szCs w:val="24"/>
        </w:rPr>
      </w:pPr>
      <w:r>
        <w:rPr>
          <w:rFonts w:cs="Arial"/>
          <w:i/>
          <w:szCs w:val="24"/>
        </w:rPr>
        <w:t xml:space="preserve"> </w:t>
      </w:r>
    </w:p>
    <w:p w14:paraId="08682A07" w14:textId="77777777" w:rsidR="009A534C" w:rsidRPr="00DA3910" w:rsidRDefault="00CD4A22"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3971ADD1" w:rsidR="009A534C" w:rsidRPr="00C76688" w:rsidRDefault="009A534C" w:rsidP="00010E74">
            <w:pPr>
              <w:pStyle w:val="Heading1"/>
            </w:pPr>
            <w:bookmarkStart w:id="17" w:name="_Toc389473281"/>
            <w:bookmarkStart w:id="18" w:name="_Toc393203337"/>
            <w:bookmarkStart w:id="19" w:name="_Toc167113103"/>
            <w:r w:rsidRPr="00C76688">
              <w:t xml:space="preserve">Section 2 – </w:t>
            </w:r>
            <w:bookmarkEnd w:id="17"/>
            <w:bookmarkEnd w:id="18"/>
            <w:r w:rsidR="000133B9">
              <w:t>Outpatient Bulk Bill and DVA Billing</w:t>
            </w:r>
            <w:bookmarkEnd w:id="19"/>
          </w:p>
        </w:tc>
      </w:tr>
    </w:tbl>
    <w:p w14:paraId="08682A0B" w14:textId="77777777" w:rsidR="008E74FD" w:rsidRDefault="008E74FD" w:rsidP="00D54ED5">
      <w:pPr>
        <w:rPr>
          <w:rFonts w:cs="Arial"/>
          <w:i/>
          <w:szCs w:val="24"/>
        </w:rPr>
      </w:pPr>
    </w:p>
    <w:p w14:paraId="247A95BC" w14:textId="77777777" w:rsidR="000133B9" w:rsidRDefault="000133B9" w:rsidP="000133B9">
      <w:pPr>
        <w:pStyle w:val="BodyCopy"/>
        <w:rPr>
          <w:rFonts w:cs="Calibri"/>
          <w:color w:val="auto"/>
        </w:rPr>
      </w:pPr>
      <w:r w:rsidRPr="009114F8">
        <w:rPr>
          <w:rFonts w:cs="Calibri"/>
          <w:color w:val="auto"/>
        </w:rPr>
        <w:t xml:space="preserve">Standard: </w:t>
      </w:r>
      <w:r w:rsidRPr="009114F8">
        <w:rPr>
          <w:rFonts w:cs="Calibri"/>
          <w:color w:val="auto"/>
        </w:rPr>
        <w:tab/>
        <w:t xml:space="preserve">All eligible persons have the right to choose to be treated as either a </w:t>
      </w:r>
      <w:r w:rsidRPr="009114F8">
        <w:rPr>
          <w:rFonts w:cs="Calibri"/>
          <w:color w:val="auto"/>
        </w:rPr>
        <w:tab/>
      </w:r>
      <w:r w:rsidRPr="009114F8">
        <w:rPr>
          <w:rFonts w:cs="Calibri"/>
          <w:color w:val="auto"/>
        </w:rPr>
        <w:tab/>
      </w:r>
      <w:r w:rsidRPr="009114F8">
        <w:rPr>
          <w:rFonts w:cs="Calibri"/>
          <w:color w:val="auto"/>
        </w:rPr>
        <w:tab/>
        <w:t>public or a private patient.</w:t>
      </w:r>
    </w:p>
    <w:p w14:paraId="0DCF12E9" w14:textId="5D710DAA" w:rsidR="000133B9" w:rsidRPr="009114F8" w:rsidRDefault="000133B9" w:rsidP="000133B9">
      <w:pPr>
        <w:pStyle w:val="BodyCopy"/>
        <w:rPr>
          <w:rFonts w:cs="Calibri"/>
          <w:color w:val="auto"/>
        </w:rPr>
      </w:pPr>
      <w:r>
        <w:rPr>
          <w:rFonts w:cs="Calibri"/>
          <w:color w:val="auto"/>
        </w:rPr>
        <w:t xml:space="preserve">In an outpatient setting Medicare defines outpatient bulk billed services as private and public as true public services.  Nurse, Allied </w:t>
      </w:r>
      <w:proofErr w:type="gramStart"/>
      <w:r>
        <w:rPr>
          <w:rFonts w:cs="Calibri"/>
          <w:color w:val="auto"/>
        </w:rPr>
        <w:t>Health</w:t>
      </w:r>
      <w:proofErr w:type="gramEnd"/>
      <w:r>
        <w:rPr>
          <w:rFonts w:cs="Calibri"/>
          <w:color w:val="auto"/>
        </w:rPr>
        <w:t xml:space="preserve"> and Registrar appointments should be placed through as public and CHS receives </w:t>
      </w:r>
      <w:r w:rsidR="005471DF">
        <w:rPr>
          <w:rFonts w:cs="Calibri"/>
          <w:color w:val="auto"/>
        </w:rPr>
        <w:t>activity-based</w:t>
      </w:r>
      <w:r>
        <w:rPr>
          <w:rFonts w:cs="Calibri"/>
          <w:color w:val="auto"/>
        </w:rPr>
        <w:t xml:space="preserve"> funding for these services.</w:t>
      </w:r>
    </w:p>
    <w:p w14:paraId="5C151E4E" w14:textId="77777777" w:rsidR="000133B9" w:rsidRPr="009114F8" w:rsidRDefault="000133B9" w:rsidP="000133B9">
      <w:pPr>
        <w:pStyle w:val="NoSpacing"/>
        <w:rPr>
          <w:rFonts w:cs="Calibri"/>
        </w:rPr>
      </w:pPr>
      <w:bookmarkStart w:id="20" w:name="OBB_DVA_Billing_rules_simple"/>
      <w:r w:rsidRPr="001158EB">
        <w:rPr>
          <w:sz w:val="24"/>
          <w:szCs w:val="24"/>
        </w:rPr>
        <w:t>For the service to be an eligible private non-admitted (known as “outpatient bulk billed”) or DVA billed service</w:t>
      </w:r>
      <w:bookmarkEnd w:id="20"/>
      <w:r w:rsidRPr="001158EB">
        <w:rPr>
          <w:sz w:val="24"/>
          <w:szCs w:val="24"/>
        </w:rPr>
        <w:t xml:space="preserve">: </w:t>
      </w:r>
    </w:p>
    <w:p w14:paraId="31386FE0" w14:textId="77777777" w:rsidR="000133B9" w:rsidRPr="009114F8" w:rsidRDefault="000133B9" w:rsidP="000133B9">
      <w:pPr>
        <w:pStyle w:val="ListBullet"/>
        <w:ind w:left="1080" w:hanging="360"/>
        <w:rPr>
          <w:rFonts w:cs="Calibri"/>
        </w:rPr>
      </w:pPr>
      <w:r w:rsidRPr="009114F8">
        <w:rPr>
          <w:rFonts w:cs="Calibri"/>
        </w:rPr>
        <w:t>The patient needs to be Medicare/DVA eligible and choose to be treated as a private (outpatient bulk bill) or DVA patient, and</w:t>
      </w:r>
    </w:p>
    <w:p w14:paraId="5D28C089" w14:textId="77777777" w:rsidR="000133B9" w:rsidRPr="009114F8" w:rsidRDefault="000133B9" w:rsidP="000133B9">
      <w:pPr>
        <w:pStyle w:val="ListBullet"/>
        <w:ind w:left="1080" w:hanging="360"/>
        <w:rPr>
          <w:rFonts w:cs="Calibri"/>
        </w:rPr>
      </w:pPr>
      <w:r w:rsidRPr="009114F8">
        <w:rPr>
          <w:rFonts w:cs="Calibri"/>
        </w:rPr>
        <w:t>The service is provided by a Medicare eligible staff specialist (with a valid provider number) who is exercising their right of private practice, and</w:t>
      </w:r>
    </w:p>
    <w:p w14:paraId="7F6F31A4" w14:textId="77777777" w:rsidR="000133B9" w:rsidRPr="009114F8" w:rsidRDefault="000133B9" w:rsidP="000133B9">
      <w:pPr>
        <w:pStyle w:val="ListBullet"/>
        <w:ind w:left="1080" w:hanging="360"/>
        <w:rPr>
          <w:rFonts w:cs="Calibri"/>
        </w:rPr>
      </w:pPr>
      <w:r w:rsidRPr="009114F8">
        <w:rPr>
          <w:rFonts w:cs="Calibri"/>
        </w:rPr>
        <w:t>The service provided must comply with the rules outlined in the National Health Reform Agreement (NHRA) and Medicare Benefits Schedule (MBS).</w:t>
      </w:r>
    </w:p>
    <w:p w14:paraId="67D053AA" w14:textId="77777777" w:rsidR="000133B9" w:rsidRPr="009114F8" w:rsidRDefault="000133B9" w:rsidP="000133B9">
      <w:pPr>
        <w:pStyle w:val="BodyCopy"/>
        <w:rPr>
          <w:rFonts w:cs="Calibri"/>
          <w:color w:val="auto"/>
        </w:rPr>
      </w:pPr>
      <w:r w:rsidRPr="009114F8">
        <w:rPr>
          <w:rFonts w:cs="Calibri"/>
          <w:color w:val="auto"/>
        </w:rPr>
        <w:t xml:space="preserve">This means eligible Medicare/DVA patients have a choice between being treated publicly (free of charge) or privately (bulk billed through Medicare/DVA with no out of pocket expenses). </w:t>
      </w:r>
    </w:p>
    <w:p w14:paraId="6AF9CF09" w14:textId="07B5B10D" w:rsidR="000133B9" w:rsidRPr="009114F8" w:rsidRDefault="000133B9" w:rsidP="000133B9">
      <w:pPr>
        <w:pStyle w:val="NoSpacing"/>
        <w:pBdr>
          <w:top w:val="single" w:sz="4" w:space="1" w:color="auto"/>
          <w:left w:val="single" w:sz="4" w:space="4" w:color="auto"/>
          <w:bottom w:val="single" w:sz="4" w:space="1" w:color="auto"/>
          <w:right w:val="single" w:sz="4" w:space="4" w:color="auto"/>
        </w:pBdr>
        <w:rPr>
          <w:i/>
        </w:rPr>
      </w:pPr>
      <w:r w:rsidRPr="00B6702A">
        <w:rPr>
          <w:b/>
          <w:bCs/>
          <w:iCs/>
          <w:sz w:val="24"/>
          <w:szCs w:val="24"/>
        </w:rPr>
        <w:t>Note</w:t>
      </w:r>
      <w:r w:rsidRPr="001158EB">
        <w:rPr>
          <w:iCs/>
          <w:sz w:val="24"/>
          <w:szCs w:val="24"/>
        </w:rPr>
        <w:t xml:space="preserve">: </w:t>
      </w:r>
      <w:r w:rsidRPr="001158EB">
        <w:rPr>
          <w:sz w:val="24"/>
          <w:szCs w:val="24"/>
        </w:rPr>
        <w:t>As per the National Health Reform Agreement if a patient chooses to be treated as a public patient (free of charge – Public), all components of that public service (such as pathology and</w:t>
      </w:r>
      <w:r w:rsidRPr="001158EB">
        <w:rPr>
          <w:i/>
          <w:iCs/>
          <w:sz w:val="24"/>
          <w:szCs w:val="24"/>
        </w:rPr>
        <w:t xml:space="preserve"> </w:t>
      </w:r>
      <w:r w:rsidRPr="001158EB">
        <w:rPr>
          <w:sz w:val="24"/>
          <w:szCs w:val="24"/>
        </w:rPr>
        <w:t>diagnostic imaging</w:t>
      </w:r>
      <w:r w:rsidRPr="001158EB">
        <w:rPr>
          <w:i/>
          <w:iCs/>
          <w:sz w:val="24"/>
          <w:szCs w:val="24"/>
        </w:rPr>
        <w:t>) are a part of the patient’s treatment and will also be provided free of charge. This means, if from a public clinic attendance, the patient is referred to imaging for a scan</w:t>
      </w:r>
      <w:r w:rsidRPr="6ECC2A20">
        <w:rPr>
          <w:i/>
          <w:iCs/>
          <w:sz w:val="24"/>
          <w:szCs w:val="24"/>
        </w:rPr>
        <w:t xml:space="preserve"> and pathology for blood tests</w:t>
      </w:r>
      <w:r w:rsidRPr="001158EB">
        <w:rPr>
          <w:i/>
          <w:iCs/>
          <w:sz w:val="24"/>
          <w:szCs w:val="24"/>
        </w:rPr>
        <w:t>, the scan</w:t>
      </w:r>
      <w:r w:rsidRPr="6ECC2A20">
        <w:rPr>
          <w:i/>
          <w:iCs/>
          <w:sz w:val="24"/>
          <w:szCs w:val="24"/>
        </w:rPr>
        <w:t xml:space="preserve"> and blood tests</w:t>
      </w:r>
      <w:r w:rsidRPr="001158EB">
        <w:rPr>
          <w:i/>
          <w:iCs/>
          <w:sz w:val="24"/>
          <w:szCs w:val="24"/>
        </w:rPr>
        <w:t xml:space="preserve"> will also be public. </w:t>
      </w:r>
    </w:p>
    <w:p w14:paraId="0C888C07" w14:textId="2FD7FA17" w:rsidR="000133B9" w:rsidRPr="009114F8" w:rsidRDefault="000133B9" w:rsidP="000133B9">
      <w:pPr>
        <w:pStyle w:val="BodyCopy"/>
        <w:rPr>
          <w:rFonts w:cs="Calibri"/>
          <w:color w:val="auto"/>
        </w:rPr>
      </w:pPr>
      <w:r w:rsidRPr="6ECC2A20">
        <w:rPr>
          <w:rFonts w:cs="Calibri"/>
          <w:color w:val="auto"/>
        </w:rPr>
        <w:t>If they choose to be treated privately, services provided by Nurses, Allied Health, Registrars (or similar) and Visiting Medical Officers (VMOs)/ cannot be claimed through Medicare. These services are provided publicly</w:t>
      </w:r>
      <w:r>
        <w:rPr>
          <w:rFonts w:cs="Calibri"/>
          <w:color w:val="auto"/>
        </w:rPr>
        <w:t xml:space="preserve"> and receive </w:t>
      </w:r>
      <w:r w:rsidR="005471DF">
        <w:rPr>
          <w:rFonts w:cs="Calibri"/>
          <w:color w:val="auto"/>
        </w:rPr>
        <w:t>activity-based</w:t>
      </w:r>
      <w:r>
        <w:rPr>
          <w:rFonts w:cs="Calibri"/>
          <w:color w:val="auto"/>
        </w:rPr>
        <w:t xml:space="preserve"> funding.</w:t>
      </w:r>
      <w:r w:rsidRPr="6ECC2A20">
        <w:rPr>
          <w:rFonts w:cs="Calibri"/>
          <w:color w:val="auto"/>
        </w:rPr>
        <w:t xml:space="preserve"> </w:t>
      </w:r>
    </w:p>
    <w:p w14:paraId="6D70907A" w14:textId="77777777" w:rsidR="000133B9" w:rsidRPr="009114F8" w:rsidRDefault="000133B9" w:rsidP="000133B9">
      <w:pPr>
        <w:pStyle w:val="BodyCopy"/>
        <w:rPr>
          <w:rFonts w:cs="Calibri"/>
          <w:color w:val="auto"/>
        </w:rPr>
      </w:pPr>
      <w:r w:rsidRPr="009114F8">
        <w:rPr>
          <w:rFonts w:cs="Calibri"/>
          <w:color w:val="auto"/>
        </w:rPr>
        <w:lastRenderedPageBreak/>
        <w:t>Where the patient and service meet the criteria outlined above, the patient will need to give consent for CHS to bill Medicare/DVA directly for the services provided – this consent is obtained when a Medicare patient signs a “Bulk Bill Assignment Advice” form (referred to as a “DB4”) or a DVA patient signs a “Health Practitioner Service Voucher” (referred to as a “DVA voucher”).  This may be signed electronically.</w:t>
      </w:r>
    </w:p>
    <w:p w14:paraId="12639168" w14:textId="77777777" w:rsidR="000133B9" w:rsidRPr="009114F8" w:rsidRDefault="000133B9" w:rsidP="000133B9">
      <w:pPr>
        <w:pStyle w:val="BodyCopy"/>
        <w:rPr>
          <w:color w:val="auto"/>
        </w:rPr>
      </w:pPr>
      <w:r w:rsidRPr="009114F8">
        <w:rPr>
          <w:rFonts w:cs="Calibri"/>
          <w:color w:val="auto"/>
        </w:rPr>
        <w:t xml:space="preserve">Staff should ensure they properly inform patients what they are signing, and why, and reassure the patient there is no cost to them. </w:t>
      </w:r>
      <w:bookmarkStart w:id="21" w:name="_Toc2858997"/>
      <w:r>
        <w:rPr>
          <w:rFonts w:cs="Calibri"/>
          <w:color w:val="auto"/>
        </w:rPr>
        <w:t>This is part of providing Informed Financial Consent (IFC) to the patient or their representative.</w:t>
      </w:r>
    </w:p>
    <w:p w14:paraId="10CE0AA4" w14:textId="77777777" w:rsidR="000133B9" w:rsidRPr="0049004F" w:rsidRDefault="000133B9" w:rsidP="000133B9">
      <w:pPr>
        <w:pStyle w:val="NoSpacing"/>
        <w:rPr>
          <w:szCs w:val="24"/>
        </w:rPr>
      </w:pPr>
      <w:bookmarkStart w:id="22" w:name="_Toc402869477"/>
      <w:bookmarkStart w:id="23" w:name="_Toc410637802"/>
      <w:bookmarkStart w:id="24" w:name="_Toc416689116"/>
      <w:bookmarkStart w:id="25" w:name="_Toc2858998"/>
      <w:bookmarkStart w:id="26" w:name="_Toc135647183"/>
      <w:bookmarkEnd w:id="21"/>
      <w:r w:rsidRPr="001158EB">
        <w:rPr>
          <w:b/>
          <w:bCs/>
          <w:sz w:val="24"/>
          <w:szCs w:val="24"/>
        </w:rPr>
        <w:t>What is Bulk Billing in a public health facility?</w:t>
      </w:r>
      <w:bookmarkEnd w:id="22"/>
      <w:bookmarkEnd w:id="23"/>
      <w:bookmarkEnd w:id="24"/>
      <w:bookmarkEnd w:id="25"/>
      <w:bookmarkEnd w:id="26"/>
      <w:r w:rsidRPr="001158EB">
        <w:rPr>
          <w:b/>
          <w:bCs/>
          <w:sz w:val="24"/>
          <w:szCs w:val="24"/>
        </w:rPr>
        <w:t xml:space="preserve">     </w:t>
      </w:r>
    </w:p>
    <w:p w14:paraId="4B7AF079" w14:textId="77777777" w:rsidR="000133B9" w:rsidRDefault="000133B9" w:rsidP="000133B9">
      <w:pPr>
        <w:pStyle w:val="NoSpacing"/>
        <w:rPr>
          <w:rFonts w:cs="Calibri"/>
        </w:rPr>
      </w:pPr>
      <w:r w:rsidRPr="001158EB">
        <w:rPr>
          <w:rFonts w:cs="Calibri"/>
          <w:sz w:val="24"/>
          <w:szCs w:val="24"/>
        </w:rPr>
        <w:t>Bulk billing in a public health facility is when a service is invoiced to Medicare directly for any eligible medical services the patient receives</w:t>
      </w:r>
      <w:r w:rsidRPr="009114F8">
        <w:rPr>
          <w:rFonts w:cs="Calibri"/>
        </w:rPr>
        <w:t xml:space="preserve">.  </w:t>
      </w:r>
    </w:p>
    <w:p w14:paraId="466822F4" w14:textId="77777777" w:rsidR="000133B9" w:rsidRPr="009114F8" w:rsidRDefault="000133B9" w:rsidP="000133B9">
      <w:pPr>
        <w:pStyle w:val="NoSpacing"/>
        <w:rPr>
          <w:rFonts w:cs="Calibri"/>
        </w:rPr>
      </w:pPr>
    </w:p>
    <w:p w14:paraId="2411D20B" w14:textId="77777777" w:rsidR="000133B9" w:rsidRPr="009114F8" w:rsidRDefault="000133B9" w:rsidP="000133B9">
      <w:pPr>
        <w:rPr>
          <w:rFonts w:cs="Calibri"/>
          <w:szCs w:val="24"/>
        </w:rPr>
      </w:pPr>
      <w:r w:rsidRPr="009114F8">
        <w:rPr>
          <w:rFonts w:cs="Calibri"/>
          <w:szCs w:val="24"/>
        </w:rPr>
        <w:t>When a provider and a patient enter a bulk billing arrangement:</w:t>
      </w:r>
    </w:p>
    <w:p w14:paraId="5AB3BCF2" w14:textId="77777777" w:rsidR="000133B9" w:rsidRPr="009114F8" w:rsidRDefault="000133B9" w:rsidP="000133B9">
      <w:pPr>
        <w:pStyle w:val="ListBullet"/>
        <w:ind w:left="1080" w:hanging="360"/>
        <w:rPr>
          <w:rFonts w:cs="Calibri"/>
        </w:rPr>
      </w:pPr>
      <w:r w:rsidRPr="009114F8">
        <w:rPr>
          <w:rFonts w:cs="Calibri"/>
        </w:rPr>
        <w:t xml:space="preserve">The provider accepts the relevant Medicare benefit as full payment for the service; and </w:t>
      </w:r>
    </w:p>
    <w:p w14:paraId="3C647EA9" w14:textId="77777777" w:rsidR="000133B9" w:rsidRPr="009114F8" w:rsidRDefault="000133B9" w:rsidP="000133B9">
      <w:pPr>
        <w:pStyle w:val="ListBullet"/>
        <w:ind w:left="1080" w:hanging="360"/>
        <w:rPr>
          <w:rFonts w:cs="Calibri"/>
        </w:rPr>
      </w:pPr>
      <w:r w:rsidRPr="009114F8">
        <w:rPr>
          <w:rFonts w:cs="Calibri"/>
        </w:rPr>
        <w:t>The patient assigns their right to a Medicare benefit to the service provider, allowing the benefit to be paid directly to the provider.</w:t>
      </w:r>
    </w:p>
    <w:p w14:paraId="765BDEB3" w14:textId="77777777" w:rsidR="000133B9" w:rsidRPr="009114F8" w:rsidRDefault="000133B9" w:rsidP="000133B9">
      <w:pPr>
        <w:pStyle w:val="ListBullet"/>
        <w:numPr>
          <w:ilvl w:val="0"/>
          <w:numId w:val="0"/>
        </w:numPr>
        <w:ind w:left="426"/>
      </w:pPr>
    </w:p>
    <w:p w14:paraId="08682A0F" w14:textId="67C94309" w:rsidR="009A534C" w:rsidRDefault="000133B9" w:rsidP="000133B9">
      <w:pPr>
        <w:pStyle w:val="BodyCopy"/>
        <w:spacing w:before="0" w:line="240" w:lineRule="auto"/>
        <w:rPr>
          <w:b/>
        </w:rPr>
      </w:pPr>
      <w:r w:rsidRPr="009114F8">
        <w:rPr>
          <w:color w:val="auto"/>
        </w:rPr>
        <w:t>When a provider bulk bills for a service they undertake, they accept the relevant Medicare benefit as full payment for the service – this means additional charges for that service cannot be raised.</w:t>
      </w:r>
    </w:p>
    <w:p w14:paraId="08682A10" w14:textId="77777777" w:rsidR="009A534C" w:rsidRPr="00DA3910" w:rsidRDefault="00CD4A22"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126FDBBB" w:rsidR="009A534C" w:rsidRPr="003D2D06" w:rsidRDefault="00010E74" w:rsidP="00B10F87">
            <w:pPr>
              <w:pStyle w:val="Heading1"/>
            </w:pPr>
            <w:bookmarkStart w:id="27" w:name="_Toc389473284"/>
            <w:bookmarkStart w:id="28" w:name="_Toc393203340"/>
            <w:bookmarkStart w:id="29" w:name="_Toc167113104"/>
            <w:r w:rsidRPr="003D2D06">
              <w:t xml:space="preserve">Section </w:t>
            </w:r>
            <w:r w:rsidR="000133B9">
              <w:t>3</w:t>
            </w:r>
            <w:r w:rsidR="009A534C" w:rsidRPr="003D2D06">
              <w:t xml:space="preserve"> – </w:t>
            </w:r>
            <w:bookmarkEnd w:id="27"/>
            <w:bookmarkEnd w:id="28"/>
            <w:r w:rsidR="000133B9">
              <w:t>Referral Requirements for Medicare Bulk Billing/DVA Billing</w:t>
            </w:r>
            <w:bookmarkEnd w:id="29"/>
          </w:p>
        </w:tc>
      </w:tr>
    </w:tbl>
    <w:p w14:paraId="08682A13" w14:textId="77777777" w:rsidR="009A534C" w:rsidRDefault="009A534C" w:rsidP="009A534C">
      <w:pPr>
        <w:pStyle w:val="Heading2"/>
      </w:pPr>
    </w:p>
    <w:p w14:paraId="11C124B5" w14:textId="77777777" w:rsidR="000133B9" w:rsidRDefault="000133B9" w:rsidP="000133B9">
      <w:pPr>
        <w:ind w:left="1440" w:hanging="1440"/>
        <w:rPr>
          <w:rFonts w:cs="Calibri"/>
          <w:szCs w:val="24"/>
          <w:shd w:val="clear" w:color="auto" w:fill="FBFBFB"/>
        </w:rPr>
      </w:pPr>
      <w:r w:rsidRPr="00CF552F">
        <w:rPr>
          <w:rFonts w:cs="Calibri"/>
          <w:szCs w:val="24"/>
        </w:rPr>
        <w:t>Standard:</w:t>
      </w:r>
      <w:r w:rsidRPr="00CF552F">
        <w:rPr>
          <w:rFonts w:cs="Calibri"/>
          <w:szCs w:val="24"/>
        </w:rPr>
        <w:tab/>
      </w:r>
      <w:r w:rsidRPr="00CF552F">
        <w:rPr>
          <w:rFonts w:cs="Calibri"/>
          <w:szCs w:val="24"/>
          <w:shd w:val="clear" w:color="auto" w:fill="FBFBFB"/>
        </w:rPr>
        <w:t>For certain services provided by Specialists and Consultant Physicians, the Medicare benefit payable is dependent on acceptable evidence that the service has been provided following referral from another practitioner.</w:t>
      </w:r>
    </w:p>
    <w:p w14:paraId="39A9FEE8" w14:textId="77777777" w:rsidR="000133B9" w:rsidRPr="00CF552F" w:rsidRDefault="000133B9" w:rsidP="000133B9">
      <w:pPr>
        <w:ind w:left="1440" w:hanging="1440"/>
        <w:rPr>
          <w:rFonts w:cs="Calibri"/>
          <w:szCs w:val="24"/>
        </w:rPr>
      </w:pPr>
    </w:p>
    <w:p w14:paraId="49A4EB3D" w14:textId="77777777" w:rsidR="000133B9" w:rsidRPr="00491BEE" w:rsidRDefault="000133B9" w:rsidP="000133B9">
      <w:pPr>
        <w:pStyle w:val="Heading2"/>
      </w:pPr>
      <w:bookmarkStart w:id="30" w:name="_Toc402869482"/>
      <w:bookmarkStart w:id="31" w:name="_Toc416689118"/>
      <w:bookmarkStart w:id="32" w:name="_Toc2859002"/>
      <w:bookmarkStart w:id="33" w:name="_Toc135647185"/>
      <w:bookmarkStart w:id="34" w:name="_Toc167113105"/>
      <w:r>
        <w:t>What is a referral?</w:t>
      </w:r>
      <w:bookmarkEnd w:id="30"/>
      <w:bookmarkEnd w:id="31"/>
      <w:bookmarkEnd w:id="32"/>
      <w:bookmarkEnd w:id="33"/>
      <w:bookmarkEnd w:id="34"/>
    </w:p>
    <w:p w14:paraId="56E15EA6" w14:textId="77777777" w:rsidR="000133B9" w:rsidRPr="00CF552F" w:rsidRDefault="000133B9" w:rsidP="000133B9">
      <w:pPr>
        <w:spacing w:line="320" w:lineRule="exact"/>
        <w:rPr>
          <w:rFonts w:cs="Arial"/>
          <w:bCs/>
          <w:iCs/>
          <w:szCs w:val="24"/>
        </w:rPr>
      </w:pPr>
      <w:r w:rsidRPr="00CF552F">
        <w:rPr>
          <w:szCs w:val="24"/>
        </w:rPr>
        <w:t>F</w:t>
      </w:r>
      <w:r w:rsidRPr="00CF552F">
        <w:rPr>
          <w:rFonts w:cs="Arial"/>
          <w:bCs/>
          <w:iCs/>
          <w:szCs w:val="24"/>
        </w:rPr>
        <w:t xml:space="preserve">or Medicare/DVA purposes a referral is </w:t>
      </w:r>
      <w:r w:rsidRPr="00CF552F">
        <w:rPr>
          <w:szCs w:val="24"/>
        </w:rPr>
        <w:t>a request to a Specialist or Consultant Physician for investigation, opinion, treatment and/or management of a condition/problem or, for the performance of a specific examination or test.</w:t>
      </w:r>
    </w:p>
    <w:p w14:paraId="1EF8D7D4" w14:textId="77777777" w:rsidR="000133B9" w:rsidRPr="00CF552F" w:rsidRDefault="000133B9" w:rsidP="000133B9">
      <w:pPr>
        <w:spacing w:line="320" w:lineRule="exact"/>
        <w:rPr>
          <w:rFonts w:cs="Arial"/>
          <w:bCs/>
          <w:iCs/>
          <w:szCs w:val="24"/>
        </w:rPr>
      </w:pPr>
      <w:r w:rsidRPr="00CF552F">
        <w:rPr>
          <w:rFonts w:cs="Arial"/>
          <w:bCs/>
          <w:iCs/>
          <w:szCs w:val="24"/>
        </w:rPr>
        <w:t>For a valid "referral" to take place the:</w:t>
      </w:r>
    </w:p>
    <w:p w14:paraId="4B7CAB78" w14:textId="77777777" w:rsidR="000133B9" w:rsidRDefault="000133B9" w:rsidP="000133B9">
      <w:pPr>
        <w:pStyle w:val="ListBullet"/>
        <w:ind w:left="1080" w:hanging="360"/>
        <w:rPr>
          <w:rFonts w:cs="Calibri"/>
        </w:rPr>
      </w:pPr>
      <w:r w:rsidRPr="00CF552F">
        <w:rPr>
          <w:rFonts w:cs="Calibri"/>
        </w:rPr>
        <w:t>Referring practitioner must have undertaken a professional attendance with the patient and then communicate relevant patient information to the Specialist/Consultant Physician;</w:t>
      </w:r>
    </w:p>
    <w:p w14:paraId="55A5D122" w14:textId="0C74420E" w:rsidR="000133B9" w:rsidRPr="00CF552F" w:rsidRDefault="000133B9" w:rsidP="000133B9">
      <w:pPr>
        <w:pStyle w:val="ListBullet"/>
        <w:ind w:left="1080" w:hanging="360"/>
        <w:rPr>
          <w:rFonts w:cs="Calibri"/>
        </w:rPr>
      </w:pPr>
      <w:r>
        <w:rPr>
          <w:rFonts w:cs="Calibri"/>
        </w:rPr>
        <w:t xml:space="preserve">Referral must be in writing; this can include but is not limited to a letter, a note, an electronic request including via DHR; to a named Specialist/Consultant Physician;  </w:t>
      </w:r>
    </w:p>
    <w:p w14:paraId="6C8EBDD0" w14:textId="77777777" w:rsidR="000133B9" w:rsidRPr="00CF552F" w:rsidRDefault="000133B9" w:rsidP="000133B9">
      <w:pPr>
        <w:pStyle w:val="ListBullet"/>
        <w:ind w:left="1080" w:hanging="360"/>
        <w:rPr>
          <w:rFonts w:cs="Calibri"/>
        </w:rPr>
      </w:pPr>
      <w:r w:rsidRPr="00CF552F">
        <w:rPr>
          <w:rFonts w:cs="Calibri"/>
        </w:rPr>
        <w:t>Referral must be signed and dated by the referring practitioner and cannot be written on behalf of someone else; and</w:t>
      </w:r>
    </w:p>
    <w:p w14:paraId="3B14CDF2" w14:textId="77777777" w:rsidR="000133B9" w:rsidRPr="00CF552F" w:rsidRDefault="000133B9" w:rsidP="000133B9">
      <w:pPr>
        <w:pStyle w:val="ListBullet"/>
        <w:ind w:left="1080" w:hanging="360"/>
        <w:rPr>
          <w:rFonts w:cs="Calibri"/>
        </w:rPr>
      </w:pPr>
      <w:r w:rsidRPr="00CF552F">
        <w:rPr>
          <w:rFonts w:cs="Calibri"/>
        </w:rPr>
        <w:lastRenderedPageBreak/>
        <w:t>Specialist/Consultant Physician to whom the patient is referred must have received the referral on or prior to the occasion of service to which the referral relates</w:t>
      </w:r>
      <w:bookmarkStart w:id="35" w:name="_Toc416689119"/>
      <w:bookmarkStart w:id="36" w:name="_Toc2859003"/>
      <w:r w:rsidRPr="00CF552F">
        <w:rPr>
          <w:rFonts w:cs="Calibri"/>
        </w:rPr>
        <w:t>.</w:t>
      </w:r>
    </w:p>
    <w:p w14:paraId="4AC708E3" w14:textId="77777777" w:rsidR="00B4769A" w:rsidRDefault="00B4769A" w:rsidP="000133B9">
      <w:pPr>
        <w:pStyle w:val="Heading2"/>
      </w:pPr>
      <w:bookmarkStart w:id="37" w:name="_Toc135647186"/>
      <w:bookmarkStart w:id="38" w:name="_Toc167113106"/>
    </w:p>
    <w:p w14:paraId="282DA0A5" w14:textId="6487DA1A" w:rsidR="000133B9" w:rsidRPr="0086184F" w:rsidRDefault="000133B9" w:rsidP="000133B9">
      <w:pPr>
        <w:pStyle w:val="Heading2"/>
      </w:pPr>
      <w:r w:rsidRPr="0086184F">
        <w:t xml:space="preserve">Named </w:t>
      </w:r>
      <w:r>
        <w:t>r</w:t>
      </w:r>
      <w:r w:rsidRPr="0086184F">
        <w:t xml:space="preserve">eferral </w:t>
      </w:r>
      <w:r>
        <w:t>r</w:t>
      </w:r>
      <w:r w:rsidRPr="0086184F">
        <w:t>equirement</w:t>
      </w:r>
      <w:bookmarkEnd w:id="35"/>
      <w:bookmarkEnd w:id="36"/>
      <w:r>
        <w:t>s</w:t>
      </w:r>
      <w:bookmarkEnd w:id="37"/>
      <w:bookmarkEnd w:id="38"/>
    </w:p>
    <w:p w14:paraId="7978AAB6" w14:textId="77777777" w:rsidR="000133B9" w:rsidRPr="00CF552F" w:rsidRDefault="000133B9" w:rsidP="00B6702A">
      <w:pPr>
        <w:rPr>
          <w:szCs w:val="24"/>
        </w:rPr>
      </w:pPr>
      <w:r w:rsidRPr="00CF552F">
        <w:rPr>
          <w:szCs w:val="24"/>
        </w:rPr>
        <w:t xml:space="preserve">The NHRA states that to bill an outpatient attendance in a public hospital, a patient must be referred to one named Specialist. </w:t>
      </w:r>
    </w:p>
    <w:p w14:paraId="253A00FA" w14:textId="77777777" w:rsidR="000133B9" w:rsidRPr="00CF552F" w:rsidRDefault="000133B9" w:rsidP="00B6702A">
      <w:pPr>
        <w:rPr>
          <w:szCs w:val="24"/>
        </w:rPr>
      </w:pPr>
      <w:r w:rsidRPr="00CF552F">
        <w:rPr>
          <w:szCs w:val="24"/>
        </w:rPr>
        <w:t xml:space="preserve">Named referral requirements are for </w:t>
      </w:r>
      <w:r w:rsidRPr="00CF552F">
        <w:rPr>
          <w:szCs w:val="24"/>
          <w:u w:val="single"/>
        </w:rPr>
        <w:t>billing purposes only</w:t>
      </w:r>
      <w:r w:rsidRPr="00CF552F">
        <w:rPr>
          <w:szCs w:val="24"/>
        </w:rPr>
        <w:t xml:space="preserve">. Referral pathways cannot be controlled to deny access to free public hospital services or so that a referral to a named Specialist is a prerequisite for access to outpatient services. </w:t>
      </w:r>
    </w:p>
    <w:p w14:paraId="3D445036" w14:textId="77777777" w:rsidR="000133B9" w:rsidRPr="00CF552F" w:rsidRDefault="000133B9" w:rsidP="00B6702A">
      <w:pPr>
        <w:rPr>
          <w:szCs w:val="24"/>
        </w:rPr>
      </w:pPr>
      <w:r w:rsidRPr="00CF552F">
        <w:rPr>
          <w:szCs w:val="24"/>
        </w:rPr>
        <w:t>As a public hospital, all patients will be treated regardless of their billable status. Treatment is not to be denied to any patient based on whether their referral is billable or not.</w:t>
      </w:r>
    </w:p>
    <w:p w14:paraId="00C5F5D9" w14:textId="77777777" w:rsidR="000133B9" w:rsidRDefault="000133B9" w:rsidP="00B6702A">
      <w:pPr>
        <w:rPr>
          <w:color w:val="76923C" w:themeColor="accent3" w:themeShade="BF"/>
          <w:szCs w:val="24"/>
        </w:rPr>
      </w:pPr>
      <w:r w:rsidRPr="00CF552F">
        <w:rPr>
          <w:i/>
          <w:iCs/>
          <w:szCs w:val="24"/>
        </w:rPr>
        <w:t xml:space="preserve">Note: </w:t>
      </w:r>
      <w:r w:rsidRPr="00CF552F">
        <w:rPr>
          <w:szCs w:val="24"/>
        </w:rPr>
        <w:t xml:space="preserve">Once a referral has been used and billed by a service provider, the referral cannot be used by other service providers, except where </w:t>
      </w:r>
      <w:hyperlink w:anchor="locum_tenens" w:history="1">
        <w:r w:rsidRPr="003630EE">
          <w:rPr>
            <w:rStyle w:val="Hyperlink"/>
            <w:szCs w:val="24"/>
          </w:rPr>
          <w:t>Locum Tenens</w:t>
        </w:r>
      </w:hyperlink>
      <w:r w:rsidRPr="00613014">
        <w:rPr>
          <w:color w:val="76923C" w:themeColor="accent3" w:themeShade="BF"/>
          <w:szCs w:val="24"/>
        </w:rPr>
        <w:t xml:space="preserve"> </w:t>
      </w:r>
      <w:r w:rsidRPr="00CF552F">
        <w:rPr>
          <w:szCs w:val="24"/>
        </w:rPr>
        <w:t>applies, or non-referred items are billed for</w:t>
      </w:r>
      <w:r w:rsidRPr="00613014">
        <w:rPr>
          <w:color w:val="76923C" w:themeColor="accent3" w:themeShade="BF"/>
          <w:szCs w:val="24"/>
        </w:rPr>
        <w:t xml:space="preserve"> </w:t>
      </w:r>
      <w:hyperlink w:anchor="ss_leave_cover" w:history="1">
        <w:r w:rsidRPr="003630EE">
          <w:rPr>
            <w:rStyle w:val="Hyperlink"/>
            <w:szCs w:val="24"/>
          </w:rPr>
          <w:t>Staff Specialist Leave Cover</w:t>
        </w:r>
      </w:hyperlink>
      <w:r w:rsidRPr="00613014">
        <w:rPr>
          <w:color w:val="76923C" w:themeColor="accent3" w:themeShade="BF"/>
          <w:szCs w:val="24"/>
        </w:rPr>
        <w:t xml:space="preserve">. </w:t>
      </w:r>
    </w:p>
    <w:p w14:paraId="45752B39" w14:textId="77777777" w:rsidR="000133B9" w:rsidRPr="00613014" w:rsidRDefault="000133B9" w:rsidP="000133B9">
      <w:pPr>
        <w:spacing w:line="320" w:lineRule="exact"/>
        <w:rPr>
          <w:color w:val="76923C" w:themeColor="accent3" w:themeShade="BF"/>
          <w:szCs w:val="24"/>
        </w:rPr>
      </w:pPr>
    </w:p>
    <w:p w14:paraId="3B07F5B0" w14:textId="77777777" w:rsidR="000133B9" w:rsidRPr="00E27878" w:rsidRDefault="000133B9" w:rsidP="000133B9">
      <w:pPr>
        <w:pStyle w:val="Heading2"/>
      </w:pPr>
      <w:bookmarkStart w:id="39" w:name="_Toc135647187"/>
      <w:bookmarkStart w:id="40" w:name="_Toc167113107"/>
      <w:bookmarkStart w:id="41" w:name="_Hlk57812442"/>
      <w:r w:rsidRPr="00613014">
        <w:t xml:space="preserve">Referrals not to a named </w:t>
      </w:r>
      <w:r>
        <w:t>S</w:t>
      </w:r>
      <w:r w:rsidRPr="00613014">
        <w:t>pecialist (NTANS)</w:t>
      </w:r>
      <w:bookmarkEnd w:id="39"/>
      <w:bookmarkEnd w:id="40"/>
    </w:p>
    <w:p w14:paraId="3B6926EC" w14:textId="77777777" w:rsidR="000133B9" w:rsidRPr="00CF552F" w:rsidRDefault="000133B9" w:rsidP="00B6702A">
      <w:pPr>
        <w:rPr>
          <w:szCs w:val="24"/>
        </w:rPr>
      </w:pPr>
      <w:bookmarkStart w:id="42" w:name="_Hlk57816916"/>
      <w:r w:rsidRPr="00CF552F">
        <w:rPr>
          <w:szCs w:val="24"/>
        </w:rPr>
        <w:t xml:space="preserve">Referrals received addressed to a department/specialty or ‘Dear Doctor’ are known as referrals ‘Not To A Named Specialist’ (NTANS). These referrals are not valid for billing purposes and services should be processed as public (correct ad cat to use is </w:t>
      </w:r>
      <w:r w:rsidRPr="00CF552F">
        <w:rPr>
          <w:bCs/>
          <w:i/>
          <w:szCs w:val="24"/>
        </w:rPr>
        <w:t>‘Public’)</w:t>
      </w:r>
      <w:r w:rsidRPr="00CF552F">
        <w:rPr>
          <w:bCs/>
          <w:szCs w:val="24"/>
        </w:rPr>
        <w:t>.</w:t>
      </w:r>
      <w:r w:rsidRPr="00CF552F">
        <w:rPr>
          <w:szCs w:val="24"/>
        </w:rPr>
        <w:t xml:space="preserve"> </w:t>
      </w:r>
    </w:p>
    <w:p w14:paraId="4C06F83C" w14:textId="77777777" w:rsidR="000133B9" w:rsidRDefault="000133B9" w:rsidP="00B6702A">
      <w:pPr>
        <w:rPr>
          <w:szCs w:val="24"/>
        </w:rPr>
      </w:pPr>
      <w:r w:rsidRPr="00CF552F">
        <w:rPr>
          <w:szCs w:val="24"/>
        </w:rPr>
        <w:t xml:space="preserve">Once an appointment has been made, administrative staff can contact the referrer’s practice and request a named referral to the consulting doctor, however the referring practitioner is under no obligation to do so. </w:t>
      </w:r>
      <w:bookmarkEnd w:id="42"/>
    </w:p>
    <w:p w14:paraId="426E0118" w14:textId="77777777" w:rsidR="000133B9" w:rsidRPr="00CF552F" w:rsidRDefault="000133B9" w:rsidP="000133B9">
      <w:pPr>
        <w:spacing w:line="320" w:lineRule="exact"/>
        <w:rPr>
          <w:szCs w:val="24"/>
        </w:rPr>
      </w:pPr>
    </w:p>
    <w:p w14:paraId="112CD3C2" w14:textId="77777777" w:rsidR="000133B9" w:rsidRPr="00613014" w:rsidRDefault="000133B9" w:rsidP="000133B9">
      <w:pPr>
        <w:pStyle w:val="Heading2"/>
      </w:pPr>
      <w:bookmarkStart w:id="43" w:name="_Toc2859004"/>
      <w:bookmarkStart w:id="44" w:name="_Toc135647188"/>
      <w:bookmarkStart w:id="45" w:name="_Toc167113108"/>
      <w:bookmarkEnd w:id="41"/>
      <w:r w:rsidRPr="00613014">
        <w:t xml:space="preserve">Referral </w:t>
      </w:r>
      <w:r>
        <w:t>v</w:t>
      </w:r>
      <w:r w:rsidRPr="00613014">
        <w:t xml:space="preserve">alidity </w:t>
      </w:r>
      <w:r>
        <w:t>p</w:t>
      </w:r>
      <w:r w:rsidRPr="00613014">
        <w:t>eriods</w:t>
      </w:r>
      <w:bookmarkEnd w:id="43"/>
      <w:bookmarkEnd w:id="44"/>
      <w:bookmarkEnd w:id="45"/>
    </w:p>
    <w:p w14:paraId="7FC46B60" w14:textId="77777777" w:rsidR="000133B9" w:rsidRPr="00CF552F" w:rsidRDefault="000133B9" w:rsidP="000133B9">
      <w:pPr>
        <w:rPr>
          <w:rFonts w:cs="Calibri"/>
          <w:iCs/>
          <w:szCs w:val="24"/>
        </w:rPr>
      </w:pPr>
      <w:bookmarkStart w:id="46" w:name="_Toc402869484"/>
      <w:r w:rsidRPr="00CF552F">
        <w:rPr>
          <w:rFonts w:cs="Calibri"/>
          <w:szCs w:val="24"/>
        </w:rPr>
        <w:t xml:space="preserve">A referral’s validity period starts from the first </w:t>
      </w:r>
      <w:r w:rsidRPr="00CF552F">
        <w:rPr>
          <w:rFonts w:cs="Calibri"/>
          <w:i/>
          <w:iCs/>
          <w:szCs w:val="24"/>
        </w:rPr>
        <w:t xml:space="preserve">billed </w:t>
      </w:r>
      <w:r w:rsidRPr="00CF552F">
        <w:rPr>
          <w:rFonts w:cs="Calibri"/>
          <w:szCs w:val="24"/>
        </w:rPr>
        <w:t xml:space="preserve">occasion of service covered by that referral. </w:t>
      </w:r>
      <w:r w:rsidRPr="00CF552F">
        <w:rPr>
          <w:rFonts w:cs="Calibri"/>
          <w:szCs w:val="24"/>
        </w:rPr>
        <w:br/>
      </w:r>
    </w:p>
    <w:p w14:paraId="2D584108" w14:textId="77777777" w:rsidR="000133B9" w:rsidRPr="00CF552F" w:rsidRDefault="000133B9" w:rsidP="000133B9">
      <w:pPr>
        <w:rPr>
          <w:rFonts w:cs="Calibri"/>
          <w:iCs/>
          <w:szCs w:val="24"/>
        </w:rPr>
      </w:pPr>
      <w:r w:rsidRPr="00CF552F">
        <w:rPr>
          <w:rFonts w:cs="Calibri"/>
          <w:iCs/>
          <w:szCs w:val="24"/>
        </w:rPr>
        <w:t xml:space="preserve">The exception to this is when the referral is for an admitted patient, the referral is valid for the length of the admission. </w:t>
      </w:r>
    </w:p>
    <w:p w14:paraId="2DC38CD3" w14:textId="77777777" w:rsidR="000133B9" w:rsidRPr="00CF552F" w:rsidRDefault="000133B9" w:rsidP="000133B9">
      <w:pPr>
        <w:rPr>
          <w:rFonts w:cs="Calibri"/>
          <w:szCs w:val="24"/>
        </w:rPr>
      </w:pPr>
      <w:r w:rsidRPr="00CF552F">
        <w:rPr>
          <w:rFonts w:cs="Calibri"/>
          <w:szCs w:val="24"/>
        </w:rPr>
        <w:t xml:space="preserve">Referrals received from a Medicare eligible </w:t>
      </w:r>
      <w:bookmarkEnd w:id="46"/>
      <w:r w:rsidRPr="00CF552F">
        <w:rPr>
          <w:rFonts w:cs="Calibri"/>
          <w:szCs w:val="24"/>
        </w:rPr>
        <w:t>Specialist/Consultant Physician (with provider number):</w:t>
      </w:r>
    </w:p>
    <w:p w14:paraId="41FE47FB" w14:textId="77777777" w:rsidR="000133B9" w:rsidRPr="00CF552F" w:rsidRDefault="000133B9" w:rsidP="000133B9">
      <w:pPr>
        <w:pStyle w:val="ListBullet"/>
        <w:ind w:left="1080" w:hanging="360"/>
        <w:rPr>
          <w:rFonts w:cs="Calibri"/>
        </w:rPr>
      </w:pPr>
      <w:r w:rsidRPr="00CF552F">
        <w:rPr>
          <w:rFonts w:cs="Calibri"/>
        </w:rPr>
        <w:t>Are valid for 3 months from the first occasion of service covered by that referral.</w:t>
      </w:r>
    </w:p>
    <w:p w14:paraId="531C2D0B" w14:textId="77777777" w:rsidR="000133B9" w:rsidRPr="00CF552F" w:rsidRDefault="000133B9" w:rsidP="000133B9">
      <w:pPr>
        <w:pStyle w:val="ListBullet"/>
        <w:ind w:left="1080" w:hanging="360"/>
        <w:rPr>
          <w:rFonts w:cs="Calibri"/>
        </w:rPr>
      </w:pPr>
      <w:r w:rsidRPr="00CF552F">
        <w:rPr>
          <w:rFonts w:cs="Calibri"/>
        </w:rPr>
        <w:t>Specialists and Consultant Physicians CANNOT refer indefinitely.</w:t>
      </w:r>
    </w:p>
    <w:p w14:paraId="7AF8D60F" w14:textId="77777777" w:rsidR="000133B9" w:rsidRPr="00CF552F" w:rsidRDefault="000133B9" w:rsidP="000133B9">
      <w:pPr>
        <w:pStyle w:val="ListBullet"/>
        <w:numPr>
          <w:ilvl w:val="0"/>
          <w:numId w:val="0"/>
        </w:numPr>
        <w:ind w:left="426"/>
      </w:pPr>
    </w:p>
    <w:p w14:paraId="37390033" w14:textId="77777777" w:rsidR="000133B9" w:rsidRPr="00CF552F" w:rsidRDefault="000133B9" w:rsidP="000133B9">
      <w:pPr>
        <w:rPr>
          <w:rFonts w:cs="Calibri"/>
          <w:szCs w:val="24"/>
        </w:rPr>
      </w:pPr>
      <w:bookmarkStart w:id="47" w:name="_Toc402869485"/>
      <w:r w:rsidRPr="00CF552F">
        <w:rPr>
          <w:rFonts w:cs="Calibri"/>
          <w:szCs w:val="24"/>
        </w:rPr>
        <w:t xml:space="preserve">Referrals received from Medicare eligible General Practitioner (GP), Registrars, Junior Medical Staff, </w:t>
      </w:r>
      <w:bookmarkEnd w:id="47"/>
      <w:r w:rsidRPr="00CF552F">
        <w:rPr>
          <w:rFonts w:cs="Calibri"/>
          <w:szCs w:val="24"/>
        </w:rPr>
        <w:t xml:space="preserve">Dentist, Optometrist, participating </w:t>
      </w:r>
      <w:proofErr w:type="gramStart"/>
      <w:r w:rsidRPr="00CF552F">
        <w:rPr>
          <w:rFonts w:cs="Calibri"/>
          <w:szCs w:val="24"/>
        </w:rPr>
        <w:t>Midwife</w:t>
      </w:r>
      <w:proofErr w:type="gramEnd"/>
      <w:r w:rsidRPr="00CF552F">
        <w:rPr>
          <w:rFonts w:cs="Calibri"/>
          <w:szCs w:val="24"/>
        </w:rPr>
        <w:t xml:space="preserve"> or participating Nurse Practitioner (with provider number):</w:t>
      </w:r>
    </w:p>
    <w:p w14:paraId="20C97D05" w14:textId="66BDB8ED" w:rsidR="000133B9" w:rsidRPr="00CF552F" w:rsidRDefault="000133B9" w:rsidP="000133B9">
      <w:pPr>
        <w:pStyle w:val="ListBullet"/>
        <w:ind w:left="1080" w:hanging="360"/>
        <w:rPr>
          <w:rFonts w:cs="Calibri"/>
        </w:rPr>
      </w:pPr>
      <w:r w:rsidRPr="00CF552F">
        <w:rPr>
          <w:rFonts w:cs="Calibri"/>
        </w:rPr>
        <w:t>Are valid for 12 months from the first occasion of service covered by that referral unless stated otherwise (</w:t>
      </w:r>
      <w:r w:rsidR="005471DF" w:rsidRPr="00CF552F">
        <w:rPr>
          <w:rFonts w:cs="Calibri"/>
        </w:rPr>
        <w:t>e.g.,</w:t>
      </w:r>
      <w:r w:rsidRPr="00CF552F">
        <w:rPr>
          <w:rFonts w:cs="Calibri"/>
        </w:rPr>
        <w:t xml:space="preserve"> 3, 6 or 18 months or indefinitely).</w:t>
      </w:r>
    </w:p>
    <w:p w14:paraId="6CCDF025" w14:textId="77777777" w:rsidR="000133B9" w:rsidRPr="00CF552F" w:rsidRDefault="000133B9" w:rsidP="000133B9">
      <w:pPr>
        <w:pStyle w:val="ListBullet"/>
        <w:numPr>
          <w:ilvl w:val="0"/>
          <w:numId w:val="0"/>
        </w:numPr>
        <w:ind w:left="426"/>
      </w:pPr>
    </w:p>
    <w:p w14:paraId="3382B8A6" w14:textId="77777777" w:rsidR="000133B9" w:rsidRPr="00514794" w:rsidRDefault="000133B9" w:rsidP="000133B9">
      <w:pPr>
        <w:pStyle w:val="Heading2"/>
      </w:pPr>
      <w:bookmarkStart w:id="48" w:name="_Toc402869487"/>
      <w:bookmarkStart w:id="49" w:name="_Toc135647189"/>
      <w:bookmarkStart w:id="50" w:name="_Toc167113109"/>
      <w:r w:rsidRPr="00B54E1A">
        <w:t>Indefinite referrals</w:t>
      </w:r>
      <w:bookmarkEnd w:id="48"/>
      <w:bookmarkEnd w:id="49"/>
      <w:bookmarkEnd w:id="50"/>
      <w:r w:rsidRPr="00514794">
        <w:t xml:space="preserve"> </w:t>
      </w:r>
    </w:p>
    <w:p w14:paraId="38F27FDD" w14:textId="77777777" w:rsidR="000133B9" w:rsidRPr="00CF552F" w:rsidRDefault="000133B9" w:rsidP="000133B9">
      <w:pPr>
        <w:spacing w:line="320" w:lineRule="exact"/>
        <w:rPr>
          <w:rFonts w:cs="Calibri"/>
          <w:szCs w:val="24"/>
        </w:rPr>
      </w:pPr>
      <w:r w:rsidRPr="00CF552F">
        <w:rPr>
          <w:rFonts w:cs="Calibri"/>
          <w:szCs w:val="24"/>
        </w:rPr>
        <w:t>Indefinite referrals are open ended referrals that cover the length of treatment required for the condition stated.</w:t>
      </w:r>
    </w:p>
    <w:p w14:paraId="4A2006AB" w14:textId="77777777" w:rsidR="000133B9" w:rsidRPr="00CF552F" w:rsidRDefault="000133B9" w:rsidP="000133B9">
      <w:pPr>
        <w:spacing w:line="320" w:lineRule="exact"/>
        <w:rPr>
          <w:rFonts w:cs="Calibri"/>
          <w:szCs w:val="24"/>
        </w:rPr>
      </w:pPr>
      <w:r w:rsidRPr="00CF552F">
        <w:rPr>
          <w:rFonts w:cs="Calibri"/>
          <w:szCs w:val="24"/>
        </w:rPr>
        <w:lastRenderedPageBreak/>
        <w:t>The MBS uses the word ‘</w:t>
      </w:r>
      <w:r w:rsidRPr="00CF552F">
        <w:rPr>
          <w:rFonts w:cs="Calibri"/>
          <w:b/>
          <w:bCs/>
          <w:szCs w:val="24"/>
        </w:rPr>
        <w:t xml:space="preserve">indefinitely” </w:t>
      </w:r>
      <w:r w:rsidRPr="00CF552F">
        <w:rPr>
          <w:rFonts w:cs="Calibri"/>
          <w:szCs w:val="24"/>
        </w:rPr>
        <w:t xml:space="preserve">to describe continued or ongoing management of a patient’s condition, however the word “indefinite” is not a specific requirement. A referring practitioner can use a </w:t>
      </w:r>
      <w:r w:rsidRPr="00CF552F">
        <w:rPr>
          <w:rFonts w:cs="Calibri"/>
          <w:b/>
          <w:bCs/>
          <w:szCs w:val="24"/>
        </w:rPr>
        <w:t>term commonly understood</w:t>
      </w:r>
      <w:r w:rsidRPr="00CF552F">
        <w:rPr>
          <w:rFonts w:cs="Calibri"/>
          <w:szCs w:val="24"/>
        </w:rPr>
        <w:t xml:space="preserve"> by the profession to describe an indefinite referral or that the referring practitioner wishes for the specialist/consultant physician to treat/manage the patient’s specified condition. </w:t>
      </w:r>
      <w:bookmarkStart w:id="51" w:name="_Hlk57815906"/>
    </w:p>
    <w:p w14:paraId="49ACAF9A" w14:textId="77777777" w:rsidR="000133B9" w:rsidRPr="0042090B" w:rsidRDefault="000133B9" w:rsidP="000133B9">
      <w:pPr>
        <w:pStyle w:val="NoSpacing"/>
      </w:pPr>
      <w:r w:rsidRPr="001158EB">
        <w:rPr>
          <w:sz w:val="24"/>
          <w:szCs w:val="24"/>
        </w:rPr>
        <w:t>The referring practitioner can use terms like:</w:t>
      </w:r>
    </w:p>
    <w:p w14:paraId="00D98CDA" w14:textId="77777777" w:rsidR="000133B9" w:rsidRPr="0020195F" w:rsidRDefault="000133B9" w:rsidP="000133B9">
      <w:pPr>
        <w:pStyle w:val="ListBullet"/>
        <w:ind w:left="1080" w:hanging="360"/>
      </w:pPr>
      <w:r w:rsidRPr="0020195F">
        <w:t>referring indefinitely</w:t>
      </w:r>
    </w:p>
    <w:p w14:paraId="34FD3BDF" w14:textId="77777777" w:rsidR="000133B9" w:rsidRPr="00CF552F" w:rsidRDefault="000133B9" w:rsidP="000133B9">
      <w:pPr>
        <w:pStyle w:val="ListBullet"/>
        <w:ind w:left="1080" w:hanging="360"/>
      </w:pPr>
      <w:r w:rsidRPr="00CF552F">
        <w:t>ongoing referral</w:t>
      </w:r>
    </w:p>
    <w:p w14:paraId="71EEA816" w14:textId="77777777" w:rsidR="000133B9" w:rsidRPr="00CF552F" w:rsidRDefault="000133B9" w:rsidP="000133B9">
      <w:pPr>
        <w:pStyle w:val="ListBullet"/>
        <w:ind w:left="1080" w:hanging="360"/>
      </w:pPr>
      <w:r w:rsidRPr="00CF552F">
        <w:t>please consider this an indefinite referral</w:t>
      </w:r>
    </w:p>
    <w:p w14:paraId="6BB343AC" w14:textId="77777777" w:rsidR="000133B9" w:rsidRPr="00CF552F" w:rsidRDefault="000133B9" w:rsidP="000133B9">
      <w:pPr>
        <w:pStyle w:val="ListBullet"/>
        <w:ind w:left="1080" w:hanging="360"/>
      </w:pPr>
      <w:r w:rsidRPr="00CF552F">
        <w:t>referring for ongoing management</w:t>
      </w:r>
    </w:p>
    <w:p w14:paraId="57380077" w14:textId="77777777" w:rsidR="000133B9" w:rsidRPr="00CF552F" w:rsidRDefault="000133B9" w:rsidP="000133B9">
      <w:pPr>
        <w:pStyle w:val="ListBullet"/>
        <w:ind w:left="1080" w:hanging="360"/>
      </w:pPr>
      <w:r w:rsidRPr="00CF552F">
        <w:t>referring for continual/continuing management</w:t>
      </w:r>
    </w:p>
    <w:p w14:paraId="1A76AD20" w14:textId="77777777" w:rsidR="000133B9" w:rsidRPr="00CF552F" w:rsidRDefault="000133B9" w:rsidP="000133B9">
      <w:pPr>
        <w:pStyle w:val="ListBullet"/>
        <w:ind w:left="1080" w:hanging="360"/>
      </w:pPr>
      <w:r w:rsidRPr="00CF552F">
        <w:t>referring for further management</w:t>
      </w:r>
    </w:p>
    <w:p w14:paraId="55DC5A93" w14:textId="77777777" w:rsidR="000133B9" w:rsidRPr="0020195F" w:rsidRDefault="000133B9" w:rsidP="000133B9">
      <w:pPr>
        <w:pStyle w:val="ListBullet"/>
        <w:ind w:left="1080" w:hanging="360"/>
        <w:rPr>
          <w:bCs/>
          <w:iCs/>
        </w:rPr>
      </w:pPr>
      <w:r w:rsidRPr="00CF552F">
        <w:t>referring for opinion and management</w:t>
      </w:r>
      <w:bookmarkEnd w:id="51"/>
      <w:r>
        <w:t>.</w:t>
      </w:r>
    </w:p>
    <w:p w14:paraId="018B8ADB" w14:textId="77777777" w:rsidR="000133B9" w:rsidRPr="00CF552F" w:rsidRDefault="000133B9" w:rsidP="000133B9">
      <w:pPr>
        <w:pStyle w:val="ListBullet"/>
        <w:numPr>
          <w:ilvl w:val="0"/>
          <w:numId w:val="0"/>
        </w:numPr>
        <w:ind w:left="426"/>
      </w:pPr>
    </w:p>
    <w:p w14:paraId="6A939ACC" w14:textId="7011029B" w:rsidR="000133B9" w:rsidRPr="0020195F" w:rsidRDefault="000133B9" w:rsidP="000133B9">
      <w:pPr>
        <w:pBdr>
          <w:top w:val="single" w:sz="4" w:space="1" w:color="auto"/>
          <w:left w:val="single" w:sz="4" w:space="4" w:color="auto"/>
          <w:bottom w:val="single" w:sz="4" w:space="1" w:color="auto"/>
          <w:right w:val="single" w:sz="4" w:space="4" w:color="auto"/>
        </w:pBdr>
        <w:spacing w:line="320" w:lineRule="exact"/>
      </w:pPr>
      <w:r w:rsidRPr="00DA3DBE">
        <w:rPr>
          <w:rFonts w:cs="Calibri"/>
          <w:b/>
          <w:bCs/>
        </w:rPr>
        <w:t>Note:</w:t>
      </w:r>
      <w:r w:rsidRPr="001158EB">
        <w:rPr>
          <w:rFonts w:cs="Calibri"/>
        </w:rPr>
        <w:t xml:space="preserve">  This is not a complete list of terms. Staff should seek clarification from a team leader (or equivalent) if the referral validity is unclear and where necessary should contact the referring practitioner for further clarification. </w:t>
      </w:r>
      <w:bookmarkStart w:id="52" w:name="_Hlk57814642"/>
    </w:p>
    <w:p w14:paraId="3BA68091" w14:textId="77777777" w:rsidR="000133B9" w:rsidRDefault="000133B9" w:rsidP="000133B9">
      <w:pPr>
        <w:spacing w:line="320" w:lineRule="exact"/>
      </w:pPr>
    </w:p>
    <w:p w14:paraId="7D9F0932" w14:textId="77777777" w:rsidR="000133B9" w:rsidRPr="00CF552F" w:rsidRDefault="000133B9" w:rsidP="000133B9">
      <w:pPr>
        <w:spacing w:line="320" w:lineRule="exact"/>
        <w:rPr>
          <w:szCs w:val="24"/>
        </w:rPr>
      </w:pPr>
      <w:r w:rsidRPr="00CF552F">
        <w:rPr>
          <w:szCs w:val="24"/>
        </w:rPr>
        <w:t>Indefinite referrals are only valid for the stated condition – if the patient presents with an unrelated illness/condition a new referral to the specialist/consultant physician is required.</w:t>
      </w:r>
    </w:p>
    <w:p w14:paraId="5930D127" w14:textId="77777777" w:rsidR="000133B9" w:rsidRPr="00CF552F" w:rsidRDefault="000133B9" w:rsidP="000133B9">
      <w:pPr>
        <w:spacing w:line="320" w:lineRule="exact"/>
        <w:rPr>
          <w:szCs w:val="24"/>
        </w:rPr>
      </w:pPr>
      <w:r w:rsidRPr="00CF552F">
        <w:rPr>
          <w:szCs w:val="24"/>
        </w:rPr>
        <w:t>Indefinite referrals should not affect the Patient/GP relationship, it just means a new referral won’t be required for the specified condition (or single course of treatment).</w:t>
      </w:r>
    </w:p>
    <w:p w14:paraId="40D4A719" w14:textId="77777777" w:rsidR="000133B9" w:rsidRDefault="000133B9" w:rsidP="000133B9">
      <w:pPr>
        <w:rPr>
          <w:szCs w:val="24"/>
        </w:rPr>
      </w:pPr>
      <w:r w:rsidRPr="00CF552F">
        <w:rPr>
          <w:szCs w:val="24"/>
        </w:rPr>
        <w:t xml:space="preserve">Indefinite referrals should also not be affected by closure of practices or movement of referring practitioners between practices. </w:t>
      </w:r>
      <w:bookmarkEnd w:id="52"/>
    </w:p>
    <w:p w14:paraId="391B536F" w14:textId="77777777" w:rsidR="000133B9" w:rsidRPr="00CF552F" w:rsidRDefault="000133B9" w:rsidP="000133B9">
      <w:pPr>
        <w:rPr>
          <w:szCs w:val="24"/>
        </w:rPr>
      </w:pPr>
    </w:p>
    <w:p w14:paraId="685C8BA2" w14:textId="590EDCD4" w:rsidR="000133B9" w:rsidRPr="007409C8" w:rsidRDefault="000133B9" w:rsidP="000133B9">
      <w:pPr>
        <w:pStyle w:val="Heading2"/>
      </w:pPr>
      <w:bookmarkStart w:id="53" w:name="_Toc2859005"/>
      <w:bookmarkStart w:id="54" w:name="_Toc135647190"/>
      <w:bookmarkStart w:id="55" w:name="_Toc167113110"/>
      <w:r w:rsidRPr="00613014">
        <w:t xml:space="preserve">Transferred </w:t>
      </w:r>
      <w:bookmarkEnd w:id="53"/>
      <w:bookmarkEnd w:id="54"/>
      <w:r w:rsidR="005471DF">
        <w:t>r</w:t>
      </w:r>
      <w:r w:rsidR="005471DF" w:rsidRPr="00613014">
        <w:t>eferrals.</w:t>
      </w:r>
      <w:bookmarkEnd w:id="55"/>
    </w:p>
    <w:p w14:paraId="4165BC8A" w14:textId="77777777" w:rsidR="000133B9" w:rsidRPr="00CF552F" w:rsidRDefault="000133B9" w:rsidP="000133B9">
      <w:pPr>
        <w:rPr>
          <w:rFonts w:cs="Calibri"/>
          <w:szCs w:val="24"/>
        </w:rPr>
      </w:pPr>
      <w:bookmarkStart w:id="56" w:name="_Hlk57815489"/>
      <w:r w:rsidRPr="00CF552F">
        <w:rPr>
          <w:rFonts w:cs="Calibri"/>
          <w:szCs w:val="24"/>
        </w:rPr>
        <w:t xml:space="preserve">Where a referral is received to a named Specialist/Consultant Physician, but the patient is seen by a second/different Specialist, the referral can be </w:t>
      </w:r>
      <w:r w:rsidRPr="00CF552F">
        <w:rPr>
          <w:rFonts w:cs="Calibri"/>
          <w:i/>
          <w:iCs/>
          <w:szCs w:val="24"/>
        </w:rPr>
        <w:t xml:space="preserve">transferred </w:t>
      </w:r>
      <w:r w:rsidRPr="00CF552F">
        <w:rPr>
          <w:rFonts w:cs="Calibri"/>
          <w:szCs w:val="24"/>
        </w:rPr>
        <w:t xml:space="preserve">to the second/different specialist - this is still considered a valid named referral for billing purposes as long as:  </w:t>
      </w:r>
    </w:p>
    <w:p w14:paraId="76FEC92E" w14:textId="74D06370" w:rsidR="000133B9" w:rsidRPr="00CF552F" w:rsidRDefault="000133B9" w:rsidP="000133B9">
      <w:pPr>
        <w:pStyle w:val="ListBullet"/>
        <w:ind w:left="1080" w:hanging="360"/>
      </w:pPr>
      <w:r>
        <w:t>T</w:t>
      </w:r>
      <w:r w:rsidRPr="00CF552F">
        <w:t>he referral has not been used to bill for any other servicing provider before</w:t>
      </w:r>
    </w:p>
    <w:p w14:paraId="2778DBC1" w14:textId="57F19454" w:rsidR="000133B9" w:rsidRPr="00CF552F" w:rsidRDefault="000133B9" w:rsidP="000133B9">
      <w:pPr>
        <w:pStyle w:val="ListBullet"/>
        <w:ind w:left="1080" w:hanging="360"/>
      </w:pPr>
      <w:r w:rsidRPr="00CF552F">
        <w:t>The referral meets all other referral requirements, and</w:t>
      </w:r>
    </w:p>
    <w:p w14:paraId="62934045" w14:textId="77777777" w:rsidR="000133B9" w:rsidRPr="0020195F" w:rsidRDefault="000133B9" w:rsidP="000133B9">
      <w:pPr>
        <w:pStyle w:val="ListBullet"/>
        <w:ind w:left="1080" w:hanging="360"/>
        <w:rPr>
          <w:bCs/>
          <w:iCs/>
        </w:rPr>
      </w:pPr>
      <w:r w:rsidRPr="00CF552F">
        <w:t>The second Specialist has the rights to private practice (Staff Specialist) and has the appropriate qualifications to treat the patient for the referred condition, the referral can be transferred.</w:t>
      </w:r>
    </w:p>
    <w:p w14:paraId="46158A02" w14:textId="77777777" w:rsidR="000133B9" w:rsidRPr="00CF552F" w:rsidRDefault="000133B9" w:rsidP="000133B9">
      <w:pPr>
        <w:pStyle w:val="ListBullet"/>
        <w:numPr>
          <w:ilvl w:val="0"/>
          <w:numId w:val="0"/>
        </w:numPr>
        <w:ind w:left="426"/>
      </w:pPr>
    </w:p>
    <w:p w14:paraId="435C3AA1" w14:textId="77777777" w:rsidR="000133B9" w:rsidRDefault="000133B9" w:rsidP="000133B9">
      <w:pPr>
        <w:spacing w:line="320" w:lineRule="exact"/>
        <w:rPr>
          <w:szCs w:val="24"/>
        </w:rPr>
      </w:pPr>
      <w:r w:rsidRPr="00CF552F">
        <w:rPr>
          <w:szCs w:val="24"/>
        </w:rPr>
        <w:t xml:space="preserve">Where a referral is received to a named Specialist/Consultant Physician who is no longer employed by CHS (referred to as an NTACS referral - “Not </w:t>
      </w:r>
      <w:proofErr w:type="gramStart"/>
      <w:r w:rsidRPr="00CF552F">
        <w:rPr>
          <w:szCs w:val="24"/>
        </w:rPr>
        <w:t>To</w:t>
      </w:r>
      <w:proofErr w:type="gramEnd"/>
      <w:r w:rsidRPr="00CF552F">
        <w:rPr>
          <w:szCs w:val="24"/>
        </w:rPr>
        <w:t xml:space="preserve"> A Current Specialist”), the referral is still considered valid for billing purposes and can be transferred to another Specialist/Consultant Physician, as long as standard transferred rules apply. </w:t>
      </w:r>
    </w:p>
    <w:p w14:paraId="44420C67" w14:textId="77777777" w:rsidR="000133B9" w:rsidRPr="00CF552F" w:rsidRDefault="000133B9" w:rsidP="000133B9">
      <w:pPr>
        <w:spacing w:line="320" w:lineRule="exact"/>
        <w:rPr>
          <w:szCs w:val="24"/>
        </w:rPr>
      </w:pPr>
    </w:p>
    <w:p w14:paraId="34E2A40F" w14:textId="77777777" w:rsidR="000133B9" w:rsidRPr="00613014" w:rsidRDefault="000133B9" w:rsidP="000133B9">
      <w:pPr>
        <w:pStyle w:val="Heading2"/>
      </w:pPr>
      <w:bookmarkStart w:id="57" w:name="_Toc135647191"/>
      <w:bookmarkStart w:id="58" w:name="_Toc167113111"/>
      <w:r w:rsidRPr="00613014">
        <w:lastRenderedPageBreak/>
        <w:t xml:space="preserve">Requesting </w:t>
      </w:r>
      <w:r>
        <w:t>n</w:t>
      </w:r>
      <w:r w:rsidRPr="00613014">
        <w:t xml:space="preserve">ew </w:t>
      </w:r>
      <w:r>
        <w:t>r</w:t>
      </w:r>
      <w:r w:rsidRPr="00613014">
        <w:t>eferrals</w:t>
      </w:r>
      <w:bookmarkEnd w:id="57"/>
      <w:bookmarkEnd w:id="58"/>
    </w:p>
    <w:p w14:paraId="75BCA8B7" w14:textId="77777777" w:rsidR="000133B9" w:rsidRDefault="000133B9" w:rsidP="000133B9">
      <w:pPr>
        <w:rPr>
          <w:szCs w:val="24"/>
        </w:rPr>
      </w:pPr>
      <w:bookmarkStart w:id="59" w:name="_Hlk57820648"/>
      <w:r>
        <w:rPr>
          <w:szCs w:val="24"/>
        </w:rPr>
        <w:t xml:space="preserve">Staff should ensure that if a </w:t>
      </w:r>
      <w:r w:rsidRPr="00981592">
        <w:rPr>
          <w:szCs w:val="24"/>
        </w:rPr>
        <w:t>new referral is required</w:t>
      </w:r>
      <w:r>
        <w:rPr>
          <w:szCs w:val="24"/>
        </w:rPr>
        <w:t xml:space="preserve">, this is requested at the time of booking the appointment and received prior to that appointment. </w:t>
      </w:r>
      <w:r w:rsidRPr="00981592">
        <w:rPr>
          <w:szCs w:val="24"/>
        </w:rPr>
        <w:t xml:space="preserve"> Th</w:t>
      </w:r>
      <w:r>
        <w:rPr>
          <w:szCs w:val="24"/>
        </w:rPr>
        <w:t>e</w:t>
      </w:r>
      <w:r w:rsidRPr="00981592">
        <w:rPr>
          <w:szCs w:val="24"/>
        </w:rPr>
        <w:t xml:space="preserve"> request can be </w:t>
      </w:r>
      <w:r>
        <w:rPr>
          <w:szCs w:val="24"/>
        </w:rPr>
        <w:t xml:space="preserve">made </w:t>
      </w:r>
      <w:r w:rsidRPr="00981592">
        <w:rPr>
          <w:szCs w:val="24"/>
        </w:rPr>
        <w:t xml:space="preserve">to the patient’s </w:t>
      </w:r>
      <w:r>
        <w:rPr>
          <w:szCs w:val="24"/>
        </w:rPr>
        <w:t>G</w:t>
      </w:r>
      <w:r w:rsidRPr="00981592">
        <w:rPr>
          <w:szCs w:val="24"/>
        </w:rPr>
        <w:t xml:space="preserve">eneral </w:t>
      </w:r>
      <w:r>
        <w:rPr>
          <w:szCs w:val="24"/>
        </w:rPr>
        <w:t>P</w:t>
      </w:r>
      <w:r w:rsidRPr="00981592">
        <w:rPr>
          <w:szCs w:val="24"/>
        </w:rPr>
        <w:t>ractitioner or directly to the patient/guardian.</w:t>
      </w:r>
    </w:p>
    <w:p w14:paraId="61A16971" w14:textId="77777777" w:rsidR="000133B9" w:rsidRDefault="000133B9" w:rsidP="000133B9">
      <w:pPr>
        <w:rPr>
          <w:szCs w:val="24"/>
        </w:rPr>
      </w:pPr>
      <w:r>
        <w:rPr>
          <w:szCs w:val="24"/>
        </w:rPr>
        <w:t>Should you need to make the request in writing a letter can be sourced from Community Health Intake (CHI).</w:t>
      </w:r>
    </w:p>
    <w:p w14:paraId="085702B9" w14:textId="77777777" w:rsidR="000133B9" w:rsidRDefault="000133B9" w:rsidP="000133B9">
      <w:pPr>
        <w:rPr>
          <w:szCs w:val="24"/>
        </w:rPr>
      </w:pPr>
      <w:r>
        <w:rPr>
          <w:szCs w:val="24"/>
        </w:rPr>
        <w:t>CHI Phone: 02 5</w:t>
      </w:r>
      <w:r w:rsidRPr="004B2398">
        <w:rPr>
          <w:szCs w:val="24"/>
        </w:rPr>
        <w:t>124 9977</w:t>
      </w:r>
    </w:p>
    <w:p w14:paraId="0D10318D" w14:textId="77777777" w:rsidR="000133B9" w:rsidRDefault="000133B9" w:rsidP="000133B9">
      <w:pPr>
        <w:rPr>
          <w:szCs w:val="24"/>
        </w:rPr>
      </w:pPr>
      <w:r>
        <w:rPr>
          <w:szCs w:val="24"/>
        </w:rPr>
        <w:t xml:space="preserve">CHI Admin Group Email: </w:t>
      </w:r>
      <w:hyperlink r:id="rId23" w:anchor="CHSCHIBookingsAdmin@act.gov.au" w:history="1">
        <w:r w:rsidRPr="00F5106D">
          <w:rPr>
            <w:rStyle w:val="Hyperlink"/>
            <w:szCs w:val="24"/>
          </w:rPr>
          <w:t>#CHSCHIBookingsAdmin@act.gov.au</w:t>
        </w:r>
      </w:hyperlink>
      <w:r>
        <w:rPr>
          <w:szCs w:val="24"/>
        </w:rPr>
        <w:t xml:space="preserve"> </w:t>
      </w:r>
    </w:p>
    <w:p w14:paraId="4149A67E" w14:textId="77777777" w:rsidR="000133B9" w:rsidRPr="00981592" w:rsidRDefault="000133B9" w:rsidP="000133B9">
      <w:pPr>
        <w:rPr>
          <w:szCs w:val="24"/>
        </w:rPr>
      </w:pPr>
    </w:p>
    <w:p w14:paraId="4185196C" w14:textId="77777777" w:rsidR="000133B9" w:rsidRPr="00E02FBA" w:rsidRDefault="000133B9" w:rsidP="000133B9">
      <w:pPr>
        <w:pStyle w:val="Heading2"/>
      </w:pPr>
      <w:bookmarkStart w:id="60" w:name="_Locum_Tenens_/"/>
      <w:bookmarkStart w:id="61" w:name="_Staff_Specialist_Leave"/>
      <w:bookmarkStart w:id="62" w:name="_Toc402869491"/>
      <w:bookmarkStart w:id="63" w:name="_Toc416247373"/>
      <w:bookmarkStart w:id="64" w:name="_Toc416689122"/>
      <w:bookmarkStart w:id="65" w:name="_Toc135647192"/>
      <w:bookmarkStart w:id="66" w:name="_Toc167113112"/>
      <w:bookmarkStart w:id="67" w:name="services_that_dont_require_referrals"/>
      <w:bookmarkEnd w:id="56"/>
      <w:bookmarkEnd w:id="59"/>
      <w:bookmarkEnd w:id="60"/>
      <w:bookmarkEnd w:id="61"/>
      <w:r w:rsidRPr="00E02FBA">
        <w:t xml:space="preserve">Services </w:t>
      </w:r>
      <w:r>
        <w:t>t</w:t>
      </w:r>
      <w:r w:rsidRPr="00E02FBA">
        <w:t xml:space="preserve">hat </w:t>
      </w:r>
      <w:r>
        <w:t>d</w:t>
      </w:r>
      <w:r w:rsidRPr="00E02FBA">
        <w:t xml:space="preserve">o </w:t>
      </w:r>
      <w:r>
        <w:t>n</w:t>
      </w:r>
      <w:r w:rsidRPr="00E02FBA">
        <w:t xml:space="preserve">ot </w:t>
      </w:r>
      <w:r>
        <w:t>r</w:t>
      </w:r>
      <w:r w:rsidRPr="00E02FBA">
        <w:t xml:space="preserve">equire </w:t>
      </w:r>
      <w:r>
        <w:t>r</w:t>
      </w:r>
      <w:r w:rsidRPr="00E02FBA">
        <w:t>eferrals</w:t>
      </w:r>
      <w:bookmarkEnd w:id="62"/>
      <w:bookmarkEnd w:id="63"/>
      <w:bookmarkEnd w:id="64"/>
      <w:bookmarkEnd w:id="65"/>
      <w:bookmarkEnd w:id="66"/>
      <w:r w:rsidRPr="00E02FBA">
        <w:t xml:space="preserve"> </w:t>
      </w:r>
    </w:p>
    <w:bookmarkEnd w:id="67"/>
    <w:p w14:paraId="2A2D226C" w14:textId="77777777" w:rsidR="000133B9" w:rsidRPr="00CF552F" w:rsidRDefault="000133B9" w:rsidP="000133B9">
      <w:pPr>
        <w:spacing w:line="320" w:lineRule="exact"/>
        <w:rPr>
          <w:szCs w:val="24"/>
        </w:rPr>
      </w:pPr>
      <w:r w:rsidRPr="00CF552F">
        <w:rPr>
          <w:szCs w:val="24"/>
        </w:rPr>
        <w:t>The following services do not require a referral to be billed under Medicare:</w:t>
      </w:r>
    </w:p>
    <w:p w14:paraId="208E4913" w14:textId="77777777" w:rsidR="000133B9" w:rsidRPr="00CF552F" w:rsidRDefault="000133B9" w:rsidP="000133B9">
      <w:pPr>
        <w:spacing w:line="320" w:lineRule="exact"/>
        <w:rPr>
          <w:szCs w:val="24"/>
        </w:rPr>
      </w:pPr>
      <w:r w:rsidRPr="00CF552F">
        <w:rPr>
          <w:b/>
          <w:szCs w:val="24"/>
        </w:rPr>
        <w:t>Diagnostic Respiratory</w:t>
      </w:r>
      <w:r w:rsidRPr="00CF552F">
        <w:rPr>
          <w:szCs w:val="24"/>
        </w:rPr>
        <w:t xml:space="preserve"> </w:t>
      </w:r>
      <w:r w:rsidRPr="00CF552F">
        <w:rPr>
          <w:szCs w:val="24"/>
        </w:rPr>
        <w:tab/>
      </w:r>
      <w:r w:rsidRPr="00CF552F">
        <w:rPr>
          <w:szCs w:val="24"/>
        </w:rPr>
        <w:tab/>
      </w:r>
      <w:r w:rsidRPr="00CF552F">
        <w:rPr>
          <w:szCs w:val="24"/>
        </w:rPr>
        <w:tab/>
      </w:r>
      <w:r w:rsidRPr="00CF552F">
        <w:rPr>
          <w:szCs w:val="24"/>
        </w:rPr>
        <w:tab/>
      </w:r>
      <w:r w:rsidRPr="00CF552F">
        <w:rPr>
          <w:szCs w:val="24"/>
        </w:rPr>
        <w:tab/>
      </w:r>
      <w:r w:rsidRPr="00CF552F">
        <w:rPr>
          <w:szCs w:val="24"/>
        </w:rPr>
        <w:tab/>
        <w:t>Items 11503 - 11512</w:t>
      </w:r>
    </w:p>
    <w:p w14:paraId="0D962E74" w14:textId="77777777" w:rsidR="000133B9" w:rsidRPr="00CF552F" w:rsidRDefault="000133B9" w:rsidP="000133B9">
      <w:pPr>
        <w:spacing w:line="320" w:lineRule="exact"/>
        <w:rPr>
          <w:szCs w:val="24"/>
        </w:rPr>
      </w:pPr>
      <w:r w:rsidRPr="00CF552F">
        <w:rPr>
          <w:b/>
          <w:szCs w:val="24"/>
        </w:rPr>
        <w:t>Cardiac Holter Monitor &amp; Exercise Stress Test</w:t>
      </w:r>
      <w:r w:rsidRPr="00CF552F">
        <w:rPr>
          <w:b/>
          <w:szCs w:val="24"/>
        </w:rPr>
        <w:tab/>
      </w:r>
      <w:r w:rsidRPr="00CF552F">
        <w:rPr>
          <w:szCs w:val="24"/>
        </w:rPr>
        <w:tab/>
      </w:r>
      <w:r w:rsidRPr="00CF552F">
        <w:rPr>
          <w:szCs w:val="24"/>
        </w:rPr>
        <w:tab/>
        <w:t>Items 11707 - 11715</w:t>
      </w:r>
    </w:p>
    <w:p w14:paraId="5580D5BB" w14:textId="77777777" w:rsidR="000133B9" w:rsidRPr="00CF552F" w:rsidRDefault="000133B9" w:rsidP="000133B9">
      <w:pPr>
        <w:spacing w:line="320" w:lineRule="exact"/>
        <w:rPr>
          <w:szCs w:val="24"/>
        </w:rPr>
      </w:pPr>
      <w:r w:rsidRPr="00CF552F">
        <w:rPr>
          <w:b/>
          <w:szCs w:val="24"/>
        </w:rPr>
        <w:t>Pre-anaesthesia consultation by a Specialist Anaesthetist</w:t>
      </w:r>
      <w:r w:rsidRPr="00CF552F">
        <w:rPr>
          <w:szCs w:val="24"/>
        </w:rPr>
        <w:t xml:space="preserve"> </w:t>
      </w:r>
      <w:r w:rsidRPr="00CF552F">
        <w:rPr>
          <w:szCs w:val="24"/>
        </w:rPr>
        <w:tab/>
      </w:r>
      <w:r w:rsidRPr="00CF552F">
        <w:rPr>
          <w:szCs w:val="24"/>
        </w:rPr>
        <w:tab/>
        <w:t xml:space="preserve">Items 17610 - 17625 </w:t>
      </w:r>
    </w:p>
    <w:p w14:paraId="4A944C9C" w14:textId="77777777" w:rsidR="000133B9" w:rsidRPr="00CF552F" w:rsidRDefault="000133B9" w:rsidP="000133B9">
      <w:pPr>
        <w:spacing w:line="320" w:lineRule="exact"/>
        <w:rPr>
          <w:szCs w:val="24"/>
        </w:rPr>
      </w:pPr>
      <w:r w:rsidRPr="00CF552F">
        <w:rPr>
          <w:b/>
          <w:szCs w:val="24"/>
        </w:rPr>
        <w:t>Antenatal attendance with Specialist</w:t>
      </w:r>
      <w:r w:rsidRPr="00CF552F">
        <w:rPr>
          <w:szCs w:val="24"/>
        </w:rPr>
        <w:t xml:space="preserve"> </w:t>
      </w:r>
      <w:r w:rsidRPr="00CF552F">
        <w:rPr>
          <w:szCs w:val="24"/>
        </w:rPr>
        <w:tab/>
      </w:r>
      <w:r w:rsidRPr="00CF552F">
        <w:rPr>
          <w:szCs w:val="24"/>
        </w:rPr>
        <w:tab/>
      </w:r>
      <w:r w:rsidRPr="00CF552F">
        <w:rPr>
          <w:szCs w:val="24"/>
        </w:rPr>
        <w:tab/>
      </w:r>
      <w:r w:rsidRPr="00CF552F">
        <w:rPr>
          <w:szCs w:val="24"/>
        </w:rPr>
        <w:tab/>
        <w:t>Item 16500</w:t>
      </w:r>
    </w:p>
    <w:p w14:paraId="364BE92B" w14:textId="77777777" w:rsidR="000133B9" w:rsidRPr="00CF552F" w:rsidRDefault="000133B9" w:rsidP="000133B9">
      <w:pPr>
        <w:spacing w:after="240"/>
        <w:rPr>
          <w:szCs w:val="24"/>
        </w:rPr>
      </w:pPr>
      <w:r w:rsidRPr="00CF552F">
        <w:rPr>
          <w:b/>
          <w:szCs w:val="24"/>
        </w:rPr>
        <w:t>Non-Referred Consultation Items</w:t>
      </w:r>
      <w:r w:rsidRPr="00CF552F">
        <w:rPr>
          <w:szCs w:val="24"/>
        </w:rPr>
        <w:t xml:space="preserve"> </w:t>
      </w:r>
      <w:r w:rsidRPr="00CF552F">
        <w:rPr>
          <w:szCs w:val="24"/>
        </w:rPr>
        <w:tab/>
      </w:r>
      <w:r w:rsidRPr="00CF552F">
        <w:rPr>
          <w:szCs w:val="24"/>
        </w:rPr>
        <w:tab/>
      </w:r>
      <w:r w:rsidRPr="00CF552F">
        <w:rPr>
          <w:szCs w:val="24"/>
        </w:rPr>
        <w:tab/>
      </w:r>
      <w:r w:rsidRPr="00CF552F">
        <w:rPr>
          <w:szCs w:val="24"/>
        </w:rPr>
        <w:tab/>
      </w:r>
      <w:r w:rsidRPr="00CF552F">
        <w:rPr>
          <w:szCs w:val="24"/>
        </w:rPr>
        <w:tab/>
        <w:t>Items 00052 – 00057</w:t>
      </w:r>
    </w:p>
    <w:p w14:paraId="193CF110" w14:textId="77777777" w:rsidR="000133B9" w:rsidRPr="00CF552F" w:rsidRDefault="000133B9" w:rsidP="000133B9">
      <w:pPr>
        <w:pStyle w:val="ListBullet"/>
        <w:ind w:left="1080" w:hanging="360"/>
      </w:pPr>
      <w:r w:rsidRPr="00CF552F">
        <w:t xml:space="preserve">00052: </w:t>
      </w:r>
      <w:r w:rsidRPr="00CF552F">
        <w:tab/>
        <w:t>Brief Consultation (less than 5 minutes)</w:t>
      </w:r>
    </w:p>
    <w:p w14:paraId="51F8AF81" w14:textId="77777777" w:rsidR="000133B9" w:rsidRPr="00CF552F" w:rsidRDefault="000133B9" w:rsidP="000133B9">
      <w:pPr>
        <w:pStyle w:val="ListBullet"/>
        <w:ind w:left="1080" w:hanging="360"/>
      </w:pPr>
      <w:r>
        <w:t>00053:</w:t>
      </w:r>
      <w:r>
        <w:tab/>
        <w:t>Standard Consultation (5 to 25 minutes)</w:t>
      </w:r>
    </w:p>
    <w:p w14:paraId="4C71C6A6" w14:textId="77777777" w:rsidR="000133B9" w:rsidRPr="00CF552F" w:rsidRDefault="000133B9" w:rsidP="000133B9">
      <w:pPr>
        <w:pStyle w:val="ListBullet"/>
        <w:ind w:left="1080" w:hanging="360"/>
      </w:pPr>
      <w:r w:rsidRPr="00CF552F">
        <w:t xml:space="preserve">00054: </w:t>
      </w:r>
      <w:r w:rsidRPr="00CF552F">
        <w:tab/>
        <w:t>Long Consultation (25 to 45 minutes)</w:t>
      </w:r>
    </w:p>
    <w:p w14:paraId="43DE9F87" w14:textId="77777777" w:rsidR="000133B9" w:rsidRPr="00C24247" w:rsidRDefault="000133B9" w:rsidP="000133B9">
      <w:pPr>
        <w:pStyle w:val="ListBullet"/>
        <w:ind w:left="1080" w:hanging="360"/>
        <w:rPr>
          <w:bCs/>
          <w:iCs/>
        </w:rPr>
      </w:pPr>
      <w:r w:rsidRPr="00CF552F">
        <w:t xml:space="preserve">00057: </w:t>
      </w:r>
      <w:r w:rsidRPr="00CF552F">
        <w:tab/>
        <w:t>Prolonged Consultation (more than 45 minutes)</w:t>
      </w:r>
    </w:p>
    <w:p w14:paraId="4E9AD3FC" w14:textId="77777777" w:rsidR="000133B9" w:rsidRPr="00CF552F" w:rsidRDefault="000133B9" w:rsidP="000133B9">
      <w:pPr>
        <w:pStyle w:val="ListBullet"/>
        <w:numPr>
          <w:ilvl w:val="0"/>
          <w:numId w:val="0"/>
        </w:numPr>
        <w:ind w:left="426"/>
      </w:pPr>
    </w:p>
    <w:p w14:paraId="24C35180" w14:textId="77777777" w:rsidR="000133B9" w:rsidRPr="00CF552F" w:rsidRDefault="000133B9" w:rsidP="000133B9">
      <w:pPr>
        <w:spacing w:line="320" w:lineRule="exact"/>
        <w:rPr>
          <w:szCs w:val="24"/>
        </w:rPr>
      </w:pPr>
      <w:r w:rsidRPr="00CF552F">
        <w:rPr>
          <w:szCs w:val="24"/>
        </w:rPr>
        <w:t>While non-referred consultation items do not require a valid referral at the time of service to bill, certain criteria still need to be met.</w:t>
      </w:r>
    </w:p>
    <w:p w14:paraId="741A6500" w14:textId="77777777" w:rsidR="000133B9" w:rsidRPr="00CF552F" w:rsidRDefault="000133B9" w:rsidP="000133B9">
      <w:pPr>
        <w:spacing w:line="320" w:lineRule="exact"/>
        <w:rPr>
          <w:szCs w:val="24"/>
        </w:rPr>
      </w:pPr>
      <w:r w:rsidRPr="00CF552F">
        <w:rPr>
          <w:szCs w:val="24"/>
        </w:rPr>
        <w:t xml:space="preserve">There are three scenarios of outpatient services that are valid for billing non-referred consultation items listed below and shown on the following diagram. </w:t>
      </w:r>
    </w:p>
    <w:p w14:paraId="33A1B879" w14:textId="77777777" w:rsidR="000133B9" w:rsidRPr="00CF552F" w:rsidRDefault="000133B9" w:rsidP="000133B9">
      <w:pPr>
        <w:pStyle w:val="Bulletlevel2"/>
        <w:numPr>
          <w:ilvl w:val="0"/>
          <w:numId w:val="0"/>
        </w:numPr>
        <w:spacing w:line="280" w:lineRule="exact"/>
        <w:ind w:left="1134" w:hanging="1134"/>
        <w:rPr>
          <w:color w:val="auto"/>
        </w:rPr>
      </w:pPr>
      <w:r w:rsidRPr="00CF552F">
        <w:rPr>
          <w:color w:val="auto"/>
        </w:rPr>
        <w:t xml:space="preserve">Scenario 1: Outpatient services with expired referrals, where the previous service with the same Specialist had a valid referral and was billed as a private (outpatient bulk bill) or DVA non-admitted patient. </w:t>
      </w:r>
    </w:p>
    <w:p w14:paraId="5E2EBD04" w14:textId="77777777" w:rsidR="000133B9" w:rsidRPr="00CF552F" w:rsidRDefault="000133B9" w:rsidP="000133B9">
      <w:pPr>
        <w:pStyle w:val="Bulletlevel2"/>
        <w:numPr>
          <w:ilvl w:val="0"/>
          <w:numId w:val="0"/>
        </w:numPr>
        <w:spacing w:line="280" w:lineRule="exact"/>
        <w:ind w:left="1134" w:hanging="1134"/>
        <w:rPr>
          <w:color w:val="auto"/>
        </w:rPr>
      </w:pPr>
      <w:r w:rsidRPr="00CF552F">
        <w:rPr>
          <w:color w:val="auto"/>
        </w:rPr>
        <w:t xml:space="preserve">Scenario 2: Outpatient services provided by a Staff Specialist covering leave for another Staff Specialist of the same specialty. </w:t>
      </w:r>
    </w:p>
    <w:p w14:paraId="42163219" w14:textId="77777777" w:rsidR="000133B9" w:rsidRPr="00CF552F" w:rsidRDefault="000133B9" w:rsidP="000133B9">
      <w:pPr>
        <w:pStyle w:val="BodyCopy"/>
        <w:spacing w:before="100"/>
        <w:ind w:left="1134" w:hanging="1134"/>
        <w:rPr>
          <w:rFonts w:cs="Calibri"/>
          <w:color w:val="auto"/>
          <w:lang w:val="x-none"/>
        </w:rPr>
      </w:pPr>
      <w:r w:rsidRPr="36EBF2A5">
        <w:rPr>
          <w:rFonts w:cs="Calibri"/>
          <w:color w:val="auto"/>
        </w:rPr>
        <w:t xml:space="preserve">Scenario 3: Outpatient services after discharge, where the patient was admitted as a private patient under the same </w:t>
      </w:r>
      <w:r w:rsidRPr="00CF552F">
        <w:rPr>
          <w:rFonts w:cs="Calibri"/>
          <w:color w:val="auto"/>
        </w:rPr>
        <w:t>S</w:t>
      </w:r>
      <w:r w:rsidRPr="36EBF2A5">
        <w:rPr>
          <w:rFonts w:cs="Calibri"/>
          <w:color w:val="auto"/>
        </w:rPr>
        <w:t>pecialist</w:t>
      </w:r>
      <w:r>
        <w:rPr>
          <w:rFonts w:cs="Calibri"/>
          <w:color w:val="auto"/>
        </w:rPr>
        <w:t>.</w:t>
      </w:r>
    </w:p>
    <w:p w14:paraId="791380F1" w14:textId="524D4E4E" w:rsidR="000133B9" w:rsidRPr="001158EB" w:rsidRDefault="000133B9" w:rsidP="000133B9">
      <w:pPr>
        <w:pBdr>
          <w:top w:val="single" w:sz="4" w:space="1" w:color="auto"/>
          <w:left w:val="single" w:sz="4" w:space="4" w:color="auto"/>
          <w:bottom w:val="single" w:sz="4" w:space="1" w:color="auto"/>
          <w:right w:val="single" w:sz="4" w:space="4" w:color="auto"/>
        </w:pBdr>
        <w:rPr>
          <w:rFonts w:cs="Arial"/>
          <w:b/>
          <w:szCs w:val="24"/>
        </w:rPr>
      </w:pPr>
      <w:r w:rsidRPr="00DA3DBE">
        <w:rPr>
          <w:b/>
          <w:bCs/>
        </w:rPr>
        <w:t>Note:</w:t>
      </w:r>
      <w:r w:rsidR="00DA3DBE">
        <w:t xml:space="preserve"> </w:t>
      </w:r>
      <w:r>
        <w:rPr>
          <w:szCs w:val="24"/>
        </w:rPr>
        <w:t>W</w:t>
      </w:r>
      <w:r w:rsidRPr="001158EB">
        <w:rPr>
          <w:szCs w:val="24"/>
        </w:rPr>
        <w:t>here an outpatient referral has expired, follow up of a new referral is still required. Non-referred items should only be used where the new referral could not be obtained prior to the occasion of service.</w:t>
      </w:r>
      <w:r w:rsidRPr="001158EB">
        <w:rPr>
          <w:rFonts w:cs="Arial"/>
          <w:b/>
          <w:szCs w:val="24"/>
        </w:rPr>
        <w:t xml:space="preserve"> </w:t>
      </w:r>
    </w:p>
    <w:p w14:paraId="7C468C11" w14:textId="77777777" w:rsidR="000133B9" w:rsidRPr="00CF552F" w:rsidRDefault="000133B9" w:rsidP="000133B9">
      <w:pPr>
        <w:rPr>
          <w:rFonts w:cs="Arial"/>
          <w:b/>
          <w:i/>
          <w:iCs/>
          <w:szCs w:val="24"/>
        </w:rPr>
      </w:pPr>
    </w:p>
    <w:p w14:paraId="39786562" w14:textId="77777777" w:rsidR="000133B9" w:rsidRPr="001158EB" w:rsidRDefault="000133B9" w:rsidP="000133B9">
      <w:pPr>
        <w:pStyle w:val="Heading3"/>
        <w:rPr>
          <w:rFonts w:asciiTheme="minorHAnsi" w:hAnsiTheme="minorHAnsi" w:cstheme="minorHAnsi"/>
          <w:color w:val="auto"/>
        </w:rPr>
      </w:pPr>
      <w:r w:rsidRPr="001158EB">
        <w:rPr>
          <w:rFonts w:asciiTheme="minorHAnsi" w:hAnsiTheme="minorHAnsi" w:cstheme="minorHAnsi"/>
          <w:color w:val="auto"/>
        </w:rPr>
        <w:lastRenderedPageBreak/>
        <w:t xml:space="preserve">Workflow for Scenario 1 - Previously referred outpatient </w:t>
      </w:r>
    </w:p>
    <w:p w14:paraId="5AD62828" w14:textId="77777777" w:rsidR="000133B9" w:rsidRPr="00337154" w:rsidRDefault="000133B9" w:rsidP="000133B9">
      <w:pPr>
        <w:ind w:hanging="851"/>
        <w:rPr>
          <w:rFonts w:cs="Arial"/>
          <w:b/>
          <w:color w:val="323232"/>
          <w:szCs w:val="24"/>
        </w:rPr>
      </w:pPr>
      <w:r w:rsidRPr="00E44FE7">
        <w:rPr>
          <w:noProof/>
          <w:lang w:eastAsia="en-AU"/>
        </w:rPr>
        <w:drawing>
          <wp:inline distT="0" distB="0" distL="0" distR="0" wp14:anchorId="74AD3F2F" wp14:editId="355DF1F3">
            <wp:extent cx="7308850" cy="1903228"/>
            <wp:effectExtent l="0" t="0" r="0" b="1905"/>
            <wp:docPr id="30"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r w:rsidRPr="00337154">
        <w:rPr>
          <w:rFonts w:cs="Arial"/>
          <w:b/>
          <w:color w:val="323232"/>
          <w:szCs w:val="24"/>
        </w:rPr>
        <w:t xml:space="preserve"> </w:t>
      </w:r>
    </w:p>
    <w:p w14:paraId="64CF7247" w14:textId="77777777" w:rsidR="000133B9" w:rsidRDefault="000133B9" w:rsidP="000133B9">
      <w:pPr>
        <w:rPr>
          <w:rFonts w:cs="Arial"/>
          <w:b/>
          <w:color w:val="323232"/>
          <w:szCs w:val="24"/>
        </w:rPr>
      </w:pPr>
      <w:bookmarkStart w:id="68" w:name="_Hlk57882400"/>
    </w:p>
    <w:p w14:paraId="055FEF47" w14:textId="77777777" w:rsidR="000133B9" w:rsidRPr="001158EB" w:rsidRDefault="000133B9" w:rsidP="000133B9">
      <w:pPr>
        <w:pStyle w:val="Heading3"/>
        <w:rPr>
          <w:rFonts w:asciiTheme="minorHAnsi" w:hAnsiTheme="minorHAnsi" w:cstheme="minorHAnsi"/>
          <w:color w:val="auto"/>
        </w:rPr>
      </w:pPr>
      <w:bookmarkStart w:id="69" w:name="workflow_for_scenario_2"/>
      <w:r w:rsidRPr="001158EB">
        <w:rPr>
          <w:rFonts w:asciiTheme="minorHAnsi" w:hAnsiTheme="minorHAnsi" w:cstheme="minorHAnsi"/>
          <w:color w:val="auto"/>
        </w:rPr>
        <w:t>Workflow for Scenario 2 - Staff Specialist covering leave in the same specialty</w:t>
      </w:r>
    </w:p>
    <w:bookmarkEnd w:id="68"/>
    <w:bookmarkEnd w:id="69"/>
    <w:p w14:paraId="4C6B3655" w14:textId="77777777" w:rsidR="000133B9" w:rsidRDefault="000133B9" w:rsidP="000133B9">
      <w:pPr>
        <w:ind w:hanging="851"/>
        <w:rPr>
          <w:rFonts w:cs="Arial"/>
          <w:b/>
          <w:color w:val="323232"/>
          <w:szCs w:val="24"/>
        </w:rPr>
      </w:pPr>
      <w:r w:rsidRPr="00337154">
        <w:rPr>
          <w:rFonts w:cs="Arial"/>
          <w:b/>
          <w:noProof/>
          <w:color w:val="323232"/>
          <w:szCs w:val="24"/>
          <w:lang w:eastAsia="en-AU"/>
        </w:rPr>
        <w:drawing>
          <wp:inline distT="0" distB="0" distL="0" distR="0" wp14:anchorId="7017C520" wp14:editId="5AF25243">
            <wp:extent cx="7272655" cy="1871330"/>
            <wp:effectExtent l="0" t="0" r="0" b="0"/>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481035EB" w14:textId="77777777" w:rsidR="000133B9" w:rsidRPr="001158EB" w:rsidRDefault="000133B9" w:rsidP="000133B9">
      <w:pPr>
        <w:pStyle w:val="Heading3"/>
        <w:rPr>
          <w:rFonts w:asciiTheme="minorHAnsi" w:hAnsiTheme="minorHAnsi" w:cstheme="minorHAnsi"/>
          <w:color w:val="auto"/>
        </w:rPr>
      </w:pPr>
      <w:r w:rsidRPr="001158EB">
        <w:rPr>
          <w:rFonts w:asciiTheme="minorHAnsi" w:hAnsiTheme="minorHAnsi" w:cstheme="minorHAnsi"/>
          <w:color w:val="auto"/>
        </w:rPr>
        <w:t>Workflow for Scenario 3 - Discharged Private patients</w:t>
      </w:r>
    </w:p>
    <w:p w14:paraId="30F14673" w14:textId="77777777" w:rsidR="000133B9" w:rsidRDefault="000133B9" w:rsidP="000133B9">
      <w:pPr>
        <w:ind w:hanging="1135"/>
        <w:rPr>
          <w:rFonts w:cs="Arial"/>
          <w:b/>
          <w:color w:val="323232"/>
          <w:szCs w:val="24"/>
        </w:rPr>
      </w:pPr>
      <w:r w:rsidRPr="00E44FE7">
        <w:rPr>
          <w:noProof/>
          <w:lang w:eastAsia="en-AU"/>
        </w:rPr>
        <w:drawing>
          <wp:inline distT="0" distB="0" distL="0" distR="0" wp14:anchorId="1D4AB513" wp14:editId="5611607C">
            <wp:extent cx="7165975" cy="1903228"/>
            <wp:effectExtent l="0" t="0" r="0" b="0"/>
            <wp:docPr id="3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33286798" w14:textId="77777777" w:rsidR="000133B9" w:rsidRPr="001158EB" w:rsidRDefault="000133B9" w:rsidP="000133B9">
      <w:pPr>
        <w:pStyle w:val="Heading3"/>
        <w:rPr>
          <w:rFonts w:asciiTheme="minorHAnsi" w:hAnsiTheme="minorHAnsi" w:cstheme="minorHAnsi"/>
          <w:color w:val="auto"/>
        </w:rPr>
      </w:pPr>
      <w:r w:rsidRPr="001158EB">
        <w:rPr>
          <w:rFonts w:asciiTheme="minorHAnsi" w:hAnsiTheme="minorHAnsi" w:cstheme="minorHAnsi"/>
          <w:color w:val="auto"/>
        </w:rPr>
        <w:t>Items from Category 2 &amp; 3 of the Medicare Benefits Schedule</w:t>
      </w:r>
    </w:p>
    <w:p w14:paraId="301B0670" w14:textId="77777777" w:rsidR="000133B9" w:rsidRPr="00CF552F" w:rsidRDefault="000133B9" w:rsidP="000133B9">
      <w:pPr>
        <w:pStyle w:val="Heading5"/>
        <w:spacing w:after="240"/>
        <w:rPr>
          <w:rFonts w:ascii="Calibri" w:hAnsi="Calibri" w:cs="Calibri"/>
          <w:b/>
          <w:color w:val="auto"/>
        </w:rPr>
      </w:pPr>
      <w:r w:rsidRPr="00CF552F">
        <w:rPr>
          <w:rFonts w:ascii="Calibri" w:hAnsi="Calibri" w:cs="Calibri"/>
          <w:color w:val="auto"/>
        </w:rPr>
        <w:t xml:space="preserve">Diagnostic Procedures and Investigation items 11000 to 12533 and Therapeutic Procedure items 13015 to 51318 </w:t>
      </w:r>
    </w:p>
    <w:p w14:paraId="17D2D6D3" w14:textId="77777777" w:rsidR="000133B9" w:rsidRPr="00CF552F" w:rsidRDefault="000133B9" w:rsidP="000133B9">
      <w:pPr>
        <w:spacing w:line="320" w:lineRule="exact"/>
        <w:rPr>
          <w:rFonts w:cs="Calibri"/>
          <w:szCs w:val="24"/>
        </w:rPr>
      </w:pPr>
      <w:r w:rsidRPr="00CF552F">
        <w:rPr>
          <w:rFonts w:cs="Calibri"/>
          <w:szCs w:val="24"/>
        </w:rPr>
        <w:t xml:space="preserve">Items in category 2 and 3 of the MBS generally do not require a referral if the below conditions are met (unless the MBS item descriptor specifically states one is required e.g., 12203): </w:t>
      </w:r>
    </w:p>
    <w:p w14:paraId="0E8811DB" w14:textId="77777777" w:rsidR="000133B9" w:rsidRPr="00CF552F" w:rsidRDefault="000133B9" w:rsidP="000133B9">
      <w:pPr>
        <w:pStyle w:val="ListBullet"/>
        <w:ind w:left="1080" w:hanging="360"/>
      </w:pPr>
      <w:r w:rsidRPr="00CF552F">
        <w:lastRenderedPageBreak/>
        <w:t>the patient has previously been referred to the same Specialist and was eligible for and billed to Medicare/DVA; or</w:t>
      </w:r>
    </w:p>
    <w:p w14:paraId="1521B0B0" w14:textId="77777777" w:rsidR="000133B9" w:rsidRDefault="000133B9" w:rsidP="000133B9">
      <w:pPr>
        <w:pStyle w:val="ListBullet"/>
        <w:ind w:left="1080" w:hanging="360"/>
      </w:pPr>
      <w:r>
        <w:t>the patient was previously admitted as a private patient under the same Specialist.</w:t>
      </w:r>
    </w:p>
    <w:p w14:paraId="48841745" w14:textId="77777777" w:rsidR="000133B9" w:rsidRPr="00CF552F" w:rsidRDefault="000133B9" w:rsidP="000133B9">
      <w:pPr>
        <w:pStyle w:val="ListBullet"/>
        <w:numPr>
          <w:ilvl w:val="0"/>
          <w:numId w:val="0"/>
        </w:numPr>
        <w:ind w:left="426"/>
      </w:pPr>
    </w:p>
    <w:p w14:paraId="0E7D88E9" w14:textId="77777777" w:rsidR="000133B9" w:rsidRPr="008A6854" w:rsidRDefault="000133B9" w:rsidP="000133B9">
      <w:pPr>
        <w:pStyle w:val="Heading2"/>
      </w:pPr>
      <w:bookmarkStart w:id="70" w:name="_Toc167113113"/>
      <w:bookmarkStart w:id="71" w:name="_Hlk57894297"/>
      <w:r w:rsidRPr="008A6854">
        <w:t>Diagnostic Imaging – ‘Self-determined’ Services</w:t>
      </w:r>
      <w:bookmarkEnd w:id="70"/>
    </w:p>
    <w:p w14:paraId="00FA1A21" w14:textId="14D25DA1" w:rsidR="000133B9" w:rsidRPr="00CF552F" w:rsidRDefault="000133B9" w:rsidP="000133B9">
      <w:pPr>
        <w:pStyle w:val="Bulletlevel1"/>
        <w:numPr>
          <w:ilvl w:val="0"/>
          <w:numId w:val="0"/>
        </w:numPr>
        <w:spacing w:line="320" w:lineRule="exact"/>
        <w:rPr>
          <w:color w:val="auto"/>
        </w:rPr>
      </w:pPr>
      <w:r w:rsidRPr="00CF552F">
        <w:rPr>
          <w:rFonts w:eastAsia="Calibri" w:cs="Times New Roman"/>
          <w:bCs w:val="0"/>
          <w:iCs w:val="0"/>
          <w:color w:val="auto"/>
          <w:lang w:eastAsia="en-US"/>
        </w:rPr>
        <w:t>Where a diagnostic imaging service has been provided following a valid written referral/request, and the providing practitioner determines that based on results of the requested service/s, that additionally services are necessary, a new written request is not required. These services are billed without referrals but as a “self-determined” or “self-deemed” service</w:t>
      </w:r>
      <w:r w:rsidR="002F464E">
        <w:rPr>
          <w:rFonts w:eastAsia="Calibri" w:cs="Times New Roman"/>
          <w:bCs w:val="0"/>
          <w:iCs w:val="0"/>
          <w:color w:val="auto"/>
          <w:lang w:eastAsia="en-US"/>
        </w:rPr>
        <w:t>,</w:t>
      </w:r>
      <w:r w:rsidRPr="00CF552F">
        <w:rPr>
          <w:rFonts w:eastAsia="Calibri" w:cs="Times New Roman"/>
          <w:bCs w:val="0"/>
          <w:iCs w:val="0"/>
          <w:color w:val="auto"/>
          <w:lang w:eastAsia="en-US"/>
        </w:rPr>
        <w:t xml:space="preserve"> </w:t>
      </w:r>
      <w:r w:rsidRPr="00CF552F">
        <w:rPr>
          <w:color w:val="auto"/>
        </w:rPr>
        <w:t>where the item descriptor specifically states a referral is required</w:t>
      </w:r>
    </w:p>
    <w:p w14:paraId="15C92268" w14:textId="77777777" w:rsidR="000133B9" w:rsidRPr="00CF552F" w:rsidRDefault="000133B9" w:rsidP="000133B9">
      <w:pPr>
        <w:spacing w:line="320" w:lineRule="exact"/>
        <w:rPr>
          <w:szCs w:val="24"/>
        </w:rPr>
      </w:pPr>
      <w:r w:rsidRPr="00CF552F">
        <w:rPr>
          <w:szCs w:val="24"/>
        </w:rPr>
        <w:t>However, the following services cannot be self-determined/self-deemed as additional services:</w:t>
      </w:r>
    </w:p>
    <w:p w14:paraId="6039AF05" w14:textId="77777777" w:rsidR="000133B9" w:rsidRPr="00CF552F" w:rsidRDefault="000133B9" w:rsidP="000133B9">
      <w:pPr>
        <w:pStyle w:val="ListBullet"/>
        <w:ind w:left="1080" w:hanging="360"/>
      </w:pPr>
      <w:r w:rsidRPr="00CF552F">
        <w:t>MRI services; and</w:t>
      </w:r>
    </w:p>
    <w:p w14:paraId="1FFC43D9" w14:textId="77777777" w:rsidR="000133B9" w:rsidRPr="00C24247" w:rsidRDefault="000133B9" w:rsidP="000133B9">
      <w:pPr>
        <w:pStyle w:val="ListBullet"/>
        <w:ind w:left="1080" w:hanging="360"/>
      </w:pPr>
      <w:r>
        <w:t>services not otherwise able to be requested by the original referrer.</w:t>
      </w:r>
    </w:p>
    <w:p w14:paraId="2BC3A2B7" w14:textId="77777777" w:rsidR="000133B9" w:rsidRPr="00CF552F" w:rsidRDefault="000133B9" w:rsidP="000133B9">
      <w:pPr>
        <w:pStyle w:val="ListBullet"/>
        <w:numPr>
          <w:ilvl w:val="0"/>
          <w:numId w:val="0"/>
        </w:numPr>
        <w:ind w:left="426"/>
      </w:pPr>
    </w:p>
    <w:p w14:paraId="1B5B8696" w14:textId="5EC5F6C7" w:rsidR="000133B9" w:rsidRPr="001158EB" w:rsidRDefault="000133B9" w:rsidP="000133B9">
      <w:pPr>
        <w:pStyle w:val="NoSpacing"/>
        <w:pBdr>
          <w:top w:val="single" w:sz="4" w:space="1" w:color="auto"/>
          <w:left w:val="single" w:sz="4" w:space="4" w:color="auto"/>
          <w:bottom w:val="single" w:sz="4" w:space="1" w:color="auto"/>
          <w:right w:val="single" w:sz="4" w:space="4" w:color="auto"/>
        </w:pBdr>
        <w:rPr>
          <w:iCs/>
        </w:rPr>
      </w:pPr>
      <w:bookmarkStart w:id="72" w:name="_Hlk57900553"/>
      <w:r w:rsidRPr="00B6702A">
        <w:rPr>
          <w:b/>
          <w:bCs/>
          <w:sz w:val="24"/>
          <w:szCs w:val="24"/>
        </w:rPr>
        <w:t>Note</w:t>
      </w:r>
      <w:r w:rsidRPr="001158EB">
        <w:rPr>
          <w:sz w:val="24"/>
          <w:szCs w:val="24"/>
        </w:rPr>
        <w:t xml:space="preserve">: Individual MBS item descriptors should be checked via </w:t>
      </w:r>
      <w:bookmarkStart w:id="73" w:name="_Hlk57900726"/>
      <w:r w:rsidRPr="00C24247">
        <w:rPr>
          <w:sz w:val="24"/>
          <w:szCs w:val="24"/>
        </w:rPr>
        <w:fldChar w:fldCharType="begin"/>
      </w:r>
      <w:r w:rsidRPr="00C24247">
        <w:rPr>
          <w:sz w:val="24"/>
          <w:szCs w:val="24"/>
        </w:rPr>
        <w:instrText xml:space="preserve"> HYPERLINK "http://www.mbsonline.gov.au/internet/mbsonline/publishing.nsf/Content/Home" </w:instrText>
      </w:r>
      <w:r w:rsidRPr="00C24247">
        <w:rPr>
          <w:sz w:val="24"/>
          <w:szCs w:val="24"/>
        </w:rPr>
      </w:r>
      <w:r w:rsidRPr="00C24247">
        <w:rPr>
          <w:sz w:val="24"/>
          <w:szCs w:val="24"/>
        </w:rPr>
        <w:fldChar w:fldCharType="separate"/>
      </w:r>
      <w:r w:rsidRPr="001158EB">
        <w:rPr>
          <w:rStyle w:val="Hyperlink"/>
          <w:iCs/>
          <w:sz w:val="24"/>
          <w:szCs w:val="24"/>
        </w:rPr>
        <w:t>MBS Online</w:t>
      </w:r>
      <w:r w:rsidRPr="00C24247">
        <w:rPr>
          <w:sz w:val="24"/>
          <w:szCs w:val="24"/>
        </w:rPr>
        <w:fldChar w:fldCharType="end"/>
      </w:r>
      <w:bookmarkEnd w:id="73"/>
      <w:r w:rsidRPr="001158EB">
        <w:rPr>
          <w:sz w:val="24"/>
          <w:szCs w:val="24"/>
        </w:rPr>
        <w:t xml:space="preserve"> or by contacting the Revenue Data team for further clarification.</w:t>
      </w:r>
      <w:bookmarkEnd w:id="71"/>
      <w:bookmarkEnd w:id="72"/>
    </w:p>
    <w:p w14:paraId="2146E4A9" w14:textId="77777777" w:rsidR="000133B9" w:rsidRDefault="000133B9" w:rsidP="000133B9">
      <w:bookmarkStart w:id="74" w:name="_Toc135647193"/>
    </w:p>
    <w:p w14:paraId="37BEFBC4" w14:textId="77777777" w:rsidR="000133B9" w:rsidRPr="00613014" w:rsidRDefault="000133B9" w:rsidP="000133B9">
      <w:pPr>
        <w:pStyle w:val="Heading2"/>
      </w:pPr>
      <w:bookmarkStart w:id="75" w:name="_Toc167113114"/>
      <w:r>
        <w:t>Bulk Billing for Locum Tenens and Staff Specialist Leave Cover</w:t>
      </w:r>
      <w:bookmarkEnd w:id="74"/>
      <w:bookmarkEnd w:id="75"/>
    </w:p>
    <w:p w14:paraId="34CD55E9" w14:textId="77777777" w:rsidR="000133B9" w:rsidRPr="001158EB" w:rsidRDefault="000133B9" w:rsidP="000133B9">
      <w:pPr>
        <w:pStyle w:val="Heading3"/>
        <w:rPr>
          <w:rFonts w:ascii="Calibri" w:hAnsi="Calibri"/>
          <w:color w:val="auto"/>
          <w:szCs w:val="26"/>
        </w:rPr>
      </w:pPr>
      <w:bookmarkStart w:id="76" w:name="locum_tenens"/>
      <w:r w:rsidRPr="001158EB">
        <w:rPr>
          <w:rFonts w:ascii="Calibri" w:hAnsi="Calibri"/>
          <w:color w:val="auto"/>
          <w:szCs w:val="26"/>
        </w:rPr>
        <w:t xml:space="preserve">Locum Tenens </w:t>
      </w:r>
    </w:p>
    <w:bookmarkEnd w:id="76"/>
    <w:p w14:paraId="44659EF7" w14:textId="3DEF4133" w:rsidR="000133B9" w:rsidRPr="00CF552F" w:rsidRDefault="000133B9" w:rsidP="000133B9">
      <w:pPr>
        <w:spacing w:line="320" w:lineRule="exact"/>
        <w:rPr>
          <w:szCs w:val="24"/>
        </w:rPr>
      </w:pPr>
      <w:r w:rsidRPr="00CF552F">
        <w:rPr>
          <w:szCs w:val="24"/>
        </w:rPr>
        <w:t>A locum is a practitioner who replaces a provider during a period of absence or leave. The replacement practitioner can be external or internal to CHS</w:t>
      </w:r>
      <w:r>
        <w:rPr>
          <w:szCs w:val="24"/>
        </w:rPr>
        <w:t>. I</w:t>
      </w:r>
      <w:r w:rsidRPr="00CF552F">
        <w:rPr>
          <w:szCs w:val="24"/>
        </w:rPr>
        <w:t xml:space="preserve">f the replacement is internal to CHS then there must be a confirmed agreement between the provider on leave and the replacement, it must also be recorded on the consumers appointment and clinic letter that the replacement is a Locum or LT for the practitioner who is on leave. </w:t>
      </w:r>
    </w:p>
    <w:p w14:paraId="099042F9" w14:textId="4E7B61D8" w:rsidR="000133B9" w:rsidRPr="00CF552F" w:rsidRDefault="000133B9" w:rsidP="000133B9">
      <w:pPr>
        <w:spacing w:line="320" w:lineRule="exact"/>
        <w:rPr>
          <w:szCs w:val="24"/>
        </w:rPr>
      </w:pPr>
      <w:r w:rsidRPr="00CF552F">
        <w:rPr>
          <w:szCs w:val="24"/>
        </w:rPr>
        <w:t xml:space="preserve">Billing for </w:t>
      </w:r>
      <w:r w:rsidR="00C44D65">
        <w:rPr>
          <w:szCs w:val="24"/>
        </w:rPr>
        <w:t xml:space="preserve">external locums, also known as </w:t>
      </w:r>
      <w:r w:rsidRPr="00CF552F">
        <w:rPr>
          <w:szCs w:val="24"/>
        </w:rPr>
        <w:t>true locums</w:t>
      </w:r>
      <w:r w:rsidR="00C44D65">
        <w:rPr>
          <w:szCs w:val="24"/>
        </w:rPr>
        <w:t>,</w:t>
      </w:r>
      <w:r w:rsidRPr="00CF552F">
        <w:rPr>
          <w:szCs w:val="24"/>
        </w:rPr>
        <w:t xml:space="preserve"> depends on their</w:t>
      </w:r>
      <w:r w:rsidR="00C44D65">
        <w:rPr>
          <w:szCs w:val="24"/>
        </w:rPr>
        <w:t xml:space="preserve"> specific</w:t>
      </w:r>
      <w:r w:rsidRPr="00CF552F">
        <w:rPr>
          <w:szCs w:val="24"/>
        </w:rPr>
        <w:t xml:space="preserve"> employment contract. </w:t>
      </w:r>
      <w:r w:rsidR="00C44D65">
        <w:rPr>
          <w:szCs w:val="24"/>
        </w:rPr>
        <w:t>Administrative s</w:t>
      </w:r>
      <w:r w:rsidRPr="00CF552F">
        <w:rPr>
          <w:szCs w:val="24"/>
        </w:rPr>
        <w:t>taff</w:t>
      </w:r>
      <w:r w:rsidR="00C44D65">
        <w:rPr>
          <w:szCs w:val="24"/>
        </w:rPr>
        <w:t xml:space="preserve"> of units employing locums</w:t>
      </w:r>
      <w:r w:rsidRPr="00CF552F">
        <w:rPr>
          <w:szCs w:val="24"/>
        </w:rPr>
        <w:t xml:space="preserve"> should contact the Revenue Data team for clarification prior to the locum starting wherever possible.</w:t>
      </w:r>
    </w:p>
    <w:p w14:paraId="7E660ABE" w14:textId="77777777" w:rsidR="000133B9" w:rsidRPr="00CF552F" w:rsidRDefault="000133B9" w:rsidP="000133B9">
      <w:pPr>
        <w:spacing w:line="320" w:lineRule="exact"/>
        <w:rPr>
          <w:szCs w:val="24"/>
        </w:rPr>
      </w:pPr>
      <w:r w:rsidRPr="00CF552F">
        <w:rPr>
          <w:szCs w:val="24"/>
        </w:rPr>
        <w:t>New referrals are not required for a locum to enable billing - referrals addressed to practitioner on leave that the locum is covering can be used.</w:t>
      </w:r>
    </w:p>
    <w:p w14:paraId="2BB71562" w14:textId="77777777" w:rsidR="000133B9" w:rsidRPr="00CF552F" w:rsidRDefault="000133B9" w:rsidP="000133B9">
      <w:pPr>
        <w:spacing w:line="320" w:lineRule="exact"/>
        <w:rPr>
          <w:szCs w:val="24"/>
        </w:rPr>
      </w:pPr>
      <w:r w:rsidRPr="00CF552F">
        <w:rPr>
          <w:szCs w:val="24"/>
        </w:rPr>
        <w:t xml:space="preserve">Locums can also hold clinics and accept new referrals. Any referrals made to the locum over the period of cover can continue to be used by original practitioner when they return from leave. </w:t>
      </w:r>
    </w:p>
    <w:p w14:paraId="29BC1BE8" w14:textId="77777777" w:rsidR="000133B9" w:rsidRPr="001158EB" w:rsidRDefault="000133B9" w:rsidP="000133B9">
      <w:pPr>
        <w:pStyle w:val="Heading3"/>
        <w:rPr>
          <w:rFonts w:ascii="Calibri" w:hAnsi="Calibri"/>
          <w:color w:val="auto"/>
          <w:szCs w:val="26"/>
        </w:rPr>
      </w:pPr>
      <w:bookmarkStart w:id="77" w:name="ss_leave_cover"/>
      <w:r w:rsidRPr="001158EB">
        <w:rPr>
          <w:rFonts w:ascii="Calibri" w:hAnsi="Calibri"/>
          <w:color w:val="auto"/>
          <w:szCs w:val="26"/>
        </w:rPr>
        <w:t>Staff Specialist Leave Cover</w:t>
      </w:r>
    </w:p>
    <w:bookmarkEnd w:id="77"/>
    <w:p w14:paraId="30875BD0" w14:textId="77777777" w:rsidR="000133B9" w:rsidRPr="00CF552F" w:rsidRDefault="000133B9" w:rsidP="000133B9">
      <w:pPr>
        <w:spacing w:line="320" w:lineRule="exact"/>
        <w:rPr>
          <w:szCs w:val="24"/>
        </w:rPr>
      </w:pPr>
      <w:r w:rsidRPr="00CF552F">
        <w:rPr>
          <w:szCs w:val="24"/>
        </w:rPr>
        <w:t xml:space="preserve">Leave Cover is when a Specialist/Consultant Physician is covering another staff Specialist/Consultant Physicians’ period of leave, who are both employed by the same practice/hospital.  </w:t>
      </w:r>
    </w:p>
    <w:p w14:paraId="53DA0DCF" w14:textId="77777777" w:rsidR="000133B9" w:rsidRPr="00CF552F" w:rsidRDefault="000133B9" w:rsidP="000133B9">
      <w:pPr>
        <w:spacing w:line="320" w:lineRule="exact"/>
        <w:rPr>
          <w:szCs w:val="24"/>
        </w:rPr>
      </w:pPr>
      <w:r w:rsidRPr="00CF552F">
        <w:rPr>
          <w:szCs w:val="24"/>
        </w:rPr>
        <w:t>In this circumstance the covering practitioner will require new named referrals to follow standard billing rules, unless the covering practitioner bills any items listed in “</w:t>
      </w:r>
      <w:hyperlink w:anchor="services_that_dont_require_referrals" w:history="1">
        <w:r w:rsidRPr="001151FF">
          <w:rPr>
            <w:rStyle w:val="Hyperlink"/>
            <w:szCs w:val="24"/>
          </w:rPr>
          <w:t xml:space="preserve">Services that </w:t>
        </w:r>
        <w:r w:rsidRPr="001151FF">
          <w:rPr>
            <w:rStyle w:val="Hyperlink"/>
            <w:szCs w:val="24"/>
          </w:rPr>
          <w:lastRenderedPageBreak/>
          <w:t>do not require referrals</w:t>
        </w:r>
      </w:hyperlink>
      <w:r w:rsidRPr="00CF552F">
        <w:rPr>
          <w:szCs w:val="24"/>
        </w:rPr>
        <w:t xml:space="preserve">”. Please also refer to the Scenario 2 Workflow </w:t>
      </w:r>
      <w:hyperlink w:anchor="workflow_for_scenario_2" w:history="1">
        <w:r w:rsidRPr="008A6854">
          <w:rPr>
            <w:rStyle w:val="Hyperlink"/>
            <w:szCs w:val="24"/>
          </w:rPr>
          <w:t>above</w:t>
        </w:r>
      </w:hyperlink>
      <w:r>
        <w:rPr>
          <w:color w:val="76923C" w:themeColor="accent3" w:themeShade="BF"/>
          <w:szCs w:val="24"/>
        </w:rPr>
        <w:t xml:space="preserve"> </w:t>
      </w:r>
      <w:r w:rsidRPr="00CF552F">
        <w:rPr>
          <w:szCs w:val="24"/>
        </w:rPr>
        <w:t xml:space="preserve">for non-referred consultation billing. </w:t>
      </w:r>
    </w:p>
    <w:p w14:paraId="6F509078" w14:textId="77777777" w:rsidR="000133B9" w:rsidRPr="00CF552F" w:rsidRDefault="000133B9" w:rsidP="000133B9">
      <w:pPr>
        <w:spacing w:line="320" w:lineRule="exact"/>
        <w:rPr>
          <w:szCs w:val="24"/>
        </w:rPr>
      </w:pPr>
      <w:r w:rsidRPr="00CF552F">
        <w:rPr>
          <w:szCs w:val="24"/>
        </w:rPr>
        <w:t xml:space="preserve">Any referrals made to the covering practitioner over the period of leave CANNOT be used by the original practitioner when they return. </w:t>
      </w:r>
    </w:p>
    <w:p w14:paraId="00C3365F" w14:textId="77777777" w:rsidR="000133B9" w:rsidRPr="00CF552F" w:rsidRDefault="000133B9" w:rsidP="000133B9">
      <w:pPr>
        <w:spacing w:line="320" w:lineRule="exact"/>
        <w:rPr>
          <w:szCs w:val="24"/>
        </w:rPr>
      </w:pPr>
      <w:r w:rsidRPr="00CF552F">
        <w:rPr>
          <w:szCs w:val="24"/>
        </w:rPr>
        <w:t>Should you need any further information or clarification on locum/leave cover please contact Revenue Data.</w:t>
      </w:r>
    </w:p>
    <w:p w14:paraId="5C0987D8" w14:textId="77777777" w:rsidR="000133B9" w:rsidRPr="00676481" w:rsidRDefault="000133B9" w:rsidP="000133B9">
      <w:pPr>
        <w:spacing w:line="320" w:lineRule="exact"/>
        <w:rPr>
          <w:color w:val="76923C" w:themeColor="accent3" w:themeShade="BF"/>
          <w:szCs w:val="24"/>
        </w:rPr>
      </w:pPr>
      <w:r w:rsidRPr="00CF552F">
        <w:rPr>
          <w:szCs w:val="24"/>
        </w:rPr>
        <w:t>Email:</w:t>
      </w:r>
      <w:r>
        <w:rPr>
          <w:color w:val="76923C" w:themeColor="accent3" w:themeShade="BF"/>
          <w:szCs w:val="24"/>
        </w:rPr>
        <w:t xml:space="preserve"> </w:t>
      </w:r>
      <w:hyperlink r:id="rId39" w:history="1">
        <w:r w:rsidRPr="00F5106D">
          <w:rPr>
            <w:rStyle w:val="Hyperlink"/>
            <w:szCs w:val="24"/>
          </w:rPr>
          <w:t>CHS.revenuedata@act.gov.au</w:t>
        </w:r>
      </w:hyperlink>
      <w:r>
        <w:rPr>
          <w:color w:val="76923C" w:themeColor="accent3" w:themeShade="BF"/>
          <w:szCs w:val="24"/>
        </w:rPr>
        <w:t xml:space="preserve"> </w:t>
      </w:r>
    </w:p>
    <w:p w14:paraId="08682A17" w14:textId="77777777" w:rsidR="009A534C" w:rsidRDefault="009A534C" w:rsidP="009A534C">
      <w:pPr>
        <w:rPr>
          <w:rFonts w:cs="Arial"/>
          <w:b/>
          <w:szCs w:val="24"/>
        </w:rPr>
      </w:pPr>
    </w:p>
    <w:p w14:paraId="08682A18" w14:textId="77777777" w:rsidR="009A534C" w:rsidRDefault="00CD4A22"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0133B9" w:rsidRPr="00CD1C0E" w14:paraId="0A4094F3" w14:textId="77777777" w:rsidTr="00183C8B">
        <w:trPr>
          <w:cantSplit/>
          <w:trHeight w:val="285"/>
        </w:trPr>
        <w:tc>
          <w:tcPr>
            <w:tcW w:w="9158" w:type="dxa"/>
            <w:shd w:val="clear" w:color="auto" w:fill="D9D9D9" w:themeFill="background1" w:themeFillShade="D9"/>
          </w:tcPr>
          <w:p w14:paraId="14548A0B" w14:textId="6F52B6A1" w:rsidR="000133B9" w:rsidRPr="003D2D06" w:rsidRDefault="000133B9" w:rsidP="00183C8B">
            <w:pPr>
              <w:pStyle w:val="Heading1"/>
            </w:pPr>
            <w:bookmarkStart w:id="78" w:name="_Toc167113115"/>
            <w:r w:rsidRPr="003D2D06">
              <w:t xml:space="preserve">Section </w:t>
            </w:r>
            <w:r w:rsidR="00C44D65">
              <w:t>4</w:t>
            </w:r>
            <w:r w:rsidRPr="003D2D06">
              <w:t xml:space="preserve"> – </w:t>
            </w:r>
            <w:r w:rsidR="00C44D65">
              <w:t xml:space="preserve">Consultations and </w:t>
            </w:r>
            <w:r w:rsidR="009A3AA4">
              <w:t>O</w:t>
            </w:r>
            <w:r w:rsidR="00C44D65">
              <w:t xml:space="preserve">ther </w:t>
            </w:r>
            <w:r w:rsidR="009A3AA4">
              <w:t>P</w:t>
            </w:r>
            <w:r w:rsidR="00C44D65">
              <w:t xml:space="preserve">rofessional </w:t>
            </w:r>
            <w:r w:rsidR="009A3AA4">
              <w:t>A</w:t>
            </w:r>
            <w:r w:rsidR="00C44D65">
              <w:t>ttendances for Medicare/DVA Billing</w:t>
            </w:r>
            <w:bookmarkEnd w:id="78"/>
          </w:p>
        </w:tc>
      </w:tr>
    </w:tbl>
    <w:p w14:paraId="6A9EF6A8" w14:textId="77777777" w:rsidR="000133B9" w:rsidRDefault="000133B9" w:rsidP="000133B9">
      <w:pPr>
        <w:pStyle w:val="Heading2"/>
      </w:pPr>
    </w:p>
    <w:p w14:paraId="66EC8FBD" w14:textId="77777777" w:rsidR="00C44D65" w:rsidRDefault="00C44D65" w:rsidP="00C44D65">
      <w:pPr>
        <w:ind w:left="1440" w:hanging="1440"/>
        <w:rPr>
          <w:szCs w:val="24"/>
        </w:rPr>
      </w:pPr>
      <w:r w:rsidRPr="006D309B">
        <w:rPr>
          <w:szCs w:val="24"/>
        </w:rPr>
        <w:t xml:space="preserve">Standard: </w:t>
      </w:r>
      <w:r w:rsidRPr="006D309B">
        <w:rPr>
          <w:szCs w:val="24"/>
        </w:rPr>
        <w:tab/>
        <w:t>Personal attendance by the medical practitioner under whose name the service is billed, is necessary, before a "consultation" may be billed and the practitioner should record the clinical details of the service(s) provided to the patient.</w:t>
      </w:r>
    </w:p>
    <w:p w14:paraId="1C5343D8" w14:textId="77777777" w:rsidR="00C44D65" w:rsidRPr="006D309B" w:rsidRDefault="00C44D65" w:rsidP="00C44D65">
      <w:pPr>
        <w:ind w:left="1440" w:hanging="1440"/>
        <w:rPr>
          <w:szCs w:val="24"/>
        </w:rPr>
      </w:pPr>
    </w:p>
    <w:p w14:paraId="415E6473" w14:textId="77777777" w:rsidR="00C44D65" w:rsidRPr="003630EE" w:rsidRDefault="00C44D65" w:rsidP="00C44D65">
      <w:pPr>
        <w:pStyle w:val="Heading2"/>
      </w:pPr>
      <w:bookmarkStart w:id="79" w:name="_Toc135647195"/>
      <w:bookmarkStart w:id="80" w:name="_Toc167113116"/>
      <w:r w:rsidRPr="003630EE">
        <w:t>When to bill an initial consultation verses a review/follow-up consultation</w:t>
      </w:r>
      <w:bookmarkEnd w:id="79"/>
      <w:bookmarkEnd w:id="80"/>
      <w:r w:rsidRPr="003630EE">
        <w:t xml:space="preserve"> </w:t>
      </w:r>
    </w:p>
    <w:p w14:paraId="5D406558" w14:textId="77777777" w:rsidR="00C44D65" w:rsidRPr="006D309B" w:rsidRDefault="00C44D65" w:rsidP="00C44D65">
      <w:pPr>
        <w:spacing w:line="320" w:lineRule="exact"/>
        <w:rPr>
          <w:szCs w:val="24"/>
        </w:rPr>
      </w:pPr>
      <w:bookmarkStart w:id="81" w:name="_Hlk57896586"/>
      <w:r w:rsidRPr="006D309B">
        <w:rPr>
          <w:szCs w:val="24"/>
        </w:rPr>
        <w:t xml:space="preserve">A single course of treatment by a Specialist/Consultant Physician involves only </w:t>
      </w:r>
      <w:r w:rsidRPr="006D309B">
        <w:rPr>
          <w:b/>
          <w:szCs w:val="24"/>
        </w:rPr>
        <w:t>one</w:t>
      </w:r>
      <w:r w:rsidRPr="006D309B">
        <w:rPr>
          <w:szCs w:val="24"/>
        </w:rPr>
        <w:t xml:space="preserve"> initial consultation and then </w:t>
      </w:r>
      <w:r w:rsidRPr="006D309B">
        <w:rPr>
          <w:b/>
          <w:szCs w:val="24"/>
        </w:rPr>
        <w:t>any</w:t>
      </w:r>
      <w:r w:rsidRPr="006D309B">
        <w:rPr>
          <w:szCs w:val="24"/>
        </w:rPr>
        <w:t xml:space="preserve"> continuing/follow-up consultations and treatment, until the patient is discharged (referred) back to the care of the referring practitioner. </w:t>
      </w:r>
    </w:p>
    <w:p w14:paraId="0A7CCB72" w14:textId="77777777" w:rsidR="00C44D65" w:rsidRPr="006D309B" w:rsidRDefault="00C44D65" w:rsidP="00C44D65">
      <w:pPr>
        <w:spacing w:line="320" w:lineRule="exact"/>
        <w:rPr>
          <w:szCs w:val="24"/>
        </w:rPr>
      </w:pPr>
      <w:r w:rsidRPr="006D309B">
        <w:rPr>
          <w:szCs w:val="24"/>
        </w:rPr>
        <w:t xml:space="preserve">Initial and follow up consultations have different item numbers/descriptors listed in the MBS and will attract different rebates where criteria are met to enable billing.   </w:t>
      </w:r>
    </w:p>
    <w:p w14:paraId="70958C28" w14:textId="77777777" w:rsidR="00C44D65" w:rsidRPr="006D309B" w:rsidRDefault="00C44D65" w:rsidP="00C44D65">
      <w:pPr>
        <w:spacing w:line="320" w:lineRule="exact"/>
        <w:rPr>
          <w:szCs w:val="24"/>
        </w:rPr>
      </w:pPr>
      <w:r w:rsidRPr="006D309B">
        <w:rPr>
          <w:szCs w:val="24"/>
        </w:rPr>
        <w:t xml:space="preserve">Receiving an updated/new referral following the expiration of a previous referral for the same condition </w:t>
      </w:r>
      <w:r w:rsidRPr="006D309B">
        <w:rPr>
          <w:szCs w:val="24"/>
          <w:u w:val="single"/>
        </w:rPr>
        <w:t>does not</w:t>
      </w:r>
      <w:r w:rsidRPr="006D309B">
        <w:rPr>
          <w:szCs w:val="24"/>
        </w:rPr>
        <w:t xml:space="preserve"> indicate a new course of treatment or another initial consultation. </w:t>
      </w:r>
    </w:p>
    <w:p w14:paraId="342EE021" w14:textId="77777777" w:rsidR="00C44D65" w:rsidRPr="006D309B" w:rsidRDefault="00C44D65" w:rsidP="00C44D65">
      <w:pPr>
        <w:spacing w:line="320" w:lineRule="exact"/>
        <w:rPr>
          <w:szCs w:val="24"/>
        </w:rPr>
      </w:pPr>
      <w:r w:rsidRPr="006D309B">
        <w:rPr>
          <w:szCs w:val="24"/>
        </w:rPr>
        <w:t xml:space="preserve">A new referral for the same condition </w:t>
      </w:r>
      <w:r w:rsidRPr="006D309B">
        <w:rPr>
          <w:bCs/>
          <w:szCs w:val="24"/>
        </w:rPr>
        <w:t>only</w:t>
      </w:r>
      <w:r w:rsidRPr="006D309B">
        <w:rPr>
          <w:szCs w:val="24"/>
        </w:rPr>
        <w:t xml:space="preserve"> initiates a new course of treatment/initial consultation where the following criteria is met: </w:t>
      </w:r>
    </w:p>
    <w:p w14:paraId="055926BC" w14:textId="77777777" w:rsidR="00C44D65" w:rsidRPr="006D309B" w:rsidRDefault="00C44D65" w:rsidP="00C44D65">
      <w:pPr>
        <w:pStyle w:val="ListBullet"/>
        <w:ind w:left="1080" w:hanging="360"/>
      </w:pPr>
      <w:r w:rsidRPr="006D309B">
        <w:t xml:space="preserve">the patient had been discharged back to the referring practitioner, and </w:t>
      </w:r>
    </w:p>
    <w:p w14:paraId="482FBE7B" w14:textId="77777777" w:rsidR="00C44D65" w:rsidRPr="006D309B" w:rsidRDefault="00C44D65" w:rsidP="00C44D65">
      <w:pPr>
        <w:pStyle w:val="ListBullet"/>
        <w:ind w:left="1080" w:hanging="360"/>
      </w:pPr>
      <w:r w:rsidRPr="006D309B">
        <w:t>the referring practitioner deems it necessary for the patient's condition to be reviewed, and</w:t>
      </w:r>
    </w:p>
    <w:p w14:paraId="6AAB59C2" w14:textId="77777777" w:rsidR="00C44D65" w:rsidRPr="006D309B" w:rsidRDefault="00C44D65" w:rsidP="00C44D65">
      <w:pPr>
        <w:pStyle w:val="ListBullet"/>
        <w:ind w:left="1080" w:hanging="360"/>
      </w:pPr>
      <w:r w:rsidRPr="006D309B">
        <w:t>the patient is seen by the Specialist/Consultant Physician outside the validity of the last referral, and</w:t>
      </w:r>
    </w:p>
    <w:p w14:paraId="4A9F68F4" w14:textId="77777777" w:rsidR="00C44D65" w:rsidRPr="006D309B" w:rsidRDefault="00C44D65" w:rsidP="00C44D65">
      <w:pPr>
        <w:pStyle w:val="ListBullet"/>
        <w:ind w:left="1080" w:hanging="360"/>
        <w:rPr>
          <w:lang w:val="x-none"/>
        </w:rPr>
      </w:pPr>
      <w:r w:rsidRPr="006D309B">
        <w:rPr>
          <w:lang w:val="x-none"/>
        </w:rPr>
        <w:t xml:space="preserve">the patient was last seen by the </w:t>
      </w:r>
      <w:r>
        <w:t>Specialist</w:t>
      </w:r>
      <w:r w:rsidRPr="006D309B">
        <w:t>/</w:t>
      </w:r>
      <w:r>
        <w:t>Consultant Physician</w:t>
      </w:r>
      <w:r w:rsidRPr="006D309B">
        <w:rPr>
          <w:lang w:val="x-none"/>
        </w:rPr>
        <w:t xml:space="preserve"> more than 9 months earlier</w:t>
      </w:r>
      <w:r>
        <w:t>.</w:t>
      </w:r>
    </w:p>
    <w:p w14:paraId="608A2DAF" w14:textId="77777777" w:rsidR="00C44D65" w:rsidRPr="006D309B" w:rsidRDefault="00C44D65" w:rsidP="00C44D65">
      <w:pPr>
        <w:spacing w:line="320" w:lineRule="exact"/>
        <w:rPr>
          <w:szCs w:val="24"/>
        </w:rPr>
      </w:pPr>
      <w:r w:rsidRPr="006D309B">
        <w:rPr>
          <w:szCs w:val="24"/>
        </w:rPr>
        <w:t xml:space="preserve">Presentation of a new referral for an unrelated/new illness or condition </w:t>
      </w:r>
      <w:r w:rsidRPr="006D309B">
        <w:rPr>
          <w:bCs/>
          <w:szCs w:val="24"/>
          <w:u w:val="single"/>
        </w:rPr>
        <w:t>does</w:t>
      </w:r>
      <w:r w:rsidRPr="006D309B">
        <w:rPr>
          <w:b/>
          <w:szCs w:val="24"/>
        </w:rPr>
        <w:t xml:space="preserve"> </w:t>
      </w:r>
      <w:r w:rsidRPr="006D309B">
        <w:rPr>
          <w:szCs w:val="24"/>
        </w:rPr>
        <w:t>initiate a new course of treatment/initial consultation.</w:t>
      </w:r>
    </w:p>
    <w:p w14:paraId="300772A2" w14:textId="77777777" w:rsidR="00C44D65" w:rsidRPr="006D309B" w:rsidRDefault="00C44D65" w:rsidP="00C44D65">
      <w:pPr>
        <w:spacing w:line="320" w:lineRule="exact"/>
        <w:rPr>
          <w:szCs w:val="24"/>
        </w:rPr>
      </w:pPr>
      <w:r w:rsidRPr="006D309B">
        <w:rPr>
          <w:szCs w:val="24"/>
        </w:rPr>
        <w:t xml:space="preserve">If you are unsure if the new referral is for an unrelated illness you </w:t>
      </w:r>
      <w:r w:rsidRPr="006D309B">
        <w:rPr>
          <w:bCs/>
          <w:szCs w:val="24"/>
          <w:u w:val="single"/>
        </w:rPr>
        <w:t>must</w:t>
      </w:r>
      <w:r w:rsidRPr="006D309B">
        <w:rPr>
          <w:szCs w:val="24"/>
        </w:rPr>
        <w:t xml:space="preserve"> confirm with the treating Specialist/Consultant Physician. </w:t>
      </w:r>
    </w:p>
    <w:p w14:paraId="28C58573" w14:textId="77777777" w:rsidR="00C44D65" w:rsidRDefault="00C44D65" w:rsidP="00C44D65">
      <w:pPr>
        <w:spacing w:line="320" w:lineRule="exact"/>
        <w:rPr>
          <w:szCs w:val="24"/>
        </w:rPr>
      </w:pPr>
      <w:r w:rsidRPr="006D309B">
        <w:rPr>
          <w:szCs w:val="24"/>
        </w:rPr>
        <w:t xml:space="preserve">Where the service is eligible </w:t>
      </w:r>
      <w:r w:rsidRPr="00F606C9">
        <w:rPr>
          <w:szCs w:val="24"/>
        </w:rPr>
        <w:t>(</w:t>
      </w:r>
      <w:hyperlink w:anchor="management_plans_132_133" w:history="1">
        <w:r w:rsidRPr="003719B5">
          <w:rPr>
            <w:rStyle w:val="Hyperlink"/>
            <w:rFonts w:cs="Arial"/>
            <w:bCs/>
            <w:iCs/>
            <w:szCs w:val="24"/>
            <w:lang w:eastAsia="en-AU"/>
          </w:rPr>
          <w:t>details below</w:t>
        </w:r>
      </w:hyperlink>
      <w:r w:rsidRPr="00F606C9">
        <w:rPr>
          <w:szCs w:val="24"/>
        </w:rPr>
        <w:t xml:space="preserve">) </w:t>
      </w:r>
      <w:r w:rsidRPr="006D309B">
        <w:rPr>
          <w:szCs w:val="24"/>
        </w:rPr>
        <w:t xml:space="preserve">a Consultant Physician can bill for the creation of and review of a patient treatment and management plan. As there are a lot of rules and </w:t>
      </w:r>
      <w:r w:rsidRPr="006D309B">
        <w:rPr>
          <w:szCs w:val="24"/>
        </w:rPr>
        <w:lastRenderedPageBreak/>
        <w:t xml:space="preserve">criteria to be met for management plans, staff should only bill these items when the criteria are met. </w:t>
      </w:r>
    </w:p>
    <w:p w14:paraId="3C9D4307" w14:textId="77777777" w:rsidR="00C44D65" w:rsidRPr="006D309B" w:rsidRDefault="00C44D65" w:rsidP="00C44D65">
      <w:pPr>
        <w:spacing w:line="320" w:lineRule="exact"/>
        <w:rPr>
          <w:szCs w:val="24"/>
        </w:rPr>
      </w:pPr>
    </w:p>
    <w:p w14:paraId="78212A7F" w14:textId="77777777" w:rsidR="00C44D65" w:rsidRPr="00536194" w:rsidRDefault="00C44D65" w:rsidP="00C44D65">
      <w:pPr>
        <w:pStyle w:val="Heading2"/>
      </w:pPr>
      <w:bookmarkStart w:id="82" w:name="_Toc416247376"/>
      <w:bookmarkStart w:id="83" w:name="_Toc416689125"/>
      <w:bookmarkStart w:id="84" w:name="_Toc2859013"/>
      <w:bookmarkStart w:id="85" w:name="_Toc135647196"/>
      <w:bookmarkStart w:id="86" w:name="_Toc167113117"/>
      <w:bookmarkEnd w:id="81"/>
      <w:r w:rsidRPr="00536194">
        <w:t>Billing for multiple services provided on the same day</w:t>
      </w:r>
      <w:bookmarkEnd w:id="82"/>
      <w:bookmarkEnd w:id="83"/>
      <w:bookmarkEnd w:id="84"/>
      <w:bookmarkEnd w:id="85"/>
      <w:bookmarkEnd w:id="86"/>
      <w:r w:rsidRPr="00536194">
        <w:t xml:space="preserve"> </w:t>
      </w:r>
    </w:p>
    <w:p w14:paraId="2B684ADD" w14:textId="77777777" w:rsidR="00C44D65" w:rsidRPr="001158EB" w:rsidRDefault="00C44D65" w:rsidP="00C44D65">
      <w:pPr>
        <w:pStyle w:val="Heading3"/>
        <w:rPr>
          <w:rFonts w:ascii="Calibri" w:hAnsi="Calibri"/>
          <w:color w:val="auto"/>
          <w:szCs w:val="26"/>
        </w:rPr>
      </w:pPr>
      <w:r w:rsidRPr="001158EB">
        <w:rPr>
          <w:rFonts w:ascii="Calibri" w:hAnsi="Calibri"/>
          <w:color w:val="auto"/>
          <w:szCs w:val="26"/>
        </w:rPr>
        <w:t xml:space="preserve">Multiple Consultations </w:t>
      </w:r>
    </w:p>
    <w:p w14:paraId="5B0CDC85" w14:textId="77777777" w:rsidR="00C44D65" w:rsidRPr="006D309B" w:rsidRDefault="00C44D65" w:rsidP="00C44D65">
      <w:pPr>
        <w:spacing w:line="320" w:lineRule="exact"/>
        <w:rPr>
          <w:rFonts w:cs="Calibri"/>
          <w:szCs w:val="24"/>
        </w:rPr>
      </w:pPr>
      <w:bookmarkStart w:id="87" w:name="_Hlk57899045"/>
      <w:r w:rsidRPr="006D309B">
        <w:rPr>
          <w:rFonts w:cs="Calibri"/>
          <w:szCs w:val="24"/>
        </w:rPr>
        <w:t xml:space="preserve">Multiple consultations for the same patient with the same Specialist/Consultant Physician can be billed on the same day if they are distinct services with a reasonable lapse of time between each attendance. </w:t>
      </w:r>
    </w:p>
    <w:p w14:paraId="1774CB29" w14:textId="77777777" w:rsidR="00C44D65" w:rsidRPr="006D309B" w:rsidRDefault="00C44D65" w:rsidP="00C44D65">
      <w:pPr>
        <w:spacing w:line="320" w:lineRule="exact"/>
        <w:rPr>
          <w:rFonts w:cs="Calibri"/>
          <w:szCs w:val="24"/>
        </w:rPr>
      </w:pPr>
      <w:r w:rsidRPr="006D309B">
        <w:rPr>
          <w:rFonts w:cs="Calibri"/>
          <w:szCs w:val="24"/>
        </w:rPr>
        <w:t xml:space="preserve">Separate attendances must be recorded as such in DHR. </w:t>
      </w:r>
    </w:p>
    <w:p w14:paraId="76A2AC7F" w14:textId="77777777" w:rsidR="00C44D65" w:rsidRPr="006D309B" w:rsidRDefault="00C44D65" w:rsidP="00C44D65">
      <w:pPr>
        <w:spacing w:line="320" w:lineRule="exact"/>
        <w:rPr>
          <w:rFonts w:cs="Calibri"/>
          <w:szCs w:val="24"/>
        </w:rPr>
      </w:pPr>
      <w:r w:rsidRPr="006D309B">
        <w:rPr>
          <w:rFonts w:cs="Calibri"/>
          <w:szCs w:val="24"/>
        </w:rPr>
        <w:t xml:space="preserve">A patient can attend appointments with different Specialists/Consultant Physicians for different conditions on the same day. </w:t>
      </w:r>
    </w:p>
    <w:p w14:paraId="59C084B6" w14:textId="77777777" w:rsidR="00C44D65" w:rsidRPr="001158EB" w:rsidRDefault="00C44D65" w:rsidP="00C44D65">
      <w:pPr>
        <w:pStyle w:val="Heading3"/>
        <w:rPr>
          <w:rFonts w:ascii="Calibri" w:hAnsi="Calibri"/>
          <w:color w:val="auto"/>
          <w:szCs w:val="26"/>
        </w:rPr>
      </w:pPr>
      <w:r w:rsidRPr="001158EB">
        <w:rPr>
          <w:rFonts w:ascii="Calibri" w:hAnsi="Calibri"/>
          <w:color w:val="auto"/>
          <w:szCs w:val="26"/>
        </w:rPr>
        <w:t xml:space="preserve">Consultation and Procedures: </w:t>
      </w:r>
    </w:p>
    <w:p w14:paraId="49B02EA1" w14:textId="77777777" w:rsidR="00C44D65" w:rsidRPr="006D309B" w:rsidRDefault="00C44D65" w:rsidP="00C44D65">
      <w:pPr>
        <w:rPr>
          <w:rFonts w:cs="Calibri"/>
          <w:szCs w:val="24"/>
        </w:rPr>
      </w:pPr>
      <w:r w:rsidRPr="006D309B">
        <w:rPr>
          <w:rFonts w:cs="Calibri"/>
          <w:szCs w:val="24"/>
        </w:rPr>
        <w:t>During an occasion of service, where a consultation and another medical service (such as a procedure or imaging service) are provided at the same time both can be billed, except for the following:</w:t>
      </w:r>
    </w:p>
    <w:p w14:paraId="06F9C1A4" w14:textId="77777777" w:rsidR="00C44D65" w:rsidRPr="006D309B" w:rsidRDefault="00C44D65" w:rsidP="00C44D65">
      <w:pPr>
        <w:pStyle w:val="ListBullet"/>
        <w:ind w:left="1080" w:hanging="360"/>
      </w:pPr>
      <w:r w:rsidRPr="006D309B">
        <w:t>anaesthetics items 17609 - 17690,</w:t>
      </w:r>
    </w:p>
    <w:p w14:paraId="36865A50" w14:textId="77777777" w:rsidR="00C44D65" w:rsidRPr="006D309B" w:rsidRDefault="00C44D65" w:rsidP="00C44D65">
      <w:pPr>
        <w:pStyle w:val="ListBullet"/>
        <w:ind w:left="1080" w:hanging="360"/>
      </w:pPr>
      <w:r w:rsidRPr="006D309B">
        <w:t>assistance at and Operation items 51300 - 51318</w:t>
      </w:r>
    </w:p>
    <w:p w14:paraId="5B438F92" w14:textId="77777777" w:rsidR="00C44D65" w:rsidRPr="001158EB" w:rsidRDefault="00C44D65" w:rsidP="00C44D65">
      <w:pPr>
        <w:pStyle w:val="ListBullet"/>
        <w:ind w:left="1080" w:hanging="360"/>
        <w:rPr>
          <w:lang w:val="x-none"/>
        </w:rPr>
      </w:pPr>
      <w:r w:rsidRPr="006D309B">
        <w:rPr>
          <w:lang w:val="x-none"/>
        </w:rPr>
        <w:t>any other item that states, “each attendance”, “attendance at which” or “including associated attendances/consultations” in its description</w:t>
      </w:r>
      <w:r>
        <w:t>.</w:t>
      </w:r>
    </w:p>
    <w:p w14:paraId="49E7AC14" w14:textId="77777777" w:rsidR="00C44D65" w:rsidRPr="006D309B" w:rsidRDefault="00C44D65" w:rsidP="00C44D65">
      <w:pPr>
        <w:pStyle w:val="ListBullet"/>
        <w:numPr>
          <w:ilvl w:val="0"/>
          <w:numId w:val="0"/>
        </w:numPr>
        <w:ind w:left="426"/>
        <w:rPr>
          <w:lang w:val="x-none"/>
        </w:rPr>
      </w:pPr>
      <w:r w:rsidRPr="006D309B">
        <w:rPr>
          <w:lang w:val="x-none"/>
        </w:rPr>
        <w:t xml:space="preserve"> </w:t>
      </w:r>
    </w:p>
    <w:p w14:paraId="31604229" w14:textId="7AC1F082" w:rsidR="00C44D65" w:rsidRPr="001158EB" w:rsidRDefault="00C44D65" w:rsidP="00C44D65">
      <w:pPr>
        <w:pBdr>
          <w:top w:val="single" w:sz="4" w:space="1" w:color="auto"/>
          <w:left w:val="single" w:sz="4" w:space="4" w:color="auto"/>
          <w:bottom w:val="single" w:sz="4" w:space="1" w:color="auto"/>
          <w:right w:val="single" w:sz="4" w:space="4" w:color="auto"/>
        </w:pBdr>
      </w:pPr>
      <w:r w:rsidRPr="00DA3DBE">
        <w:rPr>
          <w:b/>
          <w:bCs/>
          <w:szCs w:val="24"/>
        </w:rPr>
        <w:t>Note:</w:t>
      </w:r>
      <w:r w:rsidRPr="001158EB">
        <w:rPr>
          <w:szCs w:val="24"/>
        </w:rPr>
        <w:t xml:space="preserve"> Individual MBS item descriptors should be checked via </w:t>
      </w:r>
      <w:hyperlink r:id="rId40" w:history="1">
        <w:r w:rsidRPr="001158EB">
          <w:rPr>
            <w:rStyle w:val="Hyperlink"/>
            <w:szCs w:val="24"/>
            <w14:textFill>
              <w14:solidFill>
                <w14:srgbClr w14:val="0000FF">
                  <w14:lumMod w14:val="75000"/>
                </w14:srgbClr>
              </w14:solidFill>
            </w14:textFill>
          </w:rPr>
          <w:t>MBS Online</w:t>
        </w:r>
      </w:hyperlink>
      <w:r w:rsidRPr="001158EB">
        <w:rPr>
          <w:color w:val="76923C" w:themeColor="accent3" w:themeShade="BF"/>
          <w:szCs w:val="24"/>
        </w:rPr>
        <w:t xml:space="preserve"> </w:t>
      </w:r>
      <w:r w:rsidRPr="001158EB">
        <w:rPr>
          <w:szCs w:val="24"/>
        </w:rPr>
        <w:t>or by contacting the Revenue Data team for further clarification.</w:t>
      </w:r>
    </w:p>
    <w:bookmarkEnd w:id="87"/>
    <w:p w14:paraId="54D6E421" w14:textId="77777777" w:rsidR="00C44D65" w:rsidRPr="001158EB" w:rsidRDefault="00C44D65" w:rsidP="00C44D65">
      <w:pPr>
        <w:pStyle w:val="Heading3"/>
        <w:rPr>
          <w:rFonts w:ascii="Calibri" w:hAnsi="Calibri"/>
          <w:color w:val="auto"/>
          <w:szCs w:val="26"/>
        </w:rPr>
      </w:pPr>
      <w:r w:rsidRPr="001158EB">
        <w:rPr>
          <w:rFonts w:ascii="Calibri" w:hAnsi="Calibri"/>
          <w:color w:val="auto"/>
          <w:szCs w:val="26"/>
        </w:rPr>
        <w:t>Consultations and Radiotherapy/Treatment verification items</w:t>
      </w:r>
    </w:p>
    <w:p w14:paraId="52FA9988" w14:textId="77777777" w:rsidR="00C44D65" w:rsidRPr="006D309B" w:rsidRDefault="00C44D65" w:rsidP="00C44D65">
      <w:pPr>
        <w:rPr>
          <w:szCs w:val="24"/>
        </w:rPr>
      </w:pPr>
      <w:r w:rsidRPr="006D309B">
        <w:rPr>
          <w:szCs w:val="24"/>
        </w:rPr>
        <w:t xml:space="preserve">Benefits for consultations provided on the same day as treatment and/or planning services are only payable where they are clinically relevant. A clinically relevant service is one that is generally accepted by treating Specialist as being necessary for the appropriate treatment of the patient. </w:t>
      </w:r>
    </w:p>
    <w:p w14:paraId="72E0E48C" w14:textId="77777777" w:rsidR="00C44D65" w:rsidRPr="006D309B" w:rsidRDefault="00C44D65" w:rsidP="00C44D65">
      <w:pPr>
        <w:rPr>
          <w:szCs w:val="24"/>
        </w:rPr>
      </w:pPr>
      <w:r w:rsidRPr="006D309B">
        <w:rPr>
          <w:szCs w:val="24"/>
        </w:rPr>
        <w:t xml:space="preserve">Treatment verification items (15700-15710) can be claimed once per attendance for radiotherapy but only where prescribed and reported by the Specialist. </w:t>
      </w:r>
    </w:p>
    <w:p w14:paraId="38ACCF83" w14:textId="77777777" w:rsidR="00C44D65" w:rsidRPr="001158EB" w:rsidRDefault="00C44D65" w:rsidP="00C44D65">
      <w:pPr>
        <w:pStyle w:val="Heading3"/>
        <w:rPr>
          <w:rFonts w:ascii="Calibri" w:hAnsi="Calibri"/>
          <w:color w:val="auto"/>
          <w:szCs w:val="26"/>
        </w:rPr>
      </w:pPr>
      <w:bookmarkStart w:id="88" w:name="_Toc2859014"/>
      <w:bookmarkStart w:id="89" w:name="_Toc135647197"/>
      <w:r w:rsidRPr="001158EB">
        <w:rPr>
          <w:rFonts w:ascii="Calibri" w:hAnsi="Calibri"/>
          <w:color w:val="auto"/>
          <w:szCs w:val="26"/>
        </w:rPr>
        <w:t>Multidisciplinary Team Meetings (MDTs)/ Case Conferences</w:t>
      </w:r>
      <w:bookmarkEnd w:id="88"/>
      <w:bookmarkEnd w:id="89"/>
    </w:p>
    <w:p w14:paraId="4CFB4BA7" w14:textId="699E28D7" w:rsidR="00C44D65" w:rsidRDefault="00C44D65" w:rsidP="00C44D65">
      <w:pPr>
        <w:rPr>
          <w:rFonts w:cs="Calibri"/>
          <w:szCs w:val="24"/>
        </w:rPr>
      </w:pPr>
      <w:bookmarkStart w:id="90" w:name="_Frequently_Asked_Questions"/>
      <w:bookmarkStart w:id="91" w:name="_Toc416247377"/>
      <w:bookmarkStart w:id="92" w:name="_Toc416689126"/>
      <w:bookmarkStart w:id="93" w:name="_Toc2859016"/>
      <w:bookmarkEnd w:id="90"/>
      <w:r w:rsidRPr="006D309B">
        <w:rPr>
          <w:rFonts w:cs="Calibri"/>
          <w:szCs w:val="24"/>
        </w:rPr>
        <w:t xml:space="preserve">A case conference or multidisciplinary team (MDT) meeting is when a patient, who suffers from a minimum of one medical condition and who also has complex needs requiring a combined team of multiple specialities, is discussed in detail. </w:t>
      </w:r>
      <w:r>
        <w:rPr>
          <w:rFonts w:cs="Calibri"/>
          <w:szCs w:val="24"/>
        </w:rPr>
        <w:t xml:space="preserve"> </w:t>
      </w:r>
      <w:r w:rsidRPr="006D309B">
        <w:rPr>
          <w:rFonts w:cs="Calibri"/>
          <w:szCs w:val="24"/>
        </w:rPr>
        <w:t xml:space="preserve">The patient’s medical condition must have been or will likely be present for at least 6 months or be terminal. </w:t>
      </w:r>
    </w:p>
    <w:p w14:paraId="52EB28D8" w14:textId="3BEBC28F" w:rsidR="00C44D65" w:rsidRDefault="002225FC" w:rsidP="00C44D65">
      <w:pPr>
        <w:rPr>
          <w:rFonts w:cs="Calibri"/>
          <w:szCs w:val="24"/>
        </w:rPr>
      </w:pPr>
      <w:r>
        <w:rPr>
          <w:rFonts w:cs="Calibri"/>
          <w:szCs w:val="24"/>
        </w:rPr>
        <w:t>MDTs are for patients in the community, a residential facility or due to be released from hospital back into the community.</w:t>
      </w:r>
    </w:p>
    <w:p w14:paraId="5F921205" w14:textId="28A166A2" w:rsidR="00C44D65" w:rsidRPr="006D309B" w:rsidRDefault="00C44D65" w:rsidP="00C44D65">
      <w:pPr>
        <w:rPr>
          <w:rFonts w:cs="Calibri"/>
          <w:szCs w:val="24"/>
        </w:rPr>
      </w:pPr>
      <w:r w:rsidRPr="006D309B">
        <w:rPr>
          <w:rFonts w:cs="Calibri"/>
          <w:szCs w:val="24"/>
        </w:rPr>
        <w:t xml:space="preserve">The chair (or leader) of the MDT should bill the organising and coordinating MBS item and all other eligible Staff Specialists/Consultant Physician should bill the participant MBS items.  </w:t>
      </w:r>
    </w:p>
    <w:p w14:paraId="01CA272E" w14:textId="77777777" w:rsidR="00C44D65" w:rsidRDefault="00C44D65" w:rsidP="00C44D65">
      <w:pPr>
        <w:rPr>
          <w:rFonts w:cs="Calibri"/>
          <w:szCs w:val="24"/>
        </w:rPr>
      </w:pPr>
      <w:r w:rsidRPr="006D309B">
        <w:rPr>
          <w:rFonts w:cs="Calibri"/>
          <w:szCs w:val="24"/>
        </w:rPr>
        <w:t>No more than 5 MDTs should be claimed per patient in a 12-month period, noting that Non-Eligible patients are not to be charged for MDTs.</w:t>
      </w:r>
    </w:p>
    <w:p w14:paraId="434DCFA0" w14:textId="77777777" w:rsidR="00C44D65" w:rsidRPr="006D309B" w:rsidRDefault="00C44D65" w:rsidP="00C44D65">
      <w:pPr>
        <w:rPr>
          <w:rFonts w:cs="Calibri"/>
          <w:szCs w:val="24"/>
        </w:rPr>
      </w:pPr>
    </w:p>
    <w:p w14:paraId="1B2304A5" w14:textId="77777777" w:rsidR="00C44D65" w:rsidRPr="001158EB" w:rsidRDefault="00C44D65" w:rsidP="00C44D65">
      <w:pPr>
        <w:pStyle w:val="Heading3"/>
        <w:rPr>
          <w:rFonts w:ascii="Calibri" w:hAnsi="Calibri"/>
          <w:color w:val="auto"/>
          <w:szCs w:val="26"/>
        </w:rPr>
      </w:pPr>
      <w:r w:rsidRPr="001158EB">
        <w:rPr>
          <w:rFonts w:ascii="Calibri" w:hAnsi="Calibri"/>
          <w:color w:val="auto"/>
          <w:szCs w:val="26"/>
        </w:rPr>
        <w:lastRenderedPageBreak/>
        <w:t xml:space="preserve">Referral Requirements:  </w:t>
      </w:r>
    </w:p>
    <w:p w14:paraId="2975FE6B" w14:textId="77777777" w:rsidR="00C44D65" w:rsidRPr="006D309B" w:rsidRDefault="00C44D65" w:rsidP="00C44D65">
      <w:pPr>
        <w:rPr>
          <w:rFonts w:cs="Calibri"/>
          <w:szCs w:val="24"/>
        </w:rPr>
      </w:pPr>
      <w:r w:rsidRPr="006D309B">
        <w:rPr>
          <w:rFonts w:cs="Calibri"/>
          <w:szCs w:val="24"/>
        </w:rPr>
        <w:t xml:space="preserve">A specific referral for an MDT is not required </w:t>
      </w:r>
      <w:r w:rsidRPr="006D309B">
        <w:rPr>
          <w:rFonts w:cs="Calibri"/>
          <w:b/>
          <w:szCs w:val="24"/>
        </w:rPr>
        <w:t>however</w:t>
      </w:r>
      <w:r w:rsidRPr="006D309B">
        <w:rPr>
          <w:rFonts w:cs="Calibri"/>
          <w:szCs w:val="24"/>
        </w:rPr>
        <w:t xml:space="preserve"> the patient must have either: </w:t>
      </w:r>
    </w:p>
    <w:p w14:paraId="2EAE057F" w14:textId="77777777" w:rsidR="00C44D65" w:rsidRPr="006D309B" w:rsidRDefault="00C44D65" w:rsidP="00C44D65">
      <w:pPr>
        <w:pStyle w:val="ListBullet"/>
        <w:ind w:left="1080" w:hanging="360"/>
      </w:pPr>
      <w:r w:rsidRPr="006D309B">
        <w:t>a valid referral to the billing doctor, or</w:t>
      </w:r>
    </w:p>
    <w:p w14:paraId="65159C92" w14:textId="77777777" w:rsidR="00C44D65" w:rsidRPr="006D309B" w:rsidRDefault="00C44D65" w:rsidP="00C44D65">
      <w:pPr>
        <w:pStyle w:val="ListBullet"/>
        <w:ind w:left="1080" w:hanging="360"/>
      </w:pPr>
      <w:r w:rsidRPr="006D309B">
        <w:t>have been previously billed (with a valid referral) by the billing doctor, or</w:t>
      </w:r>
    </w:p>
    <w:p w14:paraId="0924792A" w14:textId="77777777" w:rsidR="00C44D65" w:rsidRPr="006D309B" w:rsidRDefault="00C44D65" w:rsidP="00C44D65">
      <w:pPr>
        <w:pStyle w:val="ListBullet"/>
        <w:ind w:left="1080" w:hanging="360"/>
        <w:rPr>
          <w:lang w:val="x-none"/>
        </w:rPr>
      </w:pPr>
      <w:r w:rsidRPr="006D309B">
        <w:rPr>
          <w:lang w:val="x-none"/>
        </w:rPr>
        <w:t>have been admitted under the billing doctor as a private patient</w:t>
      </w:r>
      <w:r>
        <w:t>.</w:t>
      </w:r>
    </w:p>
    <w:p w14:paraId="5748F7DA" w14:textId="77777777" w:rsidR="00C44D65" w:rsidRPr="001158EB" w:rsidRDefault="00C44D65" w:rsidP="00C44D65">
      <w:pPr>
        <w:pStyle w:val="Heading3"/>
        <w:rPr>
          <w:rFonts w:ascii="Calibri" w:hAnsi="Calibri"/>
          <w:b w:val="0"/>
          <w:color w:val="auto"/>
          <w:szCs w:val="26"/>
        </w:rPr>
      </w:pPr>
      <w:r w:rsidRPr="001158EB">
        <w:rPr>
          <w:rFonts w:ascii="Calibri" w:hAnsi="Calibri"/>
          <w:color w:val="auto"/>
          <w:szCs w:val="26"/>
        </w:rPr>
        <w:t>Basic Guidelines for Organiser (chair or leader) of an MDT:</w:t>
      </w:r>
    </w:p>
    <w:p w14:paraId="25595DDC" w14:textId="77777777" w:rsidR="00C44D65" w:rsidRPr="006D309B" w:rsidRDefault="00C44D65" w:rsidP="00C44D65">
      <w:pPr>
        <w:pStyle w:val="ListBullet"/>
        <w:ind w:left="1080" w:hanging="360"/>
      </w:pPr>
      <w:r w:rsidRPr="006D309B">
        <w:t>arranged in advance</w:t>
      </w:r>
    </w:p>
    <w:p w14:paraId="70727778" w14:textId="77777777" w:rsidR="00C44D65" w:rsidRPr="006D309B" w:rsidRDefault="00C44D65" w:rsidP="00C44D65">
      <w:pPr>
        <w:pStyle w:val="ListBullet"/>
        <w:ind w:left="1080" w:hanging="360"/>
      </w:pPr>
      <w:r w:rsidRPr="006D309B">
        <w:t>explain what an MDT is and obtain consent from the patient (or patients agent/guardian)</w:t>
      </w:r>
    </w:p>
    <w:p w14:paraId="725E196C" w14:textId="77777777" w:rsidR="00C44D65" w:rsidRPr="006D309B" w:rsidRDefault="00C44D65" w:rsidP="00C44D65">
      <w:pPr>
        <w:pStyle w:val="ListBullet"/>
        <w:ind w:left="1080" w:hanging="360"/>
      </w:pPr>
      <w:r w:rsidRPr="006D309B">
        <w:t>minimum of 4 care providers present, either in person, by phone or video link, for the duration including the organiser</w:t>
      </w:r>
    </w:p>
    <w:p w14:paraId="1F02348E" w14:textId="77777777" w:rsidR="00C44D65" w:rsidRPr="006D309B" w:rsidRDefault="00C44D65" w:rsidP="00C44D65">
      <w:pPr>
        <w:pStyle w:val="ListBullet"/>
        <w:ind w:left="1080" w:hanging="360"/>
      </w:pPr>
      <w:r w:rsidRPr="006D309B">
        <w:t>record the MDT in the patients record including the following details:</w:t>
      </w:r>
    </w:p>
    <w:p w14:paraId="32A6E9DA" w14:textId="77777777" w:rsidR="00C44D65" w:rsidRPr="006D309B" w:rsidRDefault="00C44D65" w:rsidP="00C44D65">
      <w:pPr>
        <w:pStyle w:val="ListBullet"/>
        <w:tabs>
          <w:tab w:val="clear" w:pos="1080"/>
          <w:tab w:val="num" w:pos="1506"/>
        </w:tabs>
        <w:ind w:left="1506" w:hanging="360"/>
      </w:pPr>
      <w:r w:rsidRPr="006D309B">
        <w:t>participants</w:t>
      </w:r>
    </w:p>
    <w:p w14:paraId="486627DC" w14:textId="77777777" w:rsidR="00C44D65" w:rsidRPr="006D309B" w:rsidRDefault="00C44D65" w:rsidP="00C44D65">
      <w:pPr>
        <w:pStyle w:val="ListBullet"/>
        <w:tabs>
          <w:tab w:val="clear" w:pos="1080"/>
          <w:tab w:val="num" w:pos="1506"/>
        </w:tabs>
        <w:ind w:left="1506" w:hanging="360"/>
      </w:pPr>
      <w:r w:rsidRPr="006D309B">
        <w:t>date and begin and end times</w:t>
      </w:r>
    </w:p>
    <w:p w14:paraId="121410B2" w14:textId="14223378" w:rsidR="00C44D65" w:rsidRPr="006D309B" w:rsidRDefault="00C44D65" w:rsidP="00C44D65">
      <w:pPr>
        <w:pStyle w:val="ListBullet"/>
        <w:tabs>
          <w:tab w:val="clear" w:pos="1080"/>
          <w:tab w:val="num" w:pos="1506"/>
        </w:tabs>
        <w:ind w:left="1506" w:hanging="360"/>
      </w:pPr>
      <w:r w:rsidRPr="006D309B">
        <w:t>content</w:t>
      </w:r>
    </w:p>
    <w:p w14:paraId="26D1341D" w14:textId="77777777" w:rsidR="00C44D65" w:rsidRPr="006D309B" w:rsidRDefault="00C44D65" w:rsidP="00C44D65">
      <w:pPr>
        <w:pStyle w:val="ListBullet"/>
        <w:tabs>
          <w:tab w:val="clear" w:pos="1080"/>
          <w:tab w:val="num" w:pos="1506"/>
        </w:tabs>
        <w:ind w:left="1506" w:hanging="360"/>
      </w:pPr>
      <w:r w:rsidRPr="006D309B">
        <w:t>outcome</w:t>
      </w:r>
      <w:r>
        <w:t>.</w:t>
      </w:r>
    </w:p>
    <w:p w14:paraId="42C8FFE5" w14:textId="77777777" w:rsidR="00C44D65" w:rsidRPr="006D309B" w:rsidRDefault="00C44D65" w:rsidP="00C44D65">
      <w:pPr>
        <w:pStyle w:val="ListBullet"/>
        <w:ind w:left="1080" w:hanging="360"/>
      </w:pPr>
      <w:r w:rsidRPr="006D309B">
        <w:t>provide (or make available) a copy of the notes to participants and patients GP</w:t>
      </w:r>
    </w:p>
    <w:p w14:paraId="340DD958" w14:textId="77777777" w:rsidR="00C44D65" w:rsidRPr="006D309B" w:rsidRDefault="00C44D65" w:rsidP="00C44D65">
      <w:pPr>
        <w:pStyle w:val="ListBullet"/>
        <w:ind w:left="1080" w:hanging="360"/>
      </w:pPr>
      <w:r w:rsidRPr="006D309B">
        <w:t>discuss outcome/s with patient (or patient’s agent/guardian)</w:t>
      </w:r>
      <w:r>
        <w:t>.</w:t>
      </w:r>
    </w:p>
    <w:p w14:paraId="1257E70E" w14:textId="77777777" w:rsidR="00C44D65" w:rsidRPr="001158EB" w:rsidRDefault="00C44D65" w:rsidP="00C44D65">
      <w:pPr>
        <w:pStyle w:val="Heading3"/>
        <w:rPr>
          <w:rFonts w:ascii="Calibri" w:hAnsi="Calibri"/>
          <w:color w:val="auto"/>
          <w:szCs w:val="26"/>
        </w:rPr>
      </w:pPr>
      <w:r w:rsidRPr="001158EB">
        <w:rPr>
          <w:rFonts w:ascii="Calibri" w:hAnsi="Calibri"/>
          <w:color w:val="auto"/>
          <w:szCs w:val="26"/>
        </w:rPr>
        <w:t>Basic Guidelines for participants in an MDT:</w:t>
      </w:r>
    </w:p>
    <w:p w14:paraId="5147AEA5" w14:textId="77777777" w:rsidR="00C44D65" w:rsidRPr="006D309B" w:rsidRDefault="00C44D65" w:rsidP="00C44D65">
      <w:pPr>
        <w:pStyle w:val="ListBullet"/>
        <w:ind w:left="1080" w:hanging="360"/>
      </w:pPr>
      <w:r w:rsidRPr="006D309B">
        <w:t>recorded date/time MDT was held</w:t>
      </w:r>
    </w:p>
    <w:p w14:paraId="4603D060" w14:textId="77777777" w:rsidR="00C44D65" w:rsidRPr="00096207" w:rsidRDefault="00C44D65" w:rsidP="00C44D65">
      <w:pPr>
        <w:pStyle w:val="ListBullet"/>
        <w:ind w:left="1080" w:hanging="360"/>
        <w:rPr>
          <w:bCs/>
          <w:iCs/>
        </w:rPr>
      </w:pPr>
      <w:r w:rsidRPr="006D309B">
        <w:t>record content and outcomes related to their participation in patient’s notes</w:t>
      </w:r>
      <w:r>
        <w:t>.</w:t>
      </w:r>
    </w:p>
    <w:p w14:paraId="1B5DC3F3" w14:textId="77777777" w:rsidR="00C44D65" w:rsidRPr="006D309B" w:rsidRDefault="00C44D65" w:rsidP="00C44D65">
      <w:pPr>
        <w:pStyle w:val="ListBullet"/>
        <w:numPr>
          <w:ilvl w:val="0"/>
          <w:numId w:val="0"/>
        </w:numPr>
        <w:ind w:left="426"/>
      </w:pPr>
    </w:p>
    <w:p w14:paraId="7BF7FE59" w14:textId="7D3493D3" w:rsidR="00C44D65" w:rsidRPr="001158EB" w:rsidRDefault="00C44D65" w:rsidP="00C44D65">
      <w:pPr>
        <w:pBdr>
          <w:top w:val="single" w:sz="4" w:space="1" w:color="auto"/>
          <w:left w:val="single" w:sz="4" w:space="4" w:color="auto"/>
          <w:bottom w:val="single" w:sz="4" w:space="1" w:color="auto"/>
          <w:right w:val="single" w:sz="4" w:space="4" w:color="auto"/>
        </w:pBdr>
      </w:pPr>
      <w:r w:rsidRPr="00DA3DBE">
        <w:rPr>
          <w:b/>
          <w:bCs/>
          <w:szCs w:val="24"/>
        </w:rPr>
        <w:t xml:space="preserve">Note: </w:t>
      </w:r>
      <w:r w:rsidRPr="001158EB">
        <w:t xml:space="preserve">The patient is required to sign a DB4 for each staff specialist/consultant physician claiming for the MDT service to enable billing through Medicare/DVA.  This can be done at the same time the consent is obtained from the patient (or agent/guardian) or after the service is provided.  </w:t>
      </w:r>
    </w:p>
    <w:p w14:paraId="4823A301" w14:textId="0473433B" w:rsidR="00C44D65" w:rsidRPr="00B6702A" w:rsidRDefault="00DA3DBE" w:rsidP="00C44D65">
      <w:pPr>
        <w:pBdr>
          <w:top w:val="single" w:sz="4" w:space="1" w:color="auto"/>
          <w:left w:val="single" w:sz="4" w:space="4" w:color="auto"/>
          <w:bottom w:val="single" w:sz="4" w:space="1" w:color="auto"/>
          <w:right w:val="single" w:sz="4" w:space="4" w:color="auto"/>
        </w:pBdr>
        <w:rPr>
          <w:szCs w:val="24"/>
        </w:rPr>
      </w:pPr>
      <w:r>
        <w:rPr>
          <w:szCs w:val="24"/>
        </w:rPr>
        <w:t xml:space="preserve">Attachment 3 </w:t>
      </w:r>
      <w:r w:rsidR="00C44D65" w:rsidRPr="001158EB">
        <w:rPr>
          <w:szCs w:val="24"/>
        </w:rPr>
        <w:t>contains more comprehensive billing rules and MDT item numbers for billing.</w:t>
      </w:r>
      <w:bookmarkStart w:id="94" w:name="_Hlk57902232"/>
    </w:p>
    <w:p w14:paraId="1A312A51" w14:textId="77777777" w:rsidR="00C44D65" w:rsidRPr="00E44FE7" w:rsidRDefault="00C44D65" w:rsidP="00C44D65"/>
    <w:p w14:paraId="6B312DCE" w14:textId="77777777" w:rsidR="00C44D65" w:rsidRPr="007601D7" w:rsidRDefault="00C44D65" w:rsidP="00C44D65">
      <w:pPr>
        <w:pStyle w:val="Heading2"/>
      </w:pPr>
      <w:bookmarkStart w:id="95" w:name="_Toc135647198"/>
      <w:bookmarkStart w:id="96" w:name="_Toc167113118"/>
      <w:bookmarkEnd w:id="94"/>
      <w:r w:rsidRPr="007601D7">
        <w:t>Specialist Trainees</w:t>
      </w:r>
      <w:bookmarkEnd w:id="95"/>
      <w:bookmarkEnd w:id="96"/>
      <w:r w:rsidRPr="007601D7">
        <w:t xml:space="preserve"> </w:t>
      </w:r>
    </w:p>
    <w:p w14:paraId="58B72382" w14:textId="77777777" w:rsidR="00C44D65" w:rsidRPr="006D309B" w:rsidRDefault="00C44D65" w:rsidP="00C44D65">
      <w:pPr>
        <w:rPr>
          <w:szCs w:val="24"/>
        </w:rPr>
      </w:pPr>
      <w:r w:rsidRPr="006D309B">
        <w:rPr>
          <w:szCs w:val="24"/>
        </w:rPr>
        <w:t xml:space="preserve">Generally, Therapeutic Procedures listed in the MBS between 13015 to 51318 (excluding items listed below) performed by a Specialist trainee (medical practitioner undertaking an Australian Medical Council accredited Medical College Training Program) will still be eligible for billing purposes under the Staff Specialist/Consultant Physician’s name, </w:t>
      </w:r>
      <w:r w:rsidRPr="006D309B">
        <w:rPr>
          <w:szCs w:val="24"/>
          <w:u w:val="single"/>
        </w:rPr>
        <w:t>IF</w:t>
      </w:r>
      <w:r w:rsidRPr="006D309B">
        <w:rPr>
          <w:szCs w:val="24"/>
        </w:rPr>
        <w:t xml:space="preserve"> the Consultant has provided direct supervision – this means </w:t>
      </w:r>
      <w:r w:rsidRPr="006D309B">
        <w:rPr>
          <w:b/>
          <w:szCs w:val="24"/>
        </w:rPr>
        <w:t>personal</w:t>
      </w:r>
      <w:r w:rsidRPr="006D309B">
        <w:rPr>
          <w:szCs w:val="24"/>
        </w:rPr>
        <w:t xml:space="preserve"> and </w:t>
      </w:r>
      <w:r w:rsidRPr="006D309B">
        <w:rPr>
          <w:b/>
          <w:szCs w:val="24"/>
        </w:rPr>
        <w:t xml:space="preserve">continuous </w:t>
      </w:r>
      <w:r w:rsidRPr="006D309B">
        <w:rPr>
          <w:szCs w:val="24"/>
        </w:rPr>
        <w:t xml:space="preserve">attendance for the duration of the service. </w:t>
      </w:r>
    </w:p>
    <w:p w14:paraId="04DA0CD2" w14:textId="77777777" w:rsidR="00C44D65" w:rsidRPr="006D309B" w:rsidRDefault="00C44D65" w:rsidP="00C44D65">
      <w:pPr>
        <w:pStyle w:val="NoSpacing"/>
        <w:rPr>
          <w:rFonts w:eastAsia="Times New Roman" w:cs="Arial"/>
          <w:bCs/>
          <w:sz w:val="24"/>
          <w:szCs w:val="24"/>
        </w:rPr>
      </w:pPr>
      <w:r w:rsidRPr="006D309B">
        <w:rPr>
          <w:rFonts w:eastAsia="Times New Roman" w:cs="Arial"/>
          <w:bCs/>
          <w:sz w:val="24"/>
          <w:szCs w:val="24"/>
        </w:rPr>
        <w:t>Exceptions:</w:t>
      </w:r>
    </w:p>
    <w:p w14:paraId="3C2A788E" w14:textId="77777777" w:rsidR="00C44D65" w:rsidRPr="006D309B" w:rsidRDefault="00C44D65" w:rsidP="00C44D65">
      <w:pPr>
        <w:pStyle w:val="ListBullet"/>
        <w:ind w:left="1080" w:hanging="360"/>
        <w:rPr>
          <w:rFonts w:cs="Calibri"/>
        </w:rPr>
      </w:pPr>
      <w:r w:rsidRPr="006D309B">
        <w:rPr>
          <w:rFonts w:cs="Calibri"/>
        </w:rPr>
        <w:t>13209 - Assisted Reproduction Therapy planning and management</w:t>
      </w:r>
    </w:p>
    <w:p w14:paraId="445FB621" w14:textId="77777777" w:rsidR="00C44D65" w:rsidRPr="006D309B" w:rsidRDefault="00C44D65" w:rsidP="00C44D65">
      <w:pPr>
        <w:pStyle w:val="ListBullet"/>
        <w:ind w:left="1080" w:hanging="360"/>
        <w:rPr>
          <w:rFonts w:cs="Calibri"/>
        </w:rPr>
      </w:pPr>
      <w:r w:rsidRPr="006D309B">
        <w:rPr>
          <w:rFonts w:cs="Calibri"/>
        </w:rPr>
        <w:t>16400 to 16500 - Obstetrics and Gynaecology consultation items</w:t>
      </w:r>
    </w:p>
    <w:p w14:paraId="26DAE1F6" w14:textId="77777777" w:rsidR="00C44D65" w:rsidRPr="006D309B" w:rsidRDefault="00C44D65" w:rsidP="00C44D65">
      <w:pPr>
        <w:pStyle w:val="ListBullet"/>
        <w:ind w:left="1080" w:hanging="360"/>
        <w:rPr>
          <w:rFonts w:cs="Calibri"/>
        </w:rPr>
      </w:pPr>
      <w:r w:rsidRPr="006D309B">
        <w:rPr>
          <w:rFonts w:cs="Calibri"/>
        </w:rPr>
        <w:t>16590 &amp; 16591 -Planning and managements of pregnancy</w:t>
      </w:r>
    </w:p>
    <w:p w14:paraId="361B6945" w14:textId="77777777" w:rsidR="00C44D65" w:rsidRPr="006D309B" w:rsidRDefault="00C44D65" w:rsidP="00C44D65">
      <w:pPr>
        <w:pStyle w:val="ListBullet"/>
        <w:ind w:left="1080" w:hanging="360"/>
        <w:rPr>
          <w:rFonts w:cs="Calibri"/>
        </w:rPr>
      </w:pPr>
      <w:r w:rsidRPr="006D309B">
        <w:rPr>
          <w:rFonts w:cs="Calibri"/>
        </w:rPr>
        <w:t>17610 to 17690 - Pre anaesthetic consultations, and</w:t>
      </w:r>
    </w:p>
    <w:p w14:paraId="54A239CE" w14:textId="77777777" w:rsidR="00C44D65" w:rsidRPr="00102548" w:rsidRDefault="00C44D65" w:rsidP="00C44D65">
      <w:pPr>
        <w:pStyle w:val="ListBullet"/>
        <w:ind w:left="1080" w:hanging="360"/>
        <w:rPr>
          <w:bCs/>
          <w:iCs/>
        </w:rPr>
      </w:pPr>
      <w:r w:rsidRPr="006D309B">
        <w:t>18350 to 18373 - Botulinum Toxin injection</w:t>
      </w:r>
      <w:bookmarkEnd w:id="91"/>
      <w:bookmarkEnd w:id="92"/>
      <w:bookmarkEnd w:id="93"/>
      <w:r w:rsidRPr="006D309B">
        <w:t>s</w:t>
      </w:r>
      <w:r>
        <w:t>.</w:t>
      </w:r>
    </w:p>
    <w:p w14:paraId="6E908773" w14:textId="77777777" w:rsidR="00C44D65" w:rsidRPr="006D309B" w:rsidRDefault="00C44D65" w:rsidP="00C44D65">
      <w:pPr>
        <w:pStyle w:val="ListBullet"/>
        <w:numPr>
          <w:ilvl w:val="0"/>
          <w:numId w:val="0"/>
        </w:numPr>
        <w:ind w:left="426"/>
      </w:pPr>
    </w:p>
    <w:p w14:paraId="39A92B08" w14:textId="77777777" w:rsidR="00C44D65" w:rsidRPr="002354E5" w:rsidRDefault="00C44D65" w:rsidP="00C44D65">
      <w:pPr>
        <w:pStyle w:val="Heading2"/>
      </w:pPr>
      <w:bookmarkStart w:id="97" w:name="_Toc135647199"/>
      <w:bookmarkStart w:id="98" w:name="_Toc167113119"/>
      <w:r w:rsidRPr="004E4531">
        <w:lastRenderedPageBreak/>
        <w:t>Public health services for Medicare Non-Eligible Patients during the COVID-19 period.</w:t>
      </w:r>
      <w:bookmarkEnd w:id="97"/>
      <w:bookmarkEnd w:id="98"/>
    </w:p>
    <w:p w14:paraId="29E4AD3F" w14:textId="77777777" w:rsidR="00C44D65" w:rsidRPr="006D309B" w:rsidRDefault="00C44D65" w:rsidP="00C44D65">
      <w:pPr>
        <w:rPr>
          <w:szCs w:val="24"/>
        </w:rPr>
      </w:pPr>
      <w:r w:rsidRPr="006D309B">
        <w:rPr>
          <w:szCs w:val="24"/>
        </w:rPr>
        <w:t>When a Covid positive Non-Eligible patient presents to CHS for treatment of Covid or related to Covid their financial category should be ‘Non-Eligible COVID’ in DHR.</w:t>
      </w:r>
    </w:p>
    <w:p w14:paraId="44D70D79" w14:textId="77777777" w:rsidR="00C44D65" w:rsidRPr="006D309B" w:rsidRDefault="00C44D65" w:rsidP="00C44D65">
      <w:pPr>
        <w:rPr>
          <w:szCs w:val="24"/>
        </w:rPr>
      </w:pPr>
    </w:p>
    <w:p w14:paraId="092CAEA8" w14:textId="77777777" w:rsidR="00C44D65" w:rsidRPr="006D309B" w:rsidRDefault="00C44D65" w:rsidP="00C44D65">
      <w:pPr>
        <w:rPr>
          <w:szCs w:val="24"/>
        </w:rPr>
      </w:pPr>
      <w:r w:rsidRPr="006D309B">
        <w:rPr>
          <w:szCs w:val="24"/>
        </w:rPr>
        <w:t>No out-of-pocket fees will be charged to Medicare non-eligible patients for treatment for COVID-19 or public health services relating to COVID-19 during the COVID-19 period.</w:t>
      </w:r>
    </w:p>
    <w:p w14:paraId="12351264" w14:textId="77777777" w:rsidR="00C44D65" w:rsidRPr="006D309B" w:rsidRDefault="00C44D65" w:rsidP="00C44D65">
      <w:pPr>
        <w:rPr>
          <w:szCs w:val="24"/>
        </w:rPr>
      </w:pPr>
    </w:p>
    <w:p w14:paraId="190F3204" w14:textId="77777777" w:rsidR="00C44D65" w:rsidRPr="006D309B" w:rsidRDefault="00C44D65" w:rsidP="00C44D65">
      <w:pPr>
        <w:rPr>
          <w:szCs w:val="24"/>
        </w:rPr>
      </w:pPr>
      <w:r w:rsidRPr="006D309B">
        <w:rPr>
          <w:szCs w:val="24"/>
        </w:rPr>
        <w:t>Any services not relating to Covid treatment will still be charged as per the non-eligible criteria and rules.</w:t>
      </w:r>
    </w:p>
    <w:p w14:paraId="76FE72F4" w14:textId="77777777" w:rsidR="00C44D65" w:rsidRPr="002354E5" w:rsidRDefault="00C44D65" w:rsidP="00C44D65">
      <w:pPr>
        <w:rPr>
          <w:rFonts w:asciiTheme="majorHAnsi" w:hAnsiTheme="majorHAnsi"/>
          <w:szCs w:val="24"/>
        </w:rPr>
      </w:pPr>
    </w:p>
    <w:p w14:paraId="1A8D00FD" w14:textId="77777777" w:rsidR="00C44D65" w:rsidRDefault="00C44D65" w:rsidP="00C44D65">
      <w:pPr>
        <w:pStyle w:val="Heading2"/>
        <w:rPr>
          <w:rFonts w:asciiTheme="majorHAnsi" w:hAnsiTheme="majorHAnsi"/>
          <w:szCs w:val="24"/>
        </w:rPr>
      </w:pPr>
      <w:bookmarkStart w:id="99" w:name="_Toc167113120"/>
      <w:r w:rsidRPr="00E2355A">
        <w:rPr>
          <w:rFonts w:eastAsia="Times New Roman"/>
        </w:rPr>
        <w:t>MBS Specialist Telehealth Services</w:t>
      </w:r>
      <w:bookmarkEnd w:id="99"/>
      <w:r w:rsidRPr="008B0D40">
        <w:rPr>
          <w:rFonts w:asciiTheme="majorHAnsi" w:hAnsiTheme="majorHAnsi"/>
          <w:color w:val="1F497D" w:themeColor="text2"/>
          <w:sz w:val="48"/>
        </w:rPr>
        <w:t xml:space="preserve"> </w:t>
      </w:r>
    </w:p>
    <w:p w14:paraId="2E6BB79D" w14:textId="77777777" w:rsidR="00C44D65" w:rsidRPr="006D309B" w:rsidRDefault="00C44D65" w:rsidP="00C44D65">
      <w:pPr>
        <w:rPr>
          <w:szCs w:val="24"/>
        </w:rPr>
      </w:pPr>
      <w:r w:rsidRPr="006D309B">
        <w:rPr>
          <w:szCs w:val="24"/>
        </w:rPr>
        <w:t>From </w:t>
      </w:r>
      <w:r w:rsidRPr="006D309B">
        <w:rPr>
          <w:b/>
          <w:bCs/>
          <w:szCs w:val="24"/>
        </w:rPr>
        <w:t>1 July 2022</w:t>
      </w:r>
      <w:r w:rsidRPr="006D309B">
        <w:rPr>
          <w:szCs w:val="24"/>
        </w:rPr>
        <w:t>, ongoing MBS telehealth arrangements remain in place and provide for a wide range of telephone and video services by qualified health practitioners and support safe and equitable telehealth services which are informed by the MBS Review Taskforce Principles. Previous temporary arrangements ceased on 30 June 2022.</w:t>
      </w:r>
      <w:r w:rsidRPr="006D309B">
        <w:rPr>
          <w:szCs w:val="24"/>
        </w:rPr>
        <w:br/>
      </w:r>
      <w:r w:rsidRPr="006D309B">
        <w:rPr>
          <w:szCs w:val="24"/>
        </w:rPr>
        <w:br/>
        <w:t>MBS telehealth items are available to GPs, Medical Practitioners, Specialists, Consultant Physicians, Nurse Practitioners, participating Midwives, Allied Health providers and Dental Practitioners in the practice of oral and maxillofacial surgery.</w:t>
      </w:r>
    </w:p>
    <w:p w14:paraId="756FC35F" w14:textId="77777777" w:rsidR="00C44D65" w:rsidRDefault="00C44D65" w:rsidP="00C44D65">
      <w:pPr>
        <w:rPr>
          <w:rFonts w:asciiTheme="majorHAnsi" w:hAnsiTheme="majorHAnsi"/>
          <w:szCs w:val="24"/>
        </w:rPr>
      </w:pPr>
    </w:p>
    <w:p w14:paraId="5BA6FC56" w14:textId="77777777" w:rsidR="00C44D65" w:rsidRPr="003000B5" w:rsidRDefault="00C44D65" w:rsidP="00C44D65">
      <w:pPr>
        <w:pStyle w:val="Heading2"/>
      </w:pPr>
      <w:bookmarkStart w:id="100" w:name="_Toc167113121"/>
      <w:r w:rsidRPr="6ECC2A20">
        <w:rPr>
          <w:rFonts w:eastAsia="Times New Roman"/>
        </w:rPr>
        <w:t>What is the ‘30/20 rule'?</w:t>
      </w:r>
      <w:bookmarkEnd w:id="100"/>
    </w:p>
    <w:p w14:paraId="302B4D94" w14:textId="77777777" w:rsidR="00C44D65" w:rsidRPr="006D309B" w:rsidRDefault="00C44D65" w:rsidP="00C44D65">
      <w:pPr>
        <w:rPr>
          <w:szCs w:val="24"/>
        </w:rPr>
      </w:pPr>
      <w:r w:rsidRPr="006D309B">
        <w:rPr>
          <w:szCs w:val="24"/>
        </w:rPr>
        <w:t>From 1 July 2022, a new prescribed pattern of service (a ‘30/20 rule’) was applied to telephone attendances provided by Consultant Physicians and GPs.</w:t>
      </w:r>
    </w:p>
    <w:p w14:paraId="084BF48B" w14:textId="77777777" w:rsidR="00C44D65" w:rsidRPr="006D309B" w:rsidRDefault="00C44D65" w:rsidP="00C44D65">
      <w:pPr>
        <w:rPr>
          <w:szCs w:val="24"/>
        </w:rPr>
      </w:pPr>
    </w:p>
    <w:p w14:paraId="64F140CD" w14:textId="594C9AEE" w:rsidR="00C44D65" w:rsidRPr="006D309B" w:rsidRDefault="00C44D65" w:rsidP="00C44D65">
      <w:pPr>
        <w:rPr>
          <w:szCs w:val="24"/>
        </w:rPr>
      </w:pPr>
      <w:r w:rsidRPr="006D309B">
        <w:rPr>
          <w:szCs w:val="24"/>
        </w:rPr>
        <w:t>The 30/20 rule means that on 20 or more days, within 1 year, if the Doctor has conducted (and claimed) 30 or more phone consults they would be referred to the Professional Services Review</w:t>
      </w:r>
      <w:r w:rsidR="002225FC">
        <w:rPr>
          <w:szCs w:val="24"/>
        </w:rPr>
        <w:t xml:space="preserve"> (PSR)</w:t>
      </w:r>
      <w:r w:rsidRPr="006D309B">
        <w:rPr>
          <w:szCs w:val="24"/>
        </w:rPr>
        <w:t>.</w:t>
      </w:r>
    </w:p>
    <w:p w14:paraId="164FDD2E" w14:textId="77777777" w:rsidR="00C44D65" w:rsidRPr="006D309B" w:rsidRDefault="00C44D65" w:rsidP="00C44D65">
      <w:pPr>
        <w:rPr>
          <w:szCs w:val="24"/>
        </w:rPr>
      </w:pPr>
    </w:p>
    <w:p w14:paraId="10E4E5FC" w14:textId="77777777" w:rsidR="00C44D65" w:rsidRPr="006D309B" w:rsidRDefault="00C44D65" w:rsidP="00C44D65">
      <w:pPr>
        <w:rPr>
          <w:szCs w:val="24"/>
        </w:rPr>
      </w:pPr>
      <w:r w:rsidRPr="006D309B">
        <w:rPr>
          <w:szCs w:val="24"/>
        </w:rPr>
        <w:t>The PSR will only consider exceptional circumstances if a practitioner exceeds these numbers in the 30/20 rule. If a Specialist feels they could reach this number, then they should monitor and flag this with Revenue Data so we are able to keep a record of what the “exceptional circumstance” was leading to the requirements for so many phone consults as this information will be required for Medicare.</w:t>
      </w:r>
    </w:p>
    <w:p w14:paraId="02C9FC38" w14:textId="77777777" w:rsidR="000133B9" w:rsidRDefault="000133B9" w:rsidP="000133B9">
      <w:pPr>
        <w:rPr>
          <w:rFonts w:cs="Arial"/>
          <w:b/>
          <w:szCs w:val="24"/>
        </w:rPr>
      </w:pPr>
    </w:p>
    <w:p w14:paraId="19DD9B94" w14:textId="77777777" w:rsidR="000133B9" w:rsidRPr="00DA3910" w:rsidRDefault="00CD4A22" w:rsidP="000133B9">
      <w:pPr>
        <w:jc w:val="right"/>
        <w:rPr>
          <w:rFonts w:cs="Arial"/>
          <w:b/>
          <w:szCs w:val="24"/>
        </w:rPr>
      </w:pPr>
      <w:hyperlink w:anchor="Contents" w:history="1">
        <w:r w:rsidR="000133B9" w:rsidRPr="00C91F3F">
          <w:rPr>
            <w:rStyle w:val="Hyperlink"/>
            <w:rFonts w:eastAsiaTheme="majorEastAsia" w:cs="Arial"/>
            <w:i/>
            <w:szCs w:val="24"/>
          </w:rPr>
          <w:t>Back to Table of Contents</w:t>
        </w:r>
      </w:hyperlink>
      <w:r w:rsidR="000133B9">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0133B9" w:rsidRPr="00CD1C0E" w14:paraId="3838CDCA" w14:textId="77777777" w:rsidTr="00183C8B">
        <w:trPr>
          <w:cantSplit/>
          <w:trHeight w:val="285"/>
        </w:trPr>
        <w:tc>
          <w:tcPr>
            <w:tcW w:w="9158" w:type="dxa"/>
            <w:shd w:val="clear" w:color="auto" w:fill="D9D9D9" w:themeFill="background1" w:themeFillShade="D9"/>
          </w:tcPr>
          <w:p w14:paraId="65A64F30" w14:textId="3535ED27" w:rsidR="000133B9" w:rsidRPr="003D2D06" w:rsidRDefault="000133B9" w:rsidP="00183C8B">
            <w:pPr>
              <w:pStyle w:val="Heading1"/>
            </w:pPr>
            <w:bookmarkStart w:id="101" w:name="_Toc167113122"/>
            <w:r w:rsidRPr="003D2D06">
              <w:t xml:space="preserve">Section </w:t>
            </w:r>
            <w:r w:rsidR="002225FC">
              <w:t>5</w:t>
            </w:r>
            <w:r w:rsidRPr="003D2D06">
              <w:t xml:space="preserve"> – </w:t>
            </w:r>
            <w:r w:rsidR="002225FC">
              <w:t>Other Billed Non-Admitted Categories</w:t>
            </w:r>
            <w:bookmarkEnd w:id="101"/>
          </w:p>
        </w:tc>
      </w:tr>
    </w:tbl>
    <w:p w14:paraId="763B80B1" w14:textId="77777777" w:rsidR="000133B9" w:rsidRDefault="000133B9" w:rsidP="000133B9">
      <w:pPr>
        <w:pStyle w:val="Heading2"/>
      </w:pPr>
    </w:p>
    <w:p w14:paraId="2E30C192" w14:textId="77777777" w:rsidR="002225FC" w:rsidRPr="003E2D5C" w:rsidRDefault="002225FC" w:rsidP="002225FC">
      <w:pPr>
        <w:pStyle w:val="Heading2"/>
      </w:pPr>
      <w:bookmarkStart w:id="102" w:name="_Toc135647201"/>
      <w:bookmarkStart w:id="103" w:name="_Toc167113123"/>
      <w:r w:rsidRPr="003E2D5C">
        <w:t>Defence Personnel</w:t>
      </w:r>
      <w:bookmarkEnd w:id="102"/>
      <w:bookmarkEnd w:id="103"/>
      <w:r w:rsidRPr="003E2D5C">
        <w:t xml:space="preserve"> </w:t>
      </w:r>
    </w:p>
    <w:p w14:paraId="1F7EB9AF" w14:textId="77777777" w:rsidR="002225FC" w:rsidRPr="006D309B" w:rsidRDefault="002225FC" w:rsidP="002225FC">
      <w:pPr>
        <w:rPr>
          <w:szCs w:val="24"/>
        </w:rPr>
      </w:pPr>
      <w:r w:rsidRPr="006D309B">
        <w:rPr>
          <w:szCs w:val="24"/>
        </w:rPr>
        <w:t xml:space="preserve">For any person who is an active serving member of the Australian Defence Force, CHS services are funded by Department of Defence. </w:t>
      </w:r>
    </w:p>
    <w:p w14:paraId="5BA63887" w14:textId="77777777" w:rsidR="002225FC" w:rsidRPr="006D309B" w:rsidRDefault="002225FC" w:rsidP="002225FC">
      <w:pPr>
        <w:rPr>
          <w:szCs w:val="24"/>
        </w:rPr>
      </w:pPr>
      <w:r w:rsidRPr="006D309B">
        <w:rPr>
          <w:szCs w:val="24"/>
        </w:rPr>
        <w:t xml:space="preserve">Additional information for a defence patient should be recorded in the appropriate source system. This should include their Defence Approval Number (referred to as DAN) and their Entitled Personnel Employee ID (EP ID). </w:t>
      </w:r>
    </w:p>
    <w:p w14:paraId="12D3779A" w14:textId="77777777" w:rsidR="002225FC" w:rsidRPr="006D309B" w:rsidRDefault="002225FC" w:rsidP="002225FC">
      <w:pPr>
        <w:rPr>
          <w:szCs w:val="24"/>
        </w:rPr>
      </w:pPr>
      <w:bookmarkStart w:id="104" w:name="_Hlk57975511"/>
      <w:r w:rsidRPr="006D309B">
        <w:rPr>
          <w:szCs w:val="24"/>
        </w:rPr>
        <w:lastRenderedPageBreak/>
        <w:t xml:space="preserve">As revenue is captured from the Department of Defence and not Medicare/DVA, referral criteria and practitioner eligibility rules do not apply for billing purposes. The appropriate ad cat to use when billing for Defence Personnel is “Defence Shared”. </w:t>
      </w:r>
    </w:p>
    <w:p w14:paraId="559FF947" w14:textId="77777777" w:rsidR="002225FC" w:rsidRPr="006D309B" w:rsidRDefault="002225FC" w:rsidP="002225FC">
      <w:pPr>
        <w:rPr>
          <w:szCs w:val="24"/>
        </w:rPr>
      </w:pPr>
      <w:bookmarkStart w:id="105" w:name="_Hlk57975609"/>
      <w:bookmarkEnd w:id="104"/>
      <w:r w:rsidRPr="006D309B">
        <w:rPr>
          <w:szCs w:val="24"/>
        </w:rPr>
        <w:t xml:space="preserve">Billing should be captured for all Specialist/Consultant Physician occasions of services as well as registrar and nursing attendances – billing should not occur for VMOs. </w:t>
      </w:r>
    </w:p>
    <w:bookmarkEnd w:id="105"/>
    <w:p w14:paraId="752B0AAE" w14:textId="77777777" w:rsidR="002225FC" w:rsidRPr="006D309B" w:rsidRDefault="002225FC" w:rsidP="002225FC">
      <w:pPr>
        <w:rPr>
          <w:szCs w:val="24"/>
        </w:rPr>
      </w:pPr>
      <w:r w:rsidRPr="006D309B">
        <w:rPr>
          <w:szCs w:val="24"/>
        </w:rPr>
        <w:t>When billing for Specialists and Consultant Physicians ensure you are using the relevant MBS item/s. When billing for Registrar attendances you are required to use N</w:t>
      </w:r>
      <w:r w:rsidRPr="006D309B">
        <w:rPr>
          <w:rFonts w:cs="Calibri"/>
          <w:szCs w:val="24"/>
        </w:rPr>
        <w:t>on-MBS Billable (</w:t>
      </w:r>
      <w:hyperlink w:anchor="non_mbs_billable_items" w:history="1">
        <w:r w:rsidRPr="005C687F">
          <w:rPr>
            <w:rStyle w:val="Hyperlink"/>
            <w:szCs w:val="24"/>
            <w14:textFill>
              <w14:solidFill>
                <w14:srgbClr w14:val="0000FF">
                  <w14:lumMod w14:val="75000"/>
                </w14:srgbClr>
              </w14:solidFill>
            </w14:textFill>
          </w:rPr>
          <w:t>below</w:t>
        </w:r>
      </w:hyperlink>
      <w:r w:rsidRPr="006D309B">
        <w:rPr>
          <w:szCs w:val="24"/>
        </w:rPr>
        <w:t xml:space="preserve">). </w:t>
      </w:r>
    </w:p>
    <w:p w14:paraId="00D76F0D" w14:textId="39E568C3" w:rsidR="002225FC" w:rsidRPr="00B6702A" w:rsidRDefault="002225FC" w:rsidP="002225FC">
      <w:pPr>
        <w:rPr>
          <w:color w:val="76923C" w:themeColor="accent3" w:themeShade="BF"/>
          <w:szCs w:val="24"/>
        </w:rPr>
      </w:pPr>
      <w:bookmarkStart w:id="106" w:name="_Hlk57975987"/>
      <w:r w:rsidRPr="006D309B">
        <w:rPr>
          <w:szCs w:val="24"/>
        </w:rPr>
        <w:t>For each billable occasion of service, the Defence Personnel Billing Slip</w:t>
      </w:r>
      <w:r w:rsidR="00DA3DBE">
        <w:rPr>
          <w:szCs w:val="24"/>
        </w:rPr>
        <w:t xml:space="preserve"> in Attachment 4</w:t>
      </w:r>
      <w:r w:rsidRPr="006D309B">
        <w:rPr>
          <w:szCs w:val="24"/>
        </w:rPr>
        <w:t xml:space="preserve"> should be completed/signed and uploaded/recorded in DH</w:t>
      </w:r>
      <w:r w:rsidR="005471DF">
        <w:rPr>
          <w:szCs w:val="24"/>
        </w:rPr>
        <w:t>R.</w:t>
      </w:r>
      <w:r w:rsidR="005471DF" w:rsidRPr="00B620CF">
        <w:rPr>
          <w:color w:val="76923C" w:themeColor="accent3" w:themeShade="BF"/>
          <w:szCs w:val="24"/>
        </w:rPr>
        <w:t xml:space="preserve"> </w:t>
      </w:r>
      <w:bookmarkEnd w:id="106"/>
    </w:p>
    <w:p w14:paraId="63CBF9B9" w14:textId="77777777" w:rsidR="002225FC" w:rsidRDefault="002225FC" w:rsidP="002225FC">
      <w:bookmarkStart w:id="107" w:name="_Toc135647202"/>
      <w:bookmarkStart w:id="108" w:name="_Toc416246238"/>
      <w:bookmarkStart w:id="109" w:name="_Toc416247380"/>
      <w:bookmarkStart w:id="110" w:name="_Toc2859019"/>
    </w:p>
    <w:p w14:paraId="23380A4C" w14:textId="77777777" w:rsidR="002225FC" w:rsidRDefault="002225FC" w:rsidP="002225FC">
      <w:pPr>
        <w:pStyle w:val="Heading2"/>
      </w:pPr>
      <w:bookmarkStart w:id="111" w:name="_Toc167113124"/>
      <w:r w:rsidRPr="00B620CF">
        <w:t>Compensable Patient</w:t>
      </w:r>
      <w:bookmarkEnd w:id="107"/>
      <w:bookmarkEnd w:id="111"/>
      <w:r w:rsidRPr="00B620CF">
        <w:t xml:space="preserve"> </w:t>
      </w:r>
    </w:p>
    <w:p w14:paraId="37EFCD9E" w14:textId="77777777" w:rsidR="002225FC" w:rsidRPr="00A04C99" w:rsidRDefault="002225FC" w:rsidP="002225FC"/>
    <w:p w14:paraId="05AFEF3C" w14:textId="77777777" w:rsidR="002225FC" w:rsidRDefault="002225FC" w:rsidP="002225FC">
      <w:pPr>
        <w:pStyle w:val="Heading2"/>
      </w:pPr>
      <w:bookmarkStart w:id="112" w:name="_Toc167113125"/>
      <w:r w:rsidRPr="00B620CF">
        <w:t>Workers Compensation/Third Party/Public Liability Patient</w:t>
      </w:r>
      <w:bookmarkEnd w:id="108"/>
      <w:bookmarkEnd w:id="109"/>
      <w:bookmarkEnd w:id="110"/>
      <w:bookmarkEnd w:id="112"/>
      <w:r w:rsidRPr="00B620CF">
        <w:t xml:space="preserve"> </w:t>
      </w:r>
    </w:p>
    <w:p w14:paraId="49797330" w14:textId="77777777" w:rsidR="002225FC" w:rsidRPr="006D309B" w:rsidRDefault="002225FC" w:rsidP="002225FC">
      <w:pPr>
        <w:rPr>
          <w:rFonts w:cs="Calibri"/>
          <w:szCs w:val="24"/>
        </w:rPr>
      </w:pPr>
      <w:r w:rsidRPr="006D309B">
        <w:rPr>
          <w:rFonts w:cs="Calibri"/>
          <w:szCs w:val="24"/>
        </w:rPr>
        <w:t xml:space="preserve">A compensable patient is someone who may have a right to recover compensation or damages from another person or third-party including costs of services provided by CHS. These services can also be provided in respect of the injury, illness, or disease. </w:t>
      </w:r>
    </w:p>
    <w:p w14:paraId="5344E096" w14:textId="77777777" w:rsidR="002225FC" w:rsidRPr="006D309B" w:rsidRDefault="002225FC" w:rsidP="002225FC">
      <w:pPr>
        <w:rPr>
          <w:rFonts w:cs="Calibri"/>
          <w:szCs w:val="24"/>
        </w:rPr>
      </w:pPr>
      <w:r w:rsidRPr="006D309B">
        <w:rPr>
          <w:rFonts w:cs="Calibri"/>
          <w:szCs w:val="24"/>
        </w:rPr>
        <w:t xml:space="preserve">There are three main kinds of compensable </w:t>
      </w:r>
      <w:proofErr w:type="gramStart"/>
      <w:r w:rsidRPr="006D309B">
        <w:rPr>
          <w:rFonts w:cs="Calibri"/>
          <w:szCs w:val="24"/>
        </w:rPr>
        <w:t>patients:</w:t>
      </w:r>
      <w:r>
        <w:rPr>
          <w:rFonts w:cs="Calibri"/>
          <w:szCs w:val="24"/>
        </w:rPr>
        <w:t>,</w:t>
      </w:r>
      <w:proofErr w:type="gramEnd"/>
      <w:r>
        <w:rPr>
          <w:rFonts w:cs="Calibri"/>
          <w:szCs w:val="24"/>
        </w:rPr>
        <w:t xml:space="preserve"> which are also the ADCATs they are to be entered into DHR under:</w:t>
      </w:r>
    </w:p>
    <w:p w14:paraId="1468C6C4" w14:textId="77777777" w:rsidR="002225FC" w:rsidRPr="006D309B" w:rsidRDefault="002225FC" w:rsidP="002225FC">
      <w:pPr>
        <w:pStyle w:val="ListBullet"/>
        <w:ind w:left="1080" w:hanging="360"/>
      </w:pPr>
      <w:r w:rsidRPr="006D309B">
        <w:t>Workers Compensation</w:t>
      </w:r>
    </w:p>
    <w:p w14:paraId="129E12BD" w14:textId="77777777" w:rsidR="002225FC" w:rsidRPr="00A04C99" w:rsidRDefault="002225FC" w:rsidP="002225FC">
      <w:pPr>
        <w:pStyle w:val="ListBullet"/>
        <w:tabs>
          <w:tab w:val="clear" w:pos="1080"/>
          <w:tab w:val="num" w:pos="1506"/>
        </w:tabs>
        <w:ind w:left="1506" w:hanging="360"/>
        <w:rPr>
          <w:rFonts w:cs="Calibri"/>
        </w:rPr>
      </w:pPr>
      <w:r w:rsidRPr="00A04C99">
        <w:t>Whereby an employer must pay or provide insurance to pay medical expenses of an employee who is injured at work.</w:t>
      </w:r>
    </w:p>
    <w:p w14:paraId="5541A5B7" w14:textId="77777777" w:rsidR="002225FC" w:rsidRPr="006D309B" w:rsidRDefault="002225FC" w:rsidP="002225FC">
      <w:pPr>
        <w:pStyle w:val="ListBullet"/>
        <w:ind w:left="1080" w:hanging="360"/>
      </w:pPr>
      <w:r w:rsidRPr="006D309B">
        <w:t xml:space="preserve">Third Party </w:t>
      </w:r>
    </w:p>
    <w:p w14:paraId="527F3B24" w14:textId="77777777" w:rsidR="002225FC" w:rsidRPr="00A04C99" w:rsidRDefault="002225FC" w:rsidP="002225FC">
      <w:pPr>
        <w:pStyle w:val="ListBullet"/>
        <w:tabs>
          <w:tab w:val="clear" w:pos="1080"/>
          <w:tab w:val="num" w:pos="1506"/>
        </w:tabs>
        <w:ind w:left="1506" w:hanging="360"/>
        <w:rPr>
          <w:rFonts w:cs="Calibri"/>
        </w:rPr>
      </w:pPr>
      <w:r w:rsidRPr="00A04C99">
        <w:t>Compensation for a loss to a party other than the insured for which the insured is liable. Relates to Motor Vehicle accidents.</w:t>
      </w:r>
    </w:p>
    <w:p w14:paraId="760CAFDD" w14:textId="77777777" w:rsidR="002225FC" w:rsidRPr="006D309B" w:rsidRDefault="002225FC" w:rsidP="002225FC">
      <w:pPr>
        <w:pStyle w:val="ListBullet"/>
        <w:ind w:left="1080" w:hanging="360"/>
      </w:pPr>
      <w:r w:rsidRPr="006D309B">
        <w:t xml:space="preserve">Public Liability </w:t>
      </w:r>
    </w:p>
    <w:p w14:paraId="5FC39EAE" w14:textId="77777777" w:rsidR="002225FC" w:rsidRPr="00A04C99" w:rsidRDefault="002225FC" w:rsidP="002225FC">
      <w:pPr>
        <w:pStyle w:val="ListBullet"/>
        <w:tabs>
          <w:tab w:val="clear" w:pos="1080"/>
          <w:tab w:val="num" w:pos="1506"/>
        </w:tabs>
        <w:ind w:left="1506" w:hanging="360"/>
      </w:pPr>
      <w:r w:rsidRPr="00A04C99">
        <w:t>Protection for businesses and business owners against the financial risk of being found liable to a third party for death or injury, loss or damage of property or economic loss resulting from their negligence.</w:t>
      </w:r>
    </w:p>
    <w:p w14:paraId="6EAB5A8A" w14:textId="77777777" w:rsidR="002225FC" w:rsidRDefault="002225FC" w:rsidP="002225FC">
      <w:pPr>
        <w:rPr>
          <w:rFonts w:cs="Calibri"/>
          <w:szCs w:val="24"/>
        </w:rPr>
      </w:pPr>
      <w:bookmarkStart w:id="113" w:name="_Hlk57977088"/>
    </w:p>
    <w:p w14:paraId="3EBD5E76" w14:textId="77777777" w:rsidR="002225FC" w:rsidRPr="006D309B" w:rsidRDefault="002225FC" w:rsidP="002225FC">
      <w:pPr>
        <w:rPr>
          <w:rFonts w:cs="Calibri"/>
          <w:szCs w:val="24"/>
        </w:rPr>
      </w:pPr>
      <w:r w:rsidRPr="006D309B">
        <w:rPr>
          <w:rFonts w:cs="Calibri"/>
          <w:szCs w:val="24"/>
        </w:rPr>
        <w:t xml:space="preserve">As revenue is captured from a third-party provider and not Medicare/DVA, referral criteria and practitioner eligibility rules do not apply for billing purposes. The appropriate ad cat to use when billing for a compensable patient will be dependent on the type of claim they are making. </w:t>
      </w:r>
    </w:p>
    <w:p w14:paraId="01DDB84D" w14:textId="77777777" w:rsidR="002225FC" w:rsidRPr="006D309B" w:rsidRDefault="002225FC" w:rsidP="002225FC">
      <w:pPr>
        <w:rPr>
          <w:rFonts w:cs="Calibri"/>
          <w:szCs w:val="24"/>
        </w:rPr>
      </w:pPr>
      <w:r w:rsidRPr="006D309B">
        <w:rPr>
          <w:rFonts w:cs="Calibri"/>
          <w:szCs w:val="24"/>
        </w:rPr>
        <w:t xml:space="preserve">Billing should be captured for all Specialist/Consultant Physician occasions of services as well as Registrar, Nursing, and Allied Health attendances – billing should not occur for VMOs. </w:t>
      </w:r>
    </w:p>
    <w:bookmarkEnd w:id="113"/>
    <w:p w14:paraId="31F416E0" w14:textId="77777777" w:rsidR="002225FC" w:rsidRPr="006D309B" w:rsidRDefault="002225FC" w:rsidP="002225FC">
      <w:pPr>
        <w:rPr>
          <w:rFonts w:cs="Calibri"/>
          <w:szCs w:val="24"/>
        </w:rPr>
      </w:pPr>
      <w:r w:rsidRPr="006D309B">
        <w:rPr>
          <w:rFonts w:cs="Calibri"/>
          <w:szCs w:val="24"/>
        </w:rPr>
        <w:t>All attendances should be billed using the appropriate Non-MBS Billable Items (</w:t>
      </w:r>
      <w:hyperlink w:anchor="non_mbs_billable_items" w:history="1">
        <w:r w:rsidRPr="006D309B">
          <w:rPr>
            <w:rStyle w:val="Hyperlink"/>
            <w:rFonts w:cs="Calibri"/>
            <w:color w:val="auto"/>
            <w:szCs w:val="24"/>
          </w:rPr>
          <w:t>below</w:t>
        </w:r>
      </w:hyperlink>
      <w:r w:rsidRPr="006D309B">
        <w:rPr>
          <w:rFonts w:cs="Calibri"/>
          <w:szCs w:val="24"/>
        </w:rPr>
        <w:t xml:space="preserve">), or in the absence of a </w:t>
      </w:r>
      <w:proofErr w:type="gramStart"/>
      <w:r w:rsidRPr="006D309B">
        <w:rPr>
          <w:rFonts w:cs="Calibri"/>
          <w:szCs w:val="24"/>
        </w:rPr>
        <w:t>Non-MBS</w:t>
      </w:r>
      <w:proofErr w:type="gramEnd"/>
      <w:r w:rsidRPr="006D309B">
        <w:rPr>
          <w:rFonts w:cs="Calibri"/>
          <w:szCs w:val="24"/>
        </w:rPr>
        <w:t xml:space="preserve"> item, the appropriate MBS item. </w:t>
      </w:r>
    </w:p>
    <w:p w14:paraId="7C1E4BFE" w14:textId="77777777" w:rsidR="002225FC" w:rsidRPr="006D309B" w:rsidRDefault="002225FC" w:rsidP="002225FC">
      <w:pPr>
        <w:rPr>
          <w:rFonts w:cs="Calibri"/>
          <w:szCs w:val="24"/>
        </w:rPr>
      </w:pPr>
      <w:bookmarkStart w:id="114" w:name="_Hlk57977364"/>
      <w:r w:rsidRPr="006D309B">
        <w:rPr>
          <w:rFonts w:cs="Calibri"/>
          <w:szCs w:val="24"/>
        </w:rPr>
        <w:t xml:space="preserve">Revenue generated for a compensable patient is much higher than that of a Medicare/DVA patient. The fees for these services can be found in the </w:t>
      </w:r>
      <w:hyperlink r:id="rId41" w:history="1">
        <w:r w:rsidRPr="006D309B">
          <w:rPr>
            <w:rStyle w:val="Hyperlink"/>
            <w:rFonts w:cs="Calibri"/>
            <w:color w:val="auto"/>
            <w:szCs w:val="24"/>
          </w:rPr>
          <w:t>Health (fees) Determination</w:t>
        </w:r>
      </w:hyperlink>
      <w:r w:rsidRPr="006D309B">
        <w:rPr>
          <w:rFonts w:cs="Calibri"/>
          <w:szCs w:val="24"/>
        </w:rPr>
        <w:t xml:space="preserve">. </w:t>
      </w:r>
    </w:p>
    <w:p w14:paraId="5498EB12" w14:textId="2460C71B" w:rsidR="002225FC" w:rsidRPr="00B6702A" w:rsidRDefault="002225FC" w:rsidP="002225FC">
      <w:pPr>
        <w:rPr>
          <w:rFonts w:cs="Calibri"/>
          <w:szCs w:val="24"/>
        </w:rPr>
      </w:pPr>
      <w:r w:rsidRPr="006D309B">
        <w:rPr>
          <w:rFonts w:cs="Calibri"/>
          <w:szCs w:val="24"/>
        </w:rPr>
        <w:t xml:space="preserve">For each billed occasion of service, the Compensable Patient Billing Slip </w:t>
      </w:r>
      <w:r w:rsidR="00DA3DBE">
        <w:rPr>
          <w:rFonts w:cs="Calibri"/>
          <w:szCs w:val="24"/>
        </w:rPr>
        <w:t xml:space="preserve">in Attachment 5 </w:t>
      </w:r>
      <w:r w:rsidRPr="006D309B">
        <w:rPr>
          <w:rFonts w:cs="Calibri"/>
          <w:szCs w:val="24"/>
        </w:rPr>
        <w:t xml:space="preserve">should be completed, this will issue an invoice to the third party for payment. </w:t>
      </w:r>
      <w:bookmarkEnd w:id="114"/>
    </w:p>
    <w:p w14:paraId="097EEEE7" w14:textId="77777777" w:rsidR="002225FC" w:rsidRPr="006D309B" w:rsidRDefault="002225FC" w:rsidP="002225FC">
      <w:pPr>
        <w:rPr>
          <w:rFonts w:cs="Arial"/>
          <w:i/>
          <w:szCs w:val="24"/>
        </w:rPr>
      </w:pPr>
    </w:p>
    <w:p w14:paraId="3F8E69E5" w14:textId="717F1FA2" w:rsidR="002225FC" w:rsidRPr="001158EB" w:rsidRDefault="002225FC" w:rsidP="002225FC">
      <w:pPr>
        <w:pBdr>
          <w:top w:val="single" w:sz="4" w:space="1" w:color="auto"/>
          <w:left w:val="single" w:sz="4" w:space="4" w:color="auto"/>
          <w:bottom w:val="single" w:sz="4" w:space="1" w:color="auto"/>
          <w:right w:val="single" w:sz="4" w:space="4" w:color="auto"/>
        </w:pBdr>
        <w:rPr>
          <w:rFonts w:cs="Arial"/>
          <w:iCs/>
          <w:szCs w:val="24"/>
        </w:rPr>
      </w:pPr>
      <w:r w:rsidRPr="00DA3DBE">
        <w:rPr>
          <w:rFonts w:cs="Arial"/>
          <w:b/>
          <w:bCs/>
          <w:iCs/>
          <w:szCs w:val="24"/>
        </w:rPr>
        <w:lastRenderedPageBreak/>
        <w:t>Note:</w:t>
      </w:r>
      <w:r w:rsidRPr="001158EB">
        <w:rPr>
          <w:rFonts w:cs="Arial"/>
          <w:iCs/>
          <w:szCs w:val="24"/>
        </w:rPr>
        <w:t xml:space="preserve"> If a compensable patient chooses not to go ahead with a claim or the claim is not accepted, if the patient is Medicare eligible, services can be </w:t>
      </w:r>
      <w:proofErr w:type="gramStart"/>
      <w:r w:rsidRPr="001158EB">
        <w:rPr>
          <w:rFonts w:cs="Arial"/>
          <w:iCs/>
          <w:szCs w:val="24"/>
        </w:rPr>
        <w:t>reverted back</w:t>
      </w:r>
      <w:proofErr w:type="gramEnd"/>
      <w:r w:rsidRPr="001158EB">
        <w:rPr>
          <w:rFonts w:cs="Arial"/>
          <w:iCs/>
          <w:szCs w:val="24"/>
        </w:rPr>
        <w:t xml:space="preserve"> to public (ad cat Public), or bulk billed through Medicare where possible. </w:t>
      </w:r>
    </w:p>
    <w:p w14:paraId="55815606" w14:textId="77777777" w:rsidR="002225FC" w:rsidRDefault="002225FC" w:rsidP="002225FC">
      <w:bookmarkStart w:id="115" w:name="_Toc404852089"/>
      <w:bookmarkStart w:id="116" w:name="_Toc416246240"/>
      <w:bookmarkStart w:id="117" w:name="_Toc416247385"/>
      <w:bookmarkStart w:id="118" w:name="_Toc2859024"/>
      <w:bookmarkStart w:id="119" w:name="_Toc404852088"/>
      <w:bookmarkStart w:id="120" w:name="_Toc416246239"/>
      <w:bookmarkStart w:id="121" w:name="_Toc416247384"/>
      <w:bookmarkStart w:id="122" w:name="_Toc2859023"/>
    </w:p>
    <w:p w14:paraId="5DCE0A3B" w14:textId="77777777" w:rsidR="002225FC" w:rsidRPr="005C687F" w:rsidRDefault="002225FC" w:rsidP="002225FC">
      <w:pPr>
        <w:pStyle w:val="Heading2"/>
      </w:pPr>
      <w:bookmarkStart w:id="123" w:name="_Toc167113126"/>
      <w:r w:rsidRPr="005C687F">
        <w:t>Lifetime Care and Support Scheme (LCSS)</w:t>
      </w:r>
      <w:bookmarkEnd w:id="123"/>
      <w:r w:rsidRPr="005C687F">
        <w:t xml:space="preserve"> </w:t>
      </w:r>
      <w:bookmarkEnd w:id="115"/>
      <w:bookmarkEnd w:id="116"/>
      <w:bookmarkEnd w:id="117"/>
      <w:bookmarkEnd w:id="118"/>
    </w:p>
    <w:p w14:paraId="446B6268" w14:textId="77777777" w:rsidR="002225FC" w:rsidRPr="006D309B" w:rsidRDefault="002225FC" w:rsidP="002225FC">
      <w:pPr>
        <w:rPr>
          <w:szCs w:val="24"/>
        </w:rPr>
      </w:pPr>
      <w:r w:rsidRPr="006D309B">
        <w:rPr>
          <w:szCs w:val="24"/>
        </w:rPr>
        <w:t>Lifetime Care and Support Scheme is a no-fault insurance scheme, to ensure Canberrans who are catastrophically injured in a motor vehicle accident, can manage their ongoing care needs into the future.</w:t>
      </w:r>
    </w:p>
    <w:p w14:paraId="66AB1BFA" w14:textId="77777777" w:rsidR="002225FC" w:rsidRPr="006D309B" w:rsidRDefault="002225FC" w:rsidP="002225FC">
      <w:pPr>
        <w:rPr>
          <w:szCs w:val="24"/>
        </w:rPr>
      </w:pPr>
      <w:r w:rsidRPr="006D309B">
        <w:rPr>
          <w:szCs w:val="24"/>
        </w:rPr>
        <w:t xml:space="preserve">Under this scheme, which has previously not existed in the ACT, Canberran motorists needing lifetime care because of a catastrophic injury can access the scheme, which is targeted at providing long-term care and support. </w:t>
      </w:r>
      <w:r w:rsidRPr="006D309B">
        <w:rPr>
          <w:rFonts w:cs="Calibri"/>
          <w:szCs w:val="24"/>
        </w:rPr>
        <w:t xml:space="preserve">Patients will need to meet certain eligibility criteria to be accepted by the scheme. </w:t>
      </w:r>
    </w:p>
    <w:p w14:paraId="4D5D2AC0" w14:textId="77777777" w:rsidR="002225FC" w:rsidRPr="006D309B" w:rsidRDefault="002225FC" w:rsidP="002225FC">
      <w:pPr>
        <w:rPr>
          <w:rFonts w:cs="Calibri"/>
          <w:szCs w:val="24"/>
        </w:rPr>
      </w:pPr>
      <w:r w:rsidRPr="006D309B">
        <w:rPr>
          <w:rFonts w:cs="Calibri"/>
          <w:szCs w:val="24"/>
        </w:rPr>
        <w:t xml:space="preserve">As revenue is captured via the scheme and not from Medicare/DVA, referral criteria and practitioner eligibility rules do not apply for billing purposes. The appropriate ad cat to use when billing for a LCSS patient is “Lifetime Care &amp; Support Scheme”. </w:t>
      </w:r>
    </w:p>
    <w:p w14:paraId="0A3DD4EE" w14:textId="77777777" w:rsidR="002225FC" w:rsidRPr="006D309B" w:rsidRDefault="002225FC" w:rsidP="002225FC">
      <w:pPr>
        <w:rPr>
          <w:rFonts w:cs="Calibri"/>
          <w:szCs w:val="24"/>
        </w:rPr>
      </w:pPr>
      <w:r w:rsidRPr="006D309B">
        <w:rPr>
          <w:rFonts w:cs="Calibri"/>
          <w:szCs w:val="24"/>
        </w:rPr>
        <w:t xml:space="preserve">Billing should be captured for all Specialist/Consultant Physician occasions of services as well as Registrar, Nursing and Allied Health attendances – billing should not occur for VMOs. </w:t>
      </w:r>
    </w:p>
    <w:p w14:paraId="011E6563" w14:textId="77777777" w:rsidR="002225FC" w:rsidRDefault="002225FC" w:rsidP="002225FC">
      <w:pPr>
        <w:rPr>
          <w:rFonts w:cs="Calibri"/>
          <w:szCs w:val="24"/>
        </w:rPr>
      </w:pPr>
      <w:r w:rsidRPr="006D309B">
        <w:rPr>
          <w:rFonts w:cs="Calibri"/>
          <w:szCs w:val="24"/>
        </w:rPr>
        <w:t>All attendances should be billed using the appropriate Non-MBS Billable Items (</w:t>
      </w:r>
      <w:hyperlink w:anchor="non_mbs_billable_items" w:history="1">
        <w:r w:rsidRPr="00556CA9">
          <w:rPr>
            <w:rStyle w:val="Hyperlink"/>
            <w:rFonts w:cs="Calibri"/>
            <w:szCs w:val="24"/>
            <w14:textFill>
              <w14:solidFill>
                <w14:srgbClr w14:val="0000FF">
                  <w14:lumMod w14:val="75000"/>
                </w14:srgbClr>
              </w14:solidFill>
            </w14:textFill>
          </w:rPr>
          <w:t>below</w:t>
        </w:r>
      </w:hyperlink>
      <w:r w:rsidRPr="006D309B">
        <w:rPr>
          <w:rFonts w:cs="Calibri"/>
          <w:szCs w:val="24"/>
        </w:rPr>
        <w:t xml:space="preserve">), or in the absence of a </w:t>
      </w:r>
      <w:proofErr w:type="gramStart"/>
      <w:r w:rsidRPr="006D309B">
        <w:rPr>
          <w:rFonts w:cs="Calibri"/>
          <w:szCs w:val="24"/>
        </w:rPr>
        <w:t>Non-MBS</w:t>
      </w:r>
      <w:proofErr w:type="gramEnd"/>
      <w:r w:rsidRPr="006D309B">
        <w:rPr>
          <w:rFonts w:cs="Calibri"/>
          <w:szCs w:val="24"/>
        </w:rPr>
        <w:t xml:space="preserve"> item the appropriate MBS item. </w:t>
      </w:r>
    </w:p>
    <w:p w14:paraId="06243FEA" w14:textId="77777777" w:rsidR="002225FC" w:rsidRPr="006D309B" w:rsidRDefault="002225FC" w:rsidP="002225FC">
      <w:pPr>
        <w:rPr>
          <w:rFonts w:cs="Calibri"/>
        </w:rPr>
      </w:pPr>
    </w:p>
    <w:p w14:paraId="37B4A949" w14:textId="77777777" w:rsidR="002225FC" w:rsidRPr="00B620CF" w:rsidRDefault="002225FC" w:rsidP="002225FC">
      <w:pPr>
        <w:pStyle w:val="Heading2"/>
      </w:pPr>
      <w:bookmarkStart w:id="124" w:name="_Toc135647203"/>
      <w:bookmarkStart w:id="125" w:name="_Toc167113127"/>
      <w:bookmarkStart w:id="126" w:name="non_eligible"/>
      <w:r w:rsidRPr="00B620CF">
        <w:t>Medicare Non-Eligible/Ineligible</w:t>
      </w:r>
      <w:bookmarkEnd w:id="124"/>
      <w:bookmarkEnd w:id="125"/>
      <w:r w:rsidRPr="00B620CF">
        <w:t xml:space="preserve"> </w:t>
      </w:r>
      <w:bookmarkEnd w:id="119"/>
      <w:bookmarkEnd w:id="120"/>
      <w:bookmarkEnd w:id="121"/>
      <w:bookmarkEnd w:id="122"/>
    </w:p>
    <w:bookmarkEnd w:id="126"/>
    <w:p w14:paraId="28CF1A1D" w14:textId="77777777" w:rsidR="002225FC" w:rsidRPr="006D309B" w:rsidRDefault="002225FC" w:rsidP="002225FC">
      <w:pPr>
        <w:rPr>
          <w:szCs w:val="24"/>
        </w:rPr>
      </w:pPr>
      <w:r w:rsidRPr="006D309B">
        <w:rPr>
          <w:szCs w:val="24"/>
        </w:rPr>
        <w:t>A Medicare Non-Eligible or Ineligible patient is defined as persons who:</w:t>
      </w:r>
    </w:p>
    <w:p w14:paraId="2C2994CA" w14:textId="77777777" w:rsidR="002225FC" w:rsidRPr="006D309B" w:rsidRDefault="002225FC" w:rsidP="002225FC">
      <w:pPr>
        <w:pStyle w:val="ListBullet"/>
        <w:ind w:left="1080" w:hanging="360"/>
      </w:pPr>
      <w:r w:rsidRPr="006D309B">
        <w:t>are not an Australian citizen, or</w:t>
      </w:r>
    </w:p>
    <w:p w14:paraId="523DE372" w14:textId="77777777" w:rsidR="002225FC" w:rsidRDefault="002225FC" w:rsidP="002225FC">
      <w:pPr>
        <w:pStyle w:val="ListBullet"/>
        <w:ind w:left="1080" w:hanging="360"/>
      </w:pPr>
      <w:r w:rsidRPr="006D309B">
        <w:t>do not hold a current valid Medicare card.</w:t>
      </w:r>
    </w:p>
    <w:p w14:paraId="2B4B72FE" w14:textId="77777777" w:rsidR="002225FC" w:rsidRPr="006D309B" w:rsidRDefault="002225FC" w:rsidP="002225FC">
      <w:pPr>
        <w:pStyle w:val="ListBullet"/>
        <w:numPr>
          <w:ilvl w:val="0"/>
          <w:numId w:val="0"/>
        </w:numPr>
        <w:ind w:left="426"/>
      </w:pPr>
    </w:p>
    <w:p w14:paraId="0887474E" w14:textId="77777777" w:rsidR="002225FC" w:rsidRPr="006D309B" w:rsidRDefault="002225FC" w:rsidP="002225FC">
      <w:pPr>
        <w:rPr>
          <w:szCs w:val="24"/>
        </w:rPr>
      </w:pPr>
      <w:r w:rsidRPr="006D309B">
        <w:rPr>
          <w:szCs w:val="24"/>
        </w:rPr>
        <w:t xml:space="preserve">These patients are most likely overseas visitors, foreign embassy staff or international students and who are not covered by Reciprocal Health Care Agreements (information below).  </w:t>
      </w:r>
    </w:p>
    <w:p w14:paraId="48C72452" w14:textId="77777777" w:rsidR="002225FC" w:rsidRPr="006D309B" w:rsidRDefault="002225FC" w:rsidP="002225FC">
      <w:pPr>
        <w:rPr>
          <w:szCs w:val="24"/>
        </w:rPr>
      </w:pPr>
      <w:r w:rsidRPr="006D309B">
        <w:rPr>
          <w:szCs w:val="24"/>
        </w:rPr>
        <w:t xml:space="preserve">Non-eligible patients are not entitled to receive free public hospital/health care services and are therefore liable to meet the full costs of their health treatment. </w:t>
      </w:r>
    </w:p>
    <w:p w14:paraId="1AC94558" w14:textId="77777777" w:rsidR="002225FC" w:rsidRPr="006D309B" w:rsidRDefault="002225FC" w:rsidP="002225FC">
      <w:pPr>
        <w:rPr>
          <w:szCs w:val="24"/>
        </w:rPr>
      </w:pPr>
      <w:r w:rsidRPr="006D309B">
        <w:rPr>
          <w:szCs w:val="24"/>
        </w:rPr>
        <w:t xml:space="preserve">It is a requirement for an overseas visitor/student to have private health insurance before entering Australia. This is to ensure adequate safety measures in case of any required debt recovery actions or if the patient is not able to cover the full cost of treatment on their own. </w:t>
      </w:r>
    </w:p>
    <w:p w14:paraId="3675F57F" w14:textId="77777777" w:rsidR="002225FC" w:rsidRPr="006D309B" w:rsidRDefault="002225FC" w:rsidP="002225FC">
      <w:pPr>
        <w:rPr>
          <w:rFonts w:cs="Calibri"/>
          <w:szCs w:val="24"/>
        </w:rPr>
      </w:pPr>
      <w:r w:rsidRPr="006D309B">
        <w:rPr>
          <w:rFonts w:cs="Calibri"/>
          <w:szCs w:val="24"/>
        </w:rPr>
        <w:t xml:space="preserve">As revenue is captured from the patient or partially from the patients’ health fund not Medicare/DVA, referral criteria and practitioner eligibility rules do not apply for billing purposes. </w:t>
      </w:r>
    </w:p>
    <w:p w14:paraId="6657C946" w14:textId="14C55037" w:rsidR="002225FC" w:rsidRPr="006D309B" w:rsidRDefault="002225FC" w:rsidP="002225FC">
      <w:pPr>
        <w:rPr>
          <w:rFonts w:cs="Calibri"/>
          <w:szCs w:val="24"/>
        </w:rPr>
      </w:pPr>
      <w:r w:rsidRPr="006D309B">
        <w:rPr>
          <w:rFonts w:cs="Calibri"/>
          <w:szCs w:val="24"/>
        </w:rPr>
        <w:t>Billing should be captured for all Specialist/Consultant Physician occasions of services as well as VMO, Registrar, Nursing and Allied Health attendances (however not for services provided at CHS Walk in Centres). These attendances should be billed using the appropriate Non-MBS Billable Items (</w:t>
      </w:r>
      <w:r w:rsidRPr="00DA3DBE">
        <w:rPr>
          <w:rFonts w:cs="Calibri"/>
          <w:color w:val="000000"/>
          <w:szCs w:val="24"/>
          <w14:textFill>
            <w14:solidFill>
              <w14:srgbClr w14:val="000000">
                <w14:lumMod w14:val="75000"/>
              </w14:srgbClr>
            </w14:solidFill>
          </w14:textFill>
        </w:rPr>
        <w:t>below</w:t>
      </w:r>
      <w:r w:rsidRPr="006D309B">
        <w:rPr>
          <w:rFonts w:cs="Calibri"/>
          <w:szCs w:val="24"/>
        </w:rPr>
        <w:t xml:space="preserve">), or in the absence of a </w:t>
      </w:r>
      <w:proofErr w:type="gramStart"/>
      <w:r w:rsidRPr="006D309B">
        <w:rPr>
          <w:rFonts w:cs="Calibri"/>
          <w:szCs w:val="24"/>
        </w:rPr>
        <w:t>Non-MBS</w:t>
      </w:r>
      <w:proofErr w:type="gramEnd"/>
      <w:r w:rsidRPr="006D309B">
        <w:rPr>
          <w:rFonts w:cs="Calibri"/>
          <w:szCs w:val="24"/>
        </w:rPr>
        <w:t xml:space="preserve"> item, the relevant MBS item.</w:t>
      </w:r>
    </w:p>
    <w:p w14:paraId="50D16EDA" w14:textId="77777777" w:rsidR="002225FC" w:rsidRPr="00556CA9" w:rsidRDefault="002225FC" w:rsidP="002225FC">
      <w:pPr>
        <w:rPr>
          <w:rFonts w:cs="Calibri"/>
        </w:rPr>
      </w:pPr>
      <w:r w:rsidRPr="6ECC2A20">
        <w:rPr>
          <w:rFonts w:cs="Calibri"/>
        </w:rPr>
        <w:t xml:space="preserve">Revenue generated for a </w:t>
      </w:r>
      <w:proofErr w:type="gramStart"/>
      <w:r w:rsidRPr="6ECC2A20">
        <w:rPr>
          <w:rFonts w:cs="Calibri"/>
        </w:rPr>
        <w:t>Non-Eligible</w:t>
      </w:r>
      <w:proofErr w:type="gramEnd"/>
      <w:r w:rsidRPr="6ECC2A20">
        <w:rPr>
          <w:rFonts w:cs="Calibri"/>
        </w:rPr>
        <w:t xml:space="preserve"> patient are much higher than that of a Medicare/DVA patient. In some circumstances however, a </w:t>
      </w:r>
      <w:proofErr w:type="gramStart"/>
      <w:r w:rsidRPr="6ECC2A20">
        <w:rPr>
          <w:rFonts w:cs="Calibri"/>
        </w:rPr>
        <w:t>Non-Eligible</w:t>
      </w:r>
      <w:proofErr w:type="gramEnd"/>
      <w:r w:rsidRPr="6ECC2A20">
        <w:rPr>
          <w:rFonts w:cs="Calibri"/>
        </w:rPr>
        <w:t xml:space="preserve"> patient can be exempt from charges for services they are provided. These fees are listed in the </w:t>
      </w:r>
      <w:hyperlink r:id="rId42">
        <w:r w:rsidRPr="6ECC2A20">
          <w:rPr>
            <w:rStyle w:val="Hyperlink"/>
            <w:rFonts w:cs="Calibri"/>
          </w:rPr>
          <w:t>Health (Fees) Determination</w:t>
        </w:r>
      </w:hyperlink>
      <w:r w:rsidRPr="6ECC2A20">
        <w:rPr>
          <w:rFonts w:cs="Calibri"/>
        </w:rPr>
        <w:t xml:space="preserve">. </w:t>
      </w:r>
    </w:p>
    <w:p w14:paraId="0D9674AB" w14:textId="5DA78E0D" w:rsidR="002225FC" w:rsidRPr="006D309B" w:rsidRDefault="002225FC" w:rsidP="002225FC">
      <w:pPr>
        <w:rPr>
          <w:rFonts w:cs="Calibri"/>
          <w:szCs w:val="24"/>
        </w:rPr>
      </w:pPr>
      <w:bookmarkStart w:id="127" w:name="_Hlk57984505"/>
      <w:r w:rsidRPr="006D309B">
        <w:rPr>
          <w:rFonts w:cs="Calibri"/>
          <w:szCs w:val="24"/>
        </w:rPr>
        <w:t>The appropriate ad cat to use when billing for a Medicare Non-Eligible/Ineligible patient will be “</w:t>
      </w:r>
      <w:proofErr w:type="gramStart"/>
      <w:r w:rsidRPr="006D309B">
        <w:rPr>
          <w:rFonts w:cs="Calibri"/>
          <w:szCs w:val="24"/>
        </w:rPr>
        <w:t>Non-Eligible</w:t>
      </w:r>
      <w:proofErr w:type="gramEnd"/>
      <w:r w:rsidRPr="006D309B">
        <w:rPr>
          <w:rFonts w:cs="Calibri"/>
          <w:szCs w:val="24"/>
        </w:rPr>
        <w:t xml:space="preserve">”. </w:t>
      </w:r>
      <w:bookmarkStart w:id="128" w:name="_Hlk58919583"/>
      <w:bookmarkEnd w:id="127"/>
      <w:r w:rsidRPr="006D309B">
        <w:rPr>
          <w:rFonts w:cs="Calibri"/>
          <w:szCs w:val="24"/>
        </w:rPr>
        <w:t xml:space="preserve">For each billed occasion of service, the Non-Eligible Outpatient Form </w:t>
      </w:r>
      <w:r w:rsidR="00DA3DBE">
        <w:rPr>
          <w:rFonts w:cs="Calibri"/>
          <w:szCs w:val="24"/>
        </w:rPr>
        <w:t xml:space="preserve">at </w:t>
      </w:r>
      <w:r w:rsidR="00DA3DBE">
        <w:rPr>
          <w:rFonts w:cs="Calibri"/>
          <w:szCs w:val="24"/>
        </w:rPr>
        <w:lastRenderedPageBreak/>
        <w:t xml:space="preserve">Attachment 6 </w:t>
      </w:r>
      <w:r w:rsidRPr="006D309B">
        <w:rPr>
          <w:rFonts w:cs="Calibri"/>
          <w:szCs w:val="24"/>
        </w:rPr>
        <w:t xml:space="preserve">should be completed and signed.  This replaces the Non-Eligible Patient Billing Slip. </w:t>
      </w:r>
    </w:p>
    <w:p w14:paraId="600684EF" w14:textId="42D58D61" w:rsidR="002225FC" w:rsidRPr="00556CA9" w:rsidRDefault="002225FC" w:rsidP="002225FC">
      <w:pPr>
        <w:rPr>
          <w:rFonts w:cs="Calibri"/>
          <w:color w:val="76923C" w:themeColor="accent3" w:themeShade="BF"/>
          <w:szCs w:val="24"/>
        </w:rPr>
      </w:pPr>
      <w:r w:rsidRPr="006D309B">
        <w:rPr>
          <w:rFonts w:cs="Calibri"/>
          <w:szCs w:val="24"/>
        </w:rPr>
        <w:t>Non-Eligible patients need to be advised that they will receive an invoice for the services provided to them and to contact Patient Accounts on 6207 6131 (Option 2) if they have questions</w:t>
      </w:r>
      <w:r w:rsidR="002F464E">
        <w:rPr>
          <w:rFonts w:cs="Calibri"/>
          <w:szCs w:val="24"/>
        </w:rPr>
        <w:t>. T</w:t>
      </w:r>
      <w:r w:rsidRPr="006D309B">
        <w:rPr>
          <w:rFonts w:cs="Calibri"/>
          <w:szCs w:val="24"/>
        </w:rPr>
        <w:t>his should be done when the patient presents for their appointment to reception or over the phone when the patients appointment is confirmed. Non-Eligible patient fee sheets are available through Share Point on the intranet, patients will need to be advised that fees will change on July 1</w:t>
      </w:r>
      <w:r w:rsidRPr="006D309B">
        <w:rPr>
          <w:rFonts w:cs="Calibri"/>
          <w:szCs w:val="24"/>
          <w:vertAlign w:val="superscript"/>
        </w:rPr>
        <w:t>st</w:t>
      </w:r>
      <w:r w:rsidRPr="006D309B">
        <w:rPr>
          <w:rFonts w:cs="Calibri"/>
          <w:szCs w:val="24"/>
        </w:rPr>
        <w:t xml:space="preserve"> each year. CHS has long and short-term payment options available for patients experiencing financial hardship. </w:t>
      </w:r>
      <w:bookmarkEnd w:id="128"/>
    </w:p>
    <w:p w14:paraId="4DE7DDC1" w14:textId="77777777" w:rsidR="002225FC" w:rsidRPr="005C687F" w:rsidRDefault="002225FC" w:rsidP="002225FC">
      <w:pPr>
        <w:widowControl w:val="0"/>
        <w:ind w:hanging="142"/>
      </w:pPr>
    </w:p>
    <w:p w14:paraId="53332129" w14:textId="77777777" w:rsidR="002225FC" w:rsidRDefault="002225FC" w:rsidP="002225FC">
      <w:pPr>
        <w:pStyle w:val="Heading2"/>
      </w:pPr>
      <w:bookmarkStart w:id="129" w:name="_Toc135647204"/>
      <w:bookmarkStart w:id="130" w:name="_Toc167113128"/>
      <w:bookmarkStart w:id="131" w:name="non_mbs_billable_items"/>
      <w:r>
        <w:t>Non-MBS Billable Items</w:t>
      </w:r>
      <w:bookmarkEnd w:id="129"/>
      <w:bookmarkEnd w:id="130"/>
      <w:r>
        <w:t xml:space="preserve"> </w:t>
      </w:r>
    </w:p>
    <w:tbl>
      <w:tblPr>
        <w:tblW w:w="9872" w:type="dxa"/>
        <w:tblInd w:w="-465" w:type="dxa"/>
        <w:tblCellMar>
          <w:top w:w="28" w:type="dxa"/>
          <w:left w:w="57" w:type="dxa"/>
          <w:bottom w:w="28" w:type="dxa"/>
          <w:right w:w="57" w:type="dxa"/>
        </w:tblCellMar>
        <w:tblLook w:val="04A0" w:firstRow="1" w:lastRow="0" w:firstColumn="1" w:lastColumn="0" w:noHBand="0" w:noVBand="1"/>
      </w:tblPr>
      <w:tblGrid>
        <w:gridCol w:w="743"/>
        <w:gridCol w:w="5869"/>
        <w:gridCol w:w="3260"/>
      </w:tblGrid>
      <w:tr w:rsidR="002225FC" w:rsidRPr="006D309B" w14:paraId="3E6747A3" w14:textId="77777777" w:rsidTr="002225FC">
        <w:trPr>
          <w:trHeight w:val="51"/>
        </w:trPr>
        <w:tc>
          <w:tcPr>
            <w:tcW w:w="6612" w:type="dxa"/>
            <w:gridSpan w:val="2"/>
            <w:tcBorders>
              <w:top w:val="single" w:sz="4" w:space="0" w:color="00797C"/>
              <w:left w:val="single" w:sz="4" w:space="0" w:color="00797C"/>
              <w:bottom w:val="single" w:sz="4" w:space="0" w:color="00797C"/>
            </w:tcBorders>
            <w:shd w:val="clear" w:color="auto" w:fill="DAEEF3" w:themeFill="accent5" w:themeFillTint="33"/>
            <w:vAlign w:val="center"/>
          </w:tcPr>
          <w:p w14:paraId="6B8BF8E2" w14:textId="77777777" w:rsidR="002225FC" w:rsidRPr="006D309B" w:rsidRDefault="002225FC" w:rsidP="002225FC">
            <w:pPr>
              <w:spacing w:before="60" w:after="60"/>
              <w:rPr>
                <w:rFonts w:cs="Arial"/>
                <w:b/>
                <w:bCs/>
                <w:iCs/>
                <w:sz w:val="20"/>
                <w:lang w:val="en-US"/>
              </w:rPr>
            </w:pPr>
            <w:r w:rsidRPr="006D309B">
              <w:rPr>
                <w:rFonts w:cs="Arial"/>
                <w:b/>
                <w:bCs/>
                <w:iCs/>
                <w:sz w:val="20"/>
                <w:lang w:val="en-US"/>
              </w:rPr>
              <w:t xml:space="preserve">Non-MBS Billable Items </w:t>
            </w:r>
          </w:p>
        </w:tc>
        <w:tc>
          <w:tcPr>
            <w:tcW w:w="3260" w:type="dxa"/>
            <w:tcBorders>
              <w:top w:val="single" w:sz="4" w:space="0" w:color="00797C"/>
              <w:bottom w:val="single" w:sz="4" w:space="0" w:color="00797C"/>
              <w:right w:val="single" w:sz="4" w:space="0" w:color="00797C"/>
            </w:tcBorders>
            <w:shd w:val="clear" w:color="auto" w:fill="DAEEF3" w:themeFill="accent5" w:themeFillTint="33"/>
          </w:tcPr>
          <w:p w14:paraId="73D7F1E1" w14:textId="77777777" w:rsidR="002225FC" w:rsidRPr="006D309B" w:rsidRDefault="002225FC" w:rsidP="002225FC">
            <w:pPr>
              <w:spacing w:before="60" w:after="60"/>
              <w:rPr>
                <w:rFonts w:cs="Arial"/>
                <w:b/>
                <w:bCs/>
                <w:iCs/>
                <w:szCs w:val="24"/>
                <w:lang w:val="en-US"/>
              </w:rPr>
            </w:pPr>
          </w:p>
        </w:tc>
      </w:tr>
      <w:tr w:rsidR="002225FC" w:rsidRPr="006D309B" w14:paraId="39885F08" w14:textId="77777777" w:rsidTr="00183C8B">
        <w:trPr>
          <w:trHeight w:val="55"/>
        </w:trPr>
        <w:tc>
          <w:tcPr>
            <w:tcW w:w="9872" w:type="dxa"/>
            <w:gridSpan w:val="3"/>
            <w:tcBorders>
              <w:top w:val="single" w:sz="4" w:space="0" w:color="00797C"/>
              <w:left w:val="single" w:sz="4" w:space="0" w:color="81888A"/>
              <w:bottom w:val="single" w:sz="4" w:space="0" w:color="81888A"/>
              <w:right w:val="single" w:sz="4" w:space="0" w:color="81888A"/>
            </w:tcBorders>
            <w:vAlign w:val="center"/>
          </w:tcPr>
          <w:p w14:paraId="1B341EA5" w14:textId="77777777" w:rsidR="002225FC" w:rsidRPr="006D309B" w:rsidRDefault="002225FC" w:rsidP="00183C8B">
            <w:pPr>
              <w:spacing w:before="60" w:after="120"/>
              <w:rPr>
                <w:rFonts w:cs="Arial"/>
                <w:b/>
                <w:bCs/>
                <w:iCs/>
                <w:sz w:val="18"/>
                <w:szCs w:val="18"/>
                <w:lang w:val="en-US"/>
              </w:rPr>
            </w:pPr>
            <w:r w:rsidRPr="006D309B">
              <w:rPr>
                <w:rFonts w:cs="Arial"/>
                <w:b/>
                <w:bCs/>
                <w:iCs/>
                <w:sz w:val="18"/>
                <w:szCs w:val="18"/>
                <w:lang w:val="en-US"/>
              </w:rPr>
              <w:t xml:space="preserve">Items for </w:t>
            </w:r>
            <w:proofErr w:type="spellStart"/>
            <w:r w:rsidRPr="006D309B">
              <w:rPr>
                <w:rFonts w:cs="Arial"/>
                <w:b/>
                <w:bCs/>
                <w:iCs/>
                <w:sz w:val="18"/>
                <w:szCs w:val="18"/>
                <w:lang w:val="en-US"/>
              </w:rPr>
              <w:t>Defence</w:t>
            </w:r>
            <w:proofErr w:type="spellEnd"/>
            <w:r w:rsidRPr="006D309B">
              <w:rPr>
                <w:rFonts w:cs="Arial"/>
                <w:b/>
                <w:bCs/>
                <w:iCs/>
                <w:sz w:val="18"/>
                <w:szCs w:val="18"/>
                <w:lang w:val="en-US"/>
              </w:rPr>
              <w:t>, Compensable and Non-Eligible patients where an MBS item doesn’t apply</w:t>
            </w:r>
          </w:p>
        </w:tc>
      </w:tr>
      <w:tr w:rsidR="002225FC" w:rsidRPr="006D309B" w14:paraId="2072DC40" w14:textId="77777777" w:rsidTr="00183C8B">
        <w:trPr>
          <w:trHeight w:val="134"/>
        </w:trPr>
        <w:tc>
          <w:tcPr>
            <w:tcW w:w="743" w:type="dxa"/>
            <w:tcBorders>
              <w:top w:val="single" w:sz="4" w:space="0" w:color="81888A"/>
              <w:left w:val="single" w:sz="4" w:space="0" w:color="81888A"/>
              <w:bottom w:val="single" w:sz="4" w:space="0" w:color="81888A"/>
              <w:right w:val="single" w:sz="4" w:space="0" w:color="81888A"/>
            </w:tcBorders>
          </w:tcPr>
          <w:p w14:paraId="3FB28D7F" w14:textId="77777777" w:rsidR="002225FC" w:rsidRPr="006D309B" w:rsidRDefault="002225FC" w:rsidP="00183C8B">
            <w:pPr>
              <w:rPr>
                <w:rFonts w:cs="Arial"/>
                <w:b/>
                <w:bCs/>
                <w:iCs/>
                <w:sz w:val="18"/>
                <w:szCs w:val="18"/>
                <w:lang w:val="en-US"/>
              </w:rPr>
            </w:pPr>
            <w:r w:rsidRPr="006D309B">
              <w:rPr>
                <w:rFonts w:cs="Arial"/>
                <w:b/>
                <w:bCs/>
                <w:iCs/>
                <w:sz w:val="18"/>
                <w:szCs w:val="18"/>
                <w:lang w:val="en-US"/>
              </w:rPr>
              <w:t xml:space="preserve">Item </w:t>
            </w:r>
          </w:p>
        </w:tc>
        <w:tc>
          <w:tcPr>
            <w:tcW w:w="5869" w:type="dxa"/>
            <w:tcBorders>
              <w:top w:val="single" w:sz="4" w:space="0" w:color="81888A"/>
              <w:left w:val="single" w:sz="4" w:space="0" w:color="81888A"/>
              <w:bottom w:val="single" w:sz="4" w:space="0" w:color="81888A"/>
              <w:right w:val="single" w:sz="4" w:space="0" w:color="81888A"/>
            </w:tcBorders>
          </w:tcPr>
          <w:p w14:paraId="3FEB27F0" w14:textId="77777777" w:rsidR="002225FC" w:rsidRPr="006D309B" w:rsidRDefault="002225FC" w:rsidP="00183C8B">
            <w:pPr>
              <w:rPr>
                <w:rFonts w:cs="Arial"/>
                <w:b/>
                <w:bCs/>
                <w:iCs/>
                <w:sz w:val="18"/>
                <w:szCs w:val="18"/>
                <w:lang w:val="en-US"/>
              </w:rPr>
            </w:pPr>
            <w:r w:rsidRPr="006D309B">
              <w:rPr>
                <w:rFonts w:cs="Arial"/>
                <w:b/>
                <w:bCs/>
                <w:iCs/>
                <w:sz w:val="18"/>
                <w:szCs w:val="18"/>
                <w:lang w:val="en-US"/>
              </w:rPr>
              <w:t xml:space="preserve">Description </w:t>
            </w:r>
          </w:p>
        </w:tc>
        <w:tc>
          <w:tcPr>
            <w:tcW w:w="3260" w:type="dxa"/>
            <w:tcBorders>
              <w:top w:val="single" w:sz="4" w:space="0" w:color="81888A"/>
              <w:left w:val="single" w:sz="4" w:space="0" w:color="81888A"/>
              <w:bottom w:val="single" w:sz="4" w:space="0" w:color="81888A"/>
              <w:right w:val="single" w:sz="4" w:space="0" w:color="81888A"/>
            </w:tcBorders>
          </w:tcPr>
          <w:p w14:paraId="3B68041F" w14:textId="77777777" w:rsidR="002225FC" w:rsidRPr="006D309B" w:rsidRDefault="002225FC" w:rsidP="00183C8B">
            <w:pPr>
              <w:rPr>
                <w:rFonts w:cs="Arial"/>
                <w:b/>
                <w:bCs/>
                <w:iCs/>
                <w:sz w:val="18"/>
                <w:szCs w:val="18"/>
                <w:lang w:val="en-US"/>
              </w:rPr>
            </w:pPr>
            <w:r w:rsidRPr="006D309B">
              <w:rPr>
                <w:rFonts w:cs="Arial"/>
                <w:b/>
                <w:bCs/>
                <w:iCs/>
                <w:sz w:val="18"/>
                <w:szCs w:val="18"/>
                <w:lang w:val="en-US"/>
              </w:rPr>
              <w:t xml:space="preserve">Medical Practitioner </w:t>
            </w:r>
          </w:p>
        </w:tc>
      </w:tr>
      <w:tr w:rsidR="002225FC" w:rsidRPr="006D309B" w14:paraId="589BA561" w14:textId="77777777" w:rsidTr="00183C8B">
        <w:trPr>
          <w:trHeight w:val="29"/>
        </w:trPr>
        <w:tc>
          <w:tcPr>
            <w:tcW w:w="743" w:type="dxa"/>
            <w:tcBorders>
              <w:top w:val="single" w:sz="4" w:space="0" w:color="81888A"/>
              <w:left w:val="single" w:sz="4" w:space="0" w:color="81888A"/>
              <w:bottom w:val="single" w:sz="4" w:space="0" w:color="81888A"/>
              <w:right w:val="single" w:sz="4" w:space="0" w:color="81888A"/>
            </w:tcBorders>
            <w:shd w:val="clear" w:color="auto" w:fill="auto"/>
          </w:tcPr>
          <w:p w14:paraId="7178458F"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C1</w:t>
            </w:r>
          </w:p>
        </w:tc>
        <w:tc>
          <w:tcPr>
            <w:tcW w:w="5869" w:type="dxa"/>
            <w:tcBorders>
              <w:top w:val="single" w:sz="4" w:space="0" w:color="81888A"/>
              <w:left w:val="single" w:sz="4" w:space="0" w:color="81888A"/>
              <w:bottom w:val="single" w:sz="4" w:space="0" w:color="81888A"/>
              <w:right w:val="single" w:sz="4" w:space="0" w:color="81888A"/>
            </w:tcBorders>
            <w:shd w:val="clear" w:color="auto" w:fill="auto"/>
          </w:tcPr>
          <w:p w14:paraId="2E1175A3"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 xml:space="preserve">Initial Consultation  </w:t>
            </w:r>
          </w:p>
        </w:tc>
        <w:tc>
          <w:tcPr>
            <w:tcW w:w="3260" w:type="dxa"/>
            <w:tcBorders>
              <w:top w:val="single" w:sz="4" w:space="0" w:color="81888A"/>
              <w:left w:val="single" w:sz="4" w:space="0" w:color="81888A"/>
              <w:bottom w:val="single" w:sz="4" w:space="0" w:color="81888A"/>
              <w:right w:val="single" w:sz="4" w:space="0" w:color="81888A"/>
            </w:tcBorders>
            <w:shd w:val="clear" w:color="auto" w:fill="auto"/>
          </w:tcPr>
          <w:p w14:paraId="6EDABD43"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Specialist/Consultant Physician, Registrar, VMO</w:t>
            </w:r>
          </w:p>
        </w:tc>
      </w:tr>
      <w:tr w:rsidR="002225FC" w:rsidRPr="006D309B" w14:paraId="7D686FD7" w14:textId="77777777" w:rsidTr="00183C8B">
        <w:trPr>
          <w:trHeight w:val="29"/>
        </w:trPr>
        <w:tc>
          <w:tcPr>
            <w:tcW w:w="743" w:type="dxa"/>
            <w:tcBorders>
              <w:top w:val="single" w:sz="4" w:space="0" w:color="81888A"/>
              <w:left w:val="single" w:sz="4" w:space="0" w:color="81888A"/>
              <w:bottom w:val="single" w:sz="4" w:space="0" w:color="81888A"/>
              <w:right w:val="single" w:sz="4" w:space="0" w:color="81888A"/>
            </w:tcBorders>
            <w:shd w:val="clear" w:color="auto" w:fill="auto"/>
          </w:tcPr>
          <w:p w14:paraId="662465C2"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C2</w:t>
            </w:r>
          </w:p>
        </w:tc>
        <w:tc>
          <w:tcPr>
            <w:tcW w:w="5869" w:type="dxa"/>
            <w:tcBorders>
              <w:top w:val="single" w:sz="4" w:space="0" w:color="81888A"/>
              <w:left w:val="single" w:sz="4" w:space="0" w:color="81888A"/>
              <w:bottom w:val="single" w:sz="4" w:space="0" w:color="81888A"/>
              <w:right w:val="single" w:sz="4" w:space="0" w:color="81888A"/>
            </w:tcBorders>
            <w:shd w:val="clear" w:color="auto" w:fill="auto"/>
          </w:tcPr>
          <w:p w14:paraId="1D60B66B"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 xml:space="preserve">Follow-up Consultation </w:t>
            </w:r>
          </w:p>
        </w:tc>
        <w:tc>
          <w:tcPr>
            <w:tcW w:w="3260" w:type="dxa"/>
            <w:tcBorders>
              <w:top w:val="single" w:sz="4" w:space="0" w:color="81888A"/>
              <w:left w:val="single" w:sz="4" w:space="0" w:color="81888A"/>
              <w:bottom w:val="single" w:sz="4" w:space="0" w:color="81888A"/>
              <w:right w:val="single" w:sz="4" w:space="0" w:color="81888A"/>
            </w:tcBorders>
            <w:shd w:val="clear" w:color="auto" w:fill="auto"/>
          </w:tcPr>
          <w:p w14:paraId="2242F2C7"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Specialist/Consultant Physician, Registrar, VMO</w:t>
            </w:r>
          </w:p>
        </w:tc>
      </w:tr>
      <w:tr w:rsidR="002225FC" w:rsidRPr="006D309B" w14:paraId="4F9712CA" w14:textId="77777777" w:rsidTr="00183C8B">
        <w:trPr>
          <w:trHeight w:val="29"/>
        </w:trPr>
        <w:tc>
          <w:tcPr>
            <w:tcW w:w="743" w:type="dxa"/>
            <w:tcBorders>
              <w:top w:val="single" w:sz="4" w:space="0" w:color="81888A"/>
              <w:left w:val="single" w:sz="4" w:space="0" w:color="81888A"/>
              <w:bottom w:val="single" w:sz="4" w:space="0" w:color="81888A"/>
              <w:right w:val="single" w:sz="4" w:space="0" w:color="81888A"/>
            </w:tcBorders>
            <w:shd w:val="clear" w:color="auto" w:fill="auto"/>
          </w:tcPr>
          <w:p w14:paraId="2A978A1C"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NAH1</w:t>
            </w:r>
          </w:p>
        </w:tc>
        <w:tc>
          <w:tcPr>
            <w:tcW w:w="5869" w:type="dxa"/>
            <w:tcBorders>
              <w:top w:val="single" w:sz="4" w:space="0" w:color="81888A"/>
              <w:left w:val="single" w:sz="4" w:space="0" w:color="81888A"/>
              <w:bottom w:val="single" w:sz="4" w:space="0" w:color="81888A"/>
              <w:right w:val="single" w:sz="4" w:space="0" w:color="81888A"/>
            </w:tcBorders>
            <w:shd w:val="clear" w:color="auto" w:fill="auto"/>
          </w:tcPr>
          <w:p w14:paraId="129A2985"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Attendance 30 minutes or less</w:t>
            </w:r>
          </w:p>
        </w:tc>
        <w:tc>
          <w:tcPr>
            <w:tcW w:w="3260" w:type="dxa"/>
            <w:tcBorders>
              <w:top w:val="single" w:sz="4" w:space="0" w:color="81888A"/>
              <w:left w:val="single" w:sz="4" w:space="0" w:color="81888A"/>
              <w:bottom w:val="single" w:sz="4" w:space="0" w:color="81888A"/>
              <w:right w:val="single" w:sz="4" w:space="0" w:color="81888A"/>
            </w:tcBorders>
            <w:shd w:val="clear" w:color="auto" w:fill="auto"/>
          </w:tcPr>
          <w:p w14:paraId="3F378286"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Nursing/Midwifery/Allied Health Professional</w:t>
            </w:r>
          </w:p>
        </w:tc>
      </w:tr>
      <w:tr w:rsidR="002225FC" w:rsidRPr="006D309B" w14:paraId="34F8CD25" w14:textId="77777777" w:rsidTr="00183C8B">
        <w:trPr>
          <w:trHeight w:val="29"/>
        </w:trPr>
        <w:tc>
          <w:tcPr>
            <w:tcW w:w="743" w:type="dxa"/>
            <w:tcBorders>
              <w:top w:val="single" w:sz="4" w:space="0" w:color="81888A"/>
              <w:left w:val="single" w:sz="4" w:space="0" w:color="81888A"/>
              <w:bottom w:val="single" w:sz="4" w:space="0" w:color="81888A"/>
              <w:right w:val="single" w:sz="4" w:space="0" w:color="81888A"/>
            </w:tcBorders>
            <w:shd w:val="clear" w:color="auto" w:fill="auto"/>
          </w:tcPr>
          <w:p w14:paraId="71B8AD7D"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NAH2</w:t>
            </w:r>
          </w:p>
        </w:tc>
        <w:tc>
          <w:tcPr>
            <w:tcW w:w="5869" w:type="dxa"/>
            <w:tcBorders>
              <w:top w:val="single" w:sz="4" w:space="0" w:color="81888A"/>
              <w:left w:val="single" w:sz="4" w:space="0" w:color="81888A"/>
              <w:bottom w:val="single" w:sz="4" w:space="0" w:color="81888A"/>
              <w:right w:val="single" w:sz="4" w:space="0" w:color="81888A"/>
            </w:tcBorders>
            <w:shd w:val="clear" w:color="auto" w:fill="auto"/>
          </w:tcPr>
          <w:p w14:paraId="54E49A02"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Attendance 30 to 60 minutes</w:t>
            </w:r>
          </w:p>
        </w:tc>
        <w:tc>
          <w:tcPr>
            <w:tcW w:w="3260" w:type="dxa"/>
            <w:tcBorders>
              <w:top w:val="single" w:sz="4" w:space="0" w:color="81888A"/>
              <w:left w:val="single" w:sz="4" w:space="0" w:color="81888A"/>
              <w:bottom w:val="single" w:sz="4" w:space="0" w:color="81888A"/>
              <w:right w:val="single" w:sz="4" w:space="0" w:color="81888A"/>
            </w:tcBorders>
            <w:shd w:val="clear" w:color="auto" w:fill="auto"/>
          </w:tcPr>
          <w:p w14:paraId="60F51378"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Nursing/Midwifery/Allied Health Professional</w:t>
            </w:r>
          </w:p>
        </w:tc>
      </w:tr>
      <w:tr w:rsidR="002225FC" w:rsidRPr="006D309B" w14:paraId="66B2699A" w14:textId="77777777" w:rsidTr="00183C8B">
        <w:trPr>
          <w:trHeight w:val="29"/>
        </w:trPr>
        <w:tc>
          <w:tcPr>
            <w:tcW w:w="743" w:type="dxa"/>
            <w:tcBorders>
              <w:top w:val="single" w:sz="4" w:space="0" w:color="81888A"/>
              <w:left w:val="single" w:sz="4" w:space="0" w:color="81888A"/>
              <w:bottom w:val="single" w:sz="4" w:space="0" w:color="81888A"/>
              <w:right w:val="single" w:sz="4" w:space="0" w:color="81888A"/>
            </w:tcBorders>
            <w:shd w:val="clear" w:color="auto" w:fill="auto"/>
          </w:tcPr>
          <w:p w14:paraId="47E2C328"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NAH3</w:t>
            </w:r>
          </w:p>
        </w:tc>
        <w:tc>
          <w:tcPr>
            <w:tcW w:w="5869" w:type="dxa"/>
            <w:tcBorders>
              <w:top w:val="single" w:sz="4" w:space="0" w:color="81888A"/>
              <w:left w:val="single" w:sz="4" w:space="0" w:color="81888A"/>
              <w:bottom w:val="single" w:sz="4" w:space="0" w:color="81888A"/>
              <w:right w:val="single" w:sz="4" w:space="0" w:color="81888A"/>
            </w:tcBorders>
            <w:shd w:val="clear" w:color="auto" w:fill="auto"/>
          </w:tcPr>
          <w:p w14:paraId="6165B0A4"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Attendance 60 minutes or more</w:t>
            </w:r>
          </w:p>
        </w:tc>
        <w:tc>
          <w:tcPr>
            <w:tcW w:w="3260" w:type="dxa"/>
            <w:tcBorders>
              <w:top w:val="single" w:sz="4" w:space="0" w:color="81888A"/>
              <w:left w:val="single" w:sz="4" w:space="0" w:color="81888A"/>
              <w:bottom w:val="single" w:sz="4" w:space="0" w:color="81888A"/>
              <w:right w:val="single" w:sz="4" w:space="0" w:color="81888A"/>
            </w:tcBorders>
            <w:shd w:val="clear" w:color="auto" w:fill="auto"/>
          </w:tcPr>
          <w:p w14:paraId="15367EFD"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Nursing/Midwifery/Allied Health Professional</w:t>
            </w:r>
          </w:p>
        </w:tc>
      </w:tr>
      <w:tr w:rsidR="002225FC" w:rsidRPr="006D309B" w14:paraId="49FA1B27" w14:textId="77777777" w:rsidTr="00183C8B">
        <w:trPr>
          <w:trHeight w:val="29"/>
        </w:trPr>
        <w:tc>
          <w:tcPr>
            <w:tcW w:w="743" w:type="dxa"/>
            <w:tcBorders>
              <w:top w:val="single" w:sz="4" w:space="0" w:color="81888A"/>
              <w:left w:val="single" w:sz="4" w:space="0" w:color="81888A"/>
              <w:bottom w:val="single" w:sz="4" w:space="0" w:color="81888A"/>
              <w:right w:val="single" w:sz="4" w:space="0" w:color="81888A"/>
            </w:tcBorders>
            <w:shd w:val="clear" w:color="auto" w:fill="auto"/>
          </w:tcPr>
          <w:p w14:paraId="658A33E7"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NAH4</w:t>
            </w:r>
          </w:p>
        </w:tc>
        <w:tc>
          <w:tcPr>
            <w:tcW w:w="5869" w:type="dxa"/>
            <w:tcBorders>
              <w:top w:val="single" w:sz="4" w:space="0" w:color="81888A"/>
              <w:left w:val="single" w:sz="4" w:space="0" w:color="81888A"/>
              <w:bottom w:val="single" w:sz="4" w:space="0" w:color="81888A"/>
              <w:right w:val="single" w:sz="4" w:space="0" w:color="81888A"/>
            </w:tcBorders>
            <w:shd w:val="clear" w:color="auto" w:fill="auto"/>
          </w:tcPr>
          <w:p w14:paraId="01F60189"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Group Education Service</w:t>
            </w:r>
          </w:p>
        </w:tc>
        <w:tc>
          <w:tcPr>
            <w:tcW w:w="3260" w:type="dxa"/>
            <w:tcBorders>
              <w:top w:val="single" w:sz="4" w:space="0" w:color="81888A"/>
              <w:left w:val="single" w:sz="4" w:space="0" w:color="81888A"/>
              <w:bottom w:val="single" w:sz="4" w:space="0" w:color="81888A"/>
              <w:right w:val="single" w:sz="4" w:space="0" w:color="81888A"/>
            </w:tcBorders>
            <w:shd w:val="clear" w:color="auto" w:fill="auto"/>
          </w:tcPr>
          <w:p w14:paraId="55A5855D"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Nursing/Midwifery/Allied Health Professional</w:t>
            </w:r>
          </w:p>
        </w:tc>
      </w:tr>
      <w:tr w:rsidR="002225FC" w:rsidRPr="006D309B" w14:paraId="6D247D27" w14:textId="77777777" w:rsidTr="00183C8B">
        <w:trPr>
          <w:trHeight w:val="29"/>
        </w:trPr>
        <w:tc>
          <w:tcPr>
            <w:tcW w:w="743" w:type="dxa"/>
            <w:tcBorders>
              <w:top w:val="single" w:sz="4" w:space="0" w:color="81888A"/>
              <w:left w:val="single" w:sz="4" w:space="0" w:color="81888A"/>
              <w:bottom w:val="single" w:sz="4" w:space="0" w:color="81888A"/>
              <w:right w:val="single" w:sz="4" w:space="0" w:color="81888A"/>
            </w:tcBorders>
            <w:shd w:val="clear" w:color="auto" w:fill="auto"/>
          </w:tcPr>
          <w:p w14:paraId="1AF073E6"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NAH6</w:t>
            </w:r>
          </w:p>
        </w:tc>
        <w:tc>
          <w:tcPr>
            <w:tcW w:w="5869" w:type="dxa"/>
            <w:tcBorders>
              <w:top w:val="single" w:sz="4" w:space="0" w:color="81888A"/>
              <w:left w:val="single" w:sz="4" w:space="0" w:color="81888A"/>
              <w:bottom w:val="single" w:sz="4" w:space="0" w:color="81888A"/>
              <w:right w:val="single" w:sz="4" w:space="0" w:color="81888A"/>
            </w:tcBorders>
            <w:shd w:val="clear" w:color="auto" w:fill="auto"/>
          </w:tcPr>
          <w:p w14:paraId="159AF209"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Community Based Rehabilitation Services - 60 mins</w:t>
            </w:r>
          </w:p>
        </w:tc>
        <w:tc>
          <w:tcPr>
            <w:tcW w:w="3260" w:type="dxa"/>
            <w:tcBorders>
              <w:top w:val="single" w:sz="4" w:space="0" w:color="81888A"/>
              <w:left w:val="single" w:sz="4" w:space="0" w:color="81888A"/>
              <w:bottom w:val="single" w:sz="4" w:space="0" w:color="81888A"/>
              <w:right w:val="single" w:sz="4" w:space="0" w:color="81888A"/>
            </w:tcBorders>
            <w:shd w:val="clear" w:color="auto" w:fill="auto"/>
          </w:tcPr>
          <w:p w14:paraId="7443EE93"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Nursing/Allied Health Professional</w:t>
            </w:r>
          </w:p>
        </w:tc>
      </w:tr>
      <w:tr w:rsidR="002225FC" w:rsidRPr="006D309B" w14:paraId="3C55E51F" w14:textId="77777777" w:rsidTr="00183C8B">
        <w:trPr>
          <w:trHeight w:val="29"/>
        </w:trPr>
        <w:tc>
          <w:tcPr>
            <w:tcW w:w="743" w:type="dxa"/>
            <w:tcBorders>
              <w:top w:val="single" w:sz="4" w:space="0" w:color="81888A"/>
              <w:left w:val="single" w:sz="4" w:space="0" w:color="81888A"/>
              <w:bottom w:val="single" w:sz="4" w:space="0" w:color="81888A"/>
              <w:right w:val="single" w:sz="4" w:space="0" w:color="81888A"/>
            </w:tcBorders>
            <w:shd w:val="clear" w:color="auto" w:fill="auto"/>
          </w:tcPr>
          <w:p w14:paraId="2BE235D5"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NAH7</w:t>
            </w:r>
          </w:p>
        </w:tc>
        <w:tc>
          <w:tcPr>
            <w:tcW w:w="5869" w:type="dxa"/>
            <w:tcBorders>
              <w:top w:val="single" w:sz="4" w:space="0" w:color="81888A"/>
              <w:left w:val="single" w:sz="4" w:space="0" w:color="81888A"/>
              <w:bottom w:val="single" w:sz="4" w:space="0" w:color="81888A"/>
              <w:right w:val="single" w:sz="4" w:space="0" w:color="81888A"/>
            </w:tcBorders>
            <w:shd w:val="clear" w:color="auto" w:fill="auto"/>
          </w:tcPr>
          <w:p w14:paraId="2037FF2D"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Community Based Rehabilitation Services - Maintenance Exercise Therapy Session</w:t>
            </w:r>
          </w:p>
        </w:tc>
        <w:tc>
          <w:tcPr>
            <w:tcW w:w="3260" w:type="dxa"/>
            <w:tcBorders>
              <w:top w:val="single" w:sz="4" w:space="0" w:color="81888A"/>
              <w:left w:val="single" w:sz="4" w:space="0" w:color="81888A"/>
              <w:bottom w:val="single" w:sz="4" w:space="0" w:color="81888A"/>
              <w:right w:val="single" w:sz="4" w:space="0" w:color="81888A"/>
            </w:tcBorders>
            <w:shd w:val="clear" w:color="auto" w:fill="auto"/>
          </w:tcPr>
          <w:p w14:paraId="1F45302D"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Nursing/Allied Health Professional</w:t>
            </w:r>
          </w:p>
        </w:tc>
      </w:tr>
      <w:tr w:rsidR="002225FC" w:rsidRPr="006D309B" w14:paraId="7FD29531" w14:textId="77777777" w:rsidTr="00183C8B">
        <w:trPr>
          <w:trHeight w:val="29"/>
        </w:trPr>
        <w:tc>
          <w:tcPr>
            <w:tcW w:w="743" w:type="dxa"/>
            <w:tcBorders>
              <w:top w:val="single" w:sz="4" w:space="0" w:color="81888A"/>
              <w:left w:val="single" w:sz="4" w:space="0" w:color="81888A"/>
              <w:bottom w:val="single" w:sz="4" w:space="0" w:color="81888A"/>
              <w:right w:val="single" w:sz="4" w:space="0" w:color="81888A"/>
            </w:tcBorders>
            <w:shd w:val="clear" w:color="auto" w:fill="auto"/>
          </w:tcPr>
          <w:p w14:paraId="4643A7A2"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PAIN1</w:t>
            </w:r>
          </w:p>
        </w:tc>
        <w:tc>
          <w:tcPr>
            <w:tcW w:w="5869" w:type="dxa"/>
            <w:tcBorders>
              <w:top w:val="single" w:sz="4" w:space="0" w:color="81888A"/>
              <w:left w:val="single" w:sz="4" w:space="0" w:color="81888A"/>
              <w:bottom w:val="single" w:sz="4" w:space="0" w:color="81888A"/>
              <w:right w:val="single" w:sz="4" w:space="0" w:color="81888A"/>
            </w:tcBorders>
            <w:shd w:val="clear" w:color="auto" w:fill="auto"/>
          </w:tcPr>
          <w:p w14:paraId="2C82D5BC"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Pain Management Service - Multidisciplinary Assessment</w:t>
            </w:r>
          </w:p>
        </w:tc>
        <w:tc>
          <w:tcPr>
            <w:tcW w:w="3260" w:type="dxa"/>
            <w:tcBorders>
              <w:top w:val="single" w:sz="4" w:space="0" w:color="81888A"/>
              <w:left w:val="single" w:sz="4" w:space="0" w:color="81888A"/>
              <w:bottom w:val="single" w:sz="4" w:space="0" w:color="81888A"/>
              <w:right w:val="single" w:sz="4" w:space="0" w:color="81888A"/>
            </w:tcBorders>
            <w:shd w:val="clear" w:color="auto" w:fill="auto"/>
          </w:tcPr>
          <w:p w14:paraId="324E45A5"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Medical Staff</w:t>
            </w:r>
          </w:p>
        </w:tc>
      </w:tr>
      <w:tr w:rsidR="002225FC" w:rsidRPr="006D309B" w14:paraId="72772528" w14:textId="77777777" w:rsidTr="00183C8B">
        <w:trPr>
          <w:trHeight w:val="29"/>
        </w:trPr>
        <w:tc>
          <w:tcPr>
            <w:tcW w:w="743" w:type="dxa"/>
            <w:tcBorders>
              <w:top w:val="single" w:sz="4" w:space="0" w:color="81888A"/>
              <w:left w:val="single" w:sz="4" w:space="0" w:color="81888A"/>
              <w:bottom w:val="single" w:sz="4" w:space="0" w:color="81888A"/>
              <w:right w:val="single" w:sz="4" w:space="0" w:color="81888A"/>
            </w:tcBorders>
            <w:shd w:val="clear" w:color="auto" w:fill="auto"/>
          </w:tcPr>
          <w:p w14:paraId="4CB2793A"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PAIN2</w:t>
            </w:r>
          </w:p>
        </w:tc>
        <w:tc>
          <w:tcPr>
            <w:tcW w:w="5869" w:type="dxa"/>
            <w:tcBorders>
              <w:top w:val="single" w:sz="4" w:space="0" w:color="81888A"/>
              <w:left w:val="single" w:sz="4" w:space="0" w:color="81888A"/>
              <w:bottom w:val="single" w:sz="4" w:space="0" w:color="81888A"/>
              <w:right w:val="single" w:sz="4" w:space="0" w:color="81888A"/>
            </w:tcBorders>
            <w:shd w:val="clear" w:color="auto" w:fill="auto"/>
          </w:tcPr>
          <w:p w14:paraId="75E18CCB"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 xml:space="preserve">Pain Management Service - Cognitive </w:t>
            </w:r>
            <w:proofErr w:type="spellStart"/>
            <w:r w:rsidRPr="006D309B">
              <w:rPr>
                <w:rFonts w:asciiTheme="minorHAnsi" w:hAnsiTheme="minorHAnsi" w:cstheme="minorHAnsi"/>
                <w:bCs/>
                <w:iCs/>
                <w:sz w:val="16"/>
                <w:szCs w:val="16"/>
                <w:lang w:val="en-US"/>
              </w:rPr>
              <w:t>Behavioural</w:t>
            </w:r>
            <w:proofErr w:type="spellEnd"/>
            <w:r w:rsidRPr="006D309B">
              <w:rPr>
                <w:rFonts w:asciiTheme="minorHAnsi" w:hAnsiTheme="minorHAnsi" w:cstheme="minorHAnsi"/>
                <w:bCs/>
                <w:iCs/>
                <w:sz w:val="16"/>
                <w:szCs w:val="16"/>
                <w:lang w:val="en-US"/>
              </w:rPr>
              <w:t xml:space="preserve"> Therapy Program (2-week program)</w:t>
            </w:r>
          </w:p>
        </w:tc>
        <w:tc>
          <w:tcPr>
            <w:tcW w:w="3260" w:type="dxa"/>
            <w:tcBorders>
              <w:top w:val="single" w:sz="4" w:space="0" w:color="81888A"/>
              <w:left w:val="single" w:sz="4" w:space="0" w:color="81888A"/>
              <w:bottom w:val="single" w:sz="4" w:space="0" w:color="81888A"/>
              <w:right w:val="single" w:sz="4" w:space="0" w:color="81888A"/>
            </w:tcBorders>
            <w:shd w:val="clear" w:color="auto" w:fill="auto"/>
          </w:tcPr>
          <w:p w14:paraId="68E34912"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Medical Staff</w:t>
            </w:r>
          </w:p>
        </w:tc>
      </w:tr>
      <w:tr w:rsidR="002225FC" w:rsidRPr="006D309B" w14:paraId="22927316" w14:textId="77777777" w:rsidTr="00183C8B">
        <w:trPr>
          <w:trHeight w:val="29"/>
        </w:trPr>
        <w:tc>
          <w:tcPr>
            <w:tcW w:w="743" w:type="dxa"/>
            <w:tcBorders>
              <w:top w:val="single" w:sz="4" w:space="0" w:color="81888A"/>
              <w:left w:val="single" w:sz="4" w:space="0" w:color="81888A"/>
              <w:bottom w:val="single" w:sz="4" w:space="0" w:color="81888A"/>
              <w:right w:val="single" w:sz="4" w:space="0" w:color="81888A"/>
            </w:tcBorders>
            <w:shd w:val="clear" w:color="auto" w:fill="auto"/>
            <w:vAlign w:val="center"/>
          </w:tcPr>
          <w:p w14:paraId="5FD965C4"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PAIN3</w:t>
            </w:r>
          </w:p>
        </w:tc>
        <w:tc>
          <w:tcPr>
            <w:tcW w:w="5869" w:type="dxa"/>
            <w:tcBorders>
              <w:top w:val="single" w:sz="4" w:space="0" w:color="81888A"/>
              <w:left w:val="single" w:sz="4" w:space="0" w:color="81888A"/>
              <w:bottom w:val="single" w:sz="4" w:space="0" w:color="81888A"/>
              <w:right w:val="single" w:sz="4" w:space="0" w:color="81888A"/>
            </w:tcBorders>
            <w:shd w:val="clear" w:color="auto" w:fill="auto"/>
            <w:vAlign w:val="center"/>
          </w:tcPr>
          <w:p w14:paraId="32220252"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Pain Management Service - One-Day Education Program for Chronic Pain (JUMP)</w:t>
            </w:r>
          </w:p>
        </w:tc>
        <w:tc>
          <w:tcPr>
            <w:tcW w:w="3260" w:type="dxa"/>
            <w:tcBorders>
              <w:top w:val="single" w:sz="4" w:space="0" w:color="81888A"/>
              <w:left w:val="single" w:sz="4" w:space="0" w:color="81888A"/>
              <w:bottom w:val="single" w:sz="4" w:space="0" w:color="81888A"/>
              <w:right w:val="single" w:sz="4" w:space="0" w:color="81888A"/>
            </w:tcBorders>
            <w:shd w:val="clear" w:color="auto" w:fill="auto"/>
          </w:tcPr>
          <w:p w14:paraId="5DBFCFC4"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Medical Staff</w:t>
            </w:r>
          </w:p>
        </w:tc>
      </w:tr>
      <w:tr w:rsidR="002225FC" w:rsidRPr="006D309B" w14:paraId="4146055D" w14:textId="77777777" w:rsidTr="00183C8B">
        <w:trPr>
          <w:trHeight w:val="29"/>
        </w:trPr>
        <w:tc>
          <w:tcPr>
            <w:tcW w:w="743" w:type="dxa"/>
            <w:tcBorders>
              <w:top w:val="single" w:sz="4" w:space="0" w:color="81888A"/>
              <w:left w:val="single" w:sz="4" w:space="0" w:color="81888A"/>
              <w:bottom w:val="single" w:sz="4" w:space="0" w:color="81888A"/>
              <w:right w:val="single" w:sz="4" w:space="0" w:color="81888A"/>
            </w:tcBorders>
            <w:shd w:val="clear" w:color="auto" w:fill="auto"/>
            <w:vAlign w:val="center"/>
          </w:tcPr>
          <w:p w14:paraId="6755E782"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PAIN4</w:t>
            </w:r>
          </w:p>
        </w:tc>
        <w:tc>
          <w:tcPr>
            <w:tcW w:w="5869" w:type="dxa"/>
            <w:tcBorders>
              <w:top w:val="single" w:sz="4" w:space="0" w:color="81888A"/>
              <w:left w:val="single" w:sz="4" w:space="0" w:color="81888A"/>
              <w:bottom w:val="single" w:sz="4" w:space="0" w:color="81888A"/>
              <w:right w:val="single" w:sz="4" w:space="0" w:color="81888A"/>
            </w:tcBorders>
            <w:shd w:val="clear" w:color="auto" w:fill="auto"/>
            <w:vAlign w:val="center"/>
          </w:tcPr>
          <w:p w14:paraId="659F623B"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Pain Management Service - Psychology Assessment</w:t>
            </w:r>
          </w:p>
        </w:tc>
        <w:tc>
          <w:tcPr>
            <w:tcW w:w="3260" w:type="dxa"/>
            <w:tcBorders>
              <w:top w:val="single" w:sz="4" w:space="0" w:color="81888A"/>
              <w:left w:val="single" w:sz="4" w:space="0" w:color="81888A"/>
              <w:bottom w:val="single" w:sz="4" w:space="0" w:color="81888A"/>
              <w:right w:val="single" w:sz="4" w:space="0" w:color="81888A"/>
            </w:tcBorders>
            <w:shd w:val="clear" w:color="auto" w:fill="auto"/>
          </w:tcPr>
          <w:p w14:paraId="2E8862E0"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Medical Staff</w:t>
            </w:r>
          </w:p>
        </w:tc>
      </w:tr>
      <w:tr w:rsidR="002225FC" w:rsidRPr="006D309B" w14:paraId="0E396057" w14:textId="77777777" w:rsidTr="00183C8B">
        <w:trPr>
          <w:trHeight w:val="29"/>
        </w:trPr>
        <w:tc>
          <w:tcPr>
            <w:tcW w:w="743" w:type="dxa"/>
            <w:tcBorders>
              <w:top w:val="single" w:sz="4" w:space="0" w:color="81888A"/>
              <w:left w:val="single" w:sz="4" w:space="0" w:color="81888A"/>
              <w:bottom w:val="single" w:sz="4" w:space="0" w:color="81888A"/>
              <w:right w:val="single" w:sz="4" w:space="0" w:color="81888A"/>
            </w:tcBorders>
            <w:shd w:val="clear" w:color="auto" w:fill="auto"/>
            <w:vAlign w:val="center"/>
          </w:tcPr>
          <w:p w14:paraId="3648A065"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PAIN5</w:t>
            </w:r>
          </w:p>
        </w:tc>
        <w:tc>
          <w:tcPr>
            <w:tcW w:w="5869" w:type="dxa"/>
            <w:tcBorders>
              <w:top w:val="single" w:sz="4" w:space="0" w:color="81888A"/>
              <w:left w:val="single" w:sz="4" w:space="0" w:color="81888A"/>
              <w:bottom w:val="single" w:sz="4" w:space="0" w:color="81888A"/>
              <w:right w:val="single" w:sz="4" w:space="0" w:color="81888A"/>
            </w:tcBorders>
            <w:shd w:val="clear" w:color="auto" w:fill="auto"/>
            <w:vAlign w:val="center"/>
          </w:tcPr>
          <w:p w14:paraId="1B3E13D7"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Pain Management Service - Group Psychology Session</w:t>
            </w:r>
          </w:p>
        </w:tc>
        <w:tc>
          <w:tcPr>
            <w:tcW w:w="3260" w:type="dxa"/>
            <w:tcBorders>
              <w:top w:val="single" w:sz="4" w:space="0" w:color="81888A"/>
              <w:left w:val="single" w:sz="4" w:space="0" w:color="81888A"/>
              <w:bottom w:val="single" w:sz="4" w:space="0" w:color="81888A"/>
              <w:right w:val="single" w:sz="4" w:space="0" w:color="81888A"/>
            </w:tcBorders>
            <w:shd w:val="clear" w:color="auto" w:fill="auto"/>
          </w:tcPr>
          <w:p w14:paraId="378BEE15"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Medical Staff</w:t>
            </w:r>
          </w:p>
        </w:tc>
      </w:tr>
      <w:tr w:rsidR="002225FC" w:rsidRPr="006D309B" w14:paraId="39533FC3" w14:textId="77777777" w:rsidTr="00183C8B">
        <w:trPr>
          <w:trHeight w:val="29"/>
        </w:trPr>
        <w:tc>
          <w:tcPr>
            <w:tcW w:w="743" w:type="dxa"/>
            <w:tcBorders>
              <w:top w:val="single" w:sz="4" w:space="0" w:color="81888A"/>
              <w:left w:val="single" w:sz="4" w:space="0" w:color="81888A"/>
              <w:bottom w:val="single" w:sz="4" w:space="0" w:color="81888A"/>
              <w:right w:val="single" w:sz="4" w:space="0" w:color="81888A"/>
            </w:tcBorders>
            <w:shd w:val="clear" w:color="auto" w:fill="auto"/>
            <w:vAlign w:val="center"/>
          </w:tcPr>
          <w:p w14:paraId="4A31B2BC"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PAIN6</w:t>
            </w:r>
          </w:p>
        </w:tc>
        <w:tc>
          <w:tcPr>
            <w:tcW w:w="5869" w:type="dxa"/>
            <w:tcBorders>
              <w:top w:val="single" w:sz="4" w:space="0" w:color="81888A"/>
              <w:left w:val="single" w:sz="4" w:space="0" w:color="81888A"/>
              <w:bottom w:val="single" w:sz="4" w:space="0" w:color="81888A"/>
              <w:right w:val="single" w:sz="4" w:space="0" w:color="81888A"/>
            </w:tcBorders>
            <w:shd w:val="clear" w:color="auto" w:fill="auto"/>
            <w:vAlign w:val="center"/>
          </w:tcPr>
          <w:p w14:paraId="6FA2BAEC"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Pain Management Service – Initial Medical Assessment</w:t>
            </w:r>
          </w:p>
        </w:tc>
        <w:tc>
          <w:tcPr>
            <w:tcW w:w="3260" w:type="dxa"/>
            <w:tcBorders>
              <w:top w:val="single" w:sz="4" w:space="0" w:color="81888A"/>
              <w:left w:val="single" w:sz="4" w:space="0" w:color="81888A"/>
              <w:bottom w:val="single" w:sz="4" w:space="0" w:color="81888A"/>
              <w:right w:val="single" w:sz="4" w:space="0" w:color="81888A"/>
            </w:tcBorders>
            <w:shd w:val="clear" w:color="auto" w:fill="auto"/>
          </w:tcPr>
          <w:p w14:paraId="50E9EDC3"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Medical Staff</w:t>
            </w:r>
          </w:p>
        </w:tc>
      </w:tr>
      <w:tr w:rsidR="002225FC" w:rsidRPr="006D309B" w14:paraId="70EF70A4" w14:textId="77777777" w:rsidTr="00183C8B">
        <w:trPr>
          <w:trHeight w:val="29"/>
        </w:trPr>
        <w:tc>
          <w:tcPr>
            <w:tcW w:w="743" w:type="dxa"/>
            <w:tcBorders>
              <w:top w:val="single" w:sz="4" w:space="0" w:color="81888A"/>
              <w:left w:val="single" w:sz="4" w:space="0" w:color="81888A"/>
              <w:bottom w:val="single" w:sz="4" w:space="0" w:color="81888A"/>
              <w:right w:val="single" w:sz="4" w:space="0" w:color="81888A"/>
            </w:tcBorders>
            <w:shd w:val="clear" w:color="auto" w:fill="auto"/>
            <w:vAlign w:val="center"/>
          </w:tcPr>
          <w:p w14:paraId="49C1E139"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PAIN7</w:t>
            </w:r>
          </w:p>
        </w:tc>
        <w:tc>
          <w:tcPr>
            <w:tcW w:w="5869" w:type="dxa"/>
            <w:tcBorders>
              <w:top w:val="single" w:sz="4" w:space="0" w:color="81888A"/>
              <w:left w:val="single" w:sz="4" w:space="0" w:color="81888A"/>
              <w:bottom w:val="single" w:sz="4" w:space="0" w:color="81888A"/>
              <w:right w:val="single" w:sz="4" w:space="0" w:color="81888A"/>
            </w:tcBorders>
            <w:shd w:val="clear" w:color="auto" w:fill="auto"/>
            <w:vAlign w:val="center"/>
          </w:tcPr>
          <w:p w14:paraId="2DEA2931"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 xml:space="preserve">Pain Management Service – Follow-up Medical Assessment </w:t>
            </w:r>
          </w:p>
        </w:tc>
        <w:tc>
          <w:tcPr>
            <w:tcW w:w="3260" w:type="dxa"/>
            <w:tcBorders>
              <w:top w:val="single" w:sz="4" w:space="0" w:color="81888A"/>
              <w:left w:val="single" w:sz="4" w:space="0" w:color="81888A"/>
              <w:bottom w:val="single" w:sz="4" w:space="0" w:color="81888A"/>
              <w:right w:val="single" w:sz="4" w:space="0" w:color="81888A"/>
            </w:tcBorders>
            <w:shd w:val="clear" w:color="auto" w:fill="auto"/>
          </w:tcPr>
          <w:p w14:paraId="0B3AFC58" w14:textId="77777777" w:rsidR="002225FC" w:rsidRPr="006D309B" w:rsidRDefault="002225FC" w:rsidP="00183C8B">
            <w:pPr>
              <w:spacing w:before="10" w:after="10"/>
              <w:rPr>
                <w:rFonts w:asciiTheme="minorHAnsi" w:hAnsiTheme="minorHAnsi" w:cstheme="minorHAnsi"/>
                <w:bCs/>
                <w:iCs/>
                <w:sz w:val="16"/>
                <w:szCs w:val="16"/>
                <w:lang w:val="en-US"/>
              </w:rPr>
            </w:pPr>
            <w:r w:rsidRPr="006D309B">
              <w:rPr>
                <w:rFonts w:asciiTheme="minorHAnsi" w:hAnsiTheme="minorHAnsi" w:cstheme="minorHAnsi"/>
                <w:bCs/>
                <w:iCs/>
                <w:sz w:val="16"/>
                <w:szCs w:val="16"/>
                <w:lang w:val="en-US"/>
              </w:rPr>
              <w:t>Medical Staff</w:t>
            </w:r>
          </w:p>
        </w:tc>
      </w:tr>
    </w:tbl>
    <w:p w14:paraId="2CC13805" w14:textId="77777777" w:rsidR="002225FC" w:rsidRPr="00CF3DEA" w:rsidRDefault="002225FC" w:rsidP="002225FC"/>
    <w:p w14:paraId="0B8ED5C9" w14:textId="77777777" w:rsidR="002225FC" w:rsidRDefault="002225FC" w:rsidP="002225FC">
      <w:pPr>
        <w:pStyle w:val="Heading2"/>
      </w:pPr>
      <w:bookmarkStart w:id="132" w:name="_Toc135647205"/>
      <w:bookmarkStart w:id="133" w:name="_Toc167113129"/>
      <w:bookmarkStart w:id="134" w:name="_Toc416246241"/>
      <w:bookmarkStart w:id="135" w:name="_Toc416247386"/>
      <w:bookmarkStart w:id="136" w:name="_Toc2859025"/>
      <w:bookmarkStart w:id="137" w:name="_Hlk57983948"/>
      <w:bookmarkStart w:id="138" w:name="_Toc404852090"/>
      <w:bookmarkEnd w:id="131"/>
      <w:r w:rsidRPr="00CF3DEA">
        <w:t>National Disability Insurance Scheme (NDIS)</w:t>
      </w:r>
      <w:bookmarkEnd w:id="132"/>
      <w:bookmarkEnd w:id="133"/>
      <w:r w:rsidRPr="00CF3DEA">
        <w:t xml:space="preserve"> </w:t>
      </w:r>
      <w:bookmarkEnd w:id="134"/>
      <w:bookmarkEnd w:id="135"/>
      <w:bookmarkEnd w:id="136"/>
    </w:p>
    <w:p w14:paraId="01AC3BD1" w14:textId="77777777" w:rsidR="002225FC" w:rsidRPr="006D309B" w:rsidRDefault="002225FC" w:rsidP="002225FC">
      <w:pPr>
        <w:rPr>
          <w:rFonts w:asciiTheme="minorHAnsi" w:hAnsiTheme="minorHAnsi" w:cstheme="minorHAnsi"/>
          <w:szCs w:val="24"/>
          <w:shd w:val="clear" w:color="auto" w:fill="FFFFFF"/>
        </w:rPr>
      </w:pPr>
      <w:r w:rsidRPr="006D309B">
        <w:rPr>
          <w:rFonts w:asciiTheme="minorHAnsi" w:hAnsiTheme="minorHAnsi" w:cstheme="minorHAnsi"/>
          <w:szCs w:val="24"/>
          <w:shd w:val="clear" w:color="auto" w:fill="FFFFFF"/>
        </w:rPr>
        <w:t xml:space="preserve">The </w:t>
      </w:r>
      <w:hyperlink r:id="rId43" w:history="1">
        <w:r w:rsidRPr="00166404">
          <w:rPr>
            <w:rStyle w:val="Hyperlink"/>
            <w:rFonts w:asciiTheme="minorHAnsi" w:hAnsiTheme="minorHAnsi" w:cstheme="minorHAnsi"/>
            <w:szCs w:val="24"/>
          </w:rPr>
          <w:t>National Disability Insurance Scheme (NDIS)</w:t>
        </w:r>
      </w:hyperlink>
      <w:r w:rsidRPr="00166404">
        <w:rPr>
          <w:rFonts w:asciiTheme="minorHAnsi" w:hAnsiTheme="minorHAnsi" w:cstheme="minorHAnsi"/>
          <w:color w:val="313131"/>
          <w:szCs w:val="24"/>
          <w:shd w:val="clear" w:color="auto" w:fill="FFFFFF"/>
        </w:rPr>
        <w:t xml:space="preserve"> </w:t>
      </w:r>
      <w:r w:rsidRPr="006D309B">
        <w:rPr>
          <w:rFonts w:asciiTheme="minorHAnsi" w:hAnsiTheme="minorHAnsi" w:cstheme="minorHAnsi"/>
          <w:szCs w:val="24"/>
          <w:shd w:val="clear" w:color="auto" w:fill="FFFFFF"/>
        </w:rPr>
        <w:t>provides support to people with disability, their families, and carers. The main component of the NDIS is individualised packages of support to eligible people with disability. </w:t>
      </w:r>
    </w:p>
    <w:p w14:paraId="477F7274" w14:textId="77777777" w:rsidR="002225FC" w:rsidRPr="006D309B" w:rsidRDefault="002225FC" w:rsidP="002225FC">
      <w:pPr>
        <w:rPr>
          <w:rFonts w:cs="Calibri"/>
          <w:shd w:val="clear" w:color="auto" w:fill="FFFFFF"/>
        </w:rPr>
      </w:pPr>
      <w:r w:rsidRPr="6ECC2A20">
        <w:rPr>
          <w:rFonts w:cs="Calibri"/>
          <w:shd w:val="clear" w:color="auto" w:fill="FFFFFF"/>
        </w:rPr>
        <w:t xml:space="preserve">Under the scheme, CHS is a registered NDIS provider and can provide through a range of RACS Nursing and Allied Health (podiatry, nutrition etc.) and/or assistive technology </w:t>
      </w:r>
      <w:proofErr w:type="gramStart"/>
      <w:r w:rsidRPr="6ECC2A20">
        <w:rPr>
          <w:rFonts w:cs="Calibri"/>
          <w:shd w:val="clear" w:color="auto" w:fill="FFFFFF"/>
        </w:rPr>
        <w:t>to  NDIS</w:t>
      </w:r>
      <w:proofErr w:type="gramEnd"/>
      <w:r w:rsidRPr="6ECC2A20">
        <w:rPr>
          <w:rFonts w:cs="Calibri"/>
          <w:shd w:val="clear" w:color="auto" w:fill="FFFFFF"/>
        </w:rPr>
        <w:t xml:space="preserve"> participants when the care they receive is related to their NDIS recognised disability.  Billing can be raised for eligible services listed in the signed service agreement between the participant and NDIS. </w:t>
      </w:r>
    </w:p>
    <w:p w14:paraId="7F56A873" w14:textId="77777777" w:rsidR="002225FC" w:rsidRPr="006D309B" w:rsidRDefault="002225FC" w:rsidP="002225FC">
      <w:pPr>
        <w:rPr>
          <w:rFonts w:cs="Calibri"/>
          <w:shd w:val="clear" w:color="auto" w:fill="FFFFFF"/>
        </w:rPr>
      </w:pPr>
      <w:r w:rsidRPr="6ECC2A20">
        <w:rPr>
          <w:rFonts w:cs="Calibri"/>
          <w:shd w:val="clear" w:color="auto" w:fill="FFFFFF"/>
        </w:rPr>
        <w:t xml:space="preserve">NDIS numbers should be recorded within the patient’s demographics in DHR, </w:t>
      </w:r>
      <w:r>
        <w:rPr>
          <w:rFonts w:cs="Calibri"/>
          <w:shd w:val="clear" w:color="auto" w:fill="FFFFFF"/>
        </w:rPr>
        <w:t xml:space="preserve">clinicians are responsible for recording the services rendered in line with the participants agreement. </w:t>
      </w:r>
      <w:r w:rsidRPr="6ECC2A20">
        <w:rPr>
          <w:rFonts w:cs="Calibri"/>
          <w:shd w:val="clear" w:color="auto" w:fill="FFFFFF"/>
        </w:rPr>
        <w:t>There are only limited units that are registered as NDIS providers so not all areas are able to bill NDIS.</w:t>
      </w:r>
    </w:p>
    <w:p w14:paraId="3A895297" w14:textId="77777777" w:rsidR="002225FC" w:rsidRPr="006D309B" w:rsidRDefault="002225FC" w:rsidP="002225FC">
      <w:pPr>
        <w:rPr>
          <w:rFonts w:cs="Calibri"/>
          <w:szCs w:val="24"/>
          <w:shd w:val="clear" w:color="auto" w:fill="FFFFFF"/>
        </w:rPr>
      </w:pPr>
      <w:r w:rsidRPr="006D309B">
        <w:rPr>
          <w:rFonts w:cs="Calibri"/>
          <w:szCs w:val="24"/>
          <w:shd w:val="clear" w:color="auto" w:fill="FFFFFF"/>
        </w:rPr>
        <w:t>The NDIS is not a funding source for hospital care or consultation/procedures provided by Specialists, Consultant Physicians or VMO’s.</w:t>
      </w:r>
    </w:p>
    <w:p w14:paraId="41324CC9" w14:textId="77777777" w:rsidR="002225FC" w:rsidRDefault="002225FC" w:rsidP="002225FC">
      <w:pPr>
        <w:rPr>
          <w:rFonts w:cs="Calibri"/>
          <w:szCs w:val="24"/>
          <w:shd w:val="clear" w:color="auto" w:fill="FFFFFF"/>
        </w:rPr>
      </w:pPr>
      <w:r w:rsidRPr="006D309B">
        <w:rPr>
          <w:rFonts w:cs="Calibri"/>
          <w:szCs w:val="24"/>
          <w:shd w:val="clear" w:color="auto" w:fill="FFFFFF"/>
        </w:rPr>
        <w:lastRenderedPageBreak/>
        <w:t xml:space="preserve">For detailed division specific operational guidelines see your team leader or equivalent. </w:t>
      </w:r>
    </w:p>
    <w:p w14:paraId="41B8A45E" w14:textId="77777777" w:rsidR="002225FC" w:rsidRPr="006D309B" w:rsidRDefault="002225FC" w:rsidP="002225FC">
      <w:pPr>
        <w:rPr>
          <w:rFonts w:cs="Calibri"/>
          <w:szCs w:val="24"/>
          <w:shd w:val="clear" w:color="auto" w:fill="FFFFFF"/>
        </w:rPr>
      </w:pPr>
    </w:p>
    <w:p w14:paraId="638692D2" w14:textId="77777777" w:rsidR="002225FC" w:rsidRPr="00994869" w:rsidRDefault="002225FC" w:rsidP="002225FC">
      <w:pPr>
        <w:pStyle w:val="Heading2"/>
      </w:pPr>
      <w:bookmarkStart w:id="139" w:name="_Toc416246242"/>
      <w:bookmarkStart w:id="140" w:name="_Toc416247387"/>
      <w:bookmarkStart w:id="141" w:name="_Toc2859026"/>
      <w:bookmarkStart w:id="142" w:name="_Toc135647206"/>
      <w:bookmarkStart w:id="143" w:name="_Toc167113130"/>
      <w:bookmarkEnd w:id="137"/>
      <w:r w:rsidRPr="00CF3DEA">
        <w:t xml:space="preserve">Asylum Seeker in Community </w:t>
      </w:r>
      <w:bookmarkEnd w:id="138"/>
      <w:r w:rsidRPr="00CF3DEA">
        <w:t>Detention</w:t>
      </w:r>
      <w:bookmarkEnd w:id="139"/>
      <w:bookmarkEnd w:id="140"/>
      <w:bookmarkEnd w:id="141"/>
      <w:bookmarkEnd w:id="142"/>
      <w:bookmarkEnd w:id="143"/>
    </w:p>
    <w:p w14:paraId="3CBB78FA" w14:textId="77777777" w:rsidR="002225FC" w:rsidRPr="006D309B" w:rsidRDefault="002225FC" w:rsidP="002225FC">
      <w:pPr>
        <w:rPr>
          <w:rFonts w:cs="Calibri"/>
          <w:szCs w:val="24"/>
          <w:shd w:val="clear" w:color="auto" w:fill="FFFFFF"/>
        </w:rPr>
      </w:pPr>
      <w:bookmarkStart w:id="144" w:name="_Hlk57984893"/>
      <w:r w:rsidRPr="006D309B">
        <w:rPr>
          <w:rFonts w:cs="Calibri"/>
          <w:szCs w:val="24"/>
        </w:rPr>
        <w:t>An Asylum seeker i</w:t>
      </w:r>
      <w:r w:rsidRPr="006D309B">
        <w:rPr>
          <w:rFonts w:cs="Calibri"/>
          <w:szCs w:val="24"/>
          <w:shd w:val="clear" w:color="auto" w:fill="FFFFFF"/>
        </w:rPr>
        <w:t>s an individual who is seeking international protection. Not every asylum seeker will ultimately be recognised as a refugee, but every refugee is first an asylum seeker.</w:t>
      </w:r>
    </w:p>
    <w:p w14:paraId="7F1CDDDE" w14:textId="77777777" w:rsidR="002225FC" w:rsidRPr="006D309B" w:rsidRDefault="002225FC" w:rsidP="002225FC">
      <w:pPr>
        <w:rPr>
          <w:rFonts w:cs="Calibri"/>
          <w:szCs w:val="24"/>
          <w:shd w:val="clear" w:color="auto" w:fill="FFFFFF"/>
        </w:rPr>
      </w:pPr>
      <w:r w:rsidRPr="006D309B">
        <w:rPr>
          <w:rFonts w:cs="Calibri"/>
          <w:szCs w:val="24"/>
          <w:shd w:val="clear" w:color="auto" w:fill="FFFFFF"/>
        </w:rPr>
        <w:t xml:space="preserve">The ACT Government is committed to providing the fairest society possible for all Canberra residents, and that is no less the case for asylum seekers. </w:t>
      </w:r>
    </w:p>
    <w:p w14:paraId="11787FB1" w14:textId="77777777" w:rsidR="002225FC" w:rsidRPr="006D309B" w:rsidRDefault="002225FC" w:rsidP="002225FC">
      <w:pPr>
        <w:rPr>
          <w:rFonts w:cs="Calibri"/>
          <w:szCs w:val="24"/>
          <w:shd w:val="clear" w:color="auto" w:fill="FFFFFF"/>
        </w:rPr>
      </w:pPr>
      <w:r w:rsidRPr="006D309B">
        <w:rPr>
          <w:rFonts w:cs="Calibri"/>
          <w:szCs w:val="24"/>
          <w:shd w:val="clear" w:color="auto" w:fill="FFFFFF"/>
        </w:rPr>
        <w:t xml:space="preserve">Asylum seekers who enter Australia unlawfully and who do not hold a valid visa are placed in immigration/community detention. </w:t>
      </w:r>
    </w:p>
    <w:p w14:paraId="56C76E75" w14:textId="77777777" w:rsidR="002225FC" w:rsidRPr="006D309B" w:rsidRDefault="002225FC" w:rsidP="002225FC">
      <w:pPr>
        <w:rPr>
          <w:rFonts w:cs="Calibri"/>
          <w:szCs w:val="24"/>
        </w:rPr>
      </w:pPr>
      <w:r w:rsidRPr="006D309B">
        <w:rPr>
          <w:rFonts w:cs="Calibri"/>
          <w:szCs w:val="24"/>
        </w:rPr>
        <w:t xml:space="preserve">An agreement between the Department of Home Affairs and CHS via International Health and Medical Services (IHMS) exists to ensure adequate health care services are provided for those in challenging environments often requiring targeted and tailored solutions. </w:t>
      </w:r>
    </w:p>
    <w:p w14:paraId="3BE57172" w14:textId="77777777" w:rsidR="002225FC" w:rsidRPr="006D309B" w:rsidRDefault="002225FC" w:rsidP="002225FC">
      <w:pPr>
        <w:rPr>
          <w:rFonts w:cs="Calibri"/>
          <w:szCs w:val="24"/>
        </w:rPr>
      </w:pPr>
      <w:r w:rsidRPr="006D309B">
        <w:rPr>
          <w:rFonts w:cs="Calibri"/>
          <w:szCs w:val="24"/>
        </w:rPr>
        <w:t xml:space="preserve">Under this agreement CHS invoices Department of Home Affairs directly for services provided to these patients – the patient will not be invoiced for the service. </w:t>
      </w:r>
    </w:p>
    <w:p w14:paraId="6C3DEE50" w14:textId="1A4A0801" w:rsidR="002225FC" w:rsidRPr="006D309B" w:rsidRDefault="002225FC" w:rsidP="002225FC">
      <w:pPr>
        <w:rPr>
          <w:rFonts w:cs="Calibri"/>
          <w:szCs w:val="24"/>
        </w:rPr>
      </w:pPr>
      <w:r w:rsidRPr="006D309B">
        <w:rPr>
          <w:rFonts w:cs="Calibri"/>
          <w:szCs w:val="24"/>
        </w:rPr>
        <w:t xml:space="preserve">To enable billing for these services, the patient must be pre-approved by the Department of Home Affairs, an authorisation letter should be supplied as proof (example </w:t>
      </w:r>
      <w:r w:rsidR="00DA3DBE">
        <w:rPr>
          <w:rFonts w:cs="Calibri"/>
          <w:szCs w:val="24"/>
        </w:rPr>
        <w:t>in Attachment 7</w:t>
      </w:r>
      <w:r w:rsidRPr="006D309B">
        <w:rPr>
          <w:rFonts w:cs="Calibri"/>
          <w:szCs w:val="24"/>
        </w:rPr>
        <w:t xml:space="preserve">). </w:t>
      </w:r>
    </w:p>
    <w:p w14:paraId="1EEC7358" w14:textId="22597BC6" w:rsidR="002225FC" w:rsidRPr="00994869" w:rsidRDefault="002225FC" w:rsidP="002225FC">
      <w:pPr>
        <w:rPr>
          <w:rFonts w:cs="Calibri"/>
        </w:rPr>
      </w:pPr>
      <w:r w:rsidRPr="6ECC2A20">
        <w:rPr>
          <w:rFonts w:cs="Calibri"/>
        </w:rPr>
        <w:t>The appropriate ad cat to use for an Asylum Seeker in Community Detention is “Asylum Seeker Community Detention”. Ensure a copy of the authorisation letter is attached to the clinic schedule and then emailed to Patient Accounts (</w:t>
      </w:r>
      <w:hyperlink r:id="rId44" w:history="1">
        <w:r w:rsidRPr="6ECC2A20">
          <w:rPr>
            <w:rStyle w:val="Hyperlink"/>
            <w:rFonts w:cs="Calibri"/>
          </w:rPr>
          <w:t>CHSBilling@act.gov.au</w:t>
        </w:r>
      </w:hyperlink>
      <w:r w:rsidRPr="6ECC2A20">
        <w:rPr>
          <w:rFonts w:cs="Calibri"/>
        </w:rPr>
        <w:t xml:space="preserve">). </w:t>
      </w:r>
    </w:p>
    <w:bookmarkEnd w:id="144"/>
    <w:p w14:paraId="7B925A5D" w14:textId="77777777" w:rsidR="000133B9" w:rsidRDefault="000133B9" w:rsidP="000133B9">
      <w:pPr>
        <w:rPr>
          <w:rFonts w:cs="Arial"/>
          <w:b/>
          <w:szCs w:val="24"/>
        </w:rPr>
      </w:pPr>
    </w:p>
    <w:p w14:paraId="38A1AD27" w14:textId="77777777" w:rsidR="000133B9" w:rsidRPr="00DA3910" w:rsidRDefault="00CD4A22" w:rsidP="000133B9">
      <w:pPr>
        <w:jc w:val="right"/>
        <w:rPr>
          <w:rFonts w:cs="Arial"/>
          <w:b/>
          <w:szCs w:val="24"/>
        </w:rPr>
      </w:pPr>
      <w:hyperlink w:anchor="Contents" w:history="1">
        <w:r w:rsidR="000133B9" w:rsidRPr="00C91F3F">
          <w:rPr>
            <w:rStyle w:val="Hyperlink"/>
            <w:rFonts w:eastAsiaTheme="majorEastAsia" w:cs="Arial"/>
            <w:i/>
            <w:szCs w:val="24"/>
          </w:rPr>
          <w:t>Back to Table of Contents</w:t>
        </w:r>
      </w:hyperlink>
      <w:r w:rsidR="000133B9">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0133B9" w:rsidRPr="00CD1C0E" w14:paraId="1D13273B" w14:textId="77777777" w:rsidTr="00183C8B">
        <w:trPr>
          <w:cantSplit/>
          <w:trHeight w:val="285"/>
        </w:trPr>
        <w:tc>
          <w:tcPr>
            <w:tcW w:w="9158" w:type="dxa"/>
            <w:shd w:val="clear" w:color="auto" w:fill="D9D9D9" w:themeFill="background1" w:themeFillShade="D9"/>
          </w:tcPr>
          <w:p w14:paraId="2D7C8550" w14:textId="3FE39BC0" w:rsidR="000133B9" w:rsidRPr="003D2D06" w:rsidRDefault="000133B9" w:rsidP="00183C8B">
            <w:pPr>
              <w:pStyle w:val="Heading1"/>
            </w:pPr>
            <w:bookmarkStart w:id="145" w:name="_Toc167113131"/>
            <w:r w:rsidRPr="003D2D06">
              <w:t xml:space="preserve">Section </w:t>
            </w:r>
            <w:r w:rsidR="002225FC">
              <w:t>6</w:t>
            </w:r>
            <w:r w:rsidRPr="003D2D06">
              <w:t xml:space="preserve"> – </w:t>
            </w:r>
            <w:r w:rsidR="002225FC">
              <w:t>Other Non-Billed Non-Admitted Categories</w:t>
            </w:r>
            <w:bookmarkEnd w:id="145"/>
          </w:p>
        </w:tc>
      </w:tr>
    </w:tbl>
    <w:p w14:paraId="02D4BBC2" w14:textId="77777777" w:rsidR="000133B9" w:rsidRDefault="000133B9" w:rsidP="000133B9">
      <w:pPr>
        <w:pStyle w:val="Heading2"/>
      </w:pPr>
    </w:p>
    <w:p w14:paraId="6235DBE1" w14:textId="77777777" w:rsidR="002225FC" w:rsidRPr="00B127D1" w:rsidRDefault="002225FC" w:rsidP="002225FC">
      <w:pPr>
        <w:pStyle w:val="Heading2"/>
      </w:pPr>
      <w:bookmarkStart w:id="146" w:name="_Toc135647208"/>
      <w:bookmarkStart w:id="147" w:name="_Toc167113132"/>
      <w:bookmarkStart w:id="148" w:name="_Toc416246244"/>
      <w:bookmarkStart w:id="149" w:name="_Toc416247389"/>
      <w:bookmarkStart w:id="150" w:name="_Toc2859028"/>
      <w:r w:rsidRPr="00B127D1">
        <w:t>Public Non-Admitted Services</w:t>
      </w:r>
      <w:bookmarkEnd w:id="146"/>
      <w:bookmarkEnd w:id="147"/>
      <w:r w:rsidRPr="00B127D1">
        <w:t xml:space="preserve"> </w:t>
      </w:r>
      <w:bookmarkEnd w:id="148"/>
      <w:bookmarkEnd w:id="149"/>
      <w:bookmarkEnd w:id="150"/>
    </w:p>
    <w:p w14:paraId="47413FAC" w14:textId="77777777" w:rsidR="002225FC" w:rsidRPr="006D309B" w:rsidRDefault="002225FC" w:rsidP="002225FC">
      <w:pPr>
        <w:ind w:left="1440" w:hanging="1440"/>
        <w:rPr>
          <w:szCs w:val="24"/>
        </w:rPr>
      </w:pPr>
      <w:r w:rsidRPr="006D309B">
        <w:rPr>
          <w:szCs w:val="24"/>
        </w:rPr>
        <w:t>Standard:</w:t>
      </w:r>
      <w:r w:rsidRPr="006D309B">
        <w:rPr>
          <w:szCs w:val="24"/>
        </w:rPr>
        <w:tab/>
      </w:r>
      <w:r w:rsidRPr="006D309B">
        <w:rPr>
          <w:rFonts w:cs="Arial"/>
          <w:bCs/>
          <w:iCs/>
          <w:szCs w:val="24"/>
        </w:rPr>
        <w:t>All Medicare eligible persons have rights to choose to be treated as either a public or a private patient.</w:t>
      </w:r>
      <w:r w:rsidRPr="006D309B">
        <w:rPr>
          <w:szCs w:val="24"/>
        </w:rPr>
        <w:t xml:space="preserve"> </w:t>
      </w:r>
    </w:p>
    <w:p w14:paraId="2D3489C5" w14:textId="77777777" w:rsidR="002225FC" w:rsidRPr="006D309B" w:rsidRDefault="002225FC" w:rsidP="002225FC">
      <w:pPr>
        <w:rPr>
          <w:szCs w:val="24"/>
        </w:rPr>
      </w:pPr>
      <w:r w:rsidRPr="006D309B">
        <w:rPr>
          <w:szCs w:val="24"/>
        </w:rPr>
        <w:t>Where a Medicare/DVA eligible patient has elected to be treated publicly or the service provided doesn’t meet the rules and criteria to be billed privately (</w:t>
      </w:r>
      <w:hyperlink w:anchor="OBB_DVA_Billing_rules_simple" w:history="1">
        <w:r w:rsidRPr="00C13822">
          <w:rPr>
            <w:rStyle w:val="Hyperlink"/>
            <w:szCs w:val="24"/>
          </w:rPr>
          <w:t>above</w:t>
        </w:r>
      </w:hyperlink>
      <w:r w:rsidRPr="006D309B">
        <w:rPr>
          <w:szCs w:val="24"/>
        </w:rPr>
        <w:t xml:space="preserve">), no charges are to be raised. </w:t>
      </w:r>
    </w:p>
    <w:p w14:paraId="53960DB4" w14:textId="77777777" w:rsidR="002225FC" w:rsidRPr="006D309B" w:rsidRDefault="002225FC" w:rsidP="002225FC">
      <w:pPr>
        <w:rPr>
          <w:szCs w:val="24"/>
        </w:rPr>
      </w:pPr>
      <w:r w:rsidRPr="006D309B">
        <w:rPr>
          <w:rFonts w:cs="Calibri"/>
          <w:szCs w:val="24"/>
        </w:rPr>
        <w:t>The appropriate ad cat to use for a public patient/a service that does not meet the necessary billable criteria is “Public”.</w:t>
      </w:r>
    </w:p>
    <w:p w14:paraId="3E9882A4" w14:textId="77777777" w:rsidR="002225FC" w:rsidRDefault="002225FC" w:rsidP="002225FC">
      <w:pPr>
        <w:rPr>
          <w:szCs w:val="24"/>
        </w:rPr>
      </w:pPr>
      <w:r w:rsidRPr="006D309B">
        <w:rPr>
          <w:szCs w:val="24"/>
        </w:rPr>
        <w:t>The only charges that can be raised for a service provided to a public non-admitted patient are those listed in the</w:t>
      </w:r>
      <w:r w:rsidRPr="00653124">
        <w:rPr>
          <w:color w:val="76923C" w:themeColor="accent3" w:themeShade="BF"/>
          <w:szCs w:val="24"/>
        </w:rPr>
        <w:t xml:space="preserve"> </w:t>
      </w:r>
      <w:hyperlink r:id="rId45" w:history="1">
        <w:r w:rsidRPr="00B620CF">
          <w:rPr>
            <w:rStyle w:val="Hyperlink"/>
            <w:rFonts w:cs="Calibri"/>
            <w:szCs w:val="24"/>
          </w:rPr>
          <w:t>Health (</w:t>
        </w:r>
        <w:r>
          <w:rPr>
            <w:rStyle w:val="Hyperlink"/>
            <w:rFonts w:cs="Calibri"/>
            <w:szCs w:val="24"/>
          </w:rPr>
          <w:t>F</w:t>
        </w:r>
        <w:r w:rsidRPr="00B620CF">
          <w:rPr>
            <w:rStyle w:val="Hyperlink"/>
            <w:rFonts w:cs="Calibri"/>
            <w:szCs w:val="24"/>
          </w:rPr>
          <w:t>ees) Determination</w:t>
        </w:r>
      </w:hyperlink>
      <w:r>
        <w:rPr>
          <w:szCs w:val="24"/>
        </w:rPr>
        <w:t xml:space="preserve">.  </w:t>
      </w:r>
    </w:p>
    <w:p w14:paraId="7BD895A8" w14:textId="77777777" w:rsidR="002225FC" w:rsidRPr="00B127D1" w:rsidRDefault="002225FC" w:rsidP="002225FC">
      <w:pPr>
        <w:rPr>
          <w:szCs w:val="24"/>
        </w:rPr>
      </w:pPr>
    </w:p>
    <w:p w14:paraId="3EF24432" w14:textId="77777777" w:rsidR="002225FC" w:rsidRPr="00B127D1" w:rsidRDefault="002225FC" w:rsidP="002225FC">
      <w:pPr>
        <w:pStyle w:val="Heading2"/>
      </w:pPr>
      <w:bookmarkStart w:id="151" w:name="_Reciprocal_Health_Care"/>
      <w:bookmarkStart w:id="152" w:name="_Toc416246245"/>
      <w:bookmarkStart w:id="153" w:name="_Toc416247390"/>
      <w:bookmarkStart w:id="154" w:name="_Toc2859029"/>
      <w:bookmarkStart w:id="155" w:name="_Toc135647209"/>
      <w:bookmarkStart w:id="156" w:name="_Toc167113133"/>
      <w:bookmarkStart w:id="157" w:name="reciprocal"/>
      <w:bookmarkEnd w:id="151"/>
      <w:r w:rsidRPr="00B127D1">
        <w:t>Reciprocal Health Care Agreement Patient</w:t>
      </w:r>
      <w:bookmarkStart w:id="158" w:name="_Hlk57988175"/>
      <w:bookmarkEnd w:id="152"/>
      <w:bookmarkEnd w:id="153"/>
      <w:bookmarkEnd w:id="154"/>
      <w:r>
        <w:t>s</w:t>
      </w:r>
      <w:bookmarkEnd w:id="155"/>
      <w:bookmarkEnd w:id="156"/>
    </w:p>
    <w:p w14:paraId="6F2EF6DF" w14:textId="77777777" w:rsidR="002225FC" w:rsidRPr="006D309B" w:rsidRDefault="002225FC" w:rsidP="002225FC">
      <w:pPr>
        <w:rPr>
          <w:rFonts w:cs="Calibri"/>
          <w:szCs w:val="24"/>
        </w:rPr>
      </w:pPr>
      <w:bookmarkStart w:id="159" w:name="_Toc404852093"/>
      <w:bookmarkStart w:id="160" w:name="_Toc416246246"/>
      <w:bookmarkStart w:id="161" w:name="_Toc416247391"/>
      <w:bookmarkEnd w:id="157"/>
      <w:bookmarkEnd w:id="158"/>
      <w:r w:rsidRPr="006D309B">
        <w:rPr>
          <w:rFonts w:cs="Calibri"/>
          <w:szCs w:val="24"/>
          <w:shd w:val="clear" w:color="auto" w:fill="FFFFFF"/>
        </w:rPr>
        <w:t xml:space="preserve">A Reciprocal Health Care Agreement (RHCA) is an agreement between two countries offering medically necessary, publicly funded care to overseas visitors. </w:t>
      </w:r>
    </w:p>
    <w:p w14:paraId="77C1B880" w14:textId="77777777" w:rsidR="002225FC" w:rsidRDefault="002225FC" w:rsidP="002225FC">
      <w:pPr>
        <w:rPr>
          <w:b/>
          <w:bCs/>
        </w:rPr>
      </w:pPr>
      <w:r w:rsidRPr="006D309B">
        <w:rPr>
          <w:rFonts w:cs="Calibri"/>
          <w:szCs w:val="24"/>
        </w:rPr>
        <w:t>This means overseas visitors travelling from countries where such an agreement exists, can receive medically necessary treatment while they are in Australia, including public hospital care. However, people visiting Australia for the purpose of receiving treatment are not covered and will be billed as a</w:t>
      </w:r>
      <w:r w:rsidRPr="004B0F57">
        <w:rPr>
          <w:rFonts w:cs="Calibri"/>
          <w:color w:val="76923C" w:themeColor="accent3" w:themeShade="BF"/>
          <w:szCs w:val="24"/>
        </w:rPr>
        <w:t xml:space="preserve"> </w:t>
      </w:r>
      <w:hyperlink w:anchor="non_eligible" w:history="1">
        <w:proofErr w:type="gramStart"/>
        <w:r w:rsidRPr="004B0F57">
          <w:rPr>
            <w:rStyle w:val="Hyperlink"/>
            <w:rFonts w:cs="Calibri"/>
            <w:szCs w:val="24"/>
            <w14:textFill>
              <w14:solidFill>
                <w14:srgbClr w14:val="0000FF">
                  <w14:lumMod w14:val="75000"/>
                </w14:srgbClr>
              </w14:solidFill>
            </w14:textFill>
          </w:rPr>
          <w:t>Non-Eligible</w:t>
        </w:r>
        <w:proofErr w:type="gramEnd"/>
      </w:hyperlink>
      <w:r w:rsidRPr="004B0F57">
        <w:rPr>
          <w:rFonts w:cs="Calibri"/>
          <w:color w:val="76923C" w:themeColor="accent3" w:themeShade="BF"/>
          <w:szCs w:val="24"/>
        </w:rPr>
        <w:t xml:space="preserve"> </w:t>
      </w:r>
      <w:r w:rsidRPr="006D309B">
        <w:rPr>
          <w:rFonts w:cs="Calibri"/>
          <w:szCs w:val="24"/>
        </w:rPr>
        <w:t xml:space="preserve">person. There may be some costs associated with accessing care under the reciprocal agreements.  Further information on the individual agreements can be found here: </w:t>
      </w:r>
      <w:hyperlink r:id="rId46" w:history="1">
        <w:r>
          <w:rPr>
            <w:rStyle w:val="Hyperlink"/>
          </w:rPr>
          <w:t>When Reciprocal health care agreements apply and you visit Australia - Reciprocal Health Care Agreements - Services Australia</w:t>
        </w:r>
      </w:hyperlink>
      <w:r>
        <w:rPr>
          <w:b/>
          <w:bCs/>
        </w:rPr>
        <w:t xml:space="preserve"> </w:t>
      </w:r>
    </w:p>
    <w:p w14:paraId="5DD0117E" w14:textId="77777777" w:rsidR="002225FC" w:rsidRPr="004E4531" w:rsidRDefault="002225FC" w:rsidP="002225FC">
      <w:pPr>
        <w:rPr>
          <w:rFonts w:cs="Calibri"/>
          <w:b/>
          <w:bCs/>
          <w:color w:val="76923C" w:themeColor="accent3" w:themeShade="BF"/>
          <w:szCs w:val="24"/>
        </w:rPr>
      </w:pPr>
    </w:p>
    <w:p w14:paraId="123BE685" w14:textId="77777777" w:rsidR="002225FC" w:rsidRPr="006D309B" w:rsidRDefault="002225FC" w:rsidP="002225FC">
      <w:pPr>
        <w:rPr>
          <w:rFonts w:cs="Calibri"/>
          <w:bCs/>
          <w:iCs/>
          <w:szCs w:val="24"/>
        </w:rPr>
      </w:pPr>
      <w:r w:rsidRPr="006D309B">
        <w:rPr>
          <w:rFonts w:cs="Calibri"/>
          <w:szCs w:val="24"/>
        </w:rPr>
        <w:t xml:space="preserve">Generally, ‘medically necessary treatment’ means any episode of illness or injury which requires attention before the visitor returns home. This covers not only ‘emergency’ treatment but any ill health or injury that arises during the visitors stay. Any decisions around the patient’s health/injury should be referred to the treating clinician. </w:t>
      </w:r>
    </w:p>
    <w:p w14:paraId="1F072455" w14:textId="77777777" w:rsidR="002225FC" w:rsidRPr="006D309B" w:rsidRDefault="002225FC" w:rsidP="002225FC">
      <w:pPr>
        <w:rPr>
          <w:rFonts w:cs="Calibri"/>
          <w:szCs w:val="24"/>
        </w:rPr>
      </w:pPr>
      <w:r w:rsidRPr="006D309B">
        <w:rPr>
          <w:rFonts w:cs="Calibri"/>
          <w:szCs w:val="24"/>
        </w:rPr>
        <w:t xml:space="preserve">The appropriate ad cat to use for a RHCA patient is “Reciprocal Health Care Agreement” and are treated as public patients, meaning no charges are to be raised.   </w:t>
      </w:r>
    </w:p>
    <w:p w14:paraId="70098434" w14:textId="77777777" w:rsidR="002225FC" w:rsidRDefault="002225FC" w:rsidP="002225FC">
      <w:pPr>
        <w:rPr>
          <w:rFonts w:cs="Calibri"/>
          <w:szCs w:val="24"/>
        </w:rPr>
      </w:pPr>
      <w:r w:rsidRPr="006D309B">
        <w:rPr>
          <w:rFonts w:cs="Calibri"/>
          <w:szCs w:val="24"/>
        </w:rPr>
        <w:t xml:space="preserve">A passport is sufficient evidence to receive public hospital care and PBS (The Pharmaceutical Benefits Scheme) prescriptions, or the patient may hold a </w:t>
      </w:r>
      <w:hyperlink w:anchor="yellow_MC" w:history="1">
        <w:r w:rsidRPr="00A801F7">
          <w:rPr>
            <w:rStyle w:val="Hyperlink"/>
            <w:rFonts w:cs="Calibri"/>
            <w:szCs w:val="24"/>
            <w14:textFill>
              <w14:solidFill>
                <w14:srgbClr w14:val="0000FF">
                  <w14:lumMod w14:val="75000"/>
                </w14:srgbClr>
              </w14:solidFill>
            </w14:textFill>
          </w:rPr>
          <w:t>Yellow Medicare Card</w:t>
        </w:r>
      </w:hyperlink>
      <w:r w:rsidRPr="004B0F57">
        <w:rPr>
          <w:rFonts w:cs="Calibri"/>
          <w:color w:val="76923C" w:themeColor="accent3" w:themeShade="BF"/>
          <w:szCs w:val="24"/>
        </w:rPr>
        <w:t xml:space="preserve"> </w:t>
      </w:r>
      <w:r w:rsidRPr="006D309B">
        <w:rPr>
          <w:rFonts w:cs="Calibri"/>
          <w:szCs w:val="24"/>
        </w:rPr>
        <w:t>bearing the words "RECIPROCAL HEALTH CARE".</w:t>
      </w:r>
    </w:p>
    <w:p w14:paraId="3821A8FD" w14:textId="77777777" w:rsidR="002225FC" w:rsidRPr="006D309B" w:rsidRDefault="002225FC" w:rsidP="002225FC">
      <w:pPr>
        <w:rPr>
          <w:rFonts w:cs="Calibri"/>
          <w:szCs w:val="24"/>
        </w:rPr>
      </w:pPr>
    </w:p>
    <w:p w14:paraId="7E5CD38A" w14:textId="77777777" w:rsidR="002225FC" w:rsidRPr="00AD19D9" w:rsidRDefault="002225FC" w:rsidP="002225FC">
      <w:pPr>
        <w:pStyle w:val="Heading2"/>
      </w:pPr>
      <w:bookmarkStart w:id="162" w:name="_Toc167113134"/>
      <w:r w:rsidRPr="00AD19D9">
        <w:t>Countries with Reciprocal Health Care Agreements with Australia</w:t>
      </w:r>
      <w:bookmarkEnd w:id="162"/>
    </w:p>
    <w:p w14:paraId="4A2C48F9" w14:textId="77777777" w:rsidR="002225FC" w:rsidRPr="002365F0" w:rsidRDefault="002225FC" w:rsidP="002225FC">
      <w:pPr>
        <w:pStyle w:val="ListBullet"/>
        <w:tabs>
          <w:tab w:val="clear" w:pos="1080"/>
          <w:tab w:val="num" w:pos="360"/>
        </w:tabs>
        <w:ind w:left="360" w:hanging="360"/>
      </w:pPr>
      <w:r w:rsidRPr="002365F0">
        <w:t xml:space="preserve">Belgium </w:t>
      </w:r>
    </w:p>
    <w:p w14:paraId="1FF84B68" w14:textId="77777777" w:rsidR="002225FC" w:rsidRPr="002365F0" w:rsidRDefault="002225FC" w:rsidP="002225FC">
      <w:pPr>
        <w:pStyle w:val="ListBullet"/>
        <w:tabs>
          <w:tab w:val="clear" w:pos="1080"/>
          <w:tab w:val="num" w:pos="360"/>
        </w:tabs>
        <w:ind w:left="360" w:hanging="360"/>
      </w:pPr>
      <w:r w:rsidRPr="002365F0">
        <w:t xml:space="preserve">Finland </w:t>
      </w:r>
    </w:p>
    <w:p w14:paraId="13718B2F" w14:textId="77777777" w:rsidR="002225FC" w:rsidRPr="002365F0" w:rsidRDefault="002225FC" w:rsidP="002225FC">
      <w:pPr>
        <w:pStyle w:val="ListBullet"/>
        <w:tabs>
          <w:tab w:val="clear" w:pos="1080"/>
          <w:tab w:val="num" w:pos="360"/>
        </w:tabs>
        <w:ind w:left="360" w:hanging="360"/>
      </w:pPr>
      <w:r w:rsidRPr="002365F0">
        <w:t>Italy</w:t>
      </w:r>
    </w:p>
    <w:p w14:paraId="05F5389C" w14:textId="77777777" w:rsidR="002225FC" w:rsidRPr="002365F0" w:rsidRDefault="002225FC" w:rsidP="002225FC">
      <w:pPr>
        <w:pStyle w:val="ListBullet"/>
        <w:tabs>
          <w:tab w:val="clear" w:pos="1080"/>
          <w:tab w:val="num" w:pos="360"/>
        </w:tabs>
        <w:ind w:left="360" w:hanging="360"/>
      </w:pPr>
      <w:r w:rsidRPr="002365F0">
        <w:t xml:space="preserve">Malta </w:t>
      </w:r>
    </w:p>
    <w:p w14:paraId="2B89646E" w14:textId="77777777" w:rsidR="002225FC" w:rsidRPr="002365F0" w:rsidRDefault="002225FC" w:rsidP="002225FC">
      <w:pPr>
        <w:pStyle w:val="ListBullet"/>
        <w:tabs>
          <w:tab w:val="clear" w:pos="1080"/>
          <w:tab w:val="num" w:pos="360"/>
        </w:tabs>
        <w:ind w:left="360" w:hanging="360"/>
      </w:pPr>
      <w:r w:rsidRPr="002365F0">
        <w:t xml:space="preserve">New Zealand </w:t>
      </w:r>
    </w:p>
    <w:p w14:paraId="50DEACCC" w14:textId="77777777" w:rsidR="002225FC" w:rsidRPr="002365F0" w:rsidRDefault="002225FC" w:rsidP="002225FC">
      <w:pPr>
        <w:pStyle w:val="ListBullet"/>
        <w:tabs>
          <w:tab w:val="clear" w:pos="1080"/>
          <w:tab w:val="num" w:pos="360"/>
        </w:tabs>
        <w:ind w:left="360" w:hanging="360"/>
      </w:pPr>
      <w:r w:rsidRPr="002365F0">
        <w:t>Norway</w:t>
      </w:r>
    </w:p>
    <w:p w14:paraId="0997E9FA" w14:textId="77777777" w:rsidR="002225FC" w:rsidRPr="002365F0" w:rsidRDefault="002225FC" w:rsidP="002225FC">
      <w:pPr>
        <w:pStyle w:val="ListBullet"/>
        <w:tabs>
          <w:tab w:val="clear" w:pos="1080"/>
          <w:tab w:val="num" w:pos="360"/>
        </w:tabs>
        <w:ind w:left="360" w:hanging="360"/>
      </w:pPr>
      <w:r w:rsidRPr="002365F0">
        <w:t>Republic of Ireland</w:t>
      </w:r>
    </w:p>
    <w:p w14:paraId="23F7C376" w14:textId="77777777" w:rsidR="002225FC" w:rsidRPr="002365F0" w:rsidRDefault="002225FC" w:rsidP="002225FC">
      <w:pPr>
        <w:pStyle w:val="ListBullet"/>
        <w:tabs>
          <w:tab w:val="clear" w:pos="1080"/>
          <w:tab w:val="num" w:pos="360"/>
        </w:tabs>
        <w:ind w:left="360" w:hanging="360"/>
      </w:pPr>
      <w:r w:rsidRPr="002365F0">
        <w:t>Slovenia</w:t>
      </w:r>
    </w:p>
    <w:p w14:paraId="73123CB6" w14:textId="77777777" w:rsidR="002225FC" w:rsidRPr="002365F0" w:rsidRDefault="002225FC" w:rsidP="002225FC">
      <w:pPr>
        <w:pStyle w:val="ListBullet"/>
        <w:tabs>
          <w:tab w:val="clear" w:pos="1080"/>
          <w:tab w:val="num" w:pos="360"/>
        </w:tabs>
        <w:ind w:left="360" w:hanging="360"/>
      </w:pPr>
      <w:r w:rsidRPr="002365F0">
        <w:t>Sweden</w:t>
      </w:r>
    </w:p>
    <w:p w14:paraId="1DB010D3" w14:textId="77777777" w:rsidR="002225FC" w:rsidRPr="002365F0" w:rsidRDefault="002225FC" w:rsidP="002225FC">
      <w:pPr>
        <w:pStyle w:val="ListBullet"/>
        <w:tabs>
          <w:tab w:val="clear" w:pos="1080"/>
          <w:tab w:val="num" w:pos="360"/>
        </w:tabs>
        <w:ind w:left="360" w:hanging="360"/>
      </w:pPr>
      <w:r w:rsidRPr="002365F0">
        <w:t>The Netherlands</w:t>
      </w:r>
    </w:p>
    <w:p w14:paraId="06822820" w14:textId="77777777" w:rsidR="002225FC" w:rsidRPr="006D309B" w:rsidRDefault="002225FC" w:rsidP="002225FC">
      <w:pPr>
        <w:pStyle w:val="ListBullet"/>
        <w:tabs>
          <w:tab w:val="clear" w:pos="1080"/>
          <w:tab w:val="num" w:pos="360"/>
        </w:tabs>
        <w:ind w:left="360" w:hanging="360"/>
      </w:pPr>
      <w:r w:rsidRPr="002365F0">
        <w:t xml:space="preserve">The United Kingdom – Including Scotland, </w:t>
      </w:r>
      <w:proofErr w:type="gramStart"/>
      <w:r w:rsidRPr="002365F0">
        <w:t>Wales</w:t>
      </w:r>
      <w:proofErr w:type="gramEnd"/>
      <w:r w:rsidRPr="002365F0">
        <w:t xml:space="preserve"> and </w:t>
      </w:r>
      <w:r w:rsidRPr="006D309B">
        <w:t>Northern Island</w:t>
      </w:r>
      <w:r>
        <w:t>.</w:t>
      </w:r>
    </w:p>
    <w:p w14:paraId="4A4A1350" w14:textId="77777777" w:rsidR="002225FC" w:rsidRPr="001158EB" w:rsidRDefault="002225FC" w:rsidP="002225FC">
      <w:pPr>
        <w:pStyle w:val="Heading3"/>
        <w:rPr>
          <w:rFonts w:ascii="Calibri" w:hAnsi="Calibri"/>
          <w:color w:val="auto"/>
          <w:szCs w:val="26"/>
        </w:rPr>
      </w:pPr>
      <w:r w:rsidRPr="001158EB">
        <w:rPr>
          <w:rFonts w:ascii="Calibri" w:hAnsi="Calibri"/>
          <w:color w:val="auto"/>
          <w:szCs w:val="26"/>
        </w:rPr>
        <w:t>Period of cover</w:t>
      </w:r>
    </w:p>
    <w:p w14:paraId="16D3CD0A" w14:textId="77777777" w:rsidR="002225FC" w:rsidRPr="006D309B" w:rsidRDefault="002225FC" w:rsidP="002225FC">
      <w:pPr>
        <w:rPr>
          <w:rFonts w:cs="Calibri"/>
          <w:szCs w:val="24"/>
        </w:rPr>
      </w:pPr>
      <w:r w:rsidRPr="006D309B">
        <w:rPr>
          <w:rFonts w:cs="Calibri"/>
          <w:szCs w:val="24"/>
        </w:rPr>
        <w:t xml:space="preserve">Residents from Belgium, Finland, the Netherlands, Norway, Slovenia, Sweden, and the United Kingdom are covered from the first day they arrive in Australia until either their private health insurance or visa expires (whichever expires first). </w:t>
      </w:r>
    </w:p>
    <w:p w14:paraId="566DBE77" w14:textId="77777777" w:rsidR="002225FC" w:rsidRPr="006D309B" w:rsidRDefault="002225FC" w:rsidP="002225FC">
      <w:pPr>
        <w:rPr>
          <w:rFonts w:cs="Calibri"/>
          <w:szCs w:val="24"/>
        </w:rPr>
      </w:pPr>
    </w:p>
    <w:p w14:paraId="4B30C029" w14:textId="77777777" w:rsidR="002225FC" w:rsidRPr="006D309B" w:rsidRDefault="002225FC" w:rsidP="002225FC">
      <w:pPr>
        <w:rPr>
          <w:rFonts w:cs="Calibri"/>
          <w:szCs w:val="24"/>
        </w:rPr>
      </w:pPr>
      <w:r w:rsidRPr="006D309B">
        <w:rPr>
          <w:rFonts w:cs="Calibri"/>
          <w:szCs w:val="24"/>
        </w:rPr>
        <w:t xml:space="preserve">Residents from New Zealand are covered for the entire length of their stay in Australia. </w:t>
      </w:r>
    </w:p>
    <w:p w14:paraId="2848B213" w14:textId="77777777" w:rsidR="002225FC" w:rsidRPr="006D309B" w:rsidRDefault="002225FC" w:rsidP="002225FC">
      <w:pPr>
        <w:rPr>
          <w:rFonts w:cs="Calibri"/>
          <w:szCs w:val="24"/>
        </w:rPr>
      </w:pPr>
    </w:p>
    <w:p w14:paraId="07E439D4" w14:textId="77777777" w:rsidR="002225FC" w:rsidRPr="006D309B" w:rsidRDefault="002225FC" w:rsidP="002225FC">
      <w:pPr>
        <w:rPr>
          <w:rFonts w:cs="Calibri"/>
          <w:szCs w:val="24"/>
        </w:rPr>
      </w:pPr>
      <w:r w:rsidRPr="006D309B">
        <w:rPr>
          <w:rFonts w:cs="Calibri"/>
          <w:szCs w:val="24"/>
        </w:rPr>
        <w:t xml:space="preserve">Residents from Republic of Ireland are covered from the day they arrive in Australia until their visa ends. </w:t>
      </w:r>
    </w:p>
    <w:p w14:paraId="598B32F6" w14:textId="77777777" w:rsidR="002225FC" w:rsidRPr="006D309B" w:rsidRDefault="002225FC" w:rsidP="002225FC">
      <w:pPr>
        <w:rPr>
          <w:rFonts w:cs="Calibri"/>
          <w:szCs w:val="24"/>
        </w:rPr>
      </w:pPr>
    </w:p>
    <w:p w14:paraId="4C2EE301" w14:textId="77777777" w:rsidR="002225FC" w:rsidRPr="006D309B" w:rsidRDefault="002225FC" w:rsidP="002225FC">
      <w:pPr>
        <w:rPr>
          <w:rFonts w:cs="Calibri"/>
          <w:szCs w:val="24"/>
        </w:rPr>
      </w:pPr>
      <w:r w:rsidRPr="006D309B">
        <w:rPr>
          <w:rFonts w:cs="Calibri"/>
          <w:szCs w:val="24"/>
        </w:rPr>
        <w:t xml:space="preserve">Residents from Italy and Malta are covered from the first day they arrive in Australia for a period of 6 months unless their visa expires first. </w:t>
      </w:r>
    </w:p>
    <w:p w14:paraId="3DC77CD3" w14:textId="77777777" w:rsidR="002225FC" w:rsidRPr="001158EB" w:rsidRDefault="002225FC" w:rsidP="002225FC">
      <w:pPr>
        <w:pStyle w:val="Heading3"/>
        <w:rPr>
          <w:rFonts w:ascii="Calibri" w:hAnsi="Calibri"/>
          <w:color w:val="auto"/>
          <w:szCs w:val="26"/>
        </w:rPr>
      </w:pPr>
      <w:r w:rsidRPr="001158EB">
        <w:rPr>
          <w:rFonts w:ascii="Calibri" w:hAnsi="Calibri"/>
          <w:color w:val="auto"/>
          <w:szCs w:val="26"/>
        </w:rPr>
        <w:t>Students</w:t>
      </w:r>
    </w:p>
    <w:p w14:paraId="290C6DDD" w14:textId="77777777" w:rsidR="002225FC" w:rsidRPr="006D309B" w:rsidRDefault="002225FC" w:rsidP="002225FC">
      <w:pPr>
        <w:rPr>
          <w:rFonts w:cs="Calibri"/>
          <w:szCs w:val="24"/>
        </w:rPr>
      </w:pPr>
      <w:r w:rsidRPr="006D309B">
        <w:rPr>
          <w:rFonts w:cs="Calibri"/>
          <w:szCs w:val="24"/>
        </w:rPr>
        <w:t xml:space="preserve">Visitors to Australia on a student visa from Belgium, Italy, The Netherlands, New Zealand, Slovenia, Sweden, and The United Kingdom are covered under RHCA. </w:t>
      </w:r>
    </w:p>
    <w:p w14:paraId="5CDF8E80" w14:textId="77777777" w:rsidR="002225FC" w:rsidRDefault="002225FC" w:rsidP="002225FC">
      <w:pPr>
        <w:rPr>
          <w:szCs w:val="24"/>
        </w:rPr>
      </w:pPr>
      <w:r w:rsidRPr="006D309B">
        <w:rPr>
          <w:rFonts w:cs="Calibri"/>
          <w:szCs w:val="24"/>
        </w:rPr>
        <w:t>However, visitors on student visas from Finland, Malta, Norway</w:t>
      </w:r>
      <w:r w:rsidRPr="006D309B">
        <w:rPr>
          <w:szCs w:val="24"/>
        </w:rPr>
        <w:t xml:space="preserve"> and Republic of Ireland are not covered and should be billed as </w:t>
      </w:r>
      <w:proofErr w:type="gramStart"/>
      <w:r w:rsidRPr="006D309B">
        <w:rPr>
          <w:szCs w:val="24"/>
        </w:rPr>
        <w:t>Non-Eligible</w:t>
      </w:r>
      <w:proofErr w:type="gramEnd"/>
      <w:r w:rsidRPr="006D309B">
        <w:rPr>
          <w:szCs w:val="24"/>
        </w:rPr>
        <w:t xml:space="preserve">. </w:t>
      </w:r>
    </w:p>
    <w:p w14:paraId="076AAED4" w14:textId="77777777" w:rsidR="002225FC" w:rsidRPr="006D309B" w:rsidRDefault="002225FC" w:rsidP="002225FC">
      <w:pPr>
        <w:rPr>
          <w:szCs w:val="24"/>
        </w:rPr>
      </w:pPr>
    </w:p>
    <w:p w14:paraId="22C1A4D4" w14:textId="77777777" w:rsidR="002225FC" w:rsidRPr="004E0DEC" w:rsidRDefault="002225FC" w:rsidP="002225FC">
      <w:pPr>
        <w:pStyle w:val="Heading2"/>
      </w:pPr>
      <w:bookmarkStart w:id="163" w:name="_Toc135647210"/>
      <w:bookmarkStart w:id="164" w:name="_Toc167113135"/>
      <w:bookmarkStart w:id="165" w:name="_Toc2859030"/>
      <w:r w:rsidRPr="004E0DEC">
        <w:lastRenderedPageBreak/>
        <w:t>Asylum Seeker with ACT Access Card</w:t>
      </w:r>
      <w:bookmarkEnd w:id="163"/>
      <w:bookmarkEnd w:id="164"/>
      <w:r w:rsidRPr="004E0DEC">
        <w:t xml:space="preserve"> </w:t>
      </w:r>
      <w:bookmarkEnd w:id="159"/>
      <w:bookmarkEnd w:id="160"/>
      <w:bookmarkEnd w:id="161"/>
      <w:bookmarkEnd w:id="165"/>
    </w:p>
    <w:p w14:paraId="79DD1A20" w14:textId="77777777" w:rsidR="002225FC" w:rsidRPr="006D309B" w:rsidRDefault="002225FC" w:rsidP="002225FC">
      <w:pPr>
        <w:rPr>
          <w:rFonts w:cs="Calibri"/>
          <w:szCs w:val="24"/>
          <w:shd w:val="clear" w:color="auto" w:fill="FFFFFF"/>
        </w:rPr>
      </w:pPr>
      <w:r w:rsidRPr="006D309B">
        <w:rPr>
          <w:rFonts w:cs="Calibri"/>
          <w:szCs w:val="24"/>
        </w:rPr>
        <w:t>As mentioned above an asylum seeker i</w:t>
      </w:r>
      <w:r w:rsidRPr="006D309B">
        <w:rPr>
          <w:rFonts w:cs="Calibri"/>
          <w:szCs w:val="24"/>
          <w:shd w:val="clear" w:color="auto" w:fill="FFFFFF"/>
        </w:rPr>
        <w:t>s an individual who is seeking international protection. Not every asylum seeker will ultimately be recognised as a refugee, but every refugee is first an asylum seeker.</w:t>
      </w:r>
    </w:p>
    <w:p w14:paraId="324037E9" w14:textId="77777777" w:rsidR="002225FC" w:rsidRPr="006D309B" w:rsidRDefault="002225FC" w:rsidP="002225FC">
      <w:pPr>
        <w:rPr>
          <w:rFonts w:cs="Calibri"/>
          <w:szCs w:val="24"/>
          <w:shd w:val="clear" w:color="auto" w:fill="FFFFFF"/>
        </w:rPr>
      </w:pPr>
      <w:r w:rsidRPr="006D309B">
        <w:rPr>
          <w:rFonts w:cs="Calibri"/>
          <w:szCs w:val="24"/>
          <w:shd w:val="clear" w:color="auto" w:fill="FFFFFF"/>
        </w:rPr>
        <w:t xml:space="preserve">In Australia, an asylum seeker is a Protection Visa (PV) applicant who has not yet received a final decision on their application from the Department of Home Affairs and are instead issues with an ACT Access Card. </w:t>
      </w:r>
    </w:p>
    <w:p w14:paraId="64ADA9E7" w14:textId="77777777" w:rsidR="002225FC" w:rsidRPr="006D309B" w:rsidRDefault="002225FC" w:rsidP="002225FC">
      <w:pPr>
        <w:rPr>
          <w:rFonts w:cs="Calibri"/>
          <w:szCs w:val="24"/>
          <w:shd w:val="clear" w:color="auto" w:fill="FFFFFF"/>
        </w:rPr>
      </w:pPr>
    </w:p>
    <w:p w14:paraId="755BEEF6" w14:textId="77777777" w:rsidR="002225FC" w:rsidRDefault="002225FC" w:rsidP="002225FC">
      <w:pPr>
        <w:rPr>
          <w:rFonts w:cs="Calibri"/>
          <w:color w:val="313131"/>
          <w:szCs w:val="24"/>
          <w:shd w:val="clear" w:color="auto" w:fill="FFFFFF"/>
        </w:rPr>
      </w:pPr>
      <w:r w:rsidRPr="00E44FE7">
        <w:rPr>
          <w:noProof/>
          <w:lang w:eastAsia="en-AU"/>
        </w:rPr>
        <w:drawing>
          <wp:inline distT="0" distB="0" distL="0" distR="0" wp14:anchorId="7499600D" wp14:editId="3B06D7B9">
            <wp:extent cx="2355956" cy="1477670"/>
            <wp:effectExtent l="0" t="0" r="635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cstate="print"/>
                    <a:srcRect/>
                    <a:stretch>
                      <a:fillRect/>
                    </a:stretch>
                  </pic:blipFill>
                  <pic:spPr bwMode="auto">
                    <a:xfrm>
                      <a:off x="0" y="0"/>
                      <a:ext cx="2417110" cy="1516026"/>
                    </a:xfrm>
                    <a:prstGeom prst="rect">
                      <a:avLst/>
                    </a:prstGeom>
                    <a:noFill/>
                    <a:ln w="9525">
                      <a:noFill/>
                      <a:miter lim="800000"/>
                      <a:headEnd/>
                      <a:tailEnd/>
                    </a:ln>
                  </pic:spPr>
                </pic:pic>
              </a:graphicData>
            </a:graphic>
          </wp:inline>
        </w:drawing>
      </w:r>
    </w:p>
    <w:p w14:paraId="62EB50B8" w14:textId="77777777" w:rsidR="002225FC" w:rsidRDefault="002225FC" w:rsidP="002225FC">
      <w:pPr>
        <w:rPr>
          <w:rFonts w:cs="Calibri"/>
          <w:color w:val="313131"/>
          <w:szCs w:val="24"/>
          <w:shd w:val="clear" w:color="auto" w:fill="FFFFFF"/>
        </w:rPr>
      </w:pPr>
    </w:p>
    <w:p w14:paraId="78849EB2" w14:textId="77777777" w:rsidR="002225FC" w:rsidRPr="006D309B" w:rsidRDefault="002225FC" w:rsidP="002225FC">
      <w:pPr>
        <w:rPr>
          <w:rFonts w:cs="Calibri"/>
          <w:szCs w:val="24"/>
          <w:shd w:val="clear" w:color="auto" w:fill="FFFFFF"/>
        </w:rPr>
      </w:pPr>
      <w:r w:rsidRPr="006D309B">
        <w:rPr>
          <w:rFonts w:cs="Calibri"/>
          <w:szCs w:val="24"/>
          <w:shd w:val="clear" w:color="auto" w:fill="FFFFFF"/>
        </w:rPr>
        <w:t xml:space="preserve">Asylum seekers can feel extremely vulnerable because they have an uncertain future. By showing their ACT Services Access Card, asylum seekers can decrease the stress or trauma of retelling their story again. </w:t>
      </w:r>
    </w:p>
    <w:p w14:paraId="12C91C89" w14:textId="77777777" w:rsidR="002225FC" w:rsidRPr="006D309B" w:rsidRDefault="002225FC" w:rsidP="002225FC">
      <w:pPr>
        <w:rPr>
          <w:rFonts w:cs="Calibri"/>
          <w:szCs w:val="24"/>
          <w:shd w:val="clear" w:color="auto" w:fill="FFFFFF"/>
        </w:rPr>
      </w:pPr>
      <w:r w:rsidRPr="006D309B">
        <w:rPr>
          <w:szCs w:val="24"/>
        </w:rPr>
        <w:t>This card entities the asylum seeker to free public health care including pathology, diagnostic imaging, pharmaceutical and outpatient services in ACT public hospitals.</w:t>
      </w:r>
    </w:p>
    <w:p w14:paraId="48586FA3" w14:textId="77777777" w:rsidR="002225FC" w:rsidRDefault="002225FC" w:rsidP="002225FC">
      <w:pPr>
        <w:rPr>
          <w:rFonts w:cs="Calibri"/>
          <w:szCs w:val="24"/>
        </w:rPr>
      </w:pPr>
      <w:bookmarkStart w:id="166" w:name="_Hlk58250171"/>
      <w:r w:rsidRPr="006D309B">
        <w:rPr>
          <w:rFonts w:cs="Calibri"/>
          <w:szCs w:val="24"/>
        </w:rPr>
        <w:t xml:space="preserve">The appropriate ad cat to use for an Asylum Seeker with an ACT Access Card is “Public” – no charges are to be raised. </w:t>
      </w:r>
    </w:p>
    <w:p w14:paraId="03BF9F14" w14:textId="77777777" w:rsidR="002225FC" w:rsidRPr="006D309B" w:rsidRDefault="002225FC" w:rsidP="002225FC">
      <w:pPr>
        <w:rPr>
          <w:szCs w:val="24"/>
        </w:rPr>
      </w:pPr>
    </w:p>
    <w:p w14:paraId="69467417" w14:textId="77777777" w:rsidR="002225FC" w:rsidRPr="004E0DEC" w:rsidRDefault="002225FC" w:rsidP="002225FC">
      <w:pPr>
        <w:pStyle w:val="Heading2"/>
      </w:pPr>
      <w:bookmarkStart w:id="167" w:name="_Toc135647211"/>
      <w:bookmarkStart w:id="168" w:name="_Toc167113136"/>
      <w:bookmarkStart w:id="169" w:name="_Toc2859031"/>
      <w:bookmarkStart w:id="170" w:name="_Toc416247392"/>
      <w:bookmarkStart w:id="171" w:name="_Toc416246247"/>
      <w:bookmarkStart w:id="172" w:name="_Toc404852094"/>
      <w:bookmarkEnd w:id="166"/>
      <w:r w:rsidRPr="004E0DEC">
        <w:t xml:space="preserve">Correctional Facility/Incarcerated </w:t>
      </w:r>
      <w:r>
        <w:t>Patient</w:t>
      </w:r>
      <w:bookmarkEnd w:id="167"/>
      <w:bookmarkEnd w:id="168"/>
      <w:r>
        <w:t xml:space="preserve"> </w:t>
      </w:r>
      <w:bookmarkEnd w:id="169"/>
      <w:bookmarkEnd w:id="170"/>
      <w:bookmarkEnd w:id="171"/>
      <w:bookmarkEnd w:id="172"/>
    </w:p>
    <w:p w14:paraId="4EE08E8A" w14:textId="77777777" w:rsidR="002225FC" w:rsidRPr="006D309B" w:rsidRDefault="002225FC" w:rsidP="002225FC">
      <w:pPr>
        <w:rPr>
          <w:rFonts w:cs="Calibri"/>
          <w:szCs w:val="24"/>
        </w:rPr>
      </w:pPr>
      <w:r w:rsidRPr="006D309B">
        <w:rPr>
          <w:rFonts w:cs="Calibri"/>
          <w:szCs w:val="24"/>
          <w:shd w:val="clear" w:color="auto" w:fill="FFFFFF"/>
        </w:rPr>
        <w:t>Any person who is incarcerated is excluded from Medicare and PBS under section 19(2) of the</w:t>
      </w:r>
      <w:r w:rsidRPr="006D309B">
        <w:t xml:space="preserve"> </w:t>
      </w:r>
      <w:hyperlink r:id="rId48" w:history="1">
        <w:r w:rsidRPr="003232A0">
          <w:rPr>
            <w:rStyle w:val="Hyperlink"/>
            <w:rFonts w:cs="Calibri"/>
            <w:szCs w:val="24"/>
          </w:rPr>
          <w:t>Health Insurance Act 1973</w:t>
        </w:r>
      </w:hyperlink>
      <w:r w:rsidRPr="003232A0">
        <w:rPr>
          <w:rFonts w:cs="Calibri"/>
          <w:szCs w:val="24"/>
        </w:rPr>
        <w:t xml:space="preserve">. </w:t>
      </w:r>
      <w:r w:rsidRPr="006D309B">
        <w:rPr>
          <w:rFonts w:cs="Calibri"/>
          <w:szCs w:val="24"/>
        </w:rPr>
        <w:t xml:space="preserve">This means an incarcerated patient attending </w:t>
      </w:r>
      <w:r w:rsidRPr="006D309B">
        <w:rPr>
          <w:rFonts w:cs="Calibri"/>
          <w:szCs w:val="24"/>
          <w:shd w:val="clear" w:color="auto" w:fill="FFFFFF"/>
        </w:rPr>
        <w:t xml:space="preserve">CHS for services, should be treated as a public patient and the funding we receive is generated outside of Medicare. </w:t>
      </w:r>
      <w:r w:rsidRPr="006D309B">
        <w:rPr>
          <w:rFonts w:cs="Calibri"/>
          <w:szCs w:val="24"/>
        </w:rPr>
        <w:t xml:space="preserve">The appropriate ad cat to use for an incarcerated patient is “Correctional Facility” – therefore no charges are to be raised. </w:t>
      </w:r>
    </w:p>
    <w:p w14:paraId="17C92B76" w14:textId="77777777" w:rsidR="002225FC" w:rsidRDefault="002225FC" w:rsidP="002225FC">
      <w:pPr>
        <w:rPr>
          <w:rFonts w:cs="Calibri"/>
          <w:szCs w:val="24"/>
          <w:shd w:val="clear" w:color="auto" w:fill="FFFFFF"/>
        </w:rPr>
      </w:pPr>
      <w:r w:rsidRPr="006D309B">
        <w:rPr>
          <w:rFonts w:cs="Calibri"/>
          <w:szCs w:val="24"/>
          <w:shd w:val="clear" w:color="auto" w:fill="FFFFFF"/>
        </w:rPr>
        <w:t xml:space="preserve">When correcting patient demographics for an incarcerated patient, ensure their address and “next of kin” is listed as the name of the </w:t>
      </w:r>
      <w:proofErr w:type="gramStart"/>
      <w:r w:rsidRPr="006D309B">
        <w:rPr>
          <w:rFonts w:cs="Calibri"/>
          <w:szCs w:val="24"/>
          <w:shd w:val="clear" w:color="auto" w:fill="FFFFFF"/>
        </w:rPr>
        <w:t>correctional facility</w:t>
      </w:r>
      <w:proofErr w:type="gramEnd"/>
      <w:r w:rsidRPr="006D309B">
        <w:rPr>
          <w:rFonts w:cs="Calibri"/>
          <w:szCs w:val="24"/>
          <w:shd w:val="clear" w:color="auto" w:fill="FFFFFF"/>
        </w:rPr>
        <w:t xml:space="preserve"> the patient is in. Incarcerated patients will have their </w:t>
      </w:r>
      <w:proofErr w:type="gramStart"/>
      <w:r w:rsidRPr="006D309B">
        <w:rPr>
          <w:rFonts w:cs="Calibri"/>
          <w:szCs w:val="24"/>
          <w:shd w:val="clear" w:color="auto" w:fill="FFFFFF"/>
        </w:rPr>
        <w:t>correctional facility</w:t>
      </w:r>
      <w:proofErr w:type="gramEnd"/>
      <w:r w:rsidRPr="006D309B">
        <w:rPr>
          <w:rFonts w:cs="Calibri"/>
          <w:szCs w:val="24"/>
          <w:shd w:val="clear" w:color="auto" w:fill="FFFFFF"/>
        </w:rPr>
        <w:t xml:space="preserve"> visit listed in DHR so the demographic details should be available for reference.</w:t>
      </w:r>
    </w:p>
    <w:p w14:paraId="1B9513DA" w14:textId="77777777" w:rsidR="002225FC" w:rsidRPr="006D309B" w:rsidRDefault="002225FC" w:rsidP="002225FC">
      <w:pPr>
        <w:rPr>
          <w:rFonts w:cs="Calibri"/>
          <w:szCs w:val="24"/>
          <w:shd w:val="clear" w:color="auto" w:fill="FFFFFF"/>
        </w:rPr>
      </w:pPr>
    </w:p>
    <w:p w14:paraId="41275EB3" w14:textId="77777777" w:rsidR="002225FC" w:rsidRPr="00EE39AD" w:rsidRDefault="002225FC" w:rsidP="002225FC">
      <w:pPr>
        <w:pStyle w:val="Heading2"/>
      </w:pPr>
      <w:bookmarkStart w:id="173" w:name="_Toc135647212"/>
      <w:bookmarkStart w:id="174" w:name="_Toc167113137"/>
      <w:bookmarkStart w:id="175" w:name="non_eligible_exemptions"/>
      <w:r w:rsidRPr="00EE39AD">
        <w:t>Non-Eligible Exemptions</w:t>
      </w:r>
      <w:bookmarkEnd w:id="173"/>
      <w:bookmarkEnd w:id="174"/>
      <w:r w:rsidRPr="00EE39AD">
        <w:t xml:space="preserve"> </w:t>
      </w:r>
    </w:p>
    <w:bookmarkEnd w:id="175"/>
    <w:p w14:paraId="1E68BDF7" w14:textId="77777777" w:rsidR="002225FC" w:rsidRPr="006D309B" w:rsidRDefault="002225FC" w:rsidP="002225FC">
      <w:pPr>
        <w:rPr>
          <w:szCs w:val="24"/>
        </w:rPr>
      </w:pPr>
      <w:r w:rsidRPr="006D309B">
        <w:rPr>
          <w:szCs w:val="24"/>
        </w:rPr>
        <w:t xml:space="preserve">Generally, Non-Eligible patients will be charged for services provided by CHS. </w:t>
      </w:r>
    </w:p>
    <w:p w14:paraId="334C6467" w14:textId="77777777" w:rsidR="002225FC" w:rsidRPr="006D309B" w:rsidRDefault="002225FC" w:rsidP="002225FC">
      <w:pPr>
        <w:rPr>
          <w:szCs w:val="24"/>
        </w:rPr>
      </w:pPr>
      <w:r w:rsidRPr="006D309B">
        <w:rPr>
          <w:szCs w:val="24"/>
        </w:rPr>
        <w:t xml:space="preserve">However, under certain circumstances outlined in the </w:t>
      </w:r>
      <w:hyperlink r:id="rId49" w:history="1">
        <w:r w:rsidRPr="00B620CF">
          <w:rPr>
            <w:rStyle w:val="Hyperlink"/>
            <w:rFonts w:cs="Calibri"/>
            <w:szCs w:val="24"/>
          </w:rPr>
          <w:t>Health (</w:t>
        </w:r>
        <w:r>
          <w:rPr>
            <w:rStyle w:val="Hyperlink"/>
            <w:rFonts w:cs="Calibri"/>
            <w:szCs w:val="24"/>
          </w:rPr>
          <w:t>F</w:t>
        </w:r>
        <w:r w:rsidRPr="00B620CF">
          <w:rPr>
            <w:rStyle w:val="Hyperlink"/>
            <w:rFonts w:cs="Calibri"/>
            <w:szCs w:val="24"/>
          </w:rPr>
          <w:t>ees) Determination</w:t>
        </w:r>
      </w:hyperlink>
      <w:r w:rsidRPr="00653124">
        <w:rPr>
          <w:color w:val="76923C" w:themeColor="accent3" w:themeShade="BF"/>
          <w:szCs w:val="24"/>
        </w:rPr>
        <w:t xml:space="preserve"> </w:t>
      </w:r>
      <w:r w:rsidRPr="006D309B">
        <w:rPr>
          <w:szCs w:val="24"/>
        </w:rPr>
        <w:t>(below), services will be provided to the patient, free of charge at the discretion of CHS and or the state/territory.</w:t>
      </w:r>
    </w:p>
    <w:p w14:paraId="14B49BB0" w14:textId="77777777" w:rsidR="002225FC" w:rsidRPr="006D309B" w:rsidRDefault="002225FC" w:rsidP="002225FC">
      <w:pPr>
        <w:pStyle w:val="ListBullet"/>
        <w:tabs>
          <w:tab w:val="clear" w:pos="1080"/>
          <w:tab w:val="num" w:pos="360"/>
        </w:tabs>
        <w:ind w:left="360" w:hanging="360"/>
      </w:pPr>
      <w:r w:rsidRPr="006D309B">
        <w:t>Investigation, Treatment and Medication for Eligible Tuberculosis and Latent Tuberculosis Patients</w:t>
      </w:r>
      <w:r>
        <w:t>.</w:t>
      </w:r>
    </w:p>
    <w:p w14:paraId="6FC5615D" w14:textId="77777777" w:rsidR="002225FC" w:rsidRPr="006D309B" w:rsidRDefault="002225FC" w:rsidP="002225FC">
      <w:pPr>
        <w:pStyle w:val="ListBullet"/>
        <w:tabs>
          <w:tab w:val="clear" w:pos="1080"/>
          <w:tab w:val="num" w:pos="360"/>
        </w:tabs>
        <w:ind w:left="360" w:hanging="360"/>
      </w:pPr>
      <w:r w:rsidRPr="006D309B">
        <w:t>HIV Medication for Medicare Ineligible Patients</w:t>
      </w:r>
      <w:r>
        <w:t>.</w:t>
      </w:r>
    </w:p>
    <w:p w14:paraId="02350FFF" w14:textId="77777777" w:rsidR="002225FC" w:rsidRPr="006D309B" w:rsidRDefault="002225FC" w:rsidP="002225FC">
      <w:pPr>
        <w:pStyle w:val="ListBullet"/>
        <w:tabs>
          <w:tab w:val="clear" w:pos="1080"/>
          <w:tab w:val="num" w:pos="360"/>
        </w:tabs>
        <w:ind w:left="360" w:hanging="360"/>
        <w:rPr>
          <w:b/>
        </w:rPr>
      </w:pPr>
      <w:r w:rsidRPr="006D309B">
        <w:t>Victims of family, domestic, and sexual violence</w:t>
      </w:r>
      <w:r>
        <w:t>.</w:t>
      </w:r>
    </w:p>
    <w:p w14:paraId="48B349A2" w14:textId="77777777" w:rsidR="002225FC" w:rsidRPr="006D309B" w:rsidRDefault="002225FC" w:rsidP="002225FC">
      <w:pPr>
        <w:pStyle w:val="ListBullet"/>
        <w:tabs>
          <w:tab w:val="clear" w:pos="1080"/>
          <w:tab w:val="num" w:pos="360"/>
        </w:tabs>
        <w:ind w:left="360" w:hanging="360"/>
      </w:pPr>
      <w:r w:rsidRPr="006D309B">
        <w:lastRenderedPageBreak/>
        <w:t>Involuntary Admissions</w:t>
      </w:r>
      <w:r>
        <w:t>.</w:t>
      </w:r>
    </w:p>
    <w:p w14:paraId="211C94D6" w14:textId="77777777" w:rsidR="002225FC" w:rsidRPr="006D309B" w:rsidRDefault="002225FC" w:rsidP="002225FC">
      <w:pPr>
        <w:pStyle w:val="ListBullet"/>
        <w:tabs>
          <w:tab w:val="clear" w:pos="1080"/>
          <w:tab w:val="num" w:pos="360"/>
        </w:tabs>
        <w:ind w:left="360" w:hanging="360"/>
      </w:pPr>
      <w:r w:rsidRPr="006D309B">
        <w:t>Public health services for Medicare Non-Eligible Patients during the COVID 19 period</w:t>
      </w:r>
      <w:r>
        <w:t>.</w:t>
      </w:r>
    </w:p>
    <w:p w14:paraId="60869D12" w14:textId="77777777" w:rsidR="002225FC" w:rsidRDefault="002225FC" w:rsidP="002225FC">
      <w:pPr>
        <w:pStyle w:val="BodyCopy"/>
        <w:rPr>
          <w:color w:val="auto"/>
        </w:rPr>
      </w:pPr>
      <w:r w:rsidRPr="006D309B">
        <w:rPr>
          <w:color w:val="auto"/>
        </w:rPr>
        <w:t>The appropriate ad cat to use when billing for a Medicare Non-Eligible/Ineligible patient who is exempt from charges will be “No Charge Raised Due to Hospital Decision”.</w:t>
      </w:r>
    </w:p>
    <w:p w14:paraId="6EDECE33" w14:textId="2521CA28" w:rsidR="002225FC" w:rsidRPr="001158EB" w:rsidRDefault="002225FC" w:rsidP="002225FC">
      <w:pPr>
        <w:pBdr>
          <w:top w:val="single" w:sz="4" w:space="1" w:color="auto"/>
          <w:left w:val="single" w:sz="4" w:space="4" w:color="auto"/>
          <w:bottom w:val="single" w:sz="4" w:space="1" w:color="auto"/>
          <w:right w:val="single" w:sz="4" w:space="4" w:color="auto"/>
        </w:pBdr>
        <w:rPr>
          <w:rFonts w:cs="Calibri"/>
          <w:szCs w:val="24"/>
        </w:rPr>
      </w:pPr>
      <w:r w:rsidRPr="00DA3DBE">
        <w:rPr>
          <w:rFonts w:cs="Calibri"/>
          <w:b/>
          <w:bCs/>
          <w:szCs w:val="24"/>
        </w:rPr>
        <w:t>Note</w:t>
      </w:r>
      <w:r w:rsidRPr="001158EB">
        <w:rPr>
          <w:rFonts w:cs="Calibri"/>
          <w:szCs w:val="24"/>
        </w:rPr>
        <w:t>: Please ensure you seek clarification from the Clinician and/or supporting treatment team if you believe a patient is exempt.</w:t>
      </w:r>
    </w:p>
    <w:p w14:paraId="1741A814" w14:textId="77777777" w:rsidR="000133B9" w:rsidRDefault="000133B9" w:rsidP="000133B9">
      <w:pPr>
        <w:rPr>
          <w:rFonts w:cs="Arial"/>
          <w:b/>
          <w:szCs w:val="24"/>
        </w:rPr>
      </w:pPr>
    </w:p>
    <w:p w14:paraId="1EF2536A" w14:textId="2A338322" w:rsidR="002225FC" w:rsidRDefault="00CD4A22" w:rsidP="002225FC">
      <w:pPr>
        <w:jc w:val="right"/>
        <w:rPr>
          <w:rFonts w:cs="Arial"/>
          <w:i/>
          <w:szCs w:val="24"/>
        </w:rPr>
      </w:pPr>
      <w:hyperlink w:anchor="Contents" w:history="1">
        <w:r w:rsidR="000133B9" w:rsidRPr="00C91F3F">
          <w:rPr>
            <w:rStyle w:val="Hyperlink"/>
            <w:rFonts w:eastAsiaTheme="majorEastAsia" w:cs="Arial"/>
            <w:i/>
            <w:szCs w:val="24"/>
          </w:rPr>
          <w:t>Back to Table of Contents</w:t>
        </w:r>
      </w:hyperlink>
      <w:r w:rsidR="000133B9">
        <w:rPr>
          <w:rFonts w:cs="Arial"/>
          <w:i/>
          <w:szCs w:val="24"/>
        </w:rPr>
        <w:t xml:space="preserve"> </w:t>
      </w:r>
    </w:p>
    <w:p w14:paraId="78DD667D" w14:textId="60B1BCCC" w:rsidR="000133B9" w:rsidRPr="00DA3910" w:rsidRDefault="00DA3DBE" w:rsidP="00DA3DBE">
      <w:pPr>
        <w:spacing w:after="200" w:line="276" w:lineRule="auto"/>
        <w:rPr>
          <w:rFonts w:cs="Arial"/>
          <w:b/>
          <w:szCs w:val="24"/>
        </w:rPr>
      </w:pPr>
      <w:r>
        <w:rPr>
          <w:rFonts w:cs="Arial"/>
          <w:b/>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0133B9" w:rsidRPr="00CD1C0E" w14:paraId="4241B0E5" w14:textId="77777777" w:rsidTr="00183C8B">
        <w:trPr>
          <w:cantSplit/>
          <w:trHeight w:val="285"/>
        </w:trPr>
        <w:tc>
          <w:tcPr>
            <w:tcW w:w="9158" w:type="dxa"/>
            <w:shd w:val="clear" w:color="auto" w:fill="D9D9D9" w:themeFill="background1" w:themeFillShade="D9"/>
          </w:tcPr>
          <w:p w14:paraId="5793200E" w14:textId="3D339980" w:rsidR="000133B9" w:rsidRPr="003D2D06" w:rsidRDefault="000133B9" w:rsidP="00183C8B">
            <w:pPr>
              <w:pStyle w:val="Heading1"/>
            </w:pPr>
            <w:bookmarkStart w:id="176" w:name="_Toc167113138"/>
            <w:r w:rsidRPr="003D2D06">
              <w:lastRenderedPageBreak/>
              <w:t xml:space="preserve">Section </w:t>
            </w:r>
            <w:r w:rsidR="002225FC">
              <w:t>7</w:t>
            </w:r>
            <w:r w:rsidRPr="003D2D06">
              <w:t xml:space="preserve"> – </w:t>
            </w:r>
            <w:r w:rsidR="002225FC">
              <w:t>Admission Category Workflow</w:t>
            </w:r>
            <w:bookmarkEnd w:id="176"/>
          </w:p>
        </w:tc>
      </w:tr>
    </w:tbl>
    <w:p w14:paraId="0C62638D" w14:textId="31F0A670" w:rsidR="00DA3DBE" w:rsidRPr="00DA3DBE" w:rsidRDefault="002225FC" w:rsidP="002225FC">
      <w:r w:rsidRPr="001E66F6">
        <w:rPr>
          <w:rFonts w:cs="Arial"/>
          <w:bCs/>
          <w:iCs/>
          <w:szCs w:val="24"/>
        </w:rPr>
        <w:t>The following flow chart shows how to identify which financial class a non-admitted patient falls under.</w:t>
      </w:r>
    </w:p>
    <w:p w14:paraId="741BFAE1" w14:textId="57D248BF" w:rsidR="000133B9" w:rsidRDefault="00DA3DBE" w:rsidP="000133B9">
      <w:pPr>
        <w:rPr>
          <w:rFonts w:cs="Arial"/>
          <w:b/>
          <w:szCs w:val="24"/>
        </w:rPr>
      </w:pPr>
      <w:r w:rsidRPr="001E66F6">
        <w:rPr>
          <w:bCs/>
          <w:iCs/>
          <w:noProof/>
          <w:szCs w:val="24"/>
        </w:rPr>
        <w:drawing>
          <wp:inline distT="0" distB="0" distL="0" distR="0" wp14:anchorId="393DA2E0" wp14:editId="4214C5AF">
            <wp:extent cx="5905500" cy="75476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05500" cy="7547610"/>
                    </a:xfrm>
                    <a:prstGeom prst="rect">
                      <a:avLst/>
                    </a:prstGeom>
                    <a:noFill/>
                    <a:ln w="9525">
                      <a:noFill/>
                      <a:miter lim="800000"/>
                      <a:headEnd/>
                      <a:tailEnd/>
                    </a:ln>
                  </pic:spPr>
                </pic:pic>
              </a:graphicData>
            </a:graphic>
          </wp:inline>
        </w:drawing>
      </w:r>
    </w:p>
    <w:p w14:paraId="70747F60" w14:textId="5BB0D962" w:rsidR="000133B9" w:rsidRPr="00DA3910" w:rsidRDefault="00CD4A22" w:rsidP="000133B9">
      <w:pPr>
        <w:jc w:val="right"/>
        <w:rPr>
          <w:rFonts w:cs="Arial"/>
          <w:b/>
          <w:szCs w:val="24"/>
        </w:rPr>
      </w:pPr>
      <w:hyperlink w:anchor="Contents" w:history="1">
        <w:r w:rsidR="000133B9" w:rsidRPr="00C91F3F">
          <w:rPr>
            <w:rStyle w:val="Hyperlink"/>
            <w:rFonts w:eastAsiaTheme="majorEastAsia" w:cs="Arial"/>
            <w:i/>
            <w:szCs w:val="24"/>
          </w:rPr>
          <w:t>Back to Table of Contents</w:t>
        </w:r>
      </w:hyperlink>
      <w:r w:rsidR="000133B9">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0133B9" w:rsidRPr="00CD1C0E" w14:paraId="0FED21AD" w14:textId="77777777" w:rsidTr="00183C8B">
        <w:trPr>
          <w:cantSplit/>
          <w:trHeight w:val="285"/>
        </w:trPr>
        <w:tc>
          <w:tcPr>
            <w:tcW w:w="9158" w:type="dxa"/>
            <w:shd w:val="clear" w:color="auto" w:fill="D9D9D9" w:themeFill="background1" w:themeFillShade="D9"/>
          </w:tcPr>
          <w:p w14:paraId="404771FF" w14:textId="6C9C7752" w:rsidR="000133B9" w:rsidRPr="003D2D06" w:rsidRDefault="000133B9" w:rsidP="00183C8B">
            <w:pPr>
              <w:pStyle w:val="Heading1"/>
            </w:pPr>
            <w:bookmarkStart w:id="177" w:name="_Toc167113139"/>
            <w:r w:rsidRPr="003D2D06">
              <w:t xml:space="preserve">Section </w:t>
            </w:r>
            <w:r w:rsidR="002225FC">
              <w:t>8</w:t>
            </w:r>
            <w:r w:rsidRPr="003D2D06">
              <w:t xml:space="preserve"> – </w:t>
            </w:r>
            <w:r w:rsidR="002225FC">
              <w:t>Frequently Asked Questions</w:t>
            </w:r>
            <w:bookmarkEnd w:id="177"/>
          </w:p>
        </w:tc>
      </w:tr>
    </w:tbl>
    <w:p w14:paraId="17319BC1" w14:textId="77777777" w:rsidR="000133B9" w:rsidRDefault="000133B9" w:rsidP="000133B9">
      <w:pPr>
        <w:pStyle w:val="Heading2"/>
      </w:pPr>
    </w:p>
    <w:p w14:paraId="25685F1B" w14:textId="77777777" w:rsidR="002225FC" w:rsidRPr="00653124" w:rsidRDefault="002225FC" w:rsidP="002225FC">
      <w:pPr>
        <w:rPr>
          <w:color w:val="76923C" w:themeColor="accent3" w:themeShade="BF"/>
          <w:szCs w:val="24"/>
        </w:rPr>
      </w:pPr>
      <w:r w:rsidRPr="001E66F6">
        <w:rPr>
          <w:szCs w:val="24"/>
        </w:rPr>
        <w:t>Email</w:t>
      </w:r>
      <w:r>
        <w:rPr>
          <w:color w:val="76923C" w:themeColor="accent3" w:themeShade="BF"/>
          <w:szCs w:val="24"/>
        </w:rPr>
        <w:t xml:space="preserve"> </w:t>
      </w:r>
      <w:hyperlink r:id="rId51" w:history="1">
        <w:r w:rsidRPr="00F5106D">
          <w:rPr>
            <w:rStyle w:val="Hyperlink"/>
            <w:szCs w:val="24"/>
          </w:rPr>
          <w:t>chs.revenuedata@act.gov.au</w:t>
        </w:r>
      </w:hyperlink>
      <w:r>
        <w:rPr>
          <w:color w:val="76923C" w:themeColor="accent3" w:themeShade="BF"/>
          <w:szCs w:val="24"/>
        </w:rPr>
        <w:t xml:space="preserve"> </w:t>
      </w:r>
    </w:p>
    <w:p w14:paraId="30155CA9" w14:textId="77777777" w:rsidR="002225FC" w:rsidRPr="001158EB" w:rsidRDefault="002225FC" w:rsidP="002225FC">
      <w:pPr>
        <w:pStyle w:val="Heading3"/>
        <w:rPr>
          <w:rFonts w:asciiTheme="minorHAnsi" w:hAnsiTheme="minorHAnsi" w:cstheme="minorHAnsi"/>
          <w:color w:val="auto"/>
        </w:rPr>
      </w:pPr>
      <w:r w:rsidRPr="001158EB">
        <w:rPr>
          <w:rFonts w:asciiTheme="minorHAnsi" w:hAnsiTheme="minorHAnsi" w:cstheme="minorHAnsi"/>
          <w:color w:val="auto"/>
        </w:rPr>
        <w:t xml:space="preserve">Q:  Can I still book the patient’s appointment if the referral isn’t named? </w:t>
      </w:r>
    </w:p>
    <w:p w14:paraId="3E908EAB" w14:textId="77777777" w:rsidR="002225FC" w:rsidRPr="001E66F6" w:rsidRDefault="002225FC" w:rsidP="002225FC">
      <w:pPr>
        <w:pStyle w:val="BodyCopy"/>
        <w:rPr>
          <w:color w:val="auto"/>
        </w:rPr>
      </w:pPr>
      <w:r w:rsidRPr="001E66F6">
        <w:rPr>
          <w:color w:val="auto"/>
        </w:rPr>
        <w:t xml:space="preserve">A: Yes. </w:t>
      </w:r>
    </w:p>
    <w:p w14:paraId="4ABE16B4" w14:textId="77777777" w:rsidR="002225FC" w:rsidRPr="001E66F6" w:rsidRDefault="002225FC" w:rsidP="002225FC">
      <w:pPr>
        <w:pStyle w:val="BodyCopy"/>
        <w:rPr>
          <w:color w:val="auto"/>
        </w:rPr>
      </w:pPr>
      <w:r w:rsidRPr="001E66F6">
        <w:rPr>
          <w:color w:val="auto"/>
        </w:rPr>
        <w:t>The National Health Reform Agreement states, Business Rule G17:</w:t>
      </w:r>
    </w:p>
    <w:p w14:paraId="7979D666" w14:textId="77777777" w:rsidR="002225FC" w:rsidRPr="00874116" w:rsidRDefault="002225FC" w:rsidP="002225FC">
      <w:pPr>
        <w:pStyle w:val="BodyCopy"/>
        <w:rPr>
          <w:color w:val="auto"/>
        </w:rPr>
      </w:pPr>
      <w:r w:rsidRPr="00874116">
        <w:rPr>
          <w:color w:val="auto"/>
        </w:rPr>
        <w:t xml:space="preserve">a. except where there is a third-party payment arrangement with the hospital or the State, emergency department patients cannot be referred to an outpatient department to receive services from a Medical Specialist exercising a right of private practice under the terms of employment or a contract with a hospital which provides public hospital </w:t>
      </w:r>
      <w:proofErr w:type="gramStart"/>
      <w:r w:rsidRPr="00874116">
        <w:rPr>
          <w:color w:val="auto"/>
        </w:rPr>
        <w:t>services;</w:t>
      </w:r>
      <w:proofErr w:type="gramEnd"/>
      <w:r w:rsidRPr="00874116">
        <w:rPr>
          <w:color w:val="auto"/>
        </w:rPr>
        <w:t xml:space="preserve"> </w:t>
      </w:r>
    </w:p>
    <w:p w14:paraId="5222ED2E" w14:textId="77777777" w:rsidR="002225FC" w:rsidRPr="00874116" w:rsidRDefault="002225FC" w:rsidP="002225FC">
      <w:pPr>
        <w:pStyle w:val="BodyCopy"/>
        <w:rPr>
          <w:color w:val="auto"/>
        </w:rPr>
      </w:pPr>
      <w:r w:rsidRPr="00874116">
        <w:rPr>
          <w:color w:val="auto"/>
        </w:rPr>
        <w:t xml:space="preserve">b. referral pathways must not be controlled </w:t>
      </w:r>
      <w:proofErr w:type="gramStart"/>
      <w:r w:rsidRPr="00874116">
        <w:rPr>
          <w:color w:val="auto"/>
        </w:rPr>
        <w:t>so as to</w:t>
      </w:r>
      <w:proofErr w:type="gramEnd"/>
      <w:r w:rsidRPr="00874116">
        <w:rPr>
          <w:color w:val="auto"/>
        </w:rPr>
        <w:t xml:space="preserve"> deny access to free public hospital services; and </w:t>
      </w:r>
    </w:p>
    <w:p w14:paraId="20F1EDBB" w14:textId="77777777" w:rsidR="002225FC" w:rsidRPr="00874116" w:rsidRDefault="002225FC" w:rsidP="002225FC">
      <w:pPr>
        <w:pStyle w:val="BodyCopy"/>
        <w:spacing w:before="100"/>
        <w:rPr>
          <w:color w:val="auto"/>
        </w:rPr>
      </w:pPr>
      <w:r w:rsidRPr="00874116">
        <w:rPr>
          <w:color w:val="auto"/>
        </w:rPr>
        <w:t>c. referral pathways must not be controlled so that a referral to a named Specialist is a prerequisite for access to outpatient services.</w:t>
      </w:r>
    </w:p>
    <w:p w14:paraId="7C39E79C" w14:textId="77777777" w:rsidR="002225FC" w:rsidRPr="001E66F6" w:rsidRDefault="002225FC" w:rsidP="002225FC">
      <w:pPr>
        <w:pStyle w:val="BodyCopy"/>
        <w:rPr>
          <w:color w:val="auto"/>
        </w:rPr>
      </w:pPr>
      <w:r w:rsidRPr="001E66F6">
        <w:rPr>
          <w:color w:val="auto"/>
        </w:rPr>
        <w:t xml:space="preserve">A named referral can be requested; however, the referring practitioner isn’t obligated to address the referral to anyone specifically and services cannot be refused if a named referral isn’t obtained. </w:t>
      </w:r>
    </w:p>
    <w:p w14:paraId="54775337" w14:textId="77777777" w:rsidR="002225FC" w:rsidRPr="001158EB" w:rsidRDefault="002225FC" w:rsidP="002225FC">
      <w:pPr>
        <w:pStyle w:val="Heading3"/>
        <w:rPr>
          <w:rFonts w:asciiTheme="minorHAnsi" w:hAnsiTheme="minorHAnsi" w:cstheme="minorHAnsi"/>
          <w:color w:val="auto"/>
        </w:rPr>
      </w:pPr>
      <w:r w:rsidRPr="001158EB">
        <w:rPr>
          <w:rFonts w:asciiTheme="minorHAnsi" w:hAnsiTheme="minorHAnsi" w:cstheme="minorHAnsi"/>
          <w:color w:val="auto"/>
        </w:rPr>
        <w:t>Q: Are referrals location specific?</w:t>
      </w:r>
    </w:p>
    <w:p w14:paraId="00C05574" w14:textId="77777777" w:rsidR="002225FC" w:rsidRPr="00874116" w:rsidRDefault="002225FC" w:rsidP="002225FC">
      <w:pPr>
        <w:pStyle w:val="Heading4"/>
        <w:spacing w:before="0"/>
        <w:rPr>
          <w:rFonts w:ascii="Calibri" w:hAnsi="Calibri" w:cs="Calibri"/>
          <w:i w:val="0"/>
          <w:iCs w:val="0"/>
          <w:color w:val="auto"/>
          <w:szCs w:val="24"/>
        </w:rPr>
      </w:pPr>
      <w:r w:rsidRPr="00874116">
        <w:rPr>
          <w:rFonts w:ascii="Calibri" w:hAnsi="Calibri" w:cs="Calibri"/>
          <w:i w:val="0"/>
          <w:iCs w:val="0"/>
          <w:color w:val="auto"/>
          <w:szCs w:val="24"/>
        </w:rPr>
        <w:t xml:space="preserve">A: No. </w:t>
      </w:r>
    </w:p>
    <w:p w14:paraId="6D9AE8E7" w14:textId="77777777" w:rsidR="002225FC" w:rsidRPr="001E66F6" w:rsidRDefault="002225FC" w:rsidP="002225FC">
      <w:pPr>
        <w:pStyle w:val="BodyCopy"/>
        <w:rPr>
          <w:color w:val="auto"/>
        </w:rPr>
      </w:pPr>
      <w:r w:rsidRPr="001E66F6">
        <w:rPr>
          <w:color w:val="auto"/>
        </w:rPr>
        <w:t xml:space="preserve">A named referral is intended for the treating practitioner, not a specific practice location, and is valid for a single course of treatment, including attendances and procedures performed by the treating practitioner. </w:t>
      </w:r>
    </w:p>
    <w:p w14:paraId="6AE5D4BC" w14:textId="77777777" w:rsidR="002225FC" w:rsidRPr="001E66F6" w:rsidRDefault="002225FC" w:rsidP="002225FC">
      <w:pPr>
        <w:pStyle w:val="BodyCopy"/>
        <w:rPr>
          <w:color w:val="auto"/>
        </w:rPr>
      </w:pPr>
      <w:r w:rsidRPr="001E66F6">
        <w:rPr>
          <w:color w:val="auto"/>
        </w:rPr>
        <w:t>Medicare benefits are payable for a subsequent consultation provided by the specialist/consultant physician at another location (second site) within the referral period.</w:t>
      </w:r>
    </w:p>
    <w:p w14:paraId="0E1F2E8E" w14:textId="77777777" w:rsidR="002225FC" w:rsidRPr="001E66F6" w:rsidRDefault="002225FC" w:rsidP="002225FC">
      <w:pPr>
        <w:pStyle w:val="BodyCopy"/>
        <w:rPr>
          <w:color w:val="auto"/>
        </w:rPr>
      </w:pPr>
      <w:r w:rsidRPr="001E66F6">
        <w:rPr>
          <w:color w:val="auto"/>
        </w:rPr>
        <w:t xml:space="preserve">Therefore, CHS can request named referrals written to our Specialists/Consultant Physicians from their private rooms to use for billing purposes. </w:t>
      </w:r>
    </w:p>
    <w:p w14:paraId="5D49B39C" w14:textId="77777777" w:rsidR="002225FC" w:rsidRPr="001158EB" w:rsidRDefault="002225FC" w:rsidP="002225FC">
      <w:pPr>
        <w:pStyle w:val="Heading3"/>
        <w:rPr>
          <w:rFonts w:asciiTheme="minorHAnsi" w:hAnsiTheme="minorHAnsi" w:cstheme="minorHAnsi"/>
          <w:color w:val="auto"/>
        </w:rPr>
      </w:pPr>
      <w:r w:rsidRPr="001158EB">
        <w:rPr>
          <w:rFonts w:asciiTheme="minorHAnsi" w:hAnsiTheme="minorHAnsi" w:cstheme="minorHAnsi"/>
          <w:color w:val="auto"/>
        </w:rPr>
        <w:t xml:space="preserve">Q. Can a referral that states “Electronically Signed” be used in the absence of a physical signature? </w:t>
      </w:r>
    </w:p>
    <w:p w14:paraId="6F7C4016" w14:textId="77777777" w:rsidR="002225FC" w:rsidRPr="001E66F6" w:rsidRDefault="002225FC" w:rsidP="002225FC">
      <w:pPr>
        <w:pStyle w:val="BodyCopy"/>
        <w:rPr>
          <w:color w:val="auto"/>
        </w:rPr>
      </w:pPr>
      <w:r w:rsidRPr="001E66F6">
        <w:rPr>
          <w:color w:val="auto"/>
        </w:rPr>
        <w:t>A. If we ensure the electronic referral received meets the following criteria around acceptance of an ‘electronic signature’ then we can accept these as valid and process billing accordingly:</w:t>
      </w:r>
    </w:p>
    <w:p w14:paraId="0CB372B9" w14:textId="77777777" w:rsidR="002225FC" w:rsidRPr="001E66F6" w:rsidRDefault="002225FC" w:rsidP="002225FC">
      <w:pPr>
        <w:pStyle w:val="BodyCopy"/>
        <w:numPr>
          <w:ilvl w:val="0"/>
          <w:numId w:val="16"/>
        </w:numPr>
        <w:rPr>
          <w:bCs w:val="0"/>
          <w:color w:val="auto"/>
        </w:rPr>
      </w:pPr>
      <w:r w:rsidRPr="001E66F6">
        <w:rPr>
          <w:bCs w:val="0"/>
          <w:color w:val="auto"/>
        </w:rPr>
        <w:t>The person making the ‘signature’ is identifiable and the persons intent in respect of the information communicated is clear,</w:t>
      </w:r>
    </w:p>
    <w:p w14:paraId="5B44D7E1" w14:textId="77777777" w:rsidR="002225FC" w:rsidRPr="001E66F6" w:rsidRDefault="002225FC" w:rsidP="002225FC">
      <w:pPr>
        <w:pStyle w:val="ListBullet"/>
        <w:ind w:left="1080" w:hanging="360"/>
      </w:pPr>
      <w:r w:rsidRPr="001E66F6">
        <w:lastRenderedPageBreak/>
        <w:t>Identification through a statement ‘Electronically signed by XXXXX’ or similar, or</w:t>
      </w:r>
    </w:p>
    <w:p w14:paraId="7B1AC72C" w14:textId="77777777" w:rsidR="002225FC" w:rsidRPr="001E66F6" w:rsidRDefault="002225FC" w:rsidP="002225FC">
      <w:pPr>
        <w:pStyle w:val="ListBullet"/>
        <w:ind w:left="1080" w:hanging="360"/>
      </w:pPr>
      <w:r w:rsidRPr="001E66F6">
        <w:t>Confirmation of Identification through the means of the electronic transaction, e.g. CHS email address, fax, or feeder system user account information</w:t>
      </w:r>
    </w:p>
    <w:p w14:paraId="4D57ED87" w14:textId="77777777" w:rsidR="002225FC" w:rsidRPr="001E66F6" w:rsidRDefault="002225FC" w:rsidP="002225FC">
      <w:pPr>
        <w:pStyle w:val="ListBullet"/>
        <w:ind w:left="1080" w:hanging="360"/>
      </w:pPr>
      <w:r w:rsidRPr="001E66F6">
        <w:t>Intent will be met by the information contained in the referral indicating the reason for referral, etc.</w:t>
      </w:r>
    </w:p>
    <w:p w14:paraId="41402856" w14:textId="77777777" w:rsidR="002225FC" w:rsidRPr="001E66F6" w:rsidRDefault="002225FC" w:rsidP="002225FC">
      <w:pPr>
        <w:pStyle w:val="BodyCopy"/>
        <w:numPr>
          <w:ilvl w:val="0"/>
          <w:numId w:val="16"/>
        </w:numPr>
        <w:spacing w:after="0" w:line="240" w:lineRule="auto"/>
        <w:rPr>
          <w:bCs w:val="0"/>
          <w:color w:val="auto"/>
        </w:rPr>
      </w:pPr>
      <w:r w:rsidRPr="001E66F6">
        <w:rPr>
          <w:bCs w:val="0"/>
          <w:color w:val="auto"/>
        </w:rPr>
        <w:t xml:space="preserve">The method of electronic communication is appropriate for the given </w:t>
      </w:r>
      <w:proofErr w:type="gramStart"/>
      <w:r w:rsidRPr="001E66F6">
        <w:rPr>
          <w:bCs w:val="0"/>
          <w:color w:val="auto"/>
        </w:rPr>
        <w:t>circumstances;</w:t>
      </w:r>
      <w:proofErr w:type="gramEnd"/>
    </w:p>
    <w:p w14:paraId="55585258" w14:textId="77777777" w:rsidR="002225FC" w:rsidRPr="001E66F6" w:rsidRDefault="002225FC" w:rsidP="002225FC">
      <w:pPr>
        <w:pStyle w:val="ListBullet"/>
        <w:ind w:left="1080" w:hanging="360"/>
      </w:pPr>
      <w:r w:rsidRPr="001E66F6">
        <w:t>i.e. transmission of documentation over an un-encrypted medium, etc.</w:t>
      </w:r>
    </w:p>
    <w:p w14:paraId="385BD169" w14:textId="77777777" w:rsidR="002225FC" w:rsidRPr="001158EB" w:rsidRDefault="002225FC" w:rsidP="002225FC">
      <w:pPr>
        <w:pStyle w:val="Heading3"/>
        <w:rPr>
          <w:rFonts w:asciiTheme="minorHAnsi" w:hAnsiTheme="minorHAnsi" w:cstheme="minorHAnsi"/>
          <w:color w:val="auto"/>
        </w:rPr>
      </w:pPr>
      <w:bookmarkStart w:id="178" w:name="_Toc402869490"/>
      <w:r w:rsidRPr="001158EB">
        <w:rPr>
          <w:rFonts w:asciiTheme="minorHAnsi" w:hAnsiTheme="minorHAnsi" w:cstheme="minorHAnsi"/>
          <w:color w:val="auto"/>
        </w:rPr>
        <w:t xml:space="preserve">Q:  Can a medical practitioner </w:t>
      </w:r>
      <w:bookmarkEnd w:id="178"/>
      <w:r w:rsidRPr="001158EB">
        <w:rPr>
          <w:rFonts w:asciiTheme="minorHAnsi" w:hAnsiTheme="minorHAnsi" w:cstheme="minorHAnsi"/>
          <w:color w:val="auto"/>
        </w:rPr>
        <w:t>refer themselves?</w:t>
      </w:r>
    </w:p>
    <w:p w14:paraId="357D8203" w14:textId="77777777" w:rsidR="002225FC" w:rsidRPr="001E66F6" w:rsidRDefault="002225FC" w:rsidP="002225FC">
      <w:pPr>
        <w:pStyle w:val="BodyCopy"/>
        <w:rPr>
          <w:color w:val="auto"/>
        </w:rPr>
      </w:pPr>
      <w:r w:rsidRPr="001E66F6">
        <w:rPr>
          <w:color w:val="auto"/>
        </w:rPr>
        <w:t xml:space="preserve">A: Yes </w:t>
      </w:r>
    </w:p>
    <w:p w14:paraId="2AF170E7" w14:textId="77777777" w:rsidR="002225FC" w:rsidRPr="001E66F6" w:rsidRDefault="002225FC" w:rsidP="002225FC">
      <w:pPr>
        <w:rPr>
          <w:szCs w:val="24"/>
        </w:rPr>
      </w:pPr>
      <w:r w:rsidRPr="001E66F6">
        <w:rPr>
          <w:szCs w:val="24"/>
        </w:rPr>
        <w:t>Medical practitioners can refer themselves to a Specialist or Consultant Physician and Medicare benefits are payable at the referred rate.</w:t>
      </w:r>
    </w:p>
    <w:p w14:paraId="0B851028" w14:textId="77777777" w:rsidR="002225FC" w:rsidRPr="001158EB" w:rsidRDefault="002225FC" w:rsidP="002225FC">
      <w:pPr>
        <w:pStyle w:val="Heading3"/>
        <w:rPr>
          <w:rFonts w:asciiTheme="minorHAnsi" w:hAnsiTheme="minorHAnsi" w:cstheme="minorHAnsi"/>
          <w:color w:val="auto"/>
        </w:rPr>
      </w:pPr>
      <w:r w:rsidRPr="001158EB">
        <w:rPr>
          <w:rFonts w:asciiTheme="minorHAnsi" w:hAnsiTheme="minorHAnsi" w:cstheme="minorHAnsi"/>
          <w:color w:val="auto"/>
        </w:rPr>
        <w:t>Q:  The referral letter was dated prior to the patient’s attendance; however, it wasn’t received until days after the occasion of service – can we still bill for that appointment?</w:t>
      </w:r>
    </w:p>
    <w:p w14:paraId="0AC997E4" w14:textId="77777777" w:rsidR="002225FC" w:rsidRPr="001E66F6" w:rsidRDefault="002225FC" w:rsidP="002225FC">
      <w:pPr>
        <w:pStyle w:val="BodyCopy"/>
        <w:rPr>
          <w:color w:val="auto"/>
        </w:rPr>
      </w:pPr>
      <w:r w:rsidRPr="001E66F6">
        <w:rPr>
          <w:color w:val="auto"/>
        </w:rPr>
        <w:t xml:space="preserve">A: No. </w:t>
      </w:r>
    </w:p>
    <w:p w14:paraId="72D4B2A2" w14:textId="77777777" w:rsidR="002225FC" w:rsidRPr="001E66F6" w:rsidRDefault="002225FC" w:rsidP="002225FC">
      <w:pPr>
        <w:rPr>
          <w:szCs w:val="24"/>
        </w:rPr>
      </w:pPr>
      <w:r w:rsidRPr="001E66F6">
        <w:rPr>
          <w:szCs w:val="24"/>
        </w:rPr>
        <w:t xml:space="preserve">The referral must be received prior to or at the service to which the referral relates. We are unable to backdate referrals. </w:t>
      </w:r>
      <w:bookmarkStart w:id="179" w:name="_Q:__Can"/>
      <w:bookmarkEnd w:id="179"/>
    </w:p>
    <w:p w14:paraId="64D5E284" w14:textId="77777777" w:rsidR="002225FC" w:rsidRPr="00DE674A" w:rsidRDefault="002225FC" w:rsidP="002225FC">
      <w:pPr>
        <w:pStyle w:val="Heading3"/>
      </w:pPr>
      <w:r w:rsidRPr="001158EB">
        <w:rPr>
          <w:rFonts w:asciiTheme="minorHAnsi" w:hAnsiTheme="minorHAnsi" w:cstheme="minorHAnsi"/>
          <w:color w:val="auto"/>
        </w:rPr>
        <w:t>Q:  Can I use a Discharge Summary to bill for the first post inpatient follow up? Is it a billable referral?</w:t>
      </w:r>
      <w:r w:rsidRPr="00DE674A">
        <w:t xml:space="preserve"> </w:t>
      </w:r>
    </w:p>
    <w:p w14:paraId="7C5FD0EB" w14:textId="77777777" w:rsidR="002225FC" w:rsidRPr="001E66F6" w:rsidRDefault="002225FC" w:rsidP="002225FC">
      <w:pPr>
        <w:pStyle w:val="BodyCopy"/>
        <w:rPr>
          <w:color w:val="auto"/>
        </w:rPr>
      </w:pPr>
      <w:r w:rsidRPr="001E66F6">
        <w:rPr>
          <w:color w:val="auto"/>
        </w:rPr>
        <w:t xml:space="preserve">A: Generally, no. </w:t>
      </w:r>
    </w:p>
    <w:p w14:paraId="02DEC7F4" w14:textId="77777777" w:rsidR="002225FC" w:rsidRPr="001E66F6" w:rsidRDefault="002225FC" w:rsidP="002225FC">
      <w:pPr>
        <w:rPr>
          <w:szCs w:val="24"/>
        </w:rPr>
      </w:pPr>
      <w:r w:rsidRPr="001E66F6">
        <w:rPr>
          <w:szCs w:val="24"/>
        </w:rPr>
        <w:t xml:space="preserve">There is a misconception that Discharge Summaries can be used to claim through Medicare/DVA for the first outpatient attendance after the patient was admitted. This is not the case as most Discharge Summaries do not comply with billing requirements (such as to a named Specialist). </w:t>
      </w:r>
    </w:p>
    <w:p w14:paraId="37A9836E" w14:textId="77777777" w:rsidR="002225FC" w:rsidRPr="001E66F6" w:rsidRDefault="002225FC" w:rsidP="002225FC">
      <w:pPr>
        <w:rPr>
          <w:szCs w:val="24"/>
        </w:rPr>
      </w:pPr>
    </w:p>
    <w:p w14:paraId="7D23D7BE" w14:textId="77777777" w:rsidR="002225FC" w:rsidRPr="001E66F6" w:rsidRDefault="002225FC" w:rsidP="002225FC">
      <w:pPr>
        <w:rPr>
          <w:szCs w:val="24"/>
        </w:rPr>
      </w:pPr>
      <w:r w:rsidRPr="001E66F6">
        <w:rPr>
          <w:szCs w:val="24"/>
        </w:rPr>
        <w:t xml:space="preserve">A Discharge Summary can serve as a referral to book an appointment for a patient, however it’s unlikely it can be used as a billable referral. </w:t>
      </w:r>
    </w:p>
    <w:p w14:paraId="6318A17C" w14:textId="77777777" w:rsidR="002225FC" w:rsidRPr="001E66F6" w:rsidRDefault="002225FC" w:rsidP="002225FC">
      <w:pPr>
        <w:rPr>
          <w:szCs w:val="24"/>
        </w:rPr>
      </w:pPr>
    </w:p>
    <w:p w14:paraId="42F80FDA" w14:textId="77777777" w:rsidR="002225FC" w:rsidRPr="00DE674A" w:rsidRDefault="002225FC" w:rsidP="002225FC">
      <w:pPr>
        <w:rPr>
          <w:szCs w:val="24"/>
        </w:rPr>
      </w:pPr>
      <w:r w:rsidRPr="001E66F6">
        <w:rPr>
          <w:szCs w:val="24"/>
        </w:rPr>
        <w:t xml:space="preserve">If you’re unsure you can seek clarification from your team leader or the Revenue Data team. </w:t>
      </w:r>
    </w:p>
    <w:p w14:paraId="4184F70F" w14:textId="77777777" w:rsidR="002225FC" w:rsidRPr="001158EB" w:rsidRDefault="002225FC" w:rsidP="002225FC">
      <w:pPr>
        <w:pStyle w:val="Heading3"/>
        <w:rPr>
          <w:rFonts w:asciiTheme="minorHAnsi" w:hAnsiTheme="minorHAnsi" w:cstheme="minorHAnsi"/>
          <w:color w:val="auto"/>
        </w:rPr>
      </w:pPr>
      <w:r w:rsidRPr="001158EB">
        <w:rPr>
          <w:rFonts w:asciiTheme="minorHAnsi" w:hAnsiTheme="minorHAnsi" w:cstheme="minorHAnsi"/>
          <w:color w:val="auto"/>
        </w:rPr>
        <w:t>Q:  Can I bill the first appointment after a patient has been discharged from hospital?</w:t>
      </w:r>
    </w:p>
    <w:p w14:paraId="2506E4A0" w14:textId="77777777" w:rsidR="002225FC" w:rsidRPr="001E66F6" w:rsidRDefault="002225FC" w:rsidP="002225FC">
      <w:pPr>
        <w:pStyle w:val="BodyCopy"/>
        <w:rPr>
          <w:color w:val="auto"/>
        </w:rPr>
      </w:pPr>
      <w:r w:rsidRPr="001E66F6">
        <w:rPr>
          <w:color w:val="auto"/>
        </w:rPr>
        <w:t xml:space="preserve">A: Billing for an attendance post inpatient admission will depend on the type of patient and admission. </w:t>
      </w:r>
    </w:p>
    <w:p w14:paraId="147D905D" w14:textId="77777777" w:rsidR="002225FC" w:rsidRPr="001E66F6" w:rsidRDefault="002225FC" w:rsidP="002225FC">
      <w:pPr>
        <w:pStyle w:val="ListParagraph"/>
        <w:ind w:left="0"/>
        <w:rPr>
          <w:szCs w:val="24"/>
        </w:rPr>
      </w:pPr>
      <w:r w:rsidRPr="001E66F6">
        <w:rPr>
          <w:szCs w:val="24"/>
        </w:rPr>
        <w:t>Please see table</w:t>
      </w:r>
      <w:r>
        <w:rPr>
          <w:szCs w:val="24"/>
        </w:rPr>
        <w:t xml:space="preserve"> below</w:t>
      </w:r>
      <w:r w:rsidRPr="001E66F6">
        <w:rPr>
          <w:szCs w:val="24"/>
        </w:rPr>
        <w:t xml:space="preserve"> to determine billable status: </w:t>
      </w:r>
    </w:p>
    <w:tbl>
      <w:tblPr>
        <w:tblpPr w:leftFromText="180" w:rightFromText="180" w:vertAnchor="page" w:horzAnchor="margin" w:tblpY="205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051"/>
        <w:gridCol w:w="1253"/>
        <w:gridCol w:w="5614"/>
      </w:tblGrid>
      <w:tr w:rsidR="002225FC" w:rsidRPr="001E66F6" w14:paraId="5D88CB8D" w14:textId="77777777" w:rsidTr="009A3AA4">
        <w:trPr>
          <w:trHeight w:val="62"/>
        </w:trPr>
        <w:tc>
          <w:tcPr>
            <w:tcW w:w="4304" w:type="dxa"/>
            <w:gridSpan w:val="2"/>
            <w:tcBorders>
              <w:right w:val="nil"/>
            </w:tcBorders>
            <w:shd w:val="clear" w:color="auto" w:fill="DAEEF3" w:themeFill="accent5" w:themeFillTint="33"/>
            <w:vAlign w:val="center"/>
          </w:tcPr>
          <w:p w14:paraId="30180924" w14:textId="77777777" w:rsidR="002225FC" w:rsidRPr="001E66F6" w:rsidRDefault="002225FC" w:rsidP="00183C8B">
            <w:pPr>
              <w:spacing w:before="60" w:after="60"/>
              <w:rPr>
                <w:rFonts w:cs="Arial"/>
                <w:b/>
                <w:bCs/>
                <w:iCs/>
                <w:szCs w:val="24"/>
                <w:lang w:val="en-US"/>
              </w:rPr>
            </w:pPr>
            <w:r w:rsidRPr="001E66F6">
              <w:rPr>
                <w:rFonts w:cs="Arial"/>
                <w:b/>
                <w:bCs/>
                <w:iCs/>
                <w:szCs w:val="24"/>
                <w:lang w:val="en-US"/>
              </w:rPr>
              <w:lastRenderedPageBreak/>
              <w:t xml:space="preserve">Post Inpatient Billing Guide </w:t>
            </w:r>
          </w:p>
        </w:tc>
        <w:tc>
          <w:tcPr>
            <w:tcW w:w="5614" w:type="dxa"/>
            <w:tcBorders>
              <w:left w:val="nil"/>
            </w:tcBorders>
            <w:shd w:val="clear" w:color="auto" w:fill="DAEEF3" w:themeFill="accent5" w:themeFillTint="33"/>
          </w:tcPr>
          <w:p w14:paraId="25237D40" w14:textId="77777777" w:rsidR="002225FC" w:rsidRPr="001E66F6" w:rsidRDefault="002225FC" w:rsidP="00183C8B">
            <w:pPr>
              <w:spacing w:before="60" w:after="60"/>
              <w:rPr>
                <w:rFonts w:cs="Arial"/>
                <w:b/>
                <w:bCs/>
                <w:iCs/>
                <w:szCs w:val="24"/>
                <w:lang w:val="en-US"/>
              </w:rPr>
            </w:pPr>
          </w:p>
        </w:tc>
      </w:tr>
      <w:tr w:rsidR="002225FC" w:rsidRPr="001E66F6" w14:paraId="7D4A66E3" w14:textId="77777777" w:rsidTr="00183C8B">
        <w:trPr>
          <w:trHeight w:val="123"/>
        </w:trPr>
        <w:tc>
          <w:tcPr>
            <w:tcW w:w="3051" w:type="dxa"/>
            <w:vAlign w:val="center"/>
          </w:tcPr>
          <w:p w14:paraId="63F5CF1D" w14:textId="77777777" w:rsidR="002225FC" w:rsidRPr="001E66F6" w:rsidRDefault="002225FC" w:rsidP="00183C8B">
            <w:pPr>
              <w:spacing w:before="60" w:after="120"/>
              <w:rPr>
                <w:rFonts w:cs="Arial"/>
                <w:b/>
                <w:bCs/>
                <w:iCs/>
                <w:szCs w:val="24"/>
                <w:lang w:val="en-US"/>
              </w:rPr>
            </w:pPr>
            <w:r w:rsidRPr="001E66F6">
              <w:rPr>
                <w:rFonts w:cs="Arial"/>
                <w:b/>
                <w:bCs/>
                <w:iCs/>
                <w:szCs w:val="24"/>
                <w:lang w:val="en-US"/>
              </w:rPr>
              <w:t xml:space="preserve">Type of Admission </w:t>
            </w:r>
          </w:p>
        </w:tc>
        <w:tc>
          <w:tcPr>
            <w:tcW w:w="1253" w:type="dxa"/>
            <w:vAlign w:val="center"/>
          </w:tcPr>
          <w:p w14:paraId="68178524" w14:textId="77777777" w:rsidR="002225FC" w:rsidRPr="001E66F6" w:rsidRDefault="002225FC" w:rsidP="00183C8B">
            <w:pPr>
              <w:spacing w:before="60" w:after="120"/>
              <w:rPr>
                <w:rFonts w:cs="Arial"/>
                <w:b/>
                <w:bCs/>
                <w:iCs/>
                <w:szCs w:val="24"/>
                <w:lang w:val="en-US"/>
              </w:rPr>
            </w:pPr>
            <w:r w:rsidRPr="001E66F6">
              <w:rPr>
                <w:rFonts w:cs="Arial"/>
                <w:b/>
                <w:bCs/>
                <w:iCs/>
                <w:szCs w:val="24"/>
                <w:lang w:val="en-US"/>
              </w:rPr>
              <w:t xml:space="preserve">Billable  </w:t>
            </w:r>
          </w:p>
        </w:tc>
        <w:tc>
          <w:tcPr>
            <w:tcW w:w="5614" w:type="dxa"/>
            <w:vAlign w:val="center"/>
          </w:tcPr>
          <w:p w14:paraId="695BAEB6" w14:textId="77777777" w:rsidR="002225FC" w:rsidRPr="001E66F6" w:rsidRDefault="002225FC" w:rsidP="00183C8B">
            <w:pPr>
              <w:spacing w:before="60" w:after="120"/>
              <w:rPr>
                <w:rFonts w:cs="Arial"/>
                <w:b/>
                <w:bCs/>
                <w:iCs/>
                <w:szCs w:val="24"/>
                <w:lang w:val="en-US"/>
              </w:rPr>
            </w:pPr>
            <w:r w:rsidRPr="001E66F6">
              <w:rPr>
                <w:rFonts w:cs="Arial"/>
                <w:b/>
                <w:bCs/>
                <w:iCs/>
                <w:szCs w:val="24"/>
                <w:lang w:val="en-US"/>
              </w:rPr>
              <w:t xml:space="preserve">Comment </w:t>
            </w:r>
          </w:p>
        </w:tc>
      </w:tr>
      <w:tr w:rsidR="002225FC" w:rsidRPr="001E66F6" w14:paraId="5DB8301C" w14:textId="77777777" w:rsidTr="00183C8B">
        <w:trPr>
          <w:trHeight w:val="561"/>
        </w:trPr>
        <w:tc>
          <w:tcPr>
            <w:tcW w:w="3051" w:type="dxa"/>
            <w:vAlign w:val="center"/>
          </w:tcPr>
          <w:p w14:paraId="2A5A0C73" w14:textId="77777777" w:rsidR="002225FC" w:rsidRPr="001E66F6" w:rsidRDefault="002225FC" w:rsidP="00183C8B">
            <w:pPr>
              <w:spacing w:before="60" w:after="60"/>
              <w:rPr>
                <w:rFonts w:cs="Arial"/>
                <w:bCs/>
                <w:iCs/>
                <w:szCs w:val="24"/>
                <w:lang w:val="en-US"/>
              </w:rPr>
            </w:pPr>
            <w:r w:rsidRPr="001E66F6">
              <w:rPr>
                <w:szCs w:val="24"/>
              </w:rPr>
              <w:t>Private Inpatient</w:t>
            </w:r>
          </w:p>
        </w:tc>
        <w:tc>
          <w:tcPr>
            <w:tcW w:w="1253" w:type="dxa"/>
            <w:vAlign w:val="center"/>
          </w:tcPr>
          <w:p w14:paraId="5B9C6687" w14:textId="77777777" w:rsidR="002225FC" w:rsidRPr="001E66F6" w:rsidRDefault="002225FC" w:rsidP="00183C8B">
            <w:pPr>
              <w:spacing w:before="60" w:after="60"/>
              <w:rPr>
                <w:rFonts w:cs="Arial"/>
                <w:bCs/>
                <w:iCs/>
                <w:szCs w:val="24"/>
                <w:lang w:val="en-US"/>
              </w:rPr>
            </w:pPr>
            <w:r w:rsidRPr="001E66F6">
              <w:rPr>
                <w:szCs w:val="24"/>
              </w:rPr>
              <w:t>Yes</w:t>
            </w:r>
          </w:p>
        </w:tc>
        <w:tc>
          <w:tcPr>
            <w:tcW w:w="5614" w:type="dxa"/>
            <w:vAlign w:val="center"/>
          </w:tcPr>
          <w:p w14:paraId="1A161F37" w14:textId="77777777" w:rsidR="002225FC" w:rsidRPr="001E66F6" w:rsidRDefault="002225FC" w:rsidP="00183C8B">
            <w:pPr>
              <w:spacing w:before="60" w:after="60"/>
              <w:rPr>
                <w:szCs w:val="24"/>
              </w:rPr>
            </w:pPr>
            <w:r w:rsidRPr="001E66F6">
              <w:rPr>
                <w:szCs w:val="24"/>
              </w:rPr>
              <w:t xml:space="preserve">If the service meets MBS/NHRA requirements and the patient elects to be treated as a private “Outpatient Bulk Bill” outpatient </w:t>
            </w:r>
          </w:p>
        </w:tc>
      </w:tr>
      <w:tr w:rsidR="002225FC" w:rsidRPr="001E66F6" w14:paraId="4B0BB2A3" w14:textId="77777777" w:rsidTr="00183C8B">
        <w:trPr>
          <w:trHeight w:val="34"/>
        </w:trPr>
        <w:tc>
          <w:tcPr>
            <w:tcW w:w="3051" w:type="dxa"/>
            <w:vAlign w:val="center"/>
          </w:tcPr>
          <w:p w14:paraId="7E1A85AC" w14:textId="77777777" w:rsidR="002225FC" w:rsidRPr="001E66F6" w:rsidRDefault="002225FC" w:rsidP="00183C8B">
            <w:pPr>
              <w:spacing w:before="60" w:after="60"/>
              <w:rPr>
                <w:szCs w:val="24"/>
              </w:rPr>
            </w:pPr>
            <w:r w:rsidRPr="001E66F6">
              <w:rPr>
                <w:szCs w:val="24"/>
              </w:rPr>
              <w:t xml:space="preserve">Public Inpatient: </w:t>
            </w:r>
          </w:p>
          <w:p w14:paraId="5A872014" w14:textId="77777777" w:rsidR="002225FC" w:rsidRPr="001E66F6" w:rsidRDefault="002225FC" w:rsidP="00183C8B">
            <w:pPr>
              <w:spacing w:before="60" w:after="60"/>
              <w:rPr>
                <w:rFonts w:cs="Arial"/>
                <w:bCs/>
                <w:iCs/>
                <w:szCs w:val="24"/>
                <w:lang w:val="en-US"/>
              </w:rPr>
            </w:pPr>
            <w:r w:rsidRPr="001E66F6">
              <w:rPr>
                <w:szCs w:val="24"/>
              </w:rPr>
              <w:t>Surgical admission with post-operative follow-up</w:t>
            </w:r>
          </w:p>
        </w:tc>
        <w:tc>
          <w:tcPr>
            <w:tcW w:w="1253" w:type="dxa"/>
            <w:vAlign w:val="center"/>
          </w:tcPr>
          <w:p w14:paraId="0CE67E34" w14:textId="77777777" w:rsidR="002225FC" w:rsidRPr="001E66F6" w:rsidRDefault="002225FC" w:rsidP="00183C8B">
            <w:pPr>
              <w:spacing w:before="60" w:after="60"/>
              <w:rPr>
                <w:rFonts w:cs="Arial"/>
                <w:bCs/>
                <w:iCs/>
                <w:szCs w:val="24"/>
                <w:lang w:val="en-US"/>
              </w:rPr>
            </w:pPr>
            <w:r w:rsidRPr="001E66F6">
              <w:rPr>
                <w:szCs w:val="24"/>
              </w:rPr>
              <w:t>No</w:t>
            </w:r>
          </w:p>
        </w:tc>
        <w:tc>
          <w:tcPr>
            <w:tcW w:w="5614" w:type="dxa"/>
            <w:vAlign w:val="center"/>
          </w:tcPr>
          <w:p w14:paraId="018449B1" w14:textId="77777777" w:rsidR="002225FC" w:rsidRPr="001E66F6" w:rsidRDefault="002225FC" w:rsidP="00183C8B">
            <w:pPr>
              <w:spacing w:before="60" w:after="60"/>
              <w:rPr>
                <w:szCs w:val="24"/>
              </w:rPr>
            </w:pPr>
            <w:r w:rsidRPr="001E66F6">
              <w:rPr>
                <w:szCs w:val="24"/>
              </w:rPr>
              <w:t xml:space="preserve">If the service is the first attendance as an outpatient directly related to post-operative/post-discharge care </w:t>
            </w:r>
          </w:p>
        </w:tc>
      </w:tr>
      <w:tr w:rsidR="002225FC" w:rsidRPr="001E66F6" w14:paraId="517D4F90" w14:textId="77777777" w:rsidTr="00183C8B">
        <w:trPr>
          <w:trHeight w:val="34"/>
        </w:trPr>
        <w:tc>
          <w:tcPr>
            <w:tcW w:w="3051" w:type="dxa"/>
            <w:vAlign w:val="center"/>
          </w:tcPr>
          <w:p w14:paraId="1AD0FEEB" w14:textId="77777777" w:rsidR="002225FC" w:rsidRPr="001E66F6" w:rsidRDefault="002225FC" w:rsidP="00183C8B">
            <w:pPr>
              <w:spacing w:before="60" w:after="60"/>
              <w:rPr>
                <w:szCs w:val="24"/>
              </w:rPr>
            </w:pPr>
            <w:r w:rsidRPr="001E66F6">
              <w:rPr>
                <w:szCs w:val="24"/>
              </w:rPr>
              <w:t xml:space="preserve">Public Inpatient: </w:t>
            </w:r>
          </w:p>
          <w:p w14:paraId="5ED04B4C" w14:textId="77777777" w:rsidR="002225FC" w:rsidRPr="001E66F6" w:rsidRDefault="002225FC" w:rsidP="00183C8B">
            <w:pPr>
              <w:spacing w:before="60" w:after="60"/>
              <w:rPr>
                <w:rFonts w:cs="Arial"/>
                <w:bCs/>
                <w:iCs/>
                <w:szCs w:val="24"/>
                <w:lang w:val="en-US"/>
              </w:rPr>
            </w:pPr>
            <w:r w:rsidRPr="001E66F6">
              <w:rPr>
                <w:szCs w:val="24"/>
              </w:rPr>
              <w:t>Surgical admission with non-surgical appointment (different speciality)</w:t>
            </w:r>
          </w:p>
        </w:tc>
        <w:tc>
          <w:tcPr>
            <w:tcW w:w="1253" w:type="dxa"/>
            <w:vAlign w:val="center"/>
          </w:tcPr>
          <w:p w14:paraId="77E578D9" w14:textId="77777777" w:rsidR="002225FC" w:rsidRPr="001E66F6" w:rsidRDefault="002225FC" w:rsidP="00183C8B">
            <w:pPr>
              <w:spacing w:before="60" w:after="60"/>
              <w:rPr>
                <w:rFonts w:cs="Arial"/>
                <w:bCs/>
                <w:iCs/>
                <w:szCs w:val="24"/>
                <w:lang w:val="en-US"/>
              </w:rPr>
            </w:pPr>
            <w:r w:rsidRPr="001E66F6">
              <w:rPr>
                <w:szCs w:val="24"/>
              </w:rPr>
              <w:t xml:space="preserve">Yes </w:t>
            </w:r>
          </w:p>
        </w:tc>
        <w:tc>
          <w:tcPr>
            <w:tcW w:w="5614" w:type="dxa"/>
            <w:vAlign w:val="center"/>
          </w:tcPr>
          <w:p w14:paraId="395A1FA8" w14:textId="77777777" w:rsidR="002225FC" w:rsidRPr="001E66F6" w:rsidRDefault="002225FC" w:rsidP="00183C8B">
            <w:pPr>
              <w:spacing w:before="60" w:after="60"/>
              <w:rPr>
                <w:rFonts w:cs="Arial"/>
                <w:bCs/>
                <w:iCs/>
                <w:szCs w:val="24"/>
                <w:lang w:val="en-US"/>
              </w:rPr>
            </w:pPr>
            <w:r w:rsidRPr="001E66F6">
              <w:rPr>
                <w:szCs w:val="24"/>
              </w:rPr>
              <w:t>If the service meets MBS/NHRA requirements and the patient elects to be treated as a private “Outpatient Bulk Bill” outpatient</w:t>
            </w:r>
          </w:p>
        </w:tc>
      </w:tr>
      <w:tr w:rsidR="002225FC" w:rsidRPr="001E66F6" w14:paraId="2386F958" w14:textId="77777777" w:rsidTr="00183C8B">
        <w:trPr>
          <w:trHeight w:val="34"/>
        </w:trPr>
        <w:tc>
          <w:tcPr>
            <w:tcW w:w="3051" w:type="dxa"/>
            <w:vAlign w:val="center"/>
          </w:tcPr>
          <w:p w14:paraId="4F6237DB" w14:textId="77777777" w:rsidR="002225FC" w:rsidRPr="001E66F6" w:rsidRDefault="002225FC" w:rsidP="00183C8B">
            <w:pPr>
              <w:spacing w:before="60" w:after="60"/>
              <w:rPr>
                <w:szCs w:val="24"/>
              </w:rPr>
            </w:pPr>
            <w:r w:rsidRPr="001E66F6">
              <w:rPr>
                <w:szCs w:val="24"/>
              </w:rPr>
              <w:t xml:space="preserve">Public Inpatient: </w:t>
            </w:r>
          </w:p>
          <w:p w14:paraId="06059FA8" w14:textId="77777777" w:rsidR="002225FC" w:rsidRPr="001E66F6" w:rsidRDefault="002225FC" w:rsidP="00183C8B">
            <w:pPr>
              <w:spacing w:before="60" w:after="60"/>
              <w:rPr>
                <w:rFonts w:cs="Arial"/>
                <w:bCs/>
                <w:iCs/>
                <w:szCs w:val="24"/>
                <w:lang w:val="en-US"/>
              </w:rPr>
            </w:pPr>
            <w:r w:rsidRPr="001E66F6">
              <w:rPr>
                <w:szCs w:val="24"/>
              </w:rPr>
              <w:t>Non-surgical admission</w:t>
            </w:r>
          </w:p>
        </w:tc>
        <w:tc>
          <w:tcPr>
            <w:tcW w:w="1253" w:type="dxa"/>
            <w:vAlign w:val="center"/>
          </w:tcPr>
          <w:p w14:paraId="20CAB45E" w14:textId="77777777" w:rsidR="002225FC" w:rsidRPr="001E66F6" w:rsidRDefault="002225FC" w:rsidP="00183C8B">
            <w:pPr>
              <w:spacing w:before="60" w:after="60"/>
              <w:rPr>
                <w:rFonts w:cs="Arial"/>
                <w:bCs/>
                <w:iCs/>
                <w:szCs w:val="24"/>
                <w:lang w:val="en-US"/>
              </w:rPr>
            </w:pPr>
            <w:r w:rsidRPr="001E66F6">
              <w:rPr>
                <w:szCs w:val="24"/>
              </w:rPr>
              <w:t xml:space="preserve">Yes </w:t>
            </w:r>
          </w:p>
        </w:tc>
        <w:tc>
          <w:tcPr>
            <w:tcW w:w="5614" w:type="dxa"/>
            <w:vAlign w:val="center"/>
          </w:tcPr>
          <w:p w14:paraId="1B7646CD" w14:textId="77777777" w:rsidR="002225FC" w:rsidRPr="001E66F6" w:rsidRDefault="002225FC" w:rsidP="00183C8B">
            <w:pPr>
              <w:spacing w:before="60" w:after="60"/>
              <w:rPr>
                <w:rFonts w:cs="Arial"/>
                <w:bCs/>
                <w:iCs/>
                <w:szCs w:val="24"/>
                <w:lang w:val="en-US"/>
              </w:rPr>
            </w:pPr>
            <w:r w:rsidRPr="001E66F6">
              <w:rPr>
                <w:szCs w:val="24"/>
              </w:rPr>
              <w:t>If the service meets MBS/NHRA requirements and the patient elects to be treated as a private “Outpatient Bulk Bill” outpatient</w:t>
            </w:r>
          </w:p>
        </w:tc>
      </w:tr>
    </w:tbl>
    <w:p w14:paraId="0C187AC4" w14:textId="77777777" w:rsidR="002225FC" w:rsidRPr="003C000B" w:rsidRDefault="002225FC" w:rsidP="002225FC">
      <w:pPr>
        <w:pStyle w:val="ListParagraph"/>
        <w:ind w:left="0"/>
        <w:rPr>
          <w:szCs w:val="24"/>
        </w:rPr>
      </w:pPr>
    </w:p>
    <w:p w14:paraId="222A63DB" w14:textId="77777777" w:rsidR="002225FC" w:rsidRPr="001158EB" w:rsidRDefault="002225FC" w:rsidP="002225FC">
      <w:pPr>
        <w:pStyle w:val="Heading3"/>
        <w:rPr>
          <w:rFonts w:asciiTheme="minorHAnsi" w:hAnsiTheme="minorHAnsi" w:cstheme="minorHAnsi"/>
          <w:color w:val="auto"/>
        </w:rPr>
      </w:pPr>
      <w:bookmarkStart w:id="180" w:name="management_plans_132_133"/>
      <w:r w:rsidRPr="001158EB">
        <w:rPr>
          <w:rFonts w:asciiTheme="minorHAnsi" w:hAnsiTheme="minorHAnsi" w:cstheme="minorHAnsi"/>
          <w:color w:val="auto"/>
        </w:rPr>
        <w:t>Q:  What criteria needs to be met to bill treatment and management MBS items (00132 &amp; 00133)?</w:t>
      </w:r>
      <w:bookmarkEnd w:id="180"/>
    </w:p>
    <w:p w14:paraId="4F459A4E" w14:textId="77777777" w:rsidR="002225FC" w:rsidRPr="00874116" w:rsidRDefault="002225FC" w:rsidP="002225FC">
      <w:pPr>
        <w:pStyle w:val="BodyCopy"/>
        <w:rPr>
          <w:color w:val="auto"/>
        </w:rPr>
      </w:pPr>
      <w:r w:rsidRPr="001E66F6">
        <w:rPr>
          <w:color w:val="auto"/>
        </w:rPr>
        <w:t xml:space="preserve">A: It is the responsibility of the treating Consultant Physician to ensure the service meets all necessary criteria. </w:t>
      </w:r>
    </w:p>
    <w:p w14:paraId="3C3D82B2" w14:textId="77777777" w:rsidR="002225FC" w:rsidRPr="001E66F6" w:rsidRDefault="002225FC" w:rsidP="002225FC">
      <w:pPr>
        <w:pStyle w:val="ListParagraph"/>
        <w:ind w:left="0"/>
        <w:rPr>
          <w:szCs w:val="24"/>
        </w:rPr>
      </w:pPr>
      <w:r w:rsidRPr="001E66F6">
        <w:rPr>
          <w:szCs w:val="24"/>
        </w:rPr>
        <w:t>A Consultant Physician can bill a treatment and management plan (00132 – initial or 00133 – review), if:</w:t>
      </w:r>
    </w:p>
    <w:p w14:paraId="1ECBB0C5" w14:textId="77777777" w:rsidR="002225FC" w:rsidRPr="001E66F6" w:rsidRDefault="002225FC" w:rsidP="002225FC">
      <w:pPr>
        <w:pStyle w:val="ListBullet"/>
        <w:tabs>
          <w:tab w:val="clear" w:pos="1080"/>
          <w:tab w:val="num" w:pos="360"/>
        </w:tabs>
        <w:ind w:left="360" w:hanging="360"/>
      </w:pPr>
      <w:r w:rsidRPr="001E66F6">
        <w:t>item 132 has not been claimed within the last 12 months, and</w:t>
      </w:r>
    </w:p>
    <w:p w14:paraId="074941B3" w14:textId="77777777" w:rsidR="002225FC" w:rsidRPr="001E66F6" w:rsidRDefault="002225FC" w:rsidP="002225FC">
      <w:pPr>
        <w:pStyle w:val="ListBullet"/>
        <w:tabs>
          <w:tab w:val="clear" w:pos="1080"/>
          <w:tab w:val="num" w:pos="360"/>
        </w:tabs>
        <w:ind w:left="360" w:hanging="360"/>
      </w:pPr>
      <w:r w:rsidRPr="001E66F6">
        <w:t>item 133 is not billed more than twice, within the first 12 months of a 132, and</w:t>
      </w:r>
    </w:p>
    <w:p w14:paraId="206A121F" w14:textId="77777777" w:rsidR="002225FC" w:rsidRPr="001E66F6" w:rsidRDefault="002225FC" w:rsidP="002225FC">
      <w:pPr>
        <w:pStyle w:val="ListBullet"/>
        <w:tabs>
          <w:tab w:val="clear" w:pos="1080"/>
          <w:tab w:val="num" w:pos="360"/>
        </w:tabs>
        <w:ind w:left="360" w:hanging="360"/>
      </w:pPr>
      <w:r w:rsidRPr="001E66F6">
        <w:t>the patient is referred, and</w:t>
      </w:r>
    </w:p>
    <w:p w14:paraId="2045FB8A" w14:textId="77777777" w:rsidR="002225FC" w:rsidRPr="001E66F6" w:rsidRDefault="002225FC" w:rsidP="002225FC">
      <w:pPr>
        <w:pStyle w:val="ListBullet"/>
        <w:tabs>
          <w:tab w:val="clear" w:pos="1080"/>
          <w:tab w:val="num" w:pos="360"/>
        </w:tabs>
        <w:ind w:left="360" w:hanging="360"/>
      </w:pPr>
      <w:proofErr w:type="spellStart"/>
      <w:r w:rsidRPr="001E66F6">
        <w:t>t</w:t>
      </w:r>
      <w:r w:rsidRPr="001E66F6">
        <w:rPr>
          <w:lang w:val="x-none"/>
        </w:rPr>
        <w:t>he</w:t>
      </w:r>
      <w:proofErr w:type="spellEnd"/>
      <w:r w:rsidRPr="001E66F6">
        <w:rPr>
          <w:lang w:val="x-none"/>
        </w:rPr>
        <w:t xml:space="preserve"> patient has at least two morbidities</w:t>
      </w:r>
      <w:r w:rsidRPr="001E66F6">
        <w:t>, and</w:t>
      </w:r>
    </w:p>
    <w:p w14:paraId="37CFB387" w14:textId="77777777" w:rsidR="002225FC" w:rsidRPr="001E66F6" w:rsidRDefault="002225FC" w:rsidP="002225FC">
      <w:pPr>
        <w:pStyle w:val="ListBullet"/>
        <w:tabs>
          <w:tab w:val="clear" w:pos="1080"/>
          <w:tab w:val="num" w:pos="360"/>
        </w:tabs>
        <w:ind w:left="360" w:hanging="360"/>
      </w:pPr>
      <w:r w:rsidRPr="001E66F6">
        <w:t>the consultation for 00132 is 45 minutes or more and 00133 more than 20 minutes, and</w:t>
      </w:r>
    </w:p>
    <w:p w14:paraId="36270614" w14:textId="77777777" w:rsidR="002225FC" w:rsidRPr="0081229A" w:rsidRDefault="002225FC" w:rsidP="002225FC">
      <w:pPr>
        <w:pStyle w:val="ListBullet"/>
        <w:tabs>
          <w:tab w:val="clear" w:pos="1080"/>
          <w:tab w:val="num" w:pos="360"/>
        </w:tabs>
        <w:ind w:left="360" w:hanging="360"/>
        <w:rPr>
          <w:rFonts w:cs="Calibri"/>
        </w:rPr>
      </w:pPr>
      <w:r w:rsidRPr="001E66F6">
        <w:t>a written copy of the management plan is provided to the patient (where appropriate), the referring medical practitioner and maintained in the patient’s Medical Record</w:t>
      </w:r>
      <w:r>
        <w:rPr>
          <w:bCs/>
          <w:iCs/>
        </w:rPr>
        <w:t>.</w:t>
      </w:r>
    </w:p>
    <w:p w14:paraId="12210469" w14:textId="77777777" w:rsidR="002225FC" w:rsidRPr="001158EB" w:rsidRDefault="002225FC" w:rsidP="002225FC">
      <w:pPr>
        <w:pStyle w:val="Heading3"/>
        <w:rPr>
          <w:rFonts w:asciiTheme="minorHAnsi" w:hAnsiTheme="minorHAnsi" w:cstheme="minorHAnsi"/>
          <w:color w:val="auto"/>
        </w:rPr>
      </w:pPr>
      <w:r w:rsidRPr="001158EB">
        <w:rPr>
          <w:rFonts w:asciiTheme="minorHAnsi" w:hAnsiTheme="minorHAnsi" w:cstheme="minorHAnsi"/>
          <w:color w:val="auto"/>
        </w:rPr>
        <w:t xml:space="preserve">Q:  Can I bill for contacts? </w:t>
      </w:r>
    </w:p>
    <w:p w14:paraId="17B2ED24" w14:textId="77777777" w:rsidR="002225FC" w:rsidRPr="001E66F6" w:rsidRDefault="002225FC" w:rsidP="002225FC">
      <w:pPr>
        <w:pStyle w:val="BodyCopy"/>
        <w:rPr>
          <w:color w:val="auto"/>
        </w:rPr>
      </w:pPr>
      <w:r w:rsidRPr="001E66F6">
        <w:rPr>
          <w:color w:val="auto"/>
        </w:rPr>
        <w:t xml:space="preserve">A: Yes. </w:t>
      </w:r>
    </w:p>
    <w:p w14:paraId="46402C02" w14:textId="77777777" w:rsidR="002225FC" w:rsidRPr="001E66F6" w:rsidRDefault="002225FC" w:rsidP="002225FC">
      <w:pPr>
        <w:pStyle w:val="BodyCopy"/>
        <w:rPr>
          <w:color w:val="auto"/>
        </w:rPr>
      </w:pPr>
      <w:r w:rsidRPr="001E66F6">
        <w:rPr>
          <w:color w:val="auto"/>
        </w:rPr>
        <w:t xml:space="preserve">Contacts are billable, where they meet the criteria listed for any of the above types of services. The source system should contain all necessary information such as the treating clinician, referrals details (when necessary) and the appropriate items. </w:t>
      </w:r>
    </w:p>
    <w:p w14:paraId="26E52FD4" w14:textId="77777777" w:rsidR="002225FC" w:rsidRPr="00021B2F" w:rsidRDefault="002225FC" w:rsidP="002225FC">
      <w:pPr>
        <w:pStyle w:val="BodyCopy"/>
        <w:rPr>
          <w:rFonts w:cs="Calibri"/>
          <w:bCs w:val="0"/>
          <w:iCs w:val="0"/>
        </w:rPr>
      </w:pPr>
      <w:r w:rsidRPr="001E66F6">
        <w:rPr>
          <w:color w:val="auto"/>
        </w:rPr>
        <w:t xml:space="preserve">For each billed occasion of service, a DB4 or the appropriate above-mentioned Non-Eligible Outpatient Form should be completed. </w:t>
      </w:r>
    </w:p>
    <w:p w14:paraId="4168AF75" w14:textId="77777777" w:rsidR="002225FC" w:rsidRPr="001158EB" w:rsidRDefault="002225FC" w:rsidP="002225FC">
      <w:pPr>
        <w:pStyle w:val="Heading3"/>
        <w:rPr>
          <w:rFonts w:asciiTheme="minorHAnsi" w:hAnsiTheme="minorHAnsi" w:cstheme="minorHAnsi"/>
          <w:color w:val="auto"/>
        </w:rPr>
      </w:pPr>
      <w:r w:rsidRPr="001158EB">
        <w:rPr>
          <w:rFonts w:asciiTheme="minorHAnsi" w:hAnsiTheme="minorHAnsi" w:cstheme="minorHAnsi"/>
          <w:color w:val="auto"/>
        </w:rPr>
        <w:lastRenderedPageBreak/>
        <w:t xml:space="preserve">Q:  When should a patient sign the Bulk Bill Assignment Advice (DB4) form? </w:t>
      </w:r>
    </w:p>
    <w:p w14:paraId="681FF45E" w14:textId="77777777" w:rsidR="002225FC" w:rsidRPr="001E66F6" w:rsidRDefault="002225FC" w:rsidP="002225FC">
      <w:pPr>
        <w:pStyle w:val="BodyCopy"/>
        <w:rPr>
          <w:color w:val="auto"/>
        </w:rPr>
      </w:pPr>
      <w:r w:rsidRPr="001E66F6">
        <w:rPr>
          <w:color w:val="auto"/>
        </w:rPr>
        <w:t xml:space="preserve">A: Best </w:t>
      </w:r>
      <w:r w:rsidRPr="001E66F6">
        <w:rPr>
          <w:iCs w:val="0"/>
          <w:color w:val="auto"/>
        </w:rPr>
        <w:t xml:space="preserve">practice is before the service is provided when the consumer presents to reception, however the DB4 can be printed/presented before or after the service is provided and signed physically or digitally at any point. However, if any of the details were changed after the initial signature (e.g. item numbers, referral details) a new, corrected form must be printed / presented for the patient to resign. </w:t>
      </w:r>
    </w:p>
    <w:p w14:paraId="2CEEA453" w14:textId="77777777" w:rsidR="002225FC" w:rsidRPr="001E66F6" w:rsidRDefault="002225FC" w:rsidP="002225FC">
      <w:pPr>
        <w:pStyle w:val="ListParagraph"/>
        <w:ind w:left="0"/>
        <w:rPr>
          <w:rFonts w:cs="Arial"/>
          <w:bCs/>
          <w:iCs/>
          <w:szCs w:val="24"/>
        </w:rPr>
      </w:pPr>
      <w:r w:rsidRPr="001E66F6">
        <w:rPr>
          <w:rFonts w:cs="Arial"/>
          <w:bCs/>
          <w:iCs/>
          <w:szCs w:val="24"/>
        </w:rPr>
        <w:t xml:space="preserve">Any necessary changes can be handwritten on the printed form if this is done </w:t>
      </w:r>
      <w:r w:rsidRPr="001E66F6">
        <w:rPr>
          <w:rFonts w:cs="Arial"/>
          <w:bCs/>
          <w:i/>
          <w:szCs w:val="24"/>
        </w:rPr>
        <w:t>before</w:t>
      </w:r>
      <w:r w:rsidRPr="001E66F6">
        <w:rPr>
          <w:rFonts w:cs="Arial"/>
          <w:bCs/>
          <w:iCs/>
          <w:szCs w:val="24"/>
        </w:rPr>
        <w:t xml:space="preserve"> the patient signs.</w:t>
      </w:r>
    </w:p>
    <w:p w14:paraId="16D079B7" w14:textId="77777777" w:rsidR="000133B9" w:rsidRDefault="000133B9" w:rsidP="000133B9">
      <w:pPr>
        <w:rPr>
          <w:rFonts w:cs="Arial"/>
          <w:b/>
          <w:szCs w:val="24"/>
        </w:rPr>
      </w:pPr>
    </w:p>
    <w:p w14:paraId="56DA11CF" w14:textId="77777777" w:rsidR="000133B9" w:rsidRPr="00DA3910" w:rsidRDefault="00CD4A22" w:rsidP="000133B9">
      <w:pPr>
        <w:jc w:val="right"/>
        <w:rPr>
          <w:rFonts w:cs="Arial"/>
          <w:b/>
          <w:szCs w:val="24"/>
        </w:rPr>
      </w:pPr>
      <w:hyperlink w:anchor="Contents" w:history="1">
        <w:r w:rsidR="000133B9" w:rsidRPr="00C91F3F">
          <w:rPr>
            <w:rStyle w:val="Hyperlink"/>
            <w:rFonts w:eastAsiaTheme="majorEastAsia" w:cs="Arial"/>
            <w:i/>
            <w:szCs w:val="24"/>
          </w:rPr>
          <w:t>Back to Table of Contents</w:t>
        </w:r>
      </w:hyperlink>
      <w:r w:rsidR="000133B9">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0133B9" w:rsidRPr="00CD1C0E" w14:paraId="5CC582D4" w14:textId="77777777" w:rsidTr="00183C8B">
        <w:trPr>
          <w:cantSplit/>
          <w:trHeight w:val="285"/>
        </w:trPr>
        <w:tc>
          <w:tcPr>
            <w:tcW w:w="9158" w:type="dxa"/>
            <w:shd w:val="clear" w:color="auto" w:fill="D9D9D9" w:themeFill="background1" w:themeFillShade="D9"/>
          </w:tcPr>
          <w:p w14:paraId="06EA121C" w14:textId="1DA024E5" w:rsidR="000133B9" w:rsidRPr="003D2D06" w:rsidRDefault="000133B9" w:rsidP="00183C8B">
            <w:pPr>
              <w:pStyle w:val="Heading1"/>
            </w:pPr>
            <w:bookmarkStart w:id="181" w:name="_Toc167113140"/>
            <w:r w:rsidRPr="003D2D06">
              <w:t xml:space="preserve">Section </w:t>
            </w:r>
            <w:r w:rsidR="002225FC">
              <w:t>9</w:t>
            </w:r>
            <w:r w:rsidRPr="003D2D06">
              <w:t xml:space="preserve"> – </w:t>
            </w:r>
            <w:r w:rsidR="002225FC">
              <w:t>Billing for Services/Items via Shared Services</w:t>
            </w:r>
            <w:bookmarkEnd w:id="181"/>
          </w:p>
        </w:tc>
      </w:tr>
    </w:tbl>
    <w:p w14:paraId="2038E3DF" w14:textId="77777777" w:rsidR="000133B9" w:rsidRDefault="000133B9" w:rsidP="000133B9">
      <w:pPr>
        <w:pStyle w:val="Heading2"/>
      </w:pPr>
    </w:p>
    <w:p w14:paraId="5A68EA5D" w14:textId="77777777" w:rsidR="002225FC" w:rsidRPr="00AD759E" w:rsidRDefault="002225FC" w:rsidP="002225FC">
      <w:pPr>
        <w:spacing w:before="120" w:after="240" w:line="280" w:lineRule="exact"/>
        <w:rPr>
          <w:rFonts w:cs="Arial"/>
          <w:bCs/>
          <w:iCs/>
          <w:szCs w:val="24"/>
        </w:rPr>
      </w:pPr>
      <w:r>
        <w:rPr>
          <w:rFonts w:cs="Arial"/>
          <w:bCs/>
          <w:iCs/>
          <w:szCs w:val="24"/>
        </w:rPr>
        <w:t xml:space="preserve">For non NDIS </w:t>
      </w:r>
      <w:proofErr w:type="gramStart"/>
      <w:r>
        <w:rPr>
          <w:rFonts w:cs="Arial"/>
          <w:bCs/>
          <w:iCs/>
          <w:szCs w:val="24"/>
        </w:rPr>
        <w:t xml:space="preserve">patients </w:t>
      </w:r>
      <w:r w:rsidRPr="00AD759E">
        <w:rPr>
          <w:rFonts w:cs="Arial"/>
          <w:bCs/>
          <w:iCs/>
          <w:szCs w:val="24"/>
        </w:rPr>
        <w:t xml:space="preserve"> consumables</w:t>
      </w:r>
      <w:proofErr w:type="gramEnd"/>
      <w:r w:rsidRPr="00AD759E">
        <w:rPr>
          <w:rFonts w:cs="Arial"/>
          <w:bCs/>
          <w:iCs/>
          <w:szCs w:val="24"/>
        </w:rPr>
        <w:t xml:space="preserve"> and non-medical services are billed through Shared Services rather than the Patient Accounts Office. This includes but is not limited to:</w:t>
      </w:r>
    </w:p>
    <w:p w14:paraId="05F3EB19" w14:textId="77777777" w:rsidR="002225FC" w:rsidRPr="00AD759E" w:rsidRDefault="002225FC" w:rsidP="002225FC">
      <w:pPr>
        <w:pStyle w:val="ListBullet"/>
        <w:tabs>
          <w:tab w:val="clear" w:pos="1080"/>
          <w:tab w:val="num" w:pos="360"/>
        </w:tabs>
        <w:ind w:left="360" w:hanging="360"/>
      </w:pPr>
      <w:r>
        <w:t xml:space="preserve">equipment repairs / modifications </w:t>
      </w:r>
    </w:p>
    <w:p w14:paraId="798ED47A" w14:textId="77777777" w:rsidR="002225FC" w:rsidRPr="00AD759E" w:rsidRDefault="002225FC" w:rsidP="002225FC">
      <w:pPr>
        <w:pStyle w:val="ListBullet"/>
        <w:tabs>
          <w:tab w:val="clear" w:pos="1080"/>
          <w:tab w:val="num" w:pos="360"/>
        </w:tabs>
        <w:ind w:left="360" w:hanging="360"/>
      </w:pPr>
      <w:r w:rsidRPr="00AD759E">
        <w:t>prosthesis and orthotics</w:t>
      </w:r>
    </w:p>
    <w:p w14:paraId="777A4793" w14:textId="77777777" w:rsidR="002225FC" w:rsidRPr="00AD759E" w:rsidRDefault="002225FC" w:rsidP="002225FC">
      <w:pPr>
        <w:pStyle w:val="ListBullet"/>
        <w:tabs>
          <w:tab w:val="clear" w:pos="1080"/>
          <w:tab w:val="num" w:pos="360"/>
        </w:tabs>
        <w:ind w:left="360" w:hanging="360"/>
      </w:pPr>
      <w:r>
        <w:t>consumables (e.g. dressings, plaster casts, foot files)</w:t>
      </w:r>
    </w:p>
    <w:p w14:paraId="2918CAF7" w14:textId="121B7302" w:rsidR="002225FC" w:rsidRPr="00AD759E" w:rsidRDefault="002225FC" w:rsidP="002225FC">
      <w:pPr>
        <w:pStyle w:val="ListBullet"/>
        <w:tabs>
          <w:tab w:val="clear" w:pos="1080"/>
          <w:tab w:val="num" w:pos="360"/>
        </w:tabs>
        <w:ind w:left="360" w:hanging="360"/>
      </w:pPr>
      <w:r w:rsidRPr="00AD759E">
        <w:t>some driving assessments</w:t>
      </w:r>
    </w:p>
    <w:p w14:paraId="372F233F" w14:textId="77777777" w:rsidR="002225FC" w:rsidRPr="00AD759E" w:rsidRDefault="002225FC" w:rsidP="002225FC">
      <w:pPr>
        <w:pStyle w:val="ListBullet"/>
        <w:tabs>
          <w:tab w:val="clear" w:pos="1080"/>
          <w:tab w:val="num" w:pos="360"/>
        </w:tabs>
        <w:ind w:left="360" w:hanging="360"/>
        <w:rPr>
          <w:lang w:val="x-none"/>
        </w:rPr>
      </w:pPr>
      <w:r w:rsidRPr="00AD759E">
        <w:rPr>
          <w:lang w:val="x-none"/>
        </w:rPr>
        <w:t>medical reports</w:t>
      </w:r>
      <w:r>
        <w:t>.</w:t>
      </w:r>
    </w:p>
    <w:p w14:paraId="26680699" w14:textId="77777777" w:rsidR="002225FC" w:rsidRDefault="002225FC" w:rsidP="002225FC">
      <w:pPr>
        <w:spacing w:before="120" w:after="240" w:line="280" w:lineRule="exact"/>
        <w:rPr>
          <w:rFonts w:cs="Arial"/>
          <w:bCs/>
          <w:iCs/>
          <w:color w:val="76923C" w:themeColor="accent3" w:themeShade="BF"/>
          <w:szCs w:val="24"/>
        </w:rPr>
      </w:pPr>
      <w:r w:rsidRPr="00AD759E">
        <w:rPr>
          <w:rFonts w:cs="Arial"/>
          <w:bCs/>
          <w:iCs/>
          <w:szCs w:val="24"/>
        </w:rPr>
        <w:t xml:space="preserve">A complete list of chargeable items can be found in the </w:t>
      </w:r>
      <w:hyperlink r:id="rId52" w:history="1">
        <w:r w:rsidRPr="0017308D">
          <w:rPr>
            <w:rStyle w:val="Hyperlink"/>
            <w:rFonts w:cs="Arial"/>
            <w:bCs/>
            <w:iCs/>
            <w:szCs w:val="24"/>
          </w:rPr>
          <w:t>Health (</w:t>
        </w:r>
        <w:r>
          <w:rPr>
            <w:rStyle w:val="Hyperlink"/>
            <w:rFonts w:cs="Arial"/>
            <w:bCs/>
            <w:iCs/>
            <w:szCs w:val="24"/>
          </w:rPr>
          <w:t>F</w:t>
        </w:r>
        <w:r w:rsidRPr="0017308D">
          <w:rPr>
            <w:rStyle w:val="Hyperlink"/>
            <w:rFonts w:cs="Arial"/>
            <w:bCs/>
            <w:iCs/>
            <w:szCs w:val="24"/>
          </w:rPr>
          <w:t>ees) Determination</w:t>
        </w:r>
      </w:hyperlink>
      <w:r>
        <w:rPr>
          <w:rFonts w:cs="Arial"/>
          <w:bCs/>
          <w:iCs/>
          <w:color w:val="76923C" w:themeColor="accent3" w:themeShade="BF"/>
          <w:szCs w:val="24"/>
        </w:rPr>
        <w:t xml:space="preserve">. </w:t>
      </w:r>
    </w:p>
    <w:p w14:paraId="7FD1E5D5" w14:textId="77777777" w:rsidR="002225FC" w:rsidRPr="0017308D" w:rsidRDefault="002225FC" w:rsidP="002225FC">
      <w:r>
        <w:t>NDIS consumables and equipment is invoiced through Patient Accounts in line with the participants service agreement.</w:t>
      </w:r>
    </w:p>
    <w:p w14:paraId="326B1CCF" w14:textId="77777777" w:rsidR="002225FC" w:rsidRPr="00AD759E" w:rsidRDefault="002225FC" w:rsidP="002225FC">
      <w:pPr>
        <w:spacing w:before="120" w:after="240" w:line="280" w:lineRule="exact"/>
        <w:rPr>
          <w:rFonts w:cs="Arial"/>
          <w:bCs/>
          <w:iCs/>
          <w:szCs w:val="24"/>
        </w:rPr>
      </w:pPr>
      <w:r w:rsidRPr="00AD759E">
        <w:rPr>
          <w:rFonts w:cs="Arial"/>
          <w:bCs/>
          <w:iCs/>
          <w:szCs w:val="24"/>
        </w:rPr>
        <w:t>If you are unsure if the item/service should be billed through Patient Accounts or Shared Services confirm with your team leader or equivalent.</w:t>
      </w:r>
    </w:p>
    <w:p w14:paraId="523CF190" w14:textId="08C6DDB1" w:rsidR="002225FC" w:rsidRPr="00AD759E" w:rsidRDefault="002225FC" w:rsidP="002225FC">
      <w:pPr>
        <w:spacing w:before="120" w:after="240" w:line="280" w:lineRule="exact"/>
        <w:rPr>
          <w:rFonts w:cs="Arial"/>
          <w:bCs/>
          <w:iCs/>
          <w:szCs w:val="24"/>
        </w:rPr>
      </w:pPr>
      <w:r w:rsidRPr="00AD759E">
        <w:rPr>
          <w:rFonts w:cs="Arial"/>
          <w:bCs/>
          <w:iCs/>
          <w:szCs w:val="24"/>
        </w:rPr>
        <w:t>All requests to raise invoices are to be made in writing</w:t>
      </w:r>
      <w:r w:rsidR="009A3AA4">
        <w:rPr>
          <w:rFonts w:cs="Arial"/>
          <w:bCs/>
          <w:iCs/>
          <w:szCs w:val="24"/>
        </w:rPr>
        <w:t xml:space="preserve">, can be electronic, </w:t>
      </w:r>
      <w:r w:rsidRPr="00AD759E">
        <w:rPr>
          <w:rFonts w:cs="Arial"/>
          <w:bCs/>
          <w:iCs/>
          <w:szCs w:val="24"/>
        </w:rPr>
        <w:t>by the Clinician or manager who provided the service and need to include at a minimum, the following information:</w:t>
      </w:r>
    </w:p>
    <w:p w14:paraId="070BFC47" w14:textId="77777777" w:rsidR="002225FC" w:rsidRPr="00AD759E" w:rsidRDefault="002225FC" w:rsidP="002225FC">
      <w:pPr>
        <w:pStyle w:val="ListBullet"/>
        <w:tabs>
          <w:tab w:val="clear" w:pos="1080"/>
          <w:tab w:val="num" w:pos="360"/>
        </w:tabs>
        <w:ind w:left="360" w:hanging="360"/>
      </w:pPr>
      <w:r w:rsidRPr="00AD759E">
        <w:t xml:space="preserve">who the invoice is to be sent to </w:t>
      </w:r>
    </w:p>
    <w:p w14:paraId="71D9F6E6" w14:textId="77777777" w:rsidR="002225FC" w:rsidRPr="00AD759E" w:rsidRDefault="002225FC" w:rsidP="002225FC">
      <w:pPr>
        <w:pStyle w:val="ListBullet"/>
        <w:tabs>
          <w:tab w:val="clear" w:pos="1080"/>
          <w:tab w:val="num" w:pos="360"/>
        </w:tabs>
        <w:ind w:left="360" w:hanging="360"/>
      </w:pPr>
      <w:r w:rsidRPr="00AD759E">
        <w:t>description of service provided</w:t>
      </w:r>
    </w:p>
    <w:p w14:paraId="51E1BDDB" w14:textId="77777777" w:rsidR="002225FC" w:rsidRPr="00AD759E" w:rsidRDefault="002225FC" w:rsidP="002225FC">
      <w:pPr>
        <w:pStyle w:val="ListBullet"/>
        <w:tabs>
          <w:tab w:val="clear" w:pos="1080"/>
          <w:tab w:val="num" w:pos="360"/>
        </w:tabs>
        <w:ind w:left="360" w:hanging="360"/>
      </w:pPr>
      <w:r w:rsidRPr="00AD759E">
        <w:t>amount to be invoiced</w:t>
      </w:r>
    </w:p>
    <w:p w14:paraId="5C3D4E67" w14:textId="77777777" w:rsidR="002225FC" w:rsidRPr="00AD759E" w:rsidRDefault="002225FC" w:rsidP="002225FC">
      <w:pPr>
        <w:pStyle w:val="ListBullet"/>
        <w:tabs>
          <w:tab w:val="clear" w:pos="1080"/>
          <w:tab w:val="num" w:pos="360"/>
        </w:tabs>
        <w:ind w:left="360" w:hanging="360"/>
      </w:pPr>
      <w:r w:rsidRPr="00AD759E">
        <w:t>name of requesting clinician/manager</w:t>
      </w:r>
      <w:r>
        <w:t>.</w:t>
      </w:r>
    </w:p>
    <w:p w14:paraId="36F5A913" w14:textId="77777777" w:rsidR="002225FC" w:rsidRPr="00AD759E" w:rsidRDefault="002225FC" w:rsidP="002225FC">
      <w:pPr>
        <w:spacing w:before="120" w:after="240" w:line="280" w:lineRule="exact"/>
        <w:rPr>
          <w:rFonts w:cs="Arial"/>
          <w:bCs/>
          <w:iCs/>
          <w:szCs w:val="24"/>
        </w:rPr>
      </w:pPr>
      <w:r w:rsidRPr="00AD759E">
        <w:rPr>
          <w:rFonts w:cs="Arial"/>
          <w:bCs/>
          <w:iCs/>
          <w:szCs w:val="24"/>
        </w:rPr>
        <w:t>If there is information missing or you are unsure about the information provided on the invoice request, you should return it to the requestor or seek advice from your team leader or equivalent.</w:t>
      </w:r>
      <w:bookmarkStart w:id="182" w:name="_Toc416247398"/>
      <w:bookmarkStart w:id="183" w:name="_Toc416689136"/>
      <w:bookmarkStart w:id="184" w:name="_Toc2859036"/>
      <w:bookmarkStart w:id="185" w:name="_Toc57883505"/>
    </w:p>
    <w:p w14:paraId="096407B6" w14:textId="77777777" w:rsidR="002225FC" w:rsidRPr="00AD759E" w:rsidRDefault="002225FC" w:rsidP="002225FC">
      <w:pPr>
        <w:spacing w:before="120" w:after="240" w:line="280" w:lineRule="exact"/>
        <w:rPr>
          <w:rFonts w:cs="Arial"/>
          <w:bCs/>
          <w:iCs/>
          <w:szCs w:val="24"/>
        </w:rPr>
      </w:pPr>
      <w:r w:rsidRPr="00AD759E">
        <w:rPr>
          <w:rFonts w:cs="Arial"/>
          <w:bCs/>
          <w:iCs/>
          <w:szCs w:val="24"/>
        </w:rPr>
        <w:t xml:space="preserve">To raise an invoice through Shared </w:t>
      </w:r>
      <w:proofErr w:type="gramStart"/>
      <w:r w:rsidRPr="00AD759E">
        <w:rPr>
          <w:rFonts w:cs="Arial"/>
          <w:bCs/>
          <w:iCs/>
          <w:szCs w:val="24"/>
        </w:rPr>
        <w:t>Services</w:t>
      </w:r>
      <w:bookmarkEnd w:id="182"/>
      <w:bookmarkEnd w:id="183"/>
      <w:bookmarkEnd w:id="184"/>
      <w:bookmarkEnd w:id="185"/>
      <w:proofErr w:type="gramEnd"/>
      <w:r w:rsidRPr="00AD759E">
        <w:rPr>
          <w:rFonts w:cs="Arial"/>
          <w:bCs/>
          <w:iCs/>
          <w:szCs w:val="24"/>
        </w:rPr>
        <w:t xml:space="preserve"> follow the steps in the link below:</w:t>
      </w:r>
    </w:p>
    <w:p w14:paraId="2D3921CF" w14:textId="5D88815F" w:rsidR="000133B9" w:rsidRDefault="00CD4A22" w:rsidP="002225FC">
      <w:pPr>
        <w:rPr>
          <w:rFonts w:cs="Arial"/>
          <w:b/>
          <w:szCs w:val="24"/>
        </w:rPr>
      </w:pPr>
      <w:hyperlink r:id="rId53" w:history="1">
        <w:r w:rsidR="002225FC" w:rsidRPr="00523F60">
          <w:rPr>
            <w:rStyle w:val="Hyperlink"/>
            <w:bCs/>
            <w:iCs/>
            <w:szCs w:val="24"/>
          </w:rPr>
          <w:t>https://actss.service-now.com/sharedservices/finance?id=sc_cat_item&amp;sys_id=2911b4e3e14daa006f09c7b1cb1f3ec0</w:t>
        </w:r>
      </w:hyperlink>
    </w:p>
    <w:p w14:paraId="03D2D6DF" w14:textId="77777777" w:rsidR="000133B9" w:rsidRPr="00DA3910" w:rsidRDefault="00CD4A22" w:rsidP="000133B9">
      <w:pPr>
        <w:jc w:val="right"/>
        <w:rPr>
          <w:rFonts w:cs="Arial"/>
          <w:b/>
          <w:szCs w:val="24"/>
        </w:rPr>
      </w:pPr>
      <w:hyperlink w:anchor="Contents" w:history="1">
        <w:r w:rsidR="000133B9" w:rsidRPr="00C91F3F">
          <w:rPr>
            <w:rStyle w:val="Hyperlink"/>
            <w:rFonts w:eastAsiaTheme="majorEastAsia" w:cs="Arial"/>
            <w:i/>
            <w:szCs w:val="24"/>
          </w:rPr>
          <w:t>Back to Table of Contents</w:t>
        </w:r>
      </w:hyperlink>
      <w:r w:rsidR="000133B9">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0133B9" w:rsidRPr="00CD1C0E" w14:paraId="27522845" w14:textId="77777777" w:rsidTr="00183C8B">
        <w:trPr>
          <w:cantSplit/>
          <w:trHeight w:val="285"/>
        </w:trPr>
        <w:tc>
          <w:tcPr>
            <w:tcW w:w="9158" w:type="dxa"/>
            <w:shd w:val="clear" w:color="auto" w:fill="D9D9D9" w:themeFill="background1" w:themeFillShade="D9"/>
          </w:tcPr>
          <w:p w14:paraId="4A89E63A" w14:textId="5DD5A509" w:rsidR="000133B9" w:rsidRPr="003D2D06" w:rsidRDefault="000133B9" w:rsidP="00183C8B">
            <w:pPr>
              <w:pStyle w:val="Heading1"/>
            </w:pPr>
            <w:bookmarkStart w:id="186" w:name="_Toc167113141"/>
            <w:r w:rsidRPr="003D2D06">
              <w:t xml:space="preserve">Section </w:t>
            </w:r>
            <w:r w:rsidR="009A3AA4">
              <w:t>10</w:t>
            </w:r>
            <w:r w:rsidRPr="003D2D06">
              <w:t xml:space="preserve"> – </w:t>
            </w:r>
            <w:r w:rsidR="009A3AA4">
              <w:t>Patient Accounts, Revenue Data</w:t>
            </w:r>
            <w:bookmarkEnd w:id="186"/>
          </w:p>
        </w:tc>
      </w:tr>
    </w:tbl>
    <w:p w14:paraId="15DFB9CF" w14:textId="77777777" w:rsidR="000133B9" w:rsidRDefault="000133B9" w:rsidP="000133B9">
      <w:pPr>
        <w:pStyle w:val="Heading2"/>
      </w:pPr>
    </w:p>
    <w:p w14:paraId="4EE6C98D" w14:textId="3DAD1FB6" w:rsidR="009A3AA4" w:rsidRPr="00AD759E" w:rsidRDefault="009A3AA4" w:rsidP="009A3AA4">
      <w:pPr>
        <w:spacing w:beforeAutospacing="1"/>
        <w:textAlignment w:val="baseline"/>
        <w:rPr>
          <w:rFonts w:cs="Calibri"/>
          <w:szCs w:val="24"/>
          <w:lang w:eastAsia="en-AU"/>
        </w:rPr>
      </w:pPr>
      <w:r w:rsidRPr="00AD759E">
        <w:rPr>
          <w:rFonts w:cs="Calibri"/>
          <w:szCs w:val="24"/>
          <w:bdr w:val="none" w:sz="0" w:space="0" w:color="auto" w:frame="1"/>
          <w:lang w:eastAsia="en-AU"/>
        </w:rPr>
        <w:t xml:space="preserve">Patient Accounts is responsible for the billing and debt recovery of patient, Medicare and Health Fund invoices raised for </w:t>
      </w:r>
      <w:r>
        <w:rPr>
          <w:rFonts w:cs="Calibri"/>
          <w:szCs w:val="24"/>
          <w:bdr w:val="none" w:sz="0" w:space="0" w:color="auto" w:frame="1"/>
          <w:lang w:eastAsia="en-AU"/>
        </w:rPr>
        <w:t>CHS</w:t>
      </w:r>
      <w:r w:rsidRPr="00AD759E">
        <w:rPr>
          <w:rFonts w:cs="Calibri"/>
          <w:szCs w:val="24"/>
          <w:bdr w:val="none" w:sz="0" w:space="0" w:color="auto" w:frame="1"/>
          <w:lang w:eastAsia="en-AU"/>
        </w:rPr>
        <w:t>. This includes, but is not limited to, accommodation, diagnostic services, and admitted/non-admitted services.</w:t>
      </w:r>
    </w:p>
    <w:p w14:paraId="06CF1725" w14:textId="77777777" w:rsidR="009A3AA4" w:rsidRPr="00AD759E" w:rsidRDefault="009A3AA4" w:rsidP="009A3AA4">
      <w:pPr>
        <w:spacing w:beforeAutospacing="1"/>
        <w:textAlignment w:val="baseline"/>
        <w:rPr>
          <w:rFonts w:cs="Calibri"/>
          <w:szCs w:val="24"/>
          <w:lang w:eastAsia="en-AU"/>
        </w:rPr>
      </w:pPr>
      <w:r w:rsidRPr="00AD759E">
        <w:rPr>
          <w:rFonts w:cs="Calibri"/>
          <w:szCs w:val="24"/>
          <w:bdr w:val="none" w:sz="0" w:space="0" w:color="auto" w:frame="1"/>
          <w:lang w:eastAsia="en-AU"/>
        </w:rPr>
        <w:t xml:space="preserve">Our dedicated teams provide support to patients, internal and external stakeholders, as well as clinical and administrative staff members ensuring timely and accurate information is available to assist with both the patient experience and enhancing CHS revenue. </w:t>
      </w:r>
    </w:p>
    <w:p w14:paraId="51B78FA7" w14:textId="04A762EE" w:rsidR="009A3AA4" w:rsidRPr="00B32C86" w:rsidRDefault="009A3AA4" w:rsidP="009A3AA4">
      <w:pPr>
        <w:spacing w:beforeAutospacing="1"/>
        <w:textAlignment w:val="baseline"/>
        <w:rPr>
          <w:rFonts w:cs="Calibri"/>
          <w:color w:val="76923C" w:themeColor="accent3" w:themeShade="BF"/>
          <w:szCs w:val="24"/>
          <w:lang w:eastAsia="en-AU"/>
        </w:rPr>
      </w:pPr>
      <w:r w:rsidRPr="00AD759E">
        <w:rPr>
          <w:rFonts w:cs="Calibri"/>
          <w:szCs w:val="24"/>
          <w:bdr w:val="none" w:sz="0" w:space="0" w:color="auto" w:frame="1"/>
          <w:lang w:eastAsia="en-AU"/>
        </w:rPr>
        <w:t xml:space="preserve">Revenue Data provides administrative support, </w:t>
      </w:r>
      <w:proofErr w:type="gramStart"/>
      <w:r w:rsidRPr="00AD759E">
        <w:rPr>
          <w:rFonts w:cs="Calibri"/>
          <w:szCs w:val="24"/>
          <w:bdr w:val="none" w:sz="0" w:space="0" w:color="auto" w:frame="1"/>
          <w:lang w:eastAsia="en-AU"/>
        </w:rPr>
        <w:t>training</w:t>
      </w:r>
      <w:proofErr w:type="gramEnd"/>
      <w:r w:rsidRPr="00AD759E">
        <w:rPr>
          <w:rFonts w:cs="Calibri"/>
          <w:szCs w:val="24"/>
          <w:bdr w:val="none" w:sz="0" w:space="0" w:color="auto" w:frame="1"/>
          <w:lang w:eastAsia="en-AU"/>
        </w:rPr>
        <w:t xml:space="preserve"> and advice to the </w:t>
      </w:r>
      <w:r>
        <w:rPr>
          <w:rFonts w:cs="Calibri"/>
          <w:szCs w:val="24"/>
          <w:bdr w:val="none" w:sz="0" w:space="0" w:color="auto" w:frame="1"/>
          <w:lang w:eastAsia="en-AU"/>
        </w:rPr>
        <w:t>CHS</w:t>
      </w:r>
      <w:r w:rsidRPr="00AD759E">
        <w:rPr>
          <w:rFonts w:cs="Calibri"/>
          <w:szCs w:val="24"/>
          <w:bdr w:val="none" w:sz="0" w:space="0" w:color="auto" w:frame="1"/>
          <w:lang w:eastAsia="en-AU"/>
        </w:rPr>
        <w:t xml:space="preserve"> divisions on billing processes and guidelines in a public health facility. We provide billing data reports to the divisions, these include missed revenue reports and billing process insights on request, noting these are available in DHR.  For CHS staff members seeking advice on billing rules or billing training please contact </w:t>
      </w:r>
      <w:hyperlink r:id="rId54" w:history="1">
        <w:r w:rsidRPr="00F5106D">
          <w:rPr>
            <w:rStyle w:val="Hyperlink"/>
            <w:rFonts w:cs="Calibri"/>
            <w:szCs w:val="24"/>
            <w:bdr w:val="none" w:sz="0" w:space="0" w:color="auto" w:frame="1"/>
            <w:lang w:eastAsia="en-AU"/>
          </w:rPr>
          <w:t>CHS.revenuedata@act.gov.au</w:t>
        </w:r>
      </w:hyperlink>
      <w:r>
        <w:rPr>
          <w:rFonts w:cs="Calibri"/>
          <w:color w:val="76923C" w:themeColor="accent3" w:themeShade="BF"/>
          <w:szCs w:val="24"/>
          <w:bdr w:val="none" w:sz="0" w:space="0" w:color="auto" w:frame="1"/>
          <w:lang w:eastAsia="en-AU"/>
        </w:rPr>
        <w:t xml:space="preserve"> </w:t>
      </w:r>
    </w:p>
    <w:p w14:paraId="0A0ECFC4" w14:textId="77777777" w:rsidR="009A3AA4" w:rsidRPr="002A23F3" w:rsidRDefault="009A3AA4" w:rsidP="009A3AA4">
      <w:pPr>
        <w:spacing w:beforeAutospacing="1"/>
        <w:textAlignment w:val="baseline"/>
        <w:rPr>
          <w:rFonts w:cs="Calibri"/>
          <w:color w:val="76923C" w:themeColor="accent3" w:themeShade="BF"/>
          <w:szCs w:val="24"/>
          <w:bdr w:val="none" w:sz="0" w:space="0" w:color="auto" w:frame="1"/>
          <w:lang w:eastAsia="en-AU"/>
        </w:rPr>
      </w:pPr>
      <w:r w:rsidRPr="00AD759E">
        <w:rPr>
          <w:rFonts w:cs="Calibri"/>
          <w:szCs w:val="24"/>
          <w:bdr w:val="none" w:sz="0" w:space="0" w:color="auto" w:frame="1"/>
          <w:lang w:eastAsia="en-AU"/>
        </w:rPr>
        <w:t xml:space="preserve">For divisions seeking support or advice on behalf of patients wishing to discuss their accounts, please contact Patient Accounts via phone (02) 6207 6131 (option 2) or via e-mail </w:t>
      </w:r>
      <w:hyperlink r:id="rId55" w:history="1">
        <w:r w:rsidRPr="00B32C86">
          <w:rPr>
            <w:rStyle w:val="Hyperlink"/>
            <w:bCs/>
            <w:iCs/>
            <w:szCs w:val="24"/>
          </w:rPr>
          <w:t>CHSBilling@act.gov.au</w:t>
        </w:r>
      </w:hyperlink>
      <w:r w:rsidRPr="00B32C86">
        <w:rPr>
          <w:rStyle w:val="Hyperlink"/>
          <w:bCs/>
          <w:iCs/>
        </w:rPr>
        <w:t>.</w:t>
      </w:r>
      <w:r w:rsidRPr="00B32C86">
        <w:rPr>
          <w:rFonts w:cs="Calibri"/>
          <w:color w:val="76923C" w:themeColor="accent3" w:themeShade="BF"/>
          <w:szCs w:val="24"/>
          <w:bdr w:val="none" w:sz="0" w:space="0" w:color="auto" w:frame="1"/>
          <w:lang w:eastAsia="en-AU"/>
        </w:rPr>
        <w:t xml:space="preserve"> </w:t>
      </w:r>
    </w:p>
    <w:p w14:paraId="1FE9B489" w14:textId="77777777" w:rsidR="000133B9" w:rsidRDefault="000133B9" w:rsidP="000133B9">
      <w:pPr>
        <w:rPr>
          <w:rFonts w:cs="Arial"/>
          <w:b/>
          <w:szCs w:val="24"/>
        </w:rPr>
      </w:pPr>
    </w:p>
    <w:p w14:paraId="63BFA6BC" w14:textId="77777777" w:rsidR="000133B9" w:rsidRPr="00DA3910" w:rsidRDefault="00CD4A22" w:rsidP="000133B9">
      <w:pPr>
        <w:jc w:val="right"/>
        <w:rPr>
          <w:rFonts w:cs="Arial"/>
          <w:b/>
          <w:szCs w:val="24"/>
        </w:rPr>
      </w:pPr>
      <w:hyperlink w:anchor="Contents" w:history="1">
        <w:r w:rsidR="000133B9" w:rsidRPr="00C91F3F">
          <w:rPr>
            <w:rStyle w:val="Hyperlink"/>
            <w:rFonts w:eastAsiaTheme="majorEastAsia" w:cs="Arial"/>
            <w:i/>
            <w:szCs w:val="24"/>
          </w:rPr>
          <w:t>Back to Table of Contents</w:t>
        </w:r>
      </w:hyperlink>
      <w:r w:rsidR="000133B9">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0133B9" w:rsidRPr="00CD1C0E" w14:paraId="3E5C7568" w14:textId="77777777" w:rsidTr="00183C8B">
        <w:trPr>
          <w:cantSplit/>
          <w:trHeight w:val="285"/>
        </w:trPr>
        <w:tc>
          <w:tcPr>
            <w:tcW w:w="9158" w:type="dxa"/>
            <w:shd w:val="clear" w:color="auto" w:fill="D9D9D9" w:themeFill="background1" w:themeFillShade="D9"/>
          </w:tcPr>
          <w:p w14:paraId="4A6C78A0" w14:textId="5B3129AE" w:rsidR="000133B9" w:rsidRPr="003D2D06" w:rsidRDefault="000133B9" w:rsidP="00183C8B">
            <w:pPr>
              <w:pStyle w:val="Heading1"/>
            </w:pPr>
            <w:bookmarkStart w:id="187" w:name="_Toc167113142"/>
            <w:r w:rsidRPr="003D2D06">
              <w:t xml:space="preserve">Section </w:t>
            </w:r>
            <w:r w:rsidR="009A3AA4">
              <w:t>11</w:t>
            </w:r>
            <w:r w:rsidRPr="003D2D06">
              <w:t xml:space="preserve"> – </w:t>
            </w:r>
            <w:r w:rsidR="009A3AA4">
              <w:t>Support Using DHR</w:t>
            </w:r>
            <w:bookmarkEnd w:id="187"/>
          </w:p>
        </w:tc>
      </w:tr>
    </w:tbl>
    <w:p w14:paraId="7C10E41B" w14:textId="77777777" w:rsidR="000133B9" w:rsidRDefault="000133B9" w:rsidP="000133B9">
      <w:pPr>
        <w:pStyle w:val="Heading2"/>
      </w:pPr>
    </w:p>
    <w:p w14:paraId="6612CB66" w14:textId="77777777" w:rsidR="009A3AA4" w:rsidRDefault="009A3AA4" w:rsidP="009A3AA4">
      <w:pPr>
        <w:rPr>
          <w:rFonts w:cs="Arial"/>
          <w:b/>
          <w:szCs w:val="24"/>
        </w:rPr>
      </w:pPr>
      <w:bookmarkStart w:id="188" w:name="_Toc135647218"/>
      <w:r>
        <w:t xml:space="preserve">Staff requiring support and training to use DHR, including coding patient encounters for billing, should contact </w:t>
      </w:r>
      <w:hyperlink r:id="rId56" w:history="1">
        <w:r w:rsidRPr="001158EB">
          <w:rPr>
            <w:rStyle w:val="Hyperlink"/>
            <w:rFonts w:asciiTheme="minorHAnsi" w:hAnsiTheme="minorHAnsi" w:cstheme="minorBidi"/>
            <w:szCs w:val="24"/>
            <w:bdr w:val="none" w:sz="0" w:space="0" w:color="auto" w:frame="1"/>
            <w:lang w:eastAsia="en-AU"/>
          </w:rPr>
          <w:t>Digital Solutions Support</w:t>
        </w:r>
      </w:hyperlink>
      <w:bookmarkEnd w:id="188"/>
    </w:p>
    <w:p w14:paraId="21B2A4ED" w14:textId="77777777" w:rsidR="000133B9" w:rsidRDefault="000133B9" w:rsidP="000133B9">
      <w:pPr>
        <w:rPr>
          <w:rFonts w:cs="Arial"/>
          <w:b/>
          <w:szCs w:val="24"/>
        </w:rPr>
      </w:pPr>
    </w:p>
    <w:p w14:paraId="5D6DE6C5" w14:textId="77777777" w:rsidR="000133B9" w:rsidRPr="00DA3910" w:rsidRDefault="00CD4A22" w:rsidP="000133B9">
      <w:pPr>
        <w:jc w:val="right"/>
        <w:rPr>
          <w:rFonts w:cs="Arial"/>
          <w:b/>
          <w:szCs w:val="24"/>
        </w:rPr>
      </w:pPr>
      <w:hyperlink w:anchor="Contents" w:history="1">
        <w:r w:rsidR="000133B9" w:rsidRPr="00C91F3F">
          <w:rPr>
            <w:rStyle w:val="Hyperlink"/>
            <w:rFonts w:eastAsiaTheme="majorEastAsia" w:cs="Arial"/>
            <w:i/>
            <w:szCs w:val="24"/>
          </w:rPr>
          <w:t>Back to Table of Contents</w:t>
        </w:r>
      </w:hyperlink>
      <w:r w:rsidR="000133B9">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0133B9" w:rsidRPr="00CD1C0E" w14:paraId="5FDA109A" w14:textId="77777777" w:rsidTr="00183C8B">
        <w:trPr>
          <w:cantSplit/>
          <w:trHeight w:val="285"/>
        </w:trPr>
        <w:tc>
          <w:tcPr>
            <w:tcW w:w="9158" w:type="dxa"/>
            <w:shd w:val="clear" w:color="auto" w:fill="D9D9D9" w:themeFill="background1" w:themeFillShade="D9"/>
          </w:tcPr>
          <w:p w14:paraId="5C3B0921" w14:textId="0D566279" w:rsidR="000133B9" w:rsidRPr="003D2D06" w:rsidRDefault="000133B9" w:rsidP="00183C8B">
            <w:pPr>
              <w:pStyle w:val="Heading1"/>
            </w:pPr>
            <w:bookmarkStart w:id="189" w:name="_Toc167113143"/>
            <w:r w:rsidRPr="003D2D06">
              <w:t xml:space="preserve">Section </w:t>
            </w:r>
            <w:r w:rsidR="009A3AA4">
              <w:t>12</w:t>
            </w:r>
            <w:r w:rsidRPr="003D2D06">
              <w:t xml:space="preserve"> – </w:t>
            </w:r>
            <w:r w:rsidR="009A3AA4">
              <w:t>For Further Information</w:t>
            </w:r>
            <w:bookmarkEnd w:id="189"/>
          </w:p>
        </w:tc>
      </w:tr>
    </w:tbl>
    <w:p w14:paraId="4BBBC713" w14:textId="77777777" w:rsidR="000133B9" w:rsidRDefault="000133B9" w:rsidP="000133B9">
      <w:pPr>
        <w:pStyle w:val="Heading2"/>
      </w:pPr>
    </w:p>
    <w:p w14:paraId="03E20B4A" w14:textId="77777777" w:rsidR="009A3AA4" w:rsidRDefault="009A3AA4" w:rsidP="009A3AA4">
      <w:pPr>
        <w:tabs>
          <w:tab w:val="num" w:pos="0"/>
        </w:tabs>
        <w:rPr>
          <w:szCs w:val="24"/>
        </w:rPr>
      </w:pPr>
      <w:r w:rsidRPr="00AD759E">
        <w:rPr>
          <w:szCs w:val="24"/>
        </w:rPr>
        <w:t xml:space="preserve">Please ensure that if you require further information or have any questions about billing, speak to your team leader (or equivalent) first, who should escalate to Revenue Data if required. </w:t>
      </w:r>
    </w:p>
    <w:p w14:paraId="11D7BC2D" w14:textId="77777777" w:rsidR="009A3AA4" w:rsidRPr="00AD759E" w:rsidRDefault="009A3AA4" w:rsidP="009A3AA4">
      <w:pPr>
        <w:tabs>
          <w:tab w:val="num" w:pos="0"/>
        </w:tabs>
        <w:rPr>
          <w:szCs w:val="24"/>
        </w:rPr>
      </w:pPr>
    </w:p>
    <w:p w14:paraId="1C5AB6DC" w14:textId="77777777" w:rsidR="009A3AA4" w:rsidRPr="00AD759E" w:rsidRDefault="009A3AA4" w:rsidP="009A3AA4">
      <w:pPr>
        <w:tabs>
          <w:tab w:val="num" w:pos="0"/>
        </w:tabs>
        <w:rPr>
          <w:szCs w:val="24"/>
        </w:rPr>
      </w:pPr>
      <w:r w:rsidRPr="00AD759E">
        <w:rPr>
          <w:szCs w:val="24"/>
        </w:rPr>
        <w:t xml:space="preserve">Any clarification required from Medicare and/or other legislation about billing </w:t>
      </w:r>
      <w:r w:rsidRPr="00AD759E">
        <w:rPr>
          <w:b/>
          <w:szCs w:val="24"/>
        </w:rPr>
        <w:t>MUST</w:t>
      </w:r>
      <w:r w:rsidRPr="00AD759E">
        <w:rPr>
          <w:szCs w:val="24"/>
        </w:rPr>
        <w:t xml:space="preserve"> be sought through Revenue Data. Individual teams should not contact Medicare directly.</w:t>
      </w:r>
    </w:p>
    <w:p w14:paraId="2981506C" w14:textId="77777777" w:rsidR="000133B9" w:rsidRDefault="000133B9" w:rsidP="000133B9">
      <w:pPr>
        <w:rPr>
          <w:rFonts w:cs="Arial"/>
          <w:b/>
          <w:szCs w:val="24"/>
        </w:rPr>
      </w:pPr>
    </w:p>
    <w:p w14:paraId="5ED58E15" w14:textId="4F119D06" w:rsidR="00D006EF" w:rsidRPr="00B6702A" w:rsidRDefault="00CD4A22" w:rsidP="00B6702A">
      <w:pPr>
        <w:jc w:val="right"/>
        <w:rPr>
          <w:rFonts w:cs="Arial"/>
          <w:b/>
          <w:szCs w:val="24"/>
        </w:rPr>
      </w:pPr>
      <w:hyperlink w:anchor="Contents" w:history="1">
        <w:r w:rsidR="000133B9" w:rsidRPr="00C91F3F">
          <w:rPr>
            <w:rStyle w:val="Hyperlink"/>
            <w:rFonts w:eastAsiaTheme="majorEastAsia" w:cs="Arial"/>
            <w:i/>
            <w:szCs w:val="24"/>
          </w:rPr>
          <w:t>Back to Table of Contents</w:t>
        </w:r>
      </w:hyperlink>
      <w:r w:rsidR="000133B9">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190" w:name="_Toc389473287"/>
            <w:bookmarkStart w:id="191" w:name="_Toc393203347"/>
            <w:bookmarkStart w:id="192" w:name="_Toc167113144"/>
            <w:r>
              <w:lastRenderedPageBreak/>
              <w:t>Related Policies, Procedures</w:t>
            </w:r>
            <w:bookmarkEnd w:id="190"/>
            <w:r>
              <w:t>, Guidelines and Legislation</w:t>
            </w:r>
            <w:bookmarkEnd w:id="191"/>
            <w:bookmarkEnd w:id="192"/>
          </w:p>
        </w:tc>
      </w:tr>
    </w:tbl>
    <w:p w14:paraId="08682A21" w14:textId="77777777" w:rsidR="009A534C" w:rsidRDefault="009A534C" w:rsidP="009A534C">
      <w:pPr>
        <w:rPr>
          <w:szCs w:val="24"/>
        </w:rPr>
      </w:pPr>
    </w:p>
    <w:p w14:paraId="2C74F4DD" w14:textId="77777777" w:rsidR="009A3AA4" w:rsidRDefault="009A3AA4" w:rsidP="009A3AA4">
      <w:pPr>
        <w:rPr>
          <w:szCs w:val="24"/>
        </w:rPr>
      </w:pPr>
      <w:r>
        <w:rPr>
          <w:b/>
          <w:bCs/>
          <w:szCs w:val="24"/>
        </w:rPr>
        <w:t>Policies</w:t>
      </w:r>
    </w:p>
    <w:p w14:paraId="1DE29169" w14:textId="77777777" w:rsidR="009A3AA4" w:rsidRPr="00D7429F" w:rsidRDefault="009A3AA4" w:rsidP="009A3AA4">
      <w:pPr>
        <w:pStyle w:val="ListParagraph"/>
        <w:numPr>
          <w:ilvl w:val="0"/>
          <w:numId w:val="19"/>
        </w:numPr>
        <w:ind w:left="426" w:hanging="426"/>
        <w:rPr>
          <w:szCs w:val="24"/>
        </w:rPr>
      </w:pPr>
      <w:r>
        <w:rPr>
          <w:szCs w:val="24"/>
        </w:rPr>
        <w:t xml:space="preserve">Patient Debt Write Off </w:t>
      </w:r>
    </w:p>
    <w:p w14:paraId="17F13BCB" w14:textId="77777777" w:rsidR="009A3AA4" w:rsidRDefault="009A3AA4" w:rsidP="009A3AA4">
      <w:pPr>
        <w:rPr>
          <w:b/>
          <w:bCs/>
          <w:szCs w:val="24"/>
        </w:rPr>
      </w:pPr>
    </w:p>
    <w:p w14:paraId="1C8F9BA3" w14:textId="77777777" w:rsidR="009A3AA4" w:rsidRDefault="009A3AA4" w:rsidP="009A3AA4">
      <w:pPr>
        <w:rPr>
          <w:b/>
          <w:bCs/>
          <w:szCs w:val="24"/>
        </w:rPr>
      </w:pPr>
      <w:r>
        <w:rPr>
          <w:b/>
          <w:bCs/>
          <w:szCs w:val="24"/>
        </w:rPr>
        <w:t>Procedures</w:t>
      </w:r>
    </w:p>
    <w:p w14:paraId="4C527B3B" w14:textId="77777777" w:rsidR="009A3AA4" w:rsidRDefault="009A3AA4" w:rsidP="009A3AA4">
      <w:pPr>
        <w:pStyle w:val="ListParagraph"/>
        <w:numPr>
          <w:ilvl w:val="0"/>
          <w:numId w:val="18"/>
        </w:numPr>
        <w:ind w:left="426" w:hanging="426"/>
        <w:rPr>
          <w:szCs w:val="24"/>
        </w:rPr>
      </w:pPr>
      <w:r>
        <w:rPr>
          <w:szCs w:val="24"/>
        </w:rPr>
        <w:t>Admission to Discharge (adults and children)</w:t>
      </w:r>
    </w:p>
    <w:p w14:paraId="134E570F" w14:textId="77777777" w:rsidR="009A3AA4" w:rsidRDefault="009A3AA4" w:rsidP="009A3AA4">
      <w:pPr>
        <w:pStyle w:val="ListParagraph"/>
        <w:numPr>
          <w:ilvl w:val="0"/>
          <w:numId w:val="18"/>
        </w:numPr>
        <w:ind w:left="426" w:hanging="426"/>
        <w:rPr>
          <w:szCs w:val="24"/>
        </w:rPr>
      </w:pPr>
      <w:r>
        <w:rPr>
          <w:szCs w:val="24"/>
        </w:rPr>
        <w:t>Inpatient Revenue Collection</w:t>
      </w:r>
    </w:p>
    <w:p w14:paraId="3F6E9F02" w14:textId="77777777" w:rsidR="009A3AA4" w:rsidRDefault="009A3AA4" w:rsidP="009A3AA4">
      <w:pPr>
        <w:pStyle w:val="ListParagraph"/>
        <w:numPr>
          <w:ilvl w:val="0"/>
          <w:numId w:val="18"/>
        </w:numPr>
        <w:ind w:left="426" w:hanging="426"/>
        <w:rPr>
          <w:szCs w:val="24"/>
        </w:rPr>
      </w:pPr>
      <w:r>
        <w:rPr>
          <w:szCs w:val="24"/>
        </w:rPr>
        <w:t>Charges for Medicare Ineligible – Non-Eligible patients presenting for non-emergent treatment and or procedures</w:t>
      </w:r>
    </w:p>
    <w:p w14:paraId="11D6F149" w14:textId="77777777" w:rsidR="009A3AA4" w:rsidRDefault="009A3AA4" w:rsidP="009A3AA4">
      <w:pPr>
        <w:pStyle w:val="ListParagraph"/>
        <w:numPr>
          <w:ilvl w:val="0"/>
          <w:numId w:val="18"/>
        </w:numPr>
        <w:ind w:left="426" w:hanging="426"/>
        <w:rPr>
          <w:szCs w:val="24"/>
        </w:rPr>
      </w:pPr>
      <w:r>
        <w:rPr>
          <w:szCs w:val="24"/>
        </w:rPr>
        <w:t>Telehealth Consultation</w:t>
      </w:r>
    </w:p>
    <w:p w14:paraId="7DF34406" w14:textId="77777777" w:rsidR="009A3AA4" w:rsidRDefault="009A3AA4" w:rsidP="009A3AA4">
      <w:pPr>
        <w:rPr>
          <w:szCs w:val="24"/>
        </w:rPr>
      </w:pPr>
    </w:p>
    <w:p w14:paraId="78859775" w14:textId="77777777" w:rsidR="009A3AA4" w:rsidRDefault="009A3AA4" w:rsidP="009A3AA4">
      <w:pPr>
        <w:rPr>
          <w:szCs w:val="24"/>
        </w:rPr>
      </w:pPr>
      <w:r>
        <w:rPr>
          <w:b/>
          <w:bCs/>
          <w:szCs w:val="24"/>
        </w:rPr>
        <w:t xml:space="preserve">Legislation </w:t>
      </w:r>
    </w:p>
    <w:p w14:paraId="38105851" w14:textId="77777777" w:rsidR="009A3AA4" w:rsidRPr="00E8126F" w:rsidRDefault="009A3AA4" w:rsidP="009A3AA4">
      <w:pPr>
        <w:pStyle w:val="ListParagraph"/>
        <w:numPr>
          <w:ilvl w:val="0"/>
          <w:numId w:val="20"/>
        </w:numPr>
        <w:ind w:left="426" w:hanging="426"/>
        <w:rPr>
          <w:szCs w:val="24"/>
        </w:rPr>
      </w:pPr>
      <w:r>
        <w:rPr>
          <w:i/>
          <w:iCs/>
          <w:szCs w:val="24"/>
        </w:rPr>
        <w:t>Health Records (Privacy and Access) Act 1997</w:t>
      </w:r>
    </w:p>
    <w:p w14:paraId="6618FC28" w14:textId="77777777" w:rsidR="009A3AA4" w:rsidRPr="00E8126F" w:rsidRDefault="009A3AA4" w:rsidP="009A3AA4">
      <w:pPr>
        <w:pStyle w:val="ListParagraph"/>
        <w:numPr>
          <w:ilvl w:val="0"/>
          <w:numId w:val="20"/>
        </w:numPr>
        <w:ind w:left="426" w:hanging="426"/>
        <w:rPr>
          <w:szCs w:val="24"/>
        </w:rPr>
      </w:pPr>
      <w:r>
        <w:rPr>
          <w:i/>
          <w:iCs/>
          <w:szCs w:val="24"/>
        </w:rPr>
        <w:t>Human Rights Act 2004</w:t>
      </w:r>
    </w:p>
    <w:p w14:paraId="678E777A" w14:textId="77777777" w:rsidR="009A3AA4" w:rsidRPr="00E8126F" w:rsidRDefault="009A3AA4" w:rsidP="009A3AA4">
      <w:pPr>
        <w:pStyle w:val="ListParagraph"/>
        <w:numPr>
          <w:ilvl w:val="1"/>
          <w:numId w:val="22"/>
        </w:numPr>
        <w:ind w:left="426" w:hanging="426"/>
        <w:rPr>
          <w:rFonts w:cs="Calibri"/>
          <w:bCs/>
          <w:i/>
          <w:color w:val="323232"/>
          <w:szCs w:val="24"/>
        </w:rPr>
      </w:pPr>
      <w:r w:rsidRPr="00E8126F">
        <w:rPr>
          <w:rFonts w:cs="Calibri"/>
          <w:bCs/>
          <w:i/>
          <w:szCs w:val="24"/>
        </w:rPr>
        <w:t xml:space="preserve">Health Insurance Act 1973 </w:t>
      </w:r>
      <w:r w:rsidRPr="00E8126F">
        <w:rPr>
          <w:i/>
        </w:rPr>
        <w:t xml:space="preserve"> </w:t>
      </w:r>
    </w:p>
    <w:p w14:paraId="5F8A6134" w14:textId="77777777" w:rsidR="009A3AA4" w:rsidRPr="00E8126F" w:rsidRDefault="009A3AA4" w:rsidP="009A3AA4">
      <w:pPr>
        <w:pStyle w:val="ListParagraph"/>
        <w:numPr>
          <w:ilvl w:val="1"/>
          <w:numId w:val="22"/>
        </w:numPr>
        <w:ind w:left="426" w:hanging="426"/>
        <w:rPr>
          <w:i/>
        </w:rPr>
      </w:pPr>
      <w:r w:rsidRPr="00E8126F">
        <w:rPr>
          <w:rFonts w:cs="Calibri"/>
          <w:bCs/>
          <w:i/>
          <w:szCs w:val="24"/>
        </w:rPr>
        <w:t xml:space="preserve">Health (fees) Determination </w:t>
      </w:r>
    </w:p>
    <w:p w14:paraId="5ABFF895" w14:textId="77777777" w:rsidR="009A3AA4" w:rsidRDefault="009A3AA4" w:rsidP="009A3AA4">
      <w:pPr>
        <w:rPr>
          <w:szCs w:val="24"/>
        </w:rPr>
      </w:pPr>
    </w:p>
    <w:p w14:paraId="11B04D2A" w14:textId="77777777" w:rsidR="009A3AA4" w:rsidRDefault="009A3AA4" w:rsidP="009A3AA4">
      <w:pPr>
        <w:rPr>
          <w:b/>
          <w:bCs/>
          <w:szCs w:val="24"/>
        </w:rPr>
      </w:pPr>
      <w:r>
        <w:rPr>
          <w:b/>
          <w:bCs/>
          <w:szCs w:val="24"/>
        </w:rPr>
        <w:t xml:space="preserve">Other </w:t>
      </w:r>
    </w:p>
    <w:p w14:paraId="338D005A" w14:textId="77777777" w:rsidR="009A3AA4" w:rsidRPr="00E8126F" w:rsidRDefault="009A3AA4" w:rsidP="009A3AA4">
      <w:pPr>
        <w:pStyle w:val="ListParagraph"/>
        <w:numPr>
          <w:ilvl w:val="0"/>
          <w:numId w:val="21"/>
        </w:numPr>
        <w:ind w:left="426" w:hanging="426"/>
        <w:rPr>
          <w:szCs w:val="24"/>
        </w:rPr>
      </w:pPr>
      <w:r>
        <w:rPr>
          <w:szCs w:val="24"/>
        </w:rPr>
        <w:t>Australian Charter of Healthcare Rights</w:t>
      </w:r>
    </w:p>
    <w:p w14:paraId="43534A19" w14:textId="77777777" w:rsidR="009A3AA4" w:rsidRPr="00E8126F" w:rsidRDefault="009A3AA4" w:rsidP="009A3AA4">
      <w:pPr>
        <w:pStyle w:val="BodyCopy"/>
        <w:numPr>
          <w:ilvl w:val="0"/>
          <w:numId w:val="17"/>
        </w:numPr>
        <w:spacing w:before="0" w:after="0" w:line="240" w:lineRule="auto"/>
        <w:ind w:left="426" w:hanging="426"/>
        <w:rPr>
          <w:rFonts w:cs="Calibri"/>
          <w:bCs w:val="0"/>
          <w:iCs w:val="0"/>
          <w:color w:val="auto"/>
        </w:rPr>
      </w:pPr>
      <w:r w:rsidRPr="003C11D4">
        <w:rPr>
          <w:rFonts w:cs="Calibri"/>
          <w:bCs w:val="0"/>
          <w:iCs w:val="0"/>
          <w:color w:val="auto"/>
        </w:rPr>
        <w:t xml:space="preserve">National Health Care Agreement 2012 (NHCA) </w:t>
      </w:r>
    </w:p>
    <w:p w14:paraId="6D4E6CE8" w14:textId="77777777" w:rsidR="009A3AA4" w:rsidRPr="00E8126F" w:rsidRDefault="009A3AA4" w:rsidP="009A3AA4">
      <w:pPr>
        <w:pStyle w:val="BodyCopy"/>
        <w:numPr>
          <w:ilvl w:val="1"/>
          <w:numId w:val="17"/>
        </w:numPr>
        <w:spacing w:before="0" w:after="0" w:line="240" w:lineRule="auto"/>
        <w:ind w:left="426" w:hanging="426"/>
        <w:rPr>
          <w:rFonts w:cs="Calibri"/>
          <w:bCs w:val="0"/>
          <w:iCs w:val="0"/>
          <w:color w:val="auto"/>
        </w:rPr>
      </w:pPr>
      <w:r w:rsidRPr="003C11D4">
        <w:rPr>
          <w:rFonts w:cs="Calibri"/>
          <w:bCs w:val="0"/>
          <w:iCs w:val="0"/>
          <w:color w:val="auto"/>
        </w:rPr>
        <w:t xml:space="preserve">National Health Reform Agreement (NHRA) </w:t>
      </w:r>
    </w:p>
    <w:p w14:paraId="74B4F996" w14:textId="77777777" w:rsidR="009A3AA4" w:rsidRPr="003C11D4" w:rsidRDefault="009A3AA4" w:rsidP="009A3AA4">
      <w:pPr>
        <w:pStyle w:val="ListParagraph"/>
        <w:numPr>
          <w:ilvl w:val="1"/>
          <w:numId w:val="17"/>
        </w:numPr>
        <w:ind w:left="426" w:hanging="426"/>
        <w:rPr>
          <w:rFonts w:cs="Calibri"/>
          <w:szCs w:val="24"/>
        </w:rPr>
      </w:pPr>
      <w:r w:rsidRPr="003C11D4">
        <w:rPr>
          <w:rFonts w:cs="Calibri"/>
          <w:bCs/>
          <w:iCs/>
          <w:szCs w:val="24"/>
        </w:rPr>
        <w:t>Medicare Benefits Schedule (MBS)</w:t>
      </w:r>
    </w:p>
    <w:p w14:paraId="401DCF5B" w14:textId="77777777" w:rsidR="009A3AA4" w:rsidRDefault="00CD4A22" w:rsidP="009A3AA4">
      <w:pPr>
        <w:jc w:val="right"/>
      </w:pPr>
      <w:hyperlink w:anchor="Contents" w:history="1">
        <w:r w:rsidR="009A3AA4" w:rsidRPr="00C91F3F">
          <w:rPr>
            <w:rStyle w:val="Hyperlink"/>
            <w:rFonts w:cs="Arial"/>
            <w:i/>
            <w:szCs w:val="24"/>
          </w:rPr>
          <w:t>Back to Table of Contents</w:t>
        </w:r>
      </w:hyperlink>
    </w:p>
    <w:p w14:paraId="08682A3D" w14:textId="5D1E676C" w:rsidR="00E41A47" w:rsidRDefault="00E41A47" w:rsidP="00E41A47">
      <w:pPr>
        <w:jc w:val="right"/>
      </w:pPr>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08682A3F" w14:textId="77777777" w:rsidTr="008E74FD">
        <w:trPr>
          <w:cantSplit/>
          <w:trHeight w:val="285"/>
        </w:trPr>
        <w:tc>
          <w:tcPr>
            <w:tcW w:w="9158" w:type="dxa"/>
            <w:shd w:val="clear" w:color="auto" w:fill="D9D9D9" w:themeFill="background1" w:themeFillShade="D9"/>
          </w:tcPr>
          <w:p w14:paraId="08682A3E" w14:textId="2791D910" w:rsidR="004A6A76" w:rsidRPr="000F1F60" w:rsidRDefault="004A6A76" w:rsidP="00B10F87">
            <w:pPr>
              <w:pStyle w:val="Heading1"/>
            </w:pPr>
            <w:bookmarkStart w:id="193" w:name="_Toc396290588"/>
            <w:bookmarkStart w:id="194" w:name="_Toc167113145"/>
            <w:r>
              <w:t>Definition of Terms</w:t>
            </w:r>
            <w:bookmarkEnd w:id="193"/>
            <w:bookmarkEnd w:id="194"/>
          </w:p>
        </w:tc>
      </w:tr>
    </w:tbl>
    <w:p w14:paraId="08682A40" w14:textId="77777777" w:rsidR="004A6A76" w:rsidRDefault="004A6A76" w:rsidP="004A6A76">
      <w:pPr>
        <w:rPr>
          <w:rFonts w:cs="Arial"/>
          <w:szCs w:val="24"/>
        </w:rPr>
      </w:pPr>
    </w:p>
    <w:p w14:paraId="5B458CA4" w14:textId="77777777" w:rsidR="009A3AA4" w:rsidRPr="00BF248C" w:rsidRDefault="009A3AA4" w:rsidP="009A3AA4">
      <w:pPr>
        <w:rPr>
          <w:rFonts w:cs="Arial"/>
          <w:iCs/>
          <w:szCs w:val="24"/>
        </w:rPr>
      </w:pPr>
      <w:r w:rsidRPr="00E8126F">
        <w:rPr>
          <w:rFonts w:cs="Arial"/>
          <w:b/>
          <w:bCs/>
          <w:iCs/>
          <w:szCs w:val="24"/>
        </w:rPr>
        <w:t>ADCAT</w:t>
      </w:r>
      <w:r w:rsidRPr="00BF248C">
        <w:rPr>
          <w:rFonts w:cs="Arial"/>
          <w:iCs/>
          <w:szCs w:val="24"/>
        </w:rPr>
        <w:t xml:space="preserve"> – Admission Category</w:t>
      </w:r>
    </w:p>
    <w:p w14:paraId="16316585" w14:textId="77777777" w:rsidR="009A3AA4" w:rsidRPr="00BF248C" w:rsidRDefault="009A3AA4" w:rsidP="009A3AA4">
      <w:pPr>
        <w:rPr>
          <w:rFonts w:cs="Arial"/>
          <w:iCs/>
        </w:rPr>
      </w:pPr>
      <w:r w:rsidRPr="00E8126F">
        <w:rPr>
          <w:rFonts w:cs="Arial"/>
          <w:b/>
          <w:bCs/>
          <w:iCs/>
          <w:szCs w:val="24"/>
        </w:rPr>
        <w:t>Billing Activities</w:t>
      </w:r>
      <w:r w:rsidRPr="00BF248C">
        <w:rPr>
          <w:rFonts w:cs="Arial"/>
          <w:iCs/>
          <w:szCs w:val="24"/>
        </w:rPr>
        <w:t xml:space="preserve"> </w:t>
      </w:r>
      <w:r>
        <w:rPr>
          <w:rFonts w:cs="Arial"/>
          <w:iCs/>
          <w:szCs w:val="24"/>
        </w:rPr>
        <w:t>–</w:t>
      </w:r>
      <w:r w:rsidRPr="00BF248C">
        <w:rPr>
          <w:rFonts w:cs="Arial"/>
          <w:iCs/>
          <w:szCs w:val="24"/>
        </w:rPr>
        <w:t xml:space="preserve"> </w:t>
      </w:r>
      <w:r w:rsidRPr="00BF248C">
        <w:rPr>
          <w:rFonts w:cs="Arial"/>
          <w:iCs/>
        </w:rPr>
        <w:t>refer</w:t>
      </w:r>
      <w:r>
        <w:rPr>
          <w:rFonts w:cs="Arial"/>
          <w:iCs/>
        </w:rPr>
        <w:t xml:space="preserve">s </w:t>
      </w:r>
      <w:r w:rsidRPr="00BF248C">
        <w:rPr>
          <w:rFonts w:cs="Arial"/>
          <w:iCs/>
        </w:rPr>
        <w:t>to any action taken to record items that are considered for billing including but not limited to patient status and financial classes, health fund details, MBS item numbers and completed admission documents.</w:t>
      </w:r>
    </w:p>
    <w:p w14:paraId="00105A84" w14:textId="77777777" w:rsidR="009A3AA4" w:rsidRDefault="009A3AA4" w:rsidP="009A3AA4">
      <w:pPr>
        <w:rPr>
          <w:rFonts w:cs="Arial"/>
          <w:iCs/>
        </w:rPr>
      </w:pPr>
      <w:r w:rsidRPr="00E8126F">
        <w:rPr>
          <w:rFonts w:cs="Arial"/>
          <w:b/>
          <w:bCs/>
          <w:iCs/>
        </w:rPr>
        <w:t>CHS</w:t>
      </w:r>
      <w:r w:rsidRPr="00BF248C">
        <w:rPr>
          <w:rFonts w:cs="Arial"/>
          <w:iCs/>
        </w:rPr>
        <w:t xml:space="preserve"> – Canberra Health Services</w:t>
      </w:r>
    </w:p>
    <w:p w14:paraId="0E6D1A1A" w14:textId="77777777" w:rsidR="009A3AA4" w:rsidRDefault="009A3AA4" w:rsidP="009A3AA4">
      <w:pPr>
        <w:rPr>
          <w:rFonts w:cs="Arial"/>
          <w:iCs/>
        </w:rPr>
      </w:pPr>
      <w:r w:rsidRPr="00E8126F">
        <w:rPr>
          <w:rFonts w:cs="Arial"/>
          <w:b/>
          <w:bCs/>
          <w:iCs/>
        </w:rPr>
        <w:t xml:space="preserve">DAN </w:t>
      </w:r>
      <w:r>
        <w:rPr>
          <w:rFonts w:cs="Arial"/>
          <w:iCs/>
        </w:rPr>
        <w:t>– Defence Approval Number</w:t>
      </w:r>
    </w:p>
    <w:p w14:paraId="0A8F0801" w14:textId="77777777" w:rsidR="009A3AA4" w:rsidRPr="00BF248C" w:rsidRDefault="009A3AA4" w:rsidP="009A3AA4">
      <w:pPr>
        <w:rPr>
          <w:rFonts w:cs="Arial"/>
          <w:iCs/>
        </w:rPr>
      </w:pPr>
      <w:r w:rsidRPr="00E8126F">
        <w:rPr>
          <w:rFonts w:cs="Arial"/>
          <w:b/>
          <w:bCs/>
          <w:iCs/>
        </w:rPr>
        <w:t>DB4</w:t>
      </w:r>
      <w:r>
        <w:rPr>
          <w:rFonts w:cs="Arial"/>
          <w:iCs/>
        </w:rPr>
        <w:t xml:space="preserve"> – Bulk Bill Assignment Form </w:t>
      </w:r>
    </w:p>
    <w:p w14:paraId="2C32C41B" w14:textId="77777777" w:rsidR="009A3AA4" w:rsidRDefault="009A3AA4" w:rsidP="009A3AA4">
      <w:pPr>
        <w:rPr>
          <w:rFonts w:cs="Arial"/>
          <w:iCs/>
        </w:rPr>
      </w:pPr>
      <w:r w:rsidRPr="00E8126F">
        <w:rPr>
          <w:rFonts w:cs="Arial"/>
          <w:b/>
          <w:bCs/>
          <w:iCs/>
        </w:rPr>
        <w:t>DHR</w:t>
      </w:r>
      <w:r w:rsidRPr="00BF248C">
        <w:rPr>
          <w:rFonts w:cs="Arial"/>
          <w:iCs/>
        </w:rPr>
        <w:t xml:space="preserve"> – Digital Health Record</w:t>
      </w:r>
    </w:p>
    <w:p w14:paraId="329A1ADE" w14:textId="77777777" w:rsidR="009A3AA4" w:rsidRPr="00BF248C" w:rsidRDefault="009A3AA4" w:rsidP="009A3AA4">
      <w:pPr>
        <w:rPr>
          <w:rFonts w:cs="Arial"/>
          <w:iCs/>
          <w:szCs w:val="24"/>
        </w:rPr>
      </w:pPr>
      <w:r w:rsidRPr="00E8126F">
        <w:rPr>
          <w:rFonts w:cs="Arial"/>
          <w:b/>
          <w:bCs/>
          <w:iCs/>
        </w:rPr>
        <w:t>DOF</w:t>
      </w:r>
      <w:r>
        <w:rPr>
          <w:rFonts w:cs="Arial"/>
          <w:iCs/>
        </w:rPr>
        <w:t xml:space="preserve"> – Determination of Fees</w:t>
      </w:r>
    </w:p>
    <w:p w14:paraId="5D057CDB" w14:textId="77777777" w:rsidR="009A3AA4" w:rsidRDefault="009A3AA4" w:rsidP="009A3AA4">
      <w:pPr>
        <w:rPr>
          <w:rFonts w:cs="Arial"/>
          <w:iCs/>
          <w:szCs w:val="24"/>
        </w:rPr>
      </w:pPr>
      <w:r w:rsidRPr="00E8126F">
        <w:rPr>
          <w:rFonts w:cs="Arial"/>
          <w:b/>
          <w:bCs/>
          <w:iCs/>
          <w:szCs w:val="24"/>
        </w:rPr>
        <w:t>DVA</w:t>
      </w:r>
      <w:r w:rsidRPr="00BF248C">
        <w:rPr>
          <w:rFonts w:cs="Arial"/>
          <w:iCs/>
          <w:szCs w:val="24"/>
        </w:rPr>
        <w:t xml:space="preserve"> – Department of Veterans Affairs</w:t>
      </w:r>
    </w:p>
    <w:p w14:paraId="3693BEF7" w14:textId="77777777" w:rsidR="009A3AA4" w:rsidRPr="00BF248C" w:rsidRDefault="009A3AA4" w:rsidP="009A3AA4">
      <w:pPr>
        <w:rPr>
          <w:rFonts w:cs="Arial"/>
          <w:iCs/>
          <w:szCs w:val="24"/>
        </w:rPr>
      </w:pPr>
      <w:r w:rsidRPr="00E8126F">
        <w:rPr>
          <w:rFonts w:cs="Arial"/>
          <w:b/>
          <w:bCs/>
          <w:iCs/>
          <w:szCs w:val="24"/>
        </w:rPr>
        <w:t>EP ID</w:t>
      </w:r>
      <w:r>
        <w:rPr>
          <w:rFonts w:cs="Arial"/>
          <w:iCs/>
          <w:szCs w:val="24"/>
        </w:rPr>
        <w:t xml:space="preserve"> – Entitle Person Employee Identification, applies to Defence Personnel</w:t>
      </w:r>
    </w:p>
    <w:p w14:paraId="5D11E8AA" w14:textId="77777777" w:rsidR="009A3AA4" w:rsidRDefault="009A3AA4" w:rsidP="009A3AA4">
      <w:pPr>
        <w:rPr>
          <w:rFonts w:cs="Arial"/>
          <w:iCs/>
          <w:szCs w:val="24"/>
        </w:rPr>
      </w:pPr>
      <w:r w:rsidRPr="00E8126F">
        <w:rPr>
          <w:rFonts w:cs="Arial"/>
          <w:b/>
          <w:bCs/>
          <w:iCs/>
          <w:szCs w:val="24"/>
        </w:rPr>
        <w:t>Fin Class</w:t>
      </w:r>
      <w:r w:rsidRPr="00BF248C">
        <w:rPr>
          <w:rFonts w:cs="Arial"/>
          <w:iCs/>
          <w:szCs w:val="24"/>
        </w:rPr>
        <w:t xml:space="preserve"> – Financial Class, now known as ADCAT</w:t>
      </w:r>
    </w:p>
    <w:p w14:paraId="1317A0EB" w14:textId="77777777" w:rsidR="009A3AA4" w:rsidRDefault="009A3AA4" w:rsidP="009A3AA4">
      <w:pPr>
        <w:rPr>
          <w:rFonts w:cs="Arial"/>
          <w:iCs/>
          <w:szCs w:val="24"/>
        </w:rPr>
      </w:pPr>
      <w:r w:rsidRPr="00E8126F">
        <w:rPr>
          <w:rFonts w:cs="Arial"/>
          <w:b/>
          <w:bCs/>
          <w:iCs/>
          <w:szCs w:val="24"/>
        </w:rPr>
        <w:t xml:space="preserve">HIA </w:t>
      </w:r>
      <w:r>
        <w:rPr>
          <w:rFonts w:cs="Arial"/>
          <w:iCs/>
          <w:szCs w:val="24"/>
        </w:rPr>
        <w:t>– Health Insurance Act (1973)</w:t>
      </w:r>
    </w:p>
    <w:p w14:paraId="0C852513" w14:textId="77777777" w:rsidR="009A3AA4" w:rsidRDefault="009A3AA4" w:rsidP="009A3AA4">
      <w:pPr>
        <w:rPr>
          <w:rFonts w:cs="Arial"/>
          <w:iCs/>
          <w:szCs w:val="24"/>
        </w:rPr>
      </w:pPr>
      <w:r w:rsidRPr="00E8126F">
        <w:rPr>
          <w:rFonts w:cs="Arial"/>
          <w:b/>
          <w:bCs/>
          <w:iCs/>
          <w:szCs w:val="24"/>
        </w:rPr>
        <w:t>HPOS</w:t>
      </w:r>
      <w:r>
        <w:rPr>
          <w:rFonts w:cs="Arial"/>
          <w:iCs/>
          <w:szCs w:val="24"/>
        </w:rPr>
        <w:t xml:space="preserve"> – Health Professional Online Services </w:t>
      </w:r>
    </w:p>
    <w:p w14:paraId="6AEC0B3D" w14:textId="77777777" w:rsidR="009A3AA4" w:rsidRDefault="009A3AA4" w:rsidP="009A3AA4">
      <w:pPr>
        <w:rPr>
          <w:rFonts w:cs="Arial"/>
          <w:iCs/>
          <w:szCs w:val="24"/>
        </w:rPr>
      </w:pPr>
      <w:r w:rsidRPr="00E8126F">
        <w:rPr>
          <w:rFonts w:cs="Arial"/>
          <w:b/>
          <w:bCs/>
          <w:iCs/>
          <w:szCs w:val="24"/>
        </w:rPr>
        <w:t>IFC</w:t>
      </w:r>
      <w:r>
        <w:rPr>
          <w:rFonts w:cs="Arial"/>
          <w:iCs/>
          <w:szCs w:val="24"/>
        </w:rPr>
        <w:t xml:space="preserve"> – Informed Financial Consent</w:t>
      </w:r>
    </w:p>
    <w:p w14:paraId="7C780BFB" w14:textId="77777777" w:rsidR="009A3AA4" w:rsidRDefault="009A3AA4" w:rsidP="009A3AA4">
      <w:pPr>
        <w:rPr>
          <w:rFonts w:cs="Arial"/>
          <w:iCs/>
          <w:szCs w:val="24"/>
        </w:rPr>
      </w:pPr>
      <w:r w:rsidRPr="00E8126F">
        <w:rPr>
          <w:rFonts w:cs="Arial"/>
          <w:b/>
          <w:bCs/>
          <w:iCs/>
          <w:szCs w:val="24"/>
        </w:rPr>
        <w:lastRenderedPageBreak/>
        <w:t>LCSS</w:t>
      </w:r>
      <w:r>
        <w:rPr>
          <w:rFonts w:cs="Arial"/>
          <w:iCs/>
          <w:szCs w:val="24"/>
        </w:rPr>
        <w:t xml:space="preserve"> – Lifetime Care and Support Scheme</w:t>
      </w:r>
    </w:p>
    <w:p w14:paraId="2470A0E2" w14:textId="77777777" w:rsidR="009A3AA4" w:rsidRPr="00BF248C" w:rsidRDefault="009A3AA4" w:rsidP="009A3AA4">
      <w:pPr>
        <w:rPr>
          <w:rFonts w:cs="Arial"/>
          <w:iCs/>
          <w:szCs w:val="24"/>
        </w:rPr>
      </w:pPr>
      <w:r w:rsidRPr="00E8126F">
        <w:rPr>
          <w:rFonts w:cs="Arial"/>
          <w:b/>
          <w:bCs/>
          <w:iCs/>
          <w:szCs w:val="24"/>
        </w:rPr>
        <w:t>MBS</w:t>
      </w:r>
      <w:r>
        <w:rPr>
          <w:rFonts w:cs="Arial"/>
          <w:iCs/>
          <w:szCs w:val="24"/>
        </w:rPr>
        <w:t xml:space="preserve"> – Medicare Benefits Schedule</w:t>
      </w:r>
    </w:p>
    <w:p w14:paraId="0FD8CBF5" w14:textId="77777777" w:rsidR="009A3AA4" w:rsidRDefault="009A3AA4" w:rsidP="009A3AA4">
      <w:pPr>
        <w:rPr>
          <w:rFonts w:cs="Arial"/>
          <w:iCs/>
          <w:szCs w:val="24"/>
        </w:rPr>
      </w:pPr>
      <w:r w:rsidRPr="00E8126F">
        <w:rPr>
          <w:rFonts w:cs="Arial"/>
          <w:b/>
          <w:bCs/>
          <w:iCs/>
          <w:szCs w:val="24"/>
        </w:rPr>
        <w:t>MDTs</w:t>
      </w:r>
      <w:r w:rsidRPr="00BF248C">
        <w:rPr>
          <w:rFonts w:cs="Arial"/>
          <w:iCs/>
          <w:szCs w:val="24"/>
        </w:rPr>
        <w:t xml:space="preserve"> – Multidisciplinary Team Meetings</w:t>
      </w:r>
    </w:p>
    <w:p w14:paraId="0B151EEB" w14:textId="77777777" w:rsidR="009A3AA4" w:rsidRPr="00BF248C" w:rsidRDefault="009A3AA4" w:rsidP="009A3AA4">
      <w:pPr>
        <w:rPr>
          <w:rFonts w:cs="Arial"/>
          <w:iCs/>
          <w:szCs w:val="24"/>
        </w:rPr>
      </w:pPr>
      <w:r w:rsidRPr="00E8126F">
        <w:rPr>
          <w:rFonts w:cs="Arial"/>
          <w:b/>
          <w:bCs/>
          <w:iCs/>
          <w:szCs w:val="24"/>
        </w:rPr>
        <w:t>NAH</w:t>
      </w:r>
      <w:r>
        <w:rPr>
          <w:rFonts w:cs="Arial"/>
          <w:iCs/>
          <w:szCs w:val="24"/>
        </w:rPr>
        <w:t xml:space="preserve"> – Nursing and Allied Health</w:t>
      </w:r>
    </w:p>
    <w:p w14:paraId="444FD797" w14:textId="77777777" w:rsidR="009A3AA4" w:rsidRDefault="009A3AA4" w:rsidP="009A3AA4">
      <w:pPr>
        <w:rPr>
          <w:rFonts w:cs="Arial"/>
          <w:iCs/>
          <w:szCs w:val="24"/>
        </w:rPr>
      </w:pPr>
      <w:r w:rsidRPr="00E8126F">
        <w:rPr>
          <w:rFonts w:cs="Arial"/>
          <w:b/>
          <w:bCs/>
          <w:iCs/>
          <w:szCs w:val="24"/>
        </w:rPr>
        <w:t>NDIS</w:t>
      </w:r>
      <w:r w:rsidRPr="00BF248C">
        <w:rPr>
          <w:rFonts w:cs="Arial"/>
          <w:iCs/>
          <w:szCs w:val="24"/>
        </w:rPr>
        <w:t xml:space="preserve"> – National Disability Insurance Scheme</w:t>
      </w:r>
    </w:p>
    <w:p w14:paraId="460E9ADD" w14:textId="77777777" w:rsidR="009A3AA4" w:rsidRDefault="009A3AA4" w:rsidP="009A3AA4">
      <w:pPr>
        <w:rPr>
          <w:rFonts w:cs="Arial"/>
          <w:iCs/>
          <w:szCs w:val="24"/>
        </w:rPr>
      </w:pPr>
      <w:r w:rsidRPr="00E8126F">
        <w:rPr>
          <w:rFonts w:cs="Arial"/>
          <w:b/>
          <w:bCs/>
          <w:iCs/>
          <w:szCs w:val="24"/>
        </w:rPr>
        <w:t>NHCA</w:t>
      </w:r>
      <w:r>
        <w:rPr>
          <w:rFonts w:cs="Arial"/>
          <w:iCs/>
          <w:szCs w:val="24"/>
        </w:rPr>
        <w:t xml:space="preserve"> – National Health Care Agreement</w:t>
      </w:r>
    </w:p>
    <w:p w14:paraId="3957F66A" w14:textId="77777777" w:rsidR="009A3AA4" w:rsidRDefault="009A3AA4" w:rsidP="009A3AA4">
      <w:pPr>
        <w:rPr>
          <w:rFonts w:cs="Arial"/>
          <w:iCs/>
          <w:szCs w:val="24"/>
        </w:rPr>
      </w:pPr>
      <w:r w:rsidRPr="00E8126F">
        <w:rPr>
          <w:rFonts w:cs="Arial"/>
          <w:b/>
          <w:bCs/>
          <w:iCs/>
          <w:szCs w:val="24"/>
        </w:rPr>
        <w:t>NHRA</w:t>
      </w:r>
      <w:r>
        <w:rPr>
          <w:rFonts w:cs="Arial"/>
          <w:iCs/>
          <w:szCs w:val="24"/>
        </w:rPr>
        <w:t xml:space="preserve"> – National Health Reform Agreement</w:t>
      </w:r>
    </w:p>
    <w:p w14:paraId="7E950A15" w14:textId="77777777" w:rsidR="009A3AA4" w:rsidRDefault="009A3AA4" w:rsidP="009A3AA4">
      <w:pPr>
        <w:rPr>
          <w:rFonts w:cs="Arial"/>
          <w:iCs/>
          <w:szCs w:val="24"/>
        </w:rPr>
      </w:pPr>
      <w:r w:rsidRPr="00E8126F">
        <w:rPr>
          <w:rFonts w:cs="Arial"/>
          <w:b/>
          <w:bCs/>
          <w:iCs/>
          <w:szCs w:val="24"/>
        </w:rPr>
        <w:t>NTACS</w:t>
      </w:r>
      <w:r>
        <w:rPr>
          <w:rFonts w:cs="Arial"/>
          <w:iCs/>
          <w:szCs w:val="24"/>
        </w:rPr>
        <w:t xml:space="preserve"> – A referral issued ‘Not </w:t>
      </w:r>
      <w:proofErr w:type="gramStart"/>
      <w:r>
        <w:rPr>
          <w:rFonts w:cs="Arial"/>
          <w:iCs/>
          <w:szCs w:val="24"/>
        </w:rPr>
        <w:t>To</w:t>
      </w:r>
      <w:proofErr w:type="gramEnd"/>
      <w:r>
        <w:rPr>
          <w:rFonts w:cs="Arial"/>
          <w:iCs/>
          <w:szCs w:val="24"/>
        </w:rPr>
        <w:t xml:space="preserve"> A Current Specialist’</w:t>
      </w:r>
    </w:p>
    <w:p w14:paraId="36B0D612" w14:textId="77777777" w:rsidR="009A3AA4" w:rsidRDefault="009A3AA4" w:rsidP="009A3AA4">
      <w:pPr>
        <w:rPr>
          <w:rFonts w:cs="Arial"/>
          <w:iCs/>
          <w:szCs w:val="24"/>
        </w:rPr>
      </w:pPr>
      <w:r w:rsidRPr="00E8126F">
        <w:rPr>
          <w:rFonts w:cs="Arial"/>
          <w:b/>
          <w:bCs/>
          <w:iCs/>
          <w:szCs w:val="24"/>
        </w:rPr>
        <w:t>NTANS</w:t>
      </w:r>
      <w:r>
        <w:rPr>
          <w:rFonts w:cs="Arial"/>
          <w:iCs/>
          <w:szCs w:val="24"/>
        </w:rPr>
        <w:t xml:space="preserve"> – A referral issued ‘Not </w:t>
      </w:r>
      <w:proofErr w:type="gramStart"/>
      <w:r>
        <w:rPr>
          <w:rFonts w:cs="Arial"/>
          <w:iCs/>
          <w:szCs w:val="24"/>
        </w:rPr>
        <w:t>To</w:t>
      </w:r>
      <w:proofErr w:type="gramEnd"/>
      <w:r>
        <w:rPr>
          <w:rFonts w:cs="Arial"/>
          <w:iCs/>
          <w:szCs w:val="24"/>
        </w:rPr>
        <w:t xml:space="preserve"> A Named Specialist’</w:t>
      </w:r>
    </w:p>
    <w:p w14:paraId="39112F8E" w14:textId="77777777" w:rsidR="009A3AA4" w:rsidRDefault="009A3AA4" w:rsidP="009A3AA4">
      <w:pPr>
        <w:rPr>
          <w:rFonts w:cs="Arial"/>
          <w:iCs/>
          <w:szCs w:val="24"/>
        </w:rPr>
      </w:pPr>
      <w:r w:rsidRPr="00E8126F">
        <w:rPr>
          <w:rFonts w:cs="Arial"/>
          <w:b/>
          <w:bCs/>
          <w:iCs/>
          <w:szCs w:val="24"/>
        </w:rPr>
        <w:t>OBB</w:t>
      </w:r>
      <w:r>
        <w:rPr>
          <w:rFonts w:cs="Arial"/>
          <w:iCs/>
          <w:szCs w:val="24"/>
        </w:rPr>
        <w:t xml:space="preserve"> – Outpatient Bulk Bill</w:t>
      </w:r>
    </w:p>
    <w:p w14:paraId="635A2B35" w14:textId="77777777" w:rsidR="009A3AA4" w:rsidRDefault="009A3AA4" w:rsidP="009A3AA4">
      <w:pPr>
        <w:rPr>
          <w:rFonts w:cs="Arial"/>
          <w:iCs/>
          <w:szCs w:val="24"/>
        </w:rPr>
      </w:pPr>
      <w:r w:rsidRPr="00E8126F">
        <w:rPr>
          <w:rFonts w:cs="Arial"/>
          <w:b/>
          <w:bCs/>
          <w:iCs/>
          <w:szCs w:val="24"/>
        </w:rPr>
        <w:t>OOS</w:t>
      </w:r>
      <w:r>
        <w:rPr>
          <w:rFonts w:cs="Arial"/>
          <w:iCs/>
          <w:szCs w:val="24"/>
        </w:rPr>
        <w:t xml:space="preserve"> – Occasion </w:t>
      </w:r>
      <w:proofErr w:type="gramStart"/>
      <w:r>
        <w:rPr>
          <w:rFonts w:cs="Arial"/>
          <w:iCs/>
          <w:szCs w:val="24"/>
        </w:rPr>
        <w:t>Of</w:t>
      </w:r>
      <w:proofErr w:type="gramEnd"/>
      <w:r>
        <w:rPr>
          <w:rFonts w:cs="Arial"/>
          <w:iCs/>
          <w:szCs w:val="24"/>
        </w:rPr>
        <w:t xml:space="preserve"> Service</w:t>
      </w:r>
    </w:p>
    <w:p w14:paraId="050EEAAE" w14:textId="2933EBEE" w:rsidR="00E2517B" w:rsidRPr="00E2517B" w:rsidRDefault="00E2517B" w:rsidP="009A3AA4">
      <w:pPr>
        <w:rPr>
          <w:rFonts w:cs="Arial"/>
          <w:iCs/>
          <w:szCs w:val="24"/>
        </w:rPr>
      </w:pPr>
      <w:r>
        <w:rPr>
          <w:rFonts w:cs="Arial"/>
          <w:b/>
          <w:bCs/>
          <w:iCs/>
          <w:szCs w:val="24"/>
        </w:rPr>
        <w:t>PBRC</w:t>
      </w:r>
      <w:r>
        <w:rPr>
          <w:rFonts w:cs="Arial"/>
          <w:iCs/>
          <w:szCs w:val="24"/>
        </w:rPr>
        <w:t xml:space="preserve"> – Power Billing &amp; Revenue Collection – invoicing and collection system used by CHS</w:t>
      </w:r>
    </w:p>
    <w:p w14:paraId="15387B2E" w14:textId="77777777" w:rsidR="009A3AA4" w:rsidRDefault="009A3AA4" w:rsidP="009A3AA4">
      <w:pPr>
        <w:rPr>
          <w:rFonts w:cs="Arial"/>
          <w:iCs/>
          <w:szCs w:val="24"/>
        </w:rPr>
      </w:pPr>
      <w:r w:rsidRPr="00E8126F">
        <w:rPr>
          <w:rFonts w:cs="Arial"/>
          <w:b/>
          <w:bCs/>
          <w:iCs/>
          <w:szCs w:val="24"/>
        </w:rPr>
        <w:t>PRODA</w:t>
      </w:r>
      <w:r>
        <w:rPr>
          <w:rFonts w:cs="Arial"/>
          <w:iCs/>
          <w:szCs w:val="24"/>
        </w:rPr>
        <w:t xml:space="preserve"> – Provider Digital Access</w:t>
      </w:r>
    </w:p>
    <w:p w14:paraId="32DA4EE8" w14:textId="77777777" w:rsidR="009A3AA4" w:rsidRPr="00BF248C" w:rsidRDefault="009A3AA4" w:rsidP="009A3AA4">
      <w:pPr>
        <w:rPr>
          <w:rFonts w:cs="Arial"/>
          <w:iCs/>
          <w:szCs w:val="24"/>
        </w:rPr>
      </w:pPr>
      <w:r w:rsidRPr="00E8126F">
        <w:rPr>
          <w:rFonts w:cs="Arial"/>
          <w:b/>
          <w:bCs/>
          <w:iCs/>
          <w:szCs w:val="24"/>
        </w:rPr>
        <w:t>VMO</w:t>
      </w:r>
      <w:r>
        <w:rPr>
          <w:rFonts w:cs="Arial"/>
          <w:iCs/>
          <w:szCs w:val="24"/>
        </w:rPr>
        <w:t xml:space="preserve"> – Visiting Medical Officer</w:t>
      </w:r>
    </w:p>
    <w:p w14:paraId="6235C196" w14:textId="77777777" w:rsidR="009A3AA4" w:rsidRDefault="009A3AA4" w:rsidP="004A6A76">
      <w:pPr>
        <w:jc w:val="right"/>
      </w:pPr>
    </w:p>
    <w:p w14:paraId="08682A43" w14:textId="1B0D2449" w:rsidR="004A6A76" w:rsidRDefault="00CD4A22" w:rsidP="004A6A76">
      <w:pPr>
        <w:jc w:val="right"/>
      </w:pPr>
      <w:hyperlink w:anchor="Contents"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195" w:name="_Toc389473290"/>
            <w:bookmarkStart w:id="196" w:name="_Toc396290589"/>
            <w:bookmarkStart w:id="197" w:name="_Toc167113146"/>
            <w:r>
              <w:t>Search Terms</w:t>
            </w:r>
            <w:bookmarkEnd w:id="195"/>
            <w:bookmarkEnd w:id="196"/>
            <w:bookmarkEnd w:id="197"/>
            <w:r>
              <w:t xml:space="preserve"> </w:t>
            </w:r>
          </w:p>
        </w:tc>
      </w:tr>
    </w:tbl>
    <w:p w14:paraId="08682A48" w14:textId="4EF949D4" w:rsidR="004A6A76" w:rsidRDefault="009A3AA4" w:rsidP="009A3AA4">
      <w:pPr>
        <w:rPr>
          <w:rFonts w:cs="Calibri,Bold"/>
          <w:bCs/>
          <w:iCs/>
          <w:szCs w:val="24"/>
          <w:lang w:eastAsia="en-AU"/>
        </w:rPr>
      </w:pPr>
      <w:r>
        <w:rPr>
          <w:rFonts w:cs="Calibri,Bold"/>
          <w:bCs/>
          <w:iCs/>
          <w:szCs w:val="24"/>
          <w:lang w:eastAsia="en-AU"/>
        </w:rPr>
        <w:t>ADCAT, Admission Category, Billing, Billing Guideline, Billing Manual, Bulk Bill, DVA, Fin Class, Finance, Inpatient, Locum, MBS Item, MDT, Medicare, NDIS, Outpatient, Patient Accounts, PRODA, Reciprocal, Referral, Revenue Data, Shared Services</w:t>
      </w:r>
    </w:p>
    <w:p w14:paraId="004F3919" w14:textId="77777777" w:rsidR="009A3AA4" w:rsidRPr="009A3AA4" w:rsidRDefault="009A3AA4" w:rsidP="009A3AA4">
      <w:pPr>
        <w:rPr>
          <w:rFonts w:cs="Calibri,Bold"/>
          <w:bCs/>
          <w:iCs/>
          <w:szCs w:val="24"/>
          <w:lang w:eastAsia="en-AU"/>
        </w:rPr>
      </w:pPr>
    </w:p>
    <w:p w14:paraId="08682A49" w14:textId="77777777" w:rsidR="004A6A76" w:rsidRPr="00E41A47" w:rsidRDefault="00CD4A22" w:rsidP="004A6A76">
      <w:pPr>
        <w:jc w:val="right"/>
      </w:pPr>
      <w:hyperlink w:anchor="_top"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4B" w14:textId="77777777" w:rsidTr="008E74FD">
        <w:trPr>
          <w:cantSplit/>
          <w:trHeight w:val="285"/>
        </w:trPr>
        <w:tc>
          <w:tcPr>
            <w:tcW w:w="9158" w:type="dxa"/>
            <w:shd w:val="clear" w:color="auto" w:fill="D9D9D9" w:themeFill="background1" w:themeFillShade="D9"/>
          </w:tcPr>
          <w:p w14:paraId="08682A4A" w14:textId="77777777" w:rsidR="009A534C" w:rsidRPr="002E3BFE" w:rsidRDefault="009A534C" w:rsidP="00B10F87">
            <w:pPr>
              <w:pStyle w:val="Heading1"/>
              <w:rPr>
                <w:szCs w:val="24"/>
              </w:rPr>
            </w:pPr>
            <w:bookmarkStart w:id="198" w:name="_Toc167113147"/>
            <w:r>
              <w:rPr>
                <w:szCs w:val="24"/>
              </w:rPr>
              <w:t>Attachments</w:t>
            </w:r>
            <w:bookmarkEnd w:id="198"/>
          </w:p>
        </w:tc>
      </w:tr>
    </w:tbl>
    <w:p w14:paraId="597FC128" w14:textId="77777777" w:rsidR="009A3AA4" w:rsidRDefault="009A3AA4" w:rsidP="009A3AA4">
      <w:pPr>
        <w:rPr>
          <w:rFonts w:cs="Arial"/>
          <w:iCs/>
          <w:szCs w:val="24"/>
        </w:rPr>
      </w:pPr>
      <w:r w:rsidRPr="00B34931">
        <w:rPr>
          <w:rFonts w:cs="Arial"/>
          <w:iCs/>
          <w:szCs w:val="24"/>
        </w:rPr>
        <w:t xml:space="preserve">Attachment </w:t>
      </w:r>
      <w:r>
        <w:rPr>
          <w:rFonts w:cs="Arial"/>
          <w:iCs/>
          <w:szCs w:val="24"/>
        </w:rPr>
        <w:t>1</w:t>
      </w:r>
      <w:r w:rsidRPr="00B34931">
        <w:rPr>
          <w:rFonts w:cs="Arial"/>
          <w:iCs/>
          <w:szCs w:val="24"/>
        </w:rPr>
        <w:t xml:space="preserve"> – PRODA and HPOS Information Sheet</w:t>
      </w:r>
    </w:p>
    <w:p w14:paraId="1521EEA1" w14:textId="77777777" w:rsidR="009A3AA4" w:rsidRPr="00B34931" w:rsidRDefault="009A3AA4" w:rsidP="009A3AA4">
      <w:pPr>
        <w:rPr>
          <w:rFonts w:cs="Arial"/>
          <w:iCs/>
          <w:szCs w:val="24"/>
        </w:rPr>
      </w:pPr>
      <w:r w:rsidRPr="00B34931">
        <w:rPr>
          <w:rFonts w:cs="Arial"/>
          <w:iCs/>
          <w:szCs w:val="24"/>
        </w:rPr>
        <w:t xml:space="preserve">Attachment </w:t>
      </w:r>
      <w:r>
        <w:rPr>
          <w:rFonts w:cs="Arial"/>
          <w:iCs/>
          <w:szCs w:val="24"/>
        </w:rPr>
        <w:t>2</w:t>
      </w:r>
      <w:r w:rsidRPr="00B34931">
        <w:rPr>
          <w:rFonts w:cs="Arial"/>
          <w:iCs/>
          <w:szCs w:val="24"/>
        </w:rPr>
        <w:t xml:space="preserve"> – HPOS How To</w:t>
      </w:r>
    </w:p>
    <w:p w14:paraId="51CC5AD2" w14:textId="77777777" w:rsidR="009A3AA4" w:rsidRPr="00B34931" w:rsidRDefault="009A3AA4" w:rsidP="009A3AA4">
      <w:pPr>
        <w:rPr>
          <w:rFonts w:cs="Arial"/>
          <w:iCs/>
          <w:szCs w:val="24"/>
        </w:rPr>
      </w:pPr>
      <w:r w:rsidRPr="00B34931">
        <w:rPr>
          <w:rFonts w:cs="Arial"/>
          <w:iCs/>
          <w:szCs w:val="24"/>
        </w:rPr>
        <w:t>Attachment 3 – Case Conference Billing</w:t>
      </w:r>
    </w:p>
    <w:p w14:paraId="27C51D4E" w14:textId="77777777" w:rsidR="009A3AA4" w:rsidRPr="00B34931" w:rsidRDefault="009A3AA4" w:rsidP="009A3AA4">
      <w:pPr>
        <w:rPr>
          <w:rFonts w:cs="Arial"/>
          <w:iCs/>
          <w:szCs w:val="24"/>
        </w:rPr>
      </w:pPr>
      <w:r w:rsidRPr="00B34931">
        <w:rPr>
          <w:rFonts w:cs="Arial"/>
          <w:iCs/>
          <w:szCs w:val="24"/>
        </w:rPr>
        <w:t>Attachment 4 – Defence Personnel Billing Letter</w:t>
      </w:r>
    </w:p>
    <w:p w14:paraId="50020C35" w14:textId="77777777" w:rsidR="009A3AA4" w:rsidRPr="00B34931" w:rsidRDefault="009A3AA4" w:rsidP="009A3AA4">
      <w:pPr>
        <w:rPr>
          <w:rFonts w:cs="Arial"/>
          <w:iCs/>
          <w:szCs w:val="24"/>
        </w:rPr>
      </w:pPr>
      <w:r w:rsidRPr="00B34931">
        <w:rPr>
          <w:rFonts w:cs="Arial"/>
          <w:iCs/>
          <w:szCs w:val="24"/>
        </w:rPr>
        <w:t>Attachment 5 – Compensable Patient Billing Letter</w:t>
      </w:r>
    </w:p>
    <w:p w14:paraId="799B230B" w14:textId="77777777" w:rsidR="009A3AA4" w:rsidRPr="00B34931" w:rsidRDefault="009A3AA4" w:rsidP="009A3AA4">
      <w:pPr>
        <w:rPr>
          <w:rFonts w:cs="Arial"/>
          <w:iCs/>
          <w:szCs w:val="24"/>
        </w:rPr>
      </w:pPr>
      <w:r w:rsidRPr="00B34931">
        <w:rPr>
          <w:rFonts w:cs="Arial"/>
          <w:iCs/>
          <w:szCs w:val="24"/>
        </w:rPr>
        <w:t>Attachment 6 – Non-Eligible Billing Slip</w:t>
      </w:r>
    </w:p>
    <w:p w14:paraId="4F9C5C60" w14:textId="77777777" w:rsidR="009A3AA4" w:rsidRDefault="009A3AA4" w:rsidP="009A3AA4">
      <w:pPr>
        <w:rPr>
          <w:rFonts w:cs="Arial"/>
          <w:iCs/>
          <w:szCs w:val="24"/>
        </w:rPr>
      </w:pPr>
      <w:r w:rsidRPr="00B34931">
        <w:rPr>
          <w:rFonts w:cs="Arial"/>
          <w:iCs/>
          <w:szCs w:val="24"/>
        </w:rPr>
        <w:t>Attachment 7 – Asylum Seeker in Community Detention</w:t>
      </w:r>
    </w:p>
    <w:p w14:paraId="08682A4F" w14:textId="77777777" w:rsidR="009A534C" w:rsidRDefault="009A534C" w:rsidP="009A534C">
      <w:pPr>
        <w:rPr>
          <w:rFonts w:cs="Arial"/>
          <w:iCs/>
          <w:sz w:val="20"/>
        </w:rPr>
      </w:pPr>
    </w:p>
    <w:p w14:paraId="08682A50" w14:textId="2AE7F3B4"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8682A51" w14:textId="77777777" w:rsidR="00153FB3" w:rsidRPr="003E167B" w:rsidRDefault="00153FB3" w:rsidP="00153FB3">
      <w:pPr>
        <w:rPr>
          <w:rFonts w:cs="Arial"/>
          <w:i/>
          <w:iCs/>
          <w:sz w:val="20"/>
        </w:rPr>
      </w:pPr>
    </w:p>
    <w:p w14:paraId="08682A52"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153FB3" w:rsidRPr="003E167B" w14:paraId="08682A57" w14:textId="77777777" w:rsidTr="005B3A1A">
        <w:tc>
          <w:tcPr>
            <w:tcW w:w="2265" w:type="dxa"/>
          </w:tcPr>
          <w:p w14:paraId="08682A53" w14:textId="77777777" w:rsidR="00153FB3" w:rsidRPr="003E167B" w:rsidRDefault="00153FB3" w:rsidP="005B3A1A">
            <w:pPr>
              <w:rPr>
                <w:i/>
                <w:sz w:val="20"/>
              </w:rPr>
            </w:pPr>
            <w:r w:rsidRPr="003E167B">
              <w:rPr>
                <w:i/>
                <w:sz w:val="20"/>
              </w:rPr>
              <w:t>Date Amended</w:t>
            </w:r>
          </w:p>
        </w:tc>
        <w:tc>
          <w:tcPr>
            <w:tcW w:w="2265" w:type="dxa"/>
          </w:tcPr>
          <w:p w14:paraId="08682A54" w14:textId="77777777" w:rsidR="00153FB3" w:rsidRPr="003E167B" w:rsidRDefault="00153FB3" w:rsidP="005B3A1A">
            <w:pPr>
              <w:rPr>
                <w:i/>
                <w:sz w:val="20"/>
              </w:rPr>
            </w:pPr>
            <w:r w:rsidRPr="003E167B">
              <w:rPr>
                <w:i/>
                <w:sz w:val="20"/>
              </w:rPr>
              <w:t>Section Amended</w:t>
            </w:r>
          </w:p>
        </w:tc>
        <w:tc>
          <w:tcPr>
            <w:tcW w:w="2265" w:type="dxa"/>
          </w:tcPr>
          <w:p w14:paraId="08682A55" w14:textId="77777777" w:rsidR="00153FB3" w:rsidRPr="003E167B" w:rsidRDefault="00153FB3" w:rsidP="005B3A1A">
            <w:pPr>
              <w:rPr>
                <w:i/>
                <w:sz w:val="20"/>
              </w:rPr>
            </w:pPr>
            <w:r w:rsidRPr="003E167B">
              <w:rPr>
                <w:i/>
                <w:sz w:val="20"/>
              </w:rPr>
              <w:t>Divisional Approval</w:t>
            </w:r>
          </w:p>
        </w:tc>
        <w:tc>
          <w:tcPr>
            <w:tcW w:w="2265" w:type="dxa"/>
          </w:tcPr>
          <w:p w14:paraId="08682A56" w14:textId="77777777" w:rsidR="00153FB3" w:rsidRPr="003E167B" w:rsidRDefault="00153FB3" w:rsidP="005B3A1A">
            <w:pPr>
              <w:rPr>
                <w:i/>
                <w:sz w:val="20"/>
              </w:rPr>
            </w:pPr>
            <w:r w:rsidRPr="003E167B">
              <w:rPr>
                <w:i/>
                <w:sz w:val="20"/>
              </w:rPr>
              <w:t xml:space="preserve">Final Approval </w:t>
            </w:r>
          </w:p>
        </w:tc>
      </w:tr>
      <w:tr w:rsidR="00153FB3" w:rsidRPr="003E167B" w14:paraId="08682A5C" w14:textId="77777777" w:rsidTr="005B3A1A">
        <w:tc>
          <w:tcPr>
            <w:tcW w:w="2265" w:type="dxa"/>
          </w:tcPr>
          <w:p w14:paraId="08682A58" w14:textId="42AF5602" w:rsidR="00153FB3" w:rsidRPr="003E167B" w:rsidRDefault="0097141B" w:rsidP="005B3A1A">
            <w:pPr>
              <w:rPr>
                <w:i/>
                <w:sz w:val="20"/>
              </w:rPr>
            </w:pPr>
            <w:r>
              <w:rPr>
                <w:i/>
                <w:sz w:val="20"/>
              </w:rPr>
              <w:t>20/05/2024</w:t>
            </w:r>
          </w:p>
        </w:tc>
        <w:tc>
          <w:tcPr>
            <w:tcW w:w="2265" w:type="dxa"/>
          </w:tcPr>
          <w:p w14:paraId="08682A59" w14:textId="1861F466" w:rsidR="00153FB3" w:rsidRPr="003E167B" w:rsidRDefault="0097141B" w:rsidP="005B3A1A">
            <w:pPr>
              <w:rPr>
                <w:i/>
                <w:sz w:val="20"/>
              </w:rPr>
            </w:pPr>
            <w:r>
              <w:rPr>
                <w:i/>
                <w:sz w:val="20"/>
              </w:rPr>
              <w:t>New Document</w:t>
            </w:r>
          </w:p>
        </w:tc>
        <w:tc>
          <w:tcPr>
            <w:tcW w:w="2265" w:type="dxa"/>
          </w:tcPr>
          <w:p w14:paraId="08682A5A" w14:textId="17BA4362" w:rsidR="00153FB3" w:rsidRPr="003E167B" w:rsidRDefault="0097141B" w:rsidP="005B3A1A">
            <w:pPr>
              <w:rPr>
                <w:i/>
                <w:sz w:val="20"/>
              </w:rPr>
            </w:pPr>
            <w:r>
              <w:rPr>
                <w:i/>
                <w:sz w:val="20"/>
              </w:rPr>
              <w:t>CHS Policy Team</w:t>
            </w:r>
          </w:p>
        </w:tc>
        <w:tc>
          <w:tcPr>
            <w:tcW w:w="2265" w:type="dxa"/>
          </w:tcPr>
          <w:p w14:paraId="08682A5B" w14:textId="165D9C9B" w:rsidR="00153FB3" w:rsidRPr="003E167B" w:rsidRDefault="0097141B" w:rsidP="005B3A1A">
            <w:pPr>
              <w:rPr>
                <w:i/>
                <w:sz w:val="20"/>
              </w:rPr>
            </w:pPr>
            <w:r>
              <w:rPr>
                <w:i/>
                <w:sz w:val="20"/>
              </w:rPr>
              <w:t>CHS Policy Team</w:t>
            </w:r>
          </w:p>
        </w:tc>
      </w:tr>
      <w:tr w:rsidR="00153FB3" w:rsidRPr="003E167B" w14:paraId="08682A61" w14:textId="77777777" w:rsidTr="005B3A1A">
        <w:tc>
          <w:tcPr>
            <w:tcW w:w="2265" w:type="dxa"/>
          </w:tcPr>
          <w:p w14:paraId="08682A5D" w14:textId="77777777" w:rsidR="00153FB3" w:rsidRPr="003E167B" w:rsidRDefault="00153FB3" w:rsidP="005B3A1A">
            <w:pPr>
              <w:rPr>
                <w:i/>
                <w:sz w:val="20"/>
              </w:rPr>
            </w:pPr>
          </w:p>
        </w:tc>
        <w:tc>
          <w:tcPr>
            <w:tcW w:w="2265" w:type="dxa"/>
          </w:tcPr>
          <w:p w14:paraId="08682A5E" w14:textId="77777777" w:rsidR="00153FB3" w:rsidRPr="003E167B" w:rsidRDefault="00153FB3" w:rsidP="005B3A1A">
            <w:pPr>
              <w:rPr>
                <w:i/>
                <w:sz w:val="20"/>
              </w:rPr>
            </w:pPr>
          </w:p>
        </w:tc>
        <w:tc>
          <w:tcPr>
            <w:tcW w:w="2265" w:type="dxa"/>
          </w:tcPr>
          <w:p w14:paraId="08682A5F" w14:textId="77777777" w:rsidR="00153FB3" w:rsidRPr="003E167B" w:rsidRDefault="00153FB3" w:rsidP="005B3A1A">
            <w:pPr>
              <w:rPr>
                <w:i/>
                <w:sz w:val="20"/>
              </w:rPr>
            </w:pPr>
          </w:p>
        </w:tc>
        <w:tc>
          <w:tcPr>
            <w:tcW w:w="2265" w:type="dxa"/>
          </w:tcPr>
          <w:p w14:paraId="08682A60" w14:textId="77777777" w:rsidR="00153FB3" w:rsidRPr="003E167B" w:rsidRDefault="00153FB3" w:rsidP="005B3A1A">
            <w:pPr>
              <w:rPr>
                <w:i/>
                <w:sz w:val="20"/>
              </w:rPr>
            </w:pPr>
          </w:p>
        </w:tc>
      </w:tr>
    </w:tbl>
    <w:p w14:paraId="08682A62" w14:textId="77777777" w:rsidR="00153FB3" w:rsidRPr="003E167B" w:rsidRDefault="00153FB3" w:rsidP="00153FB3">
      <w:pPr>
        <w:rPr>
          <w:rFonts w:cs="Arial"/>
          <w:sz w:val="20"/>
        </w:rPr>
      </w:pPr>
    </w:p>
    <w:p w14:paraId="08682A63"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3E167B" w14:paraId="08682A66" w14:textId="77777777" w:rsidTr="005B3A1A">
        <w:tc>
          <w:tcPr>
            <w:tcW w:w="2122" w:type="dxa"/>
          </w:tcPr>
          <w:p w14:paraId="08682A64" w14:textId="77777777" w:rsidR="00153FB3" w:rsidRPr="003E167B" w:rsidRDefault="00153FB3" w:rsidP="005B3A1A">
            <w:pPr>
              <w:rPr>
                <w:i/>
                <w:sz w:val="20"/>
              </w:rPr>
            </w:pPr>
            <w:r w:rsidRPr="003E167B">
              <w:rPr>
                <w:i/>
                <w:sz w:val="20"/>
              </w:rPr>
              <w:t>Document Number</w:t>
            </w:r>
          </w:p>
        </w:tc>
        <w:tc>
          <w:tcPr>
            <w:tcW w:w="6938" w:type="dxa"/>
          </w:tcPr>
          <w:p w14:paraId="08682A65" w14:textId="77777777" w:rsidR="00153FB3" w:rsidRPr="003E167B" w:rsidRDefault="00153FB3" w:rsidP="005B3A1A">
            <w:pPr>
              <w:rPr>
                <w:i/>
                <w:sz w:val="20"/>
              </w:rPr>
            </w:pPr>
            <w:r w:rsidRPr="003E167B">
              <w:rPr>
                <w:i/>
                <w:sz w:val="20"/>
              </w:rPr>
              <w:t>Document Name</w:t>
            </w:r>
          </w:p>
        </w:tc>
      </w:tr>
      <w:tr w:rsidR="00153FB3" w:rsidRPr="003E167B" w14:paraId="08682A69" w14:textId="77777777" w:rsidTr="005B3A1A">
        <w:tc>
          <w:tcPr>
            <w:tcW w:w="2122" w:type="dxa"/>
          </w:tcPr>
          <w:p w14:paraId="08682A67" w14:textId="77777777" w:rsidR="00153FB3" w:rsidRPr="003E167B" w:rsidRDefault="00153FB3" w:rsidP="005B3A1A">
            <w:pPr>
              <w:rPr>
                <w:i/>
                <w:sz w:val="20"/>
              </w:rPr>
            </w:pPr>
          </w:p>
        </w:tc>
        <w:tc>
          <w:tcPr>
            <w:tcW w:w="6938" w:type="dxa"/>
          </w:tcPr>
          <w:p w14:paraId="08682A68" w14:textId="77777777" w:rsidR="00153FB3" w:rsidRPr="003E167B" w:rsidRDefault="00153FB3" w:rsidP="005B3A1A">
            <w:pPr>
              <w:rPr>
                <w:i/>
                <w:sz w:val="20"/>
              </w:rPr>
            </w:pPr>
          </w:p>
        </w:tc>
      </w:tr>
      <w:tr w:rsidR="00153FB3" w:rsidRPr="003E167B" w14:paraId="08682A6C" w14:textId="77777777" w:rsidTr="005B3A1A">
        <w:tc>
          <w:tcPr>
            <w:tcW w:w="2122" w:type="dxa"/>
          </w:tcPr>
          <w:p w14:paraId="08682A6A" w14:textId="77777777" w:rsidR="00153FB3" w:rsidRPr="003E167B" w:rsidRDefault="00153FB3" w:rsidP="005B3A1A">
            <w:pPr>
              <w:rPr>
                <w:i/>
                <w:sz w:val="20"/>
              </w:rPr>
            </w:pPr>
          </w:p>
        </w:tc>
        <w:tc>
          <w:tcPr>
            <w:tcW w:w="6938" w:type="dxa"/>
          </w:tcPr>
          <w:p w14:paraId="08682A6B" w14:textId="77777777" w:rsidR="00153FB3" w:rsidRPr="003E167B" w:rsidRDefault="00153FB3" w:rsidP="005B3A1A">
            <w:pPr>
              <w:rPr>
                <w:i/>
                <w:sz w:val="20"/>
              </w:rPr>
            </w:pPr>
          </w:p>
        </w:tc>
      </w:tr>
    </w:tbl>
    <w:p w14:paraId="79AAC2FD" w14:textId="77777777" w:rsidR="009A3AA4" w:rsidRDefault="009A3AA4">
      <w:pPr>
        <w:spacing w:after="200" w:line="276" w:lineRule="auto"/>
        <w:rPr>
          <w:i/>
          <w:sz w:val="20"/>
          <w:szCs w:val="24"/>
        </w:rPr>
      </w:pPr>
      <w:r>
        <w:rPr>
          <w:i/>
          <w:sz w:val="20"/>
          <w:szCs w:val="24"/>
        </w:rPr>
        <w:br w:type="page"/>
      </w:r>
    </w:p>
    <w:p w14:paraId="32CF59B5" w14:textId="219B59E2" w:rsidR="009A3AA4" w:rsidRDefault="009A3AA4" w:rsidP="009A3AA4">
      <w:pPr>
        <w:pStyle w:val="Heading2"/>
      </w:pPr>
      <w:bookmarkStart w:id="199" w:name="_Toc167113148"/>
      <w:r>
        <w:lastRenderedPageBreak/>
        <w:t xml:space="preserve">Attachment 1 – </w:t>
      </w:r>
      <w:r w:rsidR="00B6702A">
        <w:t>Provider Digital Access (P</w:t>
      </w:r>
      <w:r>
        <w:t>RODA</w:t>
      </w:r>
      <w:r w:rsidR="00B6702A">
        <w:t>)</w:t>
      </w:r>
      <w:r>
        <w:t xml:space="preserve"> and</w:t>
      </w:r>
      <w:r w:rsidR="00B6702A">
        <w:t xml:space="preserve"> Health Professional Online Service (</w:t>
      </w:r>
      <w:r>
        <w:t>HPOS</w:t>
      </w:r>
      <w:r w:rsidR="00B6702A">
        <w:t>)</w:t>
      </w:r>
      <w:r>
        <w:t xml:space="preserve"> Information Sheet</w:t>
      </w:r>
      <w:bookmarkEnd w:id="199"/>
    </w:p>
    <w:p w14:paraId="57B13FE8" w14:textId="77777777" w:rsidR="009A3AA4" w:rsidRDefault="009A3AA4" w:rsidP="009A3AA4">
      <w:r>
        <w:rPr>
          <w:noProof/>
        </w:rPr>
        <w:drawing>
          <wp:inline distT="0" distB="0" distL="0" distR="0" wp14:anchorId="56810368" wp14:editId="2BF96BD9">
            <wp:extent cx="5563253" cy="8012915"/>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2016" b="269"/>
                    <a:stretch/>
                  </pic:blipFill>
                  <pic:spPr bwMode="auto">
                    <a:xfrm>
                      <a:off x="0" y="0"/>
                      <a:ext cx="5568367" cy="8020281"/>
                    </a:xfrm>
                    <a:prstGeom prst="rect">
                      <a:avLst/>
                    </a:prstGeom>
                    <a:ln>
                      <a:noFill/>
                    </a:ln>
                    <a:extLst>
                      <a:ext uri="{53640926-AAD7-44D8-BBD7-CCE9431645EC}">
                        <a14:shadowObscured xmlns:a14="http://schemas.microsoft.com/office/drawing/2010/main"/>
                      </a:ext>
                    </a:extLst>
                  </pic:spPr>
                </pic:pic>
              </a:graphicData>
            </a:graphic>
          </wp:inline>
        </w:drawing>
      </w:r>
    </w:p>
    <w:p w14:paraId="45ED883D" w14:textId="77777777" w:rsidR="009A3AA4" w:rsidRDefault="009A3AA4" w:rsidP="009A3AA4">
      <w:r>
        <w:rPr>
          <w:noProof/>
        </w:rPr>
        <w:lastRenderedPageBreak/>
        <w:drawing>
          <wp:inline distT="0" distB="0" distL="0" distR="0" wp14:anchorId="13A09D02" wp14:editId="13B406CF">
            <wp:extent cx="5703570" cy="8055429"/>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r="961" b="721"/>
                    <a:stretch/>
                  </pic:blipFill>
                  <pic:spPr bwMode="auto">
                    <a:xfrm>
                      <a:off x="0" y="0"/>
                      <a:ext cx="5704114" cy="8056197"/>
                    </a:xfrm>
                    <a:prstGeom prst="rect">
                      <a:avLst/>
                    </a:prstGeom>
                    <a:ln>
                      <a:noFill/>
                    </a:ln>
                    <a:extLst>
                      <a:ext uri="{53640926-AAD7-44D8-BBD7-CCE9431645EC}">
                        <a14:shadowObscured xmlns:a14="http://schemas.microsoft.com/office/drawing/2010/main"/>
                      </a:ext>
                    </a:extLst>
                  </pic:spPr>
                </pic:pic>
              </a:graphicData>
            </a:graphic>
          </wp:inline>
        </w:drawing>
      </w:r>
    </w:p>
    <w:p w14:paraId="449067A6" w14:textId="77777777" w:rsidR="009A3AA4" w:rsidRDefault="009A3AA4" w:rsidP="009A3AA4">
      <w:pPr>
        <w:spacing w:after="200" w:line="276" w:lineRule="auto"/>
        <w:rPr>
          <w:rFonts w:eastAsiaTheme="majorEastAsia" w:cstheme="majorBidi"/>
          <w:b/>
          <w:bCs/>
          <w:szCs w:val="26"/>
        </w:rPr>
      </w:pPr>
      <w:r>
        <w:br w:type="page"/>
      </w:r>
    </w:p>
    <w:p w14:paraId="5A8FBC78" w14:textId="327E66C3" w:rsidR="009A3AA4" w:rsidRPr="00B6702A" w:rsidRDefault="009A3AA4" w:rsidP="00B6702A">
      <w:pPr>
        <w:pStyle w:val="Heading2"/>
      </w:pPr>
      <w:bookmarkStart w:id="200" w:name="_Toc167113149"/>
      <w:r>
        <w:lastRenderedPageBreak/>
        <w:t>Attachment 2 – H</w:t>
      </w:r>
      <w:r w:rsidR="00B6702A">
        <w:t xml:space="preserve">ealth </w:t>
      </w:r>
      <w:r>
        <w:t>P</w:t>
      </w:r>
      <w:r w:rsidR="00B6702A">
        <w:t xml:space="preserve">rofessional </w:t>
      </w:r>
      <w:r>
        <w:t>O</w:t>
      </w:r>
      <w:r w:rsidR="00B6702A">
        <w:t>nline Service (HPO</w:t>
      </w:r>
      <w:r>
        <w:t>S</w:t>
      </w:r>
      <w:r w:rsidR="00B6702A">
        <w:t>)</w:t>
      </w:r>
      <w:r>
        <w:t xml:space="preserve"> How </w:t>
      </w:r>
      <w:proofErr w:type="gramStart"/>
      <w:r>
        <w:t>To</w:t>
      </w:r>
      <w:proofErr w:type="gramEnd"/>
      <w:r w:rsidR="00B6702A">
        <w:t xml:space="preserve"> Access</w:t>
      </w:r>
      <w:bookmarkEnd w:id="200"/>
    </w:p>
    <w:p w14:paraId="573E1E23" w14:textId="77777777" w:rsidR="009A3AA4" w:rsidRDefault="009A3AA4" w:rsidP="009A3AA4">
      <w:pPr>
        <w:spacing w:after="200" w:line="276" w:lineRule="auto"/>
        <w:rPr>
          <w:rFonts w:cs="Arial"/>
          <w:b/>
          <w:sz w:val="20"/>
        </w:rPr>
      </w:pPr>
      <w:r>
        <w:rPr>
          <w:noProof/>
        </w:rPr>
        <w:drawing>
          <wp:inline distT="0" distB="0" distL="0" distR="0" wp14:anchorId="7C75E5B3" wp14:editId="51F9EE33">
            <wp:extent cx="5759450" cy="809307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59450" cy="8093075"/>
                    </a:xfrm>
                    <a:prstGeom prst="rect">
                      <a:avLst/>
                    </a:prstGeom>
                  </pic:spPr>
                </pic:pic>
              </a:graphicData>
            </a:graphic>
          </wp:inline>
        </w:drawing>
      </w:r>
      <w:r>
        <w:rPr>
          <w:rFonts w:cs="Arial"/>
          <w:b/>
          <w:sz w:val="20"/>
        </w:rPr>
        <w:br w:type="page"/>
      </w:r>
    </w:p>
    <w:p w14:paraId="0516F6B1" w14:textId="77777777" w:rsidR="009A3AA4" w:rsidRDefault="009A3AA4" w:rsidP="009A3AA4">
      <w:pPr>
        <w:rPr>
          <w:rFonts w:cs="Arial"/>
          <w:b/>
          <w:sz w:val="20"/>
        </w:rPr>
      </w:pPr>
    </w:p>
    <w:p w14:paraId="5D028CD6" w14:textId="77777777" w:rsidR="009A3AA4" w:rsidRDefault="009A3AA4" w:rsidP="009A3AA4">
      <w:pPr>
        <w:spacing w:after="200" w:line="276" w:lineRule="auto"/>
        <w:rPr>
          <w:rFonts w:cs="Arial"/>
          <w:b/>
          <w:sz w:val="20"/>
        </w:rPr>
      </w:pPr>
      <w:r>
        <w:rPr>
          <w:noProof/>
        </w:rPr>
        <w:drawing>
          <wp:inline distT="0" distB="0" distL="0" distR="0" wp14:anchorId="7C340333" wp14:editId="726BB236">
            <wp:extent cx="5759450" cy="81000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59450" cy="8100060"/>
                    </a:xfrm>
                    <a:prstGeom prst="rect">
                      <a:avLst/>
                    </a:prstGeom>
                  </pic:spPr>
                </pic:pic>
              </a:graphicData>
            </a:graphic>
          </wp:inline>
        </w:drawing>
      </w:r>
    </w:p>
    <w:p w14:paraId="45E1D1D9" w14:textId="77777777" w:rsidR="009A3AA4" w:rsidRDefault="009A3AA4" w:rsidP="009A3AA4">
      <w:pPr>
        <w:spacing w:after="200" w:line="276" w:lineRule="auto"/>
        <w:rPr>
          <w:rFonts w:cs="Arial"/>
          <w:b/>
          <w:sz w:val="20"/>
        </w:rPr>
      </w:pPr>
      <w:r>
        <w:rPr>
          <w:noProof/>
        </w:rPr>
        <w:lastRenderedPageBreak/>
        <w:drawing>
          <wp:inline distT="0" distB="0" distL="0" distR="0" wp14:anchorId="28A0B708" wp14:editId="389A79A9">
            <wp:extent cx="5759450" cy="80848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59450" cy="8084820"/>
                    </a:xfrm>
                    <a:prstGeom prst="rect">
                      <a:avLst/>
                    </a:prstGeom>
                  </pic:spPr>
                </pic:pic>
              </a:graphicData>
            </a:graphic>
          </wp:inline>
        </w:drawing>
      </w:r>
      <w:r>
        <w:rPr>
          <w:rFonts w:cs="Arial"/>
          <w:b/>
          <w:sz w:val="20"/>
        </w:rPr>
        <w:br w:type="page"/>
      </w:r>
    </w:p>
    <w:p w14:paraId="033C3F16" w14:textId="77777777" w:rsidR="009A3AA4" w:rsidRDefault="009A3AA4" w:rsidP="009A3AA4">
      <w:pPr>
        <w:pStyle w:val="Heading2"/>
      </w:pPr>
      <w:bookmarkStart w:id="201" w:name="_Toc167113150"/>
      <w:r>
        <w:lastRenderedPageBreak/>
        <w:t>Attachment 3 – Case Conference Billing</w:t>
      </w:r>
      <w:bookmarkEnd w:id="201"/>
    </w:p>
    <w:p w14:paraId="394CECE2" w14:textId="77777777" w:rsidR="009A3AA4" w:rsidRDefault="009A3AA4" w:rsidP="009A3AA4">
      <w:r>
        <w:rPr>
          <w:noProof/>
        </w:rPr>
        <w:drawing>
          <wp:inline distT="0" distB="0" distL="0" distR="0" wp14:anchorId="193A1460" wp14:editId="642C6164">
            <wp:extent cx="5759450" cy="80816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59450" cy="8081645"/>
                    </a:xfrm>
                    <a:prstGeom prst="rect">
                      <a:avLst/>
                    </a:prstGeom>
                  </pic:spPr>
                </pic:pic>
              </a:graphicData>
            </a:graphic>
          </wp:inline>
        </w:drawing>
      </w:r>
    </w:p>
    <w:p w14:paraId="5728754A" w14:textId="77777777" w:rsidR="009A3AA4" w:rsidRDefault="009A3AA4" w:rsidP="009A3AA4">
      <w:pPr>
        <w:spacing w:after="200" w:line="276" w:lineRule="auto"/>
        <w:rPr>
          <w:rFonts w:eastAsiaTheme="majorEastAsia" w:cstheme="majorBidi"/>
          <w:b/>
          <w:bCs/>
          <w:szCs w:val="26"/>
        </w:rPr>
      </w:pPr>
      <w:r>
        <w:br w:type="page"/>
      </w:r>
    </w:p>
    <w:p w14:paraId="46288AE6" w14:textId="77777777" w:rsidR="009A3AA4" w:rsidRDefault="009A3AA4" w:rsidP="009A3AA4">
      <w:r>
        <w:rPr>
          <w:noProof/>
        </w:rPr>
        <w:lastRenderedPageBreak/>
        <w:drawing>
          <wp:inline distT="0" distB="0" distL="0" distR="0" wp14:anchorId="15A13437" wp14:editId="645CD142">
            <wp:extent cx="5759450" cy="796099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59450" cy="7960995"/>
                    </a:xfrm>
                    <a:prstGeom prst="rect">
                      <a:avLst/>
                    </a:prstGeom>
                  </pic:spPr>
                </pic:pic>
              </a:graphicData>
            </a:graphic>
          </wp:inline>
        </w:drawing>
      </w:r>
    </w:p>
    <w:p w14:paraId="1C656C6E" w14:textId="77777777" w:rsidR="009A3AA4" w:rsidRDefault="009A3AA4" w:rsidP="009A3AA4">
      <w:pPr>
        <w:spacing w:after="200" w:line="276" w:lineRule="auto"/>
        <w:rPr>
          <w:rFonts w:eastAsiaTheme="majorEastAsia" w:cstheme="majorBidi"/>
          <w:b/>
          <w:bCs/>
          <w:szCs w:val="26"/>
        </w:rPr>
      </w:pPr>
      <w:r>
        <w:br w:type="page"/>
      </w:r>
    </w:p>
    <w:p w14:paraId="79FD6763" w14:textId="77777777" w:rsidR="009A3AA4" w:rsidRDefault="009A3AA4" w:rsidP="009A3AA4">
      <w:r>
        <w:rPr>
          <w:noProof/>
        </w:rPr>
        <w:lastRenderedPageBreak/>
        <w:drawing>
          <wp:inline distT="0" distB="0" distL="0" distR="0" wp14:anchorId="57D4C26B" wp14:editId="18335CDD">
            <wp:extent cx="5759450" cy="71710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59450" cy="7171055"/>
                    </a:xfrm>
                    <a:prstGeom prst="rect">
                      <a:avLst/>
                    </a:prstGeom>
                  </pic:spPr>
                </pic:pic>
              </a:graphicData>
            </a:graphic>
          </wp:inline>
        </w:drawing>
      </w:r>
    </w:p>
    <w:p w14:paraId="09744059" w14:textId="77777777" w:rsidR="009A3AA4" w:rsidRDefault="009A3AA4" w:rsidP="009A3AA4">
      <w:pPr>
        <w:spacing w:after="200" w:line="276" w:lineRule="auto"/>
        <w:rPr>
          <w:rFonts w:eastAsiaTheme="majorEastAsia" w:cstheme="majorBidi"/>
          <w:b/>
          <w:bCs/>
          <w:szCs w:val="26"/>
        </w:rPr>
      </w:pPr>
      <w:r>
        <w:br w:type="page"/>
      </w:r>
    </w:p>
    <w:p w14:paraId="4BD541B7" w14:textId="77777777" w:rsidR="009A3AA4" w:rsidRDefault="009A3AA4" w:rsidP="009A3AA4">
      <w:pPr>
        <w:pStyle w:val="Heading2"/>
      </w:pPr>
      <w:bookmarkStart w:id="202" w:name="_Toc167113151"/>
      <w:r>
        <w:lastRenderedPageBreak/>
        <w:t>Attachment 4 – Defence Personnel Billing Letter</w:t>
      </w:r>
      <w:bookmarkEnd w:id="202"/>
    </w:p>
    <w:p w14:paraId="4F46E9D6" w14:textId="77777777" w:rsidR="009A3AA4" w:rsidRDefault="009A3AA4" w:rsidP="009A3AA4">
      <w:r>
        <w:rPr>
          <w:noProof/>
        </w:rPr>
        <w:drawing>
          <wp:inline distT="0" distB="0" distL="0" distR="0" wp14:anchorId="057E4389" wp14:editId="57F1898D">
            <wp:extent cx="5759450" cy="817118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59450" cy="8171180"/>
                    </a:xfrm>
                    <a:prstGeom prst="rect">
                      <a:avLst/>
                    </a:prstGeom>
                  </pic:spPr>
                </pic:pic>
              </a:graphicData>
            </a:graphic>
          </wp:inline>
        </w:drawing>
      </w:r>
    </w:p>
    <w:p w14:paraId="6E85A735" w14:textId="77777777" w:rsidR="009A3AA4" w:rsidRDefault="009A3AA4" w:rsidP="009A3AA4">
      <w:pPr>
        <w:pStyle w:val="Heading2"/>
      </w:pPr>
      <w:bookmarkStart w:id="203" w:name="_Toc167113152"/>
      <w:r>
        <w:lastRenderedPageBreak/>
        <w:t>Attachment 5 – Compensable Patient Billing Letter</w:t>
      </w:r>
      <w:bookmarkEnd w:id="203"/>
    </w:p>
    <w:p w14:paraId="186C8EBF" w14:textId="77777777" w:rsidR="009A3AA4" w:rsidRDefault="009A3AA4" w:rsidP="00B6702A">
      <w:r>
        <w:rPr>
          <w:noProof/>
        </w:rPr>
        <w:drawing>
          <wp:inline distT="0" distB="0" distL="0" distR="0" wp14:anchorId="6836DB8F" wp14:editId="1B91E806">
            <wp:extent cx="5536166" cy="800211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538801" cy="8005919"/>
                    </a:xfrm>
                    <a:prstGeom prst="rect">
                      <a:avLst/>
                    </a:prstGeom>
                  </pic:spPr>
                </pic:pic>
              </a:graphicData>
            </a:graphic>
          </wp:inline>
        </w:drawing>
      </w:r>
    </w:p>
    <w:p w14:paraId="629313BE" w14:textId="77777777" w:rsidR="009A3AA4" w:rsidRDefault="009A3AA4" w:rsidP="009A3AA4">
      <w:pPr>
        <w:pStyle w:val="Heading2"/>
      </w:pPr>
      <w:bookmarkStart w:id="204" w:name="_Toc167113153"/>
      <w:r>
        <w:lastRenderedPageBreak/>
        <w:t>Attachment 6 – Non-Eligible Billing Slip</w:t>
      </w:r>
      <w:bookmarkEnd w:id="204"/>
    </w:p>
    <w:p w14:paraId="3F695CC8" w14:textId="77777777" w:rsidR="009A3AA4" w:rsidRDefault="009A3AA4" w:rsidP="009A3AA4">
      <w:r>
        <w:rPr>
          <w:noProof/>
        </w:rPr>
        <w:drawing>
          <wp:inline distT="0" distB="0" distL="0" distR="0" wp14:anchorId="477EF74F" wp14:editId="6CE27653">
            <wp:extent cx="5585179" cy="817825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586676" cy="8180446"/>
                    </a:xfrm>
                    <a:prstGeom prst="rect">
                      <a:avLst/>
                    </a:prstGeom>
                  </pic:spPr>
                </pic:pic>
              </a:graphicData>
            </a:graphic>
          </wp:inline>
        </w:drawing>
      </w:r>
    </w:p>
    <w:p w14:paraId="481928B1" w14:textId="77777777" w:rsidR="009A3AA4" w:rsidRDefault="009A3AA4" w:rsidP="009A3AA4">
      <w:pPr>
        <w:pStyle w:val="Heading2"/>
      </w:pPr>
      <w:bookmarkStart w:id="205" w:name="_Toc167113154"/>
      <w:r>
        <w:lastRenderedPageBreak/>
        <w:t>Attachment 7 – Asylum Seeker in Community Detention</w:t>
      </w:r>
      <w:bookmarkEnd w:id="205"/>
    </w:p>
    <w:p w14:paraId="083AE572" w14:textId="77777777" w:rsidR="009A3AA4" w:rsidRPr="00523093" w:rsidRDefault="009A3AA4" w:rsidP="009A3AA4">
      <w:r>
        <w:rPr>
          <w:noProof/>
        </w:rPr>
        <w:drawing>
          <wp:inline distT="0" distB="0" distL="0" distR="0" wp14:anchorId="46E24C2F" wp14:editId="72916EA1">
            <wp:extent cx="5759450" cy="7292340"/>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59450" cy="7292340"/>
                    </a:xfrm>
                    <a:prstGeom prst="rect">
                      <a:avLst/>
                    </a:prstGeom>
                  </pic:spPr>
                </pic:pic>
              </a:graphicData>
            </a:graphic>
          </wp:inline>
        </w:drawing>
      </w:r>
    </w:p>
    <w:p w14:paraId="3D2E7C91" w14:textId="77777777" w:rsidR="00010E74" w:rsidRPr="00010E74" w:rsidRDefault="00010E74" w:rsidP="00153FB3">
      <w:pPr>
        <w:rPr>
          <w:i/>
          <w:sz w:val="20"/>
          <w:szCs w:val="24"/>
        </w:rPr>
      </w:pPr>
    </w:p>
    <w:sectPr w:rsidR="00010E74" w:rsidRPr="00010E74" w:rsidSect="00B10F87">
      <w:headerReference w:type="default" r:id="rId69"/>
      <w:footerReference w:type="default" r:id="rId70"/>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6D06C" w14:textId="77777777" w:rsidR="003D3C7B" w:rsidRDefault="003D3C7B" w:rsidP="00F66CB0">
      <w:r>
        <w:separator/>
      </w:r>
    </w:p>
  </w:endnote>
  <w:endnote w:type="continuationSeparator" w:id="0">
    <w:p w14:paraId="5E66D3EF" w14:textId="77777777" w:rsidR="003D3C7B" w:rsidRDefault="003D3C7B"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1670BB" w:rsidRPr="00AE7C5C" w14:paraId="08682A7C" w14:textId="77777777" w:rsidTr="008E7509">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1746"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836"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8E7509">
      <w:tc>
        <w:tcPr>
          <w:tcW w:w="1515" w:type="dxa"/>
        </w:tcPr>
        <w:p w14:paraId="08682A7D" w14:textId="0FEB85C8" w:rsidR="001670BB" w:rsidRPr="00542EE6" w:rsidRDefault="00040494" w:rsidP="00B10F87">
          <w:pPr>
            <w:pStyle w:val="Footer"/>
            <w:rPr>
              <w:rFonts w:cs="Arial"/>
              <w:b/>
              <w:bCs/>
              <w:sz w:val="20"/>
            </w:rPr>
          </w:pPr>
          <w:r>
            <w:rPr>
              <w:b/>
              <w:sz w:val="20"/>
            </w:rPr>
            <w:t>CHS24/269</w:t>
          </w:r>
        </w:p>
      </w:tc>
      <w:tc>
        <w:tcPr>
          <w:tcW w:w="965" w:type="dxa"/>
        </w:tcPr>
        <w:p w14:paraId="08682A7E" w14:textId="6C9B59FD" w:rsidR="001670BB" w:rsidRPr="00B3752F" w:rsidRDefault="00040494" w:rsidP="00B10F87">
          <w:pPr>
            <w:pStyle w:val="Footer"/>
            <w:rPr>
              <w:rFonts w:cs="Arial"/>
              <w:b/>
              <w:bCs/>
              <w:sz w:val="20"/>
            </w:rPr>
          </w:pPr>
          <w:r>
            <w:rPr>
              <w:rFonts w:cs="Arial"/>
              <w:b/>
              <w:bCs/>
              <w:sz w:val="20"/>
            </w:rPr>
            <w:t>1</w:t>
          </w:r>
        </w:p>
      </w:tc>
      <w:tc>
        <w:tcPr>
          <w:tcW w:w="1552" w:type="dxa"/>
        </w:tcPr>
        <w:p w14:paraId="08682A7F" w14:textId="6636E665" w:rsidR="001670BB" w:rsidRPr="00B3752F" w:rsidRDefault="00040494" w:rsidP="00B10F87">
          <w:pPr>
            <w:pStyle w:val="Footer"/>
            <w:rPr>
              <w:rFonts w:cs="Arial"/>
              <w:b/>
              <w:bCs/>
              <w:sz w:val="20"/>
            </w:rPr>
          </w:pPr>
          <w:r>
            <w:rPr>
              <w:rFonts w:cs="Arial"/>
              <w:b/>
              <w:bCs/>
              <w:sz w:val="20"/>
            </w:rPr>
            <w:t>20/05/2024</w:t>
          </w:r>
        </w:p>
      </w:tc>
      <w:tc>
        <w:tcPr>
          <w:tcW w:w="1456" w:type="dxa"/>
        </w:tcPr>
        <w:p w14:paraId="08682A80" w14:textId="5D6AE431" w:rsidR="001670BB" w:rsidRPr="00B3752F" w:rsidRDefault="00040494" w:rsidP="00470E63">
          <w:pPr>
            <w:pStyle w:val="Footer"/>
            <w:rPr>
              <w:rFonts w:cs="Arial"/>
              <w:b/>
              <w:bCs/>
              <w:sz w:val="20"/>
            </w:rPr>
          </w:pPr>
          <w:r>
            <w:rPr>
              <w:rFonts w:cs="Arial"/>
              <w:b/>
              <w:bCs/>
              <w:sz w:val="20"/>
            </w:rPr>
            <w:t>01/001/2029</w:t>
          </w:r>
        </w:p>
      </w:tc>
      <w:tc>
        <w:tcPr>
          <w:tcW w:w="1746" w:type="dxa"/>
        </w:tcPr>
        <w:p w14:paraId="08682A81" w14:textId="30F95797" w:rsidR="001670BB" w:rsidRPr="00B3752F" w:rsidRDefault="00CD4A22" w:rsidP="00B10F87">
          <w:pPr>
            <w:pStyle w:val="Footer"/>
            <w:rPr>
              <w:rFonts w:cs="Arial"/>
              <w:b/>
              <w:bCs/>
              <w:sz w:val="20"/>
            </w:rPr>
          </w:pPr>
          <w:r>
            <w:rPr>
              <w:rFonts w:cs="Arial"/>
              <w:b/>
              <w:bCs/>
              <w:sz w:val="20"/>
            </w:rPr>
            <w:t>CFO</w:t>
          </w:r>
        </w:p>
      </w:tc>
      <w:tc>
        <w:tcPr>
          <w:tcW w:w="1836"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p>
      </w:tc>
    </w:tr>
    <w:tr w:rsidR="008E7509" w14:paraId="274E509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8E7509" w:rsidRPr="002C1428" w:rsidRDefault="008E7509"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AB52F" w14:textId="77777777" w:rsidR="003D3C7B" w:rsidRDefault="003D3C7B" w:rsidP="00F66CB0">
      <w:r>
        <w:separator/>
      </w:r>
    </w:p>
  </w:footnote>
  <w:footnote w:type="continuationSeparator" w:id="0">
    <w:p w14:paraId="5DB669DE" w14:textId="77777777" w:rsidR="003D3C7B" w:rsidRDefault="003D3C7B"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939DF" w14:paraId="60F17A8F" w14:textId="77777777" w:rsidTr="00894713">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3975BC17" w:rsidR="00A939DF" w:rsidRDefault="00A939DF" w:rsidP="00A939DF">
          <w:pPr>
            <w:pStyle w:val="Header"/>
            <w:tabs>
              <w:tab w:val="left" w:pos="720"/>
            </w:tabs>
            <w:jc w:val="right"/>
            <w:rPr>
              <w:sz w:val="20"/>
            </w:rPr>
          </w:pPr>
          <w:bookmarkStart w:id="206" w:name="_top"/>
          <w:bookmarkEnd w:id="206"/>
          <w:r>
            <w:rPr>
              <w:sz w:val="20"/>
            </w:rPr>
            <w:t>CHS</w:t>
          </w:r>
          <w:r w:rsidR="00040494">
            <w:rPr>
              <w:sz w:val="20"/>
            </w:rPr>
            <w:t>24/269</w:t>
          </w:r>
        </w:p>
      </w:tc>
    </w:tr>
  </w:tbl>
  <w:p w14:paraId="08682A75" w14:textId="77777777" w:rsidR="001670BB" w:rsidRPr="00FC3538" w:rsidRDefault="001670B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029A4"/>
    <w:multiLevelType w:val="hybridMultilevel"/>
    <w:tmpl w:val="569E5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4"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5"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18065579"/>
    <w:multiLevelType w:val="hybridMultilevel"/>
    <w:tmpl w:val="8BAA8E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B047D8"/>
    <w:multiLevelType w:val="hybridMultilevel"/>
    <w:tmpl w:val="70DAC3AC"/>
    <w:lvl w:ilvl="0" w:tplc="C8C4AF60">
      <w:start w:val="1"/>
      <w:numFmt w:val="bullet"/>
      <w:pStyle w:val="Bulletlevel2"/>
      <w:lvlText w:val="­"/>
      <w:lvlJc w:val="left"/>
      <w:pPr>
        <w:ind w:left="1003" w:hanging="360"/>
      </w:pPr>
      <w:rPr>
        <w:rFonts w:ascii="Courier New" w:hAnsi="Courier New" w:hint="default"/>
      </w:rPr>
    </w:lvl>
    <w:lvl w:ilvl="1" w:tplc="B16646DE">
      <w:start w:val="2"/>
      <w:numFmt w:val="bullet"/>
      <w:lvlText w:val=""/>
      <w:lvlJc w:val="left"/>
      <w:pPr>
        <w:ind w:left="1723" w:hanging="360"/>
      </w:pPr>
      <w:rPr>
        <w:rFonts w:ascii="Symbol" w:eastAsiaTheme="minorHAnsi" w:hAnsi="Symbol" w:cstheme="minorBidi"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9"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0F418A"/>
    <w:multiLevelType w:val="hybridMultilevel"/>
    <w:tmpl w:val="AE6259B2"/>
    <w:lvl w:ilvl="0" w:tplc="5ADC0A42">
      <w:start w:val="1"/>
      <w:numFmt w:val="bullet"/>
      <w:pStyle w:val="Bulletlevel1"/>
      <w:lvlText w:val=""/>
      <w:lvlJc w:val="left"/>
      <w:pPr>
        <w:ind w:left="3056" w:hanging="360"/>
      </w:pPr>
      <w:rPr>
        <w:rFonts w:ascii="Wingdings" w:hAnsi="Wingdings" w:hint="default"/>
      </w:rPr>
    </w:lvl>
    <w:lvl w:ilvl="1" w:tplc="0C090003">
      <w:start w:val="1"/>
      <w:numFmt w:val="bullet"/>
      <w:lvlText w:val="o"/>
      <w:lvlJc w:val="left"/>
      <w:pPr>
        <w:ind w:left="2576" w:hanging="360"/>
      </w:pPr>
      <w:rPr>
        <w:rFonts w:ascii="Courier New" w:hAnsi="Courier New" w:cs="Courier New" w:hint="default"/>
      </w:rPr>
    </w:lvl>
    <w:lvl w:ilvl="2" w:tplc="0C090005" w:tentative="1">
      <w:start w:val="1"/>
      <w:numFmt w:val="bullet"/>
      <w:lvlText w:val=""/>
      <w:lvlJc w:val="left"/>
      <w:pPr>
        <w:ind w:left="3296" w:hanging="360"/>
      </w:pPr>
      <w:rPr>
        <w:rFonts w:ascii="Wingdings" w:hAnsi="Wingdings" w:hint="default"/>
      </w:rPr>
    </w:lvl>
    <w:lvl w:ilvl="3" w:tplc="0C090001" w:tentative="1">
      <w:start w:val="1"/>
      <w:numFmt w:val="bullet"/>
      <w:lvlText w:val=""/>
      <w:lvlJc w:val="left"/>
      <w:pPr>
        <w:ind w:left="4016" w:hanging="360"/>
      </w:pPr>
      <w:rPr>
        <w:rFonts w:ascii="Symbol" w:hAnsi="Symbol" w:hint="default"/>
      </w:rPr>
    </w:lvl>
    <w:lvl w:ilvl="4" w:tplc="0C090003" w:tentative="1">
      <w:start w:val="1"/>
      <w:numFmt w:val="bullet"/>
      <w:lvlText w:val="o"/>
      <w:lvlJc w:val="left"/>
      <w:pPr>
        <w:ind w:left="4736" w:hanging="360"/>
      </w:pPr>
      <w:rPr>
        <w:rFonts w:ascii="Courier New" w:hAnsi="Courier New" w:cs="Courier New" w:hint="default"/>
      </w:rPr>
    </w:lvl>
    <w:lvl w:ilvl="5" w:tplc="0C090005" w:tentative="1">
      <w:start w:val="1"/>
      <w:numFmt w:val="bullet"/>
      <w:lvlText w:val=""/>
      <w:lvlJc w:val="left"/>
      <w:pPr>
        <w:ind w:left="5456" w:hanging="360"/>
      </w:pPr>
      <w:rPr>
        <w:rFonts w:ascii="Wingdings" w:hAnsi="Wingdings" w:hint="default"/>
      </w:rPr>
    </w:lvl>
    <w:lvl w:ilvl="6" w:tplc="0C090001" w:tentative="1">
      <w:start w:val="1"/>
      <w:numFmt w:val="bullet"/>
      <w:lvlText w:val=""/>
      <w:lvlJc w:val="left"/>
      <w:pPr>
        <w:ind w:left="6176" w:hanging="360"/>
      </w:pPr>
      <w:rPr>
        <w:rFonts w:ascii="Symbol" w:hAnsi="Symbol" w:hint="default"/>
      </w:rPr>
    </w:lvl>
    <w:lvl w:ilvl="7" w:tplc="0C090003" w:tentative="1">
      <w:start w:val="1"/>
      <w:numFmt w:val="bullet"/>
      <w:lvlText w:val="o"/>
      <w:lvlJc w:val="left"/>
      <w:pPr>
        <w:ind w:left="6896" w:hanging="360"/>
      </w:pPr>
      <w:rPr>
        <w:rFonts w:ascii="Courier New" w:hAnsi="Courier New" w:cs="Courier New" w:hint="default"/>
      </w:rPr>
    </w:lvl>
    <w:lvl w:ilvl="8" w:tplc="0C090005" w:tentative="1">
      <w:start w:val="1"/>
      <w:numFmt w:val="bullet"/>
      <w:lvlText w:val=""/>
      <w:lvlJc w:val="left"/>
      <w:pPr>
        <w:ind w:left="7616" w:hanging="360"/>
      </w:pPr>
      <w:rPr>
        <w:rFonts w:ascii="Wingdings" w:hAnsi="Wingdings" w:hint="default"/>
      </w:rPr>
    </w:lvl>
  </w:abstractNum>
  <w:abstractNum w:abstractNumId="11" w15:restartNumberingAfterBreak="0">
    <w:nsid w:val="2A890A88"/>
    <w:multiLevelType w:val="hybridMultilevel"/>
    <w:tmpl w:val="692AF050"/>
    <w:lvl w:ilvl="0" w:tplc="0D5CEC1C">
      <w:start w:val="1"/>
      <w:numFmt w:val="bullet"/>
      <w:lvlText w:val=""/>
      <w:lvlJc w:val="left"/>
      <w:pPr>
        <w:ind w:left="930" w:hanging="570"/>
      </w:pPr>
      <w:rPr>
        <w:rFonts w:ascii="Symbol" w:hAnsi="Symbol" w:hint="default"/>
        <w:color w:val="auto"/>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234378"/>
    <w:multiLevelType w:val="hybridMultilevel"/>
    <w:tmpl w:val="05225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853B39"/>
    <w:multiLevelType w:val="hybridMultilevel"/>
    <w:tmpl w:val="786C5B96"/>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6" w15:restartNumberingAfterBreak="0">
    <w:nsid w:val="699C4766"/>
    <w:multiLevelType w:val="hybridMultilevel"/>
    <w:tmpl w:val="E6945F50"/>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8AB081D"/>
    <w:multiLevelType w:val="hybridMultilevel"/>
    <w:tmpl w:val="EA36A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7DCB2008"/>
    <w:multiLevelType w:val="hybridMultilevel"/>
    <w:tmpl w:val="0C184C82"/>
    <w:lvl w:ilvl="0" w:tplc="B9EE76A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99034516">
    <w:abstractNumId w:val="0"/>
  </w:num>
  <w:num w:numId="2" w16cid:durableId="1006438034">
    <w:abstractNumId w:val="3"/>
  </w:num>
  <w:num w:numId="3" w16cid:durableId="1034573228">
    <w:abstractNumId w:val="18"/>
  </w:num>
  <w:num w:numId="4" w16cid:durableId="1684672063">
    <w:abstractNumId w:val="5"/>
  </w:num>
  <w:num w:numId="5" w16cid:durableId="861167390">
    <w:abstractNumId w:val="9"/>
  </w:num>
  <w:num w:numId="6" w16cid:durableId="1281229683">
    <w:abstractNumId w:val="4"/>
  </w:num>
  <w:num w:numId="7" w16cid:durableId="1183666751">
    <w:abstractNumId w:val="19"/>
  </w:num>
  <w:num w:numId="8" w16cid:durableId="542520818">
    <w:abstractNumId w:val="15"/>
  </w:num>
  <w:num w:numId="9" w16cid:durableId="2141340474">
    <w:abstractNumId w:val="14"/>
  </w:num>
  <w:num w:numId="10" w16cid:durableId="1026950662">
    <w:abstractNumId w:val="14"/>
  </w:num>
  <w:num w:numId="11" w16cid:durableId="737484945">
    <w:abstractNumId w:val="2"/>
  </w:num>
  <w:num w:numId="12" w16cid:durableId="1690252943">
    <w:abstractNumId w:val="6"/>
  </w:num>
  <w:num w:numId="13" w16cid:durableId="1516311666">
    <w:abstractNumId w:val="10"/>
  </w:num>
  <w:num w:numId="14" w16cid:durableId="1522164541">
    <w:abstractNumId w:val="8"/>
  </w:num>
  <w:num w:numId="15" w16cid:durableId="1535541134">
    <w:abstractNumId w:val="20"/>
  </w:num>
  <w:num w:numId="16" w16cid:durableId="829372440">
    <w:abstractNumId w:val="13"/>
  </w:num>
  <w:num w:numId="17" w16cid:durableId="635723139">
    <w:abstractNumId w:val="11"/>
  </w:num>
  <w:num w:numId="18" w16cid:durableId="1200977337">
    <w:abstractNumId w:val="17"/>
  </w:num>
  <w:num w:numId="19" w16cid:durableId="2094468747">
    <w:abstractNumId w:val="12"/>
  </w:num>
  <w:num w:numId="20" w16cid:durableId="315302591">
    <w:abstractNumId w:val="7"/>
  </w:num>
  <w:num w:numId="21" w16cid:durableId="957563274">
    <w:abstractNumId w:val="1"/>
  </w:num>
  <w:num w:numId="22" w16cid:durableId="3047442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21C3"/>
    <w:rsid w:val="000133B9"/>
    <w:rsid w:val="00015B90"/>
    <w:rsid w:val="0001607A"/>
    <w:rsid w:val="00040494"/>
    <w:rsid w:val="00061A07"/>
    <w:rsid w:val="000728F3"/>
    <w:rsid w:val="000A3D5E"/>
    <w:rsid w:val="000B5C8C"/>
    <w:rsid w:val="000C59E2"/>
    <w:rsid w:val="000C7B2D"/>
    <w:rsid w:val="000D6F30"/>
    <w:rsid w:val="000F7B7E"/>
    <w:rsid w:val="0010015B"/>
    <w:rsid w:val="00103EEA"/>
    <w:rsid w:val="00153FB3"/>
    <w:rsid w:val="001670BB"/>
    <w:rsid w:val="0018239D"/>
    <w:rsid w:val="00191109"/>
    <w:rsid w:val="001A0053"/>
    <w:rsid w:val="001B2465"/>
    <w:rsid w:val="001E64DB"/>
    <w:rsid w:val="001F2829"/>
    <w:rsid w:val="001F2C50"/>
    <w:rsid w:val="001F6D2D"/>
    <w:rsid w:val="00205AF9"/>
    <w:rsid w:val="002225FC"/>
    <w:rsid w:val="00240B97"/>
    <w:rsid w:val="0025382D"/>
    <w:rsid w:val="00253F5A"/>
    <w:rsid w:val="00263BA6"/>
    <w:rsid w:val="00266379"/>
    <w:rsid w:val="0026690C"/>
    <w:rsid w:val="0027264D"/>
    <w:rsid w:val="00293E43"/>
    <w:rsid w:val="002B478A"/>
    <w:rsid w:val="002B5F43"/>
    <w:rsid w:val="002C05A8"/>
    <w:rsid w:val="002F464E"/>
    <w:rsid w:val="002F7AFC"/>
    <w:rsid w:val="00313707"/>
    <w:rsid w:val="00376A6D"/>
    <w:rsid w:val="00380B98"/>
    <w:rsid w:val="00396023"/>
    <w:rsid w:val="00396F11"/>
    <w:rsid w:val="003C4BB5"/>
    <w:rsid w:val="003D3C7B"/>
    <w:rsid w:val="003E167B"/>
    <w:rsid w:val="003E4CC0"/>
    <w:rsid w:val="003F3D8F"/>
    <w:rsid w:val="00412CED"/>
    <w:rsid w:val="00427139"/>
    <w:rsid w:val="004358E9"/>
    <w:rsid w:val="00447B55"/>
    <w:rsid w:val="00465C91"/>
    <w:rsid w:val="00470E63"/>
    <w:rsid w:val="00487DD5"/>
    <w:rsid w:val="004A2E02"/>
    <w:rsid w:val="004A6A76"/>
    <w:rsid w:val="004B7C43"/>
    <w:rsid w:val="004C2B20"/>
    <w:rsid w:val="004D400F"/>
    <w:rsid w:val="004E28AD"/>
    <w:rsid w:val="004F1D05"/>
    <w:rsid w:val="0050147B"/>
    <w:rsid w:val="00503F75"/>
    <w:rsid w:val="0052443C"/>
    <w:rsid w:val="0052775E"/>
    <w:rsid w:val="00542514"/>
    <w:rsid w:val="00546AED"/>
    <w:rsid w:val="005471DF"/>
    <w:rsid w:val="005621E4"/>
    <w:rsid w:val="005736DB"/>
    <w:rsid w:val="005743AC"/>
    <w:rsid w:val="00596C82"/>
    <w:rsid w:val="00596FD7"/>
    <w:rsid w:val="005A3625"/>
    <w:rsid w:val="005B4738"/>
    <w:rsid w:val="005C212D"/>
    <w:rsid w:val="005C3CB0"/>
    <w:rsid w:val="00612231"/>
    <w:rsid w:val="00614380"/>
    <w:rsid w:val="00633C8D"/>
    <w:rsid w:val="00635EB1"/>
    <w:rsid w:val="006473BB"/>
    <w:rsid w:val="0065246A"/>
    <w:rsid w:val="0066495D"/>
    <w:rsid w:val="006743DB"/>
    <w:rsid w:val="00695EB6"/>
    <w:rsid w:val="006A4D46"/>
    <w:rsid w:val="006A6024"/>
    <w:rsid w:val="006C31FF"/>
    <w:rsid w:val="006C6B6C"/>
    <w:rsid w:val="006C704D"/>
    <w:rsid w:val="0070331D"/>
    <w:rsid w:val="00741B43"/>
    <w:rsid w:val="00752315"/>
    <w:rsid w:val="00756537"/>
    <w:rsid w:val="00775280"/>
    <w:rsid w:val="007A0EBC"/>
    <w:rsid w:val="007B3E43"/>
    <w:rsid w:val="007B4ABB"/>
    <w:rsid w:val="007B6904"/>
    <w:rsid w:val="00816782"/>
    <w:rsid w:val="0082141D"/>
    <w:rsid w:val="00827F24"/>
    <w:rsid w:val="00855DA8"/>
    <w:rsid w:val="00865480"/>
    <w:rsid w:val="008732E4"/>
    <w:rsid w:val="00886399"/>
    <w:rsid w:val="008974CA"/>
    <w:rsid w:val="008D0CBA"/>
    <w:rsid w:val="008E1F7F"/>
    <w:rsid w:val="008E3427"/>
    <w:rsid w:val="008E74FD"/>
    <w:rsid w:val="008E7509"/>
    <w:rsid w:val="008F00E8"/>
    <w:rsid w:val="008F6921"/>
    <w:rsid w:val="00933EED"/>
    <w:rsid w:val="00940CDE"/>
    <w:rsid w:val="0097141B"/>
    <w:rsid w:val="0097742A"/>
    <w:rsid w:val="00980AE7"/>
    <w:rsid w:val="00980EED"/>
    <w:rsid w:val="0098312B"/>
    <w:rsid w:val="0098579F"/>
    <w:rsid w:val="00991670"/>
    <w:rsid w:val="009A3AA4"/>
    <w:rsid w:val="009A534C"/>
    <w:rsid w:val="009B0E44"/>
    <w:rsid w:val="009B4A8F"/>
    <w:rsid w:val="009B6C8C"/>
    <w:rsid w:val="009B6F42"/>
    <w:rsid w:val="009C0FCA"/>
    <w:rsid w:val="009C3963"/>
    <w:rsid w:val="009D323C"/>
    <w:rsid w:val="00A063FE"/>
    <w:rsid w:val="00A13087"/>
    <w:rsid w:val="00A3469C"/>
    <w:rsid w:val="00A350E5"/>
    <w:rsid w:val="00A35E2D"/>
    <w:rsid w:val="00A74B8A"/>
    <w:rsid w:val="00A85F61"/>
    <w:rsid w:val="00A86A9D"/>
    <w:rsid w:val="00A86DB3"/>
    <w:rsid w:val="00A939DF"/>
    <w:rsid w:val="00AA25DC"/>
    <w:rsid w:val="00AD2AB5"/>
    <w:rsid w:val="00B10F87"/>
    <w:rsid w:val="00B11471"/>
    <w:rsid w:val="00B17115"/>
    <w:rsid w:val="00B21043"/>
    <w:rsid w:val="00B30DA2"/>
    <w:rsid w:val="00B44CAC"/>
    <w:rsid w:val="00B453FC"/>
    <w:rsid w:val="00B4769A"/>
    <w:rsid w:val="00B573D6"/>
    <w:rsid w:val="00B61F35"/>
    <w:rsid w:val="00B634F1"/>
    <w:rsid w:val="00B6702A"/>
    <w:rsid w:val="00B81455"/>
    <w:rsid w:val="00B9627F"/>
    <w:rsid w:val="00BA0A1B"/>
    <w:rsid w:val="00BA2415"/>
    <w:rsid w:val="00BA4F95"/>
    <w:rsid w:val="00BA5B60"/>
    <w:rsid w:val="00BB33F9"/>
    <w:rsid w:val="00BC3CE6"/>
    <w:rsid w:val="00BD03DB"/>
    <w:rsid w:val="00BE5E41"/>
    <w:rsid w:val="00C13D33"/>
    <w:rsid w:val="00C15BCF"/>
    <w:rsid w:val="00C24EDC"/>
    <w:rsid w:val="00C25A76"/>
    <w:rsid w:val="00C31BD5"/>
    <w:rsid w:val="00C32206"/>
    <w:rsid w:val="00C44D65"/>
    <w:rsid w:val="00C45B40"/>
    <w:rsid w:val="00C45C67"/>
    <w:rsid w:val="00C523FF"/>
    <w:rsid w:val="00C532D4"/>
    <w:rsid w:val="00C606F3"/>
    <w:rsid w:val="00C71C3C"/>
    <w:rsid w:val="00C9490E"/>
    <w:rsid w:val="00CA593D"/>
    <w:rsid w:val="00CD4A22"/>
    <w:rsid w:val="00D006EF"/>
    <w:rsid w:val="00D06786"/>
    <w:rsid w:val="00D16211"/>
    <w:rsid w:val="00D21780"/>
    <w:rsid w:val="00D23346"/>
    <w:rsid w:val="00D243B8"/>
    <w:rsid w:val="00D34794"/>
    <w:rsid w:val="00D42B85"/>
    <w:rsid w:val="00D4502D"/>
    <w:rsid w:val="00D530CE"/>
    <w:rsid w:val="00D53E3C"/>
    <w:rsid w:val="00D54ED5"/>
    <w:rsid w:val="00D7517E"/>
    <w:rsid w:val="00D77950"/>
    <w:rsid w:val="00DA3DBE"/>
    <w:rsid w:val="00DC3762"/>
    <w:rsid w:val="00DC739E"/>
    <w:rsid w:val="00DD0346"/>
    <w:rsid w:val="00DD616A"/>
    <w:rsid w:val="00DE0465"/>
    <w:rsid w:val="00E049ED"/>
    <w:rsid w:val="00E2517B"/>
    <w:rsid w:val="00E34E6D"/>
    <w:rsid w:val="00E37CD4"/>
    <w:rsid w:val="00E41A47"/>
    <w:rsid w:val="00E53B9C"/>
    <w:rsid w:val="00E57848"/>
    <w:rsid w:val="00EA1A1E"/>
    <w:rsid w:val="00ED21C3"/>
    <w:rsid w:val="00ED388C"/>
    <w:rsid w:val="00EF02B0"/>
    <w:rsid w:val="00F01B61"/>
    <w:rsid w:val="00F13DD8"/>
    <w:rsid w:val="00F149FD"/>
    <w:rsid w:val="00F4262F"/>
    <w:rsid w:val="00F53719"/>
    <w:rsid w:val="00F565DA"/>
    <w:rsid w:val="00F57291"/>
    <w:rsid w:val="00F66CB0"/>
    <w:rsid w:val="00F72D0E"/>
    <w:rsid w:val="00F76C89"/>
    <w:rsid w:val="00F83FBF"/>
    <w:rsid w:val="00FA29B8"/>
    <w:rsid w:val="00FD3D92"/>
    <w:rsid w:val="00FF389E"/>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rsid w:val="005743A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225F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133B9"/>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paragraph" w:customStyle="1" w:styleId="Bulletlevel1">
    <w:name w:val="Bullet level 1"/>
    <w:basedOn w:val="BodyText"/>
    <w:qFormat/>
    <w:rsid w:val="000133B9"/>
    <w:pPr>
      <w:numPr>
        <w:numId w:val="13"/>
      </w:numPr>
      <w:tabs>
        <w:tab w:val="left" w:pos="284"/>
        <w:tab w:val="num" w:pos="1080"/>
      </w:tabs>
      <w:spacing w:before="60"/>
      <w:ind w:left="1080"/>
    </w:pPr>
    <w:rPr>
      <w:rFonts w:cs="Arial"/>
      <w:bCs/>
      <w:iCs/>
      <w:color w:val="323232"/>
      <w:szCs w:val="24"/>
      <w:lang w:eastAsia="en-AU"/>
    </w:rPr>
  </w:style>
  <w:style w:type="paragraph" w:customStyle="1" w:styleId="BodyCopy">
    <w:name w:val="Body Copy"/>
    <w:basedOn w:val="BodyText"/>
    <w:qFormat/>
    <w:rsid w:val="000133B9"/>
    <w:pPr>
      <w:spacing w:before="120" w:after="240" w:line="280" w:lineRule="exact"/>
    </w:pPr>
    <w:rPr>
      <w:rFonts w:cs="Arial"/>
      <w:bCs/>
      <w:iCs/>
      <w:color w:val="76923C" w:themeColor="accent3" w:themeShade="BF"/>
      <w:szCs w:val="24"/>
    </w:rPr>
  </w:style>
  <w:style w:type="paragraph" w:styleId="NormalWeb">
    <w:name w:val="Normal (Web)"/>
    <w:basedOn w:val="Normal"/>
    <w:uiPriority w:val="99"/>
    <w:unhideWhenUsed/>
    <w:rsid w:val="000133B9"/>
    <w:pPr>
      <w:spacing w:before="100" w:beforeAutospacing="1" w:after="100" w:afterAutospacing="1"/>
    </w:pPr>
    <w:rPr>
      <w:rFonts w:ascii="Times New Roman" w:hAnsi="Times New Roman"/>
      <w:szCs w:val="24"/>
      <w:lang w:eastAsia="en-AU"/>
    </w:rPr>
  </w:style>
  <w:style w:type="paragraph" w:styleId="NoSpacing">
    <w:name w:val="No Spacing"/>
    <w:link w:val="NoSpacingChar"/>
    <w:uiPriority w:val="1"/>
    <w:qFormat/>
    <w:rsid w:val="000133B9"/>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0133B9"/>
    <w:rPr>
      <w:rFonts w:ascii="Calibri" w:eastAsia="Calibri" w:hAnsi="Calibri" w:cs="Times New Roman"/>
    </w:rPr>
  </w:style>
  <w:style w:type="paragraph" w:styleId="BodyText">
    <w:name w:val="Body Text"/>
    <w:basedOn w:val="Normal"/>
    <w:link w:val="BodyTextChar"/>
    <w:uiPriority w:val="99"/>
    <w:semiHidden/>
    <w:unhideWhenUsed/>
    <w:rsid w:val="000133B9"/>
    <w:pPr>
      <w:spacing w:after="120"/>
    </w:pPr>
  </w:style>
  <w:style w:type="character" w:customStyle="1" w:styleId="BodyTextChar">
    <w:name w:val="Body Text Char"/>
    <w:basedOn w:val="DefaultParagraphFont"/>
    <w:link w:val="BodyText"/>
    <w:uiPriority w:val="99"/>
    <w:semiHidden/>
    <w:rsid w:val="000133B9"/>
    <w:rPr>
      <w:rFonts w:ascii="Calibri" w:eastAsia="Times New Roman" w:hAnsi="Calibri" w:cs="Times New Roman"/>
      <w:sz w:val="24"/>
      <w:szCs w:val="20"/>
    </w:rPr>
  </w:style>
  <w:style w:type="character" w:customStyle="1" w:styleId="Heading5Char">
    <w:name w:val="Heading 5 Char"/>
    <w:basedOn w:val="DefaultParagraphFont"/>
    <w:link w:val="Heading5"/>
    <w:uiPriority w:val="9"/>
    <w:semiHidden/>
    <w:rsid w:val="000133B9"/>
    <w:rPr>
      <w:rFonts w:asciiTheme="majorHAnsi" w:eastAsiaTheme="majorEastAsia" w:hAnsiTheme="majorHAnsi" w:cstheme="majorBidi"/>
      <w:color w:val="365F91" w:themeColor="accent1" w:themeShade="BF"/>
      <w:sz w:val="24"/>
      <w:szCs w:val="20"/>
    </w:rPr>
  </w:style>
  <w:style w:type="paragraph" w:customStyle="1" w:styleId="Bulletlevel2">
    <w:name w:val="Bullet level 2"/>
    <w:basedOn w:val="Bulletlevel1"/>
    <w:qFormat/>
    <w:rsid w:val="000133B9"/>
    <w:pPr>
      <w:numPr>
        <w:numId w:val="14"/>
      </w:numPr>
      <w:tabs>
        <w:tab w:val="clear" w:pos="284"/>
        <w:tab w:val="left" w:pos="567"/>
      </w:tabs>
    </w:pPr>
  </w:style>
  <w:style w:type="character" w:customStyle="1" w:styleId="Heading4Char">
    <w:name w:val="Heading 4 Char"/>
    <w:basedOn w:val="DefaultParagraphFont"/>
    <w:link w:val="Heading4"/>
    <w:uiPriority w:val="9"/>
    <w:rsid w:val="002225FC"/>
    <w:rPr>
      <w:rFonts w:asciiTheme="majorHAnsi" w:eastAsiaTheme="majorEastAsia" w:hAnsiTheme="majorHAnsi" w:cstheme="majorBidi"/>
      <w:i/>
      <w:iCs/>
      <w:color w:val="365F91" w:themeColor="accent1" w:themeShade="BF"/>
      <w:sz w:val="24"/>
      <w:szCs w:val="20"/>
    </w:r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link w:val="ListParagraph"/>
    <w:uiPriority w:val="34"/>
    <w:locked/>
    <w:rsid w:val="002225FC"/>
    <w:rPr>
      <w:rFonts w:ascii="Calibri" w:eastAsia="Times New Roman" w:hAnsi="Calibri" w:cs="Times New Roman"/>
      <w:sz w:val="24"/>
      <w:szCs w:val="20"/>
    </w:rPr>
  </w:style>
  <w:style w:type="paragraph" w:styleId="Revision">
    <w:name w:val="Revision"/>
    <w:hidden/>
    <w:uiPriority w:val="99"/>
    <w:semiHidden/>
    <w:rsid w:val="002F464E"/>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1272668842">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183148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1.xml"/><Relationship Id="rId21" Type="http://schemas.openxmlformats.org/officeDocument/2006/relationships/image" Target="media/image5.png"/><Relationship Id="rId42" Type="http://schemas.openxmlformats.org/officeDocument/2006/relationships/hyperlink" Target="https://www.legislation.act.gov.au/di/2020-55/" TargetMode="External"/><Relationship Id="rId47" Type="http://schemas.openxmlformats.org/officeDocument/2006/relationships/image" Target="media/image7.png"/><Relationship Id="rId63" Type="http://schemas.openxmlformats.org/officeDocument/2006/relationships/image" Target="media/image15.png"/><Relationship Id="rId68" Type="http://schemas.openxmlformats.org/officeDocument/2006/relationships/image" Target="media/image20.png"/><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diagramData" Target="diagrams/data2.xml"/><Relationship Id="rId11" Type="http://schemas.openxmlformats.org/officeDocument/2006/relationships/hyperlink" Target="https://www.health.gov.au/our-work/2020-25-national-health-reform-agreement-nhra" TargetMode="External"/><Relationship Id="rId24" Type="http://schemas.openxmlformats.org/officeDocument/2006/relationships/diagramData" Target="diagrams/data1.xml"/><Relationship Id="rId32" Type="http://schemas.openxmlformats.org/officeDocument/2006/relationships/diagramColors" Target="diagrams/colors2.xml"/><Relationship Id="rId37" Type="http://schemas.openxmlformats.org/officeDocument/2006/relationships/diagramColors" Target="diagrams/colors3.xml"/><Relationship Id="rId40" Type="http://schemas.openxmlformats.org/officeDocument/2006/relationships/hyperlink" Target="http://www.mbsonline.gov.au/internet/mbsonline/publishing.nsf/Content/Home" TargetMode="External"/><Relationship Id="rId45" Type="http://schemas.openxmlformats.org/officeDocument/2006/relationships/hyperlink" Target="https://www.legislation.act.gov.au/di/2020-55/" TargetMode="External"/><Relationship Id="rId53" Type="http://schemas.openxmlformats.org/officeDocument/2006/relationships/hyperlink" Target="https://actss.service-now.com/sharedservices/finance?id=sc_cat_item&amp;sys_id=2911b4e3e14daa006f09c7b1cb1f3ec0" TargetMode="External"/><Relationship Id="rId58" Type="http://schemas.openxmlformats.org/officeDocument/2006/relationships/image" Target="media/image10.png"/><Relationship Id="rId66" Type="http://schemas.openxmlformats.org/officeDocument/2006/relationships/image" Target="media/image18.png"/><Relationship Id="rId5" Type="http://schemas.openxmlformats.org/officeDocument/2006/relationships/numbering" Target="numbering.xml"/><Relationship Id="rId61" Type="http://schemas.openxmlformats.org/officeDocument/2006/relationships/image" Target="media/image13.png"/><Relationship Id="rId19" Type="http://schemas.openxmlformats.org/officeDocument/2006/relationships/hyperlink" Target="https://www.digitalhealth.gov.au/" TargetMode="External"/><Relationship Id="rId14" Type="http://schemas.openxmlformats.org/officeDocument/2006/relationships/hyperlink" Target="https://www.legislation.gov.au/Details/C2022C00348" TargetMode="External"/><Relationship Id="rId22" Type="http://schemas.openxmlformats.org/officeDocument/2006/relationships/image" Target="media/image6.png"/><Relationship Id="rId27" Type="http://schemas.openxmlformats.org/officeDocument/2006/relationships/diagramColors" Target="diagrams/colors1.xml"/><Relationship Id="rId30" Type="http://schemas.openxmlformats.org/officeDocument/2006/relationships/diagramLayout" Target="diagrams/layout2.xml"/><Relationship Id="rId35" Type="http://schemas.openxmlformats.org/officeDocument/2006/relationships/diagramLayout" Target="diagrams/layout3.xml"/><Relationship Id="rId43" Type="http://schemas.openxmlformats.org/officeDocument/2006/relationships/hyperlink" Target="http://www.ndis.gov.au/" TargetMode="External"/><Relationship Id="rId48" Type="http://schemas.openxmlformats.org/officeDocument/2006/relationships/hyperlink" Target="https://www.legislation.gov.au/Details/C2020C00063" TargetMode="External"/><Relationship Id="rId56" Type="http://schemas.openxmlformats.org/officeDocument/2006/relationships/hyperlink" Target="mailto:Digital.Support@act.gov.au" TargetMode="External"/><Relationship Id="rId64" Type="http://schemas.openxmlformats.org/officeDocument/2006/relationships/image" Target="media/image16.png"/><Relationship Id="rId69"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mailto:chs.revenuedata@act.gov.au"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federalfinancialrelations.gov.au/agreements/national-health-reform-agreement" TargetMode="External"/><Relationship Id="rId17" Type="http://schemas.openxmlformats.org/officeDocument/2006/relationships/image" Target="media/image2.png"/><Relationship Id="rId25" Type="http://schemas.openxmlformats.org/officeDocument/2006/relationships/diagramLayout" Target="diagrams/layout1.xml"/><Relationship Id="rId33" Type="http://schemas.microsoft.com/office/2007/relationships/diagramDrawing" Target="diagrams/drawing2.xml"/><Relationship Id="rId38" Type="http://schemas.microsoft.com/office/2007/relationships/diagramDrawing" Target="diagrams/drawing3.xml"/><Relationship Id="rId46" Type="http://schemas.openxmlformats.org/officeDocument/2006/relationships/hyperlink" Target="https://www.servicesaustralia.gov.au/when-reciprocal-health-care-agreements-apply-and-you-visit-australia?context=22481" TargetMode="External"/><Relationship Id="rId59" Type="http://schemas.openxmlformats.org/officeDocument/2006/relationships/image" Target="media/image11.png"/><Relationship Id="rId67" Type="http://schemas.openxmlformats.org/officeDocument/2006/relationships/image" Target="media/image19.png"/><Relationship Id="rId20" Type="http://schemas.openxmlformats.org/officeDocument/2006/relationships/image" Target="media/image4.png"/><Relationship Id="rId41" Type="http://schemas.openxmlformats.org/officeDocument/2006/relationships/hyperlink" Target="https://www.legislation.act.gov.au/di/2020-55/" TargetMode="External"/><Relationship Id="rId54" Type="http://schemas.openxmlformats.org/officeDocument/2006/relationships/hyperlink" Target="mailto:CHS.revenuedata@act.gov.au" TargetMode="External"/><Relationship Id="rId62" Type="http://schemas.openxmlformats.org/officeDocument/2006/relationships/image" Target="media/image14.png"/><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egislation.act.gov.au/di/2022-69/" TargetMode="External"/><Relationship Id="rId23" Type="http://schemas.openxmlformats.org/officeDocument/2006/relationships/hyperlink" Target="mailto:" TargetMode="External"/><Relationship Id="rId28" Type="http://schemas.microsoft.com/office/2007/relationships/diagramDrawing" Target="diagrams/drawing1.xml"/><Relationship Id="rId36" Type="http://schemas.openxmlformats.org/officeDocument/2006/relationships/diagramQuickStyle" Target="diagrams/quickStyle3.xml"/><Relationship Id="rId49" Type="http://schemas.openxmlformats.org/officeDocument/2006/relationships/hyperlink" Target="https://www.legislation.act.gov.au/di/2020-55/" TargetMode="External"/><Relationship Id="rId57" Type="http://schemas.openxmlformats.org/officeDocument/2006/relationships/image" Target="media/image9.png"/><Relationship Id="rId10" Type="http://schemas.openxmlformats.org/officeDocument/2006/relationships/endnotes" Target="endnotes.xml"/><Relationship Id="rId31" Type="http://schemas.openxmlformats.org/officeDocument/2006/relationships/diagramQuickStyle" Target="diagrams/quickStyle2.xml"/><Relationship Id="rId44" Type="http://schemas.openxmlformats.org/officeDocument/2006/relationships/hyperlink" Target="mailto:CHSBilling@act.gov.au" TargetMode="External"/><Relationship Id="rId52" Type="http://schemas.openxmlformats.org/officeDocument/2006/relationships/hyperlink" Target="https://www.legislation.act.gov.au/di/2020-55/" TargetMode="External"/><Relationship Id="rId60" Type="http://schemas.openxmlformats.org/officeDocument/2006/relationships/image" Target="media/image12.png"/><Relationship Id="rId65"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mbsonline.gov.au/internet/mbsonline/publishing.nsf/Content/Home" TargetMode="External"/><Relationship Id="rId18" Type="http://schemas.openxmlformats.org/officeDocument/2006/relationships/image" Target="media/image3.png"/><Relationship Id="rId39" Type="http://schemas.openxmlformats.org/officeDocument/2006/relationships/hyperlink" Target="mailto:CHS.revenuedata@act.gov.au" TargetMode="External"/><Relationship Id="rId34" Type="http://schemas.openxmlformats.org/officeDocument/2006/relationships/diagramData" Target="diagrams/data3.xml"/><Relationship Id="rId50" Type="http://schemas.openxmlformats.org/officeDocument/2006/relationships/image" Target="media/image8.png"/><Relationship Id="rId55" Type="http://schemas.openxmlformats.org/officeDocument/2006/relationships/hyperlink" Target="mailto:CHSBilling@act.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0CB2FA-0F4F-44A8-A960-91A372DA159E}" type="doc">
      <dgm:prSet loTypeId="urn:microsoft.com/office/officeart/2005/8/layout/hierarchy2" loCatId="hierarchy" qsTypeId="urn:microsoft.com/office/officeart/2005/8/quickstyle/simple2" qsCatId="simple" csTypeId="urn:microsoft.com/office/officeart/2005/8/colors/accent1_2" csCatId="accent1" phldr="1"/>
      <dgm:spPr/>
      <dgm:t>
        <a:bodyPr/>
        <a:lstStyle/>
        <a:p>
          <a:endParaRPr lang="en-AU"/>
        </a:p>
      </dgm:t>
    </dgm:pt>
    <dgm:pt modelId="{17B50872-6D0E-44B6-B79E-FC3430098655}">
      <dgm:prSet phldrT="[Text]" custT="1"/>
      <dgm:spPr/>
      <dgm:t>
        <a:bodyPr/>
        <a:lstStyle/>
        <a:p>
          <a:r>
            <a:rPr lang="en-AU" sz="1100"/>
            <a:t>Expired Referral</a:t>
          </a:r>
        </a:p>
        <a:p>
          <a:r>
            <a:rPr lang="en-AU" sz="1100"/>
            <a:t>New referral not obtained prior to service</a:t>
          </a:r>
        </a:p>
      </dgm:t>
    </dgm:pt>
    <dgm:pt modelId="{6B0BA177-BA5A-4739-92CF-F2A769AB7D11}" type="parTrans" cxnId="{9313824D-4F4F-44EB-BD00-E534D3D5D167}">
      <dgm:prSet/>
      <dgm:spPr/>
      <dgm:t>
        <a:bodyPr/>
        <a:lstStyle/>
        <a:p>
          <a:endParaRPr lang="en-AU"/>
        </a:p>
      </dgm:t>
    </dgm:pt>
    <dgm:pt modelId="{7292AA3D-2E56-48DB-BEE4-4A836C7C8763}" type="sibTrans" cxnId="{9313824D-4F4F-44EB-BD00-E534D3D5D167}">
      <dgm:prSet/>
      <dgm:spPr/>
      <dgm:t>
        <a:bodyPr/>
        <a:lstStyle/>
        <a:p>
          <a:endParaRPr lang="en-AU"/>
        </a:p>
      </dgm:t>
    </dgm:pt>
    <dgm:pt modelId="{B2D2C9F9-DC29-45C9-95DB-8D432C489051}" type="asst">
      <dgm:prSet phldrT="[Text]" custT="1"/>
      <dgm:spPr/>
      <dgm:t>
        <a:bodyPr/>
        <a:lstStyle/>
        <a:p>
          <a:r>
            <a:rPr lang="en-AU" sz="1100"/>
            <a:t>Did the patient  have a valid referral for a previous service with the same Specialist and was bulk billed</a:t>
          </a:r>
          <a:r>
            <a:rPr lang="en-AU" sz="900"/>
            <a:t>?</a:t>
          </a:r>
        </a:p>
      </dgm:t>
    </dgm:pt>
    <dgm:pt modelId="{53679021-BAB5-4FB8-AA9E-7196CAC193B4}" type="parTrans" cxnId="{595EC2AE-3AA6-44E3-A54C-2CC987D86F7C}">
      <dgm:prSet/>
      <dgm:spPr/>
      <dgm:t>
        <a:bodyPr/>
        <a:lstStyle/>
        <a:p>
          <a:endParaRPr lang="en-AU"/>
        </a:p>
      </dgm:t>
    </dgm:pt>
    <dgm:pt modelId="{695C61DD-4213-4913-82E7-AA9EB120AC5E}" type="sibTrans" cxnId="{595EC2AE-3AA6-44E3-A54C-2CC987D86F7C}">
      <dgm:prSet/>
      <dgm:spPr/>
      <dgm:t>
        <a:bodyPr/>
        <a:lstStyle/>
        <a:p>
          <a:endParaRPr lang="en-AU"/>
        </a:p>
      </dgm:t>
    </dgm:pt>
    <dgm:pt modelId="{AEB6CE63-F543-4577-9789-AD1BD596F393}">
      <dgm:prSet custT="1"/>
      <dgm:spPr/>
      <dgm:t>
        <a:bodyPr/>
        <a:lstStyle/>
        <a:p>
          <a:r>
            <a:rPr lang="en-AU" sz="1100"/>
            <a:t>YES</a:t>
          </a:r>
        </a:p>
      </dgm:t>
    </dgm:pt>
    <dgm:pt modelId="{300D3559-F973-4124-861D-A6A48FE966C5}" type="parTrans" cxnId="{E8A0A90F-A54D-4672-BD2D-47A903071E47}">
      <dgm:prSet/>
      <dgm:spPr/>
      <dgm:t>
        <a:bodyPr/>
        <a:lstStyle/>
        <a:p>
          <a:endParaRPr lang="en-AU"/>
        </a:p>
      </dgm:t>
    </dgm:pt>
    <dgm:pt modelId="{038F6E69-4373-4B13-B6D1-7CE9886F18FE}" type="sibTrans" cxnId="{E8A0A90F-A54D-4672-BD2D-47A903071E47}">
      <dgm:prSet/>
      <dgm:spPr/>
      <dgm:t>
        <a:bodyPr/>
        <a:lstStyle/>
        <a:p>
          <a:endParaRPr lang="en-AU"/>
        </a:p>
      </dgm:t>
    </dgm:pt>
    <dgm:pt modelId="{B911B8CD-84AB-4411-9599-DE6C07200228}">
      <dgm:prSet custT="1"/>
      <dgm:spPr/>
      <dgm:t>
        <a:bodyPr/>
        <a:lstStyle/>
        <a:p>
          <a:r>
            <a:rPr lang="en-AU" sz="1100"/>
            <a:t>NO</a:t>
          </a:r>
        </a:p>
      </dgm:t>
    </dgm:pt>
    <dgm:pt modelId="{B1CB975D-918C-4C68-A7CF-1035A5BBCD0A}" type="parTrans" cxnId="{D4F692AF-E3AD-4C57-99B8-607A0AB8C1F5}">
      <dgm:prSet/>
      <dgm:spPr/>
      <dgm:t>
        <a:bodyPr/>
        <a:lstStyle/>
        <a:p>
          <a:endParaRPr lang="en-AU"/>
        </a:p>
      </dgm:t>
    </dgm:pt>
    <dgm:pt modelId="{897CE38D-C9FB-41A1-9687-8AF26071B88F}" type="sibTrans" cxnId="{D4F692AF-E3AD-4C57-99B8-607A0AB8C1F5}">
      <dgm:prSet/>
      <dgm:spPr/>
      <dgm:t>
        <a:bodyPr/>
        <a:lstStyle/>
        <a:p>
          <a:endParaRPr lang="en-AU"/>
        </a:p>
      </dgm:t>
    </dgm:pt>
    <dgm:pt modelId="{9E543FFE-B2DC-4D52-B61F-DEF5BC90D171}">
      <dgm:prSet custT="1"/>
      <dgm:spPr/>
      <dgm:t>
        <a:bodyPr/>
        <a:lstStyle/>
        <a:p>
          <a:r>
            <a:rPr lang="en-AU" sz="1100"/>
            <a:t>Bill for Non-referred Item (Outpatient Bulk Bill)</a:t>
          </a:r>
        </a:p>
        <a:p>
          <a:r>
            <a:rPr lang="en-AU" sz="1100"/>
            <a:t>Create appointment without referral and note in the comments that the service is billable but the referral is not required for the MBS item.</a:t>
          </a:r>
        </a:p>
      </dgm:t>
    </dgm:pt>
    <dgm:pt modelId="{9B40965F-480C-476D-8F31-912261464B2D}" type="parTrans" cxnId="{0C4D1963-736B-4236-85B7-A22A5C0599A2}">
      <dgm:prSet/>
      <dgm:spPr/>
      <dgm:t>
        <a:bodyPr/>
        <a:lstStyle/>
        <a:p>
          <a:endParaRPr lang="en-AU"/>
        </a:p>
      </dgm:t>
    </dgm:pt>
    <dgm:pt modelId="{6FB1B59D-3F2E-4AAA-ADD0-FD889A5612F0}" type="sibTrans" cxnId="{0C4D1963-736B-4236-85B7-A22A5C0599A2}">
      <dgm:prSet/>
      <dgm:spPr/>
      <dgm:t>
        <a:bodyPr/>
        <a:lstStyle/>
        <a:p>
          <a:endParaRPr lang="en-AU"/>
        </a:p>
      </dgm:t>
    </dgm:pt>
    <dgm:pt modelId="{D9726B5C-5270-43B3-9C11-523D68F5E92E}">
      <dgm:prSet custT="1"/>
      <dgm:spPr/>
      <dgm:t>
        <a:bodyPr/>
        <a:lstStyle/>
        <a:p>
          <a:r>
            <a:rPr lang="en-AU" sz="1100"/>
            <a:t>No Billing </a:t>
          </a:r>
        </a:p>
        <a:p>
          <a:r>
            <a:rPr lang="en-AU" sz="1100"/>
            <a:t>(Public Patient - finclass is Public)</a:t>
          </a:r>
        </a:p>
      </dgm:t>
    </dgm:pt>
    <dgm:pt modelId="{ACEFAC22-846C-4C96-98A8-1D8A51617FF6}" type="parTrans" cxnId="{1EACC632-1170-4DD3-8161-CFE993ABA584}">
      <dgm:prSet/>
      <dgm:spPr/>
      <dgm:t>
        <a:bodyPr/>
        <a:lstStyle/>
        <a:p>
          <a:endParaRPr lang="en-AU"/>
        </a:p>
      </dgm:t>
    </dgm:pt>
    <dgm:pt modelId="{F5B239BA-28EC-46CF-A0DD-B79B4555BBC8}" type="sibTrans" cxnId="{1EACC632-1170-4DD3-8161-CFE993ABA584}">
      <dgm:prSet/>
      <dgm:spPr/>
      <dgm:t>
        <a:bodyPr/>
        <a:lstStyle/>
        <a:p>
          <a:endParaRPr lang="en-AU"/>
        </a:p>
      </dgm:t>
    </dgm:pt>
    <dgm:pt modelId="{44BA06B0-59C9-4D83-B449-41F142417990}" type="pres">
      <dgm:prSet presAssocID="{000CB2FA-0F4F-44A8-A960-91A372DA159E}" presName="diagram" presStyleCnt="0">
        <dgm:presLayoutVars>
          <dgm:chPref val="1"/>
          <dgm:dir/>
          <dgm:animOne val="branch"/>
          <dgm:animLvl val="lvl"/>
          <dgm:resizeHandles val="exact"/>
        </dgm:presLayoutVars>
      </dgm:prSet>
      <dgm:spPr/>
    </dgm:pt>
    <dgm:pt modelId="{1ECD172F-7B22-49FA-988E-5352263AEBFF}" type="pres">
      <dgm:prSet presAssocID="{17B50872-6D0E-44B6-B79E-FC3430098655}" presName="root1" presStyleCnt="0"/>
      <dgm:spPr/>
    </dgm:pt>
    <dgm:pt modelId="{4491ABD7-95A7-475F-B377-1F1CC8A9C703}" type="pres">
      <dgm:prSet presAssocID="{17B50872-6D0E-44B6-B79E-FC3430098655}" presName="LevelOneTextNode" presStyleLbl="node0" presStyleIdx="0" presStyleCnt="1" custScaleX="69456" custScaleY="214329" custLinFactNeighborX="5699">
        <dgm:presLayoutVars>
          <dgm:chPref val="3"/>
        </dgm:presLayoutVars>
      </dgm:prSet>
      <dgm:spPr/>
    </dgm:pt>
    <dgm:pt modelId="{0B485C1C-DCB1-4A57-9E02-15E39BCE1E78}" type="pres">
      <dgm:prSet presAssocID="{17B50872-6D0E-44B6-B79E-FC3430098655}" presName="level2hierChild" presStyleCnt="0"/>
      <dgm:spPr/>
    </dgm:pt>
    <dgm:pt modelId="{6956A8F3-E8B1-4C0F-B705-8D267EABE5EE}" type="pres">
      <dgm:prSet presAssocID="{53679021-BAB5-4FB8-AA9E-7196CAC193B4}" presName="conn2-1" presStyleLbl="parChTrans1D2" presStyleIdx="0" presStyleCnt="1"/>
      <dgm:spPr/>
    </dgm:pt>
    <dgm:pt modelId="{BA1088E0-B3F6-4FD0-B19E-F1D54E22CE36}" type="pres">
      <dgm:prSet presAssocID="{53679021-BAB5-4FB8-AA9E-7196CAC193B4}" presName="connTx" presStyleLbl="parChTrans1D2" presStyleIdx="0" presStyleCnt="1"/>
      <dgm:spPr/>
    </dgm:pt>
    <dgm:pt modelId="{D6274DAC-3312-4164-B194-E9D7D3E0EB40}" type="pres">
      <dgm:prSet presAssocID="{B2D2C9F9-DC29-45C9-95DB-8D432C489051}" presName="root2" presStyleCnt="0"/>
      <dgm:spPr/>
    </dgm:pt>
    <dgm:pt modelId="{0ABF2B70-FE89-42F1-8609-DFE7656462B9}" type="pres">
      <dgm:prSet presAssocID="{B2D2C9F9-DC29-45C9-95DB-8D432C489051}" presName="LevelTwoTextNode" presStyleLbl="asst1" presStyleIdx="0" presStyleCnt="1" custScaleX="88365" custScaleY="211897" custLinFactNeighborX="-11033">
        <dgm:presLayoutVars>
          <dgm:chPref val="3"/>
        </dgm:presLayoutVars>
      </dgm:prSet>
      <dgm:spPr/>
    </dgm:pt>
    <dgm:pt modelId="{BAFB107A-555B-4AA3-86DB-C2F8CF3FE36A}" type="pres">
      <dgm:prSet presAssocID="{B2D2C9F9-DC29-45C9-95DB-8D432C489051}" presName="level3hierChild" presStyleCnt="0"/>
      <dgm:spPr/>
    </dgm:pt>
    <dgm:pt modelId="{71EA909D-5477-4FB7-8FB4-03B02211F8D4}" type="pres">
      <dgm:prSet presAssocID="{300D3559-F973-4124-861D-A6A48FE966C5}" presName="conn2-1" presStyleLbl="parChTrans1D3" presStyleIdx="0" presStyleCnt="2"/>
      <dgm:spPr/>
    </dgm:pt>
    <dgm:pt modelId="{B05BB4C9-4FF9-4EEA-A859-9B5ADE6C6B76}" type="pres">
      <dgm:prSet presAssocID="{300D3559-F973-4124-861D-A6A48FE966C5}" presName="connTx" presStyleLbl="parChTrans1D3" presStyleIdx="0" presStyleCnt="2"/>
      <dgm:spPr/>
    </dgm:pt>
    <dgm:pt modelId="{6594B1A2-47FB-4442-83C7-0AA10F72E2D4}" type="pres">
      <dgm:prSet presAssocID="{AEB6CE63-F543-4577-9789-AD1BD596F393}" presName="root2" presStyleCnt="0"/>
      <dgm:spPr/>
    </dgm:pt>
    <dgm:pt modelId="{4C15D4A3-A869-4F06-9CFD-47813AD6F740}" type="pres">
      <dgm:prSet presAssocID="{AEB6CE63-F543-4577-9789-AD1BD596F393}" presName="LevelTwoTextNode" presStyleLbl="node3" presStyleIdx="0" presStyleCnt="2" custScaleX="38516" custScaleY="52598" custLinFactNeighborX="-13627" custLinFactNeighborY="-1346">
        <dgm:presLayoutVars>
          <dgm:chPref val="3"/>
        </dgm:presLayoutVars>
      </dgm:prSet>
      <dgm:spPr/>
    </dgm:pt>
    <dgm:pt modelId="{575BB649-FAAB-400B-85D1-BD18101B2482}" type="pres">
      <dgm:prSet presAssocID="{AEB6CE63-F543-4577-9789-AD1BD596F393}" presName="level3hierChild" presStyleCnt="0"/>
      <dgm:spPr/>
    </dgm:pt>
    <dgm:pt modelId="{59163E01-46FD-439E-8F91-7B86E82C3385}" type="pres">
      <dgm:prSet presAssocID="{9B40965F-480C-476D-8F31-912261464B2D}" presName="conn2-1" presStyleLbl="parChTrans1D4" presStyleIdx="0" presStyleCnt="2"/>
      <dgm:spPr/>
    </dgm:pt>
    <dgm:pt modelId="{59C85A04-35C5-485B-B67A-C312BE899B0B}" type="pres">
      <dgm:prSet presAssocID="{9B40965F-480C-476D-8F31-912261464B2D}" presName="connTx" presStyleLbl="parChTrans1D4" presStyleIdx="0" presStyleCnt="2"/>
      <dgm:spPr/>
    </dgm:pt>
    <dgm:pt modelId="{C05C4E1F-70AD-426B-A198-5023BE0DA59D}" type="pres">
      <dgm:prSet presAssocID="{9E543FFE-B2DC-4D52-B61F-DEF5BC90D171}" presName="root2" presStyleCnt="0"/>
      <dgm:spPr/>
    </dgm:pt>
    <dgm:pt modelId="{201B60AD-FCDA-4CAF-8516-64DBB5900E48}" type="pres">
      <dgm:prSet presAssocID="{9E543FFE-B2DC-4D52-B61F-DEF5BC90D171}" presName="LevelTwoTextNode" presStyleLbl="node4" presStyleIdx="0" presStyleCnt="2" custScaleX="297109" custScaleY="167605" custLinFactNeighborX="-29170" custLinFactNeighborY="-63">
        <dgm:presLayoutVars>
          <dgm:chPref val="3"/>
        </dgm:presLayoutVars>
      </dgm:prSet>
      <dgm:spPr/>
    </dgm:pt>
    <dgm:pt modelId="{EF3C1BAA-9F78-4F70-91D1-AA26920335C8}" type="pres">
      <dgm:prSet presAssocID="{9E543FFE-B2DC-4D52-B61F-DEF5BC90D171}" presName="level3hierChild" presStyleCnt="0"/>
      <dgm:spPr/>
    </dgm:pt>
    <dgm:pt modelId="{B2A8D838-0714-483E-A228-2509FAEEFF7C}" type="pres">
      <dgm:prSet presAssocID="{B1CB975D-918C-4C68-A7CF-1035A5BBCD0A}" presName="conn2-1" presStyleLbl="parChTrans1D3" presStyleIdx="1" presStyleCnt="2"/>
      <dgm:spPr/>
    </dgm:pt>
    <dgm:pt modelId="{972098BA-1F20-4F12-9CF9-CFD556E22D59}" type="pres">
      <dgm:prSet presAssocID="{B1CB975D-918C-4C68-A7CF-1035A5BBCD0A}" presName="connTx" presStyleLbl="parChTrans1D3" presStyleIdx="1" presStyleCnt="2"/>
      <dgm:spPr/>
    </dgm:pt>
    <dgm:pt modelId="{9121B9A8-3C00-4893-B33C-818663E06739}" type="pres">
      <dgm:prSet presAssocID="{B911B8CD-84AB-4411-9599-DE6C07200228}" presName="root2" presStyleCnt="0"/>
      <dgm:spPr/>
    </dgm:pt>
    <dgm:pt modelId="{8E992E8C-E24B-4805-A5CD-7238D0D73CDE}" type="pres">
      <dgm:prSet presAssocID="{B911B8CD-84AB-4411-9599-DE6C07200228}" presName="LevelTwoTextNode" presStyleLbl="node3" presStyleIdx="1" presStyleCnt="2" custScaleX="38939" custScaleY="50583" custLinFactNeighborX="-12153" custLinFactNeighborY="159">
        <dgm:presLayoutVars>
          <dgm:chPref val="3"/>
        </dgm:presLayoutVars>
      </dgm:prSet>
      <dgm:spPr/>
    </dgm:pt>
    <dgm:pt modelId="{7115963D-0877-463E-BDBC-1D6001DDDFAB}" type="pres">
      <dgm:prSet presAssocID="{B911B8CD-84AB-4411-9599-DE6C07200228}" presName="level3hierChild" presStyleCnt="0"/>
      <dgm:spPr/>
    </dgm:pt>
    <dgm:pt modelId="{233B8C2D-2534-4468-A7FE-959241544656}" type="pres">
      <dgm:prSet presAssocID="{ACEFAC22-846C-4C96-98A8-1D8A51617FF6}" presName="conn2-1" presStyleLbl="parChTrans1D4" presStyleIdx="1" presStyleCnt="2"/>
      <dgm:spPr/>
    </dgm:pt>
    <dgm:pt modelId="{20AB9086-6632-44FB-BF79-0696B5383075}" type="pres">
      <dgm:prSet presAssocID="{ACEFAC22-846C-4C96-98A8-1D8A51617FF6}" presName="connTx" presStyleLbl="parChTrans1D4" presStyleIdx="1" presStyleCnt="2"/>
      <dgm:spPr/>
    </dgm:pt>
    <dgm:pt modelId="{0DA52EF8-EF71-4DF4-B0FE-6906C73B08DE}" type="pres">
      <dgm:prSet presAssocID="{D9726B5C-5270-43B3-9C11-523D68F5E92E}" presName="root2" presStyleCnt="0"/>
      <dgm:spPr/>
    </dgm:pt>
    <dgm:pt modelId="{64FA28B5-727D-44E9-9130-EB81D6CD0558}" type="pres">
      <dgm:prSet presAssocID="{D9726B5C-5270-43B3-9C11-523D68F5E92E}" presName="LevelTwoTextNode" presStyleLbl="node4" presStyleIdx="1" presStyleCnt="2" custScaleX="168808" custLinFactNeighborX="-26525" custLinFactNeighborY="2100">
        <dgm:presLayoutVars>
          <dgm:chPref val="3"/>
        </dgm:presLayoutVars>
      </dgm:prSet>
      <dgm:spPr/>
    </dgm:pt>
    <dgm:pt modelId="{D4761EC8-6295-4DEB-8B15-C3F497B411BE}" type="pres">
      <dgm:prSet presAssocID="{D9726B5C-5270-43B3-9C11-523D68F5E92E}" presName="level3hierChild" presStyleCnt="0"/>
      <dgm:spPr/>
    </dgm:pt>
  </dgm:ptLst>
  <dgm:cxnLst>
    <dgm:cxn modelId="{D97E3405-4960-4379-AEA3-2CF105FCA3A2}" type="presOf" srcId="{53679021-BAB5-4FB8-AA9E-7196CAC193B4}" destId="{6956A8F3-E8B1-4C0F-B705-8D267EABE5EE}" srcOrd="0" destOrd="0" presId="urn:microsoft.com/office/officeart/2005/8/layout/hierarchy2"/>
    <dgm:cxn modelId="{67411609-44D6-49D7-90C6-FF756C4FB979}" type="presOf" srcId="{300D3559-F973-4124-861D-A6A48FE966C5}" destId="{71EA909D-5477-4FB7-8FB4-03B02211F8D4}" srcOrd="0" destOrd="0" presId="urn:microsoft.com/office/officeart/2005/8/layout/hierarchy2"/>
    <dgm:cxn modelId="{A1A3AB09-D033-4051-ABEE-859265806C40}" type="presOf" srcId="{B1CB975D-918C-4C68-A7CF-1035A5BBCD0A}" destId="{B2A8D838-0714-483E-A228-2509FAEEFF7C}" srcOrd="0" destOrd="0" presId="urn:microsoft.com/office/officeart/2005/8/layout/hierarchy2"/>
    <dgm:cxn modelId="{BDDC360A-35E5-48F3-955F-0530F55C4978}" type="presOf" srcId="{17B50872-6D0E-44B6-B79E-FC3430098655}" destId="{4491ABD7-95A7-475F-B377-1F1CC8A9C703}" srcOrd="0" destOrd="0" presId="urn:microsoft.com/office/officeart/2005/8/layout/hierarchy2"/>
    <dgm:cxn modelId="{D51D820A-E1D1-429C-874E-6175454443C6}" type="presOf" srcId="{B1CB975D-918C-4C68-A7CF-1035A5BBCD0A}" destId="{972098BA-1F20-4F12-9CF9-CFD556E22D59}" srcOrd="1" destOrd="0" presId="urn:microsoft.com/office/officeart/2005/8/layout/hierarchy2"/>
    <dgm:cxn modelId="{E8A0A90F-A54D-4672-BD2D-47A903071E47}" srcId="{B2D2C9F9-DC29-45C9-95DB-8D432C489051}" destId="{AEB6CE63-F543-4577-9789-AD1BD596F393}" srcOrd="0" destOrd="0" parTransId="{300D3559-F973-4124-861D-A6A48FE966C5}" sibTransId="{038F6E69-4373-4B13-B6D1-7CE9886F18FE}"/>
    <dgm:cxn modelId="{B61CE015-2313-4070-B5E1-B559294369C5}" type="presOf" srcId="{ACEFAC22-846C-4C96-98A8-1D8A51617FF6}" destId="{233B8C2D-2534-4468-A7FE-959241544656}" srcOrd="0" destOrd="0" presId="urn:microsoft.com/office/officeart/2005/8/layout/hierarchy2"/>
    <dgm:cxn modelId="{A3224A1D-7282-4900-A370-8476B1BC2E31}" type="presOf" srcId="{53679021-BAB5-4FB8-AA9E-7196CAC193B4}" destId="{BA1088E0-B3F6-4FD0-B19E-F1D54E22CE36}" srcOrd="1" destOrd="0" presId="urn:microsoft.com/office/officeart/2005/8/layout/hierarchy2"/>
    <dgm:cxn modelId="{EADA692E-4C7F-4BA0-8A12-46542CC2D814}" type="presOf" srcId="{000CB2FA-0F4F-44A8-A960-91A372DA159E}" destId="{44BA06B0-59C9-4D83-B449-41F142417990}" srcOrd="0" destOrd="0" presId="urn:microsoft.com/office/officeart/2005/8/layout/hierarchy2"/>
    <dgm:cxn modelId="{1EACC632-1170-4DD3-8161-CFE993ABA584}" srcId="{B911B8CD-84AB-4411-9599-DE6C07200228}" destId="{D9726B5C-5270-43B3-9C11-523D68F5E92E}" srcOrd="0" destOrd="0" parTransId="{ACEFAC22-846C-4C96-98A8-1D8A51617FF6}" sibTransId="{F5B239BA-28EC-46CF-A0DD-B79B4555BBC8}"/>
    <dgm:cxn modelId="{0C4D1963-736B-4236-85B7-A22A5C0599A2}" srcId="{AEB6CE63-F543-4577-9789-AD1BD596F393}" destId="{9E543FFE-B2DC-4D52-B61F-DEF5BC90D171}" srcOrd="0" destOrd="0" parTransId="{9B40965F-480C-476D-8F31-912261464B2D}" sibTransId="{6FB1B59D-3F2E-4AAA-ADD0-FD889A5612F0}"/>
    <dgm:cxn modelId="{AD65956A-1D1C-4380-89D1-6505ED633FA5}" type="presOf" srcId="{ACEFAC22-846C-4C96-98A8-1D8A51617FF6}" destId="{20AB9086-6632-44FB-BF79-0696B5383075}" srcOrd="1" destOrd="0" presId="urn:microsoft.com/office/officeart/2005/8/layout/hierarchy2"/>
    <dgm:cxn modelId="{5C48EE6B-0283-471F-9FB0-843214A5CA92}" type="presOf" srcId="{B2D2C9F9-DC29-45C9-95DB-8D432C489051}" destId="{0ABF2B70-FE89-42F1-8609-DFE7656462B9}" srcOrd="0" destOrd="0" presId="urn:microsoft.com/office/officeart/2005/8/layout/hierarchy2"/>
    <dgm:cxn modelId="{9313824D-4F4F-44EB-BD00-E534D3D5D167}" srcId="{000CB2FA-0F4F-44A8-A960-91A372DA159E}" destId="{17B50872-6D0E-44B6-B79E-FC3430098655}" srcOrd="0" destOrd="0" parTransId="{6B0BA177-BA5A-4739-92CF-F2A769AB7D11}" sibTransId="{7292AA3D-2E56-48DB-BEE4-4A836C7C8763}"/>
    <dgm:cxn modelId="{8A8E6850-7883-4957-9B00-EFCF31B47E60}" type="presOf" srcId="{9E543FFE-B2DC-4D52-B61F-DEF5BC90D171}" destId="{201B60AD-FCDA-4CAF-8516-64DBB5900E48}" srcOrd="0" destOrd="0" presId="urn:microsoft.com/office/officeart/2005/8/layout/hierarchy2"/>
    <dgm:cxn modelId="{967B529E-1338-496F-AC8D-856E38F0F7A4}" type="presOf" srcId="{9B40965F-480C-476D-8F31-912261464B2D}" destId="{59C85A04-35C5-485B-B67A-C312BE899B0B}" srcOrd="1" destOrd="0" presId="urn:microsoft.com/office/officeart/2005/8/layout/hierarchy2"/>
    <dgm:cxn modelId="{595EC2AE-3AA6-44E3-A54C-2CC987D86F7C}" srcId="{17B50872-6D0E-44B6-B79E-FC3430098655}" destId="{B2D2C9F9-DC29-45C9-95DB-8D432C489051}" srcOrd="0" destOrd="0" parTransId="{53679021-BAB5-4FB8-AA9E-7196CAC193B4}" sibTransId="{695C61DD-4213-4913-82E7-AA9EB120AC5E}"/>
    <dgm:cxn modelId="{D4F692AF-E3AD-4C57-99B8-607A0AB8C1F5}" srcId="{B2D2C9F9-DC29-45C9-95DB-8D432C489051}" destId="{B911B8CD-84AB-4411-9599-DE6C07200228}" srcOrd="1" destOrd="0" parTransId="{B1CB975D-918C-4C68-A7CF-1035A5BBCD0A}" sibTransId="{897CE38D-C9FB-41A1-9687-8AF26071B88F}"/>
    <dgm:cxn modelId="{82FD84B2-9F22-4748-88F2-3E9B59A74265}" type="presOf" srcId="{D9726B5C-5270-43B3-9C11-523D68F5E92E}" destId="{64FA28B5-727D-44E9-9130-EB81D6CD0558}" srcOrd="0" destOrd="0" presId="urn:microsoft.com/office/officeart/2005/8/layout/hierarchy2"/>
    <dgm:cxn modelId="{E0699BC5-612B-417F-B08A-9256973441A3}" type="presOf" srcId="{AEB6CE63-F543-4577-9789-AD1BD596F393}" destId="{4C15D4A3-A869-4F06-9CFD-47813AD6F740}" srcOrd="0" destOrd="0" presId="urn:microsoft.com/office/officeart/2005/8/layout/hierarchy2"/>
    <dgm:cxn modelId="{48E3BBF3-E074-44B2-8941-16C5BA195585}" type="presOf" srcId="{B911B8CD-84AB-4411-9599-DE6C07200228}" destId="{8E992E8C-E24B-4805-A5CD-7238D0D73CDE}" srcOrd="0" destOrd="0" presId="urn:microsoft.com/office/officeart/2005/8/layout/hierarchy2"/>
    <dgm:cxn modelId="{424F47D9-A53D-488A-B2CD-532C54EC7670}" type="presOf" srcId="{300D3559-F973-4124-861D-A6A48FE966C5}" destId="{B05BB4C9-4FF9-4EEA-A859-9B5ADE6C6B76}" srcOrd="1" destOrd="0" presId="urn:microsoft.com/office/officeart/2005/8/layout/hierarchy2"/>
    <dgm:cxn modelId="{5734E9FE-3844-4BE0-B6D9-82A75376C558}" type="presOf" srcId="{9B40965F-480C-476D-8F31-912261464B2D}" destId="{59163E01-46FD-439E-8F91-7B86E82C3385}" srcOrd="0" destOrd="0" presId="urn:microsoft.com/office/officeart/2005/8/layout/hierarchy2"/>
    <dgm:cxn modelId="{0E2E12A2-A562-467C-9401-8A71AB353B37}" type="presParOf" srcId="{44BA06B0-59C9-4D83-B449-41F142417990}" destId="{1ECD172F-7B22-49FA-988E-5352263AEBFF}" srcOrd="0" destOrd="0" presId="urn:microsoft.com/office/officeart/2005/8/layout/hierarchy2"/>
    <dgm:cxn modelId="{1F1D5789-D042-4D15-923F-FF95CC367B3E}" type="presParOf" srcId="{1ECD172F-7B22-49FA-988E-5352263AEBFF}" destId="{4491ABD7-95A7-475F-B377-1F1CC8A9C703}" srcOrd="0" destOrd="0" presId="urn:microsoft.com/office/officeart/2005/8/layout/hierarchy2"/>
    <dgm:cxn modelId="{2F33F0D0-F200-4146-A3B1-AD9B0D18FC8E}" type="presParOf" srcId="{1ECD172F-7B22-49FA-988E-5352263AEBFF}" destId="{0B485C1C-DCB1-4A57-9E02-15E39BCE1E78}" srcOrd="1" destOrd="0" presId="urn:microsoft.com/office/officeart/2005/8/layout/hierarchy2"/>
    <dgm:cxn modelId="{F315D0CA-5D96-4A59-9175-1A14AF35EFEA}" type="presParOf" srcId="{0B485C1C-DCB1-4A57-9E02-15E39BCE1E78}" destId="{6956A8F3-E8B1-4C0F-B705-8D267EABE5EE}" srcOrd="0" destOrd="0" presId="urn:microsoft.com/office/officeart/2005/8/layout/hierarchy2"/>
    <dgm:cxn modelId="{2F3DFF23-6B2A-407B-BD4F-A7E80B385781}" type="presParOf" srcId="{6956A8F3-E8B1-4C0F-B705-8D267EABE5EE}" destId="{BA1088E0-B3F6-4FD0-B19E-F1D54E22CE36}" srcOrd="0" destOrd="0" presId="urn:microsoft.com/office/officeart/2005/8/layout/hierarchy2"/>
    <dgm:cxn modelId="{0A7A9A7D-DC64-4935-99C3-AEA3DF42C323}" type="presParOf" srcId="{0B485C1C-DCB1-4A57-9E02-15E39BCE1E78}" destId="{D6274DAC-3312-4164-B194-E9D7D3E0EB40}" srcOrd="1" destOrd="0" presId="urn:microsoft.com/office/officeart/2005/8/layout/hierarchy2"/>
    <dgm:cxn modelId="{2D1E5DBE-F5F4-4DC2-BED7-0A8E10BD0A97}" type="presParOf" srcId="{D6274DAC-3312-4164-B194-E9D7D3E0EB40}" destId="{0ABF2B70-FE89-42F1-8609-DFE7656462B9}" srcOrd="0" destOrd="0" presId="urn:microsoft.com/office/officeart/2005/8/layout/hierarchy2"/>
    <dgm:cxn modelId="{D0456BE8-C77C-4C2B-9485-DDE71780C997}" type="presParOf" srcId="{D6274DAC-3312-4164-B194-E9D7D3E0EB40}" destId="{BAFB107A-555B-4AA3-86DB-C2F8CF3FE36A}" srcOrd="1" destOrd="0" presId="urn:microsoft.com/office/officeart/2005/8/layout/hierarchy2"/>
    <dgm:cxn modelId="{55136A36-CBA6-44B8-BE3B-857E55D796B1}" type="presParOf" srcId="{BAFB107A-555B-4AA3-86DB-C2F8CF3FE36A}" destId="{71EA909D-5477-4FB7-8FB4-03B02211F8D4}" srcOrd="0" destOrd="0" presId="urn:microsoft.com/office/officeart/2005/8/layout/hierarchy2"/>
    <dgm:cxn modelId="{6564FCA5-DD57-44E8-ACA0-1353461EA2FE}" type="presParOf" srcId="{71EA909D-5477-4FB7-8FB4-03B02211F8D4}" destId="{B05BB4C9-4FF9-4EEA-A859-9B5ADE6C6B76}" srcOrd="0" destOrd="0" presId="urn:microsoft.com/office/officeart/2005/8/layout/hierarchy2"/>
    <dgm:cxn modelId="{50F2BB7D-700D-49E0-A9E0-636155025DD4}" type="presParOf" srcId="{BAFB107A-555B-4AA3-86DB-C2F8CF3FE36A}" destId="{6594B1A2-47FB-4442-83C7-0AA10F72E2D4}" srcOrd="1" destOrd="0" presId="urn:microsoft.com/office/officeart/2005/8/layout/hierarchy2"/>
    <dgm:cxn modelId="{E832973A-D899-4D00-9996-993561889E05}" type="presParOf" srcId="{6594B1A2-47FB-4442-83C7-0AA10F72E2D4}" destId="{4C15D4A3-A869-4F06-9CFD-47813AD6F740}" srcOrd="0" destOrd="0" presId="urn:microsoft.com/office/officeart/2005/8/layout/hierarchy2"/>
    <dgm:cxn modelId="{0E2A3CDF-0B7F-4D74-BE64-F66198D2B5DF}" type="presParOf" srcId="{6594B1A2-47FB-4442-83C7-0AA10F72E2D4}" destId="{575BB649-FAAB-400B-85D1-BD18101B2482}" srcOrd="1" destOrd="0" presId="urn:microsoft.com/office/officeart/2005/8/layout/hierarchy2"/>
    <dgm:cxn modelId="{A24A5DBD-2DFC-403E-84AD-C1A3EF91DF01}" type="presParOf" srcId="{575BB649-FAAB-400B-85D1-BD18101B2482}" destId="{59163E01-46FD-439E-8F91-7B86E82C3385}" srcOrd="0" destOrd="0" presId="urn:microsoft.com/office/officeart/2005/8/layout/hierarchy2"/>
    <dgm:cxn modelId="{D41D967A-1F55-4E52-9C56-F800F038C193}" type="presParOf" srcId="{59163E01-46FD-439E-8F91-7B86E82C3385}" destId="{59C85A04-35C5-485B-B67A-C312BE899B0B}" srcOrd="0" destOrd="0" presId="urn:microsoft.com/office/officeart/2005/8/layout/hierarchy2"/>
    <dgm:cxn modelId="{EF8E56DF-E6FD-4012-9A64-BCED138A9D9C}" type="presParOf" srcId="{575BB649-FAAB-400B-85D1-BD18101B2482}" destId="{C05C4E1F-70AD-426B-A198-5023BE0DA59D}" srcOrd="1" destOrd="0" presId="urn:microsoft.com/office/officeart/2005/8/layout/hierarchy2"/>
    <dgm:cxn modelId="{8AC6847D-7B20-407B-BAD4-53F67E1A8B53}" type="presParOf" srcId="{C05C4E1F-70AD-426B-A198-5023BE0DA59D}" destId="{201B60AD-FCDA-4CAF-8516-64DBB5900E48}" srcOrd="0" destOrd="0" presId="urn:microsoft.com/office/officeart/2005/8/layout/hierarchy2"/>
    <dgm:cxn modelId="{3E77C53E-B598-4A63-945D-5A6EA21D977A}" type="presParOf" srcId="{C05C4E1F-70AD-426B-A198-5023BE0DA59D}" destId="{EF3C1BAA-9F78-4F70-91D1-AA26920335C8}" srcOrd="1" destOrd="0" presId="urn:microsoft.com/office/officeart/2005/8/layout/hierarchy2"/>
    <dgm:cxn modelId="{705562F1-5B6E-44EA-A1A8-042BBE858387}" type="presParOf" srcId="{BAFB107A-555B-4AA3-86DB-C2F8CF3FE36A}" destId="{B2A8D838-0714-483E-A228-2509FAEEFF7C}" srcOrd="2" destOrd="0" presId="urn:microsoft.com/office/officeart/2005/8/layout/hierarchy2"/>
    <dgm:cxn modelId="{C57FAD8F-60B1-4DCC-A61D-21122D441FC6}" type="presParOf" srcId="{B2A8D838-0714-483E-A228-2509FAEEFF7C}" destId="{972098BA-1F20-4F12-9CF9-CFD556E22D59}" srcOrd="0" destOrd="0" presId="urn:microsoft.com/office/officeart/2005/8/layout/hierarchy2"/>
    <dgm:cxn modelId="{6E897B4E-99B0-4A2A-B536-7B5D6F8D043A}" type="presParOf" srcId="{BAFB107A-555B-4AA3-86DB-C2F8CF3FE36A}" destId="{9121B9A8-3C00-4893-B33C-818663E06739}" srcOrd="3" destOrd="0" presId="urn:microsoft.com/office/officeart/2005/8/layout/hierarchy2"/>
    <dgm:cxn modelId="{75E49E93-E47E-4DD3-9459-1F087BDEFCEC}" type="presParOf" srcId="{9121B9A8-3C00-4893-B33C-818663E06739}" destId="{8E992E8C-E24B-4805-A5CD-7238D0D73CDE}" srcOrd="0" destOrd="0" presId="urn:microsoft.com/office/officeart/2005/8/layout/hierarchy2"/>
    <dgm:cxn modelId="{7796866B-4658-4A4C-8426-A9926862EEBB}" type="presParOf" srcId="{9121B9A8-3C00-4893-B33C-818663E06739}" destId="{7115963D-0877-463E-BDBC-1D6001DDDFAB}" srcOrd="1" destOrd="0" presId="urn:microsoft.com/office/officeart/2005/8/layout/hierarchy2"/>
    <dgm:cxn modelId="{9A7EF859-F2D1-434B-8A3A-CA5404D04757}" type="presParOf" srcId="{7115963D-0877-463E-BDBC-1D6001DDDFAB}" destId="{233B8C2D-2534-4468-A7FE-959241544656}" srcOrd="0" destOrd="0" presId="urn:microsoft.com/office/officeart/2005/8/layout/hierarchy2"/>
    <dgm:cxn modelId="{A75AFDE1-5BEB-491E-AA45-C51536C81671}" type="presParOf" srcId="{233B8C2D-2534-4468-A7FE-959241544656}" destId="{20AB9086-6632-44FB-BF79-0696B5383075}" srcOrd="0" destOrd="0" presId="urn:microsoft.com/office/officeart/2005/8/layout/hierarchy2"/>
    <dgm:cxn modelId="{404C6016-8090-4B51-9801-B60B524E11AE}" type="presParOf" srcId="{7115963D-0877-463E-BDBC-1D6001DDDFAB}" destId="{0DA52EF8-EF71-4DF4-B0FE-6906C73B08DE}" srcOrd="1" destOrd="0" presId="urn:microsoft.com/office/officeart/2005/8/layout/hierarchy2"/>
    <dgm:cxn modelId="{1F7EB935-A8F7-423C-A3C7-7741B3A8A013}" type="presParOf" srcId="{0DA52EF8-EF71-4DF4-B0FE-6906C73B08DE}" destId="{64FA28B5-727D-44E9-9130-EB81D6CD0558}" srcOrd="0" destOrd="0" presId="urn:microsoft.com/office/officeart/2005/8/layout/hierarchy2"/>
    <dgm:cxn modelId="{DCA74470-36E8-4942-800F-7357ECE4C3AD}" type="presParOf" srcId="{0DA52EF8-EF71-4DF4-B0FE-6906C73B08DE}" destId="{D4761EC8-6295-4DEB-8B15-C3F497B411BE}" srcOrd="1" destOrd="0" presId="urn:microsoft.com/office/officeart/2005/8/layout/hierarchy2"/>
  </dgm:cxnLst>
  <dgm:bg/>
  <dgm:whole>
    <a:ln>
      <a:noFill/>
    </a:ln>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00CB2FA-0F4F-44A8-A960-91A372DA159E}" type="doc">
      <dgm:prSet loTypeId="urn:microsoft.com/office/officeart/2005/8/layout/hierarchy2" loCatId="hierarchy" qsTypeId="urn:microsoft.com/office/officeart/2005/8/quickstyle/simple2" qsCatId="simple" csTypeId="urn:microsoft.com/office/officeart/2005/8/colors/accent1_2" csCatId="accent1" phldr="1"/>
      <dgm:spPr/>
      <dgm:t>
        <a:bodyPr/>
        <a:lstStyle/>
        <a:p>
          <a:endParaRPr lang="en-AU"/>
        </a:p>
      </dgm:t>
    </dgm:pt>
    <dgm:pt modelId="{17B50872-6D0E-44B6-B79E-FC3430098655}">
      <dgm:prSet phldrT="[Text]" custT="1"/>
      <dgm:spPr/>
      <dgm:t>
        <a:bodyPr/>
        <a:lstStyle/>
        <a:p>
          <a:r>
            <a:rPr lang="en-AU" sz="1100"/>
            <a:t>CHS Staff Specialist Leave Cover in the same specialty</a:t>
          </a:r>
          <a:endParaRPr lang="en-AU" sz="1100" b="1"/>
        </a:p>
      </dgm:t>
    </dgm:pt>
    <dgm:pt modelId="{6B0BA177-BA5A-4739-92CF-F2A769AB7D11}" type="parTrans" cxnId="{9313824D-4F4F-44EB-BD00-E534D3D5D167}">
      <dgm:prSet/>
      <dgm:spPr/>
      <dgm:t>
        <a:bodyPr/>
        <a:lstStyle/>
        <a:p>
          <a:endParaRPr lang="en-AU"/>
        </a:p>
      </dgm:t>
    </dgm:pt>
    <dgm:pt modelId="{7292AA3D-2E56-48DB-BEE4-4A836C7C8763}" type="sibTrans" cxnId="{9313824D-4F4F-44EB-BD00-E534D3D5D167}">
      <dgm:prSet/>
      <dgm:spPr/>
      <dgm:t>
        <a:bodyPr/>
        <a:lstStyle/>
        <a:p>
          <a:endParaRPr lang="en-AU"/>
        </a:p>
      </dgm:t>
    </dgm:pt>
    <dgm:pt modelId="{B2D2C9F9-DC29-45C9-95DB-8D432C489051}" type="asst">
      <dgm:prSet phldrT="[Text]" custT="1"/>
      <dgm:spPr/>
      <dgm:t>
        <a:bodyPr/>
        <a:lstStyle/>
        <a:p>
          <a:r>
            <a:rPr lang="en-AU" sz="1100"/>
            <a:t>Does the patient  have a valid referral for the regular Staff Specialists?</a:t>
          </a:r>
        </a:p>
      </dgm:t>
    </dgm:pt>
    <dgm:pt modelId="{53679021-BAB5-4FB8-AA9E-7196CAC193B4}" type="parTrans" cxnId="{595EC2AE-3AA6-44E3-A54C-2CC987D86F7C}">
      <dgm:prSet/>
      <dgm:spPr/>
      <dgm:t>
        <a:bodyPr/>
        <a:lstStyle/>
        <a:p>
          <a:endParaRPr lang="en-AU"/>
        </a:p>
      </dgm:t>
    </dgm:pt>
    <dgm:pt modelId="{695C61DD-4213-4913-82E7-AA9EB120AC5E}" type="sibTrans" cxnId="{595EC2AE-3AA6-44E3-A54C-2CC987D86F7C}">
      <dgm:prSet/>
      <dgm:spPr/>
      <dgm:t>
        <a:bodyPr/>
        <a:lstStyle/>
        <a:p>
          <a:endParaRPr lang="en-AU"/>
        </a:p>
      </dgm:t>
    </dgm:pt>
    <dgm:pt modelId="{AEB6CE63-F543-4577-9789-AD1BD596F393}">
      <dgm:prSet custT="1"/>
      <dgm:spPr/>
      <dgm:t>
        <a:bodyPr/>
        <a:lstStyle/>
        <a:p>
          <a:r>
            <a:rPr lang="en-AU" sz="1100"/>
            <a:t>YES</a:t>
          </a:r>
        </a:p>
      </dgm:t>
    </dgm:pt>
    <dgm:pt modelId="{300D3559-F973-4124-861D-A6A48FE966C5}" type="parTrans" cxnId="{E8A0A90F-A54D-4672-BD2D-47A903071E47}">
      <dgm:prSet/>
      <dgm:spPr/>
      <dgm:t>
        <a:bodyPr/>
        <a:lstStyle/>
        <a:p>
          <a:endParaRPr lang="en-AU"/>
        </a:p>
      </dgm:t>
    </dgm:pt>
    <dgm:pt modelId="{038F6E69-4373-4B13-B6D1-7CE9886F18FE}" type="sibTrans" cxnId="{E8A0A90F-A54D-4672-BD2D-47A903071E47}">
      <dgm:prSet/>
      <dgm:spPr/>
      <dgm:t>
        <a:bodyPr/>
        <a:lstStyle/>
        <a:p>
          <a:endParaRPr lang="en-AU"/>
        </a:p>
      </dgm:t>
    </dgm:pt>
    <dgm:pt modelId="{B911B8CD-84AB-4411-9599-DE6C07200228}">
      <dgm:prSet custT="1"/>
      <dgm:spPr/>
      <dgm:t>
        <a:bodyPr/>
        <a:lstStyle/>
        <a:p>
          <a:r>
            <a:rPr lang="en-AU" sz="1100"/>
            <a:t>NO</a:t>
          </a:r>
        </a:p>
      </dgm:t>
    </dgm:pt>
    <dgm:pt modelId="{B1CB975D-918C-4C68-A7CF-1035A5BBCD0A}" type="parTrans" cxnId="{D4F692AF-E3AD-4C57-99B8-607A0AB8C1F5}">
      <dgm:prSet/>
      <dgm:spPr/>
      <dgm:t>
        <a:bodyPr/>
        <a:lstStyle/>
        <a:p>
          <a:endParaRPr lang="en-AU"/>
        </a:p>
      </dgm:t>
    </dgm:pt>
    <dgm:pt modelId="{897CE38D-C9FB-41A1-9687-8AF26071B88F}" type="sibTrans" cxnId="{D4F692AF-E3AD-4C57-99B8-607A0AB8C1F5}">
      <dgm:prSet/>
      <dgm:spPr/>
      <dgm:t>
        <a:bodyPr/>
        <a:lstStyle/>
        <a:p>
          <a:endParaRPr lang="en-AU"/>
        </a:p>
      </dgm:t>
    </dgm:pt>
    <dgm:pt modelId="{9E543FFE-B2DC-4D52-B61F-DEF5BC90D171}">
      <dgm:prSet custT="1"/>
      <dgm:spPr/>
      <dgm:t>
        <a:bodyPr/>
        <a:lstStyle/>
        <a:p>
          <a:r>
            <a:rPr lang="en-AU" sz="1100"/>
            <a:t>Bill for Non-referred Item (Outpatient Bulk Bill)</a:t>
          </a:r>
        </a:p>
        <a:p>
          <a:r>
            <a:rPr lang="en-AU" sz="1100"/>
            <a:t>Referral Type in DHR should be Self Referral and please note in the comments</a:t>
          </a:r>
        </a:p>
        <a:p>
          <a:r>
            <a:rPr lang="en-AU" sz="1100"/>
            <a:t>'Leave cover - non-referred item'</a:t>
          </a:r>
        </a:p>
      </dgm:t>
    </dgm:pt>
    <dgm:pt modelId="{9B40965F-480C-476D-8F31-912261464B2D}" type="parTrans" cxnId="{0C4D1963-736B-4236-85B7-A22A5C0599A2}">
      <dgm:prSet/>
      <dgm:spPr/>
      <dgm:t>
        <a:bodyPr/>
        <a:lstStyle/>
        <a:p>
          <a:endParaRPr lang="en-AU"/>
        </a:p>
      </dgm:t>
    </dgm:pt>
    <dgm:pt modelId="{6FB1B59D-3F2E-4AAA-ADD0-FD889A5612F0}" type="sibTrans" cxnId="{0C4D1963-736B-4236-85B7-A22A5C0599A2}">
      <dgm:prSet/>
      <dgm:spPr/>
      <dgm:t>
        <a:bodyPr/>
        <a:lstStyle/>
        <a:p>
          <a:endParaRPr lang="en-AU"/>
        </a:p>
      </dgm:t>
    </dgm:pt>
    <dgm:pt modelId="{D9726B5C-5270-43B3-9C11-523D68F5E92E}">
      <dgm:prSet custT="1"/>
      <dgm:spPr/>
      <dgm:t>
        <a:bodyPr/>
        <a:lstStyle/>
        <a:p>
          <a:r>
            <a:rPr lang="en-AU" sz="1100"/>
            <a:t>No Billing </a:t>
          </a:r>
        </a:p>
        <a:p>
          <a:r>
            <a:rPr lang="en-AU" sz="1100"/>
            <a:t>(Public Patient - Public</a:t>
          </a:r>
          <a:r>
            <a:rPr lang="en-AU" sz="900"/>
            <a:t>)</a:t>
          </a:r>
        </a:p>
      </dgm:t>
    </dgm:pt>
    <dgm:pt modelId="{ACEFAC22-846C-4C96-98A8-1D8A51617FF6}" type="parTrans" cxnId="{1EACC632-1170-4DD3-8161-CFE993ABA584}">
      <dgm:prSet/>
      <dgm:spPr/>
      <dgm:t>
        <a:bodyPr/>
        <a:lstStyle/>
        <a:p>
          <a:endParaRPr lang="en-AU"/>
        </a:p>
      </dgm:t>
    </dgm:pt>
    <dgm:pt modelId="{F5B239BA-28EC-46CF-A0DD-B79B4555BBC8}" type="sibTrans" cxnId="{1EACC632-1170-4DD3-8161-CFE993ABA584}">
      <dgm:prSet/>
      <dgm:spPr/>
      <dgm:t>
        <a:bodyPr/>
        <a:lstStyle/>
        <a:p>
          <a:endParaRPr lang="en-AU"/>
        </a:p>
      </dgm:t>
    </dgm:pt>
    <dgm:pt modelId="{44BA06B0-59C9-4D83-B449-41F142417990}" type="pres">
      <dgm:prSet presAssocID="{000CB2FA-0F4F-44A8-A960-91A372DA159E}" presName="diagram" presStyleCnt="0">
        <dgm:presLayoutVars>
          <dgm:chPref val="1"/>
          <dgm:dir/>
          <dgm:animOne val="branch"/>
          <dgm:animLvl val="lvl"/>
          <dgm:resizeHandles val="exact"/>
        </dgm:presLayoutVars>
      </dgm:prSet>
      <dgm:spPr/>
    </dgm:pt>
    <dgm:pt modelId="{1ECD172F-7B22-49FA-988E-5352263AEBFF}" type="pres">
      <dgm:prSet presAssocID="{17B50872-6D0E-44B6-B79E-FC3430098655}" presName="root1" presStyleCnt="0"/>
      <dgm:spPr/>
    </dgm:pt>
    <dgm:pt modelId="{4491ABD7-95A7-475F-B377-1F1CC8A9C703}" type="pres">
      <dgm:prSet presAssocID="{17B50872-6D0E-44B6-B79E-FC3430098655}" presName="LevelOneTextNode" presStyleLbl="node0" presStyleIdx="0" presStyleCnt="1" custScaleX="76597" custScaleY="251996" custLinFactNeighborX="5699">
        <dgm:presLayoutVars>
          <dgm:chPref val="3"/>
        </dgm:presLayoutVars>
      </dgm:prSet>
      <dgm:spPr/>
    </dgm:pt>
    <dgm:pt modelId="{0B485C1C-DCB1-4A57-9E02-15E39BCE1E78}" type="pres">
      <dgm:prSet presAssocID="{17B50872-6D0E-44B6-B79E-FC3430098655}" presName="level2hierChild" presStyleCnt="0"/>
      <dgm:spPr/>
    </dgm:pt>
    <dgm:pt modelId="{6956A8F3-E8B1-4C0F-B705-8D267EABE5EE}" type="pres">
      <dgm:prSet presAssocID="{53679021-BAB5-4FB8-AA9E-7196CAC193B4}" presName="conn2-1" presStyleLbl="parChTrans1D2" presStyleIdx="0" presStyleCnt="1"/>
      <dgm:spPr/>
    </dgm:pt>
    <dgm:pt modelId="{BA1088E0-B3F6-4FD0-B19E-F1D54E22CE36}" type="pres">
      <dgm:prSet presAssocID="{53679021-BAB5-4FB8-AA9E-7196CAC193B4}" presName="connTx" presStyleLbl="parChTrans1D2" presStyleIdx="0" presStyleCnt="1"/>
      <dgm:spPr/>
    </dgm:pt>
    <dgm:pt modelId="{D6274DAC-3312-4164-B194-E9D7D3E0EB40}" type="pres">
      <dgm:prSet presAssocID="{B2D2C9F9-DC29-45C9-95DB-8D432C489051}" presName="root2" presStyleCnt="0"/>
      <dgm:spPr/>
    </dgm:pt>
    <dgm:pt modelId="{0ABF2B70-FE89-42F1-8609-DFE7656462B9}" type="pres">
      <dgm:prSet presAssocID="{B2D2C9F9-DC29-45C9-95DB-8D432C489051}" presName="LevelTwoTextNode" presStyleLbl="asst1" presStyleIdx="0" presStyleCnt="1" custScaleX="88365" custScaleY="211897" custLinFactNeighborX="-11033">
        <dgm:presLayoutVars>
          <dgm:chPref val="3"/>
        </dgm:presLayoutVars>
      </dgm:prSet>
      <dgm:spPr/>
    </dgm:pt>
    <dgm:pt modelId="{BAFB107A-555B-4AA3-86DB-C2F8CF3FE36A}" type="pres">
      <dgm:prSet presAssocID="{B2D2C9F9-DC29-45C9-95DB-8D432C489051}" presName="level3hierChild" presStyleCnt="0"/>
      <dgm:spPr/>
    </dgm:pt>
    <dgm:pt modelId="{71EA909D-5477-4FB7-8FB4-03B02211F8D4}" type="pres">
      <dgm:prSet presAssocID="{300D3559-F973-4124-861D-A6A48FE966C5}" presName="conn2-1" presStyleLbl="parChTrans1D3" presStyleIdx="0" presStyleCnt="2"/>
      <dgm:spPr/>
    </dgm:pt>
    <dgm:pt modelId="{B05BB4C9-4FF9-4EEA-A859-9B5ADE6C6B76}" type="pres">
      <dgm:prSet presAssocID="{300D3559-F973-4124-861D-A6A48FE966C5}" presName="connTx" presStyleLbl="parChTrans1D3" presStyleIdx="0" presStyleCnt="2"/>
      <dgm:spPr/>
    </dgm:pt>
    <dgm:pt modelId="{6594B1A2-47FB-4442-83C7-0AA10F72E2D4}" type="pres">
      <dgm:prSet presAssocID="{AEB6CE63-F543-4577-9789-AD1BD596F393}" presName="root2" presStyleCnt="0"/>
      <dgm:spPr/>
    </dgm:pt>
    <dgm:pt modelId="{4C15D4A3-A869-4F06-9CFD-47813AD6F740}" type="pres">
      <dgm:prSet presAssocID="{AEB6CE63-F543-4577-9789-AD1BD596F393}" presName="LevelTwoTextNode" presStyleLbl="node3" presStyleIdx="0" presStyleCnt="2" custScaleX="38516" custScaleY="52598" custLinFactNeighborX="-13627" custLinFactNeighborY="-1346">
        <dgm:presLayoutVars>
          <dgm:chPref val="3"/>
        </dgm:presLayoutVars>
      </dgm:prSet>
      <dgm:spPr/>
    </dgm:pt>
    <dgm:pt modelId="{575BB649-FAAB-400B-85D1-BD18101B2482}" type="pres">
      <dgm:prSet presAssocID="{AEB6CE63-F543-4577-9789-AD1BD596F393}" presName="level3hierChild" presStyleCnt="0"/>
      <dgm:spPr/>
    </dgm:pt>
    <dgm:pt modelId="{59163E01-46FD-439E-8F91-7B86E82C3385}" type="pres">
      <dgm:prSet presAssocID="{9B40965F-480C-476D-8F31-912261464B2D}" presName="conn2-1" presStyleLbl="parChTrans1D4" presStyleIdx="0" presStyleCnt="2"/>
      <dgm:spPr/>
    </dgm:pt>
    <dgm:pt modelId="{59C85A04-35C5-485B-B67A-C312BE899B0B}" type="pres">
      <dgm:prSet presAssocID="{9B40965F-480C-476D-8F31-912261464B2D}" presName="connTx" presStyleLbl="parChTrans1D4" presStyleIdx="0" presStyleCnt="2"/>
      <dgm:spPr/>
    </dgm:pt>
    <dgm:pt modelId="{C05C4E1F-70AD-426B-A198-5023BE0DA59D}" type="pres">
      <dgm:prSet presAssocID="{9E543FFE-B2DC-4D52-B61F-DEF5BC90D171}" presName="root2" presStyleCnt="0"/>
      <dgm:spPr/>
    </dgm:pt>
    <dgm:pt modelId="{201B60AD-FCDA-4CAF-8516-64DBB5900E48}" type="pres">
      <dgm:prSet presAssocID="{9E543FFE-B2DC-4D52-B61F-DEF5BC90D171}" presName="LevelTwoTextNode" presStyleLbl="node4" presStyleIdx="0" presStyleCnt="2" custScaleX="297109" custScaleY="167605" custLinFactNeighborX="-29170" custLinFactNeighborY="-63">
        <dgm:presLayoutVars>
          <dgm:chPref val="3"/>
        </dgm:presLayoutVars>
      </dgm:prSet>
      <dgm:spPr/>
    </dgm:pt>
    <dgm:pt modelId="{EF3C1BAA-9F78-4F70-91D1-AA26920335C8}" type="pres">
      <dgm:prSet presAssocID="{9E543FFE-B2DC-4D52-B61F-DEF5BC90D171}" presName="level3hierChild" presStyleCnt="0"/>
      <dgm:spPr/>
    </dgm:pt>
    <dgm:pt modelId="{B2A8D838-0714-483E-A228-2509FAEEFF7C}" type="pres">
      <dgm:prSet presAssocID="{B1CB975D-918C-4C68-A7CF-1035A5BBCD0A}" presName="conn2-1" presStyleLbl="parChTrans1D3" presStyleIdx="1" presStyleCnt="2"/>
      <dgm:spPr/>
    </dgm:pt>
    <dgm:pt modelId="{972098BA-1F20-4F12-9CF9-CFD556E22D59}" type="pres">
      <dgm:prSet presAssocID="{B1CB975D-918C-4C68-A7CF-1035A5BBCD0A}" presName="connTx" presStyleLbl="parChTrans1D3" presStyleIdx="1" presStyleCnt="2"/>
      <dgm:spPr/>
    </dgm:pt>
    <dgm:pt modelId="{9121B9A8-3C00-4893-B33C-818663E06739}" type="pres">
      <dgm:prSet presAssocID="{B911B8CD-84AB-4411-9599-DE6C07200228}" presName="root2" presStyleCnt="0"/>
      <dgm:spPr/>
    </dgm:pt>
    <dgm:pt modelId="{8E992E8C-E24B-4805-A5CD-7238D0D73CDE}" type="pres">
      <dgm:prSet presAssocID="{B911B8CD-84AB-4411-9599-DE6C07200228}" presName="LevelTwoTextNode" presStyleLbl="node3" presStyleIdx="1" presStyleCnt="2" custScaleX="38939" custScaleY="50583" custLinFactNeighborX="-12153" custLinFactNeighborY="159">
        <dgm:presLayoutVars>
          <dgm:chPref val="3"/>
        </dgm:presLayoutVars>
      </dgm:prSet>
      <dgm:spPr/>
    </dgm:pt>
    <dgm:pt modelId="{7115963D-0877-463E-BDBC-1D6001DDDFAB}" type="pres">
      <dgm:prSet presAssocID="{B911B8CD-84AB-4411-9599-DE6C07200228}" presName="level3hierChild" presStyleCnt="0"/>
      <dgm:spPr/>
    </dgm:pt>
    <dgm:pt modelId="{233B8C2D-2534-4468-A7FE-959241544656}" type="pres">
      <dgm:prSet presAssocID="{ACEFAC22-846C-4C96-98A8-1D8A51617FF6}" presName="conn2-1" presStyleLbl="parChTrans1D4" presStyleIdx="1" presStyleCnt="2"/>
      <dgm:spPr/>
    </dgm:pt>
    <dgm:pt modelId="{20AB9086-6632-44FB-BF79-0696B5383075}" type="pres">
      <dgm:prSet presAssocID="{ACEFAC22-846C-4C96-98A8-1D8A51617FF6}" presName="connTx" presStyleLbl="parChTrans1D4" presStyleIdx="1" presStyleCnt="2"/>
      <dgm:spPr/>
    </dgm:pt>
    <dgm:pt modelId="{0DA52EF8-EF71-4DF4-B0FE-6906C73B08DE}" type="pres">
      <dgm:prSet presAssocID="{D9726B5C-5270-43B3-9C11-523D68F5E92E}" presName="root2" presStyleCnt="0"/>
      <dgm:spPr/>
    </dgm:pt>
    <dgm:pt modelId="{64FA28B5-727D-44E9-9130-EB81D6CD0558}" type="pres">
      <dgm:prSet presAssocID="{D9726B5C-5270-43B3-9C11-523D68F5E92E}" presName="LevelTwoTextNode" presStyleLbl="node4" presStyleIdx="1" presStyleCnt="2" custLinFactNeighborX="-28562" custLinFactNeighborY="63">
        <dgm:presLayoutVars>
          <dgm:chPref val="3"/>
        </dgm:presLayoutVars>
      </dgm:prSet>
      <dgm:spPr/>
    </dgm:pt>
    <dgm:pt modelId="{D4761EC8-6295-4DEB-8B15-C3F497B411BE}" type="pres">
      <dgm:prSet presAssocID="{D9726B5C-5270-43B3-9C11-523D68F5E92E}" presName="level3hierChild" presStyleCnt="0"/>
      <dgm:spPr/>
    </dgm:pt>
  </dgm:ptLst>
  <dgm:cxnLst>
    <dgm:cxn modelId="{EC7A4C0F-228A-493A-A1DB-2ADE1CB84BA5}" type="presOf" srcId="{53679021-BAB5-4FB8-AA9E-7196CAC193B4}" destId="{BA1088E0-B3F6-4FD0-B19E-F1D54E22CE36}" srcOrd="1" destOrd="0" presId="urn:microsoft.com/office/officeart/2005/8/layout/hierarchy2"/>
    <dgm:cxn modelId="{E8A0A90F-A54D-4672-BD2D-47A903071E47}" srcId="{B2D2C9F9-DC29-45C9-95DB-8D432C489051}" destId="{AEB6CE63-F543-4577-9789-AD1BD596F393}" srcOrd="0" destOrd="0" parTransId="{300D3559-F973-4124-861D-A6A48FE966C5}" sibTransId="{038F6E69-4373-4B13-B6D1-7CE9886F18FE}"/>
    <dgm:cxn modelId="{05D9F521-5569-4D0D-BF93-5DED7E1B088F}" type="presOf" srcId="{17B50872-6D0E-44B6-B79E-FC3430098655}" destId="{4491ABD7-95A7-475F-B377-1F1CC8A9C703}" srcOrd="0" destOrd="0" presId="urn:microsoft.com/office/officeart/2005/8/layout/hierarchy2"/>
    <dgm:cxn modelId="{C34CE929-0EAB-471D-ADE7-81BACC8FC004}" type="presOf" srcId="{B911B8CD-84AB-4411-9599-DE6C07200228}" destId="{8E992E8C-E24B-4805-A5CD-7238D0D73CDE}" srcOrd="0" destOrd="0" presId="urn:microsoft.com/office/officeart/2005/8/layout/hierarchy2"/>
    <dgm:cxn modelId="{B76A4E2E-942B-403C-AB36-57330BE3E694}" type="presOf" srcId="{B2D2C9F9-DC29-45C9-95DB-8D432C489051}" destId="{0ABF2B70-FE89-42F1-8609-DFE7656462B9}" srcOrd="0" destOrd="0" presId="urn:microsoft.com/office/officeart/2005/8/layout/hierarchy2"/>
    <dgm:cxn modelId="{1EACC632-1170-4DD3-8161-CFE993ABA584}" srcId="{B911B8CD-84AB-4411-9599-DE6C07200228}" destId="{D9726B5C-5270-43B3-9C11-523D68F5E92E}" srcOrd="0" destOrd="0" parTransId="{ACEFAC22-846C-4C96-98A8-1D8A51617FF6}" sibTransId="{F5B239BA-28EC-46CF-A0DD-B79B4555BBC8}"/>
    <dgm:cxn modelId="{7048D95C-B769-4E28-8F56-07FB64CBE9F9}" type="presOf" srcId="{300D3559-F973-4124-861D-A6A48FE966C5}" destId="{71EA909D-5477-4FB7-8FB4-03B02211F8D4}" srcOrd="0" destOrd="0" presId="urn:microsoft.com/office/officeart/2005/8/layout/hierarchy2"/>
    <dgm:cxn modelId="{6D500A5F-01CB-4534-81BA-A5F965A3C0B2}" type="presOf" srcId="{ACEFAC22-846C-4C96-98A8-1D8A51617FF6}" destId="{233B8C2D-2534-4468-A7FE-959241544656}" srcOrd="0" destOrd="0" presId="urn:microsoft.com/office/officeart/2005/8/layout/hierarchy2"/>
    <dgm:cxn modelId="{AC82AE62-C496-4014-9861-EA3CF1DB0969}" type="presOf" srcId="{B1CB975D-918C-4C68-A7CF-1035A5BBCD0A}" destId="{B2A8D838-0714-483E-A228-2509FAEEFF7C}" srcOrd="0" destOrd="0" presId="urn:microsoft.com/office/officeart/2005/8/layout/hierarchy2"/>
    <dgm:cxn modelId="{0C4D1963-736B-4236-85B7-A22A5C0599A2}" srcId="{AEB6CE63-F543-4577-9789-AD1BD596F393}" destId="{9E543FFE-B2DC-4D52-B61F-DEF5BC90D171}" srcOrd="0" destOrd="0" parTransId="{9B40965F-480C-476D-8F31-912261464B2D}" sibTransId="{6FB1B59D-3F2E-4AAA-ADD0-FD889A5612F0}"/>
    <dgm:cxn modelId="{FA3C3F45-8F99-4B91-808B-F9DFF8AC0074}" type="presOf" srcId="{53679021-BAB5-4FB8-AA9E-7196CAC193B4}" destId="{6956A8F3-E8B1-4C0F-B705-8D267EABE5EE}" srcOrd="0" destOrd="0" presId="urn:microsoft.com/office/officeart/2005/8/layout/hierarchy2"/>
    <dgm:cxn modelId="{9313824D-4F4F-44EB-BD00-E534D3D5D167}" srcId="{000CB2FA-0F4F-44A8-A960-91A372DA159E}" destId="{17B50872-6D0E-44B6-B79E-FC3430098655}" srcOrd="0" destOrd="0" parTransId="{6B0BA177-BA5A-4739-92CF-F2A769AB7D11}" sibTransId="{7292AA3D-2E56-48DB-BEE4-4A836C7C8763}"/>
    <dgm:cxn modelId="{5C919596-55B7-44EF-A471-B1F18D7FB813}" type="presOf" srcId="{9E543FFE-B2DC-4D52-B61F-DEF5BC90D171}" destId="{201B60AD-FCDA-4CAF-8516-64DBB5900E48}" srcOrd="0" destOrd="0" presId="urn:microsoft.com/office/officeart/2005/8/layout/hierarchy2"/>
    <dgm:cxn modelId="{4FD081A0-533F-4DBF-AEE1-1A4E6ADE8E39}" type="presOf" srcId="{000CB2FA-0F4F-44A8-A960-91A372DA159E}" destId="{44BA06B0-59C9-4D83-B449-41F142417990}" srcOrd="0" destOrd="0" presId="urn:microsoft.com/office/officeart/2005/8/layout/hierarchy2"/>
    <dgm:cxn modelId="{1FEA42AA-3C5E-46F7-9CBC-67FE9480776A}" type="presOf" srcId="{B1CB975D-918C-4C68-A7CF-1035A5BBCD0A}" destId="{972098BA-1F20-4F12-9CF9-CFD556E22D59}" srcOrd="1" destOrd="0" presId="urn:microsoft.com/office/officeart/2005/8/layout/hierarchy2"/>
    <dgm:cxn modelId="{A81888AB-3F32-4CB9-A8DE-62CA05C4BA7C}" type="presOf" srcId="{300D3559-F973-4124-861D-A6A48FE966C5}" destId="{B05BB4C9-4FF9-4EEA-A859-9B5ADE6C6B76}" srcOrd="1" destOrd="0" presId="urn:microsoft.com/office/officeart/2005/8/layout/hierarchy2"/>
    <dgm:cxn modelId="{595EC2AE-3AA6-44E3-A54C-2CC987D86F7C}" srcId="{17B50872-6D0E-44B6-B79E-FC3430098655}" destId="{B2D2C9F9-DC29-45C9-95DB-8D432C489051}" srcOrd="0" destOrd="0" parTransId="{53679021-BAB5-4FB8-AA9E-7196CAC193B4}" sibTransId="{695C61DD-4213-4913-82E7-AA9EB120AC5E}"/>
    <dgm:cxn modelId="{D4F692AF-E3AD-4C57-99B8-607A0AB8C1F5}" srcId="{B2D2C9F9-DC29-45C9-95DB-8D432C489051}" destId="{B911B8CD-84AB-4411-9599-DE6C07200228}" srcOrd="1" destOrd="0" parTransId="{B1CB975D-918C-4C68-A7CF-1035A5BBCD0A}" sibTransId="{897CE38D-C9FB-41A1-9687-8AF26071B88F}"/>
    <dgm:cxn modelId="{774270C0-E365-477D-AC95-8028DA14BF40}" type="presOf" srcId="{ACEFAC22-846C-4C96-98A8-1D8A51617FF6}" destId="{20AB9086-6632-44FB-BF79-0696B5383075}" srcOrd="1" destOrd="0" presId="urn:microsoft.com/office/officeart/2005/8/layout/hierarchy2"/>
    <dgm:cxn modelId="{8700A7EF-78EB-4174-87E0-486D9E82A6AF}" type="presOf" srcId="{9B40965F-480C-476D-8F31-912261464B2D}" destId="{59163E01-46FD-439E-8F91-7B86E82C3385}" srcOrd="0" destOrd="0" presId="urn:microsoft.com/office/officeart/2005/8/layout/hierarchy2"/>
    <dgm:cxn modelId="{093EB8F6-489B-4C9B-8027-55A9FF26F3D0}" type="presOf" srcId="{9B40965F-480C-476D-8F31-912261464B2D}" destId="{59C85A04-35C5-485B-B67A-C312BE899B0B}" srcOrd="1" destOrd="0" presId="urn:microsoft.com/office/officeart/2005/8/layout/hierarchy2"/>
    <dgm:cxn modelId="{5C649EF7-4849-4753-8E3C-D48DF7D6189D}" type="presOf" srcId="{D9726B5C-5270-43B3-9C11-523D68F5E92E}" destId="{64FA28B5-727D-44E9-9130-EB81D6CD0558}" srcOrd="0" destOrd="0" presId="urn:microsoft.com/office/officeart/2005/8/layout/hierarchy2"/>
    <dgm:cxn modelId="{F9E38CD8-3530-4BD7-9198-5FCEEE607992}" type="presOf" srcId="{AEB6CE63-F543-4577-9789-AD1BD596F393}" destId="{4C15D4A3-A869-4F06-9CFD-47813AD6F740}" srcOrd="0" destOrd="0" presId="urn:microsoft.com/office/officeart/2005/8/layout/hierarchy2"/>
    <dgm:cxn modelId="{4B681F87-2C48-454D-980A-8847CE3D3AAB}" type="presParOf" srcId="{44BA06B0-59C9-4D83-B449-41F142417990}" destId="{1ECD172F-7B22-49FA-988E-5352263AEBFF}" srcOrd="0" destOrd="0" presId="urn:microsoft.com/office/officeart/2005/8/layout/hierarchy2"/>
    <dgm:cxn modelId="{F16C3A4E-D145-4BC3-90F4-078E884B2453}" type="presParOf" srcId="{1ECD172F-7B22-49FA-988E-5352263AEBFF}" destId="{4491ABD7-95A7-475F-B377-1F1CC8A9C703}" srcOrd="0" destOrd="0" presId="urn:microsoft.com/office/officeart/2005/8/layout/hierarchy2"/>
    <dgm:cxn modelId="{A50BE9B2-CCCC-431A-AAD0-5FC0225FFE2A}" type="presParOf" srcId="{1ECD172F-7B22-49FA-988E-5352263AEBFF}" destId="{0B485C1C-DCB1-4A57-9E02-15E39BCE1E78}" srcOrd="1" destOrd="0" presId="urn:microsoft.com/office/officeart/2005/8/layout/hierarchy2"/>
    <dgm:cxn modelId="{62C3A010-D5A1-4C92-B40A-FF2EDA48CBA4}" type="presParOf" srcId="{0B485C1C-DCB1-4A57-9E02-15E39BCE1E78}" destId="{6956A8F3-E8B1-4C0F-B705-8D267EABE5EE}" srcOrd="0" destOrd="0" presId="urn:microsoft.com/office/officeart/2005/8/layout/hierarchy2"/>
    <dgm:cxn modelId="{BB06087F-6D38-4E9C-B335-F91EB5C8A3ED}" type="presParOf" srcId="{6956A8F3-E8B1-4C0F-B705-8D267EABE5EE}" destId="{BA1088E0-B3F6-4FD0-B19E-F1D54E22CE36}" srcOrd="0" destOrd="0" presId="urn:microsoft.com/office/officeart/2005/8/layout/hierarchy2"/>
    <dgm:cxn modelId="{13C9E720-317A-438D-BFAC-ABB7CB860328}" type="presParOf" srcId="{0B485C1C-DCB1-4A57-9E02-15E39BCE1E78}" destId="{D6274DAC-3312-4164-B194-E9D7D3E0EB40}" srcOrd="1" destOrd="0" presId="urn:microsoft.com/office/officeart/2005/8/layout/hierarchy2"/>
    <dgm:cxn modelId="{A84241A9-6ECB-4318-B4AA-86AF69501F29}" type="presParOf" srcId="{D6274DAC-3312-4164-B194-E9D7D3E0EB40}" destId="{0ABF2B70-FE89-42F1-8609-DFE7656462B9}" srcOrd="0" destOrd="0" presId="urn:microsoft.com/office/officeart/2005/8/layout/hierarchy2"/>
    <dgm:cxn modelId="{436FB042-CE22-44B7-A322-857E5269E8AB}" type="presParOf" srcId="{D6274DAC-3312-4164-B194-E9D7D3E0EB40}" destId="{BAFB107A-555B-4AA3-86DB-C2F8CF3FE36A}" srcOrd="1" destOrd="0" presId="urn:microsoft.com/office/officeart/2005/8/layout/hierarchy2"/>
    <dgm:cxn modelId="{DBCCF0F5-A82E-4208-BAE3-D47EA42F1473}" type="presParOf" srcId="{BAFB107A-555B-4AA3-86DB-C2F8CF3FE36A}" destId="{71EA909D-5477-4FB7-8FB4-03B02211F8D4}" srcOrd="0" destOrd="0" presId="urn:microsoft.com/office/officeart/2005/8/layout/hierarchy2"/>
    <dgm:cxn modelId="{494955E1-206C-4AE0-9DAA-4AB3ABFF66C4}" type="presParOf" srcId="{71EA909D-5477-4FB7-8FB4-03B02211F8D4}" destId="{B05BB4C9-4FF9-4EEA-A859-9B5ADE6C6B76}" srcOrd="0" destOrd="0" presId="urn:microsoft.com/office/officeart/2005/8/layout/hierarchy2"/>
    <dgm:cxn modelId="{7202317C-C516-4296-9E9E-627042DD5E59}" type="presParOf" srcId="{BAFB107A-555B-4AA3-86DB-C2F8CF3FE36A}" destId="{6594B1A2-47FB-4442-83C7-0AA10F72E2D4}" srcOrd="1" destOrd="0" presId="urn:microsoft.com/office/officeart/2005/8/layout/hierarchy2"/>
    <dgm:cxn modelId="{0003D93E-3292-454A-9801-260DE99E3149}" type="presParOf" srcId="{6594B1A2-47FB-4442-83C7-0AA10F72E2D4}" destId="{4C15D4A3-A869-4F06-9CFD-47813AD6F740}" srcOrd="0" destOrd="0" presId="urn:microsoft.com/office/officeart/2005/8/layout/hierarchy2"/>
    <dgm:cxn modelId="{79F62BD7-1AB7-450F-86F2-E3D02BBA0E2F}" type="presParOf" srcId="{6594B1A2-47FB-4442-83C7-0AA10F72E2D4}" destId="{575BB649-FAAB-400B-85D1-BD18101B2482}" srcOrd="1" destOrd="0" presId="urn:microsoft.com/office/officeart/2005/8/layout/hierarchy2"/>
    <dgm:cxn modelId="{5406BE2A-D03B-4612-AEBD-87B20C1DDAF2}" type="presParOf" srcId="{575BB649-FAAB-400B-85D1-BD18101B2482}" destId="{59163E01-46FD-439E-8F91-7B86E82C3385}" srcOrd="0" destOrd="0" presId="urn:microsoft.com/office/officeart/2005/8/layout/hierarchy2"/>
    <dgm:cxn modelId="{1971E946-AF84-4779-8C6A-CD1047CD10EF}" type="presParOf" srcId="{59163E01-46FD-439E-8F91-7B86E82C3385}" destId="{59C85A04-35C5-485B-B67A-C312BE899B0B}" srcOrd="0" destOrd="0" presId="urn:microsoft.com/office/officeart/2005/8/layout/hierarchy2"/>
    <dgm:cxn modelId="{2253385F-ABAA-400D-BB80-C4F501CB7AA5}" type="presParOf" srcId="{575BB649-FAAB-400B-85D1-BD18101B2482}" destId="{C05C4E1F-70AD-426B-A198-5023BE0DA59D}" srcOrd="1" destOrd="0" presId="urn:microsoft.com/office/officeart/2005/8/layout/hierarchy2"/>
    <dgm:cxn modelId="{08274F86-5FA0-43D7-855E-0DEB8C472487}" type="presParOf" srcId="{C05C4E1F-70AD-426B-A198-5023BE0DA59D}" destId="{201B60AD-FCDA-4CAF-8516-64DBB5900E48}" srcOrd="0" destOrd="0" presId="urn:microsoft.com/office/officeart/2005/8/layout/hierarchy2"/>
    <dgm:cxn modelId="{95B7F5C3-66E3-422D-AEA1-B855FA1B7EC2}" type="presParOf" srcId="{C05C4E1F-70AD-426B-A198-5023BE0DA59D}" destId="{EF3C1BAA-9F78-4F70-91D1-AA26920335C8}" srcOrd="1" destOrd="0" presId="urn:microsoft.com/office/officeart/2005/8/layout/hierarchy2"/>
    <dgm:cxn modelId="{A01DA485-9C70-4585-A549-AA05D4DA062B}" type="presParOf" srcId="{BAFB107A-555B-4AA3-86DB-C2F8CF3FE36A}" destId="{B2A8D838-0714-483E-A228-2509FAEEFF7C}" srcOrd="2" destOrd="0" presId="urn:microsoft.com/office/officeart/2005/8/layout/hierarchy2"/>
    <dgm:cxn modelId="{583D7D8E-7429-43D7-8BEA-801C1F4F74AF}" type="presParOf" srcId="{B2A8D838-0714-483E-A228-2509FAEEFF7C}" destId="{972098BA-1F20-4F12-9CF9-CFD556E22D59}" srcOrd="0" destOrd="0" presId="urn:microsoft.com/office/officeart/2005/8/layout/hierarchy2"/>
    <dgm:cxn modelId="{210E116B-43B3-477F-B27A-633D89E192B4}" type="presParOf" srcId="{BAFB107A-555B-4AA3-86DB-C2F8CF3FE36A}" destId="{9121B9A8-3C00-4893-B33C-818663E06739}" srcOrd="3" destOrd="0" presId="urn:microsoft.com/office/officeart/2005/8/layout/hierarchy2"/>
    <dgm:cxn modelId="{CCAD435E-B86B-4D5C-A31C-02D542AC2CF6}" type="presParOf" srcId="{9121B9A8-3C00-4893-B33C-818663E06739}" destId="{8E992E8C-E24B-4805-A5CD-7238D0D73CDE}" srcOrd="0" destOrd="0" presId="urn:microsoft.com/office/officeart/2005/8/layout/hierarchy2"/>
    <dgm:cxn modelId="{1723C57E-3FC9-4E52-9571-3FD800B64992}" type="presParOf" srcId="{9121B9A8-3C00-4893-B33C-818663E06739}" destId="{7115963D-0877-463E-BDBC-1D6001DDDFAB}" srcOrd="1" destOrd="0" presId="urn:microsoft.com/office/officeart/2005/8/layout/hierarchy2"/>
    <dgm:cxn modelId="{EC731984-8485-4D00-AA67-DB243A52E449}" type="presParOf" srcId="{7115963D-0877-463E-BDBC-1D6001DDDFAB}" destId="{233B8C2D-2534-4468-A7FE-959241544656}" srcOrd="0" destOrd="0" presId="urn:microsoft.com/office/officeart/2005/8/layout/hierarchy2"/>
    <dgm:cxn modelId="{C95A2260-0A8C-45F9-AB09-6C3EAD29385A}" type="presParOf" srcId="{233B8C2D-2534-4468-A7FE-959241544656}" destId="{20AB9086-6632-44FB-BF79-0696B5383075}" srcOrd="0" destOrd="0" presId="urn:microsoft.com/office/officeart/2005/8/layout/hierarchy2"/>
    <dgm:cxn modelId="{15FC7A08-3C7D-4F42-B4B1-022FAA046B3E}" type="presParOf" srcId="{7115963D-0877-463E-BDBC-1D6001DDDFAB}" destId="{0DA52EF8-EF71-4DF4-B0FE-6906C73B08DE}" srcOrd="1" destOrd="0" presId="urn:microsoft.com/office/officeart/2005/8/layout/hierarchy2"/>
    <dgm:cxn modelId="{4E1AC701-3295-4B16-907A-0EC37DF4D371}" type="presParOf" srcId="{0DA52EF8-EF71-4DF4-B0FE-6906C73B08DE}" destId="{64FA28B5-727D-44E9-9130-EB81D6CD0558}" srcOrd="0" destOrd="0" presId="urn:microsoft.com/office/officeart/2005/8/layout/hierarchy2"/>
    <dgm:cxn modelId="{9D620580-80DA-474A-ADAA-73E810D4AF94}" type="presParOf" srcId="{0DA52EF8-EF71-4DF4-B0FE-6906C73B08DE}" destId="{D4761EC8-6295-4DEB-8B15-C3F497B411BE}" srcOrd="1" destOrd="0" presId="urn:microsoft.com/office/officeart/2005/8/layout/hierarchy2"/>
  </dgm:cxnLst>
  <dgm:bg/>
  <dgm:whole>
    <a:ln>
      <a:noFill/>
    </a:ln>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00CB2FA-0F4F-44A8-A960-91A372DA159E}" type="doc">
      <dgm:prSet loTypeId="urn:microsoft.com/office/officeart/2005/8/layout/hierarchy2" loCatId="hierarchy" qsTypeId="urn:microsoft.com/office/officeart/2005/8/quickstyle/simple2" qsCatId="simple" csTypeId="urn:microsoft.com/office/officeart/2005/8/colors/accent1_2" csCatId="accent1" phldr="1"/>
      <dgm:spPr/>
      <dgm:t>
        <a:bodyPr/>
        <a:lstStyle/>
        <a:p>
          <a:endParaRPr lang="en-AU"/>
        </a:p>
      </dgm:t>
    </dgm:pt>
    <dgm:pt modelId="{17B50872-6D0E-44B6-B79E-FC3430098655}">
      <dgm:prSet phldrT="[Text]" custT="1"/>
      <dgm:spPr/>
      <dgm:t>
        <a:bodyPr/>
        <a:lstStyle/>
        <a:p>
          <a:r>
            <a:rPr lang="en-AU" sz="1100"/>
            <a:t>Outpatient service following discharge</a:t>
          </a:r>
        </a:p>
      </dgm:t>
    </dgm:pt>
    <dgm:pt modelId="{6B0BA177-BA5A-4739-92CF-F2A769AB7D11}" type="parTrans" cxnId="{9313824D-4F4F-44EB-BD00-E534D3D5D167}">
      <dgm:prSet/>
      <dgm:spPr/>
      <dgm:t>
        <a:bodyPr/>
        <a:lstStyle/>
        <a:p>
          <a:endParaRPr lang="en-AU"/>
        </a:p>
      </dgm:t>
    </dgm:pt>
    <dgm:pt modelId="{7292AA3D-2E56-48DB-BEE4-4A836C7C8763}" type="sibTrans" cxnId="{9313824D-4F4F-44EB-BD00-E534D3D5D167}">
      <dgm:prSet/>
      <dgm:spPr/>
      <dgm:t>
        <a:bodyPr/>
        <a:lstStyle/>
        <a:p>
          <a:endParaRPr lang="en-AU"/>
        </a:p>
      </dgm:t>
    </dgm:pt>
    <dgm:pt modelId="{B2D2C9F9-DC29-45C9-95DB-8D432C489051}" type="asst">
      <dgm:prSet phldrT="[Text]" custT="1"/>
      <dgm:spPr/>
      <dgm:t>
        <a:bodyPr/>
        <a:lstStyle/>
        <a:p>
          <a:r>
            <a:rPr lang="en-AU" sz="1100"/>
            <a:t>Was the patient admitted as a private patient under the same Specialist?</a:t>
          </a:r>
        </a:p>
      </dgm:t>
    </dgm:pt>
    <dgm:pt modelId="{53679021-BAB5-4FB8-AA9E-7196CAC193B4}" type="parTrans" cxnId="{595EC2AE-3AA6-44E3-A54C-2CC987D86F7C}">
      <dgm:prSet/>
      <dgm:spPr/>
      <dgm:t>
        <a:bodyPr/>
        <a:lstStyle/>
        <a:p>
          <a:endParaRPr lang="en-AU"/>
        </a:p>
      </dgm:t>
    </dgm:pt>
    <dgm:pt modelId="{695C61DD-4213-4913-82E7-AA9EB120AC5E}" type="sibTrans" cxnId="{595EC2AE-3AA6-44E3-A54C-2CC987D86F7C}">
      <dgm:prSet/>
      <dgm:spPr/>
      <dgm:t>
        <a:bodyPr/>
        <a:lstStyle/>
        <a:p>
          <a:endParaRPr lang="en-AU"/>
        </a:p>
      </dgm:t>
    </dgm:pt>
    <dgm:pt modelId="{AEB6CE63-F543-4577-9789-AD1BD596F393}">
      <dgm:prSet custT="1"/>
      <dgm:spPr/>
      <dgm:t>
        <a:bodyPr/>
        <a:lstStyle/>
        <a:p>
          <a:r>
            <a:rPr lang="en-AU" sz="1100"/>
            <a:t>YES</a:t>
          </a:r>
        </a:p>
      </dgm:t>
    </dgm:pt>
    <dgm:pt modelId="{300D3559-F973-4124-861D-A6A48FE966C5}" type="parTrans" cxnId="{E8A0A90F-A54D-4672-BD2D-47A903071E47}">
      <dgm:prSet/>
      <dgm:spPr/>
      <dgm:t>
        <a:bodyPr/>
        <a:lstStyle/>
        <a:p>
          <a:endParaRPr lang="en-AU"/>
        </a:p>
      </dgm:t>
    </dgm:pt>
    <dgm:pt modelId="{038F6E69-4373-4B13-B6D1-7CE9886F18FE}" type="sibTrans" cxnId="{E8A0A90F-A54D-4672-BD2D-47A903071E47}">
      <dgm:prSet/>
      <dgm:spPr/>
      <dgm:t>
        <a:bodyPr/>
        <a:lstStyle/>
        <a:p>
          <a:endParaRPr lang="en-AU"/>
        </a:p>
      </dgm:t>
    </dgm:pt>
    <dgm:pt modelId="{B911B8CD-84AB-4411-9599-DE6C07200228}">
      <dgm:prSet custT="1"/>
      <dgm:spPr/>
      <dgm:t>
        <a:bodyPr/>
        <a:lstStyle/>
        <a:p>
          <a:r>
            <a:rPr lang="en-AU" sz="1100"/>
            <a:t>NO</a:t>
          </a:r>
        </a:p>
      </dgm:t>
    </dgm:pt>
    <dgm:pt modelId="{B1CB975D-918C-4C68-A7CF-1035A5BBCD0A}" type="parTrans" cxnId="{D4F692AF-E3AD-4C57-99B8-607A0AB8C1F5}">
      <dgm:prSet/>
      <dgm:spPr/>
      <dgm:t>
        <a:bodyPr/>
        <a:lstStyle/>
        <a:p>
          <a:endParaRPr lang="en-AU"/>
        </a:p>
      </dgm:t>
    </dgm:pt>
    <dgm:pt modelId="{897CE38D-C9FB-41A1-9687-8AF26071B88F}" type="sibTrans" cxnId="{D4F692AF-E3AD-4C57-99B8-607A0AB8C1F5}">
      <dgm:prSet/>
      <dgm:spPr/>
      <dgm:t>
        <a:bodyPr/>
        <a:lstStyle/>
        <a:p>
          <a:endParaRPr lang="en-AU"/>
        </a:p>
      </dgm:t>
    </dgm:pt>
    <dgm:pt modelId="{9E543FFE-B2DC-4D52-B61F-DEF5BC90D171}">
      <dgm:prSet custT="1"/>
      <dgm:spPr/>
      <dgm:t>
        <a:bodyPr/>
        <a:lstStyle/>
        <a:p>
          <a:r>
            <a:rPr lang="en-AU" sz="1100"/>
            <a:t>Bill for Non-referred Item (Outpatient Bulk Bill)</a:t>
          </a:r>
        </a:p>
        <a:p>
          <a:r>
            <a:rPr lang="en-AU" sz="1100"/>
            <a:t>Referral Type in DHR should be Self Referral  and please note in the comments </a:t>
          </a:r>
        </a:p>
        <a:p>
          <a:r>
            <a:rPr lang="en-AU" sz="1100"/>
            <a:t>'Private Inpatient Follow up - non-referred item'</a:t>
          </a:r>
        </a:p>
      </dgm:t>
    </dgm:pt>
    <dgm:pt modelId="{9B40965F-480C-476D-8F31-912261464B2D}" type="parTrans" cxnId="{0C4D1963-736B-4236-85B7-A22A5C0599A2}">
      <dgm:prSet/>
      <dgm:spPr/>
      <dgm:t>
        <a:bodyPr/>
        <a:lstStyle/>
        <a:p>
          <a:endParaRPr lang="en-AU"/>
        </a:p>
      </dgm:t>
    </dgm:pt>
    <dgm:pt modelId="{6FB1B59D-3F2E-4AAA-ADD0-FD889A5612F0}" type="sibTrans" cxnId="{0C4D1963-736B-4236-85B7-A22A5C0599A2}">
      <dgm:prSet/>
      <dgm:spPr/>
      <dgm:t>
        <a:bodyPr/>
        <a:lstStyle/>
        <a:p>
          <a:endParaRPr lang="en-AU"/>
        </a:p>
      </dgm:t>
    </dgm:pt>
    <dgm:pt modelId="{D9726B5C-5270-43B3-9C11-523D68F5E92E}">
      <dgm:prSet custT="1"/>
      <dgm:spPr/>
      <dgm:t>
        <a:bodyPr/>
        <a:lstStyle/>
        <a:p>
          <a:r>
            <a:rPr lang="en-AU" sz="1100"/>
            <a:t>No Billing </a:t>
          </a:r>
        </a:p>
        <a:p>
          <a:r>
            <a:rPr lang="en-AU" sz="1100"/>
            <a:t>(Public Patient - Public)</a:t>
          </a:r>
        </a:p>
      </dgm:t>
    </dgm:pt>
    <dgm:pt modelId="{ACEFAC22-846C-4C96-98A8-1D8A51617FF6}" type="parTrans" cxnId="{1EACC632-1170-4DD3-8161-CFE993ABA584}">
      <dgm:prSet/>
      <dgm:spPr/>
      <dgm:t>
        <a:bodyPr/>
        <a:lstStyle/>
        <a:p>
          <a:endParaRPr lang="en-AU"/>
        </a:p>
      </dgm:t>
    </dgm:pt>
    <dgm:pt modelId="{F5B239BA-28EC-46CF-A0DD-B79B4555BBC8}" type="sibTrans" cxnId="{1EACC632-1170-4DD3-8161-CFE993ABA584}">
      <dgm:prSet/>
      <dgm:spPr/>
      <dgm:t>
        <a:bodyPr/>
        <a:lstStyle/>
        <a:p>
          <a:endParaRPr lang="en-AU"/>
        </a:p>
      </dgm:t>
    </dgm:pt>
    <dgm:pt modelId="{44BA06B0-59C9-4D83-B449-41F142417990}" type="pres">
      <dgm:prSet presAssocID="{000CB2FA-0F4F-44A8-A960-91A372DA159E}" presName="diagram" presStyleCnt="0">
        <dgm:presLayoutVars>
          <dgm:chPref val="1"/>
          <dgm:dir/>
          <dgm:animOne val="branch"/>
          <dgm:animLvl val="lvl"/>
          <dgm:resizeHandles val="exact"/>
        </dgm:presLayoutVars>
      </dgm:prSet>
      <dgm:spPr/>
    </dgm:pt>
    <dgm:pt modelId="{1ECD172F-7B22-49FA-988E-5352263AEBFF}" type="pres">
      <dgm:prSet presAssocID="{17B50872-6D0E-44B6-B79E-FC3430098655}" presName="root1" presStyleCnt="0"/>
      <dgm:spPr/>
    </dgm:pt>
    <dgm:pt modelId="{4491ABD7-95A7-475F-B377-1F1CC8A9C703}" type="pres">
      <dgm:prSet presAssocID="{17B50872-6D0E-44B6-B79E-FC3430098655}" presName="LevelOneTextNode" presStyleLbl="node0" presStyleIdx="0" presStyleCnt="1" custScaleX="65055" custScaleY="151496" custLinFactNeighborX="5587" custLinFactNeighborY="496">
        <dgm:presLayoutVars>
          <dgm:chPref val="3"/>
        </dgm:presLayoutVars>
      </dgm:prSet>
      <dgm:spPr/>
    </dgm:pt>
    <dgm:pt modelId="{0B485C1C-DCB1-4A57-9E02-15E39BCE1E78}" type="pres">
      <dgm:prSet presAssocID="{17B50872-6D0E-44B6-B79E-FC3430098655}" presName="level2hierChild" presStyleCnt="0"/>
      <dgm:spPr/>
    </dgm:pt>
    <dgm:pt modelId="{6956A8F3-E8B1-4C0F-B705-8D267EABE5EE}" type="pres">
      <dgm:prSet presAssocID="{53679021-BAB5-4FB8-AA9E-7196CAC193B4}" presName="conn2-1" presStyleLbl="parChTrans1D2" presStyleIdx="0" presStyleCnt="1"/>
      <dgm:spPr/>
    </dgm:pt>
    <dgm:pt modelId="{BA1088E0-B3F6-4FD0-B19E-F1D54E22CE36}" type="pres">
      <dgm:prSet presAssocID="{53679021-BAB5-4FB8-AA9E-7196CAC193B4}" presName="connTx" presStyleLbl="parChTrans1D2" presStyleIdx="0" presStyleCnt="1"/>
      <dgm:spPr/>
    </dgm:pt>
    <dgm:pt modelId="{D6274DAC-3312-4164-B194-E9D7D3E0EB40}" type="pres">
      <dgm:prSet presAssocID="{B2D2C9F9-DC29-45C9-95DB-8D432C489051}" presName="root2" presStyleCnt="0"/>
      <dgm:spPr/>
    </dgm:pt>
    <dgm:pt modelId="{0ABF2B70-FE89-42F1-8609-DFE7656462B9}" type="pres">
      <dgm:prSet presAssocID="{B2D2C9F9-DC29-45C9-95DB-8D432C489051}" presName="LevelTwoTextNode" presStyleLbl="asst1" presStyleIdx="0" presStyleCnt="1" custScaleX="80143" custScaleY="202682" custLinFactNeighborX="-11033">
        <dgm:presLayoutVars>
          <dgm:chPref val="3"/>
        </dgm:presLayoutVars>
      </dgm:prSet>
      <dgm:spPr/>
    </dgm:pt>
    <dgm:pt modelId="{BAFB107A-555B-4AA3-86DB-C2F8CF3FE36A}" type="pres">
      <dgm:prSet presAssocID="{B2D2C9F9-DC29-45C9-95DB-8D432C489051}" presName="level3hierChild" presStyleCnt="0"/>
      <dgm:spPr/>
    </dgm:pt>
    <dgm:pt modelId="{71EA909D-5477-4FB7-8FB4-03B02211F8D4}" type="pres">
      <dgm:prSet presAssocID="{300D3559-F973-4124-861D-A6A48FE966C5}" presName="conn2-1" presStyleLbl="parChTrans1D3" presStyleIdx="0" presStyleCnt="2"/>
      <dgm:spPr/>
    </dgm:pt>
    <dgm:pt modelId="{B05BB4C9-4FF9-4EEA-A859-9B5ADE6C6B76}" type="pres">
      <dgm:prSet presAssocID="{300D3559-F973-4124-861D-A6A48FE966C5}" presName="connTx" presStyleLbl="parChTrans1D3" presStyleIdx="0" presStyleCnt="2"/>
      <dgm:spPr/>
    </dgm:pt>
    <dgm:pt modelId="{6594B1A2-47FB-4442-83C7-0AA10F72E2D4}" type="pres">
      <dgm:prSet presAssocID="{AEB6CE63-F543-4577-9789-AD1BD596F393}" presName="root2" presStyleCnt="0"/>
      <dgm:spPr/>
    </dgm:pt>
    <dgm:pt modelId="{4C15D4A3-A869-4F06-9CFD-47813AD6F740}" type="pres">
      <dgm:prSet presAssocID="{AEB6CE63-F543-4577-9789-AD1BD596F393}" presName="LevelTwoTextNode" presStyleLbl="node3" presStyleIdx="0" presStyleCnt="2" custScaleX="34167" custScaleY="42058" custLinFactNeighborX="-20558" custLinFactNeighborY="-63">
        <dgm:presLayoutVars>
          <dgm:chPref val="3"/>
        </dgm:presLayoutVars>
      </dgm:prSet>
      <dgm:spPr/>
    </dgm:pt>
    <dgm:pt modelId="{575BB649-FAAB-400B-85D1-BD18101B2482}" type="pres">
      <dgm:prSet presAssocID="{AEB6CE63-F543-4577-9789-AD1BD596F393}" presName="level3hierChild" presStyleCnt="0"/>
      <dgm:spPr/>
    </dgm:pt>
    <dgm:pt modelId="{59163E01-46FD-439E-8F91-7B86E82C3385}" type="pres">
      <dgm:prSet presAssocID="{9B40965F-480C-476D-8F31-912261464B2D}" presName="conn2-1" presStyleLbl="parChTrans1D4" presStyleIdx="0" presStyleCnt="2"/>
      <dgm:spPr/>
    </dgm:pt>
    <dgm:pt modelId="{59C85A04-35C5-485B-B67A-C312BE899B0B}" type="pres">
      <dgm:prSet presAssocID="{9B40965F-480C-476D-8F31-912261464B2D}" presName="connTx" presStyleLbl="parChTrans1D4" presStyleIdx="0" presStyleCnt="2"/>
      <dgm:spPr/>
    </dgm:pt>
    <dgm:pt modelId="{C05C4E1F-70AD-426B-A198-5023BE0DA59D}" type="pres">
      <dgm:prSet presAssocID="{9E543FFE-B2DC-4D52-B61F-DEF5BC90D171}" presName="root2" presStyleCnt="0"/>
      <dgm:spPr/>
    </dgm:pt>
    <dgm:pt modelId="{201B60AD-FCDA-4CAF-8516-64DBB5900E48}" type="pres">
      <dgm:prSet presAssocID="{9E543FFE-B2DC-4D52-B61F-DEF5BC90D171}" presName="LevelTwoTextNode" presStyleLbl="node4" presStyleIdx="0" presStyleCnt="2" custScaleX="272571" custScaleY="130623" custLinFactNeighborX="-29170" custLinFactNeighborY="-63">
        <dgm:presLayoutVars>
          <dgm:chPref val="3"/>
        </dgm:presLayoutVars>
      </dgm:prSet>
      <dgm:spPr/>
    </dgm:pt>
    <dgm:pt modelId="{EF3C1BAA-9F78-4F70-91D1-AA26920335C8}" type="pres">
      <dgm:prSet presAssocID="{9E543FFE-B2DC-4D52-B61F-DEF5BC90D171}" presName="level3hierChild" presStyleCnt="0"/>
      <dgm:spPr/>
    </dgm:pt>
    <dgm:pt modelId="{B2A8D838-0714-483E-A228-2509FAEEFF7C}" type="pres">
      <dgm:prSet presAssocID="{B1CB975D-918C-4C68-A7CF-1035A5BBCD0A}" presName="conn2-1" presStyleLbl="parChTrans1D3" presStyleIdx="1" presStyleCnt="2"/>
      <dgm:spPr/>
    </dgm:pt>
    <dgm:pt modelId="{972098BA-1F20-4F12-9CF9-CFD556E22D59}" type="pres">
      <dgm:prSet presAssocID="{B1CB975D-918C-4C68-A7CF-1035A5BBCD0A}" presName="connTx" presStyleLbl="parChTrans1D3" presStyleIdx="1" presStyleCnt="2"/>
      <dgm:spPr/>
    </dgm:pt>
    <dgm:pt modelId="{9121B9A8-3C00-4893-B33C-818663E06739}" type="pres">
      <dgm:prSet presAssocID="{B911B8CD-84AB-4411-9599-DE6C07200228}" presName="root2" presStyleCnt="0"/>
      <dgm:spPr/>
    </dgm:pt>
    <dgm:pt modelId="{8E992E8C-E24B-4805-A5CD-7238D0D73CDE}" type="pres">
      <dgm:prSet presAssocID="{B911B8CD-84AB-4411-9599-DE6C07200228}" presName="LevelTwoTextNode" presStyleLbl="node3" presStyleIdx="1" presStyleCnt="2" custScaleX="31409" custScaleY="47715" custLinFactNeighborX="-17351" custLinFactNeighborY="1442">
        <dgm:presLayoutVars>
          <dgm:chPref val="3"/>
        </dgm:presLayoutVars>
      </dgm:prSet>
      <dgm:spPr/>
    </dgm:pt>
    <dgm:pt modelId="{7115963D-0877-463E-BDBC-1D6001DDDFAB}" type="pres">
      <dgm:prSet presAssocID="{B911B8CD-84AB-4411-9599-DE6C07200228}" presName="level3hierChild" presStyleCnt="0"/>
      <dgm:spPr/>
    </dgm:pt>
    <dgm:pt modelId="{233B8C2D-2534-4468-A7FE-959241544656}" type="pres">
      <dgm:prSet presAssocID="{ACEFAC22-846C-4C96-98A8-1D8A51617FF6}" presName="conn2-1" presStyleLbl="parChTrans1D4" presStyleIdx="1" presStyleCnt="2"/>
      <dgm:spPr/>
    </dgm:pt>
    <dgm:pt modelId="{20AB9086-6632-44FB-BF79-0696B5383075}" type="pres">
      <dgm:prSet presAssocID="{ACEFAC22-846C-4C96-98A8-1D8A51617FF6}" presName="connTx" presStyleLbl="parChTrans1D4" presStyleIdx="1" presStyleCnt="2"/>
      <dgm:spPr/>
    </dgm:pt>
    <dgm:pt modelId="{0DA52EF8-EF71-4DF4-B0FE-6906C73B08DE}" type="pres">
      <dgm:prSet presAssocID="{D9726B5C-5270-43B3-9C11-523D68F5E92E}" presName="root2" presStyleCnt="0"/>
      <dgm:spPr/>
    </dgm:pt>
    <dgm:pt modelId="{64FA28B5-727D-44E9-9130-EB81D6CD0558}" type="pres">
      <dgm:prSet presAssocID="{D9726B5C-5270-43B3-9C11-523D68F5E92E}" presName="LevelTwoTextNode" presStyleLbl="node4" presStyleIdx="1" presStyleCnt="2" custLinFactNeighborX="-28562" custLinFactNeighborY="63">
        <dgm:presLayoutVars>
          <dgm:chPref val="3"/>
        </dgm:presLayoutVars>
      </dgm:prSet>
      <dgm:spPr/>
    </dgm:pt>
    <dgm:pt modelId="{D4761EC8-6295-4DEB-8B15-C3F497B411BE}" type="pres">
      <dgm:prSet presAssocID="{D9726B5C-5270-43B3-9C11-523D68F5E92E}" presName="level3hierChild" presStyleCnt="0"/>
      <dgm:spPr/>
    </dgm:pt>
  </dgm:ptLst>
  <dgm:cxnLst>
    <dgm:cxn modelId="{E8A0A90F-A54D-4672-BD2D-47A903071E47}" srcId="{B2D2C9F9-DC29-45C9-95DB-8D432C489051}" destId="{AEB6CE63-F543-4577-9789-AD1BD596F393}" srcOrd="0" destOrd="0" parTransId="{300D3559-F973-4124-861D-A6A48FE966C5}" sibTransId="{038F6E69-4373-4B13-B6D1-7CE9886F18FE}"/>
    <dgm:cxn modelId="{A44C6731-8470-47A8-95C4-3D1BD9221F1A}" type="presOf" srcId="{B1CB975D-918C-4C68-A7CF-1035A5BBCD0A}" destId="{972098BA-1F20-4F12-9CF9-CFD556E22D59}" srcOrd="1" destOrd="0" presId="urn:microsoft.com/office/officeart/2005/8/layout/hierarchy2"/>
    <dgm:cxn modelId="{1EACC632-1170-4DD3-8161-CFE993ABA584}" srcId="{B911B8CD-84AB-4411-9599-DE6C07200228}" destId="{D9726B5C-5270-43B3-9C11-523D68F5E92E}" srcOrd="0" destOrd="0" parTransId="{ACEFAC22-846C-4C96-98A8-1D8A51617FF6}" sibTransId="{F5B239BA-28EC-46CF-A0DD-B79B4555BBC8}"/>
    <dgm:cxn modelId="{E4FF6D34-01A6-46B6-81B1-E67FF79F3515}" type="presOf" srcId="{17B50872-6D0E-44B6-B79E-FC3430098655}" destId="{4491ABD7-95A7-475F-B377-1F1CC8A9C703}" srcOrd="0" destOrd="0" presId="urn:microsoft.com/office/officeart/2005/8/layout/hierarchy2"/>
    <dgm:cxn modelId="{7BC73360-73B5-4C7C-A0E5-092396FC9D65}" type="presOf" srcId="{B1CB975D-918C-4C68-A7CF-1035A5BBCD0A}" destId="{B2A8D838-0714-483E-A228-2509FAEEFF7C}" srcOrd="0" destOrd="0" presId="urn:microsoft.com/office/officeart/2005/8/layout/hierarchy2"/>
    <dgm:cxn modelId="{0C4D1963-736B-4236-85B7-A22A5C0599A2}" srcId="{AEB6CE63-F543-4577-9789-AD1BD596F393}" destId="{9E543FFE-B2DC-4D52-B61F-DEF5BC90D171}" srcOrd="0" destOrd="0" parTransId="{9B40965F-480C-476D-8F31-912261464B2D}" sibTransId="{6FB1B59D-3F2E-4AAA-ADD0-FD889A5612F0}"/>
    <dgm:cxn modelId="{67F68845-C39A-4E7C-B06E-094EF66010EE}" type="presOf" srcId="{9E543FFE-B2DC-4D52-B61F-DEF5BC90D171}" destId="{201B60AD-FCDA-4CAF-8516-64DBB5900E48}" srcOrd="0" destOrd="0" presId="urn:microsoft.com/office/officeart/2005/8/layout/hierarchy2"/>
    <dgm:cxn modelId="{35AFDA4B-809D-4A0B-A331-044F82A50DC6}" type="presOf" srcId="{53679021-BAB5-4FB8-AA9E-7196CAC193B4}" destId="{6956A8F3-E8B1-4C0F-B705-8D267EABE5EE}" srcOrd="0" destOrd="0" presId="urn:microsoft.com/office/officeart/2005/8/layout/hierarchy2"/>
    <dgm:cxn modelId="{9313824D-4F4F-44EB-BD00-E534D3D5D167}" srcId="{000CB2FA-0F4F-44A8-A960-91A372DA159E}" destId="{17B50872-6D0E-44B6-B79E-FC3430098655}" srcOrd="0" destOrd="0" parTransId="{6B0BA177-BA5A-4739-92CF-F2A769AB7D11}" sibTransId="{7292AA3D-2E56-48DB-BEE4-4A836C7C8763}"/>
    <dgm:cxn modelId="{4F8E7B4E-2B87-41BC-9BFA-AD405B6758F7}" type="presOf" srcId="{AEB6CE63-F543-4577-9789-AD1BD596F393}" destId="{4C15D4A3-A869-4F06-9CFD-47813AD6F740}" srcOrd="0" destOrd="0" presId="urn:microsoft.com/office/officeart/2005/8/layout/hierarchy2"/>
    <dgm:cxn modelId="{50578450-5AEA-4692-A56A-BE3BD257E318}" type="presOf" srcId="{B2D2C9F9-DC29-45C9-95DB-8D432C489051}" destId="{0ABF2B70-FE89-42F1-8609-DFE7656462B9}" srcOrd="0" destOrd="0" presId="urn:microsoft.com/office/officeart/2005/8/layout/hierarchy2"/>
    <dgm:cxn modelId="{706D287E-C48A-4931-9D23-EA9656237154}" type="presOf" srcId="{D9726B5C-5270-43B3-9C11-523D68F5E92E}" destId="{64FA28B5-727D-44E9-9130-EB81D6CD0558}" srcOrd="0" destOrd="0" presId="urn:microsoft.com/office/officeart/2005/8/layout/hierarchy2"/>
    <dgm:cxn modelId="{F92CF882-4AE2-4558-8FFD-F04AFCA0C90F}" type="presOf" srcId="{53679021-BAB5-4FB8-AA9E-7196CAC193B4}" destId="{BA1088E0-B3F6-4FD0-B19E-F1D54E22CE36}" srcOrd="1" destOrd="0" presId="urn:microsoft.com/office/officeart/2005/8/layout/hierarchy2"/>
    <dgm:cxn modelId="{A73BB285-D120-4225-89A8-8FD290C78378}" type="presOf" srcId="{ACEFAC22-846C-4C96-98A8-1D8A51617FF6}" destId="{233B8C2D-2534-4468-A7FE-959241544656}" srcOrd="0" destOrd="0" presId="urn:microsoft.com/office/officeart/2005/8/layout/hierarchy2"/>
    <dgm:cxn modelId="{102CAF86-1F14-4B80-B844-1D3598C77961}" type="presOf" srcId="{9B40965F-480C-476D-8F31-912261464B2D}" destId="{59163E01-46FD-439E-8F91-7B86E82C3385}" srcOrd="0" destOrd="0" presId="urn:microsoft.com/office/officeart/2005/8/layout/hierarchy2"/>
    <dgm:cxn modelId="{E9D42792-CF48-4DD7-8C7F-B267BD4465A7}" type="presOf" srcId="{9B40965F-480C-476D-8F31-912261464B2D}" destId="{59C85A04-35C5-485B-B67A-C312BE899B0B}" srcOrd="1" destOrd="0" presId="urn:microsoft.com/office/officeart/2005/8/layout/hierarchy2"/>
    <dgm:cxn modelId="{EB0632A3-9CA0-41E7-90FD-60ADAC6731EB}" type="presOf" srcId="{ACEFAC22-846C-4C96-98A8-1D8A51617FF6}" destId="{20AB9086-6632-44FB-BF79-0696B5383075}" srcOrd="1" destOrd="0" presId="urn:microsoft.com/office/officeart/2005/8/layout/hierarchy2"/>
    <dgm:cxn modelId="{5C6494A7-5A89-4267-889F-9807A4383F06}" type="presOf" srcId="{300D3559-F973-4124-861D-A6A48FE966C5}" destId="{71EA909D-5477-4FB7-8FB4-03B02211F8D4}" srcOrd="0" destOrd="0" presId="urn:microsoft.com/office/officeart/2005/8/layout/hierarchy2"/>
    <dgm:cxn modelId="{DEC0E9AD-AF56-4A24-9622-16AF4C64A6A0}" type="presOf" srcId="{000CB2FA-0F4F-44A8-A960-91A372DA159E}" destId="{44BA06B0-59C9-4D83-B449-41F142417990}" srcOrd="0" destOrd="0" presId="urn:microsoft.com/office/officeart/2005/8/layout/hierarchy2"/>
    <dgm:cxn modelId="{595EC2AE-3AA6-44E3-A54C-2CC987D86F7C}" srcId="{17B50872-6D0E-44B6-B79E-FC3430098655}" destId="{B2D2C9F9-DC29-45C9-95DB-8D432C489051}" srcOrd="0" destOrd="0" parTransId="{53679021-BAB5-4FB8-AA9E-7196CAC193B4}" sibTransId="{695C61DD-4213-4913-82E7-AA9EB120AC5E}"/>
    <dgm:cxn modelId="{80AB7EAF-2D81-4287-9A1A-7B8C488F5945}" type="presOf" srcId="{B911B8CD-84AB-4411-9599-DE6C07200228}" destId="{8E992E8C-E24B-4805-A5CD-7238D0D73CDE}" srcOrd="0" destOrd="0" presId="urn:microsoft.com/office/officeart/2005/8/layout/hierarchy2"/>
    <dgm:cxn modelId="{D4F692AF-E3AD-4C57-99B8-607A0AB8C1F5}" srcId="{B2D2C9F9-DC29-45C9-95DB-8D432C489051}" destId="{B911B8CD-84AB-4411-9599-DE6C07200228}" srcOrd="1" destOrd="0" parTransId="{B1CB975D-918C-4C68-A7CF-1035A5BBCD0A}" sibTransId="{897CE38D-C9FB-41A1-9687-8AF26071B88F}"/>
    <dgm:cxn modelId="{ABD647C5-7285-4226-A239-6289E5BAD277}" type="presOf" srcId="{300D3559-F973-4124-861D-A6A48FE966C5}" destId="{B05BB4C9-4FF9-4EEA-A859-9B5ADE6C6B76}" srcOrd="1" destOrd="0" presId="urn:microsoft.com/office/officeart/2005/8/layout/hierarchy2"/>
    <dgm:cxn modelId="{8F461A62-586F-4E7A-AFC9-4AF9F137FAB1}" type="presParOf" srcId="{44BA06B0-59C9-4D83-B449-41F142417990}" destId="{1ECD172F-7B22-49FA-988E-5352263AEBFF}" srcOrd="0" destOrd="0" presId="urn:microsoft.com/office/officeart/2005/8/layout/hierarchy2"/>
    <dgm:cxn modelId="{73433F7D-7A80-4129-ACC1-334FD16A4C04}" type="presParOf" srcId="{1ECD172F-7B22-49FA-988E-5352263AEBFF}" destId="{4491ABD7-95A7-475F-B377-1F1CC8A9C703}" srcOrd="0" destOrd="0" presId="urn:microsoft.com/office/officeart/2005/8/layout/hierarchy2"/>
    <dgm:cxn modelId="{198756B2-E186-4A53-BA2E-6DEC5B8A652B}" type="presParOf" srcId="{1ECD172F-7B22-49FA-988E-5352263AEBFF}" destId="{0B485C1C-DCB1-4A57-9E02-15E39BCE1E78}" srcOrd="1" destOrd="0" presId="urn:microsoft.com/office/officeart/2005/8/layout/hierarchy2"/>
    <dgm:cxn modelId="{B060D4EF-9E67-47DB-9601-D5CDC1BC00BF}" type="presParOf" srcId="{0B485C1C-DCB1-4A57-9E02-15E39BCE1E78}" destId="{6956A8F3-E8B1-4C0F-B705-8D267EABE5EE}" srcOrd="0" destOrd="0" presId="urn:microsoft.com/office/officeart/2005/8/layout/hierarchy2"/>
    <dgm:cxn modelId="{6580E917-171A-44DC-91D4-8D8A66CFD125}" type="presParOf" srcId="{6956A8F3-E8B1-4C0F-B705-8D267EABE5EE}" destId="{BA1088E0-B3F6-4FD0-B19E-F1D54E22CE36}" srcOrd="0" destOrd="0" presId="urn:microsoft.com/office/officeart/2005/8/layout/hierarchy2"/>
    <dgm:cxn modelId="{D8617599-51DE-49A8-9F96-27B0C48D673B}" type="presParOf" srcId="{0B485C1C-DCB1-4A57-9E02-15E39BCE1E78}" destId="{D6274DAC-3312-4164-B194-E9D7D3E0EB40}" srcOrd="1" destOrd="0" presId="urn:microsoft.com/office/officeart/2005/8/layout/hierarchy2"/>
    <dgm:cxn modelId="{CB11B0BC-A824-41ED-BF4B-94ADCCD386A9}" type="presParOf" srcId="{D6274DAC-3312-4164-B194-E9D7D3E0EB40}" destId="{0ABF2B70-FE89-42F1-8609-DFE7656462B9}" srcOrd="0" destOrd="0" presId="urn:microsoft.com/office/officeart/2005/8/layout/hierarchy2"/>
    <dgm:cxn modelId="{2C3DF2CD-3E24-48F9-942B-981C15604676}" type="presParOf" srcId="{D6274DAC-3312-4164-B194-E9D7D3E0EB40}" destId="{BAFB107A-555B-4AA3-86DB-C2F8CF3FE36A}" srcOrd="1" destOrd="0" presId="urn:microsoft.com/office/officeart/2005/8/layout/hierarchy2"/>
    <dgm:cxn modelId="{E400B0F8-E353-4665-9056-BA23B525CDB7}" type="presParOf" srcId="{BAFB107A-555B-4AA3-86DB-C2F8CF3FE36A}" destId="{71EA909D-5477-4FB7-8FB4-03B02211F8D4}" srcOrd="0" destOrd="0" presId="urn:microsoft.com/office/officeart/2005/8/layout/hierarchy2"/>
    <dgm:cxn modelId="{6E41337E-4306-4E7D-95D5-A0FE61B62B6A}" type="presParOf" srcId="{71EA909D-5477-4FB7-8FB4-03B02211F8D4}" destId="{B05BB4C9-4FF9-4EEA-A859-9B5ADE6C6B76}" srcOrd="0" destOrd="0" presId="urn:microsoft.com/office/officeart/2005/8/layout/hierarchy2"/>
    <dgm:cxn modelId="{901130E6-E6C5-4A2D-8F61-A49019FD4603}" type="presParOf" srcId="{BAFB107A-555B-4AA3-86DB-C2F8CF3FE36A}" destId="{6594B1A2-47FB-4442-83C7-0AA10F72E2D4}" srcOrd="1" destOrd="0" presId="urn:microsoft.com/office/officeart/2005/8/layout/hierarchy2"/>
    <dgm:cxn modelId="{8DC3DBB4-D26F-4679-8391-62084D1EA159}" type="presParOf" srcId="{6594B1A2-47FB-4442-83C7-0AA10F72E2D4}" destId="{4C15D4A3-A869-4F06-9CFD-47813AD6F740}" srcOrd="0" destOrd="0" presId="urn:microsoft.com/office/officeart/2005/8/layout/hierarchy2"/>
    <dgm:cxn modelId="{32CB6D93-20D5-43AD-8E78-D16CE0300DB8}" type="presParOf" srcId="{6594B1A2-47FB-4442-83C7-0AA10F72E2D4}" destId="{575BB649-FAAB-400B-85D1-BD18101B2482}" srcOrd="1" destOrd="0" presId="urn:microsoft.com/office/officeart/2005/8/layout/hierarchy2"/>
    <dgm:cxn modelId="{DC15F439-0EC0-47B8-82D4-AC3D8755883C}" type="presParOf" srcId="{575BB649-FAAB-400B-85D1-BD18101B2482}" destId="{59163E01-46FD-439E-8F91-7B86E82C3385}" srcOrd="0" destOrd="0" presId="urn:microsoft.com/office/officeart/2005/8/layout/hierarchy2"/>
    <dgm:cxn modelId="{FBFC6A45-1625-416F-B02F-53B27BF6EBFE}" type="presParOf" srcId="{59163E01-46FD-439E-8F91-7B86E82C3385}" destId="{59C85A04-35C5-485B-B67A-C312BE899B0B}" srcOrd="0" destOrd="0" presId="urn:microsoft.com/office/officeart/2005/8/layout/hierarchy2"/>
    <dgm:cxn modelId="{E2FFC7CA-0C3D-46C7-B466-EEFC5EDA3C7E}" type="presParOf" srcId="{575BB649-FAAB-400B-85D1-BD18101B2482}" destId="{C05C4E1F-70AD-426B-A198-5023BE0DA59D}" srcOrd="1" destOrd="0" presId="urn:microsoft.com/office/officeart/2005/8/layout/hierarchy2"/>
    <dgm:cxn modelId="{569FE2D5-A4E2-4CBD-9462-63FF6A57CF17}" type="presParOf" srcId="{C05C4E1F-70AD-426B-A198-5023BE0DA59D}" destId="{201B60AD-FCDA-4CAF-8516-64DBB5900E48}" srcOrd="0" destOrd="0" presId="urn:microsoft.com/office/officeart/2005/8/layout/hierarchy2"/>
    <dgm:cxn modelId="{C20125C6-588B-468B-83E8-1EFE4577DDB0}" type="presParOf" srcId="{C05C4E1F-70AD-426B-A198-5023BE0DA59D}" destId="{EF3C1BAA-9F78-4F70-91D1-AA26920335C8}" srcOrd="1" destOrd="0" presId="urn:microsoft.com/office/officeart/2005/8/layout/hierarchy2"/>
    <dgm:cxn modelId="{065C7D4A-DE74-449F-8837-D3DAA1FDB806}" type="presParOf" srcId="{BAFB107A-555B-4AA3-86DB-C2F8CF3FE36A}" destId="{B2A8D838-0714-483E-A228-2509FAEEFF7C}" srcOrd="2" destOrd="0" presId="urn:microsoft.com/office/officeart/2005/8/layout/hierarchy2"/>
    <dgm:cxn modelId="{058B2C2B-ECC2-43FF-B7AA-5008F0DB9A0E}" type="presParOf" srcId="{B2A8D838-0714-483E-A228-2509FAEEFF7C}" destId="{972098BA-1F20-4F12-9CF9-CFD556E22D59}" srcOrd="0" destOrd="0" presId="urn:microsoft.com/office/officeart/2005/8/layout/hierarchy2"/>
    <dgm:cxn modelId="{711641B3-7B95-4F48-8177-B47B020A7F39}" type="presParOf" srcId="{BAFB107A-555B-4AA3-86DB-C2F8CF3FE36A}" destId="{9121B9A8-3C00-4893-B33C-818663E06739}" srcOrd="3" destOrd="0" presId="urn:microsoft.com/office/officeart/2005/8/layout/hierarchy2"/>
    <dgm:cxn modelId="{01217B58-2142-4D50-BC66-97646B1BB869}" type="presParOf" srcId="{9121B9A8-3C00-4893-B33C-818663E06739}" destId="{8E992E8C-E24B-4805-A5CD-7238D0D73CDE}" srcOrd="0" destOrd="0" presId="urn:microsoft.com/office/officeart/2005/8/layout/hierarchy2"/>
    <dgm:cxn modelId="{AA146812-2546-4351-BA1A-C93462DAE068}" type="presParOf" srcId="{9121B9A8-3C00-4893-B33C-818663E06739}" destId="{7115963D-0877-463E-BDBC-1D6001DDDFAB}" srcOrd="1" destOrd="0" presId="urn:microsoft.com/office/officeart/2005/8/layout/hierarchy2"/>
    <dgm:cxn modelId="{24B345DB-B76B-4868-9642-919AB300EE10}" type="presParOf" srcId="{7115963D-0877-463E-BDBC-1D6001DDDFAB}" destId="{233B8C2D-2534-4468-A7FE-959241544656}" srcOrd="0" destOrd="0" presId="urn:microsoft.com/office/officeart/2005/8/layout/hierarchy2"/>
    <dgm:cxn modelId="{D6E46594-0415-4CFE-809E-4C975C3348E0}" type="presParOf" srcId="{233B8C2D-2534-4468-A7FE-959241544656}" destId="{20AB9086-6632-44FB-BF79-0696B5383075}" srcOrd="0" destOrd="0" presId="urn:microsoft.com/office/officeart/2005/8/layout/hierarchy2"/>
    <dgm:cxn modelId="{21AE614A-920A-43D0-AF25-03C4A9EF11D7}" type="presParOf" srcId="{7115963D-0877-463E-BDBC-1D6001DDDFAB}" destId="{0DA52EF8-EF71-4DF4-B0FE-6906C73B08DE}" srcOrd="1" destOrd="0" presId="urn:microsoft.com/office/officeart/2005/8/layout/hierarchy2"/>
    <dgm:cxn modelId="{04AF39B9-9497-4F6B-844F-9350CF04FEC3}" type="presParOf" srcId="{0DA52EF8-EF71-4DF4-B0FE-6906C73B08DE}" destId="{64FA28B5-727D-44E9-9130-EB81D6CD0558}" srcOrd="0" destOrd="0" presId="urn:microsoft.com/office/officeart/2005/8/layout/hierarchy2"/>
    <dgm:cxn modelId="{84ABBA9D-383A-4AA3-9A7C-8302F1B80B64}" type="presParOf" srcId="{0DA52EF8-EF71-4DF4-B0FE-6906C73B08DE}" destId="{D4761EC8-6295-4DEB-8B15-C3F497B411BE}" srcOrd="1" destOrd="0" presId="urn:microsoft.com/office/officeart/2005/8/layout/hierarchy2"/>
  </dgm:cxnLst>
  <dgm:bg/>
  <dgm:whole>
    <a:ln>
      <a:noFill/>
    </a:ln>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91ABD7-95A7-475F-B377-1F1CC8A9C703}">
      <dsp:nvSpPr>
        <dsp:cNvPr id="0" name=""/>
        <dsp:cNvSpPr/>
      </dsp:nvSpPr>
      <dsp:spPr>
        <a:xfrm>
          <a:off x="71599" y="411453"/>
          <a:ext cx="826674" cy="127548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kern="1200"/>
            <a:t>Expired Referral</a:t>
          </a:r>
        </a:p>
        <a:p>
          <a:pPr marL="0" lvl="0" indent="0" algn="ctr" defTabSz="488950">
            <a:lnSpc>
              <a:spcPct val="90000"/>
            </a:lnSpc>
            <a:spcBef>
              <a:spcPct val="0"/>
            </a:spcBef>
            <a:spcAft>
              <a:spcPct val="35000"/>
            </a:spcAft>
            <a:buNone/>
          </a:pPr>
          <a:r>
            <a:rPr lang="en-AU" sz="1100" kern="1200"/>
            <a:t>New referral not obtained prior to service</a:t>
          </a:r>
        </a:p>
      </dsp:txBody>
      <dsp:txXfrm>
        <a:off x="95811" y="435665"/>
        <a:ext cx="778250" cy="1227061"/>
      </dsp:txXfrm>
    </dsp:sp>
    <dsp:sp modelId="{6956A8F3-E8B1-4C0F-B705-8D267EABE5EE}">
      <dsp:nvSpPr>
        <dsp:cNvPr id="0" name=""/>
        <dsp:cNvSpPr/>
      </dsp:nvSpPr>
      <dsp:spPr>
        <a:xfrm>
          <a:off x="898273" y="1021055"/>
          <a:ext cx="276938" cy="56282"/>
        </a:xfrm>
        <a:custGeom>
          <a:avLst/>
          <a:gdLst/>
          <a:ahLst/>
          <a:cxnLst/>
          <a:rect l="0" t="0" r="0" b="0"/>
          <a:pathLst>
            <a:path>
              <a:moveTo>
                <a:pt x="0" y="28141"/>
              </a:moveTo>
              <a:lnTo>
                <a:pt x="276938" y="2814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029819" y="1042273"/>
        <a:ext cx="13846" cy="13846"/>
      </dsp:txXfrm>
    </dsp:sp>
    <dsp:sp modelId="{0ABF2B70-FE89-42F1-8609-DFE7656462B9}">
      <dsp:nvSpPr>
        <dsp:cNvPr id="0" name=""/>
        <dsp:cNvSpPr/>
      </dsp:nvSpPr>
      <dsp:spPr>
        <a:xfrm>
          <a:off x="1175212" y="418690"/>
          <a:ext cx="1051731" cy="1261012"/>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kern="1200"/>
            <a:t>Did the patient  have a valid referral for a previous service with the same Specialist and was bulk billed</a:t>
          </a:r>
          <a:r>
            <a:rPr lang="en-AU" sz="900" kern="1200"/>
            <a:t>?</a:t>
          </a:r>
        </a:p>
      </dsp:txBody>
      <dsp:txXfrm>
        <a:off x="1206016" y="449494"/>
        <a:ext cx="990123" cy="1199404"/>
      </dsp:txXfrm>
    </dsp:sp>
    <dsp:sp modelId="{71EA909D-5477-4FB7-8FB4-03B02211F8D4}">
      <dsp:nvSpPr>
        <dsp:cNvPr id="0" name=""/>
        <dsp:cNvSpPr/>
      </dsp:nvSpPr>
      <dsp:spPr>
        <a:xfrm rot="18890114">
          <a:off x="2133828" y="797165"/>
          <a:ext cx="631441" cy="56282"/>
        </a:xfrm>
        <a:custGeom>
          <a:avLst/>
          <a:gdLst/>
          <a:ahLst/>
          <a:cxnLst/>
          <a:rect l="0" t="0" r="0" b="0"/>
          <a:pathLst>
            <a:path>
              <a:moveTo>
                <a:pt x="0" y="28141"/>
              </a:moveTo>
              <a:lnTo>
                <a:pt x="631441" y="281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2433762" y="809521"/>
        <a:ext cx="31572" cy="31572"/>
      </dsp:txXfrm>
    </dsp:sp>
    <dsp:sp modelId="{4C15D4A3-A869-4F06-9CFD-47813AD6F740}">
      <dsp:nvSpPr>
        <dsp:cNvPr id="0" name=""/>
        <dsp:cNvSpPr/>
      </dsp:nvSpPr>
      <dsp:spPr>
        <a:xfrm>
          <a:off x="2672154" y="444910"/>
          <a:ext cx="458422" cy="313014"/>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kern="1200"/>
            <a:t>YES</a:t>
          </a:r>
        </a:p>
      </dsp:txBody>
      <dsp:txXfrm>
        <a:off x="2681322" y="454078"/>
        <a:ext cx="440086" cy="294678"/>
      </dsp:txXfrm>
    </dsp:sp>
    <dsp:sp modelId="{59163E01-46FD-439E-8F91-7B86E82C3385}">
      <dsp:nvSpPr>
        <dsp:cNvPr id="0" name=""/>
        <dsp:cNvSpPr/>
      </dsp:nvSpPr>
      <dsp:spPr>
        <a:xfrm rot="90150">
          <a:off x="3130526" y="577093"/>
          <a:ext cx="291190" cy="56282"/>
        </a:xfrm>
        <a:custGeom>
          <a:avLst/>
          <a:gdLst/>
          <a:ahLst/>
          <a:cxnLst/>
          <a:rect l="0" t="0" r="0" b="0"/>
          <a:pathLst>
            <a:path>
              <a:moveTo>
                <a:pt x="0" y="28141"/>
              </a:moveTo>
              <a:lnTo>
                <a:pt x="291190" y="281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3268842" y="597955"/>
        <a:ext cx="14559" cy="14559"/>
      </dsp:txXfrm>
    </dsp:sp>
    <dsp:sp modelId="{201B60AD-FCDA-4CAF-8516-64DBB5900E48}">
      <dsp:nvSpPr>
        <dsp:cNvPr id="0" name=""/>
        <dsp:cNvSpPr/>
      </dsp:nvSpPr>
      <dsp:spPr>
        <a:xfrm>
          <a:off x="3421667" y="110338"/>
          <a:ext cx="3536228" cy="997427"/>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kern="1200"/>
            <a:t>Bill for Non-referred Item (Outpatient Bulk Bill)</a:t>
          </a:r>
        </a:p>
        <a:p>
          <a:pPr marL="0" lvl="0" indent="0" algn="ctr" defTabSz="488950">
            <a:lnSpc>
              <a:spcPct val="90000"/>
            </a:lnSpc>
            <a:spcBef>
              <a:spcPct val="0"/>
            </a:spcBef>
            <a:spcAft>
              <a:spcPct val="35000"/>
            </a:spcAft>
            <a:buNone/>
          </a:pPr>
          <a:r>
            <a:rPr lang="en-AU" sz="1100" kern="1200"/>
            <a:t>Create appointment without referral and note in the comments that the service is billable but the referral is not required for the MBS item.</a:t>
          </a:r>
        </a:p>
      </dsp:txBody>
      <dsp:txXfrm>
        <a:off x="3450881" y="139552"/>
        <a:ext cx="3477800" cy="938999"/>
      </dsp:txXfrm>
    </dsp:sp>
    <dsp:sp modelId="{B2A8D838-0714-483E-A228-2509FAEEFF7C}">
      <dsp:nvSpPr>
        <dsp:cNvPr id="0" name=""/>
        <dsp:cNvSpPr/>
      </dsp:nvSpPr>
      <dsp:spPr>
        <a:xfrm rot="2639360">
          <a:off x="2136726" y="1244410"/>
          <a:ext cx="643189" cy="56282"/>
        </a:xfrm>
        <a:custGeom>
          <a:avLst/>
          <a:gdLst/>
          <a:ahLst/>
          <a:cxnLst/>
          <a:rect l="0" t="0" r="0" b="0"/>
          <a:pathLst>
            <a:path>
              <a:moveTo>
                <a:pt x="0" y="28141"/>
              </a:moveTo>
              <a:lnTo>
                <a:pt x="643189" y="281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2442241" y="1256472"/>
        <a:ext cx="32159" cy="32159"/>
      </dsp:txXfrm>
    </dsp:sp>
    <dsp:sp modelId="{8E992E8C-E24B-4805-A5CD-7238D0D73CDE}">
      <dsp:nvSpPr>
        <dsp:cNvPr id="0" name=""/>
        <dsp:cNvSpPr/>
      </dsp:nvSpPr>
      <dsp:spPr>
        <a:xfrm>
          <a:off x="2689698" y="1345395"/>
          <a:ext cx="463456" cy="301022"/>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kern="1200"/>
            <a:t>NO</a:t>
          </a:r>
        </a:p>
      </dsp:txBody>
      <dsp:txXfrm>
        <a:off x="2698515" y="1354212"/>
        <a:ext cx="445822" cy="283388"/>
      </dsp:txXfrm>
    </dsp:sp>
    <dsp:sp modelId="{233B8C2D-2534-4468-A7FE-959241544656}">
      <dsp:nvSpPr>
        <dsp:cNvPr id="0" name=""/>
        <dsp:cNvSpPr/>
      </dsp:nvSpPr>
      <dsp:spPr>
        <a:xfrm rot="130121">
          <a:off x="3153045" y="1473541"/>
          <a:ext cx="305246" cy="56282"/>
        </a:xfrm>
        <a:custGeom>
          <a:avLst/>
          <a:gdLst/>
          <a:ahLst/>
          <a:cxnLst/>
          <a:rect l="0" t="0" r="0" b="0"/>
          <a:pathLst>
            <a:path>
              <a:moveTo>
                <a:pt x="0" y="28141"/>
              </a:moveTo>
              <a:lnTo>
                <a:pt x="305246" y="281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3298037" y="1494051"/>
        <a:ext cx="15262" cy="15262"/>
      </dsp:txXfrm>
    </dsp:sp>
    <dsp:sp modelId="{64FA28B5-727D-44E9-9130-EB81D6CD0558}">
      <dsp:nvSpPr>
        <dsp:cNvPr id="0" name=""/>
        <dsp:cNvSpPr/>
      </dsp:nvSpPr>
      <dsp:spPr>
        <a:xfrm>
          <a:off x="3458182" y="1209905"/>
          <a:ext cx="2009174" cy="595106"/>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kern="1200"/>
            <a:t>No Billing </a:t>
          </a:r>
        </a:p>
        <a:p>
          <a:pPr marL="0" lvl="0" indent="0" algn="ctr" defTabSz="488950">
            <a:lnSpc>
              <a:spcPct val="90000"/>
            </a:lnSpc>
            <a:spcBef>
              <a:spcPct val="0"/>
            </a:spcBef>
            <a:spcAft>
              <a:spcPct val="35000"/>
            </a:spcAft>
            <a:buNone/>
          </a:pPr>
          <a:r>
            <a:rPr lang="en-AU" sz="1100" kern="1200"/>
            <a:t>(Public Patient - finclass is Public)</a:t>
          </a:r>
        </a:p>
      </dsp:txBody>
      <dsp:txXfrm>
        <a:off x="3475612" y="1227335"/>
        <a:ext cx="1974314" cy="56024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91ABD7-95A7-475F-B377-1F1CC8A9C703}">
      <dsp:nvSpPr>
        <dsp:cNvPr id="0" name=""/>
        <dsp:cNvSpPr/>
      </dsp:nvSpPr>
      <dsp:spPr>
        <a:xfrm>
          <a:off x="71765" y="291159"/>
          <a:ext cx="896387" cy="147451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kern="1200"/>
            <a:t>CHS Staff Specialist Leave Cover in the same specialty</a:t>
          </a:r>
          <a:endParaRPr lang="en-AU" sz="1100" b="1" kern="1200"/>
        </a:p>
      </dsp:txBody>
      <dsp:txXfrm>
        <a:off x="98019" y="317413"/>
        <a:ext cx="843879" cy="1422002"/>
      </dsp:txXfrm>
    </dsp:sp>
    <dsp:sp modelId="{6956A8F3-E8B1-4C0F-B705-8D267EABE5EE}">
      <dsp:nvSpPr>
        <dsp:cNvPr id="0" name=""/>
        <dsp:cNvSpPr/>
      </dsp:nvSpPr>
      <dsp:spPr>
        <a:xfrm>
          <a:off x="968153" y="1000272"/>
          <a:ext cx="272297" cy="56282"/>
        </a:xfrm>
        <a:custGeom>
          <a:avLst/>
          <a:gdLst/>
          <a:ahLst/>
          <a:cxnLst/>
          <a:rect l="0" t="0" r="0" b="0"/>
          <a:pathLst>
            <a:path>
              <a:moveTo>
                <a:pt x="0" y="28141"/>
              </a:moveTo>
              <a:lnTo>
                <a:pt x="272297" y="2814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097494" y="1021606"/>
        <a:ext cx="13614" cy="13614"/>
      </dsp:txXfrm>
    </dsp:sp>
    <dsp:sp modelId="{0ABF2B70-FE89-42F1-8609-DFE7656462B9}">
      <dsp:nvSpPr>
        <dsp:cNvPr id="0" name=""/>
        <dsp:cNvSpPr/>
      </dsp:nvSpPr>
      <dsp:spPr>
        <a:xfrm>
          <a:off x="1240450" y="408475"/>
          <a:ext cx="1034104" cy="1239877"/>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kern="1200"/>
            <a:t>Does the patient  have a valid referral for the regular Staff Specialists?</a:t>
          </a:r>
        </a:p>
      </dsp:txBody>
      <dsp:txXfrm>
        <a:off x="1270738" y="438763"/>
        <a:ext cx="973528" cy="1179301"/>
      </dsp:txXfrm>
    </dsp:sp>
    <dsp:sp modelId="{71EA909D-5477-4FB7-8FB4-03B02211F8D4}">
      <dsp:nvSpPr>
        <dsp:cNvPr id="0" name=""/>
        <dsp:cNvSpPr/>
      </dsp:nvSpPr>
      <dsp:spPr>
        <a:xfrm rot="18890114">
          <a:off x="2182999" y="780135"/>
          <a:ext cx="620858" cy="56282"/>
        </a:xfrm>
        <a:custGeom>
          <a:avLst/>
          <a:gdLst/>
          <a:ahLst/>
          <a:cxnLst/>
          <a:rect l="0" t="0" r="0" b="0"/>
          <a:pathLst>
            <a:path>
              <a:moveTo>
                <a:pt x="0" y="28141"/>
              </a:moveTo>
              <a:lnTo>
                <a:pt x="620858" y="281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2477907" y="792755"/>
        <a:ext cx="31042" cy="31042"/>
      </dsp:txXfrm>
    </dsp:sp>
    <dsp:sp modelId="{4C15D4A3-A869-4F06-9CFD-47813AD6F740}">
      <dsp:nvSpPr>
        <dsp:cNvPr id="0" name=""/>
        <dsp:cNvSpPr/>
      </dsp:nvSpPr>
      <dsp:spPr>
        <a:xfrm>
          <a:off x="2712303" y="434256"/>
          <a:ext cx="450739" cy="307767"/>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kern="1200"/>
            <a:t>YES</a:t>
          </a:r>
        </a:p>
      </dsp:txBody>
      <dsp:txXfrm>
        <a:off x="2721317" y="443270"/>
        <a:ext cx="432711" cy="289739"/>
      </dsp:txXfrm>
    </dsp:sp>
    <dsp:sp modelId="{59163E01-46FD-439E-8F91-7B86E82C3385}">
      <dsp:nvSpPr>
        <dsp:cNvPr id="0" name=""/>
        <dsp:cNvSpPr/>
      </dsp:nvSpPr>
      <dsp:spPr>
        <a:xfrm rot="90150">
          <a:off x="3162993" y="563752"/>
          <a:ext cx="286310" cy="56282"/>
        </a:xfrm>
        <a:custGeom>
          <a:avLst/>
          <a:gdLst/>
          <a:ahLst/>
          <a:cxnLst/>
          <a:rect l="0" t="0" r="0" b="0"/>
          <a:pathLst>
            <a:path>
              <a:moveTo>
                <a:pt x="0" y="28141"/>
              </a:moveTo>
              <a:lnTo>
                <a:pt x="286310" y="281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3298991" y="584736"/>
        <a:ext cx="14315" cy="14315"/>
      </dsp:txXfrm>
    </dsp:sp>
    <dsp:sp modelId="{201B60AD-FCDA-4CAF-8516-64DBB5900E48}">
      <dsp:nvSpPr>
        <dsp:cNvPr id="0" name=""/>
        <dsp:cNvSpPr/>
      </dsp:nvSpPr>
      <dsp:spPr>
        <a:xfrm>
          <a:off x="3449254" y="105291"/>
          <a:ext cx="3476961" cy="980711"/>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kern="1200"/>
            <a:t>Bill for Non-referred Item (Outpatient Bulk Bill)</a:t>
          </a:r>
        </a:p>
        <a:p>
          <a:pPr marL="0" lvl="0" indent="0" algn="ctr" defTabSz="488950">
            <a:lnSpc>
              <a:spcPct val="90000"/>
            </a:lnSpc>
            <a:spcBef>
              <a:spcPct val="0"/>
            </a:spcBef>
            <a:spcAft>
              <a:spcPct val="35000"/>
            </a:spcAft>
            <a:buNone/>
          </a:pPr>
          <a:r>
            <a:rPr lang="en-AU" sz="1100" kern="1200"/>
            <a:t>Referral Type in DHR should be Self Referral and please note in the comments</a:t>
          </a:r>
        </a:p>
        <a:p>
          <a:pPr marL="0" lvl="0" indent="0" algn="ctr" defTabSz="488950">
            <a:lnSpc>
              <a:spcPct val="90000"/>
            </a:lnSpc>
            <a:spcBef>
              <a:spcPct val="0"/>
            </a:spcBef>
            <a:spcAft>
              <a:spcPct val="35000"/>
            </a:spcAft>
            <a:buNone/>
          </a:pPr>
          <a:r>
            <a:rPr lang="en-AU" sz="1100" kern="1200"/>
            <a:t>'Leave cover - non-referred item'</a:t>
          </a:r>
        </a:p>
      </dsp:txBody>
      <dsp:txXfrm>
        <a:off x="3477978" y="134015"/>
        <a:ext cx="3419513" cy="923263"/>
      </dsp:txXfrm>
    </dsp:sp>
    <dsp:sp modelId="{B2A8D838-0714-483E-A228-2509FAEEFF7C}">
      <dsp:nvSpPr>
        <dsp:cNvPr id="0" name=""/>
        <dsp:cNvSpPr/>
      </dsp:nvSpPr>
      <dsp:spPr>
        <a:xfrm rot="2639360">
          <a:off x="2185849" y="1219884"/>
          <a:ext cx="632409" cy="56282"/>
        </a:xfrm>
        <a:custGeom>
          <a:avLst/>
          <a:gdLst/>
          <a:ahLst/>
          <a:cxnLst/>
          <a:rect l="0" t="0" r="0" b="0"/>
          <a:pathLst>
            <a:path>
              <a:moveTo>
                <a:pt x="0" y="28141"/>
              </a:moveTo>
              <a:lnTo>
                <a:pt x="632409" y="281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2486243" y="1232215"/>
        <a:ext cx="31620" cy="31620"/>
      </dsp:txXfrm>
    </dsp:sp>
    <dsp:sp modelId="{8E992E8C-E24B-4805-A5CD-7238D0D73CDE}">
      <dsp:nvSpPr>
        <dsp:cNvPr id="0" name=""/>
        <dsp:cNvSpPr/>
      </dsp:nvSpPr>
      <dsp:spPr>
        <a:xfrm>
          <a:off x="2729553" y="1319649"/>
          <a:ext cx="455689" cy="295977"/>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kern="1200"/>
            <a:t>NO</a:t>
          </a:r>
        </a:p>
      </dsp:txBody>
      <dsp:txXfrm>
        <a:off x="2738222" y="1328318"/>
        <a:ext cx="438351" cy="278639"/>
      </dsp:txXfrm>
    </dsp:sp>
    <dsp:sp modelId="{233B8C2D-2534-4468-A7FE-959241544656}">
      <dsp:nvSpPr>
        <dsp:cNvPr id="0" name=""/>
        <dsp:cNvSpPr/>
      </dsp:nvSpPr>
      <dsp:spPr>
        <a:xfrm rot="21593005">
          <a:off x="3185242" y="1439215"/>
          <a:ext cx="276077" cy="56282"/>
        </a:xfrm>
        <a:custGeom>
          <a:avLst/>
          <a:gdLst/>
          <a:ahLst/>
          <a:cxnLst/>
          <a:rect l="0" t="0" r="0" b="0"/>
          <a:pathLst>
            <a:path>
              <a:moveTo>
                <a:pt x="0" y="28141"/>
              </a:moveTo>
              <a:lnTo>
                <a:pt x="276077" y="281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3316379" y="1460455"/>
        <a:ext cx="13803" cy="13803"/>
      </dsp:txXfrm>
    </dsp:sp>
    <dsp:sp modelId="{64FA28B5-727D-44E9-9130-EB81D6CD0558}">
      <dsp:nvSpPr>
        <dsp:cNvPr id="0" name=""/>
        <dsp:cNvSpPr/>
      </dsp:nvSpPr>
      <dsp:spPr>
        <a:xfrm>
          <a:off x="3461320" y="1174510"/>
          <a:ext cx="1170264" cy="585132"/>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kern="1200"/>
            <a:t>No Billing </a:t>
          </a:r>
        </a:p>
        <a:p>
          <a:pPr marL="0" lvl="0" indent="0" algn="ctr" defTabSz="488950">
            <a:lnSpc>
              <a:spcPct val="90000"/>
            </a:lnSpc>
            <a:spcBef>
              <a:spcPct val="0"/>
            </a:spcBef>
            <a:spcAft>
              <a:spcPct val="35000"/>
            </a:spcAft>
            <a:buNone/>
          </a:pPr>
          <a:r>
            <a:rPr lang="en-AU" sz="1100" kern="1200"/>
            <a:t>(Public Patient - Public</a:t>
          </a:r>
          <a:r>
            <a:rPr lang="en-AU" sz="900" kern="1200"/>
            <a:t>)</a:t>
          </a:r>
        </a:p>
      </dsp:txBody>
      <dsp:txXfrm>
        <a:off x="3478458" y="1191648"/>
        <a:ext cx="1135988" cy="55085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91ABD7-95A7-475F-B377-1F1CC8A9C703}">
      <dsp:nvSpPr>
        <dsp:cNvPr id="0" name=""/>
        <dsp:cNvSpPr/>
      </dsp:nvSpPr>
      <dsp:spPr>
        <a:xfrm>
          <a:off x="74054" y="537484"/>
          <a:ext cx="814155" cy="947976"/>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kern="1200"/>
            <a:t>Outpatient service following discharge</a:t>
          </a:r>
        </a:p>
      </dsp:txBody>
      <dsp:txXfrm>
        <a:off x="97900" y="561330"/>
        <a:ext cx="766463" cy="900284"/>
      </dsp:txXfrm>
    </dsp:sp>
    <dsp:sp modelId="{6956A8F3-E8B1-4C0F-B705-8D267EABE5EE}">
      <dsp:nvSpPr>
        <dsp:cNvPr id="0" name=""/>
        <dsp:cNvSpPr/>
      </dsp:nvSpPr>
      <dsp:spPr>
        <a:xfrm rot="21563536">
          <a:off x="888201" y="980330"/>
          <a:ext cx="292614" cy="59180"/>
        </a:xfrm>
        <a:custGeom>
          <a:avLst/>
          <a:gdLst/>
          <a:ahLst/>
          <a:cxnLst/>
          <a:rect l="0" t="0" r="0" b="0"/>
          <a:pathLst>
            <a:path>
              <a:moveTo>
                <a:pt x="0" y="29590"/>
              </a:moveTo>
              <a:lnTo>
                <a:pt x="292614" y="2959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027193" y="1002605"/>
        <a:ext cx="14630" cy="14630"/>
      </dsp:txXfrm>
    </dsp:sp>
    <dsp:sp modelId="{0ABF2B70-FE89-42F1-8609-DFE7656462B9}">
      <dsp:nvSpPr>
        <dsp:cNvPr id="0" name=""/>
        <dsp:cNvSpPr/>
      </dsp:nvSpPr>
      <dsp:spPr>
        <a:xfrm>
          <a:off x="1180807" y="374234"/>
          <a:ext cx="1002979" cy="1268269"/>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kern="1200"/>
            <a:t>Was the patient admitted as a private patient under the same Specialist?</a:t>
          </a:r>
        </a:p>
      </dsp:txBody>
      <dsp:txXfrm>
        <a:off x="1210183" y="403610"/>
        <a:ext cx="944227" cy="1209517"/>
      </dsp:txXfrm>
    </dsp:sp>
    <dsp:sp modelId="{71EA909D-5477-4FB7-8FB4-03B02211F8D4}">
      <dsp:nvSpPr>
        <dsp:cNvPr id="0" name=""/>
        <dsp:cNvSpPr/>
      </dsp:nvSpPr>
      <dsp:spPr>
        <a:xfrm rot="18746972">
          <a:off x="2091945" y="770302"/>
          <a:ext cx="565073" cy="59180"/>
        </a:xfrm>
        <a:custGeom>
          <a:avLst/>
          <a:gdLst/>
          <a:ahLst/>
          <a:cxnLst/>
          <a:rect l="0" t="0" r="0" b="0"/>
          <a:pathLst>
            <a:path>
              <a:moveTo>
                <a:pt x="0" y="29590"/>
              </a:moveTo>
              <a:lnTo>
                <a:pt x="565073" y="295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2360355" y="785766"/>
        <a:ext cx="28253" cy="28253"/>
      </dsp:txXfrm>
    </dsp:sp>
    <dsp:sp modelId="{4C15D4A3-A869-4F06-9CFD-47813AD6F740}">
      <dsp:nvSpPr>
        <dsp:cNvPr id="0" name=""/>
        <dsp:cNvSpPr/>
      </dsp:nvSpPr>
      <dsp:spPr>
        <a:xfrm>
          <a:off x="2565177" y="459829"/>
          <a:ext cx="427595" cy="26317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kern="1200"/>
            <a:t>YES</a:t>
          </a:r>
        </a:p>
      </dsp:txBody>
      <dsp:txXfrm>
        <a:off x="2572885" y="467537"/>
        <a:ext cx="412179" cy="247759"/>
      </dsp:txXfrm>
    </dsp:sp>
    <dsp:sp modelId="{59163E01-46FD-439E-8F91-7B86E82C3385}">
      <dsp:nvSpPr>
        <dsp:cNvPr id="0" name=""/>
        <dsp:cNvSpPr/>
      </dsp:nvSpPr>
      <dsp:spPr>
        <a:xfrm>
          <a:off x="2992773" y="561826"/>
          <a:ext cx="392816" cy="59180"/>
        </a:xfrm>
        <a:custGeom>
          <a:avLst/>
          <a:gdLst/>
          <a:ahLst/>
          <a:cxnLst/>
          <a:rect l="0" t="0" r="0" b="0"/>
          <a:pathLst>
            <a:path>
              <a:moveTo>
                <a:pt x="0" y="29590"/>
              </a:moveTo>
              <a:lnTo>
                <a:pt x="392816" y="295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3179361" y="581596"/>
        <a:ext cx="19640" cy="19640"/>
      </dsp:txXfrm>
    </dsp:sp>
    <dsp:sp modelId="{201B60AD-FCDA-4CAF-8516-64DBB5900E48}">
      <dsp:nvSpPr>
        <dsp:cNvPr id="0" name=""/>
        <dsp:cNvSpPr/>
      </dsp:nvSpPr>
      <dsp:spPr>
        <a:xfrm>
          <a:off x="3385590" y="182734"/>
          <a:ext cx="3411191" cy="81736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kern="1200"/>
            <a:t>Bill for Non-referred Item (Outpatient Bulk Bill)</a:t>
          </a:r>
        </a:p>
        <a:p>
          <a:pPr marL="0" lvl="0" indent="0" algn="ctr" defTabSz="488950">
            <a:lnSpc>
              <a:spcPct val="90000"/>
            </a:lnSpc>
            <a:spcBef>
              <a:spcPct val="0"/>
            </a:spcBef>
            <a:spcAft>
              <a:spcPct val="35000"/>
            </a:spcAft>
            <a:buNone/>
          </a:pPr>
          <a:r>
            <a:rPr lang="en-AU" sz="1100" kern="1200"/>
            <a:t>Referral Type in DHR should be Self Referral  and please note in the comments </a:t>
          </a:r>
        </a:p>
        <a:p>
          <a:pPr marL="0" lvl="0" indent="0" algn="ctr" defTabSz="488950">
            <a:lnSpc>
              <a:spcPct val="90000"/>
            </a:lnSpc>
            <a:spcBef>
              <a:spcPct val="0"/>
            </a:spcBef>
            <a:spcAft>
              <a:spcPct val="35000"/>
            </a:spcAft>
            <a:buNone/>
          </a:pPr>
          <a:r>
            <a:rPr lang="en-AU" sz="1100" kern="1200"/>
            <a:t>'Private Inpatient Follow up - non-referred item'</a:t>
          </a:r>
        </a:p>
      </dsp:txBody>
      <dsp:txXfrm>
        <a:off x="3409530" y="206674"/>
        <a:ext cx="3363311" cy="769485"/>
      </dsp:txXfrm>
    </dsp:sp>
    <dsp:sp modelId="{B2A8D838-0714-483E-A228-2509FAEEFF7C}">
      <dsp:nvSpPr>
        <dsp:cNvPr id="0" name=""/>
        <dsp:cNvSpPr/>
      </dsp:nvSpPr>
      <dsp:spPr>
        <a:xfrm rot="2643452">
          <a:off x="2101270" y="1182719"/>
          <a:ext cx="586559" cy="59180"/>
        </a:xfrm>
        <a:custGeom>
          <a:avLst/>
          <a:gdLst/>
          <a:ahLst/>
          <a:cxnLst/>
          <a:rect l="0" t="0" r="0" b="0"/>
          <a:pathLst>
            <a:path>
              <a:moveTo>
                <a:pt x="0" y="29590"/>
              </a:moveTo>
              <a:lnTo>
                <a:pt x="586559" y="295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2379886" y="1197645"/>
        <a:ext cx="29327" cy="29327"/>
      </dsp:txXfrm>
    </dsp:sp>
    <dsp:sp modelId="{8E992E8C-E24B-4805-A5CD-7238D0D73CDE}">
      <dsp:nvSpPr>
        <dsp:cNvPr id="0" name=""/>
        <dsp:cNvSpPr/>
      </dsp:nvSpPr>
      <dsp:spPr>
        <a:xfrm>
          <a:off x="2605313" y="1266963"/>
          <a:ext cx="393079" cy="298573"/>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kern="1200"/>
            <a:t>NO</a:t>
          </a:r>
        </a:p>
      </dsp:txBody>
      <dsp:txXfrm>
        <a:off x="2614058" y="1275708"/>
        <a:ext cx="375589" cy="281083"/>
      </dsp:txXfrm>
    </dsp:sp>
    <dsp:sp modelId="{233B8C2D-2534-4468-A7FE-959241544656}">
      <dsp:nvSpPr>
        <dsp:cNvPr id="0" name=""/>
        <dsp:cNvSpPr/>
      </dsp:nvSpPr>
      <dsp:spPr>
        <a:xfrm rot="21517681">
          <a:off x="2998341" y="1382345"/>
          <a:ext cx="360393" cy="59180"/>
        </a:xfrm>
        <a:custGeom>
          <a:avLst/>
          <a:gdLst/>
          <a:ahLst/>
          <a:cxnLst/>
          <a:rect l="0" t="0" r="0" b="0"/>
          <a:pathLst>
            <a:path>
              <a:moveTo>
                <a:pt x="0" y="29590"/>
              </a:moveTo>
              <a:lnTo>
                <a:pt x="360393" y="295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3169528" y="1402926"/>
        <a:ext cx="18019" cy="18019"/>
      </dsp:txXfrm>
    </dsp:sp>
    <dsp:sp modelId="{64FA28B5-727D-44E9-9130-EB81D6CD0558}">
      <dsp:nvSpPr>
        <dsp:cNvPr id="0" name=""/>
        <dsp:cNvSpPr/>
      </dsp:nvSpPr>
      <dsp:spPr>
        <a:xfrm>
          <a:off x="3358683" y="1094749"/>
          <a:ext cx="1251487" cy="625743"/>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kern="1200"/>
            <a:t>No Billing </a:t>
          </a:r>
        </a:p>
        <a:p>
          <a:pPr marL="0" lvl="0" indent="0" algn="ctr" defTabSz="488950">
            <a:lnSpc>
              <a:spcPct val="90000"/>
            </a:lnSpc>
            <a:spcBef>
              <a:spcPct val="0"/>
            </a:spcBef>
            <a:spcAft>
              <a:spcPct val="35000"/>
            </a:spcAft>
            <a:buNone/>
          </a:pPr>
          <a:r>
            <a:rPr lang="en-AU" sz="1100" kern="1200"/>
            <a:t>(Public Patient - Public)</a:t>
          </a:r>
        </a:p>
      </dsp:txBody>
      <dsp:txXfrm>
        <a:off x="3377010" y="1113076"/>
        <a:ext cx="1214833" cy="58908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2023-12-13T13:00:00+00:00</Approval_x0020_Date>
    <Review_x0020_Date xmlns="690b2128-8961-48af-a473-22c34a9accba">2028-12-31T13:00:00+00:00</Review_x0020_Date>
    <TaxCatchAll xmlns="c0239a80-7f07-4ed7-82c3-24ad7d76ada5">
      <Value>487</Value>
      <Value>416</Value>
      <Value>415</Value>
    </TaxCatchAll>
    <Version_x0020_Number xmlns="690b2128-8961-48af-a473-22c34a9accba">1</Version_x0020_Number>
    <Notes0 xmlns="690b2128-8961-48af-a473-22c34a9accba" xsi:nil="true"/>
    <Key_x0020_Words xmlns="690b2128-8961-48af-a473-22c34a9accba">ADCAT, Admission, Category, Billing, Guideline, Bulk, Bill, DVA, Fin, Class, Finance, Inpatient, Locum, MBS Item, MDT, Medicare, NDIS, Outpatient, Accounts, PRODA, Reciprocal, Referral, Revenue, Data, Shared, Services</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 xsi:nil="true"/>
    <ISD_x0020_Submitted xmlns="690b2128-8961-48af-a473-22c34a9accba">Not Required</ISD_x0020_Submitted>
    <Risk_x0020_Rating xmlns="690b2128-8961-48af-a473-22c34a9accba">Low</Risk_x0020_Rating>
    <Description0 xmlns="690b2128-8961-48af-a473-22c34a9accba">To aid staff engaging in billing activities in entering correct data for billing purposes</Description0>
    <Display_x0020_on_x0020_Internet xmlns="690b2128-8961-48af-a473-22c34a9accba">true</Display_x0020_on_x0020_Internet>
    <Related_x0020_Documents xmlns="690b2128-8961-48af-a473-22c34a9accba" xsi:nil="true"/>
    <Decision_x0020_Number xmlns="690b2128-8961-48af-a473-22c34a9accba">CHS24/269</Decision_x0020_Number>
    <RelatedPolicies_x002c_ProceduresGuidelines xmlns="690b2128-8961-48af-a473-22c34a9accba">
      <Value>16035</Value>
      <Value>14497</Value>
      <Value>13688</Value>
      <Value>16332</Value>
      <Value>13456</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Health Insurance Act 1973 (Cth)</TermName>
          <TermId xmlns="http://schemas.microsoft.com/office/infopath/2007/PartnerControls">b40a4f64-10aa-4b6f-87b4-4d03b56db420</TermId>
        </TermInfo>
      </Terms>
    </k0794e393e1f41c2810d090eedba34a0>
    <New_x0020_Owner xmlns="690b2128-8961-48af-a473-22c34a9accba">Chief Financial Officer Group (CFO) - Revenue and Hospital Financial Services</New_x0020_Own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 ds:uri="0c8e588b-9c83-49d3-a6c8-a54de8f95e6a"/>
  </ds:schemaRefs>
</ds:datastoreItem>
</file>

<file path=customXml/itemProps2.xml><?xml version="1.0" encoding="utf-8"?>
<ds:datastoreItem xmlns:ds="http://schemas.openxmlformats.org/officeDocument/2006/customXml" ds:itemID="{0699FCCF-5010-42D1-9FF1-0C7B1BCC09B3}"/>
</file>

<file path=customXml/itemProps3.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4.xml><?xml version="1.0" encoding="utf-8"?>
<ds:datastoreItem xmlns:ds="http://schemas.openxmlformats.org/officeDocument/2006/customXml" ds:itemID="{483B4F1B-9BCC-41AB-B9AC-EE257C95A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43</Pages>
  <Words>10391</Words>
  <Characters>59229</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69482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Billing for outpatient or non-admitted patient activity</dc:title>
  <dc:creator>Kerryn Hunter</dc:creator>
  <cp:lastModifiedBy>Hoffmann, Cameron (Health)</cp:lastModifiedBy>
  <cp:revision>7</cp:revision>
  <cp:lastPrinted>2014-07-16T01:36:00Z</cp:lastPrinted>
  <dcterms:created xsi:type="dcterms:W3CDTF">2024-01-19T02:11:00Z</dcterms:created>
  <dcterms:modified xsi:type="dcterms:W3CDTF">2024-05-20T06:26:00Z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MSIP_Label_69af8531-eb46-4968-8cb3-105d2f5ea87e_Enabled">
    <vt:lpwstr>true</vt:lpwstr>
  </property>
  <property fmtid="{D5CDD505-2E9C-101B-9397-08002B2CF9AE}" pid="4" name="MSIP_Label_69af8531-eb46-4968-8cb3-105d2f5ea87e_SetDate">
    <vt:lpwstr>2024-05-20T05:58:11Z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101e9422-c40b-4a4a-b5e8-c3238aafaea2</vt:lpwstr>
  </property>
  <property fmtid="{D5CDD505-2E9C-101B-9397-08002B2CF9AE}" pid="9" name="MSIP_Label_69af8531-eb46-4968-8cb3-105d2f5ea87e_ContentBits">
    <vt:lpwstr>0</vt:lpwstr>
  </property>
  <property fmtid="{D5CDD505-2E9C-101B-9397-08002B2CF9AE}" pid="10" name="Related Legislation &amp; Guidelines">
    <vt:lpwstr>415;#Health Records (Privacy and Access) Act 1997 (Territory)|d07d1347-0355-417c-badf-2bae9c7c0e3b;#416;#Human Rights Act 2004 (Territory)|bbb6fb4a-2117-4ff9-8364-021a762deae2;#487;#Health Insurance Act 1973 (Cth)|b40a4f64-10aa-4b6f-87b4-4d03b56db420</vt:lpwstr>
  </property>
</Properties>
</file>