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C4F6"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62EE6C96" w14:textId="523AFC6B" w:rsidR="00CA4FDE" w:rsidRDefault="000C2A25" w:rsidP="000C2A25">
      <w:pPr>
        <w:pStyle w:val="Heading2"/>
      </w:pPr>
      <w:bookmarkStart w:id="0" w:name="_Hlk157074578"/>
      <w:r>
        <w:t xml:space="preserve">Management of Occupational Blood and Body Fluid Exposures (BBFE) </w:t>
      </w:r>
    </w:p>
    <w:p w14:paraId="7D70A42C" w14:textId="6F64DFBA" w:rsidR="006F003D" w:rsidRPr="00F827BB" w:rsidRDefault="00F827BB" w:rsidP="00F827BB">
      <w:pPr>
        <w:pStyle w:val="BodyCopy"/>
        <w:spacing w:before="0" w:line="240" w:lineRule="auto"/>
        <w:rPr>
          <w:color w:val="575757" w:themeColor="text2"/>
        </w:rPr>
      </w:pPr>
      <w:r w:rsidRPr="00197F2E">
        <w:t>CHS</w:t>
      </w:r>
      <w:r w:rsidR="00F54183">
        <w:t>25/091</w:t>
      </w:r>
    </w:p>
    <w:sdt>
      <w:sdtPr>
        <w:rPr>
          <w:sz w:val="32"/>
          <w:szCs w:val="32"/>
        </w:rPr>
        <w:id w:val="-1206019646"/>
        <w:docPartObj>
          <w:docPartGallery w:val="Table of Contents"/>
          <w:docPartUnique/>
        </w:docPartObj>
      </w:sdtPr>
      <w:sdtEndPr>
        <w:rPr>
          <w:noProof/>
        </w:rPr>
      </w:sdtEndPr>
      <w:sdtContent>
        <w:p w14:paraId="6FC89A85" w14:textId="77777777" w:rsidR="00A731B8" w:rsidRPr="000E7683" w:rsidRDefault="00A731B8">
          <w:pPr>
            <w:pStyle w:val="TOCHeading"/>
            <w:rPr>
              <w:rStyle w:val="Heading3Char"/>
              <w:b/>
              <w:bCs w:val="0"/>
            </w:rPr>
          </w:pPr>
          <w:r w:rsidRPr="007B1A7B">
            <w:rPr>
              <w:rStyle w:val="Heading3Char"/>
              <w:b/>
              <w:bCs w:val="0"/>
            </w:rPr>
            <w:t>Contents</w:t>
          </w:r>
        </w:p>
        <w:p w14:paraId="44F920AB" w14:textId="3A4A8883" w:rsidR="00C03C62"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9830910" w:history="1">
            <w:r w:rsidR="00C03C62" w:rsidRPr="00A44570">
              <w:rPr>
                <w:rStyle w:val="Hyperlink"/>
              </w:rPr>
              <w:t>Purpose</w:t>
            </w:r>
            <w:r w:rsidR="00C03C62">
              <w:rPr>
                <w:webHidden/>
              </w:rPr>
              <w:tab/>
            </w:r>
            <w:r w:rsidR="00C03C62">
              <w:rPr>
                <w:webHidden/>
              </w:rPr>
              <w:fldChar w:fldCharType="begin"/>
            </w:r>
            <w:r w:rsidR="00C03C62">
              <w:rPr>
                <w:webHidden/>
              </w:rPr>
              <w:instrText xml:space="preserve"> PAGEREF _Toc189830910 \h </w:instrText>
            </w:r>
            <w:r w:rsidR="00C03C62">
              <w:rPr>
                <w:webHidden/>
              </w:rPr>
            </w:r>
            <w:r w:rsidR="00C03C62">
              <w:rPr>
                <w:webHidden/>
              </w:rPr>
              <w:fldChar w:fldCharType="separate"/>
            </w:r>
            <w:r w:rsidR="00C03C62">
              <w:rPr>
                <w:webHidden/>
              </w:rPr>
              <w:t>2</w:t>
            </w:r>
            <w:r w:rsidR="00C03C62">
              <w:rPr>
                <w:webHidden/>
              </w:rPr>
              <w:fldChar w:fldCharType="end"/>
            </w:r>
          </w:hyperlink>
        </w:p>
        <w:p w14:paraId="24670FEC" w14:textId="1EFC7726" w:rsidR="00C03C62" w:rsidRDefault="00C03C62">
          <w:pPr>
            <w:pStyle w:val="TOC1"/>
            <w:rPr>
              <w:rFonts w:asciiTheme="minorHAnsi" w:eastAsiaTheme="minorEastAsia" w:hAnsiTheme="minorHAnsi" w:cstheme="minorBidi"/>
              <w:color w:val="auto"/>
              <w:kern w:val="2"/>
              <w14:ligatures w14:val="standardContextual"/>
            </w:rPr>
          </w:pPr>
          <w:hyperlink w:anchor="_Toc189830911" w:history="1">
            <w:r w:rsidRPr="00A44570">
              <w:rPr>
                <w:rStyle w:val="Hyperlink"/>
              </w:rPr>
              <w:t>Scope</w:t>
            </w:r>
            <w:r>
              <w:rPr>
                <w:webHidden/>
              </w:rPr>
              <w:tab/>
            </w:r>
            <w:r>
              <w:rPr>
                <w:webHidden/>
              </w:rPr>
              <w:fldChar w:fldCharType="begin"/>
            </w:r>
            <w:r>
              <w:rPr>
                <w:webHidden/>
              </w:rPr>
              <w:instrText xml:space="preserve"> PAGEREF _Toc189830911 \h </w:instrText>
            </w:r>
            <w:r>
              <w:rPr>
                <w:webHidden/>
              </w:rPr>
            </w:r>
            <w:r>
              <w:rPr>
                <w:webHidden/>
              </w:rPr>
              <w:fldChar w:fldCharType="separate"/>
            </w:r>
            <w:r>
              <w:rPr>
                <w:webHidden/>
              </w:rPr>
              <w:t>2</w:t>
            </w:r>
            <w:r>
              <w:rPr>
                <w:webHidden/>
              </w:rPr>
              <w:fldChar w:fldCharType="end"/>
            </w:r>
          </w:hyperlink>
        </w:p>
        <w:p w14:paraId="20DA955F" w14:textId="639CE6E7" w:rsidR="00C03C62" w:rsidRDefault="00C03C62">
          <w:pPr>
            <w:pStyle w:val="TOC1"/>
            <w:rPr>
              <w:rFonts w:asciiTheme="minorHAnsi" w:eastAsiaTheme="minorEastAsia" w:hAnsiTheme="minorHAnsi" w:cstheme="minorBidi"/>
              <w:color w:val="auto"/>
              <w:kern w:val="2"/>
              <w14:ligatures w14:val="standardContextual"/>
            </w:rPr>
          </w:pPr>
          <w:hyperlink w:anchor="_Toc189830912" w:history="1">
            <w:r w:rsidRPr="00A44570">
              <w:rPr>
                <w:rStyle w:val="Hyperlink"/>
              </w:rPr>
              <w:t>Section 1 – Introduction</w:t>
            </w:r>
            <w:r>
              <w:rPr>
                <w:webHidden/>
              </w:rPr>
              <w:tab/>
            </w:r>
            <w:r>
              <w:rPr>
                <w:webHidden/>
              </w:rPr>
              <w:fldChar w:fldCharType="begin"/>
            </w:r>
            <w:r>
              <w:rPr>
                <w:webHidden/>
              </w:rPr>
              <w:instrText xml:space="preserve"> PAGEREF _Toc189830912 \h </w:instrText>
            </w:r>
            <w:r>
              <w:rPr>
                <w:webHidden/>
              </w:rPr>
            </w:r>
            <w:r>
              <w:rPr>
                <w:webHidden/>
              </w:rPr>
              <w:fldChar w:fldCharType="separate"/>
            </w:r>
            <w:r>
              <w:rPr>
                <w:webHidden/>
              </w:rPr>
              <w:t>2</w:t>
            </w:r>
            <w:r>
              <w:rPr>
                <w:webHidden/>
              </w:rPr>
              <w:fldChar w:fldCharType="end"/>
            </w:r>
          </w:hyperlink>
        </w:p>
        <w:p w14:paraId="7CA11FAC" w14:textId="23A09696" w:rsidR="00C03C62" w:rsidRDefault="00C03C62">
          <w:pPr>
            <w:pStyle w:val="TOC1"/>
            <w:rPr>
              <w:rFonts w:asciiTheme="minorHAnsi" w:eastAsiaTheme="minorEastAsia" w:hAnsiTheme="minorHAnsi" w:cstheme="minorBidi"/>
              <w:color w:val="auto"/>
              <w:kern w:val="2"/>
              <w14:ligatures w14:val="standardContextual"/>
            </w:rPr>
          </w:pPr>
          <w:hyperlink w:anchor="_Toc189830913" w:history="1">
            <w:r w:rsidRPr="00A44570">
              <w:rPr>
                <w:rStyle w:val="Hyperlink"/>
              </w:rPr>
              <w:t>Section 2 – Responsibilities of Canberra Health Services</w:t>
            </w:r>
            <w:r>
              <w:rPr>
                <w:webHidden/>
              </w:rPr>
              <w:tab/>
            </w:r>
            <w:r>
              <w:rPr>
                <w:webHidden/>
              </w:rPr>
              <w:fldChar w:fldCharType="begin"/>
            </w:r>
            <w:r>
              <w:rPr>
                <w:webHidden/>
              </w:rPr>
              <w:instrText xml:space="preserve"> PAGEREF _Toc189830913 \h </w:instrText>
            </w:r>
            <w:r>
              <w:rPr>
                <w:webHidden/>
              </w:rPr>
            </w:r>
            <w:r>
              <w:rPr>
                <w:webHidden/>
              </w:rPr>
              <w:fldChar w:fldCharType="separate"/>
            </w:r>
            <w:r>
              <w:rPr>
                <w:webHidden/>
              </w:rPr>
              <w:t>2</w:t>
            </w:r>
            <w:r>
              <w:rPr>
                <w:webHidden/>
              </w:rPr>
              <w:fldChar w:fldCharType="end"/>
            </w:r>
          </w:hyperlink>
        </w:p>
        <w:p w14:paraId="4C48F23C" w14:textId="08B8A96D" w:rsidR="00C03C62" w:rsidRDefault="00C03C62">
          <w:pPr>
            <w:pStyle w:val="TOC1"/>
            <w:rPr>
              <w:rFonts w:asciiTheme="minorHAnsi" w:eastAsiaTheme="minorEastAsia" w:hAnsiTheme="minorHAnsi" w:cstheme="minorBidi"/>
              <w:color w:val="auto"/>
              <w:kern w:val="2"/>
              <w14:ligatures w14:val="standardContextual"/>
            </w:rPr>
          </w:pPr>
          <w:hyperlink w:anchor="_Toc189830914" w:history="1">
            <w:r w:rsidRPr="00A44570">
              <w:rPr>
                <w:rStyle w:val="Hyperlink"/>
              </w:rPr>
              <w:t>Section 3 – Immediate Care After BBFE</w:t>
            </w:r>
            <w:r>
              <w:rPr>
                <w:webHidden/>
              </w:rPr>
              <w:tab/>
            </w:r>
            <w:r>
              <w:rPr>
                <w:webHidden/>
              </w:rPr>
              <w:fldChar w:fldCharType="begin"/>
            </w:r>
            <w:r>
              <w:rPr>
                <w:webHidden/>
              </w:rPr>
              <w:instrText xml:space="preserve"> PAGEREF _Toc189830914 \h </w:instrText>
            </w:r>
            <w:r>
              <w:rPr>
                <w:webHidden/>
              </w:rPr>
            </w:r>
            <w:r>
              <w:rPr>
                <w:webHidden/>
              </w:rPr>
              <w:fldChar w:fldCharType="separate"/>
            </w:r>
            <w:r>
              <w:rPr>
                <w:webHidden/>
              </w:rPr>
              <w:t>3</w:t>
            </w:r>
            <w:r>
              <w:rPr>
                <w:webHidden/>
              </w:rPr>
              <w:fldChar w:fldCharType="end"/>
            </w:r>
          </w:hyperlink>
        </w:p>
        <w:p w14:paraId="2581BF3D" w14:textId="1F63DDE3" w:rsidR="00C03C62" w:rsidRDefault="00C03C62">
          <w:pPr>
            <w:pStyle w:val="TOC1"/>
            <w:rPr>
              <w:rFonts w:asciiTheme="minorHAnsi" w:eastAsiaTheme="minorEastAsia" w:hAnsiTheme="minorHAnsi" w:cstheme="minorBidi"/>
              <w:color w:val="auto"/>
              <w:kern w:val="2"/>
              <w14:ligatures w14:val="standardContextual"/>
            </w:rPr>
          </w:pPr>
          <w:hyperlink w:anchor="_Toc189830915" w:history="1">
            <w:r w:rsidRPr="00A44570">
              <w:rPr>
                <w:rStyle w:val="Hyperlink"/>
              </w:rPr>
              <w:t>Section 4 – Risk Assessment of BBFE</w:t>
            </w:r>
            <w:r>
              <w:rPr>
                <w:webHidden/>
              </w:rPr>
              <w:tab/>
            </w:r>
            <w:r>
              <w:rPr>
                <w:webHidden/>
              </w:rPr>
              <w:fldChar w:fldCharType="begin"/>
            </w:r>
            <w:r>
              <w:rPr>
                <w:webHidden/>
              </w:rPr>
              <w:instrText xml:space="preserve"> PAGEREF _Toc189830915 \h </w:instrText>
            </w:r>
            <w:r>
              <w:rPr>
                <w:webHidden/>
              </w:rPr>
            </w:r>
            <w:r>
              <w:rPr>
                <w:webHidden/>
              </w:rPr>
              <w:fldChar w:fldCharType="separate"/>
            </w:r>
            <w:r>
              <w:rPr>
                <w:webHidden/>
              </w:rPr>
              <w:t>5</w:t>
            </w:r>
            <w:r>
              <w:rPr>
                <w:webHidden/>
              </w:rPr>
              <w:fldChar w:fldCharType="end"/>
            </w:r>
          </w:hyperlink>
        </w:p>
        <w:p w14:paraId="7D926006" w14:textId="242B3388" w:rsidR="00C03C62" w:rsidRDefault="00C03C62">
          <w:pPr>
            <w:pStyle w:val="TOC1"/>
            <w:rPr>
              <w:rFonts w:asciiTheme="minorHAnsi" w:eastAsiaTheme="minorEastAsia" w:hAnsiTheme="minorHAnsi" w:cstheme="minorBidi"/>
              <w:color w:val="auto"/>
              <w:kern w:val="2"/>
              <w14:ligatures w14:val="standardContextual"/>
            </w:rPr>
          </w:pPr>
          <w:hyperlink w:anchor="_Toc189830916" w:history="1">
            <w:r w:rsidRPr="00A44570">
              <w:rPr>
                <w:rStyle w:val="Hyperlink"/>
              </w:rPr>
              <w:t>Section 5 – Baseline Testing of the Exposed HCW</w:t>
            </w:r>
            <w:r>
              <w:rPr>
                <w:webHidden/>
              </w:rPr>
              <w:tab/>
            </w:r>
            <w:r>
              <w:rPr>
                <w:webHidden/>
              </w:rPr>
              <w:fldChar w:fldCharType="begin"/>
            </w:r>
            <w:r>
              <w:rPr>
                <w:webHidden/>
              </w:rPr>
              <w:instrText xml:space="preserve"> PAGEREF _Toc189830916 \h </w:instrText>
            </w:r>
            <w:r>
              <w:rPr>
                <w:webHidden/>
              </w:rPr>
            </w:r>
            <w:r>
              <w:rPr>
                <w:webHidden/>
              </w:rPr>
              <w:fldChar w:fldCharType="separate"/>
            </w:r>
            <w:r>
              <w:rPr>
                <w:webHidden/>
              </w:rPr>
              <w:t>8</w:t>
            </w:r>
            <w:r>
              <w:rPr>
                <w:webHidden/>
              </w:rPr>
              <w:fldChar w:fldCharType="end"/>
            </w:r>
          </w:hyperlink>
        </w:p>
        <w:p w14:paraId="737AB05A" w14:textId="65720C65" w:rsidR="00C03C62" w:rsidRDefault="00C03C62">
          <w:pPr>
            <w:pStyle w:val="TOC1"/>
            <w:rPr>
              <w:rFonts w:asciiTheme="minorHAnsi" w:eastAsiaTheme="minorEastAsia" w:hAnsiTheme="minorHAnsi" w:cstheme="minorBidi"/>
              <w:color w:val="auto"/>
              <w:kern w:val="2"/>
              <w14:ligatures w14:val="standardContextual"/>
            </w:rPr>
          </w:pPr>
          <w:hyperlink w:anchor="_Toc189830917" w:history="1">
            <w:r w:rsidRPr="00A44570">
              <w:rPr>
                <w:rStyle w:val="Hyperlink"/>
              </w:rPr>
              <w:t>Section 6 – Baseline Testing and Management of the Source</w:t>
            </w:r>
            <w:r>
              <w:rPr>
                <w:webHidden/>
              </w:rPr>
              <w:tab/>
            </w:r>
            <w:r>
              <w:rPr>
                <w:webHidden/>
              </w:rPr>
              <w:fldChar w:fldCharType="begin"/>
            </w:r>
            <w:r>
              <w:rPr>
                <w:webHidden/>
              </w:rPr>
              <w:instrText xml:space="preserve"> PAGEREF _Toc189830917 \h </w:instrText>
            </w:r>
            <w:r>
              <w:rPr>
                <w:webHidden/>
              </w:rPr>
            </w:r>
            <w:r>
              <w:rPr>
                <w:webHidden/>
              </w:rPr>
              <w:fldChar w:fldCharType="separate"/>
            </w:r>
            <w:r>
              <w:rPr>
                <w:webHidden/>
              </w:rPr>
              <w:t>9</w:t>
            </w:r>
            <w:r>
              <w:rPr>
                <w:webHidden/>
              </w:rPr>
              <w:fldChar w:fldCharType="end"/>
            </w:r>
          </w:hyperlink>
        </w:p>
        <w:p w14:paraId="44CC555F" w14:textId="28CB47ED" w:rsidR="00C03C62" w:rsidRDefault="00C03C62">
          <w:pPr>
            <w:pStyle w:val="TOC1"/>
            <w:rPr>
              <w:rFonts w:asciiTheme="minorHAnsi" w:eastAsiaTheme="minorEastAsia" w:hAnsiTheme="minorHAnsi" w:cstheme="minorBidi"/>
              <w:color w:val="auto"/>
              <w:kern w:val="2"/>
              <w14:ligatures w14:val="standardContextual"/>
            </w:rPr>
          </w:pPr>
          <w:hyperlink w:anchor="_Toc189830918" w:history="1">
            <w:r w:rsidRPr="00A44570">
              <w:rPr>
                <w:rStyle w:val="Hyperlink"/>
              </w:rPr>
              <w:t>Section 7 – Treatment of the Exposed HCW</w:t>
            </w:r>
            <w:r>
              <w:rPr>
                <w:webHidden/>
              </w:rPr>
              <w:tab/>
            </w:r>
            <w:r>
              <w:rPr>
                <w:webHidden/>
              </w:rPr>
              <w:fldChar w:fldCharType="begin"/>
            </w:r>
            <w:r>
              <w:rPr>
                <w:webHidden/>
              </w:rPr>
              <w:instrText xml:space="preserve"> PAGEREF _Toc189830918 \h </w:instrText>
            </w:r>
            <w:r>
              <w:rPr>
                <w:webHidden/>
              </w:rPr>
            </w:r>
            <w:r>
              <w:rPr>
                <w:webHidden/>
              </w:rPr>
              <w:fldChar w:fldCharType="separate"/>
            </w:r>
            <w:r>
              <w:rPr>
                <w:webHidden/>
              </w:rPr>
              <w:t>12</w:t>
            </w:r>
            <w:r>
              <w:rPr>
                <w:webHidden/>
              </w:rPr>
              <w:fldChar w:fldCharType="end"/>
            </w:r>
          </w:hyperlink>
        </w:p>
        <w:p w14:paraId="6DF3EDE8" w14:textId="29990D96" w:rsidR="00C03C62" w:rsidRDefault="00C03C62">
          <w:pPr>
            <w:pStyle w:val="TOC1"/>
            <w:rPr>
              <w:rFonts w:asciiTheme="minorHAnsi" w:eastAsiaTheme="minorEastAsia" w:hAnsiTheme="minorHAnsi" w:cstheme="minorBidi"/>
              <w:color w:val="auto"/>
              <w:kern w:val="2"/>
              <w14:ligatures w14:val="standardContextual"/>
            </w:rPr>
          </w:pPr>
          <w:hyperlink w:anchor="_Toc189830919" w:history="1">
            <w:r w:rsidRPr="00A44570">
              <w:rPr>
                <w:rStyle w:val="Hyperlink"/>
              </w:rPr>
              <w:t>Section 8 – Follow-Up Testing and Appointments</w:t>
            </w:r>
            <w:r>
              <w:rPr>
                <w:webHidden/>
              </w:rPr>
              <w:tab/>
            </w:r>
            <w:r>
              <w:rPr>
                <w:webHidden/>
              </w:rPr>
              <w:fldChar w:fldCharType="begin"/>
            </w:r>
            <w:r>
              <w:rPr>
                <w:webHidden/>
              </w:rPr>
              <w:instrText xml:space="preserve"> PAGEREF _Toc189830919 \h </w:instrText>
            </w:r>
            <w:r>
              <w:rPr>
                <w:webHidden/>
              </w:rPr>
            </w:r>
            <w:r>
              <w:rPr>
                <w:webHidden/>
              </w:rPr>
              <w:fldChar w:fldCharType="separate"/>
            </w:r>
            <w:r>
              <w:rPr>
                <w:webHidden/>
              </w:rPr>
              <w:t>16</w:t>
            </w:r>
            <w:r>
              <w:rPr>
                <w:webHidden/>
              </w:rPr>
              <w:fldChar w:fldCharType="end"/>
            </w:r>
          </w:hyperlink>
        </w:p>
        <w:p w14:paraId="41FAD9AA" w14:textId="171B160A" w:rsidR="00C03C62" w:rsidRDefault="00C03C62">
          <w:pPr>
            <w:pStyle w:val="TOC1"/>
            <w:rPr>
              <w:rFonts w:asciiTheme="minorHAnsi" w:eastAsiaTheme="minorEastAsia" w:hAnsiTheme="minorHAnsi" w:cstheme="minorBidi"/>
              <w:color w:val="auto"/>
              <w:kern w:val="2"/>
              <w14:ligatures w14:val="standardContextual"/>
            </w:rPr>
          </w:pPr>
          <w:hyperlink w:anchor="_Toc189830920" w:history="1">
            <w:r w:rsidRPr="00A44570">
              <w:rPr>
                <w:rStyle w:val="Hyperlink"/>
              </w:rPr>
              <w:t>Section 9 – Managing Injury and Illness at CHS</w:t>
            </w:r>
            <w:r>
              <w:rPr>
                <w:webHidden/>
              </w:rPr>
              <w:tab/>
            </w:r>
            <w:r>
              <w:rPr>
                <w:webHidden/>
              </w:rPr>
              <w:fldChar w:fldCharType="begin"/>
            </w:r>
            <w:r>
              <w:rPr>
                <w:webHidden/>
              </w:rPr>
              <w:instrText xml:space="preserve"> PAGEREF _Toc189830920 \h </w:instrText>
            </w:r>
            <w:r>
              <w:rPr>
                <w:webHidden/>
              </w:rPr>
            </w:r>
            <w:r>
              <w:rPr>
                <w:webHidden/>
              </w:rPr>
              <w:fldChar w:fldCharType="separate"/>
            </w:r>
            <w:r>
              <w:rPr>
                <w:webHidden/>
              </w:rPr>
              <w:t>18</w:t>
            </w:r>
            <w:r>
              <w:rPr>
                <w:webHidden/>
              </w:rPr>
              <w:fldChar w:fldCharType="end"/>
            </w:r>
          </w:hyperlink>
        </w:p>
        <w:p w14:paraId="4F7D1650" w14:textId="5C4F0C72" w:rsidR="00C03C62" w:rsidRDefault="00C03C62">
          <w:pPr>
            <w:pStyle w:val="TOC1"/>
            <w:rPr>
              <w:rFonts w:asciiTheme="minorHAnsi" w:eastAsiaTheme="minorEastAsia" w:hAnsiTheme="minorHAnsi" w:cstheme="minorBidi"/>
              <w:color w:val="auto"/>
              <w:kern w:val="2"/>
              <w14:ligatures w14:val="standardContextual"/>
            </w:rPr>
          </w:pPr>
          <w:hyperlink w:anchor="_Toc189830921" w:history="1">
            <w:r w:rsidRPr="00A44570">
              <w:rPr>
                <w:rStyle w:val="Hyperlink"/>
              </w:rPr>
              <w:t>Section 10 – Consumer Exposed to Blood and Bodily Fluid of Healthcare Worker or other CHS Consumer</w:t>
            </w:r>
            <w:r>
              <w:rPr>
                <w:webHidden/>
              </w:rPr>
              <w:tab/>
            </w:r>
            <w:r>
              <w:rPr>
                <w:webHidden/>
              </w:rPr>
              <w:fldChar w:fldCharType="begin"/>
            </w:r>
            <w:r>
              <w:rPr>
                <w:webHidden/>
              </w:rPr>
              <w:instrText xml:space="preserve"> PAGEREF _Toc189830921 \h </w:instrText>
            </w:r>
            <w:r>
              <w:rPr>
                <w:webHidden/>
              </w:rPr>
            </w:r>
            <w:r>
              <w:rPr>
                <w:webHidden/>
              </w:rPr>
              <w:fldChar w:fldCharType="separate"/>
            </w:r>
            <w:r>
              <w:rPr>
                <w:webHidden/>
              </w:rPr>
              <w:t>19</w:t>
            </w:r>
            <w:r>
              <w:rPr>
                <w:webHidden/>
              </w:rPr>
              <w:fldChar w:fldCharType="end"/>
            </w:r>
          </w:hyperlink>
        </w:p>
        <w:p w14:paraId="0CCDE6D0" w14:textId="750B49C2" w:rsidR="00C03C62" w:rsidRDefault="00C03C62">
          <w:pPr>
            <w:pStyle w:val="TOC1"/>
            <w:rPr>
              <w:rFonts w:asciiTheme="minorHAnsi" w:eastAsiaTheme="minorEastAsia" w:hAnsiTheme="minorHAnsi" w:cstheme="minorBidi"/>
              <w:color w:val="auto"/>
              <w:kern w:val="2"/>
              <w14:ligatures w14:val="standardContextual"/>
            </w:rPr>
          </w:pPr>
          <w:hyperlink w:anchor="_Toc189830922" w:history="1">
            <w:r w:rsidRPr="00A44570">
              <w:rPr>
                <w:rStyle w:val="Hyperlink"/>
              </w:rPr>
              <w:t>Related policies, procedures, guidelines and legislation</w:t>
            </w:r>
            <w:r>
              <w:rPr>
                <w:webHidden/>
              </w:rPr>
              <w:tab/>
            </w:r>
            <w:r>
              <w:rPr>
                <w:webHidden/>
              </w:rPr>
              <w:fldChar w:fldCharType="begin"/>
            </w:r>
            <w:r>
              <w:rPr>
                <w:webHidden/>
              </w:rPr>
              <w:instrText xml:space="preserve"> PAGEREF _Toc189830922 \h </w:instrText>
            </w:r>
            <w:r>
              <w:rPr>
                <w:webHidden/>
              </w:rPr>
            </w:r>
            <w:r>
              <w:rPr>
                <w:webHidden/>
              </w:rPr>
              <w:fldChar w:fldCharType="separate"/>
            </w:r>
            <w:r>
              <w:rPr>
                <w:webHidden/>
              </w:rPr>
              <w:t>20</w:t>
            </w:r>
            <w:r>
              <w:rPr>
                <w:webHidden/>
              </w:rPr>
              <w:fldChar w:fldCharType="end"/>
            </w:r>
          </w:hyperlink>
        </w:p>
        <w:p w14:paraId="521C74AE" w14:textId="7EC17E63" w:rsidR="00C03C62" w:rsidRDefault="00C03C62">
          <w:pPr>
            <w:pStyle w:val="TOC1"/>
            <w:rPr>
              <w:rFonts w:asciiTheme="minorHAnsi" w:eastAsiaTheme="minorEastAsia" w:hAnsiTheme="minorHAnsi" w:cstheme="minorBidi"/>
              <w:color w:val="auto"/>
              <w:kern w:val="2"/>
              <w14:ligatures w14:val="standardContextual"/>
            </w:rPr>
          </w:pPr>
          <w:hyperlink w:anchor="_Toc189830923" w:history="1">
            <w:r w:rsidRPr="00A44570">
              <w:rPr>
                <w:rStyle w:val="Hyperlink"/>
              </w:rPr>
              <w:t>Definition of Terms</w:t>
            </w:r>
            <w:r>
              <w:rPr>
                <w:webHidden/>
              </w:rPr>
              <w:tab/>
            </w:r>
            <w:r>
              <w:rPr>
                <w:webHidden/>
              </w:rPr>
              <w:fldChar w:fldCharType="begin"/>
            </w:r>
            <w:r>
              <w:rPr>
                <w:webHidden/>
              </w:rPr>
              <w:instrText xml:space="preserve"> PAGEREF _Toc189830923 \h </w:instrText>
            </w:r>
            <w:r>
              <w:rPr>
                <w:webHidden/>
              </w:rPr>
            </w:r>
            <w:r>
              <w:rPr>
                <w:webHidden/>
              </w:rPr>
              <w:fldChar w:fldCharType="separate"/>
            </w:r>
            <w:r>
              <w:rPr>
                <w:webHidden/>
              </w:rPr>
              <w:t>21</w:t>
            </w:r>
            <w:r>
              <w:rPr>
                <w:webHidden/>
              </w:rPr>
              <w:fldChar w:fldCharType="end"/>
            </w:r>
          </w:hyperlink>
        </w:p>
        <w:p w14:paraId="28B51D1D" w14:textId="2990815A" w:rsidR="00C03C62" w:rsidRDefault="00C03C62">
          <w:pPr>
            <w:pStyle w:val="TOC1"/>
            <w:rPr>
              <w:rFonts w:asciiTheme="minorHAnsi" w:eastAsiaTheme="minorEastAsia" w:hAnsiTheme="minorHAnsi" w:cstheme="minorBidi"/>
              <w:color w:val="auto"/>
              <w:kern w:val="2"/>
              <w14:ligatures w14:val="standardContextual"/>
            </w:rPr>
          </w:pPr>
          <w:hyperlink w:anchor="_Toc189830924" w:history="1">
            <w:r w:rsidRPr="00A44570">
              <w:rPr>
                <w:rStyle w:val="Hyperlink"/>
              </w:rPr>
              <w:t>Evaluation</w:t>
            </w:r>
            <w:r>
              <w:rPr>
                <w:webHidden/>
              </w:rPr>
              <w:tab/>
            </w:r>
            <w:r>
              <w:rPr>
                <w:webHidden/>
              </w:rPr>
              <w:fldChar w:fldCharType="begin"/>
            </w:r>
            <w:r>
              <w:rPr>
                <w:webHidden/>
              </w:rPr>
              <w:instrText xml:space="preserve"> PAGEREF _Toc189830924 \h </w:instrText>
            </w:r>
            <w:r>
              <w:rPr>
                <w:webHidden/>
              </w:rPr>
            </w:r>
            <w:r>
              <w:rPr>
                <w:webHidden/>
              </w:rPr>
              <w:fldChar w:fldCharType="separate"/>
            </w:r>
            <w:r>
              <w:rPr>
                <w:webHidden/>
              </w:rPr>
              <w:t>22</w:t>
            </w:r>
            <w:r>
              <w:rPr>
                <w:webHidden/>
              </w:rPr>
              <w:fldChar w:fldCharType="end"/>
            </w:r>
          </w:hyperlink>
        </w:p>
        <w:p w14:paraId="472ABC93" w14:textId="36B6E2A1" w:rsidR="00C03C62" w:rsidRDefault="00C03C62">
          <w:pPr>
            <w:pStyle w:val="TOC1"/>
            <w:rPr>
              <w:rFonts w:asciiTheme="minorHAnsi" w:eastAsiaTheme="minorEastAsia" w:hAnsiTheme="minorHAnsi" w:cstheme="minorBidi"/>
              <w:color w:val="auto"/>
              <w:kern w:val="2"/>
              <w14:ligatures w14:val="standardContextual"/>
            </w:rPr>
          </w:pPr>
          <w:hyperlink w:anchor="_Toc189830925" w:history="1">
            <w:r w:rsidRPr="00A44570">
              <w:rPr>
                <w:rStyle w:val="Hyperlink"/>
              </w:rPr>
              <w:t>References</w:t>
            </w:r>
            <w:r>
              <w:rPr>
                <w:webHidden/>
              </w:rPr>
              <w:tab/>
            </w:r>
            <w:r>
              <w:rPr>
                <w:webHidden/>
              </w:rPr>
              <w:fldChar w:fldCharType="begin"/>
            </w:r>
            <w:r>
              <w:rPr>
                <w:webHidden/>
              </w:rPr>
              <w:instrText xml:space="preserve"> PAGEREF _Toc189830925 \h </w:instrText>
            </w:r>
            <w:r>
              <w:rPr>
                <w:webHidden/>
              </w:rPr>
            </w:r>
            <w:r>
              <w:rPr>
                <w:webHidden/>
              </w:rPr>
              <w:fldChar w:fldCharType="separate"/>
            </w:r>
            <w:r>
              <w:rPr>
                <w:webHidden/>
              </w:rPr>
              <w:t>22</w:t>
            </w:r>
            <w:r>
              <w:rPr>
                <w:webHidden/>
              </w:rPr>
              <w:fldChar w:fldCharType="end"/>
            </w:r>
          </w:hyperlink>
        </w:p>
        <w:p w14:paraId="4D91217A" w14:textId="299E769A" w:rsidR="00C03C62" w:rsidRDefault="00C03C62">
          <w:pPr>
            <w:pStyle w:val="TOC1"/>
            <w:rPr>
              <w:rFonts w:asciiTheme="minorHAnsi" w:eastAsiaTheme="minorEastAsia" w:hAnsiTheme="minorHAnsi" w:cstheme="minorBidi"/>
              <w:color w:val="auto"/>
              <w:kern w:val="2"/>
              <w14:ligatures w14:val="standardContextual"/>
            </w:rPr>
          </w:pPr>
          <w:hyperlink w:anchor="_Toc189830926" w:history="1">
            <w:r w:rsidRPr="00A44570">
              <w:rPr>
                <w:rStyle w:val="Hyperlink"/>
              </w:rPr>
              <w:t>Search terms</w:t>
            </w:r>
            <w:r>
              <w:rPr>
                <w:webHidden/>
              </w:rPr>
              <w:tab/>
            </w:r>
            <w:r>
              <w:rPr>
                <w:webHidden/>
              </w:rPr>
              <w:fldChar w:fldCharType="begin"/>
            </w:r>
            <w:r>
              <w:rPr>
                <w:webHidden/>
              </w:rPr>
              <w:instrText xml:space="preserve"> PAGEREF _Toc189830926 \h </w:instrText>
            </w:r>
            <w:r>
              <w:rPr>
                <w:webHidden/>
              </w:rPr>
            </w:r>
            <w:r>
              <w:rPr>
                <w:webHidden/>
              </w:rPr>
              <w:fldChar w:fldCharType="separate"/>
            </w:r>
            <w:r>
              <w:rPr>
                <w:webHidden/>
              </w:rPr>
              <w:t>22</w:t>
            </w:r>
            <w:r>
              <w:rPr>
                <w:webHidden/>
              </w:rPr>
              <w:fldChar w:fldCharType="end"/>
            </w:r>
          </w:hyperlink>
        </w:p>
        <w:p w14:paraId="53BE2980" w14:textId="238B1489" w:rsidR="00C03C62" w:rsidRDefault="00C03C62">
          <w:pPr>
            <w:pStyle w:val="TOC1"/>
            <w:rPr>
              <w:rFonts w:asciiTheme="minorHAnsi" w:eastAsiaTheme="minorEastAsia" w:hAnsiTheme="minorHAnsi" w:cstheme="minorBidi"/>
              <w:color w:val="auto"/>
              <w:kern w:val="2"/>
              <w14:ligatures w14:val="standardContextual"/>
            </w:rPr>
          </w:pPr>
          <w:hyperlink w:anchor="_Toc189830927" w:history="1">
            <w:r w:rsidRPr="00A44570">
              <w:rPr>
                <w:rStyle w:val="Hyperlink"/>
              </w:rPr>
              <w:t>Attachments</w:t>
            </w:r>
            <w:r>
              <w:rPr>
                <w:webHidden/>
              </w:rPr>
              <w:tab/>
            </w:r>
            <w:r>
              <w:rPr>
                <w:webHidden/>
              </w:rPr>
              <w:fldChar w:fldCharType="begin"/>
            </w:r>
            <w:r>
              <w:rPr>
                <w:webHidden/>
              </w:rPr>
              <w:instrText xml:space="preserve"> PAGEREF _Toc189830927 \h </w:instrText>
            </w:r>
            <w:r>
              <w:rPr>
                <w:webHidden/>
              </w:rPr>
            </w:r>
            <w:r>
              <w:rPr>
                <w:webHidden/>
              </w:rPr>
              <w:fldChar w:fldCharType="separate"/>
            </w:r>
            <w:r>
              <w:rPr>
                <w:webHidden/>
              </w:rPr>
              <w:t>22</w:t>
            </w:r>
            <w:r>
              <w:rPr>
                <w:webHidden/>
              </w:rPr>
              <w:fldChar w:fldCharType="end"/>
            </w:r>
          </w:hyperlink>
        </w:p>
        <w:p w14:paraId="414AE7B8" w14:textId="3E076C9B" w:rsidR="00C03C62" w:rsidRDefault="00C03C62">
          <w:pPr>
            <w:pStyle w:val="TOC1"/>
            <w:rPr>
              <w:rFonts w:asciiTheme="minorHAnsi" w:eastAsiaTheme="minorEastAsia" w:hAnsiTheme="minorHAnsi" w:cstheme="minorBidi"/>
              <w:color w:val="auto"/>
              <w:kern w:val="2"/>
              <w14:ligatures w14:val="standardContextual"/>
            </w:rPr>
          </w:pPr>
          <w:hyperlink w:anchor="_Toc189830928" w:history="1">
            <w:r w:rsidRPr="00A44570">
              <w:rPr>
                <w:rStyle w:val="Hyperlink"/>
              </w:rPr>
              <w:t>Attachment 1 - Management of Blood and Bodily Fluid Exposures</w:t>
            </w:r>
            <w:r>
              <w:rPr>
                <w:webHidden/>
              </w:rPr>
              <w:tab/>
            </w:r>
            <w:r>
              <w:rPr>
                <w:webHidden/>
              </w:rPr>
              <w:fldChar w:fldCharType="begin"/>
            </w:r>
            <w:r>
              <w:rPr>
                <w:webHidden/>
              </w:rPr>
              <w:instrText xml:space="preserve"> PAGEREF _Toc189830928 \h </w:instrText>
            </w:r>
            <w:r>
              <w:rPr>
                <w:webHidden/>
              </w:rPr>
            </w:r>
            <w:r>
              <w:rPr>
                <w:webHidden/>
              </w:rPr>
              <w:fldChar w:fldCharType="separate"/>
            </w:r>
            <w:r>
              <w:rPr>
                <w:webHidden/>
              </w:rPr>
              <w:t>24</w:t>
            </w:r>
            <w:r>
              <w:rPr>
                <w:webHidden/>
              </w:rPr>
              <w:fldChar w:fldCharType="end"/>
            </w:r>
          </w:hyperlink>
        </w:p>
        <w:p w14:paraId="71A85DF9" w14:textId="1157FACD" w:rsidR="00C03C62" w:rsidRDefault="00C03C62">
          <w:pPr>
            <w:pStyle w:val="TOC1"/>
            <w:rPr>
              <w:rFonts w:asciiTheme="minorHAnsi" w:eastAsiaTheme="minorEastAsia" w:hAnsiTheme="minorHAnsi" w:cstheme="minorBidi"/>
              <w:color w:val="auto"/>
              <w:kern w:val="2"/>
              <w14:ligatures w14:val="standardContextual"/>
            </w:rPr>
          </w:pPr>
          <w:hyperlink w:anchor="_Toc189830929" w:history="1">
            <w:r w:rsidRPr="00A44570">
              <w:rPr>
                <w:rStyle w:val="Hyperlink"/>
              </w:rPr>
              <w:t>Attachment 2 – Quick Risk Assessment Tool</w:t>
            </w:r>
            <w:r>
              <w:rPr>
                <w:webHidden/>
              </w:rPr>
              <w:tab/>
            </w:r>
            <w:r>
              <w:rPr>
                <w:webHidden/>
              </w:rPr>
              <w:fldChar w:fldCharType="begin"/>
            </w:r>
            <w:r>
              <w:rPr>
                <w:webHidden/>
              </w:rPr>
              <w:instrText xml:space="preserve"> PAGEREF _Toc189830929 \h </w:instrText>
            </w:r>
            <w:r>
              <w:rPr>
                <w:webHidden/>
              </w:rPr>
            </w:r>
            <w:r>
              <w:rPr>
                <w:webHidden/>
              </w:rPr>
              <w:fldChar w:fldCharType="separate"/>
            </w:r>
            <w:r>
              <w:rPr>
                <w:webHidden/>
              </w:rPr>
              <w:t>25</w:t>
            </w:r>
            <w:r>
              <w:rPr>
                <w:webHidden/>
              </w:rPr>
              <w:fldChar w:fldCharType="end"/>
            </w:r>
          </w:hyperlink>
        </w:p>
        <w:p w14:paraId="632A1B62" w14:textId="662B4528" w:rsidR="00C03C62" w:rsidRDefault="00C03C62">
          <w:pPr>
            <w:pStyle w:val="TOC1"/>
            <w:rPr>
              <w:rFonts w:asciiTheme="minorHAnsi" w:eastAsiaTheme="minorEastAsia" w:hAnsiTheme="minorHAnsi" w:cstheme="minorBidi"/>
              <w:color w:val="auto"/>
              <w:kern w:val="2"/>
              <w14:ligatures w14:val="standardContextual"/>
            </w:rPr>
          </w:pPr>
          <w:hyperlink w:anchor="_Toc189830930" w:history="1">
            <w:r w:rsidRPr="00A44570">
              <w:rPr>
                <w:rStyle w:val="Hyperlink"/>
              </w:rPr>
              <w:t>Attachment 3 – Risk Management Matrix</w:t>
            </w:r>
            <w:r>
              <w:rPr>
                <w:webHidden/>
              </w:rPr>
              <w:tab/>
            </w:r>
            <w:r>
              <w:rPr>
                <w:webHidden/>
              </w:rPr>
              <w:fldChar w:fldCharType="begin"/>
            </w:r>
            <w:r>
              <w:rPr>
                <w:webHidden/>
              </w:rPr>
              <w:instrText xml:space="preserve"> PAGEREF _Toc189830930 \h </w:instrText>
            </w:r>
            <w:r>
              <w:rPr>
                <w:webHidden/>
              </w:rPr>
            </w:r>
            <w:r>
              <w:rPr>
                <w:webHidden/>
              </w:rPr>
              <w:fldChar w:fldCharType="separate"/>
            </w:r>
            <w:r>
              <w:rPr>
                <w:webHidden/>
              </w:rPr>
              <w:t>26</w:t>
            </w:r>
            <w:r>
              <w:rPr>
                <w:webHidden/>
              </w:rPr>
              <w:fldChar w:fldCharType="end"/>
            </w:r>
          </w:hyperlink>
        </w:p>
        <w:p w14:paraId="240E945A" w14:textId="6169573D"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5E5E1942" w14:textId="77777777" w:rsidR="00FE46F1" w:rsidRDefault="00FE46F1">
      <w:pPr>
        <w:spacing w:before="0" w:after="0" w:line="240" w:lineRule="auto"/>
        <w:rPr>
          <w:rFonts w:eastAsia="Times New Roman"/>
          <w:b/>
          <w:color w:val="FFFFFF" w:themeColor="background1"/>
          <w:szCs w:val="80"/>
          <w:lang w:eastAsia="en-US"/>
        </w:rPr>
      </w:pPr>
    </w:p>
    <w:p w14:paraId="5AFBEDA3" w14:textId="77777777" w:rsidR="00201AF6" w:rsidRDefault="00201AF6">
      <w:pPr>
        <w:spacing w:before="0" w:after="0" w:line="240" w:lineRule="auto"/>
        <w:rPr>
          <w:rFonts w:eastAsia="Times New Roman"/>
          <w:b/>
          <w:bCs/>
          <w:iCs/>
          <w:color w:val="FFFFFF" w:themeColor="background1"/>
          <w:lang w:eastAsia="en-US"/>
        </w:rPr>
      </w:pPr>
      <w:r>
        <w:br w:type="page"/>
      </w:r>
    </w:p>
    <w:p w14:paraId="0DD87F4D" w14:textId="3CDAA1EA" w:rsidR="0078367D" w:rsidRPr="00036249" w:rsidRDefault="003254E1" w:rsidP="006F003D">
      <w:pPr>
        <w:pStyle w:val="Heading4"/>
      </w:pPr>
      <w:bookmarkStart w:id="1" w:name="_Toc189830910"/>
      <w:r>
        <w:lastRenderedPageBreak/>
        <w:t>Purpose</w:t>
      </w:r>
      <w:bookmarkEnd w:id="1"/>
      <w:r w:rsidR="009746B1" w:rsidRPr="00036249">
        <w:t xml:space="preserve"> </w:t>
      </w:r>
    </w:p>
    <w:p w14:paraId="5B4E25F3" w14:textId="25F6539F" w:rsidR="003254E1" w:rsidRPr="000C2A25" w:rsidRDefault="000C2A25" w:rsidP="000C2A25">
      <w:r>
        <w:t xml:space="preserve">This guideline provides information for all Canberra Health Services (CHS) staff on the management of occupational blood and body fluid exposures (BBFE). </w:t>
      </w:r>
    </w:p>
    <w:p w14:paraId="6012CA05"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5348ED29" w14:textId="77777777" w:rsidR="003254E1" w:rsidRPr="00F827BB" w:rsidRDefault="003254E1" w:rsidP="00F827BB">
      <w:pPr>
        <w:pStyle w:val="Heading4"/>
      </w:pPr>
      <w:bookmarkStart w:id="2" w:name="_Toc189830911"/>
      <w:r w:rsidRPr="00F827BB">
        <w:t>Scope</w:t>
      </w:r>
      <w:bookmarkEnd w:id="2"/>
    </w:p>
    <w:p w14:paraId="10BDCB02" w14:textId="185B9E6C" w:rsidR="003254E1" w:rsidRPr="000C2A25" w:rsidRDefault="000C2A25" w:rsidP="000C2A25">
      <w:pPr>
        <w:outlineLvl w:val="0"/>
      </w:pPr>
      <w:r>
        <w:t xml:space="preserve">This procedure applies to all CHS </w:t>
      </w:r>
      <w:r w:rsidR="00F827BB">
        <w:t xml:space="preserve">Network </w:t>
      </w:r>
      <w:r>
        <w:t>staff, including contractors and students.</w:t>
      </w:r>
      <w:r w:rsidR="00F827BB">
        <w:t xml:space="preserve"> CHS Network includes the inpatient facilities at Canberra Hospital,</w:t>
      </w:r>
      <w:r w:rsidR="00BB51CB">
        <w:t xml:space="preserve"> </w:t>
      </w:r>
      <w:r w:rsidR="00F827BB">
        <w:t xml:space="preserve">Clare Holland House, </w:t>
      </w:r>
      <w:r w:rsidR="00C41A2D">
        <w:t xml:space="preserve">North Canberra Hospital, </w:t>
      </w:r>
      <w:r w:rsidR="00F827BB">
        <w:t xml:space="preserve">and University of Canberra Hospital and </w:t>
      </w:r>
      <w:proofErr w:type="gramStart"/>
      <w:r w:rsidR="00F827BB">
        <w:t>community based</w:t>
      </w:r>
      <w:proofErr w:type="gramEnd"/>
      <w:r w:rsidR="00F827BB">
        <w:t xml:space="preserve"> services. </w:t>
      </w:r>
      <w:r>
        <w:t>Compliance with the requirements of this procedure is mandatory.</w:t>
      </w:r>
    </w:p>
    <w:p w14:paraId="5C21D801"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196874C2" w14:textId="5E6F3757" w:rsidR="0078367D" w:rsidRPr="00F827BB" w:rsidRDefault="0078367D" w:rsidP="00F827BB">
      <w:pPr>
        <w:pStyle w:val="Heading4"/>
      </w:pPr>
      <w:bookmarkStart w:id="3" w:name="_Toc189830912"/>
      <w:r w:rsidRPr="00F827BB">
        <w:t xml:space="preserve">Section 1 </w:t>
      </w:r>
      <w:r w:rsidR="000C2A25" w:rsidRPr="00F827BB">
        <w:t>–</w:t>
      </w:r>
      <w:r w:rsidRPr="00F827BB">
        <w:t xml:space="preserve"> </w:t>
      </w:r>
      <w:r w:rsidR="000C2A25" w:rsidRPr="00F827BB">
        <w:t>Introduction</w:t>
      </w:r>
      <w:bookmarkEnd w:id="3"/>
      <w:r w:rsidR="000C2A25" w:rsidRPr="00F827BB">
        <w:t xml:space="preserve"> </w:t>
      </w:r>
    </w:p>
    <w:p w14:paraId="028C127C" w14:textId="43B64F35" w:rsidR="000C2A25" w:rsidRPr="005F363F" w:rsidRDefault="000C2A25" w:rsidP="000C2A25">
      <w:pPr>
        <w:rPr>
          <w:bCs/>
          <w:szCs w:val="22"/>
        </w:rPr>
      </w:pPr>
      <w:r>
        <w:rPr>
          <w:bCs/>
          <w:szCs w:val="22"/>
        </w:rPr>
        <w:t>BBFEs</w:t>
      </w:r>
      <w:r w:rsidRPr="005F363F">
        <w:rPr>
          <w:bCs/>
          <w:szCs w:val="22"/>
        </w:rPr>
        <w:t xml:space="preserve"> </w:t>
      </w:r>
      <w:r>
        <w:rPr>
          <w:bCs/>
          <w:szCs w:val="22"/>
        </w:rPr>
        <w:t>are</w:t>
      </w:r>
      <w:r w:rsidRPr="005F363F">
        <w:rPr>
          <w:bCs/>
          <w:szCs w:val="22"/>
        </w:rPr>
        <w:t xml:space="preserve"> incident</w:t>
      </w:r>
      <w:r>
        <w:rPr>
          <w:bCs/>
          <w:szCs w:val="22"/>
        </w:rPr>
        <w:t>s</w:t>
      </w:r>
      <w:r w:rsidRPr="005F363F">
        <w:rPr>
          <w:bCs/>
          <w:szCs w:val="22"/>
        </w:rPr>
        <w:t xml:space="preserve"> that occur during a </w:t>
      </w:r>
      <w:r w:rsidR="00F827BB">
        <w:rPr>
          <w:bCs/>
          <w:szCs w:val="22"/>
        </w:rPr>
        <w:t>health care worker’s (</w:t>
      </w:r>
      <w:r w:rsidRPr="005F363F">
        <w:rPr>
          <w:bCs/>
          <w:szCs w:val="22"/>
        </w:rPr>
        <w:t>HCW</w:t>
      </w:r>
      <w:r w:rsidR="00F827BB">
        <w:rPr>
          <w:bCs/>
          <w:szCs w:val="22"/>
        </w:rPr>
        <w:t>)</w:t>
      </w:r>
      <w:r w:rsidRPr="005F363F">
        <w:rPr>
          <w:bCs/>
          <w:szCs w:val="22"/>
        </w:rPr>
        <w:t xml:space="preserve"> employment and involve contact with blood or other body fluids. Such exposures may put the HCW at risk of acquiring a </w:t>
      </w:r>
      <w:r>
        <w:rPr>
          <w:bCs/>
          <w:szCs w:val="22"/>
        </w:rPr>
        <w:t>blood borne virus (BBV), including human immunodeficiency virus (HIV), hepatitis B virus (HBV) and hepatitis C virus (HCV)</w:t>
      </w:r>
      <w:r w:rsidRPr="005F363F">
        <w:rPr>
          <w:bCs/>
          <w:szCs w:val="22"/>
        </w:rPr>
        <w:t xml:space="preserve">. </w:t>
      </w:r>
    </w:p>
    <w:p w14:paraId="52ADC3E9" w14:textId="77777777" w:rsidR="000C2A25" w:rsidRPr="005F363F" w:rsidRDefault="000C2A25" w:rsidP="006F003D">
      <w:pPr>
        <w:tabs>
          <w:tab w:val="left" w:pos="6137"/>
        </w:tabs>
        <w:spacing w:before="0" w:after="0"/>
        <w:rPr>
          <w:szCs w:val="22"/>
        </w:rPr>
      </w:pPr>
      <w:r>
        <w:rPr>
          <w:szCs w:val="22"/>
        </w:rPr>
        <w:t>A BBFE</w:t>
      </w:r>
      <w:r w:rsidRPr="005F363F">
        <w:rPr>
          <w:szCs w:val="22"/>
        </w:rPr>
        <w:t xml:space="preserve"> may involve a:</w:t>
      </w:r>
      <w:r w:rsidRPr="005F363F">
        <w:rPr>
          <w:szCs w:val="22"/>
        </w:rPr>
        <w:tab/>
      </w:r>
    </w:p>
    <w:p w14:paraId="6F41A992" w14:textId="08391424" w:rsidR="000C2A25" w:rsidRPr="000C2A25" w:rsidRDefault="00F827BB" w:rsidP="00F827BB">
      <w:pPr>
        <w:pStyle w:val="Bullet"/>
      </w:pPr>
      <w:r>
        <w:t>n</w:t>
      </w:r>
      <w:r w:rsidR="000C2A25" w:rsidRPr="000C2A25">
        <w:t xml:space="preserve">eedlestick injury or other sharps exposure such </w:t>
      </w:r>
      <w:proofErr w:type="gramStart"/>
      <w:r w:rsidR="000C2A25" w:rsidRPr="000C2A25">
        <w:t>as;</w:t>
      </w:r>
      <w:proofErr w:type="gramEnd"/>
      <w:r w:rsidR="000C2A25" w:rsidRPr="000C2A25">
        <w:t xml:space="preserve"> </w:t>
      </w:r>
    </w:p>
    <w:p w14:paraId="45133469" w14:textId="77777777" w:rsidR="000C2A25" w:rsidRPr="000C2A25" w:rsidRDefault="000C2A25" w:rsidP="00F827BB">
      <w:pPr>
        <w:pStyle w:val="Bullet"/>
        <w:numPr>
          <w:ilvl w:val="1"/>
          <w:numId w:val="1"/>
        </w:numPr>
      </w:pPr>
      <w:r w:rsidRPr="000C2A25">
        <w:t xml:space="preserve">hollow bore needles (e.g. venepuncture needle) </w:t>
      </w:r>
    </w:p>
    <w:p w14:paraId="0CCE690E" w14:textId="26BD8582" w:rsidR="000C2A25" w:rsidRPr="000C2A25" w:rsidRDefault="000C2A25" w:rsidP="00F827BB">
      <w:pPr>
        <w:pStyle w:val="Bullet"/>
        <w:numPr>
          <w:ilvl w:val="1"/>
          <w:numId w:val="1"/>
        </w:numPr>
      </w:pPr>
      <w:r w:rsidRPr="000C2A25">
        <w:t>non-hollow bore sharps (e.g. scalpel, broken bones, or teeth).</w:t>
      </w:r>
    </w:p>
    <w:p w14:paraId="65A0E772" w14:textId="349CA123" w:rsidR="000C2A25" w:rsidRPr="000C2A25" w:rsidRDefault="00F827BB" w:rsidP="00F827BB">
      <w:pPr>
        <w:pStyle w:val="Bullet"/>
        <w:rPr>
          <w:b/>
          <w:bCs/>
          <w:u w:val="single"/>
        </w:rPr>
      </w:pPr>
      <w:r>
        <w:t>m</w:t>
      </w:r>
      <w:r w:rsidR="000C2A25" w:rsidRPr="000C2A25">
        <w:t>ucous membrane splash</w:t>
      </w:r>
    </w:p>
    <w:p w14:paraId="418707A8" w14:textId="4627D11E" w:rsidR="000C2A25" w:rsidRPr="00F827BB" w:rsidRDefault="00F827BB" w:rsidP="00F827BB">
      <w:pPr>
        <w:pStyle w:val="Bullet"/>
        <w:rPr>
          <w:b/>
          <w:bCs/>
          <w:u w:val="single"/>
        </w:rPr>
      </w:pPr>
      <w:r>
        <w:t>n</w:t>
      </w:r>
      <w:r w:rsidR="000C2A25" w:rsidRPr="000C2A25">
        <w:t>on-intact skin exposure, scratch, or bite.</w:t>
      </w:r>
    </w:p>
    <w:p w14:paraId="36B40EF3" w14:textId="24EEB06F" w:rsidR="000C2A25" w:rsidRPr="00F827BB" w:rsidRDefault="000C2A25" w:rsidP="000C2A25">
      <w:pPr>
        <w:rPr>
          <w:bCs/>
          <w:szCs w:val="22"/>
        </w:rPr>
      </w:pPr>
      <w:r w:rsidRPr="00296017">
        <w:rPr>
          <w:szCs w:val="22"/>
        </w:rPr>
        <w:t>Prevention</w:t>
      </w:r>
      <w:r w:rsidRPr="00E02CA3">
        <w:rPr>
          <w:szCs w:val="22"/>
        </w:rPr>
        <w:t xml:space="preserve"> </w:t>
      </w:r>
      <w:r w:rsidRPr="005F363F">
        <w:rPr>
          <w:bCs/>
          <w:szCs w:val="22"/>
        </w:rPr>
        <w:t xml:space="preserve">of exposure to blood or other body fluids by adherence to standard precautions, as well as HBV immunisation, remains the first line of protection against </w:t>
      </w:r>
      <w:r>
        <w:rPr>
          <w:bCs/>
          <w:szCs w:val="22"/>
        </w:rPr>
        <w:t xml:space="preserve">occupational acquisition of HIV, HBV, and HCV. Refer to the </w:t>
      </w:r>
      <w:r w:rsidRPr="00827C54">
        <w:rPr>
          <w:bCs/>
          <w:i/>
          <w:iCs/>
          <w:szCs w:val="22"/>
        </w:rPr>
        <w:t>Infection Prevention and Control Procedure</w:t>
      </w:r>
      <w:r>
        <w:rPr>
          <w:bCs/>
          <w:szCs w:val="22"/>
        </w:rPr>
        <w:t xml:space="preserve"> and </w:t>
      </w:r>
      <w:r w:rsidRPr="00827C54">
        <w:rPr>
          <w:bCs/>
          <w:i/>
          <w:iCs/>
          <w:szCs w:val="22"/>
        </w:rPr>
        <w:t xml:space="preserve">Occupational Assessment </w:t>
      </w:r>
      <w:r>
        <w:rPr>
          <w:bCs/>
          <w:i/>
          <w:iCs/>
          <w:szCs w:val="22"/>
        </w:rPr>
        <w:t xml:space="preserve">Screening and </w:t>
      </w:r>
      <w:r w:rsidRPr="00827C54">
        <w:rPr>
          <w:bCs/>
          <w:i/>
          <w:iCs/>
          <w:szCs w:val="22"/>
        </w:rPr>
        <w:t>Vaccination Procedure</w:t>
      </w:r>
      <w:r>
        <w:rPr>
          <w:bCs/>
          <w:i/>
          <w:iCs/>
          <w:szCs w:val="22"/>
        </w:rPr>
        <w:t xml:space="preserve"> </w:t>
      </w:r>
      <w:r>
        <w:rPr>
          <w:bCs/>
          <w:szCs w:val="22"/>
        </w:rPr>
        <w:t>for further information about standard precautions and prevention measu</w:t>
      </w:r>
      <w:r w:rsidRPr="00F827BB">
        <w:rPr>
          <w:bCs/>
          <w:szCs w:val="22"/>
        </w:rPr>
        <w:t>res.</w:t>
      </w:r>
      <w:r w:rsidR="00F827BB" w:rsidRPr="00F827BB">
        <w:rPr>
          <w:bCs/>
          <w:szCs w:val="22"/>
        </w:rPr>
        <w:t xml:space="preserve"> This document is located on the Policy and Guidance Documents Register. </w:t>
      </w:r>
    </w:p>
    <w:p w14:paraId="1D6B3D9A" w14:textId="68D39015" w:rsidR="000C2A25" w:rsidRPr="005F363F" w:rsidRDefault="000C2A25" w:rsidP="000C2A25">
      <w:pPr>
        <w:outlineLvl w:val="0"/>
      </w:pPr>
      <w:r>
        <w:t xml:space="preserve">Post exposure prophylaxis (PEP) is available </w:t>
      </w:r>
      <w:r w:rsidR="3FA258D1">
        <w:t xml:space="preserve">if required </w:t>
      </w:r>
      <w:r>
        <w:t xml:space="preserve">to reduce the risk of transmission of HIV or HBV, following a high-risk exposure. </w:t>
      </w:r>
    </w:p>
    <w:p w14:paraId="36270148" w14:textId="77777777" w:rsidR="000C2A25" w:rsidRDefault="000C2A25" w:rsidP="000C2A25">
      <w:pPr>
        <w:outlineLvl w:val="0"/>
      </w:pPr>
      <w:r w:rsidRPr="005F363F">
        <w:rPr>
          <w:bCs/>
          <w:szCs w:val="22"/>
        </w:rPr>
        <w:t xml:space="preserve">Knowledge regarding treatment of exposure to HIV, HBV and HCV is </w:t>
      </w:r>
      <w:r>
        <w:rPr>
          <w:bCs/>
          <w:szCs w:val="22"/>
        </w:rPr>
        <w:t xml:space="preserve">constantly </w:t>
      </w:r>
      <w:r w:rsidRPr="005F363F">
        <w:rPr>
          <w:bCs/>
          <w:szCs w:val="22"/>
        </w:rPr>
        <w:t>evolving</w:t>
      </w:r>
      <w:r>
        <w:rPr>
          <w:bCs/>
          <w:szCs w:val="22"/>
        </w:rPr>
        <w:t>.</w:t>
      </w:r>
      <w:r w:rsidRPr="005F363F">
        <w:rPr>
          <w:bCs/>
          <w:szCs w:val="22"/>
        </w:rPr>
        <w:t xml:space="preserve"> </w:t>
      </w:r>
      <w:r>
        <w:rPr>
          <w:bCs/>
          <w:szCs w:val="22"/>
        </w:rPr>
        <w:t>I</w:t>
      </w:r>
      <w:r w:rsidRPr="005F363F">
        <w:rPr>
          <w:bCs/>
          <w:szCs w:val="22"/>
        </w:rPr>
        <w:t xml:space="preserve">n addition to following the </w:t>
      </w:r>
      <w:r>
        <w:rPr>
          <w:bCs/>
          <w:szCs w:val="22"/>
        </w:rPr>
        <w:t>processes</w:t>
      </w:r>
      <w:r w:rsidRPr="005F363F">
        <w:rPr>
          <w:bCs/>
          <w:szCs w:val="22"/>
        </w:rPr>
        <w:t xml:space="preserve"> included in this </w:t>
      </w:r>
      <w:r>
        <w:rPr>
          <w:szCs w:val="22"/>
        </w:rPr>
        <w:t>procedure</w:t>
      </w:r>
      <w:r w:rsidRPr="005F363F">
        <w:rPr>
          <w:bCs/>
          <w:szCs w:val="22"/>
        </w:rPr>
        <w:t>, the advice of an appropriate medical specialist should always be sought prior to the commencement of PEP.</w:t>
      </w:r>
    </w:p>
    <w:p w14:paraId="67A57DBC"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52D58EE8" w14:textId="7D5F573A" w:rsidR="0078367D" w:rsidRDefault="0078367D" w:rsidP="00F827BB">
      <w:pPr>
        <w:pStyle w:val="Heading4"/>
      </w:pPr>
      <w:bookmarkStart w:id="4" w:name="_Toc189830913"/>
      <w:r>
        <w:lastRenderedPageBreak/>
        <w:t xml:space="preserve">Section 2 </w:t>
      </w:r>
      <w:r w:rsidR="000C2A25">
        <w:t>–</w:t>
      </w:r>
      <w:r>
        <w:t xml:space="preserve"> </w:t>
      </w:r>
      <w:r w:rsidR="000C2A25">
        <w:t>Responsibilities of Canberra Health Services</w:t>
      </w:r>
      <w:bookmarkEnd w:id="4"/>
      <w:r w:rsidR="000C2A25">
        <w:t xml:space="preserve"> </w:t>
      </w:r>
    </w:p>
    <w:p w14:paraId="442C9167" w14:textId="08F626E5" w:rsidR="000C2A25" w:rsidRPr="00F70226" w:rsidRDefault="000C2A25" w:rsidP="000C2A25">
      <w:pPr>
        <w:rPr>
          <w:bCs/>
          <w:szCs w:val="22"/>
        </w:rPr>
      </w:pPr>
      <w:r w:rsidRPr="00F70226">
        <w:rPr>
          <w:rFonts w:cs="Calibri"/>
          <w:szCs w:val="22"/>
        </w:rPr>
        <w:t xml:space="preserve">The </w:t>
      </w:r>
      <w:r>
        <w:rPr>
          <w:rFonts w:cs="Calibri"/>
          <w:szCs w:val="22"/>
        </w:rPr>
        <w:t xml:space="preserve">CHS </w:t>
      </w:r>
      <w:r w:rsidRPr="00F70226">
        <w:rPr>
          <w:rFonts w:cs="Calibri"/>
          <w:i/>
          <w:szCs w:val="22"/>
        </w:rPr>
        <w:t>Work</w:t>
      </w:r>
      <w:r>
        <w:rPr>
          <w:rFonts w:cs="Calibri"/>
          <w:i/>
          <w:szCs w:val="22"/>
        </w:rPr>
        <w:t>place</w:t>
      </w:r>
      <w:r w:rsidRPr="00F70226">
        <w:rPr>
          <w:rFonts w:cs="Calibri"/>
          <w:i/>
          <w:szCs w:val="22"/>
        </w:rPr>
        <w:t xml:space="preserve"> Health and Safety Management System</w:t>
      </w:r>
      <w:r w:rsidRPr="00F70226">
        <w:rPr>
          <w:rFonts w:cs="Calibri"/>
          <w:szCs w:val="22"/>
        </w:rPr>
        <w:t xml:space="preserve"> (WHSMS), supported by the </w:t>
      </w:r>
      <w:r>
        <w:rPr>
          <w:szCs w:val="22"/>
        </w:rPr>
        <w:t>CHS</w:t>
      </w:r>
      <w:r w:rsidRPr="00F70226">
        <w:rPr>
          <w:szCs w:val="22"/>
        </w:rPr>
        <w:t xml:space="preserve"> </w:t>
      </w:r>
      <w:r w:rsidRPr="00F70226">
        <w:rPr>
          <w:i/>
          <w:szCs w:val="22"/>
        </w:rPr>
        <w:t>Work Health and Safety</w:t>
      </w:r>
      <w:r w:rsidRPr="00F70226">
        <w:rPr>
          <w:szCs w:val="22"/>
        </w:rPr>
        <w:t xml:space="preserve"> policy</w:t>
      </w:r>
      <w:r w:rsidRPr="00F70226">
        <w:rPr>
          <w:rFonts w:cs="Calibri"/>
          <w:szCs w:val="22"/>
        </w:rPr>
        <w:t>, outlines the specific roles and responsibilities, governance arrangements and processes for managing work health and safety risks in the organisation.</w:t>
      </w:r>
    </w:p>
    <w:p w14:paraId="7CD2F940" w14:textId="77777777" w:rsidR="000C2A25" w:rsidRPr="000C2A25" w:rsidRDefault="000C2A25" w:rsidP="000C2A25">
      <w:pPr>
        <w:rPr>
          <w:rFonts w:asciiTheme="minorHAnsi" w:hAnsiTheme="minorHAnsi" w:cstheme="minorHAnsi"/>
          <w:bCs/>
          <w:szCs w:val="22"/>
        </w:rPr>
      </w:pPr>
      <w:r w:rsidRPr="000C2A25">
        <w:rPr>
          <w:rFonts w:asciiTheme="minorHAnsi" w:hAnsiTheme="minorHAnsi" w:cstheme="minorHAnsi"/>
          <w:bCs/>
          <w:szCs w:val="22"/>
        </w:rPr>
        <w:t>It is the responsibility of CHS to ensure that:</w:t>
      </w:r>
    </w:p>
    <w:p w14:paraId="44B10E7A" w14:textId="53884273" w:rsidR="000C2A25" w:rsidRPr="00F827BB" w:rsidRDefault="00F827BB" w:rsidP="00F827BB">
      <w:pPr>
        <w:pStyle w:val="Bullet"/>
      </w:pPr>
      <w:r>
        <w:t>a</w:t>
      </w:r>
      <w:r w:rsidR="000C2A25" w:rsidRPr="000C2A25">
        <w:t xml:space="preserve">ll HCWs whose work environment places them at risk, have been offered appropriate screening and immunisation, in accordance with the </w:t>
      </w:r>
      <w:r w:rsidR="000C2A25" w:rsidRPr="000C2A25">
        <w:rPr>
          <w:i/>
        </w:rPr>
        <w:t>Occupational Assessment, Screening and Vaccination</w:t>
      </w:r>
      <w:r w:rsidR="000C2A25" w:rsidRPr="000C2A25">
        <w:t xml:space="preserve"> </w:t>
      </w:r>
      <w:r>
        <w:t>P</w:t>
      </w:r>
      <w:r w:rsidR="000C2A25" w:rsidRPr="000C2A25">
        <w:t>rocedure</w:t>
      </w:r>
      <w:r>
        <w:t xml:space="preserve"> </w:t>
      </w:r>
      <w:r w:rsidRPr="00F827BB">
        <w:rPr>
          <w:bCs/>
          <w:szCs w:val="22"/>
        </w:rPr>
        <w:t>located on the Policy and Guidance Documents Register</w:t>
      </w:r>
    </w:p>
    <w:p w14:paraId="57852C78" w14:textId="7C6D2649" w:rsidR="000C2A25" w:rsidRPr="000C2A25" w:rsidRDefault="00F827BB" w:rsidP="00F827BB">
      <w:pPr>
        <w:pStyle w:val="Bullet"/>
        <w:rPr>
          <w:rFonts w:cstheme="minorBidi"/>
        </w:rPr>
      </w:pPr>
      <w:r>
        <w:rPr>
          <w:rFonts w:cstheme="minorBidi"/>
        </w:rPr>
        <w:t>a</w:t>
      </w:r>
      <w:r w:rsidR="000C2A25" w:rsidRPr="49359429">
        <w:rPr>
          <w:rFonts w:cstheme="minorBidi"/>
        </w:rPr>
        <w:t>ll HCWs are aware of, and comply with, the infection prevention and control policies and procedures and/or guidelines relevant to their work area</w:t>
      </w:r>
      <w:r>
        <w:rPr>
          <w:rFonts w:cstheme="minorBidi"/>
        </w:rPr>
        <w:t>. This is</w:t>
      </w:r>
      <w:r w:rsidR="000C2A25" w:rsidRPr="49359429">
        <w:rPr>
          <w:rFonts w:cstheme="minorBidi"/>
        </w:rPr>
        <w:t xml:space="preserve"> to reduce the risk of transmission of the specified infectious disease.</w:t>
      </w:r>
    </w:p>
    <w:p w14:paraId="2B07E2BE" w14:textId="21C2D83A" w:rsidR="000C2A25" w:rsidRPr="000C2A25" w:rsidRDefault="00F827BB" w:rsidP="00F827BB">
      <w:pPr>
        <w:pStyle w:val="Bullet"/>
      </w:pPr>
      <w:r>
        <w:rPr>
          <w:bCs/>
        </w:rPr>
        <w:t>a</w:t>
      </w:r>
      <w:r w:rsidR="000C2A25" w:rsidRPr="000C2A25">
        <w:rPr>
          <w:bCs/>
        </w:rPr>
        <w:t xml:space="preserve">n efficient </w:t>
      </w:r>
      <w:r w:rsidR="000C2A25" w:rsidRPr="000C2A25">
        <w:t>system is maintained for the reporting and management of BBFE</w:t>
      </w:r>
    </w:p>
    <w:p w14:paraId="6892631F" w14:textId="24775E69" w:rsidR="000C2A25" w:rsidRPr="000C2A25" w:rsidRDefault="00F827BB" w:rsidP="00F827BB">
      <w:pPr>
        <w:pStyle w:val="Bullet"/>
        <w:rPr>
          <w:bCs/>
        </w:rPr>
      </w:pPr>
      <w:r>
        <w:t>t</w:t>
      </w:r>
      <w:r w:rsidR="000C2A25" w:rsidRPr="000C2A25">
        <w:t>he confidentiality of exposed HCWs is maintained</w:t>
      </w:r>
    </w:p>
    <w:p w14:paraId="52F17CC5" w14:textId="08738A2B" w:rsidR="000C2A25" w:rsidRPr="000C2A25" w:rsidRDefault="00F827BB" w:rsidP="00F827BB">
      <w:pPr>
        <w:pStyle w:val="Bullet"/>
        <w:rPr>
          <w:bCs/>
        </w:rPr>
      </w:pPr>
      <w:bookmarkStart w:id="5" w:name="_Hlk175739320"/>
      <w:r>
        <w:t>e</w:t>
      </w:r>
      <w:r w:rsidR="000C2A25" w:rsidRPr="000C2A25">
        <w:t>xposed HCWs can obtain the support to which they are entitled, including workers’ compensatio</w:t>
      </w:r>
      <w:r w:rsidR="000C2A25" w:rsidRPr="000C2A25">
        <w:rPr>
          <w:bCs/>
        </w:rPr>
        <w:t>n, if appropriate</w:t>
      </w:r>
      <w:r w:rsidR="000C2A25" w:rsidRPr="000C2A25">
        <w:t>.</w:t>
      </w:r>
    </w:p>
    <w:bookmarkEnd w:id="5"/>
    <w:p w14:paraId="20BA5CBD" w14:textId="33C5D327" w:rsidR="00481A6C" w:rsidRDefault="0078010C" w:rsidP="003B3459">
      <w:pPr>
        <w:pStyle w:val="BodyCopy"/>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28849428" w14:textId="5FF39912" w:rsidR="0078367D" w:rsidRDefault="0078367D" w:rsidP="00F827BB">
      <w:pPr>
        <w:pStyle w:val="Heading4"/>
      </w:pPr>
      <w:bookmarkStart w:id="6" w:name="_Toc189830914"/>
      <w:r w:rsidRPr="0078367D">
        <w:t xml:space="preserve">Section </w:t>
      </w:r>
      <w:r w:rsidR="000C2A25">
        <w:t>3</w:t>
      </w:r>
      <w:r w:rsidRPr="0078367D">
        <w:t xml:space="preserve"> </w:t>
      </w:r>
      <w:r w:rsidR="000C2A25">
        <w:t>– Immediate Care After BBFE</w:t>
      </w:r>
      <w:bookmarkEnd w:id="6"/>
      <w:r w:rsidR="000C2A25">
        <w:t xml:space="preserve"> </w:t>
      </w:r>
    </w:p>
    <w:p w14:paraId="40EA48D5" w14:textId="77777777" w:rsidR="000C2A25" w:rsidRPr="009F19E3" w:rsidRDefault="000C2A25" w:rsidP="000C2A25">
      <w:pPr>
        <w:pStyle w:val="Heading5"/>
      </w:pPr>
      <w:bookmarkStart w:id="7" w:name="_Toc172812213"/>
      <w:r w:rsidRPr="007D518C">
        <w:t>3.1</w:t>
      </w:r>
      <w:r w:rsidRPr="007D518C">
        <w:tab/>
      </w:r>
      <w:r w:rsidRPr="009F19E3">
        <w:t>Immediate First Aid</w:t>
      </w:r>
      <w:bookmarkEnd w:id="7"/>
    </w:p>
    <w:p w14:paraId="11A87D97" w14:textId="77777777" w:rsidR="000C2A25" w:rsidRDefault="000C2A25" w:rsidP="000C2A25">
      <w:pPr>
        <w:rPr>
          <w:rFonts w:asciiTheme="minorHAnsi" w:hAnsiTheme="minorHAnsi"/>
        </w:rPr>
      </w:pPr>
      <w:r w:rsidRPr="005B7C11">
        <w:rPr>
          <w:rFonts w:asciiTheme="minorHAnsi" w:hAnsiTheme="minorHAnsi"/>
        </w:rPr>
        <w:t>After exposure to blood or other body fluids, the exposed HCW should follow the</w:t>
      </w:r>
      <w:r>
        <w:rPr>
          <w:rFonts w:asciiTheme="minorHAnsi" w:hAnsiTheme="minorHAnsi"/>
        </w:rPr>
        <w:t xml:space="preserve"> first aid</w:t>
      </w:r>
      <w:r w:rsidRPr="005B7C11">
        <w:rPr>
          <w:rFonts w:asciiTheme="minorHAnsi" w:hAnsiTheme="minorHAnsi"/>
        </w:rPr>
        <w:t xml:space="preserve"> </w:t>
      </w:r>
      <w:r w:rsidRPr="00BF5947">
        <w:rPr>
          <w:rFonts w:asciiTheme="minorHAnsi" w:hAnsiTheme="minorHAnsi"/>
        </w:rPr>
        <w:t xml:space="preserve">advice </w:t>
      </w:r>
      <w:r w:rsidRPr="00296017">
        <w:rPr>
          <w:rFonts w:asciiTheme="minorHAnsi" w:hAnsiTheme="minorHAnsi"/>
        </w:rPr>
        <w:t>as outlined bel</w:t>
      </w:r>
      <w:r>
        <w:rPr>
          <w:rFonts w:asciiTheme="minorHAnsi" w:hAnsiTheme="minorHAnsi"/>
        </w:rPr>
        <w:t xml:space="preserve">ow in Table 1. </w:t>
      </w:r>
    </w:p>
    <w:p w14:paraId="76F8E0ED" w14:textId="07E6BEC2" w:rsidR="000C2A25" w:rsidRPr="00F14E93" w:rsidRDefault="000C2A25" w:rsidP="000C2A25">
      <w:r w:rsidRPr="0078010C">
        <w:rPr>
          <w:rFonts w:asciiTheme="minorHAnsi" w:hAnsiTheme="minorHAnsi"/>
          <w:b/>
          <w:bCs/>
        </w:rPr>
        <w:t>Table 1</w:t>
      </w:r>
      <w:r>
        <w:rPr>
          <w:rFonts w:asciiTheme="minorHAnsi" w:hAnsiTheme="minorHAnsi"/>
        </w:rPr>
        <w:t xml:space="preserve"> – </w:t>
      </w:r>
      <w:r w:rsidRPr="00F14E93">
        <w:rPr>
          <w:rFonts w:asciiTheme="minorHAnsi" w:hAnsiTheme="minorHAnsi"/>
        </w:rPr>
        <w:t>Immediate first aid after a BBFE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45"/>
        <w:gridCol w:w="6866"/>
      </w:tblGrid>
      <w:tr w:rsidR="000C2A25" w:rsidRPr="005B7C11" w14:paraId="2AA7FC2F" w14:textId="77777777" w:rsidTr="00F14E93">
        <w:tc>
          <w:tcPr>
            <w:tcW w:w="0" w:type="auto"/>
            <w:shd w:val="clear" w:color="auto" w:fill="D9D9D9" w:themeFill="background1" w:themeFillShade="D9"/>
          </w:tcPr>
          <w:p w14:paraId="44D9E43A" w14:textId="77777777" w:rsidR="000C2A25" w:rsidRPr="005B7C11" w:rsidRDefault="000C2A25" w:rsidP="00F14E93">
            <w:pPr>
              <w:pStyle w:val="BodyCopy"/>
            </w:pPr>
            <w:r w:rsidRPr="005B7C11">
              <w:t>Type of Injury</w:t>
            </w:r>
          </w:p>
        </w:tc>
        <w:tc>
          <w:tcPr>
            <w:tcW w:w="0" w:type="auto"/>
            <w:shd w:val="clear" w:color="auto" w:fill="D9D9D9" w:themeFill="background1" w:themeFillShade="D9"/>
          </w:tcPr>
          <w:p w14:paraId="76154FEC" w14:textId="77777777" w:rsidR="000C2A25" w:rsidRPr="005B7C11" w:rsidRDefault="000C2A25" w:rsidP="00F14E93">
            <w:pPr>
              <w:pStyle w:val="BodyCopy"/>
            </w:pPr>
            <w:r w:rsidRPr="005B7C11">
              <w:t>Action Required</w:t>
            </w:r>
          </w:p>
        </w:tc>
      </w:tr>
      <w:tr w:rsidR="000C2A25" w:rsidRPr="005B7C11" w14:paraId="797B1BE6" w14:textId="77777777" w:rsidTr="00F14E93">
        <w:tc>
          <w:tcPr>
            <w:tcW w:w="0" w:type="auto"/>
          </w:tcPr>
          <w:p w14:paraId="09825CD6" w14:textId="77777777" w:rsidR="000C2A25" w:rsidRPr="005B7C11" w:rsidRDefault="000C2A25" w:rsidP="00F14E93">
            <w:pPr>
              <w:pStyle w:val="BodyCopy"/>
            </w:pPr>
            <w:r w:rsidRPr="005B7C11">
              <w:t>Needlestick and other sharps</w:t>
            </w:r>
          </w:p>
        </w:tc>
        <w:tc>
          <w:tcPr>
            <w:tcW w:w="0" w:type="auto"/>
          </w:tcPr>
          <w:p w14:paraId="69303556" w14:textId="77777777" w:rsidR="000C2A25" w:rsidRPr="005B7C11" w:rsidRDefault="000C2A25" w:rsidP="00F14E93">
            <w:pPr>
              <w:pStyle w:val="BodyCopy"/>
            </w:pPr>
            <w:r w:rsidRPr="005B7C11">
              <w:t>Allow active bleeding, clean with soap and water</w:t>
            </w:r>
            <w:r>
              <w:t>*,</w:t>
            </w:r>
            <w:r w:rsidRPr="005B7C11">
              <w:t xml:space="preserve"> and rinse well. Cover with a waterproof dressing.</w:t>
            </w:r>
          </w:p>
        </w:tc>
      </w:tr>
      <w:tr w:rsidR="000C2A25" w:rsidRPr="005B7C11" w14:paraId="54084AB6" w14:textId="77777777" w:rsidTr="00F14E93">
        <w:tc>
          <w:tcPr>
            <w:tcW w:w="0" w:type="auto"/>
          </w:tcPr>
          <w:p w14:paraId="02EA49D5" w14:textId="3626CC00" w:rsidR="000C2A25" w:rsidRPr="005B7C11" w:rsidRDefault="000C2A25" w:rsidP="00F14E93">
            <w:pPr>
              <w:pStyle w:val="BodyCopy"/>
            </w:pPr>
            <w:r w:rsidRPr="005B7C11">
              <w:t xml:space="preserve">Non-intact skin </w:t>
            </w:r>
            <w:r>
              <w:t>(i.e. open wound)</w:t>
            </w:r>
          </w:p>
        </w:tc>
        <w:tc>
          <w:tcPr>
            <w:tcW w:w="0" w:type="auto"/>
          </w:tcPr>
          <w:p w14:paraId="711F2CD8" w14:textId="77777777" w:rsidR="000C2A25" w:rsidRPr="005B7C11" w:rsidRDefault="000C2A25" w:rsidP="00F14E93">
            <w:pPr>
              <w:pStyle w:val="BodyCopy"/>
            </w:pPr>
            <w:r w:rsidRPr="005B7C11">
              <w:t>Clean with soap and water</w:t>
            </w:r>
            <w:r>
              <w:t>*</w:t>
            </w:r>
            <w:r w:rsidRPr="005B7C11">
              <w:t xml:space="preserve"> and rinse well. Cover with a waterproof dressing. </w:t>
            </w:r>
          </w:p>
        </w:tc>
      </w:tr>
      <w:tr w:rsidR="000C2A25" w:rsidRPr="005B7C11" w14:paraId="3B2A0C18" w14:textId="77777777" w:rsidTr="00F14E93">
        <w:tc>
          <w:tcPr>
            <w:tcW w:w="0" w:type="auto"/>
          </w:tcPr>
          <w:p w14:paraId="5D271CC7" w14:textId="77777777" w:rsidR="000C2A25" w:rsidRPr="005B7C11" w:rsidRDefault="000C2A25" w:rsidP="00F14E93">
            <w:pPr>
              <w:pStyle w:val="BodyCopy"/>
            </w:pPr>
            <w:r w:rsidRPr="005B7C11">
              <w:t xml:space="preserve">Eye </w:t>
            </w:r>
          </w:p>
        </w:tc>
        <w:tc>
          <w:tcPr>
            <w:tcW w:w="0" w:type="auto"/>
          </w:tcPr>
          <w:p w14:paraId="4087F761" w14:textId="77777777" w:rsidR="000C2A25" w:rsidRPr="005B7C11" w:rsidRDefault="000C2A25" w:rsidP="00F14E93">
            <w:pPr>
              <w:pStyle w:val="BodyCopy"/>
            </w:pPr>
            <w:r w:rsidRPr="005B7C11">
              <w:t xml:space="preserve">Irrigate eyes (remove contact lenses) with water or saline. </w:t>
            </w:r>
          </w:p>
        </w:tc>
      </w:tr>
      <w:tr w:rsidR="000C2A25" w:rsidRPr="005B7C11" w14:paraId="08704155" w14:textId="77777777" w:rsidTr="00F14E93">
        <w:tc>
          <w:tcPr>
            <w:tcW w:w="0" w:type="auto"/>
          </w:tcPr>
          <w:p w14:paraId="571ED5F9" w14:textId="77777777" w:rsidR="000C2A25" w:rsidRPr="005B7C11" w:rsidRDefault="000C2A25" w:rsidP="00F14E93">
            <w:pPr>
              <w:pStyle w:val="BodyCopy"/>
            </w:pPr>
            <w:r w:rsidRPr="005B7C11">
              <w:lastRenderedPageBreak/>
              <w:t xml:space="preserve">Mucous membrane (mouth or nose) </w:t>
            </w:r>
          </w:p>
        </w:tc>
        <w:tc>
          <w:tcPr>
            <w:tcW w:w="0" w:type="auto"/>
          </w:tcPr>
          <w:p w14:paraId="5503A8D1" w14:textId="77777777" w:rsidR="000C2A25" w:rsidRPr="005B7C11" w:rsidRDefault="000C2A25" w:rsidP="00F14E93">
            <w:pPr>
              <w:pStyle w:val="BodyCopy"/>
            </w:pPr>
            <w:r w:rsidRPr="005B7C11">
              <w:t xml:space="preserve">Spit out or blow nose. Irrigate mouth or nose with water. </w:t>
            </w:r>
          </w:p>
        </w:tc>
      </w:tr>
      <w:tr w:rsidR="000C2A25" w:rsidRPr="005B7C11" w14:paraId="58501321" w14:textId="77777777" w:rsidTr="00F14E93">
        <w:tc>
          <w:tcPr>
            <w:tcW w:w="0" w:type="auto"/>
          </w:tcPr>
          <w:p w14:paraId="55870077" w14:textId="77777777" w:rsidR="000C2A25" w:rsidRPr="005B7C11" w:rsidRDefault="000C2A25" w:rsidP="00F14E93">
            <w:pPr>
              <w:pStyle w:val="BodyCopy"/>
            </w:pPr>
            <w:r w:rsidRPr="005B7C11">
              <w:t>Intact skin</w:t>
            </w:r>
            <w:r w:rsidRPr="005B7C11">
              <w:tab/>
            </w:r>
          </w:p>
        </w:tc>
        <w:tc>
          <w:tcPr>
            <w:tcW w:w="0" w:type="auto"/>
          </w:tcPr>
          <w:p w14:paraId="3729C3FA" w14:textId="77777777" w:rsidR="000C2A25" w:rsidRPr="005B7C11" w:rsidRDefault="000C2A25" w:rsidP="00F14E93">
            <w:pPr>
              <w:pStyle w:val="BodyCopy"/>
            </w:pPr>
            <w:r w:rsidRPr="005B7C11">
              <w:t>Clean with soap and water</w:t>
            </w:r>
            <w:r>
              <w:t>*</w:t>
            </w:r>
            <w:r w:rsidRPr="005B7C11">
              <w:t xml:space="preserve"> and rinse well. </w:t>
            </w:r>
          </w:p>
        </w:tc>
      </w:tr>
      <w:tr w:rsidR="000C2A25" w:rsidRPr="005B7C11" w14:paraId="43573258" w14:textId="77777777" w:rsidTr="00F14E93">
        <w:tc>
          <w:tcPr>
            <w:tcW w:w="0" w:type="auto"/>
          </w:tcPr>
          <w:p w14:paraId="12FAB381" w14:textId="77777777" w:rsidR="000C2A25" w:rsidRPr="005B7C11" w:rsidRDefault="000C2A25" w:rsidP="00F14E93">
            <w:pPr>
              <w:pStyle w:val="BodyCopy"/>
            </w:pPr>
            <w:r w:rsidRPr="005B7C11">
              <w:t xml:space="preserve">Clothing </w:t>
            </w:r>
            <w:r>
              <w:t>–</w:t>
            </w:r>
            <w:r w:rsidRPr="005B7C11">
              <w:t xml:space="preserve"> contaminated </w:t>
            </w:r>
          </w:p>
        </w:tc>
        <w:tc>
          <w:tcPr>
            <w:tcW w:w="0" w:type="auto"/>
          </w:tcPr>
          <w:p w14:paraId="36C51F86" w14:textId="77777777" w:rsidR="000C2A25" w:rsidRPr="005B7C11" w:rsidRDefault="000C2A25" w:rsidP="00F14E93">
            <w:pPr>
              <w:pStyle w:val="BodyCopy"/>
            </w:pPr>
            <w:r w:rsidRPr="005B7C11">
              <w:t xml:space="preserve">Remove clothing and shower if necessary. </w:t>
            </w:r>
          </w:p>
        </w:tc>
      </w:tr>
    </w:tbl>
    <w:p w14:paraId="5D1B2C18" w14:textId="02C0FFC3" w:rsidR="000C2A25" w:rsidRPr="005B7C11" w:rsidRDefault="000C2A25" w:rsidP="000C2A25">
      <w:pPr>
        <w:spacing w:before="60"/>
        <w:rPr>
          <w:rFonts w:asciiTheme="minorHAnsi" w:hAnsiTheme="minorHAnsi"/>
        </w:rPr>
      </w:pPr>
      <w:r w:rsidRPr="005B7C11">
        <w:rPr>
          <w:rFonts w:asciiTheme="minorHAnsi" w:hAnsiTheme="minorHAnsi"/>
          <w:b/>
          <w:iCs/>
        </w:rPr>
        <w:t>*</w:t>
      </w:r>
      <w:r w:rsidRPr="005B7C11">
        <w:rPr>
          <w:rFonts w:asciiTheme="minorHAnsi" w:hAnsiTheme="minorHAnsi"/>
          <w:iCs/>
        </w:rPr>
        <w:t xml:space="preserve"> Where soap and water</w:t>
      </w:r>
      <w:r>
        <w:rPr>
          <w:rFonts w:asciiTheme="minorHAnsi" w:hAnsiTheme="minorHAnsi"/>
          <w:iCs/>
        </w:rPr>
        <w:t xml:space="preserve"> are</w:t>
      </w:r>
      <w:r w:rsidRPr="005B7C11">
        <w:rPr>
          <w:rFonts w:asciiTheme="minorHAnsi" w:hAnsiTheme="minorHAnsi"/>
          <w:iCs/>
        </w:rPr>
        <w:t xml:space="preserve"> not available, use of an alcohol-based hand rub is an acceptable alternative for washing cuts or punctures of the skin.</w:t>
      </w:r>
    </w:p>
    <w:p w14:paraId="76778D6D" w14:textId="65EE8B8D" w:rsidR="000C2A25" w:rsidRPr="000C2A25" w:rsidRDefault="000C2A25" w:rsidP="000C2A25">
      <w:pPr>
        <w:pStyle w:val="Heading5"/>
      </w:pPr>
      <w:bookmarkStart w:id="8" w:name="_Toc172812214"/>
      <w:r w:rsidRPr="000C2A25">
        <w:t xml:space="preserve">3.2 </w:t>
      </w:r>
      <w:r>
        <w:tab/>
      </w:r>
      <w:r w:rsidRPr="000C2A25">
        <w:t>Notification of BBFE</w:t>
      </w:r>
      <w:bookmarkEnd w:id="8"/>
    </w:p>
    <w:p w14:paraId="63799757" w14:textId="77777777" w:rsidR="000C2A25" w:rsidRPr="005B7C11" w:rsidRDefault="000C2A25" w:rsidP="000C2A25">
      <w:pPr>
        <w:rPr>
          <w:rFonts w:asciiTheme="minorHAnsi" w:hAnsiTheme="minorHAnsi"/>
        </w:rPr>
      </w:pPr>
      <w:r w:rsidRPr="005B7C11">
        <w:rPr>
          <w:rFonts w:asciiTheme="minorHAnsi" w:hAnsiTheme="minorHAnsi"/>
          <w:bCs/>
        </w:rPr>
        <w:t xml:space="preserve">After attending to </w:t>
      </w:r>
      <w:r>
        <w:rPr>
          <w:rFonts w:asciiTheme="minorHAnsi" w:hAnsiTheme="minorHAnsi"/>
          <w:bCs/>
        </w:rPr>
        <w:t>i</w:t>
      </w:r>
      <w:r w:rsidRPr="005B7C11">
        <w:rPr>
          <w:rFonts w:asciiTheme="minorHAnsi" w:hAnsiTheme="minorHAnsi"/>
          <w:bCs/>
        </w:rPr>
        <w:t xml:space="preserve">mmediate </w:t>
      </w:r>
      <w:r>
        <w:rPr>
          <w:rFonts w:asciiTheme="minorHAnsi" w:hAnsiTheme="minorHAnsi"/>
          <w:bCs/>
        </w:rPr>
        <w:t>f</w:t>
      </w:r>
      <w:r w:rsidRPr="005B7C11">
        <w:rPr>
          <w:rFonts w:asciiTheme="minorHAnsi" w:hAnsiTheme="minorHAnsi"/>
          <w:bCs/>
        </w:rPr>
        <w:t xml:space="preserve">irst </w:t>
      </w:r>
      <w:r>
        <w:rPr>
          <w:rFonts w:asciiTheme="minorHAnsi" w:hAnsiTheme="minorHAnsi"/>
          <w:bCs/>
        </w:rPr>
        <w:t>a</w:t>
      </w:r>
      <w:r w:rsidRPr="005B7C11">
        <w:rPr>
          <w:rFonts w:asciiTheme="minorHAnsi" w:hAnsiTheme="minorHAnsi"/>
          <w:bCs/>
        </w:rPr>
        <w:t>id, th</w:t>
      </w:r>
      <w:r w:rsidRPr="005B7C11">
        <w:rPr>
          <w:rFonts w:asciiTheme="minorHAnsi" w:hAnsiTheme="minorHAnsi"/>
        </w:rPr>
        <w:t xml:space="preserve">e exposed HCW must inform </w:t>
      </w:r>
      <w:r>
        <w:rPr>
          <w:rFonts w:asciiTheme="minorHAnsi" w:hAnsiTheme="minorHAnsi"/>
        </w:rPr>
        <w:t xml:space="preserve">their </w:t>
      </w:r>
      <w:r w:rsidRPr="005B7C11">
        <w:rPr>
          <w:rFonts w:asciiTheme="minorHAnsi" w:hAnsiTheme="minorHAnsi"/>
        </w:rPr>
        <w:t xml:space="preserve">supervisor of the </w:t>
      </w:r>
      <w:r>
        <w:rPr>
          <w:rFonts w:asciiTheme="minorHAnsi" w:hAnsiTheme="minorHAnsi"/>
        </w:rPr>
        <w:t>BBFE</w:t>
      </w:r>
      <w:r w:rsidRPr="005B7C11">
        <w:rPr>
          <w:rFonts w:asciiTheme="minorHAnsi" w:hAnsiTheme="minorHAnsi"/>
        </w:rPr>
        <w:t>. The supervisor is responsible for:</w:t>
      </w:r>
    </w:p>
    <w:p w14:paraId="4AAFD17A" w14:textId="77777777" w:rsidR="000C2A25" w:rsidRPr="000C2A25" w:rsidRDefault="000C2A25" w:rsidP="00F14E93">
      <w:pPr>
        <w:pStyle w:val="Bullet"/>
        <w:rPr>
          <w:b/>
        </w:rPr>
      </w:pPr>
      <w:r w:rsidRPr="000C2A25">
        <w:t>Relieving the exposed HCW from duty to seek BBFE management as soon as possible.</w:t>
      </w:r>
    </w:p>
    <w:p w14:paraId="56040C3C" w14:textId="77777777" w:rsidR="000C2A25" w:rsidRPr="000C2A25" w:rsidRDefault="000C2A25" w:rsidP="00F14E93">
      <w:pPr>
        <w:pStyle w:val="Bullet"/>
        <w:rPr>
          <w:b/>
        </w:rPr>
      </w:pPr>
      <w:r w:rsidRPr="000C2A25">
        <w:t>Ensuring the exposed HCW is aware of how to access BBFE management.</w:t>
      </w:r>
    </w:p>
    <w:p w14:paraId="2E129755" w14:textId="4E840033" w:rsidR="000C2A25" w:rsidRPr="00F14E93" w:rsidRDefault="000C2A25" w:rsidP="00F14E93">
      <w:pPr>
        <w:pStyle w:val="Bullet"/>
        <w:rPr>
          <w:b/>
        </w:rPr>
      </w:pPr>
      <w:r w:rsidRPr="000C2A25">
        <w:t>Checking in with the exposed HCW after the BBFE risk assessment.</w:t>
      </w:r>
      <w:r w:rsidRPr="00F14E93">
        <w:rPr>
          <w:rFonts w:asciiTheme="minorHAnsi" w:hAnsiTheme="minorHAnsi" w:cstheme="minorHAnsi"/>
          <w:b/>
          <w:bCs/>
        </w:rPr>
        <w:tab/>
      </w:r>
    </w:p>
    <w:p w14:paraId="4AE31E85" w14:textId="24C15DDD" w:rsidR="000C2A25" w:rsidRPr="005B7C11" w:rsidRDefault="000C2A25" w:rsidP="000C2A25">
      <w:pPr>
        <w:outlineLvl w:val="0"/>
        <w:rPr>
          <w:rFonts w:asciiTheme="minorHAnsi" w:hAnsiTheme="minorHAnsi"/>
          <w:b/>
        </w:rPr>
      </w:pPr>
      <w:r w:rsidRPr="005B7C11">
        <w:rPr>
          <w:rFonts w:asciiTheme="minorHAnsi" w:hAnsiTheme="minorHAnsi"/>
        </w:rPr>
        <w:t xml:space="preserve">The exposed HCW is responsible for seeking management of </w:t>
      </w:r>
      <w:r>
        <w:rPr>
          <w:rFonts w:asciiTheme="minorHAnsi" w:hAnsiTheme="minorHAnsi"/>
        </w:rPr>
        <w:t>their</w:t>
      </w:r>
      <w:r w:rsidRPr="005B7C11">
        <w:rPr>
          <w:rFonts w:asciiTheme="minorHAnsi" w:hAnsiTheme="minorHAnsi"/>
        </w:rPr>
        <w:t xml:space="preserve"> </w:t>
      </w:r>
      <w:r>
        <w:rPr>
          <w:rFonts w:asciiTheme="minorHAnsi" w:hAnsiTheme="minorHAnsi"/>
        </w:rPr>
        <w:t>BBFE</w:t>
      </w:r>
      <w:r w:rsidRPr="005B7C11">
        <w:rPr>
          <w:rFonts w:asciiTheme="minorHAnsi" w:hAnsiTheme="minorHAnsi"/>
        </w:rPr>
        <w:t>, as set out in</w:t>
      </w:r>
      <w:r w:rsidRPr="00F85B2A">
        <w:rPr>
          <w:rFonts w:asciiTheme="minorHAnsi" w:hAnsiTheme="minorHAnsi"/>
        </w:rPr>
        <w:t xml:space="preserve"> </w:t>
      </w:r>
      <w:r w:rsidRPr="00296017">
        <w:rPr>
          <w:rFonts w:asciiTheme="minorHAnsi" w:hAnsiTheme="minorHAnsi"/>
        </w:rPr>
        <w:t>Table 2</w:t>
      </w:r>
      <w:r w:rsidRPr="00F85B2A">
        <w:rPr>
          <w:rFonts w:asciiTheme="minorHAnsi" w:hAnsiTheme="minorHAnsi"/>
        </w:rPr>
        <w:t>.</w:t>
      </w:r>
    </w:p>
    <w:p w14:paraId="192C080F" w14:textId="493DF2C0" w:rsidR="00F14E93" w:rsidRDefault="000C2A25" w:rsidP="000C2A25">
      <w:pPr>
        <w:tabs>
          <w:tab w:val="left" w:pos="0"/>
        </w:tabs>
        <w:spacing w:after="0"/>
        <w:outlineLvl w:val="0"/>
      </w:pPr>
      <w:r w:rsidRPr="0078010C">
        <w:rPr>
          <w:b/>
          <w:bCs/>
        </w:rPr>
        <w:t>Table 2</w:t>
      </w:r>
      <w:r>
        <w:t xml:space="preserve"> – </w:t>
      </w:r>
      <w:r w:rsidRPr="00F14E93">
        <w:t xml:space="preserve">Contact details for the management of an exposed HCW after a BBFE </w:t>
      </w:r>
    </w:p>
    <w:tbl>
      <w:tblPr>
        <w:tblStyle w:val="TableGrid"/>
        <w:tblW w:w="0" w:type="auto"/>
        <w:tblLook w:val="04A0" w:firstRow="1" w:lastRow="0" w:firstColumn="1" w:lastColumn="0" w:noHBand="0" w:noVBand="1"/>
      </w:tblPr>
      <w:tblGrid>
        <w:gridCol w:w="2477"/>
        <w:gridCol w:w="2478"/>
        <w:gridCol w:w="2478"/>
        <w:gridCol w:w="2478"/>
      </w:tblGrid>
      <w:tr w:rsidR="00F845B8" w14:paraId="0EFA1D25" w14:textId="77777777">
        <w:tc>
          <w:tcPr>
            <w:tcW w:w="2477" w:type="dxa"/>
          </w:tcPr>
          <w:p w14:paraId="633EAF15" w14:textId="69D5A713" w:rsidR="00F845B8" w:rsidRPr="00493941" w:rsidRDefault="00F845B8" w:rsidP="00F845B8">
            <w:pPr>
              <w:tabs>
                <w:tab w:val="left" w:pos="0"/>
              </w:tabs>
              <w:spacing w:after="0"/>
              <w:outlineLvl w:val="0"/>
              <w:rPr>
                <w:b/>
                <w:bCs/>
              </w:rPr>
            </w:pPr>
            <w:r w:rsidRPr="00493941">
              <w:rPr>
                <w:b/>
                <w:bCs/>
              </w:rPr>
              <w:t>Site</w:t>
            </w:r>
          </w:p>
        </w:tc>
        <w:tc>
          <w:tcPr>
            <w:tcW w:w="2478" w:type="dxa"/>
          </w:tcPr>
          <w:p w14:paraId="76CFA62C" w14:textId="48F8F5DA" w:rsidR="00F845B8" w:rsidRDefault="00F845B8" w:rsidP="00F845B8">
            <w:pPr>
              <w:tabs>
                <w:tab w:val="left" w:pos="0"/>
              </w:tabs>
              <w:spacing w:after="0"/>
              <w:outlineLvl w:val="0"/>
            </w:pPr>
            <w:r w:rsidRPr="00215E40">
              <w:rPr>
                <w:b/>
                <w:bCs/>
              </w:rPr>
              <w:t>Contact Details – Working Hours</w:t>
            </w:r>
          </w:p>
        </w:tc>
        <w:tc>
          <w:tcPr>
            <w:tcW w:w="2478" w:type="dxa"/>
          </w:tcPr>
          <w:p w14:paraId="1726D541" w14:textId="11FC825E" w:rsidR="00F845B8" w:rsidRDefault="00F845B8" w:rsidP="00F845B8">
            <w:pPr>
              <w:tabs>
                <w:tab w:val="left" w:pos="0"/>
              </w:tabs>
              <w:spacing w:after="0"/>
              <w:outlineLvl w:val="0"/>
            </w:pPr>
            <w:r w:rsidRPr="00215E40">
              <w:rPr>
                <w:b/>
                <w:bCs/>
              </w:rPr>
              <w:t>Contact Details – Weekday After Hours</w:t>
            </w:r>
          </w:p>
        </w:tc>
        <w:tc>
          <w:tcPr>
            <w:tcW w:w="2478" w:type="dxa"/>
          </w:tcPr>
          <w:p w14:paraId="47CFEE69" w14:textId="1F21FF48" w:rsidR="00F845B8" w:rsidRDefault="00F845B8" w:rsidP="00F845B8">
            <w:pPr>
              <w:tabs>
                <w:tab w:val="left" w:pos="0"/>
              </w:tabs>
              <w:spacing w:after="0"/>
              <w:outlineLvl w:val="0"/>
            </w:pPr>
            <w:r w:rsidRPr="00215E40">
              <w:rPr>
                <w:b/>
                <w:bCs/>
              </w:rPr>
              <w:t>Contact Details - Weekends and Public Holidays</w:t>
            </w:r>
          </w:p>
        </w:tc>
      </w:tr>
      <w:tr w:rsidR="00F845B8" w14:paraId="4067F6E0" w14:textId="77777777">
        <w:tc>
          <w:tcPr>
            <w:tcW w:w="2477" w:type="dxa"/>
          </w:tcPr>
          <w:p w14:paraId="2C3CD69B" w14:textId="563369C1" w:rsidR="00F845B8" w:rsidRDefault="00F845B8" w:rsidP="00F845B8">
            <w:pPr>
              <w:tabs>
                <w:tab w:val="left" w:pos="0"/>
              </w:tabs>
              <w:spacing w:after="0"/>
              <w:outlineLvl w:val="0"/>
            </w:pPr>
            <w:r>
              <w:t>Occupational Medicine Unit (OMU), Canberra Hospital (CH)</w:t>
            </w:r>
          </w:p>
        </w:tc>
        <w:tc>
          <w:tcPr>
            <w:tcW w:w="2478" w:type="dxa"/>
          </w:tcPr>
          <w:p w14:paraId="52FD7819" w14:textId="77777777" w:rsidR="00F845B8" w:rsidRDefault="00F845B8" w:rsidP="00F845B8">
            <w:pPr>
              <w:tabs>
                <w:tab w:val="left" w:pos="0"/>
              </w:tabs>
              <w:spacing w:after="0"/>
              <w:outlineLvl w:val="0"/>
            </w:pPr>
            <w:r>
              <w:t>Monday to Friday</w:t>
            </w:r>
          </w:p>
          <w:p w14:paraId="3501BAB2" w14:textId="2F7853BA" w:rsidR="00F845B8" w:rsidRDefault="00F845B8" w:rsidP="00F845B8">
            <w:pPr>
              <w:tabs>
                <w:tab w:val="left" w:pos="0"/>
              </w:tabs>
              <w:spacing w:after="0"/>
              <w:outlineLvl w:val="0"/>
            </w:pPr>
            <w:r>
              <w:t xml:space="preserve">0800 – 1530, </w:t>
            </w:r>
            <w:r w:rsidRPr="002131A1">
              <w:rPr>
                <w:noProof/>
              </w:rPr>
              <w:t xml:space="preserve">OMU Registered Nurse </w:t>
            </w:r>
            <w:r>
              <w:rPr>
                <w:noProof/>
              </w:rPr>
              <w:t xml:space="preserve">– Phone </w:t>
            </w:r>
            <w:r w:rsidRPr="002131A1">
              <w:rPr>
                <w:noProof/>
              </w:rPr>
              <w:t xml:space="preserve">512 42321 or </w:t>
            </w:r>
            <w:r w:rsidRPr="002131A1">
              <w:t>mobile 0422 114 632</w:t>
            </w:r>
          </w:p>
        </w:tc>
        <w:tc>
          <w:tcPr>
            <w:tcW w:w="2478" w:type="dxa"/>
          </w:tcPr>
          <w:p w14:paraId="1E6415F5" w14:textId="65FE2C2B" w:rsidR="00F845B8" w:rsidRDefault="00F845B8" w:rsidP="000C2A25">
            <w:pPr>
              <w:tabs>
                <w:tab w:val="left" w:pos="0"/>
              </w:tabs>
              <w:spacing w:after="0"/>
              <w:outlineLvl w:val="0"/>
            </w:pPr>
            <w:r w:rsidRPr="002131A1">
              <w:rPr>
                <w:rFonts w:asciiTheme="minorHAnsi" w:hAnsiTheme="minorHAnsi"/>
                <w:bCs/>
              </w:rPr>
              <w:t>Monday</w:t>
            </w:r>
            <w:r w:rsidRPr="002131A1">
              <w:rPr>
                <w:rFonts w:asciiTheme="minorHAnsi" w:hAnsiTheme="minorHAnsi"/>
                <w:noProof/>
              </w:rPr>
              <w:t xml:space="preserve"> to Friday</w:t>
            </w:r>
            <w:r>
              <w:rPr>
                <w:rFonts w:asciiTheme="minorHAnsi" w:hAnsiTheme="minorHAnsi"/>
                <w:noProof/>
              </w:rPr>
              <w:br/>
            </w:r>
            <w:r w:rsidRPr="002131A1">
              <w:rPr>
                <w:rFonts w:asciiTheme="minorHAnsi" w:hAnsiTheme="minorHAnsi"/>
                <w:noProof/>
              </w:rPr>
              <w:t>1</w:t>
            </w:r>
            <w:r>
              <w:rPr>
                <w:rFonts w:asciiTheme="minorHAnsi" w:hAnsiTheme="minorHAnsi"/>
                <w:noProof/>
              </w:rPr>
              <w:t>530</w:t>
            </w:r>
            <w:r w:rsidRPr="002131A1">
              <w:rPr>
                <w:rFonts w:asciiTheme="minorHAnsi" w:hAnsiTheme="minorHAnsi"/>
                <w:noProof/>
              </w:rPr>
              <w:t xml:space="preserve"> – 0</w:t>
            </w:r>
            <w:r>
              <w:rPr>
                <w:rFonts w:asciiTheme="minorHAnsi" w:hAnsiTheme="minorHAnsi"/>
                <w:noProof/>
              </w:rPr>
              <w:t>8</w:t>
            </w:r>
            <w:r w:rsidRPr="002131A1">
              <w:rPr>
                <w:rFonts w:asciiTheme="minorHAnsi" w:hAnsiTheme="minorHAnsi"/>
                <w:noProof/>
              </w:rPr>
              <w:t>00</w:t>
            </w:r>
            <w:r>
              <w:rPr>
                <w:rFonts w:asciiTheme="minorHAnsi" w:hAnsiTheme="minorHAnsi"/>
                <w:noProof/>
              </w:rPr>
              <w:t xml:space="preserve">, </w:t>
            </w:r>
            <w:r w:rsidRPr="002131A1">
              <w:rPr>
                <w:noProof/>
              </w:rPr>
              <w:t xml:space="preserve">After Hours Clinical Nurse Consultant </w:t>
            </w:r>
            <w:r>
              <w:rPr>
                <w:noProof/>
              </w:rPr>
              <w:t xml:space="preserve">- </w:t>
            </w:r>
            <w:r w:rsidRPr="002131A1">
              <w:rPr>
                <w:noProof/>
              </w:rPr>
              <w:t>Switchboard: Dial 9 or Ext. 42222</w:t>
            </w:r>
            <w:r>
              <w:rPr>
                <w:noProof/>
              </w:rPr>
              <w:t xml:space="preserve">, </w:t>
            </w:r>
            <w:r w:rsidRPr="002131A1">
              <w:rPr>
                <w:noProof/>
              </w:rPr>
              <w:t>or page 50479</w:t>
            </w:r>
          </w:p>
        </w:tc>
        <w:tc>
          <w:tcPr>
            <w:tcW w:w="2478" w:type="dxa"/>
          </w:tcPr>
          <w:p w14:paraId="00AB22F0" w14:textId="2CF5A90B" w:rsidR="00F845B8" w:rsidRDefault="00F845B8" w:rsidP="000C2A25">
            <w:pPr>
              <w:tabs>
                <w:tab w:val="left" w:pos="0"/>
              </w:tabs>
              <w:spacing w:after="0"/>
              <w:outlineLvl w:val="0"/>
            </w:pPr>
            <w:r w:rsidRPr="00F845B8">
              <w:t>After Hours Clinical Nurse Consultant - Switchboard: Dial 9 or Ext. 42222, or page 50479</w:t>
            </w:r>
          </w:p>
        </w:tc>
      </w:tr>
      <w:tr w:rsidR="00F845B8" w14:paraId="0249CA69" w14:textId="77777777">
        <w:tc>
          <w:tcPr>
            <w:tcW w:w="2477" w:type="dxa"/>
          </w:tcPr>
          <w:p w14:paraId="6F76D739" w14:textId="1998465B" w:rsidR="00F845B8" w:rsidRDefault="00F845B8" w:rsidP="00F845B8">
            <w:pPr>
              <w:tabs>
                <w:tab w:val="left" w:pos="0"/>
              </w:tabs>
              <w:spacing w:after="0"/>
              <w:outlineLvl w:val="0"/>
            </w:pPr>
            <w:r>
              <w:t>Staff Health Department, North Canberra Hospital (NCH)</w:t>
            </w:r>
          </w:p>
        </w:tc>
        <w:tc>
          <w:tcPr>
            <w:tcW w:w="2478" w:type="dxa"/>
          </w:tcPr>
          <w:p w14:paraId="3D2BA7EF" w14:textId="301706F4" w:rsidR="00F845B8" w:rsidRPr="00F845B8" w:rsidRDefault="00F845B8" w:rsidP="00F845B8">
            <w:pPr>
              <w:tabs>
                <w:tab w:val="left" w:pos="0"/>
              </w:tabs>
              <w:spacing w:after="0"/>
              <w:outlineLvl w:val="0"/>
            </w:pPr>
            <w:r>
              <w:rPr>
                <w:rFonts w:asciiTheme="minorHAnsi" w:hAnsiTheme="minorHAnsi"/>
                <w:color w:val="000000"/>
              </w:rPr>
              <w:t>Monday to Friday</w:t>
            </w:r>
            <w:r>
              <w:rPr>
                <w:rFonts w:asciiTheme="minorHAnsi" w:hAnsiTheme="minorHAnsi"/>
                <w:color w:val="000000"/>
              </w:rPr>
              <w:br/>
              <w:t>08:30 – 1700,</w:t>
            </w:r>
            <w:r>
              <w:t xml:space="preserve"> Staff Health Registered Nurse – Phone 5103 7076</w:t>
            </w:r>
          </w:p>
        </w:tc>
        <w:tc>
          <w:tcPr>
            <w:tcW w:w="2478" w:type="dxa"/>
          </w:tcPr>
          <w:p w14:paraId="4ED649F9" w14:textId="5C946B92" w:rsidR="00F845B8" w:rsidRDefault="00F845B8" w:rsidP="00F845B8">
            <w:pPr>
              <w:tabs>
                <w:tab w:val="left" w:pos="0"/>
              </w:tabs>
              <w:spacing w:after="0"/>
              <w:outlineLvl w:val="0"/>
            </w:pPr>
            <w:r w:rsidRPr="000C2904">
              <w:t xml:space="preserve">Attend the NCH Emergency Department for assessment. </w:t>
            </w:r>
          </w:p>
        </w:tc>
        <w:tc>
          <w:tcPr>
            <w:tcW w:w="2478" w:type="dxa"/>
          </w:tcPr>
          <w:p w14:paraId="0DE0C09C" w14:textId="44EFAF28" w:rsidR="00F845B8" w:rsidRDefault="00F845B8" w:rsidP="00F845B8">
            <w:pPr>
              <w:tabs>
                <w:tab w:val="left" w:pos="0"/>
              </w:tabs>
              <w:spacing w:after="0"/>
              <w:outlineLvl w:val="0"/>
            </w:pPr>
            <w:r w:rsidRPr="000C2904">
              <w:t xml:space="preserve">Attend the NCH Emergency Department for assessment. </w:t>
            </w:r>
          </w:p>
        </w:tc>
      </w:tr>
      <w:tr w:rsidR="00F845B8" w14:paraId="05D846C9" w14:textId="77777777">
        <w:tc>
          <w:tcPr>
            <w:tcW w:w="2477" w:type="dxa"/>
          </w:tcPr>
          <w:p w14:paraId="63E6D849" w14:textId="004B424B" w:rsidR="00F845B8" w:rsidRDefault="00F845B8" w:rsidP="00F845B8">
            <w:pPr>
              <w:tabs>
                <w:tab w:val="left" w:pos="0"/>
              </w:tabs>
              <w:spacing w:after="0"/>
              <w:outlineLvl w:val="0"/>
            </w:pPr>
            <w:r w:rsidRPr="002131A1">
              <w:t>University Canberra Hospital (UCH)</w:t>
            </w:r>
          </w:p>
        </w:tc>
        <w:tc>
          <w:tcPr>
            <w:tcW w:w="2478" w:type="dxa"/>
          </w:tcPr>
          <w:p w14:paraId="2A0466ED" w14:textId="31FFB158" w:rsidR="00F845B8" w:rsidRDefault="00F845B8" w:rsidP="00F845B8">
            <w:pPr>
              <w:tabs>
                <w:tab w:val="left" w:pos="0"/>
              </w:tabs>
              <w:spacing w:after="0"/>
              <w:outlineLvl w:val="0"/>
            </w:pPr>
            <w:r w:rsidRPr="00F502E9">
              <w:t xml:space="preserve">ADON/After Hours Hospital Manager - </w:t>
            </w:r>
            <w:r w:rsidRPr="00F502E9">
              <w:rPr>
                <w:noProof/>
              </w:rPr>
              <w:t>UCH switchboard p</w:t>
            </w:r>
            <w:r w:rsidRPr="00F502E9">
              <w:t>hone 5124 0033</w:t>
            </w:r>
          </w:p>
        </w:tc>
        <w:tc>
          <w:tcPr>
            <w:tcW w:w="2478" w:type="dxa"/>
          </w:tcPr>
          <w:p w14:paraId="05ED6CFD" w14:textId="394348CC" w:rsidR="00F845B8" w:rsidRDefault="00F845B8" w:rsidP="00F845B8">
            <w:pPr>
              <w:tabs>
                <w:tab w:val="left" w:pos="0"/>
              </w:tabs>
              <w:spacing w:after="0"/>
              <w:outlineLvl w:val="0"/>
            </w:pPr>
            <w:r w:rsidRPr="00F502E9">
              <w:t xml:space="preserve">ADON/After Hours Hospital Manager - </w:t>
            </w:r>
            <w:r w:rsidRPr="00F502E9">
              <w:rPr>
                <w:noProof/>
              </w:rPr>
              <w:t>UCH switchboard p</w:t>
            </w:r>
            <w:r w:rsidRPr="00F502E9">
              <w:t>hone 5124 0033</w:t>
            </w:r>
          </w:p>
        </w:tc>
        <w:tc>
          <w:tcPr>
            <w:tcW w:w="2478" w:type="dxa"/>
          </w:tcPr>
          <w:p w14:paraId="007AE60E" w14:textId="654C8D0E" w:rsidR="00F845B8" w:rsidRDefault="00F845B8" w:rsidP="00F845B8">
            <w:pPr>
              <w:tabs>
                <w:tab w:val="left" w:pos="0"/>
              </w:tabs>
              <w:spacing w:after="0"/>
              <w:outlineLvl w:val="0"/>
            </w:pPr>
            <w:r w:rsidRPr="00F502E9">
              <w:t xml:space="preserve">ADON/After Hours Hospital Manager - </w:t>
            </w:r>
            <w:r w:rsidRPr="00F502E9">
              <w:rPr>
                <w:noProof/>
              </w:rPr>
              <w:t>UCH switchboard p</w:t>
            </w:r>
            <w:r w:rsidRPr="00F502E9">
              <w:t>hone 5124 0033</w:t>
            </w:r>
          </w:p>
        </w:tc>
      </w:tr>
    </w:tbl>
    <w:p w14:paraId="468E47CE" w14:textId="77777777" w:rsidR="00F845B8" w:rsidRPr="00F14E93" w:rsidRDefault="00F845B8" w:rsidP="000C2A25">
      <w:pPr>
        <w:tabs>
          <w:tab w:val="left" w:pos="0"/>
        </w:tabs>
        <w:spacing w:after="0"/>
        <w:outlineLvl w:val="0"/>
      </w:pPr>
    </w:p>
    <w:p w14:paraId="5612CBB7" w14:textId="77777777" w:rsidR="00481A6C" w:rsidRDefault="00481A6C" w:rsidP="0091462B">
      <w:pPr>
        <w:pStyle w:val="BodyCopy"/>
        <w:rPr>
          <w:rStyle w:val="Hyperlink"/>
          <w:iCs w:val="0"/>
        </w:rPr>
      </w:pPr>
      <w:hyperlink w:anchor="_top" w:history="1">
        <w:r w:rsidRPr="00481A6C">
          <w:rPr>
            <w:rStyle w:val="Hyperlink"/>
            <w:iCs w:val="0"/>
          </w:rPr>
          <w:t>Back to Contents</w:t>
        </w:r>
      </w:hyperlink>
    </w:p>
    <w:p w14:paraId="7E6BD188" w14:textId="18DAD42A" w:rsidR="000C2A25" w:rsidRDefault="000C2A25" w:rsidP="00F827BB">
      <w:pPr>
        <w:pStyle w:val="Heading4"/>
      </w:pPr>
      <w:bookmarkStart w:id="9" w:name="_Toc189830915"/>
      <w:r>
        <w:t>Section 4 – Risk Assessment of BBFE</w:t>
      </w:r>
      <w:bookmarkEnd w:id="9"/>
      <w:r>
        <w:t xml:space="preserve"> </w:t>
      </w:r>
      <w:r>
        <w:tab/>
      </w:r>
    </w:p>
    <w:p w14:paraId="2A47E9F0" w14:textId="4C514731" w:rsidR="000C2A25" w:rsidRPr="000C2A25" w:rsidRDefault="000C2A25" w:rsidP="000C2A25">
      <w:pPr>
        <w:rPr>
          <w:rFonts w:eastAsiaTheme="majorEastAsia"/>
        </w:rPr>
      </w:pPr>
      <w:r w:rsidRPr="00963486">
        <w:rPr>
          <w:rFonts w:asciiTheme="minorHAnsi" w:hAnsiTheme="minorHAnsi" w:cstheme="minorHAnsi"/>
        </w:rPr>
        <w:t xml:space="preserve">The risk assessment of </w:t>
      </w:r>
      <w:r>
        <w:rPr>
          <w:rFonts w:asciiTheme="minorHAnsi" w:hAnsiTheme="minorHAnsi" w:cstheme="minorHAnsi"/>
        </w:rPr>
        <w:t xml:space="preserve">a BBFE </w:t>
      </w:r>
      <w:r w:rsidRPr="00963486">
        <w:rPr>
          <w:rFonts w:asciiTheme="minorHAnsi" w:hAnsiTheme="minorHAnsi" w:cstheme="minorHAnsi"/>
        </w:rPr>
        <w:t xml:space="preserve">should </w:t>
      </w:r>
      <w:r w:rsidRPr="00963486">
        <w:rPr>
          <w:rStyle w:val="st1"/>
          <w:rFonts w:asciiTheme="minorHAnsi" w:hAnsiTheme="minorHAnsi" w:cstheme="minorHAnsi"/>
          <w:szCs w:val="22"/>
        </w:rPr>
        <w:t>begin as soon as possible after the exposure.</w:t>
      </w:r>
      <w:r w:rsidRPr="00963486">
        <w:rPr>
          <w:rFonts w:asciiTheme="minorHAnsi" w:hAnsiTheme="minorHAnsi" w:cstheme="minorHAnsi"/>
        </w:rPr>
        <w:t xml:space="preserve"> Risk assessment of </w:t>
      </w:r>
      <w:r>
        <w:rPr>
          <w:rFonts w:asciiTheme="minorHAnsi" w:hAnsiTheme="minorHAnsi" w:cstheme="minorHAnsi"/>
        </w:rPr>
        <w:t>BBFE</w:t>
      </w:r>
      <w:r w:rsidRPr="00963486">
        <w:rPr>
          <w:rFonts w:asciiTheme="minorHAnsi" w:hAnsiTheme="minorHAnsi" w:cstheme="minorHAnsi"/>
        </w:rPr>
        <w:t xml:space="preserve"> is essential to ensure the timely administration of PEP </w:t>
      </w:r>
      <w:r>
        <w:rPr>
          <w:rFonts w:asciiTheme="minorHAnsi" w:hAnsiTheme="minorHAnsi" w:cstheme="minorHAnsi"/>
        </w:rPr>
        <w:t>if</w:t>
      </w:r>
      <w:r w:rsidRPr="00963486">
        <w:rPr>
          <w:rFonts w:asciiTheme="minorHAnsi" w:hAnsiTheme="minorHAnsi" w:cstheme="minorHAnsi"/>
        </w:rPr>
        <w:t xml:space="preserve"> required. </w:t>
      </w:r>
    </w:p>
    <w:p w14:paraId="23E658BB" w14:textId="77777777" w:rsidR="000C2A25" w:rsidRPr="005B7C11" w:rsidRDefault="000C2A25" w:rsidP="000C2A25">
      <w:pPr>
        <w:pStyle w:val="Heading5"/>
      </w:pPr>
      <w:bookmarkStart w:id="10" w:name="_Toc172812216"/>
      <w:r>
        <w:t>4.1</w:t>
      </w:r>
      <w:r>
        <w:tab/>
      </w:r>
      <w:r w:rsidRPr="005B7C11">
        <w:t>Persons Responsible for Completing the Risk Assessment</w:t>
      </w:r>
      <w:bookmarkEnd w:id="10"/>
    </w:p>
    <w:p w14:paraId="56E6CEC8" w14:textId="56837940" w:rsidR="000C2A25" w:rsidRPr="000C2A25" w:rsidRDefault="000C2A25" w:rsidP="0090388F">
      <w:pPr>
        <w:pStyle w:val="BodyCopy"/>
      </w:pPr>
      <w:r w:rsidRPr="000C2A25">
        <w:t xml:space="preserve">All BBFEs are to be risk assessed and managed by trained staff </w:t>
      </w:r>
      <w:r w:rsidR="00C76F0D" w:rsidRPr="000C2A25">
        <w:t>only.</w:t>
      </w:r>
      <w:r w:rsidRPr="000C2A25">
        <w:t xml:space="preserve"> CHS staff trained in BBFE risk assessments include:</w:t>
      </w:r>
    </w:p>
    <w:p w14:paraId="6F97A81E" w14:textId="77777777" w:rsidR="000C2A25" w:rsidRPr="000C2A25" w:rsidRDefault="000C2A25" w:rsidP="0090388F">
      <w:pPr>
        <w:pStyle w:val="Bullet"/>
      </w:pPr>
      <w:r w:rsidRPr="000C2A25">
        <w:t xml:space="preserve">Occupational Medicine Unit Registered Nurses (OMU RNs) </w:t>
      </w:r>
    </w:p>
    <w:p w14:paraId="28198275" w14:textId="43716984" w:rsidR="000C2A25" w:rsidRPr="000C2A25" w:rsidRDefault="000C2A25" w:rsidP="0090388F">
      <w:pPr>
        <w:pStyle w:val="Bullet"/>
      </w:pPr>
      <w:r w:rsidRPr="000C2A25">
        <w:t>NCH Staff Health Registered Nurses (SH RNs)</w:t>
      </w:r>
    </w:p>
    <w:p w14:paraId="75AE8A35" w14:textId="54342324" w:rsidR="000C2A25" w:rsidRPr="000C2A25" w:rsidRDefault="000C2A25" w:rsidP="0090388F">
      <w:pPr>
        <w:pStyle w:val="Bullet"/>
      </w:pPr>
      <w:r w:rsidRPr="000C2A25">
        <w:t>After Hours Clinical Nurse Consultants (AH CNCs at CH)</w:t>
      </w:r>
    </w:p>
    <w:p w14:paraId="43F90CF0" w14:textId="77777777" w:rsidR="000C2A25" w:rsidRPr="000C2A25" w:rsidRDefault="000C2A25" w:rsidP="0090388F">
      <w:pPr>
        <w:pStyle w:val="Bullet"/>
        <w:rPr>
          <w:rFonts w:cstheme="minorBidi"/>
        </w:rPr>
      </w:pPr>
      <w:r w:rsidRPr="58F11837">
        <w:rPr>
          <w:rFonts w:cstheme="minorBidi"/>
        </w:rPr>
        <w:t xml:space="preserve">NCH ED Medical Officer (MO), Nurse Practitioner (NP) or Advance Practice Nurse (APN) </w:t>
      </w:r>
    </w:p>
    <w:p w14:paraId="44722C6D" w14:textId="77777777" w:rsidR="000C2A25" w:rsidRPr="000C2A25" w:rsidRDefault="000C2A25" w:rsidP="0090388F">
      <w:pPr>
        <w:pStyle w:val="Bullet"/>
      </w:pPr>
      <w:r w:rsidRPr="000C2A25">
        <w:t xml:space="preserve">UCH Assistant Director of Nursing (ADON)/After Hours Hospital Manager (AHHM).  </w:t>
      </w:r>
    </w:p>
    <w:p w14:paraId="27BDC33F" w14:textId="377F3414" w:rsidR="000C2A25" w:rsidRPr="0090388F" w:rsidRDefault="000C2A25" w:rsidP="0090388F">
      <w:pPr>
        <w:pStyle w:val="BodyCopy"/>
        <w:rPr>
          <w:szCs w:val="22"/>
        </w:rPr>
      </w:pPr>
      <w:r w:rsidRPr="000C2A25">
        <w:t xml:space="preserve">These trained personnel will be referred to in this document as the BBFE incident manager. </w:t>
      </w:r>
    </w:p>
    <w:p w14:paraId="35F81331" w14:textId="77777777" w:rsidR="000C2A25" w:rsidRPr="000C2A25" w:rsidRDefault="000C2A25" w:rsidP="0090388F">
      <w:pPr>
        <w:pStyle w:val="BodyCopy"/>
        <w:rPr>
          <w:rFonts w:asciiTheme="minorHAnsi" w:hAnsiTheme="minorHAnsi" w:cstheme="minorBidi"/>
        </w:rPr>
      </w:pPr>
      <w:r w:rsidRPr="58F11837">
        <w:rPr>
          <w:rFonts w:asciiTheme="minorHAnsi" w:hAnsiTheme="minorHAnsi" w:cstheme="minorBidi"/>
        </w:rPr>
        <w:t>The BBFE incident manager is responsible for:</w:t>
      </w:r>
    </w:p>
    <w:p w14:paraId="09050756" w14:textId="5E778248" w:rsidR="000C2A25" w:rsidRPr="000C2A25" w:rsidRDefault="0090388F" w:rsidP="0090388F">
      <w:pPr>
        <w:pStyle w:val="Bullet"/>
      </w:pPr>
      <w:r>
        <w:rPr>
          <w:bCs/>
        </w:rPr>
        <w:t>a</w:t>
      </w:r>
      <w:r w:rsidR="000C2A25" w:rsidRPr="000C2A25">
        <w:rPr>
          <w:bCs/>
        </w:rPr>
        <w:t>pp</w:t>
      </w:r>
      <w:r w:rsidR="000C2A25" w:rsidRPr="000C2A25">
        <w:t>ropriately documenting all information obtained during the risk assessment</w:t>
      </w:r>
    </w:p>
    <w:p w14:paraId="5A909769" w14:textId="5CEF2D19" w:rsidR="49359429" w:rsidRDefault="0090388F" w:rsidP="0090388F">
      <w:pPr>
        <w:pStyle w:val="Bullet"/>
      </w:pPr>
      <w:r>
        <w:rPr>
          <w:rFonts w:cstheme="minorBidi"/>
        </w:rPr>
        <w:t>w</w:t>
      </w:r>
      <w:r w:rsidR="000C2A25" w:rsidRPr="49359429">
        <w:rPr>
          <w:rFonts w:cstheme="minorBidi"/>
        </w:rPr>
        <w:t xml:space="preserve">orking through the contents of the BBFE process (as outlined below) with the exposed HCW </w:t>
      </w:r>
      <w:r w:rsidR="00C76F0D" w:rsidRPr="49359429">
        <w:rPr>
          <w:rFonts w:cstheme="minorBidi"/>
        </w:rPr>
        <w:t>and</w:t>
      </w:r>
      <w:r w:rsidR="000C2A25" w:rsidRPr="49359429">
        <w:rPr>
          <w:rFonts w:cstheme="minorBidi"/>
        </w:rPr>
        <w:t xml:space="preserve"> as required, the source person.</w:t>
      </w:r>
    </w:p>
    <w:p w14:paraId="03D677F8" w14:textId="77777777" w:rsidR="000C2A25" w:rsidRPr="00D674AF" w:rsidRDefault="000C2A25" w:rsidP="000C2A25">
      <w:pPr>
        <w:pStyle w:val="Heading5"/>
      </w:pPr>
      <w:bookmarkStart w:id="11" w:name="_Toc172812217"/>
      <w:r>
        <w:t>4.2</w:t>
      </w:r>
      <w:r w:rsidRPr="00D674AF">
        <w:t xml:space="preserve"> </w:t>
      </w:r>
      <w:r w:rsidRPr="00D674AF">
        <w:tab/>
        <w:t>B</w:t>
      </w:r>
      <w:r>
        <w:t>B</w:t>
      </w:r>
      <w:r w:rsidRPr="00D674AF">
        <w:t>F</w:t>
      </w:r>
      <w:r>
        <w:t>E</w:t>
      </w:r>
      <w:r w:rsidRPr="00D674AF">
        <w:t xml:space="preserve"> </w:t>
      </w:r>
      <w:r>
        <w:t xml:space="preserve">Process </w:t>
      </w:r>
      <w:bookmarkEnd w:id="11"/>
    </w:p>
    <w:p w14:paraId="4208053E" w14:textId="4A599823" w:rsidR="49359429" w:rsidRDefault="000C2A25" w:rsidP="0090388F">
      <w:pPr>
        <w:pStyle w:val="BodyCopy"/>
      </w:pPr>
      <w:bookmarkStart w:id="12" w:name="_Hlk69127838"/>
      <w:r w:rsidRPr="49359429">
        <w:t xml:space="preserve">BBFE process </w:t>
      </w:r>
      <w:r w:rsidR="00C76F0D" w:rsidRPr="49359429">
        <w:t>is electronic</w:t>
      </w:r>
      <w:r w:rsidR="007A30FA">
        <w:t xml:space="preserve"> (excluding NCH)</w:t>
      </w:r>
      <w:r w:rsidRPr="49359429">
        <w:t xml:space="preserve">, and the BBFE incident manager will have access to the required templates and risk assessment tool in the </w:t>
      </w:r>
      <w:r w:rsidR="0090388F">
        <w:t>Digital Health Record (</w:t>
      </w:r>
      <w:r w:rsidRPr="49359429">
        <w:t>DHR</w:t>
      </w:r>
      <w:r w:rsidR="0090388F">
        <w:t>)</w:t>
      </w:r>
      <w:r w:rsidRPr="49359429">
        <w:t xml:space="preserve">. </w:t>
      </w:r>
      <w:bookmarkEnd w:id="12"/>
    </w:p>
    <w:p w14:paraId="3FDCEDC2" w14:textId="3B419F4F" w:rsidR="00A66F9D" w:rsidRDefault="00A66F9D" w:rsidP="0090388F">
      <w:pPr>
        <w:pStyle w:val="BodyCopy"/>
      </w:pPr>
      <w:r>
        <w:t xml:space="preserve">At NCH the BBFE incident manager is to use a </w:t>
      </w:r>
      <w:proofErr w:type="gramStart"/>
      <w:r>
        <w:t>paper based</w:t>
      </w:r>
      <w:proofErr w:type="gramEnd"/>
      <w:r>
        <w:t xml:space="preserve"> pack that includes all required forms and processes for </w:t>
      </w:r>
      <w:r w:rsidR="007A30FA">
        <w:t xml:space="preserve">completion. Packs </w:t>
      </w:r>
      <w:proofErr w:type="gramStart"/>
      <w:r w:rsidR="007A30FA">
        <w:t>are located in</w:t>
      </w:r>
      <w:proofErr w:type="gramEnd"/>
      <w:r w:rsidR="007A30FA">
        <w:t xml:space="preserve"> the NCH Emergency Department and should be attached to the respective clinical records. Additional copies can be requested through the OMU or SHD (contact per Table 2). </w:t>
      </w:r>
    </w:p>
    <w:p w14:paraId="30755D99" w14:textId="77777777" w:rsidR="00A66F9D" w:rsidRDefault="00A66F9D" w:rsidP="0090388F">
      <w:pPr>
        <w:pStyle w:val="BodyCopy"/>
      </w:pPr>
    </w:p>
    <w:p w14:paraId="1ED24C95" w14:textId="77777777" w:rsidR="000C2A25" w:rsidRPr="005B7C11" w:rsidRDefault="000C2A25" w:rsidP="000C2A25">
      <w:pPr>
        <w:pStyle w:val="Heading5"/>
      </w:pPr>
      <w:bookmarkStart w:id="13" w:name="_Toc172812218"/>
      <w:r>
        <w:t>4.3</w:t>
      </w:r>
      <w:r>
        <w:tab/>
      </w:r>
      <w:r w:rsidRPr="005B7C11">
        <w:t>Elements Comprising the Risk Assessment</w:t>
      </w:r>
      <w:bookmarkEnd w:id="13"/>
    </w:p>
    <w:p w14:paraId="04D0C5A0" w14:textId="77777777" w:rsidR="000C2A25" w:rsidRPr="00C76F0D" w:rsidRDefault="000C2A25" w:rsidP="0090388F">
      <w:pPr>
        <w:pStyle w:val="BodyCopy"/>
      </w:pPr>
      <w:r w:rsidRPr="00C76F0D">
        <w:t>Risk assessment of the BBFE includes assessment of the:</w:t>
      </w:r>
    </w:p>
    <w:p w14:paraId="583A4844" w14:textId="77777777" w:rsidR="000C2A25" w:rsidRPr="00C76F0D" w:rsidRDefault="000C2A25" w:rsidP="0090388F">
      <w:pPr>
        <w:pStyle w:val="Bullet"/>
      </w:pPr>
      <w:r w:rsidRPr="00C76F0D">
        <w:t>Type and significance of the exposure – injury type and body fluid involved.</w:t>
      </w:r>
    </w:p>
    <w:p w14:paraId="4EF33AEF" w14:textId="77777777" w:rsidR="000C2A25" w:rsidRPr="00C76F0D" w:rsidRDefault="000C2A25" w:rsidP="0090388F">
      <w:pPr>
        <w:pStyle w:val="Bullet"/>
      </w:pPr>
      <w:r w:rsidRPr="00C76F0D">
        <w:t>HBV immunisation status of the HCW.</w:t>
      </w:r>
    </w:p>
    <w:p w14:paraId="0A9B2EC5" w14:textId="75FF7CF2" w:rsidR="000C2A25" w:rsidRPr="00C76F0D" w:rsidRDefault="000C2A25" w:rsidP="0090388F">
      <w:pPr>
        <w:pStyle w:val="Bullet"/>
      </w:pPr>
      <w:r w:rsidRPr="00C76F0D">
        <w:lastRenderedPageBreak/>
        <w:t>BBV status of the source (if known).</w:t>
      </w:r>
    </w:p>
    <w:p w14:paraId="7E5DE705" w14:textId="77777777" w:rsidR="000C2A25" w:rsidRPr="002751DA" w:rsidRDefault="000C2A25" w:rsidP="000C2A25">
      <w:pPr>
        <w:pStyle w:val="Heading5"/>
      </w:pPr>
      <w:bookmarkStart w:id="14" w:name="_Toc172812219"/>
      <w:r>
        <w:t>4.4</w:t>
      </w:r>
      <w:r>
        <w:tab/>
      </w:r>
      <w:r w:rsidRPr="002751DA">
        <w:t>Determining the Type and Significance of the Exposure</w:t>
      </w:r>
      <w:bookmarkEnd w:id="14"/>
    </w:p>
    <w:p w14:paraId="7374B881" w14:textId="55BBF137" w:rsidR="000C2A25" w:rsidRPr="0090388F" w:rsidRDefault="000C2A25" w:rsidP="0090388F">
      <w:pPr>
        <w:pStyle w:val="BodyCopy"/>
      </w:pPr>
      <w:r w:rsidRPr="0090388F">
        <w:t xml:space="preserve">The </w:t>
      </w:r>
      <w:bookmarkStart w:id="15" w:name="_Hlk69129446"/>
      <w:r w:rsidRPr="0090388F">
        <w:t>BBFE</w:t>
      </w:r>
      <w:bookmarkEnd w:id="15"/>
      <w:r w:rsidRPr="0090388F">
        <w:t xml:space="preserve"> incident manager will provide the exposed HCW with the </w:t>
      </w:r>
      <w:r w:rsidRPr="0090388F">
        <w:rPr>
          <w:i/>
          <w:iCs w:val="0"/>
        </w:rPr>
        <w:t>BBFE HCW Information Sheet</w:t>
      </w:r>
      <w:r w:rsidR="000D04DD">
        <w:t xml:space="preserve"> </w:t>
      </w:r>
      <w:r w:rsidR="0090388F">
        <w:t>located</w:t>
      </w:r>
      <w:r w:rsidR="00A66F9D">
        <w:t xml:space="preserve"> </w:t>
      </w:r>
      <w:r w:rsidR="000D04DD">
        <w:t>on the OMU intranet page.</w:t>
      </w:r>
      <w:r w:rsidR="0090388F">
        <w:t xml:space="preserve"> The BBFE </w:t>
      </w:r>
      <w:r w:rsidR="000C6D49">
        <w:t>incident</w:t>
      </w:r>
      <w:r w:rsidR="0090388F">
        <w:t xml:space="preserve"> manager will </w:t>
      </w:r>
      <w:r w:rsidRPr="0090388F">
        <w:t>document the exposure in DHR using the relevant template which seeks information about the:</w:t>
      </w:r>
    </w:p>
    <w:p w14:paraId="5FD71948" w14:textId="5FE265C4" w:rsidR="000C2A25" w:rsidRPr="00787906" w:rsidRDefault="0090388F" w:rsidP="0090388F">
      <w:pPr>
        <w:pStyle w:val="Bullet"/>
      </w:pPr>
      <w:r>
        <w:t>d</w:t>
      </w:r>
      <w:r w:rsidR="000C2A25" w:rsidRPr="00787906">
        <w:t xml:space="preserve">esignation of the exposed HCW </w:t>
      </w:r>
    </w:p>
    <w:p w14:paraId="59F1D910" w14:textId="0904B8F4" w:rsidR="000C2A25" w:rsidRPr="00787906" w:rsidRDefault="0090388F" w:rsidP="0090388F">
      <w:pPr>
        <w:pStyle w:val="Bullet"/>
      </w:pPr>
      <w:r>
        <w:t>d</w:t>
      </w:r>
      <w:r w:rsidR="000C2A25" w:rsidRPr="00787906">
        <w:t xml:space="preserve">ate of exposure </w:t>
      </w:r>
    </w:p>
    <w:p w14:paraId="7480DC78" w14:textId="77777777" w:rsidR="0090388F" w:rsidRDefault="0090388F" w:rsidP="0090388F">
      <w:pPr>
        <w:pStyle w:val="Bullet"/>
      </w:pPr>
      <w:r>
        <w:t>t</w:t>
      </w:r>
      <w:r w:rsidR="000C2A25" w:rsidRPr="00787906">
        <w:t xml:space="preserve">ime of exposure </w:t>
      </w:r>
    </w:p>
    <w:p w14:paraId="492D194B" w14:textId="293D8107" w:rsidR="000C2A25" w:rsidRPr="00787906" w:rsidRDefault="0090388F" w:rsidP="0090388F">
      <w:pPr>
        <w:pStyle w:val="Bullet"/>
      </w:pPr>
      <w:r>
        <w:t>w</w:t>
      </w:r>
      <w:r w:rsidR="000C2A25" w:rsidRPr="00787906">
        <w:t>ard/</w:t>
      </w:r>
      <w:r>
        <w:t>a</w:t>
      </w:r>
      <w:r w:rsidR="000C2A25" w:rsidRPr="00787906">
        <w:t xml:space="preserve">rea exposure occurred </w:t>
      </w:r>
    </w:p>
    <w:p w14:paraId="6230275D" w14:textId="075A9DB5" w:rsidR="000C2A25" w:rsidRPr="00787906" w:rsidRDefault="0090388F" w:rsidP="0090388F">
      <w:pPr>
        <w:pStyle w:val="Bullet"/>
      </w:pPr>
      <w:r>
        <w:t>s</w:t>
      </w:r>
      <w:r w:rsidR="000C2A25" w:rsidRPr="00787906">
        <w:t xml:space="preserve">ource URN (if known) </w:t>
      </w:r>
    </w:p>
    <w:p w14:paraId="6C6301CF" w14:textId="33CD7400" w:rsidR="000C2A25" w:rsidRPr="00787906" w:rsidRDefault="0090388F" w:rsidP="0090388F">
      <w:pPr>
        <w:pStyle w:val="Bullet"/>
      </w:pPr>
      <w:r>
        <w:t>s</w:t>
      </w:r>
      <w:r w:rsidR="000C2A25" w:rsidRPr="00787906">
        <w:t xml:space="preserve">ite and extent of injury </w:t>
      </w:r>
    </w:p>
    <w:p w14:paraId="2D495909" w14:textId="3B10D4A9" w:rsidR="000C2A25" w:rsidRPr="00787906" w:rsidRDefault="0090388F" w:rsidP="0090388F">
      <w:pPr>
        <w:pStyle w:val="Bullet"/>
      </w:pPr>
      <w:r>
        <w:t>i</w:t>
      </w:r>
      <w:r w:rsidR="000C2A25" w:rsidRPr="00787906">
        <w:t xml:space="preserve">f immediate first aid was attended </w:t>
      </w:r>
    </w:p>
    <w:p w14:paraId="71E98B67" w14:textId="1C2013AD" w:rsidR="000C2A25" w:rsidRPr="00787906" w:rsidRDefault="0090388F" w:rsidP="0090388F">
      <w:pPr>
        <w:pStyle w:val="Bullet"/>
      </w:pPr>
      <w:r>
        <w:t>i</w:t>
      </w:r>
      <w:r w:rsidR="000C2A25" w:rsidRPr="00787906">
        <w:t xml:space="preserve">f further injury care was required </w:t>
      </w:r>
    </w:p>
    <w:p w14:paraId="3CAB4A33" w14:textId="7A79B375" w:rsidR="000C2A25" w:rsidRPr="0090388F" w:rsidRDefault="0090388F" w:rsidP="00AB567B">
      <w:pPr>
        <w:pStyle w:val="Bullet"/>
        <w:rPr>
          <w:bCs/>
          <w:szCs w:val="22"/>
        </w:rPr>
      </w:pPr>
      <w:r>
        <w:t>i</w:t>
      </w:r>
      <w:r w:rsidR="000C2A25" w:rsidRPr="00787906">
        <w:t>f the HCW was wearing personal protective equipment (PPE)</w:t>
      </w:r>
      <w:r>
        <w:t xml:space="preserve">. </w:t>
      </w:r>
    </w:p>
    <w:p w14:paraId="47718993" w14:textId="78B5DDB0" w:rsidR="000C2A25" w:rsidRPr="00C76F0D" w:rsidRDefault="000C2A25" w:rsidP="00C76F0D">
      <w:pPr>
        <w:rPr>
          <w:bCs/>
          <w:szCs w:val="22"/>
        </w:rPr>
      </w:pPr>
      <w:r>
        <w:rPr>
          <w:bCs/>
          <w:szCs w:val="22"/>
        </w:rPr>
        <w:t xml:space="preserve">If the BBFE has occurred after hours, the OMU RN/SH RN will collect further information during a follow up phone call during business hours. </w:t>
      </w:r>
    </w:p>
    <w:p w14:paraId="44973A22" w14:textId="7406AA69" w:rsidR="000C2A25" w:rsidRDefault="000C2A25" w:rsidP="000C2A25">
      <w:pPr>
        <w:rPr>
          <w:bCs/>
          <w:szCs w:val="22"/>
        </w:rPr>
      </w:pPr>
      <w:r>
        <w:rPr>
          <w:bCs/>
          <w:szCs w:val="22"/>
        </w:rPr>
        <w:t>Tables 3 and 4 outline the risks of transmission of BBVs from different injury types and body fluids.</w:t>
      </w:r>
    </w:p>
    <w:p w14:paraId="6010E91C" w14:textId="3EC4798D" w:rsidR="000C2A25" w:rsidRPr="0090388F" w:rsidRDefault="000C2A25" w:rsidP="000C2A25">
      <w:r w:rsidRPr="00827C54">
        <w:rPr>
          <w:b/>
          <w:bCs/>
        </w:rPr>
        <w:t xml:space="preserve">Table </w:t>
      </w:r>
      <w:r>
        <w:rPr>
          <w:b/>
          <w:bCs/>
        </w:rPr>
        <w:t xml:space="preserve">3 </w:t>
      </w:r>
      <w:r w:rsidRPr="0090388F">
        <w:t>- Risk of transmission of BBVs from infectious body fluid by injury type (adapted from NSW Health</w:t>
      </w:r>
      <w:r w:rsidRPr="0090388F">
        <w:rPr>
          <w:vertAlign w:val="superscript"/>
        </w:rPr>
        <w:t>1</w:t>
      </w:r>
      <w:r w:rsidRPr="0090388F">
        <w:t>)</w:t>
      </w:r>
    </w:p>
    <w:tbl>
      <w:tblPr>
        <w:tblStyle w:val="TableGrid"/>
        <w:tblW w:w="0" w:type="auto"/>
        <w:tblLook w:val="04A0" w:firstRow="1" w:lastRow="0" w:firstColumn="1" w:lastColumn="0" w:noHBand="0" w:noVBand="1"/>
      </w:tblPr>
      <w:tblGrid>
        <w:gridCol w:w="2405"/>
        <w:gridCol w:w="6655"/>
      </w:tblGrid>
      <w:tr w:rsidR="000C2A25" w:rsidRPr="0090388F" w14:paraId="0F19BA7F" w14:textId="77777777" w:rsidTr="0090388F">
        <w:tc>
          <w:tcPr>
            <w:tcW w:w="2405" w:type="dxa"/>
            <w:shd w:val="clear" w:color="auto" w:fill="D9D9D9" w:themeFill="background1" w:themeFillShade="D9"/>
          </w:tcPr>
          <w:p w14:paraId="03CBCA31" w14:textId="77777777" w:rsidR="000C2A25" w:rsidRPr="0090388F" w:rsidRDefault="000C2A25" w:rsidP="0090388F">
            <w:pPr>
              <w:pStyle w:val="BodyCopy"/>
              <w:rPr>
                <w:b/>
                <w:bCs w:val="0"/>
              </w:rPr>
            </w:pPr>
            <w:r w:rsidRPr="0090388F">
              <w:rPr>
                <w:b/>
                <w:bCs w:val="0"/>
              </w:rPr>
              <w:t>Level of Risk</w:t>
            </w:r>
          </w:p>
        </w:tc>
        <w:tc>
          <w:tcPr>
            <w:tcW w:w="6655" w:type="dxa"/>
            <w:shd w:val="clear" w:color="auto" w:fill="D9D9D9" w:themeFill="background1" w:themeFillShade="D9"/>
          </w:tcPr>
          <w:p w14:paraId="3C18664F" w14:textId="77777777" w:rsidR="000C2A25" w:rsidRPr="0090388F" w:rsidRDefault="000C2A25" w:rsidP="0090388F">
            <w:pPr>
              <w:pStyle w:val="BodyCopy"/>
              <w:rPr>
                <w:b/>
                <w:bCs w:val="0"/>
              </w:rPr>
            </w:pPr>
            <w:r w:rsidRPr="0090388F">
              <w:rPr>
                <w:b/>
                <w:bCs w:val="0"/>
              </w:rPr>
              <w:t>Injury Type</w:t>
            </w:r>
          </w:p>
        </w:tc>
      </w:tr>
      <w:tr w:rsidR="000C2A25" w:rsidRPr="0081787D" w14:paraId="065895D2" w14:textId="77777777" w:rsidTr="0090388F">
        <w:tc>
          <w:tcPr>
            <w:tcW w:w="2405" w:type="dxa"/>
          </w:tcPr>
          <w:p w14:paraId="69144CC9" w14:textId="77777777" w:rsidR="000C2A25" w:rsidRPr="00C76F0D" w:rsidRDefault="000C2A25" w:rsidP="0090388F">
            <w:pPr>
              <w:pStyle w:val="BodyCopy"/>
              <w:rPr>
                <w:rFonts w:asciiTheme="minorHAnsi" w:hAnsiTheme="minorHAnsi" w:cstheme="minorHAnsi"/>
              </w:rPr>
            </w:pPr>
            <w:r w:rsidRPr="00C76F0D">
              <w:rPr>
                <w:rFonts w:asciiTheme="minorHAnsi" w:hAnsiTheme="minorHAnsi" w:cstheme="minorHAnsi"/>
              </w:rPr>
              <w:t>Higher Risk Injury</w:t>
            </w:r>
          </w:p>
        </w:tc>
        <w:tc>
          <w:tcPr>
            <w:tcW w:w="6655" w:type="dxa"/>
          </w:tcPr>
          <w:p w14:paraId="4AD2B321" w14:textId="5B474659" w:rsidR="000C2A25" w:rsidRPr="00C76F0D" w:rsidRDefault="0090388F" w:rsidP="0090388F">
            <w:pPr>
              <w:pStyle w:val="Bullet"/>
            </w:pPr>
            <w:r>
              <w:t>d</w:t>
            </w:r>
            <w:r w:rsidR="000C2A25" w:rsidRPr="00C76F0D">
              <w:t>eep percutaneous injury</w:t>
            </w:r>
          </w:p>
          <w:p w14:paraId="102ED959" w14:textId="5DD027D3" w:rsidR="000C2A25" w:rsidRPr="00C76F0D" w:rsidRDefault="0090388F" w:rsidP="0090388F">
            <w:pPr>
              <w:pStyle w:val="Bullet"/>
            </w:pPr>
            <w:r>
              <w:t>v</w:t>
            </w:r>
            <w:r w:rsidR="000C2A25" w:rsidRPr="00C76F0D">
              <w:t>isible blood on sharps</w:t>
            </w:r>
          </w:p>
          <w:p w14:paraId="7054F56F" w14:textId="6B7E4245" w:rsidR="000C2A25" w:rsidRPr="00C76F0D" w:rsidRDefault="0090388F" w:rsidP="0090388F">
            <w:pPr>
              <w:pStyle w:val="Bullet"/>
            </w:pPr>
            <w:r>
              <w:t>n</w:t>
            </w:r>
            <w:r w:rsidR="000C2A25" w:rsidRPr="00C76F0D">
              <w:t>eedle used on source’s blood vessels</w:t>
            </w:r>
            <w:r>
              <w:t>.</w:t>
            </w:r>
          </w:p>
        </w:tc>
      </w:tr>
      <w:tr w:rsidR="000C2A25" w:rsidRPr="0081787D" w14:paraId="5CA65429" w14:textId="77777777" w:rsidTr="0090388F">
        <w:tc>
          <w:tcPr>
            <w:tcW w:w="2405" w:type="dxa"/>
          </w:tcPr>
          <w:p w14:paraId="0F783B62" w14:textId="77777777" w:rsidR="000C2A25" w:rsidRPr="00C76F0D" w:rsidRDefault="000C2A25" w:rsidP="0090388F">
            <w:pPr>
              <w:pStyle w:val="BodyCopy"/>
              <w:rPr>
                <w:rFonts w:asciiTheme="minorHAnsi" w:hAnsiTheme="minorHAnsi" w:cstheme="minorHAnsi"/>
              </w:rPr>
            </w:pPr>
            <w:r w:rsidRPr="00C76F0D">
              <w:rPr>
                <w:rFonts w:asciiTheme="minorHAnsi" w:hAnsiTheme="minorHAnsi" w:cstheme="minorHAnsi"/>
              </w:rPr>
              <w:t>Lower Risk Injury</w:t>
            </w:r>
          </w:p>
        </w:tc>
        <w:tc>
          <w:tcPr>
            <w:tcW w:w="6655" w:type="dxa"/>
          </w:tcPr>
          <w:p w14:paraId="128AEAE2" w14:textId="3FCB8132" w:rsidR="000C2A25" w:rsidRPr="00C76F0D" w:rsidRDefault="0090388F" w:rsidP="0090388F">
            <w:pPr>
              <w:pStyle w:val="Bullet"/>
            </w:pPr>
            <w:r>
              <w:t>s</w:t>
            </w:r>
            <w:r w:rsidR="000C2A25" w:rsidRPr="00C76F0D">
              <w:t>uperficial injury, exposure through broken skin, mucosal exposure, scratch that breaks the skin</w:t>
            </w:r>
          </w:p>
          <w:p w14:paraId="76619021" w14:textId="074D3E28" w:rsidR="000C2A25" w:rsidRPr="00C76F0D" w:rsidRDefault="0090388F" w:rsidP="0090388F">
            <w:pPr>
              <w:pStyle w:val="Bullet"/>
            </w:pPr>
            <w:r>
              <w:t>o</w:t>
            </w:r>
            <w:r w:rsidR="000C2A25" w:rsidRPr="00C76F0D">
              <w:t>ld, discarded sharps</w:t>
            </w:r>
          </w:p>
          <w:p w14:paraId="17E32C64" w14:textId="3AA7024C" w:rsidR="000C2A25" w:rsidRPr="00C76F0D" w:rsidRDefault="0090388F" w:rsidP="0090388F">
            <w:pPr>
              <w:pStyle w:val="Bullet"/>
            </w:pPr>
            <w:r>
              <w:t>n</w:t>
            </w:r>
            <w:r w:rsidR="000C2A25" w:rsidRPr="00C76F0D">
              <w:t>o visible blood on sharps</w:t>
            </w:r>
          </w:p>
          <w:p w14:paraId="012AA91C" w14:textId="6FB37061" w:rsidR="000C2A25" w:rsidRPr="00C76F0D" w:rsidRDefault="0090388F" w:rsidP="0090388F">
            <w:pPr>
              <w:pStyle w:val="Bullet"/>
            </w:pPr>
            <w:r>
              <w:t>n</w:t>
            </w:r>
            <w:r w:rsidR="000C2A25" w:rsidRPr="00C76F0D">
              <w:t>eedle not used in blood vessels e.g., suturing, subcutaneous injection needle</w:t>
            </w:r>
            <w:r>
              <w:t>.</w:t>
            </w:r>
          </w:p>
        </w:tc>
      </w:tr>
      <w:tr w:rsidR="000C2A25" w:rsidRPr="0081787D" w14:paraId="76956296" w14:textId="77777777" w:rsidTr="0090388F">
        <w:tc>
          <w:tcPr>
            <w:tcW w:w="2405" w:type="dxa"/>
          </w:tcPr>
          <w:p w14:paraId="73F7A38D" w14:textId="77777777" w:rsidR="000C2A25" w:rsidRPr="00C76F0D" w:rsidRDefault="000C2A25" w:rsidP="0090388F">
            <w:pPr>
              <w:pStyle w:val="BodyCopy"/>
              <w:rPr>
                <w:rFonts w:asciiTheme="minorHAnsi" w:hAnsiTheme="minorHAnsi" w:cstheme="minorHAnsi"/>
              </w:rPr>
            </w:pPr>
            <w:r w:rsidRPr="00C76F0D">
              <w:rPr>
                <w:rFonts w:asciiTheme="minorHAnsi" w:hAnsiTheme="minorHAnsi" w:cstheme="minorHAnsi"/>
              </w:rPr>
              <w:t>No Risk Injury</w:t>
            </w:r>
          </w:p>
        </w:tc>
        <w:tc>
          <w:tcPr>
            <w:tcW w:w="6655" w:type="dxa"/>
          </w:tcPr>
          <w:p w14:paraId="7E4A4AC9" w14:textId="48551261" w:rsidR="000C2A25" w:rsidRPr="00C76F0D" w:rsidRDefault="0090388F" w:rsidP="0090388F">
            <w:pPr>
              <w:pStyle w:val="Bullet"/>
            </w:pPr>
            <w:r>
              <w:t>s</w:t>
            </w:r>
            <w:r w:rsidR="000C2A25" w:rsidRPr="00C76F0D">
              <w:t>kin not breached</w:t>
            </w:r>
          </w:p>
          <w:p w14:paraId="0323F6E3" w14:textId="0E61EC11" w:rsidR="000C2A25" w:rsidRPr="00C76F0D" w:rsidRDefault="0090388F" w:rsidP="0090388F">
            <w:pPr>
              <w:pStyle w:val="Bullet"/>
            </w:pPr>
            <w:r>
              <w:t>c</w:t>
            </w:r>
            <w:r w:rsidR="000C2A25" w:rsidRPr="00C76F0D">
              <w:t>ontact of body fluid with intact skin</w:t>
            </w:r>
          </w:p>
          <w:p w14:paraId="15C30B4E" w14:textId="3D9BB690" w:rsidR="000C2A25" w:rsidRPr="00C76F0D" w:rsidRDefault="0090388F" w:rsidP="0090388F">
            <w:pPr>
              <w:pStyle w:val="Bullet"/>
            </w:pPr>
            <w:r>
              <w:lastRenderedPageBreak/>
              <w:t>n</w:t>
            </w:r>
            <w:r w:rsidR="000C2A25" w:rsidRPr="00C76F0D">
              <w:t>eedle (or sharp) not used on patient before injury</w:t>
            </w:r>
            <w:r>
              <w:t>.</w:t>
            </w:r>
          </w:p>
        </w:tc>
      </w:tr>
    </w:tbl>
    <w:p w14:paraId="424C753B" w14:textId="679C75CA" w:rsidR="000C2A25" w:rsidRPr="00827C54" w:rsidRDefault="000C2A25" w:rsidP="000C2A25">
      <w:pPr>
        <w:rPr>
          <w:bCs/>
          <w:i/>
        </w:rPr>
      </w:pPr>
      <w:r w:rsidRPr="00827C54">
        <w:rPr>
          <w:b/>
          <w:bCs/>
        </w:rPr>
        <w:lastRenderedPageBreak/>
        <w:t xml:space="preserve">Table </w:t>
      </w:r>
      <w:r>
        <w:rPr>
          <w:b/>
          <w:bCs/>
        </w:rPr>
        <w:t xml:space="preserve">4 </w:t>
      </w:r>
      <w:r w:rsidRPr="0090388F">
        <w:t>- Body fluids and risk for BBV transmission (adapted from NSW Health</w:t>
      </w:r>
      <w:r w:rsidRPr="0090388F">
        <w:rPr>
          <w:vertAlign w:val="superscript"/>
        </w:rPr>
        <w:t>1</w:t>
      </w:r>
      <w:r w:rsidRPr="0090388F">
        <w:t>)</w:t>
      </w:r>
    </w:p>
    <w:tbl>
      <w:tblPr>
        <w:tblStyle w:val="TableGrid"/>
        <w:tblW w:w="9067" w:type="dxa"/>
        <w:tblLook w:val="04A0" w:firstRow="1" w:lastRow="0" w:firstColumn="1" w:lastColumn="0" w:noHBand="0" w:noVBand="1"/>
      </w:tblPr>
      <w:tblGrid>
        <w:gridCol w:w="2437"/>
        <w:gridCol w:w="6630"/>
      </w:tblGrid>
      <w:tr w:rsidR="000C2A25" w:rsidRPr="0090388F" w14:paraId="2568591D" w14:textId="77777777" w:rsidTr="0090388F">
        <w:tc>
          <w:tcPr>
            <w:tcW w:w="2437" w:type="dxa"/>
            <w:shd w:val="clear" w:color="auto" w:fill="D9D9D9" w:themeFill="background1" w:themeFillShade="D9"/>
          </w:tcPr>
          <w:p w14:paraId="0A3A2670" w14:textId="77777777" w:rsidR="000C2A25" w:rsidRPr="0090388F" w:rsidRDefault="000C2A25" w:rsidP="0090388F">
            <w:pPr>
              <w:pStyle w:val="BodyCopy"/>
              <w:rPr>
                <w:b/>
                <w:bCs w:val="0"/>
              </w:rPr>
            </w:pPr>
            <w:r w:rsidRPr="0090388F">
              <w:rPr>
                <w:b/>
                <w:bCs w:val="0"/>
              </w:rPr>
              <w:t>Level of Risk</w:t>
            </w:r>
          </w:p>
        </w:tc>
        <w:tc>
          <w:tcPr>
            <w:tcW w:w="6630" w:type="dxa"/>
            <w:shd w:val="clear" w:color="auto" w:fill="D9D9D9" w:themeFill="background1" w:themeFillShade="D9"/>
          </w:tcPr>
          <w:p w14:paraId="73E14D88" w14:textId="77777777" w:rsidR="000C2A25" w:rsidRPr="0090388F" w:rsidRDefault="000C2A25" w:rsidP="0090388F">
            <w:pPr>
              <w:pStyle w:val="BodyCopy"/>
              <w:rPr>
                <w:b/>
                <w:bCs w:val="0"/>
              </w:rPr>
            </w:pPr>
            <w:r w:rsidRPr="0090388F">
              <w:rPr>
                <w:b/>
                <w:bCs w:val="0"/>
              </w:rPr>
              <w:t>Body Fluid</w:t>
            </w:r>
          </w:p>
        </w:tc>
      </w:tr>
      <w:tr w:rsidR="000C2A25" w:rsidRPr="0081787D" w14:paraId="673688E1" w14:textId="77777777" w:rsidTr="0090388F">
        <w:tc>
          <w:tcPr>
            <w:tcW w:w="2437" w:type="dxa"/>
          </w:tcPr>
          <w:p w14:paraId="2F2F6702" w14:textId="77777777" w:rsidR="000C2A25" w:rsidRPr="00C76F0D" w:rsidRDefault="000C2A25" w:rsidP="0090388F">
            <w:pPr>
              <w:pStyle w:val="BodyCopy"/>
              <w:rPr>
                <w:rFonts w:asciiTheme="minorHAnsi" w:hAnsiTheme="minorHAnsi" w:cstheme="minorHAnsi"/>
              </w:rPr>
            </w:pPr>
            <w:r w:rsidRPr="00C76F0D">
              <w:rPr>
                <w:rFonts w:asciiTheme="minorHAnsi" w:hAnsiTheme="minorHAnsi" w:cstheme="minorHAnsi"/>
              </w:rPr>
              <w:t>Infectious</w:t>
            </w:r>
          </w:p>
        </w:tc>
        <w:tc>
          <w:tcPr>
            <w:tcW w:w="6630" w:type="dxa"/>
          </w:tcPr>
          <w:p w14:paraId="488F776A" w14:textId="53072531" w:rsidR="000C2A25" w:rsidRPr="00C76F0D" w:rsidRDefault="0090388F" w:rsidP="0090388F">
            <w:pPr>
              <w:pStyle w:val="Bullet"/>
            </w:pPr>
            <w:r>
              <w:t>b</w:t>
            </w:r>
            <w:r w:rsidR="000C2A25" w:rsidRPr="00C76F0D">
              <w:t xml:space="preserve">lood </w:t>
            </w:r>
          </w:p>
          <w:p w14:paraId="42E5067C" w14:textId="04044FDD" w:rsidR="000C2A25" w:rsidRPr="00C76F0D" w:rsidRDefault="0090388F" w:rsidP="0090388F">
            <w:pPr>
              <w:pStyle w:val="Bullet"/>
            </w:pPr>
            <w:r>
              <w:t>v</w:t>
            </w:r>
            <w:r w:rsidR="000C2A25" w:rsidRPr="00C76F0D">
              <w:t>isibly bloody body fluids</w:t>
            </w:r>
          </w:p>
        </w:tc>
      </w:tr>
      <w:tr w:rsidR="00C76F0D" w:rsidRPr="0081787D" w14:paraId="0750FDE6" w14:textId="77777777" w:rsidTr="0090388F">
        <w:tc>
          <w:tcPr>
            <w:tcW w:w="2437" w:type="dxa"/>
          </w:tcPr>
          <w:p w14:paraId="322E04AB" w14:textId="06F8C00E" w:rsidR="00C76F0D" w:rsidRPr="00C76F0D" w:rsidRDefault="00C76F0D" w:rsidP="0090388F">
            <w:pPr>
              <w:pStyle w:val="BodyCopy"/>
              <w:rPr>
                <w:rFonts w:asciiTheme="minorHAnsi" w:hAnsiTheme="minorHAnsi" w:cstheme="minorHAnsi"/>
              </w:rPr>
            </w:pPr>
            <w:r w:rsidRPr="00C76F0D">
              <w:rPr>
                <w:rFonts w:asciiTheme="minorHAnsi" w:hAnsiTheme="minorHAnsi" w:cstheme="minorHAnsi"/>
              </w:rPr>
              <w:t>Not Infectious (unless visibly blood stained)</w:t>
            </w:r>
          </w:p>
        </w:tc>
        <w:tc>
          <w:tcPr>
            <w:tcW w:w="6630" w:type="dxa"/>
          </w:tcPr>
          <w:p w14:paraId="0FEC8D50" w14:textId="0FB7D0F0" w:rsidR="00C76F0D" w:rsidRPr="00C76F0D" w:rsidRDefault="0090388F" w:rsidP="0090388F">
            <w:pPr>
              <w:pStyle w:val="Bullet"/>
            </w:pPr>
            <w:r>
              <w:t>n</w:t>
            </w:r>
            <w:r w:rsidR="00C76F0D" w:rsidRPr="00C76F0D">
              <w:t>asal secretions</w:t>
            </w:r>
          </w:p>
          <w:p w14:paraId="00F600B2" w14:textId="6F4610B2" w:rsidR="00C76F0D" w:rsidRPr="00C76F0D" w:rsidRDefault="0090388F" w:rsidP="0090388F">
            <w:pPr>
              <w:pStyle w:val="Bullet"/>
            </w:pPr>
            <w:r>
              <w:t>s</w:t>
            </w:r>
            <w:r w:rsidR="00C76F0D" w:rsidRPr="00C76F0D">
              <w:t>aliva</w:t>
            </w:r>
          </w:p>
          <w:p w14:paraId="78855CD7" w14:textId="63E982B5" w:rsidR="00C76F0D" w:rsidRPr="00C76F0D" w:rsidRDefault="0090388F" w:rsidP="0090388F">
            <w:pPr>
              <w:pStyle w:val="Bullet"/>
            </w:pPr>
            <w:r>
              <w:t>s</w:t>
            </w:r>
            <w:r w:rsidR="00C76F0D" w:rsidRPr="00C76F0D">
              <w:t>putum</w:t>
            </w:r>
          </w:p>
          <w:p w14:paraId="2F479C71" w14:textId="3EBC0B33" w:rsidR="00C76F0D" w:rsidRPr="00C76F0D" w:rsidRDefault="0090388F" w:rsidP="0090388F">
            <w:pPr>
              <w:pStyle w:val="Bullet"/>
            </w:pPr>
            <w:r>
              <w:t>s</w:t>
            </w:r>
            <w:r w:rsidR="00C76F0D" w:rsidRPr="00C76F0D">
              <w:t>tool</w:t>
            </w:r>
          </w:p>
          <w:p w14:paraId="6949757D" w14:textId="45DF1E03" w:rsidR="00C76F0D" w:rsidRPr="00C76F0D" w:rsidRDefault="0090388F" w:rsidP="0090388F">
            <w:pPr>
              <w:pStyle w:val="Bullet"/>
            </w:pPr>
            <w:r>
              <w:t>s</w:t>
            </w:r>
            <w:r w:rsidR="00C76F0D" w:rsidRPr="00C76F0D">
              <w:t>weat</w:t>
            </w:r>
          </w:p>
          <w:p w14:paraId="422D1F77" w14:textId="5F5129C1" w:rsidR="00C76F0D" w:rsidRPr="00C76F0D" w:rsidRDefault="0090388F" w:rsidP="0090388F">
            <w:pPr>
              <w:pStyle w:val="Bullet"/>
            </w:pPr>
            <w:r>
              <w:t>t</w:t>
            </w:r>
            <w:r w:rsidR="00C76F0D" w:rsidRPr="00C76F0D">
              <w:t>ears</w:t>
            </w:r>
          </w:p>
          <w:p w14:paraId="581CF703" w14:textId="05946493" w:rsidR="00C76F0D" w:rsidRPr="00C76F0D" w:rsidRDefault="0090388F" w:rsidP="0090388F">
            <w:pPr>
              <w:pStyle w:val="Bullet"/>
            </w:pPr>
            <w:r>
              <w:t>u</w:t>
            </w:r>
            <w:r w:rsidR="00C76F0D" w:rsidRPr="00C76F0D">
              <w:t>rine</w:t>
            </w:r>
          </w:p>
          <w:p w14:paraId="2A75E14D" w14:textId="2AE991F6" w:rsidR="00C76F0D" w:rsidRPr="00C76F0D" w:rsidRDefault="0090388F" w:rsidP="0090388F">
            <w:pPr>
              <w:pStyle w:val="Bullet"/>
            </w:pPr>
            <w:r>
              <w:t>v</w:t>
            </w:r>
            <w:r w:rsidR="00C76F0D" w:rsidRPr="00C76F0D">
              <w:t>omitus</w:t>
            </w:r>
          </w:p>
        </w:tc>
      </w:tr>
    </w:tbl>
    <w:p w14:paraId="03B51F6F" w14:textId="5E0F0993" w:rsidR="000C2A25" w:rsidRDefault="000C2A25" w:rsidP="000C2A25">
      <w:pPr>
        <w:rPr>
          <w:bCs/>
          <w:szCs w:val="22"/>
        </w:rPr>
      </w:pPr>
      <w:r w:rsidRPr="00296017">
        <w:rPr>
          <w:bCs/>
          <w:szCs w:val="22"/>
        </w:rPr>
        <w:t xml:space="preserve">HCWs reporting a BBFE where </w:t>
      </w:r>
      <w:r w:rsidRPr="00296017">
        <w:rPr>
          <w:b/>
          <w:bCs/>
          <w:szCs w:val="22"/>
        </w:rPr>
        <w:t>either</w:t>
      </w:r>
      <w:r w:rsidRPr="00296017">
        <w:rPr>
          <w:bCs/>
          <w:szCs w:val="22"/>
        </w:rPr>
        <w:t xml:space="preserve"> the injury is not considered a risk </w:t>
      </w:r>
      <w:r w:rsidRPr="00296017">
        <w:rPr>
          <w:b/>
          <w:bCs/>
          <w:szCs w:val="22"/>
        </w:rPr>
        <w:t>and/or</w:t>
      </w:r>
      <w:r w:rsidRPr="00296017">
        <w:rPr>
          <w:bCs/>
          <w:szCs w:val="22"/>
        </w:rPr>
        <w:t xml:space="preserve"> the exposure involves a non-infectious specimen do not need further assessment</w:t>
      </w:r>
      <w:r w:rsidR="0090388F">
        <w:rPr>
          <w:bCs/>
          <w:szCs w:val="22"/>
        </w:rPr>
        <w:t>. This is</w:t>
      </w:r>
      <w:r w:rsidRPr="00296017">
        <w:rPr>
          <w:bCs/>
          <w:szCs w:val="22"/>
        </w:rPr>
        <w:t xml:space="preserve"> apart from review of HBV immunisation status, with commencement of HBV immunisation if the exposed HCW is not immune. </w:t>
      </w:r>
    </w:p>
    <w:p w14:paraId="56839BDF" w14:textId="77777777" w:rsidR="000C2A25" w:rsidRDefault="000C2A25" w:rsidP="000C2A25">
      <w:pPr>
        <w:rPr>
          <w:bCs/>
          <w:szCs w:val="22"/>
        </w:rPr>
      </w:pPr>
      <w:r>
        <w:rPr>
          <w:bCs/>
          <w:szCs w:val="22"/>
        </w:rPr>
        <w:t xml:space="preserve">For all other BBFEs the BBFE incident manager will undertake further assessment of the exposed HCW, including baseline bloods, risk assessment and BBV tests from the source (if known), determine if PEP is required and assist in creating a plan for further follow up. Information on how this will be performed is outlined below. </w:t>
      </w:r>
    </w:p>
    <w:p w14:paraId="7C210730" w14:textId="76D2C11D" w:rsidR="000C2A25" w:rsidRPr="00ED6354" w:rsidRDefault="000C2A25" w:rsidP="000C2A25">
      <w:pPr>
        <w:rPr>
          <w:bCs/>
          <w:szCs w:val="22"/>
        </w:rPr>
      </w:pPr>
      <w:r>
        <w:rPr>
          <w:bCs/>
          <w:szCs w:val="22"/>
        </w:rPr>
        <w:t>C</w:t>
      </w:r>
      <w:r w:rsidRPr="00ED6354">
        <w:rPr>
          <w:bCs/>
          <w:szCs w:val="22"/>
        </w:rPr>
        <w:t xml:space="preserve">ounselling will be offered to all source persons and all exposed HCWs, the extent of which will be determined according to individual circumstances. </w:t>
      </w:r>
      <w:r>
        <w:rPr>
          <w:bCs/>
          <w:szCs w:val="22"/>
        </w:rPr>
        <w:t>The following external support organisations are also available:</w:t>
      </w:r>
    </w:p>
    <w:p w14:paraId="1A1DADF5" w14:textId="77777777" w:rsidR="000C2A25" w:rsidRPr="00ED6354" w:rsidRDefault="000C2A25" w:rsidP="00CB6975">
      <w:pPr>
        <w:spacing w:before="0" w:after="0"/>
        <w:rPr>
          <w:b/>
          <w:szCs w:val="22"/>
        </w:rPr>
      </w:pPr>
      <w:r w:rsidRPr="00ED6354">
        <w:rPr>
          <w:b/>
          <w:bCs/>
          <w:szCs w:val="22"/>
        </w:rPr>
        <w:t>Hepatitis</w:t>
      </w:r>
      <w:r w:rsidRPr="00ED6354">
        <w:rPr>
          <w:b/>
          <w:szCs w:val="22"/>
        </w:rPr>
        <w:t xml:space="preserve"> ACT</w:t>
      </w:r>
    </w:p>
    <w:p w14:paraId="7FA74AAB" w14:textId="5A0616AF" w:rsidR="000C2A25" w:rsidRPr="00C76F0D" w:rsidRDefault="000C2A25" w:rsidP="0090388F">
      <w:pPr>
        <w:pStyle w:val="Bullet"/>
      </w:pPr>
      <w:r w:rsidRPr="00C76F0D">
        <w:t xml:space="preserve">Address </w:t>
      </w:r>
      <w:r w:rsidRPr="00C76F0D">
        <w:tab/>
      </w:r>
      <w:r w:rsidR="0090388F">
        <w:tab/>
      </w:r>
      <w:r w:rsidRPr="00C76F0D">
        <w:t>36 David Street, Turner, ACT 2612 (Opposite the O’Connor Shops)</w:t>
      </w:r>
    </w:p>
    <w:p w14:paraId="4FE88AF1" w14:textId="77777777" w:rsidR="000C2A25" w:rsidRPr="00C76F0D" w:rsidRDefault="000C2A25" w:rsidP="0090388F">
      <w:pPr>
        <w:pStyle w:val="Bullet"/>
      </w:pPr>
      <w:r w:rsidRPr="00C76F0D">
        <w:t>Telephone</w:t>
      </w:r>
      <w:r w:rsidRPr="00C76F0D">
        <w:tab/>
        <w:t xml:space="preserve">02 6230 6344 </w:t>
      </w:r>
    </w:p>
    <w:p w14:paraId="760ADEFD" w14:textId="6AAD786F" w:rsidR="00C76F0D" w:rsidRPr="00C76F0D" w:rsidRDefault="000C2A25" w:rsidP="0090388F">
      <w:pPr>
        <w:pStyle w:val="Bullet"/>
        <w:rPr>
          <w:b/>
        </w:rPr>
      </w:pPr>
      <w:r w:rsidRPr="00C76F0D">
        <w:t>Website</w:t>
      </w:r>
      <w:r w:rsidRPr="00C76F0D">
        <w:tab/>
      </w:r>
      <w:r w:rsidR="0090388F">
        <w:tab/>
      </w:r>
      <w:hyperlink r:id="rId11" w:history="1">
        <w:r w:rsidR="0090388F" w:rsidRPr="0090388F">
          <w:rPr>
            <w:rStyle w:val="Hyperlink"/>
            <w:rFonts w:asciiTheme="minorHAnsi" w:hAnsiTheme="minorHAnsi" w:cstheme="minorHAnsi"/>
          </w:rPr>
          <w:t>https://hepatitisact.com.au/</w:t>
        </w:r>
      </w:hyperlink>
      <w:r w:rsidR="00C76F0D">
        <w:rPr>
          <w:rStyle w:val="Hyperlink"/>
          <w:rFonts w:asciiTheme="minorHAnsi" w:hAnsiTheme="minorHAnsi" w:cstheme="minorHAnsi"/>
        </w:rPr>
        <w:t xml:space="preserve"> </w:t>
      </w:r>
    </w:p>
    <w:p w14:paraId="6F62FF6F" w14:textId="77777777" w:rsidR="00CB6975" w:rsidRDefault="00CB6975" w:rsidP="00CB6975">
      <w:pPr>
        <w:spacing w:before="0" w:after="0"/>
        <w:rPr>
          <w:b/>
          <w:szCs w:val="22"/>
        </w:rPr>
      </w:pPr>
    </w:p>
    <w:p w14:paraId="31C67A52" w14:textId="77C22DC6" w:rsidR="000C2A25" w:rsidRPr="00ED6354" w:rsidRDefault="000C2A25" w:rsidP="00CB6975">
      <w:pPr>
        <w:spacing w:before="0" w:after="0"/>
        <w:rPr>
          <w:b/>
          <w:szCs w:val="22"/>
        </w:rPr>
      </w:pPr>
      <w:r>
        <w:rPr>
          <w:b/>
          <w:szCs w:val="22"/>
        </w:rPr>
        <w:t xml:space="preserve">Meridian (Formerly </w:t>
      </w:r>
      <w:r w:rsidRPr="00ED6354">
        <w:rPr>
          <w:b/>
          <w:szCs w:val="22"/>
        </w:rPr>
        <w:t xml:space="preserve">AIDS </w:t>
      </w:r>
      <w:r w:rsidRPr="00ED6354">
        <w:rPr>
          <w:b/>
          <w:bCs/>
          <w:szCs w:val="22"/>
        </w:rPr>
        <w:t>Action</w:t>
      </w:r>
      <w:r w:rsidRPr="00ED6354">
        <w:rPr>
          <w:b/>
          <w:szCs w:val="22"/>
        </w:rPr>
        <w:t xml:space="preserve"> Council of the ACT</w:t>
      </w:r>
      <w:r>
        <w:rPr>
          <w:b/>
          <w:szCs w:val="22"/>
        </w:rPr>
        <w:t>)</w:t>
      </w:r>
    </w:p>
    <w:p w14:paraId="264F794D" w14:textId="1BF237E8" w:rsidR="000C2A25" w:rsidRPr="00C76F0D" w:rsidRDefault="000C2A25" w:rsidP="0090388F">
      <w:pPr>
        <w:pStyle w:val="Bullet"/>
      </w:pPr>
      <w:r w:rsidRPr="00C76F0D">
        <w:t xml:space="preserve">Address </w:t>
      </w:r>
      <w:r w:rsidRPr="00C76F0D">
        <w:tab/>
      </w:r>
      <w:r w:rsidR="0090388F">
        <w:tab/>
      </w:r>
      <w:r w:rsidRPr="00C76F0D">
        <w:t>Havelock House – 85 Northbourne Ave, Turner, ACT 2612</w:t>
      </w:r>
    </w:p>
    <w:p w14:paraId="51ED4CD3" w14:textId="77777777" w:rsidR="000C2A25" w:rsidRPr="00C76F0D" w:rsidRDefault="000C2A25" w:rsidP="0090388F">
      <w:pPr>
        <w:pStyle w:val="Bullet"/>
      </w:pPr>
      <w:r w:rsidRPr="00C76F0D">
        <w:t>Telephone</w:t>
      </w:r>
      <w:r w:rsidRPr="00C76F0D">
        <w:tab/>
        <w:t xml:space="preserve"> 02 6257 2855</w:t>
      </w:r>
    </w:p>
    <w:p w14:paraId="02984BF7" w14:textId="4AD6E237" w:rsidR="00C76F0D" w:rsidRPr="00C76F0D" w:rsidRDefault="000C2A25" w:rsidP="0090388F">
      <w:pPr>
        <w:pStyle w:val="Bullet"/>
      </w:pPr>
      <w:r w:rsidRPr="00C76F0D">
        <w:t>Website</w:t>
      </w:r>
      <w:r w:rsidR="00C76F0D">
        <w:tab/>
      </w:r>
      <w:r w:rsidR="0090388F">
        <w:tab/>
      </w:r>
      <w:hyperlink r:id="rId12" w:history="1">
        <w:r w:rsidR="0090388F" w:rsidRPr="0090388F">
          <w:rPr>
            <w:rStyle w:val="Hyperlink"/>
            <w:rFonts w:asciiTheme="minorHAnsi" w:hAnsiTheme="minorHAnsi" w:cstheme="minorHAnsi"/>
            <w:szCs w:val="22"/>
          </w:rPr>
          <w:t>https://www.meridianact.org</w:t>
        </w:r>
      </w:hyperlink>
      <w:r w:rsidR="00C76F0D">
        <w:t xml:space="preserve"> </w:t>
      </w:r>
    </w:p>
    <w:p w14:paraId="26D71ED4" w14:textId="77777777" w:rsidR="00CB6975" w:rsidRDefault="00CB6975" w:rsidP="00CB6975">
      <w:pPr>
        <w:spacing w:before="0" w:after="0"/>
        <w:rPr>
          <w:b/>
          <w:bCs/>
          <w:szCs w:val="22"/>
        </w:rPr>
      </w:pPr>
    </w:p>
    <w:p w14:paraId="40F05738" w14:textId="43EE44ED" w:rsidR="000C2A25" w:rsidRPr="00ED6354" w:rsidRDefault="000C2A25" w:rsidP="00CB6975">
      <w:pPr>
        <w:spacing w:before="0" w:after="0"/>
        <w:rPr>
          <w:b/>
          <w:bCs/>
          <w:szCs w:val="22"/>
        </w:rPr>
      </w:pPr>
      <w:r w:rsidRPr="00ED6354">
        <w:rPr>
          <w:b/>
          <w:bCs/>
          <w:szCs w:val="22"/>
        </w:rPr>
        <w:t>Carers ACT</w:t>
      </w:r>
    </w:p>
    <w:p w14:paraId="5F4EE578" w14:textId="30B14274" w:rsidR="000C2A25" w:rsidRPr="00C76F0D" w:rsidRDefault="000C2A25" w:rsidP="0090388F">
      <w:pPr>
        <w:pStyle w:val="Bullet"/>
      </w:pPr>
      <w:r w:rsidRPr="00C76F0D">
        <w:t xml:space="preserve">Address </w:t>
      </w:r>
      <w:r w:rsidRPr="00C76F0D">
        <w:tab/>
      </w:r>
      <w:r w:rsidR="0090388F">
        <w:tab/>
      </w:r>
      <w:r w:rsidRPr="00C76F0D">
        <w:t xml:space="preserve">2/80 </w:t>
      </w:r>
      <w:proofErr w:type="spellStart"/>
      <w:r w:rsidRPr="00C76F0D">
        <w:t>Beaurepaire</w:t>
      </w:r>
      <w:proofErr w:type="spellEnd"/>
      <w:r w:rsidRPr="00C76F0D">
        <w:t xml:space="preserve"> Crescent, Holt, ACT 2615</w:t>
      </w:r>
    </w:p>
    <w:p w14:paraId="70C61C89" w14:textId="77777777" w:rsidR="000C2A25" w:rsidRPr="00C76F0D" w:rsidRDefault="000C2A25" w:rsidP="0090388F">
      <w:pPr>
        <w:pStyle w:val="Bullet"/>
      </w:pPr>
      <w:r w:rsidRPr="00C76F0D">
        <w:t xml:space="preserve">Telephone </w:t>
      </w:r>
      <w:r w:rsidRPr="00C76F0D">
        <w:tab/>
        <w:t>1800 052 222</w:t>
      </w:r>
    </w:p>
    <w:p w14:paraId="0464D1F3" w14:textId="2FA05389" w:rsidR="000C2A25" w:rsidRPr="00C76F0D" w:rsidRDefault="000C2A25" w:rsidP="0090388F">
      <w:pPr>
        <w:pStyle w:val="Bullet"/>
        <w:rPr>
          <w:lang w:eastAsia="en-US"/>
        </w:rPr>
      </w:pPr>
      <w:r w:rsidRPr="00C76F0D">
        <w:t>Website</w:t>
      </w:r>
      <w:r w:rsidRPr="00C76F0D">
        <w:tab/>
      </w:r>
      <w:r w:rsidR="0090388F">
        <w:tab/>
      </w:r>
      <w:hyperlink r:id="rId13" w:history="1">
        <w:r w:rsidR="0090388F" w:rsidRPr="0090388F">
          <w:rPr>
            <w:rStyle w:val="Hyperlink"/>
            <w:rFonts w:asciiTheme="minorHAnsi" w:hAnsiTheme="minorHAnsi" w:cstheme="minorHAnsi"/>
          </w:rPr>
          <w:t>https://www.carersact.org.au/</w:t>
        </w:r>
      </w:hyperlink>
      <w:r w:rsidR="00C76F0D">
        <w:rPr>
          <w:rStyle w:val="Hyperlink"/>
          <w:rFonts w:asciiTheme="minorHAnsi" w:hAnsiTheme="minorHAnsi" w:cstheme="minorHAnsi"/>
        </w:rPr>
        <w:t xml:space="preserve">  </w:t>
      </w:r>
    </w:p>
    <w:p w14:paraId="6506AA1C" w14:textId="436F2E06" w:rsidR="003B3459" w:rsidRPr="00C76F0D" w:rsidRDefault="00C76F0D" w:rsidP="003B3459">
      <w:pPr>
        <w:pStyle w:val="BodyCopy"/>
        <w:rPr>
          <w:iCs w:val="0"/>
          <w:color w:val="auto"/>
          <w:u w:val="single"/>
        </w:rPr>
      </w:pPr>
      <w:hyperlink w:anchor="_top" w:history="1">
        <w:r w:rsidRPr="00481A6C">
          <w:rPr>
            <w:rStyle w:val="Hyperlink"/>
            <w:iCs w:val="0"/>
          </w:rPr>
          <w:t>Back to Contents</w:t>
        </w:r>
      </w:hyperlink>
    </w:p>
    <w:p w14:paraId="2A1E0A58" w14:textId="03F8E035" w:rsidR="0078367D" w:rsidRPr="00F827BB" w:rsidRDefault="00C76F0D" w:rsidP="00F827BB">
      <w:pPr>
        <w:pStyle w:val="Heading4"/>
      </w:pPr>
      <w:bookmarkStart w:id="16" w:name="_Toc189830916"/>
      <w:bookmarkStart w:id="17" w:name="_Hlk43366294"/>
      <w:r w:rsidRPr="00F827BB">
        <w:t>Section 5 – Baseline Testing of the Exposed HCW</w:t>
      </w:r>
      <w:bookmarkEnd w:id="16"/>
      <w:r w:rsidRPr="00F827BB">
        <w:t xml:space="preserve"> </w:t>
      </w:r>
    </w:p>
    <w:p w14:paraId="2A39F463" w14:textId="676436B4" w:rsidR="00C76F0D" w:rsidRPr="007801F7" w:rsidRDefault="00C76F0D" w:rsidP="00C76F0D">
      <w:pPr>
        <w:pStyle w:val="Heading5"/>
      </w:pPr>
      <w:bookmarkStart w:id="18" w:name="_Toc172812222"/>
      <w:bookmarkEnd w:id="17"/>
      <w:r>
        <w:t xml:space="preserve">5.1 </w:t>
      </w:r>
      <w:r w:rsidR="0078010C">
        <w:tab/>
      </w:r>
      <w:r w:rsidRPr="00827C54">
        <w:t>Baseline Testing of the Exposed HCW</w:t>
      </w:r>
      <w:bookmarkEnd w:id="18"/>
    </w:p>
    <w:p w14:paraId="07C591F8" w14:textId="53AED3BC" w:rsidR="00C76F0D" w:rsidRPr="00C76F0D" w:rsidRDefault="00C76F0D" w:rsidP="00C76F0D">
      <w:pPr>
        <w:pStyle w:val="Default"/>
        <w:rPr>
          <w:rFonts w:asciiTheme="minorHAnsi" w:hAnsiTheme="minorHAnsi"/>
        </w:rPr>
      </w:pPr>
      <w:r w:rsidRPr="259D671F">
        <w:rPr>
          <w:rFonts w:asciiTheme="minorHAnsi" w:hAnsiTheme="minorHAnsi"/>
          <w:color w:val="000000" w:themeColor="text1"/>
        </w:rPr>
        <w:t xml:space="preserve">The </w:t>
      </w:r>
      <w:r>
        <w:rPr>
          <w:rFonts w:asciiTheme="minorHAnsi" w:hAnsiTheme="minorHAnsi"/>
          <w:color w:val="000000" w:themeColor="text1"/>
        </w:rPr>
        <w:t xml:space="preserve">BBFE incident manager is responsible for offering the </w:t>
      </w:r>
      <w:r w:rsidRPr="259D671F">
        <w:rPr>
          <w:rFonts w:asciiTheme="minorHAnsi" w:hAnsiTheme="minorHAnsi"/>
          <w:color w:val="000000" w:themeColor="text1"/>
        </w:rPr>
        <w:t>exposed HCW baseline HIV antigen/antibody</w:t>
      </w:r>
      <w:r>
        <w:rPr>
          <w:rFonts w:asciiTheme="minorHAnsi" w:hAnsiTheme="minorHAnsi"/>
          <w:color w:val="000000" w:themeColor="text1"/>
        </w:rPr>
        <w:t xml:space="preserve"> testing</w:t>
      </w:r>
      <w:r w:rsidRPr="259D671F">
        <w:rPr>
          <w:rFonts w:asciiTheme="minorHAnsi" w:hAnsiTheme="minorHAnsi"/>
          <w:color w:val="000000" w:themeColor="text1"/>
        </w:rPr>
        <w:t xml:space="preserve">, HBV surface antigen and surface antibody testing and HCV antibody (HCV PCR if known HCV antibody positive) testing as soon as </w:t>
      </w:r>
      <w:r w:rsidRPr="00A01239">
        <w:rPr>
          <w:rFonts w:asciiTheme="minorHAnsi" w:hAnsiTheme="minorHAnsi"/>
          <w:color w:val="000000" w:themeColor="text1"/>
        </w:rPr>
        <w:t xml:space="preserve">possible. An order should be placed in the DHR </w:t>
      </w:r>
      <w:r w:rsidRPr="00296017">
        <w:rPr>
          <w:rFonts w:asciiTheme="minorHAnsi" w:hAnsiTheme="minorHAnsi"/>
        </w:rPr>
        <w:t>for</w:t>
      </w:r>
      <w:r w:rsidRPr="00A01239">
        <w:rPr>
          <w:rFonts w:asciiTheme="minorHAnsi" w:hAnsiTheme="minorHAnsi"/>
          <w:i/>
          <w:iCs/>
        </w:rPr>
        <w:t xml:space="preserve"> Occupational</w:t>
      </w:r>
      <w:r>
        <w:rPr>
          <w:rFonts w:asciiTheme="minorHAnsi" w:hAnsiTheme="minorHAnsi"/>
          <w:i/>
          <w:iCs/>
        </w:rPr>
        <w:t xml:space="preserve"> Risk Exposure (Exposed)</w:t>
      </w:r>
      <w:r w:rsidRPr="00A01239">
        <w:rPr>
          <w:rFonts w:asciiTheme="minorHAnsi" w:hAnsiTheme="minorHAnsi"/>
          <w:i/>
          <w:iCs/>
        </w:rPr>
        <w:t xml:space="preserve"> </w:t>
      </w:r>
      <w:r w:rsidRPr="00A01239">
        <w:rPr>
          <w:rFonts w:asciiTheme="minorHAnsi" w:hAnsiTheme="minorHAnsi"/>
        </w:rPr>
        <w:t>for all</w:t>
      </w:r>
      <w:r w:rsidRPr="00A01239">
        <w:t xml:space="preserve"> </w:t>
      </w:r>
      <w:r w:rsidRPr="00A01239">
        <w:rPr>
          <w:rFonts w:asciiTheme="minorHAnsi" w:hAnsiTheme="minorHAnsi"/>
        </w:rPr>
        <w:t xml:space="preserve">baseline blood test requests. </w:t>
      </w:r>
    </w:p>
    <w:p w14:paraId="059932FA" w14:textId="5A414F9D" w:rsidR="00C76F0D" w:rsidRDefault="00C76F0D" w:rsidP="00C76F0D">
      <w:pPr>
        <w:rPr>
          <w:rFonts w:asciiTheme="minorHAnsi" w:hAnsiTheme="minorHAnsi"/>
        </w:rPr>
      </w:pPr>
      <w:r w:rsidRPr="005B7C11">
        <w:rPr>
          <w:rFonts w:asciiTheme="minorHAnsi" w:hAnsiTheme="minorHAnsi"/>
        </w:rPr>
        <w:t xml:space="preserve">HCWs who disclose their own HIV, HBV, or HCV infection at the time of </w:t>
      </w:r>
      <w:r>
        <w:rPr>
          <w:rFonts w:asciiTheme="minorHAnsi" w:hAnsiTheme="minorHAnsi"/>
        </w:rPr>
        <w:t>BBFE</w:t>
      </w:r>
      <w:r w:rsidRPr="005B7C11">
        <w:rPr>
          <w:rFonts w:asciiTheme="minorHAnsi" w:hAnsiTheme="minorHAnsi"/>
        </w:rPr>
        <w:t xml:space="preserve"> assessment will be advised that care in relation to their existing BBV infection is covered by the </w:t>
      </w:r>
      <w:r>
        <w:rPr>
          <w:rFonts w:asciiTheme="minorHAnsi" w:hAnsiTheme="minorHAnsi"/>
        </w:rPr>
        <w:t>CHS</w:t>
      </w:r>
      <w:r w:rsidRPr="005B7C11">
        <w:rPr>
          <w:rFonts w:asciiTheme="minorHAnsi" w:hAnsiTheme="minorHAnsi"/>
          <w:i/>
        </w:rPr>
        <w:t xml:space="preserve"> </w:t>
      </w:r>
      <w:r>
        <w:rPr>
          <w:rFonts w:asciiTheme="minorHAnsi" w:hAnsiTheme="minorHAnsi"/>
          <w:i/>
        </w:rPr>
        <w:t xml:space="preserve">Blood Borne Virus in Health Care Workers </w:t>
      </w:r>
      <w:r w:rsidR="0090388F">
        <w:rPr>
          <w:rFonts w:asciiTheme="minorHAnsi" w:hAnsiTheme="minorHAnsi"/>
        </w:rPr>
        <w:t>P</w:t>
      </w:r>
      <w:r w:rsidRPr="005B7C11">
        <w:rPr>
          <w:rFonts w:asciiTheme="minorHAnsi" w:hAnsiTheme="minorHAnsi"/>
        </w:rPr>
        <w:t>rocedure</w:t>
      </w:r>
      <w:r w:rsidR="0090388F">
        <w:rPr>
          <w:rFonts w:asciiTheme="minorHAnsi" w:hAnsiTheme="minorHAnsi"/>
        </w:rPr>
        <w:t>, located on the Policy and Guidance Documents Register</w:t>
      </w:r>
      <w:r w:rsidRPr="005B7C11">
        <w:rPr>
          <w:rFonts w:asciiTheme="minorHAnsi" w:hAnsiTheme="minorHAnsi"/>
        </w:rPr>
        <w:t xml:space="preserve">. They will also be encouraged to have appropriate baseline testing in relation to the </w:t>
      </w:r>
      <w:r>
        <w:rPr>
          <w:rFonts w:asciiTheme="minorHAnsi" w:hAnsiTheme="minorHAnsi"/>
        </w:rPr>
        <w:t>BBFE</w:t>
      </w:r>
      <w:r w:rsidRPr="005B7C11">
        <w:rPr>
          <w:rFonts w:asciiTheme="minorHAnsi" w:hAnsiTheme="minorHAnsi"/>
        </w:rPr>
        <w:t>.</w:t>
      </w:r>
    </w:p>
    <w:p w14:paraId="56CE518C" w14:textId="617606A5" w:rsidR="00C76F0D" w:rsidRPr="005B7C11" w:rsidRDefault="00C76F0D" w:rsidP="00C76F0D">
      <w:pPr>
        <w:rPr>
          <w:rFonts w:asciiTheme="minorHAnsi" w:hAnsiTheme="minorHAnsi"/>
        </w:rPr>
      </w:pPr>
      <w:r>
        <w:rPr>
          <w:rFonts w:asciiTheme="minorHAnsi" w:hAnsiTheme="minorHAnsi"/>
        </w:rPr>
        <w:t xml:space="preserve">Consent must be obtained from the exposed HCW before proceeding with any baseline testing, and this consent should be documented by the BBFE incident manager in the clinical notes. </w:t>
      </w:r>
    </w:p>
    <w:p w14:paraId="441B4E10" w14:textId="77777777" w:rsidR="00C76F0D" w:rsidRPr="005B7C11" w:rsidRDefault="00C76F0D" w:rsidP="00C76F0D">
      <w:pPr>
        <w:pStyle w:val="Heading5"/>
      </w:pPr>
      <w:bookmarkStart w:id="19" w:name="_Toc172812223"/>
      <w:r>
        <w:t>5.2</w:t>
      </w:r>
      <w:r>
        <w:tab/>
      </w:r>
      <w:r w:rsidRPr="005B7C11">
        <w:t>Pre-Test Discussion with the Exposed HCW</w:t>
      </w:r>
      <w:bookmarkEnd w:id="19"/>
    </w:p>
    <w:p w14:paraId="05AB8961" w14:textId="5DCD45DA" w:rsidR="00C76F0D" w:rsidRPr="00C76F0D" w:rsidRDefault="00C76F0D" w:rsidP="00C76F0D">
      <w:pPr>
        <w:rPr>
          <w:rFonts w:asciiTheme="minorHAnsi" w:hAnsiTheme="minorHAnsi"/>
        </w:rPr>
      </w:pPr>
      <w:r>
        <w:rPr>
          <w:rFonts w:asciiTheme="minorHAnsi" w:hAnsiTheme="minorHAnsi"/>
        </w:rPr>
        <w:t>The BBFE incident manager will complete a</w:t>
      </w:r>
      <w:r w:rsidRPr="259D671F">
        <w:rPr>
          <w:rFonts w:asciiTheme="minorHAnsi" w:hAnsiTheme="minorHAnsi"/>
        </w:rPr>
        <w:t xml:space="preserve"> </w:t>
      </w:r>
      <w:r>
        <w:rPr>
          <w:rFonts w:asciiTheme="minorHAnsi" w:hAnsiTheme="minorHAnsi"/>
        </w:rPr>
        <w:t>pre-</w:t>
      </w:r>
      <w:r w:rsidRPr="259D671F">
        <w:rPr>
          <w:rFonts w:asciiTheme="minorHAnsi" w:hAnsiTheme="minorHAnsi"/>
        </w:rPr>
        <w:t>test discussion</w:t>
      </w:r>
      <w:r>
        <w:rPr>
          <w:rFonts w:asciiTheme="minorHAnsi" w:hAnsiTheme="minorHAnsi"/>
        </w:rPr>
        <w:t xml:space="preserve"> prior to obtaining baseline blood tests. This pre-test discussion</w:t>
      </w:r>
      <w:r w:rsidRPr="259D671F">
        <w:rPr>
          <w:rFonts w:asciiTheme="minorHAnsi" w:hAnsiTheme="minorHAnsi"/>
        </w:rPr>
        <w:t xml:space="preserve"> </w:t>
      </w:r>
      <w:r>
        <w:rPr>
          <w:rFonts w:asciiTheme="minorHAnsi" w:hAnsiTheme="minorHAnsi"/>
        </w:rPr>
        <w:t>will</w:t>
      </w:r>
      <w:r w:rsidRPr="259D671F">
        <w:rPr>
          <w:rFonts w:asciiTheme="minorHAnsi" w:hAnsiTheme="minorHAnsi"/>
        </w:rPr>
        <w:t xml:space="preserve"> consider whether the exposed HCW is possibly in a “window period” for infection relating to any other recent occupational or non-occupational exposure. The HCW should be informed that baseline testing for the BBFE will not detect very recent infection from other occupational or non-occupational exposures.</w:t>
      </w:r>
    </w:p>
    <w:p w14:paraId="20C20D8E" w14:textId="77777777" w:rsidR="00C76F0D" w:rsidRPr="005B7C11" w:rsidRDefault="00C76F0D" w:rsidP="00C76F0D">
      <w:pPr>
        <w:rPr>
          <w:rFonts w:asciiTheme="minorHAnsi" w:hAnsiTheme="minorHAnsi"/>
          <w:bCs/>
        </w:rPr>
      </w:pPr>
      <w:r w:rsidRPr="005B7C11">
        <w:rPr>
          <w:rFonts w:asciiTheme="minorHAnsi" w:hAnsiTheme="minorHAnsi"/>
          <w:bCs/>
        </w:rPr>
        <w:t xml:space="preserve">Pre-test discussion will also include information about: </w:t>
      </w:r>
    </w:p>
    <w:p w14:paraId="4F8EC6B8" w14:textId="4D87B792" w:rsidR="00C76F0D" w:rsidRPr="005B7C11" w:rsidRDefault="000C6D49" w:rsidP="000C6D49">
      <w:pPr>
        <w:pStyle w:val="Bullet"/>
      </w:pPr>
      <w:r>
        <w:t>t</w:t>
      </w:r>
      <w:r w:rsidR="00C76F0D" w:rsidRPr="005B7C11">
        <w:t>he testing to be performed</w:t>
      </w:r>
    </w:p>
    <w:p w14:paraId="336A5B49" w14:textId="393FC857" w:rsidR="00C76F0D" w:rsidRPr="005B7C11" w:rsidRDefault="000C6D49" w:rsidP="000C6D49">
      <w:pPr>
        <w:pStyle w:val="Bullet"/>
      </w:pPr>
      <w:r>
        <w:t>o</w:t>
      </w:r>
      <w:r w:rsidR="00C76F0D" w:rsidRPr="005B7C11">
        <w:t>btaining test results</w:t>
      </w:r>
    </w:p>
    <w:p w14:paraId="14517ACE" w14:textId="0E80143E" w:rsidR="49359429" w:rsidRDefault="000C6D49" w:rsidP="000C6D49">
      <w:pPr>
        <w:pStyle w:val="Bullet"/>
      </w:pPr>
      <w:r>
        <w:t>a</w:t>
      </w:r>
      <w:r w:rsidR="00C76F0D" w:rsidRPr="49359429">
        <w:t>ccessing further counselling and support</w:t>
      </w:r>
      <w:r w:rsidR="00C76F0D" w:rsidRPr="49359429">
        <w:rPr>
          <w:i/>
          <w:iCs/>
        </w:rPr>
        <w:t>.</w:t>
      </w:r>
      <w:r w:rsidR="00C76F0D">
        <w:tab/>
      </w:r>
    </w:p>
    <w:p w14:paraId="0477F472" w14:textId="77777777" w:rsidR="00C76F0D" w:rsidRPr="005B7C11" w:rsidRDefault="00C76F0D" w:rsidP="00C76F0D">
      <w:pPr>
        <w:pStyle w:val="Heading5"/>
      </w:pPr>
      <w:r>
        <w:t>5.3</w:t>
      </w:r>
      <w:r>
        <w:tab/>
      </w:r>
      <w:r w:rsidRPr="005B7C11">
        <w:t xml:space="preserve">Negative HCW Baseline Test Results </w:t>
      </w:r>
    </w:p>
    <w:p w14:paraId="7E7BF311" w14:textId="1118BAE5" w:rsidR="00C76F0D" w:rsidRPr="00C76F0D" w:rsidRDefault="00C76F0D" w:rsidP="49359429">
      <w:pPr>
        <w:rPr>
          <w:rFonts w:asciiTheme="minorHAnsi" w:hAnsiTheme="minorHAnsi"/>
        </w:rPr>
      </w:pPr>
      <w:r w:rsidRPr="58F11837">
        <w:rPr>
          <w:rFonts w:asciiTheme="minorHAnsi" w:hAnsiTheme="minorHAnsi"/>
        </w:rPr>
        <w:t xml:space="preserve">The OMU RN/SH RN will phone the HCW to notify them of negative test results during business hours. Negative test results will also be available via </w:t>
      </w:r>
      <w:proofErr w:type="spellStart"/>
      <w:r w:rsidR="4E4F74FF" w:rsidRPr="58F11837">
        <w:rPr>
          <w:rFonts w:asciiTheme="minorHAnsi" w:hAnsiTheme="minorHAnsi"/>
        </w:rPr>
        <w:t>My</w:t>
      </w:r>
      <w:r w:rsidRPr="58F11837">
        <w:rPr>
          <w:rFonts w:asciiTheme="minorHAnsi" w:hAnsiTheme="minorHAnsi"/>
        </w:rPr>
        <w:t>DHR</w:t>
      </w:r>
      <w:proofErr w:type="spellEnd"/>
      <w:r w:rsidR="0F5B928B" w:rsidRPr="58F11837">
        <w:rPr>
          <w:rFonts w:asciiTheme="minorHAnsi" w:hAnsiTheme="minorHAnsi"/>
        </w:rPr>
        <w:t xml:space="preserve"> if the HCW has registered for this</w:t>
      </w:r>
      <w:r w:rsidRPr="58F11837">
        <w:rPr>
          <w:rFonts w:asciiTheme="minorHAnsi" w:hAnsiTheme="minorHAnsi"/>
        </w:rPr>
        <w:t xml:space="preserve">. If all baseline results are negative, post-test discussion should refer to </w:t>
      </w:r>
      <w:r w:rsidRPr="58F11837">
        <w:rPr>
          <w:rFonts w:asciiTheme="minorHAnsi" w:hAnsiTheme="minorHAnsi"/>
        </w:rPr>
        <w:lastRenderedPageBreak/>
        <w:t>window periods that may apply in relation to other occupational or non-occupational exposures identified during the pre-test discussion, with recommendations for further testing as appropriate.</w:t>
      </w:r>
    </w:p>
    <w:p w14:paraId="7428BF4B" w14:textId="77777777" w:rsidR="00C76F0D" w:rsidRPr="005B7C11" w:rsidRDefault="00C76F0D" w:rsidP="00C76F0D">
      <w:pPr>
        <w:pStyle w:val="Heading5"/>
      </w:pPr>
      <w:r>
        <w:t>5.4</w:t>
      </w:r>
      <w:r>
        <w:tab/>
      </w:r>
      <w:r w:rsidRPr="005B7C11">
        <w:t xml:space="preserve">Positive and Indeterminate HCW Baseline Test Results </w:t>
      </w:r>
    </w:p>
    <w:p w14:paraId="5A3FA4A5" w14:textId="6295484B" w:rsidR="00C76F0D" w:rsidRPr="003F1685" w:rsidRDefault="00C76F0D" w:rsidP="00C76F0D">
      <w:pPr>
        <w:pStyle w:val="BodyText2"/>
        <w:spacing w:after="0" w:line="240" w:lineRule="auto"/>
        <w:rPr>
          <w:rFonts w:asciiTheme="minorHAnsi" w:hAnsiTheme="minorHAnsi" w:cs="Arial"/>
          <w:strike/>
          <w:color w:val="000000" w:themeColor="text1"/>
          <w:szCs w:val="24"/>
        </w:rPr>
      </w:pPr>
      <w:r w:rsidRPr="005B7C11">
        <w:rPr>
          <w:rFonts w:asciiTheme="minorHAnsi" w:hAnsiTheme="minorHAnsi" w:cs="Arial"/>
          <w:color w:val="000000" w:themeColor="text1"/>
          <w:szCs w:val="24"/>
        </w:rPr>
        <w:t>All positive and indeterminate HIV</w:t>
      </w:r>
      <w:r>
        <w:rPr>
          <w:rFonts w:asciiTheme="minorHAnsi" w:hAnsiTheme="minorHAnsi" w:cs="Arial"/>
          <w:color w:val="000000" w:themeColor="text1"/>
          <w:szCs w:val="24"/>
        </w:rPr>
        <w:t>, HCV, and Hepatitis B surface antigen (HBsAg)</w:t>
      </w:r>
      <w:r w:rsidRPr="005B7C11">
        <w:rPr>
          <w:rFonts w:asciiTheme="minorHAnsi" w:hAnsiTheme="minorHAnsi" w:cs="Arial"/>
          <w:color w:val="000000" w:themeColor="text1"/>
          <w:szCs w:val="24"/>
        </w:rPr>
        <w:t xml:space="preserve"> test results will be </w:t>
      </w:r>
      <w:r>
        <w:rPr>
          <w:rFonts w:asciiTheme="minorHAnsi" w:hAnsiTheme="minorHAnsi" w:cs="Arial"/>
          <w:color w:val="000000" w:themeColor="text1"/>
          <w:szCs w:val="24"/>
        </w:rPr>
        <w:t>telephoned</w:t>
      </w:r>
      <w:r w:rsidRPr="005B7C11">
        <w:rPr>
          <w:rFonts w:asciiTheme="minorHAnsi" w:hAnsiTheme="minorHAnsi" w:cs="Arial"/>
          <w:color w:val="000000" w:themeColor="text1"/>
          <w:szCs w:val="24"/>
        </w:rPr>
        <w:t xml:space="preserve"> to the </w:t>
      </w:r>
      <w:r>
        <w:rPr>
          <w:rFonts w:asciiTheme="minorHAnsi" w:hAnsiTheme="minorHAnsi" w:cs="Arial"/>
          <w:color w:val="000000" w:themeColor="text1"/>
          <w:szCs w:val="24"/>
        </w:rPr>
        <w:t xml:space="preserve">OMU RN/SH RN during normal working hours </w:t>
      </w:r>
      <w:r w:rsidRPr="005B7C11">
        <w:rPr>
          <w:rFonts w:asciiTheme="minorHAnsi" w:hAnsiTheme="minorHAnsi" w:cs="Arial"/>
          <w:color w:val="000000" w:themeColor="text1"/>
          <w:szCs w:val="24"/>
        </w:rPr>
        <w:t xml:space="preserve">by the </w:t>
      </w:r>
      <w:r>
        <w:rPr>
          <w:rFonts w:asciiTheme="minorHAnsi" w:hAnsiTheme="minorHAnsi" w:cs="Arial"/>
          <w:color w:val="000000" w:themeColor="text1"/>
          <w:szCs w:val="24"/>
        </w:rPr>
        <w:t xml:space="preserve">on-call </w:t>
      </w:r>
      <w:r w:rsidRPr="005B7C11">
        <w:rPr>
          <w:rFonts w:asciiTheme="minorHAnsi" w:hAnsiTheme="minorHAnsi" w:cs="Arial"/>
          <w:color w:val="000000" w:themeColor="text1"/>
          <w:szCs w:val="24"/>
        </w:rPr>
        <w:t xml:space="preserve">Clinical Microbiologist (or </w:t>
      </w:r>
      <w:r>
        <w:rPr>
          <w:rFonts w:asciiTheme="minorHAnsi" w:hAnsiTheme="minorHAnsi" w:cs="Arial"/>
          <w:color w:val="000000" w:themeColor="text1"/>
          <w:szCs w:val="24"/>
        </w:rPr>
        <w:t>registrar</w:t>
      </w:r>
      <w:r w:rsidRPr="005B7C11">
        <w:rPr>
          <w:rFonts w:asciiTheme="minorHAnsi" w:hAnsiTheme="minorHAnsi" w:cs="Arial"/>
          <w:color w:val="000000" w:themeColor="text1"/>
          <w:szCs w:val="24"/>
        </w:rPr>
        <w:t xml:space="preserve">). </w:t>
      </w:r>
      <w:r>
        <w:rPr>
          <w:rFonts w:asciiTheme="minorHAnsi" w:hAnsiTheme="minorHAnsi" w:cs="Arial"/>
          <w:color w:val="000000" w:themeColor="text1"/>
          <w:szCs w:val="24"/>
        </w:rPr>
        <w:t>It will be up to the discretion of the on-call Clinical Microbiologist whether after hours HIV notification is appropriate.</w:t>
      </w:r>
    </w:p>
    <w:p w14:paraId="569C2648" w14:textId="77777777" w:rsidR="00C76F0D" w:rsidRPr="005B7C11" w:rsidRDefault="00C76F0D" w:rsidP="00C76F0D">
      <w:pPr>
        <w:pStyle w:val="BodyText2"/>
        <w:spacing w:after="0" w:line="240" w:lineRule="auto"/>
        <w:rPr>
          <w:rFonts w:asciiTheme="minorHAnsi" w:hAnsiTheme="minorHAnsi" w:cs="Arial"/>
          <w:color w:val="000000" w:themeColor="text1"/>
          <w:szCs w:val="24"/>
        </w:rPr>
      </w:pPr>
    </w:p>
    <w:p w14:paraId="025C3FBE" w14:textId="77777777" w:rsidR="000C6D49" w:rsidRDefault="00C76F0D" w:rsidP="00C76F0D">
      <w:pPr>
        <w:pStyle w:val="BodyText2"/>
        <w:spacing w:after="0" w:line="240" w:lineRule="auto"/>
        <w:rPr>
          <w:rFonts w:asciiTheme="minorHAnsi" w:hAnsiTheme="minorHAnsi" w:cs="Arial"/>
          <w:color w:val="000000" w:themeColor="text1"/>
          <w:szCs w:val="24"/>
        </w:rPr>
      </w:pPr>
      <w:r w:rsidRPr="00B5567F">
        <w:rPr>
          <w:rFonts w:asciiTheme="minorHAnsi" w:hAnsiTheme="minorHAnsi" w:cs="Arial"/>
          <w:color w:val="000000" w:themeColor="text1"/>
          <w:szCs w:val="24"/>
        </w:rPr>
        <w:t>If the HCW has</w:t>
      </w:r>
    </w:p>
    <w:p w14:paraId="503EC5D1" w14:textId="75C5B10B" w:rsidR="000C6D49" w:rsidRDefault="00C76F0D" w:rsidP="000C6D49">
      <w:pPr>
        <w:pStyle w:val="Bullet"/>
      </w:pPr>
      <w:r w:rsidRPr="00B5567F">
        <w:t>a baseline</w:t>
      </w:r>
      <w:r>
        <w:t xml:space="preserve"> Hepatitis B surface antibody</w:t>
      </w:r>
      <w:r w:rsidRPr="00B5567F">
        <w:t xml:space="preserve"> </w:t>
      </w:r>
      <w:r>
        <w:t>(</w:t>
      </w:r>
      <w:proofErr w:type="spellStart"/>
      <w:r w:rsidRPr="00B5567F">
        <w:t>HBsAb</w:t>
      </w:r>
      <w:proofErr w:type="spellEnd"/>
      <w:r>
        <w:t>)</w:t>
      </w:r>
      <w:r w:rsidRPr="00B5567F">
        <w:t xml:space="preserve"> &lt; 10mIU/mL </w:t>
      </w:r>
      <w:r w:rsidR="000C6D49" w:rsidRPr="00B5567F">
        <w:rPr>
          <w:b/>
        </w:rPr>
        <w:t>and</w:t>
      </w:r>
    </w:p>
    <w:p w14:paraId="46A24FF5" w14:textId="135506DE" w:rsidR="000C6D49" w:rsidRDefault="00C76F0D" w:rsidP="000C6D49">
      <w:pPr>
        <w:pStyle w:val="Bullet"/>
      </w:pPr>
      <w:r w:rsidRPr="00B5567F">
        <w:t xml:space="preserve">the HCW has no documentation of prior immunity (i.e. does not have </w:t>
      </w:r>
      <w:proofErr w:type="spellStart"/>
      <w:r w:rsidRPr="00B5567F">
        <w:t>HBsA</w:t>
      </w:r>
      <w:r>
        <w:t>b</w:t>
      </w:r>
      <w:proofErr w:type="spellEnd"/>
      <w:r w:rsidRPr="00B5567F">
        <w:t xml:space="preserve"> ≥ 10mIU/mL following a course of 3 </w:t>
      </w:r>
      <w:r>
        <w:t>HBV</w:t>
      </w:r>
      <w:r w:rsidRPr="00B5567F">
        <w:t xml:space="preserve"> vaccinations) </w:t>
      </w:r>
      <w:r w:rsidR="000C6D49" w:rsidRPr="00B5567F">
        <w:rPr>
          <w:b/>
        </w:rPr>
        <w:t>and</w:t>
      </w:r>
    </w:p>
    <w:p w14:paraId="7CC4D619" w14:textId="7EF3F34A" w:rsidR="000C6D49" w:rsidRDefault="00C76F0D" w:rsidP="000C6D49">
      <w:pPr>
        <w:pStyle w:val="Bullet"/>
      </w:pPr>
      <w:r w:rsidRPr="00B5567F">
        <w:t>the source is HBV positive or unknown</w:t>
      </w:r>
    </w:p>
    <w:p w14:paraId="3F7577EA" w14:textId="79A652D6" w:rsidR="00C76F0D" w:rsidRPr="005B7C11" w:rsidRDefault="00C76F0D" w:rsidP="00C41A2D">
      <w:pPr>
        <w:pStyle w:val="Bullet"/>
        <w:numPr>
          <w:ilvl w:val="0"/>
          <w:numId w:val="0"/>
        </w:numPr>
      </w:pPr>
      <w:r w:rsidRPr="00B5567F">
        <w:t>the HCW should be informed as soon as possible to allow for HBV PEP</w:t>
      </w:r>
      <w:r>
        <w:t xml:space="preserve"> (if not already received)</w:t>
      </w:r>
      <w:r w:rsidRPr="00B5567F">
        <w:t>.</w:t>
      </w:r>
    </w:p>
    <w:p w14:paraId="18862B18" w14:textId="77777777" w:rsidR="00C76F0D" w:rsidRDefault="00C76F0D" w:rsidP="00C76F0D">
      <w:pPr>
        <w:pStyle w:val="BodyText2"/>
        <w:spacing w:after="0" w:line="240" w:lineRule="auto"/>
        <w:rPr>
          <w:rFonts w:asciiTheme="minorHAnsi" w:hAnsiTheme="minorHAnsi" w:cs="Arial"/>
          <w:color w:val="000000" w:themeColor="text1"/>
          <w:szCs w:val="24"/>
        </w:rPr>
      </w:pPr>
    </w:p>
    <w:p w14:paraId="3B35D07B" w14:textId="4B49AEC8" w:rsidR="00481A6C" w:rsidRPr="00C76F0D" w:rsidRDefault="00C76F0D" w:rsidP="49359429">
      <w:pPr>
        <w:pStyle w:val="BodyText2"/>
        <w:spacing w:after="0" w:line="240" w:lineRule="auto"/>
        <w:rPr>
          <w:rFonts w:asciiTheme="minorHAnsi" w:hAnsiTheme="minorHAnsi" w:cs="Arial"/>
          <w:color w:val="000000" w:themeColor="text1"/>
        </w:rPr>
      </w:pPr>
      <w:r w:rsidRPr="49359429">
        <w:rPr>
          <w:rFonts w:asciiTheme="minorHAnsi" w:hAnsiTheme="minorHAnsi" w:cs="Arial"/>
          <w:color w:val="000000" w:themeColor="text1"/>
        </w:rPr>
        <w:t xml:space="preserve">The on-call Clinical Microbiologist </w:t>
      </w:r>
      <w:r w:rsidR="23AC0DBC" w:rsidRPr="49359429">
        <w:rPr>
          <w:rFonts w:asciiTheme="minorHAnsi" w:hAnsiTheme="minorHAnsi" w:cs="Arial"/>
          <w:color w:val="000000" w:themeColor="text1"/>
        </w:rPr>
        <w:t xml:space="preserve">(contacted via Canberra Hospital switchboard) </w:t>
      </w:r>
      <w:r w:rsidRPr="49359429">
        <w:rPr>
          <w:rFonts w:asciiTheme="minorHAnsi" w:hAnsiTheme="minorHAnsi" w:cs="Arial"/>
          <w:color w:val="000000" w:themeColor="text1"/>
        </w:rPr>
        <w:t xml:space="preserve">will provide advice on the immediate management of the exposed HCW, including timeframes for contacting the exposed HCW, repeat and/or additional testing and appropriate referral for ongoing management.  </w:t>
      </w:r>
    </w:p>
    <w:p w14:paraId="1A8BCF16" w14:textId="77777777" w:rsidR="00481A6C" w:rsidRDefault="00481A6C" w:rsidP="003B3459">
      <w:pPr>
        <w:pStyle w:val="BodyCopy"/>
        <w:rPr>
          <w:rStyle w:val="Hyperlink"/>
          <w:iCs w:val="0"/>
        </w:rPr>
      </w:pPr>
      <w:hyperlink w:anchor="_top" w:history="1">
        <w:r w:rsidRPr="00481A6C">
          <w:rPr>
            <w:rStyle w:val="Hyperlink"/>
            <w:iCs w:val="0"/>
          </w:rPr>
          <w:t>Back to Contents</w:t>
        </w:r>
      </w:hyperlink>
    </w:p>
    <w:p w14:paraId="16637C6D" w14:textId="7FD36D4B" w:rsidR="00C76F0D" w:rsidRPr="00F827BB" w:rsidRDefault="00C76F0D" w:rsidP="00F827BB">
      <w:pPr>
        <w:pStyle w:val="Heading4"/>
        <w:rPr>
          <w:rStyle w:val="Hyperlink"/>
          <w:color w:val="FFFFFF" w:themeColor="background1"/>
          <w:u w:val="none"/>
        </w:rPr>
      </w:pPr>
      <w:bookmarkStart w:id="20" w:name="_Toc189830917"/>
      <w:r w:rsidRPr="00F827BB">
        <w:rPr>
          <w:rStyle w:val="Hyperlink"/>
          <w:color w:val="FFFFFF" w:themeColor="background1"/>
          <w:u w:val="none"/>
        </w:rPr>
        <w:t>Section 6 – Baseline Testing and Management of the Source</w:t>
      </w:r>
      <w:bookmarkEnd w:id="20"/>
      <w:r w:rsidRPr="00F827BB">
        <w:rPr>
          <w:rStyle w:val="Hyperlink"/>
          <w:color w:val="FFFFFF" w:themeColor="background1"/>
          <w:u w:val="none"/>
        </w:rPr>
        <w:t xml:space="preserve"> </w:t>
      </w:r>
    </w:p>
    <w:p w14:paraId="421A1DDA" w14:textId="6D41C53B" w:rsidR="00C76F0D" w:rsidRDefault="00C76F0D" w:rsidP="00C76F0D">
      <w:pPr>
        <w:rPr>
          <w:rFonts w:asciiTheme="minorHAnsi" w:hAnsiTheme="minorHAnsi"/>
        </w:rPr>
      </w:pPr>
      <w:r>
        <w:rPr>
          <w:rFonts w:asciiTheme="minorHAnsi" w:hAnsiTheme="minorHAnsi"/>
        </w:rPr>
        <w:t xml:space="preserve">When the identity of the person that the BBFE occurred from is known, they are referred to as the source person. </w:t>
      </w:r>
      <w:r w:rsidRPr="002751DA">
        <w:rPr>
          <w:rFonts w:asciiTheme="minorHAnsi" w:hAnsiTheme="minorHAnsi"/>
        </w:rPr>
        <w:t>Every effort should be made to ascertain the HIV, HBV</w:t>
      </w:r>
      <w:r>
        <w:rPr>
          <w:rFonts w:asciiTheme="minorHAnsi" w:hAnsiTheme="minorHAnsi"/>
        </w:rPr>
        <w:t>,</w:t>
      </w:r>
      <w:r w:rsidRPr="002751DA">
        <w:rPr>
          <w:rFonts w:asciiTheme="minorHAnsi" w:hAnsiTheme="minorHAnsi"/>
        </w:rPr>
        <w:t xml:space="preserve"> and HCV status of the source </w:t>
      </w:r>
      <w:r>
        <w:rPr>
          <w:rFonts w:asciiTheme="minorHAnsi" w:hAnsiTheme="minorHAnsi"/>
        </w:rPr>
        <w:t xml:space="preserve">person </w:t>
      </w:r>
      <w:r w:rsidRPr="002751DA">
        <w:rPr>
          <w:rFonts w:asciiTheme="minorHAnsi" w:hAnsiTheme="minorHAnsi"/>
        </w:rPr>
        <w:t xml:space="preserve">after a </w:t>
      </w:r>
      <w:r>
        <w:rPr>
          <w:rFonts w:asciiTheme="minorHAnsi" w:hAnsiTheme="minorHAnsi"/>
        </w:rPr>
        <w:t>BBFE</w:t>
      </w:r>
      <w:r w:rsidRPr="002751DA">
        <w:rPr>
          <w:rFonts w:asciiTheme="minorHAnsi" w:hAnsiTheme="minorHAnsi"/>
        </w:rPr>
        <w:t xml:space="preserve">. Testing should occur as soon as possible, </w:t>
      </w:r>
      <w:r>
        <w:rPr>
          <w:rFonts w:asciiTheme="minorHAnsi" w:hAnsiTheme="minorHAnsi"/>
        </w:rPr>
        <w:t xml:space="preserve">ideally </w:t>
      </w:r>
      <w:r w:rsidRPr="002751DA">
        <w:rPr>
          <w:rFonts w:asciiTheme="minorHAnsi" w:hAnsiTheme="minorHAnsi"/>
        </w:rPr>
        <w:t xml:space="preserve">within 4 hours. </w:t>
      </w:r>
    </w:p>
    <w:p w14:paraId="0E30B615" w14:textId="60FB99C8" w:rsidR="00C76F0D" w:rsidRPr="00C2269D" w:rsidRDefault="00C76F0D" w:rsidP="00C2269D">
      <w:pPr>
        <w:tabs>
          <w:tab w:val="left" w:pos="709"/>
          <w:tab w:val="left" w:pos="1985"/>
        </w:tabs>
        <w:rPr>
          <w:rFonts w:asciiTheme="minorHAnsi" w:hAnsiTheme="minorHAnsi"/>
        </w:rPr>
      </w:pPr>
      <w:r>
        <w:rPr>
          <w:rFonts w:asciiTheme="minorHAnsi" w:hAnsiTheme="minorHAnsi"/>
        </w:rPr>
        <w:t xml:space="preserve">When the source person is unknown (e.g. a needlestick injury from an incorrectly disposed sharp) the BBFE incident manager will perform a risk assessment, outlined in table 3 and table 4 above, and a follow up plan will be created based on the assessment results. </w:t>
      </w:r>
    </w:p>
    <w:p w14:paraId="7DC5F5E7" w14:textId="6427ABED" w:rsidR="00C76F0D" w:rsidRPr="00904207" w:rsidRDefault="00C76F0D" w:rsidP="00C76F0D">
      <w:pPr>
        <w:pStyle w:val="Heading5"/>
      </w:pPr>
      <w:bookmarkStart w:id="21" w:name="_Toc172812226"/>
      <w:r>
        <w:t xml:space="preserve">6.1 </w:t>
      </w:r>
      <w:r w:rsidR="00C2269D">
        <w:tab/>
      </w:r>
      <w:r w:rsidRPr="002D1D23">
        <w:t>Baseline Testing of a Source Person</w:t>
      </w:r>
      <w:bookmarkEnd w:id="21"/>
    </w:p>
    <w:p w14:paraId="3D70E1F9" w14:textId="54B7E2C9" w:rsidR="00C76F0D" w:rsidRPr="002751DA" w:rsidRDefault="00C76F0D" w:rsidP="00AE2FFB">
      <w:pPr>
        <w:autoSpaceDE w:val="0"/>
        <w:autoSpaceDN w:val="0"/>
        <w:adjustRightInd w:val="0"/>
        <w:rPr>
          <w:rFonts w:asciiTheme="minorHAnsi" w:hAnsiTheme="minorHAnsi"/>
        </w:rPr>
      </w:pPr>
      <w:r>
        <w:rPr>
          <w:rFonts w:asciiTheme="minorHAnsi" w:hAnsiTheme="minorHAnsi"/>
        </w:rPr>
        <w:t>I</w:t>
      </w:r>
      <w:r w:rsidRPr="002751DA">
        <w:rPr>
          <w:rFonts w:asciiTheme="minorHAnsi" w:hAnsiTheme="minorHAnsi"/>
        </w:rPr>
        <w:t>nformed consent</w:t>
      </w:r>
      <w:r>
        <w:rPr>
          <w:rFonts w:asciiTheme="minorHAnsi" w:hAnsiTheme="minorHAnsi"/>
        </w:rPr>
        <w:t xml:space="preserve"> must be obtained prior to attending to </w:t>
      </w:r>
      <w:r w:rsidRPr="002751DA">
        <w:rPr>
          <w:rFonts w:asciiTheme="minorHAnsi" w:hAnsiTheme="minorHAnsi"/>
        </w:rPr>
        <w:t xml:space="preserve">baseline </w:t>
      </w:r>
      <w:r>
        <w:rPr>
          <w:rFonts w:asciiTheme="minorHAnsi" w:hAnsiTheme="minorHAnsi"/>
        </w:rPr>
        <w:t xml:space="preserve">screening </w:t>
      </w:r>
      <w:r w:rsidRPr="002751DA">
        <w:rPr>
          <w:rFonts w:asciiTheme="minorHAnsi" w:hAnsiTheme="minorHAnsi"/>
        </w:rPr>
        <w:t>test</w:t>
      </w:r>
      <w:r>
        <w:rPr>
          <w:rFonts w:asciiTheme="minorHAnsi" w:hAnsiTheme="minorHAnsi"/>
        </w:rPr>
        <w:t xml:space="preserve">s. Once this consent is received testing </w:t>
      </w:r>
      <w:r w:rsidRPr="002751DA">
        <w:rPr>
          <w:rFonts w:asciiTheme="minorHAnsi" w:hAnsiTheme="minorHAnsi"/>
        </w:rPr>
        <w:t>to determine the infectious status of the source for HIV</w:t>
      </w:r>
      <w:r>
        <w:rPr>
          <w:rFonts w:asciiTheme="minorHAnsi" w:hAnsiTheme="minorHAnsi"/>
        </w:rPr>
        <w:t xml:space="preserve"> (HIV Ab/Ag)</w:t>
      </w:r>
      <w:r w:rsidRPr="002751DA">
        <w:rPr>
          <w:rFonts w:asciiTheme="minorHAnsi" w:hAnsiTheme="minorHAnsi"/>
        </w:rPr>
        <w:t>, HBV</w:t>
      </w:r>
      <w:r>
        <w:rPr>
          <w:rFonts w:asciiTheme="minorHAnsi" w:hAnsiTheme="minorHAnsi"/>
        </w:rPr>
        <w:t xml:space="preserve"> (HBV</w:t>
      </w:r>
      <w:r w:rsidR="003B3459">
        <w:rPr>
          <w:rFonts w:asciiTheme="minorHAnsi" w:hAnsiTheme="minorHAnsi"/>
        </w:rPr>
        <w:t xml:space="preserve"> </w:t>
      </w:r>
      <w:proofErr w:type="spellStart"/>
      <w:r>
        <w:rPr>
          <w:rFonts w:asciiTheme="minorHAnsi" w:hAnsiTheme="minorHAnsi"/>
        </w:rPr>
        <w:t>sAg</w:t>
      </w:r>
      <w:proofErr w:type="spellEnd"/>
      <w:r>
        <w:rPr>
          <w:rFonts w:asciiTheme="minorHAnsi" w:hAnsiTheme="minorHAnsi"/>
        </w:rPr>
        <w:t xml:space="preserve">) </w:t>
      </w:r>
      <w:r w:rsidRPr="002751DA">
        <w:rPr>
          <w:rFonts w:asciiTheme="minorHAnsi" w:hAnsiTheme="minorHAnsi"/>
        </w:rPr>
        <w:t>and HCV</w:t>
      </w:r>
      <w:r>
        <w:rPr>
          <w:rFonts w:asciiTheme="minorHAnsi" w:hAnsiTheme="minorHAnsi"/>
        </w:rPr>
        <w:t xml:space="preserve"> (HCV Ab) will be arranged by the BBFE incident manager.</w:t>
      </w:r>
    </w:p>
    <w:p w14:paraId="60BE469E" w14:textId="3E5C8E92" w:rsidR="00C76F0D" w:rsidRPr="002751DA" w:rsidRDefault="00C76F0D" w:rsidP="49359429">
      <w:pPr>
        <w:rPr>
          <w:rFonts w:asciiTheme="minorHAnsi" w:hAnsiTheme="minorHAnsi"/>
        </w:rPr>
      </w:pPr>
      <w:r w:rsidRPr="49359429">
        <w:rPr>
          <w:rFonts w:asciiTheme="minorHAnsi" w:hAnsiTheme="minorHAnsi"/>
        </w:rPr>
        <w:t>HIV, HBV, and HCV screening tests can be performed 24 hours a day, 7 days a week by the immunoassay laboratory at</w:t>
      </w:r>
      <w:r w:rsidR="003B3459" w:rsidRPr="49359429">
        <w:rPr>
          <w:rFonts w:asciiTheme="minorHAnsi" w:hAnsiTheme="minorHAnsi"/>
        </w:rPr>
        <w:t xml:space="preserve"> </w:t>
      </w:r>
      <w:r w:rsidRPr="49359429">
        <w:rPr>
          <w:rFonts w:asciiTheme="minorHAnsi" w:hAnsiTheme="minorHAnsi"/>
        </w:rPr>
        <w:t>CH</w:t>
      </w:r>
      <w:r w:rsidR="00EE53CD">
        <w:rPr>
          <w:rFonts w:asciiTheme="minorHAnsi" w:hAnsiTheme="minorHAnsi"/>
        </w:rPr>
        <w:t>S</w:t>
      </w:r>
      <w:r w:rsidRPr="49359429">
        <w:rPr>
          <w:rFonts w:asciiTheme="minorHAnsi" w:hAnsiTheme="minorHAnsi"/>
        </w:rPr>
        <w:t xml:space="preserve">. PCR testing </w:t>
      </w:r>
      <w:r w:rsidR="00AE2FFB" w:rsidRPr="49359429">
        <w:rPr>
          <w:rFonts w:asciiTheme="minorHAnsi" w:hAnsiTheme="minorHAnsi"/>
        </w:rPr>
        <w:t>is performed</w:t>
      </w:r>
      <w:r w:rsidRPr="49359429">
        <w:rPr>
          <w:rFonts w:asciiTheme="minorHAnsi" w:hAnsiTheme="minorHAnsi"/>
        </w:rPr>
        <w:t xml:space="preserve"> during normal business hours.</w:t>
      </w:r>
    </w:p>
    <w:p w14:paraId="7EA7FEE6" w14:textId="01263338" w:rsidR="00C76F0D" w:rsidRPr="00596C6C" w:rsidRDefault="00C76F0D" w:rsidP="00C2269D">
      <w:pPr>
        <w:pStyle w:val="Heading5"/>
      </w:pPr>
      <w:bookmarkStart w:id="22" w:name="_Toc172812227"/>
      <w:r>
        <w:lastRenderedPageBreak/>
        <w:t>6.2</w:t>
      </w:r>
      <w:r w:rsidR="00C2269D">
        <w:tab/>
      </w:r>
      <w:r>
        <w:t xml:space="preserve"> </w:t>
      </w:r>
      <w:r w:rsidRPr="00596C6C">
        <w:t>Interpreter Services</w:t>
      </w:r>
      <w:bookmarkEnd w:id="22"/>
    </w:p>
    <w:p w14:paraId="02C07EBE" w14:textId="2E185CAB" w:rsidR="00C76F0D" w:rsidRPr="00C2269D" w:rsidRDefault="00C76F0D" w:rsidP="00C2269D">
      <w:pPr>
        <w:rPr>
          <w:rFonts w:asciiTheme="minorHAnsi" w:hAnsiTheme="minorHAnsi"/>
        </w:rPr>
      </w:pPr>
      <w:r w:rsidRPr="002751DA">
        <w:rPr>
          <w:rFonts w:asciiTheme="minorHAnsi" w:hAnsiTheme="minorHAnsi"/>
        </w:rPr>
        <w:t xml:space="preserve">The </w:t>
      </w:r>
      <w:r w:rsidRPr="00296017">
        <w:rPr>
          <w:rFonts w:asciiTheme="minorHAnsi" w:hAnsiTheme="minorHAnsi"/>
          <w:i/>
          <w:iCs/>
        </w:rPr>
        <w:t xml:space="preserve">Language Services Interpreters and Translated Materials </w:t>
      </w:r>
      <w:r w:rsidR="00736B9E">
        <w:rPr>
          <w:rFonts w:asciiTheme="minorHAnsi" w:hAnsiTheme="minorHAnsi"/>
        </w:rPr>
        <w:t>P</w:t>
      </w:r>
      <w:r w:rsidRPr="002751DA">
        <w:rPr>
          <w:rFonts w:asciiTheme="minorHAnsi" w:hAnsiTheme="minorHAnsi"/>
        </w:rPr>
        <w:t>rocedure requires the use of an interpreter where there is any likelihood of misunderstanding due to language differences</w:t>
      </w:r>
      <w:r>
        <w:rPr>
          <w:rFonts w:asciiTheme="minorHAnsi" w:hAnsiTheme="minorHAnsi"/>
        </w:rPr>
        <w:t xml:space="preserve"> and/or communication challenges. Refer to th</w:t>
      </w:r>
      <w:r w:rsidRPr="00912B73">
        <w:rPr>
          <w:rFonts w:asciiTheme="minorHAnsi" w:hAnsiTheme="minorHAnsi"/>
        </w:rPr>
        <w:t xml:space="preserve">e </w:t>
      </w:r>
      <w:r w:rsidRPr="00296017">
        <w:rPr>
          <w:rFonts w:asciiTheme="minorHAnsi" w:hAnsiTheme="minorHAnsi"/>
          <w:i/>
          <w:iCs/>
        </w:rPr>
        <w:t>Language Services Interpreters and Translated Materials</w:t>
      </w:r>
      <w:r>
        <w:rPr>
          <w:rFonts w:asciiTheme="minorHAnsi" w:hAnsiTheme="minorHAnsi"/>
        </w:rPr>
        <w:t xml:space="preserve"> </w:t>
      </w:r>
      <w:r w:rsidR="00736B9E">
        <w:rPr>
          <w:rFonts w:asciiTheme="minorHAnsi" w:hAnsiTheme="minorHAnsi"/>
        </w:rPr>
        <w:t>P</w:t>
      </w:r>
      <w:r>
        <w:rPr>
          <w:rFonts w:asciiTheme="minorHAnsi" w:hAnsiTheme="minorHAnsi"/>
        </w:rPr>
        <w:t xml:space="preserve">rocedure </w:t>
      </w:r>
      <w:r w:rsidR="00736B9E">
        <w:rPr>
          <w:rFonts w:asciiTheme="minorHAnsi" w:hAnsiTheme="minorHAnsi"/>
        </w:rPr>
        <w:t xml:space="preserve">located on the Policy and Guidance Documents Register </w:t>
      </w:r>
      <w:r>
        <w:rPr>
          <w:rFonts w:asciiTheme="minorHAnsi" w:hAnsiTheme="minorHAnsi"/>
        </w:rPr>
        <w:t>for further information</w:t>
      </w:r>
      <w:r w:rsidRPr="002751DA">
        <w:rPr>
          <w:rFonts w:asciiTheme="minorHAnsi" w:hAnsiTheme="minorHAnsi"/>
        </w:rPr>
        <w:t xml:space="preserve">. </w:t>
      </w:r>
    </w:p>
    <w:p w14:paraId="2DCAF7D2" w14:textId="0E3C8DC1" w:rsidR="00C76F0D" w:rsidRPr="002751DA" w:rsidRDefault="00C76F0D" w:rsidP="00C2269D">
      <w:pPr>
        <w:pStyle w:val="Heading5"/>
      </w:pPr>
      <w:r>
        <w:t xml:space="preserve"> </w:t>
      </w:r>
      <w:bookmarkStart w:id="23" w:name="_Toc172812228"/>
      <w:r w:rsidR="00C2269D">
        <w:t>6.3</w:t>
      </w:r>
      <w:r w:rsidR="00C2269D">
        <w:tab/>
      </w:r>
      <w:r w:rsidRPr="002751DA">
        <w:t>Obtaining Informed Consent for Baseline Testing</w:t>
      </w:r>
      <w:bookmarkEnd w:id="23"/>
    </w:p>
    <w:p w14:paraId="223CE89E" w14:textId="3DDE84C4" w:rsidR="00C76F0D" w:rsidRPr="00C2269D" w:rsidRDefault="00C76F0D" w:rsidP="00C76F0D">
      <w:pPr>
        <w:rPr>
          <w:rFonts w:asciiTheme="minorHAnsi" w:hAnsiTheme="minorHAnsi"/>
        </w:rPr>
      </w:pPr>
      <w:r w:rsidRPr="002751DA">
        <w:rPr>
          <w:rFonts w:asciiTheme="minorHAnsi" w:hAnsiTheme="minorHAnsi"/>
        </w:rPr>
        <w:t xml:space="preserve">Without the consent of a source person, the </w:t>
      </w:r>
      <w:r>
        <w:rPr>
          <w:rFonts w:asciiTheme="minorHAnsi" w:hAnsiTheme="minorHAnsi"/>
        </w:rPr>
        <w:t xml:space="preserve">BBFE incident manager </w:t>
      </w:r>
      <w:r w:rsidRPr="002751DA">
        <w:rPr>
          <w:rFonts w:asciiTheme="minorHAnsi" w:hAnsiTheme="minorHAnsi"/>
          <w:b/>
        </w:rPr>
        <w:t>cannot</w:t>
      </w:r>
      <w:r w:rsidRPr="002751DA">
        <w:rPr>
          <w:rFonts w:asciiTheme="minorHAnsi" w:hAnsiTheme="minorHAnsi"/>
        </w:rPr>
        <w:t xml:space="preserve"> take blood (or add on tests to blood previously collected from the source person) for serology testing solely </w:t>
      </w:r>
      <w:r w:rsidRPr="00A01239">
        <w:rPr>
          <w:rFonts w:asciiTheme="minorHAnsi" w:hAnsiTheme="minorHAnsi"/>
        </w:rPr>
        <w:t>for the purpose of assessing and treating an exposed HCW. This means that, if a patient is unconscious,</w:t>
      </w:r>
      <w:r>
        <w:rPr>
          <w:rFonts w:asciiTheme="minorHAnsi" w:hAnsiTheme="minorHAnsi"/>
        </w:rPr>
        <w:t xml:space="preserve"> or has impaired decision-making abilities,</w:t>
      </w:r>
      <w:r w:rsidRPr="00A01239">
        <w:rPr>
          <w:rFonts w:asciiTheme="minorHAnsi" w:hAnsiTheme="minorHAnsi"/>
        </w:rPr>
        <w:t xml:space="preserve"> the treating medical officer cannot give consent for a blood test, except if the patient has provided consent in the </w:t>
      </w:r>
      <w:r w:rsidRPr="00A01239">
        <w:rPr>
          <w:rFonts w:asciiTheme="minorHAnsi" w:hAnsiTheme="minorHAnsi"/>
          <w:i/>
        </w:rPr>
        <w:t xml:space="preserve">Consent to Treatment </w:t>
      </w:r>
      <w:r w:rsidRPr="00A01239">
        <w:rPr>
          <w:rFonts w:asciiTheme="minorHAnsi" w:hAnsiTheme="minorHAnsi"/>
        </w:rPr>
        <w:t>form</w:t>
      </w:r>
      <w:r w:rsidR="003845B4">
        <w:rPr>
          <w:rFonts w:asciiTheme="minorHAnsi" w:hAnsiTheme="minorHAnsi"/>
        </w:rPr>
        <w:t xml:space="preserve"> documented in DHR (under ‘Prep for Procedure’ section) </w:t>
      </w:r>
      <w:r w:rsidRPr="00A01239">
        <w:rPr>
          <w:rFonts w:asciiTheme="minorHAnsi" w:hAnsiTheme="minorHAnsi"/>
        </w:rPr>
        <w:t xml:space="preserve">and/or testing is necessary for patient care. </w:t>
      </w:r>
    </w:p>
    <w:p w14:paraId="15B4AECC" w14:textId="77777777" w:rsidR="00C76F0D" w:rsidRPr="00A01239" w:rsidRDefault="00C76F0D" w:rsidP="0078010C">
      <w:pPr>
        <w:pStyle w:val="Heading6"/>
      </w:pPr>
      <w:r w:rsidRPr="00A01239">
        <w:rPr>
          <w:rFonts w:cs="Arial"/>
        </w:rPr>
        <w:t xml:space="preserve">6.3.1 </w:t>
      </w:r>
      <w:r w:rsidRPr="00A01239">
        <w:rPr>
          <w:rFonts w:cs="Arial"/>
        </w:rPr>
        <w:tab/>
        <w:t>When</w:t>
      </w:r>
      <w:r w:rsidRPr="00A01239">
        <w:t xml:space="preserve"> a Source Person Provides Consent</w:t>
      </w:r>
    </w:p>
    <w:p w14:paraId="2835321D" w14:textId="326D26AE" w:rsidR="00C76F0D" w:rsidRPr="00A01239" w:rsidRDefault="00C76F0D" w:rsidP="00C76F0D">
      <w:pPr>
        <w:rPr>
          <w:rFonts w:asciiTheme="minorHAnsi" w:hAnsiTheme="minorHAnsi"/>
        </w:rPr>
      </w:pPr>
      <w:r w:rsidRPr="00A01239">
        <w:rPr>
          <w:rFonts w:asciiTheme="minorHAnsi" w:hAnsiTheme="minorHAnsi"/>
        </w:rPr>
        <w:t>Consent must be documented using</w:t>
      </w:r>
      <w:r>
        <w:rPr>
          <w:rFonts w:asciiTheme="minorHAnsi" w:hAnsiTheme="minorHAnsi"/>
        </w:rPr>
        <w:t xml:space="preserve"> the BBFE Source template in DHR</w:t>
      </w:r>
      <w:r w:rsidRPr="00A01239">
        <w:rPr>
          <w:rFonts w:asciiTheme="minorHAnsi" w:hAnsiTheme="minorHAnsi"/>
        </w:rPr>
        <w:t xml:space="preserve">. The </w:t>
      </w:r>
      <w:r>
        <w:rPr>
          <w:rFonts w:asciiTheme="minorHAnsi" w:hAnsiTheme="minorHAnsi"/>
        </w:rPr>
        <w:t xml:space="preserve">BBFE incident manager </w:t>
      </w:r>
      <w:r w:rsidRPr="00A01239">
        <w:rPr>
          <w:rFonts w:asciiTheme="minorHAnsi" w:hAnsiTheme="minorHAnsi"/>
        </w:rPr>
        <w:t>must then complete and document the pre-test discussion in the same template.</w:t>
      </w:r>
    </w:p>
    <w:p w14:paraId="2066C3BA" w14:textId="0CEE70E1" w:rsidR="00C76F0D" w:rsidRPr="003B3459" w:rsidRDefault="00C76F0D" w:rsidP="0078010C">
      <w:pPr>
        <w:pStyle w:val="Heading6"/>
        <w:rPr>
          <w:color w:val="3D2262" w:themeColor="accent1"/>
          <w:szCs w:val="36"/>
        </w:rPr>
      </w:pPr>
      <w:r w:rsidRPr="00A01239">
        <w:t>6.3.2   When a Source Person is Unable to Provide Consent</w:t>
      </w:r>
      <w:r w:rsidRPr="002751DA">
        <w:t xml:space="preserve"> </w:t>
      </w:r>
    </w:p>
    <w:p w14:paraId="4B74D253" w14:textId="7133FD62" w:rsidR="00C76F0D" w:rsidRPr="002751DA" w:rsidRDefault="00C76F0D" w:rsidP="00736B9E">
      <w:pPr>
        <w:pStyle w:val="BodyCopy"/>
      </w:pPr>
      <w:r w:rsidRPr="002751DA">
        <w:t xml:space="preserve">Sometimes a source person will be unable to provide consent for baseline testing after </w:t>
      </w:r>
      <w:r>
        <w:t xml:space="preserve">a BBFE event. </w:t>
      </w:r>
      <w:r w:rsidRPr="002751DA">
        <w:t xml:space="preserve">If an unconscious source person has been admitted to hospital for a procedure or treatment, the </w:t>
      </w:r>
      <w:r w:rsidRPr="002751DA">
        <w:rPr>
          <w:i/>
        </w:rPr>
        <w:t xml:space="preserve">Consent to Treatment </w:t>
      </w:r>
      <w:r w:rsidRPr="002751DA">
        <w:t xml:space="preserve">form will provide information as to whether </w:t>
      </w:r>
      <w:r>
        <w:t>they have</w:t>
      </w:r>
      <w:r w:rsidRPr="002751DA">
        <w:t xml:space="preserve"> consented to baseline testing.</w:t>
      </w:r>
      <w:r w:rsidRPr="002751DA">
        <w:rPr>
          <w:i/>
        </w:rPr>
        <w:t xml:space="preserve"> </w:t>
      </w:r>
      <w:r w:rsidRPr="002751DA">
        <w:t xml:space="preserve">A source person tested for HBV, </w:t>
      </w:r>
      <w:r w:rsidR="003B3459" w:rsidRPr="002751DA">
        <w:t>HCV,</w:t>
      </w:r>
      <w:r w:rsidRPr="002751DA">
        <w:t xml:space="preserve"> or HIV while unconscious should be provided </w:t>
      </w:r>
      <w:r>
        <w:t>with their</w:t>
      </w:r>
      <w:r w:rsidRPr="002751DA">
        <w:t xml:space="preserve"> results as soon as possible, with appropriate discussion. </w:t>
      </w:r>
    </w:p>
    <w:p w14:paraId="5DB0E354" w14:textId="45913840" w:rsidR="00C76F0D" w:rsidRDefault="00C76F0D" w:rsidP="00736B9E">
      <w:pPr>
        <w:pStyle w:val="BodyCopy"/>
      </w:pPr>
      <w:r w:rsidRPr="259D671F">
        <w:t>Sometimes a source person will be unable to provide consent for baseline testing after BBFE because they are a child or young person under the age of 18 years If the source person is unable to provide consent, informed consent must be obtained from the parent or guardian.</w:t>
      </w:r>
    </w:p>
    <w:p w14:paraId="3DE1A632" w14:textId="77A7E296" w:rsidR="00C76F0D" w:rsidRPr="003B3459" w:rsidRDefault="00C76F0D" w:rsidP="00736B9E">
      <w:pPr>
        <w:pStyle w:val="BodyCopy"/>
      </w:pPr>
      <w:r w:rsidRPr="259D671F">
        <w:t xml:space="preserve">For further information, refer to the </w:t>
      </w:r>
      <w:r w:rsidR="00736B9E">
        <w:t>Consent for Healthcare Treatment Guideline, located on the Policy and Guidance Documents Register.</w:t>
      </w:r>
      <w:r w:rsidRPr="002751DA">
        <w:tab/>
      </w:r>
    </w:p>
    <w:p w14:paraId="14B1B3CB" w14:textId="5C2D29EA" w:rsidR="00C76F0D" w:rsidRPr="002751DA" w:rsidRDefault="00C76F0D" w:rsidP="0078010C">
      <w:pPr>
        <w:pStyle w:val="Heading6"/>
      </w:pPr>
      <w:r>
        <w:t>6.3.3</w:t>
      </w:r>
      <w:r w:rsidR="0078010C">
        <w:tab/>
      </w:r>
      <w:r>
        <w:t xml:space="preserve"> </w:t>
      </w:r>
      <w:r w:rsidRPr="002751DA">
        <w:t xml:space="preserve">When a Source Person Refuses Consent </w:t>
      </w:r>
    </w:p>
    <w:p w14:paraId="5F39BC8A" w14:textId="15EDDD92" w:rsidR="00C76F0D" w:rsidRPr="00AE2FFB" w:rsidRDefault="00C76F0D" w:rsidP="00AE2FFB">
      <w:pPr>
        <w:rPr>
          <w:rFonts w:asciiTheme="minorHAnsi" w:hAnsiTheme="minorHAnsi"/>
          <w:b/>
        </w:rPr>
      </w:pPr>
      <w:r w:rsidRPr="002751DA">
        <w:rPr>
          <w:rFonts w:asciiTheme="minorHAnsi" w:hAnsiTheme="minorHAnsi"/>
        </w:rPr>
        <w:t>A source person has the right to refuse consent for baseline testing. R</w:t>
      </w:r>
      <w:r w:rsidRPr="002751DA">
        <w:rPr>
          <w:rFonts w:asciiTheme="minorHAnsi" w:hAnsiTheme="minorHAnsi"/>
          <w:bCs/>
        </w:rPr>
        <w:t xml:space="preserve">efusal of consent must be documented in the source person’s clinical record. If a source person refuses consent, the exposed HCW should be managed as set out in </w:t>
      </w:r>
      <w:r w:rsidRPr="00296017">
        <w:rPr>
          <w:rFonts w:asciiTheme="minorHAnsi" w:hAnsiTheme="minorHAnsi"/>
        </w:rPr>
        <w:t>section 7.1 Source Status Unknown for HIV, HBV</w:t>
      </w:r>
      <w:r w:rsidR="003B3459">
        <w:rPr>
          <w:rFonts w:asciiTheme="minorHAnsi" w:hAnsiTheme="minorHAnsi"/>
        </w:rPr>
        <w:t xml:space="preserve">, </w:t>
      </w:r>
      <w:r w:rsidRPr="00296017">
        <w:rPr>
          <w:rFonts w:asciiTheme="minorHAnsi" w:hAnsiTheme="minorHAnsi"/>
        </w:rPr>
        <w:t>and HCV</w:t>
      </w:r>
      <w:r w:rsidRPr="00E56B73">
        <w:rPr>
          <w:rFonts w:asciiTheme="minorHAnsi" w:hAnsiTheme="minorHAnsi"/>
        </w:rPr>
        <w:t xml:space="preserve">.  </w:t>
      </w:r>
      <w:r w:rsidRPr="00AE2FFB">
        <w:rPr>
          <w:rFonts w:asciiTheme="minorHAnsi" w:hAnsiTheme="minorHAnsi"/>
          <w:b/>
        </w:rPr>
        <w:tab/>
      </w:r>
    </w:p>
    <w:p w14:paraId="4502E6EE" w14:textId="04A58006" w:rsidR="00C76F0D" w:rsidRPr="002751DA" w:rsidRDefault="00C76F0D" w:rsidP="003B3459">
      <w:pPr>
        <w:pStyle w:val="Heading5"/>
      </w:pPr>
      <w:bookmarkStart w:id="24" w:name="_Toc172812229"/>
      <w:r>
        <w:lastRenderedPageBreak/>
        <w:t xml:space="preserve">6.4 </w:t>
      </w:r>
      <w:r w:rsidR="0078010C">
        <w:tab/>
      </w:r>
      <w:r w:rsidRPr="002751DA">
        <w:t>Pre-Test Discussion with a Source Person</w:t>
      </w:r>
      <w:bookmarkEnd w:id="24"/>
      <w:r w:rsidRPr="002751DA">
        <w:t xml:space="preserve"> </w:t>
      </w:r>
    </w:p>
    <w:p w14:paraId="1D115DE3" w14:textId="428E81DD" w:rsidR="00C76F0D" w:rsidRDefault="00C76F0D" w:rsidP="00106FF1">
      <w:pPr>
        <w:pStyle w:val="BodyCopy"/>
      </w:pPr>
      <w:r w:rsidRPr="002751DA">
        <w:t xml:space="preserve">Pre-test discussion should be provided before blood is taken for HBV, </w:t>
      </w:r>
      <w:r w:rsidR="003B3459" w:rsidRPr="002751DA">
        <w:t>HCV,</w:t>
      </w:r>
      <w:r w:rsidRPr="002751DA">
        <w:t xml:space="preserve"> and HIV testing. The </w:t>
      </w:r>
      <w:r>
        <w:t xml:space="preserve">BBFE incident manager or source patients home team </w:t>
      </w:r>
      <w:r w:rsidRPr="002751DA">
        <w:t xml:space="preserve">should explain to the source person that pre-test discussion will include some questions about sexual partners and injecting drug use. The source person should be reassured that these questions are helpful to assess risk of infection and assist with the interpretation of their results, and that their answers will remain confidential. The exposed HCW should </w:t>
      </w:r>
      <w:r w:rsidRPr="002751DA">
        <w:rPr>
          <w:b/>
        </w:rPr>
        <w:t xml:space="preserve">not </w:t>
      </w:r>
      <w:r w:rsidRPr="002751DA">
        <w:t>be present at the pre-test discussion or while the source person is being tested.</w:t>
      </w:r>
    </w:p>
    <w:p w14:paraId="3E4B95C5" w14:textId="77777777" w:rsidR="00C76F0D" w:rsidRPr="002751DA" w:rsidRDefault="00C76F0D" w:rsidP="00C76F0D">
      <w:pPr>
        <w:rPr>
          <w:rFonts w:asciiTheme="minorHAnsi" w:hAnsiTheme="minorHAnsi"/>
        </w:rPr>
      </w:pPr>
      <w:r w:rsidRPr="002751DA">
        <w:rPr>
          <w:rFonts w:asciiTheme="minorHAnsi" w:hAnsiTheme="minorHAnsi"/>
        </w:rPr>
        <w:t xml:space="preserve">Pre-test discussion may include: </w:t>
      </w:r>
    </w:p>
    <w:p w14:paraId="74BD8B44" w14:textId="2A56FF43" w:rsidR="00C76F0D" w:rsidRPr="003B3459" w:rsidRDefault="00736B9E" w:rsidP="00736B9E">
      <w:pPr>
        <w:pStyle w:val="Bullet"/>
      </w:pPr>
      <w:r>
        <w:t>e</w:t>
      </w:r>
      <w:r w:rsidR="00C76F0D" w:rsidRPr="003B3459">
        <w:t xml:space="preserve">xploration of the source person’s history, including a discussion about whether the source person is possibly in a “window period” for infection relating to a recent exposure. </w:t>
      </w:r>
    </w:p>
    <w:p w14:paraId="2694B4B4" w14:textId="185C3D38" w:rsidR="00C76F0D" w:rsidRPr="003B3459" w:rsidRDefault="00736B9E" w:rsidP="00736B9E">
      <w:pPr>
        <w:pStyle w:val="Bullet"/>
      </w:pPr>
      <w:r>
        <w:t>e</w:t>
      </w:r>
      <w:r w:rsidR="00C76F0D" w:rsidRPr="003B3459">
        <w:t>xploration of whether a source person has a BBV but has not disclosed to his/her treating team.</w:t>
      </w:r>
    </w:p>
    <w:p w14:paraId="31E520C1" w14:textId="7A135DEB" w:rsidR="00C76F0D" w:rsidRPr="003B3459" w:rsidRDefault="00736B9E" w:rsidP="00736B9E">
      <w:pPr>
        <w:pStyle w:val="Bullet"/>
      </w:pPr>
      <w:r>
        <w:t>p</w:t>
      </w:r>
      <w:r w:rsidR="00C76F0D" w:rsidRPr="003B3459">
        <w:t>rovision of information about testing to be performed.</w:t>
      </w:r>
    </w:p>
    <w:p w14:paraId="3E264AE7" w14:textId="036A19F7" w:rsidR="00C76F0D" w:rsidRPr="003B3459" w:rsidRDefault="00736B9E" w:rsidP="00736B9E">
      <w:pPr>
        <w:pStyle w:val="Bullet"/>
      </w:pPr>
      <w:r>
        <w:t>p</w:t>
      </w:r>
      <w:r w:rsidR="00C76F0D" w:rsidRPr="003B3459">
        <w:t>rovision of information about obtaining test results.</w:t>
      </w:r>
    </w:p>
    <w:p w14:paraId="4AE9254D" w14:textId="0B12C567" w:rsidR="003B3459" w:rsidRPr="003B3459" w:rsidRDefault="00736B9E" w:rsidP="00736B9E">
      <w:pPr>
        <w:pStyle w:val="Bullet"/>
      </w:pPr>
      <w:r>
        <w:t>p</w:t>
      </w:r>
      <w:r w:rsidR="00C76F0D" w:rsidRPr="003B3459">
        <w:t>rovision of information about accessing further counselling</w:t>
      </w:r>
      <w:r w:rsidR="003B3459">
        <w:t xml:space="preserve"> </w:t>
      </w:r>
      <w:r w:rsidR="00C76F0D" w:rsidRPr="003B3459">
        <w:t>and support.</w:t>
      </w:r>
    </w:p>
    <w:p w14:paraId="5E12C02A" w14:textId="1BD6F03D" w:rsidR="00C76F0D" w:rsidRPr="002751DA" w:rsidRDefault="00C76F0D" w:rsidP="0078010C">
      <w:pPr>
        <w:pStyle w:val="Heading6"/>
      </w:pPr>
      <w:r>
        <w:t>6.4</w:t>
      </w:r>
      <w:r w:rsidR="003B3459">
        <w:t>.</w:t>
      </w:r>
      <w:r>
        <w:t>1</w:t>
      </w:r>
      <w:r>
        <w:tab/>
      </w:r>
      <w:r w:rsidRPr="002751DA">
        <w:t xml:space="preserve">When a Source Person is </w:t>
      </w:r>
      <w:r w:rsidRPr="002751DA">
        <w:rPr>
          <w:rFonts w:cs="Arial"/>
        </w:rPr>
        <w:t>Not</w:t>
      </w:r>
      <w:r w:rsidRPr="002751DA">
        <w:t xml:space="preserve"> a Current</w:t>
      </w:r>
      <w:r>
        <w:t xml:space="preserve"> Inp</w:t>
      </w:r>
      <w:r w:rsidRPr="002751DA">
        <w:t>atient</w:t>
      </w:r>
    </w:p>
    <w:p w14:paraId="106302B2" w14:textId="77777777" w:rsidR="00C76F0D" w:rsidRPr="003B3459" w:rsidRDefault="00C76F0D" w:rsidP="00106FF1">
      <w:pPr>
        <w:pStyle w:val="BodyCopy"/>
      </w:pPr>
      <w:r w:rsidRPr="259D671F">
        <w:rPr>
          <w:rFonts w:asciiTheme="minorHAnsi" w:hAnsiTheme="minorHAnsi"/>
        </w:rPr>
        <w:t xml:space="preserve">If the source person is no longer a patient, the </w:t>
      </w:r>
      <w:r>
        <w:rPr>
          <w:rFonts w:asciiTheme="minorHAnsi" w:hAnsiTheme="minorHAnsi"/>
        </w:rPr>
        <w:t xml:space="preserve">BBFE incident manager </w:t>
      </w:r>
      <w:r w:rsidRPr="259D671F">
        <w:rPr>
          <w:rFonts w:asciiTheme="minorHAnsi" w:hAnsiTheme="minorHAnsi"/>
        </w:rPr>
        <w:t>will attempt to contact the source person to e</w:t>
      </w:r>
      <w:r>
        <w:t xml:space="preserve">xplain </w:t>
      </w:r>
      <w:r w:rsidRPr="259D671F">
        <w:t>that</w:t>
      </w:r>
      <w:r>
        <w:t xml:space="preserve"> an BBFE has occurred. Depending on the nature of the BBFE and risk assessment (as outlined in table 3 and table 4 above), this contact may be deferred until business hours for the OMU RN/SH RN to conduct. If the source person agrees to further discussion,</w:t>
      </w:r>
      <w:r>
        <w:rPr>
          <w:i/>
        </w:rPr>
        <w:t xml:space="preserve"> </w:t>
      </w:r>
      <w:r w:rsidRPr="00296017">
        <w:t>the risk assessment</w:t>
      </w:r>
      <w:r w:rsidRPr="259D671F">
        <w:rPr>
          <w:i/>
        </w:rPr>
        <w:t xml:space="preserve"> </w:t>
      </w:r>
      <w:r>
        <w:t xml:space="preserve">will be completed over the phone and documented </w:t>
      </w:r>
      <w:r w:rsidRPr="003B3459">
        <w:t>in the DHR.</w:t>
      </w:r>
    </w:p>
    <w:p w14:paraId="416B2EAC" w14:textId="77777777" w:rsidR="00C76F0D" w:rsidRPr="003B3459" w:rsidRDefault="00C76F0D" w:rsidP="00C76F0D">
      <w:pPr>
        <w:pStyle w:val="ListBullet"/>
        <w:rPr>
          <w:rFonts w:ascii="Arial" w:hAnsi="Arial" w:cs="Arial"/>
        </w:rPr>
      </w:pPr>
      <w:r w:rsidRPr="003B3459">
        <w:rPr>
          <w:rFonts w:ascii="Arial" w:hAnsi="Arial" w:cs="Arial"/>
        </w:rPr>
        <w:t>If the source person agrees to blood testing, a decision will be made on how this is done:</w:t>
      </w:r>
    </w:p>
    <w:p w14:paraId="47EA4551" w14:textId="77777777" w:rsidR="00C76F0D" w:rsidRPr="002D49EC" w:rsidRDefault="00C76F0D" w:rsidP="00736B9E">
      <w:pPr>
        <w:pStyle w:val="Bullet"/>
      </w:pPr>
      <w:r w:rsidRPr="002D49EC">
        <w:t xml:space="preserve">Prior to the phone call, the BBFE incident manager should first check if a suitable blood specimen from the source person’s admission is still available at ACT Pathology, and whether tests can be requested on this specimen after obtaining consent from the source person </w:t>
      </w:r>
      <w:r w:rsidRPr="002D49EC">
        <w:rPr>
          <w:b/>
        </w:rPr>
        <w:t>OR</w:t>
      </w:r>
    </w:p>
    <w:p w14:paraId="0171FD2F" w14:textId="77777777" w:rsidR="00C76F0D" w:rsidRPr="002D49EC" w:rsidRDefault="00C76F0D" w:rsidP="00736B9E">
      <w:pPr>
        <w:pStyle w:val="Bullet"/>
      </w:pPr>
      <w:r w:rsidRPr="002D49EC">
        <w:t>At CH source person returns to the OMU RN for testing and counselling</w:t>
      </w:r>
      <w:r w:rsidRPr="002D49EC">
        <w:rPr>
          <w:bCs/>
        </w:rPr>
        <w:t xml:space="preserve"> during business hours </w:t>
      </w:r>
      <w:r w:rsidRPr="002D49EC">
        <w:rPr>
          <w:b/>
          <w:bCs/>
        </w:rPr>
        <w:t>OR</w:t>
      </w:r>
    </w:p>
    <w:p w14:paraId="0D0AB5DD" w14:textId="77777777" w:rsidR="00C76F0D" w:rsidRPr="002D49EC" w:rsidRDefault="00C76F0D" w:rsidP="00736B9E">
      <w:pPr>
        <w:pStyle w:val="Bullet"/>
      </w:pPr>
      <w:r w:rsidRPr="002D49EC">
        <w:t xml:space="preserve">The BBFE incident manager can raise an order in the DHR and ask the source person to attend their closest ACT Pathology collection centre </w:t>
      </w:r>
      <w:r w:rsidRPr="002D49EC">
        <w:rPr>
          <w:b/>
          <w:bCs/>
        </w:rPr>
        <w:t>OR</w:t>
      </w:r>
    </w:p>
    <w:p w14:paraId="7AA14032" w14:textId="60C8E01A" w:rsidR="00C76F0D" w:rsidRPr="002D49EC" w:rsidRDefault="00C76F0D" w:rsidP="00736B9E">
      <w:pPr>
        <w:pStyle w:val="Bullet"/>
        <w:rPr>
          <w:b/>
        </w:rPr>
      </w:pPr>
      <w:r w:rsidRPr="002D49EC">
        <w:rPr>
          <w:bCs/>
        </w:rPr>
        <w:t xml:space="preserve">If the source person </w:t>
      </w:r>
      <w:r w:rsidRPr="002D49EC">
        <w:t>prefers</w:t>
      </w:r>
      <w:r w:rsidRPr="002D49EC">
        <w:rPr>
          <w:bCs/>
        </w:rPr>
        <w:t xml:space="preserve"> to see their GP, the BBFE incident manager</w:t>
      </w:r>
      <w:r w:rsidR="003B3459" w:rsidRPr="002D49EC">
        <w:rPr>
          <w:bCs/>
        </w:rPr>
        <w:t xml:space="preserve"> </w:t>
      </w:r>
      <w:r w:rsidRPr="002D49EC">
        <w:rPr>
          <w:bCs/>
        </w:rPr>
        <w:t xml:space="preserve">will contact the GP to outline what tests are required and why. They will request that the source person provide their consent for the GP to make </w:t>
      </w:r>
      <w:r w:rsidRPr="002D49EC">
        <w:t>the test results available to the OMU/SH Department.</w:t>
      </w:r>
      <w:r w:rsidR="003B3459" w:rsidRPr="002D49EC">
        <w:t xml:space="preserve"> </w:t>
      </w:r>
      <w:r w:rsidRPr="002D49EC">
        <w:t xml:space="preserve">If consent is provided, the OMU RN/SHRN is responsible for contacting the GP by telephone to obtain the test results.  </w:t>
      </w:r>
    </w:p>
    <w:p w14:paraId="10CB7185" w14:textId="21079562" w:rsidR="00C76F0D" w:rsidRPr="00736B9E" w:rsidRDefault="00C76F0D" w:rsidP="00736B9E">
      <w:pPr>
        <w:tabs>
          <w:tab w:val="left" w:pos="851"/>
        </w:tabs>
        <w:rPr>
          <w:rFonts w:asciiTheme="minorHAnsi" w:hAnsiTheme="minorHAnsi"/>
          <w:b/>
        </w:rPr>
      </w:pPr>
      <w:r w:rsidRPr="00472A5E">
        <w:rPr>
          <w:rFonts w:asciiTheme="minorHAnsi" w:hAnsiTheme="minorHAnsi"/>
        </w:rPr>
        <w:lastRenderedPageBreak/>
        <w:t>Canberra Health Services will cover all costs of testing performed by the OMU</w:t>
      </w:r>
      <w:r>
        <w:rPr>
          <w:rFonts w:asciiTheme="minorHAnsi" w:hAnsiTheme="minorHAnsi"/>
        </w:rPr>
        <w:t>/Staff Health</w:t>
      </w:r>
      <w:r w:rsidRPr="00472A5E">
        <w:rPr>
          <w:rFonts w:asciiTheme="minorHAnsi" w:hAnsiTheme="minorHAnsi"/>
        </w:rPr>
        <w:t xml:space="preserve"> </w:t>
      </w:r>
      <w:r>
        <w:rPr>
          <w:rFonts w:asciiTheme="minorHAnsi" w:hAnsiTheme="minorHAnsi"/>
        </w:rPr>
        <w:t xml:space="preserve">via ACT Pathology </w:t>
      </w:r>
      <w:r w:rsidRPr="00472A5E">
        <w:rPr>
          <w:rFonts w:asciiTheme="minorHAnsi" w:hAnsiTheme="minorHAnsi"/>
        </w:rPr>
        <w:t xml:space="preserve">but will not </w:t>
      </w:r>
      <w:r w:rsidRPr="00472A5E">
        <w:rPr>
          <w:rFonts w:asciiTheme="minorHAnsi" w:hAnsiTheme="minorHAnsi"/>
          <w:bCs/>
        </w:rPr>
        <w:t>reimburse testing performed at another Pathology provider</w:t>
      </w:r>
      <w:r>
        <w:rPr>
          <w:rFonts w:asciiTheme="minorHAnsi" w:hAnsiTheme="minorHAnsi"/>
          <w:bCs/>
        </w:rPr>
        <w:t xml:space="preserve">. </w:t>
      </w:r>
    </w:p>
    <w:p w14:paraId="67CEB59C" w14:textId="03E319D5" w:rsidR="00C76F0D" w:rsidRPr="002751DA" w:rsidRDefault="00C76F0D" w:rsidP="0078010C">
      <w:pPr>
        <w:pStyle w:val="Heading6"/>
      </w:pPr>
      <w:r>
        <w:t>6.4.2</w:t>
      </w:r>
      <w:r w:rsidR="003B3459">
        <w:t xml:space="preserve"> </w:t>
      </w:r>
      <w:r w:rsidR="003B3459">
        <w:tab/>
      </w:r>
      <w:r w:rsidRPr="002751DA">
        <w:t xml:space="preserve">When a </w:t>
      </w:r>
      <w:r w:rsidRPr="002751DA">
        <w:rPr>
          <w:rFonts w:cs="Arial"/>
        </w:rPr>
        <w:t>Source</w:t>
      </w:r>
      <w:r w:rsidRPr="002751DA">
        <w:t xml:space="preserve"> Person is Not Contactable or Declines a Request for Contact</w:t>
      </w:r>
    </w:p>
    <w:p w14:paraId="15D9908E" w14:textId="7AD6F872" w:rsidR="00C76F0D" w:rsidRPr="003B3459" w:rsidRDefault="00C76F0D" w:rsidP="00106FF1">
      <w:pPr>
        <w:pStyle w:val="BodyCopy"/>
      </w:pPr>
      <w:r w:rsidRPr="002751DA">
        <w:t>If the source person is not contactable or declines a request for contact,</w:t>
      </w:r>
      <w:r>
        <w:t xml:space="preserve"> </w:t>
      </w:r>
      <w:r w:rsidRPr="002751DA">
        <w:t xml:space="preserve">the exposed HCW should be managed as set out in </w:t>
      </w:r>
      <w:r w:rsidRPr="001E1317">
        <w:t>section 7.1 Source Status Unknown for HIV, HBV</w:t>
      </w:r>
      <w:r w:rsidR="003B3459">
        <w:t>,</w:t>
      </w:r>
      <w:r w:rsidRPr="001E1317">
        <w:t xml:space="preserve"> and HCV</w:t>
      </w:r>
      <w:r w:rsidRPr="00E56B73">
        <w:t xml:space="preserve">. </w:t>
      </w:r>
      <w:r w:rsidRPr="002751DA">
        <w:tab/>
      </w:r>
    </w:p>
    <w:p w14:paraId="568B5A45" w14:textId="3A62A4B8" w:rsidR="00C76F0D" w:rsidRPr="002751DA" w:rsidRDefault="00C76F0D" w:rsidP="003B3459">
      <w:pPr>
        <w:pStyle w:val="Heading5"/>
        <w:rPr>
          <w:rFonts w:cs="Arial"/>
        </w:rPr>
      </w:pPr>
      <w:r>
        <w:t>6.6.</w:t>
      </w:r>
      <w:r>
        <w:tab/>
        <w:t xml:space="preserve"> Negative</w:t>
      </w:r>
      <w:r w:rsidRPr="4E1BFB06">
        <w:rPr>
          <w:rFonts w:cs="Arial"/>
        </w:rPr>
        <w:t xml:space="preserve"> </w:t>
      </w:r>
      <w:r>
        <w:t>Baseline</w:t>
      </w:r>
      <w:r w:rsidRPr="4E1BFB06">
        <w:rPr>
          <w:rFonts w:cs="Arial"/>
        </w:rPr>
        <w:t xml:space="preserve"> Test </w:t>
      </w:r>
      <w:r>
        <w:t>Results</w:t>
      </w:r>
      <w:r w:rsidRPr="4E1BFB06">
        <w:rPr>
          <w:rFonts w:cs="Arial"/>
        </w:rPr>
        <w:t xml:space="preserve"> </w:t>
      </w:r>
    </w:p>
    <w:p w14:paraId="456740D3" w14:textId="6B802971" w:rsidR="00C76F0D" w:rsidRPr="00106FF1" w:rsidRDefault="00C76F0D" w:rsidP="00106FF1">
      <w:pPr>
        <w:pStyle w:val="BodyCopy"/>
      </w:pPr>
      <w:r w:rsidRPr="00106FF1">
        <w:t xml:space="preserve">Negative HIV, HCV and HBV results will be available in the DHR. The laboratory will not notify these results via telephone. The OMU RN/SH RN is responsible for checking test results. </w:t>
      </w:r>
      <w:r w:rsidR="462FCB33" w:rsidRPr="00106FF1">
        <w:t>N</w:t>
      </w:r>
      <w:r w:rsidR="5F052E86" w:rsidRPr="00106FF1">
        <w:t xml:space="preserve">egative results can be accessed via </w:t>
      </w:r>
      <w:proofErr w:type="spellStart"/>
      <w:r w:rsidR="5F052E86" w:rsidRPr="00106FF1">
        <w:t>MyDHR</w:t>
      </w:r>
      <w:proofErr w:type="spellEnd"/>
      <w:r w:rsidR="5F052E86" w:rsidRPr="00106FF1">
        <w:t xml:space="preserve">, </w:t>
      </w:r>
      <w:r w:rsidRPr="00106FF1">
        <w:t>the treating Medical Officer</w:t>
      </w:r>
      <w:r w:rsidR="59DCE8CB" w:rsidRPr="00106FF1">
        <w:t xml:space="preserve">, and/or via the OMU RN/SH RN if required. </w:t>
      </w:r>
      <w:r w:rsidRPr="00106FF1">
        <w:t xml:space="preserve"> Upon request, the OMU</w:t>
      </w:r>
      <w:r w:rsidR="4C7F35C8" w:rsidRPr="00106FF1">
        <w:t xml:space="preserve"> </w:t>
      </w:r>
      <w:r w:rsidRPr="00106FF1">
        <w:t>RN/S</w:t>
      </w:r>
      <w:r w:rsidR="3D4D59E0" w:rsidRPr="00106FF1">
        <w:t>H</w:t>
      </w:r>
      <w:r w:rsidRPr="00106FF1">
        <w:t xml:space="preserve"> RN can provide test results to another nominated heath care provider outside of CHS. Consent must be documented. </w:t>
      </w:r>
    </w:p>
    <w:p w14:paraId="2B7B1C57" w14:textId="2CAD37B3" w:rsidR="00C76F0D" w:rsidRPr="003B3459" w:rsidRDefault="00C76F0D" w:rsidP="003B3459">
      <w:pPr>
        <w:pStyle w:val="Heading5"/>
      </w:pPr>
      <w:r>
        <w:t>6.7</w:t>
      </w:r>
      <w:r>
        <w:tab/>
      </w:r>
      <w:r w:rsidRPr="002751DA">
        <w:t xml:space="preserve">Positive and Indeterminate Baseline Test Results </w:t>
      </w:r>
    </w:p>
    <w:p w14:paraId="31DDB004" w14:textId="3B981C05" w:rsidR="00C76F0D" w:rsidRDefault="00C76F0D" w:rsidP="00106FF1">
      <w:pPr>
        <w:pStyle w:val="BodyCopy"/>
      </w:pPr>
      <w:r w:rsidRPr="002751DA">
        <w:t>The Clinical Microbiologist (or delegate) will</w:t>
      </w:r>
      <w:r>
        <w:t xml:space="preserve"> </w:t>
      </w:r>
      <w:r w:rsidRPr="002751DA">
        <w:t xml:space="preserve">directly notify the </w:t>
      </w:r>
      <w:r>
        <w:t xml:space="preserve">BBFE incident manager by phone </w:t>
      </w:r>
      <w:r w:rsidRPr="002751DA">
        <w:t xml:space="preserve">of any positive or indeterminate HIV and </w:t>
      </w:r>
      <w:r>
        <w:t xml:space="preserve">HBV </w:t>
      </w:r>
      <w:r w:rsidRPr="002751DA">
        <w:t xml:space="preserve">surface antigen results. These initial tests are </w:t>
      </w:r>
      <w:r w:rsidR="00106FF1">
        <w:t xml:space="preserve">screening only </w:t>
      </w:r>
      <w:r w:rsidRPr="003B3459">
        <w:t>and require further confirmatory testing</w:t>
      </w:r>
      <w:r w:rsidR="00106FF1">
        <w:t xml:space="preserve">. This </w:t>
      </w:r>
      <w:r w:rsidRPr="003B3459">
        <w:t>may take several days. They should not be considered</w:t>
      </w:r>
      <w:r w:rsidRPr="002751DA">
        <w:t xml:space="preserve"> as </w:t>
      </w:r>
      <w:proofErr w:type="gramStart"/>
      <w:r w:rsidRPr="002751DA">
        <w:t>final results</w:t>
      </w:r>
      <w:proofErr w:type="gramEnd"/>
      <w:r w:rsidRPr="002751DA">
        <w:t xml:space="preserve"> until all confirmatory tests are available</w:t>
      </w:r>
      <w:r>
        <w:t xml:space="preserve"> but</w:t>
      </w:r>
      <w:r w:rsidRPr="002751DA">
        <w:t xml:space="preserve"> will be used when assessing the risk of the exposure and need for PEP in the exposed HCW. Positive HCV results will not be </w:t>
      </w:r>
      <w:r>
        <w:t>tele</w:t>
      </w:r>
      <w:r w:rsidRPr="002751DA">
        <w:t xml:space="preserve">phoned through but will be available on </w:t>
      </w:r>
      <w:r>
        <w:t>the DHR</w:t>
      </w:r>
      <w:r w:rsidRPr="002751DA">
        <w:t>.</w:t>
      </w:r>
    </w:p>
    <w:p w14:paraId="0ECCF447" w14:textId="58705BB4" w:rsidR="00C76F0D" w:rsidRPr="002751DA" w:rsidRDefault="00C76F0D" w:rsidP="00106FF1">
      <w:pPr>
        <w:pStyle w:val="BodyCopy"/>
      </w:pPr>
      <w:r w:rsidRPr="002751DA">
        <w:t xml:space="preserve">If a source person has one or more positive or indeterminate baseline test results, post-test discussion will occur in the context of individualised assessment and care, under the guidance of the </w:t>
      </w:r>
      <w:r>
        <w:t>Clinical Microbiologist</w:t>
      </w:r>
      <w:r w:rsidRPr="002751DA">
        <w:t xml:space="preserve"> on-call</w:t>
      </w:r>
      <w:r>
        <w:t xml:space="preserve"> and may result in referral for specialist care (e.g. hepatologist for HBV/HCV).</w:t>
      </w:r>
    </w:p>
    <w:p w14:paraId="34ACA8D6" w14:textId="56B2B3A9" w:rsidR="00C76F0D" w:rsidRPr="003B3459" w:rsidRDefault="00C76F0D" w:rsidP="00106FF1">
      <w:pPr>
        <w:pStyle w:val="BodyCopy"/>
        <w:rPr>
          <w:rStyle w:val="Hyperlink"/>
          <w:b/>
          <w:color w:val="000000" w:themeColor="text1"/>
          <w:u w:val="none"/>
        </w:rPr>
      </w:pPr>
      <w:r w:rsidRPr="002751DA">
        <w:t xml:space="preserve">The </w:t>
      </w:r>
      <w:r>
        <w:t>BBFE incident manager</w:t>
      </w:r>
      <w:r w:rsidRPr="00AF493D">
        <w:t xml:space="preserve"> will</w:t>
      </w:r>
      <w:r w:rsidRPr="002751DA">
        <w:t xml:space="preserve"> discuss all positive and indeterminate</w:t>
      </w:r>
      <w:r>
        <w:t xml:space="preserve"> source</w:t>
      </w:r>
      <w:r w:rsidRPr="002751DA">
        <w:t xml:space="preserve"> test results with the </w:t>
      </w:r>
      <w:r>
        <w:t>Clinical Microbiologist</w:t>
      </w:r>
      <w:r w:rsidRPr="002751DA">
        <w:t xml:space="preserve"> on-call. </w:t>
      </w:r>
      <w:r>
        <w:t>When a positive result in the source is unexpected,</w:t>
      </w:r>
      <w:r w:rsidRPr="002751DA">
        <w:t xml:space="preserve"> the </w:t>
      </w:r>
      <w:r>
        <w:t>Clinical Microbiologist</w:t>
      </w:r>
      <w:r w:rsidRPr="002751DA">
        <w:t xml:space="preserve"> on-call will </w:t>
      </w:r>
      <w:r>
        <w:t>notify the source person’s treating clinician</w:t>
      </w:r>
      <w:r w:rsidRPr="002751DA">
        <w:t xml:space="preserve"> </w:t>
      </w:r>
      <w:proofErr w:type="gramStart"/>
      <w:r w:rsidRPr="002751DA">
        <w:t>and</w:t>
      </w:r>
      <w:r>
        <w:t>,</w:t>
      </w:r>
      <w:proofErr w:type="gramEnd"/>
      <w:r w:rsidRPr="002751DA">
        <w:t xml:space="preserve"> as required, </w:t>
      </w:r>
      <w:r>
        <w:t>facilitate</w:t>
      </w:r>
      <w:r w:rsidRPr="002751DA">
        <w:t xml:space="preserve"> an appointment to discuss the results, the implications and a follow-up plan. </w:t>
      </w:r>
    </w:p>
    <w:p w14:paraId="7C3F1C8C" w14:textId="7C0B149C" w:rsidR="00C76F0D" w:rsidRDefault="003B3459" w:rsidP="003B3459">
      <w:pPr>
        <w:pStyle w:val="BodyCopy"/>
        <w:rPr>
          <w:rStyle w:val="Hyperlink"/>
        </w:rPr>
      </w:pPr>
      <w:hyperlink w:anchor="_top" w:history="1">
        <w:r w:rsidRPr="004A7A7F">
          <w:rPr>
            <w:rStyle w:val="Hyperlink"/>
          </w:rPr>
          <w:t>Back to Contents</w:t>
        </w:r>
      </w:hyperlink>
    </w:p>
    <w:p w14:paraId="7FF1E4E8" w14:textId="0DF8C944" w:rsidR="003B3459" w:rsidRDefault="003B3459" w:rsidP="00F827BB">
      <w:pPr>
        <w:pStyle w:val="Heading4"/>
        <w:rPr>
          <w:rStyle w:val="Hyperlink"/>
          <w:color w:val="FFFFFF" w:themeColor="background1"/>
          <w:u w:val="none"/>
        </w:rPr>
      </w:pPr>
      <w:bookmarkStart w:id="25" w:name="_Toc189830918"/>
      <w:r w:rsidRPr="003B3459">
        <w:rPr>
          <w:rStyle w:val="Hyperlink"/>
          <w:color w:val="FFFFFF" w:themeColor="background1"/>
          <w:u w:val="none"/>
        </w:rPr>
        <w:t>Section 7 – Treatment of the Exposed HCW</w:t>
      </w:r>
      <w:bookmarkEnd w:id="25"/>
    </w:p>
    <w:p w14:paraId="405B25B2" w14:textId="01728620" w:rsidR="004F4F30" w:rsidRPr="009F19E3" w:rsidRDefault="004F4F30" w:rsidP="004F4F30">
      <w:pPr>
        <w:pStyle w:val="Heading5"/>
      </w:pPr>
      <w:bookmarkStart w:id="26" w:name="_Toc172812233"/>
      <w:r w:rsidRPr="00D2549D">
        <w:t xml:space="preserve">7.1 </w:t>
      </w:r>
      <w:r w:rsidRPr="00D2549D">
        <w:tab/>
        <w:t xml:space="preserve">Source </w:t>
      </w:r>
      <w:r>
        <w:t>N</w:t>
      </w:r>
      <w:r w:rsidRPr="00D2549D">
        <w:t>egative for HIV, HBV</w:t>
      </w:r>
      <w:r>
        <w:t>,</w:t>
      </w:r>
      <w:r w:rsidRPr="00D2549D">
        <w:t xml:space="preserve"> and HCV</w:t>
      </w:r>
      <w:bookmarkEnd w:id="26"/>
    </w:p>
    <w:p w14:paraId="40BCFE81" w14:textId="1BDA388A" w:rsidR="004F4F30" w:rsidRDefault="004F4F30" w:rsidP="0089533B">
      <w:pPr>
        <w:pStyle w:val="BodyCopy"/>
      </w:pPr>
      <w:r>
        <w:t xml:space="preserve">If the source undergoes testing and is found to be negative for HIV, HBV and HCV </w:t>
      </w:r>
      <w:r w:rsidRPr="00D2549D">
        <w:rPr>
          <w:b/>
        </w:rPr>
        <w:t>AND</w:t>
      </w:r>
      <w:r>
        <w:t xml:space="preserve"> does not report recent behaviour that may place them at risk of a BBV, then no further action is required. If there is reason to believe the self-reported risk history of the source is unreliable or incomplete, the exposed HCW should be managed as per exposure to a positive source.</w:t>
      </w:r>
    </w:p>
    <w:p w14:paraId="1AE0ABB4" w14:textId="6FE00E73" w:rsidR="004F4F30" w:rsidRPr="009F19E3" w:rsidRDefault="004F4F30" w:rsidP="004F4F30">
      <w:pPr>
        <w:pStyle w:val="Heading5"/>
      </w:pPr>
      <w:bookmarkStart w:id="27" w:name="_Toc172812234"/>
      <w:r w:rsidRPr="00D2549D">
        <w:lastRenderedPageBreak/>
        <w:t xml:space="preserve">7.2 </w:t>
      </w:r>
      <w:r w:rsidRPr="00D2549D">
        <w:tab/>
        <w:t xml:space="preserve">Source </w:t>
      </w:r>
      <w:r>
        <w:t>P</w:t>
      </w:r>
      <w:r w:rsidRPr="00D2549D">
        <w:t xml:space="preserve">ositive for HIV, </w:t>
      </w:r>
      <w:r>
        <w:t>U</w:t>
      </w:r>
      <w:r w:rsidRPr="00D2549D">
        <w:t xml:space="preserve">nknown </w:t>
      </w:r>
      <w:r>
        <w:t xml:space="preserve">HIV </w:t>
      </w:r>
      <w:r w:rsidRPr="00D2549D">
        <w:t>status</w:t>
      </w:r>
      <w:r>
        <w:t>,</w:t>
      </w:r>
      <w:r w:rsidRPr="00D2549D">
        <w:t xml:space="preserve"> or </w:t>
      </w:r>
      <w:r>
        <w:t>N</w:t>
      </w:r>
      <w:r w:rsidRPr="00D2549D">
        <w:t>egative</w:t>
      </w:r>
      <w:r>
        <w:t xml:space="preserve"> for HIV</w:t>
      </w:r>
      <w:r w:rsidRPr="00D2549D">
        <w:t xml:space="preserve"> with </w:t>
      </w:r>
      <w:r>
        <w:t>R</w:t>
      </w:r>
      <w:r w:rsidRPr="00D2549D">
        <w:t xml:space="preserve">ecent </w:t>
      </w:r>
      <w:r>
        <w:t>H</w:t>
      </w:r>
      <w:r w:rsidRPr="00D2549D">
        <w:t xml:space="preserve">igh-Risk </w:t>
      </w:r>
      <w:r>
        <w:t>E</w:t>
      </w:r>
      <w:r w:rsidRPr="00D2549D">
        <w:t xml:space="preserve">xposures for HIV </w:t>
      </w:r>
      <w:r>
        <w:t>I</w:t>
      </w:r>
      <w:r w:rsidRPr="00D2549D">
        <w:t>nfection</w:t>
      </w:r>
      <w:bookmarkEnd w:id="27"/>
    </w:p>
    <w:p w14:paraId="3827D35C" w14:textId="77777777" w:rsidR="004F4F30" w:rsidRPr="002751DA" w:rsidRDefault="004F4F30" w:rsidP="0078010C">
      <w:pPr>
        <w:pStyle w:val="Heading6"/>
      </w:pPr>
      <w:r>
        <w:t>7.2.1</w:t>
      </w:r>
      <w:r>
        <w:tab/>
        <w:t>HIV Transmission Risks</w:t>
      </w:r>
    </w:p>
    <w:p w14:paraId="226ADBCD" w14:textId="25FEB7A5" w:rsidR="004F4F30" w:rsidRPr="004F4F30" w:rsidRDefault="004F4F30" w:rsidP="0089533B">
      <w:pPr>
        <w:pStyle w:val="BodyCopy"/>
        <w:rPr>
          <w:rFonts w:eastAsia="Times"/>
          <w:shd w:val="clear" w:color="auto" w:fill="FFFFFF" w:themeFill="background1"/>
        </w:rPr>
      </w:pPr>
      <w:r w:rsidRPr="49359429">
        <w:rPr>
          <w:shd w:val="clear" w:color="auto" w:fill="FFFFFF" w:themeFill="background1"/>
        </w:rPr>
        <w:t xml:space="preserve">The average risk of HIV infections after a needlestick or sharps injury to HIV-infected </w:t>
      </w:r>
      <w:r w:rsidR="00AE2FFB" w:rsidRPr="49359429">
        <w:rPr>
          <w:shd w:val="clear" w:color="auto" w:fill="FFFFFF" w:themeFill="background1"/>
        </w:rPr>
        <w:t>blood is</w:t>
      </w:r>
      <w:r w:rsidRPr="49359429">
        <w:rPr>
          <w:shd w:val="clear" w:color="auto" w:fill="FFFFFF" w:themeFill="background1"/>
        </w:rPr>
        <w:t xml:space="preserve"> &lt;0.3%. T</w:t>
      </w:r>
      <w:r w:rsidRPr="49359429">
        <w:rPr>
          <w:rFonts w:eastAsia="Times"/>
          <w:shd w:val="clear" w:color="auto" w:fill="FFFFFF" w:themeFill="background1"/>
        </w:rPr>
        <w:t xml:space="preserve">he risk is believed to be higher for exposures involving an increased volume of blood and/or high </w:t>
      </w:r>
      <w:r w:rsidR="0499880B" w:rsidRPr="49359429">
        <w:rPr>
          <w:rFonts w:eastAsia="Times"/>
          <w:shd w:val="clear" w:color="auto" w:fill="FFFFFF" w:themeFill="background1"/>
        </w:rPr>
        <w:t xml:space="preserve">HIV </w:t>
      </w:r>
      <w:r w:rsidRPr="49359429">
        <w:rPr>
          <w:rFonts w:eastAsia="Times"/>
          <w:shd w:val="clear" w:color="auto" w:fill="FFFFFF" w:themeFill="background1"/>
        </w:rPr>
        <w:t>viral load</w:t>
      </w:r>
      <w:r w:rsidRPr="49359429">
        <w:rPr>
          <w:rFonts w:eastAsia="Times"/>
          <w:shd w:val="clear" w:color="auto" w:fill="FFFFFF" w:themeFill="background1"/>
          <w:vertAlign w:val="superscript"/>
        </w:rPr>
        <w:t>2,3</w:t>
      </w:r>
      <w:r w:rsidRPr="49359429">
        <w:rPr>
          <w:rFonts w:eastAsia="Times"/>
        </w:rPr>
        <w:t xml:space="preserve">. The risk following mucous membrane or non-intact skin exposure is &lt;0.1%. </w:t>
      </w:r>
    </w:p>
    <w:p w14:paraId="4D6F11B6" w14:textId="01973F7A" w:rsidR="004F4F30" w:rsidRPr="00D2549D" w:rsidRDefault="004F4F30" w:rsidP="0078010C">
      <w:pPr>
        <w:pStyle w:val="Heading6"/>
        <w:rPr>
          <w:rFonts w:eastAsia="Times"/>
        </w:rPr>
      </w:pPr>
      <w:bookmarkStart w:id="28" w:name="_Hlk182574940"/>
      <w:r w:rsidRPr="007D518C">
        <w:rPr>
          <w:rFonts w:eastAsia="Times"/>
        </w:rPr>
        <w:t>7.2.2</w:t>
      </w:r>
      <w:r w:rsidRPr="00D2549D">
        <w:rPr>
          <w:rFonts w:eastAsia="Times"/>
        </w:rPr>
        <w:tab/>
        <w:t>HIV Post Exposure Prophylaxis</w:t>
      </w:r>
    </w:p>
    <w:p w14:paraId="12DDCC4D" w14:textId="4D88C007" w:rsidR="004F4F30" w:rsidRPr="0089533B" w:rsidRDefault="004F4F30" w:rsidP="0089533B">
      <w:pPr>
        <w:pStyle w:val="BodyCopy"/>
        <w:rPr>
          <w:rFonts w:eastAsiaTheme="minorHAnsi"/>
          <w:lang w:val="en-US"/>
        </w:rPr>
      </w:pPr>
      <w:r w:rsidRPr="00637EC8">
        <w:rPr>
          <w:rFonts w:asciiTheme="minorHAnsi" w:eastAsiaTheme="minorHAnsi" w:hAnsiTheme="minorHAnsi" w:cs="Times"/>
          <w:lang w:val="en-US"/>
        </w:rPr>
        <w:t>T</w:t>
      </w:r>
      <w:r w:rsidRPr="00D2549D">
        <w:rPr>
          <w:rFonts w:asciiTheme="minorHAnsi" w:eastAsiaTheme="minorHAnsi" w:hAnsiTheme="minorHAnsi" w:cs="Times"/>
          <w:lang w:val="en-US"/>
        </w:rPr>
        <w:t xml:space="preserve">he decision to prescribe </w:t>
      </w:r>
      <w:r>
        <w:rPr>
          <w:rFonts w:asciiTheme="minorHAnsi" w:eastAsiaTheme="minorHAnsi" w:hAnsiTheme="minorHAnsi" w:cs="Times"/>
          <w:lang w:val="en-US"/>
        </w:rPr>
        <w:t xml:space="preserve">HIV </w:t>
      </w:r>
      <w:r w:rsidRPr="00D2549D">
        <w:rPr>
          <w:rFonts w:asciiTheme="minorHAnsi" w:eastAsiaTheme="minorHAnsi" w:hAnsiTheme="minorHAnsi" w:cs="Times"/>
          <w:lang w:val="en-US"/>
        </w:rPr>
        <w:t xml:space="preserve">PEP needs to be made on a case-by-case basis, considering all the </w:t>
      </w:r>
      <w:r w:rsidRPr="004E58C0">
        <w:rPr>
          <w:rFonts w:eastAsiaTheme="minorHAnsi"/>
          <w:lang w:val="en-US"/>
        </w:rPr>
        <w:t>variables</w:t>
      </w:r>
      <w:r w:rsidR="00CD71D6">
        <w:rPr>
          <w:rFonts w:eastAsiaTheme="minorHAnsi"/>
          <w:lang w:val="en-US"/>
        </w:rPr>
        <w:t xml:space="preserve">. </w:t>
      </w:r>
      <w:r w:rsidR="00D632A3">
        <w:rPr>
          <w:rFonts w:eastAsiaTheme="minorHAnsi"/>
          <w:lang w:val="en-US"/>
        </w:rPr>
        <w:t xml:space="preserve">Refer to </w:t>
      </w:r>
      <w:r w:rsidR="00D632A3" w:rsidRPr="00A439D7">
        <w:rPr>
          <w:rFonts w:eastAsiaTheme="minorHAnsi"/>
          <w:lang w:val="en-US"/>
        </w:rPr>
        <w:t>Attachment 3 for</w:t>
      </w:r>
      <w:r w:rsidR="00A439D7">
        <w:rPr>
          <w:rFonts w:eastAsiaTheme="minorHAnsi"/>
          <w:lang w:val="en-US"/>
        </w:rPr>
        <w:t xml:space="preserve"> a</w:t>
      </w:r>
      <w:r w:rsidR="00D632A3">
        <w:rPr>
          <w:rFonts w:eastAsiaTheme="minorHAnsi"/>
          <w:lang w:val="en-US"/>
        </w:rPr>
        <w:t xml:space="preserve"> risk </w:t>
      </w:r>
      <w:r w:rsidR="00A439D7">
        <w:rPr>
          <w:rFonts w:eastAsiaTheme="minorHAnsi"/>
          <w:lang w:val="en-US"/>
        </w:rPr>
        <w:t xml:space="preserve">management </w:t>
      </w:r>
      <w:r w:rsidR="00D632A3">
        <w:rPr>
          <w:rFonts w:eastAsiaTheme="minorHAnsi"/>
          <w:lang w:val="en-US"/>
        </w:rPr>
        <w:t xml:space="preserve">matrix on the need for PEP. </w:t>
      </w:r>
      <w:r w:rsidR="004E58C0" w:rsidRPr="004E58C0">
        <w:rPr>
          <w:rFonts w:eastAsiaTheme="minorHAnsi"/>
          <w:lang w:val="en-US"/>
        </w:rPr>
        <w:t>Th</w:t>
      </w:r>
      <w:r w:rsidR="00D632A3">
        <w:rPr>
          <w:rFonts w:eastAsiaTheme="minorHAnsi"/>
          <w:lang w:val="en-US"/>
        </w:rPr>
        <w:t>e final</w:t>
      </w:r>
      <w:r w:rsidR="004E58C0" w:rsidRPr="004E58C0">
        <w:rPr>
          <w:rFonts w:eastAsiaTheme="minorHAnsi"/>
          <w:lang w:val="en-US"/>
        </w:rPr>
        <w:t xml:space="preserve"> decision will be made by the Infection Control Physician (currently the On-Call Clinical Microbiologist) </w:t>
      </w:r>
      <w:r w:rsidR="000D47A6">
        <w:rPr>
          <w:rFonts w:eastAsiaTheme="minorHAnsi"/>
          <w:lang w:val="en-US"/>
        </w:rPr>
        <w:t xml:space="preserve">after an assessment </w:t>
      </w:r>
      <w:r w:rsidR="004E58C0" w:rsidRPr="004E58C0">
        <w:rPr>
          <w:rFonts w:eastAsiaTheme="minorHAnsi"/>
          <w:lang w:val="en-US"/>
        </w:rPr>
        <w:t xml:space="preserve">in line with the </w:t>
      </w:r>
      <w:hyperlink r:id="rId14" w:history="1">
        <w:r w:rsidR="004E58C0" w:rsidRPr="004E58C0">
          <w:rPr>
            <w:rStyle w:val="Hyperlink"/>
          </w:rPr>
          <w:t>National Guidelines for Post-Exposure Prophylaxis after Non-Occupational and Occupational Exposure to HIV</w:t>
        </w:r>
      </w:hyperlink>
      <w:r w:rsidR="0089533B">
        <w:rPr>
          <w:rStyle w:val="Hyperlink"/>
        </w:rPr>
        <w:t xml:space="preserve"> (pepguidelines.org.au)</w:t>
      </w:r>
      <w:r w:rsidR="004E58C0">
        <w:t>.</w:t>
      </w:r>
      <w:r w:rsidR="00CD71D6">
        <w:t xml:space="preserve"> </w:t>
      </w:r>
    </w:p>
    <w:p w14:paraId="0626F395" w14:textId="1460C3A8" w:rsidR="004F4F30" w:rsidRPr="00D2549D" w:rsidRDefault="004F4F30" w:rsidP="0089533B">
      <w:pPr>
        <w:pStyle w:val="BodyCopy"/>
        <w:rPr>
          <w:rFonts w:eastAsiaTheme="minorHAnsi"/>
          <w:lang w:val="en-US"/>
        </w:rPr>
      </w:pPr>
      <w:r>
        <w:rPr>
          <w:rFonts w:eastAsiaTheme="minorHAnsi"/>
          <w:lang w:val="en-US"/>
        </w:rPr>
        <w:t xml:space="preserve">HIV </w:t>
      </w:r>
      <w:r w:rsidRPr="00D2549D">
        <w:rPr>
          <w:rFonts w:eastAsiaTheme="minorHAnsi"/>
          <w:lang w:val="en-US"/>
        </w:rPr>
        <w:t xml:space="preserve">PEP is usually only prescribed or </w:t>
      </w:r>
      <w:r w:rsidRPr="00637EC8">
        <w:rPr>
          <w:rFonts w:eastAsiaTheme="minorHAnsi"/>
          <w:lang w:val="en-US"/>
        </w:rPr>
        <w:t xml:space="preserve">continued for those who have </w:t>
      </w:r>
      <w:proofErr w:type="gramStart"/>
      <w:r w:rsidRPr="00637EC8">
        <w:rPr>
          <w:rFonts w:eastAsiaTheme="minorHAnsi"/>
          <w:lang w:val="en-US"/>
        </w:rPr>
        <w:t>defi</w:t>
      </w:r>
      <w:r w:rsidRPr="00D2549D">
        <w:rPr>
          <w:rFonts w:eastAsiaTheme="minorHAnsi"/>
          <w:lang w:val="en-US"/>
        </w:rPr>
        <w:t>nitely been</w:t>
      </w:r>
      <w:proofErr w:type="gramEnd"/>
      <w:r w:rsidRPr="00D2549D">
        <w:rPr>
          <w:rFonts w:eastAsiaTheme="minorHAnsi"/>
          <w:lang w:val="en-US"/>
        </w:rPr>
        <w:t xml:space="preserve"> exposed</w:t>
      </w:r>
      <w:r>
        <w:rPr>
          <w:rFonts w:eastAsiaTheme="minorHAnsi"/>
          <w:lang w:val="en-US"/>
        </w:rPr>
        <w:t xml:space="preserve"> </w:t>
      </w:r>
      <w:r w:rsidRPr="00D2549D">
        <w:rPr>
          <w:rFonts w:eastAsiaTheme="minorHAnsi"/>
          <w:lang w:val="en-US"/>
        </w:rPr>
        <w:t xml:space="preserve">to </w:t>
      </w:r>
      <w:r>
        <w:rPr>
          <w:rFonts w:eastAsiaTheme="minorHAnsi"/>
          <w:lang w:val="en-US"/>
        </w:rPr>
        <w:t xml:space="preserve">a source known to have </w:t>
      </w:r>
      <w:r w:rsidRPr="00D2549D">
        <w:rPr>
          <w:rFonts w:eastAsiaTheme="minorHAnsi"/>
          <w:lang w:val="en-US"/>
        </w:rPr>
        <w:t xml:space="preserve">HIV. </w:t>
      </w:r>
      <w:r>
        <w:rPr>
          <w:rFonts w:eastAsia="Times"/>
          <w:szCs w:val="22"/>
        </w:rPr>
        <w:t>Whilst evidence supports a significantly lower risk of HIV transmission following sexual exposure to a source with an undetectable viral load, such evidence does not exist for occupational exposures. It is</w:t>
      </w:r>
      <w:r>
        <w:rPr>
          <w:rFonts w:eastAsiaTheme="minorHAnsi"/>
          <w:lang w:val="en-US"/>
        </w:rPr>
        <w:t xml:space="preserve"> </w:t>
      </w:r>
      <w:r>
        <w:rPr>
          <w:rFonts w:eastAsia="Times"/>
          <w:szCs w:val="22"/>
        </w:rPr>
        <w:t>therefore reasonable for HCWs who have had a higher risk exposure to a source who is HIV</w:t>
      </w:r>
      <w:r>
        <w:rPr>
          <w:rFonts w:eastAsiaTheme="minorHAnsi"/>
          <w:lang w:val="en-US"/>
        </w:rPr>
        <w:t xml:space="preserve"> </w:t>
      </w:r>
      <w:r>
        <w:rPr>
          <w:rFonts w:eastAsia="Times"/>
          <w:szCs w:val="22"/>
        </w:rPr>
        <w:t>positive but with an</w:t>
      </w:r>
      <w:r w:rsidR="0089533B">
        <w:rPr>
          <w:rFonts w:eastAsia="Times"/>
          <w:szCs w:val="22"/>
        </w:rPr>
        <w:t xml:space="preserve"> </w:t>
      </w:r>
      <w:r>
        <w:rPr>
          <w:rFonts w:eastAsia="Times"/>
          <w:szCs w:val="22"/>
        </w:rPr>
        <w:t>undetectable viral load to complete a course of PEP.</w:t>
      </w:r>
      <w:r w:rsidR="00D632A3">
        <w:rPr>
          <w:rFonts w:eastAsia="Times"/>
          <w:szCs w:val="22"/>
        </w:rPr>
        <w:t xml:space="preserve"> </w:t>
      </w:r>
    </w:p>
    <w:p w14:paraId="0CA9E492" w14:textId="77777777" w:rsidR="004F4F30" w:rsidRDefault="004F4F30" w:rsidP="0089533B">
      <w:pPr>
        <w:pStyle w:val="BodyCopy"/>
        <w:rPr>
          <w:rFonts w:eastAsiaTheme="minorHAnsi"/>
          <w:lang w:val="en-US"/>
        </w:rPr>
      </w:pPr>
      <w:r w:rsidRPr="00D2549D">
        <w:rPr>
          <w:rFonts w:eastAsiaTheme="minorHAnsi"/>
          <w:lang w:val="en-US"/>
        </w:rPr>
        <w:t>If</w:t>
      </w:r>
      <w:r>
        <w:rPr>
          <w:rFonts w:eastAsiaTheme="minorHAnsi"/>
          <w:lang w:val="en-US"/>
        </w:rPr>
        <w:t xml:space="preserve"> </w:t>
      </w:r>
      <w:r w:rsidRPr="00D2549D">
        <w:rPr>
          <w:rFonts w:eastAsiaTheme="minorHAnsi"/>
          <w:lang w:val="en-US"/>
        </w:rPr>
        <w:t>the source</w:t>
      </w:r>
      <w:r>
        <w:rPr>
          <w:rFonts w:eastAsiaTheme="minorHAnsi"/>
          <w:lang w:val="en-US"/>
        </w:rPr>
        <w:t xml:space="preserve"> is at high risk of being HIV positive and </w:t>
      </w:r>
      <w:r w:rsidRPr="00D2549D">
        <w:rPr>
          <w:rFonts w:eastAsiaTheme="minorHAnsi"/>
          <w:lang w:val="en-US"/>
        </w:rPr>
        <w:t>is</w:t>
      </w:r>
      <w:r w:rsidRPr="007D518C">
        <w:rPr>
          <w:rFonts w:eastAsiaTheme="minorHAnsi"/>
          <w:lang w:val="en-US"/>
        </w:rPr>
        <w:t xml:space="preserve"> unable to be tested immediately</w:t>
      </w:r>
      <w:r w:rsidRPr="00D2549D">
        <w:rPr>
          <w:rFonts w:eastAsiaTheme="minorHAnsi"/>
          <w:lang w:val="en-US"/>
        </w:rPr>
        <w:t>, the exposed healthcare worker should be commenced on PEP without waiting for the results</w:t>
      </w:r>
      <w:r>
        <w:rPr>
          <w:rFonts w:eastAsiaTheme="minorHAnsi"/>
          <w:lang w:val="en-US"/>
        </w:rPr>
        <w:t xml:space="preserve">. PEP can be discontinued, if necessary, once further information is available. </w:t>
      </w:r>
    </w:p>
    <w:p w14:paraId="6CB26DC2" w14:textId="77777777" w:rsidR="004F4F30" w:rsidRDefault="004F4F30" w:rsidP="0089533B">
      <w:pPr>
        <w:pStyle w:val="BodyCopy"/>
        <w:rPr>
          <w:rFonts w:eastAsiaTheme="minorHAnsi"/>
          <w:lang w:val="en-US"/>
        </w:rPr>
      </w:pPr>
      <w:r>
        <w:rPr>
          <w:rFonts w:eastAsiaTheme="minorHAnsi"/>
          <w:lang w:val="en-US"/>
        </w:rPr>
        <w:t>PEP should also be considered when the source tests HIV negative but reports exposures putting them at high risk of HIV infection within the last 6 weeks.</w:t>
      </w:r>
    </w:p>
    <w:p w14:paraId="14299893" w14:textId="77777777" w:rsidR="004F4F30" w:rsidRDefault="004F4F30" w:rsidP="0089533B">
      <w:pPr>
        <w:pStyle w:val="BodyCopy"/>
        <w:rPr>
          <w:rFonts w:eastAsiaTheme="minorHAnsi"/>
          <w:lang w:val="en-US"/>
        </w:rPr>
      </w:pPr>
      <w:r>
        <w:rPr>
          <w:rFonts w:eastAsiaTheme="minorHAnsi"/>
          <w:lang w:val="en-US"/>
        </w:rPr>
        <w:t>Estimated prevalence of HIV among specific groups in Australia</w:t>
      </w:r>
      <w:r w:rsidRPr="00D2549D">
        <w:rPr>
          <w:rFonts w:eastAsiaTheme="minorHAnsi"/>
          <w:vertAlign w:val="superscript"/>
          <w:lang w:val="en-US"/>
        </w:rPr>
        <w:t>4</w:t>
      </w:r>
      <w:r>
        <w:rPr>
          <w:rFonts w:eastAsiaTheme="minorHAnsi"/>
          <w:lang w:val="en-US"/>
        </w:rPr>
        <w:t xml:space="preserve"> are:</w:t>
      </w:r>
    </w:p>
    <w:p w14:paraId="1ACF04DD" w14:textId="77777777" w:rsidR="004F4F30" w:rsidRDefault="004F4F30" w:rsidP="0089533B">
      <w:pPr>
        <w:pStyle w:val="Bullet"/>
        <w:rPr>
          <w:rFonts w:eastAsiaTheme="minorHAnsi"/>
          <w:lang w:val="en-US"/>
        </w:rPr>
      </w:pPr>
      <w:r w:rsidRPr="00D2549D">
        <w:rPr>
          <w:rFonts w:eastAsiaTheme="minorHAnsi"/>
          <w:lang w:val="en-US"/>
        </w:rPr>
        <w:t>Men who have sex with men (MSM) in Canberra</w:t>
      </w:r>
      <w:r w:rsidRPr="00D2549D">
        <w:rPr>
          <w:rFonts w:eastAsiaTheme="minorHAnsi"/>
          <w:lang w:val="en-US"/>
        </w:rPr>
        <w:tab/>
        <w:t>8.3%</w:t>
      </w:r>
    </w:p>
    <w:p w14:paraId="12FA5460" w14:textId="77777777" w:rsidR="004F4F30" w:rsidRDefault="004F4F30" w:rsidP="0089533B">
      <w:pPr>
        <w:pStyle w:val="Bullet"/>
        <w:rPr>
          <w:rFonts w:eastAsiaTheme="minorHAnsi"/>
          <w:lang w:val="en-US"/>
        </w:rPr>
      </w:pPr>
      <w:r>
        <w:rPr>
          <w:rFonts w:eastAsiaTheme="minorHAnsi"/>
          <w:lang w:val="en-US"/>
        </w:rPr>
        <w:t>MSM in Sydney</w:t>
      </w:r>
      <w:r>
        <w:rPr>
          <w:rFonts w:eastAsiaTheme="minorHAnsi"/>
          <w:lang w:val="en-US"/>
        </w:rPr>
        <w:tab/>
      </w:r>
      <w:r>
        <w:rPr>
          <w:rFonts w:eastAsiaTheme="minorHAnsi"/>
          <w:lang w:val="en-US"/>
        </w:rPr>
        <w:tab/>
      </w:r>
      <w:r>
        <w:rPr>
          <w:rFonts w:eastAsiaTheme="minorHAnsi"/>
          <w:lang w:val="en-US"/>
        </w:rPr>
        <w:tab/>
      </w:r>
      <w:r>
        <w:rPr>
          <w:rFonts w:eastAsiaTheme="minorHAnsi"/>
          <w:lang w:val="en-US"/>
        </w:rPr>
        <w:tab/>
      </w:r>
      <w:r>
        <w:rPr>
          <w:rFonts w:eastAsiaTheme="minorHAnsi"/>
          <w:lang w:val="en-US"/>
        </w:rPr>
        <w:tab/>
      </w:r>
      <w:r>
        <w:rPr>
          <w:rFonts w:eastAsiaTheme="minorHAnsi"/>
          <w:lang w:val="en-US"/>
        </w:rPr>
        <w:tab/>
        <w:t>8.5%</w:t>
      </w:r>
    </w:p>
    <w:p w14:paraId="2883A24B" w14:textId="77777777" w:rsidR="004F4F30" w:rsidRDefault="004F4F30" w:rsidP="0089533B">
      <w:pPr>
        <w:pStyle w:val="Bullet"/>
        <w:rPr>
          <w:rFonts w:eastAsiaTheme="minorHAnsi"/>
          <w:lang w:val="en-US"/>
        </w:rPr>
      </w:pPr>
      <w:r>
        <w:rPr>
          <w:rFonts w:eastAsiaTheme="minorHAnsi"/>
          <w:lang w:val="en-US"/>
        </w:rPr>
        <w:t>MSM who inject drugs in Australia</w:t>
      </w:r>
      <w:r>
        <w:rPr>
          <w:rFonts w:eastAsiaTheme="minorHAnsi"/>
          <w:lang w:val="en-US"/>
        </w:rPr>
        <w:tab/>
      </w:r>
      <w:r>
        <w:rPr>
          <w:rFonts w:eastAsiaTheme="minorHAnsi"/>
          <w:lang w:val="en-US"/>
        </w:rPr>
        <w:tab/>
      </w:r>
      <w:r>
        <w:rPr>
          <w:rFonts w:eastAsiaTheme="minorHAnsi"/>
          <w:lang w:val="en-US"/>
        </w:rPr>
        <w:tab/>
        <w:t>30%</w:t>
      </w:r>
    </w:p>
    <w:p w14:paraId="5CF5F2A8" w14:textId="77777777" w:rsidR="004F4F30" w:rsidRDefault="004F4F30" w:rsidP="0089533B">
      <w:pPr>
        <w:pStyle w:val="Bullet"/>
        <w:rPr>
          <w:rFonts w:eastAsiaTheme="minorHAnsi"/>
          <w:lang w:val="en-US"/>
        </w:rPr>
      </w:pPr>
      <w:r>
        <w:rPr>
          <w:rFonts w:eastAsiaTheme="minorHAnsi"/>
          <w:lang w:val="en-US"/>
        </w:rPr>
        <w:t>Other people who inject drugs in Australia</w:t>
      </w:r>
      <w:r>
        <w:rPr>
          <w:rFonts w:eastAsiaTheme="minorHAnsi"/>
          <w:lang w:val="en-US"/>
        </w:rPr>
        <w:tab/>
      </w:r>
      <w:r>
        <w:rPr>
          <w:rFonts w:eastAsiaTheme="minorHAnsi"/>
          <w:lang w:val="en-US"/>
        </w:rPr>
        <w:tab/>
        <w:t>0.5%</w:t>
      </w:r>
    </w:p>
    <w:p w14:paraId="626B07F2" w14:textId="2F39F294" w:rsidR="004F4F30" w:rsidRDefault="004F4F30" w:rsidP="0089533B">
      <w:pPr>
        <w:pStyle w:val="Bullet"/>
        <w:rPr>
          <w:rFonts w:eastAsiaTheme="minorHAnsi"/>
          <w:lang w:val="en-US"/>
        </w:rPr>
      </w:pPr>
      <w:r>
        <w:rPr>
          <w:rFonts w:eastAsiaTheme="minorHAnsi"/>
          <w:lang w:val="en-US"/>
        </w:rPr>
        <w:t>Australian heterosexual blood donors</w:t>
      </w:r>
      <w:r>
        <w:rPr>
          <w:rFonts w:eastAsiaTheme="minorHAnsi"/>
          <w:lang w:val="en-US"/>
        </w:rPr>
        <w:tab/>
      </w:r>
      <w:r>
        <w:rPr>
          <w:rFonts w:eastAsiaTheme="minorHAnsi"/>
          <w:lang w:val="en-US"/>
        </w:rPr>
        <w:tab/>
        <w:t>&lt;0.003%</w:t>
      </w:r>
    </w:p>
    <w:p w14:paraId="3F1CC4DA" w14:textId="77777777" w:rsidR="004F4F30" w:rsidRDefault="004F4F30" w:rsidP="0089533B">
      <w:pPr>
        <w:pStyle w:val="Bullet"/>
        <w:rPr>
          <w:rFonts w:eastAsiaTheme="minorHAnsi"/>
          <w:lang w:val="en-US"/>
        </w:rPr>
      </w:pPr>
      <w:r>
        <w:rPr>
          <w:rFonts w:eastAsiaTheme="minorHAnsi"/>
          <w:lang w:val="en-US"/>
        </w:rPr>
        <w:t>Australian female commercial sex workers</w:t>
      </w:r>
      <w:r>
        <w:rPr>
          <w:rFonts w:eastAsiaTheme="minorHAnsi"/>
          <w:lang w:val="en-US"/>
        </w:rPr>
        <w:tab/>
      </w:r>
      <w:r>
        <w:rPr>
          <w:rFonts w:eastAsiaTheme="minorHAnsi"/>
          <w:lang w:val="en-US"/>
        </w:rPr>
        <w:tab/>
        <w:t>&lt;0.1%</w:t>
      </w:r>
    </w:p>
    <w:p w14:paraId="4DB8B54A" w14:textId="77777777" w:rsidR="004F4F30" w:rsidRDefault="004F4F30" w:rsidP="0089533B">
      <w:pPr>
        <w:pStyle w:val="Bullet"/>
        <w:rPr>
          <w:rFonts w:eastAsiaTheme="minorHAnsi"/>
          <w:lang w:val="en-US"/>
        </w:rPr>
      </w:pPr>
      <w:r>
        <w:rPr>
          <w:rFonts w:eastAsiaTheme="minorHAnsi"/>
          <w:lang w:val="en-US"/>
        </w:rPr>
        <w:t>Overall Australian population</w:t>
      </w:r>
      <w:r>
        <w:rPr>
          <w:rFonts w:eastAsiaTheme="minorHAnsi"/>
          <w:lang w:val="en-US"/>
        </w:rPr>
        <w:tab/>
      </w:r>
      <w:r>
        <w:rPr>
          <w:rFonts w:eastAsiaTheme="minorHAnsi"/>
          <w:lang w:val="en-US"/>
        </w:rPr>
        <w:tab/>
      </w:r>
      <w:r>
        <w:rPr>
          <w:rFonts w:eastAsiaTheme="minorHAnsi"/>
          <w:lang w:val="en-US"/>
        </w:rPr>
        <w:tab/>
      </w:r>
      <w:r>
        <w:rPr>
          <w:rFonts w:eastAsiaTheme="minorHAnsi"/>
          <w:lang w:val="en-US"/>
        </w:rPr>
        <w:tab/>
        <w:t>0.14%</w:t>
      </w:r>
    </w:p>
    <w:p w14:paraId="1BE09FE2" w14:textId="72EF7045" w:rsidR="00AE2FFB" w:rsidRDefault="004F4F30" w:rsidP="003D1A08">
      <w:pPr>
        <w:pStyle w:val="BodyCopy"/>
        <w:rPr>
          <w:rFonts w:eastAsiaTheme="minorHAnsi"/>
          <w:lang w:val="en-US"/>
        </w:rPr>
      </w:pPr>
      <w:r>
        <w:rPr>
          <w:rFonts w:eastAsiaTheme="minorHAnsi"/>
          <w:lang w:val="en-US"/>
        </w:rPr>
        <w:t xml:space="preserve">Countries with population prevalence over 1% are considered to have a high prevalence of HIV, and include Sub-Saharan Africa, Southeast </w:t>
      </w:r>
      <w:r w:rsidR="0078010C">
        <w:rPr>
          <w:rFonts w:eastAsiaTheme="minorHAnsi"/>
          <w:lang w:val="en-US"/>
        </w:rPr>
        <w:t>Asia,</w:t>
      </w:r>
      <w:r>
        <w:rPr>
          <w:rFonts w:eastAsiaTheme="minorHAnsi"/>
          <w:lang w:val="en-US"/>
        </w:rPr>
        <w:t xml:space="preserve"> and Papua New Guinea. Refer to </w:t>
      </w:r>
      <w:hyperlink r:id="rId15" w:history="1">
        <w:r w:rsidRPr="0008277A">
          <w:rPr>
            <w:rStyle w:val="Hyperlink"/>
            <w:rFonts w:asciiTheme="minorHAnsi" w:eastAsiaTheme="minorHAnsi" w:hAnsiTheme="minorHAnsi" w:cs="Times"/>
            <w:lang w:val="en-US"/>
          </w:rPr>
          <w:t>http://aidsinfo.unaids.org/</w:t>
        </w:r>
      </w:hyperlink>
      <w:r>
        <w:rPr>
          <w:rFonts w:eastAsiaTheme="minorHAnsi"/>
          <w:lang w:val="en-US"/>
        </w:rPr>
        <w:t xml:space="preserve"> for country specific data.</w:t>
      </w:r>
    </w:p>
    <w:p w14:paraId="18F19F9C" w14:textId="221A43B1" w:rsidR="008A1DB4" w:rsidRDefault="004F4F30" w:rsidP="0078010C">
      <w:pPr>
        <w:pStyle w:val="Heading6"/>
      </w:pPr>
      <w:r>
        <w:lastRenderedPageBreak/>
        <w:t>Business Hours</w:t>
      </w:r>
      <w:r w:rsidRPr="002751DA">
        <w:t xml:space="preserve">  </w:t>
      </w:r>
    </w:p>
    <w:p w14:paraId="341D4CB0" w14:textId="769EE295" w:rsidR="004F4F30" w:rsidRPr="0089533B" w:rsidRDefault="004F4F30" w:rsidP="0089533B">
      <w:pPr>
        <w:pStyle w:val="BodyCopy"/>
      </w:pPr>
      <w:r w:rsidRPr="0089533B">
        <w:t xml:space="preserve">The BBFE incident manager must seek advice from the on-call </w:t>
      </w:r>
      <w:r w:rsidR="00EB3F41" w:rsidRPr="0089533B">
        <w:t xml:space="preserve">Infection Control Physician (currently the on-call Clinical Microbiologist) </w:t>
      </w:r>
      <w:r w:rsidRPr="0089533B">
        <w:t xml:space="preserve">to determine the need for HIV PEP. Where possible, information concerning the source’s HIV infection status, viral load and treatment compliance should be provided. If the Infectious Diseases Physician recommends PEP, they will chart it within the HCWs DHR profile, and the BBFE incident manager will provide counselling on PEP prior to initiation. PEP will be dispensed and accessed via either the </w:t>
      </w:r>
      <w:r w:rsidR="008A1DB4" w:rsidRPr="0089533B">
        <w:t>CH pharmacy</w:t>
      </w:r>
      <w:r w:rsidRPr="0089533B">
        <w:t xml:space="preserve"> or the NCH pharmacy. </w:t>
      </w:r>
    </w:p>
    <w:p w14:paraId="6313D134" w14:textId="77777777" w:rsidR="004F4F30" w:rsidRPr="002751DA" w:rsidRDefault="004F4F30" w:rsidP="0078010C">
      <w:pPr>
        <w:pStyle w:val="Heading6"/>
      </w:pPr>
      <w:r w:rsidRPr="002751DA">
        <w:t>Weekd</w:t>
      </w:r>
      <w:r>
        <w:t>ays After Hours</w:t>
      </w:r>
      <w:r w:rsidRPr="002751DA">
        <w:t xml:space="preserve"> or on a Public Holiday or Weekend</w:t>
      </w:r>
    </w:p>
    <w:p w14:paraId="2E9595A8" w14:textId="405DF915" w:rsidR="004F4F30" w:rsidRPr="0089533B" w:rsidRDefault="004F4F30" w:rsidP="0089533B">
      <w:pPr>
        <w:pStyle w:val="BodyCopy"/>
      </w:pPr>
      <w:r w:rsidRPr="0089533B">
        <w:t>The BBFE incident manager must seek immediate advice from the on-call Infectious Diseases Physician</w:t>
      </w:r>
      <w:r w:rsidR="003D1A08" w:rsidRPr="0089533B">
        <w:t xml:space="preserve"> (currently the on-call Clinical Microbiologist)</w:t>
      </w:r>
      <w:r w:rsidRPr="0089533B">
        <w:t xml:space="preserve"> to determine the need for HIV PEP. Where possible, information concerning the source’s HIV infection status, viral load and treatment compliance should be provided. If the Infectious Diseases Physician recommends </w:t>
      </w:r>
      <w:proofErr w:type="gramStart"/>
      <w:r w:rsidRPr="0089533B">
        <w:t>PEP</w:t>
      </w:r>
      <w:proofErr w:type="gramEnd"/>
      <w:r w:rsidRPr="0089533B">
        <w:t xml:space="preserve"> they will chart it within the HCWs DHR profile. It can be dispensed via the CH</w:t>
      </w:r>
      <w:r w:rsidR="008A1DB4" w:rsidRPr="0089533B">
        <w:t xml:space="preserve"> </w:t>
      </w:r>
      <w:r w:rsidRPr="0089533B">
        <w:t>pharmacy or NCH pharmacy</w:t>
      </w:r>
      <w:r w:rsidR="5F971CA0" w:rsidRPr="0089533B">
        <w:t xml:space="preserve">, or via </w:t>
      </w:r>
      <w:r w:rsidR="205CF3BC" w:rsidRPr="0089533B">
        <w:t xml:space="preserve">CH or NCH </w:t>
      </w:r>
      <w:r w:rsidR="5F971CA0" w:rsidRPr="0089533B">
        <w:t>ED if prescribed out of hours</w:t>
      </w:r>
      <w:r w:rsidRPr="0089533B">
        <w:t>. PEP is not stored at the UCH pharmacy, and as such UCH staff will need to access PEP via either the</w:t>
      </w:r>
      <w:r w:rsidR="008A1DB4" w:rsidRPr="0089533B">
        <w:t xml:space="preserve"> </w:t>
      </w:r>
      <w:r w:rsidRPr="0089533B">
        <w:t xml:space="preserve">CH or NCH pharmacy or ED at either CH or NCH if required.  </w:t>
      </w:r>
    </w:p>
    <w:p w14:paraId="1675AB9E" w14:textId="52109A8B" w:rsidR="004F4F30" w:rsidRDefault="004F4F30" w:rsidP="003D1A08">
      <w:pPr>
        <w:pStyle w:val="BodyCopy"/>
      </w:pPr>
      <w:r w:rsidRPr="0089533B">
        <w:t xml:space="preserve">Three drug PEP treatment will be reviewed in accordance </w:t>
      </w:r>
      <w:r w:rsidR="00EB3F41" w:rsidRPr="0089533B">
        <w:t xml:space="preserve">with </w:t>
      </w:r>
      <w:r w:rsidR="00EB3F41" w:rsidRPr="0089533B">
        <w:rPr>
          <w:rFonts w:eastAsiaTheme="minorHAnsi"/>
        </w:rPr>
        <w:t>the</w:t>
      </w:r>
      <w:r w:rsidR="00EB3F41" w:rsidRPr="004E58C0">
        <w:rPr>
          <w:rFonts w:eastAsiaTheme="minorHAnsi"/>
          <w:lang w:val="en-US"/>
        </w:rPr>
        <w:t xml:space="preserve"> </w:t>
      </w:r>
      <w:hyperlink r:id="rId16" w:history="1">
        <w:r w:rsidR="00EB3F41" w:rsidRPr="004E58C0">
          <w:rPr>
            <w:rStyle w:val="Hyperlink"/>
          </w:rPr>
          <w:t>National Guidelines for Post-Exposure Prophylaxis after Non-Occupational and Occupational Exposure to HIV</w:t>
        </w:r>
      </w:hyperlink>
      <w:r w:rsidR="003D1A08">
        <w:rPr>
          <w:rFonts w:cs="Myriad Pro Light"/>
        </w:rPr>
        <w:t xml:space="preserve"> </w:t>
      </w:r>
      <w:r w:rsidRPr="49359429">
        <w:rPr>
          <w:rFonts w:cs="Myriad Pro Light"/>
        </w:rPr>
        <w:t>by the OMU or SH unit on the next business day. It may be possible to simplify three drug treatment to two drug treatment,</w:t>
      </w:r>
      <w:r w:rsidRPr="00EB3F41">
        <w:rPr>
          <w:rFonts w:cs="Myriad Pro Light"/>
          <w:b/>
        </w:rPr>
        <w:t xml:space="preserve"> particularly if further information such as source viral load is available at review.</w:t>
      </w:r>
    </w:p>
    <w:p w14:paraId="4A62E186" w14:textId="0293DDB2" w:rsidR="008A1DB4" w:rsidRPr="008A1DB4" w:rsidRDefault="004F4F30" w:rsidP="008A1DB4">
      <w:pPr>
        <w:pStyle w:val="Heading5"/>
      </w:pPr>
      <w:bookmarkStart w:id="29" w:name="_Toc172812235"/>
      <w:bookmarkEnd w:id="28"/>
      <w:r>
        <w:t xml:space="preserve">7.3 </w:t>
      </w:r>
      <w:r>
        <w:tab/>
        <w:t>Source Positive for HBV</w:t>
      </w:r>
      <w:r w:rsidRPr="00D90115">
        <w:t xml:space="preserve">, </w:t>
      </w:r>
      <w:r>
        <w:t>U</w:t>
      </w:r>
      <w:r w:rsidRPr="00D90115">
        <w:t xml:space="preserve">nknown </w:t>
      </w:r>
      <w:r>
        <w:t xml:space="preserve">HBV </w:t>
      </w:r>
      <w:r w:rsidRPr="00D90115">
        <w:t>status</w:t>
      </w:r>
      <w:r>
        <w:t>,</w:t>
      </w:r>
      <w:r w:rsidRPr="00D90115">
        <w:t xml:space="preserve"> or </w:t>
      </w:r>
      <w:r>
        <w:t>N</w:t>
      </w:r>
      <w:r w:rsidRPr="00D90115">
        <w:t>egative</w:t>
      </w:r>
      <w:r>
        <w:t xml:space="preserve"> for HBV</w:t>
      </w:r>
      <w:r w:rsidRPr="00D90115">
        <w:t xml:space="preserve"> with </w:t>
      </w:r>
      <w:r>
        <w:t>R</w:t>
      </w:r>
      <w:r w:rsidRPr="00D90115">
        <w:t xml:space="preserve">ecent </w:t>
      </w:r>
      <w:r w:rsidR="008A1DB4">
        <w:t>H</w:t>
      </w:r>
      <w:r w:rsidR="008A1DB4" w:rsidRPr="00D90115">
        <w:t>igh-Risk</w:t>
      </w:r>
      <w:r w:rsidRPr="00D90115">
        <w:t xml:space="preserve"> </w:t>
      </w:r>
      <w:r>
        <w:t>E</w:t>
      </w:r>
      <w:r w:rsidRPr="00D90115">
        <w:t>xposures</w:t>
      </w:r>
      <w:r>
        <w:t xml:space="preserve"> for HBV</w:t>
      </w:r>
      <w:r w:rsidRPr="00D90115">
        <w:t xml:space="preserve"> </w:t>
      </w:r>
      <w:r>
        <w:t>I</w:t>
      </w:r>
      <w:r w:rsidRPr="00D90115">
        <w:t>nfection</w:t>
      </w:r>
      <w:bookmarkEnd w:id="29"/>
    </w:p>
    <w:p w14:paraId="0ACD0824" w14:textId="77777777" w:rsidR="004F4F30" w:rsidRPr="00536C4C" w:rsidRDefault="004F4F30" w:rsidP="0078010C">
      <w:pPr>
        <w:pStyle w:val="Heading6"/>
      </w:pPr>
      <w:r w:rsidRPr="007D518C">
        <w:t>7.3.1</w:t>
      </w:r>
      <w:r w:rsidRPr="00536C4C">
        <w:tab/>
        <w:t>H</w:t>
      </w:r>
      <w:r w:rsidRPr="00473FF5">
        <w:t xml:space="preserve">epatitis B </w:t>
      </w:r>
      <w:r>
        <w:t xml:space="preserve">Transmission Risk </w:t>
      </w:r>
    </w:p>
    <w:p w14:paraId="76BDF7DC" w14:textId="77777777" w:rsidR="004F4F30" w:rsidRDefault="004F4F30" w:rsidP="002D49EC">
      <w:pPr>
        <w:tabs>
          <w:tab w:val="left" w:pos="567"/>
        </w:tabs>
        <w:autoSpaceDE w:val="0"/>
        <w:autoSpaceDN w:val="0"/>
        <w:adjustRightInd w:val="0"/>
        <w:spacing w:before="0" w:after="0" w:line="240" w:lineRule="auto"/>
        <w:ind w:left="567" w:hanging="567"/>
        <w:rPr>
          <w:rFonts w:asciiTheme="minorHAnsi" w:hAnsiTheme="minorHAnsi"/>
          <w:szCs w:val="22"/>
          <w:shd w:val="clear" w:color="auto" w:fill="FFFFFF" w:themeFill="background1"/>
        </w:rPr>
      </w:pPr>
      <w:r w:rsidRPr="005B7C11">
        <w:rPr>
          <w:rFonts w:asciiTheme="minorHAnsi" w:hAnsiTheme="minorHAnsi"/>
          <w:szCs w:val="22"/>
          <w:shd w:val="clear" w:color="auto" w:fill="FFFFFF" w:themeFill="background1"/>
        </w:rPr>
        <w:t>For non-immune people, the risk after needlestick or shar</w:t>
      </w:r>
      <w:r>
        <w:rPr>
          <w:rFonts w:asciiTheme="minorHAnsi" w:hAnsiTheme="minorHAnsi"/>
          <w:szCs w:val="22"/>
          <w:shd w:val="clear" w:color="auto" w:fill="FFFFFF" w:themeFill="background1"/>
        </w:rPr>
        <w:t xml:space="preserve">ps to HBV-infected blood range </w:t>
      </w:r>
    </w:p>
    <w:p w14:paraId="70DAA842" w14:textId="77777777" w:rsidR="004F4F30" w:rsidRDefault="004F4F30" w:rsidP="002D49EC">
      <w:pPr>
        <w:tabs>
          <w:tab w:val="left" w:pos="567"/>
        </w:tabs>
        <w:autoSpaceDE w:val="0"/>
        <w:autoSpaceDN w:val="0"/>
        <w:adjustRightInd w:val="0"/>
        <w:spacing w:before="0" w:after="0" w:line="240" w:lineRule="auto"/>
        <w:ind w:left="567" w:hanging="567"/>
        <w:rPr>
          <w:rFonts w:asciiTheme="minorHAnsi" w:hAnsiTheme="minorHAnsi"/>
          <w:szCs w:val="22"/>
          <w:shd w:val="clear" w:color="auto" w:fill="FFFFFF" w:themeFill="background1"/>
        </w:rPr>
      </w:pPr>
      <w:r w:rsidRPr="005B7C11">
        <w:rPr>
          <w:rFonts w:asciiTheme="minorHAnsi" w:hAnsiTheme="minorHAnsi"/>
          <w:szCs w:val="22"/>
          <w:shd w:val="clear" w:color="auto" w:fill="FFFFFF" w:themeFill="background1"/>
        </w:rPr>
        <w:t>from 1-40% and depends on the HBV viral load and e-</w:t>
      </w:r>
      <w:r>
        <w:rPr>
          <w:rFonts w:asciiTheme="minorHAnsi" w:hAnsiTheme="minorHAnsi"/>
          <w:szCs w:val="22"/>
          <w:shd w:val="clear" w:color="auto" w:fill="FFFFFF" w:themeFill="background1"/>
        </w:rPr>
        <w:t>a</w:t>
      </w:r>
      <w:r w:rsidRPr="005B7C11">
        <w:rPr>
          <w:rFonts w:asciiTheme="minorHAnsi" w:hAnsiTheme="minorHAnsi"/>
          <w:szCs w:val="22"/>
          <w:shd w:val="clear" w:color="auto" w:fill="FFFFFF" w:themeFill="background1"/>
        </w:rPr>
        <w:t xml:space="preserve">ntigen status of the source (1-6% for </w:t>
      </w:r>
    </w:p>
    <w:p w14:paraId="0F75D734" w14:textId="77777777" w:rsidR="004F4F30" w:rsidRPr="005B7C11" w:rsidRDefault="004F4F30" w:rsidP="002D49EC">
      <w:pPr>
        <w:tabs>
          <w:tab w:val="left" w:pos="567"/>
        </w:tabs>
        <w:autoSpaceDE w:val="0"/>
        <w:autoSpaceDN w:val="0"/>
        <w:adjustRightInd w:val="0"/>
        <w:spacing w:before="0" w:after="0" w:line="240" w:lineRule="auto"/>
        <w:ind w:left="567" w:hanging="567"/>
        <w:rPr>
          <w:rFonts w:asciiTheme="minorHAnsi" w:hAnsiTheme="minorHAnsi"/>
          <w:szCs w:val="22"/>
        </w:rPr>
      </w:pPr>
      <w:r w:rsidRPr="005B7C11">
        <w:rPr>
          <w:rFonts w:asciiTheme="minorHAnsi" w:hAnsiTheme="minorHAnsi"/>
          <w:szCs w:val="22"/>
          <w:shd w:val="clear" w:color="auto" w:fill="FFFFFF" w:themeFill="background1"/>
        </w:rPr>
        <w:t>e-</w:t>
      </w:r>
      <w:r>
        <w:rPr>
          <w:rFonts w:asciiTheme="minorHAnsi" w:hAnsiTheme="minorHAnsi"/>
          <w:szCs w:val="22"/>
          <w:shd w:val="clear" w:color="auto" w:fill="FFFFFF" w:themeFill="background1"/>
        </w:rPr>
        <w:t>a</w:t>
      </w:r>
      <w:r w:rsidRPr="005B7C11">
        <w:rPr>
          <w:rFonts w:asciiTheme="minorHAnsi" w:hAnsiTheme="minorHAnsi"/>
          <w:szCs w:val="22"/>
          <w:shd w:val="clear" w:color="auto" w:fill="FFFFFF" w:themeFill="background1"/>
        </w:rPr>
        <w:t>ntigen negative blood and 22-40% for e-</w:t>
      </w:r>
      <w:r>
        <w:rPr>
          <w:rFonts w:asciiTheme="minorHAnsi" w:hAnsiTheme="minorHAnsi"/>
          <w:szCs w:val="22"/>
          <w:shd w:val="clear" w:color="auto" w:fill="FFFFFF" w:themeFill="background1"/>
        </w:rPr>
        <w:t>a</w:t>
      </w:r>
      <w:r w:rsidRPr="005B7C11">
        <w:rPr>
          <w:rFonts w:asciiTheme="minorHAnsi" w:hAnsiTheme="minorHAnsi"/>
          <w:szCs w:val="22"/>
          <w:shd w:val="clear" w:color="auto" w:fill="FFFFFF" w:themeFill="background1"/>
        </w:rPr>
        <w:t>ntigen positive blood)</w:t>
      </w:r>
      <w:r w:rsidRPr="00536C4C">
        <w:rPr>
          <w:rFonts w:asciiTheme="minorHAnsi" w:hAnsiTheme="minorHAnsi"/>
          <w:szCs w:val="22"/>
          <w:shd w:val="clear" w:color="auto" w:fill="FFFFFF" w:themeFill="background1"/>
          <w:vertAlign w:val="superscript"/>
        </w:rPr>
        <w:t>5,6</w:t>
      </w:r>
      <w:r w:rsidRPr="005B7C11">
        <w:rPr>
          <w:rFonts w:asciiTheme="minorHAnsi" w:hAnsiTheme="minorHAnsi"/>
          <w:szCs w:val="22"/>
        </w:rPr>
        <w:t>.</w:t>
      </w:r>
    </w:p>
    <w:p w14:paraId="68B7799D" w14:textId="7B0388A2" w:rsidR="004F4F30" w:rsidRDefault="004F4F30" w:rsidP="002D49EC">
      <w:pPr>
        <w:spacing w:line="240" w:lineRule="auto"/>
        <w:rPr>
          <w:rFonts w:asciiTheme="minorHAnsi" w:hAnsiTheme="minorHAnsi"/>
          <w:color w:val="313131"/>
        </w:rPr>
      </w:pPr>
      <w:r>
        <w:rPr>
          <w:rFonts w:asciiTheme="minorHAnsi" w:hAnsiTheme="minorHAnsi"/>
          <w:color w:val="313131"/>
        </w:rPr>
        <w:t xml:space="preserve">Risk factors for HBV infection include injecting drug use, MSM and those originating from or having unprotected sexual intercourse with a sexual partner from a high prevalence area.  Areas of high HBV endemicity include most of East and Southeast Asia, Pacific Islands, parts of central Asia and Middle East, the Amazon </w:t>
      </w:r>
      <w:r w:rsidR="008A1DB4">
        <w:rPr>
          <w:rFonts w:asciiTheme="minorHAnsi" w:hAnsiTheme="minorHAnsi"/>
          <w:color w:val="313131"/>
        </w:rPr>
        <w:t>Basin,</w:t>
      </w:r>
      <w:r>
        <w:rPr>
          <w:rFonts w:asciiTheme="minorHAnsi" w:hAnsiTheme="minorHAnsi"/>
          <w:color w:val="313131"/>
        </w:rPr>
        <w:t xml:space="preserve"> and Sub-Saharan Africa.</w:t>
      </w:r>
    </w:p>
    <w:p w14:paraId="61C16322" w14:textId="77777777" w:rsidR="004F4F30" w:rsidRPr="00536C4C" w:rsidRDefault="004F4F30" w:rsidP="0078010C">
      <w:pPr>
        <w:pStyle w:val="Heading6"/>
      </w:pPr>
      <w:r w:rsidRPr="00536C4C">
        <w:t>7.3.2</w:t>
      </w:r>
      <w:r w:rsidRPr="00536C4C">
        <w:tab/>
        <w:t>Hepatitis B Post Exposure Prophylaxis</w:t>
      </w:r>
    </w:p>
    <w:p w14:paraId="03D69066" w14:textId="357F15A2" w:rsidR="004F4F30" w:rsidRPr="008A1DB4" w:rsidRDefault="004F4F30" w:rsidP="0089533B">
      <w:pPr>
        <w:pStyle w:val="BodyCopy"/>
        <w:rPr>
          <w:lang w:val="en-US"/>
        </w:rPr>
      </w:pPr>
      <w:r w:rsidRPr="0089533B">
        <w:t>Vaccinated HCWs do not need PEP if they have had a documented protective response (</w:t>
      </w:r>
      <w:r w:rsidRPr="0089533B">
        <w:rPr>
          <w:rStyle w:val="HTMLDefinition"/>
          <w:rFonts w:asciiTheme="minorHAnsi" w:hAnsiTheme="minorHAnsi"/>
          <w:i w:val="0"/>
          <w:iCs/>
          <w:color w:val="313131"/>
        </w:rPr>
        <w:t>anti-</w:t>
      </w:r>
      <w:r w:rsidRPr="0089533B">
        <w:rPr>
          <w:rStyle w:val="HTMLDefinition"/>
          <w:rFonts w:asciiTheme="minorHAnsi" w:hAnsiTheme="minorHAnsi"/>
          <w:color w:val="313131"/>
        </w:rPr>
        <w:t>HBs</w:t>
      </w:r>
      <w:r w:rsidRPr="00536C4C">
        <w:t xml:space="preserve"> level of ≥10 </w:t>
      </w:r>
      <w:proofErr w:type="spellStart"/>
      <w:r w:rsidRPr="00536C4C">
        <w:t>mIU</w:t>
      </w:r>
      <w:proofErr w:type="spellEnd"/>
      <w:r w:rsidRPr="00536C4C">
        <w:t xml:space="preserve"> per mL) at any time after </w:t>
      </w:r>
      <w:r>
        <w:t>a full immunisation course</w:t>
      </w:r>
      <w:r w:rsidRPr="00536C4C">
        <w:t>.</w:t>
      </w:r>
    </w:p>
    <w:p w14:paraId="79ED72E2" w14:textId="49106BA5" w:rsidR="004F4F30" w:rsidRDefault="004F4F30" w:rsidP="0089533B">
      <w:pPr>
        <w:pStyle w:val="BodyCopy"/>
      </w:pPr>
      <w:r w:rsidRPr="007D518C">
        <w:rPr>
          <w:rFonts w:cs="Myriad Pro Light"/>
        </w:rPr>
        <w:t xml:space="preserve">If </w:t>
      </w:r>
      <w:r w:rsidRPr="008A1DB4">
        <w:rPr>
          <w:rFonts w:cs="Myriad Pro Light"/>
        </w:rPr>
        <w:t>the HCW is non-immune and</w:t>
      </w:r>
      <w:r w:rsidRPr="008A1DB4">
        <w:rPr>
          <w:rFonts w:eastAsia="Times"/>
        </w:rPr>
        <w:t xml:space="preserve"> the source is known to be HBsAg positive, or source status is unknown, HBV PEP (vaccination + </w:t>
      </w:r>
      <w:r w:rsidR="0025240B" w:rsidRPr="0089533B">
        <w:rPr>
          <w:rFonts w:asciiTheme="minorHAnsi" w:hAnsiTheme="minorHAnsi"/>
        </w:rPr>
        <w:t xml:space="preserve">Hepatitis B specific immunoglobulin </w:t>
      </w:r>
      <w:r w:rsidR="0025240B">
        <w:rPr>
          <w:rFonts w:eastAsia="Times"/>
        </w:rPr>
        <w:t>(</w:t>
      </w:r>
      <w:r w:rsidRPr="008A1DB4">
        <w:rPr>
          <w:rFonts w:eastAsia="Times"/>
        </w:rPr>
        <w:t>HBIG</w:t>
      </w:r>
      <w:r w:rsidR="0025240B">
        <w:rPr>
          <w:rFonts w:eastAsia="Times"/>
        </w:rPr>
        <w:t>)</w:t>
      </w:r>
      <w:r w:rsidRPr="008A1DB4">
        <w:rPr>
          <w:rFonts w:eastAsia="Times"/>
        </w:rPr>
        <w:t xml:space="preserve">*) is most effective when commenced within 24 hours. HBV PEP may also be considered for higher risk </w:t>
      </w:r>
      <w:r w:rsidRPr="008A1DB4">
        <w:rPr>
          <w:rFonts w:eastAsia="Times"/>
        </w:rPr>
        <w:lastRenderedPageBreak/>
        <w:t xml:space="preserve">exposures where the source is negative but discloses risk exposures in the last 3 months. </w:t>
      </w:r>
      <w:r w:rsidRPr="008A1DB4">
        <w:t>Follow-up source testing should be offered to try to clarify the source status.</w:t>
      </w:r>
      <w:r w:rsidRPr="002751DA">
        <w:t xml:space="preserve"> </w:t>
      </w:r>
      <w:r>
        <w:t xml:space="preserve"> </w:t>
      </w:r>
    </w:p>
    <w:p w14:paraId="255D37D2" w14:textId="42BF85C6" w:rsidR="004F4F30" w:rsidRPr="00827C54" w:rsidRDefault="004F4F30" w:rsidP="0089533B">
      <w:pPr>
        <w:pStyle w:val="BodyCopy"/>
      </w:pPr>
      <w:r>
        <w:t xml:space="preserve">If the source is negative and considered low risk and the </w:t>
      </w:r>
      <w:r w:rsidRPr="002751DA">
        <w:t>exposed HCW is unvaccinated or incompl</w:t>
      </w:r>
      <w:r>
        <w:t xml:space="preserve">etely vaccinated, the BBFE incident manager </w:t>
      </w:r>
      <w:r w:rsidRPr="002751DA">
        <w:t xml:space="preserve">will </w:t>
      </w:r>
      <w:r>
        <w:t xml:space="preserve">recommend </w:t>
      </w:r>
      <w:r w:rsidRPr="002751DA">
        <w:t>HBV vaccination</w:t>
      </w:r>
      <w:r>
        <w:t>. This will be able to be provided by the OMU RN/SH RN during normal business hours.</w:t>
      </w:r>
      <w:r w:rsidRPr="002751DA">
        <w:t xml:space="preserve"> </w:t>
      </w:r>
    </w:p>
    <w:p w14:paraId="0433468A" w14:textId="666B7058" w:rsidR="004F4F30" w:rsidRPr="00296017" w:rsidRDefault="004F4F30" w:rsidP="004F4F30">
      <w:pPr>
        <w:pStyle w:val="Pa12"/>
        <w:spacing w:line="240" w:lineRule="auto"/>
        <w:rPr>
          <w:rFonts w:asciiTheme="minorHAnsi" w:hAnsiTheme="minorHAnsi" w:cs="Myriad Pro Light"/>
          <w:bCs/>
          <w:i/>
          <w:color w:val="000000" w:themeColor="text1"/>
        </w:rPr>
      </w:pPr>
      <w:r w:rsidRPr="002751DA">
        <w:rPr>
          <w:rFonts w:asciiTheme="minorHAnsi" w:hAnsiTheme="minorHAnsi" w:cs="Myriad Pro Light"/>
          <w:b/>
          <w:bCs/>
          <w:color w:val="000000" w:themeColor="text1"/>
        </w:rPr>
        <w:t xml:space="preserve">Table </w:t>
      </w:r>
      <w:r w:rsidR="002139E7">
        <w:rPr>
          <w:rFonts w:asciiTheme="minorHAnsi" w:hAnsiTheme="minorHAnsi" w:cs="Myriad Pro Light"/>
          <w:b/>
          <w:bCs/>
          <w:color w:val="000000" w:themeColor="text1"/>
        </w:rPr>
        <w:t>5</w:t>
      </w:r>
      <w:r>
        <w:rPr>
          <w:rFonts w:asciiTheme="minorHAnsi" w:hAnsiTheme="minorHAnsi" w:cs="Myriad Pro Light"/>
          <w:b/>
          <w:bCs/>
          <w:color w:val="000000" w:themeColor="text1"/>
        </w:rPr>
        <w:t xml:space="preserve"> - </w:t>
      </w:r>
      <w:r w:rsidRPr="0089533B">
        <w:rPr>
          <w:rFonts w:asciiTheme="minorHAnsi" w:hAnsiTheme="minorHAnsi" w:cs="Myriad Pro Light"/>
          <w:bCs/>
          <w:iCs/>
          <w:color w:val="000000" w:themeColor="text1"/>
        </w:rPr>
        <w:t>Hepatitis B Post Exposure Prophylaxis After BBFE</w:t>
      </w:r>
    </w:p>
    <w:p w14:paraId="3E25C80B" w14:textId="77777777" w:rsidR="004F4F30" w:rsidRPr="00730307" w:rsidRDefault="004F4F30" w:rsidP="004F4F30">
      <w:pPr>
        <w:pStyle w:val="Pa12"/>
        <w:spacing w:line="240" w:lineRule="auto"/>
        <w:rPr>
          <w:rFonts w:asciiTheme="minorHAnsi" w:hAnsiTheme="minorHAnsi" w:cs="Myriad Pro Light"/>
          <w:bCs/>
          <w:i/>
          <w:color w:val="000000" w:themeColor="text1"/>
        </w:rPr>
      </w:pPr>
    </w:p>
    <w:tbl>
      <w:tblPr>
        <w:tblW w:w="949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A0" w:firstRow="1" w:lastRow="0" w:firstColumn="1" w:lastColumn="0" w:noHBand="0" w:noVBand="0"/>
      </w:tblPr>
      <w:tblGrid>
        <w:gridCol w:w="3714"/>
        <w:gridCol w:w="2410"/>
        <w:gridCol w:w="3373"/>
      </w:tblGrid>
      <w:tr w:rsidR="004F4F30" w:rsidRPr="002751DA" w14:paraId="57C598DD" w14:textId="77777777" w:rsidTr="0089533B">
        <w:tc>
          <w:tcPr>
            <w:tcW w:w="3714" w:type="dxa"/>
            <w:shd w:val="clear" w:color="auto" w:fill="D9D9D9" w:themeFill="background1" w:themeFillShade="D9"/>
          </w:tcPr>
          <w:p w14:paraId="4A781268" w14:textId="77777777" w:rsidR="004F4F30" w:rsidRPr="002751DA" w:rsidRDefault="004F4F30" w:rsidP="003D32F6">
            <w:pPr>
              <w:rPr>
                <w:rFonts w:asciiTheme="minorHAnsi" w:hAnsiTheme="minorHAnsi"/>
                <w:b/>
                <w:bCs/>
              </w:rPr>
            </w:pPr>
            <w:r w:rsidRPr="002751DA">
              <w:rPr>
                <w:rFonts w:asciiTheme="minorHAnsi" w:hAnsiTheme="minorHAnsi"/>
                <w:b/>
                <w:bCs/>
              </w:rPr>
              <w:t>Exposed HCW Status</w:t>
            </w:r>
          </w:p>
        </w:tc>
        <w:tc>
          <w:tcPr>
            <w:tcW w:w="2410" w:type="dxa"/>
            <w:shd w:val="clear" w:color="auto" w:fill="D9D9D9" w:themeFill="background1" w:themeFillShade="D9"/>
          </w:tcPr>
          <w:p w14:paraId="7B66F366" w14:textId="77777777" w:rsidR="004F4F30" w:rsidRPr="002751DA" w:rsidRDefault="004F4F30" w:rsidP="003D32F6">
            <w:pPr>
              <w:rPr>
                <w:rFonts w:asciiTheme="minorHAnsi" w:hAnsiTheme="minorHAnsi"/>
                <w:b/>
                <w:bCs/>
              </w:rPr>
            </w:pPr>
            <w:r w:rsidRPr="002751DA">
              <w:rPr>
                <w:rFonts w:asciiTheme="minorHAnsi" w:hAnsiTheme="minorHAnsi"/>
                <w:b/>
                <w:bCs/>
              </w:rPr>
              <w:t>Source Status</w:t>
            </w:r>
          </w:p>
        </w:tc>
        <w:tc>
          <w:tcPr>
            <w:tcW w:w="3373" w:type="dxa"/>
            <w:shd w:val="clear" w:color="auto" w:fill="D9D9D9" w:themeFill="background1" w:themeFillShade="D9"/>
          </w:tcPr>
          <w:p w14:paraId="3794852B" w14:textId="77777777" w:rsidR="004F4F30" w:rsidRPr="002751DA" w:rsidRDefault="004F4F30" w:rsidP="003D32F6">
            <w:pPr>
              <w:rPr>
                <w:rFonts w:asciiTheme="minorHAnsi" w:hAnsiTheme="minorHAnsi"/>
                <w:b/>
                <w:bCs/>
              </w:rPr>
            </w:pPr>
            <w:r w:rsidRPr="002751DA">
              <w:rPr>
                <w:rFonts w:asciiTheme="minorHAnsi" w:hAnsiTheme="minorHAnsi"/>
                <w:b/>
                <w:bCs/>
              </w:rPr>
              <w:t>Exposed HCW Management</w:t>
            </w:r>
          </w:p>
        </w:tc>
      </w:tr>
      <w:tr w:rsidR="004F4F30" w:rsidRPr="002751DA" w14:paraId="793BF633" w14:textId="77777777" w:rsidTr="0089533B">
        <w:tc>
          <w:tcPr>
            <w:tcW w:w="3714" w:type="dxa"/>
          </w:tcPr>
          <w:p w14:paraId="528632BF" w14:textId="77777777" w:rsidR="004F4F30" w:rsidRPr="002751DA" w:rsidRDefault="004F4F30" w:rsidP="0089533B">
            <w:pPr>
              <w:pStyle w:val="BodyCopy"/>
            </w:pPr>
            <w:proofErr w:type="spellStart"/>
            <w:r w:rsidRPr="002751DA">
              <w:t>HBsAb</w:t>
            </w:r>
            <w:proofErr w:type="spellEnd"/>
            <w:r w:rsidRPr="002751DA">
              <w:t xml:space="preserve"> </w:t>
            </w:r>
            <w:r w:rsidRPr="002751DA">
              <w:rPr>
                <w:b/>
              </w:rPr>
              <w:t>positive</w:t>
            </w:r>
            <w:r>
              <w:rPr>
                <w:b/>
              </w:rPr>
              <w:t xml:space="preserve"> i.e. &gt;10mIU</w:t>
            </w:r>
            <w:r>
              <w:t>/ml do</w:t>
            </w:r>
            <w:r w:rsidRPr="0089533B">
              <w:t>cumented at any time (immune)</w:t>
            </w:r>
          </w:p>
        </w:tc>
        <w:tc>
          <w:tcPr>
            <w:tcW w:w="2410" w:type="dxa"/>
          </w:tcPr>
          <w:p w14:paraId="0155A8C6" w14:textId="77777777" w:rsidR="004F4F30" w:rsidRDefault="004F4F30" w:rsidP="0089533B">
            <w:pPr>
              <w:pStyle w:val="BodyCopy"/>
            </w:pPr>
            <w:r w:rsidRPr="002751DA">
              <w:t>Not relevant</w:t>
            </w:r>
          </w:p>
          <w:p w14:paraId="4E38702C" w14:textId="77777777" w:rsidR="004F4F30" w:rsidRPr="002751DA" w:rsidRDefault="004F4F30" w:rsidP="0089533B">
            <w:pPr>
              <w:pStyle w:val="BodyCopy"/>
            </w:pPr>
            <w:r>
              <w:t>Testing not required</w:t>
            </w:r>
          </w:p>
        </w:tc>
        <w:tc>
          <w:tcPr>
            <w:tcW w:w="3373" w:type="dxa"/>
          </w:tcPr>
          <w:p w14:paraId="66342352" w14:textId="77777777" w:rsidR="004F4F30" w:rsidRPr="002751DA" w:rsidRDefault="004F4F30" w:rsidP="0089533B">
            <w:pPr>
              <w:pStyle w:val="BodyCopy"/>
            </w:pPr>
            <w:r w:rsidRPr="002751DA">
              <w:t>No HBV PEP.</w:t>
            </w:r>
          </w:p>
        </w:tc>
      </w:tr>
      <w:tr w:rsidR="004F4F30" w:rsidRPr="002751DA" w14:paraId="4F8AFEDC" w14:textId="77777777" w:rsidTr="0089533B">
        <w:tc>
          <w:tcPr>
            <w:tcW w:w="3714" w:type="dxa"/>
          </w:tcPr>
          <w:p w14:paraId="0C60F492" w14:textId="77777777" w:rsidR="004F4F30" w:rsidRPr="002751DA" w:rsidRDefault="004F4F30" w:rsidP="0089533B">
            <w:pPr>
              <w:pStyle w:val="BodyCopy"/>
            </w:pPr>
            <w:r w:rsidRPr="002751DA">
              <w:t xml:space="preserve">HBsAg and </w:t>
            </w:r>
            <w:proofErr w:type="spellStart"/>
            <w:r w:rsidRPr="002751DA">
              <w:t>HBsAb</w:t>
            </w:r>
            <w:proofErr w:type="spellEnd"/>
            <w:r w:rsidRPr="002751DA">
              <w:t xml:space="preserve"> </w:t>
            </w:r>
            <w:r w:rsidRPr="002751DA">
              <w:rPr>
                <w:b/>
              </w:rPr>
              <w:t xml:space="preserve">negative </w:t>
            </w:r>
            <w:r w:rsidRPr="002751DA">
              <w:t>(non-immune)</w:t>
            </w:r>
          </w:p>
        </w:tc>
        <w:tc>
          <w:tcPr>
            <w:tcW w:w="2410" w:type="dxa"/>
          </w:tcPr>
          <w:p w14:paraId="7E934A32" w14:textId="77777777" w:rsidR="004F4F30" w:rsidRPr="002751DA" w:rsidRDefault="004F4F30" w:rsidP="0089533B">
            <w:pPr>
              <w:pStyle w:val="BodyCopy"/>
            </w:pPr>
            <w:r w:rsidRPr="002751DA">
              <w:t xml:space="preserve">HBsAg </w:t>
            </w:r>
            <w:r w:rsidRPr="002751DA">
              <w:rPr>
                <w:b/>
              </w:rPr>
              <w:t>negative</w:t>
            </w:r>
            <w:r>
              <w:rPr>
                <w:b/>
              </w:rPr>
              <w:t xml:space="preserve"> </w:t>
            </w:r>
            <w:r w:rsidRPr="00536C4C">
              <w:t>+ no high-risk exposures in last 3 months</w:t>
            </w:r>
          </w:p>
        </w:tc>
        <w:tc>
          <w:tcPr>
            <w:tcW w:w="3373" w:type="dxa"/>
          </w:tcPr>
          <w:p w14:paraId="7392531A" w14:textId="77777777" w:rsidR="004F4F30" w:rsidRPr="002751DA" w:rsidRDefault="004F4F30" w:rsidP="0089533B">
            <w:pPr>
              <w:pStyle w:val="BodyCopy"/>
            </w:pPr>
            <w:r w:rsidRPr="002751DA">
              <w:t>Recommend HBV vaccination.</w:t>
            </w:r>
          </w:p>
        </w:tc>
      </w:tr>
      <w:tr w:rsidR="004F4F30" w:rsidRPr="002751DA" w14:paraId="3A61F088" w14:textId="77777777" w:rsidTr="0089533B">
        <w:trPr>
          <w:trHeight w:val="90"/>
        </w:trPr>
        <w:tc>
          <w:tcPr>
            <w:tcW w:w="3714" w:type="dxa"/>
          </w:tcPr>
          <w:p w14:paraId="226025D9" w14:textId="77777777" w:rsidR="004F4F30" w:rsidRPr="002751DA" w:rsidRDefault="004F4F30" w:rsidP="003D32F6">
            <w:pPr>
              <w:rPr>
                <w:rFonts w:asciiTheme="minorHAnsi" w:hAnsiTheme="minorHAnsi"/>
                <w:bCs/>
              </w:rPr>
            </w:pPr>
            <w:r w:rsidRPr="002751DA">
              <w:rPr>
                <w:rFonts w:asciiTheme="minorHAnsi" w:hAnsiTheme="minorHAnsi"/>
                <w:bCs/>
              </w:rPr>
              <w:t xml:space="preserve">HBsAg and </w:t>
            </w:r>
            <w:proofErr w:type="spellStart"/>
            <w:r w:rsidRPr="002751DA">
              <w:rPr>
                <w:rFonts w:asciiTheme="minorHAnsi" w:hAnsiTheme="minorHAnsi"/>
                <w:bCs/>
              </w:rPr>
              <w:t>HBsAb</w:t>
            </w:r>
            <w:proofErr w:type="spellEnd"/>
            <w:r w:rsidRPr="002751DA">
              <w:rPr>
                <w:rFonts w:asciiTheme="minorHAnsi" w:hAnsiTheme="minorHAnsi"/>
                <w:bCs/>
              </w:rPr>
              <w:t xml:space="preserve"> </w:t>
            </w:r>
            <w:r w:rsidRPr="002751DA">
              <w:rPr>
                <w:rFonts w:asciiTheme="minorHAnsi" w:hAnsiTheme="minorHAnsi"/>
                <w:b/>
                <w:bCs/>
              </w:rPr>
              <w:t xml:space="preserve">negative </w:t>
            </w:r>
            <w:r w:rsidRPr="002751DA">
              <w:rPr>
                <w:rFonts w:asciiTheme="minorHAnsi" w:hAnsiTheme="minorHAnsi"/>
                <w:bCs/>
              </w:rPr>
              <w:t>(non-immune)</w:t>
            </w:r>
          </w:p>
        </w:tc>
        <w:tc>
          <w:tcPr>
            <w:tcW w:w="2410" w:type="dxa"/>
          </w:tcPr>
          <w:p w14:paraId="5D98CD32" w14:textId="77777777" w:rsidR="004F4F30" w:rsidRPr="002751DA" w:rsidRDefault="004F4F30" w:rsidP="003D32F6">
            <w:pPr>
              <w:rPr>
                <w:rFonts w:asciiTheme="minorHAnsi" w:hAnsiTheme="minorHAnsi"/>
                <w:bCs/>
              </w:rPr>
            </w:pPr>
            <w:r w:rsidRPr="002751DA">
              <w:rPr>
                <w:rFonts w:asciiTheme="minorHAnsi" w:hAnsiTheme="minorHAnsi"/>
                <w:bCs/>
              </w:rPr>
              <w:t xml:space="preserve">HBsAg </w:t>
            </w:r>
            <w:r w:rsidRPr="002751DA">
              <w:rPr>
                <w:rFonts w:asciiTheme="minorHAnsi" w:hAnsiTheme="minorHAnsi"/>
                <w:b/>
                <w:bCs/>
              </w:rPr>
              <w:t>positive</w:t>
            </w:r>
            <w:r>
              <w:rPr>
                <w:rFonts w:asciiTheme="minorHAnsi" w:hAnsiTheme="minorHAnsi"/>
                <w:b/>
                <w:bCs/>
              </w:rPr>
              <w:t xml:space="preserve">, indeterminate, </w:t>
            </w:r>
            <w:r w:rsidRPr="002751DA">
              <w:rPr>
                <w:rFonts w:asciiTheme="minorHAnsi" w:hAnsiTheme="minorHAnsi"/>
                <w:b/>
                <w:bCs/>
              </w:rPr>
              <w:t>unknown</w:t>
            </w:r>
            <w:r>
              <w:rPr>
                <w:rFonts w:asciiTheme="minorHAnsi" w:hAnsiTheme="minorHAnsi"/>
                <w:b/>
                <w:bCs/>
              </w:rPr>
              <w:t xml:space="preserve"> or negative with high-risk exposures in last 3 months</w:t>
            </w:r>
          </w:p>
        </w:tc>
        <w:tc>
          <w:tcPr>
            <w:tcW w:w="3373" w:type="dxa"/>
          </w:tcPr>
          <w:p w14:paraId="4A04EF6C" w14:textId="77777777" w:rsidR="004F4F30" w:rsidRPr="002751DA" w:rsidRDefault="004F4F30" w:rsidP="003D32F6">
            <w:pPr>
              <w:rPr>
                <w:rFonts w:asciiTheme="minorHAnsi" w:hAnsiTheme="minorHAnsi"/>
                <w:bCs/>
              </w:rPr>
            </w:pPr>
            <w:r w:rsidRPr="002751DA">
              <w:rPr>
                <w:rFonts w:asciiTheme="minorHAnsi" w:hAnsiTheme="minorHAnsi"/>
                <w:bCs/>
              </w:rPr>
              <w:t>Recommend HBIG</w:t>
            </w:r>
            <w:r>
              <w:rPr>
                <w:rFonts w:asciiTheme="minorHAnsi" w:hAnsiTheme="minorHAnsi"/>
                <w:bCs/>
              </w:rPr>
              <w:t>*</w:t>
            </w:r>
            <w:r w:rsidRPr="002751DA">
              <w:rPr>
                <w:rFonts w:asciiTheme="minorHAnsi" w:hAnsiTheme="minorHAnsi"/>
                <w:bCs/>
              </w:rPr>
              <w:t xml:space="preserve"> and HBV vaccination.</w:t>
            </w:r>
          </w:p>
        </w:tc>
      </w:tr>
      <w:tr w:rsidR="004F4F30" w:rsidRPr="002751DA" w14:paraId="648A000D" w14:textId="77777777" w:rsidTr="0089533B">
        <w:tc>
          <w:tcPr>
            <w:tcW w:w="3714" w:type="dxa"/>
          </w:tcPr>
          <w:p w14:paraId="0E414124" w14:textId="77777777" w:rsidR="0089533B" w:rsidRDefault="004F4F30" w:rsidP="003D32F6">
            <w:pPr>
              <w:rPr>
                <w:rFonts w:asciiTheme="minorHAnsi" w:hAnsiTheme="minorHAnsi"/>
                <w:bCs/>
              </w:rPr>
            </w:pPr>
            <w:r w:rsidRPr="002751DA">
              <w:rPr>
                <w:rFonts w:asciiTheme="minorHAnsi" w:hAnsiTheme="minorHAnsi"/>
                <w:bCs/>
              </w:rPr>
              <w:t xml:space="preserve">HBsAg screening test </w:t>
            </w:r>
            <w:r w:rsidRPr="002751DA">
              <w:rPr>
                <w:rFonts w:asciiTheme="minorHAnsi" w:hAnsiTheme="minorHAnsi"/>
                <w:b/>
                <w:bCs/>
              </w:rPr>
              <w:t>positive</w:t>
            </w:r>
            <w:r w:rsidRPr="002751DA">
              <w:rPr>
                <w:rFonts w:asciiTheme="minorHAnsi" w:hAnsiTheme="minorHAnsi"/>
                <w:bCs/>
              </w:rPr>
              <w:t xml:space="preserve"> </w:t>
            </w:r>
          </w:p>
          <w:p w14:paraId="5A555344" w14:textId="75E28625" w:rsidR="004F4F30" w:rsidRPr="0089533B" w:rsidRDefault="004F4F30" w:rsidP="003D32F6">
            <w:pPr>
              <w:rPr>
                <w:rFonts w:asciiTheme="minorHAnsi" w:hAnsiTheme="minorHAnsi"/>
                <w:b/>
              </w:rPr>
            </w:pPr>
            <w:r w:rsidRPr="0089533B">
              <w:rPr>
                <w:rFonts w:asciiTheme="minorHAnsi" w:hAnsiTheme="minorHAnsi"/>
                <w:b/>
              </w:rPr>
              <w:t xml:space="preserve">and </w:t>
            </w:r>
          </w:p>
          <w:p w14:paraId="16684AF2" w14:textId="77777777" w:rsidR="004F4F30" w:rsidRPr="002751DA" w:rsidRDefault="004F4F30" w:rsidP="003D32F6">
            <w:pPr>
              <w:rPr>
                <w:rFonts w:asciiTheme="minorHAnsi" w:hAnsiTheme="minorHAnsi"/>
                <w:bCs/>
              </w:rPr>
            </w:pPr>
            <w:proofErr w:type="spellStart"/>
            <w:r w:rsidRPr="002751DA">
              <w:rPr>
                <w:rFonts w:asciiTheme="minorHAnsi" w:hAnsiTheme="minorHAnsi"/>
                <w:bCs/>
              </w:rPr>
              <w:t>HBsAb</w:t>
            </w:r>
            <w:proofErr w:type="spellEnd"/>
            <w:r w:rsidRPr="002751DA">
              <w:rPr>
                <w:rFonts w:asciiTheme="minorHAnsi" w:hAnsiTheme="minorHAnsi"/>
                <w:bCs/>
              </w:rPr>
              <w:t xml:space="preserve"> </w:t>
            </w:r>
            <w:r w:rsidRPr="002751DA">
              <w:rPr>
                <w:rFonts w:asciiTheme="minorHAnsi" w:hAnsiTheme="minorHAnsi"/>
                <w:b/>
                <w:bCs/>
              </w:rPr>
              <w:t>negative</w:t>
            </w:r>
            <w:r w:rsidRPr="002751DA">
              <w:rPr>
                <w:rFonts w:asciiTheme="minorHAnsi" w:hAnsiTheme="minorHAnsi"/>
                <w:bCs/>
              </w:rPr>
              <w:t xml:space="preserve"> (HBV infection or false positive HBsAg)</w:t>
            </w:r>
          </w:p>
        </w:tc>
        <w:tc>
          <w:tcPr>
            <w:tcW w:w="2410" w:type="dxa"/>
          </w:tcPr>
          <w:p w14:paraId="3A0FE754" w14:textId="77777777" w:rsidR="004F4F30" w:rsidRPr="002751DA" w:rsidRDefault="004F4F30" w:rsidP="003D32F6">
            <w:pPr>
              <w:rPr>
                <w:rFonts w:asciiTheme="minorHAnsi" w:hAnsiTheme="minorHAnsi"/>
                <w:bCs/>
                <w:vertAlign w:val="superscript"/>
              </w:rPr>
            </w:pPr>
            <w:r w:rsidRPr="002751DA">
              <w:rPr>
                <w:rFonts w:asciiTheme="minorHAnsi" w:hAnsiTheme="minorHAnsi"/>
                <w:bCs/>
              </w:rPr>
              <w:t xml:space="preserve">HBsAg </w:t>
            </w:r>
            <w:r w:rsidRPr="002751DA">
              <w:rPr>
                <w:rFonts w:asciiTheme="minorHAnsi" w:hAnsiTheme="minorHAnsi"/>
                <w:b/>
                <w:bCs/>
              </w:rPr>
              <w:t xml:space="preserve">negative </w:t>
            </w:r>
          </w:p>
        </w:tc>
        <w:tc>
          <w:tcPr>
            <w:tcW w:w="3373" w:type="dxa"/>
          </w:tcPr>
          <w:p w14:paraId="0F2A4AF3" w14:textId="77777777" w:rsidR="004F4F30" w:rsidRPr="002751DA" w:rsidRDefault="004F4F30" w:rsidP="003D32F6">
            <w:pPr>
              <w:rPr>
                <w:rFonts w:asciiTheme="minorHAnsi" w:hAnsiTheme="minorHAnsi"/>
                <w:bCs/>
              </w:rPr>
            </w:pPr>
            <w:r w:rsidRPr="002751DA">
              <w:rPr>
                <w:rFonts w:asciiTheme="minorHAnsi" w:hAnsiTheme="minorHAnsi"/>
                <w:bCs/>
              </w:rPr>
              <w:t xml:space="preserve">No HBV PEP. Await full HBV results. Discuss with </w:t>
            </w:r>
            <w:r>
              <w:rPr>
                <w:rFonts w:asciiTheme="minorHAnsi" w:hAnsiTheme="minorHAnsi"/>
                <w:bCs/>
              </w:rPr>
              <w:t>on-call Clinical Microbiologist</w:t>
            </w:r>
            <w:r w:rsidRPr="002751DA">
              <w:rPr>
                <w:rFonts w:asciiTheme="minorHAnsi" w:hAnsiTheme="minorHAnsi"/>
                <w:bCs/>
              </w:rPr>
              <w:t xml:space="preserve"> for further management.</w:t>
            </w:r>
          </w:p>
        </w:tc>
      </w:tr>
      <w:tr w:rsidR="004F4F30" w:rsidRPr="002751DA" w14:paraId="46081FBD" w14:textId="77777777" w:rsidTr="0089533B">
        <w:tc>
          <w:tcPr>
            <w:tcW w:w="3714" w:type="dxa"/>
          </w:tcPr>
          <w:p w14:paraId="33FC402C" w14:textId="77777777" w:rsidR="00493941" w:rsidRDefault="00493941" w:rsidP="00493941">
            <w:pPr>
              <w:rPr>
                <w:rFonts w:asciiTheme="minorHAnsi" w:hAnsiTheme="minorHAnsi"/>
                <w:bCs/>
              </w:rPr>
            </w:pPr>
            <w:r w:rsidRPr="002751DA">
              <w:rPr>
                <w:rFonts w:asciiTheme="minorHAnsi" w:hAnsiTheme="minorHAnsi"/>
                <w:bCs/>
              </w:rPr>
              <w:t xml:space="preserve">HBsAg screening test </w:t>
            </w:r>
            <w:r w:rsidRPr="002751DA">
              <w:rPr>
                <w:rFonts w:asciiTheme="minorHAnsi" w:hAnsiTheme="minorHAnsi"/>
                <w:b/>
                <w:bCs/>
              </w:rPr>
              <w:t>positive</w:t>
            </w:r>
            <w:r w:rsidRPr="002751DA">
              <w:rPr>
                <w:rFonts w:asciiTheme="minorHAnsi" w:hAnsiTheme="minorHAnsi"/>
                <w:bCs/>
              </w:rPr>
              <w:t xml:space="preserve"> </w:t>
            </w:r>
          </w:p>
          <w:p w14:paraId="6F36B8F0" w14:textId="77777777" w:rsidR="00493941" w:rsidRPr="0089533B" w:rsidRDefault="00493941" w:rsidP="00493941">
            <w:pPr>
              <w:rPr>
                <w:rFonts w:asciiTheme="minorHAnsi" w:hAnsiTheme="minorHAnsi"/>
                <w:b/>
              </w:rPr>
            </w:pPr>
            <w:r w:rsidRPr="0089533B">
              <w:rPr>
                <w:rFonts w:asciiTheme="minorHAnsi" w:hAnsiTheme="minorHAnsi"/>
                <w:b/>
              </w:rPr>
              <w:t xml:space="preserve">and </w:t>
            </w:r>
          </w:p>
          <w:p w14:paraId="1D30E045" w14:textId="2161D10A" w:rsidR="004F4F30" w:rsidRPr="002751DA" w:rsidRDefault="00493941" w:rsidP="00493941">
            <w:pPr>
              <w:rPr>
                <w:rFonts w:asciiTheme="minorHAnsi" w:hAnsiTheme="minorHAnsi"/>
                <w:bCs/>
              </w:rPr>
            </w:pPr>
            <w:proofErr w:type="spellStart"/>
            <w:r w:rsidRPr="002751DA">
              <w:rPr>
                <w:rFonts w:asciiTheme="minorHAnsi" w:hAnsiTheme="minorHAnsi"/>
                <w:bCs/>
              </w:rPr>
              <w:t>HBsAb</w:t>
            </w:r>
            <w:proofErr w:type="spellEnd"/>
            <w:r w:rsidRPr="002751DA">
              <w:rPr>
                <w:rFonts w:asciiTheme="minorHAnsi" w:hAnsiTheme="minorHAnsi"/>
                <w:bCs/>
              </w:rPr>
              <w:t xml:space="preserve"> </w:t>
            </w:r>
            <w:r w:rsidRPr="002751DA">
              <w:rPr>
                <w:rFonts w:asciiTheme="minorHAnsi" w:hAnsiTheme="minorHAnsi"/>
                <w:b/>
                <w:bCs/>
              </w:rPr>
              <w:t>negative</w:t>
            </w:r>
            <w:r w:rsidRPr="002751DA">
              <w:rPr>
                <w:rFonts w:asciiTheme="minorHAnsi" w:hAnsiTheme="minorHAnsi"/>
                <w:bCs/>
              </w:rPr>
              <w:t xml:space="preserve"> (HBV infection or false positive HBsAg)</w:t>
            </w:r>
          </w:p>
        </w:tc>
        <w:tc>
          <w:tcPr>
            <w:tcW w:w="2410" w:type="dxa"/>
          </w:tcPr>
          <w:p w14:paraId="77187FF8" w14:textId="77777777" w:rsidR="004F4F30" w:rsidRPr="002751DA" w:rsidRDefault="004F4F30" w:rsidP="003D32F6">
            <w:pPr>
              <w:rPr>
                <w:rFonts w:asciiTheme="minorHAnsi" w:hAnsiTheme="minorHAnsi"/>
                <w:b/>
                <w:bCs/>
              </w:rPr>
            </w:pPr>
            <w:r w:rsidRPr="002751DA">
              <w:rPr>
                <w:rFonts w:asciiTheme="minorHAnsi" w:hAnsiTheme="minorHAnsi"/>
                <w:bCs/>
              </w:rPr>
              <w:t xml:space="preserve">HBsAg </w:t>
            </w:r>
            <w:r w:rsidRPr="002751DA">
              <w:rPr>
                <w:rFonts w:asciiTheme="minorHAnsi" w:hAnsiTheme="minorHAnsi"/>
                <w:b/>
                <w:bCs/>
              </w:rPr>
              <w:t>positive</w:t>
            </w:r>
            <w:r>
              <w:rPr>
                <w:rFonts w:asciiTheme="minorHAnsi" w:hAnsiTheme="minorHAnsi"/>
                <w:b/>
                <w:bCs/>
              </w:rPr>
              <w:t>, indeterminate</w:t>
            </w:r>
            <w:r w:rsidRPr="002751DA">
              <w:rPr>
                <w:rFonts w:asciiTheme="minorHAnsi" w:hAnsiTheme="minorHAnsi"/>
                <w:b/>
                <w:bCs/>
              </w:rPr>
              <w:t xml:space="preserve"> </w:t>
            </w:r>
            <w:r w:rsidRPr="002751DA">
              <w:rPr>
                <w:rFonts w:asciiTheme="minorHAnsi" w:hAnsiTheme="minorHAnsi"/>
                <w:bCs/>
              </w:rPr>
              <w:t xml:space="preserve">or </w:t>
            </w:r>
            <w:r w:rsidRPr="002751DA">
              <w:rPr>
                <w:rFonts w:asciiTheme="minorHAnsi" w:hAnsiTheme="minorHAnsi"/>
                <w:b/>
                <w:bCs/>
              </w:rPr>
              <w:t>unknown</w:t>
            </w:r>
          </w:p>
        </w:tc>
        <w:tc>
          <w:tcPr>
            <w:tcW w:w="3373" w:type="dxa"/>
          </w:tcPr>
          <w:p w14:paraId="01F2432F" w14:textId="77777777" w:rsidR="004F4F30" w:rsidRPr="002751DA" w:rsidRDefault="004F4F30" w:rsidP="003D32F6">
            <w:pPr>
              <w:rPr>
                <w:rFonts w:asciiTheme="minorHAnsi" w:hAnsiTheme="minorHAnsi"/>
                <w:bCs/>
              </w:rPr>
            </w:pPr>
            <w:r w:rsidRPr="002751DA">
              <w:rPr>
                <w:rFonts w:asciiTheme="minorHAnsi" w:hAnsiTheme="minorHAnsi"/>
                <w:bCs/>
              </w:rPr>
              <w:t xml:space="preserve">Discuss with </w:t>
            </w:r>
            <w:r>
              <w:rPr>
                <w:rFonts w:asciiTheme="minorHAnsi" w:hAnsiTheme="minorHAnsi"/>
                <w:bCs/>
              </w:rPr>
              <w:t>on-call Clinical Microbiologist</w:t>
            </w:r>
            <w:r w:rsidRPr="002751DA">
              <w:rPr>
                <w:rFonts w:asciiTheme="minorHAnsi" w:hAnsiTheme="minorHAnsi"/>
                <w:bCs/>
              </w:rPr>
              <w:t>. Assess likelihood of HCW having false positive HBsAg as HBIG</w:t>
            </w:r>
            <w:r>
              <w:rPr>
                <w:rFonts w:asciiTheme="minorHAnsi" w:hAnsiTheme="minorHAnsi"/>
                <w:bCs/>
              </w:rPr>
              <w:t>*</w:t>
            </w:r>
            <w:r w:rsidRPr="002751DA">
              <w:rPr>
                <w:rFonts w:asciiTheme="minorHAnsi" w:hAnsiTheme="minorHAnsi"/>
                <w:bCs/>
              </w:rPr>
              <w:t xml:space="preserve"> and HBV vaccination may be indicated.</w:t>
            </w:r>
          </w:p>
        </w:tc>
      </w:tr>
    </w:tbl>
    <w:p w14:paraId="34B1E9B7" w14:textId="6CAF6213" w:rsidR="004F4F30" w:rsidRPr="0089533B" w:rsidRDefault="004F4F30" w:rsidP="004F4F30">
      <w:pPr>
        <w:rPr>
          <w:rFonts w:asciiTheme="minorHAnsi" w:hAnsiTheme="minorHAnsi"/>
          <w:bCs/>
          <w:iCs/>
        </w:rPr>
      </w:pPr>
      <w:r w:rsidRPr="0089533B">
        <w:rPr>
          <w:rFonts w:asciiTheme="minorHAnsi" w:hAnsiTheme="minorHAnsi"/>
          <w:iCs/>
        </w:rPr>
        <w:lastRenderedPageBreak/>
        <w:t>*</w:t>
      </w:r>
      <w:r w:rsidRPr="0089533B">
        <w:rPr>
          <w:rFonts w:asciiTheme="minorHAnsi" w:hAnsiTheme="minorHAnsi"/>
          <w:bCs/>
          <w:iCs/>
        </w:rPr>
        <w:t xml:space="preserve"> Single dose of HBIG</w:t>
      </w:r>
      <w:r w:rsidRPr="0089533B">
        <w:rPr>
          <w:rFonts w:asciiTheme="minorHAnsi" w:hAnsiTheme="minorHAnsi"/>
          <w:iCs/>
        </w:rPr>
        <w:t xml:space="preserve"> </w:t>
      </w:r>
      <w:r w:rsidRPr="0089533B">
        <w:rPr>
          <w:rFonts w:asciiTheme="minorHAnsi" w:hAnsiTheme="minorHAnsi"/>
          <w:bCs/>
          <w:iCs/>
        </w:rPr>
        <w:t>400 IU IM injection ideally within 24 hours (but up to 72 hours) of the exposure.</w:t>
      </w:r>
    </w:p>
    <w:p w14:paraId="019D086F" w14:textId="66C4C181" w:rsidR="004F4F30" w:rsidRPr="002751DA" w:rsidRDefault="004F4F30" w:rsidP="008A1DB4">
      <w:pPr>
        <w:pStyle w:val="Heading5"/>
      </w:pPr>
      <w:bookmarkStart w:id="30" w:name="_Toc172812236"/>
      <w:r>
        <w:t xml:space="preserve">7.4 </w:t>
      </w:r>
      <w:r>
        <w:tab/>
        <w:t>Source Positive for HCV</w:t>
      </w:r>
      <w:r w:rsidRPr="00D90115">
        <w:t xml:space="preserve">, </w:t>
      </w:r>
      <w:r>
        <w:t>U</w:t>
      </w:r>
      <w:r w:rsidRPr="00D90115">
        <w:t xml:space="preserve">nknown </w:t>
      </w:r>
      <w:r>
        <w:t>HCV S</w:t>
      </w:r>
      <w:r w:rsidRPr="00D90115">
        <w:t>tatus</w:t>
      </w:r>
      <w:r>
        <w:t>,</w:t>
      </w:r>
      <w:r w:rsidRPr="00D90115">
        <w:t xml:space="preserve"> or </w:t>
      </w:r>
      <w:r>
        <w:t>N</w:t>
      </w:r>
      <w:r w:rsidRPr="00D90115">
        <w:t>egative</w:t>
      </w:r>
      <w:r>
        <w:t xml:space="preserve"> for HCV</w:t>
      </w:r>
      <w:r w:rsidRPr="00D90115">
        <w:t xml:space="preserve"> with </w:t>
      </w:r>
      <w:r>
        <w:t>R</w:t>
      </w:r>
      <w:r w:rsidRPr="00D90115">
        <w:t xml:space="preserve">ecent </w:t>
      </w:r>
      <w:r w:rsidR="008A1DB4">
        <w:t>H</w:t>
      </w:r>
      <w:r w:rsidR="008A1DB4" w:rsidRPr="00D90115">
        <w:t>igh-Risk</w:t>
      </w:r>
      <w:r w:rsidRPr="00D90115">
        <w:t xml:space="preserve"> </w:t>
      </w:r>
      <w:r>
        <w:t>E</w:t>
      </w:r>
      <w:r w:rsidRPr="00D90115">
        <w:t>xposures</w:t>
      </w:r>
      <w:r>
        <w:t xml:space="preserve"> for HCV</w:t>
      </w:r>
      <w:r w:rsidRPr="00D90115">
        <w:t xml:space="preserve"> </w:t>
      </w:r>
      <w:r>
        <w:t>I</w:t>
      </w:r>
      <w:r w:rsidRPr="00D90115">
        <w:t>nfection</w:t>
      </w:r>
      <w:bookmarkEnd w:id="30"/>
    </w:p>
    <w:p w14:paraId="00592E12" w14:textId="63D22215" w:rsidR="004F4F30" w:rsidRPr="00704163" w:rsidRDefault="004F4F30" w:rsidP="0078010C">
      <w:pPr>
        <w:pStyle w:val="Heading6"/>
      </w:pPr>
      <w:r>
        <w:t>7.4.1</w:t>
      </w:r>
      <w:r w:rsidR="00BB40A3">
        <w:tab/>
      </w:r>
      <w:r>
        <w:t xml:space="preserve"> Hepatitis C Transmission Risk</w:t>
      </w:r>
    </w:p>
    <w:p w14:paraId="25B69A4B" w14:textId="2BB3CB1D" w:rsidR="004F4F30" w:rsidRPr="008A1DB4" w:rsidRDefault="004F4F30" w:rsidP="002D49EC">
      <w:pPr>
        <w:tabs>
          <w:tab w:val="left" w:pos="567"/>
        </w:tabs>
        <w:autoSpaceDE w:val="0"/>
        <w:autoSpaceDN w:val="0"/>
        <w:adjustRightInd w:val="0"/>
        <w:spacing w:before="60" w:line="240" w:lineRule="auto"/>
        <w:rPr>
          <w:rFonts w:asciiTheme="minorHAnsi" w:hAnsiTheme="minorHAnsi"/>
          <w:szCs w:val="22"/>
        </w:rPr>
      </w:pPr>
      <w:r w:rsidRPr="00536C4C">
        <w:rPr>
          <w:rFonts w:asciiTheme="minorHAnsi" w:hAnsiTheme="minorHAnsi"/>
          <w:szCs w:val="22"/>
          <w:shd w:val="clear" w:color="auto" w:fill="FFFFFF" w:themeFill="background1"/>
        </w:rPr>
        <w:t>The risk after needlestick or sharps injury to HCV-infected blood has been estimated at 0-7% (average 1.8%)</w:t>
      </w:r>
      <w:r w:rsidR="00CD05AC">
        <w:rPr>
          <w:rFonts w:asciiTheme="minorHAnsi" w:hAnsiTheme="minorHAnsi"/>
          <w:szCs w:val="22"/>
          <w:shd w:val="clear" w:color="auto" w:fill="FFFFFF" w:themeFill="background1"/>
          <w:vertAlign w:val="superscript"/>
        </w:rPr>
        <w:t>2</w:t>
      </w:r>
      <w:r w:rsidRPr="007D518C">
        <w:rPr>
          <w:rFonts w:asciiTheme="minorHAnsi" w:hAnsiTheme="minorHAnsi"/>
          <w:szCs w:val="22"/>
        </w:rPr>
        <w:t xml:space="preserve"> </w:t>
      </w:r>
      <w:r w:rsidRPr="00536C4C">
        <w:rPr>
          <w:rFonts w:asciiTheme="minorHAnsi" w:hAnsiTheme="minorHAnsi"/>
          <w:szCs w:val="22"/>
        </w:rPr>
        <w:t xml:space="preserve">The risk of transmission is negligible if the source is HCV PCR-negative. The risk following blood exposure to the eye, nose or mouth is </w:t>
      </w:r>
      <w:proofErr w:type="gramStart"/>
      <w:r w:rsidRPr="00536C4C">
        <w:rPr>
          <w:rFonts w:asciiTheme="minorHAnsi" w:hAnsiTheme="minorHAnsi"/>
          <w:szCs w:val="22"/>
        </w:rPr>
        <w:t>unknown, but</w:t>
      </w:r>
      <w:proofErr w:type="gramEnd"/>
      <w:r w:rsidRPr="00536C4C">
        <w:rPr>
          <w:rFonts w:asciiTheme="minorHAnsi" w:hAnsiTheme="minorHAnsi"/>
          <w:szCs w:val="22"/>
        </w:rPr>
        <w:t xml:space="preserve"> believed to be very small.</w:t>
      </w:r>
    </w:p>
    <w:p w14:paraId="55714383" w14:textId="1379137E" w:rsidR="004F4F30" w:rsidRDefault="004F4F30" w:rsidP="002D49EC">
      <w:pPr>
        <w:spacing w:line="240" w:lineRule="auto"/>
        <w:rPr>
          <w:rFonts w:asciiTheme="minorHAnsi" w:hAnsiTheme="minorHAnsi"/>
          <w:bCs/>
        </w:rPr>
      </w:pPr>
      <w:r>
        <w:rPr>
          <w:rFonts w:asciiTheme="minorHAnsi" w:hAnsiTheme="minorHAnsi"/>
          <w:bCs/>
        </w:rPr>
        <w:t xml:space="preserve">Risk factors for HCV infection include injecting drug use and origin from a high prevalence country, including Sub-Saharan Africa, North Africa, the Middle East, south and east </w:t>
      </w:r>
      <w:r w:rsidR="008A1DB4">
        <w:rPr>
          <w:rFonts w:asciiTheme="minorHAnsi" w:hAnsiTheme="minorHAnsi"/>
          <w:bCs/>
        </w:rPr>
        <w:t>Asia,</w:t>
      </w:r>
      <w:r>
        <w:rPr>
          <w:rFonts w:asciiTheme="minorHAnsi" w:hAnsiTheme="minorHAnsi"/>
          <w:bCs/>
        </w:rPr>
        <w:t xml:space="preserve"> and Eastern Europe.</w:t>
      </w:r>
    </w:p>
    <w:p w14:paraId="7537DCEA" w14:textId="77777777" w:rsidR="004F4F30" w:rsidRPr="00536C4C" w:rsidRDefault="004F4F30" w:rsidP="0078010C">
      <w:pPr>
        <w:pStyle w:val="Heading6"/>
      </w:pPr>
      <w:r w:rsidRPr="00536C4C">
        <w:t>7.4.2</w:t>
      </w:r>
      <w:r w:rsidRPr="00536C4C">
        <w:tab/>
        <w:t>Hepatitis C Exposure Management</w:t>
      </w:r>
    </w:p>
    <w:p w14:paraId="0997E416" w14:textId="76B23225" w:rsidR="004F4F30" w:rsidRPr="008A1DB4" w:rsidRDefault="004F4F30" w:rsidP="002D49EC">
      <w:pPr>
        <w:spacing w:line="240" w:lineRule="auto"/>
        <w:rPr>
          <w:rFonts w:asciiTheme="minorHAnsi" w:hAnsiTheme="minorHAnsi"/>
          <w:bCs/>
        </w:rPr>
      </w:pPr>
      <w:r w:rsidRPr="002751DA">
        <w:rPr>
          <w:rFonts w:asciiTheme="minorHAnsi" w:hAnsiTheme="minorHAnsi"/>
          <w:bCs/>
        </w:rPr>
        <w:t xml:space="preserve">For all </w:t>
      </w:r>
      <w:r>
        <w:rPr>
          <w:rFonts w:asciiTheme="minorHAnsi" w:hAnsiTheme="minorHAnsi"/>
          <w:bCs/>
        </w:rPr>
        <w:t>BBFE</w:t>
      </w:r>
      <w:r w:rsidRPr="002751DA">
        <w:rPr>
          <w:rFonts w:asciiTheme="minorHAnsi" w:hAnsiTheme="minorHAnsi"/>
          <w:bCs/>
        </w:rPr>
        <w:t xml:space="preserve"> where the source is </w:t>
      </w:r>
      <w:r>
        <w:rPr>
          <w:rFonts w:asciiTheme="minorHAnsi" w:hAnsiTheme="minorHAnsi"/>
          <w:bCs/>
        </w:rPr>
        <w:t xml:space="preserve">HCV positive, </w:t>
      </w:r>
      <w:r w:rsidRPr="002751DA">
        <w:rPr>
          <w:rFonts w:asciiTheme="minorHAnsi" w:hAnsiTheme="minorHAnsi"/>
          <w:bCs/>
        </w:rPr>
        <w:t>unknown</w:t>
      </w:r>
      <w:r>
        <w:rPr>
          <w:rFonts w:asciiTheme="minorHAnsi" w:hAnsiTheme="minorHAnsi"/>
          <w:bCs/>
        </w:rPr>
        <w:t xml:space="preserve"> and at higher risk, or </w:t>
      </w:r>
      <w:r w:rsidRPr="00536C4C">
        <w:rPr>
          <w:rFonts w:asciiTheme="minorHAnsi" w:hAnsiTheme="minorHAnsi"/>
          <w:bCs/>
        </w:rPr>
        <w:t xml:space="preserve">negative </w:t>
      </w:r>
      <w:r>
        <w:rPr>
          <w:rFonts w:asciiTheme="minorHAnsi" w:hAnsiTheme="minorHAnsi"/>
          <w:bCs/>
        </w:rPr>
        <w:t xml:space="preserve">but </w:t>
      </w:r>
      <w:r w:rsidRPr="00536C4C">
        <w:rPr>
          <w:rFonts w:asciiTheme="minorHAnsi" w:hAnsiTheme="minorHAnsi"/>
          <w:bCs/>
        </w:rPr>
        <w:t xml:space="preserve">with high-risk exposures in last </w:t>
      </w:r>
      <w:r w:rsidR="0089533B">
        <w:rPr>
          <w:rFonts w:asciiTheme="minorHAnsi" w:hAnsiTheme="minorHAnsi"/>
          <w:bCs/>
        </w:rPr>
        <w:t>three</w:t>
      </w:r>
      <w:r w:rsidRPr="00536C4C">
        <w:rPr>
          <w:rFonts w:asciiTheme="minorHAnsi" w:hAnsiTheme="minorHAnsi"/>
          <w:bCs/>
        </w:rPr>
        <w:t xml:space="preserve"> months</w:t>
      </w:r>
      <w:r w:rsidRPr="002751DA">
        <w:rPr>
          <w:rFonts w:asciiTheme="minorHAnsi" w:hAnsiTheme="minorHAnsi"/>
          <w:bCs/>
        </w:rPr>
        <w:t xml:space="preserve">, the exposed HCW will be advised and </w:t>
      </w:r>
      <w:proofErr w:type="gramStart"/>
      <w:r w:rsidRPr="002751DA">
        <w:rPr>
          <w:rFonts w:asciiTheme="minorHAnsi" w:hAnsiTheme="minorHAnsi"/>
          <w:bCs/>
        </w:rPr>
        <w:t>followed-up</w:t>
      </w:r>
      <w:proofErr w:type="gramEnd"/>
      <w:r w:rsidRPr="002751DA">
        <w:rPr>
          <w:rFonts w:asciiTheme="minorHAnsi" w:hAnsiTheme="minorHAnsi"/>
          <w:bCs/>
        </w:rPr>
        <w:t xml:space="preserve"> as for a positive source. </w:t>
      </w:r>
    </w:p>
    <w:p w14:paraId="2315E3F4" w14:textId="77777777" w:rsidR="004F4F30" w:rsidRDefault="004F4F30" w:rsidP="002D49EC">
      <w:pPr>
        <w:autoSpaceDE w:val="0"/>
        <w:autoSpaceDN w:val="0"/>
        <w:adjustRightInd w:val="0"/>
        <w:spacing w:line="240" w:lineRule="auto"/>
        <w:rPr>
          <w:rFonts w:asciiTheme="minorHAnsi" w:hAnsiTheme="minorHAnsi"/>
        </w:rPr>
      </w:pPr>
      <w:r w:rsidRPr="002751DA">
        <w:rPr>
          <w:rFonts w:asciiTheme="minorHAnsi" w:hAnsiTheme="minorHAnsi"/>
        </w:rPr>
        <w:t xml:space="preserve">At present, </w:t>
      </w:r>
      <w:r>
        <w:rPr>
          <w:rFonts w:asciiTheme="minorHAnsi" w:hAnsiTheme="minorHAnsi"/>
        </w:rPr>
        <w:t xml:space="preserve">HCV </w:t>
      </w:r>
      <w:r w:rsidRPr="002751DA">
        <w:rPr>
          <w:rFonts w:asciiTheme="minorHAnsi" w:hAnsiTheme="minorHAnsi"/>
        </w:rPr>
        <w:t xml:space="preserve">PEP </w:t>
      </w:r>
      <w:r>
        <w:rPr>
          <w:rFonts w:asciiTheme="minorHAnsi" w:hAnsiTheme="minorHAnsi"/>
        </w:rPr>
        <w:t>is not recommended, however effective curative treatments are available if infection is confirmed</w:t>
      </w:r>
      <w:r w:rsidRPr="002751DA">
        <w:rPr>
          <w:rFonts w:asciiTheme="minorHAnsi" w:hAnsiTheme="minorHAnsi"/>
        </w:rPr>
        <w:t xml:space="preserve">. </w:t>
      </w:r>
      <w:r>
        <w:rPr>
          <w:rFonts w:asciiTheme="minorHAnsi" w:hAnsiTheme="minorHAnsi"/>
        </w:rPr>
        <w:t>Early identification of infection allows prompt referral and treatment.</w:t>
      </w:r>
    </w:p>
    <w:p w14:paraId="575DEABA" w14:textId="7DA02514" w:rsidR="003B3459" w:rsidRDefault="008A1DB4" w:rsidP="003B3459">
      <w:pPr>
        <w:pStyle w:val="BodyCopy"/>
        <w:rPr>
          <w:rStyle w:val="Hyperlink"/>
        </w:rPr>
      </w:pPr>
      <w:hyperlink w:anchor="_top" w:history="1">
        <w:r w:rsidRPr="004A7A7F">
          <w:rPr>
            <w:rStyle w:val="Hyperlink"/>
          </w:rPr>
          <w:t>Back to Contents</w:t>
        </w:r>
      </w:hyperlink>
    </w:p>
    <w:p w14:paraId="270128B9" w14:textId="2B6F8CE8" w:rsidR="00FD29DA" w:rsidRDefault="00FD29DA" w:rsidP="00F827BB">
      <w:pPr>
        <w:pStyle w:val="Heading4"/>
      </w:pPr>
      <w:bookmarkStart w:id="31" w:name="_Toc189830919"/>
      <w:r>
        <w:t>Section 8 – Follow-Up Testing and Appointments</w:t>
      </w:r>
      <w:bookmarkEnd w:id="31"/>
      <w:r>
        <w:t xml:space="preserve"> </w:t>
      </w:r>
    </w:p>
    <w:p w14:paraId="2F941D92" w14:textId="77777777" w:rsidR="00FD29DA" w:rsidRPr="002751DA" w:rsidRDefault="00FD29DA" w:rsidP="0089533B">
      <w:pPr>
        <w:pStyle w:val="BodyCopy"/>
      </w:pPr>
      <w:r w:rsidRPr="002751DA">
        <w:t xml:space="preserve">When further testing is indicated, </w:t>
      </w:r>
      <w:r>
        <w:t>during the follow-up period the HCW should be advised</w:t>
      </w:r>
      <w:r w:rsidRPr="002751DA">
        <w:t xml:space="preserve">: </w:t>
      </w:r>
    </w:p>
    <w:p w14:paraId="603F3A6F" w14:textId="5B0CFD32" w:rsidR="00FD29DA" w:rsidRPr="00FD29DA" w:rsidRDefault="0089533B" w:rsidP="0089533B">
      <w:pPr>
        <w:pStyle w:val="Tablebullet1"/>
      </w:pPr>
      <w:r>
        <w:t>n</w:t>
      </w:r>
      <w:r w:rsidR="00FD29DA" w:rsidRPr="00FD29DA">
        <w:t>ot to donate plasma, blood or blood products, body tissue, breast milk or sperm.</w:t>
      </w:r>
    </w:p>
    <w:p w14:paraId="74B1B0B4" w14:textId="6EE93DD9" w:rsidR="00FD29DA" w:rsidRPr="00FD29DA" w:rsidRDefault="0089533B" w:rsidP="0089533B">
      <w:pPr>
        <w:pStyle w:val="Tablebullet1"/>
      </w:pPr>
      <w:r>
        <w:t>t</w:t>
      </w:r>
      <w:r w:rsidR="00FD29DA" w:rsidRPr="00FD29DA">
        <w:t xml:space="preserve">o protect sexual partners by practicing safe sex with condoms </w:t>
      </w:r>
    </w:p>
    <w:p w14:paraId="5FD4D74F" w14:textId="1A413180" w:rsidR="00FD29DA" w:rsidRPr="00FD29DA" w:rsidRDefault="0089533B" w:rsidP="0089533B">
      <w:pPr>
        <w:pStyle w:val="Tablebullet1"/>
      </w:pPr>
      <w:r>
        <w:t>n</w:t>
      </w:r>
      <w:r w:rsidR="00FD29DA" w:rsidRPr="00FD29DA">
        <w:t>ot to share injecting equipment</w:t>
      </w:r>
    </w:p>
    <w:p w14:paraId="0354DD86" w14:textId="38878BDA" w:rsidR="00FD29DA" w:rsidRPr="00FD29DA" w:rsidRDefault="0089533B" w:rsidP="0089533B">
      <w:pPr>
        <w:pStyle w:val="Tablebullet1"/>
      </w:pPr>
      <w:r>
        <w:t>t</w:t>
      </w:r>
      <w:r w:rsidR="00FD29DA" w:rsidRPr="00FD29DA">
        <w:t xml:space="preserve">o seek specialist medical advice regarding pregnancy (all BBV) and/or breastfeeding </w:t>
      </w:r>
    </w:p>
    <w:p w14:paraId="69C31FC4" w14:textId="320A69FB" w:rsidR="00FD29DA" w:rsidRPr="00FD29DA" w:rsidRDefault="0089533B" w:rsidP="0089533B">
      <w:pPr>
        <w:pStyle w:val="Tablebullet1"/>
      </w:pPr>
      <w:r>
        <w:t>t</w:t>
      </w:r>
      <w:r w:rsidR="00FD29DA" w:rsidRPr="00FD29DA">
        <w:t xml:space="preserve">o seek medical attention about any acute illness </w:t>
      </w:r>
    </w:p>
    <w:p w14:paraId="7DA683FC" w14:textId="77777777" w:rsidR="00FD29DA" w:rsidRDefault="00FD29DA" w:rsidP="00FD29DA">
      <w:pPr>
        <w:pStyle w:val="ListBullet"/>
      </w:pPr>
    </w:p>
    <w:p w14:paraId="78224CF6" w14:textId="77777777" w:rsidR="00FD29DA" w:rsidRPr="00FD29DA" w:rsidRDefault="00FD29DA" w:rsidP="00FD29DA">
      <w:pPr>
        <w:pStyle w:val="ListBullet"/>
        <w:pBdr>
          <w:top w:val="single" w:sz="4" w:space="1" w:color="auto"/>
          <w:left w:val="single" w:sz="4" w:space="4" w:color="auto"/>
          <w:bottom w:val="single" w:sz="4" w:space="1" w:color="auto"/>
          <w:right w:val="single" w:sz="4" w:space="4" w:color="auto"/>
        </w:pBdr>
        <w:rPr>
          <w:rFonts w:asciiTheme="minorHAnsi" w:hAnsiTheme="minorHAnsi" w:cstheme="minorHAnsi"/>
        </w:rPr>
      </w:pPr>
      <w:r w:rsidRPr="0089533B">
        <w:rPr>
          <w:rFonts w:asciiTheme="minorHAnsi" w:hAnsiTheme="minorHAnsi" w:cstheme="minorHAnsi"/>
          <w:b/>
          <w:bCs/>
        </w:rPr>
        <w:t>Note:</w:t>
      </w:r>
      <w:r w:rsidRPr="00FD29DA">
        <w:rPr>
          <w:rFonts w:asciiTheme="minorHAnsi" w:hAnsiTheme="minorHAnsi" w:cstheme="minorHAnsi"/>
        </w:rPr>
        <w:t xml:space="preserve"> Modification to work practices (including avoidance of exposure prone procedures) are not required because of an occupational HIV, HBV and/or HCV exposure.</w:t>
      </w:r>
    </w:p>
    <w:p w14:paraId="56EF614B" w14:textId="77777777" w:rsidR="00FD29DA" w:rsidRDefault="00FD29DA" w:rsidP="00FD29DA">
      <w:pPr>
        <w:pStyle w:val="ListBullet"/>
      </w:pPr>
    </w:p>
    <w:p w14:paraId="616EA5CD" w14:textId="6B262FC5" w:rsidR="00FD29DA" w:rsidRPr="00704163" w:rsidRDefault="00FD29DA" w:rsidP="00FD29DA">
      <w:pPr>
        <w:rPr>
          <w:rFonts w:asciiTheme="minorHAnsi" w:hAnsiTheme="minorHAnsi"/>
          <w:bCs/>
        </w:rPr>
      </w:pPr>
      <w:r w:rsidRPr="00704163">
        <w:rPr>
          <w:rFonts w:asciiTheme="minorHAnsi" w:hAnsiTheme="minorHAnsi"/>
          <w:bCs/>
        </w:rPr>
        <w:t>An exposed HCW may not consent to follow-up management by the OMU</w:t>
      </w:r>
      <w:r>
        <w:rPr>
          <w:rFonts w:asciiTheme="minorHAnsi" w:hAnsiTheme="minorHAnsi"/>
          <w:bCs/>
        </w:rPr>
        <w:t xml:space="preserve"> RN/SH RN</w:t>
      </w:r>
      <w:r w:rsidRPr="00704163">
        <w:rPr>
          <w:rFonts w:asciiTheme="minorHAnsi" w:hAnsiTheme="minorHAnsi"/>
          <w:bCs/>
        </w:rPr>
        <w:t>. It is then the responsibility of the OMU</w:t>
      </w:r>
      <w:r>
        <w:rPr>
          <w:rFonts w:asciiTheme="minorHAnsi" w:hAnsiTheme="minorHAnsi"/>
          <w:bCs/>
        </w:rPr>
        <w:t xml:space="preserve"> RN/SH RN </w:t>
      </w:r>
      <w:r w:rsidRPr="00704163">
        <w:rPr>
          <w:rFonts w:asciiTheme="minorHAnsi" w:hAnsiTheme="minorHAnsi"/>
          <w:bCs/>
        </w:rPr>
        <w:t xml:space="preserve">to </w:t>
      </w:r>
      <w:r>
        <w:rPr>
          <w:rFonts w:asciiTheme="minorHAnsi" w:hAnsiTheme="minorHAnsi"/>
          <w:bCs/>
        </w:rPr>
        <w:t>provide details to the exposed HCW of the recommended</w:t>
      </w:r>
      <w:r w:rsidRPr="00704163">
        <w:rPr>
          <w:rFonts w:asciiTheme="minorHAnsi" w:hAnsiTheme="minorHAnsi"/>
          <w:bCs/>
        </w:rPr>
        <w:t xml:space="preserve"> follow-up </w:t>
      </w:r>
      <w:r>
        <w:rPr>
          <w:rFonts w:asciiTheme="minorHAnsi" w:hAnsiTheme="minorHAnsi"/>
          <w:bCs/>
        </w:rPr>
        <w:t>scheduled.</w:t>
      </w:r>
      <w:r w:rsidRPr="00704163">
        <w:rPr>
          <w:rFonts w:asciiTheme="minorHAnsi" w:hAnsiTheme="minorHAnsi"/>
          <w:bCs/>
        </w:rPr>
        <w:t xml:space="preserve"> </w:t>
      </w:r>
    </w:p>
    <w:p w14:paraId="3EBC098B" w14:textId="33039B64" w:rsidR="00FD29DA" w:rsidRPr="00FD29DA" w:rsidRDefault="00FD29DA" w:rsidP="49359429">
      <w:pPr>
        <w:rPr>
          <w:rFonts w:asciiTheme="minorHAnsi" w:hAnsiTheme="minorHAnsi"/>
        </w:rPr>
      </w:pPr>
      <w:r w:rsidRPr="2975BF85">
        <w:rPr>
          <w:rFonts w:asciiTheme="minorHAnsi" w:hAnsiTheme="minorHAnsi"/>
        </w:rPr>
        <w:t xml:space="preserve">CHS will only perform the initial consultation and required management for agency, locums, and contractors. All subsequent follow up will be managed through the hiring employer and will need to be determined between the employee and hiring employer. </w:t>
      </w:r>
    </w:p>
    <w:p w14:paraId="3EF9985E" w14:textId="42C1C99E" w:rsidR="00FD29DA" w:rsidRPr="00704163" w:rsidRDefault="00FD29DA" w:rsidP="00FD29DA">
      <w:pPr>
        <w:rPr>
          <w:rFonts w:asciiTheme="minorHAnsi" w:hAnsiTheme="minorHAnsi"/>
          <w:bCs/>
        </w:rPr>
      </w:pPr>
      <w:r w:rsidRPr="00296017">
        <w:rPr>
          <w:rFonts w:asciiTheme="minorHAnsi" w:hAnsiTheme="minorHAnsi"/>
        </w:rPr>
        <w:lastRenderedPageBreak/>
        <w:t xml:space="preserve">Table </w:t>
      </w:r>
      <w:r w:rsidR="002139E7">
        <w:rPr>
          <w:rFonts w:asciiTheme="minorHAnsi" w:hAnsiTheme="minorHAnsi"/>
        </w:rPr>
        <w:t>6</w:t>
      </w:r>
      <w:r w:rsidRPr="00704163">
        <w:rPr>
          <w:rFonts w:asciiTheme="minorHAnsi" w:hAnsiTheme="minorHAnsi"/>
          <w:bCs/>
        </w:rPr>
        <w:t xml:space="preserve"> summarises the recommended schedule of follow-up testing. </w:t>
      </w:r>
    </w:p>
    <w:p w14:paraId="08571975" w14:textId="1F609096" w:rsidR="00FD29DA" w:rsidRPr="0089533B" w:rsidRDefault="00FD29DA" w:rsidP="00FD29DA">
      <w:pPr>
        <w:spacing w:after="120"/>
        <w:outlineLvl w:val="0"/>
        <w:rPr>
          <w:rFonts w:asciiTheme="minorHAnsi" w:hAnsiTheme="minorHAnsi"/>
          <w:bCs/>
          <w:iCs/>
        </w:rPr>
      </w:pPr>
      <w:r w:rsidRPr="00704163">
        <w:rPr>
          <w:rFonts w:asciiTheme="minorHAnsi" w:hAnsiTheme="minorHAnsi" w:cs="Myriad Pro Light"/>
          <w:b/>
          <w:bCs/>
        </w:rPr>
        <w:t xml:space="preserve">Table </w:t>
      </w:r>
      <w:r w:rsidR="002139E7">
        <w:rPr>
          <w:rFonts w:asciiTheme="minorHAnsi" w:hAnsiTheme="minorHAnsi" w:cs="Myriad Pro Light"/>
          <w:b/>
          <w:bCs/>
        </w:rPr>
        <w:t>6</w:t>
      </w:r>
      <w:r>
        <w:rPr>
          <w:rFonts w:asciiTheme="minorHAnsi" w:hAnsiTheme="minorHAnsi" w:cs="Myriad Pro Light"/>
          <w:b/>
          <w:bCs/>
        </w:rPr>
        <w:t xml:space="preserve"> </w:t>
      </w:r>
      <w:r w:rsidRPr="0089533B">
        <w:rPr>
          <w:rFonts w:asciiTheme="minorHAnsi" w:hAnsiTheme="minorHAnsi" w:cs="Myriad Pro Light"/>
        </w:rPr>
        <w:t>-</w:t>
      </w:r>
      <w:r>
        <w:rPr>
          <w:rFonts w:asciiTheme="minorHAnsi" w:hAnsiTheme="minorHAnsi" w:cs="Myriad Pro Light"/>
          <w:b/>
          <w:bCs/>
        </w:rPr>
        <w:t xml:space="preserve"> </w:t>
      </w:r>
      <w:r w:rsidRPr="0089533B">
        <w:rPr>
          <w:rFonts w:asciiTheme="minorHAnsi" w:hAnsiTheme="minorHAnsi"/>
          <w:bCs/>
          <w:iCs/>
        </w:rPr>
        <w:t xml:space="preserve">Recommended Schedule of Follow-Up Testing After BBFE  </w:t>
      </w:r>
    </w:p>
    <w:tbl>
      <w:tblPr>
        <w:tblW w:w="0" w:type="auto"/>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48"/>
        <w:gridCol w:w="2318"/>
        <w:gridCol w:w="1924"/>
        <w:gridCol w:w="2318"/>
      </w:tblGrid>
      <w:tr w:rsidR="00C13389" w:rsidRPr="005D787C" w14:paraId="3B150EDE" w14:textId="77777777" w:rsidTr="00C13389">
        <w:trPr>
          <w:trHeight w:val="209"/>
        </w:trPr>
        <w:tc>
          <w:tcPr>
            <w:tcW w:w="0" w:type="auto"/>
          </w:tcPr>
          <w:p w14:paraId="28F1AF3D" w14:textId="75E3CF98" w:rsidR="00C13389" w:rsidRPr="005D787C" w:rsidRDefault="00C13389" w:rsidP="00C13389">
            <w:pPr>
              <w:pStyle w:val="BodyCopy"/>
              <w:rPr>
                <w:rStyle w:val="A5"/>
                <w:rFonts w:asciiTheme="minorHAnsi" w:hAnsiTheme="minorHAnsi"/>
                <w:sz w:val="24"/>
                <w:szCs w:val="24"/>
              </w:rPr>
            </w:pPr>
            <w:r w:rsidRPr="005D787C">
              <w:rPr>
                <w:rStyle w:val="A5"/>
                <w:rFonts w:asciiTheme="minorHAnsi" w:hAnsiTheme="minorHAnsi" w:cstheme="minorHAnsi"/>
                <w:b/>
                <w:color w:val="000000" w:themeColor="text1"/>
                <w:sz w:val="24"/>
                <w:szCs w:val="24"/>
              </w:rPr>
              <w:t xml:space="preserve">Source status - </w:t>
            </w:r>
            <w:r w:rsidRPr="005D787C">
              <w:t>positive, unknown or negative but recent high-risk exposures</w:t>
            </w:r>
          </w:p>
        </w:tc>
        <w:tc>
          <w:tcPr>
            <w:tcW w:w="0" w:type="auto"/>
            <w:shd w:val="clear" w:color="auto" w:fill="D9D9D9" w:themeFill="background1" w:themeFillShade="D9"/>
          </w:tcPr>
          <w:p w14:paraId="5ADC6CE2" w14:textId="5727AD7F" w:rsidR="00C13389" w:rsidRPr="005D787C" w:rsidRDefault="00C13389" w:rsidP="00C13389">
            <w:pPr>
              <w:pStyle w:val="BodyCopy"/>
              <w:rPr>
                <w:rStyle w:val="A5"/>
                <w:rFonts w:asciiTheme="minorHAnsi" w:hAnsiTheme="minorHAnsi"/>
                <w:b/>
                <w:color w:val="000000" w:themeColor="text1"/>
                <w:sz w:val="24"/>
                <w:szCs w:val="24"/>
              </w:rPr>
            </w:pPr>
            <w:r w:rsidRPr="005D787C">
              <w:rPr>
                <w:rStyle w:val="A5"/>
                <w:rFonts w:asciiTheme="minorHAnsi" w:hAnsiTheme="minorHAnsi"/>
                <w:b/>
                <w:color w:val="000000" w:themeColor="text1"/>
                <w:sz w:val="24"/>
                <w:szCs w:val="24"/>
              </w:rPr>
              <w:t>6 week</w:t>
            </w:r>
            <w:r>
              <w:rPr>
                <w:rStyle w:val="A5"/>
                <w:rFonts w:asciiTheme="minorHAnsi" w:hAnsiTheme="minorHAnsi"/>
                <w:b/>
                <w:color w:val="000000" w:themeColor="text1"/>
                <w:sz w:val="24"/>
                <w:szCs w:val="24"/>
              </w:rPr>
              <w:t>s tests</w:t>
            </w:r>
          </w:p>
        </w:tc>
        <w:tc>
          <w:tcPr>
            <w:tcW w:w="0" w:type="auto"/>
            <w:shd w:val="clear" w:color="auto" w:fill="D9D9D9" w:themeFill="background1" w:themeFillShade="D9"/>
          </w:tcPr>
          <w:p w14:paraId="5549FD02" w14:textId="2837B2E3" w:rsidR="00C13389" w:rsidRPr="005D787C" w:rsidRDefault="00C13389" w:rsidP="00C13389">
            <w:pPr>
              <w:pStyle w:val="BodyCopy"/>
              <w:rPr>
                <w:rStyle w:val="A5"/>
                <w:rFonts w:asciiTheme="minorHAnsi" w:hAnsiTheme="minorHAnsi"/>
                <w:b/>
                <w:color w:val="000000" w:themeColor="text1"/>
                <w:sz w:val="24"/>
                <w:szCs w:val="24"/>
              </w:rPr>
            </w:pPr>
            <w:r w:rsidRPr="005D787C">
              <w:rPr>
                <w:rStyle w:val="A5"/>
                <w:rFonts w:asciiTheme="minorHAnsi" w:hAnsiTheme="minorHAnsi"/>
                <w:b/>
                <w:color w:val="000000" w:themeColor="text1"/>
                <w:sz w:val="24"/>
                <w:szCs w:val="24"/>
              </w:rPr>
              <w:t>3 months</w:t>
            </w:r>
            <w:r>
              <w:rPr>
                <w:rStyle w:val="A5"/>
                <w:rFonts w:asciiTheme="minorHAnsi" w:hAnsiTheme="minorHAnsi"/>
                <w:b/>
                <w:color w:val="000000" w:themeColor="text1"/>
                <w:sz w:val="24"/>
                <w:szCs w:val="24"/>
              </w:rPr>
              <w:t xml:space="preserve"> tests</w:t>
            </w:r>
          </w:p>
        </w:tc>
        <w:tc>
          <w:tcPr>
            <w:tcW w:w="0" w:type="auto"/>
            <w:shd w:val="clear" w:color="auto" w:fill="D9D9D9" w:themeFill="background1" w:themeFillShade="D9"/>
          </w:tcPr>
          <w:p w14:paraId="127C0694" w14:textId="7BD66875" w:rsidR="00C13389" w:rsidRPr="005D787C" w:rsidRDefault="00C13389" w:rsidP="00C13389">
            <w:pPr>
              <w:pStyle w:val="BodyCopy"/>
              <w:rPr>
                <w:rStyle w:val="A5"/>
                <w:rFonts w:asciiTheme="minorHAnsi" w:hAnsiTheme="minorHAnsi"/>
                <w:b/>
                <w:color w:val="000000" w:themeColor="text1"/>
                <w:sz w:val="24"/>
                <w:szCs w:val="24"/>
              </w:rPr>
            </w:pPr>
            <w:r w:rsidRPr="005D787C">
              <w:rPr>
                <w:rStyle w:val="A5"/>
                <w:rFonts w:asciiTheme="minorHAnsi" w:hAnsiTheme="minorHAnsi"/>
                <w:b/>
                <w:color w:val="000000" w:themeColor="text1"/>
                <w:sz w:val="24"/>
                <w:szCs w:val="24"/>
              </w:rPr>
              <w:t>6 months</w:t>
            </w:r>
            <w:r>
              <w:rPr>
                <w:rStyle w:val="A5"/>
                <w:rFonts w:asciiTheme="minorHAnsi" w:hAnsiTheme="minorHAnsi"/>
                <w:b/>
                <w:color w:val="000000" w:themeColor="text1"/>
                <w:sz w:val="24"/>
                <w:szCs w:val="24"/>
              </w:rPr>
              <w:t xml:space="preserve"> tests</w:t>
            </w:r>
          </w:p>
        </w:tc>
      </w:tr>
      <w:tr w:rsidR="00C13389" w:rsidRPr="005D787C" w14:paraId="2BE09B08" w14:textId="77777777" w:rsidTr="00C13389">
        <w:trPr>
          <w:trHeight w:val="215"/>
        </w:trPr>
        <w:tc>
          <w:tcPr>
            <w:tcW w:w="0" w:type="auto"/>
            <w:tcBorders>
              <w:left w:val="single" w:sz="6" w:space="0" w:color="auto"/>
            </w:tcBorders>
          </w:tcPr>
          <w:p w14:paraId="6F45A4CB" w14:textId="77777777" w:rsidR="00C13389" w:rsidRPr="005D787C" w:rsidRDefault="00C13389" w:rsidP="00C13389">
            <w:pPr>
              <w:pStyle w:val="BodyCopy"/>
              <w:rPr>
                <w:rFonts w:cs="Myriad Pro Light"/>
              </w:rPr>
            </w:pPr>
            <w:r w:rsidRPr="005D787C">
              <w:rPr>
                <w:rFonts w:cs="Myriad Pro Light"/>
              </w:rPr>
              <w:t xml:space="preserve">HIV </w:t>
            </w:r>
          </w:p>
        </w:tc>
        <w:tc>
          <w:tcPr>
            <w:tcW w:w="0" w:type="auto"/>
          </w:tcPr>
          <w:p w14:paraId="5DCFE5B9" w14:textId="77777777" w:rsidR="00C13389" w:rsidRPr="005D787C" w:rsidRDefault="00C13389" w:rsidP="00C13389">
            <w:pPr>
              <w:pStyle w:val="BodyCopy"/>
              <w:rPr>
                <w:rFonts w:cs="Myriad Pro Light"/>
              </w:rPr>
            </w:pPr>
            <w:r w:rsidRPr="005D787C">
              <w:rPr>
                <w:rFonts w:cs="Myriad Pro Light"/>
              </w:rPr>
              <w:t>HIV Ab/Ag</w:t>
            </w:r>
          </w:p>
          <w:p w14:paraId="0BACCC4B" w14:textId="77777777" w:rsidR="00C13389" w:rsidRPr="005D787C" w:rsidRDefault="00C13389" w:rsidP="00C13389">
            <w:pPr>
              <w:pStyle w:val="BodyCopy"/>
              <w:rPr>
                <w:rFonts w:cs="Myriad Pro Light"/>
              </w:rPr>
            </w:pPr>
            <w:r w:rsidRPr="005D787C">
              <w:rPr>
                <w:rFonts w:cs="Myriad Pro Light"/>
              </w:rPr>
              <w:t>FBC EUC LFT</w:t>
            </w:r>
          </w:p>
        </w:tc>
        <w:tc>
          <w:tcPr>
            <w:tcW w:w="0" w:type="auto"/>
          </w:tcPr>
          <w:p w14:paraId="7F2603CD" w14:textId="77777777" w:rsidR="00C13389" w:rsidRPr="005D787C" w:rsidRDefault="00C13389" w:rsidP="00C13389">
            <w:pPr>
              <w:pStyle w:val="BodyCopy"/>
              <w:rPr>
                <w:rFonts w:cs="Myriad Pro Light"/>
              </w:rPr>
            </w:pPr>
            <w:r w:rsidRPr="005D787C">
              <w:rPr>
                <w:rFonts w:cs="Myriad Pro Light"/>
              </w:rPr>
              <w:t>HIV Ab/Ag</w:t>
            </w:r>
          </w:p>
          <w:p w14:paraId="706CD644" w14:textId="77777777" w:rsidR="00C13389" w:rsidRPr="005D787C" w:rsidRDefault="00C13389" w:rsidP="00C13389">
            <w:pPr>
              <w:pStyle w:val="BodyCopy"/>
              <w:rPr>
                <w:rFonts w:cs="Myriad Pro Light"/>
              </w:rPr>
            </w:pPr>
          </w:p>
        </w:tc>
        <w:tc>
          <w:tcPr>
            <w:tcW w:w="0" w:type="auto"/>
          </w:tcPr>
          <w:p w14:paraId="1A64E637" w14:textId="77777777" w:rsidR="00C13389" w:rsidRPr="005D787C" w:rsidRDefault="00C13389" w:rsidP="00C13389">
            <w:pPr>
              <w:pStyle w:val="BodyCopy"/>
              <w:rPr>
                <w:rFonts w:cs="Myriad Pro Light"/>
              </w:rPr>
            </w:pPr>
            <w:r w:rsidRPr="005D787C">
              <w:rPr>
                <w:rFonts w:cs="Myriad Pro Light"/>
              </w:rPr>
              <w:t>-</w:t>
            </w:r>
          </w:p>
        </w:tc>
      </w:tr>
      <w:tr w:rsidR="00C13389" w:rsidRPr="005D787C" w14:paraId="451308D4" w14:textId="77777777" w:rsidTr="00C13389">
        <w:trPr>
          <w:trHeight w:val="215"/>
        </w:trPr>
        <w:tc>
          <w:tcPr>
            <w:tcW w:w="0" w:type="auto"/>
            <w:tcBorders>
              <w:left w:val="single" w:sz="6" w:space="0" w:color="auto"/>
              <w:bottom w:val="single" w:sz="4" w:space="0" w:color="000000" w:themeColor="text1"/>
            </w:tcBorders>
          </w:tcPr>
          <w:p w14:paraId="62A84D95" w14:textId="77777777" w:rsidR="00C13389" w:rsidRPr="005D787C" w:rsidRDefault="00C13389" w:rsidP="00C13389">
            <w:pPr>
              <w:pStyle w:val="BodyCopy"/>
              <w:rPr>
                <w:rFonts w:cs="Myriad Pro Light"/>
              </w:rPr>
            </w:pPr>
            <w:r w:rsidRPr="005D787C">
              <w:rPr>
                <w:rFonts w:cs="Myriad Pro Light"/>
              </w:rPr>
              <w:t xml:space="preserve">HBV </w:t>
            </w:r>
          </w:p>
          <w:p w14:paraId="6DB53880" w14:textId="77777777" w:rsidR="00C13389" w:rsidRPr="005D787C" w:rsidRDefault="00C13389" w:rsidP="00C13389">
            <w:pPr>
              <w:pStyle w:val="BodyCopy"/>
              <w:rPr>
                <w:rFonts w:cs="Myriad Pro Light"/>
              </w:rPr>
            </w:pPr>
            <w:r w:rsidRPr="005D787C">
              <w:rPr>
                <w:rFonts w:cs="Myriad Pro Light"/>
              </w:rPr>
              <w:t>(not required if HCW immune at time of exposure)</w:t>
            </w:r>
          </w:p>
        </w:tc>
        <w:tc>
          <w:tcPr>
            <w:tcW w:w="0" w:type="auto"/>
            <w:tcBorders>
              <w:bottom w:val="single" w:sz="4" w:space="0" w:color="000000" w:themeColor="text1"/>
            </w:tcBorders>
          </w:tcPr>
          <w:p w14:paraId="5C456B80" w14:textId="77777777" w:rsidR="00C13389" w:rsidRPr="005D787C" w:rsidRDefault="00C13389" w:rsidP="00C13389">
            <w:pPr>
              <w:pStyle w:val="BodyCopy"/>
              <w:rPr>
                <w:rFonts w:cs="Myriad Pro Light"/>
              </w:rPr>
            </w:pPr>
            <w:proofErr w:type="spellStart"/>
            <w:r w:rsidRPr="005D787C">
              <w:rPr>
                <w:rFonts w:cs="Myriad Pro Light"/>
              </w:rPr>
              <w:t>HBsAb</w:t>
            </w:r>
            <w:proofErr w:type="spellEnd"/>
            <w:r w:rsidRPr="005D787C">
              <w:rPr>
                <w:rFonts w:cs="Myriad Pro Light"/>
              </w:rPr>
              <w:t>/</w:t>
            </w:r>
            <w:proofErr w:type="spellStart"/>
            <w:r w:rsidRPr="005D787C">
              <w:rPr>
                <w:rFonts w:cs="Myriad Pro Light"/>
              </w:rPr>
              <w:t>sAg</w:t>
            </w:r>
            <w:proofErr w:type="spellEnd"/>
            <w:r w:rsidRPr="005D787C">
              <w:rPr>
                <w:rFonts w:cs="Myriad Pro Light"/>
              </w:rPr>
              <w:t>/</w:t>
            </w:r>
            <w:proofErr w:type="spellStart"/>
            <w:r w:rsidRPr="005D787C">
              <w:rPr>
                <w:rFonts w:cs="Myriad Pro Light"/>
              </w:rPr>
              <w:t>cAb</w:t>
            </w:r>
            <w:proofErr w:type="spellEnd"/>
          </w:p>
          <w:p w14:paraId="6E3A0801" w14:textId="77777777" w:rsidR="00C13389" w:rsidRPr="005D787C" w:rsidRDefault="00C13389" w:rsidP="00C13389">
            <w:pPr>
              <w:pStyle w:val="BodyCopy"/>
              <w:rPr>
                <w:rFonts w:cs="Myriad Pro Light"/>
              </w:rPr>
            </w:pPr>
          </w:p>
        </w:tc>
        <w:tc>
          <w:tcPr>
            <w:tcW w:w="0" w:type="auto"/>
            <w:tcBorders>
              <w:bottom w:val="single" w:sz="4" w:space="0" w:color="000000" w:themeColor="text1"/>
            </w:tcBorders>
          </w:tcPr>
          <w:p w14:paraId="43520DE4" w14:textId="77777777" w:rsidR="00C13389" w:rsidRPr="005D787C" w:rsidRDefault="00C13389" w:rsidP="00C13389">
            <w:pPr>
              <w:pStyle w:val="BodyCopy"/>
              <w:rPr>
                <w:rFonts w:cs="Myriad Pro Light"/>
              </w:rPr>
            </w:pPr>
            <w:proofErr w:type="spellStart"/>
            <w:r w:rsidRPr="005D787C">
              <w:rPr>
                <w:rFonts w:cs="Myriad Pro Light"/>
              </w:rPr>
              <w:t>HBsAb</w:t>
            </w:r>
            <w:proofErr w:type="spellEnd"/>
            <w:r w:rsidRPr="005D787C">
              <w:rPr>
                <w:rFonts w:cs="Myriad Pro Light"/>
              </w:rPr>
              <w:t>/</w:t>
            </w:r>
            <w:proofErr w:type="spellStart"/>
            <w:r w:rsidRPr="005D787C">
              <w:rPr>
                <w:rFonts w:cs="Myriad Pro Light"/>
              </w:rPr>
              <w:t>sAg</w:t>
            </w:r>
            <w:proofErr w:type="spellEnd"/>
            <w:r w:rsidRPr="005D787C">
              <w:rPr>
                <w:rFonts w:cs="Myriad Pro Light"/>
              </w:rPr>
              <w:t>/</w:t>
            </w:r>
            <w:proofErr w:type="spellStart"/>
            <w:r w:rsidRPr="005D787C">
              <w:rPr>
                <w:rFonts w:cs="Myriad Pro Light"/>
              </w:rPr>
              <w:t>cAb</w:t>
            </w:r>
            <w:proofErr w:type="spellEnd"/>
          </w:p>
          <w:p w14:paraId="3DEBC3A9" w14:textId="77777777" w:rsidR="00C13389" w:rsidRPr="005D787C" w:rsidRDefault="00C13389" w:rsidP="00C13389">
            <w:pPr>
              <w:pStyle w:val="BodyCopy"/>
              <w:rPr>
                <w:rFonts w:cs="Myriad Pro Light"/>
              </w:rPr>
            </w:pPr>
            <w:r w:rsidRPr="005D787C">
              <w:rPr>
                <w:rFonts w:cs="Myriad Pro Light"/>
              </w:rPr>
              <w:t>+</w:t>
            </w:r>
          </w:p>
          <w:p w14:paraId="18BE1073" w14:textId="77777777" w:rsidR="00C13389" w:rsidRPr="005D787C" w:rsidRDefault="00C13389" w:rsidP="00C13389">
            <w:pPr>
              <w:pStyle w:val="BodyCopy"/>
              <w:rPr>
                <w:rFonts w:cs="Myriad Pro Light"/>
              </w:rPr>
            </w:pPr>
            <w:r w:rsidRPr="005D787C">
              <w:rPr>
                <w:rFonts w:cs="Myriad Pro Light"/>
              </w:rPr>
              <w:t>LFTs</w:t>
            </w:r>
          </w:p>
        </w:tc>
        <w:tc>
          <w:tcPr>
            <w:tcW w:w="0" w:type="auto"/>
            <w:tcBorders>
              <w:bottom w:val="single" w:sz="4" w:space="0" w:color="000000" w:themeColor="text1"/>
            </w:tcBorders>
          </w:tcPr>
          <w:p w14:paraId="4E89CE63" w14:textId="77777777" w:rsidR="00C13389" w:rsidRPr="005D787C" w:rsidRDefault="00C13389" w:rsidP="00C13389">
            <w:pPr>
              <w:pStyle w:val="BodyCopy"/>
              <w:rPr>
                <w:rFonts w:cs="Myriad Pro Light"/>
              </w:rPr>
            </w:pPr>
            <w:proofErr w:type="spellStart"/>
            <w:r w:rsidRPr="005D787C">
              <w:rPr>
                <w:rFonts w:cs="Myriad Pro Light"/>
              </w:rPr>
              <w:t>HBsAb</w:t>
            </w:r>
            <w:proofErr w:type="spellEnd"/>
            <w:r w:rsidRPr="005D787C">
              <w:rPr>
                <w:rFonts w:cs="Myriad Pro Light"/>
              </w:rPr>
              <w:t>/</w:t>
            </w:r>
            <w:proofErr w:type="spellStart"/>
            <w:r w:rsidRPr="005D787C">
              <w:rPr>
                <w:rFonts w:cs="Myriad Pro Light"/>
              </w:rPr>
              <w:t>sAg</w:t>
            </w:r>
            <w:proofErr w:type="spellEnd"/>
            <w:r w:rsidRPr="005D787C">
              <w:rPr>
                <w:rFonts w:cs="Myriad Pro Light"/>
              </w:rPr>
              <w:t>/</w:t>
            </w:r>
            <w:proofErr w:type="spellStart"/>
            <w:r w:rsidRPr="005D787C">
              <w:rPr>
                <w:rFonts w:cs="Myriad Pro Light"/>
              </w:rPr>
              <w:t>cAb</w:t>
            </w:r>
            <w:proofErr w:type="spellEnd"/>
            <w:r w:rsidRPr="005D787C">
              <w:rPr>
                <w:rFonts w:cs="Myriad Pro Light"/>
              </w:rPr>
              <w:t xml:space="preserve"> </w:t>
            </w:r>
          </w:p>
          <w:p w14:paraId="17BF982A" w14:textId="77777777" w:rsidR="00C13389" w:rsidRPr="005D787C" w:rsidRDefault="00C13389" w:rsidP="00C13389">
            <w:pPr>
              <w:pStyle w:val="BodyCopy"/>
              <w:rPr>
                <w:rFonts w:cs="Myriad Pro Light"/>
              </w:rPr>
            </w:pPr>
            <w:r w:rsidRPr="005D787C">
              <w:rPr>
                <w:rFonts w:cs="Myriad Pro Light"/>
              </w:rPr>
              <w:t>+</w:t>
            </w:r>
          </w:p>
          <w:p w14:paraId="2C3D41D3" w14:textId="77777777" w:rsidR="00C13389" w:rsidRPr="005D787C" w:rsidRDefault="00C13389" w:rsidP="00C13389">
            <w:pPr>
              <w:pStyle w:val="BodyCopy"/>
              <w:rPr>
                <w:rFonts w:cs="Myriad Pro Light"/>
              </w:rPr>
            </w:pPr>
            <w:r w:rsidRPr="005D787C">
              <w:rPr>
                <w:rFonts w:cs="Myriad Pro Light"/>
              </w:rPr>
              <w:t>LFTs</w:t>
            </w:r>
          </w:p>
        </w:tc>
      </w:tr>
      <w:tr w:rsidR="00C13389" w:rsidRPr="005D787C" w14:paraId="0BD479F2" w14:textId="77777777" w:rsidTr="00C13389">
        <w:trPr>
          <w:trHeight w:val="215"/>
        </w:trPr>
        <w:tc>
          <w:tcPr>
            <w:tcW w:w="0" w:type="auto"/>
            <w:tcBorders>
              <w:left w:val="single" w:sz="6" w:space="0" w:color="auto"/>
              <w:bottom w:val="single" w:sz="4" w:space="0" w:color="000000" w:themeColor="text1"/>
            </w:tcBorders>
          </w:tcPr>
          <w:p w14:paraId="06468A4E" w14:textId="77777777" w:rsidR="00C13389" w:rsidRPr="005D787C" w:rsidRDefault="00C13389" w:rsidP="00C13389">
            <w:pPr>
              <w:pStyle w:val="BodyCopy"/>
              <w:rPr>
                <w:rFonts w:cs="Myriad Pro Light"/>
              </w:rPr>
            </w:pPr>
            <w:r w:rsidRPr="005D787C">
              <w:rPr>
                <w:rFonts w:cs="Myriad Pro Light"/>
              </w:rPr>
              <w:t xml:space="preserve">HCV </w:t>
            </w:r>
          </w:p>
        </w:tc>
        <w:tc>
          <w:tcPr>
            <w:tcW w:w="0" w:type="auto"/>
            <w:tcBorders>
              <w:bottom w:val="single" w:sz="4" w:space="0" w:color="000000" w:themeColor="text1"/>
            </w:tcBorders>
          </w:tcPr>
          <w:p w14:paraId="5B348B48" w14:textId="77777777" w:rsidR="00C13389" w:rsidRPr="005D787C" w:rsidRDefault="00C13389" w:rsidP="00C13389">
            <w:pPr>
              <w:pStyle w:val="BodyCopy"/>
              <w:rPr>
                <w:rFonts w:cs="Myriad Pro Light"/>
              </w:rPr>
            </w:pPr>
            <w:r w:rsidRPr="005D787C">
              <w:rPr>
                <w:rFonts w:cs="Myriad Pro Light"/>
              </w:rPr>
              <w:t>HCV Ab</w:t>
            </w:r>
          </w:p>
          <w:p w14:paraId="09D024CC" w14:textId="77777777" w:rsidR="00C13389" w:rsidRPr="005D787C" w:rsidRDefault="00C13389" w:rsidP="00C13389">
            <w:pPr>
              <w:pStyle w:val="BodyCopy"/>
              <w:rPr>
                <w:rFonts w:cs="Myriad Pro Light"/>
              </w:rPr>
            </w:pPr>
            <w:r w:rsidRPr="005D787C">
              <w:rPr>
                <w:rFonts w:cs="Myriad Pro Light"/>
              </w:rPr>
              <w:t>+</w:t>
            </w:r>
          </w:p>
          <w:p w14:paraId="11205F35" w14:textId="77777777" w:rsidR="00C13389" w:rsidRPr="005D787C" w:rsidRDefault="00C13389" w:rsidP="00C13389">
            <w:pPr>
              <w:pStyle w:val="BodyCopy"/>
              <w:rPr>
                <w:rFonts w:cs="Myriad Pro Light"/>
              </w:rPr>
            </w:pPr>
            <w:r w:rsidRPr="005D787C">
              <w:rPr>
                <w:rFonts w:cs="Myriad Pro Light"/>
              </w:rPr>
              <w:t>HCV PCR &amp; LFTS</w:t>
            </w:r>
          </w:p>
          <w:p w14:paraId="21F13777" w14:textId="77777777" w:rsidR="00C13389" w:rsidRPr="005D787C" w:rsidRDefault="00C13389" w:rsidP="00C13389">
            <w:pPr>
              <w:pStyle w:val="BodyCopy"/>
              <w:rPr>
                <w:rFonts w:cs="Myriad Pro Light"/>
              </w:rPr>
            </w:pPr>
            <w:r w:rsidRPr="005D787C">
              <w:rPr>
                <w:rFonts w:cs="Myriad Pro Light"/>
              </w:rPr>
              <w:t>(if source HCV PCR positive)</w:t>
            </w:r>
          </w:p>
        </w:tc>
        <w:tc>
          <w:tcPr>
            <w:tcW w:w="0" w:type="auto"/>
            <w:tcBorders>
              <w:bottom w:val="single" w:sz="4" w:space="0" w:color="000000" w:themeColor="text1"/>
            </w:tcBorders>
          </w:tcPr>
          <w:p w14:paraId="3DE9A773" w14:textId="77777777" w:rsidR="00C13389" w:rsidRPr="005D787C" w:rsidRDefault="00C13389" w:rsidP="00C13389">
            <w:pPr>
              <w:pStyle w:val="BodyCopy"/>
              <w:rPr>
                <w:rFonts w:cs="Myriad Pro Light"/>
              </w:rPr>
            </w:pPr>
            <w:r w:rsidRPr="005D787C">
              <w:rPr>
                <w:rFonts w:cs="Myriad Pro Light"/>
              </w:rPr>
              <w:t>HCV Ab</w:t>
            </w:r>
          </w:p>
        </w:tc>
        <w:tc>
          <w:tcPr>
            <w:tcW w:w="0" w:type="auto"/>
            <w:tcBorders>
              <w:bottom w:val="single" w:sz="4" w:space="0" w:color="000000" w:themeColor="text1"/>
            </w:tcBorders>
          </w:tcPr>
          <w:p w14:paraId="47C9AABD" w14:textId="77777777" w:rsidR="00C13389" w:rsidRPr="005D787C" w:rsidRDefault="00C13389" w:rsidP="00C13389">
            <w:pPr>
              <w:pStyle w:val="BodyCopy"/>
              <w:rPr>
                <w:rFonts w:cs="Myriad Pro Light"/>
              </w:rPr>
            </w:pPr>
            <w:r w:rsidRPr="005D787C">
              <w:rPr>
                <w:rFonts w:cs="Myriad Pro Light"/>
              </w:rPr>
              <w:t>HCV Ab</w:t>
            </w:r>
          </w:p>
          <w:p w14:paraId="1EA7E4D6" w14:textId="77777777" w:rsidR="00C13389" w:rsidRPr="005D787C" w:rsidRDefault="00C13389" w:rsidP="00C13389">
            <w:pPr>
              <w:pStyle w:val="BodyCopy"/>
              <w:rPr>
                <w:rFonts w:cs="Myriad Pro Light"/>
              </w:rPr>
            </w:pPr>
            <w:r w:rsidRPr="005D787C">
              <w:rPr>
                <w:rFonts w:cs="Myriad Pro Light"/>
              </w:rPr>
              <w:t xml:space="preserve">+ </w:t>
            </w:r>
          </w:p>
          <w:p w14:paraId="2A02A6DB" w14:textId="74A170E1" w:rsidR="00C13389" w:rsidRPr="005D787C" w:rsidRDefault="00C13389" w:rsidP="00C13389">
            <w:pPr>
              <w:pStyle w:val="BodyCopy"/>
              <w:rPr>
                <w:rFonts w:cs="Myriad Pro Light"/>
              </w:rPr>
            </w:pPr>
            <w:r w:rsidRPr="005D787C">
              <w:rPr>
                <w:rFonts w:cs="Myriad Pro Light"/>
              </w:rPr>
              <w:t>LFTS</w:t>
            </w:r>
          </w:p>
          <w:p w14:paraId="42C7F37A" w14:textId="77777777" w:rsidR="00C13389" w:rsidRPr="005D787C" w:rsidRDefault="00C13389" w:rsidP="00C13389">
            <w:pPr>
              <w:pStyle w:val="BodyCopy"/>
              <w:rPr>
                <w:rFonts w:cs="Myriad Pro Light"/>
              </w:rPr>
            </w:pPr>
            <w:r w:rsidRPr="005D787C">
              <w:rPr>
                <w:rFonts w:cs="Myriad Pro Light"/>
              </w:rPr>
              <w:t>(if source HCV PCR positive)</w:t>
            </w:r>
          </w:p>
        </w:tc>
      </w:tr>
    </w:tbl>
    <w:p w14:paraId="7F0C7EE4" w14:textId="1AE22101" w:rsidR="00FD29DA" w:rsidRPr="006F1FA4" w:rsidRDefault="00FD29DA" w:rsidP="006F1FA4">
      <w:pPr>
        <w:rPr>
          <w:rFonts w:asciiTheme="minorHAnsi" w:hAnsiTheme="minorHAnsi"/>
        </w:rPr>
      </w:pPr>
      <w:r w:rsidRPr="259D671F">
        <w:rPr>
          <w:rFonts w:asciiTheme="minorHAnsi" w:hAnsiTheme="minorHAnsi"/>
          <w:i/>
          <w:iCs/>
        </w:rPr>
        <w:t xml:space="preserve">Request for Occupational Risk Exposure Follow-Up Testing </w:t>
      </w:r>
      <w:r w:rsidRPr="259D671F">
        <w:rPr>
          <w:rFonts w:asciiTheme="minorHAnsi" w:hAnsiTheme="minorHAnsi"/>
        </w:rPr>
        <w:t>must be ordered in the DHR for all follow-up blood test requests scheduled by the OMU/</w:t>
      </w:r>
      <w:r>
        <w:rPr>
          <w:rFonts w:asciiTheme="minorHAnsi" w:hAnsiTheme="minorHAnsi"/>
        </w:rPr>
        <w:t>SH</w:t>
      </w:r>
      <w:r w:rsidRPr="259D671F">
        <w:rPr>
          <w:rFonts w:asciiTheme="minorHAnsi" w:hAnsiTheme="minorHAnsi"/>
        </w:rPr>
        <w:t xml:space="preserve">. </w:t>
      </w:r>
    </w:p>
    <w:p w14:paraId="1D6CFAB3" w14:textId="55E7A352" w:rsidR="00FD29DA" w:rsidRPr="00704163" w:rsidRDefault="00FD29DA" w:rsidP="00FD29DA">
      <w:pPr>
        <w:pStyle w:val="Heading5"/>
      </w:pPr>
      <w:bookmarkStart w:id="32" w:name="_Toc172812238"/>
      <w:r>
        <w:t xml:space="preserve">8.1 </w:t>
      </w:r>
      <w:r>
        <w:tab/>
      </w:r>
      <w:r w:rsidRPr="00704163">
        <w:t xml:space="preserve">Source HIV Positive, Unknown or Negative with </w:t>
      </w:r>
      <w:r>
        <w:t>High-Risk</w:t>
      </w:r>
      <w:r w:rsidRPr="00704163">
        <w:t xml:space="preserve"> </w:t>
      </w:r>
      <w:r>
        <w:t xml:space="preserve">Exposures in Past </w:t>
      </w:r>
      <w:r w:rsidR="005D787C">
        <w:t xml:space="preserve">Six </w:t>
      </w:r>
      <w:r>
        <w:t>Weeks</w:t>
      </w:r>
      <w:bookmarkEnd w:id="32"/>
    </w:p>
    <w:p w14:paraId="6CC4100C" w14:textId="04055A44" w:rsidR="00FD29DA" w:rsidRPr="00FD29DA" w:rsidRDefault="00FD29DA" w:rsidP="005D787C">
      <w:pPr>
        <w:pStyle w:val="BodyCopy"/>
        <w:rPr>
          <w:i/>
        </w:rPr>
      </w:pPr>
      <w:r w:rsidRPr="00704163">
        <w:t xml:space="preserve">HCWs should be informed of symptoms of acute HIV infection, with advice to present if these occur. Routine follow-up testing will be at </w:t>
      </w:r>
      <w:r w:rsidR="005D787C">
        <w:t>six</w:t>
      </w:r>
      <w:r w:rsidRPr="00704163">
        <w:t xml:space="preserve"> weeks and </w:t>
      </w:r>
      <w:r w:rsidR="005D787C">
        <w:t>three</w:t>
      </w:r>
      <w:r w:rsidRPr="00704163">
        <w:t xml:space="preserve"> months from the date of the </w:t>
      </w:r>
      <w:r>
        <w:t>BBFE.</w:t>
      </w:r>
    </w:p>
    <w:p w14:paraId="38A89B10" w14:textId="1E9B586E" w:rsidR="00FD29DA" w:rsidRPr="00704163" w:rsidRDefault="00FD29DA" w:rsidP="00FD29DA">
      <w:pPr>
        <w:pStyle w:val="Heading5"/>
      </w:pPr>
      <w:bookmarkStart w:id="33" w:name="_Toc172812239"/>
      <w:r>
        <w:t xml:space="preserve">8.2 </w:t>
      </w:r>
      <w:r>
        <w:tab/>
      </w:r>
      <w:r w:rsidRPr="00704163">
        <w:t xml:space="preserve">Source HBV </w:t>
      </w:r>
      <w:r>
        <w:t>P</w:t>
      </w:r>
      <w:r w:rsidRPr="00704163">
        <w:t xml:space="preserve">ositive, Unknown or Negative with </w:t>
      </w:r>
      <w:r>
        <w:t>High-Risk</w:t>
      </w:r>
      <w:r w:rsidRPr="00704163">
        <w:t xml:space="preserve"> </w:t>
      </w:r>
      <w:r>
        <w:t xml:space="preserve">Exposures in Past </w:t>
      </w:r>
      <w:r w:rsidR="005D787C">
        <w:t xml:space="preserve">Three </w:t>
      </w:r>
      <w:r>
        <w:t>Months</w:t>
      </w:r>
      <w:bookmarkEnd w:id="33"/>
    </w:p>
    <w:p w14:paraId="6E50129D" w14:textId="5B84AC1C" w:rsidR="00FD29DA" w:rsidRDefault="00FD29DA" w:rsidP="005D787C">
      <w:pPr>
        <w:pStyle w:val="BodyCopy"/>
      </w:pPr>
      <w:r w:rsidRPr="00704163">
        <w:t xml:space="preserve">HCWs with evidence of previous immunity to </w:t>
      </w:r>
      <w:r>
        <w:t xml:space="preserve">HBV </w:t>
      </w:r>
      <w:r w:rsidRPr="00704163">
        <w:t>(</w:t>
      </w:r>
      <w:proofErr w:type="spellStart"/>
      <w:r w:rsidRPr="00704163">
        <w:t>HBsAb</w:t>
      </w:r>
      <w:proofErr w:type="spellEnd"/>
      <w:r w:rsidRPr="00704163">
        <w:t xml:space="preserve"> positive) require </w:t>
      </w:r>
      <w:r w:rsidRPr="00E85C78">
        <w:rPr>
          <w:b/>
        </w:rPr>
        <w:t>no</w:t>
      </w:r>
      <w:r w:rsidRPr="00704163">
        <w:t xml:space="preserve"> further HBV testing. Non-immune exposed HCWs should be informed of symptoms of acute hepatitis, with advice to present if these occur. </w:t>
      </w:r>
    </w:p>
    <w:p w14:paraId="22C8F040" w14:textId="25201001" w:rsidR="00FD29DA" w:rsidRPr="005D787C" w:rsidRDefault="00FD29DA" w:rsidP="005D787C">
      <w:pPr>
        <w:pStyle w:val="BodyCopy"/>
      </w:pPr>
      <w:r w:rsidRPr="00296017">
        <w:lastRenderedPageBreak/>
        <w:t>Routine follow-up for non-immune exposed HCWs who have received initial immunisation</w:t>
      </w:r>
      <w:r>
        <w:t>,</w:t>
      </w:r>
      <w:r w:rsidRPr="00296017">
        <w:t xml:space="preserve"> with or without HBIG</w:t>
      </w:r>
      <w:r>
        <w:t>,</w:t>
      </w:r>
      <w:r w:rsidRPr="00296017">
        <w:t xml:space="preserve"> includes further immunisation at </w:t>
      </w:r>
      <w:r w:rsidR="005D787C">
        <w:t>four</w:t>
      </w:r>
      <w:r w:rsidRPr="00296017">
        <w:t xml:space="preserve"> weeks and </w:t>
      </w:r>
      <w:r w:rsidR="005D787C">
        <w:t>six</w:t>
      </w:r>
      <w:r w:rsidRPr="00296017">
        <w:t xml:space="preserve"> months and HBsAg, </w:t>
      </w:r>
      <w:proofErr w:type="spellStart"/>
      <w:r w:rsidRPr="00296017">
        <w:t>sAb</w:t>
      </w:r>
      <w:proofErr w:type="spellEnd"/>
      <w:r w:rsidRPr="00296017">
        <w:t xml:space="preserve"> and </w:t>
      </w:r>
      <w:proofErr w:type="spellStart"/>
      <w:r w:rsidRPr="00296017">
        <w:t>cAb</w:t>
      </w:r>
      <w:proofErr w:type="spellEnd"/>
      <w:r w:rsidRPr="00296017">
        <w:t xml:space="preserve"> and LFTs testing at </w:t>
      </w:r>
      <w:r w:rsidR="005D787C">
        <w:t xml:space="preserve">three </w:t>
      </w:r>
      <w:r w:rsidRPr="00296017">
        <w:t xml:space="preserve">months and </w:t>
      </w:r>
      <w:r w:rsidR="005D787C">
        <w:t xml:space="preserve">six </w:t>
      </w:r>
      <w:r w:rsidRPr="00296017">
        <w:t xml:space="preserve">months.  </w:t>
      </w:r>
    </w:p>
    <w:p w14:paraId="11B58D16" w14:textId="7EC6CF71" w:rsidR="00FD29DA" w:rsidRPr="00704163" w:rsidRDefault="00FD29DA" w:rsidP="00FD29DA">
      <w:pPr>
        <w:pStyle w:val="Heading5"/>
      </w:pPr>
      <w:bookmarkStart w:id="34" w:name="_Toc172812240"/>
      <w:r>
        <w:t xml:space="preserve">8.3 </w:t>
      </w:r>
      <w:r>
        <w:tab/>
      </w:r>
      <w:r w:rsidRPr="00704163">
        <w:t xml:space="preserve">Source HCV Positive, Unknown or Negative with </w:t>
      </w:r>
      <w:r>
        <w:t>High-Risk</w:t>
      </w:r>
      <w:r w:rsidRPr="00704163">
        <w:t xml:space="preserve"> </w:t>
      </w:r>
      <w:r>
        <w:t>Exposures in Past 3 Months</w:t>
      </w:r>
      <w:bookmarkEnd w:id="34"/>
    </w:p>
    <w:p w14:paraId="7516921F" w14:textId="0378824A" w:rsidR="00FD29DA" w:rsidRPr="00FD29DA" w:rsidRDefault="00FD29DA" w:rsidP="4E1BFB06">
      <w:pPr>
        <w:rPr>
          <w:rFonts w:asciiTheme="minorHAnsi" w:hAnsiTheme="minorHAnsi" w:cs="Myriad Pro Light"/>
          <w:i/>
          <w:iCs/>
        </w:rPr>
      </w:pPr>
      <w:r w:rsidRPr="2975BF85">
        <w:rPr>
          <w:rFonts w:asciiTheme="minorHAnsi" w:hAnsiTheme="minorHAnsi" w:cs="Myriad Pro Light"/>
        </w:rPr>
        <w:t xml:space="preserve">HCWs should be informed of symptoms of acute hepatitis, with advice to present if these occur. Routine follow-up testing will include HCV antibody at </w:t>
      </w:r>
      <w:r w:rsidR="005D787C">
        <w:rPr>
          <w:rFonts w:asciiTheme="minorHAnsi" w:hAnsiTheme="minorHAnsi" w:cs="Myriad Pro Light"/>
        </w:rPr>
        <w:t>three</w:t>
      </w:r>
      <w:r w:rsidRPr="2975BF85">
        <w:rPr>
          <w:rFonts w:asciiTheme="minorHAnsi" w:hAnsiTheme="minorHAnsi" w:cs="Myriad Pro Light"/>
        </w:rPr>
        <w:t xml:space="preserve"> months and </w:t>
      </w:r>
      <w:r w:rsidR="005D787C">
        <w:rPr>
          <w:rFonts w:asciiTheme="minorHAnsi" w:hAnsiTheme="minorHAnsi" w:cs="Myriad Pro Light"/>
        </w:rPr>
        <w:t>six</w:t>
      </w:r>
      <w:r w:rsidRPr="2975BF85">
        <w:rPr>
          <w:rFonts w:asciiTheme="minorHAnsi" w:hAnsiTheme="minorHAnsi" w:cs="Myriad Pro Light"/>
        </w:rPr>
        <w:t xml:space="preserve"> months. If the source person is HCV positive, additional testing is indicated with HCV PCR</w:t>
      </w:r>
      <w:r w:rsidR="791BE00B" w:rsidRPr="2975BF85">
        <w:rPr>
          <w:rFonts w:asciiTheme="minorHAnsi" w:hAnsiTheme="minorHAnsi" w:cs="Myriad Pro Light"/>
        </w:rPr>
        <w:t xml:space="preserve"> at </w:t>
      </w:r>
      <w:r w:rsidR="005D787C">
        <w:rPr>
          <w:rFonts w:asciiTheme="minorHAnsi" w:hAnsiTheme="minorHAnsi" w:cs="Myriad Pro Light"/>
        </w:rPr>
        <w:t>six</w:t>
      </w:r>
      <w:r w:rsidR="791BE00B" w:rsidRPr="2975BF85">
        <w:rPr>
          <w:rFonts w:asciiTheme="minorHAnsi" w:hAnsiTheme="minorHAnsi" w:cs="Myriad Pro Light"/>
        </w:rPr>
        <w:t xml:space="preserve"> weeks</w:t>
      </w:r>
      <w:r w:rsidRPr="2975BF85">
        <w:rPr>
          <w:rFonts w:asciiTheme="minorHAnsi" w:hAnsiTheme="minorHAnsi" w:cs="Myriad Pro Light"/>
        </w:rPr>
        <w:t xml:space="preserve"> and LFTs at </w:t>
      </w:r>
      <w:r w:rsidR="005D787C">
        <w:rPr>
          <w:rFonts w:asciiTheme="minorHAnsi" w:hAnsiTheme="minorHAnsi" w:cs="Myriad Pro Light"/>
        </w:rPr>
        <w:t>six</w:t>
      </w:r>
      <w:r w:rsidRPr="2975BF85">
        <w:rPr>
          <w:rFonts w:asciiTheme="minorHAnsi" w:hAnsiTheme="minorHAnsi" w:cs="Myriad Pro Light"/>
        </w:rPr>
        <w:t xml:space="preserve"> weeks</w:t>
      </w:r>
      <w:r w:rsidR="7639FF5E" w:rsidRPr="2975BF85">
        <w:rPr>
          <w:rFonts w:asciiTheme="minorHAnsi" w:hAnsiTheme="minorHAnsi" w:cs="Myriad Pro Light"/>
        </w:rPr>
        <w:t xml:space="preserve"> and </w:t>
      </w:r>
      <w:r w:rsidR="005D787C">
        <w:rPr>
          <w:rFonts w:asciiTheme="minorHAnsi" w:hAnsiTheme="minorHAnsi" w:cs="Myriad Pro Light"/>
        </w:rPr>
        <w:t>six</w:t>
      </w:r>
      <w:r w:rsidR="7639FF5E" w:rsidRPr="2975BF85">
        <w:rPr>
          <w:rFonts w:asciiTheme="minorHAnsi" w:hAnsiTheme="minorHAnsi" w:cs="Myriad Pro Light"/>
        </w:rPr>
        <w:t xml:space="preserve"> months</w:t>
      </w:r>
      <w:r w:rsidRPr="2975BF85">
        <w:rPr>
          <w:rFonts w:asciiTheme="minorHAnsi" w:hAnsiTheme="minorHAnsi" w:cs="Myriad Pro Light"/>
        </w:rPr>
        <w:t xml:space="preserve">. </w:t>
      </w:r>
      <w:r w:rsidRPr="2975BF85">
        <w:rPr>
          <w:rFonts w:asciiTheme="minorHAnsi" w:eastAsiaTheme="minorEastAsia" w:hAnsiTheme="minorHAnsi" w:cs="Times"/>
          <w:lang w:val="en-US"/>
        </w:rPr>
        <w:t xml:space="preserve">Due to the intermittent nature of HCV viremia in acute HCV infection, PCR testing should not be the sole screening test. </w:t>
      </w:r>
    </w:p>
    <w:p w14:paraId="161233C6" w14:textId="38BA72F8" w:rsidR="00FD29DA" w:rsidRPr="00FD29DA" w:rsidRDefault="00FD29DA" w:rsidP="00FD29DA">
      <w:pPr>
        <w:rPr>
          <w:rFonts w:asciiTheme="minorHAnsi" w:hAnsiTheme="minorHAnsi" w:cs="Myriad Pro Light"/>
        </w:rPr>
      </w:pPr>
      <w:r w:rsidRPr="00296017">
        <w:rPr>
          <w:rFonts w:asciiTheme="minorHAnsi" w:hAnsiTheme="minorHAnsi" w:cs="Myriad Pro Light"/>
        </w:rPr>
        <w:t xml:space="preserve">If the HCW is HCV antibody positive at baseline, HCV Ab is not required. Routine follow-up testing includes only HCV PCR and LFTs at </w:t>
      </w:r>
      <w:r w:rsidR="005D787C">
        <w:rPr>
          <w:rFonts w:asciiTheme="minorHAnsi" w:hAnsiTheme="minorHAnsi" w:cs="Myriad Pro Light"/>
        </w:rPr>
        <w:t>six</w:t>
      </w:r>
      <w:r w:rsidRPr="00296017">
        <w:rPr>
          <w:rFonts w:asciiTheme="minorHAnsi" w:hAnsiTheme="minorHAnsi" w:cs="Myriad Pro Light"/>
        </w:rPr>
        <w:t xml:space="preserve"> weeks and </w:t>
      </w:r>
      <w:r w:rsidR="005D787C">
        <w:rPr>
          <w:rFonts w:asciiTheme="minorHAnsi" w:hAnsiTheme="minorHAnsi" w:cs="Myriad Pro Light"/>
        </w:rPr>
        <w:t>six</w:t>
      </w:r>
      <w:r w:rsidRPr="00296017">
        <w:rPr>
          <w:rFonts w:asciiTheme="minorHAnsi" w:hAnsiTheme="minorHAnsi" w:cs="Myriad Pro Light"/>
        </w:rPr>
        <w:t xml:space="preserve"> months. HIV and HBV follow-up testing may also be required.</w:t>
      </w:r>
    </w:p>
    <w:p w14:paraId="5358E701" w14:textId="1235AD47" w:rsidR="00FD29DA" w:rsidRPr="00704163" w:rsidRDefault="00FD29DA" w:rsidP="00FD29DA">
      <w:pPr>
        <w:pStyle w:val="Heading5"/>
      </w:pPr>
      <w:bookmarkStart w:id="35" w:name="_Toc172812241"/>
      <w:r>
        <w:t>8.4</w:t>
      </w:r>
      <w:r>
        <w:tab/>
      </w:r>
      <w:r w:rsidRPr="00704163">
        <w:t xml:space="preserve">Source HIV, HBV and HCV Negative </w:t>
      </w:r>
      <w:r>
        <w:t>and W</w:t>
      </w:r>
      <w:r w:rsidRPr="00704163">
        <w:t xml:space="preserve">ithout </w:t>
      </w:r>
      <w:r>
        <w:t>High-Risk</w:t>
      </w:r>
      <w:r w:rsidRPr="00704163">
        <w:t xml:space="preserve"> </w:t>
      </w:r>
      <w:r>
        <w:t>Exposures</w:t>
      </w:r>
      <w:bookmarkEnd w:id="35"/>
      <w:r>
        <w:t xml:space="preserve"> </w:t>
      </w:r>
    </w:p>
    <w:p w14:paraId="4A878BA8" w14:textId="2CF26DAB" w:rsidR="00FD29DA" w:rsidRPr="00FD29DA" w:rsidRDefault="00FD29DA" w:rsidP="000B0119">
      <w:pPr>
        <w:pStyle w:val="BodyCopy"/>
        <w:rPr>
          <w:i/>
        </w:rPr>
      </w:pPr>
      <w:r w:rsidRPr="00704163">
        <w:t xml:space="preserve">For a HCW exposed to a source person who is </w:t>
      </w:r>
      <w:r w:rsidRPr="00704163">
        <w:rPr>
          <w:b/>
        </w:rPr>
        <w:t>negative</w:t>
      </w:r>
      <w:r w:rsidRPr="00704163">
        <w:t xml:space="preserve"> for BBVs </w:t>
      </w:r>
      <w:r w:rsidRPr="00E85C78">
        <w:rPr>
          <w:b/>
        </w:rPr>
        <w:t>and</w:t>
      </w:r>
      <w:r w:rsidRPr="00704163">
        <w:t xml:space="preserve"> </w:t>
      </w:r>
      <w:r>
        <w:t xml:space="preserve">does not report high risk exposures within the past </w:t>
      </w:r>
      <w:r w:rsidR="000B0119">
        <w:t>six</w:t>
      </w:r>
      <w:r>
        <w:t xml:space="preserve"> weeks for HIV or </w:t>
      </w:r>
      <w:r w:rsidR="000B0119">
        <w:t>three</w:t>
      </w:r>
      <w:r>
        <w:t xml:space="preserve"> months for HBV and HCV, </w:t>
      </w:r>
      <w:r w:rsidRPr="00704163">
        <w:t xml:space="preserve">the infection risk in the exposed HCW is extremely low </w:t>
      </w:r>
      <w:r>
        <w:t>and further testing is not required.</w:t>
      </w:r>
    </w:p>
    <w:p w14:paraId="4D057D41" w14:textId="77777777" w:rsidR="00FD29DA" w:rsidRPr="00704163" w:rsidRDefault="00FD29DA" w:rsidP="000B0119">
      <w:pPr>
        <w:pStyle w:val="BodyCopy"/>
      </w:pPr>
      <w:r w:rsidRPr="007D518C">
        <w:t>For more information, see the:</w:t>
      </w:r>
      <w:r w:rsidRPr="00704163">
        <w:t xml:space="preserve"> </w:t>
      </w:r>
    </w:p>
    <w:p w14:paraId="66A2FC8E" w14:textId="77777777" w:rsidR="00FD29DA" w:rsidRPr="00FD29DA" w:rsidRDefault="00FD29DA" w:rsidP="000B0119">
      <w:pPr>
        <w:pStyle w:val="Bullet"/>
      </w:pPr>
      <w:r w:rsidRPr="00FD29DA">
        <w:t xml:space="preserve">National Hepatitis B Testing Policy at </w:t>
      </w:r>
      <w:hyperlink r:id="rId17" w:history="1">
        <w:r w:rsidRPr="00FD29DA">
          <w:rPr>
            <w:rStyle w:val="Hyperlink"/>
            <w:rFonts w:asciiTheme="minorHAnsi" w:hAnsiTheme="minorHAnsi" w:cstheme="minorHAnsi"/>
            <w:iCs/>
          </w:rPr>
          <w:t>http://testingportal.ashm.org.au/hbv</w:t>
        </w:r>
      </w:hyperlink>
    </w:p>
    <w:p w14:paraId="15BFBA8A" w14:textId="77777777" w:rsidR="00FD29DA" w:rsidRPr="00FD29DA" w:rsidRDefault="00FD29DA" w:rsidP="000B0119">
      <w:pPr>
        <w:pStyle w:val="Bullet"/>
      </w:pPr>
      <w:r w:rsidRPr="00FD29DA">
        <w:t xml:space="preserve">National Hepatitis C Testing Policy at </w:t>
      </w:r>
      <w:hyperlink r:id="rId18" w:history="1">
        <w:r w:rsidRPr="00FD29DA">
          <w:rPr>
            <w:rStyle w:val="Hyperlink"/>
            <w:rFonts w:asciiTheme="minorHAnsi" w:hAnsiTheme="minorHAnsi" w:cstheme="minorHAnsi"/>
            <w:iCs/>
          </w:rPr>
          <w:t>http://testingportal.ashm.org.au/hcv</w:t>
        </w:r>
      </w:hyperlink>
      <w:r w:rsidRPr="00FD29DA">
        <w:t xml:space="preserve"> </w:t>
      </w:r>
    </w:p>
    <w:p w14:paraId="7F492ADC" w14:textId="1455D92F" w:rsidR="00FD29DA" w:rsidRPr="00FD29DA" w:rsidRDefault="00FD29DA" w:rsidP="000B0119">
      <w:pPr>
        <w:pStyle w:val="Bullet"/>
      </w:pPr>
      <w:r w:rsidRPr="00FD29DA">
        <w:t xml:space="preserve">National HIV Testing Policy at </w:t>
      </w:r>
      <w:hyperlink r:id="rId19" w:history="1">
        <w:r w:rsidRPr="00FD29DA">
          <w:rPr>
            <w:rStyle w:val="Hyperlink"/>
            <w:rFonts w:asciiTheme="minorHAnsi" w:hAnsiTheme="minorHAnsi" w:cstheme="minorHAnsi"/>
            <w:iCs/>
          </w:rPr>
          <w:t>http://testingportal.ashm.org.au/hiv</w:t>
        </w:r>
      </w:hyperlink>
      <w:r w:rsidRPr="00FD29DA">
        <w:t xml:space="preserve"> </w:t>
      </w:r>
    </w:p>
    <w:p w14:paraId="184214EB" w14:textId="34FE345B" w:rsidR="00FD29DA" w:rsidRDefault="00FD29DA" w:rsidP="00FD29DA">
      <w:pPr>
        <w:rPr>
          <w:rStyle w:val="Hyperlink"/>
        </w:rPr>
      </w:pPr>
      <w:r w:rsidRPr="003845B6">
        <w:t xml:space="preserve">National Guidelines for Post-Exposure Prophylaxis after Non-Occupational and Occupational Exposure to HIV at: </w:t>
      </w:r>
      <w:hyperlink r:id="rId20" w:history="1">
        <w:r w:rsidRPr="00091947">
          <w:rPr>
            <w:rStyle w:val="Hyperlink"/>
          </w:rPr>
          <w:t>https://ashm.org.au/HIV/hiv-management/PEP/</w:t>
        </w:r>
      </w:hyperlink>
    </w:p>
    <w:p w14:paraId="4D011F17" w14:textId="5D66E3F6" w:rsidR="00FD29DA" w:rsidRDefault="00FD29DA" w:rsidP="00FD29DA">
      <w:pPr>
        <w:pStyle w:val="BodyCopy"/>
        <w:rPr>
          <w:rStyle w:val="Hyperlink"/>
        </w:rPr>
      </w:pPr>
      <w:hyperlink w:anchor="_top" w:history="1">
        <w:r w:rsidRPr="004A7A7F">
          <w:rPr>
            <w:rStyle w:val="Hyperlink"/>
          </w:rPr>
          <w:t>Back to Contents</w:t>
        </w:r>
      </w:hyperlink>
    </w:p>
    <w:p w14:paraId="0590BA39" w14:textId="12F2ADDA" w:rsidR="00FD29DA" w:rsidRDefault="00FD29DA" w:rsidP="00F827BB">
      <w:pPr>
        <w:pStyle w:val="Heading4"/>
      </w:pPr>
      <w:bookmarkStart w:id="36" w:name="_Toc189830920"/>
      <w:r>
        <w:t>Section 9 – Managing Injury and Illness at CHS</w:t>
      </w:r>
      <w:bookmarkEnd w:id="36"/>
      <w:r>
        <w:t xml:space="preserve"> </w:t>
      </w:r>
    </w:p>
    <w:p w14:paraId="6C4AC41C" w14:textId="4CE5DC64" w:rsidR="00FD29DA" w:rsidRPr="001C488C" w:rsidRDefault="00FD29DA" w:rsidP="00FD29DA">
      <w:pPr>
        <w:pStyle w:val="Heading5"/>
      </w:pPr>
      <w:bookmarkStart w:id="37" w:name="_Toc467226624"/>
      <w:bookmarkStart w:id="38" w:name="_Toc172812243"/>
      <w:r>
        <w:t>9.1</w:t>
      </w:r>
      <w:r>
        <w:tab/>
        <w:t xml:space="preserve"> </w:t>
      </w:r>
      <w:r w:rsidRPr="001C488C">
        <w:t>Reporting Work Related Injuries – Staff</w:t>
      </w:r>
      <w:r w:rsidR="00E40B87">
        <w:t xml:space="preserve"> </w:t>
      </w:r>
      <w:proofErr w:type="gramStart"/>
      <w:r w:rsidR="00E40B87">
        <w:t xml:space="preserve">Incident </w:t>
      </w:r>
      <w:r w:rsidRPr="001C488C">
        <w:t xml:space="preserve"> Notification</w:t>
      </w:r>
      <w:bookmarkEnd w:id="37"/>
      <w:bookmarkEnd w:id="38"/>
      <w:proofErr w:type="gramEnd"/>
    </w:p>
    <w:p w14:paraId="0B524ACE" w14:textId="4F381661" w:rsidR="00FD29DA" w:rsidRDefault="00FD29DA" w:rsidP="00FD29DA">
      <w:pPr>
        <w:rPr>
          <w:sz w:val="22"/>
        </w:rPr>
      </w:pPr>
      <w:r>
        <w:t>In the event of a BBFE incident, the affected staff member must submit a staff incident</w:t>
      </w:r>
      <w:r w:rsidR="00E40B87">
        <w:t xml:space="preserve"> through the clinical incident management system (Riskman)</w:t>
      </w:r>
      <w:r>
        <w:t>. If the affected staff member is unable to enter an incident, their manager or colleague can report on their behalf. In this case, the incident will be sent to the affected staff member via Risk</w:t>
      </w:r>
      <w:r w:rsidR="00E40B87">
        <w:t>m</w:t>
      </w:r>
      <w:r>
        <w:t xml:space="preserve">an for their records. </w:t>
      </w:r>
    </w:p>
    <w:p w14:paraId="7DE6FB39" w14:textId="35BF7276" w:rsidR="00FD29DA" w:rsidRPr="003845B6" w:rsidRDefault="00FD29DA" w:rsidP="0074580C">
      <w:pPr>
        <w:tabs>
          <w:tab w:val="left" w:pos="709"/>
        </w:tabs>
      </w:pPr>
      <w:r>
        <w:t>The Risk</w:t>
      </w:r>
      <w:r w:rsidR="00E40B87">
        <w:t>m</w:t>
      </w:r>
      <w:r>
        <w:t>an incident will also be sent to the affected staff members manager for review and documentation of the investigation and implemented controls. The Work Health Safety team will then distribute the incident to the OMU/SH for their review and comment.  </w:t>
      </w:r>
    </w:p>
    <w:p w14:paraId="2140B977" w14:textId="26EBA0FB" w:rsidR="00FD29DA" w:rsidRPr="003845B6" w:rsidRDefault="00FD29DA" w:rsidP="0074580C">
      <w:pPr>
        <w:pStyle w:val="Heading5"/>
      </w:pPr>
      <w:bookmarkStart w:id="39" w:name="_Toc467226626"/>
      <w:bookmarkStart w:id="40" w:name="_Toc172812245"/>
      <w:r>
        <w:lastRenderedPageBreak/>
        <w:t>9.</w:t>
      </w:r>
      <w:r w:rsidR="0074580C">
        <w:t>2</w:t>
      </w:r>
      <w:r w:rsidR="0074580C">
        <w:tab/>
      </w:r>
      <w:r>
        <w:t xml:space="preserve"> </w:t>
      </w:r>
      <w:r w:rsidRPr="003845B6">
        <w:t>Leave Applications</w:t>
      </w:r>
      <w:bookmarkEnd w:id="39"/>
      <w:bookmarkEnd w:id="40"/>
    </w:p>
    <w:p w14:paraId="4B17BDB5" w14:textId="37E64B37" w:rsidR="00FD29DA" w:rsidRPr="00296017" w:rsidRDefault="00FD29DA" w:rsidP="00FD29DA">
      <w:pPr>
        <w:rPr>
          <w:rFonts w:asciiTheme="minorHAnsi" w:hAnsiTheme="minorHAnsi" w:cs="Times New Roman"/>
        </w:rPr>
      </w:pPr>
      <w:r w:rsidRPr="003845B6">
        <w:rPr>
          <w:rFonts w:asciiTheme="minorHAnsi" w:hAnsiTheme="minorHAnsi"/>
        </w:rPr>
        <w:t xml:space="preserve">If the exposed HCW is unable to return to work, </w:t>
      </w:r>
      <w:r>
        <w:rPr>
          <w:rFonts w:asciiTheme="minorHAnsi" w:hAnsiTheme="minorHAnsi"/>
        </w:rPr>
        <w:t>they</w:t>
      </w:r>
      <w:r w:rsidRPr="003845B6">
        <w:rPr>
          <w:rFonts w:asciiTheme="minorHAnsi" w:hAnsiTheme="minorHAnsi"/>
        </w:rPr>
        <w:t xml:space="preserve"> must apply for leave in accordance with </w:t>
      </w:r>
      <w:r>
        <w:rPr>
          <w:rFonts w:asciiTheme="minorHAnsi" w:hAnsiTheme="minorHAnsi"/>
        </w:rPr>
        <w:t>their</w:t>
      </w:r>
      <w:r w:rsidRPr="003845B6">
        <w:rPr>
          <w:rFonts w:asciiTheme="minorHAnsi" w:hAnsiTheme="minorHAnsi"/>
        </w:rPr>
        <w:t xml:space="preserve"> enterprise agreement (or employment contract) an</w:t>
      </w:r>
      <w:r w:rsidR="0074580C">
        <w:rPr>
          <w:rFonts w:asciiTheme="minorHAnsi" w:hAnsiTheme="minorHAnsi"/>
        </w:rPr>
        <w:t xml:space="preserve">d </w:t>
      </w:r>
      <w:r w:rsidRPr="003845B6">
        <w:rPr>
          <w:rFonts w:asciiTheme="minorHAnsi" w:hAnsiTheme="minorHAnsi"/>
        </w:rPr>
        <w:t>as required, produce relevant documentary evidence.</w:t>
      </w:r>
    </w:p>
    <w:p w14:paraId="4E39A2EF" w14:textId="4F2B49ED" w:rsidR="00FD29DA" w:rsidRDefault="0074580C" w:rsidP="00FD29DA">
      <w:pPr>
        <w:pStyle w:val="BodyCopy"/>
        <w:rPr>
          <w:rStyle w:val="Hyperlink"/>
        </w:rPr>
      </w:pPr>
      <w:hyperlink w:anchor="_top" w:history="1">
        <w:r w:rsidRPr="004A7A7F">
          <w:rPr>
            <w:rStyle w:val="Hyperlink"/>
          </w:rPr>
          <w:t>Back to Contents</w:t>
        </w:r>
      </w:hyperlink>
    </w:p>
    <w:p w14:paraId="06720B33" w14:textId="38AC7A91" w:rsidR="006F1FA4" w:rsidRPr="006F1FA4" w:rsidRDefault="006F1FA4" w:rsidP="00F827BB">
      <w:pPr>
        <w:pStyle w:val="Heading4"/>
        <w:rPr>
          <w:rStyle w:val="Hyperlink"/>
          <w:u w:val="none"/>
        </w:rPr>
      </w:pPr>
      <w:bookmarkStart w:id="41" w:name="_Toc189830921"/>
      <w:r w:rsidRPr="006F1FA4">
        <w:rPr>
          <w:rStyle w:val="Hyperlink"/>
          <w:u w:val="none"/>
        </w:rPr>
        <w:t xml:space="preserve">Section </w:t>
      </w:r>
      <w:r>
        <w:rPr>
          <w:rStyle w:val="Hyperlink"/>
          <w:u w:val="none"/>
        </w:rPr>
        <w:t>10 – Consumer Exposed to Blood and Bodily Fluid of Healthcare Worker or other CHS Consumer</w:t>
      </w:r>
      <w:bookmarkEnd w:id="41"/>
      <w:r>
        <w:rPr>
          <w:rStyle w:val="Hyperlink"/>
          <w:u w:val="none"/>
        </w:rPr>
        <w:t xml:space="preserve"> </w:t>
      </w:r>
    </w:p>
    <w:p w14:paraId="1D761266" w14:textId="065BBE0E" w:rsidR="006F1FA4" w:rsidRDefault="006F1FA4" w:rsidP="006F1FA4">
      <w:r>
        <w:t xml:space="preserve">In a circumstance where a consumer has been exposed to blood or bodily fluid during their care, screening and follow up will still need to occur. Notification and management in these situations should be completed by the relevant BBFE incident manger, as outlined in Table </w:t>
      </w:r>
      <w:r w:rsidR="002139E7">
        <w:t>7</w:t>
      </w:r>
      <w:r>
        <w:t xml:space="preserve">. </w:t>
      </w:r>
    </w:p>
    <w:p w14:paraId="5B43CC71" w14:textId="06359BD3" w:rsidR="006F1FA4" w:rsidRDefault="006F1FA4" w:rsidP="006F1FA4">
      <w:r>
        <w:t xml:space="preserve">The same assessment, consent and follow up as outlined in the procedure above with need to be completed. </w:t>
      </w:r>
    </w:p>
    <w:p w14:paraId="4C119EC8" w14:textId="0896D32A" w:rsidR="006F1FA4" w:rsidRDefault="006F1FA4" w:rsidP="006F1FA4">
      <w:r w:rsidRPr="00296017">
        <w:rPr>
          <w:b/>
          <w:bCs/>
        </w:rPr>
        <w:t xml:space="preserve">Table </w:t>
      </w:r>
      <w:r w:rsidR="002139E7">
        <w:rPr>
          <w:b/>
          <w:bCs/>
        </w:rPr>
        <w:t>7</w:t>
      </w:r>
      <w:r w:rsidRPr="00296017">
        <w:rPr>
          <w:b/>
          <w:bCs/>
        </w:rPr>
        <w:t xml:space="preserve"> –</w:t>
      </w:r>
      <w:r>
        <w:t xml:space="preserve"> </w:t>
      </w:r>
      <w:r w:rsidRPr="007042DA">
        <w:t xml:space="preserve">Contact details for the management of an exposed consumer after a BBFE. </w:t>
      </w:r>
    </w:p>
    <w:tbl>
      <w:tblPr>
        <w:tblStyle w:val="TableGrid"/>
        <w:tblW w:w="0" w:type="auto"/>
        <w:tblLook w:val="04A0" w:firstRow="1" w:lastRow="0" w:firstColumn="1" w:lastColumn="0" w:noHBand="0" w:noVBand="1"/>
      </w:tblPr>
      <w:tblGrid>
        <w:gridCol w:w="1668"/>
        <w:gridCol w:w="2155"/>
        <w:gridCol w:w="2551"/>
        <w:gridCol w:w="2835"/>
      </w:tblGrid>
      <w:tr w:rsidR="00F845B8" w14:paraId="72893F94" w14:textId="2C98D90A" w:rsidTr="00493941">
        <w:tc>
          <w:tcPr>
            <w:tcW w:w="1668" w:type="dxa"/>
          </w:tcPr>
          <w:p w14:paraId="345317BD" w14:textId="575EC2AD" w:rsidR="00F845B8" w:rsidRPr="00493941" w:rsidRDefault="00F845B8" w:rsidP="006F1FA4">
            <w:pPr>
              <w:rPr>
                <w:b/>
                <w:bCs/>
              </w:rPr>
            </w:pPr>
            <w:r w:rsidRPr="00493941">
              <w:rPr>
                <w:b/>
                <w:bCs/>
              </w:rPr>
              <w:t>Site</w:t>
            </w:r>
          </w:p>
        </w:tc>
        <w:tc>
          <w:tcPr>
            <w:tcW w:w="2155" w:type="dxa"/>
          </w:tcPr>
          <w:p w14:paraId="72C26F5F" w14:textId="7DE2BB41" w:rsidR="00F845B8" w:rsidRPr="00493941" w:rsidRDefault="00F845B8" w:rsidP="006F1FA4">
            <w:pPr>
              <w:rPr>
                <w:b/>
                <w:bCs/>
              </w:rPr>
            </w:pPr>
            <w:r w:rsidRPr="00493941">
              <w:rPr>
                <w:b/>
                <w:bCs/>
              </w:rPr>
              <w:t>Contact Details – Working Hours</w:t>
            </w:r>
          </w:p>
        </w:tc>
        <w:tc>
          <w:tcPr>
            <w:tcW w:w="2551" w:type="dxa"/>
          </w:tcPr>
          <w:p w14:paraId="283774D1" w14:textId="05AA9F70" w:rsidR="00F845B8" w:rsidRPr="00493941" w:rsidRDefault="00F845B8" w:rsidP="006F1FA4">
            <w:pPr>
              <w:rPr>
                <w:b/>
                <w:bCs/>
              </w:rPr>
            </w:pPr>
            <w:r w:rsidRPr="00493941">
              <w:rPr>
                <w:b/>
                <w:bCs/>
              </w:rPr>
              <w:t>Contact Details – Weekday After Hours</w:t>
            </w:r>
          </w:p>
        </w:tc>
        <w:tc>
          <w:tcPr>
            <w:tcW w:w="2835" w:type="dxa"/>
          </w:tcPr>
          <w:p w14:paraId="7ECB11B2" w14:textId="3043687F" w:rsidR="00F845B8" w:rsidRPr="00493941" w:rsidRDefault="00F845B8" w:rsidP="006F1FA4">
            <w:pPr>
              <w:rPr>
                <w:b/>
                <w:bCs/>
              </w:rPr>
            </w:pPr>
            <w:r w:rsidRPr="00493941">
              <w:rPr>
                <w:b/>
                <w:bCs/>
              </w:rPr>
              <w:t>Contact Details - Weekends and Public Holidays</w:t>
            </w:r>
          </w:p>
        </w:tc>
      </w:tr>
      <w:tr w:rsidR="00F845B8" w14:paraId="50EB827D" w14:textId="13BC1DD8" w:rsidTr="00493941">
        <w:tc>
          <w:tcPr>
            <w:tcW w:w="1668" w:type="dxa"/>
          </w:tcPr>
          <w:p w14:paraId="5F7639A3" w14:textId="26B6E6EA" w:rsidR="00F845B8" w:rsidRPr="00493941" w:rsidRDefault="00F845B8" w:rsidP="00F845B8">
            <w:pPr>
              <w:rPr>
                <w:b/>
                <w:bCs/>
              </w:rPr>
            </w:pPr>
            <w:r w:rsidRPr="00493941">
              <w:rPr>
                <w:b/>
                <w:bCs/>
              </w:rPr>
              <w:t>OMU, CH</w:t>
            </w:r>
          </w:p>
        </w:tc>
        <w:tc>
          <w:tcPr>
            <w:tcW w:w="2155" w:type="dxa"/>
          </w:tcPr>
          <w:p w14:paraId="558E089A" w14:textId="77680040" w:rsidR="00F845B8" w:rsidRDefault="00F845B8" w:rsidP="006F1FA4">
            <w:pPr>
              <w:rPr>
                <w:i/>
                <w:iCs/>
              </w:rPr>
            </w:pPr>
            <w:r w:rsidRPr="002131A1">
              <w:t>Monday</w:t>
            </w:r>
            <w:r w:rsidRPr="002131A1">
              <w:rPr>
                <w:noProof/>
              </w:rPr>
              <w:t xml:space="preserve"> to Friday </w:t>
            </w:r>
            <w:r>
              <w:rPr>
                <w:noProof/>
              </w:rPr>
              <w:br/>
            </w:r>
            <w:r w:rsidRPr="002131A1">
              <w:rPr>
                <w:noProof/>
              </w:rPr>
              <w:t>0</w:t>
            </w:r>
            <w:r>
              <w:rPr>
                <w:noProof/>
              </w:rPr>
              <w:t>8</w:t>
            </w:r>
            <w:r w:rsidRPr="002131A1">
              <w:rPr>
                <w:noProof/>
              </w:rPr>
              <w:t>00 – 1</w:t>
            </w:r>
            <w:r>
              <w:rPr>
                <w:noProof/>
              </w:rPr>
              <w:t xml:space="preserve">530, </w:t>
            </w:r>
            <w:r w:rsidRPr="007042DA">
              <w:rPr>
                <w:noProof/>
              </w:rPr>
              <w:t xml:space="preserve">OMU Registered Nurse </w:t>
            </w:r>
            <w:r>
              <w:rPr>
                <w:noProof/>
              </w:rPr>
              <w:t>- phone</w:t>
            </w:r>
            <w:r w:rsidRPr="007042DA">
              <w:rPr>
                <w:noProof/>
              </w:rPr>
              <w:t xml:space="preserve"> 512 42321 or </w:t>
            </w:r>
            <w:r w:rsidRPr="007042DA">
              <w:t>mobile 0422 114 632</w:t>
            </w:r>
          </w:p>
        </w:tc>
        <w:tc>
          <w:tcPr>
            <w:tcW w:w="2551" w:type="dxa"/>
          </w:tcPr>
          <w:p w14:paraId="44ECF122" w14:textId="34A0FB6C" w:rsidR="00F845B8" w:rsidRDefault="00F845B8" w:rsidP="006F1FA4">
            <w:pPr>
              <w:rPr>
                <w:i/>
                <w:iCs/>
              </w:rPr>
            </w:pPr>
            <w:r w:rsidRPr="002131A1">
              <w:t>Monday</w:t>
            </w:r>
            <w:r w:rsidRPr="002131A1">
              <w:rPr>
                <w:noProof/>
              </w:rPr>
              <w:t xml:space="preserve"> to Friday</w:t>
            </w:r>
            <w:r>
              <w:rPr>
                <w:noProof/>
              </w:rPr>
              <w:br/>
            </w:r>
            <w:r w:rsidRPr="002131A1">
              <w:rPr>
                <w:noProof/>
              </w:rPr>
              <w:t>1</w:t>
            </w:r>
            <w:r>
              <w:rPr>
                <w:noProof/>
              </w:rPr>
              <w:t>530</w:t>
            </w:r>
            <w:r w:rsidRPr="002131A1">
              <w:rPr>
                <w:noProof/>
              </w:rPr>
              <w:t xml:space="preserve"> – 0</w:t>
            </w:r>
            <w:r>
              <w:rPr>
                <w:noProof/>
              </w:rPr>
              <w:t>8</w:t>
            </w:r>
            <w:r w:rsidRPr="002131A1">
              <w:rPr>
                <w:noProof/>
              </w:rPr>
              <w:t>00</w:t>
            </w:r>
            <w:r>
              <w:rPr>
                <w:noProof/>
              </w:rPr>
              <w:t xml:space="preserve">, </w:t>
            </w:r>
            <w:r w:rsidRPr="007042DA">
              <w:rPr>
                <w:noProof/>
              </w:rPr>
              <w:t xml:space="preserve">After Hours Clinical Nurse Consultant </w:t>
            </w:r>
            <w:r>
              <w:rPr>
                <w:noProof/>
              </w:rPr>
              <w:t xml:space="preserve">– </w:t>
            </w:r>
            <w:r w:rsidRPr="002131A1">
              <w:rPr>
                <w:noProof/>
              </w:rPr>
              <w:t>Switchboard: Dial 9 or Ext. 42222</w:t>
            </w:r>
            <w:r>
              <w:rPr>
                <w:noProof/>
              </w:rPr>
              <w:t xml:space="preserve">, </w:t>
            </w:r>
            <w:r w:rsidRPr="002131A1">
              <w:rPr>
                <w:noProof/>
              </w:rPr>
              <w:t xml:space="preserve">or page 50479 </w:t>
            </w:r>
            <w:r>
              <w:rPr>
                <w:noProof/>
              </w:rPr>
              <w:t xml:space="preserve"> </w:t>
            </w:r>
          </w:p>
        </w:tc>
        <w:tc>
          <w:tcPr>
            <w:tcW w:w="2835" w:type="dxa"/>
          </w:tcPr>
          <w:p w14:paraId="32D1B492" w14:textId="0C2C4237" w:rsidR="00F845B8" w:rsidRDefault="00F845B8" w:rsidP="006F1FA4">
            <w:pPr>
              <w:rPr>
                <w:i/>
                <w:iCs/>
              </w:rPr>
            </w:pPr>
            <w:r w:rsidRPr="007042DA">
              <w:rPr>
                <w:noProof/>
              </w:rPr>
              <w:t xml:space="preserve">After Hours Clinical Nurse Consultant </w:t>
            </w:r>
            <w:r>
              <w:rPr>
                <w:noProof/>
              </w:rPr>
              <w:t xml:space="preserve">– </w:t>
            </w:r>
            <w:r w:rsidRPr="002131A1">
              <w:rPr>
                <w:noProof/>
              </w:rPr>
              <w:t>Switchboard: Dial 9 or Ext. 42222</w:t>
            </w:r>
            <w:r>
              <w:rPr>
                <w:noProof/>
              </w:rPr>
              <w:t xml:space="preserve">, </w:t>
            </w:r>
            <w:r w:rsidRPr="002131A1">
              <w:rPr>
                <w:noProof/>
              </w:rPr>
              <w:t>or page 50479</w:t>
            </w:r>
          </w:p>
        </w:tc>
      </w:tr>
      <w:tr w:rsidR="00F845B8" w14:paraId="6525040F" w14:textId="77777777" w:rsidTr="00F845B8">
        <w:tc>
          <w:tcPr>
            <w:tcW w:w="1668" w:type="dxa"/>
          </w:tcPr>
          <w:p w14:paraId="5E784B9B" w14:textId="56BB014E" w:rsidR="00F845B8" w:rsidRPr="00493941" w:rsidRDefault="00F845B8" w:rsidP="00493941">
            <w:pPr>
              <w:pStyle w:val="BodyCopy"/>
              <w:rPr>
                <w:b/>
              </w:rPr>
            </w:pPr>
            <w:r w:rsidRPr="00493941">
              <w:rPr>
                <w:b/>
              </w:rPr>
              <w:t>Staff Health Department, NCH</w:t>
            </w:r>
          </w:p>
        </w:tc>
        <w:tc>
          <w:tcPr>
            <w:tcW w:w="2155" w:type="dxa"/>
          </w:tcPr>
          <w:p w14:paraId="47F9565F" w14:textId="7735D993" w:rsidR="00F845B8" w:rsidRDefault="00F845B8" w:rsidP="00F845B8">
            <w:pPr>
              <w:rPr>
                <w:i/>
                <w:iCs/>
              </w:rPr>
            </w:pPr>
            <w:r>
              <w:rPr>
                <w:color w:val="000000"/>
              </w:rPr>
              <w:t>Monday to Friday</w:t>
            </w:r>
            <w:r>
              <w:rPr>
                <w:color w:val="000000"/>
              </w:rPr>
              <w:br/>
              <w:t xml:space="preserve">08:30 – 1700, </w:t>
            </w:r>
            <w:r w:rsidRPr="00F845B8">
              <w:rPr>
                <w:color w:val="000000"/>
              </w:rPr>
              <w:t>Staff Health Registered Nurse – phone 5103 7076</w:t>
            </w:r>
          </w:p>
        </w:tc>
        <w:tc>
          <w:tcPr>
            <w:tcW w:w="2551" w:type="dxa"/>
          </w:tcPr>
          <w:p w14:paraId="51C84151" w14:textId="77777777" w:rsidR="00F845B8" w:rsidRDefault="00F845B8" w:rsidP="00F845B8">
            <w:r w:rsidRPr="00B11FA8">
              <w:t xml:space="preserve">Home Team of the exposed patient </w:t>
            </w:r>
          </w:p>
          <w:p w14:paraId="6B8B2139" w14:textId="77777777" w:rsidR="00F845B8" w:rsidRPr="007042DA" w:rsidRDefault="00F845B8" w:rsidP="00F845B8">
            <w:pPr>
              <w:pStyle w:val="BodyCopy"/>
              <w:rPr>
                <w:iCs w:val="0"/>
              </w:rPr>
            </w:pPr>
            <w:r w:rsidRPr="007042DA">
              <w:rPr>
                <w:iCs w:val="0"/>
              </w:rPr>
              <w:t xml:space="preserve">Home Team of the source patient </w:t>
            </w:r>
          </w:p>
          <w:p w14:paraId="437344EA" w14:textId="53867E05" w:rsidR="00F845B8" w:rsidRDefault="00F845B8" w:rsidP="00F845B8">
            <w:pPr>
              <w:rPr>
                <w:i/>
                <w:iCs/>
              </w:rPr>
            </w:pPr>
            <w:r w:rsidRPr="007042DA">
              <w:t>Emergency Department if source is healthcare worker.</w:t>
            </w:r>
          </w:p>
        </w:tc>
        <w:tc>
          <w:tcPr>
            <w:tcW w:w="2835" w:type="dxa"/>
          </w:tcPr>
          <w:p w14:paraId="748B6473" w14:textId="77777777" w:rsidR="00F845B8" w:rsidRDefault="00F845B8" w:rsidP="00F845B8">
            <w:r w:rsidRPr="00B11FA8">
              <w:t xml:space="preserve">Home Team of the exposed patient </w:t>
            </w:r>
          </w:p>
          <w:p w14:paraId="351F536A" w14:textId="77777777" w:rsidR="00F845B8" w:rsidRPr="007042DA" w:rsidRDefault="00F845B8" w:rsidP="00F845B8">
            <w:pPr>
              <w:pStyle w:val="BodyCopy"/>
              <w:rPr>
                <w:iCs w:val="0"/>
              </w:rPr>
            </w:pPr>
            <w:r w:rsidRPr="007042DA">
              <w:rPr>
                <w:iCs w:val="0"/>
              </w:rPr>
              <w:t xml:space="preserve">Home Team of the source patient </w:t>
            </w:r>
          </w:p>
          <w:p w14:paraId="3827AD02" w14:textId="0DCFEBE4" w:rsidR="00F845B8" w:rsidRDefault="00F845B8" w:rsidP="00F845B8">
            <w:pPr>
              <w:rPr>
                <w:i/>
                <w:iCs/>
              </w:rPr>
            </w:pPr>
            <w:r w:rsidRPr="007042DA">
              <w:t>Emergency Department if source is healthcare worker.</w:t>
            </w:r>
          </w:p>
        </w:tc>
      </w:tr>
      <w:tr w:rsidR="00F845B8" w14:paraId="7394CEDF" w14:textId="77777777" w:rsidTr="00F845B8">
        <w:tc>
          <w:tcPr>
            <w:tcW w:w="1668" w:type="dxa"/>
          </w:tcPr>
          <w:p w14:paraId="3A780A68" w14:textId="276C5F6F" w:rsidR="00F845B8" w:rsidRPr="00493941" w:rsidRDefault="00F845B8" w:rsidP="00F845B8">
            <w:pPr>
              <w:rPr>
                <w:b/>
                <w:bCs/>
              </w:rPr>
            </w:pPr>
            <w:r w:rsidRPr="00493941">
              <w:rPr>
                <w:b/>
                <w:bCs/>
              </w:rPr>
              <w:lastRenderedPageBreak/>
              <w:t>UCH</w:t>
            </w:r>
          </w:p>
        </w:tc>
        <w:tc>
          <w:tcPr>
            <w:tcW w:w="2155" w:type="dxa"/>
          </w:tcPr>
          <w:p w14:paraId="2A33FB25" w14:textId="7B51E515" w:rsidR="00F845B8" w:rsidRDefault="00F845B8" w:rsidP="00F845B8">
            <w:pPr>
              <w:rPr>
                <w:i/>
                <w:iCs/>
              </w:rPr>
            </w:pPr>
            <w:r w:rsidRPr="001A1254">
              <w:t xml:space="preserve">ADON/After Hours Hospital Manager - </w:t>
            </w:r>
            <w:r w:rsidRPr="001A1254">
              <w:rPr>
                <w:noProof/>
              </w:rPr>
              <w:t xml:space="preserve">UCH switchboard </w:t>
            </w:r>
            <w:r w:rsidRPr="001A1254">
              <w:rPr>
                <w:color w:val="000000"/>
              </w:rPr>
              <w:t>5124 0033</w:t>
            </w:r>
          </w:p>
        </w:tc>
        <w:tc>
          <w:tcPr>
            <w:tcW w:w="2551" w:type="dxa"/>
          </w:tcPr>
          <w:p w14:paraId="2736793C" w14:textId="0FCE448E" w:rsidR="00F845B8" w:rsidRDefault="00F845B8" w:rsidP="00F845B8">
            <w:pPr>
              <w:rPr>
                <w:i/>
                <w:iCs/>
              </w:rPr>
            </w:pPr>
            <w:r w:rsidRPr="001A1254">
              <w:t xml:space="preserve">ADON/After Hours Hospital Manager - </w:t>
            </w:r>
            <w:r w:rsidRPr="001A1254">
              <w:rPr>
                <w:noProof/>
              </w:rPr>
              <w:t xml:space="preserve">UCH switchboard </w:t>
            </w:r>
            <w:r w:rsidRPr="001A1254">
              <w:rPr>
                <w:color w:val="000000"/>
              </w:rPr>
              <w:t>5124 0033</w:t>
            </w:r>
          </w:p>
        </w:tc>
        <w:tc>
          <w:tcPr>
            <w:tcW w:w="2835" w:type="dxa"/>
          </w:tcPr>
          <w:p w14:paraId="6FD5AE83" w14:textId="7728A638" w:rsidR="00F845B8" w:rsidRDefault="00F845B8" w:rsidP="00F845B8">
            <w:pPr>
              <w:rPr>
                <w:i/>
                <w:iCs/>
              </w:rPr>
            </w:pPr>
            <w:r w:rsidRPr="001A1254">
              <w:t xml:space="preserve">ADON/After Hours Hospital Manager - </w:t>
            </w:r>
            <w:r w:rsidRPr="001A1254">
              <w:rPr>
                <w:noProof/>
              </w:rPr>
              <w:t xml:space="preserve">UCH switchboard </w:t>
            </w:r>
            <w:r w:rsidRPr="001A1254">
              <w:rPr>
                <w:color w:val="000000"/>
              </w:rPr>
              <w:t>5124 0033</w:t>
            </w:r>
          </w:p>
        </w:tc>
      </w:tr>
    </w:tbl>
    <w:p w14:paraId="6E9A827B" w14:textId="4ED3A175" w:rsidR="006F1FA4" w:rsidRPr="000446EC" w:rsidRDefault="000446EC" w:rsidP="00FD29DA">
      <w:pPr>
        <w:pStyle w:val="BodyCopy"/>
      </w:pPr>
      <w:hyperlink w:anchor="_top" w:history="1">
        <w:r w:rsidRPr="004A7A7F">
          <w:rPr>
            <w:rStyle w:val="Hyperlink"/>
          </w:rPr>
          <w:t>Back to Contents</w:t>
        </w:r>
      </w:hyperlink>
    </w:p>
    <w:p w14:paraId="00942EA7" w14:textId="77777777" w:rsidR="00A6051F" w:rsidRDefault="00A6051F" w:rsidP="00F827BB">
      <w:pPr>
        <w:pStyle w:val="Heading4"/>
      </w:pPr>
      <w:bookmarkStart w:id="42" w:name="_Toc189830922"/>
      <w:r>
        <w:t>Related policies, procedures, guidelines and legislation</w:t>
      </w:r>
      <w:bookmarkEnd w:id="42"/>
    </w:p>
    <w:p w14:paraId="3AF3ACAC" w14:textId="77777777" w:rsidR="00481A6C" w:rsidRDefault="00481A6C" w:rsidP="00A6051F">
      <w:pPr>
        <w:pStyle w:val="Heading5"/>
      </w:pPr>
      <w:r w:rsidRPr="00A66966">
        <w:t>Policies</w:t>
      </w:r>
    </w:p>
    <w:p w14:paraId="353E8A18" w14:textId="750809BE" w:rsidR="000446EC" w:rsidRPr="000446EC" w:rsidRDefault="000446EC" w:rsidP="000F7452">
      <w:pPr>
        <w:pStyle w:val="Bullet"/>
      </w:pPr>
      <w:r w:rsidRPr="000446EC">
        <w:t xml:space="preserve">Work </w:t>
      </w:r>
      <w:r w:rsidR="00C00B21" w:rsidRPr="000446EC">
        <w:t>Health</w:t>
      </w:r>
      <w:r w:rsidR="00C00B21">
        <w:t xml:space="preserve"> </w:t>
      </w:r>
      <w:r w:rsidRPr="000446EC">
        <w:t>Safety</w:t>
      </w:r>
      <w:r w:rsidRPr="000446EC">
        <w:tab/>
      </w:r>
    </w:p>
    <w:p w14:paraId="38F12DB4" w14:textId="149AE6E2" w:rsidR="000446EC" w:rsidRPr="000446EC" w:rsidRDefault="000446EC" w:rsidP="000F7452">
      <w:pPr>
        <w:pStyle w:val="Bullet"/>
      </w:pPr>
      <w:r w:rsidRPr="000446EC">
        <w:t xml:space="preserve">Risk Management </w:t>
      </w:r>
    </w:p>
    <w:p w14:paraId="7CE4C323" w14:textId="77777777" w:rsidR="00481A6C" w:rsidRDefault="00481A6C" w:rsidP="00A6051F">
      <w:pPr>
        <w:pStyle w:val="Heading5"/>
      </w:pPr>
      <w:r>
        <w:t>Procedures</w:t>
      </w:r>
    </w:p>
    <w:p w14:paraId="14280AD6" w14:textId="1024B860" w:rsidR="000446EC" w:rsidRPr="00E8677A" w:rsidRDefault="000446EC" w:rsidP="000F7452">
      <w:pPr>
        <w:pStyle w:val="Bullet"/>
      </w:pPr>
      <w:r w:rsidRPr="00E8677A">
        <w:t>Blood</w:t>
      </w:r>
      <w:r w:rsidR="00C00B21">
        <w:t>-</w:t>
      </w:r>
      <w:r w:rsidRPr="00E8677A">
        <w:t>Borne Virus in Health Care Workers</w:t>
      </w:r>
    </w:p>
    <w:p w14:paraId="798AF3F3" w14:textId="6BC1FD8F" w:rsidR="000446EC" w:rsidRPr="00E8677A" w:rsidRDefault="000446EC" w:rsidP="000F7452">
      <w:pPr>
        <w:pStyle w:val="Bullet"/>
      </w:pPr>
      <w:r w:rsidRPr="00E8677A">
        <w:t>Infection Prevention and Control</w:t>
      </w:r>
    </w:p>
    <w:p w14:paraId="47115317" w14:textId="0890E830" w:rsidR="000D04DD" w:rsidRDefault="00C00B21" w:rsidP="000F7452">
      <w:pPr>
        <w:pStyle w:val="Bullet"/>
      </w:pPr>
      <w:r>
        <w:t>Infection Prevention and Control</w:t>
      </w:r>
      <w:r w:rsidRPr="00E8677A">
        <w:t xml:space="preserve"> </w:t>
      </w:r>
      <w:r>
        <w:t xml:space="preserve">- </w:t>
      </w:r>
      <w:r w:rsidR="000446EC" w:rsidRPr="00E8677A">
        <w:t>North Canberra Hospital</w:t>
      </w:r>
    </w:p>
    <w:p w14:paraId="21F6CD20" w14:textId="6891A321" w:rsidR="000446EC" w:rsidRPr="006822C5" w:rsidRDefault="000446EC" w:rsidP="000F7452">
      <w:pPr>
        <w:pStyle w:val="Bullet"/>
      </w:pPr>
      <w:r w:rsidRPr="00E8677A">
        <w:t>Occupational Assessment, Screening and Vaccination</w:t>
      </w:r>
    </w:p>
    <w:p w14:paraId="17366643" w14:textId="7B121FE5" w:rsidR="006822C5" w:rsidRPr="00A439D7" w:rsidRDefault="006822C5" w:rsidP="000F7452">
      <w:pPr>
        <w:pStyle w:val="Bullet"/>
        <w:rPr>
          <w:rFonts w:asciiTheme="minorHAnsi" w:hAnsiTheme="minorHAnsi" w:cstheme="minorHAnsi"/>
          <w:sz w:val="28"/>
          <w:szCs w:val="22"/>
        </w:rPr>
      </w:pPr>
      <w:r w:rsidRPr="00A439D7">
        <w:rPr>
          <w:rFonts w:asciiTheme="minorHAnsi" w:hAnsiTheme="minorHAnsi" w:cstheme="minorHAnsi"/>
        </w:rPr>
        <w:t xml:space="preserve">Language Services </w:t>
      </w:r>
      <w:r w:rsidR="000D04DD">
        <w:rPr>
          <w:rFonts w:asciiTheme="minorHAnsi" w:hAnsiTheme="minorHAnsi" w:cstheme="minorHAnsi"/>
        </w:rPr>
        <w:t xml:space="preserve">- </w:t>
      </w:r>
      <w:r w:rsidRPr="00A439D7">
        <w:rPr>
          <w:rFonts w:asciiTheme="minorHAnsi" w:hAnsiTheme="minorHAnsi" w:cstheme="minorHAnsi"/>
        </w:rPr>
        <w:t>Interpreters and Translated Materials</w:t>
      </w:r>
    </w:p>
    <w:p w14:paraId="2E7A9AF2" w14:textId="77777777" w:rsidR="00C00B21" w:rsidRDefault="00C00B21" w:rsidP="00A6051F">
      <w:pPr>
        <w:pStyle w:val="Heading5"/>
      </w:pPr>
      <w:r>
        <w:t xml:space="preserve">Guidelines </w:t>
      </w:r>
    </w:p>
    <w:p w14:paraId="6C4E1AF7" w14:textId="54C078DF" w:rsidR="00C00B21" w:rsidRPr="00C00B21" w:rsidRDefault="00C00B21" w:rsidP="001208A0">
      <w:pPr>
        <w:pStyle w:val="Bullet"/>
      </w:pPr>
      <w:r w:rsidRPr="000446EC">
        <w:t xml:space="preserve">Consent for Healthcare Treatment </w:t>
      </w:r>
    </w:p>
    <w:p w14:paraId="523C1227" w14:textId="084086A8" w:rsidR="00481A6C" w:rsidRDefault="00E8677A" w:rsidP="00A6051F">
      <w:pPr>
        <w:pStyle w:val="Heading5"/>
      </w:pPr>
      <w:r>
        <w:t xml:space="preserve">National Guidelines </w:t>
      </w:r>
    </w:p>
    <w:p w14:paraId="2C5CB917" w14:textId="630931EE" w:rsidR="00E8677A" w:rsidRPr="00E8677A" w:rsidRDefault="00E8677A" w:rsidP="000F7452">
      <w:pPr>
        <w:pStyle w:val="Bullet"/>
      </w:pPr>
      <w:r w:rsidRPr="00E8677A">
        <w:t xml:space="preserve">Australian National Guidelines for the Management of Healthcare Workers Living with Blood Borne Viruses and Healthcare Workers who Perform Exposure Prone Procedures at Risk of Exposure to Blood Borne Viruses (2018). Communicable Diseases Network Australia (CDNA). </w:t>
      </w:r>
      <w:hyperlink r:id="rId21" w:history="1">
        <w:r w:rsidRPr="0039622C">
          <w:rPr>
            <w:u w:val="single"/>
          </w:rPr>
          <w:t>https://www1.health.gov.au/internet/main/publishing.nsf/Content/cda-cdna-bloodborne.htm</w:t>
        </w:r>
      </w:hyperlink>
    </w:p>
    <w:p w14:paraId="7C358011" w14:textId="6EFA5D09" w:rsidR="00E8677A" w:rsidRPr="00E8677A" w:rsidRDefault="00E8677A" w:rsidP="000F7452">
      <w:pPr>
        <w:pStyle w:val="Bullet"/>
      </w:pPr>
      <w:r w:rsidRPr="00E8677A">
        <w:rPr>
          <w:iCs/>
        </w:rPr>
        <w:t xml:space="preserve">Australian Immunisation Handbook </w:t>
      </w:r>
      <w:r w:rsidRPr="00E8677A">
        <w:t xml:space="preserve">(2018). National Health and </w:t>
      </w:r>
      <w:r w:rsidRPr="00E8677A">
        <w:rPr>
          <w:iCs/>
        </w:rPr>
        <w:t>Medical Research Council (NHMRC).</w:t>
      </w:r>
      <w:r w:rsidR="0080595B">
        <w:rPr>
          <w:iCs/>
        </w:rPr>
        <w:t xml:space="preserve"> </w:t>
      </w:r>
      <w:hyperlink r:id="rId22" w:history="1">
        <w:r w:rsidR="0080595B" w:rsidRPr="003B4C6E">
          <w:rPr>
            <w:rStyle w:val="Hyperlink"/>
            <w:rFonts w:asciiTheme="minorHAnsi" w:hAnsiTheme="minorHAnsi" w:cstheme="minorHAnsi"/>
          </w:rPr>
          <w:t>https://www.health.gov.au/resources/publications/the-australian-immunisation-handbook</w:t>
        </w:r>
      </w:hyperlink>
      <w:r w:rsidR="0080595B">
        <w:rPr>
          <w:color w:val="0000FF"/>
          <w:u w:val="single"/>
        </w:rPr>
        <w:t xml:space="preserve"> </w:t>
      </w:r>
    </w:p>
    <w:p w14:paraId="2B7F0EC7" w14:textId="658C7538" w:rsidR="00E8677A" w:rsidRPr="00E8677A" w:rsidRDefault="00E8677A" w:rsidP="000F7452">
      <w:pPr>
        <w:pStyle w:val="Bullet"/>
        <w:rPr>
          <w:iCs/>
        </w:rPr>
      </w:pPr>
      <w:r w:rsidRPr="00E8677A">
        <w:rPr>
          <w:iCs/>
        </w:rPr>
        <w:t>Australian Guidelines for the Prevention and Control of Infection in Healthcare (2019). NHMRC</w:t>
      </w:r>
      <w:r w:rsidRPr="00E8677A">
        <w:rPr>
          <w:rStyle w:val="Hyperlink"/>
          <w:rFonts w:asciiTheme="minorHAnsi" w:hAnsiTheme="minorHAnsi" w:cstheme="minorHAnsi"/>
        </w:rPr>
        <w:t xml:space="preserve"> </w:t>
      </w:r>
      <w:hyperlink r:id="rId23" w:history="1">
        <w:r w:rsidR="0080595B" w:rsidRPr="003B4C6E">
          <w:rPr>
            <w:rStyle w:val="Hyperlink"/>
            <w:rFonts w:asciiTheme="minorHAnsi" w:hAnsiTheme="minorHAnsi" w:cstheme="minorHAnsi"/>
          </w:rPr>
          <w:t>https://www.nhmrc.gov.au/about-us/publications/australian-guidelines-prevention-and-control-infection-healthcare-2019</w:t>
        </w:r>
      </w:hyperlink>
      <w:r w:rsidR="0080595B">
        <w:rPr>
          <w:rStyle w:val="Hyperlink"/>
          <w:rFonts w:asciiTheme="minorHAnsi" w:hAnsiTheme="minorHAnsi" w:cstheme="minorHAnsi"/>
        </w:rPr>
        <w:t xml:space="preserve"> </w:t>
      </w:r>
    </w:p>
    <w:p w14:paraId="4466B2D9" w14:textId="1DBB14AB" w:rsidR="00E8677A" w:rsidRPr="0039622C" w:rsidRDefault="00E8677A" w:rsidP="000F7452">
      <w:pPr>
        <w:pStyle w:val="Bullet"/>
        <w:rPr>
          <w:u w:val="single"/>
        </w:rPr>
      </w:pPr>
      <w:r w:rsidRPr="00E8677A">
        <w:rPr>
          <w:iCs/>
        </w:rPr>
        <w:t xml:space="preserve">National Hepatitis B Testing Policy (2021). HBV Expert Reference Committee – A Joint Working Party of the BBVSS and MACBBVS.  </w:t>
      </w:r>
      <w:hyperlink r:id="rId24" w:history="1">
        <w:r w:rsidRPr="0039622C">
          <w:rPr>
            <w:u w:val="single"/>
          </w:rPr>
          <w:t>http://www.testingportal.ashm.org.au/national-hbv-testing-policy/</w:t>
        </w:r>
      </w:hyperlink>
      <w:r w:rsidRPr="0039622C">
        <w:rPr>
          <w:u w:val="single"/>
        </w:rPr>
        <w:t xml:space="preserve"> </w:t>
      </w:r>
    </w:p>
    <w:p w14:paraId="32E7FE68" w14:textId="77777777" w:rsidR="00E8677A" w:rsidRPr="0039622C" w:rsidRDefault="00E8677A" w:rsidP="000F7452">
      <w:pPr>
        <w:pStyle w:val="Bullet"/>
        <w:rPr>
          <w:iCs/>
        </w:rPr>
      </w:pPr>
      <w:r w:rsidRPr="0039622C">
        <w:rPr>
          <w:iCs/>
        </w:rPr>
        <w:lastRenderedPageBreak/>
        <w:t>National Hepatitis C Testing Policy (2020). HCV Expert Reference Committee – A Joint Working Party of the BBVSS and MACBBVS</w:t>
      </w:r>
      <w:r w:rsidRPr="0039622C">
        <w:rPr>
          <w:iCs/>
          <w:u w:val="single"/>
        </w:rPr>
        <w:t xml:space="preserve">.  </w:t>
      </w:r>
      <w:hyperlink r:id="rId25" w:history="1">
        <w:r w:rsidRPr="0039622C">
          <w:rPr>
            <w:iCs/>
            <w:u w:val="single"/>
          </w:rPr>
          <w:t>http://www.testingportal.ashm.org.au/national-hcv-testing-policy/</w:t>
        </w:r>
      </w:hyperlink>
      <w:r w:rsidRPr="0039622C">
        <w:rPr>
          <w:iCs/>
        </w:rPr>
        <w:t xml:space="preserve"> </w:t>
      </w:r>
    </w:p>
    <w:p w14:paraId="1F3C02B3" w14:textId="2FB89C11" w:rsidR="00E8677A" w:rsidRPr="0039622C" w:rsidRDefault="00E8677A" w:rsidP="000F7452">
      <w:pPr>
        <w:pStyle w:val="Bullet"/>
        <w:rPr>
          <w:iCs/>
        </w:rPr>
      </w:pPr>
      <w:r w:rsidRPr="0039622C">
        <w:rPr>
          <w:iCs/>
        </w:rPr>
        <w:t xml:space="preserve">National HIV Testing Policy (2020). HIV Expert Reference Committee – A Joint Working Party of the BBVSS and MACBBVS. </w:t>
      </w:r>
      <w:hyperlink r:id="rId26" w:history="1">
        <w:r w:rsidRPr="0039622C">
          <w:rPr>
            <w:u w:val="single"/>
          </w:rPr>
          <w:t>http://www.testingportal.ashm.org.au/national-hiv-testing-policy/</w:t>
        </w:r>
      </w:hyperlink>
    </w:p>
    <w:p w14:paraId="3B4220AB" w14:textId="777CF09F" w:rsidR="00E8677A" w:rsidRPr="00E8677A" w:rsidRDefault="00E8677A" w:rsidP="00E8677A">
      <w:pPr>
        <w:pStyle w:val="Heading5"/>
      </w:pPr>
      <w:r>
        <w:t xml:space="preserve">Legislation </w:t>
      </w:r>
    </w:p>
    <w:p w14:paraId="641B5D55" w14:textId="77777777" w:rsidR="00E8677A" w:rsidRPr="00E8677A" w:rsidRDefault="00E8677A" w:rsidP="0078010C">
      <w:pPr>
        <w:pStyle w:val="Heading6"/>
      </w:pPr>
      <w:r w:rsidRPr="00E8677A">
        <w:t xml:space="preserve">ACT Legislation  </w:t>
      </w:r>
    </w:p>
    <w:p w14:paraId="08D8712E" w14:textId="77777777" w:rsidR="00E8677A" w:rsidRPr="000F7452" w:rsidRDefault="00E8677A" w:rsidP="000F7452">
      <w:pPr>
        <w:pStyle w:val="Bullet"/>
        <w:rPr>
          <w:i/>
          <w:iCs/>
        </w:rPr>
      </w:pPr>
      <w:r w:rsidRPr="000F7452">
        <w:rPr>
          <w:i/>
          <w:iCs/>
        </w:rPr>
        <w:t xml:space="preserve">Work Health and Safety Act </w:t>
      </w:r>
      <w:r w:rsidRPr="000F7452">
        <w:t>2011</w:t>
      </w:r>
      <w:r w:rsidRPr="000F7452">
        <w:rPr>
          <w:i/>
          <w:iCs/>
        </w:rPr>
        <w:t xml:space="preserve"> </w:t>
      </w:r>
    </w:p>
    <w:p w14:paraId="727AA961" w14:textId="77777777" w:rsidR="00E8677A" w:rsidRPr="000F7452" w:rsidRDefault="00E8677A" w:rsidP="000F7452">
      <w:pPr>
        <w:pStyle w:val="Bullet"/>
        <w:rPr>
          <w:i/>
          <w:iCs/>
        </w:rPr>
      </w:pPr>
      <w:r w:rsidRPr="000F7452">
        <w:rPr>
          <w:i/>
          <w:iCs/>
        </w:rPr>
        <w:t xml:space="preserve">Health Records (Privacy and Access) Act </w:t>
      </w:r>
      <w:r w:rsidRPr="000F7452">
        <w:t>1997</w:t>
      </w:r>
      <w:r w:rsidRPr="000F7452">
        <w:rPr>
          <w:i/>
          <w:iCs/>
        </w:rPr>
        <w:t xml:space="preserve"> </w:t>
      </w:r>
    </w:p>
    <w:p w14:paraId="66C0ECDD" w14:textId="77777777" w:rsidR="00E8677A" w:rsidRPr="000F7452" w:rsidRDefault="00E8677A" w:rsidP="000F7452">
      <w:pPr>
        <w:pStyle w:val="Bullet"/>
        <w:rPr>
          <w:i/>
          <w:iCs/>
        </w:rPr>
      </w:pPr>
      <w:r w:rsidRPr="000F7452">
        <w:rPr>
          <w:i/>
          <w:iCs/>
        </w:rPr>
        <w:t xml:space="preserve">Medicines, Poisons and Therapeutic Goods Act </w:t>
      </w:r>
      <w:r w:rsidRPr="000F7452">
        <w:t>2008</w:t>
      </w:r>
      <w:r w:rsidRPr="000F7452">
        <w:rPr>
          <w:i/>
          <w:iCs/>
        </w:rPr>
        <w:t xml:space="preserve"> </w:t>
      </w:r>
    </w:p>
    <w:p w14:paraId="124BD997" w14:textId="77777777" w:rsidR="00E8677A" w:rsidRPr="000F7452" w:rsidRDefault="00E8677A" w:rsidP="000F7452">
      <w:pPr>
        <w:pStyle w:val="Bullet"/>
        <w:rPr>
          <w:i/>
          <w:iCs/>
        </w:rPr>
      </w:pPr>
      <w:r w:rsidRPr="000F7452">
        <w:rPr>
          <w:i/>
          <w:iCs/>
        </w:rPr>
        <w:t xml:space="preserve">Public Health Act </w:t>
      </w:r>
      <w:r w:rsidRPr="000F7452">
        <w:t>1997</w:t>
      </w:r>
      <w:r w:rsidRPr="000F7452">
        <w:rPr>
          <w:i/>
          <w:iCs/>
        </w:rPr>
        <w:t xml:space="preserve"> </w:t>
      </w:r>
    </w:p>
    <w:p w14:paraId="02E740A3" w14:textId="77777777" w:rsidR="00E8677A" w:rsidRPr="000F7452" w:rsidRDefault="00E8677A" w:rsidP="000F7452">
      <w:pPr>
        <w:pStyle w:val="Bullet"/>
        <w:rPr>
          <w:i/>
          <w:iCs/>
        </w:rPr>
      </w:pPr>
      <w:r w:rsidRPr="000F7452">
        <w:rPr>
          <w:i/>
          <w:iCs/>
        </w:rPr>
        <w:t xml:space="preserve">Humans Right Act </w:t>
      </w:r>
      <w:r w:rsidRPr="000F7452">
        <w:t>2004</w:t>
      </w:r>
      <w:r w:rsidRPr="000F7452">
        <w:rPr>
          <w:i/>
          <w:iCs/>
        </w:rPr>
        <w:t xml:space="preserve"> </w:t>
      </w:r>
    </w:p>
    <w:p w14:paraId="7CA76B54" w14:textId="77777777" w:rsidR="00E8677A" w:rsidRPr="00E8677A" w:rsidRDefault="00E8677A" w:rsidP="00E8677A">
      <w:pPr>
        <w:pStyle w:val="ListParagraph"/>
        <w:ind w:left="360"/>
        <w:rPr>
          <w:rFonts w:asciiTheme="minorHAnsi" w:hAnsiTheme="minorHAnsi" w:cstheme="minorHAnsi"/>
          <w:i/>
          <w:iCs/>
          <w:lang w:eastAsia="en-AU"/>
        </w:rPr>
      </w:pPr>
    </w:p>
    <w:p w14:paraId="3DCD659C" w14:textId="77777777" w:rsidR="00E8677A" w:rsidRPr="00E8677A" w:rsidRDefault="00E8677A" w:rsidP="0078010C">
      <w:pPr>
        <w:pStyle w:val="Heading6"/>
      </w:pPr>
      <w:r w:rsidRPr="00E8677A">
        <w:t xml:space="preserve">Commonwealth Legislation  </w:t>
      </w:r>
    </w:p>
    <w:p w14:paraId="65D15FFF" w14:textId="55B2858F" w:rsidR="00E8677A" w:rsidRPr="000F7452" w:rsidRDefault="00E8677A" w:rsidP="00D14164">
      <w:pPr>
        <w:pStyle w:val="ListParagraph"/>
        <w:numPr>
          <w:ilvl w:val="0"/>
          <w:numId w:val="8"/>
        </w:numPr>
        <w:rPr>
          <w:rFonts w:asciiTheme="minorHAnsi" w:hAnsiTheme="minorHAnsi" w:cstheme="minorHAnsi"/>
          <w:lang w:eastAsia="en-AU"/>
        </w:rPr>
      </w:pPr>
      <w:r w:rsidRPr="000F7452">
        <w:rPr>
          <w:rFonts w:asciiTheme="minorHAnsi" w:hAnsiTheme="minorHAnsi" w:cstheme="minorHAnsi"/>
        </w:rPr>
        <w:t>Australian Charter of Healthcare Rights</w:t>
      </w:r>
    </w:p>
    <w:p w14:paraId="5DEEAA45" w14:textId="77777777" w:rsidR="00DA1EEE" w:rsidRPr="00DA1EEE" w:rsidRDefault="00DA1EEE" w:rsidP="00DA1EEE">
      <w:pPr>
        <w:pStyle w:val="ListParagraph"/>
        <w:rPr>
          <w:rFonts w:asciiTheme="minorHAnsi" w:hAnsiTheme="minorHAnsi" w:cstheme="minorHAnsi"/>
          <w:lang w:eastAsia="en-AU"/>
        </w:rPr>
      </w:pPr>
    </w:p>
    <w:p w14:paraId="6A96F2EB" w14:textId="2D4397AF" w:rsidR="00640511" w:rsidRDefault="000E7683" w:rsidP="00640511">
      <w:pPr>
        <w:pStyle w:val="Bullet"/>
        <w:numPr>
          <w:ilvl w:val="0"/>
          <w:numId w:val="0"/>
        </w:numPr>
        <w:spacing w:after="240"/>
        <w:ind w:left="357" w:hanging="357"/>
        <w:rPr>
          <w:rStyle w:val="Hyperlink"/>
        </w:rPr>
      </w:pPr>
      <w:hyperlink w:anchor="_top" w:history="1">
        <w:r w:rsidRPr="004A7A7F">
          <w:rPr>
            <w:rStyle w:val="Hyperlink"/>
          </w:rPr>
          <w:t>Back to Contents</w:t>
        </w:r>
      </w:hyperlink>
    </w:p>
    <w:p w14:paraId="0C69E993" w14:textId="201F473D" w:rsidR="00640511" w:rsidRDefault="00640511" w:rsidP="00F827BB">
      <w:pPr>
        <w:pStyle w:val="Heading4"/>
      </w:pPr>
      <w:bookmarkStart w:id="43" w:name="_Toc189830923"/>
      <w:r>
        <w:t>Definition of Terms</w:t>
      </w:r>
      <w:bookmarkEnd w:id="43"/>
    </w:p>
    <w:p w14:paraId="14E442E1" w14:textId="77777777" w:rsidR="00640511" w:rsidRPr="009E64A1" w:rsidRDefault="00640511" w:rsidP="00BC5370">
      <w:pPr>
        <w:tabs>
          <w:tab w:val="left" w:pos="2127"/>
        </w:tabs>
        <w:spacing w:after="120"/>
        <w:ind w:left="2126" w:hanging="2126"/>
        <w:rPr>
          <w:rFonts w:asciiTheme="minorHAnsi" w:hAnsiTheme="minorHAnsi"/>
        </w:rPr>
      </w:pPr>
      <w:r>
        <w:rPr>
          <w:rFonts w:asciiTheme="minorHAnsi" w:hAnsiTheme="minorHAnsi"/>
          <w:b/>
          <w:bCs/>
        </w:rPr>
        <w:t>BBFE</w:t>
      </w:r>
      <w:r>
        <w:rPr>
          <w:rFonts w:asciiTheme="minorHAnsi" w:hAnsiTheme="minorHAnsi"/>
          <w:b/>
          <w:bCs/>
        </w:rPr>
        <w:tab/>
      </w:r>
      <w:r>
        <w:rPr>
          <w:rFonts w:asciiTheme="minorHAnsi" w:hAnsiTheme="minorHAnsi"/>
        </w:rPr>
        <w:t>Blood and body fluid exposure</w:t>
      </w:r>
    </w:p>
    <w:p w14:paraId="13E66F42" w14:textId="77777777" w:rsidR="00640511" w:rsidRPr="003845B6" w:rsidRDefault="00640511" w:rsidP="00BC5370">
      <w:pPr>
        <w:tabs>
          <w:tab w:val="left" w:pos="2127"/>
        </w:tabs>
        <w:spacing w:after="120"/>
        <w:ind w:left="2126" w:hanging="2126"/>
        <w:rPr>
          <w:rFonts w:asciiTheme="minorHAnsi" w:hAnsiTheme="minorHAnsi"/>
          <w:b/>
        </w:rPr>
      </w:pPr>
      <w:r w:rsidRPr="003845B6">
        <w:rPr>
          <w:rFonts w:asciiTheme="minorHAnsi" w:hAnsiTheme="minorHAnsi"/>
          <w:b/>
        </w:rPr>
        <w:t>BBV</w:t>
      </w:r>
      <w:r w:rsidRPr="003845B6">
        <w:rPr>
          <w:rFonts w:asciiTheme="minorHAnsi" w:hAnsiTheme="minorHAnsi"/>
          <w:b/>
        </w:rPr>
        <w:tab/>
      </w:r>
      <w:r w:rsidRPr="003845B6">
        <w:rPr>
          <w:rFonts w:asciiTheme="minorHAnsi" w:hAnsiTheme="minorHAnsi"/>
        </w:rPr>
        <w:t xml:space="preserve">Blood </w:t>
      </w:r>
      <w:r>
        <w:rPr>
          <w:rFonts w:asciiTheme="minorHAnsi" w:hAnsiTheme="minorHAnsi"/>
        </w:rPr>
        <w:t>b</w:t>
      </w:r>
      <w:r w:rsidRPr="003845B6">
        <w:rPr>
          <w:rFonts w:asciiTheme="minorHAnsi" w:hAnsiTheme="minorHAnsi"/>
        </w:rPr>
        <w:t xml:space="preserve">orne </w:t>
      </w:r>
      <w:r>
        <w:rPr>
          <w:rFonts w:asciiTheme="minorHAnsi" w:hAnsiTheme="minorHAnsi"/>
        </w:rPr>
        <w:t>v</w:t>
      </w:r>
      <w:r w:rsidRPr="003845B6">
        <w:rPr>
          <w:rFonts w:asciiTheme="minorHAnsi" w:hAnsiTheme="minorHAnsi"/>
        </w:rPr>
        <w:t xml:space="preserve">irus </w:t>
      </w:r>
    </w:p>
    <w:p w14:paraId="5E580D68" w14:textId="1D70E23B" w:rsidR="00640511" w:rsidRPr="003845B6" w:rsidRDefault="00640511" w:rsidP="00BC5370">
      <w:pPr>
        <w:tabs>
          <w:tab w:val="left" w:pos="2127"/>
        </w:tabs>
        <w:spacing w:after="120"/>
        <w:ind w:left="2126" w:hanging="2126"/>
        <w:rPr>
          <w:rFonts w:asciiTheme="minorHAnsi" w:eastAsia="CenturySchoolbook" w:hAnsiTheme="minorHAnsi" w:cs="CenturySchoolbook"/>
          <w:b/>
        </w:rPr>
      </w:pPr>
      <w:r w:rsidRPr="003845B6">
        <w:rPr>
          <w:rFonts w:asciiTheme="minorHAnsi" w:eastAsia="CenturySchoolbook" w:hAnsiTheme="minorHAnsi" w:cs="CenturySchoolbook"/>
          <w:b/>
        </w:rPr>
        <w:t>HCWs</w:t>
      </w:r>
      <w:r>
        <w:rPr>
          <w:rFonts w:asciiTheme="minorHAnsi" w:eastAsia="CenturySchoolbook" w:hAnsiTheme="minorHAnsi" w:cs="CenturySchoolbook"/>
          <w:b/>
        </w:rPr>
        <w:t xml:space="preserve"> with a BBV </w:t>
      </w:r>
      <w:r w:rsidRPr="003845B6">
        <w:rPr>
          <w:rFonts w:asciiTheme="minorHAnsi" w:eastAsia="CenturySchoolbook" w:hAnsiTheme="minorHAnsi" w:cs="CenturySchoolbook"/>
        </w:rPr>
        <w:t xml:space="preserve">HCWs who </w:t>
      </w:r>
      <w:r>
        <w:rPr>
          <w:rFonts w:asciiTheme="minorHAnsi" w:eastAsia="CenturySchoolbook" w:hAnsiTheme="minorHAnsi" w:cs="CenturySchoolbook"/>
        </w:rPr>
        <w:t xml:space="preserve">have a BBV, such as HIV, HCV and/or HBV </w:t>
      </w:r>
    </w:p>
    <w:p w14:paraId="730728D8" w14:textId="77777777" w:rsidR="00640511" w:rsidRPr="003845B6" w:rsidRDefault="00640511" w:rsidP="00BC5370">
      <w:pPr>
        <w:tabs>
          <w:tab w:val="left" w:pos="2127"/>
        </w:tabs>
        <w:autoSpaceDE w:val="0"/>
        <w:autoSpaceDN w:val="0"/>
        <w:adjustRightInd w:val="0"/>
        <w:spacing w:after="120"/>
        <w:ind w:left="2126" w:hanging="2126"/>
        <w:rPr>
          <w:rFonts w:asciiTheme="minorHAnsi" w:hAnsiTheme="minorHAnsi"/>
        </w:rPr>
      </w:pPr>
      <w:r w:rsidRPr="003845B6">
        <w:rPr>
          <w:rFonts w:asciiTheme="minorHAnsi" w:hAnsiTheme="minorHAnsi"/>
          <w:b/>
        </w:rPr>
        <w:t xml:space="preserve">Contractor </w:t>
      </w:r>
      <w:r w:rsidRPr="003845B6">
        <w:rPr>
          <w:rFonts w:asciiTheme="minorHAnsi" w:hAnsiTheme="minorHAnsi"/>
          <w:b/>
        </w:rPr>
        <w:tab/>
      </w:r>
      <w:r>
        <w:rPr>
          <w:rFonts w:asciiTheme="minorHAnsi" w:hAnsiTheme="minorHAnsi"/>
        </w:rPr>
        <w:t>A</w:t>
      </w:r>
      <w:r w:rsidRPr="003845B6">
        <w:rPr>
          <w:rFonts w:asciiTheme="minorHAnsi" w:hAnsiTheme="minorHAnsi"/>
        </w:rPr>
        <w:t>ny company, partnership, other entity, or individual that does not have a direct employment relationship with CHS and has an agreement to provide CHS with services</w:t>
      </w:r>
      <w:r>
        <w:rPr>
          <w:rFonts w:asciiTheme="minorHAnsi" w:hAnsiTheme="minorHAnsi"/>
        </w:rPr>
        <w:t>.</w:t>
      </w:r>
      <w:r w:rsidRPr="003845B6">
        <w:rPr>
          <w:rFonts w:asciiTheme="minorHAnsi" w:hAnsiTheme="minorHAnsi"/>
        </w:rPr>
        <w:t xml:space="preserve"> </w:t>
      </w:r>
    </w:p>
    <w:p w14:paraId="74B6CD0B" w14:textId="77777777" w:rsidR="00640511" w:rsidRPr="003845B6" w:rsidRDefault="00640511" w:rsidP="00BC5370">
      <w:pPr>
        <w:tabs>
          <w:tab w:val="left" w:pos="2127"/>
        </w:tabs>
        <w:spacing w:after="120"/>
        <w:ind w:left="2126" w:hanging="2126"/>
        <w:rPr>
          <w:rFonts w:asciiTheme="minorHAnsi" w:eastAsia="CenturySchoolbook" w:hAnsiTheme="minorHAnsi" w:cs="CenturySchoolbook"/>
        </w:rPr>
      </w:pPr>
      <w:r w:rsidRPr="003845B6">
        <w:rPr>
          <w:rFonts w:asciiTheme="minorHAnsi" w:eastAsia="CenturySchoolbook" w:hAnsiTheme="minorHAnsi" w:cs="CenturySchoolbook"/>
          <w:b/>
        </w:rPr>
        <w:t>EPPs</w:t>
      </w:r>
      <w:r w:rsidRPr="003845B6">
        <w:rPr>
          <w:rFonts w:asciiTheme="minorHAnsi" w:eastAsia="CenturySchoolbook" w:hAnsiTheme="minorHAnsi" w:cs="CenturySchoolbook"/>
          <w:b/>
        </w:rPr>
        <w:tab/>
      </w:r>
      <w:r>
        <w:rPr>
          <w:rFonts w:asciiTheme="minorHAnsi" w:hAnsiTheme="minorHAnsi"/>
          <w:bCs/>
        </w:rPr>
        <w:t>E</w:t>
      </w:r>
      <w:r w:rsidRPr="003845B6">
        <w:rPr>
          <w:rFonts w:asciiTheme="minorHAnsi" w:hAnsiTheme="minorHAnsi"/>
          <w:bCs/>
        </w:rPr>
        <w:t xml:space="preserve">xposure prone procedures. EPPs </w:t>
      </w:r>
      <w:r>
        <w:rPr>
          <w:rFonts w:asciiTheme="minorHAnsi" w:hAnsiTheme="minorHAnsi"/>
          <w:bCs/>
        </w:rPr>
        <w:t xml:space="preserve">are procedures where there is a risk of injury to the HCW resulting in exposure of the patient’s open tissues to the blood of the HCW. </w:t>
      </w:r>
    </w:p>
    <w:p w14:paraId="23E51276" w14:textId="77777777" w:rsidR="00640511" w:rsidRPr="003845B6" w:rsidRDefault="00640511" w:rsidP="00BC5370">
      <w:pPr>
        <w:tabs>
          <w:tab w:val="left" w:pos="2127"/>
        </w:tabs>
        <w:spacing w:after="120"/>
        <w:ind w:left="2126" w:hanging="2126"/>
        <w:rPr>
          <w:rFonts w:asciiTheme="minorHAnsi" w:hAnsiTheme="minorHAnsi"/>
          <w:szCs w:val="22"/>
        </w:rPr>
      </w:pPr>
      <w:r w:rsidRPr="003845B6">
        <w:rPr>
          <w:rFonts w:asciiTheme="minorHAnsi" w:hAnsiTheme="minorHAnsi"/>
          <w:b/>
          <w:bCs/>
          <w:szCs w:val="22"/>
        </w:rPr>
        <w:t xml:space="preserve">Exposure </w:t>
      </w:r>
      <w:r w:rsidRPr="003845B6">
        <w:rPr>
          <w:rFonts w:asciiTheme="minorHAnsi" w:hAnsiTheme="minorHAnsi"/>
          <w:b/>
          <w:bCs/>
          <w:szCs w:val="22"/>
        </w:rPr>
        <w:tab/>
      </w:r>
      <w:r>
        <w:rPr>
          <w:rFonts w:asciiTheme="minorHAnsi" w:hAnsiTheme="minorHAnsi"/>
          <w:bCs/>
          <w:szCs w:val="22"/>
        </w:rPr>
        <w:t>C</w:t>
      </w:r>
      <w:r w:rsidRPr="003845B6">
        <w:rPr>
          <w:rFonts w:asciiTheme="minorHAnsi" w:hAnsiTheme="minorHAnsi"/>
          <w:szCs w:val="22"/>
        </w:rPr>
        <w:t>ontact between blood or other body fluids with the eyes, skin</w:t>
      </w:r>
      <w:r>
        <w:rPr>
          <w:rFonts w:asciiTheme="minorHAnsi" w:hAnsiTheme="minorHAnsi"/>
          <w:szCs w:val="22"/>
        </w:rPr>
        <w:t>,</w:t>
      </w:r>
      <w:r w:rsidRPr="003845B6">
        <w:rPr>
          <w:rFonts w:asciiTheme="minorHAnsi" w:hAnsiTheme="minorHAnsi"/>
          <w:szCs w:val="22"/>
        </w:rPr>
        <w:t xml:space="preserve"> or mucous membranes of the exposed HCW.</w:t>
      </w:r>
    </w:p>
    <w:p w14:paraId="26020F43" w14:textId="77777777" w:rsidR="00640511" w:rsidRDefault="00640511" w:rsidP="00BC5370">
      <w:pPr>
        <w:tabs>
          <w:tab w:val="left" w:pos="2127"/>
        </w:tabs>
        <w:spacing w:after="120"/>
        <w:ind w:left="2126" w:hanging="2126"/>
        <w:contextualSpacing/>
        <w:rPr>
          <w:rFonts w:asciiTheme="minorHAnsi" w:hAnsiTheme="minorHAnsi" w:cs="CorporateSBQ-Light"/>
        </w:rPr>
      </w:pPr>
      <w:r w:rsidRPr="003845B6">
        <w:rPr>
          <w:rFonts w:asciiTheme="minorHAnsi" w:hAnsiTheme="minorHAnsi" w:cs="CorporateSBQ-Light"/>
          <w:b/>
        </w:rPr>
        <w:t>HCW</w:t>
      </w:r>
      <w:r w:rsidRPr="003845B6">
        <w:rPr>
          <w:rFonts w:asciiTheme="minorHAnsi" w:hAnsiTheme="minorHAnsi" w:cs="CorporateSBQ-Light"/>
          <w:b/>
        </w:rPr>
        <w:tab/>
      </w:r>
      <w:r>
        <w:rPr>
          <w:rFonts w:asciiTheme="minorHAnsi" w:hAnsiTheme="minorHAnsi" w:cs="CorporateSBQ-Light"/>
        </w:rPr>
        <w:t>H</w:t>
      </w:r>
      <w:r w:rsidRPr="003845B6">
        <w:rPr>
          <w:rFonts w:asciiTheme="minorHAnsi" w:hAnsiTheme="minorHAnsi" w:cs="CorporateSBQ-Light"/>
        </w:rPr>
        <w:t>ealth care worker</w:t>
      </w:r>
    </w:p>
    <w:p w14:paraId="392DCDF9" w14:textId="77777777" w:rsidR="00640511" w:rsidRPr="003845B6" w:rsidRDefault="00640511" w:rsidP="00BC5370">
      <w:pPr>
        <w:tabs>
          <w:tab w:val="left" w:pos="2127"/>
        </w:tabs>
        <w:spacing w:after="120"/>
        <w:ind w:left="2126" w:hanging="2126"/>
        <w:contextualSpacing/>
        <w:rPr>
          <w:rFonts w:asciiTheme="minorHAnsi" w:hAnsiTheme="minorHAnsi" w:cs="CorporateSBQ-Light"/>
        </w:rPr>
      </w:pPr>
    </w:p>
    <w:p w14:paraId="38104160" w14:textId="77777777" w:rsidR="00640511" w:rsidRPr="003845B6" w:rsidRDefault="00640511" w:rsidP="00BC5370">
      <w:pPr>
        <w:tabs>
          <w:tab w:val="left" w:pos="2127"/>
        </w:tabs>
        <w:spacing w:after="120"/>
        <w:ind w:left="2126" w:hanging="2126"/>
        <w:rPr>
          <w:rFonts w:asciiTheme="minorHAnsi" w:hAnsiTheme="minorHAnsi"/>
          <w:b/>
          <w:bCs/>
        </w:rPr>
      </w:pPr>
      <w:r w:rsidRPr="003845B6">
        <w:rPr>
          <w:rFonts w:asciiTheme="minorHAnsi" w:hAnsiTheme="minorHAnsi"/>
          <w:b/>
          <w:bCs/>
        </w:rPr>
        <w:t>Hepatitis B</w:t>
      </w:r>
      <w:r w:rsidRPr="003845B6">
        <w:rPr>
          <w:rFonts w:asciiTheme="minorHAnsi" w:hAnsiTheme="minorHAnsi"/>
        </w:rPr>
        <w:tab/>
        <w:t>Hepatitis B Virus (HBV)</w:t>
      </w:r>
    </w:p>
    <w:p w14:paraId="62A8D704" w14:textId="77777777" w:rsidR="00640511" w:rsidRPr="003845B6" w:rsidRDefault="00640511" w:rsidP="00BC5370">
      <w:pPr>
        <w:tabs>
          <w:tab w:val="left" w:pos="2127"/>
        </w:tabs>
        <w:spacing w:after="120"/>
        <w:ind w:left="2126" w:hanging="2126"/>
        <w:rPr>
          <w:rFonts w:asciiTheme="minorHAnsi" w:hAnsiTheme="minorHAnsi"/>
          <w:b/>
          <w:bCs/>
        </w:rPr>
      </w:pPr>
      <w:r w:rsidRPr="003845B6">
        <w:rPr>
          <w:rFonts w:asciiTheme="minorHAnsi" w:hAnsiTheme="minorHAnsi"/>
          <w:b/>
          <w:bCs/>
        </w:rPr>
        <w:t>Hepatitis C</w:t>
      </w:r>
      <w:r w:rsidRPr="003845B6">
        <w:rPr>
          <w:rFonts w:asciiTheme="minorHAnsi" w:hAnsiTheme="minorHAnsi"/>
          <w:b/>
          <w:bCs/>
        </w:rPr>
        <w:tab/>
      </w:r>
      <w:r w:rsidRPr="003845B6">
        <w:rPr>
          <w:rFonts w:asciiTheme="minorHAnsi" w:hAnsiTheme="minorHAnsi"/>
        </w:rPr>
        <w:t>Hepatitis C Virus (HCV)</w:t>
      </w:r>
      <w:r w:rsidRPr="003845B6">
        <w:rPr>
          <w:rFonts w:asciiTheme="minorHAnsi" w:hAnsiTheme="minorHAnsi"/>
        </w:rPr>
        <w:tab/>
      </w:r>
      <w:r w:rsidRPr="003845B6">
        <w:rPr>
          <w:rFonts w:asciiTheme="minorHAnsi" w:hAnsiTheme="minorHAnsi"/>
        </w:rPr>
        <w:tab/>
      </w:r>
    </w:p>
    <w:p w14:paraId="024D97D0" w14:textId="77777777" w:rsidR="00640511" w:rsidRPr="003845B6" w:rsidRDefault="00640511" w:rsidP="00BC5370">
      <w:pPr>
        <w:tabs>
          <w:tab w:val="left" w:pos="2127"/>
        </w:tabs>
        <w:spacing w:after="120"/>
        <w:ind w:left="2126" w:hanging="2126"/>
        <w:rPr>
          <w:rFonts w:asciiTheme="minorHAnsi" w:hAnsiTheme="minorHAnsi"/>
        </w:rPr>
      </w:pPr>
      <w:r w:rsidRPr="003845B6">
        <w:rPr>
          <w:rFonts w:asciiTheme="minorHAnsi" w:hAnsiTheme="minorHAnsi"/>
          <w:b/>
          <w:bCs/>
        </w:rPr>
        <w:lastRenderedPageBreak/>
        <w:t>HBIG</w:t>
      </w:r>
      <w:r w:rsidRPr="003845B6">
        <w:rPr>
          <w:rFonts w:asciiTheme="minorHAnsi" w:hAnsiTheme="minorHAnsi"/>
          <w:sz w:val="32"/>
        </w:rPr>
        <w:tab/>
      </w:r>
      <w:r w:rsidRPr="003845B6">
        <w:rPr>
          <w:rFonts w:asciiTheme="minorHAnsi" w:hAnsiTheme="minorHAnsi"/>
          <w:bCs/>
        </w:rPr>
        <w:t>Hepatitis B specific immunoglobulin.</w:t>
      </w:r>
      <w:r w:rsidRPr="003845B6">
        <w:rPr>
          <w:rFonts w:asciiTheme="minorHAnsi" w:hAnsiTheme="minorHAnsi"/>
          <w:sz w:val="32"/>
        </w:rPr>
        <w:tab/>
      </w:r>
    </w:p>
    <w:p w14:paraId="75C5B47E" w14:textId="77777777" w:rsidR="00640511" w:rsidRPr="003845B6" w:rsidRDefault="00640511" w:rsidP="00BC5370">
      <w:pPr>
        <w:tabs>
          <w:tab w:val="left" w:pos="2127"/>
          <w:tab w:val="left" w:pos="2410"/>
          <w:tab w:val="left" w:pos="3828"/>
          <w:tab w:val="left" w:pos="5245"/>
          <w:tab w:val="left" w:pos="6521"/>
          <w:tab w:val="left" w:pos="7230"/>
          <w:tab w:val="left" w:pos="7655"/>
        </w:tabs>
        <w:spacing w:after="120"/>
        <w:ind w:left="2126" w:hanging="2126"/>
        <w:rPr>
          <w:rFonts w:asciiTheme="minorHAnsi" w:hAnsiTheme="minorHAnsi"/>
          <w:b/>
        </w:rPr>
      </w:pPr>
      <w:r w:rsidRPr="003845B6">
        <w:rPr>
          <w:rFonts w:asciiTheme="minorHAnsi" w:hAnsiTheme="minorHAnsi"/>
          <w:b/>
          <w:bCs/>
        </w:rPr>
        <w:t>HIV</w:t>
      </w:r>
      <w:r w:rsidRPr="003845B6">
        <w:rPr>
          <w:rFonts w:asciiTheme="minorHAnsi" w:hAnsiTheme="minorHAnsi"/>
          <w:b/>
          <w:bCs/>
        </w:rPr>
        <w:tab/>
      </w:r>
      <w:r w:rsidRPr="003845B6">
        <w:rPr>
          <w:rFonts w:asciiTheme="minorHAnsi" w:hAnsiTheme="minorHAnsi"/>
        </w:rPr>
        <w:t>Human Immunodeficiency Virus.</w:t>
      </w:r>
    </w:p>
    <w:p w14:paraId="3CAA2CE1" w14:textId="77777777" w:rsidR="00640511" w:rsidRPr="003845B6" w:rsidRDefault="00640511" w:rsidP="00BC5370">
      <w:pPr>
        <w:tabs>
          <w:tab w:val="left" w:pos="2127"/>
        </w:tabs>
        <w:spacing w:after="120"/>
        <w:ind w:left="2126" w:hanging="2126"/>
        <w:rPr>
          <w:rFonts w:asciiTheme="minorHAnsi" w:hAnsiTheme="minorHAnsi"/>
          <w:szCs w:val="22"/>
        </w:rPr>
      </w:pPr>
      <w:r w:rsidRPr="003845B6">
        <w:rPr>
          <w:rFonts w:asciiTheme="minorHAnsi" w:hAnsiTheme="minorHAnsi"/>
          <w:b/>
          <w:bCs/>
          <w:szCs w:val="22"/>
        </w:rPr>
        <w:t>PEP</w:t>
      </w:r>
      <w:r w:rsidRPr="003845B6">
        <w:rPr>
          <w:rFonts w:asciiTheme="minorHAnsi" w:hAnsiTheme="minorHAnsi"/>
          <w:b/>
          <w:bCs/>
          <w:szCs w:val="22"/>
        </w:rPr>
        <w:tab/>
      </w:r>
      <w:r w:rsidRPr="003845B6">
        <w:rPr>
          <w:rFonts w:asciiTheme="minorHAnsi" w:hAnsiTheme="minorHAnsi"/>
          <w:bCs/>
          <w:szCs w:val="22"/>
        </w:rPr>
        <w:t xml:space="preserve">Post </w:t>
      </w:r>
      <w:r>
        <w:rPr>
          <w:rFonts w:asciiTheme="minorHAnsi" w:hAnsiTheme="minorHAnsi"/>
          <w:bCs/>
          <w:szCs w:val="22"/>
        </w:rPr>
        <w:t>e</w:t>
      </w:r>
      <w:r w:rsidRPr="003845B6">
        <w:rPr>
          <w:rFonts w:asciiTheme="minorHAnsi" w:hAnsiTheme="minorHAnsi"/>
          <w:bCs/>
          <w:szCs w:val="22"/>
        </w:rPr>
        <w:t xml:space="preserve">xposure </w:t>
      </w:r>
      <w:r>
        <w:rPr>
          <w:rFonts w:asciiTheme="minorHAnsi" w:hAnsiTheme="minorHAnsi"/>
          <w:bCs/>
          <w:szCs w:val="22"/>
        </w:rPr>
        <w:t>p</w:t>
      </w:r>
      <w:r w:rsidRPr="003845B6">
        <w:rPr>
          <w:rFonts w:asciiTheme="minorHAnsi" w:hAnsiTheme="minorHAnsi"/>
          <w:bCs/>
          <w:szCs w:val="22"/>
        </w:rPr>
        <w:t>rophylaxis</w:t>
      </w:r>
      <w:r>
        <w:rPr>
          <w:rFonts w:asciiTheme="minorHAnsi" w:hAnsiTheme="minorHAnsi"/>
          <w:bCs/>
          <w:szCs w:val="22"/>
        </w:rPr>
        <w:t xml:space="preserve"> -</w:t>
      </w:r>
      <w:r w:rsidRPr="003845B6">
        <w:rPr>
          <w:rFonts w:asciiTheme="minorHAnsi" w:hAnsiTheme="minorHAnsi"/>
          <w:bCs/>
          <w:szCs w:val="22"/>
        </w:rPr>
        <w:t>m</w:t>
      </w:r>
      <w:r w:rsidRPr="003845B6">
        <w:rPr>
          <w:rFonts w:asciiTheme="minorHAnsi" w:hAnsiTheme="minorHAnsi"/>
          <w:szCs w:val="22"/>
        </w:rPr>
        <w:t>edication administered after a</w:t>
      </w:r>
      <w:r>
        <w:rPr>
          <w:rFonts w:asciiTheme="minorHAnsi" w:hAnsiTheme="minorHAnsi"/>
          <w:szCs w:val="22"/>
        </w:rPr>
        <w:t xml:space="preserve"> BBFE </w:t>
      </w:r>
      <w:r w:rsidRPr="003845B6">
        <w:rPr>
          <w:rFonts w:asciiTheme="minorHAnsi" w:hAnsiTheme="minorHAnsi"/>
          <w:szCs w:val="22"/>
        </w:rPr>
        <w:t>that may reduce the risk of acquiring an infection.</w:t>
      </w:r>
    </w:p>
    <w:p w14:paraId="67887BE4" w14:textId="77777777" w:rsidR="00640511" w:rsidRPr="003845B6" w:rsidRDefault="00640511" w:rsidP="00BC5370">
      <w:pPr>
        <w:tabs>
          <w:tab w:val="left" w:pos="2127"/>
        </w:tabs>
        <w:spacing w:after="120"/>
        <w:ind w:left="2126" w:hanging="2126"/>
        <w:rPr>
          <w:rFonts w:asciiTheme="minorHAnsi" w:hAnsiTheme="minorHAnsi"/>
          <w:szCs w:val="22"/>
        </w:rPr>
      </w:pPr>
      <w:r w:rsidRPr="003845B6">
        <w:rPr>
          <w:rFonts w:asciiTheme="minorHAnsi" w:hAnsiTheme="minorHAnsi"/>
          <w:b/>
          <w:bCs/>
          <w:szCs w:val="22"/>
        </w:rPr>
        <w:t>Source</w:t>
      </w:r>
      <w:r w:rsidRPr="003845B6">
        <w:rPr>
          <w:rFonts w:asciiTheme="minorHAnsi" w:hAnsiTheme="minorHAnsi"/>
          <w:b/>
          <w:bCs/>
          <w:szCs w:val="22"/>
        </w:rPr>
        <w:tab/>
      </w:r>
      <w:r>
        <w:rPr>
          <w:rFonts w:asciiTheme="minorHAnsi" w:hAnsiTheme="minorHAnsi"/>
          <w:szCs w:val="22"/>
        </w:rPr>
        <w:t>T</w:t>
      </w:r>
      <w:r w:rsidRPr="003845B6">
        <w:rPr>
          <w:rFonts w:asciiTheme="minorHAnsi" w:hAnsiTheme="minorHAnsi"/>
          <w:szCs w:val="22"/>
        </w:rPr>
        <w:t xml:space="preserve">he blood or other body fluids to which the HCW is exposed. </w:t>
      </w:r>
    </w:p>
    <w:p w14:paraId="407C238D" w14:textId="38823CA8" w:rsidR="00640511" w:rsidRDefault="00640511" w:rsidP="00640511">
      <w:pPr>
        <w:pStyle w:val="Bullet"/>
        <w:numPr>
          <w:ilvl w:val="0"/>
          <w:numId w:val="0"/>
        </w:numPr>
        <w:spacing w:after="240"/>
        <w:ind w:left="357" w:hanging="357"/>
        <w:rPr>
          <w:rStyle w:val="Hyperlink"/>
        </w:rPr>
      </w:pPr>
      <w:hyperlink w:anchor="_top" w:history="1">
        <w:r w:rsidRPr="004A7A7F">
          <w:rPr>
            <w:rStyle w:val="Hyperlink"/>
          </w:rPr>
          <w:t>Back to Contents</w:t>
        </w:r>
      </w:hyperlink>
    </w:p>
    <w:p w14:paraId="5EDABC9D" w14:textId="0519B0F5" w:rsidR="006822C5" w:rsidRDefault="006822C5" w:rsidP="00F827BB">
      <w:pPr>
        <w:pStyle w:val="Heading4"/>
      </w:pPr>
      <w:bookmarkStart w:id="44" w:name="_Toc189830924"/>
      <w:r>
        <w:t>Evaluation</w:t>
      </w:r>
      <w:bookmarkEnd w:id="44"/>
      <w:r>
        <w:t xml:space="preserve"> </w:t>
      </w:r>
    </w:p>
    <w:p w14:paraId="1A9F0A36" w14:textId="6F929848" w:rsidR="006822C5" w:rsidRPr="000F7452" w:rsidRDefault="006822C5" w:rsidP="006822C5">
      <w:pPr>
        <w:pStyle w:val="Heading6"/>
        <w:rPr>
          <w:b/>
          <w:bCs/>
          <w:lang w:eastAsia="en-US"/>
        </w:rPr>
      </w:pPr>
      <w:r w:rsidRPr="000F7452">
        <w:rPr>
          <w:b/>
          <w:bCs/>
          <w:lang w:eastAsia="en-US"/>
        </w:rPr>
        <w:t xml:space="preserve">Outcome </w:t>
      </w:r>
    </w:p>
    <w:p w14:paraId="33889DB9" w14:textId="215863A9" w:rsidR="006822C5" w:rsidRDefault="006822C5" w:rsidP="000F7452">
      <w:pPr>
        <w:pStyle w:val="Bullet"/>
        <w:rPr>
          <w:lang w:eastAsia="en-US"/>
        </w:rPr>
      </w:pPr>
      <w:r>
        <w:rPr>
          <w:lang w:eastAsia="en-US"/>
        </w:rPr>
        <w:t>HCW</w:t>
      </w:r>
      <w:r w:rsidR="00A439D7">
        <w:rPr>
          <w:lang w:eastAsia="en-US"/>
        </w:rPr>
        <w:t>s</w:t>
      </w:r>
      <w:r>
        <w:rPr>
          <w:lang w:eastAsia="en-US"/>
        </w:rPr>
        <w:t xml:space="preserve"> at CHS who experience a blood or body fluid exposure are managed as per this procedure. </w:t>
      </w:r>
    </w:p>
    <w:p w14:paraId="15DAE68E" w14:textId="0A745112" w:rsidR="006822C5" w:rsidRPr="000F7452" w:rsidRDefault="006822C5" w:rsidP="006822C5">
      <w:pPr>
        <w:pStyle w:val="Heading6"/>
        <w:rPr>
          <w:b/>
          <w:bCs/>
          <w:lang w:eastAsia="en-US"/>
        </w:rPr>
      </w:pPr>
      <w:r w:rsidRPr="000F7452">
        <w:rPr>
          <w:b/>
          <w:bCs/>
          <w:lang w:eastAsia="en-US"/>
        </w:rPr>
        <w:t xml:space="preserve">Measure </w:t>
      </w:r>
    </w:p>
    <w:p w14:paraId="5045D4C7" w14:textId="05819901" w:rsidR="006822C5" w:rsidRPr="006822C5" w:rsidRDefault="006822C5" w:rsidP="000F7452">
      <w:pPr>
        <w:pStyle w:val="Bullet"/>
        <w:rPr>
          <w:lang w:eastAsia="en-US"/>
        </w:rPr>
      </w:pPr>
      <w:r>
        <w:rPr>
          <w:lang w:eastAsia="en-US"/>
        </w:rPr>
        <w:t xml:space="preserve">Annual audit of </w:t>
      </w:r>
      <w:r w:rsidR="000F7452">
        <w:rPr>
          <w:lang w:eastAsia="en-US"/>
        </w:rPr>
        <w:t xml:space="preserve">ten </w:t>
      </w:r>
      <w:r>
        <w:rPr>
          <w:lang w:eastAsia="en-US"/>
        </w:rPr>
        <w:t>blood and body fluid exposure processes completed by OMU and Staff Health to ensure correct pathways</w:t>
      </w:r>
      <w:r w:rsidR="00A439D7">
        <w:rPr>
          <w:lang w:eastAsia="en-US"/>
        </w:rPr>
        <w:t xml:space="preserve"> are</w:t>
      </w:r>
      <w:r>
        <w:rPr>
          <w:lang w:eastAsia="en-US"/>
        </w:rPr>
        <w:t xml:space="preserve"> followed. </w:t>
      </w:r>
    </w:p>
    <w:p w14:paraId="48D8E974" w14:textId="77777777" w:rsidR="0078367D" w:rsidRPr="0078367D" w:rsidRDefault="0078367D" w:rsidP="00F827BB">
      <w:pPr>
        <w:pStyle w:val="Heading4"/>
      </w:pPr>
      <w:bookmarkStart w:id="45" w:name="_Toc189830925"/>
      <w:r w:rsidRPr="0078367D">
        <w:t>References</w:t>
      </w:r>
      <w:bookmarkEnd w:id="45"/>
    </w:p>
    <w:p w14:paraId="577CE567" w14:textId="77777777" w:rsidR="00744F77" w:rsidRDefault="00744F77" w:rsidP="00D14164">
      <w:pPr>
        <w:pStyle w:val="ListParagraph"/>
        <w:numPr>
          <w:ilvl w:val="0"/>
          <w:numId w:val="9"/>
        </w:numPr>
        <w:autoSpaceDE w:val="0"/>
        <w:autoSpaceDN w:val="0"/>
        <w:adjustRightInd w:val="0"/>
        <w:rPr>
          <w:rFonts w:asciiTheme="minorHAnsi" w:hAnsiTheme="minorHAnsi" w:cs="Minion-Semibold"/>
          <w:bCs/>
          <w:szCs w:val="24"/>
        </w:rPr>
      </w:pPr>
      <w:r>
        <w:rPr>
          <w:rFonts w:asciiTheme="minorHAnsi" w:hAnsiTheme="minorHAnsi" w:cs="Minion-Semibold"/>
          <w:bCs/>
          <w:szCs w:val="24"/>
        </w:rPr>
        <w:t xml:space="preserve">Australasian Society for HIV Medicine. (2023). </w:t>
      </w:r>
      <w:r w:rsidRPr="00594014">
        <w:rPr>
          <w:rFonts w:asciiTheme="minorHAnsi" w:hAnsiTheme="minorHAnsi" w:cs="Minion-Semibold"/>
          <w:bCs/>
          <w:i/>
          <w:iCs/>
          <w:szCs w:val="24"/>
        </w:rPr>
        <w:t>Australian Post-Exposure Prophylaxis (PEP) for HIV Guidelines: Third Edition.</w:t>
      </w:r>
      <w:r>
        <w:rPr>
          <w:rFonts w:asciiTheme="minorHAnsi" w:hAnsiTheme="minorHAnsi" w:cs="Minion-Semibold"/>
          <w:bCs/>
          <w:szCs w:val="24"/>
        </w:rPr>
        <w:t xml:space="preserve"> Retrieved June 11, 2024, from </w:t>
      </w:r>
      <w:hyperlink r:id="rId27" w:history="1">
        <w:r w:rsidRPr="004D3505">
          <w:rPr>
            <w:rStyle w:val="Hyperlink"/>
            <w:rFonts w:asciiTheme="minorHAnsi" w:hAnsiTheme="minorHAnsi" w:cs="Minion-Semibold"/>
            <w:bCs/>
            <w:szCs w:val="24"/>
          </w:rPr>
          <w:t>https://ashm.org.au/resources/australian-pep-guidelines/</w:t>
        </w:r>
      </w:hyperlink>
    </w:p>
    <w:p w14:paraId="6D798CB0" w14:textId="77777777" w:rsidR="00744F77" w:rsidRDefault="00744F77" w:rsidP="00744F77">
      <w:pPr>
        <w:pStyle w:val="ListParagraph"/>
        <w:autoSpaceDE w:val="0"/>
        <w:autoSpaceDN w:val="0"/>
        <w:adjustRightInd w:val="0"/>
        <w:ind w:left="360"/>
        <w:rPr>
          <w:rFonts w:asciiTheme="minorHAnsi" w:hAnsiTheme="minorHAnsi" w:cs="Minion-Semibold"/>
          <w:bCs/>
          <w:szCs w:val="24"/>
        </w:rPr>
      </w:pPr>
    </w:p>
    <w:p w14:paraId="6B1727D5" w14:textId="77777777" w:rsidR="00744F77" w:rsidRPr="00CB66F1" w:rsidRDefault="00744F77" w:rsidP="00D14164">
      <w:pPr>
        <w:pStyle w:val="ListParagraph"/>
        <w:numPr>
          <w:ilvl w:val="0"/>
          <w:numId w:val="9"/>
        </w:numPr>
        <w:autoSpaceDE w:val="0"/>
        <w:autoSpaceDN w:val="0"/>
        <w:adjustRightInd w:val="0"/>
        <w:rPr>
          <w:rFonts w:asciiTheme="minorHAnsi" w:hAnsiTheme="minorHAnsi" w:cs="Minion-Semibold"/>
          <w:bCs/>
          <w:szCs w:val="24"/>
        </w:rPr>
      </w:pPr>
      <w:proofErr w:type="spellStart"/>
      <w:r>
        <w:rPr>
          <w:rFonts w:asciiTheme="minorHAnsi" w:hAnsiTheme="minorHAnsi" w:cs="Minion-Semibold"/>
          <w:bCs/>
          <w:szCs w:val="24"/>
        </w:rPr>
        <w:t>Centers</w:t>
      </w:r>
      <w:proofErr w:type="spellEnd"/>
      <w:r>
        <w:rPr>
          <w:rFonts w:asciiTheme="minorHAnsi" w:hAnsiTheme="minorHAnsi" w:cs="Minion-Semibold"/>
          <w:bCs/>
          <w:szCs w:val="24"/>
        </w:rPr>
        <w:t xml:space="preserve"> for Disease Control and Prevention. (2017). </w:t>
      </w:r>
      <w:r w:rsidRPr="00296017">
        <w:rPr>
          <w:rFonts w:asciiTheme="minorHAnsi" w:hAnsiTheme="minorHAnsi" w:cs="Minion-Semibold"/>
          <w:bCs/>
          <w:i/>
          <w:iCs/>
          <w:szCs w:val="24"/>
        </w:rPr>
        <w:t>Information for Healthcare Personnel Potentially Exposed to Hepatitis C Virus (HCV).</w:t>
      </w:r>
      <w:r>
        <w:rPr>
          <w:rFonts w:asciiTheme="minorHAnsi" w:hAnsiTheme="minorHAnsi" w:cs="Minion-Semibold"/>
          <w:bCs/>
          <w:szCs w:val="24"/>
        </w:rPr>
        <w:t xml:space="preserve"> Retrieved June 11, 2024, from (</w:t>
      </w:r>
      <w:r w:rsidRPr="00296017">
        <w:rPr>
          <w:rFonts w:asciiTheme="minorHAnsi" w:hAnsiTheme="minorHAnsi" w:cs="Arial"/>
          <w:szCs w:val="24"/>
        </w:rPr>
        <w:t>https://www.cdc.gov/hepatitis/pdfs/testing-followup-exposed-hc-personnel-3d.pdf</w:t>
      </w:r>
    </w:p>
    <w:p w14:paraId="726005CB" w14:textId="77777777" w:rsidR="00744F77" w:rsidRPr="00296017" w:rsidRDefault="00744F77" w:rsidP="00744F77">
      <w:pPr>
        <w:pStyle w:val="ListParagraph"/>
        <w:autoSpaceDE w:val="0"/>
        <w:autoSpaceDN w:val="0"/>
        <w:adjustRightInd w:val="0"/>
        <w:ind w:left="360"/>
        <w:rPr>
          <w:rFonts w:asciiTheme="minorHAnsi" w:hAnsiTheme="minorHAnsi" w:cs="Minion-Semibold"/>
          <w:bCs/>
          <w:szCs w:val="24"/>
        </w:rPr>
      </w:pPr>
    </w:p>
    <w:p w14:paraId="68CB40D8" w14:textId="77777777" w:rsidR="00744F77" w:rsidRDefault="00744F77" w:rsidP="00D14164">
      <w:pPr>
        <w:pStyle w:val="ListParagraph"/>
        <w:numPr>
          <w:ilvl w:val="0"/>
          <w:numId w:val="9"/>
        </w:numPr>
        <w:rPr>
          <w:rFonts w:asciiTheme="minorHAnsi" w:hAnsiTheme="minorHAnsi" w:cs="Arial"/>
          <w:szCs w:val="24"/>
        </w:rPr>
      </w:pPr>
      <w:proofErr w:type="spellStart"/>
      <w:r>
        <w:rPr>
          <w:rFonts w:asciiTheme="minorHAnsi" w:hAnsiTheme="minorHAnsi" w:cs="Arial"/>
          <w:szCs w:val="24"/>
        </w:rPr>
        <w:t>Centers</w:t>
      </w:r>
      <w:proofErr w:type="spellEnd"/>
      <w:r>
        <w:rPr>
          <w:rFonts w:asciiTheme="minorHAnsi" w:hAnsiTheme="minorHAnsi" w:cs="Arial"/>
          <w:szCs w:val="24"/>
        </w:rPr>
        <w:t xml:space="preserve"> for Disease Control and Prevention. (2013). </w:t>
      </w:r>
      <w:r w:rsidRPr="00296017">
        <w:rPr>
          <w:rFonts w:asciiTheme="minorHAnsi" w:hAnsiTheme="minorHAnsi" w:cs="Arial"/>
          <w:i/>
          <w:iCs/>
          <w:szCs w:val="24"/>
        </w:rPr>
        <w:t xml:space="preserve">CDC Guidance for Evaluating Health-Care Personnel for Hepatitis B Virus Protection and for Administering Postexposure Management. </w:t>
      </w:r>
      <w:r>
        <w:rPr>
          <w:rFonts w:asciiTheme="minorHAnsi" w:hAnsiTheme="minorHAnsi" w:cs="Arial"/>
          <w:szCs w:val="24"/>
        </w:rPr>
        <w:t xml:space="preserve">Retrieved June 11, 2024, from </w:t>
      </w:r>
      <w:hyperlink r:id="rId28" w:history="1">
        <w:r w:rsidRPr="004D3505">
          <w:rPr>
            <w:rStyle w:val="Hyperlink"/>
            <w:rFonts w:asciiTheme="minorHAnsi" w:hAnsiTheme="minorHAnsi" w:cs="Arial"/>
            <w:szCs w:val="24"/>
          </w:rPr>
          <w:t>https://www.cdc.gov/mmwr/pdf/rr/rr6210.pdf</w:t>
        </w:r>
      </w:hyperlink>
    </w:p>
    <w:p w14:paraId="5883814C" w14:textId="77777777" w:rsidR="00744F77" w:rsidRPr="00296017" w:rsidRDefault="00744F77" w:rsidP="00744F77">
      <w:pPr>
        <w:pStyle w:val="ListParagraph"/>
        <w:rPr>
          <w:rFonts w:asciiTheme="minorHAnsi" w:hAnsiTheme="minorHAnsi" w:cs="Arial"/>
          <w:szCs w:val="24"/>
        </w:rPr>
      </w:pPr>
    </w:p>
    <w:p w14:paraId="4C128D1C" w14:textId="6B59DB64" w:rsidR="00BC5370" w:rsidRPr="00BC5370" w:rsidRDefault="00744F77" w:rsidP="00D14164">
      <w:pPr>
        <w:pStyle w:val="ListParagraph"/>
        <w:numPr>
          <w:ilvl w:val="0"/>
          <w:numId w:val="9"/>
        </w:numPr>
        <w:rPr>
          <w:rFonts w:asciiTheme="minorHAnsi" w:hAnsiTheme="minorHAnsi" w:cs="Arial"/>
          <w:szCs w:val="24"/>
        </w:rPr>
      </w:pPr>
      <w:r w:rsidRPr="00CB66F1">
        <w:rPr>
          <w:rFonts w:asciiTheme="minorHAnsi" w:hAnsiTheme="minorHAnsi" w:cs="Arial"/>
          <w:szCs w:val="24"/>
        </w:rPr>
        <w:t xml:space="preserve">NSW Health. (2024). </w:t>
      </w:r>
      <w:r w:rsidRPr="00CB66F1">
        <w:rPr>
          <w:rFonts w:asciiTheme="minorHAnsi" w:hAnsiTheme="minorHAnsi" w:cs="Arial"/>
          <w:i/>
          <w:iCs/>
          <w:szCs w:val="24"/>
        </w:rPr>
        <w:t>Blood and Body Substance Occupational Exposure Prevention</w:t>
      </w:r>
      <w:r w:rsidRPr="00CB66F1">
        <w:rPr>
          <w:rFonts w:asciiTheme="minorHAnsi" w:hAnsiTheme="minorHAnsi" w:cs="Arial"/>
          <w:szCs w:val="24"/>
        </w:rPr>
        <w:t xml:space="preserve">. Retrieved 11 </w:t>
      </w:r>
      <w:proofErr w:type="gramStart"/>
      <w:r w:rsidRPr="00CB66F1">
        <w:rPr>
          <w:rFonts w:asciiTheme="minorHAnsi" w:hAnsiTheme="minorHAnsi" w:cs="Arial"/>
          <w:szCs w:val="24"/>
        </w:rPr>
        <w:t>June,</w:t>
      </w:r>
      <w:proofErr w:type="gramEnd"/>
      <w:r w:rsidRPr="00CB66F1">
        <w:rPr>
          <w:rFonts w:asciiTheme="minorHAnsi" w:hAnsiTheme="minorHAnsi" w:cs="Arial"/>
          <w:szCs w:val="24"/>
        </w:rPr>
        <w:t xml:space="preserve"> 2024, from</w:t>
      </w:r>
      <w:r>
        <w:rPr>
          <w:rFonts w:asciiTheme="minorHAnsi" w:hAnsiTheme="minorHAnsi" w:cs="Arial"/>
          <w:szCs w:val="24"/>
        </w:rPr>
        <w:t xml:space="preserve"> </w:t>
      </w:r>
      <w:hyperlink r:id="rId29" w:history="1">
        <w:r w:rsidRPr="00CB66F1">
          <w:rPr>
            <w:rStyle w:val="Hyperlink"/>
            <w:rFonts w:asciiTheme="minorHAnsi" w:hAnsiTheme="minorHAnsi" w:cs="Arial"/>
            <w:szCs w:val="24"/>
          </w:rPr>
          <w:t>https://www1.health.nsw.gov.au/pds/ActivePDSDocuments/GL2024_002.pdf</w:t>
        </w:r>
      </w:hyperlink>
    </w:p>
    <w:p w14:paraId="29D42EC2" w14:textId="77777777" w:rsidR="00BC5370" w:rsidRPr="00BC5370" w:rsidRDefault="00BC5370" w:rsidP="00BC5370">
      <w:pPr>
        <w:pStyle w:val="ListParagraph"/>
        <w:ind w:left="360"/>
        <w:rPr>
          <w:rFonts w:asciiTheme="minorHAnsi" w:hAnsiTheme="minorHAnsi" w:cs="Arial"/>
          <w:szCs w:val="24"/>
        </w:rPr>
      </w:pPr>
    </w:p>
    <w:p w14:paraId="66500B76" w14:textId="77777777" w:rsidR="00280C5D" w:rsidRDefault="00280C5D" w:rsidP="00BC5370">
      <w:pPr>
        <w:pStyle w:val="Bullet"/>
        <w:numPr>
          <w:ilvl w:val="0"/>
          <w:numId w:val="0"/>
        </w:numPr>
        <w:tabs>
          <w:tab w:val="clear" w:pos="425"/>
        </w:tabs>
        <w:spacing w:after="240"/>
        <w:rPr>
          <w:lang w:eastAsia="en-US"/>
        </w:rPr>
      </w:pPr>
      <w:hyperlink w:anchor="_top" w:history="1">
        <w:r w:rsidRPr="004A7A7F">
          <w:rPr>
            <w:rStyle w:val="Hyperlink"/>
          </w:rPr>
          <w:t>Back to Contents</w:t>
        </w:r>
      </w:hyperlink>
    </w:p>
    <w:p w14:paraId="66E717F5" w14:textId="77777777" w:rsidR="0078367D" w:rsidRDefault="0078367D" w:rsidP="00F827BB">
      <w:pPr>
        <w:pStyle w:val="Heading4"/>
      </w:pPr>
      <w:bookmarkStart w:id="46" w:name="_Toc189830926"/>
      <w:r>
        <w:t>Search terms</w:t>
      </w:r>
      <w:bookmarkEnd w:id="46"/>
    </w:p>
    <w:p w14:paraId="41123DEB" w14:textId="685B7DC7" w:rsidR="00CF279B" w:rsidRPr="00CF279B" w:rsidRDefault="00CF279B" w:rsidP="00CF279B">
      <w:pPr>
        <w:rPr>
          <w:rFonts w:asciiTheme="minorHAnsi" w:hAnsiTheme="minorHAnsi"/>
          <w:bCs/>
        </w:rPr>
      </w:pPr>
      <w:r w:rsidRPr="003845B6">
        <w:rPr>
          <w:rFonts w:asciiTheme="minorHAnsi" w:hAnsiTheme="minorHAnsi"/>
          <w:bCs/>
        </w:rPr>
        <w:t xml:space="preserve">Blood </w:t>
      </w:r>
      <w:r>
        <w:rPr>
          <w:rFonts w:asciiTheme="minorHAnsi" w:hAnsiTheme="minorHAnsi"/>
          <w:bCs/>
        </w:rPr>
        <w:t>b</w:t>
      </w:r>
      <w:r w:rsidRPr="003845B6">
        <w:rPr>
          <w:rFonts w:asciiTheme="minorHAnsi" w:hAnsiTheme="minorHAnsi"/>
          <w:bCs/>
        </w:rPr>
        <w:t xml:space="preserve">orne </w:t>
      </w:r>
      <w:r>
        <w:rPr>
          <w:rFonts w:asciiTheme="minorHAnsi" w:hAnsiTheme="minorHAnsi"/>
          <w:bCs/>
        </w:rPr>
        <w:t>v</w:t>
      </w:r>
      <w:r w:rsidRPr="003845B6">
        <w:rPr>
          <w:rFonts w:asciiTheme="minorHAnsi" w:hAnsiTheme="minorHAnsi"/>
          <w:bCs/>
        </w:rPr>
        <w:t xml:space="preserve">irus, </w:t>
      </w:r>
      <w:r>
        <w:rPr>
          <w:rFonts w:asciiTheme="minorHAnsi" w:hAnsiTheme="minorHAnsi"/>
          <w:bCs/>
        </w:rPr>
        <w:t xml:space="preserve">BBV, </w:t>
      </w:r>
      <w:r>
        <w:t>b</w:t>
      </w:r>
      <w:r w:rsidRPr="00095B4A">
        <w:t xml:space="preserve">lood and </w:t>
      </w:r>
      <w:r>
        <w:t>b</w:t>
      </w:r>
      <w:r w:rsidRPr="00095B4A">
        <w:t xml:space="preserve">ody </w:t>
      </w:r>
      <w:r>
        <w:t>f</w:t>
      </w:r>
      <w:r w:rsidRPr="00095B4A">
        <w:t xml:space="preserve">luid </w:t>
      </w:r>
      <w:r>
        <w:t>e</w:t>
      </w:r>
      <w:r w:rsidRPr="00095B4A">
        <w:t>xposure, BBFE</w:t>
      </w:r>
      <w:r w:rsidRPr="009E64A1">
        <w:rPr>
          <w:rFonts w:asciiTheme="minorHAnsi" w:hAnsiTheme="minorHAnsi"/>
          <w:bCs/>
        </w:rPr>
        <w:t xml:space="preserve">, </w:t>
      </w:r>
      <w:r>
        <w:rPr>
          <w:rFonts w:asciiTheme="minorHAnsi" w:hAnsiTheme="minorHAnsi"/>
          <w:bCs/>
        </w:rPr>
        <w:t>s</w:t>
      </w:r>
      <w:r w:rsidRPr="009E64A1">
        <w:rPr>
          <w:rFonts w:asciiTheme="minorHAnsi" w:hAnsiTheme="minorHAnsi"/>
          <w:bCs/>
        </w:rPr>
        <w:t xml:space="preserve">harp </w:t>
      </w:r>
      <w:r>
        <w:rPr>
          <w:rFonts w:asciiTheme="minorHAnsi" w:hAnsiTheme="minorHAnsi"/>
          <w:bCs/>
        </w:rPr>
        <w:t>e</w:t>
      </w:r>
      <w:r w:rsidRPr="003845B6">
        <w:rPr>
          <w:rFonts w:asciiTheme="minorHAnsi" w:hAnsiTheme="minorHAnsi"/>
          <w:bCs/>
        </w:rPr>
        <w:t xml:space="preserve">xposure, </w:t>
      </w:r>
      <w:r>
        <w:rPr>
          <w:rFonts w:asciiTheme="minorHAnsi" w:hAnsiTheme="minorHAnsi"/>
          <w:bCs/>
        </w:rPr>
        <w:t>s</w:t>
      </w:r>
      <w:r w:rsidRPr="003845B6">
        <w:rPr>
          <w:rFonts w:asciiTheme="minorHAnsi" w:hAnsiTheme="minorHAnsi"/>
          <w:bCs/>
        </w:rPr>
        <w:t xml:space="preserve">plash </w:t>
      </w:r>
      <w:r>
        <w:rPr>
          <w:rFonts w:asciiTheme="minorHAnsi" w:hAnsiTheme="minorHAnsi"/>
          <w:bCs/>
        </w:rPr>
        <w:t>e</w:t>
      </w:r>
      <w:r w:rsidRPr="003845B6">
        <w:rPr>
          <w:rFonts w:asciiTheme="minorHAnsi" w:hAnsiTheme="minorHAnsi"/>
          <w:bCs/>
        </w:rPr>
        <w:t>xposure, needle stick injury, HIV, infected health care worker, occupational screening, post exposure prophylaxis</w:t>
      </w:r>
      <w:r>
        <w:rPr>
          <w:rFonts w:asciiTheme="minorHAnsi" w:hAnsiTheme="minorHAnsi"/>
          <w:bCs/>
        </w:rPr>
        <w:t>, PEP, personal protective equipment</w:t>
      </w:r>
      <w:r w:rsidRPr="003845B6">
        <w:rPr>
          <w:rFonts w:asciiTheme="minorHAnsi" w:hAnsiTheme="minorHAnsi"/>
          <w:bCs/>
        </w:rPr>
        <w:t xml:space="preserve"> PPE</w:t>
      </w:r>
      <w:r>
        <w:rPr>
          <w:rFonts w:asciiTheme="minorHAnsi" w:hAnsiTheme="minorHAnsi"/>
          <w:bCs/>
        </w:rPr>
        <w:t xml:space="preserve">. </w:t>
      </w:r>
    </w:p>
    <w:p w14:paraId="6D13946D" w14:textId="3CDB3879" w:rsidR="00280C5D" w:rsidRDefault="00280C5D" w:rsidP="002D7682">
      <w:pPr>
        <w:pStyle w:val="Bullet"/>
        <w:numPr>
          <w:ilvl w:val="0"/>
          <w:numId w:val="0"/>
        </w:numPr>
        <w:spacing w:after="240"/>
        <w:rPr>
          <w:rStyle w:val="Hyperlink"/>
        </w:rPr>
      </w:pPr>
      <w:hyperlink w:anchor="_top" w:history="1">
        <w:r w:rsidRPr="00481A6C">
          <w:rPr>
            <w:rStyle w:val="Hyperlink"/>
          </w:rPr>
          <w:t>Back to Contents</w:t>
        </w:r>
      </w:hyperlink>
    </w:p>
    <w:p w14:paraId="6BED0F27" w14:textId="77777777" w:rsidR="0039622C" w:rsidRDefault="0039622C" w:rsidP="002D7682">
      <w:pPr>
        <w:pStyle w:val="Bullet"/>
        <w:numPr>
          <w:ilvl w:val="0"/>
          <w:numId w:val="0"/>
        </w:numPr>
        <w:spacing w:after="240"/>
        <w:rPr>
          <w:lang w:eastAsia="en-US"/>
        </w:rPr>
      </w:pPr>
    </w:p>
    <w:p w14:paraId="2331FBD5" w14:textId="202F1F15" w:rsidR="0078367D" w:rsidRPr="009A5010" w:rsidRDefault="0078367D" w:rsidP="00F827BB">
      <w:pPr>
        <w:pStyle w:val="Heading4"/>
      </w:pPr>
      <w:bookmarkStart w:id="47" w:name="_Toc189830927"/>
      <w:r>
        <w:t>Attachments</w:t>
      </w:r>
      <w:bookmarkEnd w:id="47"/>
      <w:r w:rsidR="009746B1">
        <w:t xml:space="preserve"> </w:t>
      </w:r>
    </w:p>
    <w:p w14:paraId="6827936F" w14:textId="12627B1E" w:rsidR="001F3ED6" w:rsidRDefault="001F3ED6" w:rsidP="00A513AA">
      <w:pPr>
        <w:pStyle w:val="Heading7"/>
        <w:rPr>
          <w:lang w:eastAsia="en-US"/>
        </w:rPr>
      </w:pPr>
      <w:r>
        <w:rPr>
          <w:lang w:eastAsia="en-US"/>
        </w:rPr>
        <w:t>Attachment 1</w:t>
      </w:r>
      <w:r w:rsidR="002140AE">
        <w:rPr>
          <w:lang w:eastAsia="en-US"/>
        </w:rPr>
        <w:t xml:space="preserve"> </w:t>
      </w:r>
      <w:r w:rsidR="00BC5370">
        <w:rPr>
          <w:lang w:eastAsia="en-US"/>
        </w:rPr>
        <w:t>Management of Blood and Bodily Fluid Exposures</w:t>
      </w:r>
    </w:p>
    <w:p w14:paraId="3FE3549B" w14:textId="7BA30167" w:rsidR="002362B5" w:rsidRDefault="00C34A10" w:rsidP="002362B5">
      <w:pPr>
        <w:pStyle w:val="Heading7"/>
      </w:pPr>
      <w:r>
        <w:t xml:space="preserve">Attachment </w:t>
      </w:r>
      <w:r w:rsidR="002D7682">
        <w:t>2</w:t>
      </w:r>
      <w:r w:rsidR="00BC5370">
        <w:t xml:space="preserve"> Quick Risk Assessment Tool </w:t>
      </w:r>
    </w:p>
    <w:p w14:paraId="57A8B620" w14:textId="31897B1B" w:rsidR="002362B5" w:rsidRPr="002362B5" w:rsidRDefault="002362B5" w:rsidP="00A439D7">
      <w:pPr>
        <w:pStyle w:val="Heading7"/>
      </w:pPr>
      <w:r>
        <w:t xml:space="preserve">Attachment 3 Risk Management Matrix </w:t>
      </w:r>
    </w:p>
    <w:p w14:paraId="3ADEB095"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015C12FF" w14:textId="77777777" w:rsidR="0078010C" w:rsidRDefault="0078010C" w:rsidP="002D7682">
      <w:pPr>
        <w:pStyle w:val="Bullet"/>
        <w:numPr>
          <w:ilvl w:val="0"/>
          <w:numId w:val="0"/>
        </w:numPr>
        <w:spacing w:after="240"/>
        <w:rPr>
          <w:rStyle w:val="Hyperlink"/>
        </w:rPr>
      </w:pPr>
    </w:p>
    <w:p w14:paraId="21191D23" w14:textId="3FF0E839" w:rsidR="009A5010" w:rsidRPr="006F003D" w:rsidRDefault="00280C5D" w:rsidP="006F003D">
      <w:pPr>
        <w:spacing w:before="0" w:after="0" w:line="240" w:lineRule="auto"/>
        <w:rPr>
          <w:rStyle w:val="Bold"/>
          <w:rFonts w:eastAsia="Times New Roman"/>
          <w:b w:val="0"/>
          <w:bCs w:val="0"/>
          <w:color w:val="auto"/>
          <w:u w:val="single"/>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53D0BE94"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5B7F9424" w14:textId="77777777" w:rsidR="00280C5D" w:rsidRDefault="00280C5D" w:rsidP="003B0E72">
            <w:pPr>
              <w:pStyle w:val="Tableheader"/>
            </w:pPr>
            <w:r>
              <w:t>Date amended</w:t>
            </w:r>
          </w:p>
        </w:tc>
        <w:tc>
          <w:tcPr>
            <w:tcW w:w="2477" w:type="dxa"/>
          </w:tcPr>
          <w:p w14:paraId="48630D68" w14:textId="77777777" w:rsidR="00280C5D" w:rsidRDefault="00280C5D" w:rsidP="003B0E72">
            <w:pPr>
              <w:pStyle w:val="Tableheader"/>
            </w:pPr>
            <w:r>
              <w:t>Section amended</w:t>
            </w:r>
          </w:p>
        </w:tc>
        <w:tc>
          <w:tcPr>
            <w:tcW w:w="2555" w:type="dxa"/>
          </w:tcPr>
          <w:p w14:paraId="1B0630F1" w14:textId="77777777" w:rsidR="00280C5D" w:rsidRDefault="00280C5D" w:rsidP="003B0E72">
            <w:pPr>
              <w:pStyle w:val="Tableheader"/>
            </w:pPr>
            <w:r>
              <w:t>Divisional approval</w:t>
            </w:r>
          </w:p>
        </w:tc>
        <w:tc>
          <w:tcPr>
            <w:tcW w:w="2403" w:type="dxa"/>
          </w:tcPr>
          <w:p w14:paraId="57903F14" w14:textId="77777777" w:rsidR="00280C5D" w:rsidRDefault="00280C5D" w:rsidP="003B0E72">
            <w:pPr>
              <w:pStyle w:val="Tableheader"/>
            </w:pPr>
            <w:r>
              <w:t>Final approval</w:t>
            </w:r>
          </w:p>
        </w:tc>
      </w:tr>
      <w:tr w:rsidR="00280C5D" w14:paraId="4A468DEA" w14:textId="77777777" w:rsidTr="003B0E72">
        <w:tc>
          <w:tcPr>
            <w:tcW w:w="2476" w:type="dxa"/>
          </w:tcPr>
          <w:p w14:paraId="0A2C0537" w14:textId="6E5123E9" w:rsidR="00280C5D" w:rsidRDefault="00F54183" w:rsidP="003B0E72">
            <w:pPr>
              <w:pStyle w:val="Tablebody"/>
              <w:rPr>
                <w:lang w:eastAsia="en-US"/>
              </w:rPr>
            </w:pPr>
            <w:r>
              <w:rPr>
                <w:lang w:eastAsia="en-US"/>
              </w:rPr>
              <w:t>07/02/2025</w:t>
            </w:r>
          </w:p>
        </w:tc>
        <w:tc>
          <w:tcPr>
            <w:tcW w:w="2477" w:type="dxa"/>
          </w:tcPr>
          <w:p w14:paraId="55D0D377" w14:textId="4C052F4B" w:rsidR="00280C5D" w:rsidRDefault="00F54183" w:rsidP="003B0E72">
            <w:pPr>
              <w:pStyle w:val="Tablebody"/>
              <w:rPr>
                <w:lang w:eastAsia="en-US"/>
              </w:rPr>
            </w:pPr>
            <w:r>
              <w:rPr>
                <w:lang w:eastAsia="en-US"/>
              </w:rPr>
              <w:t>Complete review</w:t>
            </w:r>
          </w:p>
        </w:tc>
        <w:tc>
          <w:tcPr>
            <w:tcW w:w="2555" w:type="dxa"/>
          </w:tcPr>
          <w:p w14:paraId="474D56D2" w14:textId="5D55BADE" w:rsidR="00280C5D" w:rsidRDefault="00F54183" w:rsidP="003B0E72">
            <w:pPr>
              <w:pStyle w:val="Tablebody"/>
              <w:rPr>
                <w:lang w:eastAsia="en-US"/>
              </w:rPr>
            </w:pPr>
            <w:r>
              <w:rPr>
                <w:lang w:eastAsia="en-US"/>
              </w:rPr>
              <w:t>Kellie Lang, ED NMPSS</w:t>
            </w:r>
          </w:p>
        </w:tc>
        <w:tc>
          <w:tcPr>
            <w:tcW w:w="2403" w:type="dxa"/>
          </w:tcPr>
          <w:p w14:paraId="7D0880EA" w14:textId="333C7A94" w:rsidR="00280C5D" w:rsidRDefault="00F54183" w:rsidP="003B0E72">
            <w:pPr>
              <w:pStyle w:val="Tablebody"/>
              <w:rPr>
                <w:lang w:eastAsia="en-US"/>
              </w:rPr>
            </w:pPr>
            <w:r>
              <w:rPr>
                <w:lang w:eastAsia="en-US"/>
              </w:rPr>
              <w:t>CHS Policy Document Review Panel</w:t>
            </w:r>
          </w:p>
        </w:tc>
      </w:tr>
      <w:tr w:rsidR="00280C5D" w14:paraId="7115637B" w14:textId="77777777" w:rsidTr="003B0E72">
        <w:tc>
          <w:tcPr>
            <w:tcW w:w="2476" w:type="dxa"/>
          </w:tcPr>
          <w:p w14:paraId="0FBF1C0F" w14:textId="77777777" w:rsidR="00280C5D" w:rsidRDefault="00280C5D" w:rsidP="003B0E72">
            <w:pPr>
              <w:pStyle w:val="Tablebody"/>
              <w:rPr>
                <w:lang w:eastAsia="en-US"/>
              </w:rPr>
            </w:pPr>
          </w:p>
        </w:tc>
        <w:tc>
          <w:tcPr>
            <w:tcW w:w="2477" w:type="dxa"/>
          </w:tcPr>
          <w:p w14:paraId="31A41AF4" w14:textId="77777777" w:rsidR="00280C5D" w:rsidRDefault="00280C5D" w:rsidP="003B0E72">
            <w:pPr>
              <w:pStyle w:val="Tablebody"/>
              <w:rPr>
                <w:lang w:eastAsia="en-US"/>
              </w:rPr>
            </w:pPr>
          </w:p>
        </w:tc>
        <w:tc>
          <w:tcPr>
            <w:tcW w:w="2555" w:type="dxa"/>
          </w:tcPr>
          <w:p w14:paraId="7FAAE29F" w14:textId="77777777" w:rsidR="00280C5D" w:rsidRDefault="00280C5D" w:rsidP="003B0E72">
            <w:pPr>
              <w:pStyle w:val="Tablebody"/>
              <w:rPr>
                <w:lang w:eastAsia="en-US"/>
              </w:rPr>
            </w:pPr>
          </w:p>
        </w:tc>
        <w:tc>
          <w:tcPr>
            <w:tcW w:w="2403" w:type="dxa"/>
          </w:tcPr>
          <w:p w14:paraId="59C4E1C0" w14:textId="77777777" w:rsidR="00280C5D" w:rsidRDefault="00280C5D" w:rsidP="003B0E72">
            <w:pPr>
              <w:pStyle w:val="Tablebody"/>
              <w:rPr>
                <w:lang w:eastAsia="en-US"/>
              </w:rPr>
            </w:pPr>
          </w:p>
        </w:tc>
      </w:tr>
    </w:tbl>
    <w:p w14:paraId="5C9652A1"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FBFE0B4"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0DECC887" w14:textId="77777777" w:rsidR="00280C5D" w:rsidRDefault="00280C5D" w:rsidP="003B0E72">
            <w:pPr>
              <w:pStyle w:val="Tableheader"/>
            </w:pPr>
            <w:r>
              <w:t>Document number</w:t>
            </w:r>
          </w:p>
        </w:tc>
        <w:tc>
          <w:tcPr>
            <w:tcW w:w="7653" w:type="dxa"/>
          </w:tcPr>
          <w:p w14:paraId="4FD594F2" w14:textId="77777777" w:rsidR="00280C5D" w:rsidRDefault="00280C5D" w:rsidP="003B0E72">
            <w:pPr>
              <w:pStyle w:val="Tableheader"/>
            </w:pPr>
            <w:r>
              <w:t>Document name</w:t>
            </w:r>
          </w:p>
        </w:tc>
      </w:tr>
      <w:tr w:rsidR="00280C5D" w14:paraId="3D320988" w14:textId="77777777" w:rsidTr="003B0E72">
        <w:tc>
          <w:tcPr>
            <w:tcW w:w="2548" w:type="dxa"/>
          </w:tcPr>
          <w:p w14:paraId="0F1C3C99" w14:textId="75116C34" w:rsidR="00280C5D" w:rsidRDefault="00F54183" w:rsidP="003B0E72">
            <w:pPr>
              <w:pStyle w:val="Tablebody"/>
              <w:rPr>
                <w:lang w:eastAsia="en-US"/>
              </w:rPr>
            </w:pPr>
            <w:r w:rsidRPr="00F54183">
              <w:rPr>
                <w:lang w:val="en-AU" w:eastAsia="en-US"/>
              </w:rPr>
              <w:t>CHS21/439</w:t>
            </w:r>
          </w:p>
        </w:tc>
        <w:tc>
          <w:tcPr>
            <w:tcW w:w="7653" w:type="dxa"/>
          </w:tcPr>
          <w:p w14:paraId="494D7FF1" w14:textId="6B9959A8" w:rsidR="00280C5D" w:rsidRDefault="00F54183" w:rsidP="003B0E72">
            <w:pPr>
              <w:pStyle w:val="Tablebody"/>
              <w:rPr>
                <w:lang w:eastAsia="en-US"/>
              </w:rPr>
            </w:pPr>
            <w:r w:rsidRPr="00F54183">
              <w:rPr>
                <w:lang w:val="en-AU" w:eastAsia="en-US"/>
              </w:rPr>
              <w:t>Management of Occupational Blood and Body Fluid Exposures (BBFE</w:t>
            </w:r>
            <w:r>
              <w:rPr>
                <w:lang w:val="en-AU" w:eastAsia="en-US"/>
              </w:rPr>
              <w:t>)</w:t>
            </w:r>
          </w:p>
        </w:tc>
      </w:tr>
      <w:tr w:rsidR="00280C5D" w14:paraId="371F61EF" w14:textId="77777777" w:rsidTr="003B0E72">
        <w:tc>
          <w:tcPr>
            <w:tcW w:w="2548" w:type="dxa"/>
          </w:tcPr>
          <w:p w14:paraId="43A47D19" w14:textId="77777777" w:rsidR="00280C5D" w:rsidRDefault="00280C5D" w:rsidP="003B0E72">
            <w:pPr>
              <w:pStyle w:val="Tablebody"/>
              <w:rPr>
                <w:lang w:eastAsia="en-US"/>
              </w:rPr>
            </w:pPr>
          </w:p>
        </w:tc>
        <w:tc>
          <w:tcPr>
            <w:tcW w:w="7653" w:type="dxa"/>
          </w:tcPr>
          <w:p w14:paraId="186007FE" w14:textId="77777777" w:rsidR="00280C5D" w:rsidRDefault="00280C5D" w:rsidP="003B0E72">
            <w:pPr>
              <w:pStyle w:val="Tablebody"/>
              <w:rPr>
                <w:lang w:eastAsia="en-US"/>
              </w:rPr>
            </w:pPr>
          </w:p>
        </w:tc>
      </w:tr>
    </w:tbl>
    <w:p w14:paraId="49FCCC50" w14:textId="77777777" w:rsidR="00280C5D" w:rsidRPr="001F3ED6" w:rsidRDefault="00280C5D" w:rsidP="001F3ED6">
      <w:pPr>
        <w:pStyle w:val="BodyCopy"/>
        <w:rPr>
          <w:rStyle w:val="Bold"/>
        </w:rPr>
      </w:pPr>
      <w:r w:rsidRPr="001F3ED6">
        <w:rPr>
          <w:rStyle w:val="Bold"/>
        </w:rPr>
        <w:t>Disclaimer</w:t>
      </w:r>
    </w:p>
    <w:p w14:paraId="023705A3"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3DFF943"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126A37EB"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0C0B0CFA" w14:textId="77777777" w:rsidTr="003B0E72">
        <w:tc>
          <w:tcPr>
            <w:tcW w:w="5529" w:type="dxa"/>
            <w:shd w:val="clear" w:color="auto" w:fill="F4F3EE"/>
            <w:tcMar>
              <w:top w:w="142" w:type="dxa"/>
              <w:left w:w="170" w:type="dxa"/>
              <w:bottom w:w="142" w:type="dxa"/>
              <w:right w:w="170" w:type="dxa"/>
            </w:tcMar>
          </w:tcPr>
          <w:bookmarkStart w:id="48" w:name="_Hlk160027189" w:displacedByCustomXml="next"/>
          <w:sdt>
            <w:sdtPr>
              <w:rPr>
                <w:color w:val="auto"/>
                <w:u w:val="single"/>
              </w:rPr>
              <w:id w:val="643171884"/>
              <w:placeholder>
                <w:docPart w:val="CA2BD00E7F024F428C9A32523AB78153"/>
              </w:placeholder>
            </w:sdtPr>
            <w:sdtEndPr>
              <w:rPr>
                <w:color w:val="000000" w:themeColor="text1"/>
                <w:u w:val="none"/>
              </w:rPr>
            </w:sdtEndPr>
            <w:sdtContent>
              <w:p w14:paraId="0FEFDBCF" w14:textId="77777777" w:rsidR="00280C5D" w:rsidRPr="00350211" w:rsidRDefault="00280C5D" w:rsidP="003B0E72">
                <w:pPr>
                  <w:pStyle w:val="Bottomblocktext"/>
                  <w:rPr>
                    <w:b/>
                    <w:bCs w:val="0"/>
                    <w:sz w:val="20"/>
                    <w:szCs w:val="20"/>
                  </w:rPr>
                </w:pPr>
                <w:r>
                  <w:rPr>
                    <w:noProof/>
                    <w:sz w:val="20"/>
                    <w:szCs w:val="20"/>
                  </w:rPr>
                  <w:drawing>
                    <wp:inline distT="0" distB="0" distL="0" distR="0" wp14:anchorId="2B0572FA" wp14:editId="0B18B139">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FD058D4"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76ECCBE7"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29C8CF3D04041B58A74EB8BA477539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2F533D35607456B9F9CA4BF748F0D0B"/>
            </w:placeholder>
            <w:showingPlcHdr/>
          </w:sdtPr>
          <w:sdtEndPr/>
          <w:sdtContent>
            <w:tc>
              <w:tcPr>
                <w:tcW w:w="4665" w:type="dxa"/>
                <w:shd w:val="clear" w:color="auto" w:fill="F4F3EE"/>
                <w:tcMar>
                  <w:top w:w="142" w:type="dxa"/>
                  <w:left w:w="170" w:type="dxa"/>
                  <w:bottom w:w="142" w:type="dxa"/>
                  <w:right w:w="170" w:type="dxa"/>
                </w:tcMar>
              </w:tcPr>
              <w:p w14:paraId="755745BD"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4D5394FF" wp14:editId="1A87EAC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B47B773" wp14:editId="3955B615">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01B685C"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8370E7C" wp14:editId="63337021">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7618DF6" wp14:editId="048FE66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67F5F46" w14:textId="77777777" w:rsidR="00280C5D" w:rsidRDefault="00280C5D" w:rsidP="003B0E72">
                <w:pPr>
                  <w:pStyle w:val="Bottomblocktext"/>
                  <w:rPr>
                    <w:sz w:val="20"/>
                    <w:szCs w:val="20"/>
                  </w:rPr>
                </w:pPr>
                <w:hyperlink r:id="rId34" w:history="1">
                  <w:r w:rsidRPr="00350211">
                    <w:rPr>
                      <w:rStyle w:val="Hyperlink"/>
                      <w:sz w:val="20"/>
                      <w:szCs w:val="20"/>
                    </w:rPr>
                    <w:t>canberrahealthservices.act.gov.au/accessibility</w:t>
                  </w:r>
                </w:hyperlink>
              </w:p>
              <w:p w14:paraId="7F76CFB3" w14:textId="77777777" w:rsidR="00280C5D" w:rsidRDefault="00280C5D" w:rsidP="003B0E72">
                <w:pPr>
                  <w:pStyle w:val="Bottomblocktext"/>
                </w:pPr>
                <w:r>
                  <w:rPr>
                    <w:b/>
                    <w:bCs w:val="0"/>
                    <w:noProof/>
                  </w:rPr>
                  <w:drawing>
                    <wp:inline distT="0" distB="0" distL="0" distR="0" wp14:anchorId="1F8663DF" wp14:editId="01B217D0">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48"/>
    </w:tbl>
    <w:p w14:paraId="1EFD8B8B" w14:textId="77777777" w:rsidR="00201AF6" w:rsidRDefault="00201AF6" w:rsidP="000E7683">
      <w:pPr>
        <w:rPr>
          <w:lang w:eastAsia="en-US"/>
        </w:rPr>
      </w:pPr>
    </w:p>
    <w:p w14:paraId="7FDF1A3A" w14:textId="77777777" w:rsidR="00201AF6" w:rsidRDefault="00201AF6">
      <w:pPr>
        <w:spacing w:before="0" w:after="0" w:line="240" w:lineRule="auto"/>
        <w:rPr>
          <w:lang w:eastAsia="en-US"/>
        </w:rPr>
      </w:pPr>
      <w:r>
        <w:rPr>
          <w:lang w:eastAsia="en-US"/>
        </w:rPr>
        <w:br w:type="page"/>
      </w:r>
    </w:p>
    <w:p w14:paraId="2CFE0EE5" w14:textId="36A507D1" w:rsidR="004A7A7F" w:rsidRDefault="00201AF6" w:rsidP="00F827BB">
      <w:pPr>
        <w:pStyle w:val="Heading4"/>
      </w:pPr>
      <w:bookmarkStart w:id="49" w:name="_Toc189830928"/>
      <w:r>
        <w:lastRenderedPageBreak/>
        <w:t>Attachment 1</w:t>
      </w:r>
      <w:r w:rsidR="006F003D">
        <w:t xml:space="preserve"> - Management of Blood and Bodily Fluid Exposures</w:t>
      </w:r>
      <w:bookmarkEnd w:id="49"/>
    </w:p>
    <w:p w14:paraId="21EA117B" w14:textId="33C3FA9C" w:rsidR="006F003D" w:rsidRDefault="00653FE1" w:rsidP="00A513AA">
      <w:pPr>
        <w:pStyle w:val="Bullet"/>
        <w:numPr>
          <w:ilvl w:val="0"/>
          <w:numId w:val="0"/>
        </w:numPr>
      </w:pPr>
      <w:r>
        <w:rPr>
          <w:noProof/>
        </w:rPr>
        <w:t xml:space="preserve">Quck </w:t>
      </w:r>
      <w:r w:rsidR="006F003D">
        <w:rPr>
          <w:noProof/>
        </w:rPr>
        <w:drawing>
          <wp:inline distT="0" distB="0" distL="0" distR="0" wp14:anchorId="02D2A222" wp14:editId="24E1EC46">
            <wp:extent cx="5759450" cy="8236585"/>
            <wp:effectExtent l="0" t="0" r="0" b="0"/>
            <wp:docPr id="1" name="Picture 1" descr="Image of flow chart summarising management of blood and bodily fluid exposures as described in the body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flow chart summarising management of blood and bodily fluid exposures as described in the body of the document."/>
                    <pic:cNvPicPr/>
                  </pic:nvPicPr>
                  <pic:blipFill>
                    <a:blip r:embed="rId36"/>
                    <a:stretch>
                      <a:fillRect/>
                    </a:stretch>
                  </pic:blipFill>
                  <pic:spPr>
                    <a:xfrm>
                      <a:off x="0" y="0"/>
                      <a:ext cx="5759450" cy="8236585"/>
                    </a:xfrm>
                    <a:prstGeom prst="rect">
                      <a:avLst/>
                    </a:prstGeom>
                  </pic:spPr>
                </pic:pic>
              </a:graphicData>
            </a:graphic>
          </wp:inline>
        </w:drawing>
      </w:r>
    </w:p>
    <w:p w14:paraId="3027C0AF" w14:textId="2BAD6DBB" w:rsidR="00A513AA" w:rsidRDefault="00A513AA" w:rsidP="00A513AA">
      <w:pPr>
        <w:pStyle w:val="Bullet"/>
        <w:numPr>
          <w:ilvl w:val="0"/>
          <w:numId w:val="0"/>
        </w:numPr>
        <w:rPr>
          <w:rStyle w:val="Hyperlink"/>
        </w:rPr>
      </w:pPr>
      <w:hyperlink w:anchor="_top" w:history="1">
        <w:r w:rsidRPr="00481A6C">
          <w:rPr>
            <w:rStyle w:val="Hyperlink"/>
          </w:rPr>
          <w:t>Back to Contents</w:t>
        </w:r>
      </w:hyperlink>
    </w:p>
    <w:p w14:paraId="0017C5A1" w14:textId="1DF5CDD9" w:rsidR="00A513AA" w:rsidRPr="006F003D" w:rsidRDefault="006F003D" w:rsidP="006F003D">
      <w:pPr>
        <w:pStyle w:val="Heading4"/>
        <w:rPr>
          <w:rStyle w:val="Hyperlink"/>
          <w:u w:val="none"/>
        </w:rPr>
      </w:pPr>
      <w:bookmarkStart w:id="50" w:name="_Toc189830929"/>
      <w:r w:rsidRPr="006F003D">
        <w:rPr>
          <w:rStyle w:val="Hyperlink"/>
          <w:u w:val="none"/>
        </w:rPr>
        <w:t>Attachment 2 – Quick Risk Assessment Tool</w:t>
      </w:r>
      <w:bookmarkEnd w:id="50"/>
      <w:r w:rsidRPr="006F003D">
        <w:rPr>
          <w:rStyle w:val="Hyperlink"/>
          <w:u w:val="none"/>
        </w:rPr>
        <w:t xml:space="preserve"> </w:t>
      </w:r>
    </w:p>
    <w:p w14:paraId="35534E1F" w14:textId="0FC76029" w:rsidR="006F003D" w:rsidRDefault="006F003D" w:rsidP="006F003D">
      <w:pPr>
        <w:rPr>
          <w:rStyle w:val="Hyperlink"/>
          <w:rFonts w:eastAsia="Times New Roman"/>
          <w:b/>
          <w:bCs/>
          <w:iCs/>
          <w:lang w:eastAsia="en-US"/>
        </w:rPr>
      </w:pPr>
      <w:r>
        <w:rPr>
          <w:noProof/>
        </w:rPr>
        <w:drawing>
          <wp:anchor distT="0" distB="0" distL="114300" distR="114300" simplePos="0" relativeHeight="251658240" behindDoc="0" locked="0" layoutInCell="1" allowOverlap="1" wp14:anchorId="1A9E420D" wp14:editId="42DD9C4C">
            <wp:simplePos x="0" y="0"/>
            <wp:positionH relativeFrom="margin">
              <wp:posOffset>412115</wp:posOffset>
            </wp:positionH>
            <wp:positionV relativeFrom="paragraph">
              <wp:posOffset>6350</wp:posOffset>
            </wp:positionV>
            <wp:extent cx="5319623" cy="7534275"/>
            <wp:effectExtent l="0" t="0" r="0" b="0"/>
            <wp:wrapNone/>
            <wp:docPr id="3" name="Picture 3" descr="Image of quick risk assessment tool which includes the risks of transmission detailed in Table 3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quick risk assessment tool which includes the risks of transmission detailed in Table 3 of the document.  "/>
                    <pic:cNvPicPr/>
                  </pic:nvPicPr>
                  <pic:blipFill>
                    <a:blip r:embed="rId37">
                      <a:extLst>
                        <a:ext uri="{28A0092B-C50C-407E-A947-70E740481C1C}">
                          <a14:useLocalDpi xmlns:a14="http://schemas.microsoft.com/office/drawing/2010/main" val="0"/>
                        </a:ext>
                      </a:extLst>
                    </a:blip>
                    <a:stretch>
                      <a:fillRect/>
                    </a:stretch>
                  </pic:blipFill>
                  <pic:spPr>
                    <a:xfrm>
                      <a:off x="0" y="0"/>
                      <a:ext cx="5323632" cy="7539953"/>
                    </a:xfrm>
                    <a:prstGeom prst="rect">
                      <a:avLst/>
                    </a:prstGeom>
                  </pic:spPr>
                </pic:pic>
              </a:graphicData>
            </a:graphic>
            <wp14:sizeRelH relativeFrom="margin">
              <wp14:pctWidth>0</wp14:pctWidth>
            </wp14:sizeRelH>
            <wp14:sizeRelV relativeFrom="margin">
              <wp14:pctHeight>0</wp14:pctHeight>
            </wp14:sizeRelV>
          </wp:anchor>
        </w:drawing>
      </w:r>
    </w:p>
    <w:p w14:paraId="1935E447" w14:textId="1BBF2A53" w:rsidR="006F003D" w:rsidRDefault="006F003D" w:rsidP="006F003D">
      <w:pPr>
        <w:ind w:firstLine="720"/>
        <w:rPr>
          <w:lang w:eastAsia="en-US"/>
        </w:rPr>
      </w:pPr>
    </w:p>
    <w:p w14:paraId="74C4A446" w14:textId="77777777" w:rsidR="006F003D" w:rsidRPr="006F003D" w:rsidRDefault="006F003D" w:rsidP="006F003D">
      <w:pPr>
        <w:rPr>
          <w:lang w:eastAsia="en-US"/>
        </w:rPr>
      </w:pPr>
    </w:p>
    <w:p w14:paraId="4BCF20E5" w14:textId="77777777" w:rsidR="006F003D" w:rsidRPr="006F003D" w:rsidRDefault="006F003D" w:rsidP="006F003D">
      <w:pPr>
        <w:rPr>
          <w:lang w:eastAsia="en-US"/>
        </w:rPr>
      </w:pPr>
    </w:p>
    <w:p w14:paraId="4E1D2932" w14:textId="77777777" w:rsidR="006F003D" w:rsidRPr="006F003D" w:rsidRDefault="006F003D" w:rsidP="006F003D">
      <w:pPr>
        <w:rPr>
          <w:lang w:eastAsia="en-US"/>
        </w:rPr>
      </w:pPr>
    </w:p>
    <w:p w14:paraId="6A185C1E" w14:textId="77777777" w:rsidR="006F003D" w:rsidRPr="006F003D" w:rsidRDefault="006F003D" w:rsidP="006F003D">
      <w:pPr>
        <w:rPr>
          <w:lang w:eastAsia="en-US"/>
        </w:rPr>
      </w:pPr>
    </w:p>
    <w:p w14:paraId="75C81C52" w14:textId="77777777" w:rsidR="006F003D" w:rsidRPr="006F003D" w:rsidRDefault="006F003D" w:rsidP="006F003D">
      <w:pPr>
        <w:rPr>
          <w:lang w:eastAsia="en-US"/>
        </w:rPr>
      </w:pPr>
    </w:p>
    <w:p w14:paraId="4FD71973" w14:textId="77777777" w:rsidR="006F003D" w:rsidRPr="006F003D" w:rsidRDefault="006F003D" w:rsidP="006F003D">
      <w:pPr>
        <w:rPr>
          <w:lang w:eastAsia="en-US"/>
        </w:rPr>
      </w:pPr>
    </w:p>
    <w:p w14:paraId="11CC9276" w14:textId="77777777" w:rsidR="006F003D" w:rsidRPr="006F003D" w:rsidRDefault="006F003D" w:rsidP="006F003D">
      <w:pPr>
        <w:rPr>
          <w:lang w:eastAsia="en-US"/>
        </w:rPr>
      </w:pPr>
    </w:p>
    <w:p w14:paraId="663AE799" w14:textId="77777777" w:rsidR="006F003D" w:rsidRPr="006F003D" w:rsidRDefault="006F003D" w:rsidP="006F003D">
      <w:pPr>
        <w:rPr>
          <w:lang w:eastAsia="en-US"/>
        </w:rPr>
      </w:pPr>
    </w:p>
    <w:p w14:paraId="61F1D993" w14:textId="77777777" w:rsidR="006F003D" w:rsidRPr="006F003D" w:rsidRDefault="006F003D" w:rsidP="006F003D">
      <w:pPr>
        <w:rPr>
          <w:lang w:eastAsia="en-US"/>
        </w:rPr>
      </w:pPr>
    </w:p>
    <w:p w14:paraId="02AA12E2" w14:textId="77777777" w:rsidR="006F003D" w:rsidRPr="006F003D" w:rsidRDefault="006F003D" w:rsidP="006F003D">
      <w:pPr>
        <w:rPr>
          <w:lang w:eastAsia="en-US"/>
        </w:rPr>
      </w:pPr>
    </w:p>
    <w:p w14:paraId="7B4E7873" w14:textId="77777777" w:rsidR="006F003D" w:rsidRPr="006F003D" w:rsidRDefault="006F003D" w:rsidP="006F003D">
      <w:pPr>
        <w:rPr>
          <w:lang w:eastAsia="en-US"/>
        </w:rPr>
      </w:pPr>
    </w:p>
    <w:p w14:paraId="3B042069" w14:textId="77777777" w:rsidR="006F003D" w:rsidRPr="006F003D" w:rsidRDefault="006F003D" w:rsidP="006F003D">
      <w:pPr>
        <w:rPr>
          <w:lang w:eastAsia="en-US"/>
        </w:rPr>
      </w:pPr>
    </w:p>
    <w:p w14:paraId="712E9D25" w14:textId="77777777" w:rsidR="006F003D" w:rsidRPr="006F003D" w:rsidRDefault="006F003D" w:rsidP="006F003D">
      <w:pPr>
        <w:rPr>
          <w:lang w:eastAsia="en-US"/>
        </w:rPr>
      </w:pPr>
    </w:p>
    <w:p w14:paraId="1820DC7E" w14:textId="77777777" w:rsidR="006F003D" w:rsidRPr="006F003D" w:rsidRDefault="006F003D" w:rsidP="006F003D">
      <w:pPr>
        <w:rPr>
          <w:lang w:eastAsia="en-US"/>
        </w:rPr>
      </w:pPr>
    </w:p>
    <w:p w14:paraId="7F6A5476" w14:textId="77777777" w:rsidR="006F003D" w:rsidRPr="006F003D" w:rsidRDefault="006F003D" w:rsidP="006F003D">
      <w:pPr>
        <w:rPr>
          <w:lang w:eastAsia="en-US"/>
        </w:rPr>
      </w:pPr>
    </w:p>
    <w:p w14:paraId="36BB0D39" w14:textId="77777777" w:rsidR="006F003D" w:rsidRPr="006F003D" w:rsidRDefault="006F003D" w:rsidP="006F003D">
      <w:pPr>
        <w:rPr>
          <w:lang w:eastAsia="en-US"/>
        </w:rPr>
      </w:pPr>
    </w:p>
    <w:p w14:paraId="6496E59F" w14:textId="77777777" w:rsidR="006F003D" w:rsidRDefault="006F003D" w:rsidP="006F003D">
      <w:pPr>
        <w:rPr>
          <w:lang w:eastAsia="en-US"/>
        </w:rPr>
      </w:pPr>
    </w:p>
    <w:p w14:paraId="20A4A581" w14:textId="77777777" w:rsidR="00B21CFA" w:rsidRDefault="00B21CFA" w:rsidP="006F003D">
      <w:pPr>
        <w:rPr>
          <w:lang w:eastAsia="en-US"/>
        </w:rPr>
      </w:pPr>
    </w:p>
    <w:p w14:paraId="012E6E57" w14:textId="77777777" w:rsidR="00B21CFA" w:rsidRDefault="00B21CFA" w:rsidP="006F003D">
      <w:pPr>
        <w:rPr>
          <w:lang w:eastAsia="en-US"/>
        </w:rPr>
      </w:pPr>
    </w:p>
    <w:p w14:paraId="21397D5B" w14:textId="77777777" w:rsidR="006F003D" w:rsidRDefault="006F003D" w:rsidP="4E1BFB06">
      <w:pPr>
        <w:pStyle w:val="Bullet"/>
        <w:numPr>
          <w:ilvl w:val="0"/>
          <w:numId w:val="0"/>
        </w:numPr>
        <w:rPr>
          <w:lang w:eastAsia="en-US"/>
        </w:rPr>
      </w:pPr>
    </w:p>
    <w:p w14:paraId="3A578E9C" w14:textId="358ABFAF" w:rsidR="006F003D" w:rsidRDefault="006F003D" w:rsidP="006F003D">
      <w:pPr>
        <w:pStyle w:val="Bullet"/>
        <w:numPr>
          <w:ilvl w:val="0"/>
          <w:numId w:val="0"/>
        </w:numPr>
        <w:rPr>
          <w:rStyle w:val="Hyperlink"/>
        </w:rPr>
      </w:pPr>
      <w:hyperlink w:anchor="_top" w:history="1">
        <w:r w:rsidRPr="00481A6C">
          <w:rPr>
            <w:rStyle w:val="Hyperlink"/>
          </w:rPr>
          <w:t>Back to Contents</w:t>
        </w:r>
      </w:hyperlink>
    </w:p>
    <w:p w14:paraId="74E63323" w14:textId="7F322789" w:rsidR="00D14164" w:rsidRPr="00D14164" w:rsidRDefault="00D632A3" w:rsidP="00D14164">
      <w:pPr>
        <w:pStyle w:val="Heading4"/>
      </w:pPr>
      <w:bookmarkStart w:id="51" w:name="_Toc189830930"/>
      <w:r>
        <w:lastRenderedPageBreak/>
        <w:t xml:space="preserve">Attachment 3 – Risk </w:t>
      </w:r>
      <w:r w:rsidR="002362B5">
        <w:t xml:space="preserve">Management </w:t>
      </w:r>
      <w:r>
        <w:t>Matrix</w:t>
      </w:r>
      <w:bookmarkEnd w:id="51"/>
      <w:r>
        <w:t xml:space="preserve"> </w:t>
      </w:r>
    </w:p>
    <w:tbl>
      <w:tblPr>
        <w:tblStyle w:val="TableGrid"/>
        <w:tblW w:w="0" w:type="auto"/>
        <w:tblLook w:val="04A0" w:firstRow="1" w:lastRow="0" w:firstColumn="1" w:lastColumn="0" w:noHBand="0" w:noVBand="1"/>
      </w:tblPr>
      <w:tblGrid>
        <w:gridCol w:w="1413"/>
        <w:gridCol w:w="2551"/>
        <w:gridCol w:w="2552"/>
        <w:gridCol w:w="2500"/>
      </w:tblGrid>
      <w:tr w:rsidR="00D14164" w14:paraId="4DAF7D91" w14:textId="77777777" w:rsidTr="00D83100">
        <w:tc>
          <w:tcPr>
            <w:tcW w:w="1413" w:type="dxa"/>
            <w:tcBorders>
              <w:top w:val="single" w:sz="4" w:space="0" w:color="FFFFFF" w:themeColor="background1"/>
              <w:left w:val="single" w:sz="4" w:space="0" w:color="FFFFFF" w:themeColor="background1"/>
              <w:bottom w:val="single" w:sz="12" w:space="0" w:color="auto"/>
              <w:right w:val="single" w:sz="12" w:space="0" w:color="auto"/>
            </w:tcBorders>
          </w:tcPr>
          <w:p w14:paraId="3E44C731" w14:textId="77777777" w:rsidR="00D14164" w:rsidRPr="007F59D4" w:rsidRDefault="00D14164" w:rsidP="00D83100">
            <w:pPr>
              <w:spacing w:after="120"/>
              <w:rPr>
                <w:b/>
                <w:bCs/>
                <w:sz w:val="20"/>
                <w:szCs w:val="20"/>
              </w:rPr>
            </w:pPr>
          </w:p>
        </w:tc>
        <w:tc>
          <w:tcPr>
            <w:tcW w:w="2551" w:type="dxa"/>
            <w:tcBorders>
              <w:top w:val="single" w:sz="12" w:space="0" w:color="auto"/>
              <w:left w:val="single" w:sz="12" w:space="0" w:color="auto"/>
              <w:bottom w:val="single" w:sz="12" w:space="0" w:color="auto"/>
              <w:right w:val="single" w:sz="12" w:space="0" w:color="auto"/>
            </w:tcBorders>
            <w:shd w:val="clear" w:color="auto" w:fill="FF4343"/>
            <w:vAlign w:val="center"/>
          </w:tcPr>
          <w:p w14:paraId="6F9A77D8" w14:textId="77777777" w:rsidR="00D14164" w:rsidRPr="007F59D4" w:rsidRDefault="00D14164" w:rsidP="00D83100">
            <w:pPr>
              <w:spacing w:after="120"/>
              <w:jc w:val="center"/>
              <w:rPr>
                <w:b/>
                <w:bCs/>
                <w:sz w:val="20"/>
                <w:szCs w:val="20"/>
              </w:rPr>
            </w:pPr>
            <w:r w:rsidRPr="007F59D4">
              <w:rPr>
                <w:b/>
                <w:bCs/>
                <w:sz w:val="20"/>
                <w:szCs w:val="20"/>
              </w:rPr>
              <w:t>High Risk Source</w:t>
            </w:r>
          </w:p>
        </w:tc>
        <w:tc>
          <w:tcPr>
            <w:tcW w:w="2552" w:type="dxa"/>
            <w:tcBorders>
              <w:top w:val="single" w:sz="12" w:space="0" w:color="auto"/>
              <w:left w:val="single" w:sz="12" w:space="0" w:color="auto"/>
              <w:bottom w:val="single" w:sz="12" w:space="0" w:color="auto"/>
              <w:right w:val="single" w:sz="12" w:space="0" w:color="auto"/>
            </w:tcBorders>
            <w:shd w:val="clear" w:color="auto" w:fill="F8D852"/>
            <w:vAlign w:val="center"/>
          </w:tcPr>
          <w:p w14:paraId="13F47988" w14:textId="77777777" w:rsidR="00D14164" w:rsidRPr="007F59D4" w:rsidRDefault="00D14164" w:rsidP="00D83100">
            <w:pPr>
              <w:spacing w:after="120"/>
              <w:jc w:val="center"/>
              <w:rPr>
                <w:b/>
                <w:bCs/>
                <w:sz w:val="20"/>
                <w:szCs w:val="20"/>
              </w:rPr>
            </w:pPr>
            <w:r w:rsidRPr="007F59D4">
              <w:rPr>
                <w:b/>
                <w:bCs/>
                <w:sz w:val="20"/>
                <w:szCs w:val="20"/>
              </w:rPr>
              <w:t>Low Risk Source</w:t>
            </w:r>
          </w:p>
        </w:tc>
        <w:tc>
          <w:tcPr>
            <w:tcW w:w="2500" w:type="dxa"/>
            <w:tcBorders>
              <w:top w:val="single" w:sz="12" w:space="0" w:color="auto"/>
              <w:left w:val="single" w:sz="12" w:space="0" w:color="auto"/>
              <w:bottom w:val="single" w:sz="12" w:space="0" w:color="auto"/>
              <w:right w:val="single" w:sz="12" w:space="0" w:color="auto"/>
            </w:tcBorders>
            <w:shd w:val="clear" w:color="auto" w:fill="ABDB77"/>
            <w:vAlign w:val="center"/>
          </w:tcPr>
          <w:p w14:paraId="24E704CA" w14:textId="77777777" w:rsidR="00D14164" w:rsidRPr="007F59D4" w:rsidRDefault="00D14164" w:rsidP="00D83100">
            <w:pPr>
              <w:spacing w:after="120"/>
              <w:jc w:val="center"/>
              <w:rPr>
                <w:b/>
                <w:bCs/>
                <w:sz w:val="20"/>
                <w:szCs w:val="20"/>
              </w:rPr>
            </w:pPr>
            <w:r w:rsidRPr="007F59D4">
              <w:rPr>
                <w:b/>
                <w:bCs/>
                <w:sz w:val="20"/>
                <w:szCs w:val="20"/>
              </w:rPr>
              <w:t>No Risk Source</w:t>
            </w:r>
          </w:p>
        </w:tc>
      </w:tr>
      <w:tr w:rsidR="00D14164" w14:paraId="260C5F06" w14:textId="77777777" w:rsidTr="00D83100">
        <w:tc>
          <w:tcPr>
            <w:tcW w:w="1413" w:type="dxa"/>
            <w:tcBorders>
              <w:top w:val="single" w:sz="12" w:space="0" w:color="auto"/>
              <w:left w:val="single" w:sz="12" w:space="0" w:color="auto"/>
              <w:bottom w:val="single" w:sz="12" w:space="0" w:color="auto"/>
              <w:right w:val="single" w:sz="12" w:space="0" w:color="auto"/>
            </w:tcBorders>
            <w:shd w:val="clear" w:color="auto" w:fill="FF4343"/>
            <w:vAlign w:val="center"/>
          </w:tcPr>
          <w:p w14:paraId="607108C1" w14:textId="77777777" w:rsidR="00D14164" w:rsidRPr="007F59D4" w:rsidRDefault="00D14164" w:rsidP="00D83100">
            <w:pPr>
              <w:spacing w:after="120"/>
              <w:rPr>
                <w:b/>
                <w:bCs/>
                <w:sz w:val="20"/>
                <w:szCs w:val="20"/>
              </w:rPr>
            </w:pPr>
            <w:r w:rsidRPr="007F59D4">
              <w:rPr>
                <w:b/>
                <w:bCs/>
                <w:sz w:val="20"/>
                <w:szCs w:val="20"/>
              </w:rPr>
              <w:t>High Risk Mechanism of Injury</w:t>
            </w:r>
          </w:p>
        </w:tc>
        <w:tc>
          <w:tcPr>
            <w:tcW w:w="2551" w:type="dxa"/>
            <w:tcBorders>
              <w:top w:val="single" w:sz="12" w:space="0" w:color="auto"/>
              <w:left w:val="single" w:sz="12" w:space="0" w:color="auto"/>
              <w:bottom w:val="single" w:sz="12" w:space="0" w:color="auto"/>
              <w:right w:val="single" w:sz="12" w:space="0" w:color="auto"/>
            </w:tcBorders>
            <w:shd w:val="clear" w:color="auto" w:fill="FFA7A7"/>
            <w:vAlign w:val="center"/>
          </w:tcPr>
          <w:p w14:paraId="6B69AF39" w14:textId="77777777" w:rsidR="00D14164" w:rsidRDefault="00D14164" w:rsidP="00D83100">
            <w:pPr>
              <w:spacing w:after="120"/>
              <w:rPr>
                <w:b/>
                <w:bCs/>
                <w:sz w:val="18"/>
                <w:szCs w:val="18"/>
              </w:rPr>
            </w:pPr>
            <w:r w:rsidRPr="007F59D4">
              <w:rPr>
                <w:b/>
                <w:bCs/>
                <w:sz w:val="18"/>
                <w:szCs w:val="18"/>
              </w:rPr>
              <w:t>High Risk for Transmission</w:t>
            </w:r>
          </w:p>
          <w:p w14:paraId="5074191D" w14:textId="77777777" w:rsidR="00D14164" w:rsidRPr="007F59D4" w:rsidRDefault="00D14164" w:rsidP="00D14164">
            <w:pPr>
              <w:pStyle w:val="ListParagraph"/>
              <w:numPr>
                <w:ilvl w:val="0"/>
                <w:numId w:val="10"/>
              </w:numPr>
              <w:spacing w:before="120" w:after="120" w:line="276" w:lineRule="auto"/>
              <w:rPr>
                <w:rFonts w:ascii="Arial" w:hAnsi="Arial" w:cs="Arial"/>
                <w:sz w:val="18"/>
                <w:szCs w:val="18"/>
              </w:rPr>
            </w:pPr>
            <w:r w:rsidRPr="007F59D4">
              <w:rPr>
                <w:rFonts w:ascii="Arial" w:hAnsi="Arial" w:cs="Arial"/>
                <w:sz w:val="16"/>
                <w:szCs w:val="16"/>
              </w:rPr>
              <w:t>HIV PEP Recommended</w:t>
            </w:r>
            <w:r>
              <w:rPr>
                <w:rFonts w:ascii="Arial" w:hAnsi="Arial" w:cs="Arial"/>
                <w:sz w:val="16"/>
                <w:szCs w:val="16"/>
              </w:rPr>
              <w:t>.</w:t>
            </w:r>
          </w:p>
          <w:p w14:paraId="10F44DAC" w14:textId="77777777" w:rsidR="00D14164" w:rsidRPr="007F59D4" w:rsidRDefault="00D14164" w:rsidP="00D14164">
            <w:pPr>
              <w:pStyle w:val="ListParagraph"/>
              <w:numPr>
                <w:ilvl w:val="0"/>
                <w:numId w:val="10"/>
              </w:numPr>
              <w:spacing w:before="120" w:after="120" w:line="276" w:lineRule="auto"/>
              <w:rPr>
                <w:rFonts w:ascii="Arial" w:hAnsi="Arial" w:cs="Arial"/>
                <w:sz w:val="18"/>
                <w:szCs w:val="18"/>
              </w:rPr>
            </w:pPr>
            <w:r>
              <w:rPr>
                <w:rFonts w:ascii="Arial" w:hAnsi="Arial" w:cs="Arial"/>
                <w:sz w:val="16"/>
                <w:szCs w:val="16"/>
              </w:rPr>
              <w:t>HCV &amp; HIV follow-up with OMU/SHD.</w:t>
            </w:r>
          </w:p>
        </w:tc>
        <w:tc>
          <w:tcPr>
            <w:tcW w:w="2552" w:type="dxa"/>
            <w:vMerge w:val="restart"/>
            <w:tcBorders>
              <w:top w:val="single" w:sz="12" w:space="0" w:color="auto"/>
              <w:left w:val="single" w:sz="12" w:space="0" w:color="auto"/>
              <w:right w:val="single" w:sz="12" w:space="0" w:color="auto"/>
            </w:tcBorders>
            <w:shd w:val="clear" w:color="auto" w:fill="FFEFBD"/>
          </w:tcPr>
          <w:p w14:paraId="075474B0" w14:textId="77777777" w:rsidR="00D14164" w:rsidRDefault="00D14164" w:rsidP="00D83100">
            <w:pPr>
              <w:spacing w:after="120"/>
              <w:rPr>
                <w:b/>
                <w:bCs/>
                <w:sz w:val="18"/>
                <w:szCs w:val="18"/>
              </w:rPr>
            </w:pPr>
            <w:r w:rsidRPr="007F59D4">
              <w:rPr>
                <w:b/>
                <w:bCs/>
                <w:sz w:val="18"/>
                <w:szCs w:val="18"/>
              </w:rPr>
              <w:t xml:space="preserve">Los Risk for Transmission </w:t>
            </w:r>
          </w:p>
          <w:p w14:paraId="4E0D3610" w14:textId="77777777" w:rsidR="00D14164" w:rsidRPr="00D75E15" w:rsidRDefault="00D14164" w:rsidP="00D14164">
            <w:pPr>
              <w:pStyle w:val="ListParagraph"/>
              <w:numPr>
                <w:ilvl w:val="0"/>
                <w:numId w:val="11"/>
              </w:numPr>
              <w:spacing w:before="120" w:after="120" w:line="276" w:lineRule="auto"/>
              <w:rPr>
                <w:rFonts w:ascii="Arial" w:hAnsi="Arial" w:cs="Arial"/>
                <w:sz w:val="16"/>
                <w:szCs w:val="16"/>
              </w:rPr>
            </w:pPr>
            <w:r w:rsidRPr="00D75E15">
              <w:rPr>
                <w:rFonts w:ascii="Arial" w:hAnsi="Arial" w:cs="Arial"/>
                <w:sz w:val="16"/>
                <w:szCs w:val="16"/>
              </w:rPr>
              <w:t>Consider HIV PEP.</w:t>
            </w:r>
          </w:p>
          <w:p w14:paraId="6BDFF181" w14:textId="77777777" w:rsidR="00D14164" w:rsidRPr="00D75E15" w:rsidRDefault="00D14164" w:rsidP="00D14164">
            <w:pPr>
              <w:pStyle w:val="ListParagraph"/>
              <w:numPr>
                <w:ilvl w:val="0"/>
                <w:numId w:val="11"/>
              </w:numPr>
              <w:spacing w:before="120" w:after="120" w:line="276" w:lineRule="auto"/>
              <w:rPr>
                <w:rFonts w:ascii="Arial" w:hAnsi="Arial" w:cs="Arial"/>
                <w:b/>
                <w:bCs/>
                <w:sz w:val="18"/>
                <w:szCs w:val="18"/>
              </w:rPr>
            </w:pPr>
            <w:r w:rsidRPr="00D75E15">
              <w:rPr>
                <w:rFonts w:ascii="Arial" w:hAnsi="Arial" w:cs="Arial"/>
                <w:sz w:val="16"/>
                <w:szCs w:val="16"/>
              </w:rPr>
              <w:t>HCV &amp; HIV follow-up with OMU/SHD.</w:t>
            </w:r>
          </w:p>
        </w:tc>
        <w:tc>
          <w:tcPr>
            <w:tcW w:w="2500" w:type="dxa"/>
            <w:vMerge w:val="restart"/>
            <w:tcBorders>
              <w:top w:val="single" w:sz="12" w:space="0" w:color="auto"/>
              <w:left w:val="single" w:sz="12" w:space="0" w:color="auto"/>
              <w:right w:val="single" w:sz="12" w:space="0" w:color="auto"/>
            </w:tcBorders>
            <w:shd w:val="clear" w:color="auto" w:fill="E5F4D4"/>
          </w:tcPr>
          <w:p w14:paraId="0940DF12" w14:textId="77777777" w:rsidR="00D14164" w:rsidRDefault="00D14164" w:rsidP="00D83100">
            <w:pPr>
              <w:spacing w:after="120"/>
              <w:rPr>
                <w:b/>
                <w:bCs/>
                <w:sz w:val="18"/>
                <w:szCs w:val="18"/>
              </w:rPr>
            </w:pPr>
            <w:r w:rsidRPr="007F59D4">
              <w:rPr>
                <w:b/>
                <w:bCs/>
                <w:sz w:val="18"/>
                <w:szCs w:val="18"/>
              </w:rPr>
              <w:t xml:space="preserve">No Risk for Transmission </w:t>
            </w:r>
          </w:p>
          <w:p w14:paraId="18BA7D19" w14:textId="77777777" w:rsidR="00D14164" w:rsidRPr="00D75E15" w:rsidRDefault="00D14164" w:rsidP="00D14164">
            <w:pPr>
              <w:pStyle w:val="ListParagraph"/>
              <w:numPr>
                <w:ilvl w:val="0"/>
                <w:numId w:val="12"/>
              </w:numPr>
              <w:spacing w:before="120" w:after="120" w:line="276" w:lineRule="auto"/>
              <w:rPr>
                <w:rFonts w:ascii="Arial" w:hAnsi="Arial" w:cs="Arial"/>
                <w:sz w:val="16"/>
                <w:szCs w:val="16"/>
              </w:rPr>
            </w:pPr>
            <w:r>
              <w:rPr>
                <w:rFonts w:ascii="Arial" w:hAnsi="Arial" w:cs="Arial"/>
                <w:sz w:val="16"/>
                <w:szCs w:val="16"/>
              </w:rPr>
              <w:t xml:space="preserve">HIV PEP not recommended. </w:t>
            </w:r>
          </w:p>
          <w:p w14:paraId="455DED77" w14:textId="77777777" w:rsidR="00D14164" w:rsidRPr="00D75E15" w:rsidRDefault="00D14164" w:rsidP="00D14164">
            <w:pPr>
              <w:pStyle w:val="ListParagraph"/>
              <w:numPr>
                <w:ilvl w:val="0"/>
                <w:numId w:val="12"/>
              </w:numPr>
              <w:spacing w:before="120" w:after="120" w:line="276" w:lineRule="auto"/>
              <w:rPr>
                <w:rFonts w:ascii="Arial" w:hAnsi="Arial" w:cs="Arial"/>
                <w:sz w:val="16"/>
                <w:szCs w:val="16"/>
              </w:rPr>
            </w:pPr>
            <w:r w:rsidRPr="00D75E15">
              <w:rPr>
                <w:rFonts w:ascii="Arial" w:hAnsi="Arial" w:cs="Arial"/>
                <w:sz w:val="16"/>
                <w:szCs w:val="16"/>
              </w:rPr>
              <w:t xml:space="preserve">Possible BBFE follow-up testing with OMU/SHD. </w:t>
            </w:r>
          </w:p>
          <w:p w14:paraId="3F6BCFB6" w14:textId="77777777" w:rsidR="00D14164" w:rsidRPr="007F59D4" w:rsidRDefault="00D14164" w:rsidP="00D83100">
            <w:pPr>
              <w:spacing w:after="120"/>
              <w:rPr>
                <w:b/>
                <w:bCs/>
                <w:sz w:val="18"/>
                <w:szCs w:val="18"/>
              </w:rPr>
            </w:pPr>
          </w:p>
        </w:tc>
      </w:tr>
      <w:tr w:rsidR="00D14164" w14:paraId="32E85720" w14:textId="77777777" w:rsidTr="00D83100">
        <w:tc>
          <w:tcPr>
            <w:tcW w:w="1413" w:type="dxa"/>
            <w:tcBorders>
              <w:top w:val="single" w:sz="12" w:space="0" w:color="auto"/>
              <w:left w:val="single" w:sz="12" w:space="0" w:color="auto"/>
              <w:bottom w:val="single" w:sz="12" w:space="0" w:color="auto"/>
              <w:right w:val="single" w:sz="12" w:space="0" w:color="auto"/>
            </w:tcBorders>
            <w:shd w:val="clear" w:color="auto" w:fill="FFD243"/>
            <w:vAlign w:val="center"/>
          </w:tcPr>
          <w:p w14:paraId="43A61DDB" w14:textId="77777777" w:rsidR="00D14164" w:rsidRPr="007F59D4" w:rsidRDefault="00D14164" w:rsidP="00D83100">
            <w:pPr>
              <w:spacing w:after="120"/>
              <w:rPr>
                <w:b/>
                <w:bCs/>
                <w:sz w:val="20"/>
                <w:szCs w:val="20"/>
              </w:rPr>
            </w:pPr>
            <w:r w:rsidRPr="007F59D4">
              <w:rPr>
                <w:b/>
                <w:bCs/>
                <w:sz w:val="20"/>
                <w:szCs w:val="20"/>
              </w:rPr>
              <w:t>Low Risk Mechanism of Injury</w:t>
            </w:r>
          </w:p>
        </w:tc>
        <w:tc>
          <w:tcPr>
            <w:tcW w:w="2551" w:type="dxa"/>
            <w:tcBorders>
              <w:top w:val="single" w:sz="12" w:space="0" w:color="auto"/>
              <w:left w:val="single" w:sz="12" w:space="0" w:color="auto"/>
              <w:bottom w:val="single" w:sz="12" w:space="0" w:color="auto"/>
              <w:right w:val="single" w:sz="12" w:space="0" w:color="auto"/>
            </w:tcBorders>
            <w:shd w:val="clear" w:color="auto" w:fill="FFEFBD"/>
            <w:vAlign w:val="center"/>
          </w:tcPr>
          <w:p w14:paraId="56D428A2" w14:textId="77777777" w:rsidR="00D14164" w:rsidRDefault="00D14164" w:rsidP="00D83100">
            <w:pPr>
              <w:spacing w:after="120"/>
              <w:rPr>
                <w:b/>
                <w:bCs/>
                <w:sz w:val="18"/>
                <w:szCs w:val="18"/>
              </w:rPr>
            </w:pPr>
            <w:r w:rsidRPr="007F59D4">
              <w:rPr>
                <w:b/>
                <w:bCs/>
                <w:sz w:val="18"/>
                <w:szCs w:val="18"/>
              </w:rPr>
              <w:t>Los Risk for Transmission</w:t>
            </w:r>
          </w:p>
          <w:p w14:paraId="2427B308" w14:textId="77777777" w:rsidR="00D14164" w:rsidRPr="00D75E15" w:rsidRDefault="00D14164" w:rsidP="00D14164">
            <w:pPr>
              <w:pStyle w:val="ListParagraph"/>
              <w:numPr>
                <w:ilvl w:val="0"/>
                <w:numId w:val="11"/>
              </w:numPr>
              <w:spacing w:before="120" w:after="120" w:line="276" w:lineRule="auto"/>
              <w:rPr>
                <w:rFonts w:ascii="Arial" w:hAnsi="Arial" w:cs="Arial"/>
                <w:sz w:val="16"/>
                <w:szCs w:val="16"/>
              </w:rPr>
            </w:pPr>
            <w:r w:rsidRPr="00D75E15">
              <w:rPr>
                <w:rFonts w:ascii="Arial" w:hAnsi="Arial" w:cs="Arial"/>
                <w:sz w:val="16"/>
                <w:szCs w:val="16"/>
              </w:rPr>
              <w:t>Consider HIV PEP.</w:t>
            </w:r>
          </w:p>
          <w:p w14:paraId="220C0E21" w14:textId="77777777" w:rsidR="00D14164" w:rsidRPr="00D75E15" w:rsidRDefault="00D14164" w:rsidP="00D14164">
            <w:pPr>
              <w:pStyle w:val="ListParagraph"/>
              <w:numPr>
                <w:ilvl w:val="0"/>
                <w:numId w:val="11"/>
              </w:numPr>
              <w:spacing w:before="120" w:after="120" w:line="276" w:lineRule="auto"/>
              <w:rPr>
                <w:rFonts w:ascii="Arial" w:hAnsi="Arial" w:cs="Arial"/>
                <w:b/>
                <w:bCs/>
                <w:sz w:val="16"/>
                <w:szCs w:val="16"/>
              </w:rPr>
            </w:pPr>
            <w:r w:rsidRPr="00D75E15">
              <w:rPr>
                <w:rFonts w:ascii="Arial" w:hAnsi="Arial" w:cs="Arial"/>
                <w:sz w:val="16"/>
                <w:szCs w:val="16"/>
              </w:rPr>
              <w:t>HCV &amp; HIV follow-up with OMU/SHD.</w:t>
            </w:r>
            <w:r>
              <w:rPr>
                <w:rFonts w:ascii="Arial" w:hAnsi="Arial" w:cs="Arial"/>
                <w:b/>
                <w:bCs/>
                <w:sz w:val="16"/>
                <w:szCs w:val="16"/>
              </w:rPr>
              <w:t xml:space="preserve"> </w:t>
            </w:r>
          </w:p>
        </w:tc>
        <w:tc>
          <w:tcPr>
            <w:tcW w:w="2552" w:type="dxa"/>
            <w:vMerge/>
            <w:tcBorders>
              <w:left w:val="single" w:sz="12" w:space="0" w:color="auto"/>
              <w:bottom w:val="single" w:sz="12" w:space="0" w:color="auto"/>
              <w:right w:val="single" w:sz="12" w:space="0" w:color="auto"/>
            </w:tcBorders>
            <w:shd w:val="clear" w:color="auto" w:fill="FFEFBD"/>
            <w:vAlign w:val="center"/>
          </w:tcPr>
          <w:p w14:paraId="4386C1C2" w14:textId="77777777" w:rsidR="00D14164" w:rsidRPr="007F59D4" w:rsidRDefault="00D14164" w:rsidP="00D83100">
            <w:pPr>
              <w:spacing w:after="120"/>
              <w:rPr>
                <w:b/>
                <w:bCs/>
              </w:rPr>
            </w:pPr>
          </w:p>
        </w:tc>
        <w:tc>
          <w:tcPr>
            <w:tcW w:w="2500" w:type="dxa"/>
            <w:vMerge/>
            <w:tcBorders>
              <w:left w:val="single" w:sz="12" w:space="0" w:color="auto"/>
              <w:right w:val="single" w:sz="12" w:space="0" w:color="auto"/>
            </w:tcBorders>
            <w:shd w:val="clear" w:color="auto" w:fill="E5F4D4"/>
            <w:vAlign w:val="center"/>
          </w:tcPr>
          <w:p w14:paraId="23C40B0A" w14:textId="77777777" w:rsidR="00D14164" w:rsidRDefault="00D14164" w:rsidP="00D83100">
            <w:pPr>
              <w:spacing w:after="120"/>
            </w:pPr>
          </w:p>
        </w:tc>
      </w:tr>
      <w:tr w:rsidR="00D14164" w14:paraId="045A4D11" w14:textId="77777777" w:rsidTr="00D83100">
        <w:trPr>
          <w:trHeight w:val="1092"/>
        </w:trPr>
        <w:tc>
          <w:tcPr>
            <w:tcW w:w="1413" w:type="dxa"/>
            <w:tcBorders>
              <w:top w:val="single" w:sz="12" w:space="0" w:color="auto"/>
              <w:left w:val="single" w:sz="12" w:space="0" w:color="auto"/>
              <w:bottom w:val="single" w:sz="12" w:space="0" w:color="auto"/>
              <w:right w:val="single" w:sz="12" w:space="0" w:color="auto"/>
            </w:tcBorders>
            <w:shd w:val="clear" w:color="auto" w:fill="ABDB77"/>
            <w:vAlign w:val="center"/>
          </w:tcPr>
          <w:p w14:paraId="16632DF6" w14:textId="77777777" w:rsidR="00D14164" w:rsidRPr="007F59D4" w:rsidRDefault="00D14164" w:rsidP="00D83100">
            <w:pPr>
              <w:spacing w:after="120"/>
              <w:rPr>
                <w:b/>
                <w:bCs/>
                <w:sz w:val="20"/>
                <w:szCs w:val="20"/>
              </w:rPr>
            </w:pPr>
            <w:r w:rsidRPr="007F59D4">
              <w:rPr>
                <w:b/>
                <w:bCs/>
                <w:sz w:val="20"/>
                <w:szCs w:val="20"/>
              </w:rPr>
              <w:t>No Risk Mechanism of Injury</w:t>
            </w:r>
          </w:p>
        </w:tc>
        <w:tc>
          <w:tcPr>
            <w:tcW w:w="5103" w:type="dxa"/>
            <w:gridSpan w:val="2"/>
            <w:tcBorders>
              <w:top w:val="single" w:sz="12" w:space="0" w:color="auto"/>
              <w:left w:val="single" w:sz="12" w:space="0" w:color="auto"/>
              <w:bottom w:val="single" w:sz="12" w:space="0" w:color="auto"/>
              <w:right w:val="single" w:sz="12" w:space="0" w:color="auto"/>
            </w:tcBorders>
            <w:shd w:val="clear" w:color="auto" w:fill="E5F4D4"/>
            <w:vAlign w:val="center"/>
          </w:tcPr>
          <w:p w14:paraId="75E6E6D8" w14:textId="77777777" w:rsidR="00D14164" w:rsidRDefault="00D14164" w:rsidP="00D83100">
            <w:pPr>
              <w:spacing w:after="120"/>
              <w:rPr>
                <w:b/>
                <w:bCs/>
                <w:sz w:val="18"/>
                <w:szCs w:val="18"/>
              </w:rPr>
            </w:pPr>
            <w:r w:rsidRPr="007F59D4">
              <w:rPr>
                <w:b/>
                <w:bCs/>
                <w:sz w:val="18"/>
                <w:szCs w:val="18"/>
              </w:rPr>
              <w:t>No Risk for Transmission</w:t>
            </w:r>
          </w:p>
          <w:p w14:paraId="3632DA51" w14:textId="77777777" w:rsidR="00D14164" w:rsidRPr="00D75E15" w:rsidRDefault="00D14164" w:rsidP="00D14164">
            <w:pPr>
              <w:pStyle w:val="ListParagraph"/>
              <w:numPr>
                <w:ilvl w:val="0"/>
                <w:numId w:val="12"/>
              </w:numPr>
              <w:spacing w:before="120" w:after="120" w:line="276" w:lineRule="auto"/>
              <w:rPr>
                <w:rFonts w:ascii="Arial" w:hAnsi="Arial" w:cs="Arial"/>
                <w:sz w:val="16"/>
                <w:szCs w:val="16"/>
              </w:rPr>
            </w:pPr>
            <w:r w:rsidRPr="00D75E15">
              <w:rPr>
                <w:rFonts w:ascii="Arial" w:hAnsi="Arial" w:cs="Arial"/>
                <w:sz w:val="16"/>
                <w:szCs w:val="16"/>
              </w:rPr>
              <w:t xml:space="preserve">Generally, no HIV PEP. </w:t>
            </w:r>
          </w:p>
          <w:p w14:paraId="57EE13FD" w14:textId="77777777" w:rsidR="00D14164" w:rsidRPr="00D75E15" w:rsidRDefault="00D14164" w:rsidP="00D14164">
            <w:pPr>
              <w:pStyle w:val="ListParagraph"/>
              <w:numPr>
                <w:ilvl w:val="0"/>
                <w:numId w:val="12"/>
              </w:numPr>
              <w:spacing w:before="120" w:after="120" w:line="276" w:lineRule="auto"/>
              <w:rPr>
                <w:rFonts w:ascii="Arial" w:hAnsi="Arial" w:cs="Arial"/>
                <w:sz w:val="16"/>
                <w:szCs w:val="16"/>
              </w:rPr>
            </w:pPr>
            <w:r w:rsidRPr="00D75E15">
              <w:rPr>
                <w:rFonts w:ascii="Arial" w:hAnsi="Arial" w:cs="Arial"/>
                <w:sz w:val="16"/>
                <w:szCs w:val="16"/>
              </w:rPr>
              <w:t xml:space="preserve">Possible BBFE follow-up testing with OMU/SHD. </w:t>
            </w:r>
          </w:p>
        </w:tc>
        <w:tc>
          <w:tcPr>
            <w:tcW w:w="2500" w:type="dxa"/>
            <w:vMerge/>
            <w:tcBorders>
              <w:left w:val="single" w:sz="12" w:space="0" w:color="auto"/>
              <w:bottom w:val="single" w:sz="12" w:space="0" w:color="auto"/>
              <w:right w:val="single" w:sz="12" w:space="0" w:color="auto"/>
            </w:tcBorders>
            <w:shd w:val="clear" w:color="auto" w:fill="E5F4D4"/>
            <w:vAlign w:val="center"/>
          </w:tcPr>
          <w:p w14:paraId="6381C473" w14:textId="77777777" w:rsidR="00D14164" w:rsidRDefault="00D14164" w:rsidP="00D83100">
            <w:pPr>
              <w:spacing w:after="120"/>
            </w:pPr>
          </w:p>
        </w:tc>
      </w:tr>
    </w:tbl>
    <w:p w14:paraId="174B3E20" w14:textId="77777777" w:rsidR="00D14164" w:rsidRPr="00D14164" w:rsidRDefault="00D14164" w:rsidP="00D14164">
      <w:pPr>
        <w:spacing w:after="120"/>
        <w:rPr>
          <w:sz w:val="6"/>
          <w:szCs w:val="6"/>
        </w:rPr>
      </w:pPr>
    </w:p>
    <w:tbl>
      <w:tblPr>
        <w:tblStyle w:val="TableGrid"/>
        <w:tblW w:w="0" w:type="auto"/>
        <w:tblLook w:val="04A0" w:firstRow="1" w:lastRow="0" w:firstColumn="1" w:lastColumn="0" w:noHBand="0" w:noVBand="1"/>
      </w:tblPr>
      <w:tblGrid>
        <w:gridCol w:w="3005"/>
        <w:gridCol w:w="3005"/>
        <w:gridCol w:w="3006"/>
      </w:tblGrid>
      <w:tr w:rsidR="00D14164" w14:paraId="738FAB7D" w14:textId="77777777" w:rsidTr="00D83100">
        <w:tc>
          <w:tcPr>
            <w:tcW w:w="3005" w:type="dxa"/>
            <w:tcBorders>
              <w:top w:val="single" w:sz="12" w:space="0" w:color="auto"/>
              <w:left w:val="single" w:sz="12" w:space="0" w:color="auto"/>
              <w:bottom w:val="single" w:sz="12" w:space="0" w:color="auto"/>
              <w:right w:val="single" w:sz="12" w:space="0" w:color="auto"/>
            </w:tcBorders>
            <w:shd w:val="clear" w:color="auto" w:fill="ABDB77"/>
            <w:vAlign w:val="center"/>
          </w:tcPr>
          <w:p w14:paraId="3C9B06E6" w14:textId="77777777" w:rsidR="00D14164" w:rsidRDefault="00D14164" w:rsidP="00D83100">
            <w:pPr>
              <w:jc w:val="center"/>
              <w:rPr>
                <w:b/>
                <w:bCs/>
                <w:sz w:val="20"/>
                <w:szCs w:val="20"/>
              </w:rPr>
            </w:pPr>
            <w:r w:rsidRPr="00181145">
              <w:rPr>
                <w:b/>
                <w:bCs/>
                <w:sz w:val="20"/>
                <w:szCs w:val="20"/>
              </w:rPr>
              <w:t>No Risk</w:t>
            </w:r>
          </w:p>
          <w:p w14:paraId="22648504" w14:textId="77777777" w:rsidR="00D14164" w:rsidRPr="00181145" w:rsidRDefault="00D14164" w:rsidP="00D83100">
            <w:pPr>
              <w:spacing w:after="120"/>
              <w:jc w:val="center"/>
              <w:rPr>
                <w:sz w:val="20"/>
                <w:szCs w:val="20"/>
              </w:rPr>
            </w:pPr>
            <w:r w:rsidRPr="00181145">
              <w:rPr>
                <w:b/>
                <w:bCs/>
                <w:sz w:val="20"/>
                <w:szCs w:val="20"/>
              </w:rPr>
              <w:t>Mechanism of Injury</w:t>
            </w:r>
          </w:p>
        </w:tc>
        <w:tc>
          <w:tcPr>
            <w:tcW w:w="3005" w:type="dxa"/>
            <w:tcBorders>
              <w:top w:val="single" w:sz="12" w:space="0" w:color="auto"/>
              <w:left w:val="single" w:sz="12" w:space="0" w:color="auto"/>
              <w:bottom w:val="single" w:sz="12" w:space="0" w:color="auto"/>
              <w:right w:val="single" w:sz="12" w:space="0" w:color="auto"/>
            </w:tcBorders>
            <w:shd w:val="clear" w:color="auto" w:fill="FFD243"/>
            <w:vAlign w:val="center"/>
          </w:tcPr>
          <w:p w14:paraId="054FADAB" w14:textId="77777777" w:rsidR="00D14164" w:rsidRDefault="00D14164" w:rsidP="00D83100">
            <w:pPr>
              <w:jc w:val="center"/>
              <w:rPr>
                <w:b/>
                <w:bCs/>
                <w:sz w:val="20"/>
                <w:szCs w:val="20"/>
              </w:rPr>
            </w:pPr>
            <w:r w:rsidRPr="00181145">
              <w:rPr>
                <w:b/>
                <w:bCs/>
                <w:sz w:val="20"/>
                <w:szCs w:val="20"/>
              </w:rPr>
              <w:t>Low Risk</w:t>
            </w:r>
          </w:p>
          <w:p w14:paraId="5CC629F9" w14:textId="77777777" w:rsidR="00D14164" w:rsidRPr="00181145" w:rsidRDefault="00D14164" w:rsidP="00D83100">
            <w:pPr>
              <w:spacing w:after="120"/>
              <w:jc w:val="center"/>
              <w:rPr>
                <w:b/>
                <w:bCs/>
                <w:sz w:val="20"/>
                <w:szCs w:val="20"/>
              </w:rPr>
            </w:pPr>
            <w:r w:rsidRPr="00181145">
              <w:rPr>
                <w:b/>
                <w:bCs/>
                <w:sz w:val="20"/>
                <w:szCs w:val="20"/>
              </w:rPr>
              <w:t>Mechanism of Injury</w:t>
            </w:r>
          </w:p>
        </w:tc>
        <w:tc>
          <w:tcPr>
            <w:tcW w:w="3006" w:type="dxa"/>
            <w:tcBorders>
              <w:top w:val="single" w:sz="12" w:space="0" w:color="auto"/>
              <w:left w:val="single" w:sz="12" w:space="0" w:color="auto"/>
              <w:bottom w:val="single" w:sz="12" w:space="0" w:color="auto"/>
              <w:right w:val="single" w:sz="12" w:space="0" w:color="auto"/>
            </w:tcBorders>
            <w:shd w:val="clear" w:color="auto" w:fill="FF4343"/>
            <w:vAlign w:val="center"/>
          </w:tcPr>
          <w:p w14:paraId="39451FC8" w14:textId="77777777" w:rsidR="00D14164" w:rsidRDefault="00D14164" w:rsidP="00D83100">
            <w:pPr>
              <w:jc w:val="center"/>
              <w:rPr>
                <w:b/>
                <w:bCs/>
                <w:sz w:val="20"/>
                <w:szCs w:val="20"/>
              </w:rPr>
            </w:pPr>
            <w:r w:rsidRPr="00181145">
              <w:rPr>
                <w:b/>
                <w:bCs/>
                <w:sz w:val="20"/>
                <w:szCs w:val="20"/>
              </w:rPr>
              <w:t>High Risk</w:t>
            </w:r>
          </w:p>
          <w:p w14:paraId="2BE10BD5" w14:textId="77777777" w:rsidR="00D14164" w:rsidRPr="00181145" w:rsidRDefault="00D14164" w:rsidP="00D83100">
            <w:pPr>
              <w:spacing w:after="120"/>
              <w:jc w:val="center"/>
              <w:rPr>
                <w:sz w:val="20"/>
                <w:szCs w:val="20"/>
              </w:rPr>
            </w:pPr>
            <w:r w:rsidRPr="00181145">
              <w:rPr>
                <w:b/>
                <w:bCs/>
                <w:sz w:val="20"/>
                <w:szCs w:val="20"/>
              </w:rPr>
              <w:t>Mechanism of Injury</w:t>
            </w:r>
          </w:p>
        </w:tc>
      </w:tr>
      <w:tr w:rsidR="00D14164" w14:paraId="2DCD7810" w14:textId="77777777" w:rsidTr="00D83100">
        <w:trPr>
          <w:trHeight w:val="2193"/>
        </w:trPr>
        <w:tc>
          <w:tcPr>
            <w:tcW w:w="3005" w:type="dxa"/>
            <w:tcBorders>
              <w:top w:val="single" w:sz="12" w:space="0" w:color="auto"/>
              <w:left w:val="single" w:sz="12" w:space="0" w:color="auto"/>
              <w:bottom w:val="single" w:sz="12" w:space="0" w:color="auto"/>
              <w:right w:val="single" w:sz="12" w:space="0" w:color="auto"/>
            </w:tcBorders>
            <w:shd w:val="clear" w:color="auto" w:fill="E5F4D4"/>
          </w:tcPr>
          <w:p w14:paraId="69B2D4B1" w14:textId="77777777" w:rsidR="00D14164" w:rsidRPr="00181145" w:rsidRDefault="00D14164" w:rsidP="00D14164">
            <w:pPr>
              <w:pStyle w:val="ListParagraph"/>
              <w:numPr>
                <w:ilvl w:val="0"/>
                <w:numId w:val="13"/>
              </w:numPr>
              <w:spacing w:after="120" w:line="276" w:lineRule="auto"/>
              <w:rPr>
                <w:rFonts w:ascii="Arial" w:hAnsi="Arial" w:cs="Arial"/>
                <w:sz w:val="20"/>
              </w:rPr>
            </w:pPr>
            <w:r w:rsidRPr="00181145">
              <w:rPr>
                <w:rFonts w:ascii="Arial" w:hAnsi="Arial" w:cs="Arial"/>
                <w:sz w:val="20"/>
              </w:rPr>
              <w:t xml:space="preserve">No Skin / mucosal </w:t>
            </w:r>
            <w:proofErr w:type="gramStart"/>
            <w:r w:rsidRPr="00181145">
              <w:rPr>
                <w:rFonts w:ascii="Arial" w:hAnsi="Arial" w:cs="Arial"/>
                <w:sz w:val="20"/>
              </w:rPr>
              <w:t>breach</w:t>
            </w:r>
            <w:proofErr w:type="gramEnd"/>
            <w:r w:rsidRPr="00181145">
              <w:rPr>
                <w:rFonts w:ascii="Arial" w:hAnsi="Arial" w:cs="Arial"/>
                <w:sz w:val="20"/>
              </w:rPr>
              <w:t xml:space="preserve">. </w:t>
            </w:r>
          </w:p>
          <w:p w14:paraId="0C9674ED" w14:textId="77777777" w:rsidR="00D14164" w:rsidRPr="00181145" w:rsidRDefault="00D14164" w:rsidP="00D14164">
            <w:pPr>
              <w:pStyle w:val="ListParagraph"/>
              <w:numPr>
                <w:ilvl w:val="0"/>
                <w:numId w:val="13"/>
              </w:numPr>
              <w:spacing w:after="120" w:line="276" w:lineRule="auto"/>
              <w:rPr>
                <w:rFonts w:ascii="Arial" w:hAnsi="Arial" w:cs="Arial"/>
                <w:sz w:val="20"/>
              </w:rPr>
            </w:pPr>
            <w:r w:rsidRPr="00181145">
              <w:rPr>
                <w:rFonts w:ascii="Arial" w:hAnsi="Arial" w:cs="Arial"/>
                <w:sz w:val="20"/>
              </w:rPr>
              <w:t xml:space="preserve">Clean / unused needle or equipment. </w:t>
            </w:r>
          </w:p>
          <w:p w14:paraId="03106DC9" w14:textId="77777777" w:rsidR="00D14164" w:rsidRPr="00181145" w:rsidRDefault="00D14164" w:rsidP="00D14164">
            <w:pPr>
              <w:pStyle w:val="ListParagraph"/>
              <w:numPr>
                <w:ilvl w:val="0"/>
                <w:numId w:val="13"/>
              </w:numPr>
              <w:spacing w:after="120" w:line="276" w:lineRule="auto"/>
              <w:rPr>
                <w:rFonts w:ascii="Arial" w:hAnsi="Arial" w:cs="Arial"/>
                <w:sz w:val="20"/>
              </w:rPr>
            </w:pPr>
            <w:r w:rsidRPr="00181145">
              <w:rPr>
                <w:rFonts w:ascii="Arial" w:hAnsi="Arial" w:cs="Arial"/>
                <w:sz w:val="20"/>
              </w:rPr>
              <w:t xml:space="preserve">Contact with low-risk fluid which is not visibly contaminated with blood (saliva, urine, vomit, </w:t>
            </w:r>
            <w:proofErr w:type="spellStart"/>
            <w:r w:rsidRPr="00181145">
              <w:rPr>
                <w:rFonts w:ascii="Arial" w:hAnsi="Arial" w:cs="Arial"/>
                <w:sz w:val="20"/>
              </w:rPr>
              <w:t>faeces</w:t>
            </w:r>
            <w:proofErr w:type="spellEnd"/>
            <w:r w:rsidRPr="00181145">
              <w:rPr>
                <w:rFonts w:ascii="Arial" w:hAnsi="Arial" w:cs="Arial"/>
                <w:sz w:val="20"/>
              </w:rPr>
              <w:t xml:space="preserve"> etc.)</w:t>
            </w:r>
          </w:p>
        </w:tc>
        <w:tc>
          <w:tcPr>
            <w:tcW w:w="3005" w:type="dxa"/>
            <w:tcBorders>
              <w:top w:val="single" w:sz="12" w:space="0" w:color="auto"/>
              <w:left w:val="single" w:sz="12" w:space="0" w:color="auto"/>
              <w:bottom w:val="single" w:sz="12" w:space="0" w:color="auto"/>
              <w:right w:val="single" w:sz="12" w:space="0" w:color="auto"/>
            </w:tcBorders>
            <w:shd w:val="clear" w:color="auto" w:fill="FFEFBD"/>
          </w:tcPr>
          <w:p w14:paraId="285068A6" w14:textId="77777777" w:rsidR="00D14164" w:rsidRPr="00181145" w:rsidRDefault="00D14164" w:rsidP="00D14164">
            <w:pPr>
              <w:pStyle w:val="ListParagraph"/>
              <w:numPr>
                <w:ilvl w:val="0"/>
                <w:numId w:val="13"/>
              </w:numPr>
              <w:spacing w:before="1200" w:after="720" w:line="276" w:lineRule="auto"/>
              <w:rPr>
                <w:rFonts w:ascii="Arial" w:hAnsi="Arial" w:cs="Arial"/>
                <w:sz w:val="20"/>
              </w:rPr>
            </w:pPr>
            <w:r w:rsidRPr="00181145">
              <w:rPr>
                <w:rFonts w:ascii="Arial" w:hAnsi="Arial" w:cs="Arial"/>
                <w:sz w:val="20"/>
              </w:rPr>
              <w:t xml:space="preserve">Superficial wound. </w:t>
            </w:r>
          </w:p>
          <w:p w14:paraId="2FCB7DBA" w14:textId="77777777" w:rsidR="00D14164" w:rsidRPr="00181145" w:rsidRDefault="00D14164" w:rsidP="00D14164">
            <w:pPr>
              <w:pStyle w:val="ListParagraph"/>
              <w:numPr>
                <w:ilvl w:val="0"/>
                <w:numId w:val="13"/>
              </w:numPr>
              <w:spacing w:before="120" w:after="120" w:line="276" w:lineRule="auto"/>
              <w:rPr>
                <w:rFonts w:ascii="Arial" w:hAnsi="Arial" w:cs="Arial"/>
                <w:sz w:val="20"/>
              </w:rPr>
            </w:pPr>
            <w:r w:rsidRPr="00181145">
              <w:rPr>
                <w:rFonts w:ascii="Arial" w:hAnsi="Arial" w:cs="Arial"/>
                <w:sz w:val="20"/>
              </w:rPr>
              <w:t xml:space="preserve">Suturing Needle. </w:t>
            </w:r>
          </w:p>
          <w:p w14:paraId="2CA315BF" w14:textId="77777777" w:rsidR="00D14164" w:rsidRPr="00181145" w:rsidRDefault="00D14164" w:rsidP="00D14164">
            <w:pPr>
              <w:pStyle w:val="ListParagraph"/>
              <w:numPr>
                <w:ilvl w:val="0"/>
                <w:numId w:val="13"/>
              </w:numPr>
              <w:spacing w:before="120" w:after="120" w:line="276" w:lineRule="auto"/>
              <w:rPr>
                <w:rFonts w:ascii="Arial" w:hAnsi="Arial" w:cs="Arial"/>
                <w:sz w:val="20"/>
              </w:rPr>
            </w:pPr>
            <w:r w:rsidRPr="00181145">
              <w:rPr>
                <w:rFonts w:ascii="Arial" w:hAnsi="Arial" w:cs="Arial"/>
                <w:sz w:val="20"/>
              </w:rPr>
              <w:t xml:space="preserve">Solid Sharp. </w:t>
            </w:r>
          </w:p>
          <w:p w14:paraId="07861DAD" w14:textId="77777777" w:rsidR="00D14164" w:rsidRPr="00181145" w:rsidRDefault="00D14164" w:rsidP="00D14164">
            <w:pPr>
              <w:pStyle w:val="ListParagraph"/>
              <w:numPr>
                <w:ilvl w:val="0"/>
                <w:numId w:val="13"/>
              </w:numPr>
              <w:spacing w:before="120" w:after="120" w:line="276" w:lineRule="auto"/>
              <w:rPr>
                <w:rFonts w:ascii="Arial" w:hAnsi="Arial" w:cs="Arial"/>
                <w:sz w:val="20"/>
              </w:rPr>
            </w:pPr>
            <w:r w:rsidRPr="00181145">
              <w:rPr>
                <w:rFonts w:ascii="Arial" w:hAnsi="Arial" w:cs="Arial"/>
                <w:sz w:val="20"/>
              </w:rPr>
              <w:t xml:space="preserve">No visible blood soiling. </w:t>
            </w:r>
          </w:p>
        </w:tc>
        <w:tc>
          <w:tcPr>
            <w:tcW w:w="3006" w:type="dxa"/>
            <w:tcBorders>
              <w:top w:val="single" w:sz="12" w:space="0" w:color="auto"/>
              <w:left w:val="single" w:sz="12" w:space="0" w:color="auto"/>
              <w:bottom w:val="single" w:sz="12" w:space="0" w:color="auto"/>
              <w:right w:val="single" w:sz="12" w:space="0" w:color="auto"/>
            </w:tcBorders>
            <w:shd w:val="clear" w:color="auto" w:fill="FFA7A7"/>
          </w:tcPr>
          <w:p w14:paraId="3F2D2ECB" w14:textId="77777777" w:rsidR="00D14164" w:rsidRPr="00181145" w:rsidRDefault="00D14164" w:rsidP="00D14164">
            <w:pPr>
              <w:pStyle w:val="ListParagraph"/>
              <w:numPr>
                <w:ilvl w:val="0"/>
                <w:numId w:val="13"/>
              </w:numPr>
              <w:spacing w:before="120" w:after="120" w:line="276" w:lineRule="auto"/>
              <w:rPr>
                <w:rFonts w:ascii="Arial" w:hAnsi="Arial" w:cs="Arial"/>
                <w:sz w:val="20"/>
              </w:rPr>
            </w:pPr>
            <w:r w:rsidRPr="00181145">
              <w:rPr>
                <w:rFonts w:ascii="Arial" w:hAnsi="Arial" w:cs="Arial"/>
                <w:sz w:val="20"/>
              </w:rPr>
              <w:t xml:space="preserve">Hollow bore needle or other equipment. </w:t>
            </w:r>
          </w:p>
          <w:p w14:paraId="4368FD62" w14:textId="77777777" w:rsidR="00D14164" w:rsidRPr="00181145" w:rsidRDefault="00D14164" w:rsidP="00D14164">
            <w:pPr>
              <w:pStyle w:val="ListParagraph"/>
              <w:numPr>
                <w:ilvl w:val="0"/>
                <w:numId w:val="13"/>
              </w:numPr>
              <w:spacing w:before="120" w:after="120" w:line="276" w:lineRule="auto"/>
              <w:rPr>
                <w:rFonts w:ascii="Arial" w:hAnsi="Arial" w:cs="Arial"/>
                <w:sz w:val="20"/>
              </w:rPr>
            </w:pPr>
            <w:r w:rsidRPr="00181145">
              <w:rPr>
                <w:rFonts w:ascii="Arial" w:hAnsi="Arial" w:cs="Arial"/>
                <w:sz w:val="20"/>
              </w:rPr>
              <w:t xml:space="preserve">Blood-stained fluid contact with mucosa or skin breach: including open cut/sore, eyes and mouth. </w:t>
            </w:r>
          </w:p>
        </w:tc>
      </w:tr>
    </w:tbl>
    <w:p w14:paraId="3E83C106" w14:textId="77777777" w:rsidR="00D14164" w:rsidRPr="00D14164" w:rsidRDefault="00D14164" w:rsidP="00D14164">
      <w:pPr>
        <w:spacing w:after="120"/>
        <w:rPr>
          <w:sz w:val="6"/>
          <w:szCs w:val="6"/>
        </w:rPr>
      </w:pPr>
    </w:p>
    <w:tbl>
      <w:tblPr>
        <w:tblStyle w:val="TableGrid"/>
        <w:tblW w:w="0" w:type="auto"/>
        <w:tblLook w:val="04A0" w:firstRow="1" w:lastRow="0" w:firstColumn="1" w:lastColumn="0" w:noHBand="0" w:noVBand="1"/>
      </w:tblPr>
      <w:tblGrid>
        <w:gridCol w:w="3005"/>
        <w:gridCol w:w="3005"/>
        <w:gridCol w:w="3006"/>
      </w:tblGrid>
      <w:tr w:rsidR="00D14164" w14:paraId="545D7D9A" w14:textId="77777777" w:rsidTr="00D83100">
        <w:tc>
          <w:tcPr>
            <w:tcW w:w="3005" w:type="dxa"/>
            <w:tcBorders>
              <w:top w:val="single" w:sz="12" w:space="0" w:color="auto"/>
              <w:left w:val="single" w:sz="12" w:space="0" w:color="auto"/>
              <w:bottom w:val="single" w:sz="12" w:space="0" w:color="auto"/>
              <w:right w:val="single" w:sz="12" w:space="0" w:color="auto"/>
            </w:tcBorders>
            <w:shd w:val="clear" w:color="auto" w:fill="ABDB77"/>
          </w:tcPr>
          <w:p w14:paraId="5F90DA65" w14:textId="77777777" w:rsidR="00D14164" w:rsidRPr="00D75E15" w:rsidRDefault="00D14164" w:rsidP="00D83100">
            <w:pPr>
              <w:spacing w:after="120"/>
              <w:jc w:val="center"/>
              <w:rPr>
                <w:sz w:val="18"/>
                <w:szCs w:val="18"/>
              </w:rPr>
            </w:pPr>
            <w:r w:rsidRPr="00D75E15">
              <w:rPr>
                <w:b/>
                <w:bCs/>
                <w:sz w:val="18"/>
                <w:szCs w:val="18"/>
              </w:rPr>
              <w:t xml:space="preserve">No </w:t>
            </w:r>
            <w:r w:rsidRPr="007F59D4">
              <w:rPr>
                <w:b/>
                <w:bCs/>
                <w:sz w:val="20"/>
                <w:szCs w:val="20"/>
              </w:rPr>
              <w:t>Risk Source</w:t>
            </w:r>
          </w:p>
        </w:tc>
        <w:tc>
          <w:tcPr>
            <w:tcW w:w="3005" w:type="dxa"/>
            <w:tcBorders>
              <w:top w:val="single" w:sz="12" w:space="0" w:color="auto"/>
              <w:left w:val="single" w:sz="12" w:space="0" w:color="auto"/>
              <w:bottom w:val="single" w:sz="12" w:space="0" w:color="auto"/>
              <w:right w:val="single" w:sz="12" w:space="0" w:color="auto"/>
            </w:tcBorders>
            <w:shd w:val="clear" w:color="auto" w:fill="FFD243"/>
          </w:tcPr>
          <w:p w14:paraId="53173F04" w14:textId="77777777" w:rsidR="00D14164" w:rsidRPr="00D75E15" w:rsidRDefault="00D14164" w:rsidP="00D83100">
            <w:pPr>
              <w:spacing w:after="120"/>
              <w:jc w:val="center"/>
              <w:rPr>
                <w:sz w:val="18"/>
                <w:szCs w:val="18"/>
              </w:rPr>
            </w:pPr>
            <w:r w:rsidRPr="00D75E15">
              <w:rPr>
                <w:b/>
                <w:bCs/>
                <w:sz w:val="18"/>
                <w:szCs w:val="18"/>
              </w:rPr>
              <w:t xml:space="preserve">Low </w:t>
            </w:r>
            <w:r w:rsidRPr="007F59D4">
              <w:rPr>
                <w:b/>
                <w:bCs/>
                <w:sz w:val="20"/>
                <w:szCs w:val="20"/>
              </w:rPr>
              <w:t>Risk Source</w:t>
            </w:r>
          </w:p>
        </w:tc>
        <w:tc>
          <w:tcPr>
            <w:tcW w:w="3006" w:type="dxa"/>
            <w:tcBorders>
              <w:top w:val="single" w:sz="12" w:space="0" w:color="auto"/>
              <w:left w:val="single" w:sz="12" w:space="0" w:color="auto"/>
              <w:bottom w:val="single" w:sz="12" w:space="0" w:color="auto"/>
              <w:right w:val="single" w:sz="12" w:space="0" w:color="auto"/>
            </w:tcBorders>
            <w:shd w:val="clear" w:color="auto" w:fill="FF4343"/>
          </w:tcPr>
          <w:p w14:paraId="3DD94CA0" w14:textId="77777777" w:rsidR="00D14164" w:rsidRPr="00D75E15" w:rsidRDefault="00D14164" w:rsidP="00D83100">
            <w:pPr>
              <w:spacing w:after="120"/>
              <w:jc w:val="center"/>
              <w:rPr>
                <w:sz w:val="18"/>
                <w:szCs w:val="18"/>
              </w:rPr>
            </w:pPr>
            <w:r w:rsidRPr="00D75E15">
              <w:rPr>
                <w:b/>
                <w:bCs/>
                <w:sz w:val="18"/>
                <w:szCs w:val="18"/>
              </w:rPr>
              <w:t xml:space="preserve">High </w:t>
            </w:r>
            <w:r w:rsidRPr="007F59D4">
              <w:rPr>
                <w:b/>
                <w:bCs/>
                <w:sz w:val="20"/>
                <w:szCs w:val="20"/>
              </w:rPr>
              <w:t>Risk Source</w:t>
            </w:r>
          </w:p>
        </w:tc>
      </w:tr>
      <w:tr w:rsidR="00D14164" w14:paraId="02CC85AD" w14:textId="77777777" w:rsidTr="00D83100">
        <w:tc>
          <w:tcPr>
            <w:tcW w:w="3005" w:type="dxa"/>
            <w:tcBorders>
              <w:top w:val="single" w:sz="12" w:space="0" w:color="auto"/>
              <w:left w:val="single" w:sz="12" w:space="0" w:color="auto"/>
              <w:bottom w:val="single" w:sz="12" w:space="0" w:color="auto"/>
              <w:right w:val="single" w:sz="12" w:space="0" w:color="auto"/>
            </w:tcBorders>
            <w:shd w:val="clear" w:color="auto" w:fill="E5F4D4"/>
          </w:tcPr>
          <w:p w14:paraId="21A850DE"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 xml:space="preserve">Source tests </w:t>
            </w:r>
            <w:proofErr w:type="gramStart"/>
            <w:r w:rsidRPr="00181145">
              <w:rPr>
                <w:rFonts w:ascii="Arial" w:hAnsi="Arial" w:cs="Arial"/>
                <w:sz w:val="20"/>
              </w:rPr>
              <w:t>negative</w:t>
            </w:r>
            <w:proofErr w:type="gramEnd"/>
            <w:r w:rsidRPr="00181145">
              <w:rPr>
                <w:rFonts w:ascii="Arial" w:hAnsi="Arial" w:cs="Arial"/>
                <w:sz w:val="20"/>
              </w:rPr>
              <w:t xml:space="preserve"> for BBV. </w:t>
            </w:r>
          </w:p>
          <w:p w14:paraId="513318E8"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 xml:space="preserve">Source has no known risk factors (e.g. no IV drug use, no unprofessional tattoos, no overseas blood transfusions). </w:t>
            </w:r>
          </w:p>
        </w:tc>
        <w:tc>
          <w:tcPr>
            <w:tcW w:w="3005" w:type="dxa"/>
            <w:tcBorders>
              <w:top w:val="single" w:sz="12" w:space="0" w:color="auto"/>
              <w:left w:val="single" w:sz="12" w:space="0" w:color="auto"/>
              <w:bottom w:val="single" w:sz="12" w:space="0" w:color="auto"/>
              <w:right w:val="single" w:sz="12" w:space="0" w:color="auto"/>
            </w:tcBorders>
            <w:shd w:val="clear" w:color="auto" w:fill="FFEFBD"/>
          </w:tcPr>
          <w:p w14:paraId="304F6854"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 xml:space="preserve">Uknown source patient. </w:t>
            </w:r>
          </w:p>
          <w:p w14:paraId="71623581"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 xml:space="preserve">Known source with unknown risk factors and unknown status (e.g. unconscious patient, patient declined testing). </w:t>
            </w:r>
          </w:p>
        </w:tc>
        <w:tc>
          <w:tcPr>
            <w:tcW w:w="3006" w:type="dxa"/>
            <w:tcBorders>
              <w:top w:val="single" w:sz="12" w:space="0" w:color="auto"/>
              <w:left w:val="single" w:sz="12" w:space="0" w:color="auto"/>
              <w:bottom w:val="single" w:sz="12" w:space="0" w:color="auto"/>
              <w:right w:val="single" w:sz="12" w:space="0" w:color="auto"/>
            </w:tcBorders>
            <w:shd w:val="clear" w:color="auto" w:fill="FFA7A7"/>
          </w:tcPr>
          <w:p w14:paraId="5FAB91A5"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 xml:space="preserve">Source known to have BBV with detected viral load. </w:t>
            </w:r>
          </w:p>
          <w:p w14:paraId="53FF437A" w14:textId="77777777" w:rsidR="00D14164" w:rsidRPr="00181145" w:rsidRDefault="00D14164" w:rsidP="00D14164">
            <w:pPr>
              <w:pStyle w:val="ListParagraph"/>
              <w:numPr>
                <w:ilvl w:val="0"/>
                <w:numId w:val="14"/>
              </w:numPr>
              <w:spacing w:after="240" w:line="276" w:lineRule="auto"/>
              <w:rPr>
                <w:rFonts w:ascii="Arial" w:hAnsi="Arial" w:cs="Arial"/>
                <w:sz w:val="20"/>
              </w:rPr>
            </w:pPr>
            <w:r w:rsidRPr="00181145">
              <w:rPr>
                <w:rFonts w:ascii="Arial" w:hAnsi="Arial" w:cs="Arial"/>
                <w:sz w:val="20"/>
              </w:rPr>
              <w:t>Multiple risk factors (e.g. no IV drug use, no unprofessional tattoos, high risk sexual activity, no overseas blood transfusions).</w:t>
            </w:r>
          </w:p>
        </w:tc>
      </w:tr>
    </w:tbl>
    <w:p w14:paraId="77A8FA8E" w14:textId="124E6086" w:rsidR="002362B5" w:rsidRDefault="002362B5" w:rsidP="002362B5">
      <w:pPr>
        <w:rPr>
          <w:lang w:eastAsia="en-US"/>
        </w:rPr>
      </w:pPr>
    </w:p>
    <w:p w14:paraId="41449E81" w14:textId="6A28E4E0" w:rsidR="005C3BAB" w:rsidRPr="002362B5" w:rsidRDefault="002362B5" w:rsidP="002362B5">
      <w:pPr>
        <w:pStyle w:val="Bullet"/>
        <w:numPr>
          <w:ilvl w:val="0"/>
          <w:numId w:val="0"/>
        </w:numPr>
        <w:rPr>
          <w:color w:val="auto"/>
          <w:u w:val="single"/>
        </w:rPr>
      </w:pPr>
      <w:hyperlink w:anchor="_top" w:history="1">
        <w:r w:rsidRPr="00481A6C">
          <w:rPr>
            <w:rStyle w:val="Hyperlink"/>
          </w:rPr>
          <w:t>Back to Contents</w:t>
        </w:r>
      </w:hyperlink>
    </w:p>
    <w:sectPr w:rsidR="005C3BAB" w:rsidRPr="002362B5" w:rsidSect="0007270D">
      <w:footerReference w:type="default" r:id="rId38"/>
      <w:headerReference w:type="first" r:id="rId39"/>
      <w:footerReference w:type="first" r:id="rId40"/>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C4DB" w14:textId="77777777" w:rsidR="006C0039" w:rsidRDefault="006C0039" w:rsidP="00225769">
      <w:pPr>
        <w:spacing w:after="0" w:line="240" w:lineRule="auto"/>
      </w:pPr>
      <w:r>
        <w:separator/>
      </w:r>
    </w:p>
    <w:p w14:paraId="3310CEFD" w14:textId="77777777" w:rsidR="006C0039" w:rsidRDefault="006C0039"/>
    <w:p w14:paraId="26E19A0D" w14:textId="77777777" w:rsidR="006C0039" w:rsidRDefault="006C0039"/>
    <w:p w14:paraId="37DFABE8" w14:textId="77777777" w:rsidR="006C0039" w:rsidRDefault="006C0039"/>
    <w:p w14:paraId="1AD2AC30" w14:textId="77777777" w:rsidR="006C0039" w:rsidRDefault="006C0039"/>
    <w:p w14:paraId="1F247D2A" w14:textId="77777777" w:rsidR="006C0039" w:rsidRDefault="006C0039"/>
    <w:p w14:paraId="55E271EC" w14:textId="77777777" w:rsidR="006C0039" w:rsidRDefault="006C0039"/>
  </w:endnote>
  <w:endnote w:type="continuationSeparator" w:id="0">
    <w:p w14:paraId="11DA0C9E" w14:textId="77777777" w:rsidR="006C0039" w:rsidRDefault="006C0039" w:rsidP="00225769">
      <w:pPr>
        <w:spacing w:after="0" w:line="240" w:lineRule="auto"/>
      </w:pPr>
      <w:r>
        <w:continuationSeparator/>
      </w:r>
    </w:p>
    <w:p w14:paraId="7522BDEC" w14:textId="77777777" w:rsidR="006C0039" w:rsidRDefault="006C0039"/>
    <w:p w14:paraId="50DCED3C" w14:textId="77777777" w:rsidR="006C0039" w:rsidRDefault="006C0039"/>
    <w:p w14:paraId="46860338" w14:textId="77777777" w:rsidR="006C0039" w:rsidRDefault="006C0039"/>
    <w:p w14:paraId="1E364ED1" w14:textId="77777777" w:rsidR="006C0039" w:rsidRDefault="006C0039"/>
    <w:p w14:paraId="247A68BE" w14:textId="77777777" w:rsidR="006C0039" w:rsidRDefault="006C0039"/>
    <w:p w14:paraId="0710F913" w14:textId="77777777" w:rsidR="006C0039" w:rsidRDefault="006C0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Schoolbook">
    <w:altName w:val="MS Mincho"/>
    <w:panose1 w:val="00000000000000000000"/>
    <w:charset w:val="80"/>
    <w:family w:val="auto"/>
    <w:notTrueType/>
    <w:pitch w:val="default"/>
    <w:sig w:usb0="00000000" w:usb1="08070000" w:usb2="00000010" w:usb3="00000000" w:csb0="00020000" w:csb1="00000000"/>
  </w:font>
  <w:font w:name="CorporateSBQ-Light">
    <w:panose1 w:val="00000000000000000000"/>
    <w:charset w:val="00"/>
    <w:family w:val="auto"/>
    <w:notTrueType/>
    <w:pitch w:val="default"/>
    <w:sig w:usb0="00000003" w:usb1="00000000" w:usb2="00000000" w:usb3="00000000" w:csb0="00000001" w:csb1="00000000"/>
  </w:font>
  <w:font w:name="Minion-Semi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7CA34AAA" w14:textId="77777777" w:rsidTr="003B0E72">
      <w:trPr>
        <w:jc w:val="center"/>
      </w:trPr>
      <w:tc>
        <w:tcPr>
          <w:tcW w:w="1515" w:type="dxa"/>
        </w:tcPr>
        <w:p w14:paraId="18EE40B5"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7351E7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1BDEBCB6"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AFA40CC"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7D94B22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C83F037"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F54183" w:rsidRPr="006B62B4" w14:paraId="25D28AB6" w14:textId="77777777" w:rsidTr="003B0E72">
      <w:trPr>
        <w:jc w:val="center"/>
      </w:trPr>
      <w:tc>
        <w:tcPr>
          <w:tcW w:w="1515" w:type="dxa"/>
        </w:tcPr>
        <w:p w14:paraId="1F74500D" w14:textId="30405163" w:rsidR="00F54183" w:rsidRPr="00954F7B" w:rsidRDefault="00F54183" w:rsidP="00F54183">
          <w:pPr>
            <w:pStyle w:val="Footer"/>
            <w:jc w:val="center"/>
            <w:rPr>
              <w:bCs/>
              <w:iCs/>
              <w:sz w:val="20"/>
              <w:szCs w:val="20"/>
            </w:rPr>
          </w:pPr>
          <w:r>
            <w:rPr>
              <w:bCs/>
              <w:iCs/>
              <w:sz w:val="20"/>
              <w:szCs w:val="20"/>
            </w:rPr>
            <w:t>CHS25/091</w:t>
          </w:r>
        </w:p>
      </w:tc>
      <w:tc>
        <w:tcPr>
          <w:tcW w:w="965" w:type="dxa"/>
        </w:tcPr>
        <w:p w14:paraId="4C2FB29A" w14:textId="59D7C6AB" w:rsidR="00F54183" w:rsidRPr="00954F7B" w:rsidRDefault="00F54183" w:rsidP="00F54183">
          <w:pPr>
            <w:pStyle w:val="Footer"/>
            <w:jc w:val="center"/>
            <w:rPr>
              <w:bCs/>
              <w:iCs/>
              <w:sz w:val="20"/>
              <w:szCs w:val="20"/>
            </w:rPr>
          </w:pPr>
          <w:r>
            <w:rPr>
              <w:bCs/>
              <w:iCs/>
              <w:sz w:val="20"/>
              <w:szCs w:val="20"/>
            </w:rPr>
            <w:t>1</w:t>
          </w:r>
        </w:p>
      </w:tc>
      <w:tc>
        <w:tcPr>
          <w:tcW w:w="1552" w:type="dxa"/>
        </w:tcPr>
        <w:p w14:paraId="5CE39A68" w14:textId="3FC59986" w:rsidR="00F54183" w:rsidRPr="00954F7B" w:rsidRDefault="00F54183" w:rsidP="00F54183">
          <w:pPr>
            <w:pStyle w:val="Footer"/>
            <w:jc w:val="center"/>
            <w:rPr>
              <w:bCs/>
              <w:iCs/>
              <w:sz w:val="20"/>
              <w:szCs w:val="20"/>
            </w:rPr>
          </w:pPr>
          <w:r>
            <w:rPr>
              <w:bCs/>
              <w:iCs/>
              <w:sz w:val="20"/>
              <w:szCs w:val="20"/>
            </w:rPr>
            <w:t>07/02/2025</w:t>
          </w:r>
        </w:p>
      </w:tc>
      <w:tc>
        <w:tcPr>
          <w:tcW w:w="1456" w:type="dxa"/>
        </w:tcPr>
        <w:p w14:paraId="22A7672B" w14:textId="71FBB437" w:rsidR="00F54183" w:rsidRPr="00954F7B" w:rsidRDefault="00F54183" w:rsidP="00F54183">
          <w:pPr>
            <w:pStyle w:val="Footer"/>
            <w:jc w:val="center"/>
            <w:rPr>
              <w:bCs/>
              <w:iCs/>
              <w:sz w:val="20"/>
              <w:szCs w:val="20"/>
            </w:rPr>
          </w:pPr>
          <w:r>
            <w:rPr>
              <w:bCs/>
              <w:iCs/>
              <w:sz w:val="20"/>
              <w:szCs w:val="20"/>
            </w:rPr>
            <w:t>01/01/2028</w:t>
          </w:r>
        </w:p>
      </w:tc>
      <w:tc>
        <w:tcPr>
          <w:tcW w:w="1746" w:type="dxa"/>
        </w:tcPr>
        <w:p w14:paraId="0B2D98DE" w14:textId="4513A441" w:rsidR="00F54183" w:rsidRPr="00954F7B" w:rsidRDefault="003A1729" w:rsidP="00F54183">
          <w:pPr>
            <w:pStyle w:val="Footer"/>
            <w:jc w:val="center"/>
            <w:rPr>
              <w:bCs/>
              <w:iCs/>
              <w:sz w:val="20"/>
              <w:szCs w:val="20"/>
            </w:rPr>
          </w:pPr>
          <w:r w:rsidRPr="003A1729">
            <w:rPr>
              <w:bCs/>
              <w:iCs/>
              <w:sz w:val="20"/>
              <w:szCs w:val="20"/>
            </w:rPr>
            <w:t>CHS ED Nursing and Midwifery - OMU</w:t>
          </w:r>
        </w:p>
      </w:tc>
      <w:tc>
        <w:tcPr>
          <w:tcW w:w="1836" w:type="dxa"/>
        </w:tcPr>
        <w:p w14:paraId="6F4E319F" w14:textId="77777777" w:rsidR="00F54183" w:rsidRPr="00954F7B" w:rsidRDefault="00F54183" w:rsidP="00F54183">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19203BF7"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55E616FB" w14:textId="77777777" w:rsidTr="008E1ED9">
      <w:trPr>
        <w:jc w:val="center"/>
      </w:trPr>
      <w:tc>
        <w:tcPr>
          <w:tcW w:w="1515" w:type="dxa"/>
        </w:tcPr>
        <w:p w14:paraId="3D106D3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A3A084E"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F5D7CD0"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08A27A8"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F2027A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3F9F1B46"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514686FE" w14:textId="77777777" w:rsidTr="00F54183">
      <w:trPr>
        <w:trHeight w:val="252"/>
        <w:jc w:val="center"/>
      </w:trPr>
      <w:tc>
        <w:tcPr>
          <w:tcW w:w="1515" w:type="dxa"/>
        </w:tcPr>
        <w:p w14:paraId="770C911E" w14:textId="13308F5D" w:rsidR="008A3DD8" w:rsidRPr="00954F7B" w:rsidRDefault="00F54183" w:rsidP="008A3DD8">
          <w:pPr>
            <w:pStyle w:val="Footer"/>
            <w:jc w:val="center"/>
            <w:rPr>
              <w:bCs/>
              <w:iCs/>
              <w:sz w:val="20"/>
              <w:szCs w:val="20"/>
            </w:rPr>
          </w:pPr>
          <w:r>
            <w:rPr>
              <w:bCs/>
              <w:iCs/>
              <w:sz w:val="20"/>
              <w:szCs w:val="20"/>
            </w:rPr>
            <w:t>CHS25/091</w:t>
          </w:r>
        </w:p>
      </w:tc>
      <w:tc>
        <w:tcPr>
          <w:tcW w:w="965" w:type="dxa"/>
        </w:tcPr>
        <w:p w14:paraId="3828285B" w14:textId="03503E06" w:rsidR="008A3DD8" w:rsidRPr="00954F7B" w:rsidRDefault="00F54183" w:rsidP="008A3DD8">
          <w:pPr>
            <w:pStyle w:val="Footer"/>
            <w:jc w:val="center"/>
            <w:rPr>
              <w:bCs/>
              <w:iCs/>
              <w:sz w:val="20"/>
              <w:szCs w:val="20"/>
            </w:rPr>
          </w:pPr>
          <w:r>
            <w:rPr>
              <w:bCs/>
              <w:iCs/>
              <w:sz w:val="20"/>
              <w:szCs w:val="20"/>
            </w:rPr>
            <w:t>1</w:t>
          </w:r>
        </w:p>
      </w:tc>
      <w:tc>
        <w:tcPr>
          <w:tcW w:w="1552" w:type="dxa"/>
        </w:tcPr>
        <w:p w14:paraId="77A0F9A8" w14:textId="59921355" w:rsidR="008A3DD8" w:rsidRPr="00954F7B" w:rsidRDefault="00F54183" w:rsidP="008A3DD8">
          <w:pPr>
            <w:pStyle w:val="Footer"/>
            <w:jc w:val="center"/>
            <w:rPr>
              <w:bCs/>
              <w:iCs/>
              <w:sz w:val="20"/>
              <w:szCs w:val="20"/>
            </w:rPr>
          </w:pPr>
          <w:r>
            <w:rPr>
              <w:bCs/>
              <w:iCs/>
              <w:sz w:val="20"/>
              <w:szCs w:val="20"/>
            </w:rPr>
            <w:t>07/02/2025</w:t>
          </w:r>
        </w:p>
      </w:tc>
      <w:tc>
        <w:tcPr>
          <w:tcW w:w="1456" w:type="dxa"/>
        </w:tcPr>
        <w:p w14:paraId="7596909F" w14:textId="3438366E" w:rsidR="008A3DD8" w:rsidRPr="00954F7B" w:rsidRDefault="00F54183" w:rsidP="008A3DD8">
          <w:pPr>
            <w:pStyle w:val="Footer"/>
            <w:jc w:val="center"/>
            <w:rPr>
              <w:bCs/>
              <w:iCs/>
              <w:sz w:val="20"/>
              <w:szCs w:val="20"/>
            </w:rPr>
          </w:pPr>
          <w:r>
            <w:rPr>
              <w:bCs/>
              <w:iCs/>
              <w:sz w:val="20"/>
              <w:szCs w:val="20"/>
            </w:rPr>
            <w:t>01/01/2028</w:t>
          </w:r>
        </w:p>
      </w:tc>
      <w:tc>
        <w:tcPr>
          <w:tcW w:w="1746" w:type="dxa"/>
        </w:tcPr>
        <w:p w14:paraId="2C3727DD" w14:textId="58B8A2FA" w:rsidR="008A3DD8" w:rsidRPr="00954F7B" w:rsidRDefault="003A1729" w:rsidP="008A3DD8">
          <w:pPr>
            <w:pStyle w:val="Footer"/>
            <w:jc w:val="center"/>
            <w:rPr>
              <w:bCs/>
              <w:iCs/>
              <w:sz w:val="20"/>
              <w:szCs w:val="20"/>
            </w:rPr>
          </w:pPr>
          <w:r w:rsidRPr="003A1729">
            <w:rPr>
              <w:bCs/>
              <w:iCs/>
              <w:sz w:val="20"/>
              <w:szCs w:val="20"/>
            </w:rPr>
            <w:t>CHS ED Nursing and Midwifery - OMU</w:t>
          </w:r>
        </w:p>
      </w:tc>
      <w:tc>
        <w:tcPr>
          <w:tcW w:w="1836" w:type="dxa"/>
        </w:tcPr>
        <w:p w14:paraId="5B0105C0"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9B59BDD"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4A13" w14:textId="77777777" w:rsidR="006C0039" w:rsidRDefault="006C0039" w:rsidP="009D493B">
      <w:pPr>
        <w:spacing w:after="0" w:line="240" w:lineRule="auto"/>
      </w:pPr>
      <w:r>
        <w:separator/>
      </w:r>
    </w:p>
  </w:footnote>
  <w:footnote w:type="continuationSeparator" w:id="0">
    <w:p w14:paraId="77B61C54" w14:textId="77777777" w:rsidR="006C0039" w:rsidRDefault="006C0039" w:rsidP="00A9080B">
      <w:pPr>
        <w:spacing w:after="0" w:line="240" w:lineRule="auto"/>
      </w:pPr>
      <w:r>
        <w:continuationSeparator/>
      </w:r>
    </w:p>
    <w:p w14:paraId="2069B1A3" w14:textId="77777777" w:rsidR="006C0039" w:rsidRDefault="006C0039"/>
    <w:p w14:paraId="11D07C14" w14:textId="77777777" w:rsidR="006C0039" w:rsidRDefault="006C0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1FFB" w14:textId="77777777" w:rsidR="008A3DD8" w:rsidRDefault="008A3DD8">
    <w:pPr>
      <w:pStyle w:val="Header"/>
    </w:pPr>
    <w:r w:rsidRPr="00324CF9">
      <w:rPr>
        <w:noProof/>
      </w:rPr>
      <w:drawing>
        <wp:inline distT="0" distB="0" distL="0" distR="0" wp14:anchorId="165E864F" wp14:editId="435339D3">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D15"/>
    <w:multiLevelType w:val="hybridMultilevel"/>
    <w:tmpl w:val="BE7C1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C6D10"/>
    <w:multiLevelType w:val="hybridMultilevel"/>
    <w:tmpl w:val="DEDC4C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2D9606E9"/>
    <w:multiLevelType w:val="hybridMultilevel"/>
    <w:tmpl w:val="CDC8F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A42767"/>
    <w:multiLevelType w:val="hybridMultilevel"/>
    <w:tmpl w:val="967A5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57BA4A72"/>
    <w:multiLevelType w:val="hybridMultilevel"/>
    <w:tmpl w:val="88968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7BB23C48"/>
    <w:multiLevelType w:val="hybridMultilevel"/>
    <w:tmpl w:val="AD7E4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CE52773"/>
    <w:multiLevelType w:val="hybridMultilevel"/>
    <w:tmpl w:val="2EF00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3"/>
  </w:num>
  <w:num w:numId="2" w16cid:durableId="842209657">
    <w:abstractNumId w:val="2"/>
  </w:num>
  <w:num w:numId="3" w16cid:durableId="1971085616">
    <w:abstractNumId w:val="6"/>
  </w:num>
  <w:num w:numId="4" w16cid:durableId="252517802">
    <w:abstractNumId w:val="7"/>
  </w:num>
  <w:num w:numId="5" w16cid:durableId="258952063">
    <w:abstractNumId w:val="11"/>
  </w:num>
  <w:num w:numId="6" w16cid:durableId="681904122">
    <w:abstractNumId w:val="5"/>
  </w:num>
  <w:num w:numId="7" w16cid:durableId="836698820">
    <w:abstractNumId w:val="9"/>
  </w:num>
  <w:num w:numId="8" w16cid:durableId="1013996678">
    <w:abstractNumId w:val="10"/>
  </w:num>
  <w:num w:numId="9" w16cid:durableId="1291008624">
    <w:abstractNumId w:val="4"/>
  </w:num>
  <w:num w:numId="10" w16cid:durableId="881601753">
    <w:abstractNumId w:val="8"/>
  </w:num>
  <w:num w:numId="11" w16cid:durableId="1985314567">
    <w:abstractNumId w:val="1"/>
  </w:num>
  <w:num w:numId="12" w16cid:durableId="462651156">
    <w:abstractNumId w:val="13"/>
  </w:num>
  <w:num w:numId="13" w16cid:durableId="1680699726">
    <w:abstractNumId w:val="0"/>
  </w:num>
  <w:num w:numId="14" w16cid:durableId="2954501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39"/>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46EC"/>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A636A"/>
    <w:rsid w:val="000B0119"/>
    <w:rsid w:val="000B04DE"/>
    <w:rsid w:val="000B4346"/>
    <w:rsid w:val="000B4DF9"/>
    <w:rsid w:val="000B6A88"/>
    <w:rsid w:val="000C2A25"/>
    <w:rsid w:val="000C36A3"/>
    <w:rsid w:val="000C3973"/>
    <w:rsid w:val="000C48B1"/>
    <w:rsid w:val="000C57C6"/>
    <w:rsid w:val="000C6D49"/>
    <w:rsid w:val="000C76AA"/>
    <w:rsid w:val="000D04DD"/>
    <w:rsid w:val="000D0A42"/>
    <w:rsid w:val="000D47A6"/>
    <w:rsid w:val="000D5953"/>
    <w:rsid w:val="000D713F"/>
    <w:rsid w:val="000D742A"/>
    <w:rsid w:val="000E058F"/>
    <w:rsid w:val="000E07C3"/>
    <w:rsid w:val="000E1D08"/>
    <w:rsid w:val="000E5739"/>
    <w:rsid w:val="000E7683"/>
    <w:rsid w:val="000E77F0"/>
    <w:rsid w:val="000F1EB3"/>
    <w:rsid w:val="000F22F2"/>
    <w:rsid w:val="000F288B"/>
    <w:rsid w:val="000F300A"/>
    <w:rsid w:val="000F3A4B"/>
    <w:rsid w:val="000F5C20"/>
    <w:rsid w:val="000F7452"/>
    <w:rsid w:val="000F79EA"/>
    <w:rsid w:val="0010164B"/>
    <w:rsid w:val="00101D60"/>
    <w:rsid w:val="00106FF1"/>
    <w:rsid w:val="00107118"/>
    <w:rsid w:val="00110D97"/>
    <w:rsid w:val="00112DAD"/>
    <w:rsid w:val="001171E4"/>
    <w:rsid w:val="0012007C"/>
    <w:rsid w:val="001208A0"/>
    <w:rsid w:val="00120E2E"/>
    <w:rsid w:val="00121181"/>
    <w:rsid w:val="001216DE"/>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3B11"/>
    <w:rsid w:val="0020612C"/>
    <w:rsid w:val="00211BFA"/>
    <w:rsid w:val="00212F1D"/>
    <w:rsid w:val="002139E7"/>
    <w:rsid w:val="002140AE"/>
    <w:rsid w:val="0022138F"/>
    <w:rsid w:val="00221FD2"/>
    <w:rsid w:val="00225769"/>
    <w:rsid w:val="00225E3B"/>
    <w:rsid w:val="00227104"/>
    <w:rsid w:val="00230054"/>
    <w:rsid w:val="002362B5"/>
    <w:rsid w:val="0023668B"/>
    <w:rsid w:val="00240DC9"/>
    <w:rsid w:val="00241A68"/>
    <w:rsid w:val="00242601"/>
    <w:rsid w:val="002427B0"/>
    <w:rsid w:val="00244149"/>
    <w:rsid w:val="00245BF4"/>
    <w:rsid w:val="00246EDC"/>
    <w:rsid w:val="00247BAF"/>
    <w:rsid w:val="00251D96"/>
    <w:rsid w:val="0025240B"/>
    <w:rsid w:val="00253A48"/>
    <w:rsid w:val="00253EC8"/>
    <w:rsid w:val="0025483C"/>
    <w:rsid w:val="00256701"/>
    <w:rsid w:val="0026085A"/>
    <w:rsid w:val="002700D3"/>
    <w:rsid w:val="0027262B"/>
    <w:rsid w:val="00274308"/>
    <w:rsid w:val="00280051"/>
    <w:rsid w:val="00280C5D"/>
    <w:rsid w:val="00281798"/>
    <w:rsid w:val="00281830"/>
    <w:rsid w:val="002827C4"/>
    <w:rsid w:val="0028378A"/>
    <w:rsid w:val="00284D13"/>
    <w:rsid w:val="00292A6B"/>
    <w:rsid w:val="00293B6B"/>
    <w:rsid w:val="00294B76"/>
    <w:rsid w:val="00294F1A"/>
    <w:rsid w:val="00295D79"/>
    <w:rsid w:val="0029655B"/>
    <w:rsid w:val="002A0163"/>
    <w:rsid w:val="002A295E"/>
    <w:rsid w:val="002A40CC"/>
    <w:rsid w:val="002B2713"/>
    <w:rsid w:val="002B3511"/>
    <w:rsid w:val="002B3D19"/>
    <w:rsid w:val="002B3F13"/>
    <w:rsid w:val="002B434C"/>
    <w:rsid w:val="002B5D29"/>
    <w:rsid w:val="002C39F9"/>
    <w:rsid w:val="002C58B8"/>
    <w:rsid w:val="002C7500"/>
    <w:rsid w:val="002C75BC"/>
    <w:rsid w:val="002D1CA0"/>
    <w:rsid w:val="002D22CF"/>
    <w:rsid w:val="002D49EC"/>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2D6D"/>
    <w:rsid w:val="00314716"/>
    <w:rsid w:val="00316881"/>
    <w:rsid w:val="00317020"/>
    <w:rsid w:val="00317101"/>
    <w:rsid w:val="003172CB"/>
    <w:rsid w:val="00317F10"/>
    <w:rsid w:val="003217E1"/>
    <w:rsid w:val="003218C1"/>
    <w:rsid w:val="0032423A"/>
    <w:rsid w:val="003247E9"/>
    <w:rsid w:val="003254E1"/>
    <w:rsid w:val="00330349"/>
    <w:rsid w:val="003303F9"/>
    <w:rsid w:val="00330923"/>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45B4"/>
    <w:rsid w:val="00385359"/>
    <w:rsid w:val="00385468"/>
    <w:rsid w:val="00387982"/>
    <w:rsid w:val="00390CE7"/>
    <w:rsid w:val="00390DAE"/>
    <w:rsid w:val="00393C61"/>
    <w:rsid w:val="00393FF3"/>
    <w:rsid w:val="0039618C"/>
    <w:rsid w:val="0039622C"/>
    <w:rsid w:val="0039633A"/>
    <w:rsid w:val="00396B90"/>
    <w:rsid w:val="003A0BC9"/>
    <w:rsid w:val="003A0D26"/>
    <w:rsid w:val="003A1729"/>
    <w:rsid w:val="003A21CD"/>
    <w:rsid w:val="003A2A9E"/>
    <w:rsid w:val="003A40A7"/>
    <w:rsid w:val="003A55FF"/>
    <w:rsid w:val="003A5ADA"/>
    <w:rsid w:val="003A6511"/>
    <w:rsid w:val="003B28A5"/>
    <w:rsid w:val="003B3459"/>
    <w:rsid w:val="003B3F9A"/>
    <w:rsid w:val="003B57A1"/>
    <w:rsid w:val="003B661D"/>
    <w:rsid w:val="003B720D"/>
    <w:rsid w:val="003B760C"/>
    <w:rsid w:val="003C218A"/>
    <w:rsid w:val="003C4430"/>
    <w:rsid w:val="003C5F3E"/>
    <w:rsid w:val="003C7810"/>
    <w:rsid w:val="003D10DD"/>
    <w:rsid w:val="003D1A08"/>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538D"/>
    <w:rsid w:val="00486165"/>
    <w:rsid w:val="0049014C"/>
    <w:rsid w:val="00492356"/>
    <w:rsid w:val="00493941"/>
    <w:rsid w:val="004957A2"/>
    <w:rsid w:val="004A0201"/>
    <w:rsid w:val="004A178D"/>
    <w:rsid w:val="004A1C33"/>
    <w:rsid w:val="004A42B0"/>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58C0"/>
    <w:rsid w:val="004E7CE8"/>
    <w:rsid w:val="004F1BEF"/>
    <w:rsid w:val="004F2430"/>
    <w:rsid w:val="004F2B91"/>
    <w:rsid w:val="004F3034"/>
    <w:rsid w:val="004F435E"/>
    <w:rsid w:val="004F4F30"/>
    <w:rsid w:val="00506D24"/>
    <w:rsid w:val="005077D2"/>
    <w:rsid w:val="005118F6"/>
    <w:rsid w:val="0051350A"/>
    <w:rsid w:val="00517604"/>
    <w:rsid w:val="00517DA5"/>
    <w:rsid w:val="00517FA4"/>
    <w:rsid w:val="005216E4"/>
    <w:rsid w:val="005245A6"/>
    <w:rsid w:val="00525801"/>
    <w:rsid w:val="00527578"/>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5D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962"/>
    <w:rsid w:val="005A7C67"/>
    <w:rsid w:val="005B194A"/>
    <w:rsid w:val="005B234E"/>
    <w:rsid w:val="005B3D8A"/>
    <w:rsid w:val="005B3EC2"/>
    <w:rsid w:val="005C1D68"/>
    <w:rsid w:val="005C3BAB"/>
    <w:rsid w:val="005C58FA"/>
    <w:rsid w:val="005C5F49"/>
    <w:rsid w:val="005C71BC"/>
    <w:rsid w:val="005D2629"/>
    <w:rsid w:val="005D4A78"/>
    <w:rsid w:val="005D54F1"/>
    <w:rsid w:val="005D5820"/>
    <w:rsid w:val="005D787C"/>
    <w:rsid w:val="005E03EB"/>
    <w:rsid w:val="005E3D07"/>
    <w:rsid w:val="005E6B49"/>
    <w:rsid w:val="005E7252"/>
    <w:rsid w:val="005E7AA8"/>
    <w:rsid w:val="005F02C2"/>
    <w:rsid w:val="005F70F7"/>
    <w:rsid w:val="005F797F"/>
    <w:rsid w:val="006046D3"/>
    <w:rsid w:val="00605E3B"/>
    <w:rsid w:val="006065E8"/>
    <w:rsid w:val="006075D9"/>
    <w:rsid w:val="00607614"/>
    <w:rsid w:val="00607B4C"/>
    <w:rsid w:val="00610940"/>
    <w:rsid w:val="006155F0"/>
    <w:rsid w:val="00616766"/>
    <w:rsid w:val="006201BA"/>
    <w:rsid w:val="00620386"/>
    <w:rsid w:val="006253B6"/>
    <w:rsid w:val="00625A15"/>
    <w:rsid w:val="00627BD8"/>
    <w:rsid w:val="0063178C"/>
    <w:rsid w:val="006349C4"/>
    <w:rsid w:val="00635114"/>
    <w:rsid w:val="00636177"/>
    <w:rsid w:val="006361D0"/>
    <w:rsid w:val="00637BE8"/>
    <w:rsid w:val="00637C90"/>
    <w:rsid w:val="00637D76"/>
    <w:rsid w:val="00640511"/>
    <w:rsid w:val="006408BF"/>
    <w:rsid w:val="00640A07"/>
    <w:rsid w:val="0064271E"/>
    <w:rsid w:val="006431FF"/>
    <w:rsid w:val="0064333A"/>
    <w:rsid w:val="00644F89"/>
    <w:rsid w:val="00653FE1"/>
    <w:rsid w:val="006553EC"/>
    <w:rsid w:val="00655674"/>
    <w:rsid w:val="00656027"/>
    <w:rsid w:val="00656746"/>
    <w:rsid w:val="006623D2"/>
    <w:rsid w:val="0067005A"/>
    <w:rsid w:val="00680130"/>
    <w:rsid w:val="006822C5"/>
    <w:rsid w:val="006824E0"/>
    <w:rsid w:val="00684A68"/>
    <w:rsid w:val="00685883"/>
    <w:rsid w:val="00691C90"/>
    <w:rsid w:val="00692458"/>
    <w:rsid w:val="0069388D"/>
    <w:rsid w:val="006A0160"/>
    <w:rsid w:val="006A31AB"/>
    <w:rsid w:val="006A5215"/>
    <w:rsid w:val="006A74F3"/>
    <w:rsid w:val="006B18B2"/>
    <w:rsid w:val="006B3640"/>
    <w:rsid w:val="006B61AC"/>
    <w:rsid w:val="006B6C90"/>
    <w:rsid w:val="006B7CA7"/>
    <w:rsid w:val="006C0039"/>
    <w:rsid w:val="006C077E"/>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03D"/>
    <w:rsid w:val="006F0585"/>
    <w:rsid w:val="006F1FA4"/>
    <w:rsid w:val="006F47AA"/>
    <w:rsid w:val="006F73C8"/>
    <w:rsid w:val="00700549"/>
    <w:rsid w:val="00700B1E"/>
    <w:rsid w:val="00700B46"/>
    <w:rsid w:val="00702088"/>
    <w:rsid w:val="00702564"/>
    <w:rsid w:val="007033DE"/>
    <w:rsid w:val="00703CCF"/>
    <w:rsid w:val="007042DA"/>
    <w:rsid w:val="00705460"/>
    <w:rsid w:val="00712F00"/>
    <w:rsid w:val="00720CA1"/>
    <w:rsid w:val="007214F4"/>
    <w:rsid w:val="00721B04"/>
    <w:rsid w:val="00721E2A"/>
    <w:rsid w:val="00724D61"/>
    <w:rsid w:val="007277AF"/>
    <w:rsid w:val="00735CAA"/>
    <w:rsid w:val="00736B9E"/>
    <w:rsid w:val="0073719C"/>
    <w:rsid w:val="00742E09"/>
    <w:rsid w:val="00744F77"/>
    <w:rsid w:val="00745452"/>
    <w:rsid w:val="0074580C"/>
    <w:rsid w:val="00745956"/>
    <w:rsid w:val="00746818"/>
    <w:rsid w:val="00747FC4"/>
    <w:rsid w:val="00752457"/>
    <w:rsid w:val="0075311C"/>
    <w:rsid w:val="0075415F"/>
    <w:rsid w:val="00754898"/>
    <w:rsid w:val="00754A51"/>
    <w:rsid w:val="00757765"/>
    <w:rsid w:val="00760169"/>
    <w:rsid w:val="007606B4"/>
    <w:rsid w:val="00760845"/>
    <w:rsid w:val="007640E0"/>
    <w:rsid w:val="00766E67"/>
    <w:rsid w:val="007678AC"/>
    <w:rsid w:val="00770769"/>
    <w:rsid w:val="0077225F"/>
    <w:rsid w:val="00774042"/>
    <w:rsid w:val="007741B9"/>
    <w:rsid w:val="00774FDE"/>
    <w:rsid w:val="00775D89"/>
    <w:rsid w:val="00777EE3"/>
    <w:rsid w:val="0078010C"/>
    <w:rsid w:val="007812CF"/>
    <w:rsid w:val="0078367D"/>
    <w:rsid w:val="00784CA8"/>
    <w:rsid w:val="00784D38"/>
    <w:rsid w:val="00785234"/>
    <w:rsid w:val="00787906"/>
    <w:rsid w:val="00787F18"/>
    <w:rsid w:val="00794435"/>
    <w:rsid w:val="00794ACF"/>
    <w:rsid w:val="007A1603"/>
    <w:rsid w:val="007A30FA"/>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0595B"/>
    <w:rsid w:val="0081013E"/>
    <w:rsid w:val="00810C0D"/>
    <w:rsid w:val="008113B4"/>
    <w:rsid w:val="008114F0"/>
    <w:rsid w:val="00814D74"/>
    <w:rsid w:val="00814DE5"/>
    <w:rsid w:val="00820942"/>
    <w:rsid w:val="008248D1"/>
    <w:rsid w:val="0082586A"/>
    <w:rsid w:val="008261B4"/>
    <w:rsid w:val="00827EDE"/>
    <w:rsid w:val="00832EAB"/>
    <w:rsid w:val="008339A0"/>
    <w:rsid w:val="008358B4"/>
    <w:rsid w:val="00842EF4"/>
    <w:rsid w:val="00843D15"/>
    <w:rsid w:val="008453A7"/>
    <w:rsid w:val="00845A7F"/>
    <w:rsid w:val="00845AA0"/>
    <w:rsid w:val="008510FF"/>
    <w:rsid w:val="008530BE"/>
    <w:rsid w:val="008540FA"/>
    <w:rsid w:val="008606A0"/>
    <w:rsid w:val="00861E1B"/>
    <w:rsid w:val="00863446"/>
    <w:rsid w:val="00863E4E"/>
    <w:rsid w:val="00867895"/>
    <w:rsid w:val="00875FE9"/>
    <w:rsid w:val="0087684F"/>
    <w:rsid w:val="00876CAC"/>
    <w:rsid w:val="0087DD90"/>
    <w:rsid w:val="00885A76"/>
    <w:rsid w:val="00886079"/>
    <w:rsid w:val="00891F34"/>
    <w:rsid w:val="0089533B"/>
    <w:rsid w:val="00895C04"/>
    <w:rsid w:val="008970B7"/>
    <w:rsid w:val="008A0530"/>
    <w:rsid w:val="008A1B21"/>
    <w:rsid w:val="008A1DB4"/>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3482"/>
    <w:rsid w:val="0090388F"/>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5EB"/>
    <w:rsid w:val="00970842"/>
    <w:rsid w:val="00971125"/>
    <w:rsid w:val="00971F4F"/>
    <w:rsid w:val="00972D70"/>
    <w:rsid w:val="0097363B"/>
    <w:rsid w:val="009746B1"/>
    <w:rsid w:val="00975A13"/>
    <w:rsid w:val="00977BFB"/>
    <w:rsid w:val="00982385"/>
    <w:rsid w:val="00982810"/>
    <w:rsid w:val="00987696"/>
    <w:rsid w:val="009903CC"/>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D76E8"/>
    <w:rsid w:val="009E00C4"/>
    <w:rsid w:val="009E0C7A"/>
    <w:rsid w:val="009E0E38"/>
    <w:rsid w:val="009E31CD"/>
    <w:rsid w:val="009E53F4"/>
    <w:rsid w:val="009E59FA"/>
    <w:rsid w:val="009F72C8"/>
    <w:rsid w:val="00A006D5"/>
    <w:rsid w:val="00A00A2C"/>
    <w:rsid w:val="00A01509"/>
    <w:rsid w:val="00A02651"/>
    <w:rsid w:val="00A0337B"/>
    <w:rsid w:val="00A035E4"/>
    <w:rsid w:val="00A03722"/>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39D7"/>
    <w:rsid w:val="00A45D6C"/>
    <w:rsid w:val="00A470E3"/>
    <w:rsid w:val="00A513AA"/>
    <w:rsid w:val="00A559CF"/>
    <w:rsid w:val="00A6051F"/>
    <w:rsid w:val="00A60EED"/>
    <w:rsid w:val="00A621FE"/>
    <w:rsid w:val="00A6232E"/>
    <w:rsid w:val="00A64430"/>
    <w:rsid w:val="00A65C0A"/>
    <w:rsid w:val="00A66966"/>
    <w:rsid w:val="00A66F9D"/>
    <w:rsid w:val="00A721C0"/>
    <w:rsid w:val="00A7294C"/>
    <w:rsid w:val="00A731B8"/>
    <w:rsid w:val="00A7517C"/>
    <w:rsid w:val="00A774B1"/>
    <w:rsid w:val="00A84013"/>
    <w:rsid w:val="00A84E3E"/>
    <w:rsid w:val="00A856B1"/>
    <w:rsid w:val="00A875F3"/>
    <w:rsid w:val="00A9080B"/>
    <w:rsid w:val="00A90E16"/>
    <w:rsid w:val="00A9424E"/>
    <w:rsid w:val="00A94E61"/>
    <w:rsid w:val="00A957B0"/>
    <w:rsid w:val="00A96564"/>
    <w:rsid w:val="00A96CD8"/>
    <w:rsid w:val="00A979FD"/>
    <w:rsid w:val="00AA15EB"/>
    <w:rsid w:val="00AA2D7A"/>
    <w:rsid w:val="00AA2E86"/>
    <w:rsid w:val="00AA3549"/>
    <w:rsid w:val="00AA5307"/>
    <w:rsid w:val="00AA7BBC"/>
    <w:rsid w:val="00AB3BAC"/>
    <w:rsid w:val="00AB4AD3"/>
    <w:rsid w:val="00AC0797"/>
    <w:rsid w:val="00AC2EDE"/>
    <w:rsid w:val="00AC53AF"/>
    <w:rsid w:val="00AC7DB6"/>
    <w:rsid w:val="00AD4F9D"/>
    <w:rsid w:val="00AD628A"/>
    <w:rsid w:val="00AE05E1"/>
    <w:rsid w:val="00AE0AC0"/>
    <w:rsid w:val="00AE2123"/>
    <w:rsid w:val="00AE2FFB"/>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1CFA"/>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43"/>
    <w:rsid w:val="00BA62AA"/>
    <w:rsid w:val="00BA6C5D"/>
    <w:rsid w:val="00BA6DD4"/>
    <w:rsid w:val="00BB0327"/>
    <w:rsid w:val="00BB0FC8"/>
    <w:rsid w:val="00BB1636"/>
    <w:rsid w:val="00BB1B98"/>
    <w:rsid w:val="00BB40A3"/>
    <w:rsid w:val="00BB51CB"/>
    <w:rsid w:val="00BB5BAF"/>
    <w:rsid w:val="00BB6801"/>
    <w:rsid w:val="00BB7B1F"/>
    <w:rsid w:val="00BC12C5"/>
    <w:rsid w:val="00BC4D26"/>
    <w:rsid w:val="00BC5370"/>
    <w:rsid w:val="00BC5518"/>
    <w:rsid w:val="00BC8B57"/>
    <w:rsid w:val="00BD054F"/>
    <w:rsid w:val="00BD078D"/>
    <w:rsid w:val="00BD429D"/>
    <w:rsid w:val="00BD44A9"/>
    <w:rsid w:val="00BD6D69"/>
    <w:rsid w:val="00BE1539"/>
    <w:rsid w:val="00BE4EDA"/>
    <w:rsid w:val="00BF27FA"/>
    <w:rsid w:val="00BF35EB"/>
    <w:rsid w:val="00BF36A0"/>
    <w:rsid w:val="00BF3884"/>
    <w:rsid w:val="00BF52DE"/>
    <w:rsid w:val="00BF5D21"/>
    <w:rsid w:val="00BF6116"/>
    <w:rsid w:val="00C00318"/>
    <w:rsid w:val="00C00B21"/>
    <w:rsid w:val="00C01BE9"/>
    <w:rsid w:val="00C034D3"/>
    <w:rsid w:val="00C03C62"/>
    <w:rsid w:val="00C049CA"/>
    <w:rsid w:val="00C055ED"/>
    <w:rsid w:val="00C07276"/>
    <w:rsid w:val="00C11030"/>
    <w:rsid w:val="00C111B1"/>
    <w:rsid w:val="00C11E48"/>
    <w:rsid w:val="00C12554"/>
    <w:rsid w:val="00C13389"/>
    <w:rsid w:val="00C15F4D"/>
    <w:rsid w:val="00C202F8"/>
    <w:rsid w:val="00C20D92"/>
    <w:rsid w:val="00C221C1"/>
    <w:rsid w:val="00C2269D"/>
    <w:rsid w:val="00C24670"/>
    <w:rsid w:val="00C247EA"/>
    <w:rsid w:val="00C25557"/>
    <w:rsid w:val="00C32FD3"/>
    <w:rsid w:val="00C3347F"/>
    <w:rsid w:val="00C338D7"/>
    <w:rsid w:val="00C33B14"/>
    <w:rsid w:val="00C34A10"/>
    <w:rsid w:val="00C34F92"/>
    <w:rsid w:val="00C34FB5"/>
    <w:rsid w:val="00C36B93"/>
    <w:rsid w:val="00C36F3E"/>
    <w:rsid w:val="00C37A4C"/>
    <w:rsid w:val="00C40538"/>
    <w:rsid w:val="00C41A2D"/>
    <w:rsid w:val="00C43EF4"/>
    <w:rsid w:val="00C4612C"/>
    <w:rsid w:val="00C47732"/>
    <w:rsid w:val="00C50963"/>
    <w:rsid w:val="00C50BD6"/>
    <w:rsid w:val="00C50FA2"/>
    <w:rsid w:val="00C51E26"/>
    <w:rsid w:val="00C54D16"/>
    <w:rsid w:val="00C55135"/>
    <w:rsid w:val="00C57A55"/>
    <w:rsid w:val="00C62A0C"/>
    <w:rsid w:val="00C635E2"/>
    <w:rsid w:val="00C704CF"/>
    <w:rsid w:val="00C712D9"/>
    <w:rsid w:val="00C724D0"/>
    <w:rsid w:val="00C72507"/>
    <w:rsid w:val="00C72518"/>
    <w:rsid w:val="00C74397"/>
    <w:rsid w:val="00C74A04"/>
    <w:rsid w:val="00C76E2D"/>
    <w:rsid w:val="00C76F0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6975"/>
    <w:rsid w:val="00CB7E08"/>
    <w:rsid w:val="00CC4F4F"/>
    <w:rsid w:val="00CC5AD8"/>
    <w:rsid w:val="00CD05AC"/>
    <w:rsid w:val="00CD434F"/>
    <w:rsid w:val="00CD71D6"/>
    <w:rsid w:val="00CE1D90"/>
    <w:rsid w:val="00CE2446"/>
    <w:rsid w:val="00CE5F47"/>
    <w:rsid w:val="00CE6986"/>
    <w:rsid w:val="00CE78F5"/>
    <w:rsid w:val="00CF01C2"/>
    <w:rsid w:val="00CF24D4"/>
    <w:rsid w:val="00CF279B"/>
    <w:rsid w:val="00CF3925"/>
    <w:rsid w:val="00D01536"/>
    <w:rsid w:val="00D027B9"/>
    <w:rsid w:val="00D0489B"/>
    <w:rsid w:val="00D052B4"/>
    <w:rsid w:val="00D07A8B"/>
    <w:rsid w:val="00D10DA5"/>
    <w:rsid w:val="00D10F72"/>
    <w:rsid w:val="00D14164"/>
    <w:rsid w:val="00D15E10"/>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32A3"/>
    <w:rsid w:val="00D6578B"/>
    <w:rsid w:val="00D65905"/>
    <w:rsid w:val="00D67D38"/>
    <w:rsid w:val="00D67E6B"/>
    <w:rsid w:val="00D71B35"/>
    <w:rsid w:val="00D74DFD"/>
    <w:rsid w:val="00D770C8"/>
    <w:rsid w:val="00D77727"/>
    <w:rsid w:val="00D80302"/>
    <w:rsid w:val="00D81A2D"/>
    <w:rsid w:val="00D81CB0"/>
    <w:rsid w:val="00D82211"/>
    <w:rsid w:val="00D8365B"/>
    <w:rsid w:val="00D8559E"/>
    <w:rsid w:val="00D863DB"/>
    <w:rsid w:val="00D87671"/>
    <w:rsid w:val="00D90346"/>
    <w:rsid w:val="00D90587"/>
    <w:rsid w:val="00D92132"/>
    <w:rsid w:val="00D92CE7"/>
    <w:rsid w:val="00D931B6"/>
    <w:rsid w:val="00D95849"/>
    <w:rsid w:val="00D9595A"/>
    <w:rsid w:val="00D967DA"/>
    <w:rsid w:val="00D96A05"/>
    <w:rsid w:val="00D96ACC"/>
    <w:rsid w:val="00D974FB"/>
    <w:rsid w:val="00DA031B"/>
    <w:rsid w:val="00DA1EEE"/>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EFE"/>
    <w:rsid w:val="00E02685"/>
    <w:rsid w:val="00E0642F"/>
    <w:rsid w:val="00E0D3BE"/>
    <w:rsid w:val="00E104DF"/>
    <w:rsid w:val="00E17DC5"/>
    <w:rsid w:val="00E21634"/>
    <w:rsid w:val="00E25BA6"/>
    <w:rsid w:val="00E27141"/>
    <w:rsid w:val="00E272E4"/>
    <w:rsid w:val="00E3126B"/>
    <w:rsid w:val="00E31382"/>
    <w:rsid w:val="00E31596"/>
    <w:rsid w:val="00E3510F"/>
    <w:rsid w:val="00E3663A"/>
    <w:rsid w:val="00E367AD"/>
    <w:rsid w:val="00E3733D"/>
    <w:rsid w:val="00E40792"/>
    <w:rsid w:val="00E40B87"/>
    <w:rsid w:val="00E41BFA"/>
    <w:rsid w:val="00E43DCB"/>
    <w:rsid w:val="00E45226"/>
    <w:rsid w:val="00E45436"/>
    <w:rsid w:val="00E47EAF"/>
    <w:rsid w:val="00E55664"/>
    <w:rsid w:val="00E563D9"/>
    <w:rsid w:val="00E56F2D"/>
    <w:rsid w:val="00E5710E"/>
    <w:rsid w:val="00E6265F"/>
    <w:rsid w:val="00E63F4F"/>
    <w:rsid w:val="00E64DA3"/>
    <w:rsid w:val="00E679F9"/>
    <w:rsid w:val="00E7101C"/>
    <w:rsid w:val="00E710F2"/>
    <w:rsid w:val="00E72731"/>
    <w:rsid w:val="00E73626"/>
    <w:rsid w:val="00E73A87"/>
    <w:rsid w:val="00E76C52"/>
    <w:rsid w:val="00E80B1C"/>
    <w:rsid w:val="00E81D06"/>
    <w:rsid w:val="00E8677A"/>
    <w:rsid w:val="00E870E4"/>
    <w:rsid w:val="00E8796B"/>
    <w:rsid w:val="00E90C07"/>
    <w:rsid w:val="00E93F27"/>
    <w:rsid w:val="00E94350"/>
    <w:rsid w:val="00E97B77"/>
    <w:rsid w:val="00EA000B"/>
    <w:rsid w:val="00EA060C"/>
    <w:rsid w:val="00EA4041"/>
    <w:rsid w:val="00EA4C6B"/>
    <w:rsid w:val="00EA7105"/>
    <w:rsid w:val="00EA7109"/>
    <w:rsid w:val="00EB103A"/>
    <w:rsid w:val="00EB256E"/>
    <w:rsid w:val="00EB26B6"/>
    <w:rsid w:val="00EB3F41"/>
    <w:rsid w:val="00EB44CD"/>
    <w:rsid w:val="00EB70EE"/>
    <w:rsid w:val="00EC0190"/>
    <w:rsid w:val="00EC3146"/>
    <w:rsid w:val="00EC4BB0"/>
    <w:rsid w:val="00EC4C64"/>
    <w:rsid w:val="00EC7202"/>
    <w:rsid w:val="00ED2843"/>
    <w:rsid w:val="00ED2DE6"/>
    <w:rsid w:val="00ED4AAB"/>
    <w:rsid w:val="00EE0C5F"/>
    <w:rsid w:val="00EE285A"/>
    <w:rsid w:val="00EE3372"/>
    <w:rsid w:val="00EE53CD"/>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4E93"/>
    <w:rsid w:val="00F15189"/>
    <w:rsid w:val="00F1598A"/>
    <w:rsid w:val="00F17D40"/>
    <w:rsid w:val="00F20F66"/>
    <w:rsid w:val="00F21E51"/>
    <w:rsid w:val="00F25056"/>
    <w:rsid w:val="00F2637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183"/>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27BB"/>
    <w:rsid w:val="00F845B8"/>
    <w:rsid w:val="00F84AF1"/>
    <w:rsid w:val="00F86E9A"/>
    <w:rsid w:val="00F879C4"/>
    <w:rsid w:val="00F87D53"/>
    <w:rsid w:val="00F9196B"/>
    <w:rsid w:val="00F924CC"/>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29DA"/>
    <w:rsid w:val="00FD3169"/>
    <w:rsid w:val="00FD4961"/>
    <w:rsid w:val="00FD7976"/>
    <w:rsid w:val="00FE0686"/>
    <w:rsid w:val="00FE46F1"/>
    <w:rsid w:val="00FE5081"/>
    <w:rsid w:val="00FE70A6"/>
    <w:rsid w:val="00FE7FF1"/>
    <w:rsid w:val="00FF0FE9"/>
    <w:rsid w:val="00FF248A"/>
    <w:rsid w:val="00FF3F96"/>
    <w:rsid w:val="00FF55B2"/>
    <w:rsid w:val="00FF674A"/>
    <w:rsid w:val="00FF680D"/>
    <w:rsid w:val="02C7AF27"/>
    <w:rsid w:val="0499880B"/>
    <w:rsid w:val="05596150"/>
    <w:rsid w:val="07B66013"/>
    <w:rsid w:val="080A1099"/>
    <w:rsid w:val="0B7F200F"/>
    <w:rsid w:val="0BBE6FEB"/>
    <w:rsid w:val="0C46EECA"/>
    <w:rsid w:val="0CD62D1F"/>
    <w:rsid w:val="0DCA8AC9"/>
    <w:rsid w:val="0F5B928B"/>
    <w:rsid w:val="109CC837"/>
    <w:rsid w:val="109F601D"/>
    <w:rsid w:val="1B3EF38B"/>
    <w:rsid w:val="1BF170DD"/>
    <w:rsid w:val="1C8E2D37"/>
    <w:rsid w:val="1E8B5EBD"/>
    <w:rsid w:val="205CF3BC"/>
    <w:rsid w:val="21C2283B"/>
    <w:rsid w:val="22EFF98F"/>
    <w:rsid w:val="2309DCF5"/>
    <w:rsid w:val="23AC0DBC"/>
    <w:rsid w:val="23CF7F41"/>
    <w:rsid w:val="249B56B8"/>
    <w:rsid w:val="25213754"/>
    <w:rsid w:val="25B788C6"/>
    <w:rsid w:val="2625812C"/>
    <w:rsid w:val="267ADAE9"/>
    <w:rsid w:val="280D2FA6"/>
    <w:rsid w:val="2975BF85"/>
    <w:rsid w:val="2E423E3E"/>
    <w:rsid w:val="3291027E"/>
    <w:rsid w:val="33A40527"/>
    <w:rsid w:val="3477D105"/>
    <w:rsid w:val="34EEF1A3"/>
    <w:rsid w:val="35059392"/>
    <w:rsid w:val="3820E805"/>
    <w:rsid w:val="396FD2A1"/>
    <w:rsid w:val="3B004B64"/>
    <w:rsid w:val="3CED5C89"/>
    <w:rsid w:val="3D4D59E0"/>
    <w:rsid w:val="3FA258D1"/>
    <w:rsid w:val="407A599A"/>
    <w:rsid w:val="435C7456"/>
    <w:rsid w:val="4393E258"/>
    <w:rsid w:val="4414AF1E"/>
    <w:rsid w:val="44ED8F86"/>
    <w:rsid w:val="462FCB33"/>
    <w:rsid w:val="4672926F"/>
    <w:rsid w:val="475D108E"/>
    <w:rsid w:val="47784808"/>
    <w:rsid w:val="48EF092C"/>
    <w:rsid w:val="49359429"/>
    <w:rsid w:val="4A73EE49"/>
    <w:rsid w:val="4A9A5732"/>
    <w:rsid w:val="4B99B78A"/>
    <w:rsid w:val="4C72FC7B"/>
    <w:rsid w:val="4C7F35C8"/>
    <w:rsid w:val="4E1BFB06"/>
    <w:rsid w:val="4E4F74FF"/>
    <w:rsid w:val="4E8D21B6"/>
    <w:rsid w:val="4EAC2420"/>
    <w:rsid w:val="506B53ED"/>
    <w:rsid w:val="51EBA2FF"/>
    <w:rsid w:val="5624DDC2"/>
    <w:rsid w:val="56B450B9"/>
    <w:rsid w:val="572C227A"/>
    <w:rsid w:val="58A5F782"/>
    <w:rsid w:val="58F11837"/>
    <w:rsid w:val="59558064"/>
    <w:rsid w:val="59DCE8CB"/>
    <w:rsid w:val="5B89DF56"/>
    <w:rsid w:val="5D9DAA96"/>
    <w:rsid w:val="5F052E86"/>
    <w:rsid w:val="5F971CA0"/>
    <w:rsid w:val="60BF31E1"/>
    <w:rsid w:val="6100628A"/>
    <w:rsid w:val="61C91F3A"/>
    <w:rsid w:val="61E46C68"/>
    <w:rsid w:val="622B50F3"/>
    <w:rsid w:val="63A59D54"/>
    <w:rsid w:val="6465E2D6"/>
    <w:rsid w:val="662C2F43"/>
    <w:rsid w:val="664AA076"/>
    <w:rsid w:val="68A889DE"/>
    <w:rsid w:val="69270700"/>
    <w:rsid w:val="6ADF7785"/>
    <w:rsid w:val="6C3566EE"/>
    <w:rsid w:val="6C61F1C7"/>
    <w:rsid w:val="6D4BDF96"/>
    <w:rsid w:val="6DFE1EA9"/>
    <w:rsid w:val="70ABD021"/>
    <w:rsid w:val="73BBE88B"/>
    <w:rsid w:val="75233FBC"/>
    <w:rsid w:val="7639FF5E"/>
    <w:rsid w:val="768BAC3B"/>
    <w:rsid w:val="791BE00B"/>
    <w:rsid w:val="7A258EA1"/>
    <w:rsid w:val="7AC55022"/>
    <w:rsid w:val="7B87A44F"/>
    <w:rsid w:val="7C7256F6"/>
    <w:rsid w:val="7DA06DFF"/>
    <w:rsid w:val="7E4DE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744FACC"/>
  <w15:docId w15:val="{D0E8FC3D-0E53-4B03-9B9B-3C757D3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F827BB"/>
    <w:pPr>
      <w:shd w:val="clear" w:color="auto" w:fill="3D2262" w:themeFill="accent1"/>
      <w:spacing w:before="0" w:after="120" w:line="460" w:lineRule="exact"/>
      <w:outlineLvl w:val="3"/>
    </w:pPr>
    <w:rPr>
      <w:b/>
      <w:iCs w:val="0"/>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F827BB"/>
    <w:rPr>
      <w:rFonts w:eastAsia="Times New Roman"/>
      <w:b/>
      <w:b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0C2A25"/>
    <w:pPr>
      <w:spacing w:before="0" w:after="0" w:line="240" w:lineRule="auto"/>
    </w:pPr>
    <w:rPr>
      <w:rFonts w:ascii="Calibri" w:eastAsia="Times New Roman" w:hAnsi="Calibri" w:cs="Times New Roman"/>
      <w:color w:val="auto"/>
      <w:szCs w:val="20"/>
      <w:lang w:eastAsia="en-US"/>
    </w:rPr>
  </w:style>
  <w:style w:type="paragraph" w:customStyle="1" w:styleId="Default">
    <w:name w:val="Default"/>
    <w:rsid w:val="000C2A25"/>
    <w:pPr>
      <w:autoSpaceDE w:val="0"/>
      <w:autoSpaceDN w:val="0"/>
      <w:adjustRightInd w:val="0"/>
    </w:pPr>
    <w:rPr>
      <w:rFonts w:ascii="Times New Roman" w:eastAsia="Times New Roman" w:hAnsi="Times New Roman" w:cs="Times New Roman"/>
      <w:color w:val="000000"/>
    </w:rPr>
  </w:style>
  <w:style w:type="paragraph" w:styleId="ListParagraph">
    <w:name w:val="List Paragraph"/>
    <w:basedOn w:val="Normal"/>
    <w:uiPriority w:val="34"/>
    <w:qFormat/>
    <w:locked/>
    <w:rsid w:val="000C2A25"/>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st1">
    <w:name w:val="st1"/>
    <w:basedOn w:val="DefaultParagraphFont"/>
    <w:rsid w:val="000C2A25"/>
  </w:style>
  <w:style w:type="paragraph" w:styleId="NormalWeb">
    <w:name w:val="Normal (Web)"/>
    <w:basedOn w:val="Normal"/>
    <w:uiPriority w:val="99"/>
    <w:unhideWhenUsed/>
    <w:rsid w:val="000C2A25"/>
    <w:pPr>
      <w:spacing w:before="240" w:line="240" w:lineRule="auto"/>
    </w:pPr>
    <w:rPr>
      <w:rFonts w:ascii="Times New Roman" w:eastAsia="Times New Roman" w:hAnsi="Times New Roman" w:cs="Times New Roman"/>
      <w:color w:val="auto"/>
    </w:rPr>
  </w:style>
  <w:style w:type="paragraph" w:styleId="BodyText2">
    <w:name w:val="Body Text 2"/>
    <w:basedOn w:val="Normal"/>
    <w:link w:val="BodyText2Char"/>
    <w:rsid w:val="000C2A25"/>
    <w:pPr>
      <w:spacing w:before="0" w:after="120" w:line="480" w:lineRule="auto"/>
    </w:pPr>
    <w:rPr>
      <w:rFonts w:ascii="Calibri" w:eastAsia="Times" w:hAnsi="Calibri" w:cs="Times New Roman"/>
      <w:color w:val="auto"/>
      <w:szCs w:val="20"/>
      <w:lang w:eastAsia="en-US"/>
    </w:rPr>
  </w:style>
  <w:style w:type="character" w:customStyle="1" w:styleId="BodyText2Char">
    <w:name w:val="Body Text 2 Char"/>
    <w:basedOn w:val="DefaultParagraphFont"/>
    <w:link w:val="BodyText2"/>
    <w:rsid w:val="000C2A25"/>
    <w:rPr>
      <w:rFonts w:ascii="Calibri" w:eastAsia="Times" w:hAnsi="Calibri" w:cs="Times New Roman"/>
      <w:color w:val="auto"/>
      <w:szCs w:val="20"/>
      <w:lang w:eastAsia="en-US"/>
    </w:rPr>
  </w:style>
  <w:style w:type="paragraph" w:customStyle="1" w:styleId="Pa1">
    <w:name w:val="Pa1"/>
    <w:basedOn w:val="Default"/>
    <w:next w:val="Default"/>
    <w:uiPriority w:val="99"/>
    <w:rsid w:val="004F4F30"/>
    <w:pPr>
      <w:spacing w:line="201" w:lineRule="atLeast"/>
    </w:pPr>
    <w:rPr>
      <w:rFonts w:ascii="Myriad Pro Light" w:eastAsia="Times" w:hAnsi="Myriad Pro Light"/>
      <w:color w:val="auto"/>
      <w:lang w:eastAsia="en-US"/>
    </w:rPr>
  </w:style>
  <w:style w:type="paragraph" w:customStyle="1" w:styleId="Pa12">
    <w:name w:val="Pa12"/>
    <w:basedOn w:val="Default"/>
    <w:next w:val="Default"/>
    <w:uiPriority w:val="99"/>
    <w:rsid w:val="004F4F30"/>
    <w:pPr>
      <w:spacing w:line="201" w:lineRule="atLeast"/>
    </w:pPr>
    <w:rPr>
      <w:rFonts w:ascii="Myriad Pro Light" w:eastAsia="Times" w:hAnsi="Myriad Pro Light"/>
      <w:color w:val="auto"/>
      <w:lang w:eastAsia="en-US"/>
    </w:rPr>
  </w:style>
  <w:style w:type="paragraph" w:customStyle="1" w:styleId="Pa13">
    <w:name w:val="Pa13"/>
    <w:basedOn w:val="Default"/>
    <w:next w:val="Default"/>
    <w:uiPriority w:val="99"/>
    <w:rsid w:val="004F4F30"/>
    <w:pPr>
      <w:spacing w:line="181" w:lineRule="atLeast"/>
    </w:pPr>
    <w:rPr>
      <w:rFonts w:ascii="Myriad Pro Light" w:eastAsia="Times" w:hAnsi="Myriad Pro Light"/>
      <w:color w:val="auto"/>
      <w:lang w:eastAsia="en-US"/>
    </w:rPr>
  </w:style>
  <w:style w:type="character" w:customStyle="1" w:styleId="A5">
    <w:name w:val="A5"/>
    <w:uiPriority w:val="99"/>
    <w:rsid w:val="004F4F30"/>
    <w:rPr>
      <w:rFonts w:cs="Myriad Pro Light"/>
      <w:color w:val="221E1F"/>
      <w:sz w:val="20"/>
      <w:szCs w:val="20"/>
    </w:rPr>
  </w:style>
  <w:style w:type="character" w:styleId="HTMLDefinition">
    <w:name w:val="HTML Definition"/>
    <w:basedOn w:val="DefaultParagraphFont"/>
    <w:uiPriority w:val="99"/>
    <w:semiHidden/>
    <w:unhideWhenUsed/>
    <w:rsid w:val="004F4F30"/>
    <w:rPr>
      <w:i/>
      <w:iCs/>
    </w:rPr>
  </w:style>
  <w:style w:type="paragraph" w:styleId="PlainText">
    <w:name w:val="Plain Text"/>
    <w:basedOn w:val="Normal"/>
    <w:link w:val="PlainTextChar"/>
    <w:uiPriority w:val="99"/>
    <w:unhideWhenUsed/>
    <w:rsid w:val="00FD29DA"/>
    <w:pPr>
      <w:spacing w:before="0" w:after="0" w:line="240" w:lineRule="auto"/>
    </w:pPr>
    <w:rPr>
      <w:rFonts w:ascii="Calibri" w:eastAsiaTheme="minorHAnsi" w:hAnsi="Calibri" w:cs="Consolas"/>
      <w:color w:val="002060"/>
      <w:szCs w:val="21"/>
      <w:lang w:eastAsia="en-US"/>
    </w:rPr>
  </w:style>
  <w:style w:type="character" w:customStyle="1" w:styleId="PlainTextChar">
    <w:name w:val="Plain Text Char"/>
    <w:basedOn w:val="DefaultParagraphFont"/>
    <w:link w:val="PlainText"/>
    <w:uiPriority w:val="99"/>
    <w:rsid w:val="00FD29DA"/>
    <w:rPr>
      <w:rFonts w:ascii="Calibri" w:eastAsiaTheme="minorHAnsi" w:hAnsi="Calibri" w:cs="Consolas"/>
      <w:color w:val="00206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1285">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rersact.org.au/" TargetMode="External"/><Relationship Id="rId18" Type="http://schemas.openxmlformats.org/officeDocument/2006/relationships/hyperlink" Target="http://testingportal.ashm.org.au/hcv" TargetMode="External"/><Relationship Id="rId26" Type="http://schemas.openxmlformats.org/officeDocument/2006/relationships/hyperlink" Target="http://www.testingportal.ashm.org.au/national-hiv-testing-policy/" TargetMode="External"/><Relationship Id="rId39" Type="http://schemas.openxmlformats.org/officeDocument/2006/relationships/header" Target="header1.xml"/><Relationship Id="rId21" Type="http://schemas.openxmlformats.org/officeDocument/2006/relationships/hyperlink" Target="https://www1.health.gov.au/internet/main/publishing.nsf/Content/cda-cdna-bloodborne.htm" TargetMode="External"/><Relationship Id="rId34" Type="http://schemas.openxmlformats.org/officeDocument/2006/relationships/hyperlink" Target="https://www.canberrahealthservices.act.gov.au/accessibility"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ep.guidelines.org.au/" TargetMode="External"/><Relationship Id="rId20" Type="http://schemas.openxmlformats.org/officeDocument/2006/relationships/hyperlink" Target="https://ashm.org.au/HIV/hiv-management/PEP/" TargetMode="External"/><Relationship Id="rId29" Type="http://schemas.openxmlformats.org/officeDocument/2006/relationships/hyperlink" Target="https://www1.health.nsw.gov.au/pds/ActivePDSDocuments/GL2024_00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patitisact.com.au/" TargetMode="External"/><Relationship Id="rId24" Type="http://schemas.openxmlformats.org/officeDocument/2006/relationships/hyperlink" Target="http://www.testingportal.ashm.org.au/national-hbv-testing-policy/" TargetMode="External"/><Relationship Id="rId32" Type="http://schemas.openxmlformats.org/officeDocument/2006/relationships/image" Target="media/image3.png"/><Relationship Id="rId37" Type="http://schemas.openxmlformats.org/officeDocument/2006/relationships/image" Target="media/image7.pn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aidsinfo.unaids.org/" TargetMode="External"/><Relationship Id="rId23" Type="http://schemas.openxmlformats.org/officeDocument/2006/relationships/hyperlink" Target="https://www.nhmrc.gov.au/about-us/publications/australian-guidelines-prevention-and-control-infection-healthcare-2019" TargetMode="External"/><Relationship Id="rId28" Type="http://schemas.openxmlformats.org/officeDocument/2006/relationships/hyperlink" Target="https://www.cdc.gov/mmwr/pdf/rr/rr6210.pdf"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testingportal.ashm.org.au/hi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p.guidelines.org.au/" TargetMode="External"/><Relationship Id="rId22" Type="http://schemas.openxmlformats.org/officeDocument/2006/relationships/hyperlink" Target="https://www.health.gov.au/resources/publications/the-australian-immunisation-handbook" TargetMode="External"/><Relationship Id="rId27" Type="http://schemas.openxmlformats.org/officeDocument/2006/relationships/hyperlink" Target="https://ashm.org.au/resources/australian-pep-guidelines/" TargetMode="External"/><Relationship Id="rId30" Type="http://schemas.openxmlformats.org/officeDocument/2006/relationships/image" Target="media/image1.png"/><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eridianact.org" TargetMode="External"/><Relationship Id="rId17" Type="http://schemas.openxmlformats.org/officeDocument/2006/relationships/hyperlink" Target="http://testingportal.ashm.org.au/hbv" TargetMode="External"/><Relationship Id="rId25" Type="http://schemas.openxmlformats.org/officeDocument/2006/relationships/hyperlink" Target="http://www.testingportal.ashm.org.au/national-hcv-testing-policy/" TargetMode="External"/><Relationship Id="rId33" Type="http://schemas.openxmlformats.org/officeDocument/2006/relationships/image" Target="media/image4.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BD00E7F024F428C9A32523AB78153"/>
        <w:category>
          <w:name w:val="General"/>
          <w:gallery w:val="placeholder"/>
        </w:category>
        <w:types>
          <w:type w:val="bbPlcHdr"/>
        </w:types>
        <w:behaviors>
          <w:behavior w:val="content"/>
        </w:behaviors>
        <w:guid w:val="{C1C8F49D-2370-4D3E-A682-AB805C23E0FF}"/>
      </w:docPartPr>
      <w:docPartBody>
        <w:p w:rsidR="009705EB" w:rsidRDefault="009705EB">
          <w:pPr>
            <w:pStyle w:val="CA2BD00E7F024F428C9A32523AB78153"/>
          </w:pPr>
          <w:r>
            <w:rPr>
              <w:noProof/>
              <w:sz w:val="20"/>
              <w:szCs w:val="20"/>
            </w:rPr>
            <w:drawing>
              <wp:inline distT="0" distB="0" distL="0" distR="0" wp14:anchorId="2EB992A2" wp14:editId="2EB992A3">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29C8CF3D04041B58A74EB8BA4775394"/>
        <w:category>
          <w:name w:val="General"/>
          <w:gallery w:val="placeholder"/>
        </w:category>
        <w:types>
          <w:type w:val="bbPlcHdr"/>
        </w:types>
        <w:behaviors>
          <w:behavior w:val="content"/>
        </w:behaviors>
        <w:guid w:val="{60F5A3E1-5B2E-458C-97F5-AB6F4C034D94}"/>
      </w:docPartPr>
      <w:docPartBody>
        <w:p w:rsidR="009705EB" w:rsidRDefault="009705EB">
          <w:pPr>
            <w:pStyle w:val="329C8CF3D04041B58A74EB8BA4775394"/>
          </w:pPr>
          <w:r w:rsidRPr="00EE29F8">
            <w:rPr>
              <w:rStyle w:val="PlaceholderText"/>
            </w:rPr>
            <w:t>Choose an item.</w:t>
          </w:r>
        </w:p>
      </w:docPartBody>
    </w:docPart>
    <w:docPart>
      <w:docPartPr>
        <w:name w:val="22F533D35607456B9F9CA4BF748F0D0B"/>
        <w:category>
          <w:name w:val="General"/>
          <w:gallery w:val="placeholder"/>
        </w:category>
        <w:types>
          <w:type w:val="bbPlcHdr"/>
        </w:types>
        <w:behaviors>
          <w:behavior w:val="content"/>
        </w:behaviors>
        <w:guid w:val="{408DB056-CCFD-4CF8-87DE-D5BA7E55B1A5}"/>
      </w:docPartPr>
      <w:docPartBody>
        <w:p w:rsidR="009705EB" w:rsidRPr="00F26C97" w:rsidRDefault="009705EB" w:rsidP="003B0E72">
          <w:pPr>
            <w:pStyle w:val="Bottomblocktext"/>
            <w:rPr>
              <w:b/>
              <w:bCs w:val="0"/>
              <w:sz w:val="20"/>
              <w:szCs w:val="20"/>
            </w:rPr>
          </w:pPr>
          <w:r>
            <w:rPr>
              <w:b/>
              <w:bCs w:val="0"/>
              <w:noProof/>
              <w:sz w:val="20"/>
              <w:szCs w:val="20"/>
            </w:rPr>
            <w:drawing>
              <wp:inline distT="0" distB="0" distL="0" distR="0" wp14:anchorId="2EB992A4" wp14:editId="2EB992A5">
                <wp:extent cx="338275" cy="331065"/>
                <wp:effectExtent l="0" t="0" r="5080" b="0"/>
                <wp:docPr id="1146245599"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EB992A6" wp14:editId="2EB992A7">
                <wp:extent cx="143919" cy="139700"/>
                <wp:effectExtent l="0" t="0" r="8890" b="0"/>
                <wp:docPr id="86215914"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705EB" w:rsidRPr="00F26C97" w:rsidRDefault="009705EB" w:rsidP="003B0E72">
          <w:pPr>
            <w:pStyle w:val="Bottomblocktext"/>
            <w:rPr>
              <w:b/>
              <w:bCs w:val="0"/>
              <w:sz w:val="20"/>
              <w:szCs w:val="20"/>
            </w:rPr>
          </w:pPr>
          <w:r>
            <w:rPr>
              <w:b/>
              <w:bCs w:val="0"/>
              <w:noProof/>
              <w:sz w:val="20"/>
              <w:szCs w:val="20"/>
            </w:rPr>
            <w:drawing>
              <wp:inline distT="0" distB="0" distL="0" distR="0" wp14:anchorId="2EB992A8" wp14:editId="2EB992A9">
                <wp:extent cx="326104" cy="323850"/>
                <wp:effectExtent l="0" t="0" r="0" b="0"/>
                <wp:docPr id="766242036"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EB992AA" wp14:editId="2EB992AB">
                <wp:extent cx="143919" cy="139700"/>
                <wp:effectExtent l="0" t="0" r="8890" b="0"/>
                <wp:docPr id="584961374"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705EB" w:rsidRDefault="009705EB" w:rsidP="003B0E72">
          <w:pPr>
            <w:pStyle w:val="Bottomblocktext"/>
            <w:rPr>
              <w:sz w:val="20"/>
              <w:szCs w:val="20"/>
            </w:rPr>
          </w:pPr>
          <w:hyperlink r:id="rId8" w:history="1">
            <w:r w:rsidRPr="00350211">
              <w:rPr>
                <w:rStyle w:val="Hyperlink"/>
                <w:sz w:val="20"/>
                <w:szCs w:val="20"/>
              </w:rPr>
              <w:t>canberrahealthservices.act.gov.au/accessibility</w:t>
            </w:r>
          </w:hyperlink>
        </w:p>
        <w:p w:rsidR="009705EB" w:rsidRDefault="009705EB">
          <w:pPr>
            <w:pStyle w:val="22F533D35607456B9F9CA4BF748F0D0B"/>
          </w:pPr>
          <w:r>
            <w:rPr>
              <w:b/>
              <w:bCs/>
              <w:noProof/>
            </w:rPr>
            <w:drawing>
              <wp:inline distT="0" distB="0" distL="0" distR="0" wp14:anchorId="2EB992AC" wp14:editId="2EB992AD">
                <wp:extent cx="1323833" cy="309418"/>
                <wp:effectExtent l="0" t="0" r="0" b="0"/>
                <wp:docPr id="260060129"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Schoolbook">
    <w:altName w:val="MS Mincho"/>
    <w:panose1 w:val="00000000000000000000"/>
    <w:charset w:val="80"/>
    <w:family w:val="auto"/>
    <w:notTrueType/>
    <w:pitch w:val="default"/>
    <w:sig w:usb0="00000000" w:usb1="08070000" w:usb2="00000010" w:usb3="00000000" w:csb0="00020000" w:csb1="00000000"/>
  </w:font>
  <w:font w:name="CorporateSBQ-Light">
    <w:panose1 w:val="00000000000000000000"/>
    <w:charset w:val="00"/>
    <w:family w:val="auto"/>
    <w:notTrueType/>
    <w:pitch w:val="default"/>
    <w:sig w:usb0="00000003" w:usb1="00000000" w:usb2="00000000" w:usb3="00000000" w:csb0="00000001" w:csb1="00000000"/>
  </w:font>
  <w:font w:name="Minion-Semi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EB"/>
    <w:rsid w:val="000F22F2"/>
    <w:rsid w:val="00101D60"/>
    <w:rsid w:val="001216DE"/>
    <w:rsid w:val="00203B11"/>
    <w:rsid w:val="00266469"/>
    <w:rsid w:val="0028378A"/>
    <w:rsid w:val="00285316"/>
    <w:rsid w:val="0048538D"/>
    <w:rsid w:val="004A42B0"/>
    <w:rsid w:val="005655DE"/>
    <w:rsid w:val="00604C6F"/>
    <w:rsid w:val="006075D9"/>
    <w:rsid w:val="006A74F3"/>
    <w:rsid w:val="00720CA1"/>
    <w:rsid w:val="007B0F88"/>
    <w:rsid w:val="007D2D7C"/>
    <w:rsid w:val="008453A7"/>
    <w:rsid w:val="008A0113"/>
    <w:rsid w:val="009705EB"/>
    <w:rsid w:val="009D76E8"/>
    <w:rsid w:val="00AA7BBC"/>
    <w:rsid w:val="00B447EF"/>
    <w:rsid w:val="00CF01C2"/>
    <w:rsid w:val="00EC628D"/>
    <w:rsid w:val="00F17D40"/>
    <w:rsid w:val="00F26376"/>
    <w:rsid w:val="00F924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BD00E7F024F428C9A32523AB78153">
    <w:name w:val="CA2BD00E7F024F428C9A32523AB78153"/>
  </w:style>
  <w:style w:type="character" w:styleId="PlaceholderText">
    <w:name w:val="Placeholder Text"/>
    <w:basedOn w:val="DefaultParagraphFont"/>
    <w:uiPriority w:val="99"/>
    <w:semiHidden/>
    <w:rPr>
      <w:color w:val="808080"/>
    </w:rPr>
  </w:style>
  <w:style w:type="paragraph" w:customStyle="1" w:styleId="329C8CF3D04041B58A74EB8BA4775394">
    <w:name w:val="329C8CF3D04041B58A74EB8BA4775394"/>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2F533D35607456B9F9CA4BF748F0D0B">
    <w:name w:val="22F533D35607456B9F9CA4BF748F0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2024-12-19T13:00:00+00:00</Approval_x0020_Date>
    <Review_x0020_Date xmlns="690b2128-8961-48af-a473-22c34a9accba">2027-12-31T13:00:00+00:00</Review_x0020_Date>
    <TaxCatchAll xmlns="c0239a80-7f07-4ed7-82c3-24ad7d76ada5">
      <Value>447</Value>
      <Value>417</Value>
      <Value>416</Value>
      <Value>415</Value>
      <Value>435</Value>
    </TaxCatchAll>
    <Version_x0020_Number xmlns="690b2128-8961-48af-a473-22c34a9accba">1</Version_x0020_Number>
    <Notes0 xmlns="690b2128-8961-48af-a473-22c34a9accba" xsi:nil="true"/>
    <Key_x0020_Words xmlns="690b2128-8961-48af-a473-22c34a9accba">Blood borne virus, BBV, blood and body fluid exposure, BBFE, sharp exposure, splash exposure, needle stick injury, HIV, infected health care worker, occupational screening, post exposure prophylaxis, PEP, personal protective equipment PPE,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CHS21/439 Management of Occupational Blood and Body Fluid Exposures (BBFE)</Replaces_x003a_>
    <ISD_x0020_Submitted xmlns="690b2128-8961-48af-a473-22c34a9accba">Not Required</ISD_x0020_Submitted>
    <Risk_x0020_Rating xmlns="690b2128-8961-48af-a473-22c34a9accba">High</Risk_x0020_Rating>
    <Description0 xmlns="690b2128-8961-48af-a473-22c34a9accba">This guideline provides information for all Canberra Health Services (CHS) staff on the management of occupational blood and body fluid exposures (BBFE).</Description0>
    <Display_x0020_on_x0020_Internet xmlns="690b2128-8961-48af-a473-22c34a9accba">true</Display_x0020_on_x0020_Internet>
    <Related_x0020_Documents xmlns="690b2128-8961-48af-a473-22c34a9accba" xsi:nil="true"/>
    <Decision_x0020_Number xmlns="690b2128-8961-48af-a473-22c34a9accba">CHS25/091</Decision_x0020_Number>
    <RelatedPolicies_x002c_ProceduresGuidelines xmlns="690b2128-8961-48af-a473-22c34a9accba">
      <Value>17601</Value>
      <Value>17613</Value>
      <Value>13498</Value>
      <Value>17468</Value>
      <Value>17014</Value>
      <Value>17492</Value>
      <Value>14595</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Public Health Act 1997 (Territory)</TermName>
          <TermId xmlns="http://schemas.microsoft.com/office/infopath/2007/PartnerControls">d257c60e-4976-4fa5-8096-c554b0d04dea</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s>
    </k0794e393e1f41c2810d090eedba34a0>
    <New_x0020_Owner xmlns="690b2128-8961-48af-a473-22c34a9accba">CHS ED Nursing &amp; Midwifery - OMU</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7EC8A429-9A67-4183-BC66-06B5BFEF9292}">
  <ds:schemaRefs>
    <ds:schemaRef ds:uri="http://purl.org/dc/elements/1.1/"/>
    <ds:schemaRef ds:uri="http://purl.org/dc/terms/"/>
    <ds:schemaRef ds:uri="c0239a80-7f07-4ed7-82c3-24ad7d76ada5"/>
    <ds:schemaRef ds:uri="690b2128-8961-48af-a473-22c34a9accba"/>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B6EBF98-22B7-4552-A1AC-23493F22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7014</Words>
  <Characters>38390</Characters>
  <Application>Microsoft Office Word</Application>
  <DocSecurity>0</DocSecurity>
  <Lines>1056</Lines>
  <Paragraphs>537</Paragraphs>
  <ScaleCrop>false</ScaleCrop>
  <HeadingPairs>
    <vt:vector size="2" baseType="variant">
      <vt:variant>
        <vt:lpstr>Title</vt:lpstr>
      </vt:variant>
      <vt:variant>
        <vt:i4>1</vt:i4>
      </vt:variant>
    </vt:vector>
  </HeadingPairs>
  <TitlesOfParts>
    <vt:vector size="1" baseType="lpstr">
      <vt:lpstr>Management of Occupational Blood and Body Fluid Exposures (BBFE)</vt:lpstr>
    </vt:vector>
  </TitlesOfParts>
  <Company>Canberra Health Services</Company>
  <LinksUpToDate>false</LinksUpToDate>
  <CharactersWithSpaces>45318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Occupational Blood and Body Fluid Exposures (BBFE)</dc:title>
  <dc:creator>Golley, Pip (Health)</dc:creator>
  <cp:lastModifiedBy>Rusanov, Zoia</cp:lastModifiedBy>
  <cp:revision>11</cp:revision>
  <cp:lastPrinted>2017-05-22T07:29:00Z</cp:lastPrinted>
  <dcterms:created xsi:type="dcterms:W3CDTF">2025-02-07T02:55:00Z</dcterms:created>
  <dcterms:modified xsi:type="dcterms:W3CDTF">2025-09-09T05:12:00Z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417;#Work Health and Safety Act 2011 (Territory)|ff017976-c7e7-4dc1-b890-63352415bc5e;#415;#Health Records (Privacy and Access) Act 1997 (Territory)|d07d1347-0355-417c-badf-2bae9c7c0e3b;#435;#Medicines, Poisons and Therapeutic Goods Act 2008 (Territory)|e04bb8da-bc44-4cb4-a98e-c18b8e4177ac;#447;#Public Health Act 1997 (Territory)|d257c60e-4976-4fa5-8096-c554b0d04dea;#416;#Human Rights Act 2004 (Territory)|bbb6fb4a-2117-4ff9-8364-021a762deae2</vt:lpwstr>
  </property>
  <property fmtid="{D5CDD505-2E9C-101B-9397-08002B2CF9AE}" pid="11" name="Related_x0020_Legislation_x0020__x0026__x0020_Guidelines">
    <vt:lpwstr>417;#Work Health and Safety Act 2011 (Territory)|ff017976-c7e7-4dc1-b890-63352415bc5e;#415;#Health Records (Privacy and Access) Act 1997 (Territory)|d07d1347-0355-417c-badf-2bae9c7c0e3b;#435;#Medicines, Poisons and Therapeutic Goods Act 2008 (Territory)|e04bb8da-bc44-4cb4-a98e-c18b8e4177ac;#447;#Public Health Act 1997 (Territory)|d257c60e-4976-4fa5-8096-c554b0d04dea;#416;#Human Rights Act 2004 (Territory)|bbb6fb4a-2117-4ff9-8364-021a762deae2</vt:lpwstr>
  </property>
</Properties>
</file>