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08A53B6F" w:rsidR="009A534C" w:rsidRPr="00DA3910" w:rsidRDefault="009A534C" w:rsidP="009A534C">
      <w:pPr>
        <w:rPr>
          <w:rFonts w:cs="Arial"/>
          <w:b/>
          <w:sz w:val="40"/>
          <w:szCs w:val="40"/>
        </w:rPr>
      </w:pPr>
      <w:r>
        <w:rPr>
          <w:rFonts w:cs="Arial"/>
          <w:b/>
          <w:sz w:val="40"/>
          <w:szCs w:val="40"/>
        </w:rPr>
        <w:t>Guideline</w:t>
      </w:r>
      <w:r w:rsidR="00B10F87">
        <w:rPr>
          <w:rFonts w:cs="Arial"/>
          <w:b/>
          <w:sz w:val="40"/>
          <w:szCs w:val="40"/>
        </w:rPr>
        <w:t xml:space="preserve"> </w:t>
      </w:r>
    </w:p>
    <w:p w14:paraId="086829D2" w14:textId="5310948C" w:rsidR="009A534C" w:rsidRDefault="00BD3AF2" w:rsidP="009A534C">
      <w:pPr>
        <w:rPr>
          <w:rFonts w:cs="Arial"/>
          <w:b/>
          <w:sz w:val="36"/>
          <w:szCs w:val="36"/>
        </w:rPr>
      </w:pPr>
      <w:r w:rsidRPr="00680EEA">
        <w:rPr>
          <w:rFonts w:cs="Arial"/>
          <w:b/>
          <w:sz w:val="36"/>
          <w:szCs w:val="36"/>
        </w:rPr>
        <w:t>Fetal Surveillance</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13360198"/>
            <w:r w:rsidRPr="00CD1C0E">
              <w:t>Contents</w:t>
            </w:r>
            <w:bookmarkEnd w:id="0"/>
            <w:bookmarkEnd w:id="1"/>
            <w:bookmarkEnd w:id="2"/>
            <w:bookmarkEnd w:id="3"/>
          </w:p>
        </w:tc>
      </w:tr>
    </w:tbl>
    <w:p w14:paraId="086829D5" w14:textId="77777777" w:rsidR="009A534C" w:rsidRDefault="009A534C" w:rsidP="00C13D33"/>
    <w:p w14:paraId="551BD736" w14:textId="6A4F7F68" w:rsidR="001921D0" w:rsidRDefault="001921D0">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Pr>
          <w:rFonts w:cs="Arial"/>
          <w:b/>
          <w:sz w:val="36"/>
          <w:szCs w:val="36"/>
        </w:rPr>
        <w:instrText xml:space="preserve"> TOC \o "1-3" \h \z \u </w:instrText>
      </w:r>
      <w:r>
        <w:rPr>
          <w:rFonts w:cs="Arial"/>
          <w:b/>
          <w:sz w:val="36"/>
          <w:szCs w:val="36"/>
        </w:rPr>
        <w:fldChar w:fldCharType="separate"/>
      </w:r>
      <w:hyperlink w:anchor="_Toc113360198" w:history="1">
        <w:r w:rsidRPr="00941D52">
          <w:rPr>
            <w:rStyle w:val="Hyperlink"/>
            <w:noProof/>
          </w:rPr>
          <w:t>Contents</w:t>
        </w:r>
        <w:r>
          <w:rPr>
            <w:noProof/>
            <w:webHidden/>
          </w:rPr>
          <w:tab/>
        </w:r>
        <w:r>
          <w:rPr>
            <w:noProof/>
            <w:webHidden/>
          </w:rPr>
          <w:fldChar w:fldCharType="begin"/>
        </w:r>
        <w:r>
          <w:rPr>
            <w:noProof/>
            <w:webHidden/>
          </w:rPr>
          <w:instrText xml:space="preserve"> PAGEREF _Toc113360198 \h </w:instrText>
        </w:r>
        <w:r>
          <w:rPr>
            <w:noProof/>
            <w:webHidden/>
          </w:rPr>
        </w:r>
        <w:r>
          <w:rPr>
            <w:noProof/>
            <w:webHidden/>
          </w:rPr>
          <w:fldChar w:fldCharType="separate"/>
        </w:r>
        <w:r>
          <w:rPr>
            <w:noProof/>
            <w:webHidden/>
          </w:rPr>
          <w:t>1</w:t>
        </w:r>
        <w:r>
          <w:rPr>
            <w:noProof/>
            <w:webHidden/>
          </w:rPr>
          <w:fldChar w:fldCharType="end"/>
        </w:r>
      </w:hyperlink>
    </w:p>
    <w:p w14:paraId="281C07BD" w14:textId="5C3FF047" w:rsidR="001921D0" w:rsidRDefault="0008565B">
      <w:pPr>
        <w:pStyle w:val="TOC1"/>
        <w:tabs>
          <w:tab w:val="right" w:leader="dot" w:pos="9060"/>
        </w:tabs>
        <w:rPr>
          <w:rFonts w:eastAsiaTheme="minorEastAsia" w:cstheme="minorBidi"/>
          <w:noProof/>
          <w:sz w:val="22"/>
          <w:szCs w:val="22"/>
          <w:lang w:eastAsia="en-AU"/>
        </w:rPr>
      </w:pPr>
      <w:hyperlink w:anchor="_Toc113360199" w:history="1">
        <w:r w:rsidR="001921D0" w:rsidRPr="00941D52">
          <w:rPr>
            <w:rStyle w:val="Hyperlink"/>
            <w:noProof/>
          </w:rPr>
          <w:t>Guideline Statement</w:t>
        </w:r>
        <w:r w:rsidR="001921D0">
          <w:rPr>
            <w:noProof/>
            <w:webHidden/>
          </w:rPr>
          <w:tab/>
        </w:r>
        <w:r w:rsidR="001921D0">
          <w:rPr>
            <w:noProof/>
            <w:webHidden/>
          </w:rPr>
          <w:fldChar w:fldCharType="begin"/>
        </w:r>
        <w:r w:rsidR="001921D0">
          <w:rPr>
            <w:noProof/>
            <w:webHidden/>
          </w:rPr>
          <w:instrText xml:space="preserve"> PAGEREF _Toc113360199 \h </w:instrText>
        </w:r>
        <w:r w:rsidR="001921D0">
          <w:rPr>
            <w:noProof/>
            <w:webHidden/>
          </w:rPr>
        </w:r>
        <w:r w:rsidR="001921D0">
          <w:rPr>
            <w:noProof/>
            <w:webHidden/>
          </w:rPr>
          <w:fldChar w:fldCharType="separate"/>
        </w:r>
        <w:r w:rsidR="001921D0">
          <w:rPr>
            <w:noProof/>
            <w:webHidden/>
          </w:rPr>
          <w:t>2</w:t>
        </w:r>
        <w:r w:rsidR="001921D0">
          <w:rPr>
            <w:noProof/>
            <w:webHidden/>
          </w:rPr>
          <w:fldChar w:fldCharType="end"/>
        </w:r>
      </w:hyperlink>
    </w:p>
    <w:p w14:paraId="56619E52" w14:textId="24BAD144" w:rsidR="001921D0" w:rsidRDefault="0008565B">
      <w:pPr>
        <w:pStyle w:val="TOC2"/>
        <w:tabs>
          <w:tab w:val="right" w:leader="dot" w:pos="9060"/>
        </w:tabs>
        <w:rPr>
          <w:rFonts w:eastAsiaTheme="minorEastAsia" w:cstheme="minorBidi"/>
          <w:noProof/>
          <w:sz w:val="22"/>
          <w:szCs w:val="22"/>
          <w:lang w:eastAsia="en-AU"/>
        </w:rPr>
      </w:pPr>
      <w:hyperlink w:anchor="_Toc113360200" w:history="1">
        <w:r w:rsidR="001921D0" w:rsidRPr="00941D52">
          <w:rPr>
            <w:rStyle w:val="Hyperlink"/>
            <w:noProof/>
          </w:rPr>
          <w:t>Background</w:t>
        </w:r>
        <w:r w:rsidR="001921D0">
          <w:rPr>
            <w:noProof/>
            <w:webHidden/>
          </w:rPr>
          <w:tab/>
        </w:r>
        <w:r w:rsidR="001921D0">
          <w:rPr>
            <w:noProof/>
            <w:webHidden/>
          </w:rPr>
          <w:fldChar w:fldCharType="begin"/>
        </w:r>
        <w:r w:rsidR="001921D0">
          <w:rPr>
            <w:noProof/>
            <w:webHidden/>
          </w:rPr>
          <w:instrText xml:space="preserve"> PAGEREF _Toc113360200 \h </w:instrText>
        </w:r>
        <w:r w:rsidR="001921D0">
          <w:rPr>
            <w:noProof/>
            <w:webHidden/>
          </w:rPr>
        </w:r>
        <w:r w:rsidR="001921D0">
          <w:rPr>
            <w:noProof/>
            <w:webHidden/>
          </w:rPr>
          <w:fldChar w:fldCharType="separate"/>
        </w:r>
        <w:r w:rsidR="001921D0">
          <w:rPr>
            <w:noProof/>
            <w:webHidden/>
          </w:rPr>
          <w:t>2</w:t>
        </w:r>
        <w:r w:rsidR="001921D0">
          <w:rPr>
            <w:noProof/>
            <w:webHidden/>
          </w:rPr>
          <w:fldChar w:fldCharType="end"/>
        </w:r>
      </w:hyperlink>
    </w:p>
    <w:p w14:paraId="7A03A69F" w14:textId="22C5C4DD" w:rsidR="001921D0" w:rsidRDefault="0008565B">
      <w:pPr>
        <w:pStyle w:val="TOC2"/>
        <w:tabs>
          <w:tab w:val="right" w:leader="dot" w:pos="9060"/>
        </w:tabs>
        <w:rPr>
          <w:rFonts w:eastAsiaTheme="minorEastAsia" w:cstheme="minorBidi"/>
          <w:noProof/>
          <w:sz w:val="22"/>
          <w:szCs w:val="22"/>
          <w:lang w:eastAsia="en-AU"/>
        </w:rPr>
      </w:pPr>
      <w:hyperlink w:anchor="_Toc113360201" w:history="1">
        <w:r w:rsidR="001921D0" w:rsidRPr="00941D52">
          <w:rPr>
            <w:rStyle w:val="Hyperlink"/>
            <w:noProof/>
          </w:rPr>
          <w:t>Key Objective</w:t>
        </w:r>
        <w:r w:rsidR="001921D0">
          <w:rPr>
            <w:noProof/>
            <w:webHidden/>
          </w:rPr>
          <w:tab/>
        </w:r>
        <w:r w:rsidR="001921D0">
          <w:rPr>
            <w:noProof/>
            <w:webHidden/>
          </w:rPr>
          <w:fldChar w:fldCharType="begin"/>
        </w:r>
        <w:r w:rsidR="001921D0">
          <w:rPr>
            <w:noProof/>
            <w:webHidden/>
          </w:rPr>
          <w:instrText xml:space="preserve"> PAGEREF _Toc113360201 \h </w:instrText>
        </w:r>
        <w:r w:rsidR="001921D0">
          <w:rPr>
            <w:noProof/>
            <w:webHidden/>
          </w:rPr>
        </w:r>
        <w:r w:rsidR="001921D0">
          <w:rPr>
            <w:noProof/>
            <w:webHidden/>
          </w:rPr>
          <w:fldChar w:fldCharType="separate"/>
        </w:r>
        <w:r w:rsidR="001921D0">
          <w:rPr>
            <w:noProof/>
            <w:webHidden/>
          </w:rPr>
          <w:t>2</w:t>
        </w:r>
        <w:r w:rsidR="001921D0">
          <w:rPr>
            <w:noProof/>
            <w:webHidden/>
          </w:rPr>
          <w:fldChar w:fldCharType="end"/>
        </w:r>
      </w:hyperlink>
    </w:p>
    <w:p w14:paraId="791C251C" w14:textId="1D575CB7" w:rsidR="001921D0" w:rsidRDefault="0008565B">
      <w:pPr>
        <w:pStyle w:val="TOC1"/>
        <w:tabs>
          <w:tab w:val="right" w:leader="dot" w:pos="9060"/>
        </w:tabs>
        <w:rPr>
          <w:rFonts w:eastAsiaTheme="minorEastAsia" w:cstheme="minorBidi"/>
          <w:noProof/>
          <w:sz w:val="22"/>
          <w:szCs w:val="22"/>
          <w:lang w:eastAsia="en-AU"/>
        </w:rPr>
      </w:pPr>
      <w:hyperlink w:anchor="_Toc113360202" w:history="1">
        <w:r w:rsidR="001921D0" w:rsidRPr="00941D52">
          <w:rPr>
            <w:rStyle w:val="Hyperlink"/>
            <w:noProof/>
          </w:rPr>
          <w:t>Scope</w:t>
        </w:r>
        <w:r w:rsidR="001921D0">
          <w:rPr>
            <w:noProof/>
            <w:webHidden/>
          </w:rPr>
          <w:tab/>
        </w:r>
        <w:r w:rsidR="001921D0">
          <w:rPr>
            <w:noProof/>
            <w:webHidden/>
          </w:rPr>
          <w:fldChar w:fldCharType="begin"/>
        </w:r>
        <w:r w:rsidR="001921D0">
          <w:rPr>
            <w:noProof/>
            <w:webHidden/>
          </w:rPr>
          <w:instrText xml:space="preserve"> PAGEREF _Toc113360202 \h </w:instrText>
        </w:r>
        <w:r w:rsidR="001921D0">
          <w:rPr>
            <w:noProof/>
            <w:webHidden/>
          </w:rPr>
        </w:r>
        <w:r w:rsidR="001921D0">
          <w:rPr>
            <w:noProof/>
            <w:webHidden/>
          </w:rPr>
          <w:fldChar w:fldCharType="separate"/>
        </w:r>
        <w:r w:rsidR="001921D0">
          <w:rPr>
            <w:noProof/>
            <w:webHidden/>
          </w:rPr>
          <w:t>2</w:t>
        </w:r>
        <w:r w:rsidR="001921D0">
          <w:rPr>
            <w:noProof/>
            <w:webHidden/>
          </w:rPr>
          <w:fldChar w:fldCharType="end"/>
        </w:r>
      </w:hyperlink>
    </w:p>
    <w:p w14:paraId="47C88D0C" w14:textId="5F4B1DF9" w:rsidR="001921D0" w:rsidRDefault="0008565B">
      <w:pPr>
        <w:pStyle w:val="TOC1"/>
        <w:tabs>
          <w:tab w:val="right" w:leader="dot" w:pos="9060"/>
        </w:tabs>
        <w:rPr>
          <w:rFonts w:eastAsiaTheme="minorEastAsia" w:cstheme="minorBidi"/>
          <w:noProof/>
          <w:sz w:val="22"/>
          <w:szCs w:val="22"/>
          <w:lang w:eastAsia="en-AU"/>
        </w:rPr>
      </w:pPr>
      <w:hyperlink w:anchor="_Toc113360203" w:history="1">
        <w:r w:rsidR="001921D0" w:rsidRPr="00941D52">
          <w:rPr>
            <w:rStyle w:val="Hyperlink"/>
            <w:noProof/>
          </w:rPr>
          <w:t>Section 1 – Fetal Surveillance</w:t>
        </w:r>
        <w:r w:rsidR="001921D0">
          <w:rPr>
            <w:noProof/>
            <w:webHidden/>
          </w:rPr>
          <w:tab/>
        </w:r>
        <w:r w:rsidR="001921D0">
          <w:rPr>
            <w:noProof/>
            <w:webHidden/>
          </w:rPr>
          <w:fldChar w:fldCharType="begin"/>
        </w:r>
        <w:r w:rsidR="001921D0">
          <w:rPr>
            <w:noProof/>
            <w:webHidden/>
          </w:rPr>
          <w:instrText xml:space="preserve"> PAGEREF _Toc113360203 \h </w:instrText>
        </w:r>
        <w:r w:rsidR="001921D0">
          <w:rPr>
            <w:noProof/>
            <w:webHidden/>
          </w:rPr>
        </w:r>
        <w:r w:rsidR="001921D0">
          <w:rPr>
            <w:noProof/>
            <w:webHidden/>
          </w:rPr>
          <w:fldChar w:fldCharType="separate"/>
        </w:r>
        <w:r w:rsidR="001921D0">
          <w:rPr>
            <w:noProof/>
            <w:webHidden/>
          </w:rPr>
          <w:t>3</w:t>
        </w:r>
        <w:r w:rsidR="001921D0">
          <w:rPr>
            <w:noProof/>
            <w:webHidden/>
          </w:rPr>
          <w:fldChar w:fldCharType="end"/>
        </w:r>
      </w:hyperlink>
    </w:p>
    <w:p w14:paraId="73D7D228" w14:textId="2F341720" w:rsidR="001921D0" w:rsidRDefault="0008565B">
      <w:pPr>
        <w:pStyle w:val="TOC2"/>
        <w:tabs>
          <w:tab w:val="right" w:leader="dot" w:pos="9060"/>
        </w:tabs>
        <w:rPr>
          <w:rFonts w:eastAsiaTheme="minorEastAsia" w:cstheme="minorBidi"/>
          <w:noProof/>
          <w:sz w:val="22"/>
          <w:szCs w:val="22"/>
          <w:lang w:eastAsia="en-AU"/>
        </w:rPr>
      </w:pPr>
      <w:hyperlink w:anchor="_Toc113360204" w:history="1">
        <w:r w:rsidR="001921D0" w:rsidRPr="00941D52">
          <w:rPr>
            <w:rStyle w:val="Hyperlink"/>
            <w:noProof/>
          </w:rPr>
          <w:t>Intrapartum Fetal Surveillance</w:t>
        </w:r>
        <w:r w:rsidR="001921D0">
          <w:rPr>
            <w:noProof/>
            <w:webHidden/>
          </w:rPr>
          <w:tab/>
        </w:r>
        <w:r w:rsidR="001921D0">
          <w:rPr>
            <w:noProof/>
            <w:webHidden/>
          </w:rPr>
          <w:fldChar w:fldCharType="begin"/>
        </w:r>
        <w:r w:rsidR="001921D0">
          <w:rPr>
            <w:noProof/>
            <w:webHidden/>
          </w:rPr>
          <w:instrText xml:space="preserve"> PAGEREF _Toc113360204 \h </w:instrText>
        </w:r>
        <w:r w:rsidR="001921D0">
          <w:rPr>
            <w:noProof/>
            <w:webHidden/>
          </w:rPr>
        </w:r>
        <w:r w:rsidR="001921D0">
          <w:rPr>
            <w:noProof/>
            <w:webHidden/>
          </w:rPr>
          <w:fldChar w:fldCharType="separate"/>
        </w:r>
        <w:r w:rsidR="001921D0">
          <w:rPr>
            <w:noProof/>
            <w:webHidden/>
          </w:rPr>
          <w:t>3</w:t>
        </w:r>
        <w:r w:rsidR="001921D0">
          <w:rPr>
            <w:noProof/>
            <w:webHidden/>
          </w:rPr>
          <w:fldChar w:fldCharType="end"/>
        </w:r>
      </w:hyperlink>
    </w:p>
    <w:p w14:paraId="39A64FB4" w14:textId="0AC66430" w:rsidR="001921D0" w:rsidRDefault="0008565B">
      <w:pPr>
        <w:pStyle w:val="TOC2"/>
        <w:tabs>
          <w:tab w:val="right" w:leader="dot" w:pos="9060"/>
        </w:tabs>
        <w:rPr>
          <w:rFonts w:eastAsiaTheme="minorEastAsia" w:cstheme="minorBidi"/>
          <w:noProof/>
          <w:sz w:val="22"/>
          <w:szCs w:val="22"/>
          <w:lang w:eastAsia="en-AU"/>
        </w:rPr>
      </w:pPr>
      <w:hyperlink w:anchor="_Toc113360205" w:history="1">
        <w:r w:rsidR="001921D0" w:rsidRPr="00941D52">
          <w:rPr>
            <w:rStyle w:val="Hyperlink"/>
            <w:noProof/>
          </w:rPr>
          <w:t>Antenatal Fetal Surveillance</w:t>
        </w:r>
        <w:r w:rsidR="001921D0">
          <w:rPr>
            <w:noProof/>
            <w:webHidden/>
          </w:rPr>
          <w:tab/>
        </w:r>
        <w:r w:rsidR="001921D0">
          <w:rPr>
            <w:noProof/>
            <w:webHidden/>
          </w:rPr>
          <w:fldChar w:fldCharType="begin"/>
        </w:r>
        <w:r w:rsidR="001921D0">
          <w:rPr>
            <w:noProof/>
            <w:webHidden/>
          </w:rPr>
          <w:instrText xml:space="preserve"> PAGEREF _Toc113360205 \h </w:instrText>
        </w:r>
        <w:r w:rsidR="001921D0">
          <w:rPr>
            <w:noProof/>
            <w:webHidden/>
          </w:rPr>
        </w:r>
        <w:r w:rsidR="001921D0">
          <w:rPr>
            <w:noProof/>
            <w:webHidden/>
          </w:rPr>
          <w:fldChar w:fldCharType="separate"/>
        </w:r>
        <w:r w:rsidR="001921D0">
          <w:rPr>
            <w:noProof/>
            <w:webHidden/>
          </w:rPr>
          <w:t>3</w:t>
        </w:r>
        <w:r w:rsidR="001921D0">
          <w:rPr>
            <w:noProof/>
            <w:webHidden/>
          </w:rPr>
          <w:fldChar w:fldCharType="end"/>
        </w:r>
      </w:hyperlink>
    </w:p>
    <w:p w14:paraId="3C4C79F1" w14:textId="5761D845" w:rsidR="001921D0" w:rsidRDefault="0008565B">
      <w:pPr>
        <w:pStyle w:val="TOC1"/>
        <w:tabs>
          <w:tab w:val="right" w:leader="dot" w:pos="9060"/>
        </w:tabs>
        <w:rPr>
          <w:rFonts w:eastAsiaTheme="minorEastAsia" w:cstheme="minorBidi"/>
          <w:noProof/>
          <w:sz w:val="22"/>
          <w:szCs w:val="22"/>
          <w:lang w:eastAsia="en-AU"/>
        </w:rPr>
      </w:pPr>
      <w:hyperlink w:anchor="_Toc113360206" w:history="1">
        <w:r w:rsidR="001921D0" w:rsidRPr="00941D52">
          <w:rPr>
            <w:rStyle w:val="Hyperlink"/>
            <w:noProof/>
          </w:rPr>
          <w:t xml:space="preserve">Section 2 – </w:t>
        </w:r>
        <w:r w:rsidR="001921D0" w:rsidRPr="00941D52">
          <w:rPr>
            <w:rStyle w:val="Hyperlink"/>
            <w:rFonts w:cs="Calibri"/>
            <w:bCs/>
            <w:noProof/>
          </w:rPr>
          <w:t>Fetal Scalp Blood Sampling</w:t>
        </w:r>
        <w:r w:rsidR="001921D0">
          <w:rPr>
            <w:noProof/>
            <w:webHidden/>
          </w:rPr>
          <w:tab/>
        </w:r>
        <w:r w:rsidR="001921D0">
          <w:rPr>
            <w:noProof/>
            <w:webHidden/>
          </w:rPr>
          <w:fldChar w:fldCharType="begin"/>
        </w:r>
        <w:r w:rsidR="001921D0">
          <w:rPr>
            <w:noProof/>
            <w:webHidden/>
          </w:rPr>
          <w:instrText xml:space="preserve"> PAGEREF _Toc113360206 \h </w:instrText>
        </w:r>
        <w:r w:rsidR="001921D0">
          <w:rPr>
            <w:noProof/>
            <w:webHidden/>
          </w:rPr>
        </w:r>
        <w:r w:rsidR="001921D0">
          <w:rPr>
            <w:noProof/>
            <w:webHidden/>
          </w:rPr>
          <w:fldChar w:fldCharType="separate"/>
        </w:r>
        <w:r w:rsidR="001921D0">
          <w:rPr>
            <w:noProof/>
            <w:webHidden/>
          </w:rPr>
          <w:t>4</w:t>
        </w:r>
        <w:r w:rsidR="001921D0">
          <w:rPr>
            <w:noProof/>
            <w:webHidden/>
          </w:rPr>
          <w:fldChar w:fldCharType="end"/>
        </w:r>
      </w:hyperlink>
    </w:p>
    <w:p w14:paraId="5CEEEC50" w14:textId="7C659C0F" w:rsidR="001921D0" w:rsidRDefault="0008565B">
      <w:pPr>
        <w:pStyle w:val="TOC1"/>
        <w:tabs>
          <w:tab w:val="right" w:leader="dot" w:pos="9060"/>
        </w:tabs>
        <w:rPr>
          <w:rFonts w:eastAsiaTheme="minorEastAsia" w:cstheme="minorBidi"/>
          <w:noProof/>
          <w:sz w:val="22"/>
          <w:szCs w:val="22"/>
          <w:lang w:eastAsia="en-AU"/>
        </w:rPr>
      </w:pPr>
      <w:hyperlink w:anchor="_Toc113360207" w:history="1">
        <w:r w:rsidR="001921D0" w:rsidRPr="00941D52">
          <w:rPr>
            <w:rStyle w:val="Hyperlink"/>
            <w:noProof/>
          </w:rPr>
          <w:t>Section 3 – Interpretation of Fetal Blood Sampling Results</w:t>
        </w:r>
        <w:r w:rsidR="001921D0">
          <w:rPr>
            <w:noProof/>
            <w:webHidden/>
          </w:rPr>
          <w:tab/>
        </w:r>
        <w:r w:rsidR="001921D0">
          <w:rPr>
            <w:noProof/>
            <w:webHidden/>
          </w:rPr>
          <w:fldChar w:fldCharType="begin"/>
        </w:r>
        <w:r w:rsidR="001921D0">
          <w:rPr>
            <w:noProof/>
            <w:webHidden/>
          </w:rPr>
          <w:instrText xml:space="preserve"> PAGEREF _Toc113360207 \h </w:instrText>
        </w:r>
        <w:r w:rsidR="001921D0">
          <w:rPr>
            <w:noProof/>
            <w:webHidden/>
          </w:rPr>
        </w:r>
        <w:r w:rsidR="001921D0">
          <w:rPr>
            <w:noProof/>
            <w:webHidden/>
          </w:rPr>
          <w:fldChar w:fldCharType="separate"/>
        </w:r>
        <w:r w:rsidR="001921D0">
          <w:rPr>
            <w:noProof/>
            <w:webHidden/>
          </w:rPr>
          <w:t>5</w:t>
        </w:r>
        <w:r w:rsidR="001921D0">
          <w:rPr>
            <w:noProof/>
            <w:webHidden/>
          </w:rPr>
          <w:fldChar w:fldCharType="end"/>
        </w:r>
      </w:hyperlink>
    </w:p>
    <w:p w14:paraId="54ECAA21" w14:textId="75F47A3A" w:rsidR="001921D0" w:rsidRDefault="0008565B">
      <w:pPr>
        <w:pStyle w:val="TOC1"/>
        <w:tabs>
          <w:tab w:val="right" w:leader="dot" w:pos="9060"/>
        </w:tabs>
        <w:rPr>
          <w:rFonts w:eastAsiaTheme="minorEastAsia" w:cstheme="minorBidi"/>
          <w:noProof/>
          <w:sz w:val="22"/>
          <w:szCs w:val="22"/>
          <w:lang w:eastAsia="en-AU"/>
        </w:rPr>
      </w:pPr>
      <w:hyperlink w:anchor="_Toc113360208" w:history="1">
        <w:r w:rsidR="001921D0" w:rsidRPr="00941D52">
          <w:rPr>
            <w:rStyle w:val="Hyperlink"/>
            <w:noProof/>
          </w:rPr>
          <w:t>Evaluation</w:t>
        </w:r>
        <w:r w:rsidR="001921D0">
          <w:rPr>
            <w:noProof/>
            <w:webHidden/>
          </w:rPr>
          <w:tab/>
        </w:r>
        <w:r w:rsidR="001921D0">
          <w:rPr>
            <w:noProof/>
            <w:webHidden/>
          </w:rPr>
          <w:fldChar w:fldCharType="begin"/>
        </w:r>
        <w:r w:rsidR="001921D0">
          <w:rPr>
            <w:noProof/>
            <w:webHidden/>
          </w:rPr>
          <w:instrText xml:space="preserve"> PAGEREF _Toc113360208 \h </w:instrText>
        </w:r>
        <w:r w:rsidR="001921D0">
          <w:rPr>
            <w:noProof/>
            <w:webHidden/>
          </w:rPr>
        </w:r>
        <w:r w:rsidR="001921D0">
          <w:rPr>
            <w:noProof/>
            <w:webHidden/>
          </w:rPr>
          <w:fldChar w:fldCharType="separate"/>
        </w:r>
        <w:r w:rsidR="001921D0">
          <w:rPr>
            <w:noProof/>
            <w:webHidden/>
          </w:rPr>
          <w:t>6</w:t>
        </w:r>
        <w:r w:rsidR="001921D0">
          <w:rPr>
            <w:noProof/>
            <w:webHidden/>
          </w:rPr>
          <w:fldChar w:fldCharType="end"/>
        </w:r>
      </w:hyperlink>
    </w:p>
    <w:p w14:paraId="16479180" w14:textId="1ABB6955" w:rsidR="001921D0" w:rsidRDefault="0008565B">
      <w:pPr>
        <w:pStyle w:val="TOC1"/>
        <w:tabs>
          <w:tab w:val="right" w:leader="dot" w:pos="9060"/>
        </w:tabs>
        <w:rPr>
          <w:rFonts w:eastAsiaTheme="minorEastAsia" w:cstheme="minorBidi"/>
          <w:noProof/>
          <w:sz w:val="22"/>
          <w:szCs w:val="22"/>
          <w:lang w:eastAsia="en-AU"/>
        </w:rPr>
      </w:pPr>
      <w:hyperlink w:anchor="_Toc113360209" w:history="1">
        <w:r w:rsidR="001921D0" w:rsidRPr="00941D52">
          <w:rPr>
            <w:rStyle w:val="Hyperlink"/>
            <w:noProof/>
          </w:rPr>
          <w:t>Related Policies, Procedures, Guidelines and Legislation</w:t>
        </w:r>
        <w:r w:rsidR="001921D0">
          <w:rPr>
            <w:noProof/>
            <w:webHidden/>
          </w:rPr>
          <w:tab/>
        </w:r>
        <w:r w:rsidR="001921D0">
          <w:rPr>
            <w:noProof/>
            <w:webHidden/>
          </w:rPr>
          <w:fldChar w:fldCharType="begin"/>
        </w:r>
        <w:r w:rsidR="001921D0">
          <w:rPr>
            <w:noProof/>
            <w:webHidden/>
          </w:rPr>
          <w:instrText xml:space="preserve"> PAGEREF _Toc113360209 \h </w:instrText>
        </w:r>
        <w:r w:rsidR="001921D0">
          <w:rPr>
            <w:noProof/>
            <w:webHidden/>
          </w:rPr>
        </w:r>
        <w:r w:rsidR="001921D0">
          <w:rPr>
            <w:noProof/>
            <w:webHidden/>
          </w:rPr>
          <w:fldChar w:fldCharType="separate"/>
        </w:r>
        <w:r w:rsidR="001921D0">
          <w:rPr>
            <w:noProof/>
            <w:webHidden/>
          </w:rPr>
          <w:t>7</w:t>
        </w:r>
        <w:r w:rsidR="001921D0">
          <w:rPr>
            <w:noProof/>
            <w:webHidden/>
          </w:rPr>
          <w:fldChar w:fldCharType="end"/>
        </w:r>
      </w:hyperlink>
    </w:p>
    <w:p w14:paraId="52A5A95A" w14:textId="39F51C93" w:rsidR="001921D0" w:rsidRDefault="0008565B">
      <w:pPr>
        <w:pStyle w:val="TOC1"/>
        <w:tabs>
          <w:tab w:val="right" w:leader="dot" w:pos="9060"/>
        </w:tabs>
        <w:rPr>
          <w:rFonts w:eastAsiaTheme="minorEastAsia" w:cstheme="minorBidi"/>
          <w:noProof/>
          <w:sz w:val="22"/>
          <w:szCs w:val="22"/>
          <w:lang w:eastAsia="en-AU"/>
        </w:rPr>
      </w:pPr>
      <w:hyperlink w:anchor="_Toc113360210" w:history="1">
        <w:r w:rsidR="001921D0" w:rsidRPr="00941D52">
          <w:rPr>
            <w:rStyle w:val="Hyperlink"/>
            <w:noProof/>
          </w:rPr>
          <w:t>References</w:t>
        </w:r>
        <w:r w:rsidR="001921D0">
          <w:rPr>
            <w:noProof/>
            <w:webHidden/>
          </w:rPr>
          <w:tab/>
        </w:r>
        <w:r w:rsidR="001921D0">
          <w:rPr>
            <w:noProof/>
            <w:webHidden/>
          </w:rPr>
          <w:fldChar w:fldCharType="begin"/>
        </w:r>
        <w:r w:rsidR="001921D0">
          <w:rPr>
            <w:noProof/>
            <w:webHidden/>
          </w:rPr>
          <w:instrText xml:space="preserve"> PAGEREF _Toc113360210 \h </w:instrText>
        </w:r>
        <w:r w:rsidR="001921D0">
          <w:rPr>
            <w:noProof/>
            <w:webHidden/>
          </w:rPr>
        </w:r>
        <w:r w:rsidR="001921D0">
          <w:rPr>
            <w:noProof/>
            <w:webHidden/>
          </w:rPr>
          <w:fldChar w:fldCharType="separate"/>
        </w:r>
        <w:r w:rsidR="001921D0">
          <w:rPr>
            <w:noProof/>
            <w:webHidden/>
          </w:rPr>
          <w:t>7</w:t>
        </w:r>
        <w:r w:rsidR="001921D0">
          <w:rPr>
            <w:noProof/>
            <w:webHidden/>
          </w:rPr>
          <w:fldChar w:fldCharType="end"/>
        </w:r>
      </w:hyperlink>
    </w:p>
    <w:p w14:paraId="385EB0F8" w14:textId="474040F4" w:rsidR="001921D0" w:rsidRDefault="0008565B">
      <w:pPr>
        <w:pStyle w:val="TOC1"/>
        <w:tabs>
          <w:tab w:val="right" w:leader="dot" w:pos="9060"/>
        </w:tabs>
        <w:rPr>
          <w:rFonts w:eastAsiaTheme="minorEastAsia" w:cstheme="minorBidi"/>
          <w:noProof/>
          <w:sz w:val="22"/>
          <w:szCs w:val="22"/>
          <w:lang w:eastAsia="en-AU"/>
        </w:rPr>
      </w:pPr>
      <w:hyperlink w:anchor="_Toc113360211" w:history="1">
        <w:r w:rsidR="001921D0" w:rsidRPr="00941D52">
          <w:rPr>
            <w:rStyle w:val="Hyperlink"/>
            <w:noProof/>
          </w:rPr>
          <w:t>Search Terms</w:t>
        </w:r>
        <w:r w:rsidR="001921D0">
          <w:rPr>
            <w:noProof/>
            <w:webHidden/>
          </w:rPr>
          <w:tab/>
        </w:r>
        <w:r w:rsidR="001921D0">
          <w:rPr>
            <w:noProof/>
            <w:webHidden/>
          </w:rPr>
          <w:fldChar w:fldCharType="begin"/>
        </w:r>
        <w:r w:rsidR="001921D0">
          <w:rPr>
            <w:noProof/>
            <w:webHidden/>
          </w:rPr>
          <w:instrText xml:space="preserve"> PAGEREF _Toc113360211 \h </w:instrText>
        </w:r>
        <w:r w:rsidR="001921D0">
          <w:rPr>
            <w:noProof/>
            <w:webHidden/>
          </w:rPr>
        </w:r>
        <w:r w:rsidR="001921D0">
          <w:rPr>
            <w:noProof/>
            <w:webHidden/>
          </w:rPr>
          <w:fldChar w:fldCharType="separate"/>
        </w:r>
        <w:r w:rsidR="001921D0">
          <w:rPr>
            <w:noProof/>
            <w:webHidden/>
          </w:rPr>
          <w:t>8</w:t>
        </w:r>
        <w:r w:rsidR="001921D0">
          <w:rPr>
            <w:noProof/>
            <w:webHidden/>
          </w:rPr>
          <w:fldChar w:fldCharType="end"/>
        </w:r>
      </w:hyperlink>
    </w:p>
    <w:p w14:paraId="23B7FAAE" w14:textId="2A5AFF20" w:rsidR="001921D0" w:rsidRDefault="0008565B">
      <w:pPr>
        <w:pStyle w:val="TOC1"/>
        <w:tabs>
          <w:tab w:val="right" w:leader="dot" w:pos="9060"/>
        </w:tabs>
        <w:rPr>
          <w:rFonts w:eastAsiaTheme="minorEastAsia" w:cstheme="minorBidi"/>
          <w:noProof/>
          <w:sz w:val="22"/>
          <w:szCs w:val="22"/>
          <w:lang w:eastAsia="en-AU"/>
        </w:rPr>
      </w:pPr>
      <w:hyperlink w:anchor="_Toc113360212" w:history="1">
        <w:r w:rsidR="001921D0" w:rsidRPr="00941D52">
          <w:rPr>
            <w:rStyle w:val="Hyperlink"/>
            <w:noProof/>
          </w:rPr>
          <w:t>Atta</w:t>
        </w:r>
        <w:r w:rsidR="001921D0" w:rsidRPr="00941D52">
          <w:rPr>
            <w:rStyle w:val="Hyperlink"/>
            <w:noProof/>
          </w:rPr>
          <w:t>c</w:t>
        </w:r>
        <w:r w:rsidR="001921D0" w:rsidRPr="00941D52">
          <w:rPr>
            <w:rStyle w:val="Hyperlink"/>
            <w:noProof/>
          </w:rPr>
          <w:t>hments</w:t>
        </w:r>
        <w:r w:rsidR="001921D0">
          <w:rPr>
            <w:noProof/>
            <w:webHidden/>
          </w:rPr>
          <w:tab/>
        </w:r>
        <w:r w:rsidR="001921D0">
          <w:rPr>
            <w:noProof/>
            <w:webHidden/>
          </w:rPr>
          <w:fldChar w:fldCharType="begin"/>
        </w:r>
        <w:r w:rsidR="001921D0">
          <w:rPr>
            <w:noProof/>
            <w:webHidden/>
          </w:rPr>
          <w:instrText xml:space="preserve"> PAGEREF _Toc113360212 \h </w:instrText>
        </w:r>
        <w:r w:rsidR="001921D0">
          <w:rPr>
            <w:noProof/>
            <w:webHidden/>
          </w:rPr>
        </w:r>
        <w:r w:rsidR="001921D0">
          <w:rPr>
            <w:noProof/>
            <w:webHidden/>
          </w:rPr>
          <w:fldChar w:fldCharType="separate"/>
        </w:r>
        <w:r w:rsidR="001921D0">
          <w:rPr>
            <w:noProof/>
            <w:webHidden/>
          </w:rPr>
          <w:t>8</w:t>
        </w:r>
        <w:r w:rsidR="001921D0">
          <w:rPr>
            <w:noProof/>
            <w:webHidden/>
          </w:rPr>
          <w:fldChar w:fldCharType="end"/>
        </w:r>
      </w:hyperlink>
    </w:p>
    <w:p w14:paraId="64189DDB" w14:textId="58603321" w:rsidR="001921D0" w:rsidRDefault="0008565B">
      <w:pPr>
        <w:pStyle w:val="TOC2"/>
        <w:tabs>
          <w:tab w:val="right" w:leader="dot" w:pos="9060"/>
        </w:tabs>
        <w:rPr>
          <w:rFonts w:eastAsiaTheme="minorEastAsia" w:cstheme="minorBidi"/>
          <w:noProof/>
          <w:sz w:val="22"/>
          <w:szCs w:val="22"/>
          <w:lang w:eastAsia="en-AU"/>
        </w:rPr>
      </w:pPr>
      <w:hyperlink w:anchor="_Toc113360213" w:history="1">
        <w:r w:rsidR="001921D0" w:rsidRPr="00941D52">
          <w:rPr>
            <w:rStyle w:val="Hyperlink"/>
            <w:noProof/>
          </w:rPr>
          <w:t>Attachment 1 Fetal Heart Rate Monitoring Definitions</w:t>
        </w:r>
        <w:r w:rsidR="001921D0">
          <w:rPr>
            <w:noProof/>
            <w:webHidden/>
          </w:rPr>
          <w:tab/>
        </w:r>
        <w:r w:rsidR="001921D0">
          <w:rPr>
            <w:noProof/>
            <w:webHidden/>
          </w:rPr>
          <w:fldChar w:fldCharType="begin"/>
        </w:r>
        <w:r w:rsidR="001921D0">
          <w:rPr>
            <w:noProof/>
            <w:webHidden/>
          </w:rPr>
          <w:instrText xml:space="preserve"> PAGEREF _Toc113360213 \h </w:instrText>
        </w:r>
        <w:r w:rsidR="001921D0">
          <w:rPr>
            <w:noProof/>
            <w:webHidden/>
          </w:rPr>
        </w:r>
        <w:r w:rsidR="001921D0">
          <w:rPr>
            <w:noProof/>
            <w:webHidden/>
          </w:rPr>
          <w:fldChar w:fldCharType="separate"/>
        </w:r>
        <w:r w:rsidR="001921D0">
          <w:rPr>
            <w:noProof/>
            <w:webHidden/>
          </w:rPr>
          <w:t>9</w:t>
        </w:r>
        <w:r w:rsidR="001921D0">
          <w:rPr>
            <w:noProof/>
            <w:webHidden/>
          </w:rPr>
          <w:fldChar w:fldCharType="end"/>
        </w:r>
      </w:hyperlink>
    </w:p>
    <w:p w14:paraId="1F6CC0B0" w14:textId="7AF0DCE5" w:rsidR="001921D0" w:rsidRDefault="0008565B">
      <w:pPr>
        <w:pStyle w:val="TOC2"/>
        <w:tabs>
          <w:tab w:val="right" w:leader="dot" w:pos="9060"/>
        </w:tabs>
        <w:rPr>
          <w:rFonts w:eastAsiaTheme="minorEastAsia" w:cstheme="minorBidi"/>
          <w:noProof/>
          <w:sz w:val="22"/>
          <w:szCs w:val="22"/>
          <w:lang w:eastAsia="en-AU"/>
        </w:rPr>
      </w:pPr>
      <w:hyperlink w:anchor="_Toc113360214" w:history="1">
        <w:r w:rsidR="001921D0" w:rsidRPr="00941D52">
          <w:rPr>
            <w:rStyle w:val="Hyperlink"/>
            <w:noProof/>
          </w:rPr>
          <w:t>Attachment 2 Antenatal and Intrapartum Factors Requiring Intrapartum CTG Monitoring</w:t>
        </w:r>
        <w:r w:rsidR="001921D0">
          <w:rPr>
            <w:noProof/>
            <w:webHidden/>
          </w:rPr>
          <w:tab/>
        </w:r>
        <w:r w:rsidR="001921D0">
          <w:rPr>
            <w:noProof/>
            <w:webHidden/>
          </w:rPr>
          <w:fldChar w:fldCharType="begin"/>
        </w:r>
        <w:r w:rsidR="001921D0">
          <w:rPr>
            <w:noProof/>
            <w:webHidden/>
          </w:rPr>
          <w:instrText xml:space="preserve"> PAGEREF _Toc113360214 \h </w:instrText>
        </w:r>
        <w:r w:rsidR="001921D0">
          <w:rPr>
            <w:noProof/>
            <w:webHidden/>
          </w:rPr>
        </w:r>
        <w:r w:rsidR="001921D0">
          <w:rPr>
            <w:noProof/>
            <w:webHidden/>
          </w:rPr>
          <w:fldChar w:fldCharType="separate"/>
        </w:r>
        <w:r w:rsidR="001921D0">
          <w:rPr>
            <w:noProof/>
            <w:webHidden/>
          </w:rPr>
          <w:t>10</w:t>
        </w:r>
        <w:r w:rsidR="001921D0">
          <w:rPr>
            <w:noProof/>
            <w:webHidden/>
          </w:rPr>
          <w:fldChar w:fldCharType="end"/>
        </w:r>
      </w:hyperlink>
    </w:p>
    <w:p w14:paraId="086829E2" w14:textId="2A28E985" w:rsidR="009A534C" w:rsidRDefault="001921D0" w:rsidP="006743DB">
      <w:r>
        <w:rPr>
          <w:rFonts w:asciiTheme="minorHAnsi" w:hAnsiTheme="minorHAnsi" w:cs="Arial"/>
          <w:b/>
          <w:sz w:val="36"/>
          <w:szCs w:val="36"/>
        </w:rP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113360199"/>
            <w:r>
              <w:lastRenderedPageBreak/>
              <w:t>Guideline Statement</w:t>
            </w:r>
            <w:bookmarkEnd w:id="4"/>
          </w:p>
        </w:tc>
      </w:tr>
    </w:tbl>
    <w:p w14:paraId="44C0ADC7" w14:textId="5CE9DED2" w:rsidR="00BD3AF2" w:rsidRPr="0098777C" w:rsidRDefault="00BD3AF2" w:rsidP="00BD3AF2">
      <w:pPr>
        <w:rPr>
          <w:rFonts w:cs="Arial"/>
          <w:i/>
          <w:szCs w:val="24"/>
        </w:rPr>
      </w:pPr>
      <w:r w:rsidRPr="0098777C">
        <w:rPr>
          <w:rFonts w:cs="Arial"/>
          <w:szCs w:val="24"/>
        </w:rPr>
        <w:t>This document guides medical and midwifery staff in asses</w:t>
      </w:r>
      <w:r>
        <w:rPr>
          <w:rFonts w:cs="Arial"/>
          <w:szCs w:val="24"/>
        </w:rPr>
        <w:t>s</w:t>
      </w:r>
      <w:r w:rsidRPr="0098777C">
        <w:rPr>
          <w:rFonts w:cs="Arial"/>
          <w:szCs w:val="24"/>
        </w:rPr>
        <w:t xml:space="preserve">ing the wellbeing of </w:t>
      </w:r>
      <w:r>
        <w:rPr>
          <w:rFonts w:cs="Arial"/>
          <w:szCs w:val="24"/>
        </w:rPr>
        <w:t>the</w:t>
      </w:r>
      <w:r w:rsidRPr="0098777C">
        <w:rPr>
          <w:rFonts w:cs="Arial"/>
          <w:szCs w:val="24"/>
        </w:rPr>
        <w:t xml:space="preserve"> fetus </w:t>
      </w:r>
      <w:r>
        <w:rPr>
          <w:rFonts w:cs="Arial"/>
          <w:szCs w:val="24"/>
        </w:rPr>
        <w:t>in</w:t>
      </w:r>
      <w:r w:rsidRPr="0098777C">
        <w:rPr>
          <w:rFonts w:cs="Arial"/>
          <w:szCs w:val="24"/>
        </w:rPr>
        <w:t xml:space="preserve"> the antepartum and intrapartum periods</w:t>
      </w:r>
      <w:r>
        <w:rPr>
          <w:rFonts w:cs="Arial"/>
          <w:szCs w:val="24"/>
        </w:rPr>
        <w:t xml:space="preserve"> using</w:t>
      </w:r>
      <w:r w:rsidRPr="0098777C">
        <w:rPr>
          <w:rFonts w:eastAsiaTheme="minorHAnsi"/>
          <w:szCs w:val="24"/>
        </w:rPr>
        <w:t xml:space="preserve"> </w:t>
      </w:r>
      <w:r>
        <w:rPr>
          <w:rFonts w:eastAsiaTheme="minorHAnsi"/>
          <w:szCs w:val="24"/>
        </w:rPr>
        <w:t>e</w:t>
      </w:r>
      <w:r w:rsidRPr="0098777C">
        <w:rPr>
          <w:rFonts w:eastAsiaTheme="minorHAnsi"/>
          <w:szCs w:val="24"/>
        </w:rPr>
        <w:t xml:space="preserve">lectronic fetal monitoring (EFM) </w:t>
      </w:r>
      <w:r>
        <w:rPr>
          <w:rFonts w:cs="Arial"/>
          <w:szCs w:val="24"/>
        </w:rPr>
        <w:t>with a cardiotocograph (CTG) and fetal scalp sampling.</w:t>
      </w:r>
    </w:p>
    <w:p w14:paraId="2ED78EE0" w14:textId="77777777" w:rsidR="00BD3AF2" w:rsidRDefault="00BD3AF2" w:rsidP="00BD3AF2">
      <w:pPr>
        <w:rPr>
          <w:rFonts w:cs="Arial"/>
          <w:b/>
          <w:szCs w:val="24"/>
        </w:rPr>
      </w:pPr>
    </w:p>
    <w:p w14:paraId="1E90EA37" w14:textId="77777777" w:rsidR="00BD3AF2" w:rsidRDefault="00BD3AF2" w:rsidP="00BD3AF2">
      <w:pPr>
        <w:pStyle w:val="Heading2"/>
      </w:pPr>
      <w:bookmarkStart w:id="5" w:name="_Toc113360200"/>
      <w:r>
        <w:t>Background</w:t>
      </w:r>
      <w:bookmarkEnd w:id="5"/>
    </w:p>
    <w:p w14:paraId="3875F45B" w14:textId="55287812" w:rsidR="00BD3AF2" w:rsidRPr="0098777C" w:rsidRDefault="00BD3AF2" w:rsidP="00BD3AF2">
      <w:pPr>
        <w:rPr>
          <w:rFonts w:eastAsiaTheme="minorHAnsi"/>
          <w:szCs w:val="24"/>
        </w:rPr>
      </w:pPr>
      <w:r w:rsidRPr="0098777C">
        <w:rPr>
          <w:rFonts w:eastAsiaTheme="minorHAnsi"/>
          <w:szCs w:val="24"/>
        </w:rPr>
        <w:t>EFM is performed using a (CTG)</w:t>
      </w:r>
      <w:r>
        <w:rPr>
          <w:rFonts w:eastAsiaTheme="minorHAnsi"/>
          <w:szCs w:val="24"/>
        </w:rPr>
        <w:t xml:space="preserve"> machine</w:t>
      </w:r>
      <w:r w:rsidRPr="0098777C">
        <w:rPr>
          <w:rFonts w:eastAsiaTheme="minorHAnsi"/>
          <w:szCs w:val="24"/>
        </w:rPr>
        <w:t xml:space="preserve">. EFM involves the assessment of fetal heart rate (FHR) and uterine activity.  The FHR may be recorded with an external transducer or a scalp electrode. The uterine activity is recorded with an external pressure transducer which measures frequency and duration of contractions.  </w:t>
      </w:r>
    </w:p>
    <w:p w14:paraId="202C1FA0" w14:textId="77777777" w:rsidR="00BD3AF2" w:rsidRPr="0098777C" w:rsidRDefault="00BD3AF2" w:rsidP="00BD3AF2">
      <w:pPr>
        <w:rPr>
          <w:rFonts w:eastAsiaTheme="minorHAnsi"/>
          <w:szCs w:val="24"/>
        </w:rPr>
      </w:pPr>
    </w:p>
    <w:p w14:paraId="63B12751" w14:textId="4CB805A6" w:rsidR="00BD3AF2" w:rsidRPr="0098777C" w:rsidRDefault="00BD3AF2" w:rsidP="00BD3AF2">
      <w:pPr>
        <w:rPr>
          <w:rFonts w:eastAsiaTheme="minorHAnsi"/>
          <w:szCs w:val="24"/>
        </w:rPr>
      </w:pPr>
      <w:r w:rsidRPr="0098777C">
        <w:rPr>
          <w:rFonts w:eastAsiaTheme="minorHAnsi"/>
          <w:szCs w:val="24"/>
        </w:rPr>
        <w:t>EFM is used where</w:t>
      </w:r>
      <w:r>
        <w:rPr>
          <w:rFonts w:eastAsiaTheme="minorHAnsi"/>
          <w:szCs w:val="24"/>
        </w:rPr>
        <w:t xml:space="preserve"> one or more </w:t>
      </w:r>
      <w:r w:rsidRPr="0098777C">
        <w:rPr>
          <w:rFonts w:eastAsiaTheme="minorHAnsi"/>
          <w:szCs w:val="24"/>
        </w:rPr>
        <w:t>risk factor</w:t>
      </w:r>
      <w:r>
        <w:rPr>
          <w:rFonts w:eastAsiaTheme="minorHAnsi"/>
          <w:szCs w:val="24"/>
        </w:rPr>
        <w:t>s that increase the risk of fetal compromise are identified</w:t>
      </w:r>
      <w:r w:rsidRPr="0098777C">
        <w:rPr>
          <w:rFonts w:eastAsiaTheme="minorHAnsi"/>
          <w:szCs w:val="24"/>
        </w:rPr>
        <w:t xml:space="preserve">. EFM is a screening test used to identify those </w:t>
      </w:r>
      <w:r>
        <w:rPr>
          <w:rFonts w:eastAsiaTheme="minorHAnsi"/>
          <w:szCs w:val="24"/>
        </w:rPr>
        <w:t>fetuses</w:t>
      </w:r>
      <w:r w:rsidRPr="0098777C">
        <w:rPr>
          <w:rFonts w:eastAsiaTheme="minorHAnsi"/>
          <w:szCs w:val="24"/>
        </w:rPr>
        <w:t xml:space="preserve"> who would benefit from </w:t>
      </w:r>
      <w:r>
        <w:rPr>
          <w:rFonts w:eastAsiaTheme="minorHAnsi"/>
          <w:szCs w:val="24"/>
        </w:rPr>
        <w:t>additional</w:t>
      </w:r>
      <w:r w:rsidRPr="0098777C">
        <w:rPr>
          <w:rFonts w:eastAsiaTheme="minorHAnsi"/>
          <w:szCs w:val="24"/>
        </w:rPr>
        <w:t xml:space="preserve"> forms of testing that can be used to assess fetal wellbeing</w:t>
      </w:r>
      <w:r>
        <w:rPr>
          <w:rFonts w:eastAsiaTheme="minorHAnsi"/>
          <w:szCs w:val="24"/>
        </w:rPr>
        <w:t>. F</w:t>
      </w:r>
      <w:r w:rsidRPr="0098777C">
        <w:rPr>
          <w:rFonts w:eastAsiaTheme="minorHAnsi"/>
          <w:szCs w:val="24"/>
        </w:rPr>
        <w:t xml:space="preserve">etal scalp blood sampling for pH </w:t>
      </w:r>
      <w:r>
        <w:rPr>
          <w:rFonts w:eastAsiaTheme="minorHAnsi"/>
          <w:szCs w:val="24"/>
        </w:rPr>
        <w:t>and/</w:t>
      </w:r>
      <w:r w:rsidRPr="0098777C">
        <w:rPr>
          <w:rFonts w:eastAsiaTheme="minorHAnsi"/>
          <w:szCs w:val="24"/>
        </w:rPr>
        <w:t>or lactate</w:t>
      </w:r>
      <w:r>
        <w:rPr>
          <w:rFonts w:eastAsiaTheme="minorHAnsi"/>
          <w:szCs w:val="24"/>
        </w:rPr>
        <w:t xml:space="preserve"> is a secondary test for fetal wellbeing in the intrapartum period.</w:t>
      </w:r>
    </w:p>
    <w:p w14:paraId="54A96733" w14:textId="77777777" w:rsidR="00BD3AF2" w:rsidRPr="0098777C" w:rsidRDefault="00BD3AF2" w:rsidP="00BD3AF2">
      <w:pPr>
        <w:rPr>
          <w:rFonts w:eastAsiaTheme="minorHAnsi"/>
          <w:szCs w:val="24"/>
        </w:rPr>
      </w:pPr>
    </w:p>
    <w:p w14:paraId="01E8E087" w14:textId="623151E1" w:rsidR="00BD3AF2" w:rsidRPr="0098777C" w:rsidRDefault="00BD3AF2" w:rsidP="00BD3AF2">
      <w:pPr>
        <w:rPr>
          <w:szCs w:val="24"/>
        </w:rPr>
      </w:pPr>
      <w:r w:rsidRPr="0098777C">
        <w:rPr>
          <w:rFonts w:eastAsiaTheme="minorHAnsi"/>
          <w:szCs w:val="24"/>
        </w:rPr>
        <w:t>Prior to the commencement of electronic FHR monitoring</w:t>
      </w:r>
      <w:r w:rsidR="00CF5219">
        <w:rPr>
          <w:rFonts w:eastAsiaTheme="minorHAnsi"/>
          <w:szCs w:val="24"/>
        </w:rPr>
        <w:t>,</w:t>
      </w:r>
      <w:r w:rsidRPr="0098777C">
        <w:rPr>
          <w:rFonts w:eastAsiaTheme="minorHAnsi"/>
          <w:szCs w:val="24"/>
        </w:rPr>
        <w:t xml:space="preserve"> the woman should be provided with an explanation of why </w:t>
      </w:r>
      <w:r w:rsidR="00292229">
        <w:rPr>
          <w:rFonts w:eastAsiaTheme="minorHAnsi"/>
          <w:szCs w:val="24"/>
        </w:rPr>
        <w:t>monitoring is recommended</w:t>
      </w:r>
      <w:r w:rsidRPr="0098777C">
        <w:rPr>
          <w:rFonts w:eastAsiaTheme="minorHAnsi"/>
          <w:szCs w:val="24"/>
        </w:rPr>
        <w:t xml:space="preserve"> and</w:t>
      </w:r>
      <w:r>
        <w:rPr>
          <w:rFonts w:eastAsiaTheme="minorHAnsi"/>
          <w:szCs w:val="24"/>
        </w:rPr>
        <w:t xml:space="preserve"> verbal consent must be</w:t>
      </w:r>
      <w:r w:rsidRPr="0098777C">
        <w:rPr>
          <w:rFonts w:eastAsiaTheme="minorHAnsi"/>
          <w:szCs w:val="24"/>
        </w:rPr>
        <w:t xml:space="preserve"> obtained.</w:t>
      </w:r>
    </w:p>
    <w:p w14:paraId="5DFA5C14" w14:textId="77777777" w:rsidR="00BD3AF2" w:rsidRPr="00010E74" w:rsidRDefault="00BD3AF2" w:rsidP="00BD3AF2">
      <w:pPr>
        <w:rPr>
          <w:i/>
        </w:rPr>
      </w:pPr>
    </w:p>
    <w:p w14:paraId="086829EC" w14:textId="18B0F84A" w:rsidR="00010E74" w:rsidRDefault="00010E74" w:rsidP="00C13D33">
      <w:pPr>
        <w:pStyle w:val="Heading2"/>
      </w:pPr>
      <w:bookmarkStart w:id="6" w:name="_Toc113360201"/>
      <w:r>
        <w:t>Key Objective</w:t>
      </w:r>
      <w:bookmarkEnd w:id="6"/>
    </w:p>
    <w:p w14:paraId="1C48EE30" w14:textId="0CACEFD6" w:rsidR="000824C1" w:rsidRDefault="00C108C2" w:rsidP="00BD3AF2">
      <w:r>
        <w:t>This document provides guidelines for clinicians in CTG interpretation and response to the CTG pattern of fetuses greater than 28 weeks gestation. It defines a standardised process of interpretation, documentation and management of cardiotocographs (CTG), in particular where variations from ‘normal’ occur</w:t>
      </w:r>
      <w:r w:rsidR="00CF5219">
        <w:t>,</w:t>
      </w:r>
      <w:r>
        <w:t xml:space="preserve"> to im</w:t>
      </w:r>
      <w:r w:rsidR="00BD3AF2" w:rsidRPr="0098777C">
        <w:rPr>
          <w:rFonts w:eastAsiaTheme="minorHAnsi"/>
          <w:szCs w:val="24"/>
        </w:rPr>
        <w:t>prove clinical safety and outcomes for women and their babies.</w:t>
      </w:r>
    </w:p>
    <w:p w14:paraId="086829F2" w14:textId="77777777" w:rsidR="0098579F" w:rsidRDefault="0008565B"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7" w:name="_Toc113360202"/>
            <w:r>
              <w:t>Scope</w:t>
            </w:r>
            <w:bookmarkEnd w:id="7"/>
          </w:p>
        </w:tc>
      </w:tr>
    </w:tbl>
    <w:p w14:paraId="7B8C2B11" w14:textId="17FAF4F3" w:rsidR="000824C1" w:rsidRDefault="000824C1" w:rsidP="000824C1">
      <w:pPr>
        <w:rPr>
          <w:rFonts w:cs="Arial"/>
          <w:szCs w:val="24"/>
        </w:rPr>
      </w:pPr>
      <w:r>
        <w:rPr>
          <w:rFonts w:cs="Arial"/>
          <w:szCs w:val="24"/>
        </w:rPr>
        <w:t xml:space="preserve">Fetal Surveillance Education Program (FSEP) training is conducted for midwifery and Obstetric staff by </w:t>
      </w:r>
      <w:r w:rsidR="00CF5219">
        <w:rPr>
          <w:rFonts w:cs="Arial"/>
          <w:szCs w:val="24"/>
        </w:rPr>
        <w:t>Royal Australian and New Zealand College of Obstetricians and Gynaecologists (</w:t>
      </w:r>
      <w:r>
        <w:rPr>
          <w:rFonts w:cs="Arial"/>
          <w:szCs w:val="24"/>
        </w:rPr>
        <w:t>RANZCOG</w:t>
      </w:r>
      <w:r w:rsidR="00CF5219">
        <w:rPr>
          <w:rFonts w:cs="Arial"/>
          <w:szCs w:val="24"/>
        </w:rPr>
        <w:t>)</w:t>
      </w:r>
      <w:r>
        <w:rPr>
          <w:rFonts w:cs="Arial"/>
          <w:szCs w:val="24"/>
        </w:rPr>
        <w:t xml:space="preserve"> educators and staff are mandated to attend biannually with regular CTG workshops and education sessions being held monthly to reinforce this training.</w:t>
      </w:r>
    </w:p>
    <w:p w14:paraId="4DEED5A9" w14:textId="77777777" w:rsidR="000824C1" w:rsidRDefault="000824C1" w:rsidP="0098579F"/>
    <w:p w14:paraId="3A7AA72A" w14:textId="198BDE75" w:rsidR="00BD3AF2" w:rsidRPr="0098777C" w:rsidRDefault="00BD3AF2" w:rsidP="00BD3AF2">
      <w:pPr>
        <w:rPr>
          <w:szCs w:val="24"/>
        </w:rPr>
      </w:pPr>
      <w:r w:rsidRPr="0098777C">
        <w:rPr>
          <w:szCs w:val="24"/>
        </w:rPr>
        <w:t>This document applies to</w:t>
      </w:r>
      <w:r w:rsidR="001921D0">
        <w:rPr>
          <w:szCs w:val="24"/>
        </w:rPr>
        <w:t xml:space="preserve"> the following staff </w:t>
      </w:r>
      <w:r w:rsidR="001921D0" w:rsidRPr="0098777C">
        <w:rPr>
          <w:rFonts w:eastAsiaTheme="minorHAnsi"/>
          <w:szCs w:val="22"/>
        </w:rPr>
        <w:t>working within their scope of practice</w:t>
      </w:r>
      <w:r w:rsidRPr="0098777C">
        <w:rPr>
          <w:szCs w:val="24"/>
        </w:rPr>
        <w:t>:</w:t>
      </w:r>
    </w:p>
    <w:p w14:paraId="655C6F37" w14:textId="77777777" w:rsidR="001921D0" w:rsidRDefault="00BD3AF2" w:rsidP="00BD3AF2">
      <w:pPr>
        <w:numPr>
          <w:ilvl w:val="0"/>
          <w:numId w:val="1"/>
        </w:numPr>
        <w:tabs>
          <w:tab w:val="clear" w:pos="1080"/>
          <w:tab w:val="num" w:pos="426"/>
        </w:tabs>
        <w:ind w:left="426" w:hanging="426"/>
        <w:rPr>
          <w:rFonts w:eastAsiaTheme="minorHAnsi"/>
          <w:szCs w:val="22"/>
        </w:rPr>
      </w:pPr>
      <w:r w:rsidRPr="0098777C">
        <w:rPr>
          <w:rFonts w:eastAsiaTheme="minorHAnsi"/>
          <w:szCs w:val="22"/>
        </w:rPr>
        <w:t>Medical Officers</w:t>
      </w:r>
    </w:p>
    <w:p w14:paraId="0E6BCA2E" w14:textId="7079B863" w:rsidR="00BD3AF2" w:rsidRPr="0098777C" w:rsidRDefault="00BD3AF2" w:rsidP="00BD3AF2">
      <w:pPr>
        <w:numPr>
          <w:ilvl w:val="0"/>
          <w:numId w:val="1"/>
        </w:numPr>
        <w:tabs>
          <w:tab w:val="clear" w:pos="1080"/>
          <w:tab w:val="num" w:pos="426"/>
        </w:tabs>
        <w:ind w:left="426" w:hanging="426"/>
        <w:rPr>
          <w:rFonts w:eastAsiaTheme="minorHAnsi"/>
          <w:szCs w:val="22"/>
        </w:rPr>
      </w:pPr>
      <w:r w:rsidRPr="0098777C">
        <w:rPr>
          <w:rFonts w:eastAsiaTheme="minorHAnsi"/>
          <w:szCs w:val="22"/>
        </w:rPr>
        <w:t xml:space="preserve">Midwives </w:t>
      </w:r>
    </w:p>
    <w:p w14:paraId="086829FE" w14:textId="034540E4" w:rsidR="00C13D33" w:rsidRPr="000824C1" w:rsidRDefault="00BD3AF2" w:rsidP="00F212A6">
      <w:pPr>
        <w:numPr>
          <w:ilvl w:val="0"/>
          <w:numId w:val="1"/>
        </w:numPr>
        <w:tabs>
          <w:tab w:val="clear" w:pos="1080"/>
          <w:tab w:val="num" w:pos="426"/>
        </w:tabs>
        <w:ind w:left="426" w:hanging="426"/>
        <w:rPr>
          <w:rFonts w:cs="Arial"/>
          <w:szCs w:val="24"/>
        </w:rPr>
      </w:pPr>
      <w:r w:rsidRPr="000824C1">
        <w:rPr>
          <w:rFonts w:eastAsiaTheme="minorHAnsi"/>
          <w:szCs w:val="22"/>
        </w:rPr>
        <w:t>Students under direct supervision</w:t>
      </w:r>
    </w:p>
    <w:p w14:paraId="086829FF" w14:textId="388C1BFF" w:rsidR="00C13D33" w:rsidRDefault="0008565B" w:rsidP="009A534C">
      <w:pPr>
        <w:jc w:val="right"/>
        <w:rPr>
          <w:rStyle w:val="Hyperlink"/>
          <w:rFonts w:eastAsiaTheme="majorEastAsia" w:cs="Arial"/>
          <w:i/>
          <w:szCs w:val="24"/>
        </w:rPr>
      </w:pPr>
      <w:hyperlink w:anchor="Contents" w:history="1">
        <w:r w:rsidR="00C13D33" w:rsidRPr="00C91F3F">
          <w:rPr>
            <w:rStyle w:val="Hyperlink"/>
            <w:rFonts w:eastAsiaTheme="majorEastAsia" w:cs="Arial"/>
            <w:i/>
            <w:szCs w:val="24"/>
          </w:rPr>
          <w:t>Back to Table of Contents</w:t>
        </w:r>
      </w:hyperlink>
    </w:p>
    <w:p w14:paraId="721AC83F" w14:textId="08810516" w:rsidR="000824C1" w:rsidRDefault="000824C1" w:rsidP="009A534C">
      <w:pPr>
        <w:jc w:val="right"/>
        <w:rPr>
          <w:rStyle w:val="Hyperlink"/>
          <w:rFonts w:eastAsiaTheme="majorEastAsia" w:cs="Arial"/>
          <w:i/>
          <w:szCs w:val="24"/>
        </w:rPr>
      </w:pPr>
    </w:p>
    <w:p w14:paraId="58ACDB8E" w14:textId="6F716C07" w:rsidR="000824C1" w:rsidRDefault="000824C1" w:rsidP="009A534C">
      <w:pPr>
        <w:jc w:val="right"/>
        <w:rPr>
          <w:rStyle w:val="Hyperlink"/>
          <w:rFonts w:eastAsiaTheme="majorEastAsia" w:cs="Arial"/>
          <w:i/>
          <w:szCs w:val="24"/>
        </w:rPr>
      </w:pPr>
    </w:p>
    <w:p w14:paraId="6D4A2B25" w14:textId="77777777" w:rsidR="000824C1" w:rsidRPr="00032890" w:rsidRDefault="000824C1" w:rsidP="009A534C">
      <w:pPr>
        <w:jc w:val="right"/>
        <w:rPr>
          <w:rFonts w:cs="Arial"/>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7048B5D7" w:rsidR="009A534C" w:rsidRPr="00C76688" w:rsidRDefault="00BD3AF2" w:rsidP="00B10F87">
            <w:pPr>
              <w:pStyle w:val="Heading1"/>
            </w:pPr>
            <w:bookmarkStart w:id="8" w:name="_Toc500403075"/>
            <w:bookmarkStart w:id="9" w:name="_Toc113360203"/>
            <w:bookmarkStart w:id="10" w:name="_Toc389473278"/>
            <w:bookmarkStart w:id="11" w:name="_Toc393203334"/>
            <w:r w:rsidRPr="00C76688">
              <w:lastRenderedPageBreak/>
              <w:t>Section 1 –</w:t>
            </w:r>
            <w:r>
              <w:t xml:space="preserve"> Fetal Surveillance</w:t>
            </w:r>
            <w:bookmarkEnd w:id="8"/>
            <w:bookmarkEnd w:id="9"/>
            <w:r w:rsidRPr="00C76688">
              <w:t xml:space="preserve"> </w:t>
            </w:r>
            <w:bookmarkEnd w:id="10"/>
            <w:bookmarkEnd w:id="11"/>
          </w:p>
        </w:tc>
      </w:tr>
    </w:tbl>
    <w:p w14:paraId="1CB34903" w14:textId="6C78C438" w:rsidR="00BD3AF2" w:rsidRDefault="00BD3AF2" w:rsidP="001921D0">
      <w:r w:rsidRPr="00773E7E">
        <w:t>This Clinical Guid</w:t>
      </w:r>
      <w:r>
        <w:t>e</w:t>
      </w:r>
      <w:r w:rsidRPr="00773E7E">
        <w:t>line will be in accordance with a place</w:t>
      </w:r>
      <w:r>
        <w:t>holder</w:t>
      </w:r>
      <w:r w:rsidRPr="00773E7E">
        <w:t xml:space="preserve"> to the </w:t>
      </w:r>
      <w:r>
        <w:t>RANZCOG</w:t>
      </w:r>
      <w:r w:rsidRPr="00773E7E">
        <w:t xml:space="preserve"> Clinical Guideline on Fetal Surveillance (</w:t>
      </w:r>
      <w:r>
        <w:t>Fourth</w:t>
      </w:r>
      <w:r w:rsidRPr="00773E7E">
        <w:t xml:space="preserve"> edition</w:t>
      </w:r>
      <w:r>
        <w:t>)</w:t>
      </w:r>
      <w:r w:rsidRPr="00773E7E">
        <w:t xml:space="preserve"> 201</w:t>
      </w:r>
      <w:r>
        <w:t xml:space="preserve">9. </w:t>
      </w:r>
    </w:p>
    <w:p w14:paraId="50F93C12" w14:textId="77777777" w:rsidR="00BD3AF2" w:rsidRDefault="00BD3AF2" w:rsidP="009A534C">
      <w:pPr>
        <w:outlineLvl w:val="0"/>
        <w:rPr>
          <w:rFonts w:cs="Arial"/>
        </w:rPr>
      </w:pPr>
    </w:p>
    <w:p w14:paraId="675AACB6" w14:textId="6F0F4181" w:rsidR="008E6486" w:rsidRDefault="00BD3AF2" w:rsidP="00C97B15">
      <w:pPr>
        <w:rPr>
          <w:color w:val="0000FF"/>
          <w:u w:val="single"/>
        </w:rPr>
      </w:pPr>
      <w:r>
        <w:rPr>
          <w:rFonts w:cs="Arial"/>
        </w:rPr>
        <w:t>L</w:t>
      </w:r>
      <w:r w:rsidRPr="3670076B">
        <w:rPr>
          <w:rFonts w:cs="Arial"/>
        </w:rPr>
        <w:t>ink to guideline</w:t>
      </w:r>
      <w:r>
        <w:rPr>
          <w:rFonts w:cs="Arial"/>
        </w:rPr>
        <w:t xml:space="preserve"> </w:t>
      </w:r>
      <w:hyperlink r:id="rId11" w:history="1">
        <w:r w:rsidR="00C97B15" w:rsidRPr="00771519">
          <w:rPr>
            <w:rStyle w:val="Hyperlink"/>
            <w:rFonts w:cs="Arial"/>
          </w:rPr>
          <w:t>https://ranzcog.edu.au/wp-content/uploads/2022/05/Intrapartum-Fetal-Surveillance.pdf</w:t>
        </w:r>
      </w:hyperlink>
      <w:r w:rsidR="00C97B15">
        <w:rPr>
          <w:rFonts w:cs="Arial"/>
        </w:rPr>
        <w:t xml:space="preserve"> </w:t>
      </w:r>
    </w:p>
    <w:p w14:paraId="56505B9E" w14:textId="77777777" w:rsidR="00C97B15" w:rsidRDefault="00C97B15" w:rsidP="001921D0"/>
    <w:p w14:paraId="248BFEDE" w14:textId="59DEE051" w:rsidR="008D232E" w:rsidRDefault="008D232E" w:rsidP="001921D0">
      <w:r>
        <w:t>The CTG should be classified and analysed on the following criteria. This is the same terminology used to document and describe the CTG</w:t>
      </w:r>
      <w:r w:rsidR="006A019F">
        <w:t>.</w:t>
      </w:r>
      <w:r>
        <w:t xml:space="preserve"> </w:t>
      </w:r>
      <w:r w:rsidR="00261B35">
        <w:t xml:space="preserve">Refer to </w:t>
      </w:r>
      <w:r w:rsidR="00261B35" w:rsidRPr="00261B35">
        <w:rPr>
          <w:b/>
          <w:bCs/>
        </w:rPr>
        <w:t>Attachment 1</w:t>
      </w:r>
      <w:r w:rsidR="006A019F">
        <w:rPr>
          <w:b/>
          <w:bCs/>
        </w:rPr>
        <w:t>.</w:t>
      </w:r>
    </w:p>
    <w:p w14:paraId="29BD514F" w14:textId="77777777" w:rsidR="008D232E" w:rsidRDefault="008D232E" w:rsidP="001921D0">
      <w:pPr>
        <w:pStyle w:val="ListBullet"/>
      </w:pPr>
      <w:r>
        <w:t>Baseline Fetal Heart Rate</w:t>
      </w:r>
    </w:p>
    <w:p w14:paraId="5EE50230" w14:textId="77777777" w:rsidR="008D232E" w:rsidRDefault="008D232E" w:rsidP="001921D0">
      <w:pPr>
        <w:pStyle w:val="ListBullet"/>
      </w:pPr>
      <w:r>
        <w:t>Accelerations</w:t>
      </w:r>
    </w:p>
    <w:p w14:paraId="1291D803" w14:textId="6B156554" w:rsidR="008D232E" w:rsidRDefault="008D232E" w:rsidP="001921D0">
      <w:pPr>
        <w:pStyle w:val="ListBullet"/>
      </w:pPr>
      <w:r>
        <w:t>Variability: normal, reduced, absent, saltatory pattern</w:t>
      </w:r>
    </w:p>
    <w:p w14:paraId="0018A623" w14:textId="25EC66B9" w:rsidR="008D232E" w:rsidRDefault="008D232E" w:rsidP="001921D0">
      <w:pPr>
        <w:pStyle w:val="ListBullet"/>
      </w:pPr>
      <w:r>
        <w:t>Decelerations: early, late, variable – complicated or uncomplicated, prolonged</w:t>
      </w:r>
      <w:r w:rsidR="00A30707">
        <w:t>.</w:t>
      </w:r>
    </w:p>
    <w:p w14:paraId="4CAA4549" w14:textId="77777777" w:rsidR="008D232E" w:rsidRDefault="008D232E" w:rsidP="001921D0"/>
    <w:p w14:paraId="69482D50" w14:textId="2D2B5148" w:rsidR="00F51DA1" w:rsidRDefault="008E6486" w:rsidP="008E6486">
      <w:pPr>
        <w:rPr>
          <w:rFonts w:cs="Arial"/>
          <w:szCs w:val="24"/>
        </w:rPr>
      </w:pPr>
      <w:r w:rsidRPr="00BD3AF2">
        <w:rPr>
          <w:rFonts w:cs="Arial"/>
          <w:szCs w:val="24"/>
        </w:rPr>
        <w:t xml:space="preserve">Documentation of CTG interpretation is to be completed using the appropriate </w:t>
      </w:r>
      <w:r w:rsidR="00F51DA1">
        <w:rPr>
          <w:rFonts w:cs="Arial"/>
          <w:szCs w:val="24"/>
        </w:rPr>
        <w:t>label</w:t>
      </w:r>
      <w:r w:rsidRPr="00BD3AF2">
        <w:rPr>
          <w:rFonts w:cs="Arial"/>
          <w:szCs w:val="24"/>
        </w:rPr>
        <w:t xml:space="preserve"> in the woman’s </w:t>
      </w:r>
      <w:r>
        <w:rPr>
          <w:rFonts w:cs="Arial"/>
          <w:szCs w:val="24"/>
        </w:rPr>
        <w:t xml:space="preserve">clinical record. </w:t>
      </w:r>
      <w:r w:rsidR="00560A74">
        <w:rPr>
          <w:rFonts w:cs="Arial"/>
          <w:szCs w:val="24"/>
        </w:rPr>
        <w:t xml:space="preserve">Abnormal CTGs must be escalated as per actions on </w:t>
      </w:r>
      <w:r w:rsidR="006A019F">
        <w:rPr>
          <w:rFonts w:cs="Arial"/>
          <w:szCs w:val="24"/>
        </w:rPr>
        <w:t xml:space="preserve">the </w:t>
      </w:r>
      <w:r w:rsidR="00560A74">
        <w:rPr>
          <w:rFonts w:cs="Arial"/>
          <w:szCs w:val="24"/>
        </w:rPr>
        <w:t xml:space="preserve">intrapartum CTG label or recommendations on </w:t>
      </w:r>
      <w:r w:rsidR="006A019F">
        <w:rPr>
          <w:rFonts w:cs="Arial"/>
          <w:szCs w:val="24"/>
        </w:rPr>
        <w:t xml:space="preserve">the </w:t>
      </w:r>
      <w:r w:rsidR="00560A74">
        <w:rPr>
          <w:rFonts w:cs="Arial"/>
          <w:szCs w:val="24"/>
        </w:rPr>
        <w:t xml:space="preserve">antenatal CTG label. </w:t>
      </w:r>
    </w:p>
    <w:p w14:paraId="3B569ECF" w14:textId="05174677" w:rsidR="00F51DA1" w:rsidRDefault="00F51DA1" w:rsidP="008E6486">
      <w:pPr>
        <w:rPr>
          <w:rFonts w:cs="Arial"/>
          <w:szCs w:val="24"/>
        </w:rPr>
      </w:pPr>
    </w:p>
    <w:p w14:paraId="6DA52DD9" w14:textId="5E93C751" w:rsidR="00A30707" w:rsidRDefault="00A30707" w:rsidP="00A30707">
      <w:pPr>
        <w:pBdr>
          <w:top w:val="single" w:sz="4" w:space="1" w:color="auto"/>
          <w:left w:val="single" w:sz="4" w:space="4" w:color="auto"/>
          <w:bottom w:val="single" w:sz="4" w:space="1" w:color="auto"/>
          <w:right w:val="single" w:sz="4" w:space="4" w:color="auto"/>
        </w:pBdr>
        <w:rPr>
          <w:rFonts w:cs="Arial"/>
          <w:b/>
          <w:bCs/>
          <w:szCs w:val="24"/>
        </w:rPr>
      </w:pPr>
      <w:r>
        <w:rPr>
          <w:rFonts w:cs="Arial"/>
          <w:b/>
          <w:bCs/>
          <w:szCs w:val="24"/>
        </w:rPr>
        <w:t>Note:</w:t>
      </w:r>
    </w:p>
    <w:p w14:paraId="68F6FFD8" w14:textId="71DA0574" w:rsidR="00F51DA1" w:rsidRPr="00A30707" w:rsidRDefault="00F51DA1" w:rsidP="00A30707">
      <w:pPr>
        <w:pBdr>
          <w:top w:val="single" w:sz="4" w:space="1" w:color="auto"/>
          <w:left w:val="single" w:sz="4" w:space="4" w:color="auto"/>
          <w:bottom w:val="single" w:sz="4" w:space="1" w:color="auto"/>
          <w:right w:val="single" w:sz="4" w:space="4" w:color="auto"/>
        </w:pBdr>
        <w:rPr>
          <w:rFonts w:cs="Arial"/>
          <w:szCs w:val="24"/>
        </w:rPr>
      </w:pPr>
      <w:r w:rsidRPr="00A30707">
        <w:rPr>
          <w:rFonts w:cs="Arial"/>
          <w:szCs w:val="24"/>
        </w:rPr>
        <w:t>Labels must be signed by two independent practi</w:t>
      </w:r>
      <w:r w:rsidR="00A30707" w:rsidRPr="00A30707">
        <w:rPr>
          <w:rFonts w:cs="Arial"/>
          <w:szCs w:val="24"/>
        </w:rPr>
        <w:t>ti</w:t>
      </w:r>
      <w:r w:rsidRPr="00A30707">
        <w:rPr>
          <w:rFonts w:cs="Arial"/>
          <w:szCs w:val="24"/>
        </w:rPr>
        <w:t>oners</w:t>
      </w:r>
      <w:r w:rsidR="006A019F">
        <w:rPr>
          <w:rFonts w:cs="Arial"/>
          <w:szCs w:val="24"/>
        </w:rPr>
        <w:t>, o</w:t>
      </w:r>
      <w:r w:rsidRPr="00A30707">
        <w:rPr>
          <w:rFonts w:cs="Arial"/>
          <w:szCs w:val="24"/>
        </w:rPr>
        <w:t>ne being the midwife responsible for immediate care the second a suitably experienced practi</w:t>
      </w:r>
      <w:r w:rsidR="00A30707" w:rsidRPr="00A30707">
        <w:rPr>
          <w:rFonts w:cs="Arial"/>
          <w:szCs w:val="24"/>
        </w:rPr>
        <w:t>ti</w:t>
      </w:r>
      <w:r w:rsidRPr="00A30707">
        <w:rPr>
          <w:rFonts w:cs="Arial"/>
          <w:szCs w:val="24"/>
        </w:rPr>
        <w:t>oner (team leader/clinical development midwife/level 2 midwife/obstetric registrar/consultant)</w:t>
      </w:r>
      <w:r w:rsidR="00A30707" w:rsidRPr="00A30707">
        <w:rPr>
          <w:rFonts w:cs="Arial"/>
          <w:szCs w:val="24"/>
        </w:rPr>
        <w:t>.</w:t>
      </w:r>
      <w:r w:rsidRPr="00A30707">
        <w:rPr>
          <w:rFonts w:cs="Arial"/>
          <w:szCs w:val="24"/>
        </w:rPr>
        <w:t xml:space="preserve"> </w:t>
      </w:r>
    </w:p>
    <w:p w14:paraId="0C284415" w14:textId="77777777" w:rsidR="00F51DA1" w:rsidRPr="00F51DA1" w:rsidRDefault="00F51DA1" w:rsidP="008E6486">
      <w:pPr>
        <w:rPr>
          <w:rFonts w:cs="Arial"/>
          <w:b/>
          <w:bCs/>
          <w:szCs w:val="24"/>
        </w:rPr>
      </w:pPr>
    </w:p>
    <w:p w14:paraId="5397ACD8" w14:textId="54102C39" w:rsidR="008E6486" w:rsidRDefault="008E6486" w:rsidP="008E6486">
      <w:r w:rsidRPr="00BD3AF2">
        <w:rPr>
          <w:rFonts w:cs="Arial"/>
          <w:szCs w:val="24"/>
        </w:rPr>
        <w:t xml:space="preserve">The intrapartum CTG </w:t>
      </w:r>
      <w:r w:rsidR="00F51DA1">
        <w:rPr>
          <w:rFonts w:cs="Arial"/>
          <w:szCs w:val="24"/>
        </w:rPr>
        <w:t>label</w:t>
      </w:r>
      <w:r w:rsidRPr="00BD3AF2">
        <w:rPr>
          <w:rFonts w:cs="Arial"/>
          <w:szCs w:val="24"/>
        </w:rPr>
        <w:t xml:space="preserve"> (</w:t>
      </w:r>
      <w:hyperlink r:id="rId12" w:history="1">
        <w:r w:rsidRPr="00BD3AF2">
          <w:rPr>
            <w:rStyle w:val="Hyperlink"/>
          </w:rPr>
          <w:t>Intrapartum FHR Pattern Label.pdf</w:t>
        </w:r>
      </w:hyperlink>
      <w:r w:rsidRPr="00BD3AF2">
        <w:t xml:space="preserve">) </w:t>
      </w:r>
      <w:r w:rsidRPr="00BD3AF2">
        <w:rPr>
          <w:rFonts w:cs="Arial"/>
          <w:szCs w:val="24"/>
        </w:rPr>
        <w:t xml:space="preserve">is to be used for all CTG documentation where the woman is contracting or is being augmented or induced with oxytocin infusion.  The antenatal CTG </w:t>
      </w:r>
      <w:r w:rsidR="00F51DA1">
        <w:rPr>
          <w:rFonts w:cs="Arial"/>
          <w:szCs w:val="24"/>
        </w:rPr>
        <w:t>label</w:t>
      </w:r>
      <w:r w:rsidRPr="00BD3AF2">
        <w:rPr>
          <w:rFonts w:cs="Arial"/>
          <w:szCs w:val="24"/>
        </w:rPr>
        <w:t xml:space="preserve"> (</w:t>
      </w:r>
      <w:hyperlink r:id="rId13" w:history="1">
        <w:r w:rsidRPr="00BD3AF2">
          <w:rPr>
            <w:rStyle w:val="Hyperlink"/>
          </w:rPr>
          <w:t>Antenatal FHR Pattern Label</w:t>
        </w:r>
      </w:hyperlink>
      <w:r w:rsidRPr="00BD3AF2">
        <w:t xml:space="preserve">) </w:t>
      </w:r>
      <w:r w:rsidRPr="00BD3AF2">
        <w:rPr>
          <w:rFonts w:cs="Arial"/>
          <w:szCs w:val="24"/>
        </w:rPr>
        <w:t xml:space="preserve">should be </w:t>
      </w:r>
      <w:r>
        <w:rPr>
          <w:rFonts w:cs="Arial"/>
          <w:szCs w:val="24"/>
        </w:rPr>
        <w:t xml:space="preserve">used in all other circumstances. </w:t>
      </w:r>
      <w:r w:rsidRPr="00BD3AF2">
        <w:rPr>
          <w:rFonts w:cs="Arial"/>
          <w:szCs w:val="24"/>
        </w:rPr>
        <w:t xml:space="preserve">The </w:t>
      </w:r>
      <w:r w:rsidR="00F51DA1">
        <w:rPr>
          <w:rFonts w:cs="Arial"/>
          <w:szCs w:val="24"/>
        </w:rPr>
        <w:t xml:space="preserve">labels </w:t>
      </w:r>
      <w:r w:rsidRPr="00BD3AF2">
        <w:rPr>
          <w:rFonts w:cs="Arial"/>
          <w:szCs w:val="24"/>
        </w:rPr>
        <w:t xml:space="preserve">guide interpretation of the CTG and subsequent actions.  Outcomes of actions and/or escalation are to be documented in the </w:t>
      </w:r>
      <w:r>
        <w:rPr>
          <w:rFonts w:cs="Arial"/>
          <w:szCs w:val="24"/>
        </w:rPr>
        <w:t xml:space="preserve">woman’s clinical record. </w:t>
      </w:r>
    </w:p>
    <w:p w14:paraId="6E316D85" w14:textId="79437708" w:rsidR="008E6486" w:rsidRDefault="008E6486" w:rsidP="008E6486">
      <w:pPr>
        <w:rPr>
          <w:rFonts w:eastAsiaTheme="minorHAnsi"/>
          <w:szCs w:val="24"/>
        </w:rPr>
      </w:pPr>
    </w:p>
    <w:p w14:paraId="2C67E117" w14:textId="3DB5D35E" w:rsidR="00BD3AF2" w:rsidRDefault="008E6486" w:rsidP="001921D0">
      <w:pPr>
        <w:pStyle w:val="Heading2"/>
      </w:pPr>
      <w:bookmarkStart w:id="12" w:name="_Toc113360204"/>
      <w:r>
        <w:t xml:space="preserve">Intrapartum </w:t>
      </w:r>
      <w:r w:rsidR="00A30707">
        <w:t>F</w:t>
      </w:r>
      <w:r>
        <w:t xml:space="preserve">etal </w:t>
      </w:r>
      <w:r w:rsidR="00A30707">
        <w:t>S</w:t>
      </w:r>
      <w:r>
        <w:t>urveillance</w:t>
      </w:r>
      <w:bookmarkEnd w:id="12"/>
    </w:p>
    <w:p w14:paraId="40F34140" w14:textId="3691E93F" w:rsidR="008E6486" w:rsidRDefault="008E6486" w:rsidP="008E6486">
      <w:pPr>
        <w:rPr>
          <w:rFonts w:cs="Arial"/>
          <w:szCs w:val="24"/>
        </w:rPr>
      </w:pPr>
      <w:r>
        <w:rPr>
          <w:rFonts w:cs="Arial"/>
          <w:szCs w:val="24"/>
        </w:rPr>
        <w:t xml:space="preserve">Antenatal and Intrapartum factors that increase risk of fetal compromise are as per </w:t>
      </w:r>
      <w:r w:rsidRPr="003821E3">
        <w:rPr>
          <w:rFonts w:cs="Arial"/>
          <w:b/>
          <w:bCs/>
          <w:i/>
          <w:iCs/>
          <w:szCs w:val="24"/>
        </w:rPr>
        <w:t xml:space="preserve">Attachment </w:t>
      </w:r>
      <w:r w:rsidR="00261B35">
        <w:rPr>
          <w:rFonts w:cs="Arial"/>
          <w:b/>
          <w:bCs/>
          <w:i/>
          <w:iCs/>
          <w:szCs w:val="24"/>
        </w:rPr>
        <w:t>2</w:t>
      </w:r>
      <w:r w:rsidRPr="008E6486">
        <w:rPr>
          <w:rFonts w:cs="Arial"/>
          <w:b/>
          <w:bCs/>
          <w:szCs w:val="24"/>
        </w:rPr>
        <w:t>.</w:t>
      </w:r>
      <w:r>
        <w:rPr>
          <w:rFonts w:cs="Arial"/>
          <w:szCs w:val="24"/>
        </w:rPr>
        <w:t xml:space="preserve"> These factors are indicators for </w:t>
      </w:r>
      <w:r w:rsidR="008D232E">
        <w:rPr>
          <w:rFonts w:cs="Arial"/>
          <w:szCs w:val="24"/>
        </w:rPr>
        <w:t xml:space="preserve">the use of </w:t>
      </w:r>
      <w:r>
        <w:rPr>
          <w:rFonts w:cs="Arial"/>
          <w:szCs w:val="24"/>
        </w:rPr>
        <w:t>continuous intrapartum fetal monitoring.</w:t>
      </w:r>
    </w:p>
    <w:p w14:paraId="1F76DAAD" w14:textId="2DAFDBBA" w:rsidR="008D232E" w:rsidRDefault="008D232E" w:rsidP="008E6486">
      <w:pPr>
        <w:rPr>
          <w:rFonts w:cs="Arial"/>
          <w:szCs w:val="24"/>
        </w:rPr>
      </w:pPr>
    </w:p>
    <w:p w14:paraId="1C7C35C2" w14:textId="45DE2AD1" w:rsidR="000D6304" w:rsidRDefault="000D6304" w:rsidP="001921D0">
      <w:pPr>
        <w:pStyle w:val="Heading2"/>
      </w:pPr>
      <w:bookmarkStart w:id="13" w:name="_Toc113360205"/>
      <w:r>
        <w:t xml:space="preserve">Antenatal </w:t>
      </w:r>
      <w:r w:rsidR="00A30707">
        <w:t>F</w:t>
      </w:r>
      <w:r>
        <w:t xml:space="preserve">etal </w:t>
      </w:r>
      <w:r w:rsidR="00A30707">
        <w:t>S</w:t>
      </w:r>
      <w:r>
        <w:t>urveillance</w:t>
      </w:r>
      <w:bookmarkEnd w:id="13"/>
      <w:r>
        <w:t xml:space="preserve"> </w:t>
      </w:r>
    </w:p>
    <w:p w14:paraId="7AA9976C" w14:textId="75981C0F" w:rsidR="003821E3" w:rsidRDefault="003821E3" w:rsidP="003821E3">
      <w:r>
        <w:t>The use of CTG to determine fetal wellbeing in the antenatal period must be interpreted in the context of pregnancy risk assessment alongside of fetal development/physiology.</w:t>
      </w:r>
      <w:r w:rsidRPr="00FB4BFE">
        <w:t xml:space="preserve"> </w:t>
      </w:r>
    </w:p>
    <w:p w14:paraId="0FFBD152" w14:textId="77777777" w:rsidR="003821E3" w:rsidRDefault="003821E3" w:rsidP="003821E3">
      <w:pPr>
        <w:rPr>
          <w:rFonts w:eastAsiaTheme="minorHAnsi"/>
          <w:szCs w:val="24"/>
        </w:rPr>
      </w:pPr>
    </w:p>
    <w:p w14:paraId="472013E0" w14:textId="34A74481" w:rsidR="003821E3" w:rsidRDefault="003821E3" w:rsidP="003821E3">
      <w:r>
        <w:rPr>
          <w:rFonts w:eastAsiaTheme="minorHAnsi"/>
          <w:szCs w:val="24"/>
        </w:rPr>
        <w:t>Due to the immaturity of the fetal central nervous system, CTG</w:t>
      </w:r>
      <w:r w:rsidRPr="0098777C">
        <w:rPr>
          <w:rFonts w:eastAsiaTheme="minorHAnsi"/>
          <w:szCs w:val="24"/>
        </w:rPr>
        <w:t xml:space="preserve"> monitoring should only be considered at a gestation </w:t>
      </w:r>
      <w:r>
        <w:rPr>
          <w:rFonts w:eastAsiaTheme="minorHAnsi"/>
          <w:szCs w:val="24"/>
        </w:rPr>
        <w:t xml:space="preserve">where fetal survival is likely. CTG monitoring is not usually performed until 28 weeks gestation. The use of CTG under this gestation is based on individual clinical circumstances and with consultation from senior midwifery/ obstetric team members. </w:t>
      </w:r>
    </w:p>
    <w:p w14:paraId="105447FE" w14:textId="77777777" w:rsidR="003821E3" w:rsidRDefault="003821E3" w:rsidP="003821E3"/>
    <w:p w14:paraId="67796C79" w14:textId="61D64AD8" w:rsidR="003821E3" w:rsidRDefault="003821E3" w:rsidP="003821E3">
      <w:r>
        <w:lastRenderedPageBreak/>
        <w:t>When interpreting an antenatal CTG</w:t>
      </w:r>
      <w:r w:rsidR="006A019F">
        <w:t>,</w:t>
      </w:r>
      <w:r>
        <w:t xml:space="preserve"> clinicians must take the following RANZCOG definitions into consideration</w:t>
      </w:r>
      <w:r w:rsidR="00A30707">
        <w:t>.</w:t>
      </w:r>
    </w:p>
    <w:p w14:paraId="437B793D" w14:textId="4FBBA2BA" w:rsidR="003821E3" w:rsidRDefault="003821E3" w:rsidP="003821E3">
      <w:pPr>
        <w:rPr>
          <w:b/>
          <w:bCs/>
          <w:i/>
          <w:iCs/>
        </w:rPr>
      </w:pPr>
    </w:p>
    <w:p w14:paraId="0BE628B8" w14:textId="5B19F338" w:rsidR="00A30707" w:rsidRDefault="00A30707" w:rsidP="001921D0">
      <w:pPr>
        <w:pBdr>
          <w:top w:val="single" w:sz="4" w:space="1" w:color="auto"/>
          <w:left w:val="single" w:sz="4" w:space="1" w:color="auto"/>
          <w:bottom w:val="single" w:sz="4" w:space="1" w:color="auto"/>
          <w:right w:val="single" w:sz="4" w:space="1" w:color="auto"/>
        </w:pBdr>
        <w:rPr>
          <w:b/>
          <w:bCs/>
        </w:rPr>
      </w:pPr>
      <w:r>
        <w:rPr>
          <w:b/>
          <w:bCs/>
        </w:rPr>
        <w:t>Note:</w:t>
      </w:r>
    </w:p>
    <w:p w14:paraId="60DEF5B8" w14:textId="4CA909B4" w:rsidR="00A30707" w:rsidRDefault="00A30707" w:rsidP="001921D0">
      <w:pPr>
        <w:pBdr>
          <w:top w:val="single" w:sz="4" w:space="1" w:color="auto"/>
          <w:left w:val="single" w:sz="4" w:space="1" w:color="auto"/>
          <w:bottom w:val="single" w:sz="4" w:space="1" w:color="auto"/>
          <w:right w:val="single" w:sz="4" w:space="1" w:color="auto"/>
        </w:pBdr>
      </w:pPr>
      <w:r w:rsidRPr="000D6304">
        <w:rPr>
          <w:b/>
          <w:bCs/>
        </w:rPr>
        <w:t>The normal CTG is associated with a low probability of fetal compromise and has the following features</w:t>
      </w:r>
      <w:r>
        <w:t>:</w:t>
      </w:r>
    </w:p>
    <w:p w14:paraId="64857DB7" w14:textId="4F1EFE51" w:rsidR="00A30707" w:rsidRDefault="00A30707" w:rsidP="001921D0">
      <w:pPr>
        <w:pStyle w:val="ListBullet"/>
        <w:pBdr>
          <w:top w:val="single" w:sz="4" w:space="1" w:color="auto"/>
          <w:left w:val="single" w:sz="4" w:space="1" w:color="auto"/>
          <w:bottom w:val="single" w:sz="4" w:space="1" w:color="auto"/>
          <w:right w:val="single" w:sz="4" w:space="1" w:color="auto"/>
        </w:pBdr>
      </w:pPr>
      <w:r>
        <w:t>Baseline rate 110-160 bpm</w:t>
      </w:r>
    </w:p>
    <w:p w14:paraId="7034C891" w14:textId="2B7A7A8A" w:rsidR="00A30707" w:rsidRDefault="00A30707" w:rsidP="001921D0">
      <w:pPr>
        <w:pStyle w:val="ListBullet"/>
        <w:pBdr>
          <w:top w:val="single" w:sz="4" w:space="1" w:color="auto"/>
          <w:left w:val="single" w:sz="4" w:space="1" w:color="auto"/>
          <w:bottom w:val="single" w:sz="4" w:space="1" w:color="auto"/>
          <w:right w:val="single" w:sz="4" w:space="1" w:color="auto"/>
        </w:pBdr>
      </w:pPr>
      <w:r>
        <w:t>Baseline variability of 6-25 bpm</w:t>
      </w:r>
    </w:p>
    <w:p w14:paraId="33FF62E1" w14:textId="0566B9FA" w:rsidR="00A30707" w:rsidRDefault="00A30707" w:rsidP="001921D0">
      <w:pPr>
        <w:pStyle w:val="ListBullet"/>
        <w:pBdr>
          <w:top w:val="single" w:sz="4" w:space="1" w:color="auto"/>
          <w:left w:val="single" w:sz="4" w:space="1" w:color="auto"/>
          <w:bottom w:val="single" w:sz="4" w:space="1" w:color="auto"/>
          <w:right w:val="single" w:sz="4" w:space="1" w:color="auto"/>
        </w:pBdr>
      </w:pPr>
      <w:r>
        <w:t>Accelerations 15bpm for 15 seconds</w:t>
      </w:r>
    </w:p>
    <w:p w14:paraId="6781237C" w14:textId="0BCF2102" w:rsidR="00A30707" w:rsidRDefault="00A30707" w:rsidP="001921D0">
      <w:pPr>
        <w:pStyle w:val="ListBullet"/>
        <w:pBdr>
          <w:top w:val="single" w:sz="4" w:space="1" w:color="auto"/>
          <w:left w:val="single" w:sz="4" w:space="1" w:color="auto"/>
          <w:bottom w:val="single" w:sz="4" w:space="1" w:color="auto"/>
          <w:right w:val="single" w:sz="4" w:space="1" w:color="auto"/>
        </w:pBdr>
      </w:pPr>
      <w:r>
        <w:t>No decelerations.</w:t>
      </w:r>
    </w:p>
    <w:p w14:paraId="6C5EA58A" w14:textId="77777777" w:rsidR="00A30707" w:rsidRDefault="00A30707" w:rsidP="003821E3">
      <w:pPr>
        <w:rPr>
          <w:b/>
          <w:bCs/>
          <w:i/>
          <w:iCs/>
        </w:rPr>
      </w:pPr>
    </w:p>
    <w:p w14:paraId="113AE676" w14:textId="1BA7EE19" w:rsidR="00A30707" w:rsidRPr="00A30707" w:rsidRDefault="00A30707" w:rsidP="00A30707">
      <w:pPr>
        <w:pBdr>
          <w:top w:val="single" w:sz="4" w:space="1" w:color="auto"/>
          <w:left w:val="single" w:sz="4" w:space="4" w:color="auto"/>
          <w:bottom w:val="single" w:sz="4" w:space="1" w:color="auto"/>
          <w:right w:val="single" w:sz="4" w:space="4" w:color="auto"/>
        </w:pBdr>
        <w:rPr>
          <w:b/>
          <w:bCs/>
        </w:rPr>
      </w:pPr>
      <w:r w:rsidRPr="00A30707">
        <w:rPr>
          <w:b/>
          <w:bCs/>
        </w:rPr>
        <w:t>Note</w:t>
      </w:r>
      <w:r>
        <w:rPr>
          <w:b/>
          <w:bCs/>
        </w:rPr>
        <w:t>:</w:t>
      </w:r>
    </w:p>
    <w:p w14:paraId="7FA7A1FB" w14:textId="05C5D2F6" w:rsidR="003821E3" w:rsidRPr="00A30707" w:rsidRDefault="003821E3" w:rsidP="00A30707">
      <w:pPr>
        <w:pBdr>
          <w:top w:val="single" w:sz="4" w:space="1" w:color="auto"/>
          <w:left w:val="single" w:sz="4" w:space="4" w:color="auto"/>
          <w:bottom w:val="single" w:sz="4" w:space="1" w:color="auto"/>
          <w:right w:val="single" w:sz="4" w:space="4" w:color="auto"/>
        </w:pBdr>
      </w:pPr>
      <w:r w:rsidRPr="00A30707">
        <w:t>The RANZCOG IFS guideline does not provide recommendations for fetal surveillance during the antenatal period.</w:t>
      </w:r>
    </w:p>
    <w:p w14:paraId="6A0E1AF9" w14:textId="77777777" w:rsidR="003821E3" w:rsidRDefault="003821E3" w:rsidP="00FB4BFE"/>
    <w:p w14:paraId="08682A06" w14:textId="5FAD2F4B" w:rsidR="009A534C" w:rsidRDefault="00FB4BFE" w:rsidP="009A534C">
      <w:pPr>
        <w:rPr>
          <w:rFonts w:cs="Arial"/>
          <w:i/>
          <w:szCs w:val="24"/>
        </w:rPr>
      </w:pPr>
      <w:r>
        <w:t xml:space="preserve">Antenatal CTG only provides assessment of </w:t>
      </w:r>
      <w:r w:rsidRPr="003821E3">
        <w:rPr>
          <w:b/>
          <w:bCs/>
        </w:rPr>
        <w:t>the immediate</w:t>
      </w:r>
      <w:r>
        <w:t xml:space="preserve"> fetal condition</w:t>
      </w:r>
      <w:r w:rsidR="003821E3">
        <w:t xml:space="preserve">. It should not be used as an </w:t>
      </w:r>
      <w:r>
        <w:t xml:space="preserve">assessment of ongoing antenatal fetal wellbeing. </w:t>
      </w:r>
      <w:r w:rsidR="003821E3">
        <w:t>Routine CTG monitoring in</w:t>
      </w:r>
      <w:r>
        <w:t xml:space="preserve"> high risk pregnancy should be used in conjunction with ultrasound assessment of fetal and placental </w:t>
      </w:r>
      <w:r w:rsidR="003821E3">
        <w:t>d</w:t>
      </w:r>
      <w:r>
        <w:t xml:space="preserve">opplers. </w:t>
      </w:r>
    </w:p>
    <w:p w14:paraId="08682A07" w14:textId="77777777" w:rsidR="009A534C" w:rsidRPr="00DA3910" w:rsidRDefault="0008565B"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360EB9C9" w:rsidR="009A534C" w:rsidRPr="00C76688" w:rsidRDefault="00BD3AF2" w:rsidP="00010E74">
            <w:pPr>
              <w:pStyle w:val="Heading1"/>
            </w:pPr>
            <w:bookmarkStart w:id="14" w:name="_Toc389473281"/>
            <w:bookmarkStart w:id="15" w:name="_Toc393203337"/>
            <w:bookmarkStart w:id="16" w:name="_Toc500403076"/>
            <w:bookmarkStart w:id="17" w:name="_Toc113360206"/>
            <w:r w:rsidRPr="00C76688">
              <w:t xml:space="preserve">Section 2 – </w:t>
            </w:r>
            <w:bookmarkEnd w:id="14"/>
            <w:bookmarkEnd w:id="15"/>
            <w:r w:rsidRPr="005975E6">
              <w:rPr>
                <w:rFonts w:cs="Calibri"/>
                <w:bCs/>
                <w:szCs w:val="28"/>
              </w:rPr>
              <w:t>Fetal Scalp Blood Sampling</w:t>
            </w:r>
            <w:bookmarkEnd w:id="16"/>
            <w:bookmarkEnd w:id="17"/>
          </w:p>
        </w:tc>
      </w:tr>
    </w:tbl>
    <w:p w14:paraId="303E2CA3" w14:textId="77777777" w:rsidR="00042C71" w:rsidRDefault="00042C71" w:rsidP="00042C71">
      <w:pPr>
        <w:contextualSpacing/>
        <w:rPr>
          <w:rFonts w:asciiTheme="minorHAnsi" w:hAnsiTheme="minorHAnsi" w:cs="Calibri"/>
          <w:i/>
          <w:iCs/>
          <w:szCs w:val="24"/>
          <w:lang w:val="en-GB" w:eastAsia="en-AU"/>
        </w:rPr>
      </w:pPr>
    </w:p>
    <w:p w14:paraId="3410CA5A" w14:textId="6A8D2C3F" w:rsidR="00042C71" w:rsidRPr="001921D0" w:rsidRDefault="001921D0" w:rsidP="001921D0">
      <w:pPr>
        <w:pBdr>
          <w:top w:val="single" w:sz="4" w:space="1" w:color="auto"/>
          <w:left w:val="single" w:sz="4" w:space="4" w:color="auto"/>
          <w:bottom w:val="single" w:sz="4" w:space="1" w:color="auto"/>
          <w:right w:val="single" w:sz="4" w:space="4" w:color="auto"/>
        </w:pBdr>
        <w:contextualSpacing/>
        <w:rPr>
          <w:rFonts w:asciiTheme="minorHAnsi" w:hAnsiTheme="minorHAnsi" w:cs="Calibri"/>
          <w:szCs w:val="24"/>
          <w:lang w:val="en-GB" w:eastAsia="en-AU"/>
        </w:rPr>
      </w:pPr>
      <w:r>
        <w:rPr>
          <w:rFonts w:asciiTheme="minorHAnsi" w:hAnsiTheme="minorHAnsi" w:cs="Calibri"/>
          <w:b/>
          <w:bCs/>
          <w:szCs w:val="24"/>
          <w:lang w:val="en-GB" w:eastAsia="en-AU"/>
        </w:rPr>
        <w:t xml:space="preserve">Note: </w:t>
      </w:r>
      <w:r w:rsidR="00042C71" w:rsidRPr="001921D0">
        <w:rPr>
          <w:rFonts w:asciiTheme="minorHAnsi" w:hAnsiTheme="minorHAnsi" w:cs="Calibri"/>
          <w:szCs w:val="24"/>
          <w:lang w:val="en-GB" w:eastAsia="en-AU"/>
        </w:rPr>
        <w:t>If FBS is performed, the result should be interpreted considering previous FBS measurements, the progress of labour and other clinical circumstances.</w:t>
      </w:r>
    </w:p>
    <w:p w14:paraId="5A0922F5" w14:textId="77777777" w:rsidR="00042C71" w:rsidRDefault="00042C71" w:rsidP="00BD3AF2">
      <w:pPr>
        <w:autoSpaceDE w:val="0"/>
        <w:autoSpaceDN w:val="0"/>
        <w:adjustRightInd w:val="0"/>
        <w:jc w:val="both"/>
        <w:rPr>
          <w:rFonts w:cs="Calibri"/>
          <w:b/>
          <w:bCs/>
          <w:color w:val="000000"/>
          <w:szCs w:val="24"/>
          <w:lang w:eastAsia="en-AU"/>
        </w:rPr>
      </w:pPr>
    </w:p>
    <w:p w14:paraId="3262BAE7" w14:textId="485D2DA0" w:rsidR="00BD3AF2" w:rsidRPr="00680EEA" w:rsidRDefault="00BD3AF2" w:rsidP="00BD3AF2">
      <w:pPr>
        <w:autoSpaceDE w:val="0"/>
        <w:autoSpaceDN w:val="0"/>
        <w:adjustRightInd w:val="0"/>
        <w:jc w:val="both"/>
        <w:rPr>
          <w:rFonts w:cs="Calibri"/>
          <w:color w:val="000000"/>
          <w:szCs w:val="24"/>
          <w:lang w:eastAsia="en-AU"/>
        </w:rPr>
      </w:pPr>
      <w:r w:rsidRPr="00680EEA">
        <w:rPr>
          <w:rFonts w:cs="Calibri"/>
          <w:b/>
          <w:bCs/>
          <w:color w:val="000000"/>
          <w:szCs w:val="24"/>
          <w:lang w:eastAsia="en-AU"/>
        </w:rPr>
        <w:t xml:space="preserve">Indications </w:t>
      </w:r>
    </w:p>
    <w:p w14:paraId="5BDA3A43" w14:textId="07132F8A" w:rsidR="00E77DF5" w:rsidRDefault="00E77DF5" w:rsidP="00BD3AF2">
      <w:pPr>
        <w:numPr>
          <w:ilvl w:val="0"/>
          <w:numId w:val="11"/>
        </w:numPr>
        <w:contextualSpacing/>
        <w:rPr>
          <w:rFonts w:asciiTheme="minorHAnsi" w:hAnsiTheme="minorHAnsi" w:cs="Calibri"/>
          <w:szCs w:val="24"/>
          <w:lang w:val="en-GB" w:eastAsia="en-AU"/>
        </w:rPr>
      </w:pPr>
      <w:r w:rsidRPr="00680EEA">
        <w:rPr>
          <w:rFonts w:asciiTheme="minorHAnsi" w:hAnsiTheme="minorHAnsi" w:cs="Calibri"/>
          <w:color w:val="000000"/>
          <w:szCs w:val="24"/>
          <w:lang w:eastAsia="en-AU"/>
        </w:rPr>
        <w:t xml:space="preserve">Suspected fetal compromise suggested by </w:t>
      </w:r>
      <w:r>
        <w:rPr>
          <w:rFonts w:asciiTheme="minorHAnsi" w:hAnsiTheme="minorHAnsi" w:cs="Calibri"/>
          <w:color w:val="000000"/>
          <w:szCs w:val="24"/>
          <w:lang w:eastAsia="en-AU"/>
        </w:rPr>
        <w:t>a non - reassuring</w:t>
      </w:r>
      <w:r w:rsidRPr="00680EEA">
        <w:rPr>
          <w:rFonts w:asciiTheme="minorHAnsi" w:hAnsiTheme="minorHAnsi" w:cs="Calibri"/>
          <w:color w:val="000000"/>
          <w:szCs w:val="24"/>
          <w:lang w:eastAsia="en-AU"/>
        </w:rPr>
        <w:t xml:space="preserve"> CTG pattern</w:t>
      </w:r>
    </w:p>
    <w:p w14:paraId="6A58337C" w14:textId="1465F586" w:rsidR="00BD3AF2" w:rsidRPr="0093026F" w:rsidRDefault="00E77DF5" w:rsidP="00BD3AF2">
      <w:pPr>
        <w:numPr>
          <w:ilvl w:val="0"/>
          <w:numId w:val="11"/>
        </w:numPr>
        <w:contextualSpacing/>
        <w:rPr>
          <w:rFonts w:asciiTheme="minorHAnsi" w:hAnsiTheme="minorHAnsi" w:cs="Calibri"/>
          <w:szCs w:val="24"/>
          <w:lang w:val="en-GB" w:eastAsia="en-AU"/>
        </w:rPr>
      </w:pPr>
      <w:r>
        <w:rPr>
          <w:rFonts w:asciiTheme="minorHAnsi" w:hAnsiTheme="minorHAnsi" w:cs="Calibri"/>
          <w:color w:val="000000"/>
          <w:szCs w:val="24"/>
          <w:lang w:eastAsia="en-AU"/>
        </w:rPr>
        <w:t>C</w:t>
      </w:r>
      <w:r w:rsidR="00BD3AF2" w:rsidRPr="00680EEA">
        <w:rPr>
          <w:rFonts w:asciiTheme="minorHAnsi" w:hAnsiTheme="minorHAnsi" w:cs="Calibri"/>
          <w:color w:val="000000"/>
          <w:szCs w:val="24"/>
          <w:lang w:eastAsia="en-AU"/>
        </w:rPr>
        <w:t>lear evidence on continuous EFM of serious, sustained fetal compromise</w:t>
      </w:r>
      <w:r w:rsidR="00A30707">
        <w:rPr>
          <w:rFonts w:asciiTheme="minorHAnsi" w:hAnsiTheme="minorHAnsi" w:cs="Calibri"/>
          <w:color w:val="000000"/>
          <w:szCs w:val="24"/>
          <w:lang w:eastAsia="en-AU"/>
        </w:rPr>
        <w:t>.</w:t>
      </w:r>
    </w:p>
    <w:p w14:paraId="57CBC6B0" w14:textId="434C9759" w:rsidR="0093026F" w:rsidRDefault="0093026F" w:rsidP="0093026F">
      <w:pPr>
        <w:contextualSpacing/>
        <w:rPr>
          <w:rFonts w:asciiTheme="minorHAnsi" w:hAnsiTheme="minorHAnsi" w:cs="Calibri"/>
          <w:color w:val="000000"/>
          <w:szCs w:val="24"/>
          <w:lang w:eastAsia="en-AU"/>
        </w:rPr>
      </w:pPr>
    </w:p>
    <w:p w14:paraId="4C4D3852" w14:textId="738637FA" w:rsidR="00BD3AF2" w:rsidRPr="00A30707" w:rsidRDefault="00A30707" w:rsidP="00A30707">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libri"/>
          <w:b/>
          <w:bCs/>
          <w:color w:val="000000"/>
          <w:szCs w:val="24"/>
          <w:lang w:eastAsia="en-AU"/>
        </w:rPr>
      </w:pPr>
      <w:r>
        <w:rPr>
          <w:rFonts w:asciiTheme="minorHAnsi" w:hAnsiTheme="minorHAnsi" w:cs="Calibri"/>
          <w:b/>
          <w:bCs/>
          <w:color w:val="000000"/>
          <w:szCs w:val="24"/>
          <w:lang w:eastAsia="en-AU"/>
        </w:rPr>
        <w:t>Note:</w:t>
      </w:r>
    </w:p>
    <w:p w14:paraId="1E9ED9D5" w14:textId="77777777" w:rsidR="00A30707" w:rsidRPr="00A30707" w:rsidRDefault="00A30707" w:rsidP="00A30707">
      <w:pPr>
        <w:pBdr>
          <w:top w:val="single" w:sz="4" w:space="1" w:color="auto"/>
          <w:left w:val="single" w:sz="4" w:space="4" w:color="auto"/>
          <w:bottom w:val="single" w:sz="4" w:space="1" w:color="auto"/>
          <w:right w:val="single" w:sz="4" w:space="4" w:color="auto"/>
        </w:pBdr>
        <w:contextualSpacing/>
        <w:rPr>
          <w:rFonts w:asciiTheme="minorHAnsi" w:hAnsiTheme="minorHAnsi" w:cs="Calibri"/>
          <w:szCs w:val="24"/>
          <w:lang w:val="en-GB" w:eastAsia="en-AU"/>
        </w:rPr>
      </w:pPr>
      <w:r w:rsidRPr="00A30707">
        <w:rPr>
          <w:rFonts w:asciiTheme="minorHAnsi" w:hAnsiTheme="minorHAnsi" w:cs="Calibri"/>
          <w:szCs w:val="24"/>
          <w:lang w:val="en-GB" w:eastAsia="en-AU"/>
        </w:rPr>
        <w:t xml:space="preserve">Delivery should be expedited if there is clear evidence of fetal compromise, either according to FHR pattern or other concerns such as placental abruption. </w:t>
      </w:r>
    </w:p>
    <w:p w14:paraId="11B3086A" w14:textId="77777777" w:rsidR="00A30707" w:rsidRPr="00680EEA" w:rsidRDefault="00A30707" w:rsidP="00BD3AF2">
      <w:pPr>
        <w:autoSpaceDE w:val="0"/>
        <w:autoSpaceDN w:val="0"/>
        <w:adjustRightInd w:val="0"/>
        <w:rPr>
          <w:rFonts w:asciiTheme="minorHAnsi" w:hAnsiTheme="minorHAnsi" w:cs="Calibri"/>
          <w:color w:val="000000"/>
          <w:szCs w:val="24"/>
          <w:lang w:eastAsia="en-AU"/>
        </w:rPr>
      </w:pPr>
    </w:p>
    <w:p w14:paraId="49768AFD" w14:textId="5C8E643D" w:rsidR="00BD3AF2" w:rsidRPr="00680EEA" w:rsidRDefault="00BD3AF2" w:rsidP="00BD3AF2">
      <w:pPr>
        <w:autoSpaceDE w:val="0"/>
        <w:autoSpaceDN w:val="0"/>
        <w:adjustRightInd w:val="0"/>
        <w:rPr>
          <w:rFonts w:asciiTheme="minorHAnsi" w:hAnsiTheme="minorHAnsi" w:cs="Calibri"/>
          <w:color w:val="000000"/>
          <w:szCs w:val="24"/>
          <w:lang w:eastAsia="en-AU"/>
        </w:rPr>
      </w:pPr>
      <w:r w:rsidRPr="00680EEA">
        <w:rPr>
          <w:rFonts w:asciiTheme="minorHAnsi" w:hAnsiTheme="minorHAnsi" w:cs="Calibri"/>
          <w:b/>
          <w:bCs/>
          <w:color w:val="000000"/>
          <w:szCs w:val="24"/>
          <w:lang w:eastAsia="en-AU"/>
        </w:rPr>
        <w:t xml:space="preserve">Contraindications </w:t>
      </w:r>
    </w:p>
    <w:p w14:paraId="2DA346DF" w14:textId="49D0528D" w:rsidR="00BD3AF2" w:rsidRPr="00680EEA" w:rsidRDefault="00A30707" w:rsidP="00BD3AF2">
      <w:pPr>
        <w:numPr>
          <w:ilvl w:val="0"/>
          <w:numId w:val="12"/>
        </w:numPr>
        <w:autoSpaceDE w:val="0"/>
        <w:autoSpaceDN w:val="0"/>
        <w:adjustRightInd w:val="0"/>
        <w:rPr>
          <w:rFonts w:asciiTheme="minorHAnsi" w:hAnsiTheme="minorHAnsi" w:cs="Calibri"/>
          <w:color w:val="000000"/>
          <w:szCs w:val="24"/>
          <w:lang w:eastAsia="en-AU"/>
        </w:rPr>
      </w:pPr>
      <w:r>
        <w:rPr>
          <w:rFonts w:asciiTheme="minorHAnsi" w:hAnsiTheme="minorHAnsi" w:cs="Calibri"/>
          <w:color w:val="000000"/>
          <w:szCs w:val="24"/>
          <w:lang w:eastAsia="en-AU"/>
        </w:rPr>
        <w:t>F</w:t>
      </w:r>
      <w:r w:rsidR="00BD3AF2" w:rsidRPr="00680EEA">
        <w:rPr>
          <w:rFonts w:asciiTheme="minorHAnsi" w:hAnsiTheme="minorHAnsi" w:cs="Calibri"/>
          <w:color w:val="000000"/>
          <w:szCs w:val="24"/>
          <w:lang w:eastAsia="en-AU"/>
        </w:rPr>
        <w:t xml:space="preserve">etal bleeding disorders </w:t>
      </w:r>
    </w:p>
    <w:p w14:paraId="6BE2A74F" w14:textId="73FFA33C" w:rsidR="00BD3AF2" w:rsidRPr="00680EEA" w:rsidRDefault="00A30707" w:rsidP="00BD3AF2">
      <w:pPr>
        <w:numPr>
          <w:ilvl w:val="0"/>
          <w:numId w:val="12"/>
        </w:numPr>
        <w:autoSpaceDE w:val="0"/>
        <w:autoSpaceDN w:val="0"/>
        <w:adjustRightInd w:val="0"/>
        <w:rPr>
          <w:rFonts w:asciiTheme="minorHAnsi" w:hAnsiTheme="minorHAnsi" w:cs="Calibri"/>
          <w:color w:val="000000"/>
          <w:szCs w:val="24"/>
          <w:lang w:eastAsia="en-AU"/>
        </w:rPr>
      </w:pPr>
      <w:r>
        <w:rPr>
          <w:rFonts w:asciiTheme="minorHAnsi" w:hAnsiTheme="minorHAnsi" w:cs="Calibri"/>
          <w:color w:val="000000"/>
          <w:szCs w:val="24"/>
          <w:lang w:eastAsia="en-AU"/>
        </w:rPr>
        <w:t>F</w:t>
      </w:r>
      <w:r w:rsidR="00BD3AF2" w:rsidRPr="00680EEA">
        <w:rPr>
          <w:rFonts w:asciiTheme="minorHAnsi" w:hAnsiTheme="minorHAnsi" w:cs="Calibri"/>
          <w:color w:val="000000"/>
          <w:szCs w:val="24"/>
          <w:lang w:eastAsia="en-AU"/>
        </w:rPr>
        <w:t xml:space="preserve">ace presentation or uncertain presenting part </w:t>
      </w:r>
    </w:p>
    <w:p w14:paraId="71397AC8" w14:textId="2216CF63" w:rsidR="00BD3AF2" w:rsidRPr="00680EEA" w:rsidRDefault="00A30707" w:rsidP="00BD3AF2">
      <w:pPr>
        <w:numPr>
          <w:ilvl w:val="0"/>
          <w:numId w:val="12"/>
        </w:numPr>
        <w:autoSpaceDE w:val="0"/>
        <w:autoSpaceDN w:val="0"/>
        <w:adjustRightInd w:val="0"/>
        <w:rPr>
          <w:rFonts w:asciiTheme="minorHAnsi" w:hAnsiTheme="minorHAnsi" w:cs="Calibri"/>
          <w:color w:val="000000"/>
          <w:szCs w:val="24"/>
          <w:lang w:eastAsia="en-AU"/>
        </w:rPr>
      </w:pPr>
      <w:r>
        <w:rPr>
          <w:rFonts w:asciiTheme="minorHAnsi" w:hAnsiTheme="minorHAnsi" w:cs="Calibri"/>
          <w:color w:val="000000"/>
          <w:szCs w:val="24"/>
          <w:lang w:eastAsia="en-AU"/>
        </w:rPr>
        <w:t>M</w:t>
      </w:r>
      <w:r w:rsidR="00BD3AF2" w:rsidRPr="00680EEA">
        <w:rPr>
          <w:rFonts w:asciiTheme="minorHAnsi" w:hAnsiTheme="minorHAnsi" w:cs="Calibri"/>
          <w:color w:val="000000"/>
          <w:szCs w:val="24"/>
          <w:lang w:eastAsia="en-AU"/>
        </w:rPr>
        <w:t>aternal infection (e</w:t>
      </w:r>
      <w:r w:rsidR="00BD3AF2">
        <w:rPr>
          <w:rFonts w:asciiTheme="minorHAnsi" w:hAnsiTheme="minorHAnsi" w:cs="Calibri"/>
          <w:color w:val="000000"/>
          <w:szCs w:val="24"/>
          <w:lang w:eastAsia="en-AU"/>
        </w:rPr>
        <w:t>.</w:t>
      </w:r>
      <w:r w:rsidR="00BD3AF2" w:rsidRPr="00680EEA">
        <w:rPr>
          <w:rFonts w:asciiTheme="minorHAnsi" w:hAnsiTheme="minorHAnsi" w:cs="Calibri"/>
          <w:color w:val="000000"/>
          <w:szCs w:val="24"/>
          <w:lang w:eastAsia="en-AU"/>
        </w:rPr>
        <w:t>g</w:t>
      </w:r>
      <w:r w:rsidR="00BD3AF2">
        <w:rPr>
          <w:rFonts w:asciiTheme="minorHAnsi" w:hAnsiTheme="minorHAnsi" w:cs="Calibri"/>
          <w:color w:val="000000"/>
          <w:szCs w:val="24"/>
          <w:lang w:eastAsia="en-AU"/>
        </w:rPr>
        <w:t>.,</w:t>
      </w:r>
      <w:r w:rsidR="00BD3AF2" w:rsidRPr="00680EEA">
        <w:rPr>
          <w:rFonts w:asciiTheme="minorHAnsi" w:hAnsiTheme="minorHAnsi" w:cs="Calibri"/>
          <w:color w:val="000000"/>
          <w:szCs w:val="24"/>
          <w:lang w:eastAsia="en-AU"/>
        </w:rPr>
        <w:t xml:space="preserve"> HIV, hepatitis</w:t>
      </w:r>
      <w:r w:rsidR="0093026F">
        <w:rPr>
          <w:rFonts w:asciiTheme="minorHAnsi" w:hAnsiTheme="minorHAnsi" w:cs="Calibri"/>
          <w:color w:val="000000"/>
          <w:szCs w:val="24"/>
          <w:lang w:eastAsia="en-AU"/>
        </w:rPr>
        <w:t xml:space="preserve"> B, hepatitis C, active primary herpes</w:t>
      </w:r>
      <w:r w:rsidR="00BD3AF2" w:rsidRPr="00680EEA">
        <w:rPr>
          <w:rFonts w:asciiTheme="minorHAnsi" w:hAnsiTheme="minorHAnsi" w:cs="Calibri"/>
          <w:color w:val="000000"/>
          <w:szCs w:val="24"/>
          <w:lang w:eastAsia="en-AU"/>
        </w:rPr>
        <w:t xml:space="preserve">) </w:t>
      </w:r>
    </w:p>
    <w:p w14:paraId="452838E0" w14:textId="185AD3C4" w:rsidR="00BD3AF2" w:rsidRPr="00680EEA" w:rsidRDefault="00A30707" w:rsidP="00BD3AF2">
      <w:pPr>
        <w:numPr>
          <w:ilvl w:val="0"/>
          <w:numId w:val="12"/>
        </w:numPr>
        <w:autoSpaceDE w:val="0"/>
        <w:autoSpaceDN w:val="0"/>
        <w:adjustRightInd w:val="0"/>
        <w:rPr>
          <w:rFonts w:asciiTheme="minorHAnsi" w:hAnsiTheme="minorHAnsi" w:cs="Calibri"/>
          <w:color w:val="000000"/>
          <w:szCs w:val="24"/>
          <w:lang w:eastAsia="en-AU"/>
        </w:rPr>
      </w:pPr>
      <w:r>
        <w:rPr>
          <w:rFonts w:asciiTheme="minorHAnsi" w:hAnsiTheme="minorHAnsi" w:cs="Calibri"/>
          <w:color w:val="000000"/>
          <w:szCs w:val="24"/>
          <w:lang w:eastAsia="en-AU"/>
        </w:rPr>
        <w:t>S</w:t>
      </w:r>
      <w:r w:rsidR="00BD3AF2" w:rsidRPr="00680EEA">
        <w:rPr>
          <w:rFonts w:asciiTheme="minorHAnsi" w:hAnsiTheme="minorHAnsi" w:cs="Calibri"/>
          <w:color w:val="000000"/>
          <w:szCs w:val="24"/>
          <w:lang w:eastAsia="en-AU"/>
        </w:rPr>
        <w:t xml:space="preserve">uspected </w:t>
      </w:r>
      <w:r w:rsidR="0093026F">
        <w:rPr>
          <w:rFonts w:asciiTheme="minorHAnsi" w:hAnsiTheme="minorHAnsi" w:cs="Calibri"/>
          <w:color w:val="000000"/>
          <w:szCs w:val="24"/>
          <w:lang w:eastAsia="en-AU"/>
        </w:rPr>
        <w:t>fetal</w:t>
      </w:r>
      <w:r w:rsidR="00BD3AF2" w:rsidRPr="00680EEA">
        <w:rPr>
          <w:rFonts w:asciiTheme="minorHAnsi" w:hAnsiTheme="minorHAnsi" w:cs="Calibri"/>
          <w:color w:val="000000"/>
          <w:szCs w:val="24"/>
          <w:lang w:eastAsia="en-AU"/>
        </w:rPr>
        <w:t xml:space="preserve"> sepsis </w:t>
      </w:r>
    </w:p>
    <w:p w14:paraId="747C16CE" w14:textId="5BE1DEAF" w:rsidR="00244B3E" w:rsidRPr="00042C71" w:rsidRDefault="00A30707" w:rsidP="006632FA">
      <w:pPr>
        <w:numPr>
          <w:ilvl w:val="0"/>
          <w:numId w:val="12"/>
        </w:numPr>
        <w:autoSpaceDE w:val="0"/>
        <w:autoSpaceDN w:val="0"/>
        <w:adjustRightInd w:val="0"/>
        <w:rPr>
          <w:rFonts w:asciiTheme="minorHAnsi" w:hAnsiTheme="minorHAnsi" w:cs="Calibri"/>
          <w:color w:val="000000"/>
          <w:szCs w:val="24"/>
          <w:lang w:eastAsia="en-AU"/>
        </w:rPr>
      </w:pPr>
      <w:r>
        <w:rPr>
          <w:rFonts w:asciiTheme="minorHAnsi" w:hAnsiTheme="minorHAnsi" w:cs="Calibri"/>
          <w:color w:val="000000"/>
          <w:szCs w:val="24"/>
          <w:lang w:eastAsia="en-AU"/>
        </w:rPr>
        <w:t>G</w:t>
      </w:r>
      <w:r w:rsidR="00BD3AF2" w:rsidRPr="00042C71">
        <w:rPr>
          <w:rFonts w:asciiTheme="minorHAnsi" w:hAnsiTheme="minorHAnsi" w:cs="Calibri"/>
          <w:color w:val="000000"/>
          <w:szCs w:val="24"/>
          <w:lang w:eastAsia="en-AU"/>
        </w:rPr>
        <w:t>estation less than 34 weeks gestation</w:t>
      </w:r>
      <w:r>
        <w:rPr>
          <w:rFonts w:asciiTheme="minorHAnsi" w:hAnsiTheme="minorHAnsi" w:cs="Calibri"/>
          <w:color w:val="000000"/>
          <w:szCs w:val="24"/>
          <w:lang w:eastAsia="en-AU"/>
        </w:rPr>
        <w:t>.</w:t>
      </w:r>
      <w:r w:rsidR="00BD3AF2" w:rsidRPr="00042C71">
        <w:rPr>
          <w:rFonts w:asciiTheme="minorHAnsi" w:hAnsiTheme="minorHAnsi" w:cs="Calibri"/>
          <w:color w:val="000000"/>
          <w:szCs w:val="24"/>
          <w:lang w:eastAsia="en-AU"/>
        </w:rPr>
        <w:t xml:space="preserve"> </w:t>
      </w:r>
    </w:p>
    <w:p w14:paraId="081D0BC8" w14:textId="77777777" w:rsidR="00042C71" w:rsidRDefault="00042C71" w:rsidP="00BD3AF2">
      <w:pPr>
        <w:autoSpaceDE w:val="0"/>
        <w:autoSpaceDN w:val="0"/>
        <w:adjustRightInd w:val="0"/>
        <w:jc w:val="both"/>
        <w:rPr>
          <w:rFonts w:asciiTheme="minorHAnsi" w:hAnsiTheme="minorHAnsi" w:cs="Calibri"/>
          <w:b/>
          <w:bCs/>
          <w:color w:val="000000"/>
          <w:szCs w:val="24"/>
          <w:lang w:eastAsia="en-AU"/>
        </w:rPr>
      </w:pPr>
    </w:p>
    <w:p w14:paraId="0481CB21" w14:textId="326FDA78" w:rsidR="00BD3AF2" w:rsidRPr="00680EEA" w:rsidRDefault="00BD3AF2" w:rsidP="00BD3AF2">
      <w:pPr>
        <w:autoSpaceDE w:val="0"/>
        <w:autoSpaceDN w:val="0"/>
        <w:adjustRightInd w:val="0"/>
        <w:jc w:val="both"/>
        <w:rPr>
          <w:rFonts w:asciiTheme="minorHAnsi" w:hAnsiTheme="minorHAnsi" w:cs="Calibri"/>
          <w:color w:val="000000"/>
          <w:szCs w:val="24"/>
          <w:lang w:eastAsia="en-AU"/>
        </w:rPr>
      </w:pPr>
      <w:r w:rsidRPr="00680EEA">
        <w:rPr>
          <w:rFonts w:asciiTheme="minorHAnsi" w:hAnsiTheme="minorHAnsi" w:cs="Calibri"/>
          <w:b/>
          <w:bCs/>
          <w:color w:val="000000"/>
          <w:szCs w:val="24"/>
          <w:lang w:eastAsia="en-AU"/>
        </w:rPr>
        <w:t xml:space="preserve">Relative contraindications </w:t>
      </w:r>
      <w:r w:rsidRPr="00680EEA">
        <w:rPr>
          <w:rFonts w:asciiTheme="minorHAnsi" w:hAnsiTheme="minorHAnsi" w:cs="Calibri"/>
          <w:color w:val="000000"/>
          <w:szCs w:val="24"/>
          <w:lang w:eastAsia="en-AU"/>
        </w:rPr>
        <w:t xml:space="preserve">(discuss with Consultant Obstetrician) </w:t>
      </w:r>
    </w:p>
    <w:p w14:paraId="025A57F5" w14:textId="77777777" w:rsidR="00BD3AF2" w:rsidRPr="00680EEA" w:rsidRDefault="00BD3AF2" w:rsidP="00BD3AF2">
      <w:pPr>
        <w:numPr>
          <w:ilvl w:val="0"/>
          <w:numId w:val="13"/>
        </w:numPr>
        <w:autoSpaceDE w:val="0"/>
        <w:autoSpaceDN w:val="0"/>
        <w:adjustRightInd w:val="0"/>
        <w:rPr>
          <w:rFonts w:asciiTheme="minorHAnsi" w:hAnsiTheme="minorHAnsi" w:cs="Calibri"/>
          <w:color w:val="000000"/>
          <w:szCs w:val="24"/>
          <w:lang w:eastAsia="en-AU"/>
        </w:rPr>
      </w:pPr>
      <w:r w:rsidRPr="00680EEA">
        <w:rPr>
          <w:rFonts w:asciiTheme="minorHAnsi" w:hAnsiTheme="minorHAnsi" w:cs="Calibri"/>
          <w:color w:val="000000"/>
          <w:szCs w:val="24"/>
          <w:lang w:eastAsia="en-AU"/>
        </w:rPr>
        <w:t xml:space="preserve">Gestation range 34 weeks to 36 weeks and 6 days </w:t>
      </w:r>
    </w:p>
    <w:p w14:paraId="42D33592" w14:textId="0B7D74EE" w:rsidR="00BD3AF2" w:rsidRPr="00042C71" w:rsidRDefault="00BD3AF2" w:rsidP="008D4C0E">
      <w:pPr>
        <w:numPr>
          <w:ilvl w:val="0"/>
          <w:numId w:val="13"/>
        </w:numPr>
        <w:autoSpaceDE w:val="0"/>
        <w:autoSpaceDN w:val="0"/>
        <w:adjustRightInd w:val="0"/>
        <w:rPr>
          <w:rFonts w:asciiTheme="minorHAnsi" w:hAnsiTheme="minorHAnsi" w:cs="Calibri"/>
          <w:color w:val="000000"/>
          <w:szCs w:val="24"/>
          <w:lang w:eastAsia="en-AU"/>
        </w:rPr>
      </w:pPr>
      <w:r w:rsidRPr="00042C71">
        <w:rPr>
          <w:rFonts w:asciiTheme="minorHAnsi" w:hAnsiTheme="minorHAnsi" w:cs="Calibri"/>
          <w:color w:val="000000"/>
          <w:szCs w:val="24"/>
          <w:lang w:eastAsia="en-AU"/>
        </w:rPr>
        <w:t>Maternal pyrexia above 38</w:t>
      </w:r>
      <w:r w:rsidRPr="00042C71">
        <w:rPr>
          <w:rFonts w:asciiTheme="minorHAnsi" w:hAnsiTheme="minorHAnsi"/>
          <w:color w:val="000000"/>
          <w:szCs w:val="24"/>
          <w:lang w:eastAsia="en-AU"/>
        </w:rPr>
        <w:t>◦</w:t>
      </w:r>
      <w:r w:rsidRPr="00042C71">
        <w:rPr>
          <w:rFonts w:asciiTheme="minorHAnsi" w:hAnsiTheme="minorHAnsi" w:cs="Calibri"/>
          <w:color w:val="000000"/>
          <w:szCs w:val="24"/>
          <w:lang w:eastAsia="en-AU"/>
        </w:rPr>
        <w:t>C</w:t>
      </w:r>
      <w:r w:rsidR="00A30707">
        <w:rPr>
          <w:rFonts w:asciiTheme="minorHAnsi" w:hAnsiTheme="minorHAnsi" w:cs="Calibri"/>
          <w:color w:val="000000"/>
          <w:szCs w:val="24"/>
          <w:lang w:eastAsia="en-AU"/>
        </w:rPr>
        <w:t>.</w:t>
      </w:r>
    </w:p>
    <w:p w14:paraId="7437E49D" w14:textId="77777777" w:rsidR="00042C71" w:rsidRDefault="00042C71" w:rsidP="00BD3AF2">
      <w:pPr>
        <w:autoSpaceDE w:val="0"/>
        <w:autoSpaceDN w:val="0"/>
        <w:adjustRightInd w:val="0"/>
        <w:rPr>
          <w:rFonts w:asciiTheme="minorHAnsi" w:hAnsiTheme="minorHAnsi" w:cs="Calibri"/>
          <w:b/>
          <w:color w:val="000000"/>
          <w:szCs w:val="24"/>
          <w:lang w:eastAsia="en-AU"/>
        </w:rPr>
      </w:pPr>
    </w:p>
    <w:p w14:paraId="3BBAEF11" w14:textId="40544487" w:rsidR="00BD3AF2" w:rsidRPr="00680EEA" w:rsidRDefault="00BD3AF2" w:rsidP="00BD3AF2">
      <w:pPr>
        <w:autoSpaceDE w:val="0"/>
        <w:autoSpaceDN w:val="0"/>
        <w:adjustRightInd w:val="0"/>
        <w:rPr>
          <w:rFonts w:asciiTheme="minorHAnsi" w:hAnsiTheme="minorHAnsi" w:cs="Calibri"/>
          <w:b/>
          <w:color w:val="000000"/>
          <w:szCs w:val="24"/>
          <w:lang w:eastAsia="en-AU"/>
        </w:rPr>
      </w:pPr>
      <w:r w:rsidRPr="00680EEA">
        <w:rPr>
          <w:rFonts w:asciiTheme="minorHAnsi" w:hAnsiTheme="minorHAnsi" w:cs="Calibri"/>
          <w:b/>
          <w:color w:val="000000"/>
          <w:szCs w:val="24"/>
          <w:lang w:eastAsia="en-AU"/>
        </w:rPr>
        <w:t>Method</w:t>
      </w:r>
    </w:p>
    <w:p w14:paraId="0D722E87" w14:textId="299AA540" w:rsidR="00BD3AF2" w:rsidRPr="00680EEA" w:rsidRDefault="00BD3AF2" w:rsidP="00BD3AF2">
      <w:pPr>
        <w:numPr>
          <w:ilvl w:val="0"/>
          <w:numId w:val="14"/>
        </w:numPr>
        <w:autoSpaceDE w:val="0"/>
        <w:autoSpaceDN w:val="0"/>
        <w:adjustRightInd w:val="0"/>
        <w:rPr>
          <w:rFonts w:asciiTheme="minorHAnsi" w:hAnsiTheme="minorHAnsi" w:cs="Calibri"/>
          <w:color w:val="000000"/>
          <w:szCs w:val="24"/>
          <w:lang w:eastAsia="en-AU"/>
        </w:rPr>
      </w:pPr>
      <w:r>
        <w:rPr>
          <w:rFonts w:asciiTheme="minorHAnsi" w:hAnsiTheme="minorHAnsi" w:cs="Calibri"/>
          <w:color w:val="000000"/>
          <w:szCs w:val="24"/>
          <w:lang w:eastAsia="en-AU"/>
        </w:rPr>
        <w:t>The Obstetric medical officer will e</w:t>
      </w:r>
      <w:r w:rsidRPr="00680EEA">
        <w:rPr>
          <w:rFonts w:asciiTheme="minorHAnsi" w:hAnsiTheme="minorHAnsi" w:cs="Calibri"/>
          <w:color w:val="000000"/>
          <w:szCs w:val="24"/>
          <w:lang w:eastAsia="en-AU"/>
        </w:rPr>
        <w:t xml:space="preserve">xplain the procedure to the woman and obtain verbal consent </w:t>
      </w:r>
      <w:r w:rsidR="00562A42">
        <w:rPr>
          <w:rFonts w:asciiTheme="minorHAnsi" w:hAnsiTheme="minorHAnsi" w:cs="Calibri"/>
          <w:color w:val="000000"/>
          <w:szCs w:val="24"/>
          <w:lang w:eastAsia="en-AU"/>
        </w:rPr>
        <w:t xml:space="preserve">after </w:t>
      </w:r>
      <w:r w:rsidRPr="00680EEA">
        <w:rPr>
          <w:rFonts w:asciiTheme="minorHAnsi" w:hAnsiTheme="minorHAnsi" w:cs="Calibri"/>
          <w:color w:val="000000"/>
          <w:szCs w:val="24"/>
          <w:lang w:eastAsia="en-AU"/>
        </w:rPr>
        <w:t xml:space="preserve">explaining </w:t>
      </w:r>
      <w:r w:rsidR="00562A42">
        <w:rPr>
          <w:rFonts w:asciiTheme="minorHAnsi" w:hAnsiTheme="minorHAnsi" w:cs="Calibri"/>
          <w:color w:val="000000"/>
          <w:szCs w:val="24"/>
          <w:lang w:eastAsia="en-AU"/>
        </w:rPr>
        <w:t xml:space="preserve">the </w:t>
      </w:r>
      <w:r w:rsidRPr="00680EEA">
        <w:rPr>
          <w:rFonts w:asciiTheme="minorHAnsi" w:hAnsiTheme="minorHAnsi" w:cs="Calibri"/>
          <w:color w:val="000000"/>
          <w:szCs w:val="24"/>
          <w:lang w:eastAsia="en-AU"/>
        </w:rPr>
        <w:t>reason and risks/complications of the FBS. This procedure may be uncomfortable and intrusive for the woman</w:t>
      </w:r>
    </w:p>
    <w:p w14:paraId="706FB23A" w14:textId="243A300A" w:rsidR="00BD3AF2" w:rsidRPr="00680EEA" w:rsidRDefault="00BD3AF2" w:rsidP="00BD3AF2">
      <w:pPr>
        <w:numPr>
          <w:ilvl w:val="0"/>
          <w:numId w:val="14"/>
        </w:numPr>
        <w:autoSpaceDE w:val="0"/>
        <w:autoSpaceDN w:val="0"/>
        <w:adjustRightInd w:val="0"/>
        <w:rPr>
          <w:rFonts w:asciiTheme="minorHAnsi" w:hAnsiTheme="minorHAnsi" w:cs="Calibri"/>
          <w:color w:val="000000"/>
          <w:szCs w:val="24"/>
          <w:lang w:eastAsia="en-AU"/>
        </w:rPr>
      </w:pPr>
      <w:r w:rsidRPr="00680EEA">
        <w:rPr>
          <w:rFonts w:asciiTheme="minorHAnsi" w:hAnsiTheme="minorHAnsi" w:cs="Calibri"/>
          <w:color w:val="000000"/>
          <w:szCs w:val="24"/>
          <w:lang w:eastAsia="en-AU"/>
        </w:rPr>
        <w:t xml:space="preserve">Ensure that the Lactate machine is available, calibrated and functioning </w:t>
      </w:r>
    </w:p>
    <w:p w14:paraId="08155C53" w14:textId="6751B5D7" w:rsidR="00BD3AF2" w:rsidRPr="00680EEA" w:rsidRDefault="00BD3AF2" w:rsidP="00BD3AF2">
      <w:pPr>
        <w:numPr>
          <w:ilvl w:val="0"/>
          <w:numId w:val="14"/>
        </w:numPr>
        <w:autoSpaceDE w:val="0"/>
        <w:autoSpaceDN w:val="0"/>
        <w:adjustRightInd w:val="0"/>
        <w:rPr>
          <w:rFonts w:asciiTheme="minorHAnsi" w:hAnsiTheme="minorHAnsi" w:cs="Calibri"/>
          <w:color w:val="000000"/>
          <w:szCs w:val="24"/>
          <w:lang w:eastAsia="en-AU"/>
        </w:rPr>
      </w:pPr>
      <w:r w:rsidRPr="00680EEA">
        <w:rPr>
          <w:rFonts w:asciiTheme="minorHAnsi" w:hAnsiTheme="minorHAnsi" w:cs="Calibri"/>
          <w:color w:val="000000"/>
          <w:szCs w:val="24"/>
          <w:lang w:eastAsia="en-AU"/>
        </w:rPr>
        <w:t xml:space="preserve">The membranes must be ruptured and the cervix at least 3 cm dilated for the procedure to be attempted </w:t>
      </w:r>
    </w:p>
    <w:p w14:paraId="36839C5E" w14:textId="77777777" w:rsidR="00BD3AF2" w:rsidRPr="00680EEA" w:rsidRDefault="00BD3AF2" w:rsidP="00BD3AF2">
      <w:pPr>
        <w:numPr>
          <w:ilvl w:val="0"/>
          <w:numId w:val="14"/>
        </w:numPr>
        <w:autoSpaceDE w:val="0"/>
        <w:autoSpaceDN w:val="0"/>
        <w:adjustRightInd w:val="0"/>
        <w:rPr>
          <w:rFonts w:asciiTheme="minorHAnsi" w:hAnsiTheme="minorHAnsi" w:cs="Calibri"/>
          <w:color w:val="000000"/>
          <w:szCs w:val="24"/>
          <w:lang w:eastAsia="en-AU"/>
        </w:rPr>
      </w:pPr>
      <w:r w:rsidRPr="00680EEA">
        <w:rPr>
          <w:rFonts w:asciiTheme="minorHAnsi" w:hAnsiTheme="minorHAnsi" w:cs="Calibri"/>
          <w:color w:val="000000"/>
          <w:szCs w:val="24"/>
          <w:lang w:eastAsia="en-AU"/>
        </w:rPr>
        <w:t xml:space="preserve">Other physical considerations include the amount of effacement, station, application of the vertex to the cervix, volume of amniotic fluid and amount of baby hair </w:t>
      </w:r>
    </w:p>
    <w:p w14:paraId="72128F2C" w14:textId="77777777" w:rsidR="00BD3AF2" w:rsidRPr="00680EEA" w:rsidRDefault="00BD3AF2" w:rsidP="00BD3AF2">
      <w:pPr>
        <w:numPr>
          <w:ilvl w:val="0"/>
          <w:numId w:val="14"/>
        </w:numPr>
        <w:autoSpaceDE w:val="0"/>
        <w:autoSpaceDN w:val="0"/>
        <w:adjustRightInd w:val="0"/>
        <w:rPr>
          <w:rFonts w:asciiTheme="minorHAnsi" w:hAnsiTheme="minorHAnsi" w:cs="Calibri"/>
          <w:color w:val="000000"/>
          <w:szCs w:val="24"/>
          <w:lang w:eastAsia="en-AU"/>
        </w:rPr>
      </w:pPr>
      <w:r w:rsidRPr="00680EEA">
        <w:rPr>
          <w:rFonts w:asciiTheme="minorHAnsi" w:hAnsiTheme="minorHAnsi" w:cs="Calibri"/>
          <w:color w:val="000000"/>
          <w:szCs w:val="24"/>
          <w:lang w:eastAsia="en-AU"/>
        </w:rPr>
        <w:t xml:space="preserve">Assemble the FBS kit on the trolley </w:t>
      </w:r>
    </w:p>
    <w:p w14:paraId="4D0B80B2" w14:textId="44B9DA83" w:rsidR="00BD3AF2" w:rsidRPr="00680EEA" w:rsidRDefault="00BD3AF2" w:rsidP="00BD3AF2">
      <w:pPr>
        <w:numPr>
          <w:ilvl w:val="0"/>
          <w:numId w:val="14"/>
        </w:numPr>
        <w:autoSpaceDE w:val="0"/>
        <w:autoSpaceDN w:val="0"/>
        <w:adjustRightInd w:val="0"/>
        <w:rPr>
          <w:rFonts w:asciiTheme="minorHAnsi" w:hAnsiTheme="minorHAnsi" w:cs="Calibri"/>
          <w:color w:val="000000"/>
          <w:szCs w:val="24"/>
          <w:lang w:eastAsia="en-AU"/>
        </w:rPr>
      </w:pPr>
      <w:r w:rsidRPr="00680EEA">
        <w:rPr>
          <w:rFonts w:asciiTheme="minorHAnsi" w:hAnsiTheme="minorHAnsi" w:cs="Calibri"/>
          <w:color w:val="000000"/>
          <w:szCs w:val="24"/>
          <w:lang w:eastAsia="en-AU"/>
        </w:rPr>
        <w:t xml:space="preserve">Place the woman in the left-lateral position or in lithotomy with a wedge under the right hip to reduce the risk of supine hypotension </w:t>
      </w:r>
    </w:p>
    <w:p w14:paraId="4D55144A" w14:textId="77777777" w:rsidR="00BD3AF2" w:rsidRPr="00680EEA" w:rsidRDefault="00BD3AF2" w:rsidP="00BD3AF2">
      <w:pPr>
        <w:numPr>
          <w:ilvl w:val="0"/>
          <w:numId w:val="14"/>
        </w:numPr>
        <w:autoSpaceDE w:val="0"/>
        <w:autoSpaceDN w:val="0"/>
        <w:adjustRightInd w:val="0"/>
        <w:rPr>
          <w:rFonts w:asciiTheme="minorHAnsi" w:hAnsiTheme="minorHAnsi" w:cs="Calibri"/>
          <w:color w:val="000000"/>
          <w:szCs w:val="24"/>
          <w:lang w:eastAsia="en-AU"/>
        </w:rPr>
      </w:pPr>
      <w:r w:rsidRPr="00680EEA">
        <w:rPr>
          <w:rFonts w:asciiTheme="minorHAnsi" w:hAnsiTheme="minorHAnsi" w:cs="Calibri"/>
          <w:color w:val="000000"/>
          <w:szCs w:val="24"/>
          <w:lang w:eastAsia="en-AU"/>
        </w:rPr>
        <w:t>Continuously monitor the fetal heart rate throughout the procedure</w:t>
      </w:r>
    </w:p>
    <w:p w14:paraId="53F83CBD" w14:textId="77777777" w:rsidR="00BD3AF2" w:rsidRPr="00680EEA" w:rsidRDefault="00BD3AF2" w:rsidP="00BD3AF2">
      <w:pPr>
        <w:numPr>
          <w:ilvl w:val="0"/>
          <w:numId w:val="14"/>
        </w:numPr>
        <w:autoSpaceDE w:val="0"/>
        <w:autoSpaceDN w:val="0"/>
        <w:adjustRightInd w:val="0"/>
        <w:rPr>
          <w:rFonts w:asciiTheme="minorHAnsi" w:hAnsiTheme="minorHAnsi" w:cs="Calibri"/>
          <w:color w:val="000000"/>
          <w:szCs w:val="24"/>
          <w:lang w:eastAsia="en-AU"/>
        </w:rPr>
      </w:pPr>
      <w:r w:rsidRPr="00680EEA">
        <w:rPr>
          <w:rFonts w:asciiTheme="minorHAnsi" w:hAnsiTheme="minorHAnsi" w:cs="Calibri"/>
          <w:color w:val="000000"/>
          <w:szCs w:val="24"/>
          <w:lang w:eastAsia="en-AU"/>
        </w:rPr>
        <w:t>Use aseptic technique and universal precautions for FBS</w:t>
      </w:r>
    </w:p>
    <w:p w14:paraId="753F010A" w14:textId="2900B287" w:rsidR="00BD3AF2" w:rsidRPr="00680EEA" w:rsidRDefault="00BD3AF2" w:rsidP="00BD3AF2">
      <w:pPr>
        <w:numPr>
          <w:ilvl w:val="0"/>
          <w:numId w:val="14"/>
        </w:numPr>
        <w:autoSpaceDE w:val="0"/>
        <w:autoSpaceDN w:val="0"/>
        <w:adjustRightInd w:val="0"/>
        <w:rPr>
          <w:rFonts w:asciiTheme="minorHAnsi" w:hAnsiTheme="minorHAnsi" w:cs="Calibri"/>
          <w:color w:val="000000"/>
          <w:szCs w:val="24"/>
          <w:lang w:eastAsia="en-AU"/>
        </w:rPr>
      </w:pPr>
      <w:r w:rsidRPr="00680EEA">
        <w:rPr>
          <w:rFonts w:asciiTheme="minorHAnsi" w:hAnsiTheme="minorHAnsi" w:cs="Calibri"/>
          <w:color w:val="000000"/>
          <w:szCs w:val="24"/>
          <w:lang w:eastAsia="en-AU"/>
        </w:rPr>
        <w:t xml:space="preserve">Sampling is performed under direct vision via an amnioscope to avoid contamination with amniotic fluid </w:t>
      </w:r>
    </w:p>
    <w:p w14:paraId="0D17C96F" w14:textId="5BD133E4" w:rsidR="00BD3AF2" w:rsidRPr="00680EEA" w:rsidRDefault="00BD3AF2" w:rsidP="00BD3AF2">
      <w:pPr>
        <w:numPr>
          <w:ilvl w:val="0"/>
          <w:numId w:val="14"/>
        </w:numPr>
        <w:autoSpaceDE w:val="0"/>
        <w:autoSpaceDN w:val="0"/>
        <w:adjustRightInd w:val="0"/>
        <w:rPr>
          <w:rFonts w:asciiTheme="minorHAnsi" w:hAnsiTheme="minorHAnsi" w:cs="Calibri"/>
          <w:color w:val="000000"/>
          <w:szCs w:val="24"/>
          <w:lang w:eastAsia="en-AU"/>
        </w:rPr>
      </w:pPr>
      <w:r w:rsidRPr="00680EEA">
        <w:rPr>
          <w:rFonts w:asciiTheme="minorHAnsi" w:hAnsiTheme="minorHAnsi" w:cs="Calibri"/>
          <w:color w:val="000000"/>
          <w:szCs w:val="24"/>
          <w:lang w:eastAsia="en-AU"/>
        </w:rPr>
        <w:t xml:space="preserve">The incision site is carefully </w:t>
      </w:r>
      <w:r w:rsidR="0045491F" w:rsidRPr="00680EEA">
        <w:rPr>
          <w:rFonts w:asciiTheme="minorHAnsi" w:hAnsiTheme="minorHAnsi" w:cs="Calibri"/>
          <w:color w:val="000000"/>
          <w:szCs w:val="24"/>
          <w:lang w:eastAsia="en-AU"/>
        </w:rPr>
        <w:t>cleaned,</w:t>
      </w:r>
      <w:r w:rsidRPr="00680EEA">
        <w:rPr>
          <w:rFonts w:asciiTheme="minorHAnsi" w:hAnsiTheme="minorHAnsi" w:cs="Calibri"/>
          <w:color w:val="000000"/>
          <w:szCs w:val="24"/>
          <w:lang w:eastAsia="en-AU"/>
        </w:rPr>
        <w:t xml:space="preserve"> and a thin layer of paraffin jelly is applied. </w:t>
      </w:r>
    </w:p>
    <w:p w14:paraId="649750E8" w14:textId="1ACD9DD7" w:rsidR="00BD3AF2" w:rsidRPr="00680EEA" w:rsidRDefault="00BD3AF2" w:rsidP="00BD3AF2">
      <w:pPr>
        <w:numPr>
          <w:ilvl w:val="0"/>
          <w:numId w:val="14"/>
        </w:numPr>
        <w:autoSpaceDE w:val="0"/>
        <w:autoSpaceDN w:val="0"/>
        <w:adjustRightInd w:val="0"/>
        <w:rPr>
          <w:rFonts w:asciiTheme="minorHAnsi" w:hAnsiTheme="minorHAnsi" w:cs="Calibri"/>
          <w:color w:val="000000"/>
          <w:szCs w:val="24"/>
          <w:lang w:eastAsia="en-AU"/>
        </w:rPr>
      </w:pPr>
      <w:r w:rsidRPr="00680EEA">
        <w:rPr>
          <w:rFonts w:asciiTheme="minorHAnsi" w:hAnsiTheme="minorHAnsi" w:cs="Calibri"/>
          <w:color w:val="000000"/>
          <w:szCs w:val="24"/>
          <w:lang w:eastAsia="en-AU"/>
        </w:rPr>
        <w:t xml:space="preserve">The baby’s fontanelles should be avoided </w:t>
      </w:r>
    </w:p>
    <w:p w14:paraId="1C07CD38" w14:textId="5D2D0ECE" w:rsidR="00BD3AF2" w:rsidRPr="00680EEA" w:rsidRDefault="00BD3AF2" w:rsidP="00BD3AF2">
      <w:pPr>
        <w:numPr>
          <w:ilvl w:val="0"/>
          <w:numId w:val="14"/>
        </w:numPr>
        <w:autoSpaceDE w:val="0"/>
        <w:autoSpaceDN w:val="0"/>
        <w:adjustRightInd w:val="0"/>
        <w:rPr>
          <w:rFonts w:asciiTheme="minorHAnsi" w:hAnsiTheme="minorHAnsi" w:cs="Calibri"/>
          <w:color w:val="000000"/>
          <w:szCs w:val="24"/>
          <w:lang w:eastAsia="en-AU"/>
        </w:rPr>
      </w:pPr>
      <w:r w:rsidRPr="00680EEA">
        <w:rPr>
          <w:rFonts w:asciiTheme="minorHAnsi" w:hAnsiTheme="minorHAnsi" w:cs="Calibri"/>
          <w:color w:val="000000"/>
          <w:szCs w:val="24"/>
          <w:lang w:eastAsia="en-AU"/>
        </w:rPr>
        <w:t xml:space="preserve">Disposable blades fixed in a plastic mount are used in a blade holder from which the blade does not protrude more than 2mm </w:t>
      </w:r>
    </w:p>
    <w:p w14:paraId="72589743" w14:textId="77777777" w:rsidR="00BD3AF2" w:rsidRPr="00680EEA" w:rsidRDefault="00BD3AF2" w:rsidP="00BD3AF2">
      <w:pPr>
        <w:numPr>
          <w:ilvl w:val="0"/>
          <w:numId w:val="14"/>
        </w:numPr>
        <w:autoSpaceDE w:val="0"/>
        <w:autoSpaceDN w:val="0"/>
        <w:adjustRightInd w:val="0"/>
        <w:rPr>
          <w:rFonts w:cs="Calibri"/>
          <w:color w:val="000000"/>
          <w:szCs w:val="24"/>
          <w:lang w:eastAsia="en-AU"/>
        </w:rPr>
      </w:pPr>
      <w:r w:rsidRPr="00680EEA">
        <w:rPr>
          <w:rFonts w:cs="Calibri"/>
          <w:color w:val="000000"/>
          <w:szCs w:val="24"/>
          <w:lang w:eastAsia="en-AU"/>
        </w:rPr>
        <w:t xml:space="preserve">A 2mm fetal scalp incision is made with steady pressure of the blade. </w:t>
      </w:r>
    </w:p>
    <w:p w14:paraId="4BAFCED7" w14:textId="249DDC8A" w:rsidR="00BD3AF2" w:rsidRPr="00680EEA" w:rsidRDefault="00BD3AF2" w:rsidP="00BD3AF2">
      <w:pPr>
        <w:numPr>
          <w:ilvl w:val="0"/>
          <w:numId w:val="14"/>
        </w:numPr>
        <w:autoSpaceDE w:val="0"/>
        <w:autoSpaceDN w:val="0"/>
        <w:adjustRightInd w:val="0"/>
        <w:rPr>
          <w:rFonts w:cs="Calibri"/>
          <w:color w:val="000000"/>
          <w:szCs w:val="24"/>
          <w:lang w:eastAsia="en-AU"/>
        </w:rPr>
      </w:pPr>
      <w:r w:rsidRPr="00680EEA">
        <w:rPr>
          <w:rFonts w:cs="Calibri"/>
          <w:color w:val="000000"/>
          <w:szCs w:val="24"/>
          <w:lang w:eastAsia="en-AU"/>
        </w:rPr>
        <w:t xml:space="preserve">The blood is collected in provided capillary tubes </w:t>
      </w:r>
    </w:p>
    <w:p w14:paraId="329EDE5B" w14:textId="66FB895A" w:rsidR="00BD3AF2" w:rsidRPr="00680EEA" w:rsidRDefault="00BD3AF2" w:rsidP="00BD3AF2">
      <w:pPr>
        <w:numPr>
          <w:ilvl w:val="0"/>
          <w:numId w:val="14"/>
        </w:numPr>
        <w:autoSpaceDE w:val="0"/>
        <w:autoSpaceDN w:val="0"/>
        <w:adjustRightInd w:val="0"/>
        <w:rPr>
          <w:rFonts w:cs="Calibri"/>
          <w:color w:val="000000"/>
          <w:szCs w:val="24"/>
          <w:lang w:eastAsia="en-AU"/>
        </w:rPr>
      </w:pPr>
      <w:r w:rsidRPr="00680EEA">
        <w:rPr>
          <w:rFonts w:cs="Calibri"/>
          <w:color w:val="000000"/>
          <w:szCs w:val="24"/>
          <w:lang w:val="en-GB" w:eastAsia="en-AU"/>
        </w:rPr>
        <w:t>As the fetal blood appears, insert the capillary tube to touch the drop of blood and</w:t>
      </w:r>
      <w:r w:rsidR="00562A42">
        <w:rPr>
          <w:rFonts w:cs="Calibri"/>
          <w:color w:val="000000"/>
          <w:szCs w:val="24"/>
          <w:lang w:val="en-GB" w:eastAsia="en-AU"/>
        </w:rPr>
        <w:t>,</w:t>
      </w:r>
      <w:r w:rsidRPr="00680EEA">
        <w:rPr>
          <w:rFonts w:cs="Calibri"/>
          <w:color w:val="000000"/>
          <w:szCs w:val="24"/>
          <w:lang w:val="en-GB" w:eastAsia="en-AU"/>
        </w:rPr>
        <w:t xml:space="preserve"> keeping the tube angled downward, the blood is allowed to flow by gravity</w:t>
      </w:r>
    </w:p>
    <w:p w14:paraId="0A2F61E1" w14:textId="77777777" w:rsidR="00BD3AF2" w:rsidRPr="00680EEA" w:rsidRDefault="00BD3AF2" w:rsidP="00BD3AF2">
      <w:pPr>
        <w:numPr>
          <w:ilvl w:val="0"/>
          <w:numId w:val="15"/>
        </w:numPr>
        <w:contextualSpacing/>
        <w:rPr>
          <w:rFonts w:cs="Calibri"/>
          <w:szCs w:val="24"/>
          <w:lang w:eastAsia="en-AU"/>
        </w:rPr>
      </w:pPr>
      <w:r w:rsidRPr="00680EEA">
        <w:rPr>
          <w:rFonts w:cs="Calibri"/>
          <w:b/>
          <w:bCs/>
          <w:szCs w:val="24"/>
          <w:lang w:val="en-GB" w:eastAsia="en-AU"/>
        </w:rPr>
        <w:t>FBS for lactate:</w:t>
      </w:r>
      <w:r w:rsidRPr="00680EEA">
        <w:rPr>
          <w:rFonts w:cs="Calibri"/>
          <w:szCs w:val="24"/>
          <w:lang w:val="en-GB" w:eastAsia="en-AU"/>
        </w:rPr>
        <w:t xml:space="preserve">  A minimum of 5 microlitres of blood is required (without air bubbles or liquor)</w:t>
      </w:r>
    </w:p>
    <w:p w14:paraId="56CAB95F" w14:textId="621DBD0C" w:rsidR="00BD3AF2" w:rsidRPr="00680EEA" w:rsidRDefault="00BD3AF2" w:rsidP="00BD3AF2">
      <w:pPr>
        <w:numPr>
          <w:ilvl w:val="0"/>
          <w:numId w:val="14"/>
        </w:numPr>
        <w:autoSpaceDE w:val="0"/>
        <w:autoSpaceDN w:val="0"/>
        <w:adjustRightInd w:val="0"/>
        <w:rPr>
          <w:rFonts w:cs="Calibri"/>
          <w:color w:val="000000"/>
          <w:szCs w:val="24"/>
          <w:lang w:eastAsia="en-AU"/>
        </w:rPr>
      </w:pPr>
      <w:r w:rsidRPr="00680EEA">
        <w:rPr>
          <w:rFonts w:cs="Calibri"/>
          <w:color w:val="000000"/>
          <w:szCs w:val="24"/>
          <w:lang w:eastAsia="en-AU"/>
        </w:rPr>
        <w:t xml:space="preserve">Pressure is applied to the incision site with a dry swab until the bleeding stops </w:t>
      </w:r>
    </w:p>
    <w:p w14:paraId="3A365A0A" w14:textId="5AD1390E" w:rsidR="00BD3AF2" w:rsidRPr="00680EEA" w:rsidRDefault="00BD3AF2" w:rsidP="00BD3AF2">
      <w:pPr>
        <w:numPr>
          <w:ilvl w:val="0"/>
          <w:numId w:val="14"/>
        </w:numPr>
        <w:autoSpaceDE w:val="0"/>
        <w:autoSpaceDN w:val="0"/>
        <w:adjustRightInd w:val="0"/>
        <w:rPr>
          <w:rFonts w:cs="Calibri"/>
          <w:color w:val="000000"/>
          <w:szCs w:val="24"/>
          <w:lang w:eastAsia="en-AU"/>
        </w:rPr>
      </w:pPr>
      <w:r w:rsidRPr="00680EEA">
        <w:rPr>
          <w:rFonts w:cs="Calibri"/>
          <w:color w:val="000000"/>
          <w:szCs w:val="24"/>
          <w:lang w:eastAsia="en-AU"/>
        </w:rPr>
        <w:t xml:space="preserve">Discard the blade in the </w:t>
      </w:r>
      <w:proofErr w:type="gramStart"/>
      <w:r w:rsidR="0045491F" w:rsidRPr="00680EEA">
        <w:rPr>
          <w:rFonts w:cs="Calibri"/>
          <w:color w:val="000000"/>
          <w:szCs w:val="24"/>
          <w:lang w:eastAsia="en-AU"/>
        </w:rPr>
        <w:t>sharps</w:t>
      </w:r>
      <w:proofErr w:type="gramEnd"/>
      <w:r w:rsidRPr="00680EEA">
        <w:rPr>
          <w:rFonts w:cs="Calibri"/>
          <w:color w:val="000000"/>
          <w:szCs w:val="24"/>
          <w:lang w:eastAsia="en-AU"/>
        </w:rPr>
        <w:t xml:space="preserve"> container </w:t>
      </w:r>
    </w:p>
    <w:p w14:paraId="5BC66E40" w14:textId="77777777" w:rsidR="00A30707" w:rsidRDefault="00BD3AF2" w:rsidP="00BD3AF2">
      <w:pPr>
        <w:numPr>
          <w:ilvl w:val="0"/>
          <w:numId w:val="14"/>
        </w:numPr>
        <w:autoSpaceDE w:val="0"/>
        <w:autoSpaceDN w:val="0"/>
        <w:adjustRightInd w:val="0"/>
        <w:rPr>
          <w:rFonts w:cs="Calibri"/>
          <w:color w:val="000000"/>
          <w:szCs w:val="24"/>
          <w:lang w:eastAsia="en-AU"/>
        </w:rPr>
      </w:pPr>
      <w:r w:rsidRPr="00680EEA">
        <w:rPr>
          <w:rFonts w:cs="Calibri"/>
          <w:color w:val="000000"/>
          <w:szCs w:val="24"/>
          <w:lang w:eastAsia="en-AU"/>
        </w:rPr>
        <w:t xml:space="preserve">Document the procedure, the </w:t>
      </w:r>
      <w:r w:rsidR="0045491F" w:rsidRPr="00680EEA">
        <w:rPr>
          <w:rFonts w:cs="Calibri"/>
          <w:color w:val="000000"/>
          <w:szCs w:val="24"/>
          <w:lang w:eastAsia="en-AU"/>
        </w:rPr>
        <w:t>result,</w:t>
      </w:r>
      <w:r w:rsidRPr="00680EEA">
        <w:rPr>
          <w:rFonts w:cs="Calibri"/>
          <w:color w:val="000000"/>
          <w:szCs w:val="24"/>
          <w:lang w:eastAsia="en-AU"/>
        </w:rPr>
        <w:t xml:space="preserve"> and the subsequent plan of management</w:t>
      </w:r>
    </w:p>
    <w:p w14:paraId="5228F405" w14:textId="6BDF8DD7" w:rsidR="00BD3AF2" w:rsidRPr="00680EEA" w:rsidRDefault="00BD3AF2" w:rsidP="00BD3AF2">
      <w:pPr>
        <w:numPr>
          <w:ilvl w:val="0"/>
          <w:numId w:val="14"/>
        </w:numPr>
        <w:autoSpaceDE w:val="0"/>
        <w:autoSpaceDN w:val="0"/>
        <w:adjustRightInd w:val="0"/>
        <w:rPr>
          <w:rFonts w:cs="Calibri"/>
          <w:color w:val="000000"/>
          <w:szCs w:val="24"/>
          <w:lang w:eastAsia="en-AU"/>
        </w:rPr>
      </w:pPr>
      <w:r w:rsidRPr="00680EEA">
        <w:rPr>
          <w:rFonts w:cs="Calibri"/>
          <w:color w:val="000000"/>
          <w:szCs w:val="24"/>
          <w:lang w:eastAsia="en-AU"/>
        </w:rPr>
        <w:t xml:space="preserve">Postnatal examination of the baby should include examination of the sampling site </w:t>
      </w:r>
    </w:p>
    <w:p w14:paraId="08263B1D" w14:textId="77777777" w:rsidR="00BD3AF2" w:rsidRPr="00680EEA" w:rsidRDefault="00BD3AF2" w:rsidP="00BD3AF2">
      <w:pPr>
        <w:numPr>
          <w:ilvl w:val="0"/>
          <w:numId w:val="14"/>
        </w:numPr>
        <w:autoSpaceDE w:val="0"/>
        <w:autoSpaceDN w:val="0"/>
        <w:adjustRightInd w:val="0"/>
        <w:rPr>
          <w:rFonts w:cs="Calibri"/>
          <w:color w:val="000000"/>
          <w:szCs w:val="24"/>
          <w:lang w:eastAsia="en-AU"/>
        </w:rPr>
      </w:pPr>
      <w:r w:rsidRPr="00680EEA">
        <w:rPr>
          <w:rFonts w:cs="Calibri"/>
          <w:color w:val="000000"/>
          <w:szCs w:val="24"/>
          <w:lang w:eastAsia="en-AU"/>
        </w:rPr>
        <w:t>Lactate analysis of a blood sample collected in a capillary tube should be carried out within ten minutes of sampling because lactate increases linearly with time</w:t>
      </w:r>
    </w:p>
    <w:p w14:paraId="3DB66C1A" w14:textId="7A517307" w:rsidR="00BD3AF2" w:rsidRDefault="00BD3AF2" w:rsidP="00BD3AF2">
      <w:pPr>
        <w:numPr>
          <w:ilvl w:val="0"/>
          <w:numId w:val="14"/>
        </w:numPr>
        <w:autoSpaceDE w:val="0"/>
        <w:autoSpaceDN w:val="0"/>
        <w:adjustRightInd w:val="0"/>
        <w:rPr>
          <w:rFonts w:cs="Calibri"/>
          <w:color w:val="000000"/>
          <w:szCs w:val="24"/>
          <w:lang w:eastAsia="en-AU"/>
        </w:rPr>
      </w:pPr>
      <w:r w:rsidRPr="00680EEA">
        <w:rPr>
          <w:rFonts w:cs="Calibri"/>
          <w:color w:val="000000"/>
          <w:szCs w:val="24"/>
          <w:lang w:eastAsia="en-AU"/>
        </w:rPr>
        <w:t xml:space="preserve">Paired cord gases (venous and arterial) to be collected and </w:t>
      </w:r>
      <w:r>
        <w:rPr>
          <w:rFonts w:cs="Calibri"/>
          <w:color w:val="000000"/>
          <w:szCs w:val="24"/>
          <w:lang w:eastAsia="en-AU"/>
        </w:rPr>
        <w:t xml:space="preserve">tested </w:t>
      </w:r>
      <w:r w:rsidRPr="00680EEA">
        <w:rPr>
          <w:rFonts w:cs="Calibri"/>
          <w:color w:val="000000"/>
          <w:szCs w:val="24"/>
          <w:lang w:eastAsia="en-AU"/>
        </w:rPr>
        <w:t xml:space="preserve">at </w:t>
      </w:r>
      <w:r w:rsidR="00A45744">
        <w:rPr>
          <w:rFonts w:cs="Calibri"/>
          <w:color w:val="000000"/>
          <w:szCs w:val="24"/>
          <w:lang w:eastAsia="en-AU"/>
        </w:rPr>
        <w:t xml:space="preserve">birth </w:t>
      </w:r>
      <w:r w:rsidRPr="00680EEA">
        <w:rPr>
          <w:rFonts w:cs="Calibri"/>
          <w:color w:val="000000"/>
          <w:szCs w:val="24"/>
          <w:lang w:eastAsia="en-AU"/>
        </w:rPr>
        <w:t>of the baby</w:t>
      </w:r>
    </w:p>
    <w:p w14:paraId="40117B0B" w14:textId="2786B57D" w:rsidR="00042C71" w:rsidRPr="00A45744" w:rsidRDefault="00042C71" w:rsidP="002828DB">
      <w:pPr>
        <w:numPr>
          <w:ilvl w:val="0"/>
          <w:numId w:val="14"/>
        </w:numPr>
        <w:autoSpaceDE w:val="0"/>
        <w:autoSpaceDN w:val="0"/>
        <w:adjustRightInd w:val="0"/>
        <w:rPr>
          <w:rFonts w:cs="Calibri"/>
          <w:color w:val="000000"/>
          <w:szCs w:val="24"/>
          <w:lang w:eastAsia="en-AU"/>
        </w:rPr>
      </w:pPr>
      <w:r w:rsidRPr="00A45744">
        <w:rPr>
          <w:rFonts w:cs="Calibri"/>
          <w:color w:val="000000"/>
          <w:szCs w:val="24"/>
          <w:lang w:eastAsia="en-AU"/>
        </w:rPr>
        <w:t xml:space="preserve">Labelling of cord blood gases is </w:t>
      </w:r>
      <w:r w:rsidR="002F1D59" w:rsidRPr="00A45744">
        <w:rPr>
          <w:rFonts w:cs="Calibri"/>
          <w:color w:val="000000"/>
          <w:szCs w:val="24"/>
          <w:lang w:eastAsia="en-AU"/>
        </w:rPr>
        <w:t xml:space="preserve">per </w:t>
      </w:r>
      <w:r w:rsidR="00244B3E" w:rsidRPr="00A45744">
        <w:rPr>
          <w:rFonts w:cs="Calibri"/>
          <w:color w:val="000000"/>
          <w:szCs w:val="24"/>
          <w:lang w:eastAsia="en-AU"/>
        </w:rPr>
        <w:t>Cord Blood Collection for Blood Group, Direct Coomb’s test (DCT) and Blood Gas Sampling clinical guideline</w:t>
      </w:r>
      <w:r w:rsidR="00A30707">
        <w:rPr>
          <w:rFonts w:cs="Calibri"/>
          <w:color w:val="000000"/>
          <w:szCs w:val="24"/>
          <w:lang w:eastAsia="en-AU"/>
        </w:rPr>
        <w:t>.</w:t>
      </w:r>
    </w:p>
    <w:p w14:paraId="735BA472" w14:textId="1DC0A8CB" w:rsidR="001228B7" w:rsidRDefault="001228B7" w:rsidP="001228B7">
      <w:pPr>
        <w:pStyle w:val="ListParagraph"/>
        <w:autoSpaceDE w:val="0"/>
        <w:autoSpaceDN w:val="0"/>
        <w:adjustRightInd w:val="0"/>
        <w:ind w:left="360"/>
        <w:rPr>
          <w:rFonts w:cs="Calibri"/>
          <w:color w:val="000000"/>
          <w:szCs w:val="24"/>
          <w:lang w:eastAsia="en-AU"/>
        </w:rPr>
      </w:pPr>
    </w:p>
    <w:p w14:paraId="08682A10" w14:textId="77777777" w:rsidR="009A534C" w:rsidRPr="00DA3910" w:rsidRDefault="0008565B"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2" w14:textId="77777777" w:rsidTr="008E74FD">
        <w:trPr>
          <w:cantSplit/>
          <w:trHeight w:val="285"/>
        </w:trPr>
        <w:tc>
          <w:tcPr>
            <w:tcW w:w="9158" w:type="dxa"/>
            <w:shd w:val="clear" w:color="auto" w:fill="D9D9D9" w:themeFill="background1" w:themeFillShade="D9"/>
          </w:tcPr>
          <w:p w14:paraId="08682A11" w14:textId="56A6C6BD" w:rsidR="009A534C" w:rsidRPr="003D2D06" w:rsidRDefault="00010E74" w:rsidP="00B10F87">
            <w:pPr>
              <w:pStyle w:val="Heading1"/>
            </w:pPr>
            <w:bookmarkStart w:id="18" w:name="_Toc113360207"/>
            <w:bookmarkStart w:id="19" w:name="_Toc389473284"/>
            <w:bookmarkStart w:id="20" w:name="_Toc393203340"/>
            <w:r w:rsidRPr="003D2D06">
              <w:t>Section</w:t>
            </w:r>
            <w:bookmarkStart w:id="21" w:name="_Toc500403077"/>
            <w:r w:rsidR="007D3A08" w:rsidRPr="007D3A08">
              <w:t xml:space="preserve"> 3 – Interpretation of Fetal </w:t>
            </w:r>
            <w:r w:rsidR="00A30707">
              <w:t>B</w:t>
            </w:r>
            <w:r w:rsidR="007D3A08" w:rsidRPr="007D3A08">
              <w:t xml:space="preserve">lood </w:t>
            </w:r>
            <w:r w:rsidR="00A30707">
              <w:t>S</w:t>
            </w:r>
            <w:r w:rsidR="007D3A08" w:rsidRPr="007D3A08">
              <w:t xml:space="preserve">ampling </w:t>
            </w:r>
            <w:r w:rsidR="00A30707">
              <w:t>R</w:t>
            </w:r>
            <w:r w:rsidR="007D3A08" w:rsidRPr="007D3A08">
              <w:t>esults</w:t>
            </w:r>
            <w:bookmarkEnd w:id="21"/>
            <w:bookmarkEnd w:id="18"/>
            <w:r w:rsidR="007D3A08" w:rsidRPr="007D3A08">
              <w:t xml:space="preserve"> </w:t>
            </w:r>
            <w:bookmarkEnd w:id="19"/>
            <w:bookmarkEnd w:id="20"/>
          </w:p>
        </w:tc>
      </w:tr>
    </w:tbl>
    <w:p w14:paraId="08682A13" w14:textId="77777777" w:rsidR="009A534C" w:rsidRDefault="009A534C" w:rsidP="009A534C">
      <w:pPr>
        <w:pStyle w:val="Heading2"/>
      </w:pPr>
    </w:p>
    <w:p w14:paraId="10490C53" w14:textId="2B243D2B" w:rsidR="007D3A08" w:rsidRDefault="007D3A08" w:rsidP="007D3A08">
      <w:pPr>
        <w:autoSpaceDE w:val="0"/>
        <w:autoSpaceDN w:val="0"/>
        <w:adjustRightInd w:val="0"/>
        <w:rPr>
          <w:rFonts w:cs="Calibri"/>
          <w:bCs/>
          <w:color w:val="000000"/>
          <w:szCs w:val="24"/>
          <w:lang w:eastAsia="en-AU"/>
        </w:rPr>
      </w:pPr>
      <w:r w:rsidRPr="007D3A08">
        <w:rPr>
          <w:rFonts w:cs="Calibri"/>
          <w:bCs/>
          <w:color w:val="000000"/>
          <w:szCs w:val="24"/>
          <w:lang w:eastAsia="en-AU"/>
        </w:rPr>
        <w:t>The results of FBS need to be interpreted as part of the full clinical picture. If the result seems completely out of keeping with the full clinical picture (lactate either lower or higher than expected)</w:t>
      </w:r>
      <w:r w:rsidR="00562A42">
        <w:rPr>
          <w:rFonts w:cs="Calibri"/>
          <w:bCs/>
          <w:color w:val="000000"/>
          <w:szCs w:val="24"/>
          <w:lang w:eastAsia="en-AU"/>
        </w:rPr>
        <w:t>,</w:t>
      </w:r>
      <w:r w:rsidRPr="007D3A08">
        <w:rPr>
          <w:rFonts w:cs="Calibri"/>
          <w:bCs/>
          <w:color w:val="000000"/>
          <w:szCs w:val="24"/>
          <w:lang w:eastAsia="en-AU"/>
        </w:rPr>
        <w:t xml:space="preserve"> this needs to be discussed with the Consultant Obstetrician. </w:t>
      </w:r>
    </w:p>
    <w:p w14:paraId="7923ED83" w14:textId="77777777" w:rsidR="00A30707" w:rsidRPr="007D3A08" w:rsidRDefault="00A30707" w:rsidP="007D3A08">
      <w:pPr>
        <w:autoSpaceDE w:val="0"/>
        <w:autoSpaceDN w:val="0"/>
        <w:adjustRightInd w:val="0"/>
        <w:rPr>
          <w:rFonts w:cs="Calibri"/>
          <w:color w:val="000000"/>
          <w:szCs w:val="24"/>
          <w:lang w:eastAsia="en-AU"/>
        </w:rPr>
      </w:pPr>
    </w:p>
    <w:p w14:paraId="5ADCE794" w14:textId="77777777" w:rsidR="007D3A08" w:rsidRPr="007D3A08" w:rsidRDefault="007D3A08" w:rsidP="007D3A08">
      <w:pPr>
        <w:autoSpaceDE w:val="0"/>
        <w:autoSpaceDN w:val="0"/>
        <w:adjustRightInd w:val="0"/>
        <w:rPr>
          <w:rFonts w:cs="Calibri"/>
          <w:b/>
          <w:color w:val="000000"/>
          <w:szCs w:val="24"/>
          <w:lang w:eastAsia="en-AU"/>
        </w:rPr>
      </w:pPr>
      <w:r w:rsidRPr="007D3A08">
        <w:rPr>
          <w:rFonts w:cs="Calibri"/>
          <w:b/>
          <w:color w:val="000000"/>
          <w:szCs w:val="24"/>
          <w:lang w:eastAsia="en-AU"/>
        </w:rPr>
        <w:t>Interpretation of fetal blood sampling results: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1759"/>
        <w:gridCol w:w="5557"/>
      </w:tblGrid>
      <w:tr w:rsidR="007D3A08" w:rsidRPr="007D3A08" w14:paraId="610DCA3B" w14:textId="77777777" w:rsidTr="00B076CC">
        <w:trPr>
          <w:tblHeader/>
        </w:trPr>
        <w:tc>
          <w:tcPr>
            <w:tcW w:w="1751" w:type="dxa"/>
          </w:tcPr>
          <w:p w14:paraId="67AD0DCD" w14:textId="77777777" w:rsidR="007D3A08" w:rsidRPr="007D3A08" w:rsidRDefault="007D3A08" w:rsidP="007D3A08">
            <w:pPr>
              <w:autoSpaceDE w:val="0"/>
              <w:autoSpaceDN w:val="0"/>
              <w:adjustRightInd w:val="0"/>
              <w:rPr>
                <w:rFonts w:cs="Calibri"/>
                <w:b/>
                <w:color w:val="000000"/>
                <w:szCs w:val="24"/>
                <w:lang w:eastAsia="en-AU"/>
              </w:rPr>
            </w:pPr>
            <w:r w:rsidRPr="007D3A08">
              <w:rPr>
                <w:rFonts w:cs="Calibri"/>
                <w:b/>
                <w:color w:val="000000"/>
                <w:szCs w:val="24"/>
                <w:lang w:eastAsia="en-AU"/>
              </w:rPr>
              <w:t>Interpretation</w:t>
            </w:r>
          </w:p>
        </w:tc>
        <w:tc>
          <w:tcPr>
            <w:tcW w:w="1759" w:type="dxa"/>
          </w:tcPr>
          <w:p w14:paraId="74F76708" w14:textId="77777777" w:rsidR="007D3A08" w:rsidRPr="007D3A08" w:rsidRDefault="007D3A08" w:rsidP="007D3A08">
            <w:pPr>
              <w:autoSpaceDE w:val="0"/>
              <w:autoSpaceDN w:val="0"/>
              <w:adjustRightInd w:val="0"/>
              <w:rPr>
                <w:rFonts w:cs="Calibri"/>
                <w:b/>
                <w:color w:val="000000"/>
                <w:szCs w:val="24"/>
                <w:lang w:eastAsia="en-AU"/>
              </w:rPr>
            </w:pPr>
            <w:r w:rsidRPr="007D3A08">
              <w:rPr>
                <w:rFonts w:cs="Calibri"/>
                <w:b/>
                <w:color w:val="000000"/>
                <w:szCs w:val="24"/>
                <w:lang w:eastAsia="en-AU"/>
              </w:rPr>
              <w:t>lactate</w:t>
            </w:r>
          </w:p>
        </w:tc>
        <w:tc>
          <w:tcPr>
            <w:tcW w:w="5557" w:type="dxa"/>
          </w:tcPr>
          <w:p w14:paraId="52389DE2" w14:textId="77777777" w:rsidR="007D3A08" w:rsidRPr="007D3A08" w:rsidRDefault="007D3A08" w:rsidP="007D3A08">
            <w:pPr>
              <w:autoSpaceDE w:val="0"/>
              <w:autoSpaceDN w:val="0"/>
              <w:adjustRightInd w:val="0"/>
              <w:rPr>
                <w:rFonts w:cs="Calibri"/>
                <w:b/>
                <w:color w:val="000000"/>
                <w:szCs w:val="24"/>
                <w:lang w:eastAsia="en-AU"/>
              </w:rPr>
            </w:pPr>
            <w:r w:rsidRPr="007D3A08">
              <w:rPr>
                <w:rFonts w:cs="Calibri"/>
                <w:b/>
                <w:color w:val="000000"/>
                <w:szCs w:val="24"/>
                <w:lang w:eastAsia="en-AU"/>
              </w:rPr>
              <w:t>Action</w:t>
            </w:r>
          </w:p>
        </w:tc>
      </w:tr>
      <w:tr w:rsidR="007D3A08" w:rsidRPr="007D3A08" w14:paraId="3A30C2EF" w14:textId="77777777" w:rsidTr="00B076CC">
        <w:tc>
          <w:tcPr>
            <w:tcW w:w="1751" w:type="dxa"/>
          </w:tcPr>
          <w:p w14:paraId="69141F2F" w14:textId="77777777" w:rsidR="007D3A08" w:rsidRPr="007D3A08" w:rsidRDefault="007D3A08" w:rsidP="007D3A08">
            <w:pPr>
              <w:autoSpaceDE w:val="0"/>
              <w:autoSpaceDN w:val="0"/>
              <w:adjustRightInd w:val="0"/>
              <w:rPr>
                <w:rFonts w:cs="Calibri"/>
                <w:b/>
                <w:color w:val="000000"/>
                <w:szCs w:val="24"/>
                <w:lang w:eastAsia="en-AU"/>
              </w:rPr>
            </w:pPr>
            <w:r w:rsidRPr="007D3A08">
              <w:rPr>
                <w:rFonts w:cs="Calibri"/>
                <w:b/>
                <w:color w:val="000000"/>
                <w:szCs w:val="24"/>
                <w:lang w:eastAsia="en-AU"/>
              </w:rPr>
              <w:t>Normal range</w:t>
            </w:r>
          </w:p>
        </w:tc>
        <w:tc>
          <w:tcPr>
            <w:tcW w:w="1759" w:type="dxa"/>
          </w:tcPr>
          <w:p w14:paraId="43FD418A" w14:textId="77777777" w:rsidR="007D3A08" w:rsidRPr="007D3A08" w:rsidRDefault="007D3A08" w:rsidP="007D3A08">
            <w:pPr>
              <w:autoSpaceDE w:val="0"/>
              <w:autoSpaceDN w:val="0"/>
              <w:adjustRightInd w:val="0"/>
              <w:rPr>
                <w:rFonts w:cs="Calibri"/>
                <w:color w:val="000000"/>
                <w:szCs w:val="24"/>
                <w:lang w:eastAsia="en-AU"/>
              </w:rPr>
            </w:pPr>
            <w:r w:rsidRPr="007D3A08">
              <w:rPr>
                <w:rFonts w:cs="Calibri"/>
                <w:color w:val="000000"/>
                <w:szCs w:val="24"/>
                <w:lang w:eastAsia="en-AU"/>
              </w:rPr>
              <w:t>&lt; 4.2 mmol/ l</w:t>
            </w:r>
          </w:p>
        </w:tc>
        <w:tc>
          <w:tcPr>
            <w:tcW w:w="5557" w:type="dxa"/>
          </w:tcPr>
          <w:p w14:paraId="65C82173" w14:textId="77777777" w:rsidR="007D3A08" w:rsidRPr="007D3A08" w:rsidRDefault="007D3A08" w:rsidP="007D3A08">
            <w:pPr>
              <w:numPr>
                <w:ilvl w:val="0"/>
                <w:numId w:val="1"/>
              </w:numPr>
              <w:ind w:left="426" w:hanging="426"/>
              <w:rPr>
                <w:lang w:eastAsia="en-AU"/>
              </w:rPr>
            </w:pPr>
            <w:r w:rsidRPr="007D3A08">
              <w:rPr>
                <w:lang w:eastAsia="en-AU"/>
              </w:rPr>
              <w:t xml:space="preserve">if CTG returns to normal and the labour progresses as normal, there is no need to repeat the fetal scalp lactate </w:t>
            </w:r>
          </w:p>
          <w:p w14:paraId="49B81C35" w14:textId="147094CC" w:rsidR="007D3A08" w:rsidRPr="007D3A08" w:rsidRDefault="007D3A08" w:rsidP="007D3A08">
            <w:pPr>
              <w:numPr>
                <w:ilvl w:val="0"/>
                <w:numId w:val="1"/>
              </w:numPr>
              <w:ind w:left="426" w:hanging="426"/>
              <w:rPr>
                <w:lang w:eastAsia="en-AU"/>
              </w:rPr>
            </w:pPr>
            <w:r w:rsidRPr="007D3A08">
              <w:rPr>
                <w:lang w:eastAsia="en-AU"/>
              </w:rPr>
              <w:t>if CTG abnormalities continue</w:t>
            </w:r>
            <w:r w:rsidR="00562A42">
              <w:rPr>
                <w:lang w:eastAsia="en-AU"/>
              </w:rPr>
              <w:t>,</w:t>
            </w:r>
            <w:r w:rsidRPr="007D3A08">
              <w:rPr>
                <w:lang w:eastAsia="en-AU"/>
              </w:rPr>
              <w:t xml:space="preserve"> the fetal scalp lactate should be repeated in one hour </w:t>
            </w:r>
          </w:p>
          <w:p w14:paraId="371EF884" w14:textId="284B6015" w:rsidR="007D3A08" w:rsidRPr="007D3A08" w:rsidRDefault="007D3A08" w:rsidP="00EE1ACF">
            <w:pPr>
              <w:numPr>
                <w:ilvl w:val="0"/>
                <w:numId w:val="1"/>
              </w:numPr>
              <w:ind w:left="426" w:hanging="426"/>
              <w:rPr>
                <w:lang w:eastAsia="en-AU"/>
              </w:rPr>
            </w:pPr>
            <w:r w:rsidRPr="007D3A08">
              <w:rPr>
                <w:lang w:eastAsia="en-AU"/>
              </w:rPr>
              <w:t>if CTG abnormalities worsen</w:t>
            </w:r>
            <w:r w:rsidR="00562A42">
              <w:rPr>
                <w:lang w:eastAsia="en-AU"/>
              </w:rPr>
              <w:t>,</w:t>
            </w:r>
            <w:r w:rsidRPr="007D3A08">
              <w:rPr>
                <w:lang w:eastAsia="en-AU"/>
              </w:rPr>
              <w:t xml:space="preserve"> repeat sooner than an hour or consider expediting birth</w:t>
            </w:r>
          </w:p>
        </w:tc>
      </w:tr>
      <w:tr w:rsidR="007D3A08" w:rsidRPr="007D3A08" w14:paraId="0C662D52" w14:textId="77777777" w:rsidTr="00B076CC">
        <w:tc>
          <w:tcPr>
            <w:tcW w:w="1751" w:type="dxa"/>
          </w:tcPr>
          <w:p w14:paraId="7BB322A3" w14:textId="77777777" w:rsidR="007D3A08" w:rsidRPr="007D3A08" w:rsidRDefault="007D3A08" w:rsidP="007D3A08">
            <w:pPr>
              <w:autoSpaceDE w:val="0"/>
              <w:autoSpaceDN w:val="0"/>
              <w:adjustRightInd w:val="0"/>
              <w:rPr>
                <w:rFonts w:cs="Calibri"/>
                <w:b/>
                <w:color w:val="000000"/>
                <w:szCs w:val="24"/>
                <w:lang w:eastAsia="en-AU"/>
              </w:rPr>
            </w:pPr>
            <w:r w:rsidRPr="007D3A08">
              <w:rPr>
                <w:rFonts w:cs="Calibri"/>
                <w:b/>
                <w:color w:val="000000"/>
                <w:szCs w:val="24"/>
                <w:lang w:eastAsia="en-AU"/>
              </w:rPr>
              <w:t xml:space="preserve">Pre acidotic range </w:t>
            </w:r>
          </w:p>
        </w:tc>
        <w:tc>
          <w:tcPr>
            <w:tcW w:w="1759" w:type="dxa"/>
          </w:tcPr>
          <w:p w14:paraId="2244C2EC" w14:textId="77777777" w:rsidR="007D3A08" w:rsidRPr="007D3A08" w:rsidRDefault="007D3A08" w:rsidP="007D3A08">
            <w:pPr>
              <w:autoSpaceDE w:val="0"/>
              <w:autoSpaceDN w:val="0"/>
              <w:adjustRightInd w:val="0"/>
              <w:rPr>
                <w:rFonts w:cs="Calibri"/>
                <w:color w:val="000000"/>
                <w:szCs w:val="24"/>
                <w:lang w:eastAsia="en-AU"/>
              </w:rPr>
            </w:pPr>
            <w:r w:rsidRPr="007D3A08">
              <w:rPr>
                <w:rFonts w:cs="Calibri"/>
                <w:color w:val="000000"/>
                <w:szCs w:val="24"/>
                <w:lang w:eastAsia="en-AU"/>
              </w:rPr>
              <w:t>4.2-4.8 mmol/L</w:t>
            </w:r>
          </w:p>
        </w:tc>
        <w:tc>
          <w:tcPr>
            <w:tcW w:w="5557" w:type="dxa"/>
          </w:tcPr>
          <w:p w14:paraId="42F6AD61" w14:textId="77777777" w:rsidR="007D3A08" w:rsidRPr="007D3A08" w:rsidRDefault="007D3A08" w:rsidP="007D3A08">
            <w:pPr>
              <w:numPr>
                <w:ilvl w:val="0"/>
                <w:numId w:val="1"/>
              </w:numPr>
              <w:ind w:left="426" w:hanging="426"/>
              <w:rPr>
                <w:lang w:eastAsia="en-AU"/>
              </w:rPr>
            </w:pPr>
            <w:r w:rsidRPr="007D3A08">
              <w:rPr>
                <w:lang w:eastAsia="en-AU"/>
              </w:rPr>
              <w:t xml:space="preserve">repeat FBS within 30 minutes to establish a trend in results or deliver if there is significant deterioration from the previous result </w:t>
            </w:r>
          </w:p>
        </w:tc>
      </w:tr>
      <w:tr w:rsidR="007D3A08" w:rsidRPr="007D3A08" w14:paraId="3BA639D0" w14:textId="77777777" w:rsidTr="00B076CC">
        <w:trPr>
          <w:trHeight w:val="2907"/>
        </w:trPr>
        <w:tc>
          <w:tcPr>
            <w:tcW w:w="1751" w:type="dxa"/>
          </w:tcPr>
          <w:p w14:paraId="46E5566A" w14:textId="77777777" w:rsidR="007D3A08" w:rsidRPr="007D3A08" w:rsidRDefault="007D3A08" w:rsidP="007D3A08">
            <w:pPr>
              <w:autoSpaceDE w:val="0"/>
              <w:autoSpaceDN w:val="0"/>
              <w:adjustRightInd w:val="0"/>
              <w:rPr>
                <w:rFonts w:cs="Calibri"/>
                <w:b/>
                <w:color w:val="000000"/>
                <w:szCs w:val="24"/>
                <w:lang w:eastAsia="en-AU"/>
              </w:rPr>
            </w:pPr>
            <w:r w:rsidRPr="007D3A08">
              <w:rPr>
                <w:rFonts w:cs="Calibri"/>
                <w:b/>
                <w:bCs/>
                <w:color w:val="000000"/>
                <w:szCs w:val="24"/>
                <w:lang w:eastAsia="en-AU"/>
              </w:rPr>
              <w:t xml:space="preserve">Acidotic range </w:t>
            </w:r>
          </w:p>
          <w:p w14:paraId="6731001D" w14:textId="77777777" w:rsidR="007D3A08" w:rsidRPr="007D3A08" w:rsidRDefault="007D3A08" w:rsidP="007D3A08">
            <w:pPr>
              <w:autoSpaceDE w:val="0"/>
              <w:autoSpaceDN w:val="0"/>
              <w:adjustRightInd w:val="0"/>
              <w:rPr>
                <w:rFonts w:cs="Calibri"/>
                <w:color w:val="000000"/>
                <w:szCs w:val="24"/>
                <w:lang w:eastAsia="en-AU"/>
              </w:rPr>
            </w:pPr>
          </w:p>
        </w:tc>
        <w:tc>
          <w:tcPr>
            <w:tcW w:w="1759" w:type="dxa"/>
          </w:tcPr>
          <w:p w14:paraId="5DDE500B" w14:textId="77777777" w:rsidR="007D3A08" w:rsidRPr="007D3A08" w:rsidRDefault="007D3A08" w:rsidP="007D3A08">
            <w:pPr>
              <w:autoSpaceDE w:val="0"/>
              <w:autoSpaceDN w:val="0"/>
              <w:adjustRightInd w:val="0"/>
              <w:rPr>
                <w:rFonts w:cs="Calibri"/>
                <w:color w:val="000000"/>
                <w:szCs w:val="24"/>
                <w:lang w:eastAsia="en-AU"/>
              </w:rPr>
            </w:pPr>
            <w:r w:rsidRPr="007D3A08">
              <w:rPr>
                <w:rFonts w:cs="Calibri"/>
                <w:color w:val="000000"/>
                <w:szCs w:val="24"/>
                <w:lang w:eastAsia="en-AU"/>
              </w:rPr>
              <w:t>&gt; 4.8 mmol/L</w:t>
            </w:r>
          </w:p>
        </w:tc>
        <w:tc>
          <w:tcPr>
            <w:tcW w:w="5557" w:type="dxa"/>
          </w:tcPr>
          <w:p w14:paraId="34B1AB56" w14:textId="77777777" w:rsidR="007D3A08" w:rsidRPr="007D3A08" w:rsidRDefault="007D3A08" w:rsidP="007D3A08">
            <w:pPr>
              <w:numPr>
                <w:ilvl w:val="0"/>
                <w:numId w:val="1"/>
              </w:numPr>
              <w:ind w:left="426" w:hanging="426"/>
              <w:rPr>
                <w:lang w:eastAsia="en-AU"/>
              </w:rPr>
            </w:pPr>
            <w:r w:rsidRPr="007D3A08">
              <w:rPr>
                <w:lang w:eastAsia="en-AU"/>
              </w:rPr>
              <w:t>Stop oxytocin if in progress</w:t>
            </w:r>
          </w:p>
          <w:p w14:paraId="1F06C6F4" w14:textId="77777777" w:rsidR="007D3A08" w:rsidRPr="007D3A08" w:rsidRDefault="007D3A08" w:rsidP="007D3A08">
            <w:pPr>
              <w:numPr>
                <w:ilvl w:val="0"/>
                <w:numId w:val="1"/>
              </w:numPr>
              <w:ind w:left="426" w:hanging="426"/>
              <w:rPr>
                <w:lang w:eastAsia="en-AU"/>
              </w:rPr>
            </w:pPr>
            <w:r w:rsidRPr="007D3A08">
              <w:rPr>
                <w:lang w:eastAsia="en-AU"/>
              </w:rPr>
              <w:t>Consult with senior Obstetric Team member</w:t>
            </w:r>
          </w:p>
          <w:p w14:paraId="620B47C5" w14:textId="6EB1C7B7" w:rsidR="007D3A08" w:rsidRPr="007D3A08" w:rsidRDefault="007D3A08" w:rsidP="007D3A08">
            <w:pPr>
              <w:numPr>
                <w:ilvl w:val="0"/>
                <w:numId w:val="1"/>
              </w:numPr>
              <w:ind w:left="426" w:hanging="426"/>
              <w:rPr>
                <w:lang w:eastAsia="en-AU"/>
              </w:rPr>
            </w:pPr>
            <w:r w:rsidRPr="007D3A08">
              <w:rPr>
                <w:lang w:eastAsia="en-AU"/>
              </w:rPr>
              <w:t xml:space="preserve">Initiate intravenous fluids </w:t>
            </w:r>
          </w:p>
          <w:p w14:paraId="65CD3531" w14:textId="77777777" w:rsidR="007D3A08" w:rsidRPr="007D3A08" w:rsidRDefault="007D3A08" w:rsidP="007D3A08">
            <w:pPr>
              <w:numPr>
                <w:ilvl w:val="0"/>
                <w:numId w:val="1"/>
              </w:numPr>
              <w:ind w:left="426" w:hanging="426"/>
              <w:rPr>
                <w:lang w:eastAsia="en-AU"/>
              </w:rPr>
            </w:pPr>
            <w:r w:rsidRPr="007D3A08">
              <w:rPr>
                <w:lang w:eastAsia="en-AU"/>
              </w:rPr>
              <w:t>Reposition woman</w:t>
            </w:r>
          </w:p>
          <w:p w14:paraId="0C7E96D5" w14:textId="77777777" w:rsidR="007D3A08" w:rsidRPr="007D3A08" w:rsidRDefault="007D3A08" w:rsidP="007D3A08">
            <w:pPr>
              <w:numPr>
                <w:ilvl w:val="0"/>
                <w:numId w:val="1"/>
              </w:numPr>
              <w:ind w:left="426" w:hanging="426"/>
              <w:rPr>
                <w:lang w:eastAsia="en-AU"/>
              </w:rPr>
            </w:pPr>
            <w:r w:rsidRPr="007D3A08">
              <w:rPr>
                <w:lang w:eastAsia="en-AU"/>
              </w:rPr>
              <w:t xml:space="preserve">Consider tocolytic </w:t>
            </w:r>
          </w:p>
          <w:p w14:paraId="6F6D30C8" w14:textId="4058A57B" w:rsidR="007D3A08" w:rsidRPr="007D3A08" w:rsidRDefault="007D3A08" w:rsidP="007D3A08">
            <w:pPr>
              <w:numPr>
                <w:ilvl w:val="0"/>
                <w:numId w:val="1"/>
              </w:numPr>
              <w:ind w:left="426" w:hanging="426"/>
              <w:rPr>
                <w:lang w:eastAsia="en-AU"/>
              </w:rPr>
            </w:pPr>
            <w:r w:rsidRPr="007D3A08">
              <w:rPr>
                <w:lang w:eastAsia="en-AU"/>
              </w:rPr>
              <w:t>Plan for immediate birth of the baby</w:t>
            </w:r>
            <w:r w:rsidR="00562A42">
              <w:rPr>
                <w:lang w:eastAsia="en-AU"/>
              </w:rPr>
              <w:t>,</w:t>
            </w:r>
            <w:r w:rsidRPr="007D3A08">
              <w:rPr>
                <w:lang w:eastAsia="en-AU"/>
              </w:rPr>
              <w:t xml:space="preserve"> either instrumental birth or Category A caesarean (ensure transport CTG if transferring to theatre)</w:t>
            </w:r>
          </w:p>
          <w:p w14:paraId="4AF56CD4" w14:textId="77777777" w:rsidR="007D3A08" w:rsidRPr="007D3A08" w:rsidRDefault="007D3A08" w:rsidP="007D3A08">
            <w:pPr>
              <w:numPr>
                <w:ilvl w:val="0"/>
                <w:numId w:val="1"/>
              </w:numPr>
              <w:ind w:left="426" w:hanging="426"/>
              <w:rPr>
                <w:lang w:eastAsia="en-AU"/>
              </w:rPr>
            </w:pPr>
            <w:r w:rsidRPr="007D3A08">
              <w:rPr>
                <w:lang w:eastAsia="en-AU"/>
              </w:rPr>
              <w:t>Notify NICU registrar to be present at birth</w:t>
            </w:r>
          </w:p>
          <w:p w14:paraId="445CEABD" w14:textId="77777777" w:rsidR="007D3A08" w:rsidRPr="007D3A08" w:rsidRDefault="007D3A08" w:rsidP="007D3A08">
            <w:pPr>
              <w:numPr>
                <w:ilvl w:val="0"/>
                <w:numId w:val="1"/>
              </w:numPr>
              <w:ind w:left="426" w:hanging="426"/>
              <w:rPr>
                <w:lang w:eastAsia="en-AU"/>
              </w:rPr>
            </w:pPr>
            <w:r w:rsidRPr="007D3A08">
              <w:rPr>
                <w:lang w:eastAsia="en-AU"/>
              </w:rPr>
              <w:t>Send paired cord blood samples for cord gas analysis</w:t>
            </w:r>
          </w:p>
        </w:tc>
      </w:tr>
    </w:tbl>
    <w:p w14:paraId="7304C2A4" w14:textId="77777777" w:rsidR="007D3A08" w:rsidRPr="007D3A08" w:rsidRDefault="007D3A08" w:rsidP="007D3A08">
      <w:pPr>
        <w:rPr>
          <w:rFonts w:cs="Arial"/>
          <w:b/>
          <w:szCs w:val="24"/>
        </w:rPr>
      </w:pPr>
    </w:p>
    <w:p w14:paraId="08682A18" w14:textId="77777777" w:rsidR="009A534C" w:rsidRPr="00DA3910" w:rsidRDefault="0008565B" w:rsidP="009A534C">
      <w:pPr>
        <w:jc w:val="right"/>
        <w:rPr>
          <w:rFonts w:cs="Arial"/>
          <w:b/>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CD1C0E" w:rsidRDefault="002B478A" w:rsidP="00B10F87">
            <w:pPr>
              <w:pStyle w:val="Heading1"/>
            </w:pPr>
            <w:bookmarkStart w:id="22" w:name="_Toc113360208"/>
            <w:r>
              <w:t>Evaluation</w:t>
            </w:r>
            <w:bookmarkEnd w:id="22"/>
            <w:r w:rsidR="009A534C">
              <w:t xml:space="preserve"> </w:t>
            </w:r>
          </w:p>
        </w:tc>
      </w:tr>
    </w:tbl>
    <w:p w14:paraId="043A1299" w14:textId="0C3EE29E"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Outcome</w:t>
      </w:r>
    </w:p>
    <w:p w14:paraId="03D0ACB8" w14:textId="62479A6D" w:rsidR="00284CFE" w:rsidRPr="00A2470F" w:rsidRDefault="00284CFE" w:rsidP="00A2470F">
      <w:pPr>
        <w:pStyle w:val="ListParagraph"/>
        <w:numPr>
          <w:ilvl w:val="0"/>
          <w:numId w:val="25"/>
        </w:numPr>
        <w:rPr>
          <w:rFonts w:cs="Arial"/>
          <w:i/>
          <w:szCs w:val="24"/>
        </w:rPr>
      </w:pPr>
      <w:bookmarkStart w:id="23" w:name="_Hlk105094650"/>
      <w:r>
        <w:rPr>
          <w:rFonts w:cs="Arial"/>
          <w:szCs w:val="24"/>
        </w:rPr>
        <w:t xml:space="preserve">The </w:t>
      </w:r>
      <w:r w:rsidRPr="00284CFE">
        <w:rPr>
          <w:rFonts w:cs="Arial"/>
          <w:szCs w:val="24"/>
        </w:rPr>
        <w:t>outcomes for women and their babies</w:t>
      </w:r>
      <w:r>
        <w:rPr>
          <w:rFonts w:cs="Arial"/>
          <w:szCs w:val="24"/>
        </w:rPr>
        <w:t xml:space="preserve"> </w:t>
      </w:r>
      <w:r w:rsidR="00A2470F">
        <w:rPr>
          <w:rFonts w:cs="Arial"/>
          <w:szCs w:val="24"/>
        </w:rPr>
        <w:t>will be improved using</w:t>
      </w:r>
      <w:r>
        <w:rPr>
          <w:rFonts w:cs="Arial"/>
          <w:szCs w:val="24"/>
        </w:rPr>
        <w:t xml:space="preserve"> a </w:t>
      </w:r>
      <w:r w:rsidRPr="00284CFE">
        <w:rPr>
          <w:rFonts w:asciiTheme="minorHAnsi" w:hAnsiTheme="minorHAnsi" w:cstheme="minorHAnsi"/>
          <w:color w:val="393D3F"/>
          <w:szCs w:val="24"/>
          <w:shd w:val="clear" w:color="auto" w:fill="FFFFFF"/>
        </w:rPr>
        <w:t>s</w:t>
      </w:r>
      <w:r w:rsidRPr="00284CFE">
        <w:rPr>
          <w:rFonts w:asciiTheme="minorHAnsi" w:hAnsiTheme="minorHAnsi" w:cstheme="minorHAnsi"/>
          <w:szCs w:val="24"/>
        </w:rPr>
        <w:t>tandardised</w:t>
      </w:r>
      <w:r w:rsidRPr="00284CFE">
        <w:rPr>
          <w:rFonts w:cs="Arial"/>
          <w:szCs w:val="24"/>
        </w:rPr>
        <w:t xml:space="preserve"> approach </w:t>
      </w:r>
      <w:r w:rsidR="00A2470F">
        <w:rPr>
          <w:rFonts w:cs="Arial"/>
          <w:szCs w:val="24"/>
        </w:rPr>
        <w:t xml:space="preserve">to assessment, description, and management of normal </w:t>
      </w:r>
      <w:r w:rsidRPr="00284CFE">
        <w:rPr>
          <w:rFonts w:cs="Arial"/>
          <w:szCs w:val="24"/>
        </w:rPr>
        <w:t>fetal heart</w:t>
      </w:r>
      <w:r w:rsidR="00A2470F">
        <w:rPr>
          <w:rFonts w:cs="Arial"/>
          <w:szCs w:val="24"/>
        </w:rPr>
        <w:t xml:space="preserve"> patterns during labour and the antenatal period </w:t>
      </w:r>
      <w:r w:rsidRPr="00284CFE">
        <w:rPr>
          <w:rFonts w:cs="Arial"/>
          <w:szCs w:val="24"/>
        </w:rPr>
        <w:t xml:space="preserve"> </w:t>
      </w:r>
      <w:bookmarkEnd w:id="23"/>
    </w:p>
    <w:p w14:paraId="78A31EE2" w14:textId="6FFC2FE5" w:rsidR="00A2470F" w:rsidRPr="00A2470F" w:rsidRDefault="00A2470F" w:rsidP="00A2470F">
      <w:pPr>
        <w:pStyle w:val="ListParagraph"/>
        <w:numPr>
          <w:ilvl w:val="0"/>
          <w:numId w:val="25"/>
        </w:numPr>
        <w:rPr>
          <w:rFonts w:cs="Arial"/>
          <w:i/>
          <w:szCs w:val="24"/>
        </w:rPr>
      </w:pPr>
      <w:r>
        <w:rPr>
          <w:rFonts w:cs="Arial"/>
          <w:szCs w:val="24"/>
        </w:rPr>
        <w:t xml:space="preserve">The </w:t>
      </w:r>
      <w:r w:rsidRPr="00284CFE">
        <w:rPr>
          <w:rFonts w:cs="Arial"/>
          <w:szCs w:val="24"/>
        </w:rPr>
        <w:t>outcomes for women and their babies</w:t>
      </w:r>
      <w:r>
        <w:rPr>
          <w:rFonts w:cs="Arial"/>
          <w:szCs w:val="24"/>
        </w:rPr>
        <w:t xml:space="preserve"> will be improved using a </w:t>
      </w:r>
      <w:r w:rsidRPr="00284CFE">
        <w:rPr>
          <w:rFonts w:asciiTheme="minorHAnsi" w:hAnsiTheme="minorHAnsi" w:cstheme="minorHAnsi"/>
          <w:color w:val="393D3F"/>
          <w:szCs w:val="24"/>
          <w:shd w:val="clear" w:color="auto" w:fill="FFFFFF"/>
        </w:rPr>
        <w:t>s</w:t>
      </w:r>
      <w:r w:rsidRPr="00284CFE">
        <w:rPr>
          <w:rFonts w:asciiTheme="minorHAnsi" w:hAnsiTheme="minorHAnsi" w:cstheme="minorHAnsi"/>
          <w:szCs w:val="24"/>
        </w:rPr>
        <w:t>tandardised</w:t>
      </w:r>
      <w:r w:rsidRPr="00284CFE">
        <w:rPr>
          <w:rFonts w:cs="Arial"/>
          <w:szCs w:val="24"/>
        </w:rPr>
        <w:t xml:space="preserve"> approach </w:t>
      </w:r>
      <w:r>
        <w:rPr>
          <w:rFonts w:cs="Arial"/>
          <w:szCs w:val="24"/>
        </w:rPr>
        <w:t xml:space="preserve">to assessment, </w:t>
      </w:r>
      <w:r w:rsidR="000E44DA">
        <w:rPr>
          <w:rFonts w:cs="Arial"/>
          <w:szCs w:val="24"/>
        </w:rPr>
        <w:t>description,</w:t>
      </w:r>
      <w:r>
        <w:rPr>
          <w:rFonts w:cs="Arial"/>
          <w:szCs w:val="24"/>
        </w:rPr>
        <w:t xml:space="preserve"> and management of abnormal normal </w:t>
      </w:r>
      <w:r w:rsidRPr="00284CFE">
        <w:rPr>
          <w:rFonts w:cs="Arial"/>
          <w:szCs w:val="24"/>
        </w:rPr>
        <w:t>fetal heart</w:t>
      </w:r>
      <w:r>
        <w:rPr>
          <w:rFonts w:cs="Arial"/>
          <w:szCs w:val="24"/>
        </w:rPr>
        <w:t xml:space="preserve"> patterns during labour and the antenatal period </w:t>
      </w:r>
    </w:p>
    <w:p w14:paraId="675DC4DD" w14:textId="38C65E66" w:rsidR="000E44DA" w:rsidRPr="00A45744" w:rsidRDefault="00A2470F" w:rsidP="001965B4">
      <w:pPr>
        <w:pStyle w:val="ListParagraph"/>
        <w:numPr>
          <w:ilvl w:val="0"/>
          <w:numId w:val="25"/>
        </w:numPr>
        <w:rPr>
          <w:rFonts w:cs="Arial"/>
          <w:b/>
          <w:bCs/>
          <w:iCs/>
        </w:rPr>
      </w:pPr>
      <w:r>
        <w:t xml:space="preserve">Management of </w:t>
      </w:r>
      <w:r w:rsidR="000E44DA">
        <w:t>f</w:t>
      </w:r>
      <w:r w:rsidR="000E44DA" w:rsidRPr="000E44DA">
        <w:t>etal blood sampling</w:t>
      </w:r>
      <w:r w:rsidR="000E44DA">
        <w:t xml:space="preserve"> will be guided by this document</w:t>
      </w:r>
      <w:r w:rsidR="00A30707">
        <w:t>.</w:t>
      </w:r>
      <w:r w:rsidR="000E44DA">
        <w:t xml:space="preserve"> </w:t>
      </w:r>
      <w:r>
        <w:t xml:space="preserve"> </w:t>
      </w:r>
    </w:p>
    <w:p w14:paraId="44CC077A" w14:textId="77777777" w:rsidR="00A30707" w:rsidRDefault="00A30707" w:rsidP="000E44DA">
      <w:pPr>
        <w:rPr>
          <w:rFonts w:cs="Arial"/>
          <w:b/>
          <w:bCs/>
          <w:iCs/>
        </w:rPr>
      </w:pPr>
    </w:p>
    <w:p w14:paraId="5D4D6CB3" w14:textId="725BBF6F" w:rsidR="00D006EF" w:rsidRDefault="00D006EF" w:rsidP="000E44DA">
      <w:pPr>
        <w:rPr>
          <w:rFonts w:cs="Arial"/>
          <w:b/>
          <w:bCs/>
          <w:iCs/>
        </w:rPr>
      </w:pPr>
      <w:r w:rsidRPr="000E44DA">
        <w:rPr>
          <w:rFonts w:cs="Arial"/>
          <w:b/>
          <w:bCs/>
          <w:iCs/>
        </w:rPr>
        <w:t>Measures</w:t>
      </w:r>
    </w:p>
    <w:p w14:paraId="688B578A" w14:textId="4C14B9CB" w:rsidR="00CA4CD3" w:rsidRPr="00A45744" w:rsidRDefault="00CA4CD3" w:rsidP="009078C4">
      <w:pPr>
        <w:pStyle w:val="ListParagraph"/>
        <w:numPr>
          <w:ilvl w:val="0"/>
          <w:numId w:val="26"/>
        </w:numPr>
        <w:rPr>
          <w:rFonts w:cs="Arial"/>
          <w:iCs/>
        </w:rPr>
      </w:pPr>
      <w:r w:rsidRPr="00A45744">
        <w:rPr>
          <w:rFonts w:cs="Arial"/>
          <w:iCs/>
        </w:rPr>
        <w:t>Data collected from Riskman on adverse neonatal outcomes will be reviewed by Maternity mortality and morbidity committee</w:t>
      </w:r>
    </w:p>
    <w:p w14:paraId="25E4DD50" w14:textId="5228733E" w:rsidR="00CA4CD3" w:rsidRDefault="000E44DA" w:rsidP="00CA4CD3">
      <w:pPr>
        <w:pStyle w:val="ListParagraph"/>
        <w:numPr>
          <w:ilvl w:val="0"/>
          <w:numId w:val="26"/>
        </w:numPr>
        <w:rPr>
          <w:rFonts w:cs="Arial"/>
          <w:iCs/>
        </w:rPr>
      </w:pPr>
      <w:r>
        <w:rPr>
          <w:rFonts w:cs="Arial"/>
          <w:iCs/>
        </w:rPr>
        <w:t>Births where an adverse neonatal outcome has occurred</w:t>
      </w:r>
      <w:r w:rsidR="00CA4CD3">
        <w:rPr>
          <w:rFonts w:cs="Arial"/>
          <w:iCs/>
        </w:rPr>
        <w:t xml:space="preserve"> (abnormal arterial cord blood pH</w:t>
      </w:r>
      <w:r>
        <w:rPr>
          <w:rFonts w:cs="Arial"/>
          <w:iCs/>
        </w:rPr>
        <w:t xml:space="preserve"> </w:t>
      </w:r>
      <w:r w:rsidR="00CA4CD3">
        <w:rPr>
          <w:rFonts w:cs="Arial"/>
          <w:iCs/>
        </w:rPr>
        <w:t xml:space="preserve">or lactate, unexpected NICU admission) </w:t>
      </w:r>
      <w:r>
        <w:rPr>
          <w:rFonts w:cs="Arial"/>
          <w:iCs/>
        </w:rPr>
        <w:t xml:space="preserve">and electronic fetal monitoring was used, will be reviewed at weekly </w:t>
      </w:r>
      <w:r w:rsidR="00CA4CD3">
        <w:rPr>
          <w:rFonts w:cs="Arial"/>
          <w:iCs/>
        </w:rPr>
        <w:t xml:space="preserve">maternity </w:t>
      </w:r>
      <w:r>
        <w:rPr>
          <w:rFonts w:cs="Arial"/>
          <w:iCs/>
        </w:rPr>
        <w:t xml:space="preserve">mortality and morbidity committee meetings to </w:t>
      </w:r>
      <w:r w:rsidR="00CA4CD3">
        <w:rPr>
          <w:rFonts w:cs="Arial"/>
          <w:iCs/>
        </w:rPr>
        <w:lastRenderedPageBreak/>
        <w:t>determine if appropriate</w:t>
      </w:r>
      <w:r>
        <w:rPr>
          <w:rFonts w:cs="Arial"/>
          <w:iCs/>
        </w:rPr>
        <w:t xml:space="preserve"> assessment, </w:t>
      </w:r>
      <w:r w:rsidR="00CA4CD3">
        <w:rPr>
          <w:rFonts w:cs="Arial"/>
          <w:iCs/>
        </w:rPr>
        <w:t>documentation,</w:t>
      </w:r>
      <w:r>
        <w:rPr>
          <w:rFonts w:cs="Arial"/>
          <w:iCs/>
        </w:rPr>
        <w:t xml:space="preserve"> and escalation </w:t>
      </w:r>
      <w:r w:rsidR="00CA4CD3">
        <w:rPr>
          <w:rFonts w:cs="Arial"/>
          <w:iCs/>
        </w:rPr>
        <w:t>of CTG during labour has occurred</w:t>
      </w:r>
    </w:p>
    <w:p w14:paraId="7E5004D0" w14:textId="04AD4318" w:rsidR="00D006EF" w:rsidRPr="00A45744" w:rsidRDefault="00CA4CD3" w:rsidP="00122E7D">
      <w:pPr>
        <w:pStyle w:val="ListParagraph"/>
        <w:numPr>
          <w:ilvl w:val="0"/>
          <w:numId w:val="26"/>
        </w:numPr>
        <w:rPr>
          <w:rFonts w:cs="Arial"/>
          <w:i/>
        </w:rPr>
      </w:pPr>
      <w:r w:rsidRPr="00A45744">
        <w:rPr>
          <w:rFonts w:cs="Arial"/>
          <w:iCs/>
        </w:rPr>
        <w:t>Births where s</w:t>
      </w:r>
      <w:r w:rsidR="000E44DA" w:rsidRPr="00A45744">
        <w:rPr>
          <w:rFonts w:cs="Arial"/>
          <w:iCs/>
        </w:rPr>
        <w:t>ignificant</w:t>
      </w:r>
      <w:r w:rsidRPr="00A45744">
        <w:rPr>
          <w:rFonts w:cs="Arial"/>
          <w:iCs/>
        </w:rPr>
        <w:t xml:space="preserve"> adverse neonatal outcome has occurred, as identified by  </w:t>
      </w:r>
      <w:r w:rsidR="000E44DA" w:rsidRPr="00A45744">
        <w:rPr>
          <w:rFonts w:cs="Arial"/>
          <w:iCs/>
        </w:rPr>
        <w:t xml:space="preserve"> </w:t>
      </w:r>
      <w:r w:rsidRPr="00A45744">
        <w:rPr>
          <w:rFonts w:cs="Arial"/>
          <w:iCs/>
        </w:rPr>
        <w:t xml:space="preserve">maternity mortality and morbidity committee will </w:t>
      </w:r>
      <w:r w:rsidR="000E44DA" w:rsidRPr="00A45744">
        <w:rPr>
          <w:rFonts w:cs="Arial"/>
          <w:iCs/>
        </w:rPr>
        <w:t>investigated by the Departmental Quality and Safety Committee when deemed necessary.</w:t>
      </w:r>
    </w:p>
    <w:p w14:paraId="5ED58E15" w14:textId="77777777" w:rsidR="00D006EF" w:rsidRDefault="0008565B" w:rsidP="00D006EF">
      <w:pPr>
        <w:jc w:val="right"/>
      </w:pPr>
      <w:hyperlink r:id="rId14"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24" w:name="_Toc389473287"/>
            <w:bookmarkStart w:id="25" w:name="_Toc393203347"/>
            <w:bookmarkStart w:id="26" w:name="_Toc113360209"/>
            <w:r>
              <w:t>Related Policies, Procedures</w:t>
            </w:r>
            <w:bookmarkEnd w:id="24"/>
            <w:r>
              <w:t>, Guidelines and Legislation</w:t>
            </w:r>
            <w:bookmarkEnd w:id="25"/>
            <w:bookmarkEnd w:id="26"/>
          </w:p>
        </w:tc>
      </w:tr>
    </w:tbl>
    <w:p w14:paraId="08682A21" w14:textId="77777777" w:rsidR="009A534C" w:rsidRDefault="009A534C" w:rsidP="009A534C">
      <w:pPr>
        <w:rPr>
          <w:szCs w:val="24"/>
        </w:rPr>
      </w:pPr>
    </w:p>
    <w:p w14:paraId="08682A24" w14:textId="77777777" w:rsidR="00B61F35" w:rsidRPr="006743DB" w:rsidRDefault="00B61F35" w:rsidP="006743DB">
      <w:pPr>
        <w:rPr>
          <w:b/>
        </w:rPr>
      </w:pPr>
      <w:r w:rsidRPr="006743DB">
        <w:rPr>
          <w:b/>
        </w:rPr>
        <w:t>Policies</w:t>
      </w:r>
    </w:p>
    <w:p w14:paraId="08682A25" w14:textId="00D5A1A5" w:rsidR="00B61F35" w:rsidRPr="00B61F35" w:rsidRDefault="00B61F35" w:rsidP="00BA5B60">
      <w:pPr>
        <w:pStyle w:val="ListBullet"/>
      </w:pPr>
      <w:r w:rsidRPr="00B61F35">
        <w:t>Nursing and Midwifery</w:t>
      </w:r>
      <w:r w:rsidR="001921D0">
        <w:t xml:space="preserve"> Board of Australia Requirements for Practice</w:t>
      </w:r>
    </w:p>
    <w:p w14:paraId="08682A27" w14:textId="108BB50E" w:rsidR="00B61F35" w:rsidRPr="00A45744" w:rsidRDefault="001921D0" w:rsidP="00C07595">
      <w:pPr>
        <w:pStyle w:val="ListBullet"/>
        <w:rPr>
          <w:rFonts w:cs="Arial"/>
          <w:szCs w:val="24"/>
        </w:rPr>
      </w:pPr>
      <w:r>
        <w:t xml:space="preserve">Informed </w:t>
      </w:r>
      <w:r w:rsidR="00BA5B60">
        <w:t xml:space="preserve">Consent </w:t>
      </w:r>
      <w:r>
        <w:t>(Clinical)</w:t>
      </w:r>
    </w:p>
    <w:p w14:paraId="52E83345" w14:textId="77777777" w:rsidR="001921D0" w:rsidRDefault="001921D0" w:rsidP="006743DB">
      <w:pPr>
        <w:rPr>
          <w:b/>
        </w:rPr>
      </w:pPr>
    </w:p>
    <w:p w14:paraId="08682A28" w14:textId="5AADA6E3" w:rsidR="00B61F35" w:rsidRPr="006743DB" w:rsidRDefault="00B61F35" w:rsidP="006743DB">
      <w:pPr>
        <w:rPr>
          <w:b/>
        </w:rPr>
      </w:pPr>
      <w:r w:rsidRPr="006743DB">
        <w:rPr>
          <w:b/>
        </w:rPr>
        <w:t>Procedures</w:t>
      </w:r>
    </w:p>
    <w:p w14:paraId="27167542" w14:textId="122F87CE" w:rsidR="001228B7" w:rsidRDefault="001228B7" w:rsidP="00BA5B60">
      <w:pPr>
        <w:pStyle w:val="ListBullet"/>
      </w:pPr>
      <w:r w:rsidRPr="001228B7">
        <w:t>Infection</w:t>
      </w:r>
      <w:r w:rsidR="001921D0">
        <w:t xml:space="preserve"> Prevention and Control</w:t>
      </w:r>
    </w:p>
    <w:p w14:paraId="08682A2A" w14:textId="5B43268A" w:rsidR="00B61F35" w:rsidRDefault="00B61F35" w:rsidP="00BA5B60">
      <w:pPr>
        <w:pStyle w:val="ListBullet"/>
      </w:pPr>
      <w:r w:rsidRPr="00B61F35">
        <w:t>Patient Identification</w:t>
      </w:r>
      <w:r w:rsidR="001228B7">
        <w:t>-</w:t>
      </w:r>
      <w:r w:rsidRPr="00B61F35">
        <w:t xml:space="preserve"> </w:t>
      </w:r>
      <w:r w:rsidR="001228B7">
        <w:t>Pathology Specimen Labelling</w:t>
      </w:r>
    </w:p>
    <w:p w14:paraId="3A2A60C3" w14:textId="5D7DBA5B" w:rsidR="001921D0" w:rsidRPr="00B61F35" w:rsidRDefault="001921D0" w:rsidP="00BA5B60">
      <w:pPr>
        <w:pStyle w:val="ListBullet"/>
      </w:pPr>
      <w:r>
        <w:t>Specimen Handling</w:t>
      </w:r>
    </w:p>
    <w:p w14:paraId="06F40A7E" w14:textId="77777777" w:rsidR="001921D0" w:rsidRDefault="001921D0" w:rsidP="006743DB">
      <w:pPr>
        <w:rPr>
          <w:b/>
        </w:rPr>
      </w:pPr>
    </w:p>
    <w:p w14:paraId="08682A2C" w14:textId="44799272" w:rsidR="00B61F35" w:rsidRPr="006743DB" w:rsidRDefault="00B61F35" w:rsidP="006743DB">
      <w:pPr>
        <w:rPr>
          <w:b/>
        </w:rPr>
      </w:pPr>
      <w:r w:rsidRPr="006743DB">
        <w:rPr>
          <w:b/>
        </w:rPr>
        <w:t xml:space="preserve">Guidelines </w:t>
      </w:r>
    </w:p>
    <w:p w14:paraId="66AB6BDF" w14:textId="595649B0" w:rsidR="001228B7" w:rsidRDefault="001228B7" w:rsidP="00BA5B60">
      <w:pPr>
        <w:pStyle w:val="ListBullet"/>
      </w:pPr>
      <w:r w:rsidRPr="00042C71">
        <w:rPr>
          <w:rFonts w:cs="Calibri"/>
          <w:color w:val="000000"/>
          <w:szCs w:val="24"/>
          <w:lang w:eastAsia="en-AU"/>
        </w:rPr>
        <w:t>Cord Blood Collection for Blood Group, Direct Coomb’s test (DCT) and Blood Gas Sampling clinical guideline</w:t>
      </w:r>
    </w:p>
    <w:p w14:paraId="08682A2E" w14:textId="6F19F187" w:rsidR="00B61F35" w:rsidRPr="00B61F35" w:rsidRDefault="007D3A08" w:rsidP="009E6162">
      <w:pPr>
        <w:pStyle w:val="ListBullet"/>
      </w:pPr>
      <w:r>
        <w:t>Labour Care 1</w:t>
      </w:r>
      <w:r w:rsidRPr="00A45744">
        <w:rPr>
          <w:vertAlign w:val="superscript"/>
        </w:rPr>
        <w:t>st</w:t>
      </w:r>
      <w:r>
        <w:t>, 2</w:t>
      </w:r>
      <w:r w:rsidRPr="00A45744">
        <w:rPr>
          <w:vertAlign w:val="superscript"/>
        </w:rPr>
        <w:t>nd</w:t>
      </w:r>
      <w:r>
        <w:t xml:space="preserve"> ,3</w:t>
      </w:r>
      <w:r w:rsidRPr="00A45744">
        <w:rPr>
          <w:vertAlign w:val="superscript"/>
        </w:rPr>
        <w:t>rd</w:t>
      </w:r>
      <w:r>
        <w:t xml:space="preserve"> and 4</w:t>
      </w:r>
      <w:r w:rsidRPr="00A45744">
        <w:rPr>
          <w:vertAlign w:val="superscript"/>
        </w:rPr>
        <w:t>th</w:t>
      </w:r>
      <w:r>
        <w:t xml:space="preserve"> stage</w:t>
      </w:r>
    </w:p>
    <w:p w14:paraId="6453274D" w14:textId="77777777" w:rsidR="001921D0" w:rsidRDefault="001921D0" w:rsidP="006743DB">
      <w:pPr>
        <w:rPr>
          <w:b/>
        </w:rPr>
      </w:pPr>
    </w:p>
    <w:p w14:paraId="08682A2F" w14:textId="3B631CC3" w:rsidR="00B61F35" w:rsidRPr="006743DB" w:rsidRDefault="00B61F35" w:rsidP="006743DB">
      <w:pPr>
        <w:rPr>
          <w:b/>
        </w:rPr>
      </w:pPr>
      <w:r w:rsidRPr="006743DB">
        <w:rPr>
          <w:b/>
        </w:rPr>
        <w:t>Legislation</w:t>
      </w:r>
    </w:p>
    <w:p w14:paraId="08682A30" w14:textId="77777777" w:rsidR="00B61F35" w:rsidRPr="00BA5B60" w:rsidRDefault="00B61F35" w:rsidP="00BA5B60">
      <w:pPr>
        <w:pStyle w:val="ListBullet"/>
        <w:rPr>
          <w:i/>
        </w:rPr>
      </w:pPr>
      <w:r w:rsidRPr="00BA5B60">
        <w:rPr>
          <w:i/>
        </w:rPr>
        <w:t>Health Records (Privacy and Access) Act 1997</w:t>
      </w:r>
    </w:p>
    <w:p w14:paraId="08682A31" w14:textId="77777777" w:rsidR="00B61F35" w:rsidRPr="00BA5B60" w:rsidRDefault="00B61F35" w:rsidP="00BA5B60">
      <w:pPr>
        <w:pStyle w:val="ListBullet"/>
        <w:rPr>
          <w:i/>
        </w:rPr>
      </w:pPr>
      <w:r w:rsidRPr="00BA5B60">
        <w:rPr>
          <w:i/>
        </w:rPr>
        <w:t>Human Rights Act 2004</w:t>
      </w:r>
    </w:p>
    <w:p w14:paraId="08682A33" w14:textId="1CAD2B8F" w:rsidR="009A534C" w:rsidRPr="00A45744" w:rsidRDefault="00B61F35" w:rsidP="003254F7">
      <w:pPr>
        <w:pStyle w:val="ListBullet"/>
        <w:rPr>
          <w:rFonts w:cs="Arial"/>
          <w:i/>
          <w:szCs w:val="24"/>
        </w:rPr>
      </w:pPr>
      <w:r w:rsidRPr="00A45744">
        <w:rPr>
          <w:i/>
        </w:rPr>
        <w:t>Work Health and Safety Act 2011</w:t>
      </w:r>
    </w:p>
    <w:p w14:paraId="54782B9A" w14:textId="77777777" w:rsidR="001921D0" w:rsidRDefault="001921D0" w:rsidP="008D0559">
      <w:pPr>
        <w:rPr>
          <w:rFonts w:cs="Arial"/>
          <w:b/>
          <w:bCs/>
          <w:iCs/>
          <w:szCs w:val="24"/>
        </w:rPr>
      </w:pPr>
    </w:p>
    <w:p w14:paraId="27B31D55" w14:textId="6517933B" w:rsidR="008D0559" w:rsidRDefault="008D0559" w:rsidP="008D0559">
      <w:pPr>
        <w:rPr>
          <w:rFonts w:cs="Arial"/>
          <w:b/>
          <w:bCs/>
          <w:iCs/>
          <w:szCs w:val="24"/>
        </w:rPr>
      </w:pPr>
      <w:r>
        <w:rPr>
          <w:rFonts w:cs="Arial"/>
          <w:b/>
          <w:bCs/>
          <w:iCs/>
          <w:szCs w:val="24"/>
        </w:rPr>
        <w:t>Other</w:t>
      </w:r>
    </w:p>
    <w:p w14:paraId="6F78A964" w14:textId="1DE79BF0" w:rsidR="008D0559" w:rsidRPr="008D0559" w:rsidRDefault="008D0559" w:rsidP="00F32D3D">
      <w:pPr>
        <w:pStyle w:val="ListBullet"/>
      </w:pPr>
      <w:r>
        <w:t>Australian Charter of Health Care Rights</w:t>
      </w:r>
    </w:p>
    <w:p w14:paraId="08682A34" w14:textId="77777777" w:rsidR="009A534C" w:rsidRPr="00DA3910" w:rsidRDefault="0008565B"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B10F87">
            <w:pPr>
              <w:pStyle w:val="Heading1"/>
              <w:rPr>
                <w:szCs w:val="24"/>
              </w:rPr>
            </w:pPr>
            <w:bookmarkStart w:id="27" w:name="_Toc113360210"/>
            <w:r>
              <w:rPr>
                <w:szCs w:val="24"/>
              </w:rPr>
              <w:t>References</w:t>
            </w:r>
            <w:bookmarkEnd w:id="27"/>
          </w:p>
        </w:tc>
      </w:tr>
    </w:tbl>
    <w:p w14:paraId="37927D60" w14:textId="0595CA85" w:rsidR="007D3A08" w:rsidRPr="00977F93" w:rsidRDefault="007D3A08" w:rsidP="007D3A08">
      <w:pPr>
        <w:pStyle w:val="ListParagraph"/>
        <w:numPr>
          <w:ilvl w:val="0"/>
          <w:numId w:val="21"/>
        </w:numPr>
        <w:rPr>
          <w:rFonts w:cs="Arial"/>
          <w:bCs/>
          <w:szCs w:val="24"/>
        </w:rPr>
      </w:pPr>
      <w:r>
        <w:rPr>
          <w:rFonts w:cs="Arial"/>
          <w:bCs/>
          <w:szCs w:val="24"/>
        </w:rPr>
        <w:t xml:space="preserve">RANZCOG. </w:t>
      </w:r>
      <w:r w:rsidRPr="007D3A08">
        <w:rPr>
          <w:rFonts w:cs="Arial"/>
          <w:bCs/>
          <w:szCs w:val="24"/>
        </w:rPr>
        <w:t>The Royal Australian and New Zealand College of Obstetricians and Gynaecologists</w:t>
      </w:r>
      <w:r>
        <w:rPr>
          <w:rFonts w:cs="Arial"/>
          <w:bCs/>
          <w:szCs w:val="24"/>
        </w:rPr>
        <w:t xml:space="preserve">. </w:t>
      </w:r>
      <w:r w:rsidRPr="007D3A08">
        <w:rPr>
          <w:rFonts w:cs="Arial"/>
          <w:bCs/>
          <w:szCs w:val="24"/>
        </w:rPr>
        <w:t>Intrapartum Fetal Surveillance Clinical Guideline</w:t>
      </w:r>
      <w:r>
        <w:rPr>
          <w:rFonts w:cs="Arial"/>
          <w:bCs/>
          <w:szCs w:val="24"/>
        </w:rPr>
        <w:t>. Fourth Edition.</w:t>
      </w:r>
      <w:r w:rsidRPr="007D3A08">
        <w:rPr>
          <w:rFonts w:cs="Arial"/>
          <w:bCs/>
          <w:szCs w:val="24"/>
        </w:rPr>
        <w:t xml:space="preserve"> 2019. </w:t>
      </w:r>
      <w:r>
        <w:rPr>
          <w:rFonts w:cs="Arial"/>
          <w:bCs/>
          <w:szCs w:val="24"/>
        </w:rPr>
        <w:t xml:space="preserve">Available from </w:t>
      </w:r>
      <w:hyperlink r:id="rId15" w:history="1">
        <w:r w:rsidRPr="007D3A08">
          <w:rPr>
            <w:color w:val="0000FF"/>
            <w:u w:val="single"/>
          </w:rPr>
          <w:t>IFS-Guideline-4thEdition-2019.pdf (ranzcog.edu.au)</w:t>
        </w:r>
      </w:hyperlink>
    </w:p>
    <w:p w14:paraId="5E87152D" w14:textId="5EA52E38" w:rsidR="00977F93" w:rsidRPr="00977F93" w:rsidRDefault="00977F93" w:rsidP="007D3A08">
      <w:pPr>
        <w:pStyle w:val="ListParagraph"/>
        <w:numPr>
          <w:ilvl w:val="0"/>
          <w:numId w:val="21"/>
        </w:numPr>
        <w:rPr>
          <w:rFonts w:cs="Arial"/>
          <w:bCs/>
          <w:szCs w:val="24"/>
        </w:rPr>
      </w:pPr>
      <w:r>
        <w:t xml:space="preserve">Murray, H. (2017). Antenatal foetal heart monitoring. Best Practice and Research: Clinical Obstetrics and Gynaecology, 38, 2–11. Available from  </w:t>
      </w:r>
      <w:hyperlink r:id="rId16" w:anchor="!/content/playContent/1-s2.0-S1521693416301158?returnurl=null&amp;referrer=null" w:history="1">
        <w:r w:rsidRPr="00977F93">
          <w:rPr>
            <w:color w:val="0000FF"/>
            <w:u w:val="single"/>
          </w:rPr>
          <w:t>Antenatal foetal heart monitoring - ClinicalKey</w:t>
        </w:r>
      </w:hyperlink>
    </w:p>
    <w:p w14:paraId="2825AAAD" w14:textId="3A404114" w:rsidR="00977F93" w:rsidRPr="007D3A08" w:rsidRDefault="00977F93" w:rsidP="007D3A08">
      <w:pPr>
        <w:pStyle w:val="ListParagraph"/>
        <w:numPr>
          <w:ilvl w:val="0"/>
          <w:numId w:val="21"/>
        </w:numPr>
        <w:rPr>
          <w:rFonts w:cs="Arial"/>
          <w:bCs/>
          <w:szCs w:val="24"/>
        </w:rPr>
      </w:pPr>
      <w:r>
        <w:t xml:space="preserve">South Australian Perinatal Practice Guideline. Fetal Surveillance. 2020. Available from </w:t>
      </w:r>
      <w:hyperlink r:id="rId17" w:history="1">
        <w:r w:rsidRPr="00977F93">
          <w:rPr>
            <w:color w:val="0000FF"/>
            <w:u w:val="single"/>
          </w:rPr>
          <w:t>SA Perinatal Practice Guidelines | SA Health</w:t>
        </w:r>
      </w:hyperlink>
    </w:p>
    <w:p w14:paraId="08682A43" w14:textId="6C159F4F" w:rsidR="004A6A76" w:rsidRDefault="0008565B" w:rsidP="00A45744">
      <w:pPr>
        <w:pStyle w:val="ListParagraph"/>
        <w:ind w:left="5040" w:firstLine="720"/>
        <w:jc w:val="center"/>
      </w:pPr>
      <w:hyperlink w:anchor="Contents" w:history="1">
        <w:r w:rsidR="00E41A47" w:rsidRPr="007D3A08">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28" w:name="_Toc389473290"/>
            <w:bookmarkStart w:id="29" w:name="_Toc396290589"/>
            <w:bookmarkStart w:id="30" w:name="_Toc113360211"/>
            <w:r>
              <w:t>Search Terms</w:t>
            </w:r>
            <w:bookmarkEnd w:id="28"/>
            <w:bookmarkEnd w:id="29"/>
            <w:bookmarkEnd w:id="30"/>
            <w:r>
              <w:t xml:space="preserve"> </w:t>
            </w:r>
          </w:p>
        </w:tc>
      </w:tr>
    </w:tbl>
    <w:p w14:paraId="09BEC4B6" w14:textId="77777777" w:rsidR="00656DC1" w:rsidRDefault="00A45744" w:rsidP="00A45744">
      <w:pPr>
        <w:rPr>
          <w:rFonts w:cs="Calibri,Bold"/>
          <w:bCs/>
          <w:iCs/>
          <w:szCs w:val="24"/>
          <w:lang w:eastAsia="en-AU"/>
        </w:rPr>
      </w:pPr>
      <w:r w:rsidRPr="007D3A08">
        <w:rPr>
          <w:rFonts w:cs="Calibri,Bold"/>
          <w:bCs/>
          <w:iCs/>
          <w:szCs w:val="24"/>
          <w:lang w:eastAsia="en-AU"/>
        </w:rPr>
        <w:lastRenderedPageBreak/>
        <w:t>Fetal surveillance, CTG, Fetal scalp, lactate</w:t>
      </w:r>
      <w:r>
        <w:rPr>
          <w:rFonts w:cs="Calibri,Bold"/>
          <w:bCs/>
          <w:iCs/>
          <w:szCs w:val="24"/>
          <w:lang w:eastAsia="en-AU"/>
        </w:rPr>
        <w:t xml:space="preserve"> </w:t>
      </w:r>
    </w:p>
    <w:p w14:paraId="0C4F0AFC" w14:textId="768D3BAD" w:rsidR="00A45744" w:rsidRPr="00AA3A06" w:rsidRDefault="0008565B" w:rsidP="00656DC1">
      <w:pPr>
        <w:jc w:val="right"/>
      </w:pPr>
      <w:hyperlink w:anchor="_top" w:history="1">
        <w:r w:rsidR="00A45744"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1C22D932" w:rsidR="009A534C" w:rsidRPr="002E3BFE" w:rsidRDefault="009A534C" w:rsidP="00B10F87">
            <w:pPr>
              <w:pStyle w:val="Heading1"/>
              <w:rPr>
                <w:szCs w:val="24"/>
              </w:rPr>
            </w:pPr>
            <w:bookmarkStart w:id="31" w:name="_Toc113360212"/>
            <w:r>
              <w:rPr>
                <w:szCs w:val="24"/>
              </w:rPr>
              <w:t>Attachments</w:t>
            </w:r>
            <w:bookmarkEnd w:id="31"/>
          </w:p>
        </w:tc>
      </w:tr>
    </w:tbl>
    <w:p w14:paraId="6F3C01A0" w14:textId="2D389DA0" w:rsidR="001921D0" w:rsidRDefault="001921D0" w:rsidP="001921D0">
      <w:r w:rsidRPr="001921D0">
        <w:t>Attachment 1 Fetal Heart Rate Monitoring Definitions</w:t>
      </w:r>
    </w:p>
    <w:p w14:paraId="51FD5732" w14:textId="77777777" w:rsidR="001921D0" w:rsidRDefault="001921D0" w:rsidP="001921D0"/>
    <w:p w14:paraId="65A016C2" w14:textId="7A9B9F42" w:rsidR="001921D0" w:rsidRDefault="001921D0" w:rsidP="001921D0">
      <w:pPr>
        <w:rPr>
          <w:rFonts w:cs="Arial"/>
          <w:sz w:val="20"/>
        </w:rPr>
      </w:pPr>
      <w:r w:rsidRPr="003E167B">
        <w:rPr>
          <w:rFonts w:cs="Arial"/>
          <w:b/>
          <w:sz w:val="20"/>
        </w:rPr>
        <w:t>Disclaimer</w:t>
      </w:r>
      <w:r w:rsidRPr="003E167B">
        <w:rPr>
          <w:rFonts w:cs="Arial"/>
          <w:sz w:val="20"/>
        </w:rPr>
        <w:t xml:space="preserve">: </w:t>
      </w:r>
    </w:p>
    <w:p w14:paraId="4995FE3F" w14:textId="77777777" w:rsidR="001921D0" w:rsidRPr="003E167B" w:rsidRDefault="001921D0" w:rsidP="001921D0">
      <w:pPr>
        <w:rPr>
          <w:rFonts w:cs="Arial"/>
          <w:i/>
          <w:iCs/>
          <w:sz w:val="20"/>
        </w:rPr>
      </w:pP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1A4794B3" w14:textId="77777777" w:rsidR="001921D0" w:rsidRPr="003E167B" w:rsidRDefault="001921D0" w:rsidP="001921D0">
      <w:pPr>
        <w:rPr>
          <w:rFonts w:cs="Arial"/>
          <w:i/>
          <w:iCs/>
          <w:sz w:val="20"/>
        </w:rPr>
      </w:pPr>
    </w:p>
    <w:p w14:paraId="47205A63" w14:textId="77777777" w:rsidR="001921D0" w:rsidRPr="003E167B" w:rsidRDefault="001921D0" w:rsidP="001921D0">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921D0" w:rsidRPr="003E167B" w14:paraId="46551299" w14:textId="77777777" w:rsidTr="008D2644">
        <w:tc>
          <w:tcPr>
            <w:tcW w:w="2265" w:type="dxa"/>
          </w:tcPr>
          <w:p w14:paraId="3F386D1E" w14:textId="77777777" w:rsidR="001921D0" w:rsidRPr="003E167B" w:rsidRDefault="001921D0" w:rsidP="008D2644">
            <w:pPr>
              <w:rPr>
                <w:i/>
                <w:sz w:val="20"/>
              </w:rPr>
            </w:pPr>
            <w:r w:rsidRPr="003E167B">
              <w:rPr>
                <w:i/>
                <w:sz w:val="20"/>
              </w:rPr>
              <w:t>Date Amended</w:t>
            </w:r>
          </w:p>
        </w:tc>
        <w:tc>
          <w:tcPr>
            <w:tcW w:w="2265" w:type="dxa"/>
          </w:tcPr>
          <w:p w14:paraId="72BEF9FA" w14:textId="77777777" w:rsidR="001921D0" w:rsidRPr="003E167B" w:rsidRDefault="001921D0" w:rsidP="008D2644">
            <w:pPr>
              <w:rPr>
                <w:i/>
                <w:sz w:val="20"/>
              </w:rPr>
            </w:pPr>
            <w:r w:rsidRPr="003E167B">
              <w:rPr>
                <w:i/>
                <w:sz w:val="20"/>
              </w:rPr>
              <w:t>Section Amended</w:t>
            </w:r>
          </w:p>
        </w:tc>
        <w:tc>
          <w:tcPr>
            <w:tcW w:w="2265" w:type="dxa"/>
          </w:tcPr>
          <w:p w14:paraId="2388E31C" w14:textId="77777777" w:rsidR="001921D0" w:rsidRPr="003E167B" w:rsidRDefault="001921D0" w:rsidP="008D2644">
            <w:pPr>
              <w:rPr>
                <w:i/>
                <w:sz w:val="20"/>
              </w:rPr>
            </w:pPr>
            <w:r w:rsidRPr="003E167B">
              <w:rPr>
                <w:i/>
                <w:sz w:val="20"/>
              </w:rPr>
              <w:t>Divisional Approval</w:t>
            </w:r>
          </w:p>
        </w:tc>
        <w:tc>
          <w:tcPr>
            <w:tcW w:w="2265" w:type="dxa"/>
          </w:tcPr>
          <w:p w14:paraId="557D633E" w14:textId="77777777" w:rsidR="001921D0" w:rsidRPr="003E167B" w:rsidRDefault="001921D0" w:rsidP="008D2644">
            <w:pPr>
              <w:rPr>
                <w:i/>
                <w:sz w:val="20"/>
              </w:rPr>
            </w:pPr>
            <w:r w:rsidRPr="003E167B">
              <w:rPr>
                <w:i/>
                <w:sz w:val="20"/>
              </w:rPr>
              <w:t xml:space="preserve">Final Approval </w:t>
            </w:r>
          </w:p>
        </w:tc>
      </w:tr>
      <w:tr w:rsidR="001921D0" w:rsidRPr="003E167B" w14:paraId="19B8020D" w14:textId="77777777" w:rsidTr="008D2644">
        <w:tc>
          <w:tcPr>
            <w:tcW w:w="2265" w:type="dxa"/>
          </w:tcPr>
          <w:p w14:paraId="48B73F97" w14:textId="323D380C" w:rsidR="001921D0" w:rsidRPr="003E167B" w:rsidRDefault="00EA305F" w:rsidP="008D2644">
            <w:pPr>
              <w:rPr>
                <w:i/>
                <w:sz w:val="20"/>
              </w:rPr>
            </w:pPr>
            <w:r>
              <w:rPr>
                <w:i/>
                <w:sz w:val="20"/>
              </w:rPr>
              <w:t>4/10/2022</w:t>
            </w:r>
          </w:p>
        </w:tc>
        <w:tc>
          <w:tcPr>
            <w:tcW w:w="2265" w:type="dxa"/>
          </w:tcPr>
          <w:p w14:paraId="390F4CB0" w14:textId="489FA484" w:rsidR="001921D0" w:rsidRPr="003E167B" w:rsidRDefault="00EA305F" w:rsidP="008D2644">
            <w:pPr>
              <w:rPr>
                <w:i/>
                <w:sz w:val="20"/>
              </w:rPr>
            </w:pPr>
            <w:r>
              <w:rPr>
                <w:i/>
                <w:sz w:val="20"/>
              </w:rPr>
              <w:t>Full Review</w:t>
            </w:r>
          </w:p>
        </w:tc>
        <w:tc>
          <w:tcPr>
            <w:tcW w:w="2265" w:type="dxa"/>
          </w:tcPr>
          <w:p w14:paraId="1AFDC4B2" w14:textId="69133C25" w:rsidR="001921D0" w:rsidRPr="003E167B" w:rsidRDefault="00EA305F" w:rsidP="008D2644">
            <w:pPr>
              <w:rPr>
                <w:i/>
                <w:sz w:val="20"/>
              </w:rPr>
            </w:pPr>
            <w:r>
              <w:rPr>
                <w:i/>
                <w:sz w:val="20"/>
              </w:rPr>
              <w:t>Susan Freiburg ED WYC</w:t>
            </w:r>
          </w:p>
        </w:tc>
        <w:tc>
          <w:tcPr>
            <w:tcW w:w="2265" w:type="dxa"/>
          </w:tcPr>
          <w:p w14:paraId="146FA274" w14:textId="6597E55F" w:rsidR="001921D0" w:rsidRPr="003E167B" w:rsidRDefault="00EA305F" w:rsidP="008D2644">
            <w:pPr>
              <w:rPr>
                <w:i/>
                <w:sz w:val="20"/>
              </w:rPr>
            </w:pPr>
            <w:r>
              <w:rPr>
                <w:i/>
                <w:sz w:val="20"/>
              </w:rPr>
              <w:t xml:space="preserve">CHS Policy Committee </w:t>
            </w:r>
          </w:p>
        </w:tc>
      </w:tr>
      <w:tr w:rsidR="001921D0" w:rsidRPr="003E167B" w14:paraId="4E451D43" w14:textId="77777777" w:rsidTr="008D2644">
        <w:tc>
          <w:tcPr>
            <w:tcW w:w="2265" w:type="dxa"/>
          </w:tcPr>
          <w:p w14:paraId="43337242" w14:textId="77777777" w:rsidR="001921D0" w:rsidRPr="003E167B" w:rsidRDefault="001921D0" w:rsidP="008D2644">
            <w:pPr>
              <w:rPr>
                <w:i/>
                <w:sz w:val="20"/>
              </w:rPr>
            </w:pPr>
          </w:p>
        </w:tc>
        <w:tc>
          <w:tcPr>
            <w:tcW w:w="2265" w:type="dxa"/>
          </w:tcPr>
          <w:p w14:paraId="27B31709" w14:textId="77777777" w:rsidR="001921D0" w:rsidRPr="003E167B" w:rsidRDefault="001921D0" w:rsidP="008D2644">
            <w:pPr>
              <w:rPr>
                <w:i/>
                <w:sz w:val="20"/>
              </w:rPr>
            </w:pPr>
          </w:p>
        </w:tc>
        <w:tc>
          <w:tcPr>
            <w:tcW w:w="2265" w:type="dxa"/>
          </w:tcPr>
          <w:p w14:paraId="1C876B92" w14:textId="77777777" w:rsidR="001921D0" w:rsidRPr="003E167B" w:rsidRDefault="001921D0" w:rsidP="008D2644">
            <w:pPr>
              <w:rPr>
                <w:i/>
                <w:sz w:val="20"/>
              </w:rPr>
            </w:pPr>
          </w:p>
        </w:tc>
        <w:tc>
          <w:tcPr>
            <w:tcW w:w="2265" w:type="dxa"/>
          </w:tcPr>
          <w:p w14:paraId="12367577" w14:textId="77777777" w:rsidR="001921D0" w:rsidRPr="003E167B" w:rsidRDefault="001921D0" w:rsidP="008D2644">
            <w:pPr>
              <w:rPr>
                <w:i/>
                <w:sz w:val="20"/>
              </w:rPr>
            </w:pPr>
          </w:p>
        </w:tc>
      </w:tr>
    </w:tbl>
    <w:p w14:paraId="4C8074AC" w14:textId="77777777" w:rsidR="001921D0" w:rsidRPr="003E167B" w:rsidRDefault="001921D0" w:rsidP="001921D0">
      <w:pPr>
        <w:rPr>
          <w:rFonts w:cs="Arial"/>
          <w:sz w:val="20"/>
        </w:rPr>
      </w:pPr>
    </w:p>
    <w:p w14:paraId="7708C272" w14:textId="77777777" w:rsidR="001921D0" w:rsidRPr="003E167B" w:rsidRDefault="001921D0" w:rsidP="001921D0">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921D0" w:rsidRPr="003E167B" w14:paraId="64B1F405" w14:textId="77777777" w:rsidTr="008D2644">
        <w:tc>
          <w:tcPr>
            <w:tcW w:w="2122" w:type="dxa"/>
          </w:tcPr>
          <w:p w14:paraId="2618990F" w14:textId="77777777" w:rsidR="001921D0" w:rsidRPr="003E167B" w:rsidRDefault="001921D0" w:rsidP="008D2644">
            <w:pPr>
              <w:rPr>
                <w:i/>
                <w:sz w:val="20"/>
              </w:rPr>
            </w:pPr>
            <w:r w:rsidRPr="003E167B">
              <w:rPr>
                <w:i/>
                <w:sz w:val="20"/>
              </w:rPr>
              <w:t>Document Number</w:t>
            </w:r>
          </w:p>
        </w:tc>
        <w:tc>
          <w:tcPr>
            <w:tcW w:w="6938" w:type="dxa"/>
          </w:tcPr>
          <w:p w14:paraId="18B4A1DA" w14:textId="77777777" w:rsidR="001921D0" w:rsidRPr="003E167B" w:rsidRDefault="001921D0" w:rsidP="008D2644">
            <w:pPr>
              <w:rPr>
                <w:i/>
                <w:sz w:val="20"/>
              </w:rPr>
            </w:pPr>
            <w:r w:rsidRPr="003E167B">
              <w:rPr>
                <w:i/>
                <w:sz w:val="20"/>
              </w:rPr>
              <w:t>Document Name</w:t>
            </w:r>
          </w:p>
        </w:tc>
      </w:tr>
      <w:tr w:rsidR="001921D0" w:rsidRPr="003E167B" w14:paraId="0FEAB7DD" w14:textId="77777777" w:rsidTr="008D2644">
        <w:tc>
          <w:tcPr>
            <w:tcW w:w="2122" w:type="dxa"/>
          </w:tcPr>
          <w:p w14:paraId="19EB5D21" w14:textId="5107EECA" w:rsidR="001921D0" w:rsidRPr="003E167B" w:rsidRDefault="00EA305F" w:rsidP="008D2644">
            <w:pPr>
              <w:rPr>
                <w:i/>
                <w:sz w:val="20"/>
              </w:rPr>
            </w:pPr>
            <w:r>
              <w:rPr>
                <w:i/>
                <w:sz w:val="20"/>
              </w:rPr>
              <w:t>CHHS17/297</w:t>
            </w:r>
          </w:p>
        </w:tc>
        <w:tc>
          <w:tcPr>
            <w:tcW w:w="6938" w:type="dxa"/>
          </w:tcPr>
          <w:p w14:paraId="75607162" w14:textId="7303F73A" w:rsidR="001921D0" w:rsidRPr="003E167B" w:rsidRDefault="00EA305F" w:rsidP="008D2644">
            <w:pPr>
              <w:rPr>
                <w:i/>
                <w:sz w:val="20"/>
              </w:rPr>
            </w:pPr>
            <w:proofErr w:type="spellStart"/>
            <w:r>
              <w:rPr>
                <w:i/>
                <w:sz w:val="20"/>
              </w:rPr>
              <w:t>Fetal</w:t>
            </w:r>
            <w:proofErr w:type="spellEnd"/>
            <w:r>
              <w:rPr>
                <w:i/>
                <w:sz w:val="20"/>
              </w:rPr>
              <w:t xml:space="preserve"> Surveillance </w:t>
            </w:r>
          </w:p>
        </w:tc>
      </w:tr>
      <w:tr w:rsidR="001921D0" w:rsidRPr="003E167B" w14:paraId="63A79821" w14:textId="77777777" w:rsidTr="008D2644">
        <w:tc>
          <w:tcPr>
            <w:tcW w:w="2122" w:type="dxa"/>
          </w:tcPr>
          <w:p w14:paraId="3A9C451E" w14:textId="77777777" w:rsidR="001921D0" w:rsidRPr="003E167B" w:rsidRDefault="001921D0" w:rsidP="008D2644">
            <w:pPr>
              <w:rPr>
                <w:i/>
                <w:sz w:val="20"/>
              </w:rPr>
            </w:pPr>
          </w:p>
        </w:tc>
        <w:tc>
          <w:tcPr>
            <w:tcW w:w="6938" w:type="dxa"/>
          </w:tcPr>
          <w:p w14:paraId="181473B5" w14:textId="77777777" w:rsidR="001921D0" w:rsidRPr="003E167B" w:rsidRDefault="001921D0" w:rsidP="008D2644">
            <w:pPr>
              <w:rPr>
                <w:i/>
                <w:sz w:val="20"/>
              </w:rPr>
            </w:pPr>
          </w:p>
        </w:tc>
      </w:tr>
    </w:tbl>
    <w:p w14:paraId="2F841EBA" w14:textId="77777777" w:rsidR="001921D0" w:rsidRPr="00010E74" w:rsidRDefault="001921D0" w:rsidP="001921D0">
      <w:pPr>
        <w:rPr>
          <w:i/>
          <w:sz w:val="20"/>
          <w:szCs w:val="24"/>
        </w:rPr>
      </w:pPr>
    </w:p>
    <w:p w14:paraId="4B1DA295" w14:textId="77777777" w:rsidR="001921D0" w:rsidRDefault="001921D0" w:rsidP="001921D0"/>
    <w:p w14:paraId="6A966EF8" w14:textId="77777777" w:rsidR="001921D0" w:rsidRDefault="001921D0" w:rsidP="001921D0"/>
    <w:p w14:paraId="3B67C8C1" w14:textId="7003CBF4" w:rsidR="001921D0" w:rsidRDefault="001921D0">
      <w:pPr>
        <w:spacing w:after="200" w:line="276" w:lineRule="auto"/>
        <w:rPr>
          <w:rFonts w:cs="Arial"/>
          <w:b/>
          <w:iCs/>
          <w:szCs w:val="24"/>
        </w:rPr>
      </w:pPr>
      <w:r>
        <w:rPr>
          <w:szCs w:val="24"/>
        </w:rPr>
        <w:br w:type="page"/>
      </w:r>
    </w:p>
    <w:p w14:paraId="574E2702" w14:textId="71266092" w:rsidR="00AA3A06" w:rsidRPr="00655CB3" w:rsidRDefault="001921D0" w:rsidP="001921D0">
      <w:pPr>
        <w:pStyle w:val="Heading2"/>
      </w:pPr>
      <w:bookmarkStart w:id="32" w:name="_Toc113360213"/>
      <w:r w:rsidRPr="00A45744">
        <w:rPr>
          <w:noProof/>
          <w:lang w:eastAsia="en-AU"/>
        </w:rPr>
        <w:lastRenderedPageBreak/>
        <w:drawing>
          <wp:anchor distT="0" distB="0" distL="114300" distR="114300" simplePos="0" relativeHeight="251675648" behindDoc="1" locked="0" layoutInCell="1" allowOverlap="1" wp14:anchorId="0C5BFCB7" wp14:editId="1230036E">
            <wp:simplePos x="0" y="0"/>
            <wp:positionH relativeFrom="margin">
              <wp:posOffset>137795</wp:posOffset>
            </wp:positionH>
            <wp:positionV relativeFrom="paragraph">
              <wp:posOffset>232410</wp:posOffset>
            </wp:positionV>
            <wp:extent cx="5581650" cy="7267575"/>
            <wp:effectExtent l="0" t="0" r="0" b="9525"/>
            <wp:wrapTight wrapText="bothSides">
              <wp:wrapPolygon edited="0">
                <wp:start x="0" y="0"/>
                <wp:lineTo x="0" y="21572"/>
                <wp:lineTo x="21526" y="21572"/>
                <wp:lineTo x="2152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581650" cy="7267575"/>
                    </a:xfrm>
                    <a:prstGeom prst="rect">
                      <a:avLst/>
                    </a:prstGeom>
                  </pic:spPr>
                </pic:pic>
              </a:graphicData>
            </a:graphic>
            <wp14:sizeRelH relativeFrom="margin">
              <wp14:pctWidth>0</wp14:pctWidth>
            </wp14:sizeRelH>
            <wp14:sizeRelV relativeFrom="margin">
              <wp14:pctHeight>0</wp14:pctHeight>
            </wp14:sizeRelV>
          </wp:anchor>
        </w:drawing>
      </w:r>
      <w:r w:rsidR="00655CB3" w:rsidRPr="00655CB3">
        <w:t xml:space="preserve">Attachment 1 </w:t>
      </w:r>
      <w:r w:rsidR="00261B35">
        <w:t xml:space="preserve">Fetal Heart Rate </w:t>
      </w:r>
      <w:r w:rsidR="00A30707">
        <w:t>M</w:t>
      </w:r>
      <w:r w:rsidR="00261B35">
        <w:t>onitoring Definitions</w:t>
      </w:r>
      <w:bookmarkEnd w:id="32"/>
    </w:p>
    <w:p w14:paraId="03D31278" w14:textId="09D880B5" w:rsidR="001921D0" w:rsidRDefault="001921D0">
      <w:pPr>
        <w:spacing w:after="200" w:line="276" w:lineRule="auto"/>
      </w:pPr>
      <w:r>
        <w:br w:type="page"/>
      </w:r>
    </w:p>
    <w:p w14:paraId="16907B43" w14:textId="2484D58D" w:rsidR="00640A3D" w:rsidRDefault="00640A3D" w:rsidP="001921D0">
      <w:pPr>
        <w:pStyle w:val="Heading2"/>
      </w:pPr>
      <w:bookmarkStart w:id="33" w:name="_Toc113360214"/>
      <w:r w:rsidRPr="00655CB3">
        <w:lastRenderedPageBreak/>
        <w:t xml:space="preserve">Attachment </w:t>
      </w:r>
      <w:r>
        <w:t>2</w:t>
      </w:r>
      <w:r w:rsidRPr="00655CB3">
        <w:t xml:space="preserve"> </w:t>
      </w:r>
      <w:r w:rsidR="00261B35" w:rsidRPr="00655CB3">
        <w:t xml:space="preserve">Antenatal and Intrapartum </w:t>
      </w:r>
      <w:r w:rsidR="00A30707">
        <w:t>F</w:t>
      </w:r>
      <w:r w:rsidR="00261B35" w:rsidRPr="00655CB3">
        <w:t xml:space="preserve">actors </w:t>
      </w:r>
      <w:r w:rsidR="00A30707">
        <w:t>R</w:t>
      </w:r>
      <w:r w:rsidR="00261B35" w:rsidRPr="00655CB3">
        <w:t xml:space="preserve">equiring </w:t>
      </w:r>
      <w:r w:rsidR="00A30707">
        <w:t>I</w:t>
      </w:r>
      <w:r w:rsidR="00261B35" w:rsidRPr="00655CB3">
        <w:t xml:space="preserve">ntrapartum CTG </w:t>
      </w:r>
      <w:r w:rsidR="00A30707">
        <w:t>M</w:t>
      </w:r>
      <w:r w:rsidR="00261B35" w:rsidRPr="00655CB3">
        <w:t>onitoring</w:t>
      </w:r>
      <w:bookmarkEnd w:id="33"/>
    </w:p>
    <w:p w14:paraId="3FD58671" w14:textId="1F2C120A" w:rsidR="00640A3D" w:rsidRDefault="001921D0" w:rsidP="00640A3D">
      <w:r w:rsidRPr="00A45744">
        <w:rPr>
          <w:noProof/>
          <w:lang w:eastAsia="en-AU"/>
        </w:rPr>
        <w:drawing>
          <wp:anchor distT="0" distB="0" distL="114300" distR="114300" simplePos="0" relativeHeight="251679744" behindDoc="1" locked="0" layoutInCell="1" allowOverlap="1" wp14:anchorId="788398E5" wp14:editId="32674DC6">
            <wp:simplePos x="0" y="0"/>
            <wp:positionH relativeFrom="margin">
              <wp:posOffset>452120</wp:posOffset>
            </wp:positionH>
            <wp:positionV relativeFrom="paragraph">
              <wp:posOffset>28575</wp:posOffset>
            </wp:positionV>
            <wp:extent cx="4895850" cy="5784850"/>
            <wp:effectExtent l="0" t="0" r="0" b="6350"/>
            <wp:wrapTight wrapText="bothSides">
              <wp:wrapPolygon edited="0">
                <wp:start x="0" y="0"/>
                <wp:lineTo x="0" y="21553"/>
                <wp:lineTo x="21516" y="21553"/>
                <wp:lineTo x="215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895850" cy="5784850"/>
                    </a:xfrm>
                    <a:prstGeom prst="rect">
                      <a:avLst/>
                    </a:prstGeom>
                  </pic:spPr>
                </pic:pic>
              </a:graphicData>
            </a:graphic>
            <wp14:sizeRelH relativeFrom="margin">
              <wp14:pctWidth>0</wp14:pctWidth>
            </wp14:sizeRelH>
            <wp14:sizeRelV relativeFrom="margin">
              <wp14:pctHeight>0</wp14:pctHeight>
            </wp14:sizeRelV>
          </wp:anchor>
        </w:drawing>
      </w:r>
    </w:p>
    <w:p w14:paraId="7D93735D" w14:textId="7DCC3C23" w:rsidR="00640A3D" w:rsidRDefault="00640A3D" w:rsidP="00640A3D"/>
    <w:p w14:paraId="1CBDC095" w14:textId="6D7956B6" w:rsidR="00640A3D" w:rsidRDefault="00640A3D" w:rsidP="00640A3D"/>
    <w:p w14:paraId="3691C91B" w14:textId="77777777" w:rsidR="00640A3D" w:rsidRDefault="00640A3D" w:rsidP="00640A3D"/>
    <w:p w14:paraId="11DCD466" w14:textId="77777777" w:rsidR="00640A3D" w:rsidRDefault="00640A3D" w:rsidP="00640A3D"/>
    <w:p w14:paraId="5FCCFA62" w14:textId="77777777" w:rsidR="00640A3D" w:rsidRDefault="00640A3D" w:rsidP="00640A3D"/>
    <w:p w14:paraId="55AE7DAF" w14:textId="77777777" w:rsidR="00640A3D" w:rsidRDefault="00640A3D" w:rsidP="00640A3D"/>
    <w:p w14:paraId="2218749F" w14:textId="77777777" w:rsidR="00640A3D" w:rsidRDefault="00640A3D" w:rsidP="00640A3D"/>
    <w:p w14:paraId="1F3ECDA2" w14:textId="77777777" w:rsidR="00640A3D" w:rsidRDefault="00640A3D" w:rsidP="00640A3D"/>
    <w:p w14:paraId="47637979" w14:textId="77777777" w:rsidR="00640A3D" w:rsidRDefault="00640A3D" w:rsidP="00640A3D"/>
    <w:p w14:paraId="4E37E495" w14:textId="77777777" w:rsidR="00640A3D" w:rsidRDefault="00640A3D" w:rsidP="00640A3D"/>
    <w:p w14:paraId="514908DC" w14:textId="77777777" w:rsidR="00640A3D" w:rsidRDefault="00640A3D" w:rsidP="00640A3D"/>
    <w:p w14:paraId="79E5CCDD" w14:textId="77777777" w:rsidR="00640A3D" w:rsidRDefault="00640A3D" w:rsidP="00640A3D"/>
    <w:p w14:paraId="7FF13E88" w14:textId="77777777" w:rsidR="00640A3D" w:rsidRDefault="00640A3D" w:rsidP="00640A3D"/>
    <w:p w14:paraId="64F8D82C" w14:textId="77777777" w:rsidR="00640A3D" w:rsidRDefault="00640A3D" w:rsidP="00640A3D"/>
    <w:p w14:paraId="3989F80F" w14:textId="77777777" w:rsidR="00640A3D" w:rsidRDefault="00640A3D" w:rsidP="00640A3D"/>
    <w:p w14:paraId="7CFE3CC0" w14:textId="77777777" w:rsidR="00640A3D" w:rsidRDefault="00640A3D" w:rsidP="00640A3D"/>
    <w:p w14:paraId="406D81C5" w14:textId="77777777" w:rsidR="00640A3D" w:rsidRDefault="00640A3D" w:rsidP="00640A3D"/>
    <w:p w14:paraId="44182B52" w14:textId="77777777" w:rsidR="00640A3D" w:rsidRDefault="00640A3D" w:rsidP="00640A3D"/>
    <w:p w14:paraId="6E42D0F0" w14:textId="77777777" w:rsidR="00640A3D" w:rsidRDefault="00640A3D" w:rsidP="00640A3D"/>
    <w:p w14:paraId="14567376" w14:textId="77777777" w:rsidR="00640A3D" w:rsidRDefault="00640A3D" w:rsidP="00640A3D"/>
    <w:p w14:paraId="53983B7A" w14:textId="77777777" w:rsidR="00640A3D" w:rsidRDefault="00640A3D" w:rsidP="00640A3D"/>
    <w:p w14:paraId="122E8759" w14:textId="77777777" w:rsidR="00640A3D" w:rsidRDefault="00640A3D" w:rsidP="00640A3D"/>
    <w:p w14:paraId="1E0B1483" w14:textId="77777777" w:rsidR="00640A3D" w:rsidRDefault="00640A3D" w:rsidP="00640A3D"/>
    <w:p w14:paraId="2A1E9B64" w14:textId="7076EFF0" w:rsidR="00640A3D" w:rsidRDefault="00640A3D" w:rsidP="00640A3D"/>
    <w:p w14:paraId="733C0ED6" w14:textId="77777777" w:rsidR="00640A3D" w:rsidRDefault="00640A3D" w:rsidP="00640A3D"/>
    <w:p w14:paraId="62121AD5" w14:textId="1B83348B" w:rsidR="00640A3D" w:rsidRDefault="00640A3D" w:rsidP="00640A3D"/>
    <w:p w14:paraId="6B9C3737" w14:textId="77777777" w:rsidR="00640A3D" w:rsidRDefault="00640A3D" w:rsidP="00640A3D"/>
    <w:p w14:paraId="62FF3104" w14:textId="43CD22D5" w:rsidR="00640A3D" w:rsidRDefault="00640A3D" w:rsidP="00640A3D"/>
    <w:p w14:paraId="73083FFD" w14:textId="77777777" w:rsidR="00640A3D" w:rsidRDefault="00640A3D" w:rsidP="00640A3D"/>
    <w:p w14:paraId="1E8BCF70" w14:textId="15DBE511" w:rsidR="00640A3D" w:rsidRDefault="00640A3D" w:rsidP="00640A3D"/>
    <w:p w14:paraId="74A1BF58" w14:textId="66084BCE" w:rsidR="00640A3D" w:rsidRDefault="00640A3D" w:rsidP="00640A3D"/>
    <w:p w14:paraId="7C3693FE" w14:textId="74899424" w:rsidR="00640A3D" w:rsidRDefault="00261B35" w:rsidP="00640A3D">
      <w:r w:rsidRPr="00640A3D">
        <w:rPr>
          <w:noProof/>
          <w:lang w:eastAsia="en-AU"/>
        </w:rPr>
        <w:drawing>
          <wp:anchor distT="0" distB="0" distL="114300" distR="114300" simplePos="0" relativeHeight="251677696" behindDoc="1" locked="0" layoutInCell="1" allowOverlap="1" wp14:anchorId="3263B9F8" wp14:editId="3D37C808">
            <wp:simplePos x="0" y="0"/>
            <wp:positionH relativeFrom="margin">
              <wp:posOffset>452120</wp:posOffset>
            </wp:positionH>
            <wp:positionV relativeFrom="paragraph">
              <wp:posOffset>36830</wp:posOffset>
            </wp:positionV>
            <wp:extent cx="4914265" cy="1924050"/>
            <wp:effectExtent l="0" t="0" r="635" b="0"/>
            <wp:wrapTight wrapText="bothSides">
              <wp:wrapPolygon edited="0">
                <wp:start x="0" y="0"/>
                <wp:lineTo x="0" y="21386"/>
                <wp:lineTo x="21519" y="21386"/>
                <wp:lineTo x="2151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914265" cy="1924050"/>
                    </a:xfrm>
                    <a:prstGeom prst="rect">
                      <a:avLst/>
                    </a:prstGeom>
                  </pic:spPr>
                </pic:pic>
              </a:graphicData>
            </a:graphic>
            <wp14:sizeRelH relativeFrom="margin">
              <wp14:pctWidth>0</wp14:pctWidth>
            </wp14:sizeRelH>
            <wp14:sizeRelV relativeFrom="margin">
              <wp14:pctHeight>0</wp14:pctHeight>
            </wp14:sizeRelV>
          </wp:anchor>
        </w:drawing>
      </w:r>
    </w:p>
    <w:p w14:paraId="54D86F62" w14:textId="642478F1" w:rsidR="00640A3D" w:rsidRDefault="00640A3D" w:rsidP="00640A3D"/>
    <w:p w14:paraId="0E35E30A" w14:textId="78C339B4" w:rsidR="00640A3D" w:rsidRDefault="00640A3D" w:rsidP="00640A3D"/>
    <w:p w14:paraId="4453A158" w14:textId="77777777" w:rsidR="00640A3D" w:rsidRDefault="00640A3D" w:rsidP="00640A3D"/>
    <w:p w14:paraId="576174F9" w14:textId="77777777" w:rsidR="00640A3D" w:rsidRDefault="00640A3D" w:rsidP="00640A3D"/>
    <w:p w14:paraId="50D163A6" w14:textId="77777777" w:rsidR="00640A3D" w:rsidRDefault="00640A3D" w:rsidP="00640A3D"/>
    <w:p w14:paraId="0BE8C66D" w14:textId="77777777" w:rsidR="00640A3D" w:rsidRPr="00AA3A06" w:rsidRDefault="00640A3D" w:rsidP="00640A3D"/>
    <w:p w14:paraId="7C110562" w14:textId="49A85A6C" w:rsidR="00640A3D" w:rsidRDefault="00640A3D" w:rsidP="00640A3D">
      <w:pPr>
        <w:rPr>
          <w:rFonts w:cs="Arial"/>
          <w:b/>
          <w:sz w:val="20"/>
        </w:rPr>
      </w:pPr>
    </w:p>
    <w:p w14:paraId="34086CE0" w14:textId="77777777" w:rsidR="00640A3D" w:rsidRDefault="00640A3D" w:rsidP="00640A3D">
      <w:pPr>
        <w:rPr>
          <w:rFonts w:cs="Arial"/>
          <w:b/>
          <w:sz w:val="20"/>
        </w:rPr>
      </w:pPr>
    </w:p>
    <w:p w14:paraId="424592FC" w14:textId="77777777" w:rsidR="00640A3D" w:rsidRDefault="00640A3D" w:rsidP="00640A3D">
      <w:pPr>
        <w:rPr>
          <w:rFonts w:cs="Arial"/>
          <w:b/>
          <w:sz w:val="20"/>
        </w:rPr>
      </w:pPr>
    </w:p>
    <w:p w14:paraId="02249D93" w14:textId="77777777" w:rsidR="00640A3D" w:rsidRDefault="00640A3D" w:rsidP="00640A3D">
      <w:pPr>
        <w:rPr>
          <w:rFonts w:cs="Arial"/>
          <w:b/>
          <w:sz w:val="20"/>
        </w:rPr>
      </w:pPr>
    </w:p>
    <w:p w14:paraId="51BDC394" w14:textId="77777777" w:rsidR="00640A3D" w:rsidRDefault="00640A3D" w:rsidP="00640A3D">
      <w:pPr>
        <w:rPr>
          <w:rFonts w:cs="Arial"/>
          <w:b/>
          <w:sz w:val="20"/>
        </w:rPr>
      </w:pPr>
    </w:p>
    <w:p w14:paraId="7804E0ED" w14:textId="77777777" w:rsidR="00640A3D" w:rsidRDefault="00640A3D" w:rsidP="00640A3D">
      <w:pPr>
        <w:rPr>
          <w:rFonts w:cs="Arial"/>
          <w:b/>
          <w:sz w:val="20"/>
        </w:rPr>
      </w:pPr>
    </w:p>
    <w:p w14:paraId="0FFC8C0A" w14:textId="411CFCDB" w:rsidR="00A45744" w:rsidRDefault="00A45744" w:rsidP="00153FB3">
      <w:pPr>
        <w:rPr>
          <w:rFonts w:cs="Arial"/>
          <w:b/>
          <w:sz w:val="20"/>
        </w:rPr>
      </w:pPr>
      <w:r w:rsidRPr="00A45744">
        <w:rPr>
          <w:noProof/>
          <w:lang w:eastAsia="en-AU"/>
        </w:rPr>
        <w:lastRenderedPageBreak/>
        <w:drawing>
          <wp:anchor distT="0" distB="0" distL="114300" distR="114300" simplePos="0" relativeHeight="251670528" behindDoc="1" locked="0" layoutInCell="1" allowOverlap="1" wp14:anchorId="0E715DFF" wp14:editId="4FEA711E">
            <wp:simplePos x="0" y="0"/>
            <wp:positionH relativeFrom="margin">
              <wp:posOffset>480695</wp:posOffset>
            </wp:positionH>
            <wp:positionV relativeFrom="paragraph">
              <wp:posOffset>3175</wp:posOffset>
            </wp:positionV>
            <wp:extent cx="5873750" cy="7648575"/>
            <wp:effectExtent l="0" t="0" r="0" b="9525"/>
            <wp:wrapTight wrapText="bothSides">
              <wp:wrapPolygon edited="0">
                <wp:start x="0" y="0"/>
                <wp:lineTo x="0" y="21573"/>
                <wp:lineTo x="21507" y="21573"/>
                <wp:lineTo x="215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873750" cy="7648575"/>
                    </a:xfrm>
                    <a:prstGeom prst="rect">
                      <a:avLst/>
                    </a:prstGeom>
                  </pic:spPr>
                </pic:pic>
              </a:graphicData>
            </a:graphic>
            <wp14:sizeRelH relativeFrom="margin">
              <wp14:pctWidth>0</wp14:pctWidth>
            </wp14:sizeRelH>
            <wp14:sizeRelV relativeFrom="margin">
              <wp14:pctHeight>0</wp14:pctHeight>
            </wp14:sizeRelV>
          </wp:anchor>
        </w:drawing>
      </w:r>
    </w:p>
    <w:p w14:paraId="00B4C14C" w14:textId="77777777" w:rsidR="00A45744" w:rsidRDefault="00A45744" w:rsidP="00153FB3">
      <w:pPr>
        <w:rPr>
          <w:rFonts w:cs="Arial"/>
          <w:b/>
          <w:sz w:val="20"/>
        </w:rPr>
      </w:pPr>
    </w:p>
    <w:p w14:paraId="038F3998" w14:textId="77777777" w:rsidR="00A45744" w:rsidRDefault="00A45744" w:rsidP="00153FB3">
      <w:pPr>
        <w:rPr>
          <w:rFonts w:cs="Arial"/>
          <w:b/>
          <w:sz w:val="20"/>
        </w:rPr>
      </w:pPr>
    </w:p>
    <w:p w14:paraId="4B9CB6AB" w14:textId="77777777" w:rsidR="00A45744" w:rsidRDefault="00A45744" w:rsidP="00153FB3">
      <w:pPr>
        <w:rPr>
          <w:rFonts w:cs="Arial"/>
          <w:b/>
          <w:sz w:val="20"/>
        </w:rPr>
      </w:pPr>
    </w:p>
    <w:p w14:paraId="066412C5" w14:textId="77777777" w:rsidR="00A45744" w:rsidRDefault="00A45744" w:rsidP="00153FB3">
      <w:pPr>
        <w:rPr>
          <w:rFonts w:cs="Arial"/>
          <w:b/>
          <w:sz w:val="20"/>
        </w:rPr>
      </w:pPr>
    </w:p>
    <w:p w14:paraId="14692FA2" w14:textId="77777777" w:rsidR="00A45744" w:rsidRDefault="00A45744" w:rsidP="00153FB3">
      <w:pPr>
        <w:rPr>
          <w:rFonts w:cs="Arial"/>
          <w:b/>
          <w:sz w:val="20"/>
        </w:rPr>
      </w:pPr>
    </w:p>
    <w:p w14:paraId="351DD37B" w14:textId="77777777" w:rsidR="00A45744" w:rsidRDefault="00A45744" w:rsidP="00153FB3">
      <w:pPr>
        <w:rPr>
          <w:rFonts w:cs="Arial"/>
          <w:b/>
          <w:sz w:val="20"/>
        </w:rPr>
      </w:pPr>
    </w:p>
    <w:p w14:paraId="3E1553BC" w14:textId="77777777" w:rsidR="00A45744" w:rsidRDefault="00A45744" w:rsidP="00153FB3">
      <w:pPr>
        <w:rPr>
          <w:rFonts w:cs="Arial"/>
          <w:b/>
          <w:sz w:val="20"/>
        </w:rPr>
      </w:pPr>
    </w:p>
    <w:p w14:paraId="7952AFDA" w14:textId="77777777" w:rsidR="00A45744" w:rsidRDefault="00A45744" w:rsidP="00153FB3">
      <w:pPr>
        <w:rPr>
          <w:rFonts w:cs="Arial"/>
          <w:b/>
          <w:sz w:val="20"/>
        </w:rPr>
      </w:pPr>
    </w:p>
    <w:p w14:paraId="1C84CB39" w14:textId="77777777" w:rsidR="00A45744" w:rsidRDefault="00A45744" w:rsidP="00153FB3">
      <w:pPr>
        <w:rPr>
          <w:rFonts w:cs="Arial"/>
          <w:b/>
          <w:sz w:val="20"/>
        </w:rPr>
      </w:pPr>
    </w:p>
    <w:p w14:paraId="7E77AAD8" w14:textId="77777777" w:rsidR="00A45744" w:rsidRDefault="00A45744" w:rsidP="00153FB3">
      <w:pPr>
        <w:rPr>
          <w:rFonts w:cs="Arial"/>
          <w:b/>
          <w:sz w:val="20"/>
        </w:rPr>
      </w:pPr>
    </w:p>
    <w:p w14:paraId="2F010FC5" w14:textId="77777777" w:rsidR="00A45744" w:rsidRDefault="00A45744" w:rsidP="00153FB3">
      <w:pPr>
        <w:rPr>
          <w:rFonts w:cs="Arial"/>
          <w:b/>
          <w:sz w:val="20"/>
        </w:rPr>
      </w:pPr>
    </w:p>
    <w:p w14:paraId="22E7A3F3" w14:textId="77777777" w:rsidR="00A45744" w:rsidRDefault="00A45744" w:rsidP="00153FB3">
      <w:pPr>
        <w:rPr>
          <w:rFonts w:cs="Arial"/>
          <w:b/>
          <w:sz w:val="20"/>
        </w:rPr>
      </w:pPr>
    </w:p>
    <w:p w14:paraId="5087CAA3" w14:textId="77777777" w:rsidR="00A45744" w:rsidRDefault="00A45744" w:rsidP="00153FB3">
      <w:pPr>
        <w:rPr>
          <w:rFonts w:cs="Arial"/>
          <w:b/>
          <w:sz w:val="20"/>
        </w:rPr>
      </w:pPr>
    </w:p>
    <w:p w14:paraId="2F81BFAB" w14:textId="77777777" w:rsidR="00A45744" w:rsidRDefault="00A45744" w:rsidP="00153FB3">
      <w:pPr>
        <w:rPr>
          <w:rFonts w:cs="Arial"/>
          <w:b/>
          <w:sz w:val="20"/>
        </w:rPr>
      </w:pPr>
    </w:p>
    <w:p w14:paraId="416BEFEF" w14:textId="77777777" w:rsidR="00A45744" w:rsidRDefault="00A45744" w:rsidP="00153FB3">
      <w:pPr>
        <w:rPr>
          <w:rFonts w:cs="Arial"/>
          <w:b/>
          <w:sz w:val="20"/>
        </w:rPr>
      </w:pPr>
    </w:p>
    <w:p w14:paraId="12D1997A" w14:textId="77777777" w:rsidR="00A45744" w:rsidRDefault="00A45744" w:rsidP="00153FB3">
      <w:pPr>
        <w:rPr>
          <w:rFonts w:cs="Arial"/>
          <w:b/>
          <w:sz w:val="20"/>
        </w:rPr>
      </w:pPr>
    </w:p>
    <w:p w14:paraId="3B3A4803" w14:textId="77777777" w:rsidR="00A45744" w:rsidRDefault="00A45744" w:rsidP="00153FB3">
      <w:pPr>
        <w:rPr>
          <w:rFonts w:cs="Arial"/>
          <w:b/>
          <w:sz w:val="20"/>
        </w:rPr>
      </w:pPr>
    </w:p>
    <w:p w14:paraId="2970F20A" w14:textId="77777777" w:rsidR="00A45744" w:rsidRDefault="00A45744" w:rsidP="00153FB3">
      <w:pPr>
        <w:rPr>
          <w:rFonts w:cs="Arial"/>
          <w:b/>
          <w:sz w:val="20"/>
        </w:rPr>
      </w:pPr>
    </w:p>
    <w:p w14:paraId="06BE9A5B" w14:textId="77777777" w:rsidR="00A45744" w:rsidRDefault="00A45744" w:rsidP="00153FB3">
      <w:pPr>
        <w:rPr>
          <w:rFonts w:cs="Arial"/>
          <w:b/>
          <w:sz w:val="20"/>
        </w:rPr>
      </w:pPr>
    </w:p>
    <w:p w14:paraId="43AD5A03" w14:textId="77777777" w:rsidR="00A45744" w:rsidRDefault="00A45744" w:rsidP="00153FB3">
      <w:pPr>
        <w:rPr>
          <w:rFonts w:cs="Arial"/>
          <w:b/>
          <w:sz w:val="20"/>
        </w:rPr>
      </w:pPr>
    </w:p>
    <w:p w14:paraId="2F2527C0" w14:textId="77777777" w:rsidR="00A45744" w:rsidRDefault="00A45744" w:rsidP="00153FB3">
      <w:pPr>
        <w:rPr>
          <w:rFonts w:cs="Arial"/>
          <w:b/>
          <w:sz w:val="20"/>
        </w:rPr>
      </w:pPr>
    </w:p>
    <w:p w14:paraId="3245CF5B" w14:textId="77777777" w:rsidR="00A45744" w:rsidRDefault="00A45744" w:rsidP="00153FB3">
      <w:pPr>
        <w:rPr>
          <w:rFonts w:cs="Arial"/>
          <w:b/>
          <w:sz w:val="20"/>
        </w:rPr>
      </w:pPr>
    </w:p>
    <w:p w14:paraId="5412B0A9" w14:textId="77777777" w:rsidR="00A45744" w:rsidRDefault="00A45744" w:rsidP="00153FB3">
      <w:pPr>
        <w:rPr>
          <w:rFonts w:cs="Arial"/>
          <w:b/>
          <w:sz w:val="20"/>
        </w:rPr>
      </w:pPr>
    </w:p>
    <w:p w14:paraId="4104DB0E" w14:textId="77777777" w:rsidR="00A45744" w:rsidRDefault="00A45744" w:rsidP="00153FB3">
      <w:pPr>
        <w:rPr>
          <w:rFonts w:cs="Arial"/>
          <w:b/>
          <w:sz w:val="20"/>
        </w:rPr>
      </w:pPr>
    </w:p>
    <w:p w14:paraId="2FD82976" w14:textId="77777777" w:rsidR="00A45744" w:rsidRDefault="00A45744" w:rsidP="00153FB3">
      <w:pPr>
        <w:rPr>
          <w:rFonts w:cs="Arial"/>
          <w:b/>
          <w:sz w:val="20"/>
        </w:rPr>
      </w:pPr>
    </w:p>
    <w:p w14:paraId="37283B92" w14:textId="77777777" w:rsidR="00A45744" w:rsidRDefault="00A45744" w:rsidP="00153FB3">
      <w:pPr>
        <w:rPr>
          <w:rFonts w:cs="Arial"/>
          <w:b/>
          <w:sz w:val="20"/>
        </w:rPr>
      </w:pPr>
    </w:p>
    <w:p w14:paraId="2473BB16" w14:textId="77777777" w:rsidR="00A45744" w:rsidRDefault="00A45744" w:rsidP="00153FB3">
      <w:pPr>
        <w:rPr>
          <w:rFonts w:cs="Arial"/>
          <w:b/>
          <w:sz w:val="20"/>
        </w:rPr>
      </w:pPr>
    </w:p>
    <w:p w14:paraId="67AC211F" w14:textId="77777777" w:rsidR="00A45744" w:rsidRDefault="00A45744" w:rsidP="00153FB3">
      <w:pPr>
        <w:rPr>
          <w:rFonts w:cs="Arial"/>
          <w:b/>
          <w:sz w:val="20"/>
        </w:rPr>
      </w:pPr>
    </w:p>
    <w:p w14:paraId="2666597A" w14:textId="77777777" w:rsidR="00A45744" w:rsidRDefault="00A45744" w:rsidP="00153FB3">
      <w:pPr>
        <w:rPr>
          <w:rFonts w:cs="Arial"/>
          <w:b/>
          <w:sz w:val="20"/>
        </w:rPr>
      </w:pPr>
    </w:p>
    <w:p w14:paraId="2E09D966" w14:textId="77777777" w:rsidR="00A45744" w:rsidRDefault="00A45744" w:rsidP="00153FB3">
      <w:pPr>
        <w:rPr>
          <w:rFonts w:cs="Arial"/>
          <w:b/>
          <w:sz w:val="20"/>
        </w:rPr>
      </w:pPr>
    </w:p>
    <w:p w14:paraId="73D118F2" w14:textId="77777777" w:rsidR="00A45744" w:rsidRDefault="00A45744" w:rsidP="00153FB3">
      <w:pPr>
        <w:rPr>
          <w:rFonts w:cs="Arial"/>
          <w:b/>
          <w:sz w:val="20"/>
        </w:rPr>
      </w:pPr>
    </w:p>
    <w:p w14:paraId="0168E2DB" w14:textId="77777777" w:rsidR="00A45744" w:rsidRDefault="00A45744" w:rsidP="00153FB3">
      <w:pPr>
        <w:rPr>
          <w:rFonts w:cs="Arial"/>
          <w:b/>
          <w:sz w:val="20"/>
        </w:rPr>
      </w:pPr>
    </w:p>
    <w:p w14:paraId="6668F858" w14:textId="77777777" w:rsidR="00A45744" w:rsidRDefault="00A45744" w:rsidP="00153FB3">
      <w:pPr>
        <w:rPr>
          <w:rFonts w:cs="Arial"/>
          <w:b/>
          <w:sz w:val="20"/>
        </w:rPr>
      </w:pPr>
    </w:p>
    <w:p w14:paraId="427AECC0" w14:textId="77777777" w:rsidR="00A45744" w:rsidRDefault="00A45744" w:rsidP="00153FB3">
      <w:pPr>
        <w:rPr>
          <w:rFonts w:cs="Arial"/>
          <w:b/>
          <w:sz w:val="20"/>
        </w:rPr>
      </w:pPr>
    </w:p>
    <w:p w14:paraId="2C0353E5" w14:textId="77777777" w:rsidR="00A45744" w:rsidRDefault="00A45744" w:rsidP="00153FB3">
      <w:pPr>
        <w:rPr>
          <w:rFonts w:cs="Arial"/>
          <w:b/>
          <w:sz w:val="20"/>
        </w:rPr>
      </w:pPr>
    </w:p>
    <w:p w14:paraId="671A8C42" w14:textId="77777777" w:rsidR="00A45744" w:rsidRDefault="00A45744" w:rsidP="00153FB3">
      <w:pPr>
        <w:rPr>
          <w:rFonts w:cs="Arial"/>
          <w:b/>
          <w:sz w:val="20"/>
        </w:rPr>
      </w:pPr>
    </w:p>
    <w:p w14:paraId="53FA0556" w14:textId="77777777" w:rsidR="00A45744" w:rsidRDefault="00A45744" w:rsidP="00153FB3">
      <w:pPr>
        <w:rPr>
          <w:rFonts w:cs="Arial"/>
          <w:b/>
          <w:sz w:val="20"/>
        </w:rPr>
      </w:pPr>
    </w:p>
    <w:p w14:paraId="076AC244" w14:textId="77777777" w:rsidR="00A45744" w:rsidRDefault="00A45744" w:rsidP="00153FB3">
      <w:pPr>
        <w:rPr>
          <w:rFonts w:cs="Arial"/>
          <w:b/>
          <w:sz w:val="20"/>
        </w:rPr>
      </w:pPr>
    </w:p>
    <w:p w14:paraId="3ACA3690" w14:textId="77777777" w:rsidR="00A45744" w:rsidRDefault="00A45744" w:rsidP="00153FB3">
      <w:pPr>
        <w:rPr>
          <w:rFonts w:cs="Arial"/>
          <w:b/>
          <w:sz w:val="20"/>
        </w:rPr>
      </w:pPr>
    </w:p>
    <w:p w14:paraId="506E1B9F" w14:textId="77777777" w:rsidR="00A45744" w:rsidRDefault="00A45744" w:rsidP="00153FB3">
      <w:pPr>
        <w:rPr>
          <w:rFonts w:cs="Arial"/>
          <w:b/>
          <w:sz w:val="20"/>
        </w:rPr>
      </w:pPr>
    </w:p>
    <w:p w14:paraId="016C9041" w14:textId="77777777" w:rsidR="00A45744" w:rsidRDefault="00A45744" w:rsidP="00153FB3">
      <w:pPr>
        <w:rPr>
          <w:rFonts w:cs="Arial"/>
          <w:b/>
          <w:sz w:val="20"/>
        </w:rPr>
      </w:pPr>
    </w:p>
    <w:p w14:paraId="7D1CCEEB" w14:textId="77777777" w:rsidR="00A45744" w:rsidRDefault="00A45744" w:rsidP="00153FB3">
      <w:pPr>
        <w:rPr>
          <w:rFonts w:cs="Arial"/>
          <w:b/>
          <w:sz w:val="20"/>
        </w:rPr>
      </w:pPr>
    </w:p>
    <w:p w14:paraId="56F1A1CC" w14:textId="77777777" w:rsidR="00A45744" w:rsidRDefault="00A45744" w:rsidP="00153FB3">
      <w:pPr>
        <w:rPr>
          <w:rFonts w:cs="Arial"/>
          <w:b/>
          <w:sz w:val="20"/>
        </w:rPr>
      </w:pPr>
    </w:p>
    <w:p w14:paraId="3680F501" w14:textId="4B15A508" w:rsidR="00A45744" w:rsidRDefault="00A45744" w:rsidP="00153FB3">
      <w:pPr>
        <w:rPr>
          <w:rFonts w:cs="Arial"/>
          <w:b/>
          <w:sz w:val="20"/>
        </w:rPr>
      </w:pPr>
    </w:p>
    <w:p w14:paraId="1868F103" w14:textId="3E3725DC" w:rsidR="00A45744" w:rsidRDefault="00A45744" w:rsidP="00153FB3">
      <w:pPr>
        <w:rPr>
          <w:rFonts w:cs="Arial"/>
          <w:b/>
          <w:sz w:val="20"/>
        </w:rPr>
      </w:pPr>
    </w:p>
    <w:p w14:paraId="64B44BE6" w14:textId="73D0B4BB" w:rsidR="00A45744" w:rsidRDefault="00A45744" w:rsidP="00153FB3">
      <w:pPr>
        <w:rPr>
          <w:rFonts w:cs="Arial"/>
          <w:b/>
          <w:sz w:val="20"/>
        </w:rPr>
      </w:pPr>
    </w:p>
    <w:p w14:paraId="28B265A4" w14:textId="5EF21A38" w:rsidR="00A45744" w:rsidRDefault="00A45744" w:rsidP="00153FB3">
      <w:pPr>
        <w:rPr>
          <w:rFonts w:cs="Arial"/>
          <w:b/>
          <w:sz w:val="20"/>
        </w:rPr>
      </w:pPr>
    </w:p>
    <w:p w14:paraId="08E4C7CA" w14:textId="4BD14402" w:rsidR="00A45744" w:rsidRDefault="00A45744" w:rsidP="00153FB3">
      <w:pPr>
        <w:rPr>
          <w:rFonts w:cs="Arial"/>
          <w:b/>
          <w:sz w:val="20"/>
        </w:rPr>
      </w:pPr>
    </w:p>
    <w:p w14:paraId="362AE056" w14:textId="25ED1464" w:rsidR="00A45744" w:rsidRDefault="00A45744" w:rsidP="00153FB3">
      <w:pPr>
        <w:rPr>
          <w:rFonts w:cs="Arial"/>
          <w:b/>
          <w:sz w:val="20"/>
        </w:rPr>
      </w:pPr>
    </w:p>
    <w:sectPr w:rsidR="00A45744" w:rsidSect="00B10F87">
      <w:headerReference w:type="default" r:id="rId21"/>
      <w:footerReference w:type="default" r:id="rId2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7BCBA" w14:textId="77777777" w:rsidR="00170C4A" w:rsidRDefault="00170C4A" w:rsidP="00F66CB0">
      <w:r>
        <w:separator/>
      </w:r>
    </w:p>
  </w:endnote>
  <w:endnote w:type="continuationSeparator" w:id="0">
    <w:p w14:paraId="756BCBBB" w14:textId="77777777" w:rsidR="00170C4A" w:rsidRDefault="00170C4A"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293DA349" w:rsidR="001670BB" w:rsidRPr="00542EE6" w:rsidRDefault="00EA305F" w:rsidP="00B10F87">
          <w:pPr>
            <w:pStyle w:val="Footer"/>
            <w:rPr>
              <w:rFonts w:cs="Arial"/>
              <w:b/>
              <w:bCs/>
              <w:sz w:val="20"/>
            </w:rPr>
          </w:pPr>
          <w:r>
            <w:rPr>
              <w:b/>
              <w:sz w:val="20"/>
            </w:rPr>
            <w:t>CHS22/370</w:t>
          </w:r>
        </w:p>
      </w:tc>
      <w:tc>
        <w:tcPr>
          <w:tcW w:w="965" w:type="dxa"/>
        </w:tcPr>
        <w:p w14:paraId="08682A7E" w14:textId="765527AF" w:rsidR="001670BB" w:rsidRPr="00B3752F" w:rsidRDefault="00EA305F" w:rsidP="00B10F87">
          <w:pPr>
            <w:pStyle w:val="Footer"/>
            <w:rPr>
              <w:rFonts w:cs="Arial"/>
              <w:b/>
              <w:bCs/>
              <w:sz w:val="20"/>
            </w:rPr>
          </w:pPr>
          <w:r>
            <w:rPr>
              <w:rFonts w:cs="Arial"/>
              <w:b/>
              <w:bCs/>
              <w:sz w:val="20"/>
            </w:rPr>
            <w:t>1</w:t>
          </w:r>
        </w:p>
      </w:tc>
      <w:tc>
        <w:tcPr>
          <w:tcW w:w="1552" w:type="dxa"/>
        </w:tcPr>
        <w:p w14:paraId="08682A7F" w14:textId="0BCE5050" w:rsidR="001670BB" w:rsidRPr="00B3752F" w:rsidRDefault="00EA305F" w:rsidP="00B10F87">
          <w:pPr>
            <w:pStyle w:val="Footer"/>
            <w:rPr>
              <w:rFonts w:cs="Arial"/>
              <w:b/>
              <w:bCs/>
              <w:sz w:val="20"/>
            </w:rPr>
          </w:pPr>
          <w:r>
            <w:rPr>
              <w:rFonts w:cs="Arial"/>
              <w:b/>
              <w:bCs/>
              <w:sz w:val="20"/>
            </w:rPr>
            <w:t>04/10/2022</w:t>
          </w:r>
        </w:p>
      </w:tc>
      <w:tc>
        <w:tcPr>
          <w:tcW w:w="1456" w:type="dxa"/>
        </w:tcPr>
        <w:p w14:paraId="08682A80" w14:textId="1655CFF8" w:rsidR="001670BB" w:rsidRPr="00B3752F" w:rsidRDefault="00EA305F" w:rsidP="00470E63">
          <w:pPr>
            <w:pStyle w:val="Footer"/>
            <w:rPr>
              <w:rFonts w:cs="Arial"/>
              <w:b/>
              <w:bCs/>
              <w:sz w:val="20"/>
            </w:rPr>
          </w:pPr>
          <w:r>
            <w:rPr>
              <w:rFonts w:cs="Arial"/>
              <w:b/>
              <w:bCs/>
              <w:sz w:val="20"/>
            </w:rPr>
            <w:t>01/10/2025</w:t>
          </w:r>
        </w:p>
      </w:tc>
      <w:tc>
        <w:tcPr>
          <w:tcW w:w="1746" w:type="dxa"/>
        </w:tcPr>
        <w:p w14:paraId="08682A81" w14:textId="607157D4" w:rsidR="001670BB" w:rsidRPr="00B3752F" w:rsidRDefault="00EA305F" w:rsidP="00B10F87">
          <w:pPr>
            <w:pStyle w:val="Footer"/>
            <w:rPr>
              <w:rFonts w:cs="Arial"/>
              <w:b/>
              <w:bCs/>
              <w:sz w:val="20"/>
            </w:rPr>
          </w:pPr>
          <w:r>
            <w:rPr>
              <w:rFonts w:cs="Arial"/>
              <w:b/>
              <w:bCs/>
              <w:sz w:val="20"/>
            </w:rPr>
            <w:t>WYC</w:t>
          </w:r>
        </w:p>
      </w:tc>
      <w:tc>
        <w:tcPr>
          <w:tcW w:w="1836" w:type="dxa"/>
        </w:tcPr>
        <w:p w14:paraId="08682A82" w14:textId="4D8F397E"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562A42">
            <w:rPr>
              <w:rStyle w:val="PageNumber"/>
              <w:noProof/>
              <w:sz w:val="20"/>
            </w:rPr>
            <w:t>7</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562A42">
            <w:rPr>
              <w:rStyle w:val="PageNumber"/>
              <w:noProof/>
              <w:sz w:val="20"/>
            </w:rPr>
            <w:t>11</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0851" w14:textId="77777777" w:rsidR="00170C4A" w:rsidRDefault="00170C4A" w:rsidP="00F66CB0">
      <w:r>
        <w:separator/>
      </w:r>
    </w:p>
  </w:footnote>
  <w:footnote w:type="continuationSeparator" w:id="0">
    <w:p w14:paraId="6B14820F" w14:textId="77777777" w:rsidR="00170C4A" w:rsidRDefault="00170C4A"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7A5C0C75" w:rsidR="00A939DF" w:rsidRDefault="00EA305F" w:rsidP="00A939DF">
          <w:pPr>
            <w:pStyle w:val="Header"/>
            <w:tabs>
              <w:tab w:val="left" w:pos="720"/>
            </w:tabs>
            <w:jc w:val="right"/>
            <w:rPr>
              <w:sz w:val="20"/>
            </w:rPr>
          </w:pPr>
          <w:bookmarkStart w:id="34" w:name="_top"/>
          <w:bookmarkEnd w:id="34"/>
          <w:r>
            <w:rPr>
              <w:sz w:val="20"/>
            </w:rPr>
            <w:t>CHS22/370</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6466D4"/>
    <w:multiLevelType w:val="hybridMultilevel"/>
    <w:tmpl w:val="9864E074"/>
    <w:lvl w:ilvl="0" w:tplc="5D3A0E86">
      <w:start w:val="1"/>
      <w:numFmt w:val="decimal"/>
      <w:lvlText w:val="%1."/>
      <w:lvlJc w:val="left"/>
      <w:pPr>
        <w:ind w:left="1440" w:hanging="360"/>
      </w:pPr>
      <w:rPr>
        <w:b w:val="0"/>
        <w:bCs/>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8A95BAE"/>
    <w:multiLevelType w:val="hybridMultilevel"/>
    <w:tmpl w:val="D7380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2E3305"/>
    <w:multiLevelType w:val="hybridMultilevel"/>
    <w:tmpl w:val="02AA7D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CB23268"/>
    <w:multiLevelType w:val="hybridMultilevel"/>
    <w:tmpl w:val="1F463F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9857F0"/>
    <w:multiLevelType w:val="hybridMultilevel"/>
    <w:tmpl w:val="AB3CC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8C5905"/>
    <w:multiLevelType w:val="hybridMultilevel"/>
    <w:tmpl w:val="BF6C4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12300E"/>
    <w:multiLevelType w:val="hybridMultilevel"/>
    <w:tmpl w:val="68DC4D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75656E"/>
    <w:multiLevelType w:val="hybridMultilevel"/>
    <w:tmpl w:val="EFDEA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191C70"/>
    <w:multiLevelType w:val="hybridMultilevel"/>
    <w:tmpl w:val="6CE039CA"/>
    <w:lvl w:ilvl="0" w:tplc="E99A3A04">
      <w:start w:val="1"/>
      <w:numFmt w:val="bullet"/>
      <w:lvlText w:val="o"/>
      <w:lvlJc w:val="left"/>
      <w:pPr>
        <w:ind w:left="771" w:hanging="360"/>
      </w:pPr>
      <w:rPr>
        <w:rFonts w:ascii="Courier New" w:hAnsi="Courier New"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4" w15:restartNumberingAfterBreak="0">
    <w:nsid w:val="34D80006"/>
    <w:multiLevelType w:val="hybridMultilevel"/>
    <w:tmpl w:val="382657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C8350A"/>
    <w:multiLevelType w:val="hybridMultilevel"/>
    <w:tmpl w:val="F7EE0C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1D1400"/>
    <w:multiLevelType w:val="hybridMultilevel"/>
    <w:tmpl w:val="ED00DAE8"/>
    <w:lvl w:ilvl="0" w:tplc="F678254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BF302B"/>
    <w:multiLevelType w:val="hybridMultilevel"/>
    <w:tmpl w:val="345C11BA"/>
    <w:lvl w:ilvl="0" w:tplc="E99A3A04">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0" w15:restartNumberingAfterBreak="0">
    <w:nsid w:val="514F10F9"/>
    <w:multiLevelType w:val="hybridMultilevel"/>
    <w:tmpl w:val="CAFE23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8A5F37"/>
    <w:multiLevelType w:val="hybridMultilevel"/>
    <w:tmpl w:val="22CE7A3A"/>
    <w:lvl w:ilvl="0" w:tplc="F678254A">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597689C"/>
    <w:multiLevelType w:val="hybridMultilevel"/>
    <w:tmpl w:val="11E49C62"/>
    <w:lvl w:ilvl="0" w:tplc="F678254A">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
  </w:num>
  <w:num w:numId="3">
    <w:abstractNumId w:val="23"/>
  </w:num>
  <w:num w:numId="4">
    <w:abstractNumId w:val="7"/>
  </w:num>
  <w:num w:numId="5">
    <w:abstractNumId w:val="8"/>
  </w:num>
  <w:num w:numId="6">
    <w:abstractNumId w:val="6"/>
  </w:num>
  <w:num w:numId="7">
    <w:abstractNumId w:val="24"/>
  </w:num>
  <w:num w:numId="8">
    <w:abstractNumId w:val="19"/>
  </w:num>
  <w:num w:numId="9">
    <w:abstractNumId w:val="18"/>
  </w:num>
  <w:num w:numId="10">
    <w:abstractNumId w:val="18"/>
  </w:num>
  <w:num w:numId="11">
    <w:abstractNumId w:val="3"/>
  </w:num>
  <w:num w:numId="12">
    <w:abstractNumId w:val="9"/>
  </w:num>
  <w:num w:numId="13">
    <w:abstractNumId w:val="15"/>
  </w:num>
  <w:num w:numId="14">
    <w:abstractNumId w:val="5"/>
  </w:num>
  <w:num w:numId="15">
    <w:abstractNumId w:val="10"/>
  </w:num>
  <w:num w:numId="16">
    <w:abstractNumId w:val="1"/>
  </w:num>
  <w:num w:numId="17">
    <w:abstractNumId w:val="17"/>
  </w:num>
  <w:num w:numId="18">
    <w:abstractNumId w:val="13"/>
  </w:num>
  <w:num w:numId="19">
    <w:abstractNumId w:val="14"/>
  </w:num>
  <w:num w:numId="20">
    <w:abstractNumId w:val="20"/>
  </w:num>
  <w:num w:numId="21">
    <w:abstractNumId w:val="11"/>
  </w:num>
  <w:num w:numId="22">
    <w:abstractNumId w:val="4"/>
  </w:num>
  <w:num w:numId="23">
    <w:abstractNumId w:val="12"/>
  </w:num>
  <w:num w:numId="24">
    <w:abstractNumId w:val="16"/>
  </w:num>
  <w:num w:numId="25">
    <w:abstractNumId w:val="2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42C71"/>
    <w:rsid w:val="000728F3"/>
    <w:rsid w:val="000824C1"/>
    <w:rsid w:val="0008565B"/>
    <w:rsid w:val="000A3D5E"/>
    <w:rsid w:val="000B5C8C"/>
    <w:rsid w:val="000C59E2"/>
    <w:rsid w:val="000C7B2D"/>
    <w:rsid w:val="000D6304"/>
    <w:rsid w:val="000E44DA"/>
    <w:rsid w:val="000F7B7E"/>
    <w:rsid w:val="0010015B"/>
    <w:rsid w:val="00103EEA"/>
    <w:rsid w:val="001228B7"/>
    <w:rsid w:val="00153FB3"/>
    <w:rsid w:val="001670BB"/>
    <w:rsid w:val="00170C4A"/>
    <w:rsid w:val="0018239D"/>
    <w:rsid w:val="00191109"/>
    <w:rsid w:val="001921D0"/>
    <w:rsid w:val="001A0053"/>
    <w:rsid w:val="001B2465"/>
    <w:rsid w:val="001E64DB"/>
    <w:rsid w:val="001F2829"/>
    <w:rsid w:val="001F6D2D"/>
    <w:rsid w:val="00205AF9"/>
    <w:rsid w:val="00240B97"/>
    <w:rsid w:val="00244B3E"/>
    <w:rsid w:val="0025382D"/>
    <w:rsid w:val="00253F5A"/>
    <w:rsid w:val="00261B35"/>
    <w:rsid w:val="00263BA6"/>
    <w:rsid w:val="00266379"/>
    <w:rsid w:val="0026690C"/>
    <w:rsid w:val="0027264D"/>
    <w:rsid w:val="00284CFE"/>
    <w:rsid w:val="00292229"/>
    <w:rsid w:val="00293E43"/>
    <w:rsid w:val="002B478A"/>
    <w:rsid w:val="002B5F43"/>
    <w:rsid w:val="002C05A8"/>
    <w:rsid w:val="002D64FD"/>
    <w:rsid w:val="002F1D59"/>
    <w:rsid w:val="002F7AFC"/>
    <w:rsid w:val="00313707"/>
    <w:rsid w:val="00376A6D"/>
    <w:rsid w:val="00380B98"/>
    <w:rsid w:val="003821E3"/>
    <w:rsid w:val="00396023"/>
    <w:rsid w:val="00396F11"/>
    <w:rsid w:val="003C4BB5"/>
    <w:rsid w:val="003E167B"/>
    <w:rsid w:val="003E4CC0"/>
    <w:rsid w:val="003F3D8F"/>
    <w:rsid w:val="00412CED"/>
    <w:rsid w:val="00427139"/>
    <w:rsid w:val="004358E9"/>
    <w:rsid w:val="00447B55"/>
    <w:rsid w:val="0045491F"/>
    <w:rsid w:val="00465C91"/>
    <w:rsid w:val="00470E63"/>
    <w:rsid w:val="00487DD5"/>
    <w:rsid w:val="004A2E02"/>
    <w:rsid w:val="004A5030"/>
    <w:rsid w:val="004A6A76"/>
    <w:rsid w:val="004B7C43"/>
    <w:rsid w:val="004C2B20"/>
    <w:rsid w:val="004E28AD"/>
    <w:rsid w:val="004F1D05"/>
    <w:rsid w:val="0050147B"/>
    <w:rsid w:val="00503F75"/>
    <w:rsid w:val="0052443C"/>
    <w:rsid w:val="0052775E"/>
    <w:rsid w:val="00542514"/>
    <w:rsid w:val="00546AED"/>
    <w:rsid w:val="00560A74"/>
    <w:rsid w:val="005621E4"/>
    <w:rsid w:val="00562A42"/>
    <w:rsid w:val="005736DB"/>
    <w:rsid w:val="005743AC"/>
    <w:rsid w:val="00596FD7"/>
    <w:rsid w:val="005A3625"/>
    <w:rsid w:val="005B4738"/>
    <w:rsid w:val="005C212D"/>
    <w:rsid w:val="005C3CB0"/>
    <w:rsid w:val="00612231"/>
    <w:rsid w:val="00614380"/>
    <w:rsid w:val="00635EB1"/>
    <w:rsid w:val="00640A3D"/>
    <w:rsid w:val="006473BB"/>
    <w:rsid w:val="0065246A"/>
    <w:rsid w:val="00655CB3"/>
    <w:rsid w:val="00656DC1"/>
    <w:rsid w:val="0066495D"/>
    <w:rsid w:val="006743DB"/>
    <w:rsid w:val="00695EB6"/>
    <w:rsid w:val="006A019F"/>
    <w:rsid w:val="006A4D46"/>
    <w:rsid w:val="006A6024"/>
    <w:rsid w:val="006C31FF"/>
    <w:rsid w:val="006C6B6C"/>
    <w:rsid w:val="006C704D"/>
    <w:rsid w:val="0070331D"/>
    <w:rsid w:val="00741B43"/>
    <w:rsid w:val="0074326F"/>
    <w:rsid w:val="00756537"/>
    <w:rsid w:val="00775280"/>
    <w:rsid w:val="007A0EBC"/>
    <w:rsid w:val="007B4ABB"/>
    <w:rsid w:val="007B6904"/>
    <w:rsid w:val="007D3A08"/>
    <w:rsid w:val="00816782"/>
    <w:rsid w:val="0082141D"/>
    <w:rsid w:val="00827F24"/>
    <w:rsid w:val="00855DA8"/>
    <w:rsid w:val="00865480"/>
    <w:rsid w:val="008732E4"/>
    <w:rsid w:val="00886399"/>
    <w:rsid w:val="008974CA"/>
    <w:rsid w:val="008D0559"/>
    <w:rsid w:val="008D232E"/>
    <w:rsid w:val="008E1F7F"/>
    <w:rsid w:val="008E3427"/>
    <w:rsid w:val="008E6486"/>
    <w:rsid w:val="008E74FD"/>
    <w:rsid w:val="008E7509"/>
    <w:rsid w:val="008F00E8"/>
    <w:rsid w:val="008F6921"/>
    <w:rsid w:val="0093026F"/>
    <w:rsid w:val="00933EED"/>
    <w:rsid w:val="00940CDE"/>
    <w:rsid w:val="00945298"/>
    <w:rsid w:val="0097742A"/>
    <w:rsid w:val="00977F93"/>
    <w:rsid w:val="00980AE7"/>
    <w:rsid w:val="00980EED"/>
    <w:rsid w:val="0098312B"/>
    <w:rsid w:val="0098579F"/>
    <w:rsid w:val="00991670"/>
    <w:rsid w:val="009A534C"/>
    <w:rsid w:val="009B0E44"/>
    <w:rsid w:val="009B1C0F"/>
    <w:rsid w:val="009B4A8F"/>
    <w:rsid w:val="009B6C8C"/>
    <w:rsid w:val="009B6F42"/>
    <w:rsid w:val="009C0FCA"/>
    <w:rsid w:val="009C3963"/>
    <w:rsid w:val="009C7C3E"/>
    <w:rsid w:val="009D323C"/>
    <w:rsid w:val="00A063FE"/>
    <w:rsid w:val="00A13087"/>
    <w:rsid w:val="00A2470F"/>
    <w:rsid w:val="00A30707"/>
    <w:rsid w:val="00A3469C"/>
    <w:rsid w:val="00A350E5"/>
    <w:rsid w:val="00A35E2D"/>
    <w:rsid w:val="00A36832"/>
    <w:rsid w:val="00A45744"/>
    <w:rsid w:val="00A74B8A"/>
    <w:rsid w:val="00A85F61"/>
    <w:rsid w:val="00A86A9D"/>
    <w:rsid w:val="00A86DB3"/>
    <w:rsid w:val="00A939DF"/>
    <w:rsid w:val="00AA25DC"/>
    <w:rsid w:val="00AA3A06"/>
    <w:rsid w:val="00B10F87"/>
    <w:rsid w:val="00B11471"/>
    <w:rsid w:val="00B17115"/>
    <w:rsid w:val="00B21043"/>
    <w:rsid w:val="00B30DA2"/>
    <w:rsid w:val="00B44CAC"/>
    <w:rsid w:val="00B453FC"/>
    <w:rsid w:val="00B573D6"/>
    <w:rsid w:val="00B61F35"/>
    <w:rsid w:val="00B634F1"/>
    <w:rsid w:val="00B81455"/>
    <w:rsid w:val="00B9627F"/>
    <w:rsid w:val="00BA0A1B"/>
    <w:rsid w:val="00BA2415"/>
    <w:rsid w:val="00BA4F95"/>
    <w:rsid w:val="00BA5B60"/>
    <w:rsid w:val="00BB33F9"/>
    <w:rsid w:val="00BC3CE6"/>
    <w:rsid w:val="00BD03DB"/>
    <w:rsid w:val="00BD3AF2"/>
    <w:rsid w:val="00BE5E41"/>
    <w:rsid w:val="00C108C2"/>
    <w:rsid w:val="00C13435"/>
    <w:rsid w:val="00C13D33"/>
    <w:rsid w:val="00C24EDC"/>
    <w:rsid w:val="00C25A76"/>
    <w:rsid w:val="00C31BD5"/>
    <w:rsid w:val="00C32206"/>
    <w:rsid w:val="00C45B40"/>
    <w:rsid w:val="00C45C67"/>
    <w:rsid w:val="00C523FF"/>
    <w:rsid w:val="00C532D4"/>
    <w:rsid w:val="00C606F3"/>
    <w:rsid w:val="00C65EFD"/>
    <w:rsid w:val="00C71C3C"/>
    <w:rsid w:val="00C9490E"/>
    <w:rsid w:val="00C97B15"/>
    <w:rsid w:val="00CA4CD3"/>
    <w:rsid w:val="00CA593D"/>
    <w:rsid w:val="00CF5219"/>
    <w:rsid w:val="00D006EF"/>
    <w:rsid w:val="00D06786"/>
    <w:rsid w:val="00D16211"/>
    <w:rsid w:val="00D21780"/>
    <w:rsid w:val="00D23346"/>
    <w:rsid w:val="00D243B8"/>
    <w:rsid w:val="00D34794"/>
    <w:rsid w:val="00D42B85"/>
    <w:rsid w:val="00D4502D"/>
    <w:rsid w:val="00D530CE"/>
    <w:rsid w:val="00D53E3C"/>
    <w:rsid w:val="00D54ED5"/>
    <w:rsid w:val="00D7517E"/>
    <w:rsid w:val="00D77950"/>
    <w:rsid w:val="00DC3762"/>
    <w:rsid w:val="00DC739E"/>
    <w:rsid w:val="00DD616A"/>
    <w:rsid w:val="00DE0465"/>
    <w:rsid w:val="00E049ED"/>
    <w:rsid w:val="00E34E6D"/>
    <w:rsid w:val="00E37CD4"/>
    <w:rsid w:val="00E41A47"/>
    <w:rsid w:val="00E53B9C"/>
    <w:rsid w:val="00E57848"/>
    <w:rsid w:val="00E77DF5"/>
    <w:rsid w:val="00EA1A1E"/>
    <w:rsid w:val="00EA305F"/>
    <w:rsid w:val="00ED21C3"/>
    <w:rsid w:val="00ED388C"/>
    <w:rsid w:val="00EE1ACF"/>
    <w:rsid w:val="00EF02B0"/>
    <w:rsid w:val="00F01B61"/>
    <w:rsid w:val="00F13DD8"/>
    <w:rsid w:val="00F149FD"/>
    <w:rsid w:val="00F4262F"/>
    <w:rsid w:val="00F51DA1"/>
    <w:rsid w:val="00F53719"/>
    <w:rsid w:val="00F565DA"/>
    <w:rsid w:val="00F57291"/>
    <w:rsid w:val="00F66CB0"/>
    <w:rsid w:val="00F72D0E"/>
    <w:rsid w:val="00F76C89"/>
    <w:rsid w:val="00F83FBF"/>
    <w:rsid w:val="00FA29B8"/>
    <w:rsid w:val="00FB4BFE"/>
    <w:rsid w:val="00FD3D92"/>
    <w:rsid w:val="00FF389E"/>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customStyle="1" w:styleId="UnresolvedMention1">
    <w:name w:val="Unresolved Mention1"/>
    <w:basedOn w:val="DefaultParagraphFont"/>
    <w:uiPriority w:val="99"/>
    <w:semiHidden/>
    <w:unhideWhenUsed/>
    <w:rsid w:val="002B478A"/>
    <w:rPr>
      <w:color w:val="605E5C"/>
      <w:shd w:val="clear" w:color="auto" w:fill="E1DFDD"/>
    </w:rPr>
  </w:style>
  <w:style w:type="character" w:styleId="UnresolvedMention">
    <w:name w:val="Unresolved Mention"/>
    <w:basedOn w:val="DefaultParagraphFont"/>
    <w:uiPriority w:val="99"/>
    <w:semiHidden/>
    <w:unhideWhenUsed/>
    <w:rsid w:val="00C97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131084">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20776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government.sharepoint.com/:b:/r/sites/intranet-health/CFR/Stickers%20Labels%20and%20Stamps/Antenatal%20FHR%20Pattern%20Label.pdf?csf=1&amp;web=1&amp;e=gyCIlB"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ctgovernment.sharepoint.com/:b:/r/sites/intranet-health/CFR/Stickers%20Labels%20and%20Stamps/Intrapartum%20FHR%20Pattern%20Label.pdf?csf=1&amp;web=1&amp;e=hgo7b7" TargetMode="External"/><Relationship Id="rId17" Type="http://schemas.openxmlformats.org/officeDocument/2006/relationships/hyperlink" Target="https://www.sahealth.sa.gov.au/wps/wcm/connect/Public+Content/SA+Health+Internet/Clinical+Resources/Clinical+Programs+and+Practice+Guidelines/Womens+and+Babies+Health/Perinatal/Perinatal+Practice+Guidelines/Perinatal+Practice+Guidelines" TargetMode="External"/><Relationship Id="rId2" Type="http://schemas.openxmlformats.org/officeDocument/2006/relationships/customXml" Target="../customXml/item2.xml"/><Relationship Id="rId16" Type="http://schemas.openxmlformats.org/officeDocument/2006/relationships/hyperlink" Target="https://www.clinicalkey.com.a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nzcog.edu.au/wp-content/uploads/2022/05/Intrapartum-Fetal-Surveillanc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anzcog.edu.au/RANZCOG_SITE/media/RANZCOG-MEDIA/Women%27s%20Health/Statement%20and%20guidelines/Clinical-Obstetrics/IFS-Guideline-4thEdition-2019.pdf?ext=.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Q:/Quality%20and%20Safety/CET/Policy%20Team/CHS%20PC/Resources/Templates/CHS%20Procedure%20Template.doc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8E4E67227A39440A0156BC63E383DB0" ma:contentTypeVersion="4" ma:contentTypeDescription="Create a new document." ma:contentTypeScope="" ma:versionID="849f18909c72ce2fbe1b9d1b5331016d">
  <xsd:schema xmlns:xsd="http://www.w3.org/2001/XMLSchema" xmlns:xs="http://www.w3.org/2001/XMLSchema" xmlns:p="http://schemas.microsoft.com/office/2006/metadata/properties" xmlns:ns2="4504225e-b2d9-4497-b505-38d38bf039d6" targetNamespace="http://schemas.microsoft.com/office/2006/metadata/properties" ma:root="true" ma:fieldsID="9ea13963d51c1919d4e957a56817649e" ns2:_="">
    <xsd:import namespace="4504225e-b2d9-4497-b505-38d38bf03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4225e-b2d9-4497-b505-38d38bf0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2.xml><?xml version="1.0" encoding="utf-8"?>
<ds:datastoreItem xmlns:ds="http://schemas.openxmlformats.org/officeDocument/2006/customXml" ds:itemID="{EAD80905-6F4D-4BCF-8842-A7D4DD0B175B}">
  <ds:schemaRefs>
    <ds:schemaRef ds:uri="http://schemas.openxmlformats.org/officeDocument/2006/bibliography"/>
  </ds:schemaRefs>
</ds:datastoreItem>
</file>

<file path=customXml/itemProps3.xml><?xml version="1.0" encoding="utf-8"?>
<ds:datastoreItem xmlns:ds="http://schemas.openxmlformats.org/officeDocument/2006/customXml" ds:itemID="{6859BAA0-0E72-4BFE-9B5C-47C855C5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4225e-b2d9-4497-b505-38d38bf0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Kerryn Hunter</dc:creator>
  <cp:lastModifiedBy>Clissold, Jacqui (Health)</cp:lastModifiedBy>
  <cp:revision>4</cp:revision>
  <cp:lastPrinted>2014-07-16T01:36:00Z</cp:lastPrinted>
  <dcterms:created xsi:type="dcterms:W3CDTF">2022-09-19T23:16:00Z</dcterms:created>
  <dcterms:modified xsi:type="dcterms:W3CDTF">2022-10-04T00:58:00Z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0x010100E8E4E67227A39440A0156BC63E383DB0</vt:lpwstr>
  </property>
  <property fmtid="{D5CDD505-2E9C-101B-9397-08002B2CF9AE}" pid="3" name="Order">
    <vt:r8>3700</vt:r8>
  </property>
  <property fmtid="{D5CDD505-2E9C-101B-9397-08002B2CF9AE}" pid="4" name="_ExtendedDescription">
    <vt:lpwstr/>
  </property>
</Properties>
</file>