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41D9"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bookmarkEnd w:id="0"/>
    <w:bookmarkEnd w:id="1"/>
    <w:p w14:paraId="7E3823E7" w14:textId="36667260" w:rsidR="00A24D94" w:rsidRDefault="003B7F7B" w:rsidP="001B1D4D">
      <w:pPr>
        <w:pStyle w:val="Heading1"/>
        <w:spacing w:before="0" w:beforeAutospacing="0" w:after="0" w:line="240" w:lineRule="auto"/>
        <w:rPr>
          <w:rStyle w:val="Bold"/>
          <w:b w:val="0"/>
          <w:color w:val="575757" w:themeColor="text2"/>
          <w:sz w:val="20"/>
          <w:szCs w:val="20"/>
        </w:rPr>
      </w:pPr>
      <w:r>
        <w:rPr>
          <w:rStyle w:val="Heading2Char"/>
        </w:rPr>
        <w:t>Consumer Privacy</w:t>
      </w:r>
    </w:p>
    <w:p w14:paraId="4AC661B5" w14:textId="77FCA7C5" w:rsidR="00F34F79" w:rsidRDefault="00F34F79" w:rsidP="001B1D4D">
      <w:pPr>
        <w:spacing w:before="0" w:after="0" w:line="240" w:lineRule="auto"/>
        <w:rPr>
          <w:color w:val="575757" w:themeColor="text2"/>
          <w:sz w:val="20"/>
          <w:szCs w:val="20"/>
        </w:rPr>
      </w:pPr>
      <w:r w:rsidRPr="007C42FE">
        <w:rPr>
          <w:rStyle w:val="Heading3Char"/>
        </w:rPr>
        <w:t>CHS</w:t>
      </w:r>
      <w:r w:rsidR="00444106">
        <w:rPr>
          <w:rStyle w:val="Heading3Char"/>
        </w:rPr>
        <w:t>24</w:t>
      </w:r>
      <w:r w:rsidRPr="007C42FE">
        <w:rPr>
          <w:rStyle w:val="Heading3Char"/>
        </w:rPr>
        <w:t>/</w:t>
      </w:r>
      <w:r w:rsidR="00444106">
        <w:rPr>
          <w:rStyle w:val="Heading3Char"/>
        </w:rPr>
        <w:t>492</w:t>
      </w:r>
    </w:p>
    <w:sdt>
      <w:sdtPr>
        <w:rPr>
          <w:rFonts w:eastAsia="Times New Roman" w:cs="Arial"/>
          <w:b/>
          <w:color w:val="000000"/>
          <w:sz w:val="32"/>
          <w:szCs w:val="80"/>
          <w:lang w:eastAsia="en-US"/>
        </w:rPr>
        <w:id w:val="-1206019646"/>
        <w:docPartObj>
          <w:docPartGallery w:val="Table of Contents"/>
          <w:docPartUnique/>
        </w:docPartObj>
      </w:sdtPr>
      <w:sdtEndPr>
        <w:rPr>
          <w:noProof/>
        </w:rPr>
      </w:sdtEndPr>
      <w:sdtContent>
        <w:p w14:paraId="418CB9A4" w14:textId="77777777" w:rsidR="001372B2" w:rsidRPr="001372B2" w:rsidRDefault="001372B2" w:rsidP="001372B2">
          <w:pPr>
            <w:spacing w:after="120" w:line="240" w:lineRule="auto"/>
            <w:rPr>
              <w:rFonts w:eastAsia="Times New Roman" w:cs="Arial"/>
              <w:b/>
              <w:iCs/>
              <w:color w:val="000000"/>
              <w:sz w:val="28"/>
              <w:szCs w:val="36"/>
              <w:lang w:eastAsia="en-US"/>
              <w14:numSpacing w14:val="proportional"/>
            </w:rPr>
          </w:pPr>
          <w:r w:rsidRPr="001372B2">
            <w:rPr>
              <w:rFonts w:eastAsia="Times New Roman" w:cs="Arial"/>
              <w:b/>
              <w:iCs/>
              <w:color w:val="000000"/>
              <w:sz w:val="28"/>
              <w:szCs w:val="36"/>
              <w:lang w:eastAsia="en-US"/>
            </w:rPr>
            <w:t>Contents</w:t>
          </w:r>
        </w:p>
        <w:p w14:paraId="09A8674F" w14:textId="55312538" w:rsidR="009F1C3B" w:rsidRDefault="001372B2">
          <w:pPr>
            <w:pStyle w:val="TOC1"/>
            <w:rPr>
              <w:rFonts w:asciiTheme="minorHAnsi" w:eastAsiaTheme="minorEastAsia" w:hAnsiTheme="minorHAnsi" w:cstheme="minorBidi"/>
              <w:kern w:val="2"/>
              <w14:ligatures w14:val="standardContextual"/>
            </w:rPr>
          </w:pPr>
          <w:r w:rsidRPr="001372B2">
            <w:rPr>
              <w:b/>
              <w:color w:val="000000"/>
            </w:rPr>
            <w:fldChar w:fldCharType="begin"/>
          </w:r>
          <w:r w:rsidRPr="001372B2">
            <w:rPr>
              <w:b/>
              <w:color w:val="000000"/>
            </w:rPr>
            <w:instrText xml:space="preserve"> TOC \h \z \u \t "Heading 4,1" </w:instrText>
          </w:r>
          <w:r w:rsidRPr="001372B2">
            <w:rPr>
              <w:b/>
              <w:color w:val="000000"/>
            </w:rPr>
            <w:fldChar w:fldCharType="separate"/>
          </w:r>
          <w:hyperlink w:anchor="_Toc208493837" w:history="1">
            <w:r w:rsidR="009F1C3B" w:rsidRPr="00A05D78">
              <w:rPr>
                <w:rStyle w:val="Hyperlink"/>
              </w:rPr>
              <w:t>Policy statement</w:t>
            </w:r>
            <w:r w:rsidR="009F1C3B">
              <w:rPr>
                <w:webHidden/>
              </w:rPr>
              <w:tab/>
            </w:r>
            <w:r w:rsidR="009F1C3B">
              <w:rPr>
                <w:webHidden/>
              </w:rPr>
              <w:fldChar w:fldCharType="begin"/>
            </w:r>
            <w:r w:rsidR="009F1C3B">
              <w:rPr>
                <w:webHidden/>
              </w:rPr>
              <w:instrText xml:space="preserve"> PAGEREF _Toc208493837 \h </w:instrText>
            </w:r>
            <w:r w:rsidR="009F1C3B">
              <w:rPr>
                <w:webHidden/>
              </w:rPr>
            </w:r>
            <w:r w:rsidR="009F1C3B">
              <w:rPr>
                <w:webHidden/>
              </w:rPr>
              <w:fldChar w:fldCharType="separate"/>
            </w:r>
            <w:r w:rsidR="009F1C3B">
              <w:rPr>
                <w:webHidden/>
              </w:rPr>
              <w:t>2</w:t>
            </w:r>
            <w:r w:rsidR="009F1C3B">
              <w:rPr>
                <w:webHidden/>
              </w:rPr>
              <w:fldChar w:fldCharType="end"/>
            </w:r>
          </w:hyperlink>
        </w:p>
        <w:p w14:paraId="1C8FFB19" w14:textId="5EAFFDB6" w:rsidR="009F1C3B" w:rsidRDefault="009F1C3B">
          <w:pPr>
            <w:pStyle w:val="TOC1"/>
            <w:rPr>
              <w:rFonts w:asciiTheme="minorHAnsi" w:eastAsiaTheme="minorEastAsia" w:hAnsiTheme="minorHAnsi" w:cstheme="minorBidi"/>
              <w:kern w:val="2"/>
              <w14:ligatures w14:val="standardContextual"/>
            </w:rPr>
          </w:pPr>
          <w:hyperlink w:anchor="_Toc208493838" w:history="1">
            <w:r w:rsidRPr="00A05D78">
              <w:rPr>
                <w:rStyle w:val="Hyperlink"/>
              </w:rPr>
              <w:t>Background</w:t>
            </w:r>
            <w:r>
              <w:rPr>
                <w:webHidden/>
              </w:rPr>
              <w:tab/>
            </w:r>
            <w:r>
              <w:rPr>
                <w:webHidden/>
              </w:rPr>
              <w:fldChar w:fldCharType="begin"/>
            </w:r>
            <w:r>
              <w:rPr>
                <w:webHidden/>
              </w:rPr>
              <w:instrText xml:space="preserve"> PAGEREF _Toc208493838 \h </w:instrText>
            </w:r>
            <w:r>
              <w:rPr>
                <w:webHidden/>
              </w:rPr>
            </w:r>
            <w:r>
              <w:rPr>
                <w:webHidden/>
              </w:rPr>
              <w:fldChar w:fldCharType="separate"/>
            </w:r>
            <w:r>
              <w:rPr>
                <w:webHidden/>
              </w:rPr>
              <w:t>2</w:t>
            </w:r>
            <w:r>
              <w:rPr>
                <w:webHidden/>
              </w:rPr>
              <w:fldChar w:fldCharType="end"/>
            </w:r>
          </w:hyperlink>
        </w:p>
        <w:p w14:paraId="5AA0A6CD" w14:textId="79B9899E" w:rsidR="009F1C3B" w:rsidRDefault="009F1C3B">
          <w:pPr>
            <w:pStyle w:val="TOC1"/>
            <w:rPr>
              <w:rFonts w:asciiTheme="minorHAnsi" w:eastAsiaTheme="minorEastAsia" w:hAnsiTheme="minorHAnsi" w:cstheme="minorBidi"/>
              <w:kern w:val="2"/>
              <w14:ligatures w14:val="standardContextual"/>
            </w:rPr>
          </w:pPr>
          <w:hyperlink w:anchor="_Toc208493839" w:history="1">
            <w:r w:rsidRPr="00A05D78">
              <w:rPr>
                <w:rStyle w:val="Hyperlink"/>
              </w:rPr>
              <w:t>Alerts</w:t>
            </w:r>
            <w:r>
              <w:rPr>
                <w:webHidden/>
              </w:rPr>
              <w:tab/>
            </w:r>
            <w:r>
              <w:rPr>
                <w:webHidden/>
              </w:rPr>
              <w:fldChar w:fldCharType="begin"/>
            </w:r>
            <w:r>
              <w:rPr>
                <w:webHidden/>
              </w:rPr>
              <w:instrText xml:space="preserve"> PAGEREF _Toc208493839 \h </w:instrText>
            </w:r>
            <w:r>
              <w:rPr>
                <w:webHidden/>
              </w:rPr>
            </w:r>
            <w:r>
              <w:rPr>
                <w:webHidden/>
              </w:rPr>
              <w:fldChar w:fldCharType="separate"/>
            </w:r>
            <w:r>
              <w:rPr>
                <w:webHidden/>
              </w:rPr>
              <w:t>2</w:t>
            </w:r>
            <w:r>
              <w:rPr>
                <w:webHidden/>
              </w:rPr>
              <w:fldChar w:fldCharType="end"/>
            </w:r>
          </w:hyperlink>
        </w:p>
        <w:p w14:paraId="602BF391" w14:textId="2A5B6DB3" w:rsidR="009F1C3B" w:rsidRDefault="009F1C3B">
          <w:pPr>
            <w:pStyle w:val="TOC1"/>
            <w:rPr>
              <w:rFonts w:asciiTheme="minorHAnsi" w:eastAsiaTheme="minorEastAsia" w:hAnsiTheme="minorHAnsi" w:cstheme="minorBidi"/>
              <w:kern w:val="2"/>
              <w14:ligatures w14:val="standardContextual"/>
            </w:rPr>
          </w:pPr>
          <w:hyperlink w:anchor="_Toc208493840" w:history="1">
            <w:r w:rsidRPr="00A05D78">
              <w:rPr>
                <w:rStyle w:val="Hyperlink"/>
              </w:rPr>
              <w:t>Purpose</w:t>
            </w:r>
            <w:r>
              <w:rPr>
                <w:webHidden/>
              </w:rPr>
              <w:tab/>
            </w:r>
            <w:r>
              <w:rPr>
                <w:webHidden/>
              </w:rPr>
              <w:fldChar w:fldCharType="begin"/>
            </w:r>
            <w:r>
              <w:rPr>
                <w:webHidden/>
              </w:rPr>
              <w:instrText xml:space="preserve"> PAGEREF _Toc208493840 \h </w:instrText>
            </w:r>
            <w:r>
              <w:rPr>
                <w:webHidden/>
              </w:rPr>
            </w:r>
            <w:r>
              <w:rPr>
                <w:webHidden/>
              </w:rPr>
              <w:fldChar w:fldCharType="separate"/>
            </w:r>
            <w:r>
              <w:rPr>
                <w:webHidden/>
              </w:rPr>
              <w:t>2</w:t>
            </w:r>
            <w:r>
              <w:rPr>
                <w:webHidden/>
              </w:rPr>
              <w:fldChar w:fldCharType="end"/>
            </w:r>
          </w:hyperlink>
        </w:p>
        <w:p w14:paraId="112BED80" w14:textId="6B288374" w:rsidR="009F1C3B" w:rsidRDefault="009F1C3B">
          <w:pPr>
            <w:pStyle w:val="TOC1"/>
            <w:rPr>
              <w:rFonts w:asciiTheme="minorHAnsi" w:eastAsiaTheme="minorEastAsia" w:hAnsiTheme="minorHAnsi" w:cstheme="minorBidi"/>
              <w:kern w:val="2"/>
              <w14:ligatures w14:val="standardContextual"/>
            </w:rPr>
          </w:pPr>
          <w:hyperlink w:anchor="_Toc208493841" w:history="1">
            <w:r w:rsidRPr="00A05D78">
              <w:rPr>
                <w:rStyle w:val="Hyperlink"/>
              </w:rPr>
              <w:t>Scope</w:t>
            </w:r>
            <w:r>
              <w:rPr>
                <w:webHidden/>
              </w:rPr>
              <w:tab/>
            </w:r>
            <w:r>
              <w:rPr>
                <w:webHidden/>
              </w:rPr>
              <w:fldChar w:fldCharType="begin"/>
            </w:r>
            <w:r>
              <w:rPr>
                <w:webHidden/>
              </w:rPr>
              <w:instrText xml:space="preserve"> PAGEREF _Toc208493841 \h </w:instrText>
            </w:r>
            <w:r>
              <w:rPr>
                <w:webHidden/>
              </w:rPr>
            </w:r>
            <w:r>
              <w:rPr>
                <w:webHidden/>
              </w:rPr>
              <w:fldChar w:fldCharType="separate"/>
            </w:r>
            <w:r>
              <w:rPr>
                <w:webHidden/>
              </w:rPr>
              <w:t>3</w:t>
            </w:r>
            <w:r>
              <w:rPr>
                <w:webHidden/>
              </w:rPr>
              <w:fldChar w:fldCharType="end"/>
            </w:r>
          </w:hyperlink>
        </w:p>
        <w:p w14:paraId="5D430996" w14:textId="3FDC5AA6" w:rsidR="009F1C3B" w:rsidRDefault="009F1C3B">
          <w:pPr>
            <w:pStyle w:val="TOC1"/>
            <w:rPr>
              <w:rFonts w:asciiTheme="minorHAnsi" w:eastAsiaTheme="minorEastAsia" w:hAnsiTheme="minorHAnsi" w:cstheme="minorBidi"/>
              <w:kern w:val="2"/>
              <w14:ligatures w14:val="standardContextual"/>
            </w:rPr>
          </w:pPr>
          <w:hyperlink w:anchor="_Toc208493842" w:history="1">
            <w:r w:rsidRPr="00A05D78">
              <w:rPr>
                <w:rStyle w:val="Hyperlink"/>
              </w:rPr>
              <w:t>What Consumers Have a Right to Expect</w:t>
            </w:r>
            <w:r>
              <w:rPr>
                <w:webHidden/>
              </w:rPr>
              <w:tab/>
            </w:r>
            <w:r>
              <w:rPr>
                <w:webHidden/>
              </w:rPr>
              <w:fldChar w:fldCharType="begin"/>
            </w:r>
            <w:r>
              <w:rPr>
                <w:webHidden/>
              </w:rPr>
              <w:instrText xml:space="preserve"> PAGEREF _Toc208493842 \h </w:instrText>
            </w:r>
            <w:r>
              <w:rPr>
                <w:webHidden/>
              </w:rPr>
            </w:r>
            <w:r>
              <w:rPr>
                <w:webHidden/>
              </w:rPr>
              <w:fldChar w:fldCharType="separate"/>
            </w:r>
            <w:r>
              <w:rPr>
                <w:webHidden/>
              </w:rPr>
              <w:t>3</w:t>
            </w:r>
            <w:r>
              <w:rPr>
                <w:webHidden/>
              </w:rPr>
              <w:fldChar w:fldCharType="end"/>
            </w:r>
          </w:hyperlink>
        </w:p>
        <w:p w14:paraId="6FD3A145" w14:textId="0BAC2409" w:rsidR="009F1C3B" w:rsidRDefault="009F1C3B">
          <w:pPr>
            <w:pStyle w:val="TOC1"/>
            <w:rPr>
              <w:rFonts w:asciiTheme="minorHAnsi" w:eastAsiaTheme="minorEastAsia" w:hAnsiTheme="minorHAnsi" w:cstheme="minorBidi"/>
              <w:kern w:val="2"/>
              <w14:ligatures w14:val="standardContextual"/>
            </w:rPr>
          </w:pPr>
          <w:hyperlink w:anchor="_Toc208493843" w:history="1">
            <w:r w:rsidRPr="00A05D78">
              <w:rPr>
                <w:rStyle w:val="Hyperlink"/>
              </w:rPr>
              <w:t>Working in Partnership with Carers and Families</w:t>
            </w:r>
            <w:r>
              <w:rPr>
                <w:webHidden/>
              </w:rPr>
              <w:tab/>
            </w:r>
            <w:r>
              <w:rPr>
                <w:webHidden/>
              </w:rPr>
              <w:fldChar w:fldCharType="begin"/>
            </w:r>
            <w:r>
              <w:rPr>
                <w:webHidden/>
              </w:rPr>
              <w:instrText xml:space="preserve"> PAGEREF _Toc208493843 \h </w:instrText>
            </w:r>
            <w:r>
              <w:rPr>
                <w:webHidden/>
              </w:rPr>
            </w:r>
            <w:r>
              <w:rPr>
                <w:webHidden/>
              </w:rPr>
              <w:fldChar w:fldCharType="separate"/>
            </w:r>
            <w:r>
              <w:rPr>
                <w:webHidden/>
              </w:rPr>
              <w:t>4</w:t>
            </w:r>
            <w:r>
              <w:rPr>
                <w:webHidden/>
              </w:rPr>
              <w:fldChar w:fldCharType="end"/>
            </w:r>
          </w:hyperlink>
        </w:p>
        <w:p w14:paraId="24DED5D8" w14:textId="24885160" w:rsidR="009F1C3B" w:rsidRDefault="009F1C3B">
          <w:pPr>
            <w:pStyle w:val="TOC1"/>
            <w:rPr>
              <w:rFonts w:asciiTheme="minorHAnsi" w:eastAsiaTheme="minorEastAsia" w:hAnsiTheme="minorHAnsi" w:cstheme="minorBidi"/>
              <w:kern w:val="2"/>
              <w14:ligatures w14:val="standardContextual"/>
            </w:rPr>
          </w:pPr>
          <w:hyperlink w:anchor="_Toc208493844" w:history="1">
            <w:r w:rsidRPr="00A05D78">
              <w:rPr>
                <w:rStyle w:val="Hyperlink"/>
              </w:rPr>
              <w:t>Consumer Personal Health Information at CHS</w:t>
            </w:r>
            <w:r>
              <w:rPr>
                <w:webHidden/>
              </w:rPr>
              <w:tab/>
            </w:r>
            <w:r>
              <w:rPr>
                <w:webHidden/>
              </w:rPr>
              <w:fldChar w:fldCharType="begin"/>
            </w:r>
            <w:r>
              <w:rPr>
                <w:webHidden/>
              </w:rPr>
              <w:instrText xml:space="preserve"> PAGEREF _Toc208493844 \h </w:instrText>
            </w:r>
            <w:r>
              <w:rPr>
                <w:webHidden/>
              </w:rPr>
            </w:r>
            <w:r>
              <w:rPr>
                <w:webHidden/>
              </w:rPr>
              <w:fldChar w:fldCharType="separate"/>
            </w:r>
            <w:r>
              <w:rPr>
                <w:webHidden/>
              </w:rPr>
              <w:t>5</w:t>
            </w:r>
            <w:r>
              <w:rPr>
                <w:webHidden/>
              </w:rPr>
              <w:fldChar w:fldCharType="end"/>
            </w:r>
          </w:hyperlink>
        </w:p>
        <w:p w14:paraId="13BE8A07" w14:textId="3EE3D902" w:rsidR="009F1C3B" w:rsidRDefault="009F1C3B">
          <w:pPr>
            <w:pStyle w:val="TOC1"/>
            <w:rPr>
              <w:rFonts w:asciiTheme="minorHAnsi" w:eastAsiaTheme="minorEastAsia" w:hAnsiTheme="minorHAnsi" w:cstheme="minorBidi"/>
              <w:kern w:val="2"/>
              <w14:ligatures w14:val="standardContextual"/>
            </w:rPr>
          </w:pPr>
          <w:hyperlink w:anchor="_Toc208493845" w:history="1">
            <w:r w:rsidRPr="00A05D78">
              <w:rPr>
                <w:rStyle w:val="Hyperlink"/>
              </w:rPr>
              <w:t>Roles and responsibilities</w:t>
            </w:r>
            <w:r>
              <w:rPr>
                <w:webHidden/>
              </w:rPr>
              <w:tab/>
            </w:r>
            <w:r>
              <w:rPr>
                <w:webHidden/>
              </w:rPr>
              <w:fldChar w:fldCharType="begin"/>
            </w:r>
            <w:r>
              <w:rPr>
                <w:webHidden/>
              </w:rPr>
              <w:instrText xml:space="preserve"> PAGEREF _Toc208493845 \h </w:instrText>
            </w:r>
            <w:r>
              <w:rPr>
                <w:webHidden/>
              </w:rPr>
            </w:r>
            <w:r>
              <w:rPr>
                <w:webHidden/>
              </w:rPr>
              <w:fldChar w:fldCharType="separate"/>
            </w:r>
            <w:r>
              <w:rPr>
                <w:webHidden/>
              </w:rPr>
              <w:t>7</w:t>
            </w:r>
            <w:r>
              <w:rPr>
                <w:webHidden/>
              </w:rPr>
              <w:fldChar w:fldCharType="end"/>
            </w:r>
          </w:hyperlink>
        </w:p>
        <w:p w14:paraId="0FC1D7C2" w14:textId="627991E8" w:rsidR="009F1C3B" w:rsidRDefault="009F1C3B">
          <w:pPr>
            <w:pStyle w:val="TOC1"/>
            <w:rPr>
              <w:rFonts w:asciiTheme="minorHAnsi" w:eastAsiaTheme="minorEastAsia" w:hAnsiTheme="minorHAnsi" w:cstheme="minorBidi"/>
              <w:kern w:val="2"/>
              <w14:ligatures w14:val="standardContextual"/>
            </w:rPr>
          </w:pPr>
          <w:hyperlink w:anchor="_Toc208493846" w:history="1">
            <w:r w:rsidRPr="00A05D78">
              <w:rPr>
                <w:rStyle w:val="Hyperlink"/>
              </w:rPr>
              <w:t>Privacy Breaches</w:t>
            </w:r>
            <w:r>
              <w:rPr>
                <w:webHidden/>
              </w:rPr>
              <w:tab/>
            </w:r>
            <w:r>
              <w:rPr>
                <w:webHidden/>
              </w:rPr>
              <w:fldChar w:fldCharType="begin"/>
            </w:r>
            <w:r>
              <w:rPr>
                <w:webHidden/>
              </w:rPr>
              <w:instrText xml:space="preserve"> PAGEREF _Toc208493846 \h </w:instrText>
            </w:r>
            <w:r>
              <w:rPr>
                <w:webHidden/>
              </w:rPr>
            </w:r>
            <w:r>
              <w:rPr>
                <w:webHidden/>
              </w:rPr>
              <w:fldChar w:fldCharType="separate"/>
            </w:r>
            <w:r>
              <w:rPr>
                <w:webHidden/>
              </w:rPr>
              <w:t>10</w:t>
            </w:r>
            <w:r>
              <w:rPr>
                <w:webHidden/>
              </w:rPr>
              <w:fldChar w:fldCharType="end"/>
            </w:r>
          </w:hyperlink>
        </w:p>
        <w:p w14:paraId="1A7EDD35" w14:textId="4E294C3C" w:rsidR="009F1C3B" w:rsidRDefault="009F1C3B">
          <w:pPr>
            <w:pStyle w:val="TOC1"/>
            <w:rPr>
              <w:rFonts w:asciiTheme="minorHAnsi" w:eastAsiaTheme="minorEastAsia" w:hAnsiTheme="minorHAnsi" w:cstheme="minorBidi"/>
              <w:kern w:val="2"/>
              <w14:ligatures w14:val="standardContextual"/>
            </w:rPr>
          </w:pPr>
          <w:hyperlink w:anchor="_Toc208493847" w:history="1">
            <w:r w:rsidRPr="00A05D78">
              <w:rPr>
                <w:rStyle w:val="Hyperlink"/>
              </w:rPr>
              <w:t>Evaluation</w:t>
            </w:r>
            <w:r>
              <w:rPr>
                <w:webHidden/>
              </w:rPr>
              <w:tab/>
            </w:r>
            <w:r>
              <w:rPr>
                <w:webHidden/>
              </w:rPr>
              <w:fldChar w:fldCharType="begin"/>
            </w:r>
            <w:r>
              <w:rPr>
                <w:webHidden/>
              </w:rPr>
              <w:instrText xml:space="preserve"> PAGEREF _Toc208493847 \h </w:instrText>
            </w:r>
            <w:r>
              <w:rPr>
                <w:webHidden/>
              </w:rPr>
            </w:r>
            <w:r>
              <w:rPr>
                <w:webHidden/>
              </w:rPr>
              <w:fldChar w:fldCharType="separate"/>
            </w:r>
            <w:r>
              <w:rPr>
                <w:webHidden/>
              </w:rPr>
              <w:t>12</w:t>
            </w:r>
            <w:r>
              <w:rPr>
                <w:webHidden/>
              </w:rPr>
              <w:fldChar w:fldCharType="end"/>
            </w:r>
          </w:hyperlink>
        </w:p>
        <w:p w14:paraId="0FF908C8" w14:textId="3F254A49" w:rsidR="009F1C3B" w:rsidRDefault="009F1C3B">
          <w:pPr>
            <w:pStyle w:val="TOC1"/>
            <w:rPr>
              <w:rFonts w:asciiTheme="minorHAnsi" w:eastAsiaTheme="minorEastAsia" w:hAnsiTheme="minorHAnsi" w:cstheme="minorBidi"/>
              <w:kern w:val="2"/>
              <w14:ligatures w14:val="standardContextual"/>
            </w:rPr>
          </w:pPr>
          <w:hyperlink w:anchor="_Toc208493848" w:history="1">
            <w:r w:rsidRPr="00A05D78">
              <w:rPr>
                <w:rStyle w:val="Hyperlink"/>
              </w:rPr>
              <w:t>Related policies, procedures, guidelines and legislation</w:t>
            </w:r>
            <w:r>
              <w:rPr>
                <w:webHidden/>
              </w:rPr>
              <w:tab/>
            </w:r>
            <w:r>
              <w:rPr>
                <w:webHidden/>
              </w:rPr>
              <w:fldChar w:fldCharType="begin"/>
            </w:r>
            <w:r>
              <w:rPr>
                <w:webHidden/>
              </w:rPr>
              <w:instrText xml:space="preserve"> PAGEREF _Toc208493848 \h </w:instrText>
            </w:r>
            <w:r>
              <w:rPr>
                <w:webHidden/>
              </w:rPr>
            </w:r>
            <w:r>
              <w:rPr>
                <w:webHidden/>
              </w:rPr>
              <w:fldChar w:fldCharType="separate"/>
            </w:r>
            <w:r>
              <w:rPr>
                <w:webHidden/>
              </w:rPr>
              <w:t>12</w:t>
            </w:r>
            <w:r>
              <w:rPr>
                <w:webHidden/>
              </w:rPr>
              <w:fldChar w:fldCharType="end"/>
            </w:r>
          </w:hyperlink>
        </w:p>
        <w:p w14:paraId="5FD2A1EB" w14:textId="4A932EE4" w:rsidR="009F1C3B" w:rsidRDefault="009F1C3B">
          <w:pPr>
            <w:pStyle w:val="TOC1"/>
            <w:rPr>
              <w:rFonts w:asciiTheme="minorHAnsi" w:eastAsiaTheme="minorEastAsia" w:hAnsiTheme="minorHAnsi" w:cstheme="minorBidi"/>
              <w:kern w:val="2"/>
              <w14:ligatures w14:val="standardContextual"/>
            </w:rPr>
          </w:pPr>
          <w:hyperlink w:anchor="_Toc208493849" w:history="1">
            <w:r w:rsidRPr="00A05D78">
              <w:rPr>
                <w:rStyle w:val="Hyperlink"/>
              </w:rPr>
              <w:t>Definition of terms</w:t>
            </w:r>
            <w:r>
              <w:rPr>
                <w:webHidden/>
              </w:rPr>
              <w:tab/>
            </w:r>
            <w:r>
              <w:rPr>
                <w:webHidden/>
              </w:rPr>
              <w:fldChar w:fldCharType="begin"/>
            </w:r>
            <w:r>
              <w:rPr>
                <w:webHidden/>
              </w:rPr>
              <w:instrText xml:space="preserve"> PAGEREF _Toc208493849 \h </w:instrText>
            </w:r>
            <w:r>
              <w:rPr>
                <w:webHidden/>
              </w:rPr>
            </w:r>
            <w:r>
              <w:rPr>
                <w:webHidden/>
              </w:rPr>
              <w:fldChar w:fldCharType="separate"/>
            </w:r>
            <w:r>
              <w:rPr>
                <w:webHidden/>
              </w:rPr>
              <w:t>13</w:t>
            </w:r>
            <w:r>
              <w:rPr>
                <w:webHidden/>
              </w:rPr>
              <w:fldChar w:fldCharType="end"/>
            </w:r>
          </w:hyperlink>
        </w:p>
        <w:p w14:paraId="2E9A963B" w14:textId="7CEDD416" w:rsidR="009F1C3B" w:rsidRDefault="009F1C3B">
          <w:pPr>
            <w:pStyle w:val="TOC1"/>
            <w:rPr>
              <w:rFonts w:asciiTheme="minorHAnsi" w:eastAsiaTheme="minorEastAsia" w:hAnsiTheme="minorHAnsi" w:cstheme="minorBidi"/>
              <w:kern w:val="2"/>
              <w14:ligatures w14:val="standardContextual"/>
            </w:rPr>
          </w:pPr>
          <w:hyperlink w:anchor="_Toc208493850" w:history="1">
            <w:r w:rsidRPr="00A05D78">
              <w:rPr>
                <w:rStyle w:val="Hyperlink"/>
                <w:lang w:val="en-GB"/>
              </w:rPr>
              <w:t>References</w:t>
            </w:r>
            <w:r>
              <w:rPr>
                <w:webHidden/>
              </w:rPr>
              <w:tab/>
            </w:r>
            <w:r>
              <w:rPr>
                <w:webHidden/>
              </w:rPr>
              <w:fldChar w:fldCharType="begin"/>
            </w:r>
            <w:r>
              <w:rPr>
                <w:webHidden/>
              </w:rPr>
              <w:instrText xml:space="preserve"> PAGEREF _Toc208493850 \h </w:instrText>
            </w:r>
            <w:r>
              <w:rPr>
                <w:webHidden/>
              </w:rPr>
            </w:r>
            <w:r>
              <w:rPr>
                <w:webHidden/>
              </w:rPr>
              <w:fldChar w:fldCharType="separate"/>
            </w:r>
            <w:r>
              <w:rPr>
                <w:webHidden/>
              </w:rPr>
              <w:t>16</w:t>
            </w:r>
            <w:r>
              <w:rPr>
                <w:webHidden/>
              </w:rPr>
              <w:fldChar w:fldCharType="end"/>
            </w:r>
          </w:hyperlink>
        </w:p>
        <w:p w14:paraId="7B821173" w14:textId="30C9FF78" w:rsidR="009F1C3B" w:rsidRDefault="009F1C3B">
          <w:pPr>
            <w:pStyle w:val="TOC1"/>
            <w:rPr>
              <w:rFonts w:asciiTheme="minorHAnsi" w:eastAsiaTheme="minorEastAsia" w:hAnsiTheme="minorHAnsi" w:cstheme="minorBidi"/>
              <w:kern w:val="2"/>
              <w14:ligatures w14:val="standardContextual"/>
            </w:rPr>
          </w:pPr>
          <w:hyperlink w:anchor="_Toc208493851" w:history="1">
            <w:r w:rsidRPr="00A05D78">
              <w:rPr>
                <w:rStyle w:val="Hyperlink"/>
              </w:rPr>
              <w:t>Search terms</w:t>
            </w:r>
            <w:r>
              <w:rPr>
                <w:webHidden/>
              </w:rPr>
              <w:tab/>
            </w:r>
            <w:r>
              <w:rPr>
                <w:webHidden/>
              </w:rPr>
              <w:fldChar w:fldCharType="begin"/>
            </w:r>
            <w:r>
              <w:rPr>
                <w:webHidden/>
              </w:rPr>
              <w:instrText xml:space="preserve"> PAGEREF _Toc208493851 \h </w:instrText>
            </w:r>
            <w:r>
              <w:rPr>
                <w:webHidden/>
              </w:rPr>
            </w:r>
            <w:r>
              <w:rPr>
                <w:webHidden/>
              </w:rPr>
              <w:fldChar w:fldCharType="separate"/>
            </w:r>
            <w:r>
              <w:rPr>
                <w:webHidden/>
              </w:rPr>
              <w:t>16</w:t>
            </w:r>
            <w:r>
              <w:rPr>
                <w:webHidden/>
              </w:rPr>
              <w:fldChar w:fldCharType="end"/>
            </w:r>
          </w:hyperlink>
        </w:p>
        <w:p w14:paraId="47E45593" w14:textId="363BD4FE" w:rsidR="009F1C3B" w:rsidRDefault="009F1C3B">
          <w:pPr>
            <w:pStyle w:val="TOC1"/>
            <w:rPr>
              <w:rFonts w:asciiTheme="minorHAnsi" w:eastAsiaTheme="minorEastAsia" w:hAnsiTheme="minorHAnsi" w:cstheme="minorBidi"/>
              <w:kern w:val="2"/>
              <w14:ligatures w14:val="standardContextual"/>
            </w:rPr>
          </w:pPr>
          <w:hyperlink w:anchor="_Toc208493852" w:history="1">
            <w:r w:rsidRPr="00A05D78">
              <w:rPr>
                <w:rStyle w:val="Hyperlink"/>
              </w:rPr>
              <w:t>Attachments</w:t>
            </w:r>
            <w:r>
              <w:rPr>
                <w:webHidden/>
              </w:rPr>
              <w:tab/>
            </w:r>
            <w:r>
              <w:rPr>
                <w:webHidden/>
              </w:rPr>
              <w:fldChar w:fldCharType="begin"/>
            </w:r>
            <w:r>
              <w:rPr>
                <w:webHidden/>
              </w:rPr>
              <w:instrText xml:space="preserve"> PAGEREF _Toc208493852 \h </w:instrText>
            </w:r>
            <w:r>
              <w:rPr>
                <w:webHidden/>
              </w:rPr>
            </w:r>
            <w:r>
              <w:rPr>
                <w:webHidden/>
              </w:rPr>
              <w:fldChar w:fldCharType="separate"/>
            </w:r>
            <w:r>
              <w:rPr>
                <w:webHidden/>
              </w:rPr>
              <w:t>16</w:t>
            </w:r>
            <w:r>
              <w:rPr>
                <w:webHidden/>
              </w:rPr>
              <w:fldChar w:fldCharType="end"/>
            </w:r>
          </w:hyperlink>
        </w:p>
        <w:p w14:paraId="1DB3B85A" w14:textId="7805FD7D" w:rsidR="009F1C3B" w:rsidRDefault="009F1C3B">
          <w:pPr>
            <w:pStyle w:val="TOC1"/>
            <w:rPr>
              <w:rFonts w:asciiTheme="minorHAnsi" w:eastAsiaTheme="minorEastAsia" w:hAnsiTheme="minorHAnsi" w:cstheme="minorBidi"/>
              <w:kern w:val="2"/>
              <w14:ligatures w14:val="standardContextual"/>
            </w:rPr>
          </w:pPr>
          <w:hyperlink w:anchor="_Toc208493853" w:history="1">
            <w:r w:rsidRPr="00A05D78">
              <w:rPr>
                <w:rStyle w:val="Hyperlink"/>
              </w:rPr>
              <w:t xml:space="preserve">Attachment 1: Privacy principles of </w:t>
            </w:r>
            <w:r w:rsidRPr="00A05D78">
              <w:rPr>
                <w:rStyle w:val="Hyperlink"/>
                <w:i/>
              </w:rPr>
              <w:t xml:space="preserve">Health Records (Privacy and Access) Act </w:t>
            </w:r>
            <w:r w:rsidRPr="00A05D78">
              <w:rPr>
                <w:rStyle w:val="Hyperlink"/>
              </w:rPr>
              <w:t>1997.</w:t>
            </w:r>
            <w:r>
              <w:rPr>
                <w:webHidden/>
              </w:rPr>
              <w:tab/>
            </w:r>
            <w:r>
              <w:rPr>
                <w:webHidden/>
              </w:rPr>
              <w:fldChar w:fldCharType="begin"/>
            </w:r>
            <w:r>
              <w:rPr>
                <w:webHidden/>
              </w:rPr>
              <w:instrText xml:space="preserve"> PAGEREF _Toc208493853 \h </w:instrText>
            </w:r>
            <w:r>
              <w:rPr>
                <w:webHidden/>
              </w:rPr>
            </w:r>
            <w:r>
              <w:rPr>
                <w:webHidden/>
              </w:rPr>
              <w:fldChar w:fldCharType="separate"/>
            </w:r>
            <w:r>
              <w:rPr>
                <w:webHidden/>
              </w:rPr>
              <w:t>18</w:t>
            </w:r>
            <w:r>
              <w:rPr>
                <w:webHidden/>
              </w:rPr>
              <w:fldChar w:fldCharType="end"/>
            </w:r>
          </w:hyperlink>
        </w:p>
        <w:p w14:paraId="55385EF8" w14:textId="12B42745" w:rsidR="001372B2" w:rsidRPr="001372B2" w:rsidRDefault="001372B2" w:rsidP="001372B2">
          <w:pPr>
            <w:spacing w:after="120" w:line="240" w:lineRule="auto"/>
            <w:rPr>
              <w:rFonts w:eastAsia="Times New Roman" w:cs="Arial"/>
              <w:b/>
              <w:noProof/>
              <w:color w:val="000000"/>
              <w:sz w:val="32"/>
              <w:szCs w:val="80"/>
              <w:lang w:eastAsia="en-US"/>
            </w:rPr>
          </w:pPr>
          <w:r w:rsidRPr="001372B2">
            <w:rPr>
              <w:noProof/>
              <w:color w:val="000000"/>
            </w:rPr>
            <w:fldChar w:fldCharType="end"/>
          </w:r>
        </w:p>
      </w:sdtContent>
    </w:sdt>
    <w:p w14:paraId="2731A760" w14:textId="692BB525" w:rsidR="001372B2" w:rsidRDefault="001372B2">
      <w:pPr>
        <w:rPr>
          <w:lang w:eastAsia="en-US"/>
        </w:rPr>
      </w:pPr>
      <w:r>
        <w:rPr>
          <w:lang w:eastAsia="en-US"/>
        </w:rPr>
        <w:br w:type="page"/>
      </w:r>
    </w:p>
    <w:p w14:paraId="379F4248" w14:textId="39DB027E" w:rsidR="00011724" w:rsidRPr="004E28F9" w:rsidRDefault="00011724" w:rsidP="004E28F9">
      <w:pPr>
        <w:pStyle w:val="Heading4"/>
      </w:pPr>
      <w:bookmarkStart w:id="2" w:name="_Toc208493837"/>
      <w:r>
        <w:lastRenderedPageBreak/>
        <w:t>Policy</w:t>
      </w:r>
      <w:r w:rsidR="00221179">
        <w:t xml:space="preserve"> statement</w:t>
      </w:r>
      <w:bookmarkEnd w:id="2"/>
      <w:r w:rsidR="00703969">
        <w:t xml:space="preserve"> </w:t>
      </w:r>
    </w:p>
    <w:p w14:paraId="484961D0" w14:textId="77777777" w:rsidR="003B7F7B" w:rsidRDefault="003B7F7B" w:rsidP="00E17751">
      <w:pPr>
        <w:pStyle w:val="BodyCopy"/>
      </w:pPr>
      <w:r>
        <w:t xml:space="preserve">Canberra Health Services (CHS) is committed to ensuring that people who access care at CHS have their privacy safeguarded.  CHS will achieve this by ensuring that all personal health information is collected using fair and lawful means; is relevant, up-to-date and accurate; and is secure and protected from unauthorised access or misuse. Upholding the confidentiality of personal health information protects the interests of consumers accessing CHS services and helps to establish consumer trust, autonomy and safety. </w:t>
      </w:r>
    </w:p>
    <w:bookmarkStart w:id="3" w:name="_Hlk180754143"/>
    <w:p w14:paraId="74807671" w14:textId="064473E0" w:rsidR="001A2D47" w:rsidRPr="001A2D47" w:rsidRDefault="001A2D47" w:rsidP="00E17751">
      <w:pPr>
        <w:pStyle w:val="BodyCopy"/>
        <w:rPr>
          <w:iCs w:val="0"/>
          <w:color w:val="auto"/>
          <w:u w:val="single"/>
        </w:rPr>
      </w:pPr>
      <w:r>
        <w:fldChar w:fldCharType="begin"/>
      </w:r>
      <w:r>
        <w:instrText>HYPERLINK \l "_top"</w:instrText>
      </w:r>
      <w:r>
        <w:fldChar w:fldCharType="separate"/>
      </w:r>
      <w:r w:rsidRPr="00481A6C">
        <w:rPr>
          <w:rStyle w:val="Hyperlink"/>
          <w:iCs w:val="0"/>
        </w:rPr>
        <w:t>Back to Contents</w:t>
      </w:r>
      <w:r>
        <w:rPr>
          <w:rStyle w:val="Hyperlink"/>
          <w:iCs w:val="0"/>
        </w:rPr>
        <w:fldChar w:fldCharType="end"/>
      </w:r>
    </w:p>
    <w:p w14:paraId="6D8EADAE" w14:textId="69DC73FC" w:rsidR="003B7F7B" w:rsidRDefault="003B7F7B" w:rsidP="003B7F7B">
      <w:pPr>
        <w:pStyle w:val="Heading4"/>
      </w:pPr>
      <w:bookmarkStart w:id="4" w:name="_Toc208493838"/>
      <w:bookmarkEnd w:id="3"/>
      <w:r>
        <w:t>Background</w:t>
      </w:r>
      <w:bookmarkEnd w:id="4"/>
    </w:p>
    <w:p w14:paraId="2DB58586" w14:textId="77777777" w:rsidR="003B7F7B" w:rsidRDefault="003B7F7B" w:rsidP="00E17751">
      <w:pPr>
        <w:pStyle w:val="BodyCopy"/>
      </w:pPr>
      <w:r>
        <w:t xml:space="preserve">The </w:t>
      </w:r>
      <w:r>
        <w:rPr>
          <w:i/>
        </w:rPr>
        <w:t xml:space="preserve">Health Records (Privacy and Access) Act </w:t>
      </w:r>
      <w:r w:rsidRPr="00E17751">
        <w:rPr>
          <w:iCs w:val="0"/>
        </w:rPr>
        <w:t>1997</w:t>
      </w:r>
      <w:r>
        <w:t xml:space="preserve"> (HRPA Act) regulates privacy and access to personal health information in the ACT. All consumer information, including identifying information such as name, date of birth and address, is considered personal health information and is covered by the</w:t>
      </w:r>
      <w:r w:rsidRPr="00395C8B">
        <w:rPr>
          <w:i/>
        </w:rPr>
        <w:t xml:space="preserve"> </w:t>
      </w:r>
      <w:r w:rsidRPr="00B41FE7">
        <w:t>HRPA Act</w:t>
      </w:r>
      <w:r>
        <w:t xml:space="preserve">. The Act has 12 privacy principles (PP) or rules for the management of personal health information. See </w:t>
      </w:r>
      <w:r w:rsidRPr="005769D2">
        <w:rPr>
          <w:u w:val="single"/>
        </w:rPr>
        <w:t>Attachment 1</w:t>
      </w:r>
      <w:r>
        <w:t xml:space="preserve"> for a summary of the privacy principles. </w:t>
      </w:r>
    </w:p>
    <w:p w14:paraId="1B7FD2F2" w14:textId="5B3B6022" w:rsidR="001A2D47" w:rsidRPr="001A2D47" w:rsidRDefault="001A2D47" w:rsidP="00E17751">
      <w:pPr>
        <w:pStyle w:val="BodyCopy"/>
        <w:rPr>
          <w:iCs w:val="0"/>
          <w:color w:val="auto"/>
          <w:u w:val="single"/>
        </w:rPr>
      </w:pPr>
      <w:hyperlink w:anchor="_top" w:history="1">
        <w:r w:rsidRPr="00481A6C">
          <w:rPr>
            <w:rStyle w:val="Hyperlink"/>
            <w:iCs w:val="0"/>
          </w:rPr>
          <w:t>Back to Contents</w:t>
        </w:r>
      </w:hyperlink>
    </w:p>
    <w:p w14:paraId="70B8EC46" w14:textId="15CC60DB" w:rsidR="003677A8" w:rsidRDefault="003677A8" w:rsidP="00703969">
      <w:pPr>
        <w:pStyle w:val="Heading4"/>
      </w:pPr>
      <w:bookmarkStart w:id="5" w:name="_Toc208493839"/>
      <w:r>
        <w:t>Alerts</w:t>
      </w:r>
      <w:bookmarkEnd w:id="5"/>
      <w:r>
        <w:t xml:space="preserve"> </w:t>
      </w:r>
    </w:p>
    <w:p w14:paraId="26D39425" w14:textId="3118CBFB" w:rsidR="003B7F7B" w:rsidRDefault="003B7F7B" w:rsidP="003B7F7B">
      <w:pPr>
        <w:rPr>
          <w:rFonts w:cs="Arial"/>
        </w:rPr>
      </w:pPr>
      <w:r>
        <w:rPr>
          <w:rFonts w:cs="Arial"/>
        </w:rPr>
        <w:t>It is an offence under the HRPA Act for staff to intentionally disclose or use any personal health information for a purpose other than what it was collected for.</w:t>
      </w:r>
    </w:p>
    <w:p w14:paraId="42EBFD18" w14:textId="1F5630A1" w:rsidR="003B7F7B" w:rsidRDefault="003B7F7B" w:rsidP="003B7F7B">
      <w:r>
        <w:t xml:space="preserve">Under the </w:t>
      </w:r>
      <w:r w:rsidRPr="00B41FE7">
        <w:t>HRPA Act</w:t>
      </w:r>
      <w:r>
        <w:t xml:space="preserve">, </w:t>
      </w:r>
      <w:r w:rsidRPr="000C4C87">
        <w:rPr>
          <w:i/>
          <w:iCs/>
        </w:rPr>
        <w:t>Privacy Principle 10: Limits on disclosure of personal health information</w:t>
      </w:r>
      <w:r>
        <w:t xml:space="preserve">, the treating team can disclose </w:t>
      </w:r>
      <w:r>
        <w:rPr>
          <w:rFonts w:cs="Arial"/>
        </w:rPr>
        <w:t>personal health information</w:t>
      </w:r>
      <w:r>
        <w:t xml:space="preserve"> to the consumer’s carer or an immediate family member if the consumer provides their consent. This consent should be documented in the consumer’s clinical record.</w:t>
      </w:r>
    </w:p>
    <w:p w14:paraId="695F4B84" w14:textId="1F3DB19A" w:rsidR="003B7F7B" w:rsidRDefault="003B7F7B" w:rsidP="003B7F7B">
      <w:pPr>
        <w:pStyle w:val="BodyCopy"/>
      </w:pPr>
      <w:r>
        <w:t>If this occurs, the disclosure of the information, who it was made to and under what circumstance should be documented in the consumer’s clinical record.</w:t>
      </w:r>
    </w:p>
    <w:p w14:paraId="07E0F0AE" w14:textId="77777777" w:rsidR="003B7F7B" w:rsidRDefault="003B7F7B" w:rsidP="003B7F7B">
      <w:pPr>
        <w:pStyle w:val="BodyCopy"/>
      </w:pPr>
      <w:r>
        <w:t xml:space="preserve">CHS staff are not to release any information about a consumer to a media agency.  All media requests, including those about any consumer at CHS, are to be directed to the CHS media team at </w:t>
      </w:r>
      <w:hyperlink r:id="rId11" w:history="1">
        <w:r w:rsidRPr="00F44952">
          <w:rPr>
            <w:rStyle w:val="Hyperlink"/>
          </w:rPr>
          <w:t>CHSmedia@act.gov.au</w:t>
        </w:r>
      </w:hyperlink>
      <w:r>
        <w:t xml:space="preserve">.  </w:t>
      </w:r>
    </w:p>
    <w:p w14:paraId="33C3DF4D" w14:textId="06BB842B" w:rsidR="001A2D47" w:rsidRPr="001A2D47" w:rsidRDefault="001A2D47" w:rsidP="003B7F7B">
      <w:pPr>
        <w:pStyle w:val="BodyCopy"/>
        <w:rPr>
          <w:iCs w:val="0"/>
          <w:color w:val="auto"/>
          <w:u w:val="single"/>
        </w:rPr>
      </w:pPr>
      <w:hyperlink w:anchor="_top" w:history="1">
        <w:r w:rsidRPr="00481A6C">
          <w:rPr>
            <w:rStyle w:val="Hyperlink"/>
            <w:iCs w:val="0"/>
          </w:rPr>
          <w:t>Back to Contents</w:t>
        </w:r>
      </w:hyperlink>
    </w:p>
    <w:p w14:paraId="47179358" w14:textId="77777777" w:rsidR="003677A8" w:rsidRDefault="003677A8" w:rsidP="00703969">
      <w:pPr>
        <w:pStyle w:val="Heading4"/>
      </w:pPr>
      <w:bookmarkStart w:id="6" w:name="_Toc208493840"/>
      <w:r w:rsidRPr="003677A8">
        <w:t>Purpose</w:t>
      </w:r>
      <w:bookmarkEnd w:id="6"/>
    </w:p>
    <w:p w14:paraId="0291A9E9" w14:textId="77777777" w:rsidR="003B7F7B" w:rsidRDefault="003B7F7B" w:rsidP="003B7F7B">
      <w:pPr>
        <w:rPr>
          <w:rFonts w:cs="Arial"/>
        </w:rPr>
      </w:pPr>
      <w:r>
        <w:rPr>
          <w:rFonts w:cs="Arial"/>
        </w:rPr>
        <w:t>The purpose of this document is to outline how the CHS Network ensures that consumer privacy and personal health information is protected in compliance with the HRPA Act.</w:t>
      </w:r>
      <w:r w:rsidRPr="00B41FE7">
        <w:rPr>
          <w:rFonts w:cs="Arial"/>
        </w:rPr>
        <w:t xml:space="preserve"> </w:t>
      </w:r>
      <w:r>
        <w:rPr>
          <w:rFonts w:cs="Arial"/>
        </w:rPr>
        <w:t xml:space="preserve">In this document people accessing care across the CHS Network are referred to as consumers. </w:t>
      </w:r>
    </w:p>
    <w:p w14:paraId="3372DCBD" w14:textId="77777777" w:rsidR="003B7F7B" w:rsidRDefault="003B7F7B" w:rsidP="003B7F7B">
      <w:pPr>
        <w:rPr>
          <w:rFonts w:cs="Arial"/>
          <w:iCs/>
        </w:rPr>
      </w:pPr>
      <w:r>
        <w:rPr>
          <w:rFonts w:cs="Arial"/>
        </w:rPr>
        <w:lastRenderedPageBreak/>
        <w:t xml:space="preserve">This document provides a broad overview to the legislative obligations imposed by the </w:t>
      </w:r>
      <w:r w:rsidRPr="00B41FE7">
        <w:rPr>
          <w:rFonts w:cs="Arial"/>
          <w:iCs/>
        </w:rPr>
        <w:t>HRPA Act</w:t>
      </w:r>
      <w:r>
        <w:rPr>
          <w:rFonts w:cs="Arial"/>
          <w:i/>
        </w:rPr>
        <w:t xml:space="preserve">. </w:t>
      </w:r>
      <w:r>
        <w:rPr>
          <w:rFonts w:cs="Arial"/>
          <w:iCs/>
        </w:rPr>
        <w:t>The document outlines the procedures to support staff to comply with the Act.</w:t>
      </w:r>
    </w:p>
    <w:p w14:paraId="7E0F274D" w14:textId="264D8D80" w:rsidR="001A2D47" w:rsidRPr="001A2D47" w:rsidRDefault="001A2D47" w:rsidP="001A2D47">
      <w:pPr>
        <w:pStyle w:val="BodyCopy"/>
        <w:rPr>
          <w:iCs w:val="0"/>
          <w:color w:val="auto"/>
          <w:u w:val="single"/>
        </w:rPr>
      </w:pPr>
      <w:hyperlink w:anchor="_top" w:history="1">
        <w:r w:rsidRPr="00481A6C">
          <w:rPr>
            <w:rStyle w:val="Hyperlink"/>
            <w:iCs w:val="0"/>
          </w:rPr>
          <w:t>Back to Contents</w:t>
        </w:r>
      </w:hyperlink>
    </w:p>
    <w:p w14:paraId="3737246A" w14:textId="77777777" w:rsidR="003677A8" w:rsidRDefault="003677A8" w:rsidP="00703969">
      <w:pPr>
        <w:pStyle w:val="Heading4"/>
      </w:pPr>
      <w:bookmarkStart w:id="7" w:name="_Toc208493841"/>
      <w:r>
        <w:t>Scope</w:t>
      </w:r>
      <w:bookmarkEnd w:id="7"/>
    </w:p>
    <w:p w14:paraId="7792F288" w14:textId="0B1C7013" w:rsidR="003B7F7B" w:rsidRDefault="003B7F7B" w:rsidP="003B7F7B">
      <w:pPr>
        <w:rPr>
          <w:rFonts w:cs="Arial"/>
        </w:rPr>
      </w:pPr>
      <w:r>
        <w:rPr>
          <w:rFonts w:cs="Arial"/>
        </w:rPr>
        <w:t>This policy applies to the use and disclosure of consumers’ personal health information held by CHS.</w:t>
      </w:r>
    </w:p>
    <w:p w14:paraId="5B6F52F3" w14:textId="77777777" w:rsidR="003B7F7B" w:rsidRDefault="003B7F7B" w:rsidP="003B7F7B">
      <w:pPr>
        <w:rPr>
          <w:rFonts w:cs="Arial"/>
        </w:rPr>
      </w:pPr>
      <w:r>
        <w:rPr>
          <w:rFonts w:cs="Arial"/>
        </w:rPr>
        <w:t xml:space="preserve">This policy applies to all people who work (paid and unpaid) across the CHS Network within inpatient, community and outpatient settings.  This includes, but is not limited to, team members, contractors, students, volunteers, support services staff and other health care workers who, during their work, have access to a consumer’s personal health information. </w:t>
      </w:r>
    </w:p>
    <w:p w14:paraId="77647F83" w14:textId="0206C05A" w:rsidR="003B7F7B" w:rsidRDefault="003B7F7B" w:rsidP="003B7F7B">
      <w:pPr>
        <w:rPr>
          <w:rFonts w:cs="Arial"/>
        </w:rPr>
      </w:pPr>
      <w:r>
        <w:rPr>
          <w:rFonts w:cs="Arial"/>
        </w:rPr>
        <w:t>The CHS Network includes inpatient facilities at Canberra Hospital, Clare Holland House, North Canberra Hospital (NCH) and University of Canberra Hospital</w:t>
      </w:r>
      <w:r w:rsidR="001A2D47">
        <w:rPr>
          <w:rFonts w:cs="Arial"/>
        </w:rPr>
        <w:t xml:space="preserve"> (UCH)</w:t>
      </w:r>
      <w:r>
        <w:rPr>
          <w:rFonts w:cs="Arial"/>
        </w:rPr>
        <w:t xml:space="preserve"> and community-based services.</w:t>
      </w:r>
    </w:p>
    <w:p w14:paraId="7BFB8F7E" w14:textId="06A9E59F" w:rsidR="003B7F7B" w:rsidRDefault="003B7F7B" w:rsidP="003B7F7B">
      <w:pPr>
        <w:rPr>
          <w:rFonts w:cs="Arial"/>
        </w:rPr>
      </w:pPr>
      <w:r>
        <w:rPr>
          <w:rFonts w:cs="Arial"/>
        </w:rPr>
        <w:t xml:space="preserve">To identify a consumer when care, medicine, therapy and other services are provided please refer to the </w:t>
      </w:r>
      <w:r w:rsidRPr="00613DAE">
        <w:rPr>
          <w:rFonts w:cs="Arial"/>
          <w:i/>
          <w:iCs/>
        </w:rPr>
        <w:t>Patient Identification and Procedure Matching Procedure</w:t>
      </w:r>
      <w:r>
        <w:rPr>
          <w:rFonts w:cs="Arial"/>
        </w:rPr>
        <w:t xml:space="preserve"> or </w:t>
      </w:r>
      <w:r>
        <w:rPr>
          <w:rFonts w:cs="Arial"/>
          <w:i/>
          <w:iCs/>
        </w:rPr>
        <w:t>Medication Handling Policy</w:t>
      </w:r>
      <w:r>
        <w:rPr>
          <w:rFonts w:cs="Arial"/>
        </w:rPr>
        <w:t>.</w:t>
      </w:r>
    </w:p>
    <w:p w14:paraId="73CA6690" w14:textId="71D527F8" w:rsidR="003B7F7B" w:rsidRDefault="003B7F7B" w:rsidP="003B7F7B">
      <w:pPr>
        <w:pStyle w:val="BodyCopy"/>
      </w:pPr>
      <w:bookmarkStart w:id="8" w:name="_Hlk4486779"/>
      <w:r>
        <w:t xml:space="preserve">For further information on decision-making capacity, consent and documentation refer to the Definition of Terms and </w:t>
      </w:r>
      <w:r w:rsidRPr="00494A4C">
        <w:rPr>
          <w:i/>
          <w:iCs w:val="0"/>
        </w:rPr>
        <w:t>Assessment of Decision-making Capacity and Supported Decision-making for people being treated under the Mental Health Act 2015 Procedure</w:t>
      </w:r>
      <w:r>
        <w:t xml:space="preserve">, </w:t>
      </w:r>
      <w:r w:rsidRPr="00494A4C">
        <w:rPr>
          <w:i/>
          <w:iCs w:val="0"/>
        </w:rPr>
        <w:t>Consent for Healthcare Treatment Guideline</w:t>
      </w:r>
      <w:r>
        <w:t xml:space="preserve">, or </w:t>
      </w:r>
      <w:r w:rsidRPr="00494A4C">
        <w:rPr>
          <w:i/>
          <w:iCs w:val="0"/>
        </w:rPr>
        <w:t>Advance Agreements, Advance Consent Directions and Nominated Persons under the Mental Health Act 2015 Procedure.</w:t>
      </w:r>
    </w:p>
    <w:p w14:paraId="05E121BE" w14:textId="196B439E" w:rsidR="003B7F7B" w:rsidRDefault="003B7F7B" w:rsidP="003B7F7B">
      <w:pPr>
        <w:rPr>
          <w:rFonts w:cs="Arial"/>
        </w:rPr>
      </w:pPr>
      <w:r>
        <w:rPr>
          <w:rFonts w:cs="Arial"/>
        </w:rPr>
        <w:t xml:space="preserve">This policy does not cover the management of clinical health records.  Please see </w:t>
      </w:r>
      <w:r w:rsidRPr="00452F4B">
        <w:rPr>
          <w:rFonts w:cs="Arial"/>
          <w:i/>
        </w:rPr>
        <w:t xml:space="preserve">Clinical Records Management Policy, Clinical Records Management Procedure, </w:t>
      </w:r>
      <w:r>
        <w:rPr>
          <w:rFonts w:cs="Arial"/>
          <w:i/>
        </w:rPr>
        <w:t xml:space="preserve">Health </w:t>
      </w:r>
      <w:r w:rsidRPr="00452F4B">
        <w:rPr>
          <w:rFonts w:cs="Arial"/>
          <w:i/>
        </w:rPr>
        <w:t>Records Disposal Schedule Procedure</w:t>
      </w:r>
      <w:r>
        <w:rPr>
          <w:rFonts w:cs="Arial"/>
        </w:rPr>
        <w:t xml:space="preserve"> and </w:t>
      </w:r>
      <w:r w:rsidRPr="00F1743D">
        <w:rPr>
          <w:rFonts w:cs="Arial"/>
          <w:i/>
          <w:iCs/>
        </w:rPr>
        <w:t>NCH Clinical Records Management Procedure</w:t>
      </w:r>
      <w:r>
        <w:rPr>
          <w:rFonts w:cs="Arial"/>
        </w:rPr>
        <w:t xml:space="preserve">. </w:t>
      </w:r>
      <w:bookmarkEnd w:id="8"/>
    </w:p>
    <w:p w14:paraId="0A1B69E3" w14:textId="430DB4E1" w:rsidR="003B7F7B" w:rsidRDefault="003B7F7B" w:rsidP="003B7F7B">
      <w:pPr>
        <w:rPr>
          <w:rFonts w:cs="Arial"/>
          <w:i/>
        </w:rPr>
      </w:pPr>
      <w:r>
        <w:rPr>
          <w:rFonts w:cs="Arial"/>
        </w:rPr>
        <w:t xml:space="preserve">This policy does not cover the management of personal information such as information about employees, volunteers, students, contractors, or information collected from stakeholders during the consultation process for a CHS document.  Please see </w:t>
      </w:r>
      <w:r>
        <w:rPr>
          <w:rFonts w:cs="Arial"/>
          <w:i/>
        </w:rPr>
        <w:t>Information Privacy Policy.</w:t>
      </w:r>
    </w:p>
    <w:p w14:paraId="26A47D9D" w14:textId="4E56B9B8" w:rsidR="001A2D47" w:rsidRPr="001A2D47" w:rsidRDefault="001A2D47" w:rsidP="001A2D47">
      <w:pPr>
        <w:pStyle w:val="BodyCopy"/>
        <w:rPr>
          <w:iCs w:val="0"/>
          <w:color w:val="auto"/>
          <w:u w:val="single"/>
        </w:rPr>
      </w:pPr>
      <w:hyperlink w:anchor="_top" w:history="1">
        <w:r w:rsidRPr="00481A6C">
          <w:rPr>
            <w:rStyle w:val="Hyperlink"/>
            <w:iCs w:val="0"/>
          </w:rPr>
          <w:t>Back to Contents</w:t>
        </w:r>
      </w:hyperlink>
    </w:p>
    <w:p w14:paraId="7179C01F" w14:textId="639B6F85" w:rsidR="003B7F7B" w:rsidRDefault="003B7F7B" w:rsidP="003B7F7B">
      <w:pPr>
        <w:pStyle w:val="Heading4"/>
      </w:pPr>
      <w:bookmarkStart w:id="9" w:name="_Toc208493842"/>
      <w:r>
        <w:t>What Consumers Have a Right to Expect</w:t>
      </w:r>
      <w:bookmarkEnd w:id="9"/>
    </w:p>
    <w:p w14:paraId="424255A8" w14:textId="77777777" w:rsidR="003B7F7B" w:rsidRDefault="003B7F7B" w:rsidP="003B7F7B">
      <w:pPr>
        <w:rPr>
          <w:rFonts w:cs="Arial"/>
        </w:rPr>
      </w:pPr>
      <w:r>
        <w:rPr>
          <w:rFonts w:cs="Arial"/>
        </w:rPr>
        <w:t xml:space="preserve">Consumers of CHS are to be informed of what they can expect through the </w:t>
      </w:r>
      <w:r>
        <w:rPr>
          <w:rFonts w:cs="Arial"/>
          <w:i/>
          <w:iCs/>
        </w:rPr>
        <w:t xml:space="preserve">Your Privacy at Canberra Health Services </w:t>
      </w:r>
      <w:r>
        <w:rPr>
          <w:rFonts w:cs="Arial"/>
        </w:rPr>
        <w:t>health information sheet available on CHS Policy and Guidance Documents Register. This includes that:</w:t>
      </w:r>
    </w:p>
    <w:p w14:paraId="05DCF4FD" w14:textId="77777777" w:rsidR="003B7F7B" w:rsidRPr="002F2E4F" w:rsidRDefault="003B7F7B" w:rsidP="003B7F7B">
      <w:pPr>
        <w:pStyle w:val="ListParagraph"/>
        <w:numPr>
          <w:ilvl w:val="0"/>
          <w:numId w:val="12"/>
        </w:numPr>
        <w:spacing w:before="0" w:after="0" w:line="240" w:lineRule="auto"/>
        <w:ind w:left="426" w:hanging="426"/>
        <w:rPr>
          <w:rFonts w:cs="Arial"/>
        </w:rPr>
      </w:pPr>
      <w:r>
        <w:rPr>
          <w:rFonts w:cs="Arial"/>
        </w:rPr>
        <w:t xml:space="preserve">Their personal health information will be protected in accordance with the </w:t>
      </w:r>
      <w:r w:rsidRPr="00B41FE7">
        <w:rPr>
          <w:rFonts w:cs="Arial"/>
          <w:iCs/>
        </w:rPr>
        <w:t>HRPA Act</w:t>
      </w:r>
      <w:r>
        <w:rPr>
          <w:rFonts w:cs="Arial"/>
          <w:iCs/>
        </w:rPr>
        <w:t>.</w:t>
      </w:r>
    </w:p>
    <w:p w14:paraId="08AF310E" w14:textId="77777777" w:rsidR="003B7F7B" w:rsidRPr="002F2E4F" w:rsidRDefault="003B7F7B" w:rsidP="003B7F7B">
      <w:pPr>
        <w:pStyle w:val="ListParagraph"/>
        <w:numPr>
          <w:ilvl w:val="0"/>
          <w:numId w:val="12"/>
        </w:numPr>
        <w:spacing w:before="0" w:after="0" w:line="240" w:lineRule="auto"/>
        <w:ind w:left="426" w:hanging="426"/>
        <w:rPr>
          <w:rFonts w:cs="Arial"/>
        </w:rPr>
      </w:pPr>
      <w:r>
        <w:rPr>
          <w:rFonts w:cs="Arial"/>
          <w:iCs/>
        </w:rPr>
        <w:lastRenderedPageBreak/>
        <w:t xml:space="preserve">Their </w:t>
      </w:r>
      <w:r>
        <w:rPr>
          <w:rFonts w:cs="Arial"/>
        </w:rPr>
        <w:t>personal health information</w:t>
      </w:r>
      <w:r>
        <w:rPr>
          <w:rFonts w:cs="Arial"/>
          <w:iCs/>
        </w:rPr>
        <w:t xml:space="preserve"> may be shared with another person only if this is important for their healthcare and is in accordance with the HRPA Act.</w:t>
      </w:r>
    </w:p>
    <w:p w14:paraId="43F9A0D4" w14:textId="77777777" w:rsidR="003B7F7B" w:rsidRPr="009E6F18" w:rsidRDefault="003B7F7B" w:rsidP="003B7F7B">
      <w:pPr>
        <w:pStyle w:val="ListParagraph"/>
        <w:numPr>
          <w:ilvl w:val="0"/>
          <w:numId w:val="12"/>
        </w:numPr>
        <w:spacing w:before="0" w:after="0" w:line="240" w:lineRule="auto"/>
        <w:ind w:left="426" w:hanging="426"/>
        <w:rPr>
          <w:rFonts w:cs="Arial"/>
        </w:rPr>
      </w:pPr>
      <w:r>
        <w:rPr>
          <w:rFonts w:cs="Arial"/>
          <w:iCs/>
        </w:rPr>
        <w:t xml:space="preserve">They can, with some exceptions, apply to access their own health records and have those records amended to correct inaccuracies by including additional information (information cannot be deleted from a health record). See the </w:t>
      </w:r>
      <w:r w:rsidRPr="001A2D47">
        <w:rPr>
          <w:rFonts w:cs="Arial"/>
          <w:i/>
        </w:rPr>
        <w:t>Clinical Records Management Procedure</w:t>
      </w:r>
      <w:r w:rsidRPr="00E50A22">
        <w:rPr>
          <w:rFonts w:cs="Arial"/>
          <w:iCs/>
        </w:rPr>
        <w:t xml:space="preserve"> </w:t>
      </w:r>
      <w:r>
        <w:rPr>
          <w:rFonts w:cs="Arial"/>
          <w:iCs/>
        </w:rPr>
        <w:t xml:space="preserve">for your facility for more information. </w:t>
      </w:r>
    </w:p>
    <w:p w14:paraId="5A9BCE70" w14:textId="77777777" w:rsidR="003B7F7B" w:rsidRPr="00543E81" w:rsidRDefault="003B7F7B" w:rsidP="003B7F7B">
      <w:pPr>
        <w:pStyle w:val="ListParagraph"/>
        <w:numPr>
          <w:ilvl w:val="0"/>
          <w:numId w:val="12"/>
        </w:numPr>
        <w:spacing w:before="0" w:after="0" w:line="240" w:lineRule="auto"/>
        <w:ind w:left="426" w:hanging="426"/>
        <w:rPr>
          <w:rFonts w:cs="Arial"/>
        </w:rPr>
      </w:pPr>
      <w:r w:rsidRPr="00543E81">
        <w:rPr>
          <w:rFonts w:cs="Arial"/>
          <w:iCs/>
        </w:rPr>
        <w:t>To protect their identity when they are at risk of harm, they can access services using an alias or, where legal and practicable, they can access services anonymously. Refer to section below for more information.</w:t>
      </w:r>
    </w:p>
    <w:p w14:paraId="264B8E55" w14:textId="77777777" w:rsidR="003B7F7B" w:rsidRDefault="003B7F7B" w:rsidP="003B7F7B">
      <w:pPr>
        <w:pStyle w:val="ListParagraph"/>
        <w:numPr>
          <w:ilvl w:val="0"/>
          <w:numId w:val="12"/>
        </w:numPr>
        <w:spacing w:before="0" w:after="0" w:line="240" w:lineRule="auto"/>
        <w:ind w:left="426" w:hanging="426"/>
        <w:rPr>
          <w:rFonts w:cs="Arial"/>
        </w:rPr>
      </w:pPr>
      <w:r>
        <w:rPr>
          <w:rFonts w:cs="Arial"/>
        </w:rPr>
        <w:t>Comprehensive clinical information will be available to their nominated health service providers to enable CHS to provide safe, quality care.</w:t>
      </w:r>
    </w:p>
    <w:p w14:paraId="3BA01F15" w14:textId="77777777" w:rsidR="003B7F7B" w:rsidRDefault="003B7F7B" w:rsidP="003B7F7B">
      <w:pPr>
        <w:pStyle w:val="ListParagraph"/>
        <w:numPr>
          <w:ilvl w:val="0"/>
          <w:numId w:val="12"/>
        </w:numPr>
        <w:spacing w:before="0" w:after="0" w:line="240" w:lineRule="auto"/>
        <w:ind w:left="426" w:hanging="426"/>
        <w:rPr>
          <w:rFonts w:cs="Arial"/>
        </w:rPr>
      </w:pPr>
      <w:bookmarkStart w:id="10" w:name="_Hlk177556601"/>
      <w:r>
        <w:rPr>
          <w:rFonts w:cs="Arial"/>
        </w:rPr>
        <w:t xml:space="preserve">If they have an Advance Agreement, Advance Consent Direction or Nominated Person and do not have decision-making capacity CHS staff will follow the Advance Agreement, Advance Consent Direction or consult with the Nominated Person as per the </w:t>
      </w:r>
      <w:r w:rsidRPr="007E2732">
        <w:rPr>
          <w:rFonts w:cs="Arial"/>
          <w:i/>
          <w:iCs/>
        </w:rPr>
        <w:t>Advance Agreements</w:t>
      </w:r>
      <w:r>
        <w:rPr>
          <w:rFonts w:cs="Arial"/>
          <w:i/>
          <w:iCs/>
        </w:rPr>
        <w:t>, Advance Consent Directions and Nominated Persons under the Mental Health Act 2015 Procedure</w:t>
      </w:r>
      <w:r>
        <w:rPr>
          <w:rFonts w:cs="Arial"/>
        </w:rPr>
        <w:t>.</w:t>
      </w:r>
    </w:p>
    <w:p w14:paraId="08D5380E" w14:textId="77777777" w:rsidR="003B7F7B" w:rsidRDefault="003B7F7B" w:rsidP="003B7F7B">
      <w:pPr>
        <w:pStyle w:val="ListParagraph"/>
        <w:numPr>
          <w:ilvl w:val="0"/>
          <w:numId w:val="12"/>
        </w:numPr>
        <w:spacing w:before="0" w:after="0" w:line="240" w:lineRule="auto"/>
        <w:ind w:left="426" w:hanging="426"/>
        <w:rPr>
          <w:rFonts w:cs="Arial"/>
        </w:rPr>
      </w:pPr>
      <w:bookmarkStart w:id="11" w:name="_Hlk177557036"/>
      <w:bookmarkEnd w:id="10"/>
      <w:r>
        <w:rPr>
          <w:rFonts w:cs="Arial"/>
        </w:rPr>
        <w:t xml:space="preserve">If they have an Advance Care Plan and/or an Enduring Power of Attorney (EPOA) and do not have decision making capacity, CHS will consult with the EPOA and follow the Advance Care Plan as per </w:t>
      </w:r>
      <w:r>
        <w:rPr>
          <w:rFonts w:cs="Arial"/>
          <w:i/>
          <w:iCs/>
        </w:rPr>
        <w:t>Advance Care Planning (Adults) Guideline</w:t>
      </w:r>
      <w:r>
        <w:rPr>
          <w:rFonts w:cs="Arial"/>
        </w:rPr>
        <w:t xml:space="preserve">. </w:t>
      </w:r>
    </w:p>
    <w:bookmarkEnd w:id="11"/>
    <w:p w14:paraId="76D4393D" w14:textId="77777777" w:rsidR="003B7F7B" w:rsidRDefault="003B7F7B" w:rsidP="003B7F7B">
      <w:pPr>
        <w:pStyle w:val="ListParagraph"/>
        <w:numPr>
          <w:ilvl w:val="0"/>
          <w:numId w:val="12"/>
        </w:numPr>
        <w:spacing w:before="0" w:after="0" w:line="240" w:lineRule="auto"/>
        <w:ind w:left="426" w:hanging="426"/>
        <w:rPr>
          <w:rFonts w:cs="Arial"/>
        </w:rPr>
      </w:pPr>
      <w:r>
        <w:rPr>
          <w:rFonts w:cs="Arial"/>
        </w:rPr>
        <w:t xml:space="preserve">They have the right to change their decisions about privacy and information sharing.  If they want to change their decision, they need to inform the staff caring for them, who should </w:t>
      </w:r>
      <w:r>
        <w:t>document the decision in the consumer’s clinical record</w:t>
      </w:r>
      <w:r>
        <w:rPr>
          <w:rFonts w:cs="Arial"/>
        </w:rPr>
        <w:t xml:space="preserve">. </w:t>
      </w:r>
    </w:p>
    <w:p w14:paraId="5F0671BB" w14:textId="772F058A" w:rsidR="001A2D47" w:rsidRPr="001A2D47" w:rsidRDefault="001A2D47" w:rsidP="001A2D47">
      <w:pPr>
        <w:pStyle w:val="BodyCopy"/>
        <w:rPr>
          <w:iCs w:val="0"/>
          <w:color w:val="auto"/>
          <w:u w:val="single"/>
        </w:rPr>
      </w:pPr>
      <w:hyperlink w:anchor="_top" w:history="1">
        <w:r w:rsidRPr="00481A6C">
          <w:rPr>
            <w:rStyle w:val="Hyperlink"/>
            <w:iCs w:val="0"/>
          </w:rPr>
          <w:t>Back to Contents</w:t>
        </w:r>
      </w:hyperlink>
    </w:p>
    <w:p w14:paraId="7AE29DCA" w14:textId="70504F8C" w:rsidR="003B7F7B" w:rsidRDefault="003B7F7B" w:rsidP="003B7F7B">
      <w:pPr>
        <w:pStyle w:val="Heading4"/>
      </w:pPr>
      <w:bookmarkStart w:id="12" w:name="_Toc208493843"/>
      <w:r>
        <w:t>Working in Partnership with Carers and Families</w:t>
      </w:r>
      <w:bookmarkEnd w:id="12"/>
    </w:p>
    <w:p w14:paraId="6536F3F5" w14:textId="263FCD48" w:rsidR="003B7F7B" w:rsidRDefault="003B7F7B" w:rsidP="003B7F7B">
      <w:pPr>
        <w:rPr>
          <w:rStyle w:val="normaltextrun"/>
          <w:rFonts w:cs="Calibri"/>
          <w:color w:val="000000"/>
          <w:shd w:val="clear" w:color="auto" w:fill="FFFFFF"/>
        </w:rPr>
      </w:pPr>
      <w:r>
        <w:rPr>
          <w:rFonts w:cs="Arial"/>
        </w:rPr>
        <w:t xml:space="preserve">Carers and families are frequently involved in the support, assistance or care of another person with an ongoing medical condition, mental health condition, disability, or person who is aged and frail. </w:t>
      </w:r>
    </w:p>
    <w:p w14:paraId="0839DB38" w14:textId="77777777" w:rsidR="003B7F7B" w:rsidRDefault="003B7F7B" w:rsidP="003B7F7B">
      <w:pPr>
        <w:spacing w:after="0"/>
        <w:rPr>
          <w:rStyle w:val="normaltextrun"/>
          <w:rFonts w:cs="Calibri"/>
          <w:color w:val="000000"/>
          <w:shd w:val="clear" w:color="auto" w:fill="FFFFFF"/>
        </w:rPr>
      </w:pPr>
      <w:r>
        <w:rPr>
          <w:rStyle w:val="normaltextrun"/>
          <w:rFonts w:cs="Calibri"/>
          <w:color w:val="000000"/>
          <w:shd w:val="clear" w:color="auto" w:fill="FFFFFF"/>
        </w:rPr>
        <w:t xml:space="preserve">The </w:t>
      </w:r>
      <w:r w:rsidRPr="00A47AD9">
        <w:rPr>
          <w:rStyle w:val="normaltextrun"/>
          <w:rFonts w:cs="Calibri"/>
          <w:i/>
          <w:iCs/>
          <w:color w:val="000000"/>
          <w:shd w:val="clear" w:color="auto" w:fill="FFFFFF"/>
        </w:rPr>
        <w:t xml:space="preserve">Carers Recognition Act </w:t>
      </w:r>
      <w:r w:rsidRPr="001A2D47">
        <w:rPr>
          <w:rStyle w:val="normaltextrun"/>
          <w:rFonts w:cs="Calibri"/>
          <w:color w:val="000000"/>
          <w:shd w:val="clear" w:color="auto" w:fill="FFFFFF"/>
        </w:rPr>
        <w:t>2021</w:t>
      </w:r>
      <w:r>
        <w:rPr>
          <w:rStyle w:val="normaltextrun"/>
          <w:rFonts w:cs="Calibri"/>
          <w:color w:val="000000"/>
          <w:shd w:val="clear" w:color="auto" w:fill="FFFFFF"/>
        </w:rPr>
        <w:t xml:space="preserve"> provides a set of principles affirming the significance of care relationships. CHS upholds these care relationship principles in </w:t>
      </w:r>
      <w:r w:rsidRPr="00842C72">
        <w:rPr>
          <w:szCs w:val="22"/>
        </w:rPr>
        <w:t>assessing, planning, delivering, managing, or reviewing services, programs and policies in relation to people in care relationships</w:t>
      </w:r>
      <w:r>
        <w:rPr>
          <w:rStyle w:val="normaltextrun"/>
          <w:rFonts w:cs="Calibri"/>
          <w:color w:val="000000"/>
          <w:shd w:val="clear" w:color="auto" w:fill="FFFFFF"/>
        </w:rPr>
        <w:t>. CHS also ensures that carers:</w:t>
      </w:r>
    </w:p>
    <w:p w14:paraId="2E9BA553" w14:textId="77777777" w:rsidR="003B7F7B" w:rsidRPr="00837702" w:rsidRDefault="003B7F7B" w:rsidP="003B7F7B">
      <w:pPr>
        <w:pStyle w:val="ListParagraph"/>
        <w:numPr>
          <w:ilvl w:val="0"/>
          <w:numId w:val="13"/>
        </w:numPr>
        <w:spacing w:before="0" w:after="0"/>
        <w:contextualSpacing w:val="0"/>
        <w:rPr>
          <w:sz w:val="22"/>
        </w:rPr>
      </w:pPr>
      <w:r>
        <w:t xml:space="preserve">are supported as a </w:t>
      </w:r>
      <w:proofErr w:type="spellStart"/>
      <w:r>
        <w:t>carer</w:t>
      </w:r>
      <w:proofErr w:type="spellEnd"/>
      <w:r>
        <w:t>, including during changes to the care relationship</w:t>
      </w:r>
    </w:p>
    <w:p w14:paraId="24221A8D" w14:textId="77777777" w:rsidR="003B7F7B" w:rsidRDefault="003B7F7B" w:rsidP="003B7F7B">
      <w:pPr>
        <w:pStyle w:val="ListParagraph"/>
        <w:numPr>
          <w:ilvl w:val="0"/>
          <w:numId w:val="13"/>
        </w:numPr>
        <w:spacing w:before="0" w:after="0"/>
        <w:contextualSpacing w:val="0"/>
        <w:rPr>
          <w:sz w:val="22"/>
        </w:rPr>
      </w:pPr>
      <w:r>
        <w:t>are recognised as someone with knowledge of the person receiving care</w:t>
      </w:r>
    </w:p>
    <w:p w14:paraId="4B614BF1" w14:textId="77777777" w:rsidR="003B7F7B" w:rsidRDefault="003B7F7B" w:rsidP="003B7F7B">
      <w:pPr>
        <w:pStyle w:val="ListParagraph"/>
        <w:numPr>
          <w:ilvl w:val="0"/>
          <w:numId w:val="13"/>
        </w:numPr>
        <w:spacing w:before="0" w:after="0"/>
        <w:contextualSpacing w:val="0"/>
      </w:pPr>
      <w:r>
        <w:t>are recognised for their efforts and dedication, and for the social and economic contribution they make to the community</w:t>
      </w:r>
    </w:p>
    <w:p w14:paraId="6EAB49A5" w14:textId="77777777" w:rsidR="003B7F7B" w:rsidRDefault="003B7F7B" w:rsidP="003B7F7B">
      <w:pPr>
        <w:pStyle w:val="ListParagraph"/>
        <w:numPr>
          <w:ilvl w:val="0"/>
          <w:numId w:val="13"/>
        </w:numPr>
        <w:spacing w:before="0" w:after="0"/>
        <w:contextualSpacing w:val="0"/>
      </w:pPr>
      <w:r>
        <w:t>have their social wellbeing and health recognised in matters relating to the care relationship.</w:t>
      </w:r>
    </w:p>
    <w:p w14:paraId="5EB6635D" w14:textId="6A837EB8" w:rsidR="003B7F7B" w:rsidRPr="003B7F7B" w:rsidRDefault="003B7F7B" w:rsidP="003B7F7B">
      <w:pPr>
        <w:pStyle w:val="ListParagraph"/>
        <w:numPr>
          <w:ilvl w:val="0"/>
          <w:numId w:val="13"/>
        </w:numPr>
        <w:spacing w:before="0"/>
        <w:contextualSpacing w:val="0"/>
        <w:rPr>
          <w:rStyle w:val="normaltextrun"/>
        </w:rPr>
      </w:pPr>
      <w:r>
        <w:t>are consulted when planning or reviewing support services and programs provided to consumers in a care relationship.</w:t>
      </w:r>
    </w:p>
    <w:p w14:paraId="160ECF8A" w14:textId="77777777" w:rsidR="003B7F7B" w:rsidRPr="002B4FB1" w:rsidRDefault="003B7F7B" w:rsidP="003B7F7B">
      <w:pPr>
        <w:rPr>
          <w:rStyle w:val="normaltextrun"/>
          <w:rFonts w:cs="Calibri"/>
          <w:color w:val="000000"/>
          <w:shd w:val="clear" w:color="auto" w:fill="FFFFFF"/>
        </w:rPr>
      </w:pPr>
      <w:r>
        <w:rPr>
          <w:rStyle w:val="normaltextrun"/>
          <w:rFonts w:cs="Calibri"/>
          <w:color w:val="000000"/>
          <w:shd w:val="clear" w:color="auto" w:fill="FFFFFF"/>
        </w:rPr>
        <w:t xml:space="preserve">The </w:t>
      </w:r>
      <w:r w:rsidRPr="004F4BE2">
        <w:rPr>
          <w:rStyle w:val="normaltextrun"/>
          <w:rFonts w:cs="Calibri"/>
          <w:i/>
          <w:iCs/>
          <w:color w:val="000000"/>
          <w:shd w:val="clear" w:color="auto" w:fill="FFFFFF"/>
        </w:rPr>
        <w:t>Health Records (Privacy and Access) Act</w:t>
      </w:r>
      <w:r>
        <w:rPr>
          <w:rStyle w:val="normaltextrun"/>
          <w:rFonts w:cs="Calibri"/>
          <w:i/>
          <w:iCs/>
          <w:color w:val="000000"/>
          <w:shd w:val="clear" w:color="auto" w:fill="FFFFFF"/>
        </w:rPr>
        <w:t xml:space="preserve"> </w:t>
      </w:r>
      <w:r w:rsidRPr="001A2D47">
        <w:rPr>
          <w:rStyle w:val="normaltextrun"/>
          <w:rFonts w:cs="Calibri"/>
          <w:color w:val="000000"/>
          <w:shd w:val="clear" w:color="auto" w:fill="FFFFFF"/>
        </w:rPr>
        <w:t>1997</w:t>
      </w:r>
      <w:r>
        <w:rPr>
          <w:rStyle w:val="normaltextrun"/>
          <w:rFonts w:cs="Calibri"/>
          <w:color w:val="000000"/>
          <w:shd w:val="clear" w:color="auto" w:fill="FFFFFF"/>
        </w:rPr>
        <w:t xml:space="preserve"> regulates the disclosure of personal health information about a consumer to their carer and/or immediate family members.  </w:t>
      </w:r>
    </w:p>
    <w:p w14:paraId="513C920F" w14:textId="77777777" w:rsidR="003B7F7B" w:rsidRDefault="003B7F7B" w:rsidP="003B7F7B">
      <w:pPr>
        <w:pStyle w:val="BodyCopy"/>
        <w:spacing w:after="0"/>
      </w:pPr>
      <w:r>
        <w:t>If the consumer cannot give or withhold consent due to:</w:t>
      </w:r>
    </w:p>
    <w:p w14:paraId="1BBC3ABE" w14:textId="77777777" w:rsidR="003B7F7B" w:rsidRDefault="003B7F7B" w:rsidP="003B7F7B">
      <w:pPr>
        <w:pStyle w:val="Bullet"/>
        <w:numPr>
          <w:ilvl w:val="0"/>
          <w:numId w:val="6"/>
        </w:numPr>
      </w:pPr>
      <w:r>
        <w:lastRenderedPageBreak/>
        <w:t xml:space="preserve">being a child or young person who does not have enough maturity and development capacity to understand the nature of the health information, or </w:t>
      </w:r>
    </w:p>
    <w:p w14:paraId="1F265714" w14:textId="77777777" w:rsidR="003B7F7B" w:rsidRDefault="003B7F7B" w:rsidP="003B7F7B">
      <w:pPr>
        <w:pStyle w:val="Bullet"/>
        <w:numPr>
          <w:ilvl w:val="0"/>
          <w:numId w:val="6"/>
        </w:numPr>
      </w:pPr>
      <w:r>
        <w:t xml:space="preserve">does not have decision-making capacity under the </w:t>
      </w:r>
      <w:r w:rsidRPr="6E0F5BD3">
        <w:rPr>
          <w:i/>
          <w:iCs/>
        </w:rPr>
        <w:t>Mental Health Act 2015,</w:t>
      </w:r>
      <w:r>
        <w:t xml:space="preserve"> or </w:t>
      </w:r>
    </w:p>
    <w:p w14:paraId="1CE75BC1" w14:textId="77777777" w:rsidR="003B7F7B" w:rsidRDefault="003B7F7B" w:rsidP="003B7F7B">
      <w:pPr>
        <w:pStyle w:val="Bullet"/>
        <w:numPr>
          <w:ilvl w:val="0"/>
          <w:numId w:val="6"/>
        </w:numPr>
      </w:pPr>
      <w:r>
        <w:t xml:space="preserve">is determined not to have capacity to consent, </w:t>
      </w:r>
    </w:p>
    <w:p w14:paraId="72B7CB82" w14:textId="77777777" w:rsidR="003B7F7B" w:rsidRDefault="003B7F7B" w:rsidP="001A2D47">
      <w:pPr>
        <w:pStyle w:val="Bullet"/>
      </w:pPr>
      <w:r>
        <w:t>then disclosure to the consumer’s carer or immediate family member is permitted when it is:</w:t>
      </w:r>
    </w:p>
    <w:p w14:paraId="1007369C" w14:textId="77777777" w:rsidR="003B7F7B" w:rsidRPr="00597CC8" w:rsidRDefault="003B7F7B" w:rsidP="003B7F7B">
      <w:pPr>
        <w:pStyle w:val="Bullet"/>
        <w:numPr>
          <w:ilvl w:val="0"/>
          <w:numId w:val="6"/>
        </w:numPr>
      </w:pPr>
      <w:r>
        <w:t>necessary to enable the carer to safely and effectively provide appropriate care for the consumer, and/or</w:t>
      </w:r>
    </w:p>
    <w:p w14:paraId="7FC6C63A" w14:textId="77777777" w:rsidR="003B7F7B" w:rsidRDefault="003B7F7B" w:rsidP="003B7F7B">
      <w:pPr>
        <w:pStyle w:val="Bullet"/>
        <w:numPr>
          <w:ilvl w:val="0"/>
          <w:numId w:val="6"/>
        </w:numPr>
      </w:pPr>
      <w:r>
        <w:t>made for compassionate reasons to an immediate family member.  The treating team need to believe that the disclosure would be, or would have been, expected by the consumer and the disclosure is not contrary to any wishes previously expressed by the consumer, and/or</w:t>
      </w:r>
    </w:p>
    <w:p w14:paraId="746D558E" w14:textId="6E87672F" w:rsidR="003B7F7B" w:rsidRPr="003B7F7B" w:rsidRDefault="003B7F7B" w:rsidP="003B7F7B">
      <w:pPr>
        <w:pStyle w:val="Bullet"/>
        <w:numPr>
          <w:ilvl w:val="0"/>
          <w:numId w:val="6"/>
        </w:numPr>
      </w:pPr>
      <w:r>
        <w:t>necessary to prevent or lessen a serious imminent risk to the life or physical, mental or emotional health of the person or someone else.</w:t>
      </w:r>
    </w:p>
    <w:p w14:paraId="17E7548C" w14:textId="5B8E78E6" w:rsidR="003B7F7B" w:rsidRDefault="003B7F7B" w:rsidP="003B7F7B">
      <w:pPr>
        <w:rPr>
          <w:rFonts w:cs="Arial"/>
        </w:rPr>
      </w:pPr>
      <w:r>
        <w:rPr>
          <w:rStyle w:val="normaltextrun"/>
          <w:rFonts w:cs="Calibri"/>
          <w:color w:val="000000"/>
          <w:shd w:val="clear" w:color="auto" w:fill="FFFFFF"/>
        </w:rPr>
        <w:t xml:space="preserve">CHS upholds the </w:t>
      </w:r>
      <w:r w:rsidRPr="004F4BE2">
        <w:rPr>
          <w:rStyle w:val="normaltextrun"/>
          <w:rFonts w:cs="Calibri"/>
          <w:i/>
          <w:iCs/>
          <w:color w:val="000000"/>
          <w:shd w:val="clear" w:color="auto" w:fill="FFFFFF"/>
        </w:rPr>
        <w:t>Australian Charter of Healthcare Rights</w:t>
      </w:r>
      <w:r>
        <w:rPr>
          <w:rStyle w:val="normaltextrun"/>
          <w:rFonts w:cs="Calibri"/>
          <w:color w:val="000000"/>
          <w:shd w:val="clear" w:color="auto" w:fill="FFFFFF"/>
        </w:rPr>
        <w:t xml:space="preserve"> to provide the basis for implementing and maintaining partnerships with consumers, carers and community members.</w:t>
      </w:r>
      <w:r w:rsidRPr="004F4BE2">
        <w:rPr>
          <w:rFonts w:cs="Arial"/>
        </w:rPr>
        <w:t xml:space="preserve"> </w:t>
      </w:r>
      <w:r>
        <w:rPr>
          <w:rFonts w:cs="Arial"/>
        </w:rPr>
        <w:t xml:space="preserve">For consumers, involving others in their healthcare planning and decision making is a healthcare right, independent of where care, medicine, therapy and other services are provided. </w:t>
      </w:r>
    </w:p>
    <w:p w14:paraId="0099F42D" w14:textId="03C0EF18" w:rsidR="003B7F7B" w:rsidRDefault="003B7F7B" w:rsidP="003B7F7B">
      <w:pPr>
        <w:rPr>
          <w:rFonts w:cs="Arial"/>
        </w:rPr>
      </w:pPr>
      <w:r>
        <w:rPr>
          <w:rFonts w:cs="Arial"/>
        </w:rPr>
        <w:t xml:space="preserve">For further information on working in partnership with consumers and carers, refer to the </w:t>
      </w:r>
      <w:r w:rsidRPr="004F4BE2">
        <w:rPr>
          <w:rFonts w:cs="Arial"/>
          <w:i/>
          <w:iCs/>
        </w:rPr>
        <w:t>Carers Recognition Act 2021</w:t>
      </w:r>
      <w:r>
        <w:rPr>
          <w:rFonts w:cs="Arial"/>
        </w:rPr>
        <w:t xml:space="preserve">, </w:t>
      </w:r>
      <w:r w:rsidRPr="004F4BE2">
        <w:rPr>
          <w:rFonts w:cs="Arial"/>
          <w:i/>
          <w:iCs/>
        </w:rPr>
        <w:t>Partnering with Consumers Policy</w:t>
      </w:r>
      <w:r>
        <w:rPr>
          <w:rFonts w:cs="Arial"/>
          <w:i/>
          <w:iCs/>
        </w:rPr>
        <w:t>,</w:t>
      </w:r>
      <w:r>
        <w:rPr>
          <w:rFonts w:cs="Arial"/>
        </w:rPr>
        <w:t xml:space="preserve"> </w:t>
      </w:r>
      <w:r w:rsidRPr="00630F32">
        <w:rPr>
          <w:rFonts w:cs="Arial"/>
          <w:i/>
          <w:iCs/>
        </w:rPr>
        <w:t>Australian Charter of Healthcare Right</w:t>
      </w:r>
      <w:r>
        <w:rPr>
          <w:rFonts w:cs="Arial"/>
        </w:rPr>
        <w:t xml:space="preserve">s and the </w:t>
      </w:r>
      <w:r w:rsidRPr="00630F32">
        <w:rPr>
          <w:rFonts w:cs="Arial"/>
          <w:i/>
          <w:iCs/>
        </w:rPr>
        <w:t>Australian Healthcare Rights and Your Privacy at Canberra Health Services</w:t>
      </w:r>
      <w:r>
        <w:rPr>
          <w:rFonts w:cs="Arial"/>
        </w:rPr>
        <w:t xml:space="preserve"> health information sheet.</w:t>
      </w:r>
    </w:p>
    <w:p w14:paraId="5095581D" w14:textId="2DA72F0C" w:rsidR="00867A83" w:rsidRPr="00867A83" w:rsidRDefault="00867A83" w:rsidP="00867A83">
      <w:pPr>
        <w:pStyle w:val="BodyCopy"/>
        <w:rPr>
          <w:iCs w:val="0"/>
          <w:color w:val="auto"/>
          <w:u w:val="single"/>
        </w:rPr>
      </w:pPr>
      <w:hyperlink w:anchor="_top" w:history="1">
        <w:r w:rsidRPr="00481A6C">
          <w:rPr>
            <w:rStyle w:val="Hyperlink"/>
            <w:iCs w:val="0"/>
          </w:rPr>
          <w:t>Back to Contents</w:t>
        </w:r>
      </w:hyperlink>
    </w:p>
    <w:p w14:paraId="0CDDCDDE" w14:textId="6C8DADC2" w:rsidR="003B7F7B" w:rsidRDefault="003B7F7B" w:rsidP="003B7F7B">
      <w:pPr>
        <w:pStyle w:val="Heading4"/>
      </w:pPr>
      <w:bookmarkStart w:id="13" w:name="_Toc208493844"/>
      <w:r>
        <w:t>Consumer Personal Health Information at CHS</w:t>
      </w:r>
      <w:bookmarkEnd w:id="13"/>
    </w:p>
    <w:p w14:paraId="0C9AADA2" w14:textId="77777777" w:rsidR="003B7F7B" w:rsidRDefault="003B7F7B" w:rsidP="003B7F7B">
      <w:pPr>
        <w:rPr>
          <w:rFonts w:cs="Arial"/>
        </w:rPr>
      </w:pPr>
      <w:r>
        <w:rPr>
          <w:rFonts w:cs="Arial"/>
        </w:rPr>
        <w:t>CHS is committed to ensuring consumers’ privacy is respected by applying the following principles</w:t>
      </w:r>
      <w:r w:rsidRPr="0055500C">
        <w:rPr>
          <w:rFonts w:cs="Arial"/>
          <w:i/>
          <w:iCs/>
        </w:rPr>
        <w:t>:</w:t>
      </w:r>
      <w:r>
        <w:rPr>
          <w:rFonts w:cs="Arial"/>
        </w:rPr>
        <w:t xml:space="preserve"> </w:t>
      </w:r>
    </w:p>
    <w:p w14:paraId="2503CE9C" w14:textId="77777777" w:rsidR="003B7F7B" w:rsidRPr="005A1DFC" w:rsidRDefault="003B7F7B" w:rsidP="003B7F7B">
      <w:pPr>
        <w:pStyle w:val="ListParagraph"/>
        <w:numPr>
          <w:ilvl w:val="0"/>
          <w:numId w:val="14"/>
        </w:numPr>
        <w:spacing w:before="0" w:after="0" w:line="240" w:lineRule="auto"/>
        <w:ind w:left="426" w:hanging="426"/>
        <w:rPr>
          <w:rFonts w:cs="Arial"/>
        </w:rPr>
      </w:pPr>
      <w:r>
        <w:rPr>
          <w:rFonts w:cs="Arial"/>
        </w:rPr>
        <w:t xml:space="preserve">Personal health information </w:t>
      </w:r>
      <w:r w:rsidRPr="005A1DFC">
        <w:rPr>
          <w:rFonts w:cs="Arial"/>
        </w:rPr>
        <w:t>at CHS will not be collected by unlawful or unfair means or unnecessarily.</w:t>
      </w:r>
    </w:p>
    <w:p w14:paraId="1E19F756" w14:textId="77777777" w:rsidR="003B7F7B" w:rsidRPr="005A1DFC" w:rsidRDefault="003B7F7B" w:rsidP="003B7F7B">
      <w:pPr>
        <w:pStyle w:val="ListParagraph"/>
        <w:numPr>
          <w:ilvl w:val="0"/>
          <w:numId w:val="14"/>
        </w:numPr>
        <w:spacing w:before="0" w:after="0" w:line="240" w:lineRule="auto"/>
        <w:ind w:left="426" w:hanging="426"/>
        <w:rPr>
          <w:rFonts w:cs="Arial"/>
        </w:rPr>
      </w:pPr>
      <w:r w:rsidRPr="005A1DFC">
        <w:rPr>
          <w:rFonts w:cs="Arial"/>
        </w:rPr>
        <w:t xml:space="preserve">Consumers will be informed before </w:t>
      </w:r>
      <w:r>
        <w:rPr>
          <w:rFonts w:cs="Arial"/>
        </w:rPr>
        <w:t xml:space="preserve">personal health information </w:t>
      </w:r>
      <w:r w:rsidRPr="005A1DFC">
        <w:rPr>
          <w:rFonts w:cs="Arial"/>
        </w:rPr>
        <w:t>is collected, or as soon as practicable after collection, about:</w:t>
      </w:r>
    </w:p>
    <w:p w14:paraId="65326EB7" w14:textId="77777777" w:rsidR="003B7F7B" w:rsidRPr="003B7F7B" w:rsidRDefault="003B7F7B" w:rsidP="001A2D47">
      <w:pPr>
        <w:pStyle w:val="Tablebullet2"/>
        <w:framePr w:wrap="around"/>
      </w:pPr>
      <w:r w:rsidRPr="003B7F7B">
        <w:t>why the information is being collected</w:t>
      </w:r>
    </w:p>
    <w:p w14:paraId="5ACE3F77" w14:textId="77777777" w:rsidR="003B7F7B" w:rsidRPr="003B7F7B" w:rsidRDefault="003B7F7B" w:rsidP="001A2D47">
      <w:pPr>
        <w:pStyle w:val="Tablebullet2"/>
        <w:framePr w:wrap="around"/>
      </w:pPr>
      <w:r w:rsidRPr="003B7F7B">
        <w:t>if the collection of information is authorised or required by law.</w:t>
      </w:r>
    </w:p>
    <w:p w14:paraId="3565A208" w14:textId="77777777" w:rsidR="003B7F7B" w:rsidRPr="005A1DFC" w:rsidRDefault="003B7F7B" w:rsidP="003B7F7B">
      <w:pPr>
        <w:pStyle w:val="ListParagraph"/>
        <w:numPr>
          <w:ilvl w:val="0"/>
          <w:numId w:val="14"/>
        </w:numPr>
        <w:spacing w:before="0" w:after="0" w:line="240" w:lineRule="auto"/>
        <w:ind w:left="426" w:hanging="426"/>
        <w:rPr>
          <w:rFonts w:cs="Arial"/>
        </w:rPr>
      </w:pPr>
      <w:r w:rsidRPr="005A1DFC">
        <w:rPr>
          <w:rFonts w:cs="Arial"/>
        </w:rPr>
        <w:t xml:space="preserve">Reasonable steps will be taken to ensure the </w:t>
      </w:r>
      <w:r>
        <w:rPr>
          <w:rFonts w:cs="Arial"/>
        </w:rPr>
        <w:t xml:space="preserve">personal health information </w:t>
      </w:r>
      <w:r w:rsidRPr="005A1DFC">
        <w:rPr>
          <w:rFonts w:cs="Arial"/>
        </w:rPr>
        <w:t xml:space="preserve">collected is </w:t>
      </w:r>
      <w:r>
        <w:rPr>
          <w:rFonts w:cs="Arial"/>
        </w:rPr>
        <w:t xml:space="preserve">relevant, </w:t>
      </w:r>
      <w:r w:rsidRPr="005A1DFC">
        <w:rPr>
          <w:rFonts w:cs="Arial"/>
        </w:rPr>
        <w:t>up to date and accurate.</w:t>
      </w:r>
    </w:p>
    <w:p w14:paraId="1705D2AB" w14:textId="77777777" w:rsidR="003B7F7B" w:rsidRDefault="003B7F7B" w:rsidP="003B7F7B">
      <w:pPr>
        <w:pStyle w:val="ListParagraph"/>
        <w:numPr>
          <w:ilvl w:val="0"/>
          <w:numId w:val="14"/>
        </w:numPr>
        <w:spacing w:before="0" w:after="0" w:line="240" w:lineRule="auto"/>
        <w:ind w:left="426" w:hanging="426"/>
        <w:rPr>
          <w:rFonts w:cs="Arial"/>
        </w:rPr>
      </w:pPr>
      <w:r w:rsidRPr="005A1DFC">
        <w:rPr>
          <w:rFonts w:cs="Arial"/>
        </w:rPr>
        <w:t>Reasonable steps</w:t>
      </w:r>
      <w:r>
        <w:rPr>
          <w:rFonts w:cs="Arial"/>
        </w:rPr>
        <w:t xml:space="preserve"> will be taken to ensure the personal health information is securely stored by CHS and not misused.</w:t>
      </w:r>
    </w:p>
    <w:p w14:paraId="556FA1B8" w14:textId="77777777" w:rsidR="003B7F7B" w:rsidRDefault="003B7F7B" w:rsidP="003B7F7B">
      <w:pPr>
        <w:pStyle w:val="ListParagraph"/>
        <w:numPr>
          <w:ilvl w:val="0"/>
          <w:numId w:val="14"/>
        </w:numPr>
        <w:spacing w:before="0" w:after="0" w:line="240" w:lineRule="auto"/>
        <w:ind w:left="426" w:hanging="426"/>
        <w:rPr>
          <w:rFonts w:cs="Arial"/>
        </w:rPr>
      </w:pPr>
      <w:r>
        <w:rPr>
          <w:rFonts w:cs="Arial"/>
        </w:rPr>
        <w:t>Personal health information will not be used or disclosed for a purpose that is not the purpose of collection or for a purpose that is incidental or not connected with the purpose of collection unless:</w:t>
      </w:r>
    </w:p>
    <w:p w14:paraId="369BE124" w14:textId="77777777" w:rsidR="003B7F7B" w:rsidRPr="003B7F7B" w:rsidRDefault="003B7F7B" w:rsidP="001A2D47">
      <w:pPr>
        <w:pStyle w:val="Tablebullet2"/>
        <w:framePr w:wrap="around"/>
      </w:pPr>
      <w:r w:rsidRPr="003B7F7B">
        <w:t>the consumer has consented to the use or disclosure</w:t>
      </w:r>
    </w:p>
    <w:p w14:paraId="1518FEFE" w14:textId="77777777" w:rsidR="003B7F7B" w:rsidRPr="003B7F7B" w:rsidRDefault="003B7F7B" w:rsidP="001A2D47">
      <w:pPr>
        <w:pStyle w:val="Tablebullet2"/>
        <w:framePr w:wrap="around"/>
      </w:pPr>
      <w:r w:rsidRPr="003B7F7B">
        <w:t>the consumer would reasonably expect CHS to use or disclose the information for the secondary purpose</w:t>
      </w:r>
    </w:p>
    <w:p w14:paraId="7AFB12BD" w14:textId="77777777" w:rsidR="003B7F7B" w:rsidRPr="003B7F7B" w:rsidRDefault="003B7F7B" w:rsidP="001A2D47">
      <w:pPr>
        <w:pStyle w:val="Tablebullet2"/>
        <w:framePr w:wrap="around"/>
      </w:pPr>
      <w:r w:rsidRPr="003B7F7B">
        <w:t>the secondary purpose is related to the primary purpose</w:t>
      </w:r>
    </w:p>
    <w:p w14:paraId="0D0ACCE8" w14:textId="77777777" w:rsidR="003B7F7B" w:rsidRPr="003B7F7B" w:rsidRDefault="003B7F7B" w:rsidP="003B7F7B">
      <w:pPr>
        <w:pStyle w:val="ListBullet"/>
        <w:numPr>
          <w:ilvl w:val="0"/>
          <w:numId w:val="16"/>
        </w:numPr>
        <w:ind w:left="851" w:hanging="425"/>
        <w:rPr>
          <w:rFonts w:ascii="Arial" w:hAnsi="Arial" w:cs="Arial"/>
        </w:rPr>
      </w:pPr>
      <w:r w:rsidRPr="003B7F7B">
        <w:rPr>
          <w:rFonts w:ascii="Arial" w:hAnsi="Arial" w:cs="Arial"/>
        </w:rPr>
        <w:lastRenderedPageBreak/>
        <w:t>a staff member reaches the belief on reasonable grounds that the use or disclosure was necessary to prevent or lessen a serious threat to the life, health or safety of the consumer or another person, and/or</w:t>
      </w:r>
    </w:p>
    <w:p w14:paraId="726397A7" w14:textId="77777777" w:rsidR="003B7F7B" w:rsidRPr="003B7F7B" w:rsidRDefault="003B7F7B" w:rsidP="003B7F7B">
      <w:pPr>
        <w:pStyle w:val="ListBullet"/>
        <w:numPr>
          <w:ilvl w:val="0"/>
          <w:numId w:val="16"/>
        </w:numPr>
        <w:ind w:left="851" w:hanging="425"/>
        <w:rPr>
          <w:rFonts w:ascii="Arial" w:hAnsi="Arial" w:cs="Arial"/>
        </w:rPr>
      </w:pPr>
      <w:r w:rsidRPr="003B7F7B">
        <w:rPr>
          <w:rFonts w:ascii="Arial" w:hAnsi="Arial" w:cs="Arial"/>
        </w:rPr>
        <w:t>the use or disclosure is required by, or authorised under, legislation.</w:t>
      </w:r>
    </w:p>
    <w:p w14:paraId="18254CA9" w14:textId="77777777" w:rsidR="003B7F7B" w:rsidRDefault="003B7F7B" w:rsidP="003B7F7B">
      <w:pPr>
        <w:rPr>
          <w:rFonts w:cs="Arial"/>
        </w:rPr>
      </w:pPr>
      <w:r>
        <w:rPr>
          <w:rFonts w:cs="Arial"/>
        </w:rPr>
        <w:t xml:space="preserve">Health professionals have a duty to maintain the confidentiality of all information that is directly or indirectly gained, created or disclosed to them while providing treatment or care to consumers. This duty extends to other CHS team members who access consumer information as part of the delivery of health care to that consumer. </w:t>
      </w:r>
    </w:p>
    <w:p w14:paraId="528E70EB" w14:textId="77777777" w:rsidR="003B7F7B" w:rsidRDefault="003B7F7B" w:rsidP="003B7F7B">
      <w:pPr>
        <w:rPr>
          <w:rFonts w:cs="Arial"/>
        </w:rPr>
      </w:pPr>
      <w:r>
        <w:rPr>
          <w:rFonts w:cs="Arial"/>
        </w:rPr>
        <w:t>Maintaining consumer confidentiality includes:</w:t>
      </w:r>
    </w:p>
    <w:p w14:paraId="3D8ED90A" w14:textId="77777777" w:rsidR="003B7F7B" w:rsidRDefault="003B7F7B" w:rsidP="003B7F7B">
      <w:pPr>
        <w:pStyle w:val="ListParagraph"/>
        <w:numPr>
          <w:ilvl w:val="0"/>
          <w:numId w:val="15"/>
        </w:numPr>
        <w:spacing w:before="0" w:after="0" w:line="240" w:lineRule="auto"/>
        <w:ind w:left="426" w:hanging="426"/>
        <w:rPr>
          <w:rFonts w:cs="Arial"/>
        </w:rPr>
      </w:pPr>
      <w:r w:rsidRPr="0051103C">
        <w:rPr>
          <w:rFonts w:cs="Arial"/>
        </w:rPr>
        <w:t xml:space="preserve">CHS staff not </w:t>
      </w:r>
      <w:r>
        <w:rPr>
          <w:rFonts w:cs="Arial"/>
        </w:rPr>
        <w:t xml:space="preserve">discussing information about a consumer in a public space (for example public café, stairwell, lift or corridors) </w:t>
      </w:r>
      <w:r w:rsidRPr="0051103C">
        <w:rPr>
          <w:rFonts w:cs="Arial"/>
        </w:rPr>
        <w:t xml:space="preserve">where the identity of the </w:t>
      </w:r>
      <w:r>
        <w:rPr>
          <w:rFonts w:cs="Arial"/>
        </w:rPr>
        <w:t>consumer</w:t>
      </w:r>
      <w:r w:rsidRPr="0051103C">
        <w:rPr>
          <w:rFonts w:cs="Arial"/>
        </w:rPr>
        <w:t>, or issues relating to th</w:t>
      </w:r>
      <w:r>
        <w:rPr>
          <w:rFonts w:cs="Arial"/>
        </w:rPr>
        <w:t xml:space="preserve">e consumer </w:t>
      </w:r>
      <w:r w:rsidRPr="0051103C">
        <w:rPr>
          <w:rFonts w:cs="Arial"/>
        </w:rPr>
        <w:t xml:space="preserve">may </w:t>
      </w:r>
      <w:r>
        <w:rPr>
          <w:rFonts w:cs="Arial"/>
        </w:rPr>
        <w:t>result in the consumer’s personal information becoming known by others.</w:t>
      </w:r>
      <w:r w:rsidRPr="0051103C">
        <w:rPr>
          <w:rFonts w:cs="Arial"/>
        </w:rPr>
        <w:t xml:space="preserve"> </w:t>
      </w:r>
    </w:p>
    <w:p w14:paraId="2C291D2A" w14:textId="77777777" w:rsidR="003B7F7B" w:rsidRDefault="003B7F7B" w:rsidP="003B7F7B">
      <w:pPr>
        <w:pStyle w:val="ListParagraph"/>
        <w:numPr>
          <w:ilvl w:val="0"/>
          <w:numId w:val="15"/>
        </w:numPr>
        <w:spacing w:before="0" w:after="0" w:line="240" w:lineRule="auto"/>
        <w:ind w:left="426" w:hanging="426"/>
        <w:rPr>
          <w:rFonts w:cs="Arial"/>
        </w:rPr>
      </w:pPr>
      <w:bookmarkStart w:id="14" w:name="_Hlk177566029"/>
      <w:r>
        <w:rPr>
          <w:rFonts w:cs="Arial"/>
        </w:rPr>
        <w:t>CHS staff not discussing information about a consumer in shared clinical areas to the extent that the consumer’s personal information is overheard by other consumers.</w:t>
      </w:r>
    </w:p>
    <w:bookmarkEnd w:id="14"/>
    <w:p w14:paraId="4050A781" w14:textId="77777777" w:rsidR="003B7F7B" w:rsidRDefault="003B7F7B" w:rsidP="003B7F7B">
      <w:pPr>
        <w:pStyle w:val="ListParagraph"/>
        <w:numPr>
          <w:ilvl w:val="0"/>
          <w:numId w:val="15"/>
        </w:numPr>
        <w:spacing w:before="0" w:after="0" w:line="240" w:lineRule="auto"/>
        <w:ind w:left="426" w:hanging="426"/>
        <w:rPr>
          <w:rFonts w:cs="Arial"/>
        </w:rPr>
      </w:pPr>
      <w:r>
        <w:rPr>
          <w:rFonts w:cs="Arial"/>
        </w:rPr>
        <w:t xml:space="preserve">CHS staff not discussing consumers who are also CHS staff members or a person with a public profile/of public interest with staff members not involved in their care/treatment (for example discussing these consumers in the team room or staff cafeteria). </w:t>
      </w:r>
    </w:p>
    <w:p w14:paraId="7136D222" w14:textId="77777777" w:rsidR="003B7F7B" w:rsidRDefault="003B7F7B" w:rsidP="003B7F7B">
      <w:pPr>
        <w:pStyle w:val="ListParagraph"/>
        <w:numPr>
          <w:ilvl w:val="0"/>
          <w:numId w:val="15"/>
        </w:numPr>
        <w:spacing w:before="0" w:after="0" w:line="240" w:lineRule="auto"/>
        <w:ind w:left="426" w:hanging="426"/>
        <w:rPr>
          <w:rFonts w:cs="Arial"/>
        </w:rPr>
      </w:pPr>
      <w:r w:rsidRPr="6E0F5BD3">
        <w:rPr>
          <w:rFonts w:cs="Arial"/>
        </w:rPr>
        <w:t>Ensuring written information about consumers is not easily viewed when transferring between clinical areas. For example, not hav</w:t>
      </w:r>
      <w:r>
        <w:rPr>
          <w:rFonts w:cs="Arial"/>
        </w:rPr>
        <w:t>ing</w:t>
      </w:r>
      <w:r w:rsidRPr="6E0F5BD3">
        <w:rPr>
          <w:rFonts w:cs="Arial"/>
        </w:rPr>
        <w:t xml:space="preserve"> the clinical record open on a screen when moving from one clinical area to another.</w:t>
      </w:r>
    </w:p>
    <w:p w14:paraId="5F284D1F" w14:textId="77777777" w:rsidR="003B7F7B" w:rsidRPr="00703B48" w:rsidRDefault="003B7F7B" w:rsidP="003B7F7B">
      <w:pPr>
        <w:pStyle w:val="ListParagraph"/>
        <w:numPr>
          <w:ilvl w:val="0"/>
          <w:numId w:val="15"/>
        </w:numPr>
        <w:spacing w:before="0" w:after="0" w:line="240" w:lineRule="auto"/>
        <w:ind w:left="426" w:hanging="426"/>
        <w:rPr>
          <w:rFonts w:cs="Arial"/>
        </w:rPr>
      </w:pPr>
      <w:r>
        <w:t>Ensuring when consumer information is used for staff education purposes that individuals are de-identified and only relevant information used.</w:t>
      </w:r>
    </w:p>
    <w:p w14:paraId="78975781" w14:textId="274959FF" w:rsidR="003B7F7B" w:rsidRPr="009842A4" w:rsidRDefault="003B7F7B" w:rsidP="009842A4">
      <w:pPr>
        <w:pStyle w:val="ListParagraph"/>
        <w:numPr>
          <w:ilvl w:val="0"/>
          <w:numId w:val="15"/>
        </w:numPr>
        <w:spacing w:before="0" w:line="240" w:lineRule="auto"/>
        <w:ind w:left="426" w:hanging="426"/>
        <w:rPr>
          <w:rFonts w:cs="Arial"/>
        </w:rPr>
      </w:pPr>
      <w:r>
        <w:t>Not sending consumer files to a personal email or device for remote work.</w:t>
      </w:r>
    </w:p>
    <w:p w14:paraId="6104E845" w14:textId="77777777" w:rsidR="003B7F7B" w:rsidRDefault="003B7F7B" w:rsidP="003B7F7B">
      <w:pPr>
        <w:pStyle w:val="Heading5"/>
      </w:pPr>
      <w:r w:rsidRPr="52192F0C">
        <w:t>Patients requiring anonymity</w:t>
      </w:r>
    </w:p>
    <w:p w14:paraId="4D087276" w14:textId="77777777" w:rsidR="003B7F7B" w:rsidRDefault="003B7F7B" w:rsidP="003B7F7B">
      <w:pPr>
        <w:pBdr>
          <w:top w:val="single" w:sz="4" w:space="1" w:color="auto"/>
          <w:left w:val="single" w:sz="4" w:space="4" w:color="auto"/>
          <w:bottom w:val="single" w:sz="4" w:space="1" w:color="auto"/>
          <w:right w:val="single" w:sz="4" w:space="4" w:color="auto"/>
        </w:pBdr>
        <w:rPr>
          <w:rFonts w:cs="Arial"/>
          <w:i/>
          <w:iCs/>
        </w:rPr>
      </w:pPr>
      <w:r>
        <w:rPr>
          <w:rFonts w:cs="Arial"/>
          <w:b/>
          <w:bCs/>
        </w:rPr>
        <w:t>Note</w:t>
      </w:r>
      <w:r>
        <w:rPr>
          <w:rFonts w:cs="Arial"/>
        </w:rPr>
        <w:t xml:space="preserve">: for information about consumers accessing Canberra Sexual Health Centre services anonymously refer to </w:t>
      </w:r>
      <w:r>
        <w:rPr>
          <w:rFonts w:cs="Arial"/>
          <w:i/>
          <w:iCs/>
        </w:rPr>
        <w:t>Canberra Sexual Health Centre Procedure.</w:t>
      </w:r>
    </w:p>
    <w:p w14:paraId="4687F567" w14:textId="77777777" w:rsidR="003B7F7B" w:rsidRDefault="003B7F7B" w:rsidP="003B7F7B">
      <w:pPr>
        <w:rPr>
          <w:rFonts w:cs="Arial"/>
        </w:rPr>
      </w:pPr>
      <w:r w:rsidRPr="6E0F5BD3">
        <w:rPr>
          <w:rFonts w:cs="Arial"/>
        </w:rPr>
        <w:t xml:space="preserve">When a consumer is admitted to an inpatient facility identifying information may be displayed on devices including, but not limited to, identification arm bands, smart boards/white boards at the consumers bedside and bed/cot cards. </w:t>
      </w:r>
    </w:p>
    <w:p w14:paraId="35297CC0" w14:textId="77777777" w:rsidR="003B7F7B" w:rsidRDefault="003B7F7B" w:rsidP="003B7F7B">
      <w:pPr>
        <w:rPr>
          <w:rFonts w:cs="Calibri"/>
        </w:rPr>
      </w:pPr>
      <w:r w:rsidRPr="0E8ED77E">
        <w:rPr>
          <w:rFonts w:cs="Arial"/>
        </w:rPr>
        <w:t xml:space="preserve">In cases where consumer information is required to be anonymous for personal safety reasons, </w:t>
      </w:r>
      <w:r>
        <w:rPr>
          <w:rFonts w:cs="Arial"/>
        </w:rPr>
        <w:t xml:space="preserve">e.g., due to domestic and family violence, </w:t>
      </w:r>
      <w:r w:rsidRPr="00456E78">
        <w:rPr>
          <w:rFonts w:cs="Arial"/>
        </w:rPr>
        <w:t>staff must notify the ward clerk</w:t>
      </w:r>
      <w:r>
        <w:rPr>
          <w:rFonts w:cs="Arial"/>
        </w:rPr>
        <w:t>, outpatient reception staff</w:t>
      </w:r>
      <w:r w:rsidRPr="00456E78">
        <w:rPr>
          <w:rFonts w:cs="Arial"/>
        </w:rPr>
        <w:t xml:space="preserve"> or Health Information Services (HIS)</w:t>
      </w:r>
      <w:r>
        <w:rPr>
          <w:rFonts w:cs="Arial"/>
        </w:rPr>
        <w:t xml:space="preserve"> via CHS.HIS@act.gov.au</w:t>
      </w:r>
      <w:r w:rsidRPr="00456E78">
        <w:rPr>
          <w:rFonts w:cs="Arial"/>
        </w:rPr>
        <w:t>. The ward clerk</w:t>
      </w:r>
      <w:r>
        <w:rPr>
          <w:rFonts w:cs="Arial"/>
        </w:rPr>
        <w:t>, reception staff</w:t>
      </w:r>
      <w:r w:rsidRPr="00456E78">
        <w:rPr>
          <w:rFonts w:cs="Arial"/>
        </w:rPr>
        <w:t xml:space="preserve"> or HIS can apply additional privacy mechanisms against the clinical record to minimise the</w:t>
      </w:r>
      <w:r w:rsidRPr="0E8ED77E">
        <w:rPr>
          <w:rFonts w:cs="Calibri"/>
        </w:rPr>
        <w:t xml:space="preserve"> occurrence of inappropriate access. </w:t>
      </w:r>
    </w:p>
    <w:p w14:paraId="06EF6912" w14:textId="77777777" w:rsidR="003B7F7B" w:rsidRDefault="003B7F7B" w:rsidP="003B7F7B">
      <w:pPr>
        <w:rPr>
          <w:rFonts w:cs="Calibri"/>
        </w:rPr>
      </w:pPr>
      <w:r w:rsidRPr="6E0F5BD3">
        <w:rPr>
          <w:rFonts w:cs="Calibri"/>
        </w:rPr>
        <w:t>In the Emergency Department for patients marked as confidential or anonymous in the clinical health record, the patient</w:t>
      </w:r>
      <w:r>
        <w:rPr>
          <w:rFonts w:cs="Calibri"/>
        </w:rPr>
        <w:t>’</w:t>
      </w:r>
      <w:r w:rsidRPr="6E0F5BD3">
        <w:rPr>
          <w:rFonts w:cs="Calibri"/>
        </w:rPr>
        <w:t xml:space="preserve">s name will be starred out on the track board, manager and map views along with displaying the padlock symbol. All staff members accessing the chart of an anonymous/confidential patient are required to document the reason for access via the </w:t>
      </w:r>
      <w:r w:rsidRPr="00D539D8">
        <w:rPr>
          <w:rFonts w:cs="Calibri"/>
        </w:rPr>
        <w:t>Break the Glass workflow which is fully auditable.</w:t>
      </w:r>
      <w:r w:rsidRPr="6E0F5BD3">
        <w:rPr>
          <w:rFonts w:cs="Calibri"/>
        </w:rPr>
        <w:t xml:space="preserve"> </w:t>
      </w:r>
    </w:p>
    <w:p w14:paraId="3FA188A5" w14:textId="77777777" w:rsidR="003B7F7B" w:rsidRDefault="003B7F7B" w:rsidP="003B7F7B">
      <w:pPr>
        <w:rPr>
          <w:rFonts w:cs="Calibri"/>
        </w:rPr>
      </w:pPr>
      <w:r w:rsidRPr="0E8ED77E">
        <w:rPr>
          <w:rFonts w:cs="Calibri"/>
        </w:rPr>
        <w:lastRenderedPageBreak/>
        <w:t xml:space="preserve">In inpatient areas </w:t>
      </w:r>
      <w:r>
        <w:rPr>
          <w:rFonts w:cs="Calibri"/>
        </w:rPr>
        <w:t xml:space="preserve">the </w:t>
      </w:r>
      <w:r w:rsidRPr="0E8ED77E">
        <w:rPr>
          <w:rFonts w:cs="Calibri"/>
        </w:rPr>
        <w:t>consumer</w:t>
      </w:r>
      <w:r>
        <w:rPr>
          <w:rFonts w:cs="Calibri"/>
        </w:rPr>
        <w:t>’</w:t>
      </w:r>
      <w:r w:rsidRPr="0E8ED77E">
        <w:rPr>
          <w:rFonts w:cs="Calibri"/>
        </w:rPr>
        <w:t xml:space="preserve">s name on the clinical record can be changed to a pre-determined (generic) name as per the direction of </w:t>
      </w:r>
      <w:r>
        <w:rPr>
          <w:rFonts w:cs="Calibri"/>
        </w:rPr>
        <w:t>HIS m</w:t>
      </w:r>
      <w:r w:rsidRPr="0E8ED77E">
        <w:rPr>
          <w:rFonts w:cs="Calibri"/>
        </w:rPr>
        <w:t>anagers to maintain anonymity. The combination of these settings and actions will hide the patient</w:t>
      </w:r>
      <w:r>
        <w:rPr>
          <w:rFonts w:cs="Calibri"/>
        </w:rPr>
        <w:t>’</w:t>
      </w:r>
      <w:r w:rsidRPr="0E8ED77E">
        <w:rPr>
          <w:rFonts w:cs="Calibri"/>
        </w:rPr>
        <w:t xml:space="preserve">s name and instead display a generic name on screens. There are additional alerts presented to administrative users of the clinical record system such as, highlighting the record in red and displaying a ‘padlock’ icon to alert that the clinical record has been identified as secured. </w:t>
      </w:r>
    </w:p>
    <w:p w14:paraId="3CD322D3" w14:textId="77777777" w:rsidR="003B7F7B" w:rsidRDefault="003B7F7B" w:rsidP="003B7F7B">
      <w:pPr>
        <w:rPr>
          <w:rFonts w:cs="Calibri"/>
        </w:rPr>
      </w:pPr>
      <w:r w:rsidRPr="634BE7C1">
        <w:rPr>
          <w:rFonts w:cs="Calibri"/>
        </w:rPr>
        <w:t xml:space="preserve">Finally, the patient admission encounter can be placed behind the glass and clinical users that are not named on that patient’s treatment team will be prompted to ‘break the glass’ to access their information. All MHJHADS and Clinical Forensic Medical Service </w:t>
      </w:r>
      <w:r>
        <w:rPr>
          <w:rFonts w:cs="Calibri"/>
        </w:rPr>
        <w:t>(</w:t>
      </w:r>
      <w:r w:rsidRPr="634BE7C1">
        <w:rPr>
          <w:rFonts w:cs="Calibri"/>
        </w:rPr>
        <w:t xml:space="preserve">CFMS) encounters in the inpatient space are placed behind the glass and users working within these services are not prompted to break the glass when accessing their patients. </w:t>
      </w:r>
    </w:p>
    <w:p w14:paraId="15ABE9CA" w14:textId="77777777" w:rsidR="003B7F7B" w:rsidRDefault="003B7F7B" w:rsidP="003B7F7B">
      <w:pPr>
        <w:rPr>
          <w:rFonts w:cs="Calibri"/>
        </w:rPr>
      </w:pPr>
      <w:r w:rsidRPr="6E0F5BD3">
        <w:rPr>
          <w:rFonts w:cs="Calibri"/>
        </w:rPr>
        <w:t>All other digital health systems will display all the consumer’s details, with the appropriate annotation as an anonymous consumer.</w:t>
      </w:r>
      <w:r w:rsidRPr="6E0F5BD3">
        <w:rPr>
          <w:rFonts w:cs="Calibri"/>
          <w:color w:val="000000" w:themeColor="text1"/>
          <w:sz w:val="22"/>
          <w:szCs w:val="22"/>
        </w:rPr>
        <w:t xml:space="preserve"> </w:t>
      </w:r>
      <w:r w:rsidRPr="6E0F5BD3">
        <w:rPr>
          <w:rFonts w:cs="Calibri"/>
        </w:rPr>
        <w:t xml:space="preserve"> </w:t>
      </w:r>
    </w:p>
    <w:p w14:paraId="1D9A6D33" w14:textId="166A6295" w:rsidR="003B7F7B" w:rsidRDefault="003B7F7B" w:rsidP="003B7F7B">
      <w:pPr>
        <w:rPr>
          <w:rFonts w:cs="Arial"/>
        </w:rPr>
      </w:pPr>
      <w:r w:rsidRPr="6E0F5BD3">
        <w:rPr>
          <w:rFonts w:cs="Arial"/>
        </w:rPr>
        <w:t>Tip sheets and guidance of how to manage a patient requiring anonymity can be found on the Leader Home Dashboard within the Digital Health Record by clicking on F1 and searching ‘privacy’.</w:t>
      </w:r>
    </w:p>
    <w:p w14:paraId="719D3B3C" w14:textId="6F1E51CD" w:rsidR="00867A83" w:rsidRPr="00867A83" w:rsidRDefault="00867A83" w:rsidP="00867A83">
      <w:pPr>
        <w:pStyle w:val="BodyCopy"/>
        <w:rPr>
          <w:iCs w:val="0"/>
          <w:color w:val="auto"/>
          <w:u w:val="single"/>
        </w:rPr>
      </w:pPr>
      <w:hyperlink w:anchor="_top" w:history="1">
        <w:r w:rsidRPr="00481A6C">
          <w:rPr>
            <w:rStyle w:val="Hyperlink"/>
            <w:iCs w:val="0"/>
          </w:rPr>
          <w:t>Back to Contents</w:t>
        </w:r>
      </w:hyperlink>
    </w:p>
    <w:p w14:paraId="3AE61699" w14:textId="77777777" w:rsidR="003677A8" w:rsidRDefault="003677A8" w:rsidP="00703969">
      <w:pPr>
        <w:pStyle w:val="Heading4"/>
      </w:pPr>
      <w:bookmarkStart w:id="15" w:name="_Toc208493845"/>
      <w:r>
        <w:t xml:space="preserve">Roles and </w:t>
      </w:r>
      <w:r w:rsidR="000C0F4E">
        <w:t>r</w:t>
      </w:r>
      <w:r>
        <w:t>esponsibilities</w:t>
      </w:r>
      <w:bookmarkEnd w:id="15"/>
      <w:r>
        <w:t xml:space="preserve"> </w:t>
      </w:r>
    </w:p>
    <w:p w14:paraId="118101C0" w14:textId="77777777" w:rsidR="003B7F7B" w:rsidRDefault="003B7F7B" w:rsidP="003B7F7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bCs/>
        </w:rPr>
      </w:pPr>
      <w:r w:rsidRPr="00430B6C">
        <w:rPr>
          <w:rFonts w:cs="Arial"/>
          <w:b/>
          <w:bCs/>
        </w:rPr>
        <w:t>Note</w:t>
      </w:r>
      <w:r>
        <w:rPr>
          <w:rFonts w:cs="Arial"/>
          <w:b/>
          <w:bCs/>
        </w:rPr>
        <w:t>:</w:t>
      </w:r>
      <w:r w:rsidRPr="00430B6C">
        <w:rPr>
          <w:rFonts w:cs="Arial"/>
          <w:b/>
          <w:bCs/>
        </w:rPr>
        <w:t xml:space="preserve"> </w:t>
      </w:r>
      <w:r w:rsidRPr="009F7956">
        <w:rPr>
          <w:rFonts w:cs="Arial"/>
        </w:rPr>
        <w:t xml:space="preserve">CHS staff are encouraged to complete the Privacy and Confidentiality eLearning module to consolidate their understanding of consumer privacy principles. Staff can also refer to </w:t>
      </w:r>
      <w:r w:rsidRPr="009F7956">
        <w:rPr>
          <w:rFonts w:cs="Arial"/>
          <w:i/>
          <w:iCs/>
        </w:rPr>
        <w:t>The Privacy Principles</w:t>
      </w:r>
      <w:r w:rsidRPr="009F7956">
        <w:rPr>
          <w:rFonts w:cs="Arial"/>
        </w:rPr>
        <w:t xml:space="preserve"> in the HRPA Act for further information.</w:t>
      </w:r>
    </w:p>
    <w:p w14:paraId="719C59C9" w14:textId="77777777" w:rsidR="003B7F7B" w:rsidRDefault="003B7F7B" w:rsidP="003B7F7B">
      <w:pPr>
        <w:spacing w:after="0"/>
      </w:pPr>
      <w:r>
        <w:t>CHS staff who are first point of contact for enquiries about a consumer (this includes ward clerks, switchboard operators, health centre reception staff, patient enquiries) are responsible for:</w:t>
      </w:r>
    </w:p>
    <w:p w14:paraId="162D5B80" w14:textId="77777777" w:rsidR="003B7F7B" w:rsidRPr="003B7F7B" w:rsidRDefault="003B7F7B" w:rsidP="003B7F7B">
      <w:pPr>
        <w:pStyle w:val="ListBullet"/>
        <w:numPr>
          <w:ilvl w:val="0"/>
          <w:numId w:val="17"/>
        </w:numPr>
        <w:spacing w:line="276" w:lineRule="auto"/>
        <w:ind w:left="426" w:hanging="426"/>
        <w:rPr>
          <w:rFonts w:ascii="Arial" w:hAnsi="Arial" w:cs="Arial"/>
        </w:rPr>
      </w:pPr>
      <w:r w:rsidRPr="003B7F7B">
        <w:rPr>
          <w:rFonts w:ascii="Arial" w:hAnsi="Arial" w:cs="Arial"/>
        </w:rPr>
        <w:t xml:space="preserve">Not providing information about a consumer to enquirers who are attempting to gain information about the consumer and do not demonstrate they know the consumer is at the facility. For example, if someone calls asking “can you tell me if xx is at the hospital/clinic/service” no information should be given.  </w:t>
      </w:r>
    </w:p>
    <w:p w14:paraId="651BEB21" w14:textId="77777777" w:rsidR="003B7F7B" w:rsidRPr="003B7F7B" w:rsidRDefault="003B7F7B" w:rsidP="003B7F7B">
      <w:pPr>
        <w:pStyle w:val="ListBullet"/>
        <w:numPr>
          <w:ilvl w:val="0"/>
          <w:numId w:val="17"/>
        </w:numPr>
        <w:spacing w:line="276" w:lineRule="auto"/>
        <w:ind w:left="426" w:hanging="426"/>
        <w:rPr>
          <w:rFonts w:ascii="Arial" w:hAnsi="Arial" w:cs="Arial"/>
        </w:rPr>
      </w:pPr>
      <w:r w:rsidRPr="003B7F7B">
        <w:rPr>
          <w:rFonts w:ascii="Arial" w:hAnsi="Arial" w:cs="Arial"/>
        </w:rPr>
        <w:t>For consumers who are an inpatient:</w:t>
      </w:r>
    </w:p>
    <w:p w14:paraId="7B184294" w14:textId="77777777" w:rsidR="003B7F7B" w:rsidRPr="003B7F7B" w:rsidRDefault="003B7F7B" w:rsidP="009F7956">
      <w:pPr>
        <w:pStyle w:val="Tablebullet2"/>
        <w:framePr w:wrap="around"/>
      </w:pPr>
      <w:r w:rsidRPr="003B7F7B">
        <w:t>Where the enquirer provides information that confirms they are aware the consumer is at the hospital and:</w:t>
      </w:r>
    </w:p>
    <w:p w14:paraId="6CBF0FB0" w14:textId="77777777" w:rsidR="003B7F7B" w:rsidRPr="003B7F7B" w:rsidRDefault="003B7F7B" w:rsidP="003B7F7B">
      <w:pPr>
        <w:pStyle w:val="ListBullet"/>
        <w:numPr>
          <w:ilvl w:val="0"/>
          <w:numId w:val="21"/>
        </w:numPr>
        <w:spacing w:line="276" w:lineRule="auto"/>
        <w:ind w:left="1276" w:hanging="425"/>
        <w:rPr>
          <w:rFonts w:ascii="Arial" w:hAnsi="Arial" w:cs="Arial"/>
        </w:rPr>
      </w:pPr>
      <w:r w:rsidRPr="003B7F7B">
        <w:rPr>
          <w:rFonts w:ascii="Arial" w:hAnsi="Arial" w:cs="Arial"/>
        </w:rPr>
        <w:t xml:space="preserve">the </w:t>
      </w:r>
      <w:bookmarkStart w:id="16" w:name="_Hlk50121551"/>
      <w:r w:rsidRPr="003B7F7B">
        <w:rPr>
          <w:rFonts w:ascii="Arial" w:hAnsi="Arial" w:cs="Arial"/>
        </w:rPr>
        <w:t>consumer is not marked as anonymous in the clinical record, and</w:t>
      </w:r>
    </w:p>
    <w:p w14:paraId="78C9D0BD" w14:textId="77777777" w:rsidR="003B7F7B" w:rsidRPr="003B7F7B" w:rsidRDefault="003B7F7B" w:rsidP="003B7F7B">
      <w:pPr>
        <w:pStyle w:val="ListBullet"/>
        <w:numPr>
          <w:ilvl w:val="0"/>
          <w:numId w:val="21"/>
        </w:numPr>
        <w:spacing w:line="276" w:lineRule="auto"/>
        <w:ind w:left="1276" w:hanging="425"/>
        <w:rPr>
          <w:rFonts w:ascii="Arial" w:hAnsi="Arial" w:cs="Arial"/>
        </w:rPr>
      </w:pPr>
      <w:r w:rsidRPr="003B7F7B">
        <w:rPr>
          <w:rFonts w:ascii="Arial" w:hAnsi="Arial" w:cs="Arial"/>
        </w:rPr>
        <w:t>the consumer is recorded in the clinical record as consenting to visitors</w:t>
      </w:r>
      <w:bookmarkEnd w:id="16"/>
      <w:r w:rsidRPr="003B7F7B">
        <w:rPr>
          <w:rFonts w:ascii="Arial" w:hAnsi="Arial" w:cs="Arial"/>
        </w:rPr>
        <w:t xml:space="preserve"> </w:t>
      </w:r>
    </w:p>
    <w:p w14:paraId="7159E1F6" w14:textId="77777777" w:rsidR="003B7F7B" w:rsidRPr="003B7F7B" w:rsidRDefault="003B7F7B" w:rsidP="003B7F7B">
      <w:pPr>
        <w:pStyle w:val="ListBullet"/>
        <w:numPr>
          <w:ilvl w:val="0"/>
          <w:numId w:val="20"/>
        </w:numPr>
        <w:spacing w:line="276" w:lineRule="auto"/>
        <w:ind w:left="851" w:hanging="425"/>
        <w:rPr>
          <w:rFonts w:ascii="Arial" w:hAnsi="Arial" w:cs="Arial"/>
        </w:rPr>
      </w:pPr>
      <w:r w:rsidRPr="003B7F7B">
        <w:rPr>
          <w:rFonts w:ascii="Arial" w:hAnsi="Arial" w:cs="Arial"/>
        </w:rPr>
        <w:t>staff may transfer the call/direct the enquirer to the ward/clinical area the consumer is located. Details about the consumers bed number should not be provided. For example, if an enquirer presents to the Patient Enquiries desk and states “My grandmother xx (Full Name) had surgery yesterday can you please tell me which ward she is on” the team member can direct the enquirer to the ward the consumer was admitted to.</w:t>
      </w:r>
    </w:p>
    <w:p w14:paraId="203E8B96" w14:textId="77777777" w:rsidR="003B7F7B" w:rsidRPr="003B7F7B" w:rsidRDefault="003B7F7B" w:rsidP="003B7F7B">
      <w:pPr>
        <w:pStyle w:val="ListBullet"/>
        <w:numPr>
          <w:ilvl w:val="0"/>
          <w:numId w:val="20"/>
        </w:numPr>
        <w:spacing w:line="276" w:lineRule="auto"/>
        <w:ind w:left="851" w:hanging="425"/>
        <w:rPr>
          <w:rFonts w:ascii="Arial" w:hAnsi="Arial" w:cs="Arial"/>
        </w:rPr>
      </w:pPr>
      <w:r w:rsidRPr="003B7F7B">
        <w:rPr>
          <w:rFonts w:ascii="Arial" w:hAnsi="Arial" w:cs="Arial"/>
        </w:rPr>
        <w:lastRenderedPageBreak/>
        <w:t>Where the enquirer provides information that confirms they are aware the consumer is at the hospital and:</w:t>
      </w:r>
    </w:p>
    <w:p w14:paraId="1A7DBEA7" w14:textId="77777777" w:rsidR="003B7F7B" w:rsidRPr="003B7F7B" w:rsidRDefault="003B7F7B" w:rsidP="003B7F7B">
      <w:pPr>
        <w:pStyle w:val="ListBullet"/>
        <w:numPr>
          <w:ilvl w:val="0"/>
          <w:numId w:val="21"/>
        </w:numPr>
        <w:spacing w:line="276" w:lineRule="auto"/>
        <w:ind w:left="1276" w:hanging="425"/>
        <w:rPr>
          <w:rFonts w:ascii="Arial" w:hAnsi="Arial" w:cs="Arial"/>
        </w:rPr>
      </w:pPr>
      <w:r w:rsidRPr="003B7F7B">
        <w:rPr>
          <w:rFonts w:ascii="Arial" w:hAnsi="Arial" w:cs="Arial"/>
        </w:rPr>
        <w:t xml:space="preserve">the consumer is marked anonymous in the clinical record; or </w:t>
      </w:r>
    </w:p>
    <w:p w14:paraId="6507D93E" w14:textId="77777777" w:rsidR="003B7F7B" w:rsidRPr="003B7F7B" w:rsidRDefault="003B7F7B" w:rsidP="003B7F7B">
      <w:pPr>
        <w:pStyle w:val="ListBullet"/>
        <w:numPr>
          <w:ilvl w:val="0"/>
          <w:numId w:val="21"/>
        </w:numPr>
        <w:spacing w:line="276" w:lineRule="auto"/>
        <w:ind w:left="1276" w:hanging="425"/>
        <w:rPr>
          <w:rFonts w:ascii="Arial" w:hAnsi="Arial" w:cs="Arial"/>
        </w:rPr>
      </w:pPr>
      <w:r w:rsidRPr="003B7F7B">
        <w:rPr>
          <w:rFonts w:ascii="Arial" w:hAnsi="Arial" w:cs="Arial"/>
        </w:rPr>
        <w:t xml:space="preserve">it is recorded in the clinical record that the consumer does not consent to visitors, staff are to inform the enquirer that “I can’t see any information about that person on the system”.  Staff must not state they cannot release any information or confirm that the consumer is at the hospital. </w:t>
      </w:r>
    </w:p>
    <w:p w14:paraId="792611C9" w14:textId="77777777" w:rsidR="003B7F7B" w:rsidRPr="003B7F7B" w:rsidRDefault="003B7F7B" w:rsidP="003B7F7B">
      <w:pPr>
        <w:pStyle w:val="ListBullet"/>
        <w:numPr>
          <w:ilvl w:val="0"/>
          <w:numId w:val="17"/>
        </w:numPr>
        <w:spacing w:line="276" w:lineRule="auto"/>
        <w:ind w:left="426" w:hanging="426"/>
        <w:rPr>
          <w:rFonts w:ascii="Arial" w:hAnsi="Arial" w:cs="Arial"/>
        </w:rPr>
      </w:pPr>
      <w:r w:rsidRPr="003B7F7B">
        <w:rPr>
          <w:rFonts w:ascii="Arial" w:hAnsi="Arial" w:cs="Arial"/>
        </w:rPr>
        <w:t>For community or outpatient services where the enquirer provides information that confirms that they know the consumer is at the service if:</w:t>
      </w:r>
    </w:p>
    <w:p w14:paraId="44854C4C" w14:textId="77777777" w:rsidR="003B7F7B" w:rsidRPr="003B7F7B" w:rsidRDefault="003B7F7B" w:rsidP="003B7F7B">
      <w:pPr>
        <w:pStyle w:val="ListBullet"/>
        <w:numPr>
          <w:ilvl w:val="0"/>
          <w:numId w:val="20"/>
        </w:numPr>
        <w:spacing w:line="276" w:lineRule="auto"/>
        <w:ind w:left="851" w:hanging="425"/>
        <w:rPr>
          <w:rFonts w:ascii="Arial" w:hAnsi="Arial" w:cs="Arial"/>
        </w:rPr>
      </w:pPr>
      <w:r w:rsidRPr="003B7F7B">
        <w:rPr>
          <w:rFonts w:ascii="Arial" w:hAnsi="Arial" w:cs="Arial"/>
        </w:rPr>
        <w:t xml:space="preserve">the consumer is not marked as anonymous in the clinical record, and </w:t>
      </w:r>
    </w:p>
    <w:p w14:paraId="48CCD840" w14:textId="77777777" w:rsidR="003B7F7B" w:rsidRPr="003B7F7B" w:rsidRDefault="003B7F7B" w:rsidP="003B7F7B">
      <w:pPr>
        <w:pStyle w:val="ListBullet"/>
        <w:numPr>
          <w:ilvl w:val="0"/>
          <w:numId w:val="20"/>
        </w:numPr>
        <w:spacing w:after="240" w:line="276" w:lineRule="auto"/>
        <w:ind w:left="851" w:hanging="425"/>
        <w:rPr>
          <w:rFonts w:ascii="Arial" w:hAnsi="Arial" w:cs="Arial"/>
        </w:rPr>
      </w:pPr>
      <w:r w:rsidRPr="003B7F7B">
        <w:rPr>
          <w:rFonts w:ascii="Arial" w:hAnsi="Arial" w:cs="Arial"/>
        </w:rPr>
        <w:t>the consumer is recorded in the clinical record as ‘consented to visitors’, a message from the enquirer can be taken and delivered to the consumer.</w:t>
      </w:r>
    </w:p>
    <w:p w14:paraId="529B90EA" w14:textId="77777777" w:rsidR="003B7F7B" w:rsidRDefault="003B7F7B" w:rsidP="003B7F7B">
      <w:pPr>
        <w:spacing w:after="0"/>
      </w:pPr>
      <w:r>
        <w:t xml:space="preserve">CHS clinical team members receiving enquiries about consumers are responsible for protecting the privacy of consumers in their care by:  </w:t>
      </w:r>
    </w:p>
    <w:p w14:paraId="35134FAE"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If a consumer is being treated anonymously for personal safety reasons, staff must not confirm that the consumer is present at the facility. </w:t>
      </w:r>
    </w:p>
    <w:p w14:paraId="40E4848D"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For consumers admitted to Canberra Hospital, North Canberra Hospital or University of Canberra Hospital:</w:t>
      </w:r>
    </w:p>
    <w:p w14:paraId="19BDF3DC" w14:textId="77777777" w:rsidR="003B7F7B" w:rsidRPr="003B7F7B" w:rsidRDefault="003B7F7B" w:rsidP="009F7956">
      <w:pPr>
        <w:pStyle w:val="Tablebullet2"/>
        <w:framePr w:wrap="around"/>
      </w:pPr>
      <w:r w:rsidRPr="003B7F7B">
        <w:t>Confirming that the consumer consents to receiving visitors or passing information about them to the enquirer.  This may be confirmed by asking the consumer, checking the General Conditions of Admission form (15200) or checking the clinical record for documentation of consent if the consumer is unable to communicate with staff. This should be confirmed on admission to CHS.</w:t>
      </w:r>
    </w:p>
    <w:p w14:paraId="27410236" w14:textId="77777777" w:rsidR="003B7F7B" w:rsidRPr="003B7F7B" w:rsidRDefault="003B7F7B" w:rsidP="009F7956">
      <w:pPr>
        <w:pStyle w:val="Tablebullet2"/>
        <w:framePr w:wrap="around"/>
      </w:pPr>
      <w:r w:rsidRPr="003B7F7B">
        <w:t>If the team member is in doubt about providing information about the consumer’s location in the hospital, or where there are concerns the consumer may be at risk, the consumer should be consulted prior to any detail being given to the enquirer.</w:t>
      </w:r>
    </w:p>
    <w:p w14:paraId="03FE8971" w14:textId="77777777" w:rsidR="003B7F7B" w:rsidRPr="003B7F7B" w:rsidRDefault="003B7F7B" w:rsidP="009F7956">
      <w:pPr>
        <w:pStyle w:val="Tablebullet2"/>
        <w:framePr w:wrap="around"/>
      </w:pPr>
      <w:r w:rsidRPr="003B7F7B">
        <w:t>If the enquirer is requesting information about the consumer, the team member should make reasonable attempts to contact the consumer and check whether to transfer the telephone call to the consumer, or to request that the consumer returns the call.</w:t>
      </w:r>
    </w:p>
    <w:p w14:paraId="56EB73E3" w14:textId="77777777" w:rsidR="003B7F7B" w:rsidRPr="003B7F7B" w:rsidRDefault="003B7F7B" w:rsidP="009F7956">
      <w:pPr>
        <w:pStyle w:val="Tablebullet2"/>
        <w:framePr w:wrap="around"/>
      </w:pPr>
      <w:r w:rsidRPr="003B7F7B">
        <w:t>Where a consumer requests that no information be released, or that information only be released in certain circumstances this request must be complied with.</w:t>
      </w:r>
    </w:p>
    <w:p w14:paraId="5432C0D4" w14:textId="095E7C9F"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For community or outpatient services where the enquirer provides information that confirms that they know the consumer is at the service, a message from the caller can be taken and delivered to the consumer.</w:t>
      </w:r>
    </w:p>
    <w:p w14:paraId="3A1C6AB2"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Admitting team members are responsible for:</w:t>
      </w:r>
    </w:p>
    <w:p w14:paraId="03FD108D" w14:textId="53AB1F3D"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Notifying the ward clerk or HIS team if the consumer is required to be anonymous.</w:t>
      </w:r>
    </w:p>
    <w:p w14:paraId="1E70ADFE"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Ward clerks are responsible for:</w:t>
      </w:r>
    </w:p>
    <w:p w14:paraId="63CFA8A9"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Marking the consumer as anonymous in the clinical record when directed by a clinical staff member.</w:t>
      </w:r>
    </w:p>
    <w:p w14:paraId="2B8C243E" w14:textId="6DED8250" w:rsid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Notifying the receiving clinical area of the consumer’s requirement to be anonymous if the consumer is transferred to another clinical area.</w:t>
      </w:r>
    </w:p>
    <w:p w14:paraId="6F747EB0" w14:textId="1C02CF99" w:rsidR="009842A4" w:rsidRDefault="009842A4" w:rsidP="009842A4">
      <w:pPr>
        <w:pStyle w:val="ListBullet"/>
        <w:numPr>
          <w:ilvl w:val="0"/>
          <w:numId w:val="0"/>
        </w:numPr>
        <w:spacing w:line="276" w:lineRule="auto"/>
        <w:rPr>
          <w:rFonts w:ascii="Arial" w:hAnsi="Arial" w:cs="Arial"/>
          <w:szCs w:val="24"/>
        </w:rPr>
      </w:pPr>
      <w:r>
        <w:rPr>
          <w:rFonts w:ascii="Arial" w:hAnsi="Arial" w:cs="Arial"/>
          <w:szCs w:val="24"/>
        </w:rPr>
        <w:t>Health Information Services team are responsible for:</w:t>
      </w:r>
    </w:p>
    <w:p w14:paraId="471B6503" w14:textId="6E71B2FF" w:rsidR="009842A4" w:rsidRPr="003B7F7B" w:rsidRDefault="009842A4" w:rsidP="009842A4">
      <w:pPr>
        <w:pStyle w:val="Bullet"/>
        <w:numPr>
          <w:ilvl w:val="0"/>
          <w:numId w:val="32"/>
        </w:numPr>
        <w:spacing w:before="0" w:line="276" w:lineRule="auto"/>
        <w:ind w:left="426" w:hanging="426"/>
      </w:pPr>
      <w:r>
        <w:lastRenderedPageBreak/>
        <w:t xml:space="preserve">Monitoring and auditing access to electronic clinical records for potential breaches and inappropriate access.  For more information refer to Clinical Record Management procedure for your facility.  </w:t>
      </w:r>
    </w:p>
    <w:p w14:paraId="3A571B97"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Treating team are responsible for:</w:t>
      </w:r>
    </w:p>
    <w:p w14:paraId="3ACA4B1E"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Ensuring information collected about the consumer is accurate and not misleading. This includes accurately documenting information provided by a </w:t>
      </w:r>
      <w:proofErr w:type="spellStart"/>
      <w:r w:rsidRPr="003B7F7B">
        <w:rPr>
          <w:rFonts w:ascii="Arial" w:hAnsi="Arial" w:cs="Arial"/>
          <w:szCs w:val="24"/>
        </w:rPr>
        <w:t>carer</w:t>
      </w:r>
      <w:proofErr w:type="spellEnd"/>
      <w:r w:rsidRPr="003B7F7B">
        <w:rPr>
          <w:rFonts w:ascii="Arial" w:hAnsi="Arial" w:cs="Arial"/>
          <w:szCs w:val="24"/>
        </w:rPr>
        <w:t>, friend or family member to a health service provider about a consumer to assist in their treatment or care.</w:t>
      </w:r>
    </w:p>
    <w:p w14:paraId="7DB0A0E0"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Only sharing a consumer’s relevant personal health information with other members of the treating team including consumer nominated health service providers external to CHS.</w:t>
      </w:r>
    </w:p>
    <w:p w14:paraId="7C18AF8D"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Only sharing personal health information with other persons or organisations as consented to by the consumer, unless the disclosure is necessary to prevent or lessen a serious imminent risk to the life or physical, mental or emotional health of the person or someone else. If the sharing of information occurs via telephone, then the treating team must confirm the identity of the caller before disclosing any information.</w:t>
      </w:r>
    </w:p>
    <w:p w14:paraId="5A13AFEE"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Regularly re-visiting with consumers their consent for the treating team to share information with carers, to ensure carers can be included in the formation of treatment plans.</w:t>
      </w:r>
    </w:p>
    <w:p w14:paraId="0156BDE4" w14:textId="23F36979"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 xml:space="preserve">Only communicating personal health information with other persons or organisations through approved technologies including mobile communications and Objective Connect. See </w:t>
      </w:r>
      <w:r w:rsidRPr="003B7F7B">
        <w:rPr>
          <w:rFonts w:ascii="Arial" w:hAnsi="Arial" w:cs="Arial"/>
          <w:i/>
          <w:iCs/>
          <w:szCs w:val="24"/>
        </w:rPr>
        <w:t>Mobile Communication Devices Management and Use Procedure</w:t>
      </w:r>
      <w:r w:rsidRPr="003B7F7B">
        <w:rPr>
          <w:rFonts w:ascii="Arial" w:hAnsi="Arial" w:cs="Arial"/>
          <w:szCs w:val="24"/>
        </w:rPr>
        <w:t xml:space="preserve"> for more information. </w:t>
      </w:r>
    </w:p>
    <w:p w14:paraId="77BF8773"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All CHS team members are responsible for:</w:t>
      </w:r>
    </w:p>
    <w:p w14:paraId="09BC4CC1"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Adhering to The Privacy Principles in the HRPA Act</w:t>
      </w:r>
      <w:r w:rsidRPr="003B7F7B">
        <w:rPr>
          <w:rFonts w:ascii="Arial" w:hAnsi="Arial" w:cs="Arial"/>
          <w:i/>
          <w:iCs/>
          <w:szCs w:val="24"/>
        </w:rPr>
        <w:t>.</w:t>
      </w:r>
    </w:p>
    <w:p w14:paraId="17D93E70"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Completing Privacy and Confidentiality eLearning via HRIMS.</w:t>
      </w:r>
    </w:p>
    <w:p w14:paraId="043D1C9E"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Only accessing information that they need to perform their duties.  Access to patient personal health information when not required in the course of normal duties is unauthorised access and a privacy breach. This includes accessing your own, family or friend’s personal health information.  </w:t>
      </w:r>
      <w:r w:rsidRPr="003B7F7B">
        <w:rPr>
          <w:rFonts w:ascii="Arial" w:hAnsi="Arial" w:cs="Arial"/>
          <w:bCs/>
          <w:szCs w:val="24"/>
        </w:rPr>
        <w:t>Depending on the gravity of the privacy breach there may be an investigation and disciplinary action in accordance with the relevant Enterprise Agreement.</w:t>
      </w:r>
    </w:p>
    <w:p w14:paraId="377F8947"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Protecting the privacy and confidentiality of all personal health information. This includes </w:t>
      </w:r>
      <w:r w:rsidRPr="009F7956">
        <w:rPr>
          <w:rFonts w:ascii="Arial" w:hAnsi="Arial" w:cs="Arial"/>
          <w:b/>
          <w:bCs/>
          <w:szCs w:val="24"/>
        </w:rPr>
        <w:t>not</w:t>
      </w:r>
      <w:r w:rsidRPr="003B7F7B">
        <w:rPr>
          <w:rFonts w:ascii="Arial" w:hAnsi="Arial" w:cs="Arial"/>
          <w:szCs w:val="24"/>
        </w:rPr>
        <w:t>:</w:t>
      </w:r>
    </w:p>
    <w:p w14:paraId="32C24541" w14:textId="77777777" w:rsidR="003B7F7B" w:rsidRPr="003B7F7B" w:rsidRDefault="003B7F7B" w:rsidP="009F7956">
      <w:pPr>
        <w:pStyle w:val="Tablebullet2"/>
        <w:framePr w:wrap="around"/>
      </w:pPr>
      <w:bookmarkStart w:id="17" w:name="_Hlk83295226"/>
      <w:r w:rsidRPr="003B7F7B">
        <w:t>having conversations that may identify a consumer in public areas like stairwells, lifts, corridors and cafés</w:t>
      </w:r>
    </w:p>
    <w:p w14:paraId="61E7ADFF" w14:textId="77777777" w:rsidR="003B7F7B" w:rsidRPr="003B7F7B" w:rsidRDefault="003B7F7B" w:rsidP="009F7956">
      <w:pPr>
        <w:pStyle w:val="Tablebullet2"/>
        <w:framePr w:wrap="around"/>
      </w:pPr>
      <w:r w:rsidRPr="003B7F7B">
        <w:t>discussing consumers who are also CHS staff members with CHS staff not involved in their care/treatment</w:t>
      </w:r>
    </w:p>
    <w:p w14:paraId="100AF23F" w14:textId="77777777" w:rsidR="003B7F7B" w:rsidRPr="003B7F7B" w:rsidRDefault="003B7F7B" w:rsidP="009F7956">
      <w:pPr>
        <w:pStyle w:val="Tablebullet2"/>
        <w:framePr w:wrap="around"/>
      </w:pPr>
      <w:r w:rsidRPr="003B7F7B">
        <w:t xml:space="preserve">disclosing the identity of a consumer who is being treated as anonymous. </w:t>
      </w:r>
    </w:p>
    <w:bookmarkEnd w:id="17"/>
    <w:p w14:paraId="0EFC0FDD"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Not disclosing personal health information without legal authority.</w:t>
      </w:r>
    </w:p>
    <w:p w14:paraId="76F954DE"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that a consumer’s wishes, as expressed in an Advance Agreement about who information can be shared with and what information can be shared, are followed.</w:t>
      </w:r>
    </w:p>
    <w:p w14:paraId="5639C2B5"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Not disclosing their computer passwords, or sharing their computer access, as required by </w:t>
      </w:r>
      <w:r w:rsidRPr="003B7F7B">
        <w:rPr>
          <w:rFonts w:ascii="Arial" w:hAnsi="Arial" w:cs="Arial"/>
          <w:i/>
          <w:iCs/>
          <w:szCs w:val="24"/>
        </w:rPr>
        <w:t xml:space="preserve">Clinical Records Management Procedure </w:t>
      </w:r>
      <w:r w:rsidRPr="003B7F7B">
        <w:rPr>
          <w:rFonts w:ascii="Arial" w:hAnsi="Arial" w:cs="Arial"/>
          <w:szCs w:val="24"/>
        </w:rPr>
        <w:t>for your facility.</w:t>
      </w:r>
    </w:p>
    <w:p w14:paraId="00EF6F8D"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Accepting responsibility for all activities undertaken using their login.</w:t>
      </w:r>
    </w:p>
    <w:p w14:paraId="7C9726DF"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Not removing confidential information from the workplace unless authorised.</w:t>
      </w:r>
    </w:p>
    <w:p w14:paraId="4DBB311F"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lastRenderedPageBreak/>
        <w:t xml:space="preserve">Disposing of any documents with consumer details, that are not required to be filed in the consumer’s clinical record, into a secure waste bin, for example handover sheets, as required by </w:t>
      </w:r>
      <w:r w:rsidRPr="003B7F7B">
        <w:rPr>
          <w:rFonts w:ascii="Arial" w:hAnsi="Arial" w:cs="Arial"/>
          <w:i/>
          <w:iCs/>
          <w:szCs w:val="24"/>
        </w:rPr>
        <w:t xml:space="preserve">Clinical Records Management Procedure </w:t>
      </w:r>
      <w:r w:rsidRPr="003B7F7B">
        <w:rPr>
          <w:rFonts w:ascii="Arial" w:hAnsi="Arial" w:cs="Arial"/>
          <w:szCs w:val="24"/>
        </w:rPr>
        <w:t>for your facility</w:t>
      </w:r>
      <w:r w:rsidRPr="003B7F7B">
        <w:rPr>
          <w:rFonts w:ascii="Arial" w:hAnsi="Arial" w:cs="Arial"/>
          <w:i/>
          <w:iCs/>
          <w:szCs w:val="24"/>
        </w:rPr>
        <w:t>.</w:t>
      </w:r>
    </w:p>
    <w:p w14:paraId="21585E3C"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Only communicating personal health information with other persons or organisations through approved technologies.</w:t>
      </w:r>
    </w:p>
    <w:p w14:paraId="3C4D98D4" w14:textId="028F0ACC"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Reporting any complaints or witnessed privacy breaches to their manager or supervisor.</w:t>
      </w:r>
    </w:p>
    <w:p w14:paraId="07ECD92E"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 xml:space="preserve">Managers and Supervisors are responsible for: </w:t>
      </w:r>
    </w:p>
    <w:p w14:paraId="24547D39"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all team members are aware of their obligation to ensure the privacy and confidentiality of consumers’ personal health information.</w:t>
      </w:r>
    </w:p>
    <w:p w14:paraId="5854C06F"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 xml:space="preserve">Ensuring team members have completed </w:t>
      </w:r>
      <w:bookmarkStart w:id="18" w:name="_Hlk50381161"/>
      <w:r w:rsidRPr="003B7F7B">
        <w:rPr>
          <w:rFonts w:ascii="Arial" w:hAnsi="Arial" w:cs="Arial"/>
          <w:szCs w:val="24"/>
        </w:rPr>
        <w:t>Privacy and Confidentiality eLearning via HRIMS</w:t>
      </w:r>
      <w:bookmarkEnd w:id="18"/>
      <w:r w:rsidRPr="003B7F7B">
        <w:rPr>
          <w:rFonts w:ascii="Arial" w:hAnsi="Arial" w:cs="Arial"/>
          <w:szCs w:val="24"/>
        </w:rPr>
        <w:t xml:space="preserve">.  </w:t>
      </w:r>
    </w:p>
    <w:p w14:paraId="46673C2A"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team members are orientated to this policy and their associated responsibilities.</w:t>
      </w:r>
    </w:p>
    <w:p w14:paraId="09A3CBDB" w14:textId="7FBB30B7"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Reporting any complaints or witnessed privacy breaches to Divisional Executive. For more information about managing a potential privacy breach contact Workforce Relations at CHSHRAdvisory@act.gov.au or phone 5124 9610.</w:t>
      </w:r>
    </w:p>
    <w:p w14:paraId="6BD0386B" w14:textId="77777777" w:rsidR="003B7F7B" w:rsidRPr="003B7F7B" w:rsidRDefault="003B7F7B" w:rsidP="003B7F7B">
      <w:pPr>
        <w:pStyle w:val="ListBullet"/>
        <w:numPr>
          <w:ilvl w:val="0"/>
          <w:numId w:val="0"/>
        </w:numPr>
        <w:spacing w:line="276" w:lineRule="auto"/>
        <w:rPr>
          <w:rFonts w:ascii="Arial" w:hAnsi="Arial" w:cs="Arial"/>
          <w:spacing w:val="-4"/>
          <w:szCs w:val="24"/>
        </w:rPr>
      </w:pPr>
      <w:r w:rsidRPr="003B7F7B">
        <w:rPr>
          <w:rFonts w:ascii="Arial" w:hAnsi="Arial" w:cs="Arial"/>
          <w:spacing w:val="-4"/>
          <w:szCs w:val="24"/>
        </w:rPr>
        <w:t>Executive Directors, Executive Group Managers, Executive Branch Managers are responsible for:</w:t>
      </w:r>
    </w:p>
    <w:p w14:paraId="2E115E7D"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staff in their Division/Group are aware of their responsibilities in protecting the privacy and confidentiality of consumers’ personal health information.</w:t>
      </w:r>
    </w:p>
    <w:p w14:paraId="45D8D65F" w14:textId="4277FAAD" w:rsidR="003B7F7B" w:rsidRPr="003B7F7B" w:rsidRDefault="003B7F7B" w:rsidP="003B7F7B">
      <w:pPr>
        <w:pStyle w:val="ListBullet"/>
        <w:spacing w:after="240" w:line="276" w:lineRule="auto"/>
        <w:ind w:left="426" w:hanging="426"/>
        <w:rPr>
          <w:rFonts w:ascii="Arial" w:hAnsi="Arial" w:cs="Arial"/>
          <w:szCs w:val="24"/>
        </w:rPr>
      </w:pPr>
      <w:r w:rsidRPr="003B7F7B">
        <w:rPr>
          <w:rFonts w:ascii="Arial" w:hAnsi="Arial" w:cs="Arial"/>
          <w:szCs w:val="24"/>
        </w:rPr>
        <w:t>Ensuring complaints received about a privacy breach in their Division/Group are investigated and action is taken to address the issues identified by the investigation.  For more information contact Workforce Relations at CHSHRAdvisory@act.gov.au or phone 5124 9610.</w:t>
      </w:r>
    </w:p>
    <w:p w14:paraId="2AA4C8F7" w14:textId="77777777" w:rsidR="003B7F7B" w:rsidRPr="003B7F7B" w:rsidRDefault="003B7F7B" w:rsidP="003B7F7B">
      <w:pPr>
        <w:pStyle w:val="ListBullet"/>
        <w:numPr>
          <w:ilvl w:val="0"/>
          <w:numId w:val="0"/>
        </w:numPr>
        <w:spacing w:line="276" w:lineRule="auto"/>
        <w:rPr>
          <w:rFonts w:ascii="Arial" w:hAnsi="Arial" w:cs="Arial"/>
          <w:szCs w:val="24"/>
        </w:rPr>
      </w:pPr>
      <w:r w:rsidRPr="003B7F7B">
        <w:rPr>
          <w:rFonts w:ascii="Arial" w:hAnsi="Arial" w:cs="Arial"/>
          <w:szCs w:val="24"/>
        </w:rPr>
        <w:t>The Chief Executive Officer is responsible for:</w:t>
      </w:r>
    </w:p>
    <w:p w14:paraId="0EBE6607" w14:textId="77777777" w:rsidR="003B7F7B" w:rsidRP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the organisation complies with this policy.</w:t>
      </w:r>
    </w:p>
    <w:p w14:paraId="395CDA28" w14:textId="77777777" w:rsidR="003B7F7B" w:rsidRDefault="003B7F7B" w:rsidP="003B7F7B">
      <w:pPr>
        <w:pStyle w:val="ListBullet"/>
        <w:spacing w:line="276" w:lineRule="auto"/>
        <w:ind w:left="426" w:hanging="426"/>
        <w:rPr>
          <w:rFonts w:ascii="Arial" w:hAnsi="Arial" w:cs="Arial"/>
          <w:szCs w:val="24"/>
        </w:rPr>
      </w:pPr>
      <w:r w:rsidRPr="003B7F7B">
        <w:rPr>
          <w:rFonts w:ascii="Arial" w:hAnsi="Arial" w:cs="Arial"/>
          <w:szCs w:val="24"/>
        </w:rPr>
        <w:t>Ensuring the organisation meets the legislative requirements of HRPA Act.</w:t>
      </w:r>
    </w:p>
    <w:p w14:paraId="0DD135F5" w14:textId="0F271C22" w:rsidR="00867A83" w:rsidRDefault="00867A83" w:rsidP="00867A83">
      <w:pPr>
        <w:pStyle w:val="BodyCopy"/>
      </w:pPr>
      <w:hyperlink w:anchor="_top" w:history="1">
        <w:r w:rsidRPr="00481A6C">
          <w:rPr>
            <w:rStyle w:val="Hyperlink"/>
            <w:iCs w:val="0"/>
          </w:rPr>
          <w:t>Back to Contents</w:t>
        </w:r>
      </w:hyperlink>
    </w:p>
    <w:p w14:paraId="405EDEED" w14:textId="3AE09AFB" w:rsidR="007A1056" w:rsidRDefault="007A1056" w:rsidP="007A1056">
      <w:pPr>
        <w:pStyle w:val="Heading4"/>
      </w:pPr>
      <w:bookmarkStart w:id="19" w:name="_Toc208493846"/>
      <w:r>
        <w:t>Privacy Breaches</w:t>
      </w:r>
      <w:bookmarkEnd w:id="19"/>
    </w:p>
    <w:p w14:paraId="652EE306" w14:textId="77777777" w:rsidR="006B4046" w:rsidRDefault="006B4046" w:rsidP="006B4046">
      <w:pPr>
        <w:spacing w:after="0" w:line="240" w:lineRule="auto"/>
        <w:rPr>
          <w:iCs/>
        </w:rPr>
      </w:pPr>
      <w:r w:rsidRPr="00FF78F6">
        <w:rPr>
          <w:iCs/>
        </w:rPr>
        <w:t>All staff are responsible for reporting any potential breaches of health record privacy. Every reported incident must be thoroughly investigated, and appropriate actions must be taken to address any issues identified</w:t>
      </w:r>
      <w:r>
        <w:rPr>
          <w:iCs/>
        </w:rPr>
        <w:t>.</w:t>
      </w:r>
    </w:p>
    <w:p w14:paraId="52C85510" w14:textId="77777777" w:rsidR="006B4046" w:rsidRPr="00FF78F6" w:rsidRDefault="006B4046" w:rsidP="006B4046">
      <w:pPr>
        <w:spacing w:after="0" w:line="240" w:lineRule="auto"/>
        <w:rPr>
          <w:b/>
          <w:bCs/>
          <w:iCs/>
        </w:rPr>
      </w:pPr>
      <w:r w:rsidRPr="00FF78F6">
        <w:rPr>
          <w:b/>
          <w:bCs/>
          <w:iCs/>
        </w:rPr>
        <w:t>Reporting and Managing Privacy Breaches</w:t>
      </w:r>
    </w:p>
    <w:p w14:paraId="6A7438A0" w14:textId="77777777" w:rsidR="006B4046" w:rsidRPr="00FF78F6" w:rsidRDefault="006B4046" w:rsidP="007E6F2D">
      <w:pPr>
        <w:pStyle w:val="Numberedlist"/>
      </w:pPr>
      <w:r w:rsidRPr="00FF78F6">
        <w:t>Initial Reporting</w:t>
      </w:r>
    </w:p>
    <w:p w14:paraId="07AD4EF6" w14:textId="77777777" w:rsidR="006B4046" w:rsidRPr="007E6F2D" w:rsidRDefault="006B4046" w:rsidP="007E6F2D">
      <w:pPr>
        <w:pStyle w:val="ListBullet"/>
        <w:tabs>
          <w:tab w:val="clear" w:pos="1211"/>
          <w:tab w:val="num" w:pos="785"/>
        </w:tabs>
        <w:ind w:left="785"/>
        <w:rPr>
          <w:rFonts w:ascii="Arial" w:hAnsi="Arial" w:cs="Arial"/>
        </w:rPr>
      </w:pPr>
      <w:r w:rsidRPr="007E6F2D">
        <w:rPr>
          <w:rFonts w:ascii="Arial" w:hAnsi="Arial" w:cs="Arial"/>
        </w:rPr>
        <w:t>Any staff member who becomes aware of a potential privacy breach must report it immediately.</w:t>
      </w:r>
    </w:p>
    <w:p w14:paraId="1EBAD802" w14:textId="77777777" w:rsidR="006B4046" w:rsidRPr="007E6F2D" w:rsidRDefault="006B4046" w:rsidP="007E6F2D">
      <w:pPr>
        <w:pStyle w:val="ListBullet"/>
        <w:tabs>
          <w:tab w:val="clear" w:pos="1211"/>
          <w:tab w:val="num" w:pos="785"/>
        </w:tabs>
        <w:ind w:left="785"/>
        <w:rPr>
          <w:rFonts w:ascii="Arial" w:hAnsi="Arial" w:cs="Arial"/>
        </w:rPr>
      </w:pPr>
      <w:r w:rsidRPr="007E6F2D">
        <w:rPr>
          <w:rFonts w:ascii="Arial" w:hAnsi="Arial" w:cs="Arial"/>
        </w:rPr>
        <w:t>Reports should be made to:</w:t>
      </w:r>
    </w:p>
    <w:p w14:paraId="4387C636" w14:textId="77777777" w:rsidR="007E6F2D" w:rsidRDefault="006B4046" w:rsidP="00F20341">
      <w:pPr>
        <w:pStyle w:val="ListParagraph"/>
        <w:numPr>
          <w:ilvl w:val="2"/>
          <w:numId w:val="42"/>
        </w:numPr>
        <w:spacing w:after="0" w:line="240" w:lineRule="auto"/>
        <w:rPr>
          <w:iCs/>
        </w:rPr>
      </w:pPr>
      <w:r w:rsidRPr="007E6F2D">
        <w:rPr>
          <w:iCs/>
        </w:rPr>
        <w:t>An Executive or Manager, or</w:t>
      </w:r>
    </w:p>
    <w:p w14:paraId="5E0EEB0A" w14:textId="77777777" w:rsidR="007E6F2D" w:rsidRDefault="006B4046" w:rsidP="00F20341">
      <w:pPr>
        <w:pStyle w:val="ListParagraph"/>
        <w:numPr>
          <w:ilvl w:val="2"/>
          <w:numId w:val="42"/>
        </w:numPr>
        <w:spacing w:after="0" w:line="240" w:lineRule="auto"/>
        <w:rPr>
          <w:iCs/>
        </w:rPr>
      </w:pPr>
      <w:r w:rsidRPr="007E6F2D">
        <w:rPr>
          <w:iCs/>
        </w:rPr>
        <w:t>The CHS Senior Executive Responsible for Business Integrity (SERBIR), particularly if the suspected breacher is the staff member’s own Executive or Manager.</w:t>
      </w:r>
    </w:p>
    <w:p w14:paraId="4B2E75AC" w14:textId="0D645B4A" w:rsidR="006B4046" w:rsidRPr="007E6F2D" w:rsidRDefault="006B4046" w:rsidP="00F20341">
      <w:pPr>
        <w:pStyle w:val="ListParagraph"/>
        <w:numPr>
          <w:ilvl w:val="2"/>
          <w:numId w:val="42"/>
        </w:numPr>
        <w:spacing w:after="0" w:line="240" w:lineRule="auto"/>
        <w:rPr>
          <w:iCs/>
        </w:rPr>
      </w:pPr>
      <w:r w:rsidRPr="007E6F2D">
        <w:rPr>
          <w:iCs/>
        </w:rPr>
        <w:t xml:space="preserve">Consumers may report a suspected health record breach through various channels; however, all such reports must be directed to the Consumer Feedback and </w:t>
      </w:r>
      <w:r w:rsidRPr="007E6F2D">
        <w:rPr>
          <w:iCs/>
        </w:rPr>
        <w:lastRenderedPageBreak/>
        <w:t>Engagement Team (CFET), who will coordinate the investigation and response in collaboration with Health Information Services.</w:t>
      </w:r>
    </w:p>
    <w:p w14:paraId="5065257B" w14:textId="77777777" w:rsidR="006B4046" w:rsidRPr="007E6F2D" w:rsidRDefault="006B4046" w:rsidP="007E6F2D">
      <w:pPr>
        <w:pStyle w:val="Numberedlist"/>
        <w:rPr>
          <w:b/>
          <w:bCs/>
        </w:rPr>
      </w:pPr>
      <w:r w:rsidRPr="007E6F2D">
        <w:rPr>
          <w:b/>
          <w:bCs/>
        </w:rPr>
        <w:t>Assignment of Responsible Officer</w:t>
      </w:r>
    </w:p>
    <w:p w14:paraId="535BC7AF" w14:textId="77777777" w:rsidR="006B4046" w:rsidRPr="00FE1FD4" w:rsidRDefault="006B4046" w:rsidP="007E6F2D">
      <w:pPr>
        <w:pStyle w:val="ListBullet"/>
        <w:tabs>
          <w:tab w:val="clear" w:pos="1211"/>
          <w:tab w:val="num" w:pos="785"/>
        </w:tabs>
        <w:ind w:left="785"/>
        <w:rPr>
          <w:iCs/>
        </w:rPr>
      </w:pPr>
      <w:r w:rsidRPr="007E6F2D">
        <w:rPr>
          <w:rFonts w:ascii="Arial" w:hAnsi="Arial" w:cs="Arial"/>
        </w:rPr>
        <w:t>Where the alleged breach involves an employee or contractor:</w:t>
      </w:r>
    </w:p>
    <w:p w14:paraId="7284829B" w14:textId="77777777" w:rsidR="00E2094B" w:rsidRDefault="006B4046" w:rsidP="00E2094B">
      <w:pPr>
        <w:pStyle w:val="ListParagraph"/>
        <w:numPr>
          <w:ilvl w:val="0"/>
          <w:numId w:val="41"/>
        </w:numPr>
        <w:spacing w:after="0" w:line="240" w:lineRule="auto"/>
        <w:rPr>
          <w:iCs/>
        </w:rPr>
      </w:pPr>
      <w:r w:rsidRPr="00FE1FD4">
        <w:rPr>
          <w:iCs/>
        </w:rPr>
        <w:t>The Employee Relations team must be informed</w:t>
      </w:r>
    </w:p>
    <w:p w14:paraId="711B703F" w14:textId="77777777" w:rsidR="00E2094B" w:rsidRPr="00E2094B" w:rsidRDefault="006B4046" w:rsidP="00E2094B">
      <w:pPr>
        <w:pStyle w:val="ListParagraph"/>
        <w:numPr>
          <w:ilvl w:val="1"/>
          <w:numId w:val="41"/>
        </w:numPr>
        <w:spacing w:after="0" w:line="240" w:lineRule="auto"/>
        <w:rPr>
          <w:iCs/>
        </w:rPr>
      </w:pPr>
      <w:r w:rsidRPr="00E2094B">
        <w:rPr>
          <w:iCs/>
        </w:rPr>
        <w:t>Email: </w:t>
      </w:r>
      <w:hyperlink r:id="rId12" w:tgtFrame="_blank" w:history="1">
        <w:r w:rsidRPr="00E2094B">
          <w:rPr>
            <w:rStyle w:val="Hyperlink"/>
            <w:iCs/>
          </w:rPr>
          <w:t>CHSHRAdvisory@act.gov.au</w:t>
        </w:r>
      </w:hyperlink>
    </w:p>
    <w:p w14:paraId="40B1C18B" w14:textId="1EA6691E" w:rsidR="006B4046" w:rsidRPr="00E2094B" w:rsidRDefault="006B4046" w:rsidP="00E2094B">
      <w:pPr>
        <w:pStyle w:val="ListParagraph"/>
        <w:numPr>
          <w:ilvl w:val="1"/>
          <w:numId w:val="41"/>
        </w:numPr>
        <w:spacing w:after="0" w:line="240" w:lineRule="auto"/>
        <w:rPr>
          <w:iCs/>
        </w:rPr>
      </w:pPr>
      <w:r w:rsidRPr="00E2094B">
        <w:rPr>
          <w:iCs/>
        </w:rPr>
        <w:t>Phone: 5124 9610</w:t>
      </w:r>
      <w:r w:rsidR="00F20341" w:rsidRPr="00E2094B">
        <w:rPr>
          <w:iCs/>
        </w:rPr>
        <w:t>.</w:t>
      </w:r>
    </w:p>
    <w:p w14:paraId="7E5AC6D6" w14:textId="77777777" w:rsidR="006B4046" w:rsidRPr="00FE1FD4" w:rsidRDefault="006B4046" w:rsidP="00F20341">
      <w:pPr>
        <w:pStyle w:val="ListParagraph"/>
        <w:numPr>
          <w:ilvl w:val="0"/>
          <w:numId w:val="41"/>
        </w:numPr>
        <w:spacing w:after="0" w:line="240" w:lineRule="auto"/>
        <w:rPr>
          <w:iCs/>
        </w:rPr>
      </w:pPr>
      <w:r w:rsidRPr="00FE1FD4">
        <w:rPr>
          <w:iCs/>
        </w:rPr>
        <w:t>The Employee Relations team will inform the respective HR Business Partnerships team of the suspected health record breach.</w:t>
      </w:r>
    </w:p>
    <w:p w14:paraId="7B8AFBAC" w14:textId="77777777" w:rsidR="006B4046" w:rsidRPr="00FE1FD4" w:rsidRDefault="006B4046" w:rsidP="00F20341">
      <w:pPr>
        <w:pStyle w:val="ListParagraph"/>
        <w:numPr>
          <w:ilvl w:val="0"/>
          <w:numId w:val="41"/>
        </w:numPr>
        <w:spacing w:after="0" w:line="240" w:lineRule="auto"/>
        <w:rPr>
          <w:iCs/>
        </w:rPr>
      </w:pPr>
      <w:r w:rsidRPr="00FE1FD4">
        <w:rPr>
          <w:iCs/>
        </w:rPr>
        <w:t>The Employee Relations team and relevant HR Business Partner will be responsible for assigning the respective managers as the Responsible Officer.</w:t>
      </w:r>
    </w:p>
    <w:p w14:paraId="1DE5E01C" w14:textId="3DD6E72D" w:rsidR="006B4046" w:rsidRDefault="006B4046" w:rsidP="00F20341">
      <w:pPr>
        <w:pStyle w:val="ListParagraph"/>
        <w:numPr>
          <w:ilvl w:val="0"/>
          <w:numId w:val="41"/>
        </w:numPr>
        <w:spacing w:after="0" w:line="240" w:lineRule="auto"/>
        <w:rPr>
          <w:iCs/>
        </w:rPr>
      </w:pPr>
      <w:r w:rsidRPr="00FE1FD4">
        <w:rPr>
          <w:iCs/>
        </w:rPr>
        <w:t>The Responsible Officer will be accountable for undertaking the Preliminary Assessment into the alleged breach, in accordance with the provisions contained in the relevant Enterprise Agreement.</w:t>
      </w:r>
    </w:p>
    <w:p w14:paraId="7D15459B" w14:textId="77777777" w:rsidR="00E2094B" w:rsidRPr="00FE1FD4" w:rsidRDefault="00E2094B" w:rsidP="00E2094B">
      <w:pPr>
        <w:pStyle w:val="ListParagraph"/>
        <w:spacing w:after="0" w:line="240" w:lineRule="auto"/>
        <w:ind w:left="1145"/>
        <w:rPr>
          <w:iCs/>
        </w:rPr>
      </w:pPr>
    </w:p>
    <w:p w14:paraId="44E1236C" w14:textId="2789EE0A" w:rsidR="006B4046"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Where the alleged breach does not involve an employee, the HIS Privacy Officer or a Health Information Manager (HIM) may assume the role of Responsible Officer.</w:t>
      </w:r>
    </w:p>
    <w:p w14:paraId="3E4A1E2A" w14:textId="77777777" w:rsidR="00E2094B" w:rsidRPr="00E2094B" w:rsidRDefault="00E2094B" w:rsidP="00E2094B">
      <w:pPr>
        <w:pStyle w:val="ListParagraph"/>
        <w:spacing w:after="0" w:line="240" w:lineRule="auto"/>
        <w:ind w:left="360"/>
        <w:rPr>
          <w:rFonts w:eastAsia="Times New Roman" w:cs="Arial"/>
          <w:szCs w:val="20"/>
          <w:lang w:eastAsia="en-US"/>
        </w:rPr>
      </w:pPr>
    </w:p>
    <w:p w14:paraId="0C18B789"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The Responsible Officer must document the incident, investigation and findings and if required initiate the risk management process.</w:t>
      </w:r>
    </w:p>
    <w:p w14:paraId="2B45B952" w14:textId="77777777" w:rsidR="006B4046" w:rsidRPr="00FF78F6" w:rsidRDefault="006B4046" w:rsidP="00E2094B">
      <w:pPr>
        <w:spacing w:after="0" w:line="240" w:lineRule="auto"/>
        <w:rPr>
          <w:iCs/>
        </w:rPr>
      </w:pPr>
    </w:p>
    <w:p w14:paraId="2CE33B42" w14:textId="77777777" w:rsidR="006B4046" w:rsidRPr="00E2094B" w:rsidRDefault="006B4046" w:rsidP="00E2094B">
      <w:pPr>
        <w:pStyle w:val="Numberedlist"/>
        <w:rPr>
          <w:b/>
          <w:bCs/>
        </w:rPr>
      </w:pPr>
      <w:r w:rsidRPr="00E2094B">
        <w:rPr>
          <w:b/>
          <w:bCs/>
        </w:rPr>
        <w:t>Involvement of Health Information Services (HIS)</w:t>
      </w:r>
    </w:p>
    <w:p w14:paraId="24651CDC" w14:textId="77777777" w:rsidR="006B4046" w:rsidRPr="00E2094B" w:rsidRDefault="006B4046" w:rsidP="00E2094B">
      <w:pPr>
        <w:pStyle w:val="ListParagraph"/>
        <w:numPr>
          <w:ilvl w:val="0"/>
          <w:numId w:val="44"/>
        </w:numPr>
        <w:tabs>
          <w:tab w:val="num" w:pos="1440"/>
        </w:tabs>
        <w:spacing w:after="0" w:line="240" w:lineRule="auto"/>
        <w:rPr>
          <w:rFonts w:eastAsia="Times New Roman" w:cs="Arial"/>
          <w:szCs w:val="20"/>
          <w:lang w:eastAsia="en-US"/>
        </w:rPr>
      </w:pPr>
      <w:r w:rsidRPr="00E2094B">
        <w:rPr>
          <w:rFonts w:eastAsia="Times New Roman" w:cs="Arial"/>
          <w:szCs w:val="20"/>
          <w:lang w:eastAsia="en-US"/>
        </w:rPr>
        <w:t xml:space="preserve">HIS must be contacted in the following circumstances: </w:t>
      </w:r>
    </w:p>
    <w:p w14:paraId="5610DB25" w14:textId="77777777" w:rsidR="006B4046" w:rsidRDefault="006B4046" w:rsidP="00E2094B">
      <w:pPr>
        <w:numPr>
          <w:ilvl w:val="0"/>
          <w:numId w:val="45"/>
        </w:numPr>
        <w:spacing w:after="0" w:line="240" w:lineRule="auto"/>
        <w:rPr>
          <w:iCs/>
        </w:rPr>
      </w:pPr>
      <w:r w:rsidRPr="00E2094B">
        <w:rPr>
          <w:rFonts w:eastAsia="Times New Roman" w:cs="Arial"/>
          <w:szCs w:val="20"/>
          <w:lang w:eastAsia="en-US"/>
        </w:rPr>
        <w:t>Audit reports from the Digital Health Record (DHR</w:t>
      </w:r>
      <w:r w:rsidRPr="00FF78F6">
        <w:rPr>
          <w:iCs/>
        </w:rPr>
        <w:t>) are required for the investigation.</w:t>
      </w:r>
    </w:p>
    <w:p w14:paraId="5FB3EF42" w14:textId="77777777" w:rsidR="006B4046" w:rsidRDefault="006B4046" w:rsidP="00E2094B">
      <w:pPr>
        <w:numPr>
          <w:ilvl w:val="0"/>
          <w:numId w:val="45"/>
        </w:numPr>
        <w:shd w:val="clear" w:color="auto" w:fill="FAFAFA"/>
        <w:spacing w:after="100" w:afterAutospacing="1" w:line="240" w:lineRule="auto"/>
        <w:rPr>
          <w:rFonts w:eastAsia="Times New Roman" w:cs="Arial"/>
        </w:rPr>
      </w:pPr>
      <w:r w:rsidRPr="00C13503">
        <w:rPr>
          <w:rFonts w:eastAsia="Times New Roman" w:cs="Arial"/>
        </w:rPr>
        <w:t>If the breach is confirmed, a HIM must be notified so it can be recorded in the HIS Privacy Breach Register. A high-level summary of the breach must be provided (e.g., a patient handover report found in a public area, or a staff member accessing their father’s health record).</w:t>
      </w:r>
      <w:r>
        <w:rPr>
          <w:rFonts w:eastAsia="Times New Roman" w:cs="Arial"/>
        </w:rPr>
        <w:t xml:space="preserve"> This will then be reported to </w:t>
      </w:r>
      <w:r w:rsidRPr="00FF78F6">
        <w:rPr>
          <w:iCs/>
        </w:rPr>
        <w:t>CHS Network Clinical Governance Committee</w:t>
      </w:r>
      <w:r>
        <w:rPr>
          <w:iCs/>
        </w:rPr>
        <w:t xml:space="preserve">. </w:t>
      </w:r>
    </w:p>
    <w:p w14:paraId="14EEA87F" w14:textId="77777777" w:rsidR="006B4046" w:rsidRPr="00E2094B" w:rsidRDefault="006B4046" w:rsidP="00E2094B">
      <w:pPr>
        <w:pStyle w:val="Numberedlist"/>
        <w:rPr>
          <w:b/>
          <w:bCs/>
        </w:rPr>
      </w:pPr>
      <w:r w:rsidRPr="00E2094B">
        <w:rPr>
          <w:b/>
          <w:bCs/>
        </w:rPr>
        <w:t>Reporting and Oversight</w:t>
      </w:r>
    </w:p>
    <w:p w14:paraId="22C2CABC"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All alleged breaches must also be reported Division Executive for a decision if further advice or action is required.</w:t>
      </w:r>
    </w:p>
    <w:p w14:paraId="25E8436C"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 xml:space="preserve">For significant alleged breaches (e.g., involving multiple patients or entire records), the incident must also be reported to the relevant General Manager for a decision if further advice or action is required. </w:t>
      </w:r>
    </w:p>
    <w:p w14:paraId="5A6F57C1"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All confirmed health record privacy breaches are reported to the CHS Network Clinical Governance Committee via the HIS Privacy Breach Register by HIS.</w:t>
      </w:r>
      <w:r w:rsidRPr="00E2094B">
        <w:rPr>
          <w:rFonts w:eastAsia="Times New Roman" w:cs="Arial"/>
          <w:szCs w:val="20"/>
          <w:lang w:eastAsia="en-US"/>
        </w:rPr>
        <w:br/>
      </w:r>
    </w:p>
    <w:p w14:paraId="7C8678ED" w14:textId="77777777" w:rsidR="006B4046" w:rsidRPr="00E2094B" w:rsidRDefault="006B4046" w:rsidP="00E2094B">
      <w:pPr>
        <w:pStyle w:val="Numberedlist"/>
        <w:rPr>
          <w:b/>
          <w:bCs/>
        </w:rPr>
      </w:pPr>
      <w:r w:rsidRPr="00E2094B">
        <w:rPr>
          <w:b/>
          <w:bCs/>
        </w:rPr>
        <w:t>Consumer Notification</w:t>
      </w:r>
    </w:p>
    <w:p w14:paraId="4DDA18ED"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If there is a risk of harm to a patient, the Consumer Feedback and Engagement team must be contacted.</w:t>
      </w:r>
    </w:p>
    <w:p w14:paraId="42FB2D9D" w14:textId="77777777" w:rsidR="006B4046" w:rsidRPr="00E2094B" w:rsidRDefault="006B4046" w:rsidP="00E2094B">
      <w:pPr>
        <w:pStyle w:val="ListParagraph"/>
        <w:numPr>
          <w:ilvl w:val="1"/>
          <w:numId w:val="39"/>
        </w:numPr>
        <w:spacing w:after="0" w:line="240" w:lineRule="auto"/>
        <w:ind w:left="360"/>
        <w:rPr>
          <w:rFonts w:eastAsia="Times New Roman" w:cs="Arial"/>
          <w:szCs w:val="20"/>
          <w:lang w:eastAsia="en-US"/>
        </w:rPr>
      </w:pPr>
      <w:r w:rsidRPr="00E2094B">
        <w:rPr>
          <w:rFonts w:eastAsia="Times New Roman" w:cs="Arial"/>
          <w:szCs w:val="20"/>
          <w:lang w:eastAsia="en-US"/>
        </w:rPr>
        <w:t>If required, they will manage communication with the affected individual(s) in accordance with the Open Disclosure Procedure.</w:t>
      </w:r>
    </w:p>
    <w:p w14:paraId="063015CF" w14:textId="224277E5" w:rsidR="007A1056" w:rsidRPr="00A04CA5" w:rsidRDefault="00A04CA5" w:rsidP="00867A83">
      <w:pPr>
        <w:pStyle w:val="BodyCopy"/>
      </w:pPr>
      <w:hyperlink w:anchor="_top" w:history="1">
        <w:r w:rsidRPr="00481A6C">
          <w:rPr>
            <w:rStyle w:val="Hyperlink"/>
            <w:iCs w:val="0"/>
          </w:rPr>
          <w:t>Back to Contents</w:t>
        </w:r>
      </w:hyperlink>
    </w:p>
    <w:p w14:paraId="4A5856C4" w14:textId="77777777" w:rsidR="00AA0CE5" w:rsidRDefault="003677A8" w:rsidP="00AA0CE5">
      <w:pPr>
        <w:pStyle w:val="Heading4"/>
      </w:pPr>
      <w:bookmarkStart w:id="20" w:name="_Toc208493847"/>
      <w:r>
        <w:t>Evaluation</w:t>
      </w:r>
      <w:bookmarkEnd w:id="20"/>
    </w:p>
    <w:p w14:paraId="0D3407F3" w14:textId="77777777" w:rsidR="003B7F7B" w:rsidRDefault="003B7F7B" w:rsidP="003B7F7B">
      <w:pPr>
        <w:pStyle w:val="Heading5"/>
      </w:pPr>
      <w:r>
        <w:t>Outcome</w:t>
      </w:r>
    </w:p>
    <w:p w14:paraId="47FD32A5" w14:textId="3E8E255B" w:rsidR="003B7F7B" w:rsidRPr="00551437" w:rsidRDefault="003B7F7B" w:rsidP="00551437">
      <w:pPr>
        <w:pStyle w:val="BodyCopy"/>
        <w:rPr>
          <w:lang w:eastAsia="en-US"/>
        </w:rPr>
      </w:pPr>
      <w:r>
        <w:rPr>
          <w:lang w:eastAsia="en-US"/>
        </w:rPr>
        <w:t>Consumer personal health information is kept private and confidential.</w:t>
      </w:r>
    </w:p>
    <w:p w14:paraId="578CC13A" w14:textId="77777777" w:rsidR="003B7F7B" w:rsidRDefault="003B7F7B" w:rsidP="003B7F7B">
      <w:pPr>
        <w:pStyle w:val="Heading5"/>
      </w:pPr>
      <w:r>
        <w:t>Measures</w:t>
      </w:r>
    </w:p>
    <w:p w14:paraId="4DDDAD61" w14:textId="77777777" w:rsidR="003B7F7B" w:rsidRDefault="003B7F7B" w:rsidP="003B7F7B">
      <w:pPr>
        <w:pStyle w:val="BodyCopy"/>
        <w:numPr>
          <w:ilvl w:val="0"/>
          <w:numId w:val="22"/>
        </w:numPr>
      </w:pPr>
      <w:r>
        <w:t xml:space="preserve">Review of findings related to breaches of consumer confidentiality and privacy reported to SERBIR and HR advisory </w:t>
      </w:r>
    </w:p>
    <w:p w14:paraId="4C513DE0" w14:textId="77777777" w:rsidR="003B7F7B" w:rsidRDefault="003B7F7B" w:rsidP="003B7F7B">
      <w:pPr>
        <w:pStyle w:val="BodyCopy"/>
        <w:numPr>
          <w:ilvl w:val="0"/>
          <w:numId w:val="22"/>
        </w:numPr>
      </w:pPr>
      <w:r>
        <w:t xml:space="preserve">Review of consumer feedback for feedback related to consumer confidentiality and privacy. </w:t>
      </w:r>
    </w:p>
    <w:p w14:paraId="6AD4C7F6" w14:textId="77777777" w:rsidR="00867A83" w:rsidRPr="001A2D47" w:rsidRDefault="00867A83" w:rsidP="00867A83">
      <w:pPr>
        <w:pStyle w:val="BodyCopy"/>
        <w:rPr>
          <w:iCs w:val="0"/>
          <w:color w:val="auto"/>
          <w:u w:val="single"/>
        </w:rPr>
      </w:pPr>
      <w:hyperlink w:anchor="_top" w:history="1">
        <w:r w:rsidRPr="00481A6C">
          <w:rPr>
            <w:rStyle w:val="Hyperlink"/>
            <w:iCs w:val="0"/>
          </w:rPr>
          <w:t>Back to Contents</w:t>
        </w:r>
      </w:hyperlink>
    </w:p>
    <w:p w14:paraId="492A6880" w14:textId="77777777" w:rsidR="00954F7B" w:rsidRDefault="003677A8" w:rsidP="00AA0CE5">
      <w:pPr>
        <w:pStyle w:val="Heading4"/>
      </w:pPr>
      <w:bookmarkStart w:id="21" w:name="_Toc208493848"/>
      <w:r>
        <w:t>Related policies, procedures, guidelines and legislation</w:t>
      </w:r>
      <w:bookmarkEnd w:id="21"/>
    </w:p>
    <w:p w14:paraId="0E00C24D" w14:textId="77777777" w:rsidR="00421D62" w:rsidRDefault="00421D62" w:rsidP="00AA0CE5">
      <w:pPr>
        <w:pStyle w:val="Heading5"/>
      </w:pPr>
      <w:r>
        <w:t>Policies</w:t>
      </w:r>
    </w:p>
    <w:p w14:paraId="5A1C2DAC"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Nursing and Midwifery Board of Australia (NMBA) Requirements for Practice </w:t>
      </w:r>
    </w:p>
    <w:p w14:paraId="0610FD73"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Clinical Records Management </w:t>
      </w:r>
    </w:p>
    <w:p w14:paraId="54D7CFB6"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ACT Public Service (ACTPS) Media Communications and Engagement </w:t>
      </w:r>
    </w:p>
    <w:p w14:paraId="76485606"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Information Privacy </w:t>
      </w:r>
    </w:p>
    <w:p w14:paraId="50192D5F" w14:textId="77777777" w:rsidR="00551437" w:rsidRPr="00551437" w:rsidRDefault="00551437" w:rsidP="00551437">
      <w:pPr>
        <w:pStyle w:val="ListBullet"/>
        <w:ind w:left="426" w:hanging="426"/>
        <w:rPr>
          <w:rFonts w:ascii="Arial" w:hAnsi="Arial" w:cs="Arial"/>
        </w:rPr>
      </w:pPr>
      <w:r w:rsidRPr="00551437">
        <w:rPr>
          <w:rFonts w:ascii="Arial" w:hAnsi="Arial" w:cs="Arial"/>
        </w:rPr>
        <w:t>ACTPS – Use of Social Media</w:t>
      </w:r>
    </w:p>
    <w:p w14:paraId="70EE85D4" w14:textId="77777777" w:rsidR="00551437" w:rsidRPr="00551437" w:rsidRDefault="00551437" w:rsidP="00551437">
      <w:pPr>
        <w:pStyle w:val="ListBullet"/>
        <w:ind w:left="426" w:hanging="426"/>
        <w:rPr>
          <w:rFonts w:ascii="Arial" w:hAnsi="Arial" w:cs="Arial"/>
        </w:rPr>
      </w:pPr>
      <w:r w:rsidRPr="00551437">
        <w:rPr>
          <w:rFonts w:ascii="Arial" w:hAnsi="Arial" w:cs="Arial"/>
        </w:rPr>
        <w:t>Access and use of the national My Health Records system</w:t>
      </w:r>
    </w:p>
    <w:p w14:paraId="0990FA93"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Fraud and Corruption </w:t>
      </w:r>
    </w:p>
    <w:p w14:paraId="124634FE" w14:textId="736F7212" w:rsidR="00867A83" w:rsidRDefault="00551437" w:rsidP="00AA0CE5">
      <w:pPr>
        <w:pStyle w:val="ListBullet"/>
        <w:ind w:left="426" w:hanging="426"/>
        <w:rPr>
          <w:rFonts w:ascii="Arial" w:hAnsi="Arial" w:cs="Arial"/>
        </w:rPr>
      </w:pPr>
      <w:r w:rsidRPr="00551437">
        <w:rPr>
          <w:rFonts w:ascii="Arial" w:hAnsi="Arial" w:cs="Arial"/>
        </w:rPr>
        <w:t>Mobile Communication Devices Management and Use</w:t>
      </w:r>
    </w:p>
    <w:p w14:paraId="3D1E6952" w14:textId="77777777" w:rsidR="00867A83" w:rsidRPr="00867A83" w:rsidRDefault="00867A83" w:rsidP="00867A83">
      <w:pPr>
        <w:pStyle w:val="ListBullet"/>
        <w:numPr>
          <w:ilvl w:val="0"/>
          <w:numId w:val="0"/>
        </w:numPr>
        <w:ind w:left="426"/>
        <w:rPr>
          <w:rFonts w:ascii="Arial" w:hAnsi="Arial" w:cs="Arial"/>
        </w:rPr>
      </w:pPr>
    </w:p>
    <w:p w14:paraId="586D8135" w14:textId="2D82E98B" w:rsidR="00421D62" w:rsidRDefault="00421D62" w:rsidP="00AA0CE5">
      <w:pPr>
        <w:pStyle w:val="Heading5"/>
      </w:pPr>
      <w:r>
        <w:t>Procedures</w:t>
      </w:r>
    </w:p>
    <w:p w14:paraId="1D5FC9CF"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Clinical Handover </w:t>
      </w:r>
    </w:p>
    <w:p w14:paraId="7ECDCC48"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Clinical Records Management </w:t>
      </w:r>
    </w:p>
    <w:p w14:paraId="3822EE4D" w14:textId="77777777" w:rsidR="00551437" w:rsidRPr="00551437" w:rsidRDefault="00551437" w:rsidP="00551437">
      <w:pPr>
        <w:pStyle w:val="ListBullet"/>
        <w:ind w:left="426" w:hanging="426"/>
        <w:rPr>
          <w:rFonts w:ascii="Arial" w:hAnsi="Arial" w:cs="Arial"/>
        </w:rPr>
      </w:pPr>
      <w:r w:rsidRPr="00551437">
        <w:rPr>
          <w:rFonts w:ascii="Arial" w:hAnsi="Arial" w:cs="Arial"/>
        </w:rPr>
        <w:t>NCH Clinical Records Management</w:t>
      </w:r>
    </w:p>
    <w:p w14:paraId="2F1CDB76"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Records Disposal Schedule </w:t>
      </w:r>
    </w:p>
    <w:p w14:paraId="011C0F65" w14:textId="77777777" w:rsidR="00551437" w:rsidRPr="00551437" w:rsidRDefault="00551437" w:rsidP="00551437">
      <w:pPr>
        <w:pStyle w:val="ListBullet"/>
        <w:ind w:left="426" w:hanging="426"/>
        <w:rPr>
          <w:rFonts w:ascii="Arial" w:hAnsi="Arial" w:cs="Arial"/>
        </w:rPr>
      </w:pPr>
      <w:r w:rsidRPr="00551437">
        <w:rPr>
          <w:rFonts w:ascii="Arial" w:hAnsi="Arial" w:cs="Arial"/>
        </w:rPr>
        <w:t>Admission to Discharge – Canberra Hospital</w:t>
      </w:r>
    </w:p>
    <w:p w14:paraId="2C873AC8" w14:textId="77777777" w:rsidR="00551437" w:rsidRPr="00551437" w:rsidRDefault="00551437" w:rsidP="00551437">
      <w:pPr>
        <w:pStyle w:val="ListBullet"/>
        <w:ind w:left="426" w:hanging="426"/>
        <w:rPr>
          <w:rFonts w:ascii="Arial" w:hAnsi="Arial" w:cs="Arial"/>
        </w:rPr>
      </w:pPr>
      <w:r w:rsidRPr="00551437">
        <w:rPr>
          <w:rFonts w:ascii="Arial" w:hAnsi="Arial" w:cs="Arial"/>
        </w:rPr>
        <w:t>UCH Admission to Discharge</w:t>
      </w:r>
    </w:p>
    <w:p w14:paraId="5AE6E120" w14:textId="77777777" w:rsidR="00551437" w:rsidRPr="00551437" w:rsidRDefault="00551437" w:rsidP="00551437">
      <w:pPr>
        <w:pStyle w:val="ListBullet"/>
        <w:ind w:left="426" w:hanging="426"/>
        <w:rPr>
          <w:rFonts w:ascii="Arial" w:hAnsi="Arial" w:cs="Arial"/>
        </w:rPr>
      </w:pPr>
      <w:r w:rsidRPr="00551437">
        <w:rPr>
          <w:rFonts w:ascii="Arial" w:hAnsi="Arial" w:cs="Arial"/>
        </w:rPr>
        <w:t>NCH Admission to Discharge</w:t>
      </w:r>
    </w:p>
    <w:p w14:paraId="66575F21" w14:textId="77777777" w:rsidR="00551437" w:rsidRPr="00551437" w:rsidRDefault="00551437" w:rsidP="00551437">
      <w:pPr>
        <w:pStyle w:val="ListBullet"/>
        <w:ind w:left="426" w:hanging="426"/>
        <w:rPr>
          <w:rFonts w:ascii="Arial" w:hAnsi="Arial" w:cs="Arial"/>
        </w:rPr>
      </w:pPr>
      <w:r w:rsidRPr="00551437">
        <w:rPr>
          <w:rFonts w:ascii="Arial" w:hAnsi="Arial" w:cs="Arial"/>
        </w:rPr>
        <w:t>Discharge Summary Completion Inpatients</w:t>
      </w:r>
    </w:p>
    <w:p w14:paraId="40E956B2" w14:textId="77777777" w:rsidR="00551437" w:rsidRPr="00551437" w:rsidRDefault="00551437" w:rsidP="00551437">
      <w:pPr>
        <w:pStyle w:val="ListBullet"/>
        <w:ind w:left="426" w:hanging="426"/>
        <w:rPr>
          <w:rFonts w:ascii="Arial" w:hAnsi="Arial" w:cs="Arial"/>
        </w:rPr>
      </w:pPr>
      <w:r w:rsidRPr="00551437">
        <w:rPr>
          <w:rFonts w:ascii="Arial" w:hAnsi="Arial" w:cs="Arial"/>
        </w:rPr>
        <w:t>NCH Discharge Summary Completion</w:t>
      </w:r>
    </w:p>
    <w:p w14:paraId="52AFBF1C" w14:textId="77777777" w:rsidR="00551437" w:rsidRPr="00551437" w:rsidRDefault="00551437" w:rsidP="00551437">
      <w:pPr>
        <w:pStyle w:val="ListBullet"/>
        <w:ind w:left="426" w:hanging="426"/>
        <w:rPr>
          <w:rFonts w:ascii="Arial" w:hAnsi="Arial" w:cs="Arial"/>
        </w:rPr>
      </w:pPr>
      <w:r w:rsidRPr="00551437">
        <w:rPr>
          <w:rFonts w:ascii="Arial" w:hAnsi="Arial" w:cs="Arial"/>
        </w:rPr>
        <w:t>Consumer Mobile and Recording Devices Management and Use</w:t>
      </w:r>
    </w:p>
    <w:p w14:paraId="3B4363D9" w14:textId="77777777" w:rsidR="00551437" w:rsidRPr="00551437" w:rsidRDefault="00551437" w:rsidP="00551437">
      <w:pPr>
        <w:pStyle w:val="ListBullet"/>
        <w:ind w:left="426" w:hanging="426"/>
        <w:rPr>
          <w:rFonts w:ascii="Arial" w:hAnsi="Arial" w:cs="Arial"/>
        </w:rPr>
      </w:pPr>
      <w:bookmarkStart w:id="22" w:name="_Hlk50118609"/>
      <w:r w:rsidRPr="00551437">
        <w:rPr>
          <w:rFonts w:ascii="Arial" w:hAnsi="Arial" w:cs="Arial"/>
        </w:rPr>
        <w:t>Advance Agreements, Advance Consent Directions and Nominated Persons under the Mental Health Act 2015</w:t>
      </w:r>
    </w:p>
    <w:p w14:paraId="235A4B09" w14:textId="77777777" w:rsidR="00551437" w:rsidRPr="00551437" w:rsidRDefault="00551437" w:rsidP="00551437">
      <w:pPr>
        <w:pStyle w:val="ListBullet"/>
        <w:ind w:left="426" w:hanging="426"/>
        <w:rPr>
          <w:rFonts w:ascii="Arial" w:hAnsi="Arial" w:cs="Arial"/>
        </w:rPr>
      </w:pPr>
      <w:r w:rsidRPr="00551437">
        <w:rPr>
          <w:rFonts w:ascii="Arial" w:hAnsi="Arial" w:cs="Arial"/>
        </w:rPr>
        <w:t>Advance Care Planning (Adults)</w:t>
      </w:r>
    </w:p>
    <w:p w14:paraId="59FD4B85" w14:textId="77777777" w:rsidR="00551437" w:rsidRPr="00551437" w:rsidRDefault="00551437" w:rsidP="00551437">
      <w:pPr>
        <w:pStyle w:val="ListBullet"/>
        <w:ind w:left="426" w:hanging="426"/>
        <w:rPr>
          <w:rFonts w:ascii="Arial" w:hAnsi="Arial" w:cs="Arial"/>
        </w:rPr>
      </w:pPr>
      <w:r w:rsidRPr="00551437">
        <w:rPr>
          <w:rFonts w:ascii="Arial" w:hAnsi="Arial" w:cs="Arial"/>
        </w:rPr>
        <w:t xml:space="preserve">Managing a Conflict of Interest </w:t>
      </w:r>
    </w:p>
    <w:p w14:paraId="6734810C" w14:textId="51C244ED" w:rsidR="00551437" w:rsidRPr="00551437" w:rsidRDefault="00551437" w:rsidP="00551437">
      <w:pPr>
        <w:pStyle w:val="ListBullet"/>
        <w:spacing w:after="240"/>
        <w:ind w:left="426" w:hanging="426"/>
        <w:rPr>
          <w:rFonts w:ascii="Arial" w:hAnsi="Arial" w:cs="Arial"/>
        </w:rPr>
      </w:pPr>
      <w:r w:rsidRPr="00551437">
        <w:rPr>
          <w:rFonts w:ascii="Arial" w:hAnsi="Arial" w:cs="Arial"/>
        </w:rPr>
        <w:t xml:space="preserve">General Practitioners - Hospital Access and Sharing of Clinical Information </w:t>
      </w:r>
      <w:bookmarkEnd w:id="22"/>
    </w:p>
    <w:p w14:paraId="04127541" w14:textId="361F3B58" w:rsidR="00421D62" w:rsidRDefault="00421D62" w:rsidP="00AA0CE5">
      <w:pPr>
        <w:pStyle w:val="Heading5"/>
      </w:pPr>
      <w:r>
        <w:t xml:space="preserve">Guidelines </w:t>
      </w:r>
    </w:p>
    <w:p w14:paraId="5328E13B" w14:textId="77777777" w:rsidR="00421D62" w:rsidRDefault="0012587E" w:rsidP="00551437">
      <w:pPr>
        <w:pStyle w:val="Bullet"/>
        <w:numPr>
          <w:ilvl w:val="0"/>
          <w:numId w:val="23"/>
        </w:numPr>
        <w:rPr>
          <w:lang w:eastAsia="en-US"/>
        </w:rPr>
      </w:pPr>
      <w:r>
        <w:rPr>
          <w:lang w:eastAsia="en-US"/>
        </w:rPr>
        <w:t>Consent for Healthcare Treatment</w:t>
      </w:r>
    </w:p>
    <w:p w14:paraId="62556B20" w14:textId="77777777" w:rsidR="00421D62" w:rsidRDefault="00421D62" w:rsidP="00AA0CE5">
      <w:pPr>
        <w:pStyle w:val="Heading5"/>
      </w:pPr>
      <w:r>
        <w:lastRenderedPageBreak/>
        <w:t>Legislation</w:t>
      </w:r>
    </w:p>
    <w:p w14:paraId="01FB8A8A" w14:textId="77777777" w:rsidR="00421D62" w:rsidRPr="00551437" w:rsidRDefault="00421D62" w:rsidP="00551437">
      <w:pPr>
        <w:pStyle w:val="Bullet"/>
        <w:numPr>
          <w:ilvl w:val="0"/>
          <w:numId w:val="23"/>
        </w:numPr>
        <w:rPr>
          <w:lang w:eastAsia="en-US"/>
        </w:rPr>
      </w:pPr>
      <w:r w:rsidRPr="00551437">
        <w:rPr>
          <w:i/>
          <w:iCs/>
          <w:lang w:eastAsia="en-US"/>
        </w:rPr>
        <w:t xml:space="preserve">Health Records (Privacy and Access) Act </w:t>
      </w:r>
      <w:r w:rsidRPr="00551437">
        <w:rPr>
          <w:lang w:eastAsia="en-US"/>
        </w:rPr>
        <w:t>1997</w:t>
      </w:r>
    </w:p>
    <w:p w14:paraId="29FE706E" w14:textId="77777777" w:rsidR="00421D62" w:rsidRPr="00551437" w:rsidRDefault="00421D62" w:rsidP="00551437">
      <w:pPr>
        <w:pStyle w:val="Bullet"/>
        <w:numPr>
          <w:ilvl w:val="0"/>
          <w:numId w:val="23"/>
        </w:numPr>
        <w:rPr>
          <w:lang w:eastAsia="en-US"/>
        </w:rPr>
      </w:pPr>
      <w:r w:rsidRPr="00551437">
        <w:rPr>
          <w:i/>
          <w:iCs/>
          <w:lang w:eastAsia="en-US"/>
        </w:rPr>
        <w:t>Human Rights Act</w:t>
      </w:r>
      <w:r w:rsidRPr="00551437">
        <w:rPr>
          <w:lang w:eastAsia="en-US"/>
        </w:rPr>
        <w:t xml:space="preserve"> 2004</w:t>
      </w:r>
    </w:p>
    <w:p w14:paraId="212BEA75" w14:textId="77777777" w:rsidR="00421D62" w:rsidRPr="00551437" w:rsidRDefault="00421D62" w:rsidP="00551437">
      <w:pPr>
        <w:pStyle w:val="Bullet"/>
        <w:numPr>
          <w:ilvl w:val="0"/>
          <w:numId w:val="23"/>
        </w:numPr>
        <w:rPr>
          <w:lang w:eastAsia="en-US"/>
        </w:rPr>
      </w:pPr>
      <w:r w:rsidRPr="00551437">
        <w:rPr>
          <w:i/>
          <w:iCs/>
          <w:lang w:eastAsia="en-US"/>
        </w:rPr>
        <w:t>Work Health and Safety Act</w:t>
      </w:r>
      <w:r w:rsidRPr="00551437">
        <w:rPr>
          <w:lang w:eastAsia="en-US"/>
        </w:rPr>
        <w:t xml:space="preserve"> 2011</w:t>
      </w:r>
    </w:p>
    <w:p w14:paraId="2CCE415A" w14:textId="77777777" w:rsidR="00421D62" w:rsidRPr="00551437" w:rsidRDefault="00421D62" w:rsidP="00551437">
      <w:pPr>
        <w:pStyle w:val="Bullet"/>
        <w:numPr>
          <w:ilvl w:val="0"/>
          <w:numId w:val="23"/>
        </w:numPr>
        <w:spacing w:after="0"/>
        <w:rPr>
          <w:lang w:eastAsia="en-US"/>
        </w:rPr>
      </w:pPr>
      <w:r w:rsidRPr="00551437">
        <w:rPr>
          <w:i/>
          <w:iCs/>
          <w:lang w:eastAsia="en-US"/>
        </w:rPr>
        <w:t>Carers Recognition Act</w:t>
      </w:r>
      <w:r w:rsidRPr="00551437">
        <w:rPr>
          <w:lang w:eastAsia="en-US"/>
        </w:rPr>
        <w:t xml:space="preserve"> 2021</w:t>
      </w:r>
    </w:p>
    <w:p w14:paraId="4DCAA90E" w14:textId="54E895F8" w:rsidR="00551437" w:rsidRPr="00551437" w:rsidRDefault="00551437" w:rsidP="00421D62">
      <w:pPr>
        <w:pStyle w:val="ListBullet"/>
        <w:numPr>
          <w:ilvl w:val="0"/>
          <w:numId w:val="23"/>
        </w:numPr>
        <w:spacing w:after="240"/>
        <w:rPr>
          <w:rFonts w:ascii="Arial" w:hAnsi="Arial" w:cs="Arial"/>
          <w:i/>
          <w:iCs/>
        </w:rPr>
      </w:pPr>
      <w:r w:rsidRPr="00551437">
        <w:rPr>
          <w:rFonts w:ascii="Arial" w:hAnsi="Arial" w:cs="Arial"/>
          <w:i/>
          <w:iCs/>
        </w:rPr>
        <w:t xml:space="preserve">Mental Health Act </w:t>
      </w:r>
      <w:r w:rsidRPr="00551437">
        <w:rPr>
          <w:rFonts w:ascii="Arial" w:hAnsi="Arial" w:cs="Arial"/>
        </w:rPr>
        <w:t>2015</w:t>
      </w:r>
    </w:p>
    <w:p w14:paraId="7FADF208" w14:textId="77777777" w:rsidR="00421D62" w:rsidRDefault="00421D62" w:rsidP="00AA0CE5">
      <w:pPr>
        <w:pStyle w:val="Heading5"/>
      </w:pPr>
      <w:r>
        <w:t>Other</w:t>
      </w:r>
    </w:p>
    <w:p w14:paraId="4F2B2307" w14:textId="77777777" w:rsidR="001B1D4D" w:rsidRPr="001372B2" w:rsidRDefault="00421D62" w:rsidP="001372B2">
      <w:pPr>
        <w:pStyle w:val="Bullet"/>
        <w:numPr>
          <w:ilvl w:val="0"/>
          <w:numId w:val="24"/>
        </w:numPr>
        <w:spacing w:after="0"/>
        <w:rPr>
          <w:lang w:eastAsia="en-US"/>
        </w:rPr>
      </w:pPr>
      <w:r w:rsidRPr="001372B2">
        <w:rPr>
          <w:lang w:eastAsia="en-US"/>
        </w:rPr>
        <w:t>Australian Charter of Healthcare Rights</w:t>
      </w:r>
    </w:p>
    <w:p w14:paraId="430BFCF1" w14:textId="77777777" w:rsidR="00551437" w:rsidRPr="001372B2" w:rsidRDefault="00551437" w:rsidP="001372B2">
      <w:pPr>
        <w:pStyle w:val="ListBullet"/>
        <w:numPr>
          <w:ilvl w:val="0"/>
          <w:numId w:val="24"/>
        </w:numPr>
        <w:rPr>
          <w:rFonts w:ascii="Arial" w:hAnsi="Arial" w:cs="Arial"/>
        </w:rPr>
      </w:pPr>
      <w:r w:rsidRPr="001372B2">
        <w:rPr>
          <w:rFonts w:ascii="Arial" w:hAnsi="Arial" w:cs="Arial"/>
          <w:szCs w:val="24"/>
        </w:rPr>
        <w:t>Australian Healthcare Rights and Your Privacy at Canberra Health Services</w:t>
      </w:r>
    </w:p>
    <w:p w14:paraId="7081EA72" w14:textId="3DF38830" w:rsidR="00551437" w:rsidRDefault="00551437" w:rsidP="001372B2">
      <w:pPr>
        <w:pStyle w:val="Bullet"/>
        <w:numPr>
          <w:ilvl w:val="0"/>
          <w:numId w:val="24"/>
        </w:numPr>
        <w:spacing w:after="0"/>
        <w:rPr>
          <w:lang w:eastAsia="en-US"/>
        </w:rPr>
      </w:pPr>
      <w:r w:rsidRPr="001372B2">
        <w:t>ACT Public Service Code of Ethics</w:t>
      </w:r>
    </w:p>
    <w:p w14:paraId="25EFDBBA" w14:textId="77777777" w:rsidR="00867A83" w:rsidRDefault="00867A83" w:rsidP="00867A83">
      <w:pPr>
        <w:pStyle w:val="BodyCopy"/>
        <w:rPr>
          <w:rStyle w:val="Hyperlink"/>
          <w:iCs w:val="0"/>
        </w:rPr>
      </w:pPr>
      <w:hyperlink w:anchor="_top" w:history="1">
        <w:r w:rsidRPr="00481A6C">
          <w:rPr>
            <w:rStyle w:val="Hyperlink"/>
            <w:iCs w:val="0"/>
          </w:rPr>
          <w:t>Back to Contents</w:t>
        </w:r>
      </w:hyperlink>
    </w:p>
    <w:p w14:paraId="3F498915" w14:textId="77777777" w:rsidR="00867A83" w:rsidRDefault="00867A83" w:rsidP="00867A83">
      <w:pPr>
        <w:pStyle w:val="BodyCopy"/>
        <w:rPr>
          <w:rStyle w:val="Hyperlink"/>
          <w:iCs w:val="0"/>
        </w:rPr>
      </w:pPr>
    </w:p>
    <w:p w14:paraId="00009469" w14:textId="77777777" w:rsidR="00867A83" w:rsidRPr="001A2D47" w:rsidRDefault="00867A83" w:rsidP="00867A83">
      <w:pPr>
        <w:pStyle w:val="BodyCopy"/>
        <w:rPr>
          <w:iCs w:val="0"/>
          <w:color w:val="auto"/>
          <w:u w:val="single"/>
        </w:rPr>
      </w:pPr>
    </w:p>
    <w:p w14:paraId="5077F1CF" w14:textId="75D1C068" w:rsidR="001B1D4D" w:rsidRDefault="001B1D4D" w:rsidP="001B1D4D">
      <w:pPr>
        <w:pStyle w:val="Heading4"/>
      </w:pPr>
      <w:bookmarkStart w:id="23" w:name="_Toc208493849"/>
      <w:r>
        <w:t>Definition of terms</w:t>
      </w:r>
      <w:bookmarkEnd w:id="23"/>
      <w:r>
        <w:t xml:space="preserve"> </w:t>
      </w:r>
    </w:p>
    <w:p w14:paraId="6471EF97" w14:textId="77777777" w:rsidR="001372B2" w:rsidRPr="00597CC8" w:rsidRDefault="001372B2" w:rsidP="001372B2">
      <w:pPr>
        <w:pStyle w:val="Heading5"/>
      </w:pPr>
      <w:r w:rsidRPr="00597CC8">
        <w:t>Advanced Agreement</w:t>
      </w:r>
    </w:p>
    <w:p w14:paraId="02015724" w14:textId="77777777" w:rsidR="001372B2" w:rsidRDefault="001372B2" w:rsidP="001372B2">
      <w:pPr>
        <w:pStyle w:val="BodyCopy"/>
        <w:spacing w:after="0"/>
      </w:pPr>
      <w:r>
        <w:t>An Advance Agreement is a written document stating a person’s preferences and consents for future mental health treatment, care or support. It is used if a person’s ability to participate in decisions about their treatment and support is significantly impaired. It includes:</w:t>
      </w:r>
    </w:p>
    <w:p w14:paraId="0878A70B" w14:textId="77777777" w:rsidR="001372B2" w:rsidRPr="00E7483A" w:rsidRDefault="001372B2" w:rsidP="001372B2">
      <w:pPr>
        <w:pStyle w:val="BodyCopy"/>
        <w:numPr>
          <w:ilvl w:val="0"/>
          <w:numId w:val="26"/>
        </w:numPr>
        <w:spacing w:before="0" w:after="0"/>
      </w:pPr>
      <w:r>
        <w:t>the person’s expressed preferences for treatment</w:t>
      </w:r>
    </w:p>
    <w:p w14:paraId="17AD15DC" w14:textId="77777777" w:rsidR="001372B2" w:rsidRPr="00E7483A" w:rsidRDefault="001372B2" w:rsidP="001372B2">
      <w:pPr>
        <w:pStyle w:val="BodyCopy"/>
        <w:numPr>
          <w:ilvl w:val="0"/>
          <w:numId w:val="26"/>
        </w:numPr>
        <w:spacing w:before="0" w:after="0"/>
      </w:pPr>
      <w:r>
        <w:t xml:space="preserve">the person’s preferences for practical arrangements for looking after their property/pets when they need treatment, care, or support </w:t>
      </w:r>
    </w:p>
    <w:p w14:paraId="662C609E" w14:textId="77777777" w:rsidR="001372B2" w:rsidRDefault="001372B2" w:rsidP="001372B2">
      <w:pPr>
        <w:pStyle w:val="BodyCopy"/>
        <w:numPr>
          <w:ilvl w:val="0"/>
          <w:numId w:val="26"/>
        </w:numPr>
        <w:spacing w:before="0" w:after="0"/>
      </w:pPr>
      <w:r>
        <w:t>contact details for important people such as carers, guardians, legal representatives, or a nominated person</w:t>
      </w:r>
      <w:r w:rsidRPr="6E0F5BD3">
        <w:t>.</w:t>
      </w:r>
    </w:p>
    <w:p w14:paraId="4F8377D5" w14:textId="77777777" w:rsidR="001372B2" w:rsidRDefault="001372B2" w:rsidP="001372B2">
      <w:pPr>
        <w:pStyle w:val="BodyCopy"/>
      </w:pPr>
      <w:r>
        <w:t>A person may make an Advance Agreement when they have decision-making capacity.</w:t>
      </w:r>
    </w:p>
    <w:p w14:paraId="68A9B37C" w14:textId="77777777" w:rsidR="001372B2" w:rsidRPr="00572B3B" w:rsidRDefault="001372B2" w:rsidP="001372B2">
      <w:pPr>
        <w:pStyle w:val="Heading5"/>
      </w:pPr>
      <w:r w:rsidRPr="00572B3B">
        <w:t>Advance Care Plan</w:t>
      </w:r>
    </w:p>
    <w:p w14:paraId="2515AE4C" w14:textId="59C38B51" w:rsidR="001372B2" w:rsidRPr="001372B2" w:rsidRDefault="001372B2" w:rsidP="001372B2">
      <w:r>
        <w:rPr>
          <w:rFonts w:cs="Arial"/>
        </w:rPr>
        <w:t xml:space="preserve">Documents an individual’s preferences, values, and wishes for future care and medical treatment options. It is not a legal document but is recognised in common law and must be upheld by CHS. </w:t>
      </w:r>
      <w:r>
        <w:rPr>
          <w:rFonts w:asciiTheme="minorHAnsi" w:hAnsiTheme="minorHAnsi" w:cs="Geneva"/>
        </w:rPr>
        <w:t xml:space="preserve">The Statement of Choices document is designed to initiate discussion and allow formal documentation of these preferences. </w:t>
      </w:r>
      <w:r>
        <w:t>This information will guide the individual’s decision makers (attorney/s) and doctors in making decisions that are in accord with their expressed wishes and choices.</w:t>
      </w:r>
    </w:p>
    <w:p w14:paraId="4BCC7027" w14:textId="77777777" w:rsidR="001372B2" w:rsidRPr="00597CC8" w:rsidRDefault="001372B2" w:rsidP="001372B2">
      <w:pPr>
        <w:pStyle w:val="Heading5"/>
      </w:pPr>
      <w:r w:rsidRPr="00597CC8">
        <w:t>Advanced Consent Direction</w:t>
      </w:r>
    </w:p>
    <w:p w14:paraId="7CF75A23" w14:textId="77777777" w:rsidR="001372B2" w:rsidRDefault="001372B2" w:rsidP="001372B2">
      <w:pPr>
        <w:spacing w:after="0"/>
      </w:pPr>
      <w:r w:rsidRPr="003B3EBE">
        <w:t xml:space="preserve">An Advance Consent Direction </w:t>
      </w:r>
      <w:r>
        <w:t>can be</w:t>
      </w:r>
      <w:r w:rsidRPr="003B3EBE">
        <w:t xml:space="preserve"> made by a person, while they have decision-making capacity to do so, to record their consent</w:t>
      </w:r>
      <w:r>
        <w:t>s</w:t>
      </w:r>
      <w:r w:rsidRPr="003B3EBE">
        <w:t xml:space="preserve"> or non-consent</w:t>
      </w:r>
      <w:r>
        <w:t>s</w:t>
      </w:r>
      <w:r w:rsidRPr="003B3EBE">
        <w:t xml:space="preserve"> to receiving treatment, care or support, or specific medications and procedures if they do not have decision-making capacity</w:t>
      </w:r>
      <w:r>
        <w:t>.</w:t>
      </w:r>
      <w:r w:rsidRPr="00283E1D">
        <w:t xml:space="preserve"> </w:t>
      </w:r>
      <w:r>
        <w:t>An Advance Consent Direction sets out:</w:t>
      </w:r>
    </w:p>
    <w:p w14:paraId="3849E5FA" w14:textId="77777777" w:rsidR="001372B2" w:rsidRPr="001372B2" w:rsidRDefault="001372B2" w:rsidP="001372B2">
      <w:pPr>
        <w:pStyle w:val="Bullet"/>
        <w:numPr>
          <w:ilvl w:val="0"/>
          <w:numId w:val="27"/>
        </w:numPr>
      </w:pPr>
      <w:r w:rsidRPr="001372B2">
        <w:lastRenderedPageBreak/>
        <w:t>the treatment, care or support the person is willing to receive if the mental illness or mental disorder results in the person not having decision-making capacity in relation to their treatment, care or support</w:t>
      </w:r>
    </w:p>
    <w:p w14:paraId="06088C01" w14:textId="77777777" w:rsidR="001372B2" w:rsidRPr="001372B2" w:rsidRDefault="001372B2" w:rsidP="001372B2">
      <w:pPr>
        <w:pStyle w:val="Bullet"/>
        <w:numPr>
          <w:ilvl w:val="0"/>
          <w:numId w:val="27"/>
        </w:numPr>
      </w:pPr>
      <w:r w:rsidRPr="001372B2">
        <w:t>particular medications or procedures the person consents and does not consent to receive, and</w:t>
      </w:r>
    </w:p>
    <w:p w14:paraId="5648347A" w14:textId="4C288BF4" w:rsidR="001372B2" w:rsidRPr="001372B2" w:rsidRDefault="001372B2" w:rsidP="001372B2">
      <w:pPr>
        <w:pStyle w:val="Bullet"/>
        <w:numPr>
          <w:ilvl w:val="0"/>
          <w:numId w:val="27"/>
        </w:numPr>
      </w:pPr>
      <w:r w:rsidRPr="001372B2">
        <w:t>the people who may, or must not, be given information about the person's treatment, care or support.</w:t>
      </w:r>
    </w:p>
    <w:p w14:paraId="2B1207E2" w14:textId="77777777" w:rsidR="001372B2" w:rsidRDefault="001372B2" w:rsidP="001372B2">
      <w:pPr>
        <w:pStyle w:val="Heading5"/>
      </w:pPr>
      <w:r w:rsidRPr="003D4C97">
        <w:t>Consumer</w:t>
      </w:r>
    </w:p>
    <w:p w14:paraId="43722B8D" w14:textId="4A8DFDEF" w:rsidR="001372B2" w:rsidRDefault="001372B2" w:rsidP="001372B2">
      <w:pPr>
        <w:rPr>
          <w:rFonts w:cs="Arial"/>
        </w:rPr>
      </w:pPr>
      <w:r>
        <w:rPr>
          <w:rFonts w:cs="Arial"/>
        </w:rPr>
        <w:t>Refers to any person who is accessing a service provided by CHS.</w:t>
      </w:r>
    </w:p>
    <w:p w14:paraId="0DFD9711" w14:textId="77777777" w:rsidR="001372B2" w:rsidRPr="00EA2B26" w:rsidRDefault="001372B2" w:rsidP="001372B2">
      <w:pPr>
        <w:pStyle w:val="Heading5"/>
      </w:pPr>
      <w:r w:rsidRPr="00EA2B26">
        <w:t xml:space="preserve">Decision Making Capacity </w:t>
      </w:r>
    </w:p>
    <w:p w14:paraId="54992EA8" w14:textId="77777777" w:rsidR="001372B2" w:rsidRPr="00572B3B" w:rsidRDefault="001372B2" w:rsidP="001372B2">
      <w:pPr>
        <w:pStyle w:val="BodyCopy"/>
        <w:spacing w:after="0"/>
      </w:pPr>
      <w:r w:rsidRPr="00572B3B">
        <w:t>A person has capacity to make a decision</w:t>
      </w:r>
      <w:r>
        <w:t xml:space="preserve"> about themselves and their own treatment</w:t>
      </w:r>
      <w:r w:rsidRPr="00572B3B">
        <w:t xml:space="preserve"> if they can, with </w:t>
      </w:r>
      <w:r>
        <w:t xml:space="preserve">provision of supports and assistance </w:t>
      </w:r>
      <w:r w:rsidRPr="00572B3B">
        <w:t>if needed, demonstrate all of the following elements:</w:t>
      </w:r>
    </w:p>
    <w:p w14:paraId="139FC7D0" w14:textId="77777777" w:rsidR="001372B2" w:rsidRPr="00572B3B" w:rsidRDefault="001372B2" w:rsidP="001372B2">
      <w:pPr>
        <w:pStyle w:val="BodyCopy"/>
        <w:numPr>
          <w:ilvl w:val="0"/>
          <w:numId w:val="28"/>
        </w:numPr>
        <w:spacing w:before="0" w:after="0"/>
      </w:pPr>
      <w:r w:rsidRPr="00572B3B">
        <w:t xml:space="preserve">understand when a decision about treatment, care or support needs to be made </w:t>
      </w:r>
    </w:p>
    <w:p w14:paraId="73C135CD" w14:textId="77777777" w:rsidR="001372B2" w:rsidRPr="00572B3B" w:rsidRDefault="001372B2" w:rsidP="001372B2">
      <w:pPr>
        <w:pStyle w:val="BodyCopy"/>
        <w:numPr>
          <w:ilvl w:val="0"/>
          <w:numId w:val="28"/>
        </w:numPr>
        <w:spacing w:before="0" w:after="0"/>
      </w:pPr>
      <w:r w:rsidRPr="00572B3B">
        <w:t>understand the facts related to that decision</w:t>
      </w:r>
    </w:p>
    <w:p w14:paraId="5639DF00" w14:textId="77777777" w:rsidR="001372B2" w:rsidRPr="00572B3B" w:rsidRDefault="001372B2" w:rsidP="001372B2">
      <w:pPr>
        <w:pStyle w:val="BodyCopy"/>
        <w:numPr>
          <w:ilvl w:val="0"/>
          <w:numId w:val="28"/>
        </w:numPr>
        <w:spacing w:before="0" w:after="0"/>
      </w:pPr>
      <w:r w:rsidRPr="00572B3B">
        <w:t>understand the main choices available in relation to the decision</w:t>
      </w:r>
    </w:p>
    <w:p w14:paraId="052CE1A3" w14:textId="77777777" w:rsidR="001372B2" w:rsidRPr="00572B3B" w:rsidRDefault="001372B2" w:rsidP="001372B2">
      <w:pPr>
        <w:pStyle w:val="BodyCopy"/>
        <w:numPr>
          <w:ilvl w:val="0"/>
          <w:numId w:val="28"/>
        </w:numPr>
        <w:spacing w:before="0" w:after="0"/>
      </w:pPr>
      <w:r w:rsidRPr="00572B3B">
        <w:t>weigh up the consequences of the main choices</w:t>
      </w:r>
    </w:p>
    <w:p w14:paraId="25D8ED81" w14:textId="77777777" w:rsidR="001372B2" w:rsidRPr="00572B3B" w:rsidRDefault="001372B2" w:rsidP="001372B2">
      <w:pPr>
        <w:pStyle w:val="BodyCopy"/>
        <w:numPr>
          <w:ilvl w:val="0"/>
          <w:numId w:val="28"/>
        </w:numPr>
        <w:spacing w:before="0" w:after="0"/>
      </w:pPr>
      <w:r w:rsidRPr="00572B3B">
        <w:t>understand how the consequences of the main choices affect them</w:t>
      </w:r>
    </w:p>
    <w:p w14:paraId="0E1C25B0" w14:textId="77777777" w:rsidR="001372B2" w:rsidRPr="00572B3B" w:rsidRDefault="001372B2" w:rsidP="001372B2">
      <w:pPr>
        <w:pStyle w:val="BodyCopy"/>
        <w:numPr>
          <w:ilvl w:val="0"/>
          <w:numId w:val="28"/>
        </w:numPr>
        <w:spacing w:before="0" w:after="0"/>
      </w:pPr>
      <w:r w:rsidRPr="00572B3B">
        <w:t xml:space="preserve">on the basis of the above elements, make </w:t>
      </w:r>
      <w:r>
        <w:t>the</w:t>
      </w:r>
      <w:r w:rsidRPr="00572B3B">
        <w:t xml:space="preserve"> decision, and </w:t>
      </w:r>
    </w:p>
    <w:p w14:paraId="3D64F2D7" w14:textId="5BE8E9EB" w:rsidR="001372B2" w:rsidRDefault="001372B2" w:rsidP="001372B2">
      <w:pPr>
        <w:pStyle w:val="BodyCopy"/>
        <w:numPr>
          <w:ilvl w:val="0"/>
          <w:numId w:val="28"/>
        </w:numPr>
        <w:spacing w:before="0" w:after="0"/>
      </w:pPr>
      <w:r w:rsidRPr="00572B3B">
        <w:t>communicate the decision they make in whatever way they can.</w:t>
      </w:r>
    </w:p>
    <w:p w14:paraId="64C5060F" w14:textId="77777777" w:rsidR="001372B2" w:rsidRPr="00572B3B" w:rsidRDefault="001372B2" w:rsidP="001372B2">
      <w:pPr>
        <w:pStyle w:val="BodyCopy"/>
        <w:spacing w:after="0"/>
      </w:pPr>
      <w:r w:rsidRPr="00572B3B">
        <w:t>Note that:</w:t>
      </w:r>
    </w:p>
    <w:p w14:paraId="75865320" w14:textId="77777777" w:rsidR="001372B2" w:rsidRPr="00572B3B" w:rsidRDefault="001372B2" w:rsidP="001372B2">
      <w:pPr>
        <w:pStyle w:val="BodyCopy"/>
        <w:numPr>
          <w:ilvl w:val="0"/>
          <w:numId w:val="29"/>
        </w:numPr>
        <w:spacing w:before="0" w:after="0"/>
      </w:pPr>
      <w:r w:rsidRPr="00572B3B">
        <w:t>capacity refers to a particular decision at a particular time and should not be generalised (i.e. a person’s capacity can change over time)</w:t>
      </w:r>
    </w:p>
    <w:p w14:paraId="3D2FDF1F" w14:textId="77777777" w:rsidR="001372B2" w:rsidRPr="00572B3B" w:rsidRDefault="001372B2" w:rsidP="001372B2">
      <w:pPr>
        <w:pStyle w:val="BodyCopy"/>
        <w:numPr>
          <w:ilvl w:val="0"/>
          <w:numId w:val="29"/>
        </w:numPr>
        <w:spacing w:before="0" w:after="0"/>
      </w:pPr>
      <w:r w:rsidRPr="00572B3B">
        <w:t>capacity is proportionate to the nature and consequences, or importance, of the particular decision</w:t>
      </w:r>
    </w:p>
    <w:p w14:paraId="4C95F015" w14:textId="2BD663DF" w:rsidR="001372B2" w:rsidRDefault="001372B2" w:rsidP="001372B2">
      <w:pPr>
        <w:pStyle w:val="BodyCopy"/>
        <w:numPr>
          <w:ilvl w:val="0"/>
          <w:numId w:val="29"/>
        </w:numPr>
        <w:spacing w:before="0"/>
      </w:pPr>
      <w:r w:rsidRPr="00572B3B">
        <w:t xml:space="preserve">capacity is assessed having regard to any and all reasonable assistance or support that </w:t>
      </w:r>
      <w:r>
        <w:t>is</w:t>
      </w:r>
      <w:r w:rsidRPr="00572B3B">
        <w:t xml:space="preserve"> required</w:t>
      </w:r>
      <w:r>
        <w:t xml:space="preserve"> to support participation in decision making.</w:t>
      </w:r>
      <w:r w:rsidRPr="00572B3B">
        <w:t xml:space="preserve"> </w:t>
      </w:r>
    </w:p>
    <w:p w14:paraId="2F283490" w14:textId="75DB3A49" w:rsidR="001372B2" w:rsidRPr="00867A83" w:rsidRDefault="001372B2" w:rsidP="00867A83">
      <w:pPr>
        <w:pStyle w:val="Heading5"/>
        <w:rPr>
          <w:rFonts w:eastAsia="Times New Roman" w:cs="Arial"/>
          <w:bCs/>
          <w:iCs/>
          <w:color w:val="000000" w:themeColor="text1"/>
        </w:rPr>
      </w:pPr>
      <w:r w:rsidRPr="00AB5650">
        <w:t>Decision making capacity</w:t>
      </w:r>
      <w:r>
        <w:t xml:space="preserve"> in mental health setting </w:t>
      </w:r>
    </w:p>
    <w:p w14:paraId="34755779" w14:textId="77777777" w:rsidR="001372B2" w:rsidRPr="00E46F5D" w:rsidRDefault="001372B2" w:rsidP="001372B2">
      <w:pPr>
        <w:autoSpaceDE w:val="0"/>
        <w:autoSpaceDN w:val="0"/>
        <w:adjustRightInd w:val="0"/>
        <w:rPr>
          <w:rFonts w:eastAsiaTheme="minorHAnsi"/>
        </w:rPr>
      </w:pPr>
      <w:r>
        <w:rPr>
          <w:rFonts w:eastAsiaTheme="minorHAnsi"/>
        </w:rPr>
        <w:t>A</w:t>
      </w:r>
      <w:r w:rsidRPr="00E46F5D">
        <w:rPr>
          <w:rFonts w:eastAsiaTheme="minorHAnsi"/>
        </w:rPr>
        <w:t xml:space="preserve"> person has capacity to make a decision</w:t>
      </w:r>
      <w:r>
        <w:rPr>
          <w:rFonts w:eastAsiaTheme="minorHAnsi"/>
        </w:rPr>
        <w:t xml:space="preserve"> about themselves and</w:t>
      </w:r>
      <w:r w:rsidRPr="00E46F5D">
        <w:rPr>
          <w:rFonts w:eastAsiaTheme="minorHAnsi"/>
        </w:rPr>
        <w:t xml:space="preserve"> the</w:t>
      </w:r>
      <w:r>
        <w:rPr>
          <w:rFonts w:eastAsiaTheme="minorHAnsi"/>
        </w:rPr>
        <w:t>ir</w:t>
      </w:r>
      <w:r w:rsidRPr="00E46F5D">
        <w:rPr>
          <w:rFonts w:eastAsiaTheme="minorHAnsi"/>
        </w:rPr>
        <w:t xml:space="preserve"> </w:t>
      </w:r>
      <w:r>
        <w:rPr>
          <w:rFonts w:eastAsiaTheme="minorHAnsi"/>
        </w:rPr>
        <w:t>own</w:t>
      </w:r>
      <w:r w:rsidRPr="00E46F5D">
        <w:rPr>
          <w:rFonts w:eastAsiaTheme="minorHAnsi"/>
        </w:rPr>
        <w:t xml:space="preserve"> treatment, care or support for a mental disorder or mental illness if the</w:t>
      </w:r>
      <w:r>
        <w:rPr>
          <w:rFonts w:eastAsiaTheme="minorHAnsi"/>
        </w:rPr>
        <w:t>y</w:t>
      </w:r>
      <w:r w:rsidRPr="00E46F5D">
        <w:rPr>
          <w:rFonts w:eastAsiaTheme="minorHAnsi"/>
        </w:rPr>
        <w:t xml:space="preserve"> can, with</w:t>
      </w:r>
      <w:r>
        <w:rPr>
          <w:rFonts w:eastAsiaTheme="minorHAnsi"/>
        </w:rPr>
        <w:t xml:space="preserve"> provision of supports and </w:t>
      </w:r>
      <w:r w:rsidRPr="00E46F5D">
        <w:rPr>
          <w:rFonts w:eastAsiaTheme="minorHAnsi"/>
        </w:rPr>
        <w:t>assistance if needed:</w:t>
      </w:r>
    </w:p>
    <w:p w14:paraId="14A98AA9"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 xml:space="preserve">(a) </w:t>
      </w:r>
      <w:r>
        <w:rPr>
          <w:rFonts w:eastAsiaTheme="minorHAnsi"/>
        </w:rPr>
        <w:tab/>
      </w:r>
      <w:r w:rsidRPr="00E46F5D">
        <w:rPr>
          <w:rFonts w:eastAsiaTheme="minorHAnsi"/>
        </w:rPr>
        <w:t>understand when a decision about treatment, care or support</w:t>
      </w:r>
      <w:r>
        <w:rPr>
          <w:rFonts w:eastAsiaTheme="minorHAnsi"/>
        </w:rPr>
        <w:t xml:space="preserve"> </w:t>
      </w:r>
      <w:r w:rsidRPr="00E46F5D">
        <w:rPr>
          <w:rFonts w:eastAsiaTheme="minorHAnsi"/>
        </w:rPr>
        <w:t>for the person needs to be made, and</w:t>
      </w:r>
    </w:p>
    <w:p w14:paraId="473936BB"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(b)</w:t>
      </w:r>
      <w:r>
        <w:rPr>
          <w:rFonts w:eastAsiaTheme="minorHAnsi"/>
        </w:rPr>
        <w:tab/>
      </w:r>
      <w:r w:rsidRPr="00E46F5D">
        <w:rPr>
          <w:rFonts w:eastAsiaTheme="minorHAnsi"/>
        </w:rPr>
        <w:t>understand the facts that relate to the decision, and</w:t>
      </w:r>
    </w:p>
    <w:p w14:paraId="78F58CC1"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 xml:space="preserve">(c) </w:t>
      </w:r>
      <w:r>
        <w:rPr>
          <w:rFonts w:eastAsiaTheme="minorHAnsi"/>
        </w:rPr>
        <w:tab/>
      </w:r>
      <w:r w:rsidRPr="00E46F5D">
        <w:rPr>
          <w:rFonts w:eastAsiaTheme="minorHAnsi"/>
        </w:rPr>
        <w:t>understand the main choices available to the person in relation</w:t>
      </w:r>
      <w:r>
        <w:rPr>
          <w:rFonts w:eastAsiaTheme="minorHAnsi"/>
        </w:rPr>
        <w:t xml:space="preserve"> </w:t>
      </w:r>
      <w:r w:rsidRPr="00E46F5D">
        <w:rPr>
          <w:rFonts w:eastAsiaTheme="minorHAnsi"/>
        </w:rPr>
        <w:t>to the decision, and</w:t>
      </w:r>
    </w:p>
    <w:p w14:paraId="7F25CCBC"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 xml:space="preserve">(d) </w:t>
      </w:r>
      <w:r>
        <w:rPr>
          <w:rFonts w:eastAsiaTheme="minorHAnsi"/>
        </w:rPr>
        <w:tab/>
      </w:r>
      <w:r w:rsidRPr="00E46F5D">
        <w:rPr>
          <w:rFonts w:eastAsiaTheme="minorHAnsi"/>
        </w:rPr>
        <w:t>weigh up the consequences of the main choices, and</w:t>
      </w:r>
    </w:p>
    <w:p w14:paraId="682C359D"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 xml:space="preserve">(e) </w:t>
      </w:r>
      <w:r>
        <w:rPr>
          <w:rFonts w:eastAsiaTheme="minorHAnsi"/>
        </w:rPr>
        <w:tab/>
      </w:r>
      <w:r w:rsidRPr="00E46F5D">
        <w:rPr>
          <w:rFonts w:eastAsiaTheme="minorHAnsi"/>
        </w:rPr>
        <w:t>understand how the consequences affect the person, and</w:t>
      </w:r>
    </w:p>
    <w:p w14:paraId="0311C8D7" w14:textId="77777777" w:rsidR="001372B2" w:rsidRPr="00E46F5D" w:rsidRDefault="001372B2" w:rsidP="001372B2">
      <w:pPr>
        <w:autoSpaceDE w:val="0"/>
        <w:autoSpaceDN w:val="0"/>
        <w:adjustRightInd w:val="0"/>
        <w:spacing w:before="0" w:after="0"/>
        <w:ind w:left="426" w:hanging="426"/>
        <w:rPr>
          <w:rFonts w:eastAsiaTheme="minorHAnsi"/>
        </w:rPr>
      </w:pPr>
      <w:r w:rsidRPr="00E46F5D">
        <w:rPr>
          <w:rFonts w:eastAsiaTheme="minorHAnsi"/>
        </w:rPr>
        <w:t xml:space="preserve">(f) </w:t>
      </w:r>
      <w:r>
        <w:rPr>
          <w:rFonts w:eastAsiaTheme="minorHAnsi"/>
        </w:rPr>
        <w:tab/>
      </w:r>
      <w:r w:rsidRPr="00E46F5D">
        <w:rPr>
          <w:rFonts w:eastAsiaTheme="minorHAnsi"/>
        </w:rPr>
        <w:t>on the basis of paragraphs (a) to (e), make the decision, and</w:t>
      </w:r>
    </w:p>
    <w:p w14:paraId="68561CE5" w14:textId="64BED70F" w:rsidR="001372B2" w:rsidRPr="001372B2" w:rsidRDefault="001372B2" w:rsidP="001372B2">
      <w:pPr>
        <w:spacing w:before="0"/>
        <w:ind w:left="426" w:hanging="426"/>
        <w:rPr>
          <w:rFonts w:eastAsiaTheme="minorHAnsi"/>
        </w:rPr>
      </w:pPr>
      <w:r w:rsidRPr="00E46F5D">
        <w:rPr>
          <w:rFonts w:eastAsiaTheme="minorHAnsi"/>
        </w:rPr>
        <w:t xml:space="preserve">(g) </w:t>
      </w:r>
      <w:r>
        <w:rPr>
          <w:rFonts w:eastAsiaTheme="minorHAnsi"/>
        </w:rPr>
        <w:tab/>
      </w:r>
      <w:r w:rsidRPr="00E46F5D">
        <w:rPr>
          <w:rFonts w:eastAsiaTheme="minorHAnsi"/>
        </w:rPr>
        <w:t xml:space="preserve">communicate the decision in whatever way the person can </w:t>
      </w:r>
      <w:r w:rsidRPr="00EA30A0">
        <w:rPr>
          <w:rFonts w:eastAsiaTheme="minorHAnsi"/>
        </w:rPr>
        <w:t>(</w:t>
      </w:r>
      <w:r w:rsidRPr="002E6B25">
        <w:rPr>
          <w:rFonts w:eastAsiaTheme="minorHAnsi"/>
        </w:rPr>
        <w:t>s.7</w:t>
      </w:r>
      <w:r w:rsidRPr="00E46F5D">
        <w:rPr>
          <w:rFonts w:eastAsiaTheme="minorHAnsi"/>
          <w:i/>
        </w:rPr>
        <w:t xml:space="preserve"> Mental Health Act </w:t>
      </w:r>
      <w:r w:rsidRPr="00907AF9">
        <w:rPr>
          <w:rFonts w:eastAsiaTheme="minorHAnsi"/>
          <w:iCs/>
        </w:rPr>
        <w:t>2016</w:t>
      </w:r>
      <w:r w:rsidRPr="00E46F5D">
        <w:rPr>
          <w:rFonts w:eastAsiaTheme="minorHAnsi"/>
        </w:rPr>
        <w:t>).</w:t>
      </w:r>
    </w:p>
    <w:p w14:paraId="4A9F656B" w14:textId="77777777" w:rsidR="001372B2" w:rsidRDefault="001372B2" w:rsidP="001372B2">
      <w:pPr>
        <w:pStyle w:val="Heading5"/>
      </w:pPr>
      <w:r w:rsidRPr="003D4C97">
        <w:t>Identifying information</w:t>
      </w:r>
      <w:r>
        <w:t xml:space="preserve"> </w:t>
      </w:r>
    </w:p>
    <w:p w14:paraId="600286BF" w14:textId="77777777" w:rsidR="001372B2" w:rsidRDefault="001372B2" w:rsidP="001372B2">
      <w:pPr>
        <w:rPr>
          <w:rFonts w:cs="Arial"/>
        </w:rPr>
      </w:pPr>
      <w:r>
        <w:rPr>
          <w:rFonts w:cs="Arial"/>
        </w:rPr>
        <w:lastRenderedPageBreak/>
        <w:t>Personal health information that identifies the person. At CHS this information is the person’s full name, date of birth and medical record number.</w:t>
      </w:r>
    </w:p>
    <w:p w14:paraId="5C1C55B0" w14:textId="77777777" w:rsidR="001372B2" w:rsidRDefault="001372B2" w:rsidP="001372B2">
      <w:pPr>
        <w:pStyle w:val="Heading5"/>
        <w:rPr>
          <w:rFonts w:cs="Arial"/>
        </w:rPr>
      </w:pPr>
      <w:r w:rsidRPr="008E72E6">
        <w:t>Nominated person</w:t>
      </w:r>
      <w:r>
        <w:rPr>
          <w:rFonts w:cs="Arial"/>
        </w:rPr>
        <w:t xml:space="preserve"> </w:t>
      </w:r>
    </w:p>
    <w:p w14:paraId="46101B14" w14:textId="77777777" w:rsidR="001372B2" w:rsidRPr="008E72E6" w:rsidRDefault="001372B2" w:rsidP="001372B2">
      <w:pPr>
        <w:pStyle w:val="BodyCopy"/>
      </w:pPr>
      <w:r w:rsidRPr="6E0F5BD3">
        <w:t xml:space="preserve">A second person appointed by a first person (patient/consumer) with a mental disorder or mental illness, when they have decision making capacity.  The second person will help the first person make decisions when they are not able to make decisions for themselves, to ensure their interests are respected if they require treatment, care or support for a mental illness or mental disorder. Examples of people who can be a nominated person are a close relative, close friend, a </w:t>
      </w:r>
      <w:proofErr w:type="spellStart"/>
      <w:r w:rsidRPr="6E0F5BD3">
        <w:t>carer</w:t>
      </w:r>
      <w:proofErr w:type="spellEnd"/>
      <w:r w:rsidRPr="6E0F5BD3">
        <w:t>, or the person’s neighbour.</w:t>
      </w:r>
    </w:p>
    <w:p w14:paraId="52D125AF" w14:textId="77777777" w:rsidR="001372B2" w:rsidRDefault="001372B2" w:rsidP="001372B2">
      <w:pPr>
        <w:pStyle w:val="Heading5"/>
      </w:pPr>
      <w:r w:rsidRPr="003D4C97">
        <w:t>Personal health information</w:t>
      </w:r>
      <w:r>
        <w:t xml:space="preserve"> </w:t>
      </w:r>
    </w:p>
    <w:p w14:paraId="3C9F7A60" w14:textId="77777777" w:rsidR="001372B2" w:rsidRDefault="001372B2" w:rsidP="001372B2">
      <w:pPr>
        <w:pStyle w:val="BodyCopy"/>
        <w:spacing w:after="0"/>
      </w:pPr>
      <w:r>
        <w:t>P</w:t>
      </w:r>
      <w:r w:rsidRPr="001E54E3">
        <w:t>ersonal health information, of a consumer, means any personal information, whether or not recorded in a health record—</w:t>
      </w:r>
    </w:p>
    <w:p w14:paraId="4D267982" w14:textId="77777777" w:rsidR="001372B2" w:rsidRPr="001372B2" w:rsidRDefault="001372B2" w:rsidP="001372B2">
      <w:pPr>
        <w:pStyle w:val="BodyCopy"/>
        <w:spacing w:before="0" w:after="0"/>
      </w:pPr>
      <w:r w:rsidRPr="001372B2">
        <w:t>(a) relating to the health, an illness or a disability of the consumer; or</w:t>
      </w:r>
    </w:p>
    <w:p w14:paraId="40B73361" w14:textId="77777777" w:rsidR="00867A83" w:rsidRDefault="001372B2" w:rsidP="00867A83">
      <w:pPr>
        <w:pStyle w:val="BodyCopy"/>
        <w:spacing w:before="0"/>
        <w:rPr>
          <w:lang w:eastAsia="en-US"/>
        </w:rPr>
      </w:pPr>
      <w:r w:rsidRPr="001372B2">
        <w:rPr>
          <w:lang w:eastAsia="en-US"/>
        </w:rPr>
        <w:t>(b) collected by a health service provider in relation to the health, an illness or a disability of the consumer (HRPA 1997, pg67)</w:t>
      </w:r>
    </w:p>
    <w:p w14:paraId="06E553CC" w14:textId="168D2AFF" w:rsidR="001372B2" w:rsidRPr="003D4C97" w:rsidRDefault="001372B2" w:rsidP="00867A83">
      <w:pPr>
        <w:pStyle w:val="Heading5"/>
      </w:pPr>
      <w:r w:rsidRPr="003D4C97">
        <w:t>Privacy</w:t>
      </w:r>
    </w:p>
    <w:p w14:paraId="26CC5DAD" w14:textId="77777777" w:rsidR="001372B2" w:rsidRDefault="001372B2" w:rsidP="001372B2">
      <w:pPr>
        <w:rPr>
          <w:rFonts w:cs="Arial"/>
          <w:b/>
        </w:rPr>
      </w:pPr>
      <w:r>
        <w:rPr>
          <w:rFonts w:cs="Arial"/>
        </w:rPr>
        <w:t>For the purpose of this policy ‘privacy’ refers to the right of an individual to have their personal health information safeguarded from loss, misuse and unauthorised disclosure in order to keep private an individual’s personal health information.</w:t>
      </w:r>
    </w:p>
    <w:p w14:paraId="71AE3C67" w14:textId="77777777" w:rsidR="001372B2" w:rsidRDefault="001372B2" w:rsidP="001372B2">
      <w:pPr>
        <w:pStyle w:val="Heading5"/>
      </w:pPr>
      <w:r>
        <w:t>Privacy breach</w:t>
      </w:r>
    </w:p>
    <w:p w14:paraId="4450322E" w14:textId="77777777" w:rsidR="001372B2" w:rsidRDefault="001372B2" w:rsidP="001372B2">
      <w:pPr>
        <w:rPr>
          <w:rFonts w:cs="Arial"/>
          <w:bCs/>
        </w:rPr>
      </w:pPr>
      <w:r>
        <w:rPr>
          <w:rFonts w:cs="Arial"/>
          <w:bCs/>
        </w:rPr>
        <w:t xml:space="preserve">Unauthorised access to, use or disclosure of a patient’s personal health information constitutes a privacy breach.  </w:t>
      </w:r>
      <w:bookmarkStart w:id="24" w:name="_Hlk180741016"/>
      <w:r w:rsidRPr="00D74B5C">
        <w:rPr>
          <w:rFonts w:cs="Arial"/>
          <w:bCs/>
        </w:rPr>
        <w:t>Depending on the gravity of the privacy breach there may be an investigation and disciplinary action in accordance with the relevant Enterprise Agreement.</w:t>
      </w:r>
      <w:bookmarkEnd w:id="24"/>
    </w:p>
    <w:p w14:paraId="04D3815D" w14:textId="77777777" w:rsidR="001372B2" w:rsidRDefault="001372B2" w:rsidP="001372B2">
      <w:pPr>
        <w:rPr>
          <w:rFonts w:cs="Arial"/>
          <w:bCs/>
        </w:rPr>
      </w:pPr>
      <w:r>
        <w:rPr>
          <w:rFonts w:cs="Arial"/>
          <w:bCs/>
        </w:rPr>
        <w:t>Privacy breaches include (but are not limited to):</w:t>
      </w:r>
    </w:p>
    <w:p w14:paraId="41168E0C" w14:textId="77777777" w:rsidR="001372B2" w:rsidRPr="001372B2" w:rsidRDefault="001372B2" w:rsidP="001372B2">
      <w:pPr>
        <w:pStyle w:val="ListBullet"/>
        <w:ind w:left="426" w:hanging="426"/>
        <w:rPr>
          <w:rFonts w:ascii="Arial" w:hAnsi="Arial" w:cs="Arial"/>
        </w:rPr>
      </w:pPr>
      <w:r w:rsidRPr="001372B2">
        <w:rPr>
          <w:rFonts w:ascii="Arial" w:hAnsi="Arial" w:cs="Arial"/>
        </w:rPr>
        <w:t>accessing your own, family or friend’s personal health information</w:t>
      </w:r>
    </w:p>
    <w:p w14:paraId="19544438" w14:textId="77777777" w:rsidR="001372B2" w:rsidRPr="001372B2" w:rsidRDefault="001372B2" w:rsidP="001372B2">
      <w:pPr>
        <w:pStyle w:val="ListBullet"/>
        <w:ind w:left="426" w:hanging="426"/>
        <w:rPr>
          <w:rFonts w:ascii="Arial" w:hAnsi="Arial" w:cs="Arial"/>
        </w:rPr>
      </w:pPr>
      <w:r w:rsidRPr="001372B2">
        <w:rPr>
          <w:rFonts w:ascii="Arial" w:hAnsi="Arial" w:cs="Arial"/>
        </w:rPr>
        <w:t>disclosing personal health information about a patient to the public – this includes discussing identifying information about a patient in a public space such as hallway, café  or stairwell</w:t>
      </w:r>
    </w:p>
    <w:p w14:paraId="50C9D45C" w14:textId="77777777" w:rsidR="001372B2" w:rsidRPr="001372B2" w:rsidRDefault="001372B2" w:rsidP="001372B2">
      <w:pPr>
        <w:pStyle w:val="ListBullet"/>
        <w:ind w:left="426" w:hanging="426"/>
        <w:rPr>
          <w:rFonts w:ascii="Arial" w:hAnsi="Arial" w:cs="Arial"/>
        </w:rPr>
      </w:pPr>
      <w:r w:rsidRPr="001372B2">
        <w:rPr>
          <w:rFonts w:ascii="Arial" w:hAnsi="Arial" w:cs="Arial"/>
        </w:rPr>
        <w:t>discussing consumers who are also CHS staff members or have a public profile/of public interest with CHS staff not involved in their care/treatment</w:t>
      </w:r>
    </w:p>
    <w:p w14:paraId="69E4BA37" w14:textId="77777777" w:rsidR="001372B2" w:rsidRPr="001372B2" w:rsidRDefault="001372B2" w:rsidP="001372B2">
      <w:pPr>
        <w:pStyle w:val="ListBullet"/>
        <w:spacing w:after="240"/>
        <w:ind w:left="426" w:hanging="426"/>
        <w:rPr>
          <w:rFonts w:ascii="Arial" w:hAnsi="Arial" w:cs="Arial"/>
        </w:rPr>
      </w:pPr>
      <w:r w:rsidRPr="001372B2">
        <w:rPr>
          <w:rFonts w:ascii="Arial" w:hAnsi="Arial" w:cs="Arial"/>
        </w:rPr>
        <w:t xml:space="preserve">disclosing the identity of a consumer who is being treated as anonymous. </w:t>
      </w:r>
    </w:p>
    <w:p w14:paraId="5F6BFDD1" w14:textId="77777777" w:rsidR="001372B2" w:rsidRDefault="001372B2" w:rsidP="001372B2">
      <w:pPr>
        <w:pStyle w:val="Heading5"/>
      </w:pPr>
      <w:r>
        <w:t>Staff</w:t>
      </w:r>
    </w:p>
    <w:p w14:paraId="4CF51B35" w14:textId="77777777" w:rsidR="001372B2" w:rsidRPr="00E55BC1" w:rsidRDefault="001372B2" w:rsidP="001372B2">
      <w:pPr>
        <w:rPr>
          <w:rFonts w:cs="Arial"/>
        </w:rPr>
      </w:pPr>
      <w:r>
        <w:rPr>
          <w:rFonts w:cs="Arial"/>
        </w:rPr>
        <w:t>Refers to any person providing services to, or on behalf of CHS, including employees, contractors, volunteers, and students (unless otherwise specified in the procedure).</w:t>
      </w:r>
    </w:p>
    <w:p w14:paraId="107A215D" w14:textId="77777777" w:rsidR="001372B2" w:rsidRDefault="001372B2" w:rsidP="001372B2">
      <w:pPr>
        <w:pStyle w:val="Heading5"/>
      </w:pPr>
      <w:r w:rsidRPr="003D4C97">
        <w:t>Treating team</w:t>
      </w:r>
      <w:r>
        <w:t xml:space="preserve"> </w:t>
      </w:r>
    </w:p>
    <w:p w14:paraId="385EB4F1" w14:textId="77777777" w:rsidR="001372B2" w:rsidRPr="00964FE2" w:rsidRDefault="001372B2" w:rsidP="001372B2">
      <w:pPr>
        <w:rPr>
          <w:rFonts w:cs="Arial"/>
          <w:lang w:val="en-US"/>
        </w:rPr>
      </w:pPr>
      <w:r>
        <w:rPr>
          <w:rFonts w:cs="Arial"/>
          <w:lang w:val="en-US"/>
        </w:rPr>
        <w:lastRenderedPageBreak/>
        <w:t>I</w:t>
      </w:r>
      <w:r w:rsidRPr="00964FE2">
        <w:rPr>
          <w:rFonts w:cs="Arial"/>
          <w:lang w:val="en-US"/>
        </w:rPr>
        <w:t>n relation to a consumer, means health service providers involved in diagnosis, care or treatment for the purpose of improving or maintaining the consumer’s health for a particular episode of care, and includes-</w:t>
      </w:r>
    </w:p>
    <w:p w14:paraId="24505852" w14:textId="77777777" w:rsidR="001372B2" w:rsidRPr="00964FE2" w:rsidRDefault="001372B2" w:rsidP="001372B2">
      <w:pPr>
        <w:ind w:left="567" w:hanging="540"/>
        <w:rPr>
          <w:rFonts w:cs="Arial"/>
          <w:lang w:val="en-GB"/>
        </w:rPr>
      </w:pPr>
      <w:r w:rsidRPr="00964FE2">
        <w:rPr>
          <w:rFonts w:cs="Arial"/>
          <w:lang w:val="en-GB"/>
        </w:rPr>
        <w:t>(a)</w:t>
      </w:r>
      <w:r>
        <w:rPr>
          <w:rFonts w:cs="Arial"/>
          <w:lang w:val="en-GB"/>
        </w:rPr>
        <w:tab/>
      </w:r>
      <w:r w:rsidRPr="00964FE2">
        <w:rPr>
          <w:rFonts w:cs="Arial"/>
          <w:lang w:val="en-GB"/>
        </w:rPr>
        <w:t>If the person named another health service provider as his or her current treating practitioner</w:t>
      </w:r>
      <w:r>
        <w:rPr>
          <w:rFonts w:cs="Arial"/>
          <w:lang w:val="en-GB"/>
        </w:rPr>
        <w:t xml:space="preserve"> </w:t>
      </w:r>
      <w:r w:rsidRPr="00964FE2">
        <w:rPr>
          <w:rFonts w:cs="Arial"/>
          <w:lang w:val="en-GB"/>
        </w:rPr>
        <w:t>-</w:t>
      </w:r>
      <w:r>
        <w:rPr>
          <w:rFonts w:cs="Arial"/>
          <w:lang w:val="en-GB"/>
        </w:rPr>
        <w:t xml:space="preserve"> </w:t>
      </w:r>
      <w:r w:rsidRPr="00964FE2">
        <w:rPr>
          <w:rFonts w:cs="Arial"/>
          <w:lang w:val="en-GB"/>
        </w:rPr>
        <w:t>that other health service provider; and</w:t>
      </w:r>
    </w:p>
    <w:p w14:paraId="3959024E" w14:textId="77777777" w:rsidR="001372B2" w:rsidRDefault="001372B2" w:rsidP="001372B2">
      <w:pPr>
        <w:tabs>
          <w:tab w:val="left" w:pos="567"/>
        </w:tabs>
        <w:ind w:left="567" w:hanging="567"/>
        <w:rPr>
          <w:rFonts w:cs="Arial"/>
          <w:lang w:val="en-GB"/>
        </w:rPr>
      </w:pPr>
      <w:r w:rsidRPr="00964FE2">
        <w:rPr>
          <w:rFonts w:cs="Arial"/>
          <w:lang w:val="en-GB"/>
        </w:rPr>
        <w:t>(b)</w:t>
      </w:r>
      <w:r>
        <w:rPr>
          <w:rFonts w:cs="Arial"/>
          <w:lang w:val="en-GB"/>
        </w:rPr>
        <w:tab/>
      </w:r>
      <w:r w:rsidRPr="00964FE2">
        <w:rPr>
          <w:rFonts w:cs="Arial"/>
          <w:lang w:val="en-GB"/>
        </w:rPr>
        <w:t>If another health service provider referred the person to the treating team for that episode of care</w:t>
      </w:r>
      <w:r>
        <w:rPr>
          <w:rFonts w:cs="Arial"/>
          <w:lang w:val="en-GB"/>
        </w:rPr>
        <w:t xml:space="preserve"> </w:t>
      </w:r>
      <w:r w:rsidRPr="00964FE2">
        <w:rPr>
          <w:rFonts w:cs="Arial"/>
          <w:lang w:val="en-GB"/>
        </w:rPr>
        <w:t>-</w:t>
      </w:r>
      <w:r>
        <w:rPr>
          <w:rFonts w:cs="Arial"/>
          <w:lang w:val="en-GB"/>
        </w:rPr>
        <w:t xml:space="preserve"> </w:t>
      </w:r>
      <w:r w:rsidRPr="00964FE2">
        <w:rPr>
          <w:rFonts w:cs="Arial"/>
          <w:lang w:val="en-GB"/>
        </w:rPr>
        <w:t>that other health service provider</w:t>
      </w:r>
      <w:r>
        <w:rPr>
          <w:rFonts w:cs="Arial"/>
          <w:lang w:val="en-GB"/>
        </w:rPr>
        <w:t>.</w:t>
      </w:r>
    </w:p>
    <w:p w14:paraId="0CF3CDD2" w14:textId="3AA9753C" w:rsidR="00867A83" w:rsidRPr="00867A83" w:rsidRDefault="00867A83" w:rsidP="00867A83">
      <w:pPr>
        <w:pStyle w:val="BodyCopy"/>
        <w:rPr>
          <w:iCs w:val="0"/>
          <w:color w:val="auto"/>
          <w:u w:val="single"/>
        </w:rPr>
      </w:pPr>
      <w:hyperlink w:anchor="_top" w:history="1">
        <w:r w:rsidRPr="00481A6C">
          <w:rPr>
            <w:rStyle w:val="Hyperlink"/>
            <w:iCs w:val="0"/>
          </w:rPr>
          <w:t>Back to Contents</w:t>
        </w:r>
      </w:hyperlink>
    </w:p>
    <w:p w14:paraId="406C2633" w14:textId="1309286E" w:rsidR="001372B2" w:rsidRDefault="001372B2" w:rsidP="001372B2">
      <w:pPr>
        <w:pStyle w:val="Heading4"/>
        <w:rPr>
          <w:lang w:val="en-GB"/>
        </w:rPr>
      </w:pPr>
      <w:bookmarkStart w:id="25" w:name="_Toc208493850"/>
      <w:r>
        <w:rPr>
          <w:lang w:val="en-GB"/>
        </w:rPr>
        <w:t>References</w:t>
      </w:r>
      <w:bookmarkEnd w:id="25"/>
      <w:r>
        <w:rPr>
          <w:lang w:val="en-GB"/>
        </w:rPr>
        <w:t xml:space="preserve"> </w:t>
      </w:r>
    </w:p>
    <w:p w14:paraId="542DF0C6" w14:textId="77777777" w:rsidR="001372B2" w:rsidRDefault="001372B2" w:rsidP="001372B2">
      <w:pPr>
        <w:pStyle w:val="ListParagraph"/>
        <w:numPr>
          <w:ilvl w:val="0"/>
          <w:numId w:val="30"/>
        </w:numPr>
        <w:spacing w:before="0" w:after="0" w:line="240" w:lineRule="auto"/>
        <w:ind w:left="426" w:hanging="426"/>
      </w:pPr>
      <w:r>
        <w:t xml:space="preserve">Government of New South Wales, NSW Health. Privacy Manual for Health Information, 2015. Accessed at: </w:t>
      </w:r>
      <w:hyperlink r:id="rId13" w:history="1">
        <w:r w:rsidRPr="005D48E6">
          <w:rPr>
            <w:rStyle w:val="Hyperlink"/>
          </w:rPr>
          <w:t>https://www.health.nsw.gov.au/policies/manuals/pages/privacy-manual-for-health-information.aspx</w:t>
        </w:r>
      </w:hyperlink>
      <w:r>
        <w:t xml:space="preserve"> Accessed on: 09/01/2019.</w:t>
      </w:r>
    </w:p>
    <w:p w14:paraId="017AB027" w14:textId="77777777" w:rsidR="001372B2" w:rsidRDefault="001372B2" w:rsidP="001372B2">
      <w:pPr>
        <w:pStyle w:val="ListParagraph"/>
        <w:numPr>
          <w:ilvl w:val="0"/>
          <w:numId w:val="30"/>
        </w:numPr>
        <w:spacing w:before="0" w:after="0" w:line="240" w:lineRule="auto"/>
        <w:ind w:left="426" w:hanging="426"/>
      </w:pPr>
      <w:r>
        <w:t>Government of South Australia, SA Health. Privacy Policy Directive, 2017. Accessed at:</w:t>
      </w:r>
      <w:r w:rsidRPr="00B77BF0">
        <w:t xml:space="preserve"> </w:t>
      </w:r>
      <w:hyperlink r:id="rId14" w:history="1">
        <w:r w:rsidRPr="005D48E6">
          <w:rPr>
            <w:rStyle w:val="Hyperlink"/>
          </w:rPr>
          <w:t>https://www.sahealth.sa.gov.au/wps/wcm/connect/60b8550041526f138c0d8ee8f09fe17d/Directive_Privacy_30052017.pdf?MOD=AJPERES&amp;CACHEID=ROOTWORKSPACE-60b8550041526f138c0d8ee8f09fe17d-lNmOOny</w:t>
        </w:r>
      </w:hyperlink>
      <w:r>
        <w:t xml:space="preserve"> Accessed on: 09/01/2019.</w:t>
      </w:r>
    </w:p>
    <w:p w14:paraId="5AC481F0" w14:textId="77777777" w:rsidR="001372B2" w:rsidRDefault="001372B2" w:rsidP="001372B2">
      <w:pPr>
        <w:pStyle w:val="ListParagraph"/>
        <w:numPr>
          <w:ilvl w:val="0"/>
          <w:numId w:val="30"/>
        </w:numPr>
        <w:spacing w:before="0" w:after="0" w:line="240" w:lineRule="auto"/>
        <w:ind w:left="426" w:hanging="426"/>
      </w:pPr>
      <w:r>
        <w:t xml:space="preserve">Government of Western Australia, WA Health. WA Health System Privacy Statement, 2022.  Accessed at: </w:t>
      </w:r>
      <w:hyperlink r:id="rId15" w:history="1">
        <w:r w:rsidRPr="008D4C8D">
          <w:t xml:space="preserve"> </w:t>
        </w:r>
        <w:hyperlink r:id="rId16" w:history="1">
          <w:r>
            <w:rPr>
              <w:rStyle w:val="Hyperlink"/>
            </w:rPr>
            <w:t>WA health system privacy statement</w:t>
          </w:r>
        </w:hyperlink>
      </w:hyperlink>
      <w:r>
        <w:t xml:space="preserve"> Accessed on: 06/08/2024.</w:t>
      </w:r>
    </w:p>
    <w:p w14:paraId="3FB9AFC0" w14:textId="77777777" w:rsidR="001372B2" w:rsidRDefault="001372B2" w:rsidP="001372B2">
      <w:pPr>
        <w:pStyle w:val="ListParagraph"/>
        <w:numPr>
          <w:ilvl w:val="0"/>
          <w:numId w:val="30"/>
        </w:numPr>
        <w:spacing w:before="0" w:after="0" w:line="240" w:lineRule="auto"/>
        <w:ind w:left="426" w:hanging="426"/>
      </w:pPr>
      <w:r>
        <w:t xml:space="preserve">ACT Legislation Health Records (Privacy and Access) Act 1997, effective 01/04/2016.Accessed at: </w:t>
      </w:r>
      <w:hyperlink r:id="rId17" w:history="1">
        <w:r w:rsidRPr="005D48E6">
          <w:rPr>
            <w:rStyle w:val="Hyperlink"/>
          </w:rPr>
          <w:t>https://www.legislation.act.gov.au/a/1997-125/</w:t>
        </w:r>
      </w:hyperlink>
      <w:r>
        <w:t xml:space="preserve"> Accessed on 06/08/2024.</w:t>
      </w:r>
    </w:p>
    <w:p w14:paraId="1ADA3CAE" w14:textId="77777777" w:rsidR="00867A83" w:rsidRPr="001A2D47" w:rsidRDefault="00867A83" w:rsidP="00867A83">
      <w:pPr>
        <w:pStyle w:val="BodyCopy"/>
        <w:rPr>
          <w:iCs w:val="0"/>
          <w:color w:val="auto"/>
          <w:u w:val="single"/>
        </w:rPr>
      </w:pPr>
      <w:hyperlink w:anchor="_top" w:history="1">
        <w:r w:rsidRPr="00481A6C">
          <w:rPr>
            <w:rStyle w:val="Hyperlink"/>
            <w:iCs w:val="0"/>
          </w:rPr>
          <w:t>Back to Contents</w:t>
        </w:r>
      </w:hyperlink>
    </w:p>
    <w:p w14:paraId="058260B5" w14:textId="77777777" w:rsidR="003677A8" w:rsidRDefault="003677A8" w:rsidP="001B1D4D">
      <w:pPr>
        <w:pStyle w:val="Heading4"/>
      </w:pPr>
      <w:bookmarkStart w:id="26" w:name="_Toc208493851"/>
      <w:r>
        <w:t>Search terms</w:t>
      </w:r>
      <w:bookmarkEnd w:id="26"/>
    </w:p>
    <w:p w14:paraId="74E9F11F" w14:textId="77777777" w:rsidR="001372B2" w:rsidRDefault="001372B2" w:rsidP="001372B2">
      <w:pPr>
        <w:rPr>
          <w:rFonts w:cs="Calibri,Bold"/>
        </w:rPr>
      </w:pPr>
      <w:r w:rsidRPr="6E0F5BD3">
        <w:rPr>
          <w:rFonts w:cs="Calibri,Bold"/>
        </w:rPr>
        <w:t xml:space="preserve">Privacy, PHI, Personal, health, information, consumer, person, individual, confidentiality, responsibility, legislation, law, legal, anonymous, records, access, Act </w:t>
      </w:r>
    </w:p>
    <w:p w14:paraId="5F472765" w14:textId="4BC471DD" w:rsidR="00867A83" w:rsidRPr="00867A83" w:rsidRDefault="00867A83" w:rsidP="00867A83">
      <w:pPr>
        <w:pStyle w:val="BodyCopy"/>
        <w:rPr>
          <w:iCs w:val="0"/>
          <w:color w:val="auto"/>
          <w:u w:val="single"/>
        </w:rPr>
      </w:pPr>
      <w:hyperlink w:anchor="_top" w:history="1">
        <w:r w:rsidRPr="00481A6C">
          <w:rPr>
            <w:rStyle w:val="Hyperlink"/>
            <w:iCs w:val="0"/>
          </w:rPr>
          <w:t>Back to Contents</w:t>
        </w:r>
      </w:hyperlink>
    </w:p>
    <w:p w14:paraId="16B22962" w14:textId="77777777" w:rsidR="003677A8" w:rsidRDefault="003677A8" w:rsidP="001B1D4D">
      <w:pPr>
        <w:pStyle w:val="Heading4"/>
      </w:pPr>
      <w:bookmarkStart w:id="27" w:name="_Toc208493852"/>
      <w:r>
        <w:t>Attachments</w:t>
      </w:r>
      <w:bookmarkEnd w:id="27"/>
    </w:p>
    <w:p w14:paraId="6EF010B6" w14:textId="77777777" w:rsidR="001372B2" w:rsidRDefault="001372B2" w:rsidP="001372B2">
      <w:pPr>
        <w:jc w:val="both"/>
        <w:rPr>
          <w:rFonts w:cs="Arial"/>
        </w:rPr>
      </w:pPr>
      <w:bookmarkStart w:id="28" w:name="_Hlk172617781"/>
      <w:r w:rsidRPr="00F328AF">
        <w:rPr>
          <w:rFonts w:cs="Arial"/>
        </w:rPr>
        <w:t xml:space="preserve">Attachment </w:t>
      </w:r>
      <w:r>
        <w:rPr>
          <w:rFonts w:cs="Arial"/>
        </w:rPr>
        <w:t>1</w:t>
      </w:r>
      <w:r w:rsidRPr="00F328AF">
        <w:rPr>
          <w:rFonts w:cs="Arial"/>
        </w:rPr>
        <w:t xml:space="preserve">: </w:t>
      </w:r>
      <w:r w:rsidRPr="00CE16C1">
        <w:rPr>
          <w:rFonts w:cs="Arial"/>
        </w:rPr>
        <w:t xml:space="preserve">Privacy principles of </w:t>
      </w:r>
      <w:r w:rsidRPr="00E02B5E">
        <w:rPr>
          <w:rFonts w:cs="Arial"/>
          <w:i/>
          <w:iCs/>
        </w:rPr>
        <w:t>Health Records (Privacy and Access) Act</w:t>
      </w:r>
      <w:r w:rsidRPr="00CE16C1">
        <w:rPr>
          <w:rFonts w:cs="Arial"/>
        </w:rPr>
        <w:t xml:space="preserve"> 1997</w:t>
      </w:r>
    </w:p>
    <w:p w14:paraId="4A511070" w14:textId="77777777" w:rsidR="00867A83" w:rsidRDefault="00867A83" w:rsidP="00867A83">
      <w:pPr>
        <w:pStyle w:val="BodyCopy"/>
        <w:rPr>
          <w:rStyle w:val="Hyperlink"/>
          <w:iCs w:val="0"/>
        </w:rPr>
      </w:pPr>
      <w:hyperlink w:anchor="_top" w:history="1">
        <w:r w:rsidRPr="00481A6C">
          <w:rPr>
            <w:rStyle w:val="Hyperlink"/>
            <w:iCs w:val="0"/>
          </w:rPr>
          <w:t>Back to Contents</w:t>
        </w:r>
      </w:hyperlink>
    </w:p>
    <w:p w14:paraId="47AA33E4" w14:textId="77777777" w:rsidR="00444106" w:rsidRDefault="00444106" w:rsidP="00867A83">
      <w:pPr>
        <w:rPr>
          <w:rStyle w:val="Hyperlink"/>
          <w:iCs/>
        </w:rPr>
      </w:pPr>
    </w:p>
    <w:p w14:paraId="71BCA988" w14:textId="77777777" w:rsidR="00444106" w:rsidRPr="00444106" w:rsidRDefault="00444106" w:rsidP="00444106"/>
    <w:p w14:paraId="1559D9F9" w14:textId="77777777" w:rsidR="00444106" w:rsidRPr="00444106" w:rsidRDefault="00444106" w:rsidP="00444106"/>
    <w:p w14:paraId="2C1FF1D6" w14:textId="19EA677B" w:rsidR="00954F7B" w:rsidRPr="00867A83" w:rsidRDefault="00867A83" w:rsidP="00867A83">
      <w:pPr>
        <w:rPr>
          <w:rStyle w:val="Bold"/>
          <w:rFonts w:eastAsia="Times New Roman" w:cs="Arial"/>
          <w:b w:val="0"/>
          <w:u w:val="single"/>
        </w:rPr>
      </w:pPr>
      <w:r w:rsidRPr="00444106">
        <w:br w:type="page"/>
      </w:r>
      <w:r w:rsidR="00954F7B" w:rsidRPr="001B1D4D">
        <w:rPr>
          <w:rStyle w:val="Bold"/>
        </w:rPr>
        <w:lastRenderedPageBreak/>
        <w:t>For Policy Team to complete:</w:t>
      </w:r>
    </w:p>
    <w:tbl>
      <w:tblPr>
        <w:tblStyle w:val="CHSTable"/>
        <w:tblW w:w="0" w:type="auto"/>
        <w:tblLook w:val="0420" w:firstRow="1" w:lastRow="0" w:firstColumn="0" w:lastColumn="0" w:noHBand="0" w:noVBand="1"/>
      </w:tblPr>
      <w:tblGrid>
        <w:gridCol w:w="2263"/>
        <w:gridCol w:w="2833"/>
        <w:gridCol w:w="2549"/>
        <w:gridCol w:w="2549"/>
      </w:tblGrid>
      <w:tr w:rsidR="00954F7B" w14:paraId="21C39A6C" w14:textId="77777777" w:rsidTr="00444106">
        <w:trPr>
          <w:cnfStyle w:val="100000000000" w:firstRow="1" w:lastRow="0" w:firstColumn="0" w:lastColumn="0" w:oddVBand="0" w:evenVBand="0" w:oddHBand="0" w:evenHBand="0" w:firstRowFirstColumn="0" w:firstRowLastColumn="0" w:lastRowFirstColumn="0" w:lastRowLastColumn="0"/>
        </w:trPr>
        <w:tc>
          <w:tcPr>
            <w:tcW w:w="2263" w:type="dxa"/>
          </w:tcPr>
          <w:bookmarkEnd w:id="28"/>
          <w:p w14:paraId="608D6E3D" w14:textId="77777777" w:rsidR="00954F7B" w:rsidRDefault="00954F7B" w:rsidP="00954F7B">
            <w:pPr>
              <w:pStyle w:val="Tableheader"/>
            </w:pPr>
            <w:r>
              <w:t xml:space="preserve">Date </w:t>
            </w:r>
            <w:r w:rsidR="00CC0422">
              <w:t>a</w:t>
            </w:r>
            <w:r>
              <w:t>mended</w:t>
            </w:r>
          </w:p>
        </w:tc>
        <w:tc>
          <w:tcPr>
            <w:tcW w:w="2833" w:type="dxa"/>
          </w:tcPr>
          <w:p w14:paraId="2CCB0FA6" w14:textId="77777777" w:rsidR="00954F7B" w:rsidRDefault="00954F7B" w:rsidP="00954F7B">
            <w:pPr>
              <w:pStyle w:val="Tableheader"/>
            </w:pPr>
            <w:r>
              <w:t xml:space="preserve">Section </w:t>
            </w:r>
            <w:r w:rsidR="00CC0422">
              <w:t>a</w:t>
            </w:r>
            <w:r>
              <w:t>mended</w:t>
            </w:r>
          </w:p>
        </w:tc>
        <w:tc>
          <w:tcPr>
            <w:tcW w:w="2549" w:type="dxa"/>
          </w:tcPr>
          <w:p w14:paraId="052425F4" w14:textId="77777777" w:rsidR="00954F7B" w:rsidRDefault="00954F7B" w:rsidP="00954F7B">
            <w:pPr>
              <w:pStyle w:val="Tableheader"/>
            </w:pPr>
            <w:r>
              <w:t xml:space="preserve">Divisional </w:t>
            </w:r>
            <w:r w:rsidR="00CC0422">
              <w:t>a</w:t>
            </w:r>
            <w:r>
              <w:t>pproval</w:t>
            </w:r>
          </w:p>
        </w:tc>
        <w:tc>
          <w:tcPr>
            <w:tcW w:w="2549" w:type="dxa"/>
          </w:tcPr>
          <w:p w14:paraId="56D0C287" w14:textId="77777777" w:rsidR="00954F7B" w:rsidRDefault="00954F7B" w:rsidP="00954F7B">
            <w:pPr>
              <w:pStyle w:val="Tableheader"/>
            </w:pPr>
            <w:r>
              <w:t xml:space="preserve">Final </w:t>
            </w:r>
            <w:r w:rsidR="00CC0422">
              <w:t>a</w:t>
            </w:r>
            <w:r>
              <w:t>pproval</w:t>
            </w:r>
          </w:p>
        </w:tc>
      </w:tr>
      <w:tr w:rsidR="00954F7B" w14:paraId="497573D3" w14:textId="77777777" w:rsidTr="00444106">
        <w:tc>
          <w:tcPr>
            <w:tcW w:w="2263" w:type="dxa"/>
          </w:tcPr>
          <w:p w14:paraId="6807F1DB" w14:textId="0A02BECC" w:rsidR="00954F7B" w:rsidRPr="00A24D94" w:rsidRDefault="00444106" w:rsidP="00A24D94">
            <w:pPr>
              <w:pStyle w:val="Tablebody"/>
            </w:pPr>
            <w:r>
              <w:t>25/10/2024</w:t>
            </w:r>
          </w:p>
        </w:tc>
        <w:tc>
          <w:tcPr>
            <w:tcW w:w="2833" w:type="dxa"/>
          </w:tcPr>
          <w:p w14:paraId="13D6497C" w14:textId="0BD455A7" w:rsidR="00954F7B" w:rsidRPr="00A24D94" w:rsidRDefault="00444106" w:rsidP="00A24D94">
            <w:pPr>
              <w:pStyle w:val="Tablebody"/>
            </w:pPr>
            <w:r>
              <w:t>New Document Added</w:t>
            </w:r>
          </w:p>
        </w:tc>
        <w:tc>
          <w:tcPr>
            <w:tcW w:w="2549" w:type="dxa"/>
          </w:tcPr>
          <w:p w14:paraId="1ECDD53E" w14:textId="5F5D132C" w:rsidR="00954F7B" w:rsidRPr="00A24D94" w:rsidRDefault="00444106" w:rsidP="00A24D94">
            <w:pPr>
              <w:pStyle w:val="Tablebody"/>
            </w:pPr>
            <w:r>
              <w:t xml:space="preserve">Josephine Smith, </w:t>
            </w:r>
            <w:r w:rsidRPr="00444106">
              <w:t>EBM Strategy and Governance</w:t>
            </w:r>
          </w:p>
        </w:tc>
        <w:tc>
          <w:tcPr>
            <w:tcW w:w="2549" w:type="dxa"/>
          </w:tcPr>
          <w:p w14:paraId="597A7208" w14:textId="71CABEAD" w:rsidR="00954F7B" w:rsidRPr="00A24D94" w:rsidRDefault="00444106" w:rsidP="00A24D94">
            <w:pPr>
              <w:pStyle w:val="Tablebody"/>
            </w:pPr>
            <w:r>
              <w:t>Policy Document Review Panel</w:t>
            </w:r>
          </w:p>
        </w:tc>
      </w:tr>
      <w:tr w:rsidR="00954F7B" w14:paraId="4F8CF67A" w14:textId="77777777" w:rsidTr="00444106">
        <w:tc>
          <w:tcPr>
            <w:tcW w:w="2263" w:type="dxa"/>
          </w:tcPr>
          <w:p w14:paraId="39E9341A" w14:textId="79A7CAFA" w:rsidR="00954F7B" w:rsidRPr="00A24D94" w:rsidRDefault="00E2094B" w:rsidP="00A24D94">
            <w:pPr>
              <w:pStyle w:val="Tablebody"/>
            </w:pPr>
            <w:r>
              <w:t>11 September 2025</w:t>
            </w:r>
          </w:p>
        </w:tc>
        <w:tc>
          <w:tcPr>
            <w:tcW w:w="2833" w:type="dxa"/>
          </w:tcPr>
          <w:p w14:paraId="4280AA1A" w14:textId="404BC6F0" w:rsidR="00954F7B" w:rsidRPr="00A24D94" w:rsidRDefault="00E2094B" w:rsidP="00A24D94">
            <w:pPr>
              <w:pStyle w:val="Tablebody"/>
            </w:pPr>
            <w:r>
              <w:t xml:space="preserve">Amended to include section on </w:t>
            </w:r>
            <w:r w:rsidRPr="00E2094B">
              <w:t>Privacy Breaches</w:t>
            </w:r>
          </w:p>
        </w:tc>
        <w:tc>
          <w:tcPr>
            <w:tcW w:w="2549" w:type="dxa"/>
          </w:tcPr>
          <w:p w14:paraId="5D0A8D6C" w14:textId="0B4B0337" w:rsidR="00954F7B" w:rsidRPr="00A24D94" w:rsidRDefault="00CF48A9" w:rsidP="00A24D94">
            <w:pPr>
              <w:pStyle w:val="Tablebody"/>
            </w:pPr>
            <w:r w:rsidRPr="00CF48A9">
              <w:rPr>
                <w:lang w:val="en-AU"/>
              </w:rPr>
              <w:t>EGM, D</w:t>
            </w:r>
            <w:r>
              <w:rPr>
                <w:lang w:val="en-AU"/>
              </w:rPr>
              <w:t xml:space="preserve">ecision </w:t>
            </w:r>
            <w:r w:rsidRPr="00CF48A9">
              <w:rPr>
                <w:lang w:val="en-AU"/>
              </w:rPr>
              <w:t>S</w:t>
            </w:r>
            <w:r>
              <w:rPr>
                <w:lang w:val="en-AU"/>
              </w:rPr>
              <w:t>upport Unit</w:t>
            </w:r>
            <w:r w:rsidRPr="00CF48A9">
              <w:rPr>
                <w:lang w:val="en-AU"/>
              </w:rPr>
              <w:t>, Jarrad Nuss</w:t>
            </w:r>
          </w:p>
        </w:tc>
        <w:tc>
          <w:tcPr>
            <w:tcW w:w="2549" w:type="dxa"/>
          </w:tcPr>
          <w:p w14:paraId="78E04A3D" w14:textId="43385B08" w:rsidR="00954F7B" w:rsidRPr="00A24D94" w:rsidRDefault="00CF48A9" w:rsidP="00A24D94">
            <w:pPr>
              <w:pStyle w:val="Tablebody"/>
            </w:pPr>
            <w:r>
              <w:t xml:space="preserve">CHS Policy </w:t>
            </w:r>
            <w:proofErr w:type="gramStart"/>
            <w:r>
              <w:t>an</w:t>
            </w:r>
            <w:proofErr w:type="gramEnd"/>
            <w:r>
              <w:t xml:space="preserve"> Consumer Handouts Team</w:t>
            </w:r>
          </w:p>
        </w:tc>
      </w:tr>
    </w:tbl>
    <w:p w14:paraId="6DD88AF2"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0845A15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275763F2" w14:textId="77777777" w:rsidR="00954F7B" w:rsidRDefault="00954F7B" w:rsidP="00F9387A">
            <w:pPr>
              <w:pStyle w:val="Tableheader"/>
            </w:pPr>
            <w:r>
              <w:t xml:space="preserve">Document </w:t>
            </w:r>
            <w:r w:rsidR="00CC0422">
              <w:t>n</w:t>
            </w:r>
            <w:r>
              <w:t>umber</w:t>
            </w:r>
          </w:p>
        </w:tc>
        <w:tc>
          <w:tcPr>
            <w:tcW w:w="7653" w:type="dxa"/>
          </w:tcPr>
          <w:p w14:paraId="5EA20278" w14:textId="77777777" w:rsidR="00954F7B" w:rsidRDefault="00954F7B" w:rsidP="00F9387A">
            <w:pPr>
              <w:pStyle w:val="Tableheader"/>
            </w:pPr>
            <w:r>
              <w:t xml:space="preserve">Document </w:t>
            </w:r>
            <w:r w:rsidR="00CC0422">
              <w:t>n</w:t>
            </w:r>
            <w:r>
              <w:t>ame</w:t>
            </w:r>
          </w:p>
        </w:tc>
      </w:tr>
      <w:tr w:rsidR="00954F7B" w14:paraId="5853A13A" w14:textId="77777777" w:rsidTr="00954F7B">
        <w:tc>
          <w:tcPr>
            <w:tcW w:w="2548" w:type="dxa"/>
          </w:tcPr>
          <w:p w14:paraId="724B6816" w14:textId="4BC54C36" w:rsidR="00954F7B" w:rsidRPr="00A24D94" w:rsidRDefault="00444106" w:rsidP="00A24D94">
            <w:pPr>
              <w:pStyle w:val="Tablebody"/>
            </w:pPr>
            <w:r w:rsidRPr="00444106">
              <w:rPr>
                <w:lang w:val="en-AU"/>
              </w:rPr>
              <w:t>CHS21/579</w:t>
            </w:r>
          </w:p>
        </w:tc>
        <w:tc>
          <w:tcPr>
            <w:tcW w:w="7653" w:type="dxa"/>
          </w:tcPr>
          <w:p w14:paraId="51E4F9E5" w14:textId="12B884A4" w:rsidR="00954F7B" w:rsidRPr="00A24D94" w:rsidRDefault="00444106" w:rsidP="00A24D94">
            <w:pPr>
              <w:pStyle w:val="Tablebody"/>
            </w:pPr>
            <w:r w:rsidRPr="00444106">
              <w:rPr>
                <w:lang w:val="en-AU"/>
              </w:rPr>
              <w:t>Consumer Privacy Policy</w:t>
            </w:r>
          </w:p>
        </w:tc>
      </w:tr>
      <w:tr w:rsidR="00954F7B" w14:paraId="60329F00" w14:textId="77777777" w:rsidTr="00954F7B">
        <w:tc>
          <w:tcPr>
            <w:tcW w:w="2548" w:type="dxa"/>
          </w:tcPr>
          <w:p w14:paraId="1B5D2283" w14:textId="77777777" w:rsidR="00954F7B" w:rsidRPr="00A24D94" w:rsidRDefault="00954F7B" w:rsidP="00A24D94">
            <w:pPr>
              <w:pStyle w:val="Tablebody"/>
            </w:pPr>
          </w:p>
        </w:tc>
        <w:tc>
          <w:tcPr>
            <w:tcW w:w="7653" w:type="dxa"/>
          </w:tcPr>
          <w:p w14:paraId="5F01B967" w14:textId="77777777" w:rsidR="00954F7B" w:rsidRPr="00A24D94" w:rsidRDefault="00954F7B" w:rsidP="00A24D94">
            <w:pPr>
              <w:pStyle w:val="Tablebody"/>
            </w:pPr>
          </w:p>
        </w:tc>
      </w:tr>
    </w:tbl>
    <w:p w14:paraId="110AA323" w14:textId="77777777" w:rsidR="00421D62" w:rsidRPr="001B1D4D" w:rsidRDefault="00421D62" w:rsidP="007C42FE">
      <w:pPr>
        <w:pStyle w:val="Heading3"/>
        <w:rPr>
          <w:rStyle w:val="Bold"/>
        </w:rPr>
      </w:pPr>
      <w:bookmarkStart w:id="29" w:name="_Toc166761028"/>
      <w:bookmarkStart w:id="30" w:name="_Toc166761347"/>
      <w:r w:rsidRPr="001B1D4D">
        <w:rPr>
          <w:rStyle w:val="Bold"/>
        </w:rPr>
        <w:t>Disclaimer</w:t>
      </w:r>
      <w:bookmarkEnd w:id="29"/>
      <w:bookmarkEnd w:id="30"/>
      <w:r w:rsidRPr="001B1D4D">
        <w:rPr>
          <w:rStyle w:val="Bold"/>
        </w:rPr>
        <w:t xml:space="preserve"> </w:t>
      </w:r>
    </w:p>
    <w:p w14:paraId="60212AEA"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4F08A998" w14:textId="77777777" w:rsidTr="0086505E">
        <w:tc>
          <w:tcPr>
            <w:tcW w:w="5529" w:type="dxa"/>
            <w:shd w:val="clear" w:color="auto" w:fill="F4F3EE"/>
            <w:tcMar>
              <w:top w:w="142" w:type="dxa"/>
              <w:left w:w="170" w:type="dxa"/>
              <w:bottom w:w="142" w:type="dxa"/>
              <w:right w:w="170" w:type="dxa"/>
            </w:tcMar>
          </w:tcPr>
          <w:bookmarkStart w:id="31" w:name="_Hlk160027189" w:displacedByCustomXml="next"/>
          <w:sdt>
            <w:sdtPr>
              <w:id w:val="643171884"/>
              <w:placeholder>
                <w:docPart w:val="F4BF836FDBFF4AAD8F9BB70E76251F39"/>
              </w:placeholder>
            </w:sdtPr>
            <w:sdtEndPr/>
            <w:sdtContent>
              <w:p w14:paraId="73782B7F" w14:textId="77777777" w:rsidR="009945C6" w:rsidRPr="00350211" w:rsidRDefault="009945C6" w:rsidP="0086505E">
                <w:pPr>
                  <w:pStyle w:val="Bottomblocktext"/>
                  <w:rPr>
                    <w:b/>
                    <w:bCs w:val="0"/>
                    <w:sz w:val="20"/>
                    <w:szCs w:val="20"/>
                  </w:rPr>
                </w:pPr>
                <w:r>
                  <w:rPr>
                    <w:noProof/>
                    <w:sz w:val="20"/>
                    <w:szCs w:val="20"/>
                  </w:rPr>
                  <w:drawing>
                    <wp:inline distT="0" distB="0" distL="0" distR="0" wp14:anchorId="082C652B" wp14:editId="2A31D041">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8"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42994D4"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2A3F863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A590F87B56564A51B3B59948831643E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52F8E9DFA6D642D78C6642857DBAE60B"/>
            </w:placeholder>
            <w:showingPlcHdr/>
          </w:sdtPr>
          <w:sdtEndPr/>
          <w:sdtContent>
            <w:tc>
              <w:tcPr>
                <w:tcW w:w="4665" w:type="dxa"/>
                <w:shd w:val="clear" w:color="auto" w:fill="F4F3EE"/>
                <w:tcMar>
                  <w:top w:w="142" w:type="dxa"/>
                  <w:left w:w="170" w:type="dxa"/>
                  <w:bottom w:w="142" w:type="dxa"/>
                  <w:right w:w="170" w:type="dxa"/>
                </w:tcMar>
              </w:tcPr>
              <w:p w14:paraId="620D003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40F18D7" wp14:editId="6238D807">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9"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9C48246" wp14:editId="42C68954">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7CD1638"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58F2372" wp14:editId="6F4FB4A3">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1"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FD1C474" wp14:editId="0D6A7E12">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1DA2196" w14:textId="77777777" w:rsidR="009945C6" w:rsidRDefault="009945C6" w:rsidP="0086505E">
                <w:pPr>
                  <w:pStyle w:val="Bottomblocktext"/>
                  <w:rPr>
                    <w:sz w:val="20"/>
                    <w:szCs w:val="20"/>
                  </w:rPr>
                </w:pPr>
                <w:hyperlink r:id="rId22" w:history="1">
                  <w:r w:rsidRPr="00350211">
                    <w:rPr>
                      <w:rStyle w:val="Hyperlink"/>
                      <w:sz w:val="20"/>
                      <w:szCs w:val="20"/>
                    </w:rPr>
                    <w:t>canberrahealthservices.act.gov.au/accessibility</w:t>
                  </w:r>
                </w:hyperlink>
              </w:p>
              <w:p w14:paraId="284736A9" w14:textId="77777777" w:rsidR="009945C6" w:rsidRDefault="009945C6" w:rsidP="0086505E">
                <w:pPr>
                  <w:pStyle w:val="Bottomblocktext"/>
                </w:pPr>
                <w:r>
                  <w:rPr>
                    <w:b/>
                    <w:bCs w:val="0"/>
                    <w:noProof/>
                  </w:rPr>
                  <w:drawing>
                    <wp:inline distT="0" distB="0" distL="0" distR="0" wp14:anchorId="4973298B" wp14:editId="620D8B64">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3"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1"/>
    </w:tbl>
    <w:p w14:paraId="1A5EFF8B" w14:textId="77777777" w:rsidR="009945C6" w:rsidRDefault="009945C6" w:rsidP="009945C6">
      <w:pPr>
        <w:pStyle w:val="BodyCopy"/>
        <w:rPr>
          <w:shd w:val="clear" w:color="auto" w:fill="FFFFFF"/>
        </w:rPr>
      </w:pPr>
    </w:p>
    <w:p w14:paraId="497E2A5F" w14:textId="5A6FCA29" w:rsidR="001372B2" w:rsidRDefault="001372B2">
      <w:pPr>
        <w:rPr>
          <w:rFonts w:eastAsia="Times New Roman" w:cs="Arial"/>
          <w:bCs/>
          <w:iCs/>
          <w:color w:val="000000" w:themeColor="text1"/>
          <w:shd w:val="clear" w:color="auto" w:fill="FFFFFF"/>
        </w:rPr>
      </w:pPr>
      <w:r>
        <w:rPr>
          <w:shd w:val="clear" w:color="auto" w:fill="FFFFFF"/>
        </w:rPr>
        <w:br w:type="page"/>
      </w:r>
    </w:p>
    <w:p w14:paraId="1663E945" w14:textId="5A6FCA29" w:rsidR="001372B2" w:rsidRDefault="001372B2" w:rsidP="001372B2">
      <w:pPr>
        <w:pStyle w:val="Heading4"/>
      </w:pPr>
      <w:bookmarkStart w:id="32" w:name="_Toc178863572"/>
      <w:bookmarkStart w:id="33" w:name="_Toc208493853"/>
      <w:r w:rsidRPr="00F328AF">
        <w:lastRenderedPageBreak/>
        <w:t xml:space="preserve">Attachment </w:t>
      </w:r>
      <w:r>
        <w:t>1</w:t>
      </w:r>
      <w:r w:rsidRPr="00F328AF">
        <w:t xml:space="preserve">: </w:t>
      </w:r>
      <w:r>
        <w:t xml:space="preserve">Privacy principles of </w:t>
      </w:r>
      <w:r>
        <w:rPr>
          <w:i/>
        </w:rPr>
        <w:t xml:space="preserve">Health Records (Privacy and Access) Act </w:t>
      </w:r>
      <w:r w:rsidRPr="00E02B5E">
        <w:t>1997</w:t>
      </w:r>
      <w:r>
        <w:t>.</w:t>
      </w:r>
      <w:bookmarkEnd w:id="32"/>
      <w:bookmarkEnd w:id="33"/>
    </w:p>
    <w:p w14:paraId="0EC35E88" w14:textId="76BB7E37" w:rsidR="001372B2" w:rsidRPr="001372B2" w:rsidRDefault="001372B2" w:rsidP="001372B2">
      <w:pPr>
        <w:rPr>
          <w:rFonts w:cs="Arial"/>
        </w:rPr>
      </w:pPr>
      <w:r>
        <w:rPr>
          <w:rFonts w:cs="Arial"/>
          <w:i/>
          <w:iCs/>
        </w:rPr>
        <w:t xml:space="preserve">Health Records (Privacy and Access) Act </w:t>
      </w:r>
      <w:r>
        <w:rPr>
          <w:rFonts w:cs="Arial"/>
        </w:rPr>
        <w:t>1997 is referred to as HRPA Act below.</w:t>
      </w:r>
    </w:p>
    <w:p w14:paraId="780E357C" w14:textId="77777777" w:rsidR="001372B2" w:rsidRPr="001A691C" w:rsidRDefault="001372B2" w:rsidP="001372B2">
      <w:pPr>
        <w:rPr>
          <w:rFonts w:cs="Arial"/>
          <w:u w:val="single"/>
        </w:rPr>
      </w:pPr>
      <w:r>
        <w:rPr>
          <w:rFonts w:cs="Arial"/>
          <w:u w:val="single"/>
        </w:rPr>
        <w:t>P</w:t>
      </w:r>
      <w:r w:rsidRPr="001A691C">
        <w:rPr>
          <w:rFonts w:cs="Arial"/>
          <w:u w:val="single"/>
        </w:rPr>
        <w:t>rivacy principles</w:t>
      </w:r>
    </w:p>
    <w:p w14:paraId="6F49DA57" w14:textId="5E720D50" w:rsidR="001372B2" w:rsidRDefault="001372B2" w:rsidP="001372B2">
      <w:pPr>
        <w:rPr>
          <w:rFonts w:cs="Arial"/>
        </w:rPr>
      </w:pPr>
      <w:r w:rsidRPr="008827A3">
        <w:rPr>
          <w:rFonts w:cs="Arial"/>
          <w:b/>
        </w:rPr>
        <w:t>PP1:</w:t>
      </w:r>
      <w:r>
        <w:rPr>
          <w:rFonts w:cs="Arial"/>
        </w:rPr>
        <w:t xml:space="preserve"> Manner and purpose of collection of personal health information. The information must be collected by lawful means and for a lawful purpose.  The purpose must be directly related to, and reasonably necessary for CHS’s functions or activities.</w:t>
      </w:r>
    </w:p>
    <w:p w14:paraId="5A339091" w14:textId="2F94118D" w:rsidR="001372B2" w:rsidRDefault="001372B2" w:rsidP="001372B2">
      <w:pPr>
        <w:rPr>
          <w:rFonts w:cs="Arial"/>
        </w:rPr>
      </w:pPr>
      <w:r w:rsidRPr="008827A3">
        <w:rPr>
          <w:rFonts w:cs="Arial"/>
          <w:b/>
        </w:rPr>
        <w:t>PP2:</w:t>
      </w:r>
      <w:r>
        <w:rPr>
          <w:rFonts w:cs="Arial"/>
        </w:rPr>
        <w:t xml:space="preserve"> Purpose of collection of personal health information to be made known to the person it is being collected from.</w:t>
      </w:r>
    </w:p>
    <w:p w14:paraId="7073BF95" w14:textId="48D507AB" w:rsidR="001372B2" w:rsidRDefault="001372B2" w:rsidP="001372B2">
      <w:pPr>
        <w:rPr>
          <w:rFonts w:cs="Arial"/>
        </w:rPr>
      </w:pPr>
      <w:r w:rsidRPr="008827A3">
        <w:rPr>
          <w:rFonts w:cs="Arial"/>
          <w:b/>
        </w:rPr>
        <w:t>PP3:</w:t>
      </w:r>
      <w:r>
        <w:rPr>
          <w:rFonts w:cs="Arial"/>
        </w:rPr>
        <w:t xml:space="preserve"> Solicitation of personal health information. The collector of the personal health information must ensure the information is relevant, up to date and accurate and the collection of the information is not unreasonably intrusive. </w:t>
      </w:r>
    </w:p>
    <w:p w14:paraId="73D55A6F" w14:textId="2FD99279" w:rsidR="001372B2" w:rsidRDefault="001372B2" w:rsidP="001372B2">
      <w:pPr>
        <w:rPr>
          <w:rFonts w:cs="Arial"/>
        </w:rPr>
      </w:pPr>
      <w:r w:rsidRPr="008827A3">
        <w:rPr>
          <w:rFonts w:cs="Arial"/>
          <w:b/>
        </w:rPr>
        <w:t>PP4:</w:t>
      </w:r>
      <w:r>
        <w:rPr>
          <w:rFonts w:cs="Arial"/>
        </w:rPr>
        <w:t xml:space="preserve"> Storage, security and destruction of personal health information.  Organisations that possess or control a health record containing personal health information must ensure the health record is securely housed and protected against loss or misuse, information must be kept only as long as necessary for the purpose (as stated in the HRPA Act) and must be disposed of securely.</w:t>
      </w:r>
    </w:p>
    <w:p w14:paraId="77ACE7CA" w14:textId="57A6AA21" w:rsidR="001372B2" w:rsidRDefault="001372B2" w:rsidP="001372B2">
      <w:pPr>
        <w:rPr>
          <w:rFonts w:cs="Arial"/>
        </w:rPr>
      </w:pPr>
      <w:r w:rsidRPr="008827A3">
        <w:rPr>
          <w:rFonts w:cs="Arial"/>
          <w:b/>
        </w:rPr>
        <w:t>PP5:</w:t>
      </w:r>
      <w:r>
        <w:rPr>
          <w:rFonts w:cs="Arial"/>
        </w:rPr>
        <w:t xml:space="preserve"> Information relating to records kept by record keeper. Organisations that hold personal health information must allow individuals to find out if they hold information about that individual, and if so, what kind of information they hold, what it is used for, and whether and how the individual can access it.</w:t>
      </w:r>
    </w:p>
    <w:p w14:paraId="59F5F860" w14:textId="54122873" w:rsidR="001372B2" w:rsidRDefault="001372B2" w:rsidP="001372B2">
      <w:pPr>
        <w:rPr>
          <w:rFonts w:cs="Arial"/>
        </w:rPr>
      </w:pPr>
      <w:r w:rsidRPr="008827A3">
        <w:rPr>
          <w:rFonts w:cs="Arial"/>
          <w:b/>
        </w:rPr>
        <w:t>PP6:</w:t>
      </w:r>
      <w:r>
        <w:rPr>
          <w:rFonts w:cs="Arial"/>
        </w:rPr>
        <w:t xml:space="preserve"> Access to health records by people other than the consumer. The HRPA Act states who can access an individual’s personal health information.</w:t>
      </w:r>
    </w:p>
    <w:p w14:paraId="44FB3650" w14:textId="3B44A8F2" w:rsidR="001372B2" w:rsidRDefault="001372B2" w:rsidP="001372B2">
      <w:pPr>
        <w:rPr>
          <w:rFonts w:cs="Arial"/>
        </w:rPr>
      </w:pPr>
      <w:r w:rsidRPr="008827A3">
        <w:rPr>
          <w:rFonts w:cs="Arial"/>
          <w:b/>
        </w:rPr>
        <w:t>PP7:</w:t>
      </w:r>
      <w:r>
        <w:rPr>
          <w:rFonts w:cs="Arial"/>
        </w:rPr>
        <w:t xml:space="preserve"> Alteration of health records. Individuals may request that their personal health information be amended to ensure that it is accurate, relevant, up to date, complete and not misleading. No entries in a health record can be deleted, additional information or documentation can be added to clarify or correct health records. Organisations must either make the requested amendments or, attach to the information a statement by the individual of the amendment they sought.</w:t>
      </w:r>
    </w:p>
    <w:p w14:paraId="0A9F0FEA" w14:textId="6F5C1954" w:rsidR="001372B2" w:rsidRDefault="001372B2" w:rsidP="001372B2">
      <w:pPr>
        <w:rPr>
          <w:rFonts w:cs="Arial"/>
        </w:rPr>
      </w:pPr>
      <w:r w:rsidRPr="008827A3">
        <w:rPr>
          <w:rFonts w:cs="Arial"/>
          <w:b/>
        </w:rPr>
        <w:t>PP8:</w:t>
      </w:r>
      <w:r>
        <w:rPr>
          <w:rFonts w:cs="Arial"/>
        </w:rPr>
        <w:t xml:space="preserve"> Record keeper to check accuracy etc of personal health information before use. Before using personal health information, organisations must take reasonable steps to ensure that the personal health information they hold is relevant, up to date, complete and not misleading.</w:t>
      </w:r>
    </w:p>
    <w:p w14:paraId="0B7E3F95" w14:textId="25314CCD" w:rsidR="001372B2" w:rsidRDefault="001372B2" w:rsidP="001372B2">
      <w:pPr>
        <w:rPr>
          <w:rFonts w:cs="Arial"/>
        </w:rPr>
      </w:pPr>
      <w:r w:rsidRPr="008827A3">
        <w:rPr>
          <w:rFonts w:cs="Arial"/>
          <w:b/>
        </w:rPr>
        <w:t>PP9:</w:t>
      </w:r>
      <w:r>
        <w:rPr>
          <w:rFonts w:cs="Arial"/>
        </w:rPr>
        <w:t xml:space="preserve"> Limits on personal health information.  Personal health information can be used for the purpose for which it was collected, or for purposes recognised by the HRPA Act.  These include a directly related purpose, for management, funding, quality of the health service received by the consumer or where there are serious threats to the individual or the public.</w:t>
      </w:r>
    </w:p>
    <w:p w14:paraId="6367E68D" w14:textId="7B5273CC" w:rsidR="001372B2" w:rsidRDefault="001372B2" w:rsidP="001372B2">
      <w:pPr>
        <w:rPr>
          <w:rFonts w:cs="Arial"/>
        </w:rPr>
      </w:pPr>
      <w:r w:rsidRPr="008827A3">
        <w:rPr>
          <w:rFonts w:cs="Arial"/>
          <w:b/>
        </w:rPr>
        <w:lastRenderedPageBreak/>
        <w:t>PP10:</w:t>
      </w:r>
      <w:r>
        <w:rPr>
          <w:rFonts w:cs="Arial"/>
        </w:rPr>
        <w:t xml:space="preserve"> Limits on disclosure of personal health information. The provisions for the disclosure of personal health information include between members of the treating team, the consumer has consented to the disclosure, or the disclosure is within the purpose for which the information was collected.</w:t>
      </w:r>
    </w:p>
    <w:p w14:paraId="5F55621A" w14:textId="543B2049" w:rsidR="001372B2" w:rsidRDefault="001372B2" w:rsidP="001372B2">
      <w:pPr>
        <w:rPr>
          <w:rFonts w:cs="Arial"/>
        </w:rPr>
      </w:pPr>
      <w:r w:rsidRPr="008827A3">
        <w:rPr>
          <w:rFonts w:cs="Arial"/>
          <w:b/>
        </w:rPr>
        <w:t>PP11:</w:t>
      </w:r>
      <w:r>
        <w:rPr>
          <w:rFonts w:cs="Arial"/>
        </w:rPr>
        <w:t xml:space="preserve"> Relocation and closure of health service practice. The health service must take practicable steps to inform the consumers of the health service of the relocation or closure and give the consumer opportunity to transfer their personal health information.</w:t>
      </w:r>
    </w:p>
    <w:p w14:paraId="69A15C21" w14:textId="77777777" w:rsidR="001372B2" w:rsidRPr="00E941C0" w:rsidRDefault="001372B2" w:rsidP="001372B2">
      <w:pPr>
        <w:rPr>
          <w:rFonts w:cs="Arial"/>
        </w:rPr>
      </w:pPr>
      <w:r w:rsidRPr="008827A3">
        <w:rPr>
          <w:rFonts w:cs="Arial"/>
          <w:b/>
        </w:rPr>
        <w:t>PP12:</w:t>
      </w:r>
      <w:r>
        <w:rPr>
          <w:rFonts w:cs="Arial"/>
        </w:rPr>
        <w:t xml:space="preserve"> Consumer or health service provider moves to another health service practice.  The consumer must consent to the sharing of their personal health information. </w:t>
      </w:r>
    </w:p>
    <w:p w14:paraId="22F07AC5" w14:textId="77777777" w:rsidR="00867A83" w:rsidRPr="001A2D47" w:rsidRDefault="00867A83" w:rsidP="00867A83">
      <w:pPr>
        <w:pStyle w:val="BodyCopy"/>
        <w:rPr>
          <w:iCs w:val="0"/>
          <w:color w:val="auto"/>
          <w:u w:val="single"/>
        </w:rPr>
      </w:pPr>
      <w:hyperlink w:anchor="_top" w:history="1">
        <w:r w:rsidRPr="00481A6C">
          <w:rPr>
            <w:rStyle w:val="Hyperlink"/>
            <w:iCs w:val="0"/>
          </w:rPr>
          <w:t>Back to Contents</w:t>
        </w:r>
      </w:hyperlink>
    </w:p>
    <w:p w14:paraId="4A2FEB58" w14:textId="77777777" w:rsidR="00A00B85" w:rsidRPr="0093599C" w:rsidRDefault="00A00B85" w:rsidP="004D27D5">
      <w:pPr>
        <w:pStyle w:val="BodyCopy"/>
        <w:rPr>
          <w:shd w:val="clear" w:color="auto" w:fill="FFFFFF"/>
        </w:rPr>
      </w:pPr>
    </w:p>
    <w:sectPr w:rsidR="00A00B85" w:rsidRPr="0093599C" w:rsidSect="00D05BB6">
      <w:headerReference w:type="default" r:id="rId24"/>
      <w:footerReference w:type="even" r:id="rId25"/>
      <w:footerReference w:type="default" r:id="rId26"/>
      <w:headerReference w:type="first" r:id="rId27"/>
      <w:footerReference w:type="first" r:id="rId28"/>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C35D" w14:textId="77777777" w:rsidR="00631CBE" w:rsidRDefault="00631CBE" w:rsidP="00225769">
      <w:pPr>
        <w:spacing w:after="0" w:line="240" w:lineRule="auto"/>
      </w:pPr>
      <w:r>
        <w:separator/>
      </w:r>
    </w:p>
    <w:p w14:paraId="114DB54F" w14:textId="77777777" w:rsidR="00631CBE" w:rsidRDefault="00631CBE"/>
    <w:p w14:paraId="6D31482D" w14:textId="77777777" w:rsidR="00631CBE" w:rsidRDefault="00631CBE"/>
  </w:endnote>
  <w:endnote w:type="continuationSeparator" w:id="0">
    <w:p w14:paraId="329B40BB" w14:textId="77777777" w:rsidR="00631CBE" w:rsidRDefault="00631CBE" w:rsidP="00225769">
      <w:pPr>
        <w:spacing w:after="0" w:line="240" w:lineRule="auto"/>
      </w:pPr>
      <w:r>
        <w:continuationSeparator/>
      </w:r>
    </w:p>
    <w:p w14:paraId="090F131D" w14:textId="77777777" w:rsidR="00631CBE" w:rsidRDefault="00631CBE"/>
    <w:p w14:paraId="225CF676" w14:textId="77777777" w:rsidR="00631CBE" w:rsidRDefault="0063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67A91874" w14:textId="77777777" w:rsidTr="00F9387A">
      <w:trPr>
        <w:jc w:val="center"/>
      </w:trPr>
      <w:tc>
        <w:tcPr>
          <w:tcW w:w="1515" w:type="dxa"/>
        </w:tcPr>
        <w:p w14:paraId="6149287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4EA2BAA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3DF1C1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31466C0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75AA830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970CE5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0A61441" w14:textId="77777777" w:rsidTr="00F9387A">
      <w:trPr>
        <w:jc w:val="center"/>
      </w:trPr>
      <w:tc>
        <w:tcPr>
          <w:tcW w:w="1515" w:type="dxa"/>
        </w:tcPr>
        <w:p w14:paraId="5D1BF819"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1509CEBF"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344D2BF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0F9B52A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54BEC0E9"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34FB883B"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6E63CCC4"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25F3850" w14:textId="77777777" w:rsidTr="00F9387A">
      <w:trPr>
        <w:jc w:val="center"/>
      </w:trPr>
      <w:tc>
        <w:tcPr>
          <w:tcW w:w="1515" w:type="dxa"/>
        </w:tcPr>
        <w:p w14:paraId="4CE36C8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4BC77CD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F0E13D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A1CB62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5A84470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FA61AC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28F009B" w14:textId="77777777" w:rsidTr="00F9387A">
      <w:trPr>
        <w:jc w:val="center"/>
      </w:trPr>
      <w:tc>
        <w:tcPr>
          <w:tcW w:w="1515" w:type="dxa"/>
        </w:tcPr>
        <w:p w14:paraId="5A0028FB" w14:textId="1359A21A" w:rsidR="00421D62" w:rsidRPr="0093599C" w:rsidRDefault="00444106" w:rsidP="00421D62">
          <w:pPr>
            <w:pStyle w:val="Footer"/>
            <w:jc w:val="center"/>
            <w:rPr>
              <w:rFonts w:cs="Arial"/>
              <w:bCs/>
              <w:iCs/>
              <w:sz w:val="20"/>
              <w:szCs w:val="20"/>
            </w:rPr>
          </w:pPr>
          <w:r>
            <w:rPr>
              <w:bCs/>
              <w:iCs/>
              <w:sz w:val="20"/>
              <w:szCs w:val="20"/>
            </w:rPr>
            <w:t>CHS24</w:t>
          </w:r>
          <w:r w:rsidR="00421D62" w:rsidRPr="0093599C">
            <w:rPr>
              <w:bCs/>
              <w:iCs/>
              <w:sz w:val="20"/>
              <w:szCs w:val="20"/>
            </w:rPr>
            <w:t>/</w:t>
          </w:r>
          <w:r>
            <w:rPr>
              <w:bCs/>
              <w:iCs/>
              <w:sz w:val="20"/>
              <w:szCs w:val="20"/>
            </w:rPr>
            <w:t>492</w:t>
          </w:r>
        </w:p>
      </w:tc>
      <w:tc>
        <w:tcPr>
          <w:tcW w:w="965" w:type="dxa"/>
        </w:tcPr>
        <w:p w14:paraId="53310FCE" w14:textId="7781B407" w:rsidR="00421D62" w:rsidRPr="0093599C" w:rsidRDefault="00F92627" w:rsidP="00421D62">
          <w:pPr>
            <w:pStyle w:val="Footer"/>
            <w:jc w:val="center"/>
            <w:rPr>
              <w:rFonts w:cs="Arial"/>
              <w:bCs/>
              <w:iCs/>
              <w:sz w:val="20"/>
              <w:szCs w:val="20"/>
            </w:rPr>
          </w:pPr>
          <w:r>
            <w:rPr>
              <w:rFonts w:cs="Arial"/>
              <w:bCs/>
              <w:iCs/>
              <w:sz w:val="20"/>
              <w:szCs w:val="20"/>
            </w:rPr>
            <w:t>2</w:t>
          </w:r>
        </w:p>
      </w:tc>
      <w:tc>
        <w:tcPr>
          <w:tcW w:w="1552" w:type="dxa"/>
        </w:tcPr>
        <w:p w14:paraId="1C383DE3" w14:textId="3BEA2E18" w:rsidR="00421D62" w:rsidRPr="0093599C" w:rsidRDefault="00444106" w:rsidP="00421D62">
          <w:pPr>
            <w:pStyle w:val="Footer"/>
            <w:jc w:val="center"/>
            <w:rPr>
              <w:rFonts w:cs="Arial"/>
              <w:bCs/>
              <w:iCs/>
              <w:sz w:val="20"/>
              <w:szCs w:val="20"/>
            </w:rPr>
          </w:pPr>
          <w:r>
            <w:rPr>
              <w:rFonts w:cs="Arial"/>
              <w:bCs/>
              <w:iCs/>
              <w:sz w:val="20"/>
              <w:szCs w:val="20"/>
            </w:rPr>
            <w:t>25</w:t>
          </w:r>
          <w:r w:rsidR="00421D62" w:rsidRPr="0093599C">
            <w:rPr>
              <w:rFonts w:cs="Arial"/>
              <w:bCs/>
              <w:iCs/>
              <w:sz w:val="20"/>
              <w:szCs w:val="20"/>
            </w:rPr>
            <w:t>/</w:t>
          </w:r>
          <w:r>
            <w:rPr>
              <w:rFonts w:cs="Arial"/>
              <w:bCs/>
              <w:iCs/>
              <w:sz w:val="20"/>
              <w:szCs w:val="20"/>
            </w:rPr>
            <w:t>10</w:t>
          </w:r>
          <w:r w:rsidR="00421D62" w:rsidRPr="0093599C">
            <w:rPr>
              <w:rFonts w:cs="Arial"/>
              <w:bCs/>
              <w:iCs/>
              <w:sz w:val="20"/>
              <w:szCs w:val="20"/>
            </w:rPr>
            <w:t>/</w:t>
          </w:r>
          <w:r>
            <w:rPr>
              <w:rFonts w:cs="Arial"/>
              <w:bCs/>
              <w:iCs/>
              <w:sz w:val="20"/>
              <w:szCs w:val="20"/>
            </w:rPr>
            <w:t>2024</w:t>
          </w:r>
        </w:p>
      </w:tc>
      <w:tc>
        <w:tcPr>
          <w:tcW w:w="1456" w:type="dxa"/>
        </w:tcPr>
        <w:p w14:paraId="34AADE18" w14:textId="43999563" w:rsidR="00421D62" w:rsidRPr="0093599C" w:rsidRDefault="00444106" w:rsidP="00421D62">
          <w:pPr>
            <w:pStyle w:val="Footer"/>
            <w:jc w:val="center"/>
            <w:rPr>
              <w:rFonts w:cs="Arial"/>
              <w:bCs/>
              <w:iCs/>
              <w:sz w:val="20"/>
              <w:szCs w:val="20"/>
            </w:rPr>
          </w:pPr>
          <w:r>
            <w:rPr>
              <w:rFonts w:cs="Arial"/>
              <w:bCs/>
              <w:iCs/>
              <w:sz w:val="20"/>
              <w:szCs w:val="20"/>
            </w:rPr>
            <w:t>01</w:t>
          </w:r>
          <w:r w:rsidR="00421D62" w:rsidRPr="0093599C">
            <w:rPr>
              <w:rFonts w:cs="Arial"/>
              <w:bCs/>
              <w:iCs/>
              <w:sz w:val="20"/>
              <w:szCs w:val="20"/>
            </w:rPr>
            <w:t>/</w:t>
          </w:r>
          <w:r>
            <w:rPr>
              <w:rFonts w:cs="Arial"/>
              <w:bCs/>
              <w:iCs/>
              <w:sz w:val="20"/>
              <w:szCs w:val="20"/>
            </w:rPr>
            <w:t>11</w:t>
          </w:r>
          <w:r w:rsidR="00421D62" w:rsidRPr="0093599C">
            <w:rPr>
              <w:rFonts w:cs="Arial"/>
              <w:bCs/>
              <w:iCs/>
              <w:sz w:val="20"/>
              <w:szCs w:val="20"/>
            </w:rPr>
            <w:t>/</w:t>
          </w:r>
          <w:r>
            <w:rPr>
              <w:rFonts w:cs="Arial"/>
              <w:bCs/>
              <w:iCs/>
              <w:sz w:val="20"/>
              <w:szCs w:val="20"/>
            </w:rPr>
            <w:t>2028</w:t>
          </w:r>
        </w:p>
      </w:tc>
      <w:tc>
        <w:tcPr>
          <w:tcW w:w="1746" w:type="dxa"/>
        </w:tcPr>
        <w:p w14:paraId="1A171424" w14:textId="08A3953D" w:rsidR="00421D62" w:rsidRPr="0093599C" w:rsidRDefault="00444106" w:rsidP="00421D62">
          <w:pPr>
            <w:pStyle w:val="Footer"/>
            <w:jc w:val="center"/>
            <w:rPr>
              <w:rFonts w:cs="Arial"/>
              <w:bCs/>
              <w:iCs/>
              <w:sz w:val="20"/>
              <w:szCs w:val="20"/>
            </w:rPr>
          </w:pPr>
          <w:r>
            <w:rPr>
              <w:rFonts w:cs="Arial"/>
              <w:bCs/>
              <w:iCs/>
              <w:sz w:val="20"/>
              <w:szCs w:val="20"/>
            </w:rPr>
            <w:t>Decision Support Unit</w:t>
          </w:r>
        </w:p>
      </w:tc>
      <w:tc>
        <w:tcPr>
          <w:tcW w:w="1836" w:type="dxa"/>
        </w:tcPr>
        <w:p w14:paraId="026C5F4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1316F26F"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6EDE92D3" w14:textId="77777777" w:rsidTr="006B62B4">
      <w:trPr>
        <w:jc w:val="center"/>
      </w:trPr>
      <w:tc>
        <w:tcPr>
          <w:tcW w:w="1515" w:type="dxa"/>
        </w:tcPr>
        <w:p w14:paraId="74D665A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007025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7F1F73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68A59527"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357DE6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CFBB1B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7B01CC48" w14:textId="77777777" w:rsidTr="006B62B4">
      <w:trPr>
        <w:jc w:val="center"/>
      </w:trPr>
      <w:tc>
        <w:tcPr>
          <w:tcW w:w="1515" w:type="dxa"/>
        </w:tcPr>
        <w:p w14:paraId="6BB38975" w14:textId="0BCF322C" w:rsidR="006B62B4" w:rsidRPr="00954F7B" w:rsidRDefault="00444106" w:rsidP="00421D62">
          <w:pPr>
            <w:pStyle w:val="Footer"/>
            <w:jc w:val="center"/>
            <w:rPr>
              <w:rFonts w:cs="Arial"/>
              <w:bCs/>
              <w:iCs/>
              <w:sz w:val="20"/>
              <w:szCs w:val="20"/>
            </w:rPr>
          </w:pPr>
          <w:r>
            <w:rPr>
              <w:bCs/>
              <w:iCs/>
              <w:sz w:val="20"/>
              <w:szCs w:val="20"/>
            </w:rPr>
            <w:t>CHS24</w:t>
          </w:r>
          <w:r w:rsidR="006B62B4" w:rsidRPr="00954F7B">
            <w:rPr>
              <w:bCs/>
              <w:iCs/>
              <w:sz w:val="20"/>
              <w:szCs w:val="20"/>
            </w:rPr>
            <w:t>/</w:t>
          </w:r>
          <w:r>
            <w:rPr>
              <w:bCs/>
              <w:iCs/>
              <w:sz w:val="20"/>
              <w:szCs w:val="20"/>
            </w:rPr>
            <w:t>492</w:t>
          </w:r>
        </w:p>
      </w:tc>
      <w:tc>
        <w:tcPr>
          <w:tcW w:w="965" w:type="dxa"/>
        </w:tcPr>
        <w:p w14:paraId="61AD416B" w14:textId="25892456" w:rsidR="006B62B4" w:rsidRPr="00954F7B" w:rsidRDefault="009F1C3B" w:rsidP="00421D62">
          <w:pPr>
            <w:pStyle w:val="Footer"/>
            <w:jc w:val="center"/>
            <w:rPr>
              <w:rFonts w:cs="Arial"/>
              <w:bCs/>
              <w:iCs/>
              <w:sz w:val="20"/>
              <w:szCs w:val="20"/>
            </w:rPr>
          </w:pPr>
          <w:r>
            <w:rPr>
              <w:rFonts w:cs="Arial"/>
              <w:bCs/>
              <w:iCs/>
              <w:sz w:val="20"/>
              <w:szCs w:val="20"/>
            </w:rPr>
            <w:t>2</w:t>
          </w:r>
        </w:p>
      </w:tc>
      <w:tc>
        <w:tcPr>
          <w:tcW w:w="1552" w:type="dxa"/>
        </w:tcPr>
        <w:p w14:paraId="4EB37FB6" w14:textId="6BF2D8B6" w:rsidR="006B62B4" w:rsidRPr="00954F7B" w:rsidRDefault="00444106" w:rsidP="00421D62">
          <w:pPr>
            <w:pStyle w:val="Footer"/>
            <w:jc w:val="center"/>
            <w:rPr>
              <w:rFonts w:cs="Arial"/>
              <w:bCs/>
              <w:iCs/>
              <w:sz w:val="20"/>
              <w:szCs w:val="20"/>
            </w:rPr>
          </w:pPr>
          <w:r>
            <w:rPr>
              <w:rFonts w:cs="Arial"/>
              <w:bCs/>
              <w:iCs/>
              <w:sz w:val="20"/>
              <w:szCs w:val="20"/>
            </w:rPr>
            <w:t>25</w:t>
          </w:r>
          <w:r w:rsidR="006B62B4" w:rsidRPr="00954F7B">
            <w:rPr>
              <w:rFonts w:cs="Arial"/>
              <w:bCs/>
              <w:iCs/>
              <w:sz w:val="20"/>
              <w:szCs w:val="20"/>
            </w:rPr>
            <w:t>/</w:t>
          </w:r>
          <w:r>
            <w:rPr>
              <w:rFonts w:cs="Arial"/>
              <w:bCs/>
              <w:iCs/>
              <w:sz w:val="20"/>
              <w:szCs w:val="20"/>
            </w:rPr>
            <w:t>10</w:t>
          </w:r>
          <w:r w:rsidR="006B62B4" w:rsidRPr="00954F7B">
            <w:rPr>
              <w:rFonts w:cs="Arial"/>
              <w:bCs/>
              <w:iCs/>
              <w:sz w:val="20"/>
              <w:szCs w:val="20"/>
            </w:rPr>
            <w:t>/</w:t>
          </w:r>
          <w:r>
            <w:rPr>
              <w:rFonts w:cs="Arial"/>
              <w:bCs/>
              <w:iCs/>
              <w:sz w:val="20"/>
              <w:szCs w:val="20"/>
            </w:rPr>
            <w:t>2024</w:t>
          </w:r>
        </w:p>
      </w:tc>
      <w:tc>
        <w:tcPr>
          <w:tcW w:w="1456" w:type="dxa"/>
        </w:tcPr>
        <w:p w14:paraId="57373ACA" w14:textId="136E908A" w:rsidR="006B62B4" w:rsidRPr="00954F7B" w:rsidRDefault="00444106" w:rsidP="00421D62">
          <w:pPr>
            <w:pStyle w:val="Footer"/>
            <w:jc w:val="center"/>
            <w:rPr>
              <w:rFonts w:cs="Arial"/>
              <w:bCs/>
              <w:iCs/>
              <w:sz w:val="20"/>
              <w:szCs w:val="20"/>
            </w:rPr>
          </w:pPr>
          <w:r>
            <w:rPr>
              <w:rFonts w:cs="Arial"/>
              <w:bCs/>
              <w:iCs/>
              <w:sz w:val="20"/>
              <w:szCs w:val="20"/>
            </w:rPr>
            <w:t>01</w:t>
          </w:r>
          <w:r w:rsidR="006B62B4" w:rsidRPr="00954F7B">
            <w:rPr>
              <w:rFonts w:cs="Arial"/>
              <w:bCs/>
              <w:iCs/>
              <w:sz w:val="20"/>
              <w:szCs w:val="20"/>
            </w:rPr>
            <w:t>/</w:t>
          </w:r>
          <w:r>
            <w:rPr>
              <w:rFonts w:cs="Arial"/>
              <w:bCs/>
              <w:iCs/>
              <w:sz w:val="20"/>
              <w:szCs w:val="20"/>
            </w:rPr>
            <w:t>11</w:t>
          </w:r>
          <w:r w:rsidR="006B62B4" w:rsidRPr="00954F7B">
            <w:rPr>
              <w:rFonts w:cs="Arial"/>
              <w:bCs/>
              <w:iCs/>
              <w:sz w:val="20"/>
              <w:szCs w:val="20"/>
            </w:rPr>
            <w:t>/</w:t>
          </w:r>
          <w:r>
            <w:rPr>
              <w:rFonts w:cs="Arial"/>
              <w:bCs/>
              <w:iCs/>
              <w:sz w:val="20"/>
              <w:szCs w:val="20"/>
            </w:rPr>
            <w:t>2028</w:t>
          </w:r>
        </w:p>
      </w:tc>
      <w:tc>
        <w:tcPr>
          <w:tcW w:w="1746" w:type="dxa"/>
        </w:tcPr>
        <w:p w14:paraId="7CD730C5" w14:textId="2BDCD1B3" w:rsidR="006B62B4" w:rsidRPr="00954F7B" w:rsidRDefault="00444106" w:rsidP="00421D62">
          <w:pPr>
            <w:pStyle w:val="Footer"/>
            <w:jc w:val="center"/>
            <w:rPr>
              <w:rFonts w:cs="Arial"/>
              <w:bCs/>
              <w:iCs/>
              <w:sz w:val="20"/>
              <w:szCs w:val="20"/>
            </w:rPr>
          </w:pPr>
          <w:r>
            <w:rPr>
              <w:rFonts w:cs="Arial"/>
              <w:bCs/>
              <w:iCs/>
              <w:sz w:val="20"/>
              <w:szCs w:val="20"/>
            </w:rPr>
            <w:t>Decision Support Unit</w:t>
          </w:r>
        </w:p>
      </w:tc>
      <w:tc>
        <w:tcPr>
          <w:tcW w:w="1836" w:type="dxa"/>
        </w:tcPr>
        <w:p w14:paraId="6676EA27"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0F06D880"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E0FD" w14:textId="77777777" w:rsidR="00631CBE" w:rsidRDefault="00631CBE" w:rsidP="00225769">
      <w:pPr>
        <w:spacing w:after="0" w:line="240" w:lineRule="auto"/>
      </w:pPr>
      <w:r>
        <w:separator/>
      </w:r>
    </w:p>
    <w:p w14:paraId="75D516C9" w14:textId="77777777" w:rsidR="00631CBE" w:rsidRDefault="00631CBE"/>
    <w:p w14:paraId="0AD804CC" w14:textId="77777777" w:rsidR="00631CBE" w:rsidRDefault="00631CBE"/>
  </w:footnote>
  <w:footnote w:type="continuationSeparator" w:id="0">
    <w:p w14:paraId="63F59B24" w14:textId="77777777" w:rsidR="00631CBE" w:rsidRDefault="00631CBE" w:rsidP="00225769">
      <w:pPr>
        <w:spacing w:after="0" w:line="240" w:lineRule="auto"/>
      </w:pPr>
      <w:r>
        <w:continuationSeparator/>
      </w:r>
    </w:p>
    <w:p w14:paraId="604D9D80" w14:textId="77777777" w:rsidR="00631CBE" w:rsidRDefault="00631CBE"/>
    <w:p w14:paraId="1CA02725" w14:textId="77777777" w:rsidR="00631CBE" w:rsidRDefault="00631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9834" w14:textId="77777777" w:rsidR="007F48B2" w:rsidRDefault="007F48B2" w:rsidP="007F48B2">
    <w:pPr>
      <w:pStyle w:val="SecondaryHeader"/>
    </w:pPr>
  </w:p>
  <w:p w14:paraId="2707BBFD"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C235" w14:textId="77777777" w:rsidR="006B18B2" w:rsidRDefault="004C5A26">
    <w:pPr>
      <w:pStyle w:val="Header"/>
    </w:pPr>
    <w:r>
      <w:rPr>
        <w:noProof/>
      </w:rPr>
      <w:drawing>
        <wp:inline distT="0" distB="0" distL="0" distR="0" wp14:anchorId="2D8279AB" wp14:editId="018260F4">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621F94"/>
    <w:lvl w:ilvl="0">
      <w:start w:val="1"/>
      <w:numFmt w:val="bullet"/>
      <w:pStyle w:val="ListBullet"/>
      <w:lvlText w:val=""/>
      <w:lvlJc w:val="left"/>
      <w:pPr>
        <w:tabs>
          <w:tab w:val="num" w:pos="1211"/>
        </w:tabs>
        <w:ind w:left="1211" w:hanging="360"/>
      </w:pPr>
      <w:rPr>
        <w:rFonts w:ascii="Symbol" w:hAnsi="Symbol" w:hint="default"/>
        <w:color w:val="auto"/>
      </w:rPr>
    </w:lvl>
  </w:abstractNum>
  <w:abstractNum w:abstractNumId="1" w15:restartNumberingAfterBreak="0">
    <w:nsid w:val="004E663C"/>
    <w:multiLevelType w:val="hybridMultilevel"/>
    <w:tmpl w:val="8ECCD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A5B5B"/>
    <w:multiLevelType w:val="hybridMultilevel"/>
    <w:tmpl w:val="F8AA17B4"/>
    <w:lvl w:ilvl="0" w:tplc="B7FE01AA">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4BE1484"/>
    <w:multiLevelType w:val="hybridMultilevel"/>
    <w:tmpl w:val="EF2E8196"/>
    <w:lvl w:ilvl="0" w:tplc="B7FE01A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75F6B68"/>
    <w:multiLevelType w:val="hybridMultilevel"/>
    <w:tmpl w:val="6E90E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BD47D7"/>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0CDB676E"/>
    <w:multiLevelType w:val="hybridMultilevel"/>
    <w:tmpl w:val="A26A63D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B90ADA"/>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18B047D8"/>
    <w:multiLevelType w:val="hybridMultilevel"/>
    <w:tmpl w:val="98F0A618"/>
    <w:lvl w:ilvl="0" w:tplc="97DAF312">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0" w15:restartNumberingAfterBreak="0">
    <w:nsid w:val="19CA236B"/>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1FB9255A"/>
    <w:multiLevelType w:val="hybridMultilevel"/>
    <w:tmpl w:val="82E86A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FF3715C"/>
    <w:multiLevelType w:val="hybridMultilevel"/>
    <w:tmpl w:val="232232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0F418A"/>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22F3086E"/>
    <w:multiLevelType w:val="hybridMultilevel"/>
    <w:tmpl w:val="C494F04A"/>
    <w:lvl w:ilvl="0" w:tplc="0C090001">
      <w:start w:val="1"/>
      <w:numFmt w:val="bullet"/>
      <w:lvlText w:val=""/>
      <w:lvlJc w:val="left"/>
      <w:pPr>
        <w:ind w:left="1176" w:hanging="360"/>
      </w:pPr>
      <w:rPr>
        <w:rFonts w:ascii="Symbol" w:hAnsi="Symbol" w:hint="default"/>
      </w:rPr>
    </w:lvl>
    <w:lvl w:ilvl="1" w:tplc="0C090003" w:tentative="1">
      <w:start w:val="1"/>
      <w:numFmt w:val="bullet"/>
      <w:lvlText w:val="o"/>
      <w:lvlJc w:val="left"/>
      <w:pPr>
        <w:ind w:left="1896" w:hanging="360"/>
      </w:pPr>
      <w:rPr>
        <w:rFonts w:ascii="Courier New" w:hAnsi="Courier New" w:cs="Courier New" w:hint="default"/>
      </w:rPr>
    </w:lvl>
    <w:lvl w:ilvl="2" w:tplc="0C090005" w:tentative="1">
      <w:start w:val="1"/>
      <w:numFmt w:val="bullet"/>
      <w:lvlText w:val=""/>
      <w:lvlJc w:val="left"/>
      <w:pPr>
        <w:ind w:left="2616" w:hanging="360"/>
      </w:pPr>
      <w:rPr>
        <w:rFonts w:ascii="Wingdings" w:hAnsi="Wingdings" w:hint="default"/>
      </w:rPr>
    </w:lvl>
    <w:lvl w:ilvl="3" w:tplc="0C090001" w:tentative="1">
      <w:start w:val="1"/>
      <w:numFmt w:val="bullet"/>
      <w:lvlText w:val=""/>
      <w:lvlJc w:val="left"/>
      <w:pPr>
        <w:ind w:left="3336" w:hanging="360"/>
      </w:pPr>
      <w:rPr>
        <w:rFonts w:ascii="Symbol" w:hAnsi="Symbol" w:hint="default"/>
      </w:rPr>
    </w:lvl>
    <w:lvl w:ilvl="4" w:tplc="0C090003" w:tentative="1">
      <w:start w:val="1"/>
      <w:numFmt w:val="bullet"/>
      <w:lvlText w:val="o"/>
      <w:lvlJc w:val="left"/>
      <w:pPr>
        <w:ind w:left="4056" w:hanging="360"/>
      </w:pPr>
      <w:rPr>
        <w:rFonts w:ascii="Courier New" w:hAnsi="Courier New" w:cs="Courier New" w:hint="default"/>
      </w:rPr>
    </w:lvl>
    <w:lvl w:ilvl="5" w:tplc="0C090005" w:tentative="1">
      <w:start w:val="1"/>
      <w:numFmt w:val="bullet"/>
      <w:lvlText w:val=""/>
      <w:lvlJc w:val="left"/>
      <w:pPr>
        <w:ind w:left="4776" w:hanging="360"/>
      </w:pPr>
      <w:rPr>
        <w:rFonts w:ascii="Wingdings" w:hAnsi="Wingdings" w:hint="default"/>
      </w:rPr>
    </w:lvl>
    <w:lvl w:ilvl="6" w:tplc="0C090001" w:tentative="1">
      <w:start w:val="1"/>
      <w:numFmt w:val="bullet"/>
      <w:lvlText w:val=""/>
      <w:lvlJc w:val="left"/>
      <w:pPr>
        <w:ind w:left="5496" w:hanging="360"/>
      </w:pPr>
      <w:rPr>
        <w:rFonts w:ascii="Symbol" w:hAnsi="Symbol" w:hint="default"/>
      </w:rPr>
    </w:lvl>
    <w:lvl w:ilvl="7" w:tplc="0C090003" w:tentative="1">
      <w:start w:val="1"/>
      <w:numFmt w:val="bullet"/>
      <w:lvlText w:val="o"/>
      <w:lvlJc w:val="left"/>
      <w:pPr>
        <w:ind w:left="6216" w:hanging="360"/>
      </w:pPr>
      <w:rPr>
        <w:rFonts w:ascii="Courier New" w:hAnsi="Courier New" w:cs="Courier New" w:hint="default"/>
      </w:rPr>
    </w:lvl>
    <w:lvl w:ilvl="8" w:tplc="0C090005" w:tentative="1">
      <w:start w:val="1"/>
      <w:numFmt w:val="bullet"/>
      <w:lvlText w:val=""/>
      <w:lvlJc w:val="left"/>
      <w:pPr>
        <w:ind w:left="6936" w:hanging="360"/>
      </w:pPr>
      <w:rPr>
        <w:rFonts w:ascii="Wingdings" w:hAnsi="Wingdings" w:hint="default"/>
      </w:rPr>
    </w:lvl>
  </w:abstractNum>
  <w:abstractNum w:abstractNumId="15" w15:restartNumberingAfterBreak="0">
    <w:nsid w:val="24E35717"/>
    <w:multiLevelType w:val="multilevel"/>
    <w:tmpl w:val="94A28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6" w15:restartNumberingAfterBreak="0">
    <w:nsid w:val="2CFB4F29"/>
    <w:multiLevelType w:val="multilevel"/>
    <w:tmpl w:val="56B8641A"/>
    <w:lvl w:ilvl="0">
      <w:start w:val="1"/>
      <w:numFmt w:val="decimal"/>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2E4A761F"/>
    <w:multiLevelType w:val="hybridMultilevel"/>
    <w:tmpl w:val="A716A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7B4F79"/>
    <w:multiLevelType w:val="hybridMultilevel"/>
    <w:tmpl w:val="E87EC312"/>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5">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D81171"/>
    <w:multiLevelType w:val="multilevel"/>
    <w:tmpl w:val="FB4E9E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A57F7C"/>
    <w:multiLevelType w:val="hybridMultilevel"/>
    <w:tmpl w:val="8BA47FD4"/>
    <w:lvl w:ilvl="0" w:tplc="B7FE01AA">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39663A3C"/>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3E4E6F76"/>
    <w:multiLevelType w:val="hybridMultilevel"/>
    <w:tmpl w:val="16A4081A"/>
    <w:lvl w:ilvl="0" w:tplc="B7FE01AA">
      <w:start w:val="1"/>
      <w:numFmt w:val="bullet"/>
      <w:lvlText w:val=""/>
      <w:lvlJc w:val="left"/>
      <w:pPr>
        <w:ind w:left="2093" w:hanging="360"/>
      </w:pPr>
      <w:rPr>
        <w:rFonts w:ascii="Symbol" w:hAnsi="Symbol" w:hint="default"/>
      </w:rPr>
    </w:lvl>
    <w:lvl w:ilvl="1" w:tplc="0C090003">
      <w:start w:val="1"/>
      <w:numFmt w:val="bullet"/>
      <w:lvlText w:val="o"/>
      <w:lvlJc w:val="left"/>
      <w:pPr>
        <w:ind w:left="2813" w:hanging="360"/>
      </w:pPr>
      <w:rPr>
        <w:rFonts w:ascii="Courier New" w:hAnsi="Courier New" w:cs="Courier New" w:hint="default"/>
      </w:rPr>
    </w:lvl>
    <w:lvl w:ilvl="2" w:tplc="0C090005" w:tentative="1">
      <w:start w:val="1"/>
      <w:numFmt w:val="bullet"/>
      <w:lvlText w:val=""/>
      <w:lvlJc w:val="left"/>
      <w:pPr>
        <w:ind w:left="3533" w:hanging="360"/>
      </w:pPr>
      <w:rPr>
        <w:rFonts w:ascii="Wingdings" w:hAnsi="Wingdings" w:hint="default"/>
      </w:rPr>
    </w:lvl>
    <w:lvl w:ilvl="3" w:tplc="0C090001" w:tentative="1">
      <w:start w:val="1"/>
      <w:numFmt w:val="bullet"/>
      <w:lvlText w:val=""/>
      <w:lvlJc w:val="left"/>
      <w:pPr>
        <w:ind w:left="4253" w:hanging="360"/>
      </w:pPr>
      <w:rPr>
        <w:rFonts w:ascii="Symbol" w:hAnsi="Symbol" w:hint="default"/>
      </w:rPr>
    </w:lvl>
    <w:lvl w:ilvl="4" w:tplc="0C090003" w:tentative="1">
      <w:start w:val="1"/>
      <w:numFmt w:val="bullet"/>
      <w:lvlText w:val="o"/>
      <w:lvlJc w:val="left"/>
      <w:pPr>
        <w:ind w:left="4973" w:hanging="360"/>
      </w:pPr>
      <w:rPr>
        <w:rFonts w:ascii="Courier New" w:hAnsi="Courier New" w:cs="Courier New" w:hint="default"/>
      </w:rPr>
    </w:lvl>
    <w:lvl w:ilvl="5" w:tplc="0C090005" w:tentative="1">
      <w:start w:val="1"/>
      <w:numFmt w:val="bullet"/>
      <w:lvlText w:val=""/>
      <w:lvlJc w:val="left"/>
      <w:pPr>
        <w:ind w:left="5693" w:hanging="360"/>
      </w:pPr>
      <w:rPr>
        <w:rFonts w:ascii="Wingdings" w:hAnsi="Wingdings" w:hint="default"/>
      </w:rPr>
    </w:lvl>
    <w:lvl w:ilvl="6" w:tplc="0C090001" w:tentative="1">
      <w:start w:val="1"/>
      <w:numFmt w:val="bullet"/>
      <w:lvlText w:val=""/>
      <w:lvlJc w:val="left"/>
      <w:pPr>
        <w:ind w:left="6413" w:hanging="360"/>
      </w:pPr>
      <w:rPr>
        <w:rFonts w:ascii="Symbol" w:hAnsi="Symbol" w:hint="default"/>
      </w:rPr>
    </w:lvl>
    <w:lvl w:ilvl="7" w:tplc="0C090003" w:tentative="1">
      <w:start w:val="1"/>
      <w:numFmt w:val="bullet"/>
      <w:lvlText w:val="o"/>
      <w:lvlJc w:val="left"/>
      <w:pPr>
        <w:ind w:left="7133" w:hanging="360"/>
      </w:pPr>
      <w:rPr>
        <w:rFonts w:ascii="Courier New" w:hAnsi="Courier New" w:cs="Courier New" w:hint="default"/>
      </w:rPr>
    </w:lvl>
    <w:lvl w:ilvl="8" w:tplc="0C090005" w:tentative="1">
      <w:start w:val="1"/>
      <w:numFmt w:val="bullet"/>
      <w:lvlText w:val=""/>
      <w:lvlJc w:val="left"/>
      <w:pPr>
        <w:ind w:left="7853" w:hanging="360"/>
      </w:pPr>
      <w:rPr>
        <w:rFonts w:ascii="Wingdings" w:hAnsi="Wingdings" w:hint="default"/>
      </w:rPr>
    </w:lvl>
  </w:abstractNum>
  <w:abstractNum w:abstractNumId="2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48291FC8"/>
    <w:multiLevelType w:val="multilevel"/>
    <w:tmpl w:val="93B065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531717"/>
    <w:multiLevelType w:val="hybridMultilevel"/>
    <w:tmpl w:val="120CC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325006"/>
    <w:multiLevelType w:val="hybridMultilevel"/>
    <w:tmpl w:val="58FE74B0"/>
    <w:lvl w:ilvl="0" w:tplc="FFFFFFFF">
      <w:start w:val="1"/>
      <w:numFmt w:val="bullet"/>
      <w:lvlText w:val=""/>
      <w:lvlJc w:val="left"/>
      <w:pPr>
        <w:ind w:left="114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7" w15:restartNumberingAfterBreak="0">
    <w:nsid w:val="53F11965"/>
    <w:multiLevelType w:val="hybridMultilevel"/>
    <w:tmpl w:val="38880D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7B86A5B"/>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9" w15:restartNumberingAfterBreak="0">
    <w:nsid w:val="5DEC62FF"/>
    <w:multiLevelType w:val="hybridMultilevel"/>
    <w:tmpl w:val="07BA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871ECA"/>
    <w:multiLevelType w:val="hybridMultilevel"/>
    <w:tmpl w:val="ABB82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2" w15:restartNumberingAfterBreak="0">
    <w:nsid w:val="66D950BF"/>
    <w:multiLevelType w:val="hybridMultilevel"/>
    <w:tmpl w:val="0EE4AF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F938D8"/>
    <w:multiLevelType w:val="hybridMultilevel"/>
    <w:tmpl w:val="081677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AF302D"/>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5" w15:restartNumberingAfterBreak="0">
    <w:nsid w:val="6E9C199A"/>
    <w:multiLevelType w:val="multilevel"/>
    <w:tmpl w:val="DC761FB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74942995"/>
    <w:multiLevelType w:val="multilevel"/>
    <w:tmpl w:val="5E08D2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9B489F"/>
    <w:multiLevelType w:val="hybridMultilevel"/>
    <w:tmpl w:val="73169B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CD2E89"/>
    <w:multiLevelType w:val="multilevel"/>
    <w:tmpl w:val="26BA16F0"/>
    <w:lvl w:ilvl="0">
      <w:start w:val="1"/>
      <w:numFmt w:val="bullet"/>
      <w:lvlText w:val=""/>
      <w:lvlJc w:val="left"/>
      <w:pPr>
        <w:ind w:left="425" w:hanging="425"/>
      </w:pPr>
      <w:rPr>
        <w:rFonts w:ascii="Symbol" w:hAnsi="Symbol" w:hint="default"/>
        <w:sz w:val="22"/>
        <w:szCs w:val="22"/>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13"/>
  </w:num>
  <w:num w:numId="2" w16cid:durableId="842209657">
    <w:abstractNumId w:val="9"/>
  </w:num>
  <w:num w:numId="3" w16cid:durableId="660542573">
    <w:abstractNumId w:val="31"/>
  </w:num>
  <w:num w:numId="4" w16cid:durableId="1431437445">
    <w:abstractNumId w:val="7"/>
  </w:num>
  <w:num w:numId="5" w16cid:durableId="1500121526">
    <w:abstractNumId w:val="13"/>
  </w:num>
  <w:num w:numId="6" w16cid:durableId="2133278597">
    <w:abstractNumId w:val="13"/>
  </w:num>
  <w:num w:numId="7" w16cid:durableId="229577723">
    <w:abstractNumId w:val="9"/>
  </w:num>
  <w:num w:numId="8" w16cid:durableId="797258950">
    <w:abstractNumId w:val="31"/>
  </w:num>
  <w:num w:numId="9" w16cid:durableId="420297118">
    <w:abstractNumId w:val="23"/>
  </w:num>
  <w:num w:numId="10" w16cid:durableId="1280986119">
    <w:abstractNumId w:val="13"/>
  </w:num>
  <w:num w:numId="11" w16cid:durableId="992829949">
    <w:abstractNumId w:val="0"/>
  </w:num>
  <w:num w:numId="12" w16cid:durableId="576011836">
    <w:abstractNumId w:val="12"/>
  </w:num>
  <w:num w:numId="13" w16cid:durableId="1782844056">
    <w:abstractNumId w:val="27"/>
  </w:num>
  <w:num w:numId="14" w16cid:durableId="758791658">
    <w:abstractNumId w:val="37"/>
  </w:num>
  <w:num w:numId="15" w16cid:durableId="303853383">
    <w:abstractNumId w:val="4"/>
  </w:num>
  <w:num w:numId="16" w16cid:durableId="1256286428">
    <w:abstractNumId w:val="20"/>
  </w:num>
  <w:num w:numId="17" w16cid:durableId="1514220250">
    <w:abstractNumId w:val="30"/>
  </w:num>
  <w:num w:numId="18" w16cid:durableId="725492639">
    <w:abstractNumId w:val="29"/>
  </w:num>
  <w:num w:numId="19" w16cid:durableId="1893955538">
    <w:abstractNumId w:val="14"/>
  </w:num>
  <w:num w:numId="20" w16cid:durableId="326321075">
    <w:abstractNumId w:val="22"/>
  </w:num>
  <w:num w:numId="21" w16cid:durableId="1806385517">
    <w:abstractNumId w:val="6"/>
  </w:num>
  <w:num w:numId="22" w16cid:durableId="428549476">
    <w:abstractNumId w:val="21"/>
  </w:num>
  <w:num w:numId="23" w16cid:durableId="479418404">
    <w:abstractNumId w:val="8"/>
  </w:num>
  <w:num w:numId="24" w16cid:durableId="793328232">
    <w:abstractNumId w:val="34"/>
  </w:num>
  <w:num w:numId="25" w16cid:durableId="1658149786">
    <w:abstractNumId w:val="33"/>
  </w:num>
  <w:num w:numId="26" w16cid:durableId="815292806">
    <w:abstractNumId w:val="10"/>
  </w:num>
  <w:num w:numId="27" w16cid:durableId="260768976">
    <w:abstractNumId w:val="28"/>
  </w:num>
  <w:num w:numId="28" w16cid:durableId="554897208">
    <w:abstractNumId w:val="5"/>
  </w:num>
  <w:num w:numId="29" w16cid:durableId="1943299345">
    <w:abstractNumId w:val="38"/>
  </w:num>
  <w:num w:numId="30" w16cid:durableId="1620338003">
    <w:abstractNumId w:val="11"/>
  </w:num>
  <w:num w:numId="31" w16cid:durableId="126096398">
    <w:abstractNumId w:val="1"/>
  </w:num>
  <w:num w:numId="32" w16cid:durableId="1399747406">
    <w:abstractNumId w:val="25"/>
  </w:num>
  <w:num w:numId="33" w16cid:durableId="1162313238">
    <w:abstractNumId w:val="3"/>
  </w:num>
  <w:num w:numId="34" w16cid:durableId="44643376">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7713700">
    <w:abstractNumId w:val="36"/>
  </w:num>
  <w:num w:numId="36" w16cid:durableId="1732148208">
    <w:abstractNumId w:val="15"/>
  </w:num>
  <w:num w:numId="37" w16cid:durableId="1915310163">
    <w:abstractNumId w:val="24"/>
  </w:num>
  <w:num w:numId="38" w16cid:durableId="1785075542">
    <w:abstractNumId w:val="32"/>
  </w:num>
  <w:num w:numId="39" w16cid:durableId="1632175024">
    <w:abstractNumId w:val="18"/>
  </w:num>
  <w:num w:numId="40" w16cid:durableId="289363204">
    <w:abstractNumId w:val="0"/>
  </w:num>
  <w:num w:numId="41" w16cid:durableId="1505362263">
    <w:abstractNumId w:val="2"/>
  </w:num>
  <w:num w:numId="42" w16cid:durableId="731074806">
    <w:abstractNumId w:val="16"/>
  </w:num>
  <w:num w:numId="43" w16cid:durableId="1278607700">
    <w:abstractNumId w:val="26"/>
  </w:num>
  <w:num w:numId="44" w16cid:durableId="2013677693">
    <w:abstractNumId w:val="17"/>
  </w:num>
  <w:num w:numId="45" w16cid:durableId="101260501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BE"/>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587E"/>
    <w:rsid w:val="00126471"/>
    <w:rsid w:val="00126ADF"/>
    <w:rsid w:val="00126BEE"/>
    <w:rsid w:val="00127D91"/>
    <w:rsid w:val="001324A3"/>
    <w:rsid w:val="0013675B"/>
    <w:rsid w:val="00136C50"/>
    <w:rsid w:val="001372B2"/>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6EA"/>
    <w:rsid w:val="00185C37"/>
    <w:rsid w:val="00186FB7"/>
    <w:rsid w:val="00187537"/>
    <w:rsid w:val="00191413"/>
    <w:rsid w:val="0019193E"/>
    <w:rsid w:val="00192C70"/>
    <w:rsid w:val="001935B4"/>
    <w:rsid w:val="00193907"/>
    <w:rsid w:val="00195EFB"/>
    <w:rsid w:val="001A1DD6"/>
    <w:rsid w:val="001A2273"/>
    <w:rsid w:val="001A2D47"/>
    <w:rsid w:val="001B0DC3"/>
    <w:rsid w:val="001B1D4D"/>
    <w:rsid w:val="001B3430"/>
    <w:rsid w:val="001C108E"/>
    <w:rsid w:val="001C263F"/>
    <w:rsid w:val="001C449A"/>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8A5"/>
    <w:rsid w:val="003B3F9A"/>
    <w:rsid w:val="003B57A1"/>
    <w:rsid w:val="003B661D"/>
    <w:rsid w:val="003B720D"/>
    <w:rsid w:val="003B760C"/>
    <w:rsid w:val="003B7F7B"/>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106"/>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1019"/>
    <w:rsid w:val="00473FD3"/>
    <w:rsid w:val="00475AAB"/>
    <w:rsid w:val="00477432"/>
    <w:rsid w:val="00480DA2"/>
    <w:rsid w:val="00486165"/>
    <w:rsid w:val="0049014C"/>
    <w:rsid w:val="00492356"/>
    <w:rsid w:val="00494A4C"/>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1437"/>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1CBE"/>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4046"/>
    <w:rsid w:val="006B61AC"/>
    <w:rsid w:val="006B62B4"/>
    <w:rsid w:val="006B6C90"/>
    <w:rsid w:val="006B7CA7"/>
    <w:rsid w:val="006C0697"/>
    <w:rsid w:val="006C1521"/>
    <w:rsid w:val="006C39B7"/>
    <w:rsid w:val="006C3C89"/>
    <w:rsid w:val="006C4E7E"/>
    <w:rsid w:val="006C7001"/>
    <w:rsid w:val="006D11DF"/>
    <w:rsid w:val="006D24C9"/>
    <w:rsid w:val="006D3EF5"/>
    <w:rsid w:val="006D47A7"/>
    <w:rsid w:val="006E0951"/>
    <w:rsid w:val="006E4456"/>
    <w:rsid w:val="006E45F1"/>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056"/>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E6F2D"/>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67A83"/>
    <w:rsid w:val="0087684F"/>
    <w:rsid w:val="00876CAC"/>
    <w:rsid w:val="00885A76"/>
    <w:rsid w:val="00886079"/>
    <w:rsid w:val="00891F34"/>
    <w:rsid w:val="0089237B"/>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C63E2"/>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57758"/>
    <w:rsid w:val="00964D8D"/>
    <w:rsid w:val="00964EDA"/>
    <w:rsid w:val="00965A01"/>
    <w:rsid w:val="00965EA8"/>
    <w:rsid w:val="0096731B"/>
    <w:rsid w:val="00970842"/>
    <w:rsid w:val="00971125"/>
    <w:rsid w:val="00972D70"/>
    <w:rsid w:val="0097363B"/>
    <w:rsid w:val="00975A13"/>
    <w:rsid w:val="00977BFB"/>
    <w:rsid w:val="00982385"/>
    <w:rsid w:val="009842A4"/>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1C3B"/>
    <w:rsid w:val="009F72C8"/>
    <w:rsid w:val="009F7956"/>
    <w:rsid w:val="00A006D5"/>
    <w:rsid w:val="00A00B85"/>
    <w:rsid w:val="00A01509"/>
    <w:rsid w:val="00A02651"/>
    <w:rsid w:val="00A0337B"/>
    <w:rsid w:val="00A035E4"/>
    <w:rsid w:val="00A0459A"/>
    <w:rsid w:val="00A04CA5"/>
    <w:rsid w:val="00A07C43"/>
    <w:rsid w:val="00A116EA"/>
    <w:rsid w:val="00A11739"/>
    <w:rsid w:val="00A14311"/>
    <w:rsid w:val="00A1579B"/>
    <w:rsid w:val="00A20CEA"/>
    <w:rsid w:val="00A24C42"/>
    <w:rsid w:val="00A24D94"/>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4D4"/>
    <w:rsid w:val="00CF3925"/>
    <w:rsid w:val="00CF48A9"/>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3EC2"/>
    <w:rsid w:val="00DB6108"/>
    <w:rsid w:val="00DC008F"/>
    <w:rsid w:val="00DC0BC0"/>
    <w:rsid w:val="00DC3006"/>
    <w:rsid w:val="00DD4464"/>
    <w:rsid w:val="00DD6074"/>
    <w:rsid w:val="00DE125D"/>
    <w:rsid w:val="00DE5620"/>
    <w:rsid w:val="00DE6056"/>
    <w:rsid w:val="00DE6090"/>
    <w:rsid w:val="00DF1CBC"/>
    <w:rsid w:val="00DF3EFE"/>
    <w:rsid w:val="00E02685"/>
    <w:rsid w:val="00E12173"/>
    <w:rsid w:val="00E17751"/>
    <w:rsid w:val="00E17DC5"/>
    <w:rsid w:val="00E2094B"/>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103A"/>
    <w:rsid w:val="00EB256E"/>
    <w:rsid w:val="00EB3DA8"/>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341"/>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2627"/>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B43F078"/>
  <w15:docId w15:val="{808CFB38-566C-44A2-B5BA-2023D79C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rsid w:val="007C42FE"/>
    <w:rPr>
      <w:lang w:eastAsia="en-US"/>
    </w:rPr>
  </w:style>
  <w:style w:type="paragraph" w:customStyle="1" w:styleId="Bullet">
    <w:name w:val="Bullet"/>
    <w:basedOn w:val="BodyCopy"/>
    <w:uiPriority w:val="1"/>
    <w:qFormat/>
    <w:rsid w:val="007C42FE"/>
    <w:p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qFormat/>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qFormat/>
    <w:locked/>
    <w:rsid w:val="007C42FE"/>
    <w:pPr>
      <w:ind w:left="720"/>
      <w:contextualSpacing/>
    </w:pPr>
  </w:style>
  <w:style w:type="paragraph" w:customStyle="1" w:styleId="TOCHeading2">
    <w:name w:val="TOC Heading 2"/>
    <w:basedOn w:val="TOCHeading"/>
    <w:uiPriority w:val="3"/>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qFormat/>
    <w:locked/>
    <w:rsid w:val="003B7F7B"/>
    <w:pPr>
      <w:numPr>
        <w:numId w:val="11"/>
      </w:numPr>
      <w:spacing w:before="0" w:after="0" w:line="240" w:lineRule="auto"/>
    </w:pPr>
    <w:rPr>
      <w:rFonts w:ascii="Calibri" w:eastAsia="Times New Roman" w:hAnsi="Calibri"/>
      <w:szCs w:val="20"/>
      <w:lang w:eastAsia="en-US"/>
    </w:rPr>
  </w:style>
  <w:style w:type="character" w:customStyle="1" w:styleId="normaltextrun">
    <w:name w:val="normaltextrun"/>
    <w:basedOn w:val="DefaultParagraphFont"/>
    <w:rsid w:val="003B7F7B"/>
  </w:style>
  <w:style w:type="paragraph" w:customStyle="1" w:styleId="Default">
    <w:name w:val="Default"/>
    <w:rsid w:val="003B7F7B"/>
    <w:pPr>
      <w:autoSpaceDE w:val="0"/>
      <w:autoSpaceDN w:val="0"/>
      <w:adjustRightInd w:val="0"/>
      <w:spacing w:before="0" w:after="0" w:line="240" w:lineRule="auto"/>
    </w:pPr>
    <w:rPr>
      <w:rFonts w:ascii="Times New Roman" w:eastAsia="Times New Roman" w:hAnsi="Times New Roman"/>
      <w:color w:val="000000"/>
    </w:rPr>
  </w:style>
  <w:style w:type="paragraph" w:styleId="FootnoteText">
    <w:name w:val="footnote text"/>
    <w:basedOn w:val="Normal"/>
    <w:link w:val="FootnoteTextChar"/>
    <w:uiPriority w:val="99"/>
    <w:semiHidden/>
    <w:unhideWhenUsed/>
    <w:locked/>
    <w:rsid w:val="001372B2"/>
    <w:pPr>
      <w:spacing w:before="0" w:after="0" w:line="240" w:lineRule="auto"/>
    </w:pPr>
    <w:rPr>
      <w:rFonts w:ascii="Calibri" w:eastAsia="Times New Roman" w:hAnsi="Calibri"/>
      <w:sz w:val="20"/>
      <w:szCs w:val="20"/>
      <w:lang w:eastAsia="en-US"/>
    </w:rPr>
  </w:style>
  <w:style w:type="character" w:customStyle="1" w:styleId="FootnoteTextChar">
    <w:name w:val="Footnote Text Char"/>
    <w:basedOn w:val="DefaultParagraphFont"/>
    <w:link w:val="FootnoteText"/>
    <w:uiPriority w:val="99"/>
    <w:semiHidden/>
    <w:rsid w:val="001372B2"/>
    <w:rPr>
      <w:rFonts w:ascii="Calibri" w:eastAsia="Times New Roman" w:hAnsi="Calibri"/>
      <w:sz w:val="20"/>
      <w:szCs w:val="20"/>
      <w:lang w:eastAsia="en-US"/>
    </w:rPr>
  </w:style>
  <w:style w:type="paragraph" w:customStyle="1" w:styleId="pf0">
    <w:name w:val="pf0"/>
    <w:basedOn w:val="Normal"/>
    <w:rsid w:val="001372B2"/>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nsw.gov.au/policies/manuals/pages/privacy-manual-for-health-information.aspx"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CHSHRAdvisory@act.gov.au" TargetMode="External"/><Relationship Id="rId17" Type="http://schemas.openxmlformats.org/officeDocument/2006/relationships/hyperlink" Target="https://www.legislation.act.gov.au/a/1997-12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wa.gov.au/~/media/Corp/Documents/Global/Privacy/WA-health-system-Privacy-Statement.pdf"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media@act.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2.health.wa.gov.au/About-us/Policy-frameworks/Legal/Mandatory-requirements/Patient-Confidentiality-Policy" TargetMode="External"/><Relationship Id="rId23" Type="http://schemas.openxmlformats.org/officeDocument/2006/relationships/image" Target="media/image5.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health.sa.gov.au/wps/wcm/connect/60b8550041526f138c0d8ee8f09fe17d/Directive_Privacy_30052017.pdf?MOD=AJPERES&amp;CACHEID=ROOTWORKSPACE-60b8550041526f138c0d8ee8f09fe17d-lNmOOny" TargetMode="External"/><Relationship Id="rId22" Type="http://schemas.openxmlformats.org/officeDocument/2006/relationships/hyperlink" Target="https://www.canberrahealthservices.act.gov.au/accessibility"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Q:\Strategy%20Policy%20and%20Planning\Strategy%20and%20Governance\Policy%20Team\CHS%20PC\Resources\Templates\CHS%20Policy%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F836FDBFF4AAD8F9BB70E76251F39"/>
        <w:category>
          <w:name w:val="General"/>
          <w:gallery w:val="placeholder"/>
        </w:category>
        <w:types>
          <w:type w:val="bbPlcHdr"/>
        </w:types>
        <w:behaviors>
          <w:behavior w:val="content"/>
        </w:behaviors>
        <w:guid w:val="{E4CEB5DB-39B3-4469-9A5C-9724050B7B81}"/>
      </w:docPartPr>
      <w:docPartBody>
        <w:p w:rsidR="00FF67CE" w:rsidRDefault="00FF67CE">
          <w:pPr>
            <w:pStyle w:val="F4BF836FDBFF4AAD8F9BB70E76251F39"/>
          </w:pPr>
          <w:r>
            <w:rPr>
              <w:noProof/>
              <w:sz w:val="20"/>
              <w:szCs w:val="20"/>
            </w:rPr>
            <w:drawing>
              <wp:inline distT="0" distB="0" distL="0" distR="0" wp14:anchorId="60752E33" wp14:editId="60752E34">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A590F87B56564A51B3B59948831643E9"/>
        <w:category>
          <w:name w:val="General"/>
          <w:gallery w:val="placeholder"/>
        </w:category>
        <w:types>
          <w:type w:val="bbPlcHdr"/>
        </w:types>
        <w:behaviors>
          <w:behavior w:val="content"/>
        </w:behaviors>
        <w:guid w:val="{048E4904-2125-4B41-AC0C-6D8B936B1F54}"/>
      </w:docPartPr>
      <w:docPartBody>
        <w:p w:rsidR="00FF67CE" w:rsidRDefault="00FF67CE">
          <w:pPr>
            <w:pStyle w:val="A590F87B56564A51B3B59948831643E9"/>
          </w:pPr>
          <w:r w:rsidRPr="00EE29F8">
            <w:rPr>
              <w:rStyle w:val="PlaceholderText"/>
            </w:rPr>
            <w:t>Choose an item.</w:t>
          </w:r>
        </w:p>
      </w:docPartBody>
    </w:docPart>
    <w:docPart>
      <w:docPartPr>
        <w:name w:val="52F8E9DFA6D642D78C6642857DBAE60B"/>
        <w:category>
          <w:name w:val="General"/>
          <w:gallery w:val="placeholder"/>
        </w:category>
        <w:types>
          <w:type w:val="bbPlcHdr"/>
        </w:types>
        <w:behaviors>
          <w:behavior w:val="content"/>
        </w:behaviors>
        <w:guid w:val="{57A97AD1-E7DC-459B-A4E0-E6AB0217C5BE}"/>
      </w:docPartPr>
      <w:docPartBody>
        <w:p w:rsidR="00FF67CE" w:rsidRPr="00F26C97" w:rsidRDefault="00FF67CE" w:rsidP="00185FE8">
          <w:pPr>
            <w:pStyle w:val="Bottomblocktext"/>
            <w:rPr>
              <w:b/>
              <w:bCs w:val="0"/>
              <w:sz w:val="20"/>
              <w:szCs w:val="20"/>
            </w:rPr>
          </w:pPr>
          <w:r>
            <w:rPr>
              <w:b/>
              <w:bCs w:val="0"/>
              <w:noProof/>
              <w:sz w:val="20"/>
              <w:szCs w:val="20"/>
            </w:rPr>
            <w:drawing>
              <wp:inline distT="0" distB="0" distL="0" distR="0" wp14:anchorId="60752E35" wp14:editId="60752E36">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0752E37" wp14:editId="60752E38">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F67CE" w:rsidRPr="00F26C97" w:rsidRDefault="00FF67CE" w:rsidP="00185FE8">
          <w:pPr>
            <w:pStyle w:val="Bottomblocktext"/>
            <w:rPr>
              <w:b/>
              <w:bCs w:val="0"/>
              <w:sz w:val="20"/>
              <w:szCs w:val="20"/>
            </w:rPr>
          </w:pPr>
          <w:r>
            <w:rPr>
              <w:b/>
              <w:bCs w:val="0"/>
              <w:noProof/>
              <w:sz w:val="20"/>
              <w:szCs w:val="20"/>
            </w:rPr>
            <w:drawing>
              <wp:inline distT="0" distB="0" distL="0" distR="0" wp14:anchorId="60752E39" wp14:editId="60752E3A">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0752E3B" wp14:editId="60752E3C">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F67CE" w:rsidRDefault="00FF67CE" w:rsidP="00185FE8">
          <w:pPr>
            <w:pStyle w:val="Bottomblocktext"/>
            <w:rPr>
              <w:sz w:val="20"/>
              <w:szCs w:val="20"/>
            </w:rPr>
          </w:pPr>
          <w:hyperlink r:id="rId8" w:history="1">
            <w:r w:rsidRPr="00350211">
              <w:rPr>
                <w:rStyle w:val="Hyperlink"/>
                <w:sz w:val="20"/>
                <w:szCs w:val="20"/>
              </w:rPr>
              <w:t>canberrahealthservices.act.gov.au/accessibility</w:t>
            </w:r>
          </w:hyperlink>
        </w:p>
        <w:p w:rsidR="00FF67CE" w:rsidRDefault="00FF67CE">
          <w:pPr>
            <w:pStyle w:val="52F8E9DFA6D642D78C6642857DBAE60B"/>
          </w:pPr>
          <w:r>
            <w:rPr>
              <w:b/>
              <w:bCs/>
              <w:noProof/>
            </w:rPr>
            <w:drawing>
              <wp:inline distT="0" distB="0" distL="0" distR="0" wp14:anchorId="60752E3D" wp14:editId="60752E3E">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CE"/>
    <w:rsid w:val="001C449A"/>
    <w:rsid w:val="004F1230"/>
    <w:rsid w:val="006C0697"/>
    <w:rsid w:val="006E45F1"/>
    <w:rsid w:val="0089237B"/>
    <w:rsid w:val="00FF6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BF836FDBFF4AAD8F9BB70E76251F39">
    <w:name w:val="F4BF836FDBFF4AAD8F9BB70E76251F39"/>
  </w:style>
  <w:style w:type="character" w:styleId="PlaceholderText">
    <w:name w:val="Placeholder Text"/>
    <w:basedOn w:val="DefaultParagraphFont"/>
    <w:uiPriority w:val="99"/>
    <w:semiHidden/>
    <w:rPr>
      <w:color w:val="808080"/>
    </w:rPr>
  </w:style>
  <w:style w:type="paragraph" w:customStyle="1" w:styleId="A590F87B56564A51B3B59948831643E9">
    <w:name w:val="A590F87B56564A51B3B59948831643E9"/>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52F8E9DFA6D642D78C6642857DBAE60B">
    <w:name w:val="52F8E9DFA6D642D78C6642857DBAE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11/09/2025 - document updated to include a section Privacy Breaches.</Progress>
    <Approval_x0020_Date xmlns="690b2128-8961-48af-a473-22c34a9accba">2024-10-22T13:00:00+00:00</Approval_x0020_Date>
    <Review_x0020_Date xmlns="690b2128-8961-48af-a473-22c34a9accba">2028-10-31T13:00:00+00:00</Review_x0020_Date>
    <TaxCatchAll xmlns="c0239a80-7f07-4ed7-82c3-24ad7d76ada5">
      <Value>432</Value>
      <Value>418</Value>
      <Value>417</Value>
      <Value>416</Value>
      <Value>415</Value>
      <Value>481</Value>
    </TaxCatchAll>
    <Version_x0020_Number xmlns="690b2128-8961-48af-a473-22c34a9accba">2</Version_x0020_Number>
    <Notes0 xmlns="690b2128-8961-48af-a473-22c34a9accba" xsi:nil="true"/>
    <Key_x0020_Words xmlns="690b2128-8961-48af-a473-22c34a9accba">North, Privacy, PHI, Personal, health, information, consumer, person, individual, confidentiality, responsibility, legislation, law, legal, anonymous, records, access, Act</Key_x0020_Words>
    <Type_x0020_of_x0020_Document xmlns="690b2128-8961-48af-a473-22c34a9accba">Policy</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CHS21/579 - Consumer Privacy Policy</Replaces_x003a_>
    <ISD_x0020_Submitted xmlns="690b2128-8961-48af-a473-22c34a9accba">Yes</ISD_x0020_Submitted>
    <Risk_x0020_Rating xmlns="690b2128-8961-48af-a473-22c34a9accba">Medium</Risk_x0020_Rating>
    <Description0 xmlns="690b2128-8961-48af-a473-22c34a9accba">The purpose of this document is to outline how the CHS Network ensures that consumer privacy and personal health information is protected in compliance with the HRPA Act.</Description0>
    <Display_x0020_on_x0020_Internet xmlns="690b2128-8961-48af-a473-22c34a9accba">true</Display_x0020_on_x0020_Internet>
    <Related_x0020_Documents xmlns="690b2128-8961-48af-a473-22c34a9accba" xsi:nil="true"/>
    <Decision_x0020_Number xmlns="690b2128-8961-48af-a473-22c34a9accba">CHS24/492</Decision_x0020_Number>
    <RelatedPolicies_x002c_ProceduresGuidelines xmlns="690b2128-8961-48af-a473-22c34a9accba">
      <Value>14889</Value>
      <Value>16465</Value>
      <Value>16859</Value>
      <Value>17362</Value>
      <Value>15773</Value>
      <Value>16341</Value>
      <Value>16015</Value>
      <Value>15934</Value>
      <Value>16293</Value>
      <Value>16472</Value>
      <Value>16840</Value>
      <Value>16035</Value>
      <Value>17052</Value>
      <Value>11766</Value>
      <Value>13968</Value>
      <Value>17393</Value>
      <Value>16797</Value>
      <Value>16621</Value>
      <Value>13318</Value>
      <Value>14661</Value>
      <Value>17466</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ACT Public Service Code of Ethics (CHS)</TermName>
          <TermId xmlns="http://schemas.microsoft.com/office/infopath/2007/PartnerControls">3a8b3c8e-5776-46f3-bf6b-859cb2518693</TermId>
        </TermInfo>
      </Terms>
    </k0794e393e1f41c2810d090eedba34a0>
    <New_x0020_Owner xmlns="690b2128-8961-48af-a473-22c34a9accba">Decision Support Services - Health Information Services</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16E44BE0-8504-40A8-A5E4-15353C5C82F9}">
  <ds:schemaRefs>
    <ds:schemaRef ds:uri="690b2128-8961-48af-a473-22c34a9accba"/>
    <ds:schemaRef ds:uri="http://purl.org/dc/terms/"/>
    <ds:schemaRef ds:uri="http://purl.org/dc/elements/1.1/"/>
    <ds:schemaRef ds:uri="http://purl.org/dc/dcmitype/"/>
    <ds:schemaRef ds:uri="http://schemas.microsoft.com/office/2006/documentManagement/types"/>
    <ds:schemaRef ds:uri="http://schemas.microsoft.com/office/2006/metadata/properties"/>
    <ds:schemaRef ds:uri="c0239a80-7f07-4ed7-82c3-24ad7d76ada5"/>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BAD9DF-54AD-43C4-9C8F-CACCB8B4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Policy Template</Template>
  <TotalTime>154</TotalTime>
  <Pages>19</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43794</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Privacy Policy</dc:title>
  <dc:creator>Clissold, Jacqui (Health)</dc:creator>
  <cp:lastModifiedBy>Rusanov, Zoia</cp:lastModifiedBy>
  <cp:revision>14</cp:revision>
  <cp:lastPrinted>2017-05-22T07:29:00Z</cp:lastPrinted>
  <dcterms:created xsi:type="dcterms:W3CDTF">2024-10-24T22:44:00Z</dcterms:created>
  <dcterms:modified xsi:type="dcterms:W3CDTF">2025-09-11T04:37:00Z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(Territory)|a9c8282c-cc19-42a3-a6c3-de05b442298b;#418;#Mental Health Act 2015 (Territory)|f8701ef3-747f-4928-a8d6-c930591714da;#481;#ACT Public Service Code of Ethics (CHS)|3a8b3c8e-5776-46f3-bf6b-859cb2518693</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(Territory)|a9c8282c-cc19-42a3-a6c3-de05b442298b;#418;#Mental Health Act 2015 (Territory)|f8701ef3-747f-4928-a8d6-c930591714da;#481;#ACT Public Service Code of Ethics (CHS)|3a8b3c8e-5776-46f3-bf6b-859cb2518693</vt:lpwstr>
  </property>
</Properties>
</file>